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675C8A46" w:rsidR="00E74B41" w:rsidRPr="005A0F99" w:rsidRDefault="00E74B41" w:rsidP="00E74B41">
      <w:pPr>
        <w:spacing w:line="360" w:lineRule="auto"/>
        <w:jc w:val="both"/>
        <w:rPr>
          <w:rFonts w:ascii="Palatino Linotype" w:hAnsi="Palatino Linotype" w:cs="Arial"/>
          <w:color w:val="000000" w:themeColor="text1"/>
        </w:rPr>
      </w:pPr>
      <w:r w:rsidRPr="005A0F99">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9827CA" w:rsidRPr="005A0F99">
        <w:rPr>
          <w:rFonts w:ascii="Palatino Linotype" w:hAnsi="Palatino Linotype"/>
          <w:color w:val="000000" w:themeColor="text1"/>
        </w:rPr>
        <w:t>nueve (09) de agosto de dos mil veintitrés</w:t>
      </w:r>
      <w:r w:rsidRPr="005A0F99">
        <w:rPr>
          <w:rFonts w:ascii="Palatino Linotype" w:hAnsi="Palatino Linotype" w:cs="Arial"/>
          <w:color w:val="000000" w:themeColor="text1"/>
        </w:rPr>
        <w:t>.</w:t>
      </w:r>
    </w:p>
    <w:p w14:paraId="646189F0" w14:textId="77777777" w:rsidR="00E74B41" w:rsidRPr="005A0F99" w:rsidRDefault="00E74B41" w:rsidP="00E74B41">
      <w:pPr>
        <w:spacing w:line="360" w:lineRule="auto"/>
        <w:jc w:val="both"/>
        <w:rPr>
          <w:rFonts w:ascii="Palatino Linotype" w:hAnsi="Palatino Linotype" w:cs="Arial"/>
          <w:color w:val="000000" w:themeColor="text1"/>
        </w:rPr>
      </w:pPr>
    </w:p>
    <w:p w14:paraId="089AF78C" w14:textId="547D46DD" w:rsidR="00E74B41" w:rsidRPr="005A0F99" w:rsidRDefault="00E74B41" w:rsidP="00E74B41">
      <w:pPr>
        <w:spacing w:line="360" w:lineRule="auto"/>
        <w:jc w:val="both"/>
        <w:rPr>
          <w:rFonts w:ascii="Palatino Linotype" w:hAnsi="Palatino Linotype" w:cs="Arial"/>
          <w:color w:val="000000" w:themeColor="text1"/>
        </w:rPr>
      </w:pPr>
      <w:r w:rsidRPr="005A0F99">
        <w:rPr>
          <w:rFonts w:ascii="Palatino Linotype" w:hAnsi="Palatino Linotype" w:cs="Arial"/>
          <w:b/>
          <w:color w:val="000000" w:themeColor="text1"/>
        </w:rPr>
        <w:t>VISTOS</w:t>
      </w:r>
      <w:r w:rsidRPr="005A0F99">
        <w:rPr>
          <w:rFonts w:ascii="Palatino Linotype" w:hAnsi="Palatino Linotype" w:cs="Arial"/>
          <w:color w:val="000000" w:themeColor="text1"/>
        </w:rPr>
        <w:t xml:space="preserve"> los expedientes electrónicos formados con motivo de los recurso de revisión </w:t>
      </w:r>
      <w:r w:rsidR="003F2810" w:rsidRPr="005A0F99">
        <w:rPr>
          <w:rFonts w:ascii="Palatino Linotype" w:eastAsia="Calibri" w:hAnsi="Palatino Linotype" w:cs="Arial"/>
          <w:b/>
          <w:lang w:val="es-ES"/>
        </w:rPr>
        <w:t>00388</w:t>
      </w:r>
      <w:r w:rsidR="003F2810" w:rsidRPr="005A0F99">
        <w:rPr>
          <w:rFonts w:ascii="Palatino Linotype" w:hAnsi="Palatino Linotype"/>
          <w:b/>
          <w:szCs w:val="22"/>
        </w:rPr>
        <w:t>/INFOEM/IP/RR/2023</w:t>
      </w:r>
      <w:r w:rsidR="003F2810" w:rsidRPr="005A0F99">
        <w:rPr>
          <w:rFonts w:ascii="Palatino Linotype" w:hAnsi="Palatino Linotype" w:cs="Arial"/>
          <w:b/>
          <w:color w:val="000000" w:themeColor="text1"/>
        </w:rPr>
        <w:t xml:space="preserve"> y </w:t>
      </w:r>
      <w:r w:rsidR="003F2810" w:rsidRPr="005A0F99">
        <w:rPr>
          <w:rFonts w:ascii="Palatino Linotype" w:hAnsi="Palatino Linotype"/>
          <w:b/>
        </w:rPr>
        <w:t>00389/INFOEM/IP/RR/2023</w:t>
      </w:r>
      <w:r w:rsidRPr="005A0F99">
        <w:rPr>
          <w:rFonts w:ascii="Palatino Linotype" w:hAnsi="Palatino Linotype" w:cs="Arial"/>
          <w:color w:val="000000" w:themeColor="text1"/>
        </w:rPr>
        <w:t>, promovidos por</w:t>
      </w:r>
      <w:r w:rsidR="007471EF" w:rsidRPr="005A0F99">
        <w:rPr>
          <w:rFonts w:ascii="Palatino Linotype" w:hAnsi="Palatino Linotype" w:cs="Arial"/>
          <w:color w:val="000000" w:themeColor="text1"/>
        </w:rPr>
        <w:t xml:space="preserve"> un </w:t>
      </w:r>
      <w:r w:rsidR="007471EF" w:rsidRPr="005A0F99">
        <w:rPr>
          <w:rFonts w:ascii="Palatino Linotype" w:hAnsi="Palatino Linotype" w:cs="Arial"/>
          <w:b/>
          <w:color w:val="000000" w:themeColor="text1"/>
        </w:rPr>
        <w:t>Usuario del Sistema de Acc</w:t>
      </w:r>
      <w:r w:rsidR="00D46D4B" w:rsidRPr="005A0F99">
        <w:rPr>
          <w:rFonts w:ascii="Palatino Linotype" w:hAnsi="Palatino Linotype" w:cs="Arial"/>
          <w:b/>
          <w:color w:val="000000" w:themeColor="text1"/>
        </w:rPr>
        <w:t xml:space="preserve">eso a la Información Mexiquense, </w:t>
      </w:r>
      <w:r w:rsidR="00D46D4B" w:rsidRPr="005A0F99">
        <w:rPr>
          <w:rFonts w:ascii="Palatino Linotype" w:hAnsi="Palatino Linotype" w:cs="Arial"/>
          <w:color w:val="000000" w:themeColor="text1"/>
        </w:rPr>
        <w:t>quien</w:t>
      </w:r>
      <w:r w:rsidR="007471EF" w:rsidRPr="005A0F99">
        <w:rPr>
          <w:rFonts w:ascii="Palatino Linotype" w:hAnsi="Palatino Linotype" w:cs="Arial"/>
          <w:color w:val="000000" w:themeColor="text1"/>
        </w:rPr>
        <w:t xml:space="preserve"> no proporcionó nombre</w:t>
      </w:r>
      <w:r w:rsidR="00D46D4B" w:rsidRPr="005A0F99">
        <w:rPr>
          <w:rFonts w:ascii="Palatino Linotype" w:hAnsi="Palatino Linotype" w:cs="Arial"/>
          <w:color w:val="000000" w:themeColor="text1"/>
        </w:rPr>
        <w:t xml:space="preserve"> alguno</w:t>
      </w:r>
      <w:r w:rsidR="007471EF" w:rsidRPr="005A0F99">
        <w:rPr>
          <w:rFonts w:ascii="Palatino Linotype" w:hAnsi="Palatino Linotype" w:cs="Arial"/>
          <w:color w:val="000000" w:themeColor="text1"/>
        </w:rPr>
        <w:t xml:space="preserve">, </w:t>
      </w:r>
      <w:r w:rsidRPr="005A0F99">
        <w:rPr>
          <w:rFonts w:ascii="Palatino Linotype" w:hAnsi="Palatino Linotype" w:cs="Arial"/>
          <w:color w:val="000000" w:themeColor="text1"/>
        </w:rPr>
        <w:t>en su calidad de</w:t>
      </w:r>
      <w:r w:rsidRPr="005A0F99">
        <w:rPr>
          <w:rFonts w:ascii="Palatino Linotype" w:hAnsi="Palatino Linotype" w:cs="Arial"/>
          <w:b/>
          <w:color w:val="000000" w:themeColor="text1"/>
        </w:rPr>
        <w:t xml:space="preserve"> RECURRENTE</w:t>
      </w:r>
      <w:r w:rsidRPr="005A0F99">
        <w:rPr>
          <w:rFonts w:ascii="Palatino Linotype" w:hAnsi="Palatino Linotype" w:cs="Arial"/>
          <w:color w:val="000000" w:themeColor="text1"/>
        </w:rPr>
        <w:t xml:space="preserve">, en contra de la falta de respuesta del </w:t>
      </w:r>
      <w:r w:rsidR="003F2810" w:rsidRPr="005A0F99">
        <w:rPr>
          <w:rFonts w:ascii="Palatino Linotype" w:eastAsia="Calibri" w:hAnsi="Palatino Linotype" w:cs="Arial"/>
          <w:b/>
        </w:rPr>
        <w:t>Ayuntamiento de Zinacantepec</w:t>
      </w:r>
      <w:r w:rsidRPr="005A0F99">
        <w:rPr>
          <w:rFonts w:ascii="Palatino Linotype" w:hAnsi="Palatino Linotype" w:cs="Arial"/>
          <w:color w:val="000000" w:themeColor="text1"/>
        </w:rPr>
        <w:t xml:space="preserve">, en lo sucesivo el </w:t>
      </w:r>
      <w:r w:rsidRPr="005A0F99">
        <w:rPr>
          <w:rFonts w:ascii="Palatino Linotype" w:hAnsi="Palatino Linotype" w:cs="Arial"/>
          <w:b/>
          <w:color w:val="000000" w:themeColor="text1"/>
        </w:rPr>
        <w:t>SUJETO OBLIGADO</w:t>
      </w:r>
      <w:r w:rsidRPr="005A0F99">
        <w:rPr>
          <w:rFonts w:ascii="Palatino Linotype" w:hAnsi="Palatino Linotype" w:cs="Arial"/>
          <w:color w:val="000000" w:themeColor="text1"/>
        </w:rPr>
        <w:t>, se procede a dictar la presente resolución, con base en los siguientes:</w:t>
      </w:r>
    </w:p>
    <w:p w14:paraId="0CF5B50D" w14:textId="77777777" w:rsidR="00E74B41" w:rsidRPr="005A0F99" w:rsidRDefault="00E74B41" w:rsidP="00E74B41">
      <w:pPr>
        <w:spacing w:line="360" w:lineRule="auto"/>
        <w:jc w:val="both"/>
        <w:rPr>
          <w:rFonts w:ascii="Palatino Linotype" w:hAnsi="Palatino Linotype" w:cs="Arial"/>
          <w:color w:val="000000" w:themeColor="text1"/>
        </w:rPr>
      </w:pPr>
    </w:p>
    <w:p w14:paraId="3C177BC5" w14:textId="77777777" w:rsidR="00E74B41" w:rsidRPr="005A0F99" w:rsidRDefault="00E74B41" w:rsidP="00E74B41">
      <w:pPr>
        <w:pStyle w:val="Prrafodelista"/>
        <w:spacing w:line="360" w:lineRule="auto"/>
        <w:ind w:left="0"/>
        <w:jc w:val="center"/>
        <w:rPr>
          <w:rFonts w:ascii="Palatino Linotype" w:hAnsi="Palatino Linotype" w:cs="Arial"/>
          <w:b/>
          <w:color w:val="000000" w:themeColor="text1"/>
        </w:rPr>
      </w:pPr>
      <w:r w:rsidRPr="005A0F99">
        <w:rPr>
          <w:rFonts w:ascii="Palatino Linotype" w:hAnsi="Palatino Linotype" w:cs="Arial"/>
          <w:b/>
          <w:color w:val="000000" w:themeColor="text1"/>
        </w:rPr>
        <w:t>ANTECEDENTES</w:t>
      </w:r>
    </w:p>
    <w:p w14:paraId="6BF3FA19" w14:textId="77777777" w:rsidR="00E74B41" w:rsidRPr="005A0F99" w:rsidRDefault="00E74B41" w:rsidP="00E74B41">
      <w:pPr>
        <w:spacing w:line="360" w:lineRule="auto"/>
        <w:jc w:val="both"/>
        <w:rPr>
          <w:rFonts w:ascii="Palatino Linotype" w:hAnsi="Palatino Linotype" w:cs="Arial"/>
          <w:color w:val="000000" w:themeColor="text1"/>
        </w:rPr>
      </w:pPr>
    </w:p>
    <w:p w14:paraId="09CE8081" w14:textId="77F78754" w:rsidR="00E74B41" w:rsidRPr="005A0F99" w:rsidRDefault="007471EF"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ocho (8</w:t>
      </w:r>
      <w:r w:rsidR="00E74B41" w:rsidRPr="005A0F99">
        <w:rPr>
          <w:rFonts w:ascii="Palatino Linotype" w:hAnsi="Palatino Linotype" w:cs="Arial"/>
          <w:color w:val="000000" w:themeColor="text1"/>
        </w:rPr>
        <w:t xml:space="preserve">) de </w:t>
      </w:r>
      <w:r w:rsidRPr="005A0F99">
        <w:rPr>
          <w:rFonts w:ascii="Palatino Linotype" w:hAnsi="Palatino Linotype" w:cs="Arial"/>
          <w:color w:val="000000" w:themeColor="text1"/>
        </w:rPr>
        <w:t>diciembre</w:t>
      </w:r>
      <w:r w:rsidR="00E74B41" w:rsidRPr="005A0F99">
        <w:rPr>
          <w:rFonts w:ascii="Palatino Linotype" w:hAnsi="Palatino Linotype" w:cs="Arial"/>
          <w:color w:val="000000" w:themeColor="text1"/>
        </w:rPr>
        <w:t xml:space="preserve"> de dos mil veintidós, </w:t>
      </w:r>
      <w:r w:rsidR="00E74B41" w:rsidRPr="005A0F99">
        <w:rPr>
          <w:rFonts w:ascii="Palatino Linotype" w:hAnsi="Palatino Linotype" w:cs="Arial"/>
          <w:b/>
          <w:color w:val="000000" w:themeColor="text1"/>
        </w:rPr>
        <w:t>EL RECURRENTE</w:t>
      </w:r>
      <w:r w:rsidR="00E74B41" w:rsidRPr="005A0F99">
        <w:rPr>
          <w:rFonts w:ascii="Palatino Linotype" w:hAnsi="Palatino Linotype" w:cs="Arial"/>
          <w:color w:val="000000" w:themeColor="text1"/>
        </w:rPr>
        <w:t xml:space="preserve"> presentó, ante el </w:t>
      </w:r>
      <w:r w:rsidR="00E74B41" w:rsidRPr="005A0F99">
        <w:rPr>
          <w:rFonts w:ascii="Palatino Linotype" w:hAnsi="Palatino Linotype" w:cs="Arial"/>
          <w:b/>
          <w:color w:val="000000" w:themeColor="text1"/>
        </w:rPr>
        <w:t>SUJETO OBLIGADO</w:t>
      </w:r>
      <w:r w:rsidR="00E74B41" w:rsidRPr="005A0F99">
        <w:rPr>
          <w:rFonts w:ascii="Palatino Linotype" w:hAnsi="Palatino Linotype" w:cs="Arial"/>
          <w:color w:val="000000" w:themeColor="text1"/>
        </w:rPr>
        <w:t xml:space="preserve"> vía Sistema de Acceso a la Información Mexiquense (SAIMEX), las solicitudes de información pública registradas con el número </w:t>
      </w:r>
      <w:r w:rsidR="003F2810" w:rsidRPr="005A0F99">
        <w:rPr>
          <w:rFonts w:ascii="Palatino Linotype" w:hAnsi="Palatino Linotype" w:cs="Arial"/>
          <w:b/>
          <w:szCs w:val="18"/>
        </w:rPr>
        <w:t>01430/ZINACANT/IP/2022</w:t>
      </w:r>
      <w:r w:rsidR="003F2810" w:rsidRPr="005A0F99">
        <w:rPr>
          <w:rFonts w:ascii="Palatino Linotype" w:hAnsi="Palatino Linotype" w:cs="Arial"/>
          <w:b/>
          <w:color w:val="000000" w:themeColor="text1"/>
        </w:rPr>
        <w:t xml:space="preserve"> y </w:t>
      </w:r>
      <w:r w:rsidR="003F2810" w:rsidRPr="005A0F99">
        <w:rPr>
          <w:rFonts w:ascii="Palatino Linotype" w:hAnsi="Palatino Linotype" w:cs="Arial"/>
          <w:b/>
          <w:szCs w:val="18"/>
        </w:rPr>
        <w:t>01429/ZINACANT/IP/2022</w:t>
      </w:r>
      <w:r w:rsidR="00D46D4B" w:rsidRPr="005A0F99">
        <w:rPr>
          <w:rFonts w:ascii="Palatino Linotype" w:hAnsi="Palatino Linotype" w:cs="Arial"/>
          <w:b/>
          <w:szCs w:val="18"/>
        </w:rPr>
        <w:t xml:space="preserve">, </w:t>
      </w:r>
      <w:r w:rsidR="00D46D4B" w:rsidRPr="005A0F99">
        <w:rPr>
          <w:rFonts w:ascii="Palatino Linotype" w:hAnsi="Palatino Linotype" w:cs="Arial"/>
          <w:szCs w:val="18"/>
        </w:rPr>
        <w:t>en las que</w:t>
      </w:r>
      <w:r w:rsidR="00D46D4B" w:rsidRPr="005A0F99">
        <w:rPr>
          <w:rFonts w:ascii="Palatino Linotype" w:hAnsi="Palatino Linotype" w:cs="Arial"/>
          <w:b/>
          <w:szCs w:val="18"/>
        </w:rPr>
        <w:t xml:space="preserve"> </w:t>
      </w:r>
      <w:r w:rsidR="00E74B41" w:rsidRPr="005A0F99">
        <w:rPr>
          <w:rFonts w:ascii="Palatino Linotype" w:hAnsi="Palatino Linotype" w:cs="Arial"/>
          <w:color w:val="000000" w:themeColor="text1"/>
        </w:rPr>
        <w:t>solicitó lo siguiente:</w:t>
      </w:r>
    </w:p>
    <w:p w14:paraId="52248C3C" w14:textId="77777777" w:rsidR="00E74B41" w:rsidRPr="005A0F99" w:rsidRDefault="00E74B41" w:rsidP="00E74B41">
      <w:pPr>
        <w:spacing w:line="360" w:lineRule="auto"/>
        <w:jc w:val="both"/>
        <w:rPr>
          <w:rFonts w:ascii="Palatino Linotype" w:hAnsi="Palatino Linotype" w:cs="Arial"/>
          <w:color w:val="000000" w:themeColor="text1"/>
        </w:rPr>
      </w:pPr>
    </w:p>
    <w:tbl>
      <w:tblPr>
        <w:tblStyle w:val="Tablaconcuadrcula"/>
        <w:tblW w:w="8784" w:type="dxa"/>
        <w:tblLayout w:type="fixed"/>
        <w:tblLook w:val="04A0" w:firstRow="1" w:lastRow="0" w:firstColumn="1" w:lastColumn="0" w:noHBand="0" w:noVBand="1"/>
      </w:tblPr>
      <w:tblGrid>
        <w:gridCol w:w="2689"/>
        <w:gridCol w:w="2977"/>
        <w:gridCol w:w="3118"/>
      </w:tblGrid>
      <w:tr w:rsidR="00E74B41" w:rsidRPr="005A0F99" w14:paraId="55E43BD0" w14:textId="77777777" w:rsidTr="003F2810">
        <w:tc>
          <w:tcPr>
            <w:tcW w:w="2689" w:type="dxa"/>
          </w:tcPr>
          <w:p w14:paraId="0CACC204" w14:textId="202C8E16" w:rsidR="00E74B41" w:rsidRPr="005A0F99" w:rsidRDefault="00E74B41" w:rsidP="003F2810">
            <w:pPr>
              <w:rPr>
                <w:rFonts w:ascii="Palatino Linotype" w:hAnsi="Palatino Linotype" w:cs="Arial"/>
                <w:b/>
                <w:sz w:val="20"/>
                <w:szCs w:val="22"/>
              </w:rPr>
            </w:pPr>
            <w:r w:rsidRPr="005A0F99">
              <w:rPr>
                <w:rFonts w:ascii="Palatino Linotype" w:hAnsi="Palatino Linotype" w:cs="Arial"/>
                <w:b/>
                <w:sz w:val="20"/>
                <w:szCs w:val="22"/>
              </w:rPr>
              <w:t>0</w:t>
            </w:r>
            <w:r w:rsidR="003F2810" w:rsidRPr="005A0F99">
              <w:rPr>
                <w:rFonts w:ascii="Palatino Linotype" w:hAnsi="Palatino Linotype" w:cs="Arial"/>
                <w:b/>
                <w:sz w:val="20"/>
                <w:szCs w:val="22"/>
              </w:rPr>
              <w:t>1430</w:t>
            </w:r>
            <w:r w:rsidRPr="005A0F99">
              <w:rPr>
                <w:rFonts w:ascii="Palatino Linotype" w:hAnsi="Palatino Linotype" w:cs="Arial"/>
                <w:b/>
                <w:sz w:val="20"/>
                <w:szCs w:val="22"/>
              </w:rPr>
              <w:t>/</w:t>
            </w:r>
            <w:r w:rsidR="003F2810" w:rsidRPr="005A0F99">
              <w:rPr>
                <w:rFonts w:ascii="Palatino Linotype" w:hAnsi="Palatino Linotype" w:cs="Arial"/>
                <w:b/>
                <w:sz w:val="20"/>
                <w:szCs w:val="22"/>
              </w:rPr>
              <w:t>ZINACANT/</w:t>
            </w:r>
            <w:r w:rsidRPr="005A0F99">
              <w:rPr>
                <w:rFonts w:ascii="Palatino Linotype" w:hAnsi="Palatino Linotype" w:cs="Arial"/>
                <w:b/>
                <w:sz w:val="20"/>
                <w:szCs w:val="22"/>
              </w:rPr>
              <w:t>IP/2022</w:t>
            </w:r>
          </w:p>
        </w:tc>
        <w:tc>
          <w:tcPr>
            <w:tcW w:w="2977" w:type="dxa"/>
          </w:tcPr>
          <w:p w14:paraId="5A9BDCCE" w14:textId="6AA6EA1A" w:rsidR="00E74B41" w:rsidRPr="005A0F99" w:rsidRDefault="003F2810" w:rsidP="00E74B41">
            <w:pPr>
              <w:rPr>
                <w:rFonts w:ascii="Palatino Linotype" w:hAnsi="Palatino Linotype" w:cs="Arial"/>
                <w:b/>
                <w:sz w:val="20"/>
                <w:szCs w:val="22"/>
                <w:shd w:val="clear" w:color="auto" w:fill="FFFFFF"/>
              </w:rPr>
            </w:pPr>
            <w:r w:rsidRPr="005A0F99">
              <w:rPr>
                <w:rFonts w:ascii="Palatino Linotype" w:eastAsia="Calibri" w:hAnsi="Palatino Linotype" w:cs="Arial"/>
                <w:b/>
                <w:sz w:val="20"/>
                <w:szCs w:val="22"/>
                <w:lang w:val="es-ES"/>
              </w:rPr>
              <w:t>00388</w:t>
            </w:r>
            <w:r w:rsidRPr="005A0F99">
              <w:rPr>
                <w:rFonts w:ascii="Palatino Linotype" w:hAnsi="Palatino Linotype"/>
                <w:b/>
                <w:sz w:val="20"/>
                <w:szCs w:val="22"/>
              </w:rPr>
              <w:t>/INFOEM/IP/RR/2023</w:t>
            </w:r>
          </w:p>
        </w:tc>
        <w:tc>
          <w:tcPr>
            <w:tcW w:w="3118" w:type="dxa"/>
          </w:tcPr>
          <w:p w14:paraId="25C23D85" w14:textId="77777777" w:rsidR="007471EF" w:rsidRPr="005A0F99" w:rsidRDefault="007471EF" w:rsidP="007471EF">
            <w:pPr>
              <w:jc w:val="both"/>
              <w:rPr>
                <w:rFonts w:ascii="Palatino Linotype" w:hAnsi="Palatino Linotype"/>
                <w:sz w:val="22"/>
              </w:rPr>
            </w:pPr>
            <w:r w:rsidRPr="005A0F99">
              <w:rPr>
                <w:rFonts w:ascii="Palatino Linotype" w:hAnsi="Palatino Linotype"/>
                <w:sz w:val="22"/>
                <w:szCs w:val="14"/>
              </w:rPr>
              <w:t>SOLICITO TODOS LOS OFICIOS DE OTORGAMIENTO DE VACACIONES DE DICIEMBRE 2022</w:t>
            </w:r>
          </w:p>
          <w:p w14:paraId="2872C45F" w14:textId="2F5AC7CF" w:rsidR="00E74B41" w:rsidRPr="005A0F99" w:rsidRDefault="00E74B41" w:rsidP="00E74B41">
            <w:pPr>
              <w:jc w:val="both"/>
              <w:rPr>
                <w:rFonts w:ascii="Palatino Linotype" w:hAnsi="Palatino Linotype" w:cs="Arial"/>
                <w:i/>
                <w:sz w:val="22"/>
                <w:szCs w:val="18"/>
                <w:shd w:val="clear" w:color="auto" w:fill="FFFFFF"/>
              </w:rPr>
            </w:pPr>
          </w:p>
        </w:tc>
      </w:tr>
      <w:tr w:rsidR="00E74B41" w:rsidRPr="005A0F99" w14:paraId="7BFC02BC" w14:textId="77777777" w:rsidTr="003F2810">
        <w:tc>
          <w:tcPr>
            <w:tcW w:w="2689" w:type="dxa"/>
          </w:tcPr>
          <w:p w14:paraId="2FD78975" w14:textId="359AE5E3" w:rsidR="00E74B41" w:rsidRPr="005A0F99" w:rsidRDefault="003F2810" w:rsidP="00E74B41">
            <w:pPr>
              <w:rPr>
                <w:rFonts w:ascii="Palatino Linotype" w:hAnsi="Palatino Linotype" w:cs="Arial"/>
                <w:b/>
                <w:sz w:val="20"/>
                <w:szCs w:val="22"/>
                <w:shd w:val="clear" w:color="auto" w:fill="FFFFFF"/>
              </w:rPr>
            </w:pPr>
            <w:r w:rsidRPr="005A0F99">
              <w:rPr>
                <w:rFonts w:ascii="Palatino Linotype" w:hAnsi="Palatino Linotype" w:cs="Arial"/>
                <w:b/>
                <w:sz w:val="20"/>
                <w:szCs w:val="22"/>
              </w:rPr>
              <w:lastRenderedPageBreak/>
              <w:t>01429/ZINACANT/IP/2022</w:t>
            </w:r>
          </w:p>
        </w:tc>
        <w:tc>
          <w:tcPr>
            <w:tcW w:w="2977" w:type="dxa"/>
          </w:tcPr>
          <w:p w14:paraId="7AC120BF" w14:textId="21AB52AC" w:rsidR="00E74B41" w:rsidRPr="005A0F99" w:rsidRDefault="003F2810" w:rsidP="00E74B41">
            <w:pPr>
              <w:rPr>
                <w:rFonts w:ascii="Palatino Linotype" w:hAnsi="Palatino Linotype" w:cs="Arial"/>
                <w:b/>
                <w:sz w:val="20"/>
                <w:szCs w:val="22"/>
                <w:shd w:val="clear" w:color="auto" w:fill="FFFFFF"/>
              </w:rPr>
            </w:pPr>
            <w:r w:rsidRPr="005A0F99">
              <w:rPr>
                <w:rFonts w:ascii="Palatino Linotype" w:hAnsi="Palatino Linotype"/>
                <w:b/>
                <w:sz w:val="20"/>
                <w:szCs w:val="22"/>
              </w:rPr>
              <w:t>00389/INFOEM/IP/RR/2023</w:t>
            </w:r>
          </w:p>
        </w:tc>
        <w:tc>
          <w:tcPr>
            <w:tcW w:w="3118" w:type="dxa"/>
          </w:tcPr>
          <w:p w14:paraId="10501E9D" w14:textId="77777777" w:rsidR="007471EF" w:rsidRPr="005A0F99" w:rsidRDefault="007471EF" w:rsidP="007471EF">
            <w:pPr>
              <w:jc w:val="both"/>
              <w:rPr>
                <w:rFonts w:ascii="Palatino Linotype" w:hAnsi="Palatino Linotype"/>
                <w:sz w:val="22"/>
              </w:rPr>
            </w:pPr>
            <w:r w:rsidRPr="005A0F99">
              <w:rPr>
                <w:rFonts w:ascii="Palatino Linotype" w:hAnsi="Palatino Linotype"/>
                <w:sz w:val="22"/>
                <w:szCs w:val="14"/>
              </w:rPr>
              <w:t>SOLICITO LOS OFICIOS DE TODAS LAS AREAS DONDE SE DESIGNEN A SERVIDORES PÚBLICOS PARA LAS GUARDIAS DE LAS VACACIONES DE DICIEMBRE 2022</w:t>
            </w:r>
          </w:p>
          <w:p w14:paraId="5E123805" w14:textId="48B02ACA" w:rsidR="00E74B41" w:rsidRPr="005A0F99" w:rsidRDefault="00E74B41" w:rsidP="00E74B41">
            <w:pPr>
              <w:jc w:val="both"/>
              <w:rPr>
                <w:rFonts w:ascii="Palatino Linotype" w:hAnsi="Palatino Linotype" w:cs="Arial"/>
                <w:sz w:val="22"/>
                <w:szCs w:val="18"/>
                <w:shd w:val="clear" w:color="auto" w:fill="FFFFFF"/>
              </w:rPr>
            </w:pPr>
          </w:p>
        </w:tc>
      </w:tr>
    </w:tbl>
    <w:p w14:paraId="1A0E5DEA" w14:textId="77777777" w:rsidR="00E74B41" w:rsidRPr="005A0F99" w:rsidRDefault="00E74B41" w:rsidP="00E74B41">
      <w:pPr>
        <w:spacing w:line="360" w:lineRule="auto"/>
        <w:jc w:val="both"/>
        <w:rPr>
          <w:rFonts w:ascii="Palatino Linotype" w:hAnsi="Palatino Linotype" w:cs="Arial"/>
          <w:color w:val="000000" w:themeColor="text1"/>
        </w:rPr>
      </w:pPr>
    </w:p>
    <w:p w14:paraId="099510C7" w14:textId="6C492D5B"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Señaló como modalidad de entrega de la información a través del SAIMEX.</w:t>
      </w:r>
    </w:p>
    <w:p w14:paraId="13B578E5" w14:textId="77777777" w:rsidR="00E74B41" w:rsidRPr="005A0F99" w:rsidRDefault="00E74B41" w:rsidP="00E74B41">
      <w:pPr>
        <w:pStyle w:val="Prrafodelista"/>
        <w:spacing w:line="360" w:lineRule="auto"/>
        <w:ind w:left="0"/>
        <w:jc w:val="both"/>
        <w:rPr>
          <w:rFonts w:ascii="Palatino Linotype" w:hAnsi="Palatino Linotype" w:cs="Arial"/>
          <w:color w:val="000000" w:themeColor="text1"/>
        </w:rPr>
      </w:pPr>
    </w:p>
    <w:p w14:paraId="4C2B98A0" w14:textId="67AF3D29"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cuatro (4) de noviembre de dos mil veintidós, el Sujeto Obligado solicitó una prórroga para dar respuesta a las solicitudes.</w:t>
      </w:r>
    </w:p>
    <w:p w14:paraId="3F8B17E1" w14:textId="77777777" w:rsidR="00E74B41" w:rsidRPr="005A0F99" w:rsidRDefault="00E74B41" w:rsidP="00E74B41">
      <w:pPr>
        <w:spacing w:line="360" w:lineRule="auto"/>
        <w:jc w:val="both"/>
        <w:rPr>
          <w:rFonts w:ascii="Palatino Linotype" w:hAnsi="Palatino Linotype" w:cs="Arial"/>
          <w:color w:val="000000" w:themeColor="text1"/>
        </w:rPr>
      </w:pPr>
    </w:p>
    <w:p w14:paraId="7E68212D" w14:textId="6FA39960" w:rsidR="007471EF" w:rsidRPr="005A0F99" w:rsidRDefault="007471EF"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quince (15) de diciembre de dos mil veintidós, el Sujeto Obligado solicitó una aclaración en los siguientes términos:</w:t>
      </w:r>
    </w:p>
    <w:p w14:paraId="17B8D012" w14:textId="77777777" w:rsidR="007471EF" w:rsidRPr="005A0F99" w:rsidRDefault="007471EF" w:rsidP="007471EF">
      <w:pPr>
        <w:pStyle w:val="Prrafodelista"/>
        <w:rPr>
          <w:rFonts w:ascii="Palatino Linotype" w:hAnsi="Palatino Linotype" w:cs="Arial"/>
          <w:color w:val="000000" w:themeColor="text1"/>
        </w:rPr>
      </w:pPr>
    </w:p>
    <w:p w14:paraId="193D4BD5" w14:textId="77777777" w:rsidR="007471EF" w:rsidRPr="005A0F99" w:rsidRDefault="007471EF" w:rsidP="007471EF">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5F92E4D2" w14:textId="77777777" w:rsidR="007471EF" w:rsidRPr="005A0F99" w:rsidRDefault="007471EF" w:rsidP="007471EF">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1614035" w14:textId="77777777" w:rsidR="007471EF" w:rsidRPr="005A0F99" w:rsidRDefault="007471EF" w:rsidP="007471EF">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AE8E4A8" w14:textId="77777777" w:rsidR="007471EF" w:rsidRPr="005A0F99" w:rsidRDefault="007471EF" w:rsidP="007471EF">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ATENTAMENTE</w:t>
      </w:r>
    </w:p>
    <w:p w14:paraId="723FE172" w14:textId="4398CBBC" w:rsidR="007471EF" w:rsidRPr="005A0F99" w:rsidRDefault="007471EF" w:rsidP="007471EF">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ING. JESUS EMMANUEL ENCASTIN RENDON</w:t>
      </w:r>
    </w:p>
    <w:p w14:paraId="7BCDB3FB" w14:textId="77777777" w:rsidR="007471EF" w:rsidRPr="005A0F99" w:rsidRDefault="007471EF" w:rsidP="007471EF">
      <w:pPr>
        <w:pStyle w:val="Prrafodelista"/>
        <w:rPr>
          <w:rFonts w:ascii="Palatino Linotype" w:hAnsi="Palatino Linotype" w:cs="Arial"/>
          <w:color w:val="000000" w:themeColor="text1"/>
        </w:rPr>
      </w:pPr>
    </w:p>
    <w:p w14:paraId="6A2F05F0" w14:textId="59528B23" w:rsidR="00EE1450" w:rsidRPr="005A0F99" w:rsidRDefault="00EE1450"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quince (15) de diciembre de dos mil veintidós mediante el cual realizó la aclaración en los siguientes términos:</w:t>
      </w:r>
    </w:p>
    <w:p w14:paraId="0A72C500" w14:textId="77777777" w:rsidR="00EE1450" w:rsidRPr="005A0F99" w:rsidRDefault="00EE1450" w:rsidP="00EE1450">
      <w:pPr>
        <w:pStyle w:val="Prrafodelista"/>
        <w:spacing w:line="360" w:lineRule="auto"/>
        <w:ind w:left="0"/>
        <w:jc w:val="both"/>
        <w:rPr>
          <w:rFonts w:ascii="Palatino Linotype" w:hAnsi="Palatino Linotype" w:cs="Arial"/>
          <w:color w:val="000000" w:themeColor="text1"/>
        </w:rPr>
      </w:pPr>
    </w:p>
    <w:p w14:paraId="4EB0924F" w14:textId="644D7447" w:rsidR="00EE1450" w:rsidRPr="005A0F99" w:rsidRDefault="00EE1450" w:rsidP="00EE1450">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QUÉ HAY QUE ACLARAR? O SOLO ES PARA QUE PASE EL TIEMPO ESPERANDO QUE NUNCA SE ACLARE Y SE CONCLUYA LA SOLICITUD?</w:t>
      </w:r>
    </w:p>
    <w:p w14:paraId="5217AF1D" w14:textId="77777777" w:rsidR="00EE1450" w:rsidRPr="005A0F99" w:rsidRDefault="00EE1450" w:rsidP="00EE1450">
      <w:pPr>
        <w:pStyle w:val="Prrafodelista"/>
        <w:spacing w:line="360" w:lineRule="auto"/>
        <w:ind w:left="0"/>
        <w:jc w:val="both"/>
        <w:rPr>
          <w:rFonts w:ascii="Palatino Linotype" w:hAnsi="Palatino Linotype" w:cs="Arial"/>
          <w:color w:val="000000" w:themeColor="text1"/>
        </w:rPr>
      </w:pPr>
    </w:p>
    <w:p w14:paraId="0D7007DA" w14:textId="35FC6299"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El Sujeto Obligado, el </w:t>
      </w:r>
      <w:r w:rsidR="00EE1450" w:rsidRPr="005A0F99">
        <w:rPr>
          <w:rFonts w:ascii="Palatino Linotype" w:hAnsi="Palatino Linotype" w:cs="Arial"/>
          <w:color w:val="000000" w:themeColor="text1"/>
        </w:rPr>
        <w:t>veintitrés</w:t>
      </w:r>
      <w:r w:rsidRPr="005A0F99">
        <w:rPr>
          <w:rFonts w:ascii="Palatino Linotype" w:hAnsi="Palatino Linotype" w:cs="Arial"/>
          <w:color w:val="000000" w:themeColor="text1"/>
        </w:rPr>
        <w:t xml:space="preserve"> (</w:t>
      </w:r>
      <w:r w:rsidR="00EE1450" w:rsidRPr="005A0F99">
        <w:rPr>
          <w:rFonts w:ascii="Palatino Linotype" w:hAnsi="Palatino Linotype" w:cs="Arial"/>
          <w:color w:val="000000" w:themeColor="text1"/>
        </w:rPr>
        <w:t>23</w:t>
      </w:r>
      <w:r w:rsidRPr="005A0F99">
        <w:rPr>
          <w:rFonts w:ascii="Palatino Linotype" w:hAnsi="Palatino Linotype" w:cs="Arial"/>
          <w:color w:val="000000" w:themeColor="text1"/>
        </w:rPr>
        <w:t xml:space="preserve">) de </w:t>
      </w:r>
      <w:r w:rsidR="00EE1450" w:rsidRPr="005A0F99">
        <w:rPr>
          <w:rFonts w:ascii="Palatino Linotype" w:hAnsi="Palatino Linotype" w:cs="Arial"/>
          <w:color w:val="000000" w:themeColor="text1"/>
        </w:rPr>
        <w:t>enero</w:t>
      </w:r>
      <w:r w:rsidRPr="005A0F99">
        <w:rPr>
          <w:rFonts w:ascii="Palatino Linotype" w:hAnsi="Palatino Linotype" w:cs="Arial"/>
          <w:color w:val="000000" w:themeColor="text1"/>
        </w:rPr>
        <w:t xml:space="preserve"> de dos mil veinti</w:t>
      </w:r>
      <w:r w:rsidR="00EE1450" w:rsidRPr="005A0F99">
        <w:rPr>
          <w:rFonts w:ascii="Palatino Linotype" w:hAnsi="Palatino Linotype" w:cs="Arial"/>
          <w:color w:val="000000" w:themeColor="text1"/>
        </w:rPr>
        <w:t>trés</w:t>
      </w:r>
      <w:r w:rsidRPr="005A0F99">
        <w:rPr>
          <w:rFonts w:ascii="Palatino Linotype" w:hAnsi="Palatino Linotype" w:cs="Arial"/>
          <w:color w:val="000000" w:themeColor="text1"/>
        </w:rPr>
        <w:t>,  dio respuesta a las solicitudes de acceso a la información pública en los siguientes términos:</w:t>
      </w:r>
    </w:p>
    <w:p w14:paraId="72806E2B" w14:textId="77777777" w:rsidR="00E74B41" w:rsidRPr="005A0F99" w:rsidRDefault="00E74B41" w:rsidP="00E74B41">
      <w:pPr>
        <w:pStyle w:val="Prrafodelista"/>
        <w:ind w:left="0"/>
        <w:rPr>
          <w:rFonts w:ascii="Palatino Linotype" w:hAnsi="Palatino Linotype" w:cs="Arial"/>
          <w:color w:val="000000" w:themeColor="text1"/>
        </w:rPr>
      </w:pPr>
    </w:p>
    <w:tbl>
      <w:tblPr>
        <w:tblStyle w:val="Tablaconcuadrcula"/>
        <w:tblW w:w="8784" w:type="dxa"/>
        <w:tblLook w:val="04A0" w:firstRow="1" w:lastRow="0" w:firstColumn="1" w:lastColumn="0" w:noHBand="0" w:noVBand="1"/>
      </w:tblPr>
      <w:tblGrid>
        <w:gridCol w:w="2689"/>
        <w:gridCol w:w="2693"/>
        <w:gridCol w:w="3402"/>
      </w:tblGrid>
      <w:tr w:rsidR="00E74B41" w:rsidRPr="005A0F99" w14:paraId="1073506D" w14:textId="77777777" w:rsidTr="003F2810">
        <w:tc>
          <w:tcPr>
            <w:tcW w:w="2689" w:type="dxa"/>
          </w:tcPr>
          <w:p w14:paraId="3A7AA24C" w14:textId="324B411B" w:rsidR="00E74B41" w:rsidRPr="005A0F99" w:rsidRDefault="003F2810" w:rsidP="00E74B41">
            <w:pPr>
              <w:rPr>
                <w:rFonts w:ascii="Palatino Linotype" w:hAnsi="Palatino Linotype" w:cs="Arial"/>
                <w:b/>
                <w:sz w:val="20"/>
                <w:szCs w:val="20"/>
              </w:rPr>
            </w:pPr>
            <w:r w:rsidRPr="005A0F99">
              <w:rPr>
                <w:rFonts w:ascii="Palatino Linotype" w:hAnsi="Palatino Linotype" w:cs="Arial"/>
                <w:b/>
                <w:sz w:val="20"/>
                <w:szCs w:val="20"/>
              </w:rPr>
              <w:t>01430/ZINACANT/IP/2022</w:t>
            </w:r>
          </w:p>
        </w:tc>
        <w:tc>
          <w:tcPr>
            <w:tcW w:w="2693" w:type="dxa"/>
          </w:tcPr>
          <w:p w14:paraId="0DB10625" w14:textId="7EA0EDC9" w:rsidR="00E74B41" w:rsidRPr="005A0F99" w:rsidRDefault="003F2810" w:rsidP="00E74B41">
            <w:pPr>
              <w:rPr>
                <w:rFonts w:ascii="Palatino Linotype" w:hAnsi="Palatino Linotype" w:cs="Arial"/>
                <w:b/>
                <w:sz w:val="20"/>
                <w:szCs w:val="20"/>
                <w:shd w:val="clear" w:color="auto" w:fill="FFFFFF"/>
              </w:rPr>
            </w:pPr>
            <w:r w:rsidRPr="005A0F99">
              <w:rPr>
                <w:rFonts w:ascii="Palatino Linotype" w:eastAsia="Calibri" w:hAnsi="Palatino Linotype" w:cs="Arial"/>
                <w:b/>
                <w:sz w:val="20"/>
                <w:szCs w:val="20"/>
                <w:lang w:val="es-ES"/>
              </w:rPr>
              <w:t>00388</w:t>
            </w:r>
            <w:r w:rsidRPr="005A0F99">
              <w:rPr>
                <w:rFonts w:ascii="Palatino Linotype" w:hAnsi="Palatino Linotype"/>
                <w:b/>
                <w:sz w:val="20"/>
                <w:szCs w:val="20"/>
              </w:rPr>
              <w:t>/INFOEM/IP/RR/2023</w:t>
            </w:r>
          </w:p>
        </w:tc>
        <w:tc>
          <w:tcPr>
            <w:tcW w:w="3402" w:type="dxa"/>
          </w:tcPr>
          <w:p w14:paraId="5B456652" w14:textId="61CB9CB9" w:rsidR="00E74B41" w:rsidRPr="005A0F99" w:rsidRDefault="00EE1450" w:rsidP="00EE1450">
            <w:pPr>
              <w:pStyle w:val="Prrafodelista"/>
              <w:ind w:left="0"/>
              <w:jc w:val="both"/>
              <w:rPr>
                <w:rFonts w:ascii="Palatino Linotype" w:hAnsi="Palatino Linotype" w:cs="Arial"/>
                <w:sz w:val="18"/>
                <w:szCs w:val="18"/>
                <w:shd w:val="clear" w:color="auto" w:fill="FFFFFF"/>
              </w:rPr>
            </w:pPr>
            <w:r w:rsidRPr="005A0F99">
              <w:rPr>
                <w:rFonts w:ascii="Palatino Linotype" w:hAnsi="Palatino Linotype" w:cs="Arial"/>
                <w:sz w:val="18"/>
                <w:szCs w:val="18"/>
                <w:shd w:val="clear" w:color="auto" w:fill="FFFFFF"/>
              </w:rPr>
              <w:t>Refiere que los requerimientos del particular corresponden a un derecho de petición.</w:t>
            </w:r>
          </w:p>
        </w:tc>
      </w:tr>
      <w:tr w:rsidR="00E74B41" w:rsidRPr="005A0F99" w14:paraId="28315ECD" w14:textId="77777777" w:rsidTr="003F2810">
        <w:tc>
          <w:tcPr>
            <w:tcW w:w="2689" w:type="dxa"/>
          </w:tcPr>
          <w:p w14:paraId="32E12A02" w14:textId="1435F324" w:rsidR="00E74B41" w:rsidRPr="005A0F99" w:rsidRDefault="003F2810" w:rsidP="003F2810">
            <w:pPr>
              <w:rPr>
                <w:rFonts w:ascii="Palatino Linotype" w:hAnsi="Palatino Linotype" w:cs="Arial"/>
                <w:b/>
                <w:sz w:val="20"/>
                <w:szCs w:val="20"/>
                <w:shd w:val="clear" w:color="auto" w:fill="FFFFFF"/>
              </w:rPr>
            </w:pPr>
            <w:r w:rsidRPr="005A0F99">
              <w:rPr>
                <w:rFonts w:ascii="Palatino Linotype" w:hAnsi="Palatino Linotype" w:cs="Arial"/>
                <w:b/>
                <w:sz w:val="20"/>
                <w:szCs w:val="20"/>
              </w:rPr>
              <w:t>01429/ZINACANT/IP/2022</w:t>
            </w:r>
            <w:r w:rsidR="00E74B41" w:rsidRPr="005A0F99">
              <w:rPr>
                <w:rFonts w:ascii="Palatino Linotype" w:hAnsi="Palatino Linotype" w:cs="Arial"/>
                <w:b/>
                <w:sz w:val="20"/>
                <w:szCs w:val="20"/>
              </w:rPr>
              <w:t xml:space="preserve"> </w:t>
            </w:r>
          </w:p>
        </w:tc>
        <w:tc>
          <w:tcPr>
            <w:tcW w:w="2693" w:type="dxa"/>
          </w:tcPr>
          <w:p w14:paraId="0315625A" w14:textId="47FB1CDB" w:rsidR="00E74B41" w:rsidRPr="005A0F99" w:rsidRDefault="003F2810" w:rsidP="00E74B41">
            <w:pPr>
              <w:rPr>
                <w:rFonts w:ascii="Palatino Linotype" w:hAnsi="Palatino Linotype" w:cs="Arial"/>
                <w:b/>
                <w:sz w:val="20"/>
                <w:szCs w:val="20"/>
                <w:shd w:val="clear" w:color="auto" w:fill="FFFFFF"/>
              </w:rPr>
            </w:pPr>
            <w:r w:rsidRPr="005A0F99">
              <w:rPr>
                <w:rFonts w:ascii="Palatino Linotype" w:hAnsi="Palatino Linotype"/>
                <w:b/>
                <w:sz w:val="20"/>
                <w:szCs w:val="20"/>
              </w:rPr>
              <w:t>00389/INFOEM/IP/RR/2023</w:t>
            </w:r>
          </w:p>
        </w:tc>
        <w:tc>
          <w:tcPr>
            <w:tcW w:w="3402" w:type="dxa"/>
          </w:tcPr>
          <w:p w14:paraId="666ABF14" w14:textId="56F31739" w:rsidR="00E74B41" w:rsidRPr="005A0F99" w:rsidRDefault="00EE1450" w:rsidP="00EE1450">
            <w:pPr>
              <w:pStyle w:val="Prrafodelista"/>
              <w:ind w:left="0"/>
              <w:jc w:val="both"/>
              <w:rPr>
                <w:rFonts w:ascii="Palatino Linotype" w:hAnsi="Palatino Linotype" w:cs="Arial"/>
                <w:sz w:val="18"/>
                <w:szCs w:val="18"/>
                <w:shd w:val="clear" w:color="auto" w:fill="FFFFFF"/>
              </w:rPr>
            </w:pPr>
            <w:r w:rsidRPr="005A0F99">
              <w:rPr>
                <w:rFonts w:ascii="Palatino Linotype" w:hAnsi="Palatino Linotype" w:cs="Arial"/>
                <w:sz w:val="18"/>
                <w:szCs w:val="18"/>
                <w:shd w:val="clear" w:color="auto" w:fill="FFFFFF"/>
              </w:rPr>
              <w:t>Refiere que los requerimientos del particular corresponden a un derecho de petición.</w:t>
            </w:r>
          </w:p>
        </w:tc>
      </w:tr>
    </w:tbl>
    <w:p w14:paraId="700B09B6" w14:textId="77777777" w:rsidR="00E74B41" w:rsidRPr="005A0F99" w:rsidRDefault="00E74B41" w:rsidP="00E74B41">
      <w:pPr>
        <w:pStyle w:val="Prrafodelista"/>
        <w:spacing w:line="360" w:lineRule="auto"/>
        <w:ind w:left="0"/>
        <w:jc w:val="both"/>
        <w:rPr>
          <w:rFonts w:ascii="Palatino Linotype" w:hAnsi="Palatino Linotype" w:cs="Arial"/>
          <w:color w:val="000000" w:themeColor="text1"/>
        </w:rPr>
      </w:pPr>
    </w:p>
    <w:p w14:paraId="2FF8B134" w14:textId="77777777" w:rsidR="00E74B41" w:rsidRPr="005A0F99" w:rsidRDefault="00E74B41" w:rsidP="00E74B41">
      <w:pPr>
        <w:pStyle w:val="Prrafodelista"/>
        <w:ind w:left="0"/>
        <w:rPr>
          <w:rFonts w:ascii="Palatino Linotype" w:hAnsi="Palatino Linotype" w:cs="Arial"/>
          <w:color w:val="000000" w:themeColor="text1"/>
        </w:rPr>
      </w:pPr>
    </w:p>
    <w:p w14:paraId="2245C871" w14:textId="192C35E8" w:rsidR="00E74B41" w:rsidRPr="005A0F99" w:rsidRDefault="00436449"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veintitrés</w:t>
      </w:r>
      <w:r w:rsidR="00E74B41" w:rsidRPr="005A0F99">
        <w:rPr>
          <w:rFonts w:ascii="Palatino Linotype" w:hAnsi="Palatino Linotype" w:cs="Arial"/>
          <w:color w:val="000000" w:themeColor="text1"/>
        </w:rPr>
        <w:t xml:space="preserve"> (</w:t>
      </w:r>
      <w:r w:rsidRPr="005A0F99">
        <w:rPr>
          <w:rFonts w:ascii="Palatino Linotype" w:hAnsi="Palatino Linotype" w:cs="Arial"/>
          <w:color w:val="000000" w:themeColor="text1"/>
        </w:rPr>
        <w:t>23</w:t>
      </w:r>
      <w:r w:rsidR="00E74B41" w:rsidRPr="005A0F99">
        <w:rPr>
          <w:rFonts w:ascii="Palatino Linotype" w:hAnsi="Palatino Linotype" w:cs="Arial"/>
          <w:color w:val="000000" w:themeColor="text1"/>
        </w:rPr>
        <w:t xml:space="preserve">) de </w:t>
      </w:r>
      <w:r w:rsidRPr="005A0F99">
        <w:rPr>
          <w:rFonts w:ascii="Palatino Linotype" w:hAnsi="Palatino Linotype" w:cs="Arial"/>
          <w:color w:val="000000" w:themeColor="text1"/>
        </w:rPr>
        <w:t>enero</w:t>
      </w:r>
      <w:r w:rsidR="00E74B41" w:rsidRPr="005A0F99">
        <w:rPr>
          <w:rFonts w:ascii="Palatino Linotype" w:hAnsi="Palatino Linotype" w:cs="Arial"/>
          <w:color w:val="000000" w:themeColor="text1"/>
        </w:rPr>
        <w:t xml:space="preserve"> de dos mil veinti</w:t>
      </w:r>
      <w:r w:rsidR="006A0B97" w:rsidRPr="005A0F99">
        <w:rPr>
          <w:rFonts w:ascii="Palatino Linotype" w:hAnsi="Palatino Linotype" w:cs="Arial"/>
          <w:color w:val="000000" w:themeColor="text1"/>
        </w:rPr>
        <w:t>trés</w:t>
      </w:r>
      <w:r w:rsidR="00E74B41" w:rsidRPr="005A0F99">
        <w:rPr>
          <w:rFonts w:ascii="Palatino Linotype" w:hAnsi="Palatino Linotype" w:cs="Arial"/>
          <w:color w:val="000000" w:themeColor="text1"/>
        </w:rPr>
        <w:t>, EL RECURRENTE interpuso los recursos de revisión, en contra de las respuestas y, señaló, en todos y cada uno de los recursos como:</w:t>
      </w:r>
    </w:p>
    <w:p w14:paraId="7FB8FF24" w14:textId="393853B2" w:rsidR="00436449" w:rsidRPr="005A0F99" w:rsidRDefault="00436449" w:rsidP="00436449">
      <w:pPr>
        <w:pStyle w:val="Prrafodelista"/>
        <w:numPr>
          <w:ilvl w:val="0"/>
          <w:numId w:val="38"/>
        </w:numPr>
        <w:spacing w:line="360" w:lineRule="auto"/>
        <w:jc w:val="both"/>
        <w:rPr>
          <w:rFonts w:ascii="Palatino Linotype" w:hAnsi="Palatino Linotype"/>
          <w:bCs/>
          <w:i/>
          <w:iCs/>
          <w:sz w:val="22"/>
        </w:rPr>
      </w:pPr>
      <w:r w:rsidRPr="005A0F99">
        <w:rPr>
          <w:rFonts w:ascii="Palatino Linotype" w:hAnsi="Palatino Linotype"/>
          <w:b/>
          <w:sz w:val="22"/>
        </w:rPr>
        <w:t xml:space="preserve">Acto impugnado: </w:t>
      </w:r>
      <w:r w:rsidRPr="005A0F99">
        <w:rPr>
          <w:rFonts w:ascii="Palatino Linotype" w:hAnsi="Palatino Linotype"/>
          <w:bCs/>
          <w:i/>
          <w:iCs/>
          <w:sz w:val="22"/>
        </w:rPr>
        <w:t>“</w:t>
      </w:r>
      <w:r w:rsidRPr="005A0F99">
        <w:rPr>
          <w:rFonts w:ascii="Palatino Linotype" w:eastAsia="Calibri" w:hAnsi="Palatino Linotype" w:cs="Tahoma"/>
          <w:i/>
          <w:sz w:val="22"/>
          <w:szCs w:val="22"/>
          <w:lang w:eastAsia="en-US"/>
        </w:rPr>
        <w:t>No entregó información</w:t>
      </w:r>
      <w:r w:rsidRPr="005A0F99">
        <w:rPr>
          <w:rFonts w:ascii="Palatino Linotype" w:hAnsi="Palatino Linotype"/>
          <w:bCs/>
          <w:i/>
          <w:iCs/>
          <w:sz w:val="22"/>
        </w:rPr>
        <w:t>” (sic)</w:t>
      </w:r>
    </w:p>
    <w:p w14:paraId="7DD19BB1" w14:textId="5E051C29" w:rsidR="00E74B41" w:rsidRPr="005A0F99" w:rsidRDefault="00436449" w:rsidP="00436449">
      <w:pPr>
        <w:pStyle w:val="Prrafodelista"/>
        <w:numPr>
          <w:ilvl w:val="0"/>
          <w:numId w:val="38"/>
        </w:numPr>
        <w:spacing w:line="360" w:lineRule="auto"/>
        <w:jc w:val="both"/>
        <w:rPr>
          <w:rFonts w:ascii="Palatino Linotype" w:hAnsi="Palatino Linotype" w:cs="Arial"/>
          <w:color w:val="000000" w:themeColor="text1"/>
          <w:sz w:val="32"/>
        </w:rPr>
      </w:pPr>
      <w:r w:rsidRPr="005A0F99">
        <w:rPr>
          <w:rFonts w:ascii="Palatino Linotype" w:hAnsi="Palatino Linotype"/>
          <w:b/>
          <w:sz w:val="22"/>
        </w:rPr>
        <w:lastRenderedPageBreak/>
        <w:t>Motivos o razones de inconformidad: “</w:t>
      </w:r>
      <w:r w:rsidRPr="005A0F99">
        <w:rPr>
          <w:rFonts w:ascii="Palatino Linotype" w:hAnsi="Palatino Linotype"/>
          <w:i/>
          <w:sz w:val="22"/>
        </w:rPr>
        <w:t>No entregó información</w:t>
      </w:r>
      <w:r w:rsidRPr="005A0F99">
        <w:rPr>
          <w:rFonts w:ascii="Palatino Linotype" w:hAnsi="Palatino Linotype"/>
          <w:bCs/>
          <w:i/>
          <w:iCs/>
          <w:sz w:val="22"/>
        </w:rPr>
        <w:t>” (sic)</w:t>
      </w:r>
    </w:p>
    <w:p w14:paraId="6D4ED0B5" w14:textId="77777777" w:rsidR="00E74B41" w:rsidRPr="005A0F99" w:rsidRDefault="00E74B41" w:rsidP="00E74B41">
      <w:pPr>
        <w:spacing w:line="360" w:lineRule="auto"/>
        <w:jc w:val="both"/>
        <w:rPr>
          <w:rFonts w:ascii="Palatino Linotype" w:hAnsi="Palatino Linotype" w:cs="Arial"/>
          <w:color w:val="000000" w:themeColor="text1"/>
        </w:rPr>
      </w:pPr>
    </w:p>
    <w:p w14:paraId="03A98FE4" w14:textId="4FFC7DA4"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con el objeto de su análisis.</w:t>
      </w:r>
    </w:p>
    <w:p w14:paraId="1B01D31B" w14:textId="77777777" w:rsidR="00E74B41" w:rsidRPr="005A0F99" w:rsidRDefault="00E74B41" w:rsidP="00E74B41">
      <w:pPr>
        <w:spacing w:line="360" w:lineRule="auto"/>
        <w:jc w:val="both"/>
        <w:rPr>
          <w:rFonts w:ascii="Palatino Linotype" w:hAnsi="Palatino Linotype" w:cs="Arial"/>
          <w:color w:val="000000" w:themeColor="text1"/>
        </w:rPr>
      </w:pPr>
    </w:p>
    <w:p w14:paraId="300C6BE8" w14:textId="104264BA"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La Comisionada Ponente con fundamento en lo dispuesto por el artículo 185 fracción II de la ley de la materia, a través del acuerdo de admi</w:t>
      </w:r>
      <w:r w:rsidR="006A0B97" w:rsidRPr="005A0F99">
        <w:rPr>
          <w:rFonts w:ascii="Palatino Linotype" w:hAnsi="Palatino Linotype" w:cs="Arial"/>
          <w:color w:val="000000" w:themeColor="text1"/>
        </w:rPr>
        <w:t>sión de fecha veinticuatro (24)</w:t>
      </w:r>
      <w:r w:rsidRPr="005A0F99">
        <w:rPr>
          <w:rFonts w:ascii="Palatino Linotype" w:hAnsi="Palatino Linotype" w:cs="Arial"/>
          <w:color w:val="000000" w:themeColor="text1"/>
        </w:rPr>
        <w:t xml:space="preserve"> y </w:t>
      </w:r>
      <w:r w:rsidR="006A0B97" w:rsidRPr="005A0F99">
        <w:rPr>
          <w:rFonts w:ascii="Palatino Linotype" w:hAnsi="Palatino Linotype" w:cs="Arial"/>
          <w:color w:val="000000" w:themeColor="text1"/>
        </w:rPr>
        <w:t>veintiséis</w:t>
      </w:r>
      <w:r w:rsidRPr="005A0F99">
        <w:rPr>
          <w:rFonts w:ascii="Palatino Linotype" w:hAnsi="Palatino Linotype" w:cs="Arial"/>
          <w:color w:val="000000" w:themeColor="text1"/>
        </w:rPr>
        <w:t xml:space="preserve"> (</w:t>
      </w:r>
      <w:r w:rsidR="006A0B97" w:rsidRPr="005A0F99">
        <w:rPr>
          <w:rFonts w:ascii="Palatino Linotype" w:hAnsi="Palatino Linotype" w:cs="Arial"/>
          <w:color w:val="000000" w:themeColor="text1"/>
        </w:rPr>
        <w:t>26</w:t>
      </w:r>
      <w:r w:rsidRPr="005A0F99">
        <w:rPr>
          <w:rFonts w:ascii="Palatino Linotype" w:hAnsi="Palatino Linotype" w:cs="Arial"/>
          <w:color w:val="000000" w:themeColor="text1"/>
        </w:rPr>
        <w:t xml:space="preserve">) de </w:t>
      </w:r>
      <w:r w:rsidR="006A0B97" w:rsidRPr="005A0F99">
        <w:rPr>
          <w:rFonts w:ascii="Palatino Linotype" w:hAnsi="Palatino Linotype" w:cs="Arial"/>
          <w:color w:val="000000" w:themeColor="text1"/>
        </w:rPr>
        <w:t>enero</w:t>
      </w:r>
      <w:r w:rsidRPr="005A0F99">
        <w:rPr>
          <w:rFonts w:ascii="Palatino Linotype" w:hAnsi="Palatino Linotype" w:cs="Arial"/>
          <w:color w:val="000000" w:themeColor="text1"/>
        </w:rPr>
        <w:t xml:space="preserve"> dos mil veinti</w:t>
      </w:r>
      <w:r w:rsidR="006A0B97" w:rsidRPr="005A0F99">
        <w:rPr>
          <w:rFonts w:ascii="Palatino Linotype" w:hAnsi="Palatino Linotype" w:cs="Arial"/>
          <w:color w:val="000000" w:themeColor="text1"/>
        </w:rPr>
        <w:t>trés</w:t>
      </w:r>
      <w:r w:rsidRPr="005A0F99">
        <w:rPr>
          <w:rFonts w:ascii="Palatino Linotype" w:hAnsi="Palatino Linotype" w:cs="Arial"/>
          <w:color w:val="000000" w:themeColor="text1"/>
        </w:rPr>
        <w:t xml:space="preserve">, puso a disposición de las partes el expediente electrónico vía SAIMEX a efecto de que en un plazo máximo de siete días manifestaran lo que a derecho convinieran, ofrecieran pruebas y alegatos según corresponda al caso concreto, de esta forma para que el SUJETO OBLIGADO presentara el informe justificado procedente. </w:t>
      </w:r>
    </w:p>
    <w:p w14:paraId="6794667D" w14:textId="77777777" w:rsidR="00E74B41" w:rsidRPr="005A0F99" w:rsidRDefault="00E74B41" w:rsidP="00E74B41">
      <w:pPr>
        <w:spacing w:line="360" w:lineRule="auto"/>
        <w:jc w:val="both"/>
        <w:rPr>
          <w:rFonts w:ascii="Palatino Linotype" w:hAnsi="Palatino Linotype" w:cs="Arial"/>
          <w:color w:val="000000" w:themeColor="text1"/>
        </w:rPr>
      </w:pPr>
    </w:p>
    <w:p w14:paraId="1A50D219" w14:textId="70F6B5E1" w:rsidR="00E74B41" w:rsidRPr="005A0F99" w:rsidRDefault="00E74B41" w:rsidP="00D46D4B">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En la Cua</w:t>
      </w:r>
      <w:r w:rsidR="0041537B" w:rsidRPr="005A0F99">
        <w:rPr>
          <w:rFonts w:ascii="Palatino Linotype" w:hAnsi="Palatino Linotype" w:cs="Arial"/>
          <w:color w:val="000000" w:themeColor="text1"/>
        </w:rPr>
        <w:t>rta</w:t>
      </w:r>
      <w:r w:rsidRPr="005A0F99">
        <w:rPr>
          <w:rFonts w:ascii="Palatino Linotype" w:hAnsi="Palatino Linotype" w:cs="Arial"/>
          <w:color w:val="000000" w:themeColor="text1"/>
        </w:rPr>
        <w:t xml:space="preserve"> Sesión Ordinaria de fecha </w:t>
      </w:r>
      <w:r w:rsidR="0041537B" w:rsidRPr="005A0F99">
        <w:rPr>
          <w:rFonts w:ascii="Palatino Linotype" w:hAnsi="Palatino Linotype" w:cs="Arial"/>
          <w:color w:val="000000" w:themeColor="text1"/>
        </w:rPr>
        <w:t>uno</w:t>
      </w:r>
      <w:r w:rsidRPr="005A0F99">
        <w:rPr>
          <w:rFonts w:ascii="Palatino Linotype" w:hAnsi="Palatino Linotype" w:cs="Arial"/>
          <w:color w:val="000000" w:themeColor="text1"/>
        </w:rPr>
        <w:t xml:space="preserve"> (</w:t>
      </w:r>
      <w:r w:rsidR="0041537B" w:rsidRPr="005A0F99">
        <w:rPr>
          <w:rFonts w:ascii="Palatino Linotype" w:hAnsi="Palatino Linotype" w:cs="Arial"/>
          <w:color w:val="000000" w:themeColor="text1"/>
        </w:rPr>
        <w:t>1</w:t>
      </w:r>
      <w:r w:rsidRPr="005A0F99">
        <w:rPr>
          <w:rFonts w:ascii="Palatino Linotype" w:hAnsi="Palatino Linotype" w:cs="Arial"/>
          <w:color w:val="000000" w:themeColor="text1"/>
        </w:rPr>
        <w:t xml:space="preserve">) de </w:t>
      </w:r>
      <w:r w:rsidR="0041537B" w:rsidRPr="005A0F99">
        <w:rPr>
          <w:rFonts w:ascii="Palatino Linotype" w:hAnsi="Palatino Linotype" w:cs="Arial"/>
          <w:color w:val="000000" w:themeColor="text1"/>
        </w:rPr>
        <w:t>febrero</w:t>
      </w:r>
      <w:r w:rsidRPr="005A0F99">
        <w:rPr>
          <w:rFonts w:ascii="Palatino Linotype" w:hAnsi="Palatino Linotype" w:cs="Arial"/>
          <w:color w:val="000000" w:themeColor="text1"/>
        </w:rPr>
        <w:t xml:space="preserve"> de dos mil veinti</w:t>
      </w:r>
      <w:r w:rsidR="0041537B" w:rsidRPr="005A0F99">
        <w:rPr>
          <w:rFonts w:ascii="Palatino Linotype" w:hAnsi="Palatino Linotype" w:cs="Arial"/>
          <w:color w:val="000000" w:themeColor="text1"/>
        </w:rPr>
        <w:t>trés</w:t>
      </w:r>
      <w:r w:rsidRPr="005A0F99">
        <w:rPr>
          <w:rFonts w:ascii="Palatino Linotype" w:hAnsi="Palatino Linotype" w:cs="Arial"/>
          <w:color w:val="000000" w:themeColor="text1"/>
        </w:rPr>
        <w:t>,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 , que señala:</w:t>
      </w:r>
    </w:p>
    <w:p w14:paraId="27DAC23C" w14:textId="77777777" w:rsidR="00E74B41" w:rsidRPr="005A0F99"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lastRenderedPageBreak/>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5A0F99"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w:t>
      </w:r>
    </w:p>
    <w:p w14:paraId="3887DC92" w14:textId="77777777" w:rsidR="00E74B41" w:rsidRPr="005A0F99"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5A0F99"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w:t>
      </w:r>
    </w:p>
    <w:p w14:paraId="68B08871" w14:textId="77777777" w:rsidR="00E74B41" w:rsidRPr="005A0F99"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5A0F99" w:rsidRDefault="00E74B41" w:rsidP="00E74B41">
      <w:pPr>
        <w:spacing w:line="360" w:lineRule="auto"/>
        <w:jc w:val="both"/>
        <w:rPr>
          <w:rFonts w:ascii="Palatino Linotype" w:hAnsi="Palatino Linotype" w:cs="Arial"/>
          <w:color w:val="000000" w:themeColor="text1"/>
        </w:rPr>
      </w:pPr>
    </w:p>
    <w:p w14:paraId="5F2F8620" w14:textId="77777777" w:rsidR="00E74B41" w:rsidRPr="005A0F99"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5A0F99">
        <w:rPr>
          <w:rFonts w:ascii="Palatino Linotype" w:hAnsi="Palatino Linotype" w:cs="Arial"/>
          <w:b/>
          <w:i/>
          <w:color w:val="000000" w:themeColor="text1"/>
          <w:sz w:val="22"/>
        </w:rPr>
        <w:t>Código de Procedimientos Administrativos del Estado de México</w:t>
      </w:r>
    </w:p>
    <w:p w14:paraId="3D395CFB" w14:textId="77777777" w:rsidR="00E74B41" w:rsidRPr="005A0F99"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B0DD7A" w14:textId="77777777" w:rsidR="00E74B41" w:rsidRPr="005A0F99" w:rsidRDefault="00E74B41" w:rsidP="00E74B41">
      <w:pPr>
        <w:spacing w:line="360" w:lineRule="auto"/>
        <w:ind w:left="567" w:right="616"/>
        <w:jc w:val="both"/>
        <w:rPr>
          <w:rFonts w:ascii="Palatino Linotype" w:hAnsi="Palatino Linotype" w:cs="Arial"/>
          <w:i/>
          <w:color w:val="000000" w:themeColor="text1"/>
          <w:sz w:val="22"/>
        </w:rPr>
      </w:pPr>
    </w:p>
    <w:p w14:paraId="082D786D" w14:textId="77777777" w:rsidR="00E74B41" w:rsidRPr="005A0F99"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5A0F99">
        <w:rPr>
          <w:rFonts w:ascii="Palatino Linotype" w:hAnsi="Palatino Linotype" w:cs="Arial"/>
          <w:b/>
          <w:i/>
          <w:color w:val="000000" w:themeColor="text1"/>
          <w:sz w:val="22"/>
        </w:rPr>
        <w:lastRenderedPageBreak/>
        <w:t xml:space="preserve">Ley de Transparencia y Acceso a la Información Pública del Estado de México y Municipios </w:t>
      </w:r>
    </w:p>
    <w:p w14:paraId="53719EAD" w14:textId="77777777" w:rsidR="00E74B41" w:rsidRPr="005A0F99"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5A0F99"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(Énfasis añadido)</w:t>
      </w:r>
    </w:p>
    <w:p w14:paraId="6AC6908F" w14:textId="77777777" w:rsidR="00E74B41" w:rsidRPr="005A0F99" w:rsidRDefault="00E74B41" w:rsidP="00E74B41">
      <w:pPr>
        <w:pStyle w:val="Prrafodelista"/>
        <w:spacing w:line="360" w:lineRule="auto"/>
        <w:ind w:left="0"/>
        <w:jc w:val="both"/>
        <w:rPr>
          <w:rFonts w:ascii="Palatino Linotype" w:hAnsi="Palatino Linotype" w:cs="Arial"/>
          <w:color w:val="000000" w:themeColor="text1"/>
        </w:rPr>
      </w:pPr>
    </w:p>
    <w:p w14:paraId="0156CF4B" w14:textId="43AC7B43"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El SUJETO OBLIGADO en los recursos de revisión </w:t>
      </w:r>
      <w:r w:rsidR="003F2810" w:rsidRPr="005A0F99">
        <w:rPr>
          <w:rFonts w:ascii="Palatino Linotype" w:hAnsi="Palatino Linotype"/>
          <w:b/>
        </w:rPr>
        <w:t>0038</w:t>
      </w:r>
      <w:r w:rsidR="0041537B" w:rsidRPr="005A0F99">
        <w:rPr>
          <w:rFonts w:ascii="Palatino Linotype" w:hAnsi="Palatino Linotype"/>
          <w:b/>
        </w:rPr>
        <w:t>8</w:t>
      </w:r>
      <w:r w:rsidR="003F2810" w:rsidRPr="005A0F99">
        <w:rPr>
          <w:rFonts w:ascii="Palatino Linotype" w:hAnsi="Palatino Linotype"/>
          <w:b/>
        </w:rPr>
        <w:t>/INFOEM/IP/RR/2023</w:t>
      </w:r>
      <w:r w:rsidRPr="005A0F99">
        <w:rPr>
          <w:rFonts w:ascii="Palatino Linotype" w:hAnsi="Palatino Linotype" w:cs="Arial"/>
          <w:b/>
          <w:color w:val="000000" w:themeColor="text1"/>
        </w:rPr>
        <w:t xml:space="preserve"> y </w:t>
      </w:r>
      <w:r w:rsidR="0041537B" w:rsidRPr="005A0F99">
        <w:rPr>
          <w:rFonts w:ascii="Palatino Linotype" w:hAnsi="Palatino Linotype" w:cs="Arial"/>
          <w:b/>
          <w:color w:val="000000" w:themeColor="text1"/>
        </w:rPr>
        <w:t>00389</w:t>
      </w:r>
      <w:r w:rsidRPr="005A0F99">
        <w:rPr>
          <w:rFonts w:ascii="Palatino Linotype" w:hAnsi="Palatino Linotype" w:cs="Arial"/>
          <w:b/>
          <w:color w:val="000000" w:themeColor="text1"/>
        </w:rPr>
        <w:t>/INFOEM/IP/RR/202</w:t>
      </w:r>
      <w:r w:rsidR="0041537B" w:rsidRPr="005A0F99">
        <w:rPr>
          <w:rFonts w:ascii="Palatino Linotype" w:hAnsi="Palatino Linotype" w:cs="Arial"/>
          <w:b/>
          <w:color w:val="000000" w:themeColor="text1"/>
        </w:rPr>
        <w:t>3</w:t>
      </w:r>
      <w:r w:rsidR="00D46D4B" w:rsidRPr="005A0F99">
        <w:rPr>
          <w:rFonts w:ascii="Palatino Linotype" w:hAnsi="Palatino Linotype" w:cs="Arial"/>
          <w:b/>
          <w:color w:val="000000" w:themeColor="text1"/>
        </w:rPr>
        <w:t>,</w:t>
      </w:r>
      <w:r w:rsidRPr="005A0F99">
        <w:rPr>
          <w:rFonts w:ascii="Palatino Linotype" w:hAnsi="Palatino Linotype" w:cs="Arial"/>
          <w:color w:val="000000" w:themeColor="text1"/>
        </w:rPr>
        <w:t xml:space="preserve"> rindió su informe justificado el </w:t>
      </w:r>
      <w:r w:rsidR="0041537B" w:rsidRPr="005A0F99">
        <w:rPr>
          <w:rFonts w:ascii="Palatino Linotype" w:hAnsi="Palatino Linotype" w:cs="Arial"/>
          <w:color w:val="000000" w:themeColor="text1"/>
        </w:rPr>
        <w:t>tres</w:t>
      </w:r>
      <w:r w:rsidRPr="005A0F99">
        <w:rPr>
          <w:rFonts w:ascii="Palatino Linotype" w:hAnsi="Palatino Linotype" w:cs="Arial"/>
          <w:color w:val="000000" w:themeColor="text1"/>
        </w:rPr>
        <w:t xml:space="preserve"> (</w:t>
      </w:r>
      <w:r w:rsidR="0041537B" w:rsidRPr="005A0F99">
        <w:rPr>
          <w:rFonts w:ascii="Palatino Linotype" w:hAnsi="Palatino Linotype" w:cs="Arial"/>
          <w:color w:val="000000" w:themeColor="text1"/>
        </w:rPr>
        <w:t>3</w:t>
      </w:r>
      <w:r w:rsidRPr="005A0F99">
        <w:rPr>
          <w:rFonts w:ascii="Palatino Linotype" w:hAnsi="Palatino Linotype" w:cs="Arial"/>
          <w:color w:val="000000" w:themeColor="text1"/>
        </w:rPr>
        <w:t xml:space="preserve">) de </w:t>
      </w:r>
      <w:r w:rsidR="0041537B" w:rsidRPr="005A0F99">
        <w:rPr>
          <w:rFonts w:ascii="Palatino Linotype" w:hAnsi="Palatino Linotype" w:cs="Arial"/>
          <w:color w:val="000000" w:themeColor="text1"/>
        </w:rPr>
        <w:t>abril</w:t>
      </w:r>
      <w:r w:rsidRPr="005A0F99">
        <w:rPr>
          <w:rFonts w:ascii="Palatino Linotype" w:hAnsi="Palatino Linotype" w:cs="Arial"/>
          <w:color w:val="000000" w:themeColor="text1"/>
        </w:rPr>
        <w:t xml:space="preserve"> de dos mil veinti</w:t>
      </w:r>
      <w:r w:rsidR="0041537B" w:rsidRPr="005A0F99">
        <w:rPr>
          <w:rFonts w:ascii="Palatino Linotype" w:hAnsi="Palatino Linotype" w:cs="Arial"/>
          <w:color w:val="000000" w:themeColor="text1"/>
        </w:rPr>
        <w:t>trés</w:t>
      </w:r>
      <w:r w:rsidRPr="005A0F99">
        <w:rPr>
          <w:rFonts w:ascii="Palatino Linotype" w:hAnsi="Palatino Linotype" w:cs="Arial"/>
          <w:color w:val="000000" w:themeColor="text1"/>
        </w:rPr>
        <w:t xml:space="preserve">, los cuales se pusieron a la vista del particular el </w:t>
      </w:r>
      <w:r w:rsidR="0041537B" w:rsidRPr="005A0F99">
        <w:rPr>
          <w:rFonts w:ascii="Palatino Linotype" w:hAnsi="Palatino Linotype" w:cs="Arial"/>
          <w:color w:val="000000" w:themeColor="text1"/>
        </w:rPr>
        <w:t>once</w:t>
      </w:r>
      <w:r w:rsidRPr="005A0F99">
        <w:rPr>
          <w:rFonts w:ascii="Palatino Linotype" w:hAnsi="Palatino Linotype" w:cs="Arial"/>
          <w:color w:val="000000" w:themeColor="text1"/>
        </w:rPr>
        <w:t xml:space="preserve"> (</w:t>
      </w:r>
      <w:r w:rsidR="0041537B" w:rsidRPr="005A0F99">
        <w:rPr>
          <w:rFonts w:ascii="Palatino Linotype" w:hAnsi="Palatino Linotype" w:cs="Arial"/>
          <w:color w:val="000000" w:themeColor="text1"/>
        </w:rPr>
        <w:t>11</w:t>
      </w:r>
      <w:r w:rsidRPr="005A0F99">
        <w:rPr>
          <w:rFonts w:ascii="Palatino Linotype" w:hAnsi="Palatino Linotype" w:cs="Arial"/>
          <w:color w:val="000000" w:themeColor="text1"/>
        </w:rPr>
        <w:t xml:space="preserve">) de </w:t>
      </w:r>
      <w:r w:rsidR="0041537B" w:rsidRPr="005A0F99">
        <w:rPr>
          <w:rFonts w:ascii="Palatino Linotype" w:hAnsi="Palatino Linotype" w:cs="Arial"/>
          <w:color w:val="000000" w:themeColor="text1"/>
        </w:rPr>
        <w:t>mayo</w:t>
      </w:r>
      <w:r w:rsidRPr="005A0F99">
        <w:rPr>
          <w:rFonts w:ascii="Palatino Linotype" w:hAnsi="Palatino Linotype" w:cs="Arial"/>
          <w:color w:val="000000" w:themeColor="text1"/>
        </w:rPr>
        <w:t xml:space="preserve"> de dos mil veintitrés; sin embargo, se describe su contenido medular, siendo el siguiente:</w:t>
      </w:r>
    </w:p>
    <w:p w14:paraId="6ABC0831" w14:textId="77777777" w:rsidR="00E74B41" w:rsidRPr="005A0F99" w:rsidRDefault="00E74B41" w:rsidP="00E74B41">
      <w:pPr>
        <w:pStyle w:val="Prrafodelista"/>
        <w:spacing w:line="360" w:lineRule="auto"/>
        <w:ind w:left="0"/>
        <w:jc w:val="both"/>
        <w:rPr>
          <w:rFonts w:ascii="Palatino Linotype" w:hAnsi="Palatino Linotype" w:cs="Arial"/>
          <w:color w:val="000000" w:themeColor="text1"/>
        </w:rPr>
      </w:pPr>
    </w:p>
    <w:p w14:paraId="3B2D9D92" w14:textId="74E40FC6" w:rsidR="0041537B" w:rsidRPr="005A0F99" w:rsidRDefault="0041537B" w:rsidP="0041537B">
      <w:pPr>
        <w:pStyle w:val="Prrafodelista"/>
        <w:numPr>
          <w:ilvl w:val="0"/>
          <w:numId w:val="35"/>
        </w:numPr>
        <w:spacing w:line="360" w:lineRule="auto"/>
        <w:jc w:val="both"/>
        <w:rPr>
          <w:rFonts w:ascii="Palatino Linotype" w:hAnsi="Palatino Linotype" w:cs="Arial"/>
          <w:b/>
          <w:color w:val="000000" w:themeColor="text1"/>
        </w:rPr>
      </w:pPr>
      <w:r w:rsidRPr="005A0F99">
        <w:rPr>
          <w:rFonts w:ascii="Palatino Linotype" w:hAnsi="Palatino Linotype" w:cs="Arial"/>
          <w:b/>
          <w:color w:val="000000" w:themeColor="text1"/>
        </w:rPr>
        <w:t xml:space="preserve">Zinacantepec 158.pdf: </w:t>
      </w:r>
      <w:r w:rsidRPr="005A0F99">
        <w:rPr>
          <w:rFonts w:ascii="Palatino Linotype" w:hAnsi="Palatino Linotype" w:cs="Arial"/>
          <w:color w:val="000000" w:themeColor="text1"/>
        </w:rPr>
        <w:t>Oficio ZIN/UT/00554/2023 suscrito por el Titular de la Unidad de Transparencia mediante el cual se solicita una ampliación de plazo para dar respuesta a la solicitud.</w:t>
      </w:r>
    </w:p>
    <w:p w14:paraId="6C3E0C79" w14:textId="11F2840F" w:rsidR="0041537B" w:rsidRPr="005A0F99" w:rsidRDefault="0041537B" w:rsidP="0041537B">
      <w:pPr>
        <w:pStyle w:val="Prrafodelista"/>
        <w:numPr>
          <w:ilvl w:val="0"/>
          <w:numId w:val="35"/>
        </w:numPr>
        <w:spacing w:line="360" w:lineRule="auto"/>
        <w:jc w:val="both"/>
        <w:rPr>
          <w:rFonts w:ascii="Palatino Linotype" w:hAnsi="Palatino Linotype" w:cs="Arial"/>
          <w:b/>
          <w:color w:val="000000" w:themeColor="text1"/>
        </w:rPr>
      </w:pPr>
      <w:r w:rsidRPr="005A0F99">
        <w:rPr>
          <w:rFonts w:ascii="Palatino Linotype" w:hAnsi="Palatino Linotype" w:cs="Arial"/>
          <w:b/>
          <w:color w:val="000000" w:themeColor="text1"/>
        </w:rPr>
        <w:t xml:space="preserve">Zinacantepec 161.pdf: </w:t>
      </w:r>
      <w:r w:rsidRPr="005A0F99">
        <w:rPr>
          <w:rFonts w:ascii="Palatino Linotype" w:hAnsi="Palatino Linotype" w:cs="Arial"/>
          <w:color w:val="000000" w:themeColor="text1"/>
        </w:rPr>
        <w:t>Oficio ZIN/UT/00557/2023 suscrito por el Titular de la Unidad de Transparencia mediante el cual se solicita una ampliación de plazo para dar respuesta a la solicitud.</w:t>
      </w:r>
    </w:p>
    <w:p w14:paraId="50F9B634" w14:textId="1692E4C6" w:rsidR="00E74B41" w:rsidRPr="005A0F99" w:rsidRDefault="0041537B" w:rsidP="0041537B">
      <w:pPr>
        <w:pStyle w:val="Prrafodelista"/>
        <w:spacing w:line="360" w:lineRule="auto"/>
        <w:jc w:val="both"/>
        <w:rPr>
          <w:rFonts w:ascii="Palatino Linotype" w:hAnsi="Palatino Linotype" w:cs="Arial"/>
          <w:color w:val="000000" w:themeColor="text1"/>
        </w:rPr>
      </w:pPr>
      <w:r w:rsidRPr="005A0F99">
        <w:rPr>
          <w:rFonts w:ascii="Palatino Linotype" w:hAnsi="Palatino Linotype" w:cs="Arial"/>
          <w:color w:val="000000" w:themeColor="text1"/>
        </w:rPr>
        <w:t xml:space="preserve"> </w:t>
      </w:r>
    </w:p>
    <w:p w14:paraId="1E9A81CD" w14:textId="00783449" w:rsidR="005F0C43"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w:t>
      </w:r>
      <w:r w:rsidR="005F0C43" w:rsidRPr="005A0F99">
        <w:rPr>
          <w:rFonts w:ascii="Palatino Linotype" w:hAnsi="Palatino Linotype" w:cs="Arial"/>
          <w:color w:val="000000" w:themeColor="text1"/>
        </w:rPr>
        <w:t xml:space="preserve"> veinticinco (25) de mayo de dos mil veintitrés, la Comisionada Ponente notificó el acuerdo de ampliación de plazo para emitir resolución, por un periodo adicional de quince días hábiles.</w:t>
      </w:r>
      <w:r w:rsidRPr="005A0F99">
        <w:rPr>
          <w:rFonts w:ascii="Palatino Linotype" w:hAnsi="Palatino Linotype" w:cs="Arial"/>
          <w:color w:val="000000" w:themeColor="text1"/>
        </w:rPr>
        <w:t xml:space="preserve"> </w:t>
      </w:r>
    </w:p>
    <w:p w14:paraId="7949C947" w14:textId="2EC21BDE" w:rsidR="00E74B41" w:rsidRPr="005A0F99" w:rsidRDefault="00081169"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lastRenderedPageBreak/>
        <w:t>El tres</w:t>
      </w:r>
      <w:r w:rsidR="005F0C43" w:rsidRPr="005A0F99">
        <w:rPr>
          <w:rFonts w:ascii="Palatino Linotype" w:hAnsi="Palatino Linotype" w:cs="Arial"/>
          <w:color w:val="000000" w:themeColor="text1"/>
        </w:rPr>
        <w:t xml:space="preserve"> </w:t>
      </w:r>
      <w:r w:rsidR="00E74B41" w:rsidRPr="005A0F99">
        <w:rPr>
          <w:rFonts w:ascii="Palatino Linotype" w:hAnsi="Palatino Linotype" w:cs="Arial"/>
          <w:color w:val="000000" w:themeColor="text1"/>
        </w:rPr>
        <w:t>(</w:t>
      </w:r>
      <w:r w:rsidRPr="005A0F99">
        <w:rPr>
          <w:rFonts w:ascii="Palatino Linotype" w:hAnsi="Palatino Linotype" w:cs="Arial"/>
          <w:color w:val="000000" w:themeColor="text1"/>
        </w:rPr>
        <w:t>3</w:t>
      </w:r>
      <w:r w:rsidR="00E74B41" w:rsidRPr="005A0F99">
        <w:rPr>
          <w:rFonts w:ascii="Palatino Linotype" w:hAnsi="Palatino Linotype" w:cs="Arial"/>
          <w:color w:val="000000" w:themeColor="text1"/>
        </w:rPr>
        <w:t xml:space="preserve">) de </w:t>
      </w:r>
      <w:r w:rsidR="005F0C43" w:rsidRPr="005A0F99">
        <w:rPr>
          <w:rFonts w:ascii="Palatino Linotype" w:hAnsi="Palatino Linotype" w:cs="Arial"/>
          <w:color w:val="000000" w:themeColor="text1"/>
        </w:rPr>
        <w:t>agosto</w:t>
      </w:r>
      <w:r w:rsidR="00E74B41" w:rsidRPr="005A0F99">
        <w:rPr>
          <w:rFonts w:ascii="Palatino Linotype" w:hAnsi="Palatino Linotype" w:cs="Arial"/>
          <w:color w:val="000000" w:themeColor="text1"/>
        </w:rPr>
        <w:t xml:space="preserve"> de dos mil veintitrés, la Comisionada Ponente decretó el cierre de instrucción, por lo que turnó la presente resolución para su aprobación, asimismo, se notificó el acuerdo de acumulación de recursos de revisión.</w:t>
      </w:r>
    </w:p>
    <w:p w14:paraId="1EBB9751" w14:textId="77777777" w:rsidR="00E74B41" w:rsidRPr="005A0F99" w:rsidRDefault="00E74B41" w:rsidP="00E74B41">
      <w:pPr>
        <w:spacing w:line="360" w:lineRule="auto"/>
        <w:jc w:val="both"/>
        <w:rPr>
          <w:rFonts w:ascii="Palatino Linotype" w:hAnsi="Palatino Linotype" w:cs="Arial"/>
          <w:color w:val="000000" w:themeColor="text1"/>
        </w:rPr>
      </w:pPr>
    </w:p>
    <w:p w14:paraId="1DA8AEE8" w14:textId="60108470"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tres (3) de mayo de dos mil veintitrés se notificó el acuerdo de acumulación de recursos de revisión, asimismo, se notificó el acuerdo mediante el cual se amplió el plazo para emitir resolución, por un periodo adicional de quince días hábiles</w:t>
      </w:r>
    </w:p>
    <w:p w14:paraId="6B4AC1C3" w14:textId="77777777" w:rsidR="00E74B41" w:rsidRPr="005A0F99" w:rsidRDefault="00E74B41" w:rsidP="00E74B41">
      <w:pPr>
        <w:spacing w:line="360" w:lineRule="auto"/>
        <w:jc w:val="both"/>
        <w:rPr>
          <w:rFonts w:ascii="Palatino Linotype" w:hAnsi="Palatino Linotype" w:cs="Arial"/>
          <w:color w:val="000000" w:themeColor="text1"/>
        </w:rPr>
      </w:pPr>
    </w:p>
    <w:p w14:paraId="2DF83A9F" w14:textId="2262AFB5"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5A0F99" w:rsidRDefault="00E74B41" w:rsidP="00E74B41">
      <w:pPr>
        <w:spacing w:line="360" w:lineRule="auto"/>
        <w:jc w:val="both"/>
        <w:rPr>
          <w:rFonts w:ascii="Palatino Linotype" w:hAnsi="Palatino Linotype" w:cs="Arial"/>
          <w:color w:val="000000" w:themeColor="text1"/>
        </w:rPr>
      </w:pPr>
    </w:p>
    <w:p w14:paraId="05E2B667" w14:textId="1E849465"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5A0F99" w:rsidRDefault="00E74B41" w:rsidP="00E74B41">
      <w:pPr>
        <w:spacing w:line="360" w:lineRule="auto"/>
        <w:jc w:val="both"/>
        <w:rPr>
          <w:rFonts w:ascii="Palatino Linotype" w:hAnsi="Palatino Linotype" w:cs="Arial"/>
          <w:color w:val="000000" w:themeColor="text1"/>
        </w:rPr>
      </w:pPr>
    </w:p>
    <w:p w14:paraId="6AE961D4" w14:textId="2BEF898F"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5A0F99" w:rsidRDefault="00E74B41" w:rsidP="00E74B41">
      <w:pPr>
        <w:spacing w:line="360" w:lineRule="auto"/>
        <w:jc w:val="both"/>
        <w:rPr>
          <w:rFonts w:ascii="Palatino Linotype" w:hAnsi="Palatino Linotype" w:cs="Arial"/>
          <w:color w:val="000000" w:themeColor="text1"/>
        </w:rPr>
      </w:pPr>
    </w:p>
    <w:p w14:paraId="376EE9C5" w14:textId="3255AD7B"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5A0F99" w:rsidRDefault="00E74B41" w:rsidP="00E74B41">
      <w:pPr>
        <w:spacing w:line="360" w:lineRule="auto"/>
        <w:jc w:val="both"/>
        <w:rPr>
          <w:rFonts w:ascii="Palatino Linotype" w:hAnsi="Palatino Linotype" w:cs="Arial"/>
          <w:color w:val="000000" w:themeColor="text1"/>
        </w:rPr>
      </w:pPr>
    </w:p>
    <w:p w14:paraId="032AB628" w14:textId="62918094"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5A0F99" w:rsidRDefault="00E74B41" w:rsidP="00E74B41">
      <w:pPr>
        <w:spacing w:line="360" w:lineRule="auto"/>
        <w:jc w:val="both"/>
        <w:rPr>
          <w:rFonts w:ascii="Palatino Linotype" w:hAnsi="Palatino Linotype" w:cs="Arial"/>
          <w:color w:val="000000" w:themeColor="text1"/>
        </w:rPr>
      </w:pPr>
    </w:p>
    <w:p w14:paraId="03C669F3" w14:textId="69A15C07" w:rsidR="00E74B41" w:rsidRPr="005A0F99"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Complejidad del asunto: La complejidad de la prueba, la pluralidad de sujetos procesales, el tiempo transcurrido, las características y contexto del recurso.</w:t>
      </w:r>
    </w:p>
    <w:p w14:paraId="6DDB54BC" w14:textId="0964DBEB" w:rsidR="00E74B41" w:rsidRPr="005A0F99"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Actividad Procesal del interesado: Acciones u omisiones del interesado.</w:t>
      </w:r>
    </w:p>
    <w:p w14:paraId="124E98C0" w14:textId="20CFCAB3" w:rsidR="00E74B41" w:rsidRPr="005A0F99"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Conducta de la Autoridad: Las Acciones u omisiones realizadas en el procedimiento. Así como si la autoridad actuó con la debida diligencia.</w:t>
      </w:r>
    </w:p>
    <w:p w14:paraId="6C46B951" w14:textId="737CCCDA" w:rsidR="00E74B41" w:rsidRPr="005A0F99"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La afectación generada en la situación jurídica de la persona involucrada en el proceso: Violación a sus derechos humanos.</w:t>
      </w:r>
    </w:p>
    <w:p w14:paraId="704041C6" w14:textId="77777777" w:rsidR="00E74B41" w:rsidRPr="005A0F99" w:rsidRDefault="00E74B41" w:rsidP="00E74B41">
      <w:pPr>
        <w:spacing w:line="360" w:lineRule="auto"/>
        <w:jc w:val="both"/>
        <w:rPr>
          <w:rFonts w:ascii="Palatino Linotype" w:hAnsi="Palatino Linotype" w:cs="Arial"/>
          <w:color w:val="000000" w:themeColor="text1"/>
        </w:rPr>
      </w:pPr>
    </w:p>
    <w:p w14:paraId="6C2831C1" w14:textId="177D2854"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De modo que, cuando se trate de un asunto excepcional, por alguna o todas las características mencionadas o bien, cuando el ingreso de asuntos al órgano </w:t>
      </w:r>
      <w:r w:rsidRPr="005A0F99">
        <w:rPr>
          <w:rFonts w:ascii="Palatino Linotype" w:hAnsi="Palatino Linotype" w:cs="Arial"/>
          <w:color w:val="000000" w:themeColor="text1"/>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5A0F99" w:rsidRDefault="00E74B41" w:rsidP="00E74B41">
      <w:pPr>
        <w:spacing w:line="360" w:lineRule="auto"/>
        <w:jc w:val="both"/>
        <w:rPr>
          <w:rFonts w:ascii="Palatino Linotype" w:hAnsi="Palatino Linotype" w:cs="Arial"/>
          <w:color w:val="000000" w:themeColor="text1"/>
        </w:rPr>
      </w:pPr>
    </w:p>
    <w:p w14:paraId="5403E4A0" w14:textId="02D50CDD"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Argumento que encuentra sustento en la jurisprudencia P./J. 32/92 emitida por el Pleno de la Suprema Corte de Justicia de la Nación de rubro </w:t>
      </w:r>
      <w:r w:rsidRPr="005A0F99">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5A0F99">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5A0F99" w:rsidRDefault="00E74B41" w:rsidP="00E74B41">
      <w:pPr>
        <w:spacing w:line="360" w:lineRule="auto"/>
        <w:jc w:val="both"/>
        <w:rPr>
          <w:rFonts w:ascii="Palatino Linotype" w:hAnsi="Palatino Linotype" w:cs="Arial"/>
          <w:color w:val="000000" w:themeColor="text1"/>
        </w:rPr>
      </w:pPr>
    </w:p>
    <w:p w14:paraId="6570F06C" w14:textId="66F592C5"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C43E3F" w14:textId="77777777" w:rsidR="00E74B41" w:rsidRPr="005A0F99" w:rsidRDefault="00E74B41" w:rsidP="00E74B41">
      <w:pPr>
        <w:spacing w:line="360" w:lineRule="auto"/>
        <w:jc w:val="both"/>
        <w:rPr>
          <w:rFonts w:ascii="Palatino Linotype" w:hAnsi="Palatino Linotype" w:cs="Arial"/>
          <w:color w:val="000000" w:themeColor="text1"/>
        </w:rPr>
      </w:pPr>
    </w:p>
    <w:p w14:paraId="5B94B6A6" w14:textId="1FF8B2A2"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lastRenderedPageBreak/>
        <w:t>Al respecto, también son de considerar los criterios sostenidos por el Cuarto Tribunal Colegiado en Materia Administrativa del Primer Circuito, cuyos rubros y datos de identificación son los siguientes:</w:t>
      </w:r>
    </w:p>
    <w:p w14:paraId="732FEE3F" w14:textId="77777777" w:rsidR="00E74B41" w:rsidRPr="005A0F99" w:rsidRDefault="00E74B41" w:rsidP="00E74B41">
      <w:pPr>
        <w:spacing w:line="360" w:lineRule="auto"/>
        <w:jc w:val="both"/>
        <w:rPr>
          <w:rFonts w:ascii="Palatino Linotype" w:hAnsi="Palatino Linotype" w:cs="Arial"/>
          <w:color w:val="000000" w:themeColor="text1"/>
        </w:rPr>
      </w:pPr>
    </w:p>
    <w:p w14:paraId="10D3CEF7" w14:textId="77777777" w:rsidR="00E74B41" w:rsidRPr="005A0F99" w:rsidRDefault="00E74B41" w:rsidP="00E74B41">
      <w:pPr>
        <w:pStyle w:val="Prrafodelista"/>
        <w:spacing w:line="360" w:lineRule="auto"/>
        <w:ind w:left="284"/>
        <w:jc w:val="both"/>
        <w:rPr>
          <w:rFonts w:ascii="Palatino Linotype" w:hAnsi="Palatino Linotype" w:cs="Arial"/>
          <w:color w:val="000000" w:themeColor="text1"/>
        </w:rPr>
      </w:pPr>
      <w:r w:rsidRPr="005A0F99">
        <w:rPr>
          <w:rFonts w:ascii="Palatino Linotype" w:hAnsi="Palatino Linotype" w:cs="Arial"/>
          <w:color w:val="000000" w:themeColor="text1"/>
        </w:rPr>
        <w:t>“</w:t>
      </w:r>
      <w:r w:rsidRPr="005A0F99">
        <w:rPr>
          <w:rFonts w:ascii="Palatino Linotype" w:hAnsi="Palatino Linotype" w:cs="Arial"/>
          <w:b/>
          <w:color w:val="000000" w:themeColor="text1"/>
        </w:rPr>
        <w:t>PLAZO RAZONABLE PARA RESOLVER. DIMENSIÓN Y EFECTOS DE ESTE CONCEPTO CUANDO SE ADUCE EXCESIVA CARGA DE TRABAJO</w:t>
      </w:r>
      <w:r w:rsidRPr="005A0F99">
        <w:rPr>
          <w:rFonts w:ascii="Palatino Linotype" w:hAnsi="Palatino Linotype" w:cs="Arial"/>
          <w:color w:val="000000" w:themeColor="text1"/>
        </w:rPr>
        <w:t>.” consultable en el Seminario Judicial de la Federación y su gaceta, con el registro digital 2002351.</w:t>
      </w:r>
    </w:p>
    <w:p w14:paraId="28B798BF" w14:textId="77777777" w:rsidR="00E74B41" w:rsidRPr="005A0F99" w:rsidRDefault="00E74B41" w:rsidP="00E74B41">
      <w:pPr>
        <w:pStyle w:val="Prrafodelista"/>
        <w:spacing w:line="360" w:lineRule="auto"/>
        <w:ind w:left="284"/>
        <w:jc w:val="both"/>
        <w:rPr>
          <w:rFonts w:ascii="Palatino Linotype" w:hAnsi="Palatino Linotype" w:cs="Arial"/>
          <w:color w:val="000000" w:themeColor="text1"/>
        </w:rPr>
      </w:pPr>
      <w:r w:rsidRPr="005A0F99">
        <w:rPr>
          <w:rFonts w:ascii="Palatino Linotype" w:hAnsi="Palatino Linotype" w:cs="Arial"/>
          <w:color w:val="000000" w:themeColor="text1"/>
        </w:rPr>
        <w:t>“</w:t>
      </w:r>
      <w:r w:rsidRPr="005A0F99">
        <w:rPr>
          <w:rFonts w:ascii="Palatino Linotype" w:hAnsi="Palatino Linotype" w:cs="Arial"/>
          <w:b/>
          <w:color w:val="000000" w:themeColor="text1"/>
        </w:rPr>
        <w:t>PLAZO RAZONABLE PARA RESOLVER. CONCEPTO Y ELEMENTOS QUE LO INTEGRAN A LA LUZ DEL DERECHO INTERNACIONAL DE LOS DERECHOS HUMANOS.</w:t>
      </w:r>
      <w:r w:rsidRPr="005A0F99">
        <w:rPr>
          <w:rFonts w:ascii="Palatino Linotype" w:hAnsi="Palatino Linotype" w:cs="Arial"/>
          <w:color w:val="000000" w:themeColor="text1"/>
        </w:rPr>
        <w:t>”, visible en el Seminario Judicial de la Federación y su gaceta, con el registro digital 2002350.</w:t>
      </w:r>
    </w:p>
    <w:p w14:paraId="266BA803" w14:textId="77777777" w:rsidR="00E74B41" w:rsidRPr="005A0F99" w:rsidRDefault="00E74B41" w:rsidP="00E74B41">
      <w:pPr>
        <w:spacing w:line="360" w:lineRule="auto"/>
        <w:jc w:val="both"/>
        <w:rPr>
          <w:rFonts w:ascii="Palatino Linotype" w:hAnsi="Palatino Linotype" w:cs="Arial"/>
          <w:color w:val="000000" w:themeColor="text1"/>
        </w:rPr>
      </w:pPr>
    </w:p>
    <w:p w14:paraId="7BD7F673" w14:textId="57F63519" w:rsidR="00133213" w:rsidRPr="005A0F99" w:rsidRDefault="00E74B41" w:rsidP="00133213">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02690DF9" w14:textId="77777777" w:rsidR="00133213" w:rsidRPr="005A0F99" w:rsidRDefault="00133213" w:rsidP="00133213">
      <w:pPr>
        <w:spacing w:line="360" w:lineRule="auto"/>
        <w:jc w:val="both"/>
        <w:rPr>
          <w:rFonts w:ascii="Palatino Linotype" w:hAnsi="Palatino Linotype" w:cs="Arial"/>
          <w:color w:val="000000" w:themeColor="text1"/>
        </w:rPr>
      </w:pPr>
    </w:p>
    <w:p w14:paraId="3ED8134C" w14:textId="77777777" w:rsidR="00133213" w:rsidRPr="005A0F99" w:rsidRDefault="00133213" w:rsidP="00133213">
      <w:pPr>
        <w:pStyle w:val="Prrafodelista"/>
        <w:numPr>
          <w:ilvl w:val="0"/>
          <w:numId w:val="32"/>
        </w:numPr>
        <w:tabs>
          <w:tab w:val="left" w:pos="426"/>
        </w:tabs>
        <w:spacing w:line="360" w:lineRule="auto"/>
        <w:ind w:left="0" w:firstLine="0"/>
        <w:jc w:val="both"/>
        <w:rPr>
          <w:rFonts w:ascii="Palatino Linotype" w:hAnsi="Palatino Linotype"/>
          <w:color w:val="000000" w:themeColor="text1"/>
        </w:rPr>
      </w:pPr>
      <w:r w:rsidRPr="005A0F99">
        <w:rPr>
          <w:rFonts w:ascii="Palatino Linotype" w:hAnsi="Palatino Linotype" w:cs="Arial"/>
          <w:color w:val="000000" w:themeColor="text1"/>
        </w:rPr>
        <w:t xml:space="preserve">El </w:t>
      </w:r>
      <w:r w:rsidRPr="005A0F99">
        <w:rPr>
          <w:rFonts w:ascii="Palatino Linotype" w:eastAsia="Times New Roman" w:hAnsi="Palatino Linotype" w:cs="Arial"/>
          <w:color w:val="000000" w:themeColor="text1"/>
        </w:rPr>
        <w:t xml:space="preserve">tres (03) de agosto de dos mil veintitrés, </w:t>
      </w:r>
      <w:r w:rsidRPr="005A0F99">
        <w:rPr>
          <w:rFonts w:ascii="Palatino Linotype" w:hAnsi="Palatino Linotype" w:cs="Arial"/>
          <w:color w:val="000000" w:themeColor="text1"/>
        </w:rPr>
        <w:t>la Comisionada Ponente decretó el cierre del periodo de instrucción, por lo que ordenó turnar el expediente para su resolución, misma que ahora se pronuncia</w:t>
      </w:r>
      <w:r w:rsidRPr="005A0F99">
        <w:rPr>
          <w:rFonts w:ascii="Palatino Linotype" w:hAnsi="Palatino Linotype" w:cs="Arial"/>
          <w:color w:val="000000" w:themeColor="text1"/>
          <w:lang w:val="es-ES"/>
        </w:rPr>
        <w:t>.</w:t>
      </w:r>
    </w:p>
    <w:p w14:paraId="1B5FD714" w14:textId="77777777" w:rsidR="00133213" w:rsidRPr="005A0F99" w:rsidRDefault="00133213" w:rsidP="00133213">
      <w:pPr>
        <w:spacing w:line="360" w:lineRule="auto"/>
        <w:jc w:val="both"/>
        <w:rPr>
          <w:rFonts w:ascii="Palatino Linotype" w:hAnsi="Palatino Linotype" w:cs="Arial"/>
          <w:color w:val="000000" w:themeColor="text1"/>
        </w:rPr>
      </w:pPr>
    </w:p>
    <w:p w14:paraId="7A897C63" w14:textId="77777777" w:rsidR="00133213" w:rsidRPr="005A0F99" w:rsidRDefault="00133213" w:rsidP="00133213">
      <w:pPr>
        <w:spacing w:line="360" w:lineRule="auto"/>
        <w:jc w:val="both"/>
        <w:rPr>
          <w:rFonts w:ascii="Palatino Linotype" w:hAnsi="Palatino Linotype" w:cs="Arial"/>
          <w:color w:val="000000" w:themeColor="text1"/>
        </w:rPr>
      </w:pPr>
    </w:p>
    <w:p w14:paraId="62C2D1BB" w14:textId="77777777" w:rsidR="00E74B41" w:rsidRPr="005A0F99" w:rsidRDefault="00E74B41" w:rsidP="00E74B41">
      <w:pPr>
        <w:pStyle w:val="Prrafodelista"/>
        <w:spacing w:line="360" w:lineRule="auto"/>
        <w:ind w:left="0"/>
        <w:jc w:val="both"/>
        <w:rPr>
          <w:rFonts w:ascii="Palatino Linotype" w:hAnsi="Palatino Linotype" w:cs="Arial"/>
          <w:color w:val="000000" w:themeColor="text1"/>
        </w:rPr>
      </w:pPr>
    </w:p>
    <w:p w14:paraId="62ABA4DC" w14:textId="76CAF26A" w:rsidR="00E74B41" w:rsidRPr="005A0F99" w:rsidRDefault="00E74B41" w:rsidP="00E74B41">
      <w:pPr>
        <w:pStyle w:val="Prrafodelista"/>
        <w:spacing w:line="360" w:lineRule="auto"/>
        <w:ind w:left="0"/>
        <w:jc w:val="center"/>
        <w:rPr>
          <w:rFonts w:ascii="Palatino Linotype" w:hAnsi="Palatino Linotype" w:cs="Arial"/>
          <w:b/>
          <w:color w:val="000000" w:themeColor="text1"/>
        </w:rPr>
      </w:pPr>
      <w:r w:rsidRPr="005A0F99">
        <w:rPr>
          <w:rFonts w:ascii="Palatino Linotype" w:hAnsi="Palatino Linotype" w:cs="Arial"/>
          <w:b/>
          <w:color w:val="000000" w:themeColor="text1"/>
        </w:rPr>
        <w:t>CONSIDERANDO</w:t>
      </w:r>
    </w:p>
    <w:p w14:paraId="5786DAA9" w14:textId="77777777" w:rsidR="00E74B41" w:rsidRPr="005A0F99" w:rsidRDefault="00E74B41" w:rsidP="00E74B41">
      <w:pPr>
        <w:pStyle w:val="Prrafodelista"/>
        <w:spacing w:line="360" w:lineRule="auto"/>
        <w:ind w:left="0"/>
        <w:jc w:val="both"/>
        <w:rPr>
          <w:rFonts w:ascii="Palatino Linotype" w:hAnsi="Palatino Linotype" w:cs="Arial"/>
          <w:b/>
          <w:color w:val="000000" w:themeColor="text1"/>
        </w:rPr>
      </w:pPr>
      <w:r w:rsidRPr="005A0F99">
        <w:rPr>
          <w:rFonts w:ascii="Palatino Linotype" w:hAnsi="Palatino Linotype" w:cs="Arial"/>
          <w:b/>
          <w:color w:val="000000" w:themeColor="text1"/>
        </w:rPr>
        <w:lastRenderedPageBreak/>
        <w:t>PRIMERO. De la competencia</w:t>
      </w:r>
    </w:p>
    <w:p w14:paraId="33C252F8" w14:textId="77777777" w:rsidR="00E74B41" w:rsidRPr="005A0F99" w:rsidRDefault="00E74B41" w:rsidP="00E74B41">
      <w:pPr>
        <w:pStyle w:val="Prrafodelista"/>
        <w:spacing w:line="360" w:lineRule="auto"/>
        <w:ind w:left="0"/>
        <w:jc w:val="both"/>
        <w:rPr>
          <w:rFonts w:ascii="Palatino Linotype" w:hAnsi="Palatino Linotype" w:cs="Arial"/>
          <w:b/>
          <w:color w:val="000000" w:themeColor="text1"/>
        </w:rPr>
      </w:pPr>
    </w:p>
    <w:p w14:paraId="6B7F7A35" w14:textId="3A0E8279"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w:t>
      </w:r>
      <w:r w:rsidR="00C26DBF" w:rsidRPr="005A0F99">
        <w:rPr>
          <w:rFonts w:ascii="Palatino Linotype" w:hAnsi="Palatino Linotype" w:cs="Arial"/>
          <w:color w:val="000000" w:themeColor="text1"/>
        </w:rPr>
        <w:t>trigésimo segundo fracciones IV y V y trigésimo tercero</w:t>
      </w:r>
      <w:r w:rsidRPr="005A0F99">
        <w:rPr>
          <w:rFonts w:ascii="Palatino Linotype" w:hAnsi="Palatino Linotype" w:cs="Arial"/>
          <w:color w:val="000000" w:themeColor="text1"/>
        </w:rPr>
        <w:t>, de la Constitución Política del Estado Libre y Soberano de México; artículos 1, 2 fracción II, 13, 29, 36 fracciones I y II, 176, 178, 179, 181 párrafo tercero y 185 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14:paraId="4BAFF7F3" w14:textId="77777777" w:rsidR="002A796E" w:rsidRPr="005A0F99" w:rsidRDefault="002A796E" w:rsidP="002A796E">
      <w:pPr>
        <w:pStyle w:val="Prrafodelista"/>
        <w:spacing w:line="360" w:lineRule="auto"/>
        <w:ind w:left="0"/>
        <w:jc w:val="both"/>
        <w:rPr>
          <w:rFonts w:ascii="Palatino Linotype" w:hAnsi="Palatino Linotype" w:cs="Arial"/>
          <w:color w:val="000000" w:themeColor="text1"/>
        </w:rPr>
      </w:pPr>
    </w:p>
    <w:p w14:paraId="38C80BB5" w14:textId="77777777" w:rsidR="002A796E" w:rsidRPr="005A0F99" w:rsidRDefault="002A796E" w:rsidP="002A796E">
      <w:pPr>
        <w:pStyle w:val="Prrafodelista"/>
        <w:spacing w:line="360" w:lineRule="auto"/>
        <w:ind w:left="0"/>
        <w:rPr>
          <w:rFonts w:ascii="Palatino Linotype" w:hAnsi="Palatino Linotype" w:cs="Arial"/>
          <w:b/>
          <w:color w:val="000000" w:themeColor="text1"/>
        </w:rPr>
      </w:pPr>
      <w:r w:rsidRPr="005A0F99">
        <w:rPr>
          <w:rFonts w:ascii="Palatino Linotype" w:hAnsi="Palatino Linotype" w:cs="Arial"/>
          <w:b/>
          <w:color w:val="000000" w:themeColor="text1"/>
        </w:rPr>
        <w:t>SEGUNDO. De la oportunidad y procedencia.</w:t>
      </w:r>
    </w:p>
    <w:p w14:paraId="6D75DDD7" w14:textId="77777777" w:rsidR="002A796E" w:rsidRPr="005A0F99" w:rsidRDefault="002A796E" w:rsidP="002A796E">
      <w:pPr>
        <w:spacing w:line="360" w:lineRule="auto"/>
        <w:jc w:val="both"/>
        <w:rPr>
          <w:rFonts w:ascii="Palatino Linotype" w:hAnsi="Palatino Linotype" w:cs="Arial"/>
          <w:color w:val="000000" w:themeColor="text1"/>
        </w:rPr>
      </w:pPr>
    </w:p>
    <w:p w14:paraId="76DDE34D" w14:textId="30CE8389" w:rsidR="00E74B41" w:rsidRPr="005A0F99" w:rsidRDefault="002A796E"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El medio de impugnación fue presentado a través del </w:t>
      </w:r>
      <w:r w:rsidRPr="005A0F99">
        <w:rPr>
          <w:rFonts w:ascii="Palatino Linotype" w:hAnsi="Palatino Linotype" w:cs="Arial"/>
          <w:b/>
          <w:color w:val="000000" w:themeColor="text1"/>
        </w:rPr>
        <w:t>SAIMEX</w:t>
      </w:r>
      <w:r w:rsidRPr="005A0F99">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5A0F99">
        <w:rPr>
          <w:rFonts w:ascii="Palatino Linotype" w:hAnsi="Palatino Linotype" w:cs="Arial"/>
          <w:b/>
          <w:color w:val="000000" w:themeColor="text1"/>
        </w:rPr>
        <w:t>SUJETO OBLIGADO</w:t>
      </w:r>
      <w:r w:rsidRPr="005A0F99">
        <w:rPr>
          <w:rFonts w:ascii="Palatino Linotype" w:hAnsi="Palatino Linotype" w:cs="Arial"/>
          <w:color w:val="000000" w:themeColor="text1"/>
        </w:rPr>
        <w:t xml:space="preserve"> entregó respuesta el veintitrés (23) de enero de dos mil veintitrés, de tal forma que el plazo para interponer el recurso de revisión transcurrió del veinticuatro (24) de enero al catorce (14) de febrero dos mil veintitrés, el recurso de revisión fue interpuesto el veintitrés (23) de enero de dos mil veintitrés, éste se encuentra dentro de los márgenes temporales previstos en el artículo 178 de la Ley de Transparencia y Acceso a la Información Pública del Estado de México y Municipios vigente.</w:t>
      </w:r>
    </w:p>
    <w:p w14:paraId="3965E647" w14:textId="01506C1F"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7FAEC519" w14:textId="77777777" w:rsidR="00E74B41" w:rsidRPr="005A0F99" w:rsidRDefault="00E74B41" w:rsidP="00E74B41">
      <w:pPr>
        <w:pStyle w:val="Prrafodelista"/>
        <w:rPr>
          <w:rFonts w:ascii="Palatino Linotype" w:hAnsi="Palatino Linotype" w:cs="Arial"/>
          <w:color w:val="000000" w:themeColor="text1"/>
        </w:rPr>
      </w:pPr>
    </w:p>
    <w:p w14:paraId="0550969D" w14:textId="77777777" w:rsidR="00E74B41" w:rsidRPr="005A0F99" w:rsidRDefault="00E74B41" w:rsidP="00E74B41">
      <w:pPr>
        <w:pStyle w:val="Prrafodelista"/>
        <w:spacing w:line="360" w:lineRule="auto"/>
        <w:ind w:left="0"/>
        <w:jc w:val="both"/>
        <w:rPr>
          <w:rFonts w:ascii="Palatino Linotype" w:hAnsi="Palatino Linotype" w:cs="Arial"/>
          <w:color w:val="000000" w:themeColor="text1"/>
        </w:rPr>
      </w:pPr>
    </w:p>
    <w:p w14:paraId="153FFB73" w14:textId="77777777" w:rsidR="00E74B41" w:rsidRPr="005A0F99" w:rsidRDefault="00E74B41" w:rsidP="00E74B41">
      <w:pPr>
        <w:pStyle w:val="Prrafodelista"/>
        <w:spacing w:line="360" w:lineRule="auto"/>
        <w:ind w:left="0"/>
        <w:jc w:val="both"/>
        <w:rPr>
          <w:rFonts w:ascii="Palatino Linotype" w:hAnsi="Palatino Linotype" w:cs="Arial"/>
          <w:b/>
          <w:color w:val="000000" w:themeColor="text1"/>
        </w:rPr>
      </w:pPr>
      <w:r w:rsidRPr="005A0F99">
        <w:rPr>
          <w:rFonts w:ascii="Palatino Linotype" w:hAnsi="Palatino Linotype" w:cs="Arial"/>
          <w:b/>
          <w:color w:val="000000" w:themeColor="text1"/>
        </w:rPr>
        <w:t xml:space="preserve">TERCERO. Planteamiento de la Litis </w:t>
      </w:r>
    </w:p>
    <w:p w14:paraId="29A5CD88" w14:textId="77777777" w:rsidR="00E74B41" w:rsidRPr="005A0F99" w:rsidRDefault="00E74B41" w:rsidP="00E74B41">
      <w:pPr>
        <w:pStyle w:val="Prrafodelista"/>
        <w:spacing w:line="360" w:lineRule="auto"/>
        <w:ind w:left="0"/>
        <w:jc w:val="both"/>
        <w:rPr>
          <w:rFonts w:ascii="Palatino Linotype" w:hAnsi="Palatino Linotype" w:cs="Arial"/>
          <w:b/>
          <w:color w:val="000000" w:themeColor="text1"/>
        </w:rPr>
      </w:pPr>
    </w:p>
    <w:p w14:paraId="529E3375" w14:textId="3BD3064F"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recurrente solicitó la siguiente información:</w:t>
      </w:r>
    </w:p>
    <w:p w14:paraId="1A28F0B0" w14:textId="77777777" w:rsidR="00E74B41" w:rsidRPr="005A0F99" w:rsidRDefault="00E74B41" w:rsidP="00E74B41">
      <w:pPr>
        <w:spacing w:line="360" w:lineRule="auto"/>
        <w:jc w:val="both"/>
        <w:rPr>
          <w:rFonts w:ascii="Palatino Linotype" w:hAnsi="Palatino Linotype" w:cs="Arial"/>
          <w:color w:val="000000" w:themeColor="text1"/>
        </w:rPr>
      </w:pPr>
    </w:p>
    <w:p w14:paraId="04EB7857" w14:textId="2527BE32" w:rsidR="00B2215F" w:rsidRPr="005A0F99" w:rsidRDefault="00B2215F" w:rsidP="00B2215F">
      <w:pPr>
        <w:pStyle w:val="Prrafodelista"/>
        <w:numPr>
          <w:ilvl w:val="0"/>
          <w:numId w:val="39"/>
        </w:numPr>
        <w:spacing w:line="360" w:lineRule="auto"/>
        <w:jc w:val="both"/>
        <w:rPr>
          <w:rFonts w:ascii="Palatino Linotype" w:hAnsi="Palatino Linotype" w:cs="Arial"/>
          <w:color w:val="000000" w:themeColor="text1"/>
        </w:rPr>
      </w:pPr>
      <w:r w:rsidRPr="005A0F99">
        <w:rPr>
          <w:rFonts w:ascii="Palatino Linotype" w:hAnsi="Palatino Linotype" w:cs="Arial"/>
          <w:color w:val="000000" w:themeColor="text1"/>
        </w:rPr>
        <w:t>Solicito todos los oficios de otorgamiento de vacaciones de diciembre 2022; y,</w:t>
      </w:r>
    </w:p>
    <w:p w14:paraId="024CD42B" w14:textId="5596D8C8" w:rsidR="00B2215F" w:rsidRPr="005A0F99" w:rsidRDefault="00B2215F" w:rsidP="00B2215F">
      <w:pPr>
        <w:pStyle w:val="Prrafodelista"/>
        <w:numPr>
          <w:ilvl w:val="0"/>
          <w:numId w:val="39"/>
        </w:numPr>
        <w:spacing w:line="360" w:lineRule="auto"/>
        <w:jc w:val="both"/>
        <w:rPr>
          <w:rFonts w:ascii="Palatino Linotype" w:hAnsi="Palatino Linotype" w:cs="Arial"/>
          <w:color w:val="000000" w:themeColor="text1"/>
        </w:rPr>
      </w:pPr>
      <w:r w:rsidRPr="005A0F99">
        <w:rPr>
          <w:rFonts w:ascii="Palatino Linotype" w:hAnsi="Palatino Linotype" w:cs="Arial"/>
          <w:color w:val="000000" w:themeColor="text1"/>
        </w:rPr>
        <w:t>Solicito los oficios de todas las áreas donde se designen a servidores públicos para las guardias de las vacaciones de diciembre 2022.</w:t>
      </w:r>
    </w:p>
    <w:p w14:paraId="17787084" w14:textId="77777777" w:rsidR="00B2215F" w:rsidRPr="005A0F99" w:rsidRDefault="00B2215F" w:rsidP="00E74B41">
      <w:pPr>
        <w:spacing w:line="360" w:lineRule="auto"/>
        <w:jc w:val="both"/>
        <w:rPr>
          <w:rFonts w:ascii="Palatino Linotype" w:hAnsi="Palatino Linotype" w:cs="Arial"/>
          <w:color w:val="000000" w:themeColor="text1"/>
        </w:rPr>
      </w:pPr>
    </w:p>
    <w:p w14:paraId="06053E32" w14:textId="1F2046CC"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Sujeto Obligado manifestó que no cuenta con información al respecto.</w:t>
      </w:r>
    </w:p>
    <w:p w14:paraId="122FA9B5" w14:textId="77777777" w:rsidR="00E74B41" w:rsidRPr="005A0F99" w:rsidRDefault="00E74B41" w:rsidP="00E74B41">
      <w:pPr>
        <w:spacing w:line="360" w:lineRule="auto"/>
        <w:jc w:val="both"/>
        <w:rPr>
          <w:rFonts w:ascii="Palatino Linotype" w:hAnsi="Palatino Linotype" w:cs="Arial"/>
          <w:color w:val="000000" w:themeColor="text1"/>
        </w:rPr>
      </w:pPr>
    </w:p>
    <w:p w14:paraId="498E384E" w14:textId="1D1B4AC9"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Recurrente se inconformó porque no le entregaron la información.</w:t>
      </w:r>
    </w:p>
    <w:p w14:paraId="7012E0F9" w14:textId="77777777" w:rsidR="00E74B41" w:rsidRPr="005A0F99" w:rsidRDefault="00E74B41" w:rsidP="00E74B41">
      <w:pPr>
        <w:spacing w:line="360" w:lineRule="auto"/>
        <w:jc w:val="both"/>
        <w:rPr>
          <w:rFonts w:ascii="Palatino Linotype" w:hAnsi="Palatino Linotype" w:cs="Arial"/>
          <w:color w:val="000000" w:themeColor="text1"/>
        </w:rPr>
      </w:pPr>
    </w:p>
    <w:p w14:paraId="0C50660E" w14:textId="15B3E2A7" w:rsidR="00E74B41" w:rsidRPr="005A0F99" w:rsidRDefault="00E74B41" w:rsidP="00133213">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Por lo tanto, el presente recurso de revisión se circunscribe en determinar si se actualiza las causales de procedencia contenidas en el artículo 179 fracciones I, relativo a la falta de respuesta, de la Ley de Transparencia y Acceso a la Información Pública del Estado de México y Municipios.</w:t>
      </w:r>
    </w:p>
    <w:p w14:paraId="01CFBD1C" w14:textId="77777777" w:rsidR="00E74B41" w:rsidRPr="005A0F99" w:rsidRDefault="00E74B41" w:rsidP="00E74B41">
      <w:pPr>
        <w:pStyle w:val="Prrafodelista"/>
        <w:spacing w:line="360" w:lineRule="auto"/>
        <w:ind w:left="0"/>
        <w:jc w:val="both"/>
        <w:rPr>
          <w:rFonts w:ascii="Palatino Linotype" w:hAnsi="Palatino Linotype" w:cs="Arial"/>
          <w:b/>
          <w:color w:val="000000" w:themeColor="text1"/>
        </w:rPr>
      </w:pPr>
      <w:r w:rsidRPr="005A0F99">
        <w:rPr>
          <w:rFonts w:ascii="Palatino Linotype" w:hAnsi="Palatino Linotype" w:cs="Arial"/>
          <w:b/>
          <w:color w:val="000000" w:themeColor="text1"/>
        </w:rPr>
        <w:lastRenderedPageBreak/>
        <w:t>CUARTO. Estudio y Resolución del asunto.</w:t>
      </w:r>
    </w:p>
    <w:p w14:paraId="19968AFB" w14:textId="77777777" w:rsidR="00E74B41" w:rsidRPr="005A0F99" w:rsidRDefault="00E74B41" w:rsidP="00E74B41">
      <w:pPr>
        <w:spacing w:line="360" w:lineRule="auto"/>
        <w:jc w:val="both"/>
        <w:rPr>
          <w:rFonts w:ascii="Palatino Linotype" w:hAnsi="Palatino Linotype" w:cs="Arial"/>
          <w:color w:val="000000" w:themeColor="text1"/>
        </w:rPr>
      </w:pPr>
    </w:p>
    <w:p w14:paraId="3F5E6E51" w14:textId="58F0CC92" w:rsidR="00E74B41" w:rsidRPr="005A0F99" w:rsidRDefault="00E74B41" w:rsidP="00E74B41">
      <w:pPr>
        <w:pStyle w:val="Prrafodelista"/>
        <w:numPr>
          <w:ilvl w:val="3"/>
          <w:numId w:val="32"/>
        </w:numPr>
        <w:spacing w:line="360" w:lineRule="auto"/>
        <w:ind w:left="0" w:firstLine="0"/>
        <w:jc w:val="both"/>
        <w:rPr>
          <w:rFonts w:ascii="Palatino Linotype" w:hAnsi="Palatino Linotype" w:cs="Arial"/>
          <w:b/>
          <w:color w:val="000000" w:themeColor="text1"/>
        </w:rPr>
      </w:pPr>
      <w:r w:rsidRPr="005A0F99">
        <w:rPr>
          <w:rFonts w:ascii="Palatino Linotype" w:hAnsi="Palatino Linotype" w:cs="Arial"/>
          <w:b/>
          <w:color w:val="000000" w:themeColor="text1"/>
        </w:rPr>
        <w:t>De la atención a la solicitud de información.</w:t>
      </w:r>
    </w:p>
    <w:p w14:paraId="51DE699F" w14:textId="77777777" w:rsidR="002A6959" w:rsidRPr="005A0F99" w:rsidRDefault="002A6959" w:rsidP="002A6959">
      <w:pPr>
        <w:pStyle w:val="Prrafodelista"/>
        <w:spacing w:line="360" w:lineRule="auto"/>
        <w:ind w:left="0"/>
        <w:jc w:val="both"/>
        <w:rPr>
          <w:rFonts w:ascii="Palatino Linotype" w:hAnsi="Palatino Linotype" w:cs="Arial"/>
          <w:b/>
          <w:color w:val="000000" w:themeColor="text1"/>
        </w:rPr>
      </w:pPr>
    </w:p>
    <w:p w14:paraId="24BAED92" w14:textId="53489965" w:rsidR="00E74B41" w:rsidRPr="005A0F99" w:rsidRDefault="00E74B41" w:rsidP="002A6959">
      <w:pPr>
        <w:pStyle w:val="Prrafodelista"/>
        <w:spacing w:line="360" w:lineRule="auto"/>
        <w:ind w:left="0"/>
        <w:jc w:val="both"/>
        <w:rPr>
          <w:rFonts w:ascii="Palatino Linotype" w:hAnsi="Palatino Linotype" w:cs="Arial"/>
          <w:b/>
          <w:color w:val="000000" w:themeColor="text1"/>
        </w:rPr>
      </w:pPr>
      <w:r w:rsidRPr="005A0F99">
        <w:rPr>
          <w:rFonts w:ascii="Palatino Linotype" w:hAnsi="Palatino Linotype" w:cs="Arial"/>
          <w:b/>
          <w:color w:val="000000" w:themeColor="text1"/>
        </w:rPr>
        <w:t>De la fuente obligacional</w:t>
      </w:r>
    </w:p>
    <w:p w14:paraId="3238D334" w14:textId="77777777" w:rsidR="00E74B41" w:rsidRPr="005A0F99" w:rsidRDefault="00E74B41" w:rsidP="00E74B41">
      <w:pPr>
        <w:spacing w:line="360" w:lineRule="auto"/>
        <w:jc w:val="both"/>
        <w:rPr>
          <w:rFonts w:ascii="Palatino Linotype" w:hAnsi="Palatino Linotype" w:cs="Arial"/>
          <w:color w:val="000000" w:themeColor="text1"/>
        </w:rPr>
      </w:pPr>
    </w:p>
    <w:p w14:paraId="490B5193" w14:textId="1EB1E62D"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52454C84" w14:textId="77777777" w:rsidR="00E74B41" w:rsidRPr="005A0F99" w:rsidRDefault="00E74B41" w:rsidP="00E74B41">
      <w:pPr>
        <w:spacing w:line="360" w:lineRule="auto"/>
        <w:jc w:val="both"/>
        <w:rPr>
          <w:rFonts w:ascii="Palatino Linotype" w:hAnsi="Palatino Linotype" w:cs="Arial"/>
          <w:color w:val="000000" w:themeColor="text1"/>
        </w:rPr>
      </w:pPr>
    </w:p>
    <w:p w14:paraId="4795552B" w14:textId="7E40DEF5"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A0F99">
        <w:rPr>
          <w:rFonts w:ascii="Palatino Linotype" w:hAnsi="Palatino Linotype" w:cs="Arial"/>
          <w:color w:val="000000" w:themeColor="text1"/>
        </w:rPr>
        <w:lastRenderedPageBreak/>
        <w:t>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5A0F99" w:rsidRDefault="00E74B41" w:rsidP="00E74B41">
      <w:pPr>
        <w:spacing w:line="360" w:lineRule="auto"/>
        <w:jc w:val="both"/>
        <w:rPr>
          <w:rFonts w:ascii="Palatino Linotype" w:hAnsi="Palatino Linotype" w:cs="Arial"/>
          <w:color w:val="000000" w:themeColor="text1"/>
        </w:rPr>
      </w:pPr>
    </w:p>
    <w:p w14:paraId="2FE6FE26" w14:textId="5266ABB1"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B0C7D4" w14:textId="004EEAA8" w:rsidR="00E74B41" w:rsidRPr="005A0F99" w:rsidRDefault="00E74B41" w:rsidP="00E74B41">
      <w:pPr>
        <w:spacing w:line="360" w:lineRule="auto"/>
        <w:jc w:val="both"/>
        <w:rPr>
          <w:rFonts w:ascii="Palatino Linotype" w:hAnsi="Palatino Linotype" w:cs="Arial"/>
          <w:color w:val="000000" w:themeColor="text1"/>
        </w:rPr>
      </w:pPr>
    </w:p>
    <w:p w14:paraId="57EEE98E" w14:textId="66EA754B"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5A0F99" w:rsidRDefault="00E74B41" w:rsidP="00E74B41">
      <w:pPr>
        <w:spacing w:line="360" w:lineRule="auto"/>
        <w:jc w:val="both"/>
        <w:rPr>
          <w:rFonts w:ascii="Palatino Linotype" w:hAnsi="Palatino Linotype" w:cs="Arial"/>
          <w:color w:val="000000" w:themeColor="text1"/>
        </w:rPr>
      </w:pPr>
    </w:p>
    <w:p w14:paraId="4B5C3143" w14:textId="31E9530E"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w:t>
      </w:r>
      <w:r w:rsidRPr="005A0F99">
        <w:rPr>
          <w:rFonts w:ascii="Palatino Linotype" w:hAnsi="Palatino Linotype" w:cs="Arial"/>
          <w:color w:val="000000" w:themeColor="text1"/>
        </w:rPr>
        <w:lastRenderedPageBreak/>
        <w:t xml:space="preserve">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DAA411" w14:textId="77777777" w:rsidR="00E74B41" w:rsidRPr="005A0F99" w:rsidRDefault="00E74B41" w:rsidP="00E74B41">
      <w:pPr>
        <w:spacing w:line="360" w:lineRule="auto"/>
        <w:jc w:val="both"/>
        <w:rPr>
          <w:rFonts w:ascii="Palatino Linotype" w:hAnsi="Palatino Linotype" w:cs="Arial"/>
          <w:color w:val="000000" w:themeColor="text1"/>
        </w:rPr>
      </w:pPr>
    </w:p>
    <w:p w14:paraId="20D4FA04" w14:textId="2893CA72"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Establecido lo anterior, resulta evidente que las razones o motivos de inconformidad hechos valer en el recurso de revisión resultan fundadas y procedentes, debido a que el SUJETO OBLIGADO proporcionó información que no corresponde con lo solicitado.</w:t>
      </w:r>
    </w:p>
    <w:p w14:paraId="57E92D16" w14:textId="77777777" w:rsidR="002A6959" w:rsidRPr="005A0F99" w:rsidRDefault="002A6959" w:rsidP="002A6959">
      <w:pPr>
        <w:pStyle w:val="Prrafodelista"/>
        <w:rPr>
          <w:rFonts w:ascii="Palatino Linotype" w:hAnsi="Palatino Linotype" w:cs="Arial"/>
          <w:color w:val="000000" w:themeColor="text1"/>
        </w:rPr>
      </w:pPr>
    </w:p>
    <w:p w14:paraId="25883D20" w14:textId="597AEA12"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5A0F99" w:rsidRDefault="00E74B41" w:rsidP="00E74B41">
      <w:pPr>
        <w:spacing w:line="360" w:lineRule="auto"/>
        <w:jc w:val="both"/>
        <w:rPr>
          <w:rFonts w:ascii="Palatino Linotype" w:hAnsi="Palatino Linotype" w:cs="Arial"/>
          <w:color w:val="000000" w:themeColor="text1"/>
        </w:rPr>
      </w:pPr>
    </w:p>
    <w:p w14:paraId="1EF53DAE" w14:textId="77777777" w:rsidR="00E74B41" w:rsidRPr="005A0F99"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5A0F99">
        <w:rPr>
          <w:rFonts w:ascii="Palatino Linotype" w:hAnsi="Palatino Linotype" w:cs="Arial"/>
          <w:b/>
          <w:i/>
          <w:color w:val="000000" w:themeColor="text1"/>
          <w:sz w:val="22"/>
        </w:rPr>
        <w:t>“CRITERIO 0002-11</w:t>
      </w:r>
    </w:p>
    <w:p w14:paraId="414C07F7"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5A0F99">
        <w:rPr>
          <w:rFonts w:ascii="Palatino Linotype" w:hAnsi="Palatino Linotype" w:cs="Arial"/>
          <w:i/>
          <w:color w:val="000000" w:themeColor="text1"/>
          <w:sz w:val="22"/>
        </w:rPr>
        <w:t xml:space="preserve">. De conformidad con los artículos antes referidos, el derecho de acceso a la información pública, se define en cuanto a su alcance y resultado material, el acceso a los archivos, registros y documentos públicos, </w:t>
      </w:r>
      <w:r w:rsidRPr="005A0F99">
        <w:rPr>
          <w:rFonts w:ascii="Palatino Linotype" w:hAnsi="Palatino Linotype" w:cs="Arial"/>
          <w:i/>
          <w:color w:val="000000" w:themeColor="text1"/>
          <w:sz w:val="22"/>
        </w:rPr>
        <w:lastRenderedPageBreak/>
        <w:t>administrados, generados o en posesión de los órganos u organismos públicos, en virtud del ejercicio de sus funciones de derecho público, sin importar su fuente, soporte o fecha de elaboración.</w:t>
      </w:r>
    </w:p>
    <w:p w14:paraId="1CDA5AB6"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Que se trate de información registrada en cualquier soporte documental, que en ejercicio de las atribuciones conferidas, sea administrada por los Sujetos Obligados, y</w:t>
      </w:r>
    </w:p>
    <w:p w14:paraId="2E5360F1"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14:paraId="4FBAC8A1" w14:textId="77777777" w:rsidR="00E74B41" w:rsidRPr="005A0F99" w:rsidRDefault="00E74B41" w:rsidP="00E74B41">
      <w:pPr>
        <w:spacing w:line="360" w:lineRule="auto"/>
        <w:jc w:val="both"/>
        <w:rPr>
          <w:rFonts w:ascii="Palatino Linotype" w:hAnsi="Palatino Linotype" w:cs="Arial"/>
          <w:color w:val="000000" w:themeColor="text1"/>
        </w:rPr>
      </w:pPr>
    </w:p>
    <w:p w14:paraId="4BAFA27A" w14:textId="66ED1252"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derecho de acceso a la información encuentra su materia elemental en los documentos, y la Ley de Transparencia local nos brinda el siguiente concepto, para darnos un mejor panorama:</w:t>
      </w:r>
    </w:p>
    <w:p w14:paraId="2FE4C741" w14:textId="77777777" w:rsidR="002A6959" w:rsidRPr="005A0F99" w:rsidRDefault="002A6959" w:rsidP="002A6959">
      <w:pPr>
        <w:pStyle w:val="Prrafodelista"/>
        <w:spacing w:line="360" w:lineRule="auto"/>
        <w:ind w:left="0"/>
        <w:jc w:val="both"/>
        <w:rPr>
          <w:rFonts w:ascii="Palatino Linotype" w:hAnsi="Palatino Linotype" w:cs="Arial"/>
          <w:color w:val="000000" w:themeColor="text1"/>
        </w:rPr>
      </w:pPr>
    </w:p>
    <w:p w14:paraId="2BF901EE"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XI. Documento:</w:t>
      </w:r>
      <w:r w:rsidRPr="005A0F99">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5A0F99" w:rsidRDefault="00E74B41" w:rsidP="00E74B41">
      <w:pPr>
        <w:spacing w:line="360" w:lineRule="auto"/>
        <w:jc w:val="both"/>
        <w:rPr>
          <w:rFonts w:ascii="Palatino Linotype" w:hAnsi="Palatino Linotype" w:cs="Arial"/>
          <w:color w:val="000000" w:themeColor="text1"/>
        </w:rPr>
      </w:pPr>
    </w:p>
    <w:p w14:paraId="76C95003" w14:textId="0D0539CC"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Es así que, todos los actos de autoridad que realicen los Sujetos Obligados deben estar documentados y, bajo el más alto estándar de transparencia deberán </w:t>
      </w:r>
      <w:r w:rsidRPr="005A0F99">
        <w:rPr>
          <w:rFonts w:ascii="Palatino Linotype" w:hAnsi="Palatino Linotype" w:cs="Arial"/>
          <w:color w:val="000000" w:themeColor="text1"/>
        </w:rPr>
        <w:lastRenderedPageBreak/>
        <w:t>poner toda la información que se encuentre en su posesión, a disposición de los particulares que la soliciten.</w:t>
      </w:r>
    </w:p>
    <w:p w14:paraId="240F7296" w14:textId="47227966"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FABA2C1" w14:textId="77777777" w:rsidR="00E74B41" w:rsidRPr="005A0F99" w:rsidRDefault="00E74B41" w:rsidP="00E74B41">
      <w:pPr>
        <w:spacing w:line="360" w:lineRule="auto"/>
        <w:jc w:val="both"/>
        <w:rPr>
          <w:rFonts w:ascii="Palatino Linotype" w:hAnsi="Palatino Linotype" w:cs="Arial"/>
          <w:color w:val="000000" w:themeColor="text1"/>
        </w:rPr>
      </w:pPr>
    </w:p>
    <w:p w14:paraId="768FC424" w14:textId="53E51222"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14:paraId="04648700" w14:textId="77777777" w:rsidR="00E74B41" w:rsidRPr="005A0F99" w:rsidRDefault="00E74B41" w:rsidP="00E74B41">
      <w:pPr>
        <w:spacing w:line="360" w:lineRule="auto"/>
        <w:jc w:val="both"/>
        <w:rPr>
          <w:rFonts w:ascii="Palatino Linotype" w:hAnsi="Palatino Linotype" w:cs="Arial"/>
          <w:color w:val="000000" w:themeColor="text1"/>
        </w:rPr>
      </w:pPr>
    </w:p>
    <w:p w14:paraId="1F9BD076"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Artículo 4.</w:t>
      </w:r>
      <w:r w:rsidRPr="005A0F99">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w:t>
      </w:r>
      <w:r w:rsidRPr="005A0F99">
        <w:rPr>
          <w:rFonts w:ascii="Palatino Linotype" w:hAnsi="Palatino Linotype" w:cs="Arial"/>
          <w:i/>
          <w:color w:val="000000" w:themeColor="text1"/>
          <w:sz w:val="22"/>
        </w:rPr>
        <w:lastRenderedPageBreak/>
        <w:t>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4B27CEDC"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5DA4C719"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Artículo 12.</w:t>
      </w:r>
      <w:r w:rsidRPr="005A0F99">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5A0F99" w:rsidRDefault="00E74B41" w:rsidP="00E74B41">
      <w:pPr>
        <w:spacing w:line="360" w:lineRule="auto"/>
        <w:jc w:val="both"/>
        <w:rPr>
          <w:rFonts w:ascii="Palatino Linotype" w:hAnsi="Palatino Linotype" w:cs="Arial"/>
          <w:color w:val="000000" w:themeColor="text1"/>
        </w:rPr>
      </w:pPr>
    </w:p>
    <w:p w14:paraId="7BD9C56E" w14:textId="6201DEA4"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C77FF9A" w14:textId="46D2B398"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2959BB9" w14:textId="77777777" w:rsidR="00E74B41" w:rsidRPr="005A0F99" w:rsidRDefault="00E74B41" w:rsidP="00E74B41">
      <w:pPr>
        <w:spacing w:line="360" w:lineRule="auto"/>
        <w:jc w:val="both"/>
        <w:rPr>
          <w:rFonts w:ascii="Palatino Linotype" w:hAnsi="Palatino Linotype" w:cs="Arial"/>
          <w:color w:val="000000" w:themeColor="text1"/>
        </w:rPr>
      </w:pPr>
    </w:p>
    <w:p w14:paraId="5083EDE2"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ACCESO A LA INFORMACIÓN. IMPLICACIÓN DEL PRINCIPIO DE MÁXIMA PUBLICIDAD EN EL DERECHO FUNDAMENTAL RELATIVO.</w:t>
      </w:r>
      <w:r w:rsidRPr="005A0F99">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5A0F99">
        <w:rPr>
          <w:rFonts w:ascii="Palatino Linotype" w:hAnsi="Palatino Linotype" w:cs="Arial"/>
          <w:i/>
          <w:color w:val="000000" w:themeColor="text1"/>
          <w:sz w:val="22"/>
        </w:rPr>
        <w:lastRenderedPageBreak/>
        <w:t xml:space="preserve">legislación secundaria y justificados bajo determinadas circunstancias, se podrá clasificar como confidencial o reservada, esto es, considerarla con una calidad diversa. </w:t>
      </w:r>
    </w:p>
    <w:p w14:paraId="7049E398"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 xml:space="preserve">CUARTO TRIBUNAL COLEGIADO EN MATERIA ADMINISTRATIVA DEL PRIMER CIRCUITO. </w:t>
      </w:r>
    </w:p>
    <w:p w14:paraId="5A5785F2"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6ABA7AAA"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Amparo en revisión 257/2012. Ruth Corona Muñoz. 6 de diciembre de 2012. Unanimidad de votos. Ponente: Jean Claude Tron Petit. Secretaria: Mayra Susana Martínez López.</w:t>
      </w:r>
    </w:p>
    <w:p w14:paraId="0F00BF3A" w14:textId="77777777" w:rsidR="00E74B41" w:rsidRPr="005A0F99" w:rsidRDefault="00E74B41" w:rsidP="00E74B41">
      <w:pPr>
        <w:spacing w:line="360" w:lineRule="auto"/>
        <w:jc w:val="both"/>
        <w:rPr>
          <w:rFonts w:ascii="Palatino Linotype" w:hAnsi="Palatino Linotype" w:cs="Arial"/>
          <w:color w:val="000000" w:themeColor="text1"/>
        </w:rPr>
      </w:pPr>
    </w:p>
    <w:p w14:paraId="2AB4C407" w14:textId="0BC2E331"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5A0F99" w:rsidRDefault="00E74B41" w:rsidP="00E74B41">
      <w:pPr>
        <w:spacing w:line="360" w:lineRule="auto"/>
        <w:jc w:val="both"/>
        <w:rPr>
          <w:rFonts w:ascii="Palatino Linotype" w:hAnsi="Palatino Linotype" w:cs="Arial"/>
          <w:color w:val="000000" w:themeColor="text1"/>
        </w:rPr>
      </w:pPr>
    </w:p>
    <w:p w14:paraId="339E24F0" w14:textId="587DC3DA"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5A0F99" w:rsidRDefault="00E74B41" w:rsidP="00E74B41">
      <w:pPr>
        <w:spacing w:line="360" w:lineRule="auto"/>
        <w:jc w:val="both"/>
        <w:rPr>
          <w:rFonts w:ascii="Palatino Linotype" w:hAnsi="Palatino Linotype" w:cs="Arial"/>
          <w:color w:val="000000" w:themeColor="text1"/>
        </w:rPr>
      </w:pPr>
    </w:p>
    <w:p w14:paraId="5A32C164"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“Artículo 6o.</w:t>
      </w:r>
      <w:r w:rsidRPr="005A0F99">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lastRenderedPageBreak/>
        <w:t>Toda persona tiene derecho al libre acceso a información plural y oportuna, así como a buscar, recibir y difundir información e ideas de toda índole por cualquier medio de expresión.</w:t>
      </w:r>
    </w:p>
    <w:p w14:paraId="1BB9AF3F"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3D84B8C9"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Para efectos de lo dispuesto en el presente artículo se observará lo siguiente:</w:t>
      </w:r>
    </w:p>
    <w:p w14:paraId="27B1DA00"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5A0F99" w:rsidRDefault="00E74B41" w:rsidP="002A6959">
      <w:pPr>
        <w:pStyle w:val="Prrafodelista"/>
        <w:numPr>
          <w:ilvl w:val="4"/>
          <w:numId w:val="32"/>
        </w:numPr>
        <w:spacing w:line="360" w:lineRule="auto"/>
        <w:ind w:left="567" w:right="616" w:firstLine="0"/>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Para el ejercicio del derecho de acceso a la información, la Federación, los Estados y el Distrito Federal, en el ámbito de sus respectivas competencias, se regirán por los siguientes principios y bases:</w:t>
      </w:r>
    </w:p>
    <w:p w14:paraId="75566C44"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lastRenderedPageBreak/>
        <w:t>Toda persona, sin necesidad de acreditar interés alguno o justificar su utilización, tendrá acceso gratuito a la información pública, a sus datos personales o a la rectificación de éstos.</w:t>
      </w:r>
    </w:p>
    <w:p w14:paraId="18E43C58"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w:t>
      </w:r>
    </w:p>
    <w:p w14:paraId="60000D5A"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lastRenderedPageBreak/>
        <w:t>La ley establecerá aquella información que se considere reservada o confidencial.”</w:t>
      </w:r>
    </w:p>
    <w:p w14:paraId="7D0D2D47"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(Énfasis añadido)</w:t>
      </w:r>
    </w:p>
    <w:p w14:paraId="70F71B1B" w14:textId="77777777" w:rsidR="00E74B41" w:rsidRPr="005A0F99" w:rsidRDefault="00E74B41" w:rsidP="00E74B41">
      <w:pPr>
        <w:spacing w:line="360" w:lineRule="auto"/>
        <w:jc w:val="both"/>
        <w:rPr>
          <w:rFonts w:ascii="Palatino Linotype" w:hAnsi="Palatino Linotype" w:cs="Arial"/>
          <w:color w:val="000000" w:themeColor="text1"/>
        </w:rPr>
      </w:pPr>
    </w:p>
    <w:p w14:paraId="52D7D1B8" w14:textId="0982E52A"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5A0F99" w:rsidRDefault="002A6959" w:rsidP="002A6959">
      <w:pPr>
        <w:pStyle w:val="Prrafodelista"/>
        <w:spacing w:line="360" w:lineRule="auto"/>
        <w:ind w:left="0"/>
        <w:jc w:val="both"/>
        <w:rPr>
          <w:rFonts w:ascii="Palatino Linotype" w:hAnsi="Palatino Linotype" w:cs="Arial"/>
          <w:color w:val="000000" w:themeColor="text1"/>
        </w:rPr>
      </w:pPr>
    </w:p>
    <w:p w14:paraId="3C9563E0" w14:textId="77777777" w:rsidR="00E74B41" w:rsidRPr="005A0F99"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5A0F99">
        <w:rPr>
          <w:rFonts w:ascii="Palatino Linotype" w:hAnsi="Palatino Linotype" w:cs="Arial"/>
          <w:b/>
          <w:i/>
          <w:color w:val="000000" w:themeColor="text1"/>
          <w:sz w:val="22"/>
        </w:rPr>
        <w:t xml:space="preserve">“Artículo 5. … </w:t>
      </w:r>
    </w:p>
    <w:p w14:paraId="4A254EA8"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El derecho a la información será garantizado por el Estado</w:t>
      </w:r>
      <w:r w:rsidRPr="005A0F99">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Este derecho se regirá por los principios y bases siguientes:</w:t>
      </w:r>
    </w:p>
    <w:p w14:paraId="7BC20B4A" w14:textId="77777777" w:rsidR="00E74B41" w:rsidRPr="005A0F99"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5A0F9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Toda la información en posesión de cualquier autoridad</w:t>
      </w:r>
      <w:r w:rsidRPr="005A0F99">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5A0F99">
        <w:rPr>
          <w:rFonts w:ascii="Palatino Linotype" w:hAnsi="Palatino Linotype" w:cs="Arial"/>
          <w:b/>
          <w:i/>
          <w:color w:val="000000" w:themeColor="text1"/>
          <w:sz w:val="22"/>
        </w:rPr>
        <w:t>así como del gobierno y de la administración pública municipal y sus organismos descentralizados</w:t>
      </w:r>
      <w:r w:rsidRPr="005A0F99">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5A0F99">
        <w:rPr>
          <w:rFonts w:ascii="Palatino Linotype" w:hAnsi="Palatino Linotype" w:cs="Arial"/>
          <w:b/>
          <w:i/>
          <w:color w:val="000000" w:themeColor="text1"/>
          <w:sz w:val="22"/>
        </w:rPr>
        <w:t>es pública</w:t>
      </w:r>
      <w:r w:rsidRPr="005A0F99">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w:t>
      </w:r>
      <w:r w:rsidRPr="005A0F99">
        <w:rPr>
          <w:rFonts w:ascii="Palatino Linotype" w:hAnsi="Palatino Linotype" w:cs="Arial"/>
          <w:i/>
          <w:color w:val="000000" w:themeColor="text1"/>
          <w:sz w:val="22"/>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5A0F9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5A0F9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75C7D3C8" w14:textId="3E118EA6" w:rsidR="00E74B41" w:rsidRPr="005A0F9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5A0F9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5A0F9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5A0F99">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5A0F99">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5A0F99"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lastRenderedPageBreak/>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5A0F99" w:rsidRDefault="00E74B41" w:rsidP="002A6959">
      <w:pPr>
        <w:pStyle w:val="Prrafodelista"/>
        <w:spacing w:line="360" w:lineRule="auto"/>
        <w:ind w:left="567" w:right="616"/>
        <w:jc w:val="both"/>
        <w:rPr>
          <w:rFonts w:ascii="Palatino Linotype" w:hAnsi="Palatino Linotype" w:cs="Arial"/>
          <w:b/>
          <w:color w:val="000000" w:themeColor="text1"/>
        </w:rPr>
      </w:pPr>
      <w:r w:rsidRPr="005A0F99">
        <w:rPr>
          <w:rFonts w:ascii="Palatino Linotype" w:hAnsi="Palatino Linotype" w:cs="Arial"/>
          <w:b/>
          <w:i/>
          <w:color w:val="000000" w:themeColor="text1"/>
          <w:sz w:val="22"/>
        </w:rPr>
        <w:t>(Énfasis añadido)</w:t>
      </w:r>
    </w:p>
    <w:p w14:paraId="43DBB101" w14:textId="77777777" w:rsidR="00E74B41" w:rsidRPr="005A0F99" w:rsidRDefault="00E74B41" w:rsidP="00E74B41">
      <w:pPr>
        <w:spacing w:line="360" w:lineRule="auto"/>
        <w:jc w:val="both"/>
        <w:rPr>
          <w:rFonts w:ascii="Palatino Linotype" w:hAnsi="Palatino Linotype" w:cs="Arial"/>
          <w:color w:val="000000" w:themeColor="text1"/>
        </w:rPr>
      </w:pPr>
    </w:p>
    <w:p w14:paraId="5E223FB7" w14:textId="06D12008"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Adicional, tenemos que la Ley de Transparencia y Acceso a la Información Pública del Estado de México y Municipios, prevé en su artículo 23 fracción IV, lo siguiente:</w:t>
      </w:r>
    </w:p>
    <w:p w14:paraId="62F32CD7" w14:textId="77777777" w:rsidR="00E74B41" w:rsidRPr="005A0F99" w:rsidRDefault="00E74B41" w:rsidP="00E74B41">
      <w:pPr>
        <w:spacing w:line="360" w:lineRule="auto"/>
        <w:jc w:val="both"/>
        <w:rPr>
          <w:rFonts w:ascii="Palatino Linotype" w:hAnsi="Palatino Linotype" w:cs="Arial"/>
          <w:color w:val="000000" w:themeColor="text1"/>
        </w:rPr>
      </w:pPr>
    </w:p>
    <w:p w14:paraId="260C1A62"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rPr>
      </w:pPr>
      <w:r w:rsidRPr="005A0F99">
        <w:rPr>
          <w:rFonts w:ascii="Palatino Linotype" w:hAnsi="Palatino Linotype" w:cs="Arial"/>
          <w:b/>
          <w:i/>
          <w:color w:val="000000" w:themeColor="text1"/>
        </w:rPr>
        <w:t>“Artículo 23.</w:t>
      </w:r>
      <w:r w:rsidRPr="005A0F99">
        <w:rPr>
          <w:rFonts w:ascii="Palatino Linotype" w:hAnsi="Palatino Linotype" w:cs="Arial"/>
          <w:i/>
          <w:color w:val="000000" w:themeColor="text1"/>
        </w:rPr>
        <w:t xml:space="preserve"> Son sujetos obligados a transparentar y permitir el acceso a su información y proteger los datos personales que obren en su poder:</w:t>
      </w:r>
    </w:p>
    <w:p w14:paraId="395CF91E"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rPr>
      </w:pPr>
      <w:r w:rsidRPr="005A0F99">
        <w:rPr>
          <w:rFonts w:ascii="Palatino Linotype" w:hAnsi="Palatino Linotype" w:cs="Arial"/>
          <w:i/>
          <w:color w:val="000000" w:themeColor="text1"/>
        </w:rPr>
        <w:t>…</w:t>
      </w:r>
    </w:p>
    <w:p w14:paraId="3ECDD3BB" w14:textId="77777777" w:rsidR="00E74B41" w:rsidRPr="005A0F99" w:rsidRDefault="00E74B41" w:rsidP="002A6959">
      <w:pPr>
        <w:pStyle w:val="Prrafodelista"/>
        <w:spacing w:line="360" w:lineRule="auto"/>
        <w:ind w:left="567" w:right="616"/>
        <w:jc w:val="both"/>
        <w:rPr>
          <w:rFonts w:ascii="Palatino Linotype" w:hAnsi="Palatino Linotype" w:cs="Arial"/>
          <w:b/>
          <w:i/>
          <w:color w:val="000000" w:themeColor="text1"/>
        </w:rPr>
      </w:pPr>
      <w:r w:rsidRPr="005A0F99">
        <w:rPr>
          <w:rFonts w:ascii="Palatino Linotype" w:hAnsi="Palatino Linotype" w:cs="Arial"/>
          <w:b/>
          <w:i/>
          <w:color w:val="000000" w:themeColor="text1"/>
        </w:rPr>
        <w:t xml:space="preserve">IV. Los ayuntamientos y las dependencias, organismos, órganos y entidades de la administración municipal; </w:t>
      </w:r>
    </w:p>
    <w:p w14:paraId="794092FC" w14:textId="77777777" w:rsidR="00E74B41" w:rsidRPr="005A0F99" w:rsidRDefault="00E74B41" w:rsidP="002A6959">
      <w:pPr>
        <w:pStyle w:val="Prrafodelista"/>
        <w:spacing w:line="360" w:lineRule="auto"/>
        <w:ind w:left="567" w:right="616"/>
        <w:jc w:val="both"/>
        <w:rPr>
          <w:rFonts w:ascii="Palatino Linotype" w:hAnsi="Palatino Linotype" w:cs="Arial"/>
          <w:i/>
          <w:color w:val="000000" w:themeColor="text1"/>
        </w:rPr>
      </w:pPr>
      <w:r w:rsidRPr="005A0F99">
        <w:rPr>
          <w:rFonts w:ascii="Palatino Linotype" w:hAnsi="Palatino Linotype" w:cs="Arial"/>
          <w:i/>
          <w:color w:val="000000" w:themeColor="text1"/>
        </w:rPr>
        <w:t>…</w:t>
      </w:r>
    </w:p>
    <w:p w14:paraId="3D53B686" w14:textId="77777777" w:rsidR="00E74B41" w:rsidRPr="005A0F99" w:rsidRDefault="00E74B41" w:rsidP="002A6959">
      <w:pPr>
        <w:pStyle w:val="Prrafodelista"/>
        <w:spacing w:line="360" w:lineRule="auto"/>
        <w:ind w:left="567"/>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F8DF896" w14:textId="77777777" w:rsidR="00E74B41" w:rsidRPr="005A0F99" w:rsidRDefault="00E74B41" w:rsidP="002A6959">
      <w:pPr>
        <w:spacing w:line="360" w:lineRule="auto"/>
        <w:ind w:left="567"/>
        <w:jc w:val="both"/>
        <w:rPr>
          <w:rFonts w:ascii="Palatino Linotype" w:hAnsi="Palatino Linotype" w:cs="Arial"/>
          <w:i/>
          <w:color w:val="000000" w:themeColor="text1"/>
          <w:sz w:val="22"/>
        </w:rPr>
      </w:pPr>
    </w:p>
    <w:p w14:paraId="14867E64" w14:textId="77777777" w:rsidR="00E74B41" w:rsidRPr="005A0F99" w:rsidRDefault="00E74B41" w:rsidP="002A6959">
      <w:pPr>
        <w:pStyle w:val="Prrafodelista"/>
        <w:spacing w:line="360" w:lineRule="auto"/>
        <w:ind w:left="567"/>
        <w:jc w:val="both"/>
        <w:rPr>
          <w:rFonts w:ascii="Palatino Linotype" w:hAnsi="Palatino Linotype" w:cs="Arial"/>
          <w:i/>
          <w:color w:val="000000" w:themeColor="text1"/>
          <w:sz w:val="22"/>
        </w:rPr>
      </w:pPr>
      <w:r w:rsidRPr="005A0F99">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5A0F99" w:rsidRDefault="00E74B41" w:rsidP="002A6959">
      <w:pPr>
        <w:pStyle w:val="Prrafodelista"/>
        <w:spacing w:line="360" w:lineRule="auto"/>
        <w:ind w:left="567"/>
        <w:jc w:val="both"/>
        <w:rPr>
          <w:rFonts w:ascii="Palatino Linotype" w:hAnsi="Palatino Linotype" w:cs="Arial"/>
          <w:b/>
          <w:i/>
          <w:color w:val="000000" w:themeColor="text1"/>
          <w:sz w:val="22"/>
        </w:rPr>
      </w:pPr>
      <w:r w:rsidRPr="005A0F99">
        <w:rPr>
          <w:rFonts w:ascii="Palatino Linotype" w:hAnsi="Palatino Linotype" w:cs="Arial"/>
          <w:b/>
          <w:i/>
          <w:color w:val="000000" w:themeColor="text1"/>
          <w:sz w:val="22"/>
        </w:rPr>
        <w:t>(Énfasis añadido)</w:t>
      </w:r>
    </w:p>
    <w:p w14:paraId="7E0F0C42" w14:textId="77777777" w:rsidR="00E74B41" w:rsidRPr="005A0F99" w:rsidRDefault="00E74B41" w:rsidP="00E74B41">
      <w:pPr>
        <w:spacing w:line="360" w:lineRule="auto"/>
        <w:jc w:val="both"/>
        <w:rPr>
          <w:rFonts w:ascii="Palatino Linotype" w:hAnsi="Palatino Linotype" w:cs="Arial"/>
          <w:color w:val="000000" w:themeColor="text1"/>
        </w:rPr>
      </w:pPr>
    </w:p>
    <w:p w14:paraId="68F5A000" w14:textId="77777777" w:rsidR="002A6959" w:rsidRPr="005A0F99" w:rsidRDefault="00E74B41" w:rsidP="002A6959">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w:t>
      </w:r>
      <w:r w:rsidRPr="005A0F99">
        <w:rPr>
          <w:rFonts w:ascii="Palatino Linotype" w:hAnsi="Palatino Linotype" w:cs="Arial"/>
          <w:color w:val="000000" w:themeColor="text1"/>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Pr="005A0F99" w:rsidRDefault="002A6959" w:rsidP="002A6959">
      <w:pPr>
        <w:pStyle w:val="Prrafodelista"/>
        <w:spacing w:line="360" w:lineRule="auto"/>
        <w:ind w:left="0"/>
        <w:jc w:val="both"/>
        <w:rPr>
          <w:rFonts w:ascii="Palatino Linotype" w:hAnsi="Palatino Linotype" w:cs="Arial"/>
          <w:color w:val="000000" w:themeColor="text1"/>
        </w:rPr>
      </w:pPr>
    </w:p>
    <w:p w14:paraId="746A8804" w14:textId="307246BA" w:rsidR="00E74B41" w:rsidRPr="005A0F99" w:rsidRDefault="00E74B41" w:rsidP="002A6959">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Por lo anterior, es de referir que, el </w:t>
      </w:r>
      <w:r w:rsidR="003F2810" w:rsidRPr="005A0F99">
        <w:rPr>
          <w:rFonts w:ascii="Palatino Linotype" w:eastAsia="Calibri" w:hAnsi="Palatino Linotype" w:cs="Arial"/>
          <w:b/>
        </w:rPr>
        <w:t>Ayuntamiento de Zinacantepec</w:t>
      </w:r>
      <w:r w:rsidRPr="005A0F99">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35F0FBAA" w14:textId="77777777" w:rsidR="00E74B41" w:rsidRPr="005A0F99" w:rsidRDefault="00E74B41" w:rsidP="00E74B41">
      <w:pPr>
        <w:spacing w:line="360" w:lineRule="auto"/>
        <w:jc w:val="both"/>
        <w:rPr>
          <w:rFonts w:ascii="Palatino Linotype" w:hAnsi="Palatino Linotype" w:cs="Arial"/>
          <w:color w:val="000000" w:themeColor="text1"/>
        </w:rPr>
      </w:pPr>
    </w:p>
    <w:p w14:paraId="78F3661F" w14:textId="072E7895"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El particular solicitó lo siguiente:</w:t>
      </w:r>
    </w:p>
    <w:p w14:paraId="2CA1AA66" w14:textId="77777777" w:rsidR="00E74B41" w:rsidRPr="005A0F99" w:rsidRDefault="00E74B41" w:rsidP="00E74B41">
      <w:pPr>
        <w:spacing w:line="360" w:lineRule="auto"/>
        <w:jc w:val="both"/>
        <w:rPr>
          <w:rFonts w:ascii="Palatino Linotype" w:hAnsi="Palatino Linotype" w:cs="Arial"/>
          <w:color w:val="000000" w:themeColor="text1"/>
        </w:rPr>
      </w:pPr>
    </w:p>
    <w:p w14:paraId="5112DDB3" w14:textId="55930058" w:rsidR="00E74B41" w:rsidRPr="005A0F99" w:rsidRDefault="00B2215F" w:rsidP="002A6959">
      <w:pPr>
        <w:pStyle w:val="Prrafodelista"/>
        <w:numPr>
          <w:ilvl w:val="1"/>
          <w:numId w:val="32"/>
        </w:numPr>
        <w:spacing w:line="360" w:lineRule="auto"/>
        <w:ind w:left="567" w:firstLine="0"/>
        <w:jc w:val="both"/>
        <w:rPr>
          <w:rFonts w:ascii="Palatino Linotype" w:hAnsi="Palatino Linotype" w:cs="Arial"/>
          <w:color w:val="000000" w:themeColor="text1"/>
        </w:rPr>
      </w:pPr>
      <w:r w:rsidRPr="005A0F99">
        <w:rPr>
          <w:rFonts w:ascii="Palatino Linotype" w:hAnsi="Palatino Linotype" w:cs="Arial"/>
          <w:color w:val="000000" w:themeColor="text1"/>
        </w:rPr>
        <w:t>Oficios para el otorgamiento de vacaciones y asignación de guardias para el periodo vacacional.</w:t>
      </w:r>
    </w:p>
    <w:p w14:paraId="5BD00347" w14:textId="77777777" w:rsidR="00E74B41" w:rsidRPr="005A0F99" w:rsidRDefault="00E74B41" w:rsidP="00E74B41">
      <w:pPr>
        <w:spacing w:line="360" w:lineRule="auto"/>
        <w:jc w:val="both"/>
        <w:rPr>
          <w:rFonts w:ascii="Palatino Linotype" w:hAnsi="Palatino Linotype" w:cs="Arial"/>
          <w:color w:val="000000" w:themeColor="text1"/>
        </w:rPr>
      </w:pPr>
    </w:p>
    <w:p w14:paraId="75A88D3A" w14:textId="6DA97F94" w:rsidR="00E74B41" w:rsidRPr="005A0F99"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El Sujeto Obligado manifestó </w:t>
      </w:r>
      <w:r w:rsidR="00B2215F" w:rsidRPr="005A0F99">
        <w:rPr>
          <w:rFonts w:ascii="Palatino Linotype" w:hAnsi="Palatino Linotype" w:cs="Arial"/>
          <w:color w:val="000000" w:themeColor="text1"/>
        </w:rPr>
        <w:t>que los requerimientos corresponden a un derecho de petición.</w:t>
      </w:r>
    </w:p>
    <w:p w14:paraId="5E3EF1FD" w14:textId="77777777" w:rsidR="00E74B41" w:rsidRPr="005A0F99" w:rsidRDefault="00E74B41" w:rsidP="00E74B41">
      <w:pPr>
        <w:spacing w:line="360" w:lineRule="auto"/>
        <w:jc w:val="both"/>
        <w:rPr>
          <w:rFonts w:ascii="Palatino Linotype" w:hAnsi="Palatino Linotype" w:cs="Arial"/>
          <w:color w:val="000000" w:themeColor="text1"/>
        </w:rPr>
      </w:pPr>
    </w:p>
    <w:p w14:paraId="23EA1718" w14:textId="77777777" w:rsidR="009D7223" w:rsidRPr="005A0F99" w:rsidRDefault="00E74B41" w:rsidP="009D7223">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 xml:space="preserve">Mediante el informe </w:t>
      </w:r>
      <w:r w:rsidR="00B2215F" w:rsidRPr="005A0F99">
        <w:rPr>
          <w:rFonts w:ascii="Palatino Linotype" w:hAnsi="Palatino Linotype" w:cs="Arial"/>
          <w:color w:val="000000" w:themeColor="text1"/>
        </w:rPr>
        <w:t>justificado solicitó una ampliación para dar respuesta a  las solicitudes.</w:t>
      </w:r>
    </w:p>
    <w:p w14:paraId="0B4B2C9D" w14:textId="77777777" w:rsidR="009D7223" w:rsidRPr="005A0F99" w:rsidRDefault="009D7223" w:rsidP="009D7223">
      <w:pPr>
        <w:pStyle w:val="Prrafodelista"/>
        <w:rPr>
          <w:rFonts w:ascii="Palatino Linotype" w:hAnsi="Palatino Linotype" w:cs="Arial"/>
          <w:color w:val="000000" w:themeColor="text1"/>
        </w:rPr>
      </w:pPr>
    </w:p>
    <w:p w14:paraId="33DAE3FA" w14:textId="77777777" w:rsidR="009D7223" w:rsidRPr="005A0F99" w:rsidRDefault="009D7223" w:rsidP="009D7223">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hAnsi="Palatino Linotype" w:cs="Arial"/>
          <w:color w:val="000000" w:themeColor="text1"/>
        </w:rPr>
        <w:t>Ahora bien, previo</w:t>
      </w:r>
      <w:r w:rsidRPr="005A0F99">
        <w:rPr>
          <w:rFonts w:ascii="Palatino Linotype" w:eastAsia="Palatino Linotype" w:hAnsi="Palatino Linotype" w:cs="Palatino Linotype"/>
          <w:lang w:val="es-ES" w:eastAsia="es-MX"/>
        </w:rPr>
        <w:t xml:space="preserve"> a entrar al análisis del fondo del presente asunto, no escapa de la óptica de este Órgano Garante, que el Sujeto Obligado, a través de su respuesta mencionó que el particular ejerció un derecho de petición y no un derecho de acceso a la información, por lo que resulta necesario establecer las diferencias </w:t>
      </w:r>
      <w:r w:rsidRPr="005A0F99">
        <w:rPr>
          <w:rFonts w:ascii="Palatino Linotype" w:eastAsia="Palatino Linotype" w:hAnsi="Palatino Linotype" w:cs="Palatino Linotype"/>
          <w:lang w:val="es-ES" w:eastAsia="es-MX"/>
        </w:rPr>
        <w:lastRenderedPageBreak/>
        <w:t>entre el derecho de petición y el derecho base del asunto que nos ocupa, basado en lo siguiente:</w:t>
      </w:r>
    </w:p>
    <w:p w14:paraId="200E6399" w14:textId="77777777" w:rsidR="009D7223" w:rsidRPr="005A0F99" w:rsidRDefault="009D7223" w:rsidP="009D7223">
      <w:pPr>
        <w:pStyle w:val="Prrafodelista"/>
        <w:rPr>
          <w:rFonts w:ascii="Palatino Linotype" w:eastAsia="Palatino Linotype" w:hAnsi="Palatino Linotype" w:cs="Palatino Linotype"/>
          <w:lang w:val="es-ES" w:eastAsia="es-MX"/>
        </w:rPr>
      </w:pPr>
    </w:p>
    <w:p w14:paraId="1DCDC929" w14:textId="77777777" w:rsidR="009D7223" w:rsidRPr="005A0F99" w:rsidRDefault="009D7223" w:rsidP="009D7223">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eastAsia="Palatino Linotype" w:hAnsi="Palatino Linotype" w:cs="Palatino Linotype"/>
          <w:lang w:val="es-ES" w:eastAsia="es-MX"/>
        </w:rPr>
        <w:t>El Maestro Ignacio Burgoa Orihuela refiere que el derecho de petición “…</w:t>
      </w:r>
      <w:r w:rsidRPr="005A0F99">
        <w:rPr>
          <w:rFonts w:ascii="Palatino Linotype" w:eastAsia="Palatino Linotype" w:hAnsi="Palatino Linotype" w:cs="Palatino Linotype"/>
          <w:i/>
          <w:lang w:val="es-ES" w:eastAsia="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A0F99">
        <w:rPr>
          <w:rFonts w:ascii="Palatino Linotype" w:eastAsia="Palatino Linotype" w:hAnsi="Palatino Linotype" w:cs="Palatino Linotype"/>
          <w:i/>
          <w:vertAlign w:val="superscript"/>
          <w:lang w:val="es-ES" w:eastAsia="es-MX"/>
        </w:rPr>
        <w:t xml:space="preserve"> </w:t>
      </w:r>
      <w:r w:rsidRPr="005A0F99">
        <w:rPr>
          <w:vertAlign w:val="superscript"/>
          <w:lang w:val="es-ES" w:eastAsia="es-MX"/>
        </w:rPr>
        <w:footnoteReference w:id="1"/>
      </w:r>
      <w:r w:rsidRPr="005A0F99">
        <w:rPr>
          <w:rFonts w:ascii="Palatino Linotype" w:eastAsia="Palatino Linotype" w:hAnsi="Palatino Linotype" w:cs="Palatino Linotype"/>
          <w:i/>
          <w:lang w:val="es-ES" w:eastAsia="es-MX"/>
        </w:rPr>
        <w:t xml:space="preserve">“, </w:t>
      </w:r>
      <w:r w:rsidRPr="005A0F99">
        <w:rPr>
          <w:rFonts w:ascii="Palatino Linotype" w:eastAsia="Palatino Linotype" w:hAnsi="Palatino Linotype" w:cs="Palatino Linotype"/>
          <w:lang w:val="es-ES" w:eastAsia="es-MX"/>
        </w:rPr>
        <w:t>mientras que</w:t>
      </w:r>
      <w:r w:rsidRPr="005A0F99">
        <w:rPr>
          <w:rFonts w:ascii="Palatino Linotype" w:eastAsia="Palatino Linotype" w:hAnsi="Palatino Linotype" w:cs="Palatino Linotype"/>
          <w:i/>
          <w:lang w:val="es-ES" w:eastAsia="es-MX"/>
        </w:rPr>
        <w:t xml:space="preserve"> </w:t>
      </w:r>
      <w:r w:rsidRPr="005A0F99">
        <w:rPr>
          <w:rFonts w:ascii="Palatino Linotype" w:eastAsia="Palatino Linotype" w:hAnsi="Palatino Linotype" w:cs="Palatino Linotype"/>
          <w:lang w:val="es-ES" w:eastAsia="es-MX"/>
        </w:rPr>
        <w:t xml:space="preserve">David Cienfuegos Salgado, lo concibe como </w:t>
      </w:r>
      <w:r w:rsidRPr="005A0F99">
        <w:rPr>
          <w:rFonts w:ascii="Palatino Linotype" w:eastAsia="Palatino Linotype" w:hAnsi="Palatino Linotype" w:cs="Palatino Linotype"/>
          <w:i/>
          <w:lang w:val="es-ES" w:eastAsia="es-MX"/>
        </w:rPr>
        <w:t>“el derecho de toda persona a ser escuchado por quienes ejercen el poder público.</w:t>
      </w:r>
      <w:r w:rsidRPr="005A0F99">
        <w:rPr>
          <w:rFonts w:ascii="Palatino Linotype" w:eastAsia="Palatino Linotype" w:hAnsi="Palatino Linotype" w:cs="Palatino Linotype"/>
          <w:i/>
          <w:vertAlign w:val="superscript"/>
          <w:lang w:val="es-ES" w:eastAsia="es-MX"/>
        </w:rPr>
        <w:t xml:space="preserve"> </w:t>
      </w:r>
      <w:r w:rsidRPr="005A0F99">
        <w:rPr>
          <w:vertAlign w:val="superscript"/>
          <w:lang w:val="es-ES" w:eastAsia="es-MX"/>
        </w:rPr>
        <w:footnoteReference w:id="2"/>
      </w:r>
      <w:r w:rsidRPr="005A0F99">
        <w:rPr>
          <w:rFonts w:ascii="Palatino Linotype" w:eastAsia="Palatino Linotype" w:hAnsi="Palatino Linotype" w:cs="Palatino Linotype"/>
          <w:i/>
          <w:lang w:val="es-ES" w:eastAsia="es-MX"/>
        </w:rPr>
        <w:t xml:space="preserve">” </w:t>
      </w:r>
    </w:p>
    <w:p w14:paraId="0B932DCE" w14:textId="77777777" w:rsidR="009D7223" w:rsidRPr="005A0F99" w:rsidRDefault="009D7223" w:rsidP="009D7223">
      <w:pPr>
        <w:pStyle w:val="Prrafodelista"/>
        <w:rPr>
          <w:rFonts w:ascii="Palatino Linotype" w:eastAsia="Palatino Linotype" w:hAnsi="Palatino Linotype" w:cs="Palatino Linotype"/>
          <w:lang w:val="es-ES" w:eastAsia="es-MX"/>
        </w:rPr>
      </w:pPr>
    </w:p>
    <w:p w14:paraId="0B13124E" w14:textId="7AAAF558" w:rsidR="009D7223" w:rsidRPr="005A0F99" w:rsidRDefault="009D7223" w:rsidP="009D7223">
      <w:pPr>
        <w:pStyle w:val="Prrafodelista"/>
        <w:numPr>
          <w:ilvl w:val="0"/>
          <w:numId w:val="32"/>
        </w:numPr>
        <w:spacing w:line="360" w:lineRule="auto"/>
        <w:ind w:left="0" w:firstLine="0"/>
        <w:jc w:val="both"/>
        <w:rPr>
          <w:rFonts w:ascii="Palatino Linotype" w:hAnsi="Palatino Linotype" w:cs="Arial"/>
          <w:color w:val="000000" w:themeColor="text1"/>
        </w:rPr>
      </w:pPr>
      <w:r w:rsidRPr="005A0F99">
        <w:rPr>
          <w:rFonts w:ascii="Palatino Linotype" w:eastAsia="Palatino Linotype" w:hAnsi="Palatino Linotype" w:cs="Palatino Linotype"/>
          <w:lang w:val="es-ES" w:eastAsia="es-MX"/>
        </w:rPr>
        <w:t xml:space="preserve">Para diferenciar el derecho de petición al derecho de acceso a la información, resulta conducente señalar que José Guadalupe Robles, conceptualiza el derecho a la información como </w:t>
      </w:r>
      <w:r w:rsidRPr="005A0F99">
        <w:rPr>
          <w:rFonts w:ascii="Palatino Linotype" w:eastAsia="Palatino Linotype" w:hAnsi="Palatino Linotype" w:cs="Palatino Linotype"/>
          <w:i/>
          <w:lang w:val="es-ES"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A0F99">
        <w:rPr>
          <w:rFonts w:ascii="Palatino Linotype" w:eastAsia="Palatino Linotype" w:hAnsi="Palatino Linotype" w:cs="Palatino Linotype"/>
          <w:i/>
          <w:vertAlign w:val="superscript"/>
          <w:lang w:val="es-ES" w:eastAsia="es-MX"/>
        </w:rPr>
        <w:t xml:space="preserve"> </w:t>
      </w:r>
      <w:r w:rsidRPr="005A0F99">
        <w:rPr>
          <w:i/>
          <w:vertAlign w:val="superscript"/>
          <w:lang w:val="es-ES" w:eastAsia="es-MX"/>
        </w:rPr>
        <w:footnoteReference w:id="3"/>
      </w:r>
      <w:r w:rsidRPr="005A0F99">
        <w:rPr>
          <w:rFonts w:ascii="Palatino Linotype" w:eastAsia="Palatino Linotype" w:hAnsi="Palatino Linotype" w:cs="Palatino Linotype"/>
          <w:i/>
          <w:lang w:val="es-ES" w:eastAsia="es-MX"/>
        </w:rPr>
        <w:t>“</w:t>
      </w:r>
    </w:p>
    <w:p w14:paraId="75B1EDF5" w14:textId="77777777" w:rsidR="009D7223" w:rsidRPr="005A0F99" w:rsidRDefault="009D7223" w:rsidP="009D7223">
      <w:pPr>
        <w:pStyle w:val="Prrafodelista"/>
        <w:rPr>
          <w:rFonts w:ascii="Palatino Linotype" w:eastAsia="Palatino Linotype" w:hAnsi="Palatino Linotype" w:cs="Palatino Linotype"/>
          <w:lang w:val="es-ES" w:eastAsia="es-MX"/>
        </w:rPr>
      </w:pPr>
    </w:p>
    <w:p w14:paraId="4602D5FA" w14:textId="1F97E4C9"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t xml:space="preserve">Además, el derecho a la información constituye una prerrogativa de acceder a documentación en poder de los </w:t>
      </w:r>
      <w:r w:rsidRPr="005A0F99">
        <w:rPr>
          <w:rFonts w:ascii="Palatino Linotype" w:eastAsia="Palatino Linotype" w:hAnsi="Palatino Linotype" w:cs="Palatino Linotype"/>
          <w:u w:val="single"/>
          <w:lang w:val="es-ES" w:eastAsia="es-MX"/>
        </w:rPr>
        <w:t>Sujetos Obligados</w:t>
      </w:r>
      <w:r w:rsidRPr="005A0F99">
        <w:rPr>
          <w:rFonts w:ascii="Palatino Linotype" w:eastAsia="Palatino Linotype" w:hAnsi="Palatino Linotype" w:cs="Palatino Linotype"/>
          <w:lang w:val="es-ES" w:eastAsia="es-MX"/>
        </w:rPr>
        <w:t xml:space="preserve">, no así a realizar cuestionamientos, o manifestaciones subjetivas. </w:t>
      </w:r>
    </w:p>
    <w:p w14:paraId="75D7A8F7" w14:textId="77777777" w:rsidR="009D7223" w:rsidRPr="005A0F99" w:rsidRDefault="009D7223" w:rsidP="009D7223">
      <w:pPr>
        <w:pStyle w:val="Prrafodelista"/>
        <w:rPr>
          <w:rFonts w:ascii="Palatino Linotype" w:eastAsia="Palatino Linotype" w:hAnsi="Palatino Linotype" w:cs="Palatino Linotype"/>
          <w:lang w:val="es-ES" w:eastAsia="es-MX"/>
        </w:rPr>
      </w:pPr>
    </w:p>
    <w:p w14:paraId="6D7A0111"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lastRenderedPageBreak/>
        <w:t>Sirve de apoyo a lo anterior la definición de derecho a la información de Ernesto Villanueva Villanueva que dice: “</w:t>
      </w:r>
      <w:r w:rsidRPr="005A0F99">
        <w:rPr>
          <w:rFonts w:ascii="Palatino Linotype" w:eastAsia="Palatino Linotype" w:hAnsi="Palatino Linotype" w:cs="Palatino Linotype"/>
          <w:i/>
          <w:lang w:val="es-ES"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5A0F99">
        <w:rPr>
          <w:i/>
          <w:vertAlign w:val="superscript"/>
          <w:lang w:val="es-ES" w:eastAsia="es-MX"/>
        </w:rPr>
        <w:footnoteReference w:id="4"/>
      </w:r>
    </w:p>
    <w:p w14:paraId="7C87D465" w14:textId="77777777" w:rsidR="009D7223" w:rsidRPr="005A0F99" w:rsidRDefault="009D7223" w:rsidP="009D7223">
      <w:pPr>
        <w:pStyle w:val="Prrafodelista"/>
        <w:ind w:left="0"/>
        <w:rPr>
          <w:rFonts w:ascii="Palatino Linotype" w:eastAsia="Palatino Linotype" w:hAnsi="Palatino Linotype" w:cs="Palatino Linotype"/>
          <w:lang w:val="es-ES" w:eastAsia="es-MX"/>
        </w:rPr>
      </w:pPr>
    </w:p>
    <w:p w14:paraId="01EC2433"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t xml:space="preserve">Por lo que, </w:t>
      </w:r>
      <w:r w:rsidRPr="005A0F99">
        <w:rPr>
          <w:rFonts w:ascii="Palatino Linotype" w:eastAsia="Palatino Linotype" w:hAnsi="Palatino Linotype" w:cs="Palatino Linotype"/>
          <w:b/>
          <w:lang w:val="es-ES" w:eastAsia="es-MX"/>
        </w:rPr>
        <w:t>la entrega de una razón o un razonamiento por parte del Sujeto Obligado no es algo que la ley establezca como atribución, derecho, o facultad</w:t>
      </w:r>
      <w:r w:rsidRPr="005A0F99">
        <w:rPr>
          <w:rFonts w:ascii="Palatino Linotype" w:eastAsia="Palatino Linotype" w:hAnsi="Palatino Linotype" w:cs="Palatino Linotype"/>
          <w:lang w:val="es-ES" w:eastAsia="es-MX"/>
        </w:rPr>
        <w:t xml:space="preserve">; </w:t>
      </w:r>
      <w:r w:rsidRPr="005A0F99">
        <w:rPr>
          <w:rFonts w:ascii="Palatino Linotype" w:eastAsia="Palatino Linotype" w:hAnsi="Palatino Linotype" w:cs="Palatino Linotype"/>
          <w:b/>
          <w:lang w:val="es-ES" w:eastAsia="es-MX"/>
        </w:rPr>
        <w:t>pues ello implicaría un juicio de valor referente a un cuestionamiento realizado</w:t>
      </w:r>
      <w:r w:rsidRPr="005A0F99">
        <w:rPr>
          <w:rFonts w:ascii="Palatino Linotype" w:eastAsia="Palatino Linotype" w:hAnsi="Palatino Linotype" w:cs="Palatino Linotype"/>
          <w:lang w:val="es-ES" w:eastAsia="es-MX"/>
        </w:rPr>
        <w:t>, los cuales, al constituir interrogantes, inquietudes y manifestaciones se satisfacen vía derecho de petición.</w:t>
      </w:r>
    </w:p>
    <w:p w14:paraId="5B357598" w14:textId="77777777" w:rsidR="009D7223" w:rsidRPr="005A0F99" w:rsidRDefault="009D7223" w:rsidP="009D7223">
      <w:pPr>
        <w:pStyle w:val="Prrafodelista"/>
        <w:ind w:left="0"/>
        <w:rPr>
          <w:rFonts w:ascii="Palatino Linotype" w:eastAsia="Palatino Linotype" w:hAnsi="Palatino Linotype" w:cs="Palatino Linotype"/>
          <w:lang w:val="es-ES" w:eastAsia="es-MX"/>
        </w:rPr>
      </w:pPr>
    </w:p>
    <w:p w14:paraId="2CED237C"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20771FAB" w14:textId="77777777" w:rsidR="009D7223" w:rsidRPr="005A0F99" w:rsidRDefault="009D7223" w:rsidP="009D7223">
      <w:pPr>
        <w:pStyle w:val="Prrafodelista"/>
        <w:ind w:left="0"/>
        <w:rPr>
          <w:rFonts w:ascii="Palatino Linotype" w:eastAsia="Palatino Linotype" w:hAnsi="Palatino Linotype" w:cs="Palatino Linotype"/>
          <w:lang w:val="es-ES" w:eastAsia="es-MX"/>
        </w:rPr>
      </w:pPr>
    </w:p>
    <w:p w14:paraId="1506B1E0"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CE28E2E" w14:textId="77777777" w:rsidR="009D7223" w:rsidRPr="005A0F99" w:rsidRDefault="009D7223" w:rsidP="009D7223">
      <w:pPr>
        <w:pStyle w:val="Prrafodelista"/>
        <w:ind w:left="0"/>
        <w:rPr>
          <w:rFonts w:ascii="Palatino Linotype" w:eastAsia="Palatino Linotype" w:hAnsi="Palatino Linotype" w:cs="Palatino Linotype"/>
          <w:lang w:val="es-ES" w:eastAsia="es-MX"/>
        </w:rPr>
      </w:pPr>
    </w:p>
    <w:p w14:paraId="5A755034"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6192BE65" w14:textId="77777777" w:rsidR="009D7223" w:rsidRPr="005A0F99" w:rsidRDefault="009D7223" w:rsidP="009D7223">
      <w:pPr>
        <w:pStyle w:val="Prrafodelista"/>
        <w:rPr>
          <w:rFonts w:ascii="Palatino Linotype" w:eastAsia="Palatino Linotype" w:hAnsi="Palatino Linotype" w:cs="Palatino Linotype"/>
          <w:lang w:val="es-ES" w:eastAsia="es-MX"/>
        </w:rPr>
      </w:pPr>
    </w:p>
    <w:p w14:paraId="559F0AEC"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lang w:val="es-ES" w:eastAsia="es-MX"/>
        </w:rPr>
      </w:pPr>
      <w:r w:rsidRPr="005A0F99">
        <w:rPr>
          <w:rFonts w:ascii="Palatino Linotype" w:eastAsia="Palatino Linotype" w:hAnsi="Palatino Linotype" w:cs="Palatino Linotype"/>
          <w:lang w:val="es-ES" w:eastAsia="es-MX"/>
        </w:rPr>
        <w:t>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72DE98" w14:textId="77777777" w:rsidR="009D7223" w:rsidRPr="005A0F99" w:rsidRDefault="009D7223" w:rsidP="009D7223">
      <w:pPr>
        <w:pStyle w:val="Prrafodelista"/>
        <w:ind w:left="0"/>
        <w:rPr>
          <w:rFonts w:ascii="Palatino Linotype" w:eastAsia="Palatino Linotype" w:hAnsi="Palatino Linotype" w:cs="Palatino Linotype"/>
          <w:lang w:val="es-ES" w:eastAsia="es-MX"/>
        </w:rPr>
      </w:pPr>
    </w:p>
    <w:p w14:paraId="3ED24569"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w:t>
      </w:r>
      <w:r w:rsidRPr="005A0F99">
        <w:rPr>
          <w:rFonts w:ascii="Palatino Linotype" w:eastAsia="Palatino Linotype" w:hAnsi="Palatino Linotype" w:cs="Palatino Linotype"/>
          <w:lang w:val="es-ES" w:eastAsia="es-MX"/>
        </w:rPr>
        <w:lastRenderedPageBreak/>
        <w:t xml:space="preserve">satisfacer el derecho de acceso a la información conforme al interés de los particulares. </w:t>
      </w:r>
    </w:p>
    <w:p w14:paraId="23BD9EF8" w14:textId="77777777" w:rsidR="009D7223" w:rsidRPr="005A0F99" w:rsidRDefault="009D7223" w:rsidP="009D7223">
      <w:pPr>
        <w:pStyle w:val="Prrafodelista"/>
        <w:ind w:left="0"/>
        <w:rPr>
          <w:rFonts w:ascii="Palatino Linotype" w:eastAsia="Palatino Linotype" w:hAnsi="Palatino Linotype" w:cs="Palatino Linotype"/>
          <w:lang w:val="es-ES" w:eastAsia="es-MX"/>
        </w:rPr>
      </w:pPr>
    </w:p>
    <w:p w14:paraId="3C88510F"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t xml:space="preserve">Así, se puede concluir que la distinción entre el derecho de petición y el derecho de acceso a la información pública estriba principalmente en que en el primero de ellos, la pretensión del peticionario consiste generalmente en </w:t>
      </w:r>
      <w:r w:rsidRPr="005A0F99">
        <w:rPr>
          <w:rFonts w:ascii="Palatino Linotype" w:eastAsia="Palatino Linotype" w:hAnsi="Palatino Linotype" w:cs="Palatino Linotype"/>
          <w:i/>
          <w:lang w:val="es-ES" w:eastAsia="es-MX"/>
        </w:rPr>
        <w:t>obligar a la autoridad responsable a que actúe en el sentido de contestar lo solicitado</w:t>
      </w:r>
      <w:r w:rsidRPr="005A0F99">
        <w:rPr>
          <w:rFonts w:ascii="Palatino Linotype" w:eastAsia="Palatino Linotype" w:hAnsi="Palatino Linotype" w:cs="Palatino Linotype"/>
          <w:lang w:val="es-ES" w:eastAsia="es-MX"/>
        </w:rPr>
        <w:t xml:space="preserve">, mientras que en el segundo supuesto la solicitud de acceso a la información pública </w:t>
      </w:r>
      <w:r w:rsidRPr="005A0F99">
        <w:rPr>
          <w:rFonts w:ascii="Palatino Linotype" w:eastAsia="Palatino Linotype" w:hAnsi="Palatino Linotype" w:cs="Palatino Linotype"/>
          <w:i/>
          <w:lang w:val="es-ES" w:eastAsia="es-MX"/>
        </w:rPr>
        <w:t>se encamina primordialmente a permitir el acceso a datos, registros y todo tipo de información pública que conste en documentos, sea generada o se encuentre en posesión de la autoridad.</w:t>
      </w:r>
    </w:p>
    <w:p w14:paraId="549A726E" w14:textId="77777777" w:rsidR="009D7223" w:rsidRPr="005A0F99" w:rsidRDefault="009D7223" w:rsidP="009D7223">
      <w:pPr>
        <w:pStyle w:val="Prrafodelista"/>
        <w:ind w:left="0"/>
        <w:rPr>
          <w:rFonts w:ascii="Palatino Linotype" w:eastAsia="Palatino Linotype" w:hAnsi="Palatino Linotype" w:cs="Palatino Linotype"/>
          <w:lang w:val="es-ES" w:eastAsia="es-MX"/>
        </w:rPr>
      </w:pPr>
    </w:p>
    <w:p w14:paraId="4424D8D3" w14:textId="77777777" w:rsidR="009D7223" w:rsidRPr="005A0F99" w:rsidRDefault="009D7223" w:rsidP="009D7223">
      <w:pPr>
        <w:pStyle w:val="Prrafodelista"/>
        <w:numPr>
          <w:ilvl w:val="0"/>
          <w:numId w:val="32"/>
        </w:numPr>
        <w:spacing w:before="240" w:after="360" w:line="360" w:lineRule="auto"/>
        <w:ind w:left="0" w:firstLine="0"/>
        <w:jc w:val="both"/>
        <w:rPr>
          <w:rFonts w:ascii="Palatino Linotype" w:eastAsia="Palatino Linotype" w:hAnsi="Palatino Linotype" w:cs="Palatino Linotype"/>
          <w:i/>
          <w:lang w:val="es-ES" w:eastAsia="es-MX"/>
        </w:rPr>
      </w:pPr>
      <w:r w:rsidRPr="005A0F99">
        <w:rPr>
          <w:rFonts w:ascii="Palatino Linotype" w:eastAsia="Palatino Linotype" w:hAnsi="Palatino Linotype" w:cs="Palatino Linotype"/>
          <w:lang w:val="es-ES" w:eastAsia="es-MX"/>
        </w:rPr>
        <w:t xml:space="preserve">Asimismo, es importante enfatizar que el Derecho de Acceso a la Información Pública consiste en que la </w:t>
      </w:r>
      <w:r w:rsidRPr="005A0F99">
        <w:rPr>
          <w:rFonts w:ascii="Palatino Linotype" w:eastAsia="Palatino Linotype" w:hAnsi="Palatino Linotype" w:cs="Palatino Linotype"/>
          <w:b/>
          <w:u w:val="single"/>
          <w:lang w:val="es-ES" w:eastAsia="es-MX"/>
        </w:rPr>
        <w:t>información solicitada conste en un soporte documental</w:t>
      </w:r>
      <w:r w:rsidRPr="005A0F99">
        <w:rPr>
          <w:rFonts w:ascii="Palatino Linotype" w:eastAsia="Palatino Linotype" w:hAnsi="Palatino Linotype" w:cs="Palatino Linotype"/>
          <w:lang w:val="es-ES" w:eastAsia="es-MX"/>
        </w:rPr>
        <w:t xml:space="preserve"> en cualquiera de sus formas, a saber: expedientes, reportes, estudios, actas</w:t>
      </w:r>
      <w:r w:rsidRPr="005A0F99">
        <w:rPr>
          <w:rFonts w:ascii="Palatino Linotype" w:eastAsia="Palatino Linotype" w:hAnsi="Palatino Linotype" w:cs="Palatino Linotype"/>
          <w:b/>
          <w:lang w:val="es-ES" w:eastAsia="es-MX"/>
        </w:rPr>
        <w:t>,</w:t>
      </w:r>
      <w:r w:rsidRPr="005A0F99">
        <w:rPr>
          <w:rFonts w:ascii="Palatino Linotype" w:eastAsia="Palatino Linotype" w:hAnsi="Palatino Linotype" w:cs="Palatino Linotype"/>
          <w:lang w:val="es-ES"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49F0D10D" w14:textId="77777777" w:rsidR="009D7223" w:rsidRPr="005A0F99" w:rsidRDefault="009D7223" w:rsidP="009D7223">
      <w:pPr>
        <w:pStyle w:val="Prrafodelista"/>
        <w:spacing w:line="360" w:lineRule="auto"/>
        <w:ind w:left="0"/>
        <w:jc w:val="both"/>
        <w:rPr>
          <w:rFonts w:ascii="Palatino Linotype" w:hAnsi="Palatino Linotype" w:cs="Arial"/>
          <w:color w:val="000000" w:themeColor="text1"/>
        </w:rPr>
      </w:pPr>
    </w:p>
    <w:p w14:paraId="566C64FE" w14:textId="4F45E7EA" w:rsidR="009D7223" w:rsidRPr="005A0F99" w:rsidRDefault="009D7223" w:rsidP="009D7223">
      <w:pPr>
        <w:pStyle w:val="Prrafodelista"/>
        <w:numPr>
          <w:ilvl w:val="0"/>
          <w:numId w:val="32"/>
        </w:numPr>
        <w:spacing w:line="360" w:lineRule="auto"/>
        <w:ind w:left="0" w:firstLine="0"/>
        <w:jc w:val="both"/>
        <w:rPr>
          <w:rFonts w:ascii="Palatino Linotype" w:hAnsi="Palatino Linotype" w:cs="Arial"/>
          <w:lang w:val="es-419"/>
        </w:rPr>
      </w:pPr>
      <w:r w:rsidRPr="005A0F99">
        <w:rPr>
          <w:rFonts w:ascii="Palatino Linotype" w:hAnsi="Palatino Linotype" w:cs="Arial"/>
          <w:lang w:val="es-419"/>
        </w:rPr>
        <w:t xml:space="preserve">Entonces, resulta oportuno que al solicitar oficios, se aprecia que si es información que obra en soporte documental y debe obrar en los archivos del Sujeto Obligado. </w:t>
      </w:r>
      <w:r w:rsidR="00660A92" w:rsidRPr="005A0F99">
        <w:rPr>
          <w:rFonts w:ascii="Palatino Linotype" w:hAnsi="Palatino Linotype" w:cs="Arial"/>
          <w:lang w:val="es-419"/>
        </w:rPr>
        <w:t xml:space="preserve">Además, al referirse a periodos de vacaciones y las guardias del personal que se quedó a laborar en dichos periodos vacacionales, es conveniente traer a </w:t>
      </w:r>
      <w:r w:rsidR="00660A92" w:rsidRPr="005A0F99">
        <w:rPr>
          <w:rFonts w:ascii="Palatino Linotype" w:hAnsi="Palatino Linotype" w:cs="Arial"/>
          <w:lang w:val="es-419"/>
        </w:rPr>
        <w:lastRenderedPageBreak/>
        <w:t>colación la Ley del Trabajado de los Servidores Públicos del Estado de México y Municipios, la cual dispone lo siguiente:</w:t>
      </w:r>
    </w:p>
    <w:p w14:paraId="4E005200" w14:textId="77777777" w:rsidR="00660A92" w:rsidRPr="005A0F99" w:rsidRDefault="00660A92" w:rsidP="00660A92">
      <w:pPr>
        <w:pStyle w:val="Prrafodelista"/>
        <w:rPr>
          <w:rFonts w:ascii="Palatino Linotype" w:hAnsi="Palatino Linotype" w:cs="Arial"/>
          <w:lang w:val="es-419"/>
        </w:rPr>
      </w:pPr>
    </w:p>
    <w:p w14:paraId="47DEEB93" w14:textId="77777777" w:rsidR="00660A92" w:rsidRPr="005A0F99" w:rsidRDefault="00660A92" w:rsidP="00660A92">
      <w:pPr>
        <w:pStyle w:val="Prrafodelista"/>
        <w:spacing w:line="360" w:lineRule="auto"/>
        <w:ind w:left="0"/>
        <w:jc w:val="both"/>
        <w:rPr>
          <w:rFonts w:ascii="Palatino Linotype" w:hAnsi="Palatino Linotype" w:cs="Arial"/>
          <w:lang w:val="es-419"/>
        </w:rPr>
      </w:pPr>
    </w:p>
    <w:p w14:paraId="2D597D14" w14:textId="30FB6DDA" w:rsidR="00660A92" w:rsidRPr="005A0F99" w:rsidRDefault="00660A92" w:rsidP="00660A92">
      <w:pPr>
        <w:pStyle w:val="Prrafodelista"/>
        <w:spacing w:line="360" w:lineRule="auto"/>
        <w:ind w:left="567" w:right="616"/>
        <w:jc w:val="both"/>
        <w:rPr>
          <w:rFonts w:ascii="Palatino Linotype" w:hAnsi="Palatino Linotype"/>
          <w:b/>
          <w:i/>
          <w:sz w:val="22"/>
        </w:rPr>
      </w:pPr>
      <w:r w:rsidRPr="005A0F99">
        <w:rPr>
          <w:rFonts w:ascii="Palatino Linotype" w:hAnsi="Palatino Linotype"/>
          <w:b/>
          <w:i/>
          <w:sz w:val="22"/>
        </w:rPr>
        <w:t>ARTÍCULO 65 BIS. …</w:t>
      </w:r>
    </w:p>
    <w:p w14:paraId="263CA2E5" w14:textId="77777777" w:rsidR="00F25211" w:rsidRPr="005A0F99" w:rsidRDefault="00F25211" w:rsidP="00660A92">
      <w:pPr>
        <w:pStyle w:val="Prrafodelista"/>
        <w:spacing w:line="360" w:lineRule="auto"/>
        <w:ind w:left="567" w:right="616"/>
        <w:jc w:val="both"/>
        <w:rPr>
          <w:rFonts w:ascii="Palatino Linotype" w:hAnsi="Palatino Linotype"/>
          <w:i/>
          <w:sz w:val="22"/>
        </w:rPr>
      </w:pPr>
    </w:p>
    <w:p w14:paraId="38B21EB6" w14:textId="10E15F53" w:rsidR="00660A92" w:rsidRPr="005A0F99" w:rsidRDefault="00660A92" w:rsidP="00660A92">
      <w:pPr>
        <w:pStyle w:val="Prrafodelista"/>
        <w:spacing w:line="360" w:lineRule="auto"/>
        <w:ind w:left="567" w:right="616"/>
        <w:jc w:val="both"/>
        <w:rPr>
          <w:rFonts w:ascii="Palatino Linotype" w:hAnsi="Palatino Linotype"/>
          <w:b/>
          <w:i/>
          <w:sz w:val="22"/>
        </w:rPr>
      </w:pPr>
      <w:r w:rsidRPr="005A0F99">
        <w:rPr>
          <w:rFonts w:ascii="Palatino Linotype" w:hAnsi="Palatino Linotype"/>
          <w:b/>
          <w:i/>
          <w:sz w:val="22"/>
        </w:rPr>
        <w:t>Las instituciones públicas preferentemente establecerán un calendario durante el mes de octubre de cada año</w:t>
      </w:r>
      <w:r w:rsidRPr="005A0F99">
        <w:rPr>
          <w:rFonts w:ascii="Palatino Linotype" w:hAnsi="Palatino Linotype"/>
          <w:i/>
          <w:sz w:val="22"/>
        </w:rPr>
        <w:t xml:space="preserve">, a fin de que, atendiendo a la naturaleza de las actividades que desempeñen, </w:t>
      </w:r>
      <w:r w:rsidRPr="005A0F99">
        <w:rPr>
          <w:rFonts w:ascii="Palatino Linotype" w:hAnsi="Palatino Linotype"/>
          <w:b/>
          <w:i/>
          <w:sz w:val="22"/>
        </w:rPr>
        <w:t>gradualmente se otorguen las autorizaciones a favor de las Personas Servidoras Públicas.</w:t>
      </w:r>
    </w:p>
    <w:p w14:paraId="3112BE28" w14:textId="77777777" w:rsidR="00660A92" w:rsidRPr="005A0F99" w:rsidRDefault="00660A92" w:rsidP="00660A92">
      <w:pPr>
        <w:pStyle w:val="Prrafodelista"/>
        <w:spacing w:line="360" w:lineRule="auto"/>
        <w:ind w:left="567" w:right="616"/>
        <w:jc w:val="both"/>
        <w:rPr>
          <w:rFonts w:ascii="Palatino Linotype" w:hAnsi="Palatino Linotype"/>
          <w:i/>
          <w:sz w:val="22"/>
        </w:rPr>
      </w:pPr>
    </w:p>
    <w:p w14:paraId="1BB66055" w14:textId="77777777" w:rsidR="00660A92" w:rsidRPr="005A0F99" w:rsidRDefault="00660A92" w:rsidP="00660A92">
      <w:pPr>
        <w:pStyle w:val="Prrafodelista"/>
        <w:spacing w:line="360" w:lineRule="auto"/>
        <w:ind w:left="567" w:right="616"/>
        <w:jc w:val="both"/>
        <w:rPr>
          <w:rFonts w:ascii="Palatino Linotype" w:hAnsi="Palatino Linotype"/>
          <w:i/>
          <w:sz w:val="22"/>
        </w:rPr>
      </w:pPr>
      <w:r w:rsidRPr="005A0F99">
        <w:rPr>
          <w:rFonts w:ascii="Palatino Linotype" w:hAnsi="Palatino Linotype"/>
          <w:b/>
          <w:i/>
          <w:sz w:val="22"/>
        </w:rPr>
        <w:t>ARTÍCULO 66.</w:t>
      </w:r>
      <w:r w:rsidRPr="005A0F99">
        <w:rPr>
          <w:rFonts w:ascii="Palatino Linotype" w:hAnsi="Palatino Linotype"/>
          <w:i/>
          <w:sz w:val="22"/>
        </w:rPr>
        <w:t xml:space="preserve"> </w:t>
      </w:r>
      <w:r w:rsidRPr="005A0F99">
        <w:rPr>
          <w:rFonts w:ascii="Palatino Linotype" w:hAnsi="Palatino Linotype"/>
          <w:b/>
          <w:i/>
          <w:sz w:val="22"/>
        </w:rPr>
        <w:t>Se establecen dos períodos anuales de vacaciones, de diez días</w:t>
      </w:r>
      <w:r w:rsidRPr="005A0F99">
        <w:rPr>
          <w:rFonts w:ascii="Palatino Linotype" w:hAnsi="Palatino Linotype"/>
          <w:i/>
          <w:sz w:val="22"/>
        </w:rPr>
        <w:t xml:space="preserve"> laborables cada uno, cuyas fechas deberán ser dadas a conocer oportunamente por cada institución pública. </w:t>
      </w:r>
      <w:r w:rsidRPr="005A0F99">
        <w:rPr>
          <w:rFonts w:ascii="Palatino Linotype" w:hAnsi="Palatino Linotype"/>
          <w:b/>
          <w:i/>
          <w:sz w:val="22"/>
        </w:rPr>
        <w:t>Los servidores públicos podrán hacer uso de su primer período vacacional siempre y cuando hayan cumplido seis meses en el servicio.</w:t>
      </w:r>
      <w:r w:rsidRPr="005A0F99">
        <w:rPr>
          <w:rFonts w:ascii="Palatino Linotype" w:hAnsi="Palatino Linotype"/>
          <w:i/>
          <w:sz w:val="22"/>
        </w:rPr>
        <w:t xml:space="preserve"> </w:t>
      </w:r>
    </w:p>
    <w:p w14:paraId="6B9F2C95" w14:textId="77777777" w:rsidR="00660A92" w:rsidRPr="005A0F99" w:rsidRDefault="00660A92" w:rsidP="00660A92">
      <w:pPr>
        <w:pStyle w:val="Prrafodelista"/>
        <w:spacing w:line="360" w:lineRule="auto"/>
        <w:ind w:left="567" w:right="616"/>
        <w:jc w:val="both"/>
        <w:rPr>
          <w:rFonts w:ascii="Palatino Linotype" w:hAnsi="Palatino Linotype"/>
          <w:i/>
          <w:sz w:val="22"/>
        </w:rPr>
      </w:pPr>
    </w:p>
    <w:p w14:paraId="547E3CB3" w14:textId="77777777" w:rsidR="00660A92" w:rsidRPr="005A0F99" w:rsidRDefault="00660A92" w:rsidP="00660A92">
      <w:pPr>
        <w:pStyle w:val="Prrafodelista"/>
        <w:spacing w:line="360" w:lineRule="auto"/>
        <w:ind w:left="567" w:right="616"/>
        <w:jc w:val="both"/>
        <w:rPr>
          <w:rFonts w:ascii="Palatino Linotype" w:hAnsi="Palatino Linotype"/>
          <w:i/>
          <w:sz w:val="22"/>
        </w:rPr>
      </w:pPr>
      <w:r w:rsidRPr="005A0F99">
        <w:rPr>
          <w:rFonts w:ascii="Palatino Linotype" w:hAnsi="Palatino Linotype"/>
          <w:i/>
          <w:sz w:val="22"/>
        </w:rPr>
        <w:t xml:space="preserve">Los servidores públicos que durante los períodos normales de vacaciones se encuentren con licencia por maternidad o enfermedad, podrán gozar, al reintegrarse al servicio, de hasta dos períodos vacacionales no disfrutados anteriormente por esa causa. </w:t>
      </w:r>
    </w:p>
    <w:p w14:paraId="2AADE121" w14:textId="77777777" w:rsidR="00660A92" w:rsidRPr="005A0F99" w:rsidRDefault="00660A92" w:rsidP="00660A92">
      <w:pPr>
        <w:pStyle w:val="Prrafodelista"/>
        <w:spacing w:line="360" w:lineRule="auto"/>
        <w:ind w:left="567" w:right="616"/>
        <w:jc w:val="both"/>
        <w:rPr>
          <w:rFonts w:ascii="Palatino Linotype" w:hAnsi="Palatino Linotype"/>
          <w:b/>
          <w:i/>
          <w:sz w:val="22"/>
        </w:rPr>
      </w:pPr>
    </w:p>
    <w:p w14:paraId="6BA28A06" w14:textId="77777777" w:rsidR="00660A92" w:rsidRPr="005A0F99" w:rsidRDefault="00660A92" w:rsidP="00660A92">
      <w:pPr>
        <w:pStyle w:val="Prrafodelista"/>
        <w:spacing w:line="360" w:lineRule="auto"/>
        <w:ind w:left="567" w:right="616"/>
        <w:jc w:val="both"/>
        <w:rPr>
          <w:rFonts w:ascii="Palatino Linotype" w:hAnsi="Palatino Linotype"/>
          <w:i/>
          <w:sz w:val="22"/>
        </w:rPr>
      </w:pPr>
      <w:r w:rsidRPr="005A0F99">
        <w:rPr>
          <w:rFonts w:ascii="Palatino Linotype" w:hAnsi="Palatino Linotype"/>
          <w:b/>
          <w:i/>
          <w:sz w:val="22"/>
        </w:rPr>
        <w:t>ARTÍCULO 67.</w:t>
      </w:r>
      <w:r w:rsidRPr="005A0F99">
        <w:rPr>
          <w:rFonts w:ascii="Palatino Linotype" w:hAnsi="Palatino Linotype"/>
          <w:i/>
          <w:sz w:val="22"/>
        </w:rPr>
        <w:t xml:space="preserve"> </w:t>
      </w:r>
      <w:r w:rsidRPr="005A0F99">
        <w:rPr>
          <w:rFonts w:ascii="Palatino Linotype" w:hAnsi="Palatino Linotype"/>
          <w:b/>
          <w:i/>
          <w:sz w:val="22"/>
        </w:rPr>
        <w:t>Durante los períodos de vacaciones se dejará personal de guardia para la tramitación de asuntos urgentes,</w:t>
      </w:r>
      <w:r w:rsidRPr="005A0F99">
        <w:rPr>
          <w:rFonts w:ascii="Palatino Linotype" w:hAnsi="Palatino Linotype"/>
          <w:i/>
          <w:sz w:val="22"/>
        </w:rPr>
        <w:t xml:space="preserve"> </w:t>
      </w:r>
      <w:r w:rsidRPr="005A0F99">
        <w:rPr>
          <w:rFonts w:ascii="Palatino Linotype" w:hAnsi="Palatino Linotype"/>
          <w:b/>
          <w:i/>
          <w:sz w:val="22"/>
        </w:rPr>
        <w:t>para lo cual se seleccionará de preferencia a los servidores públicos que no tuvieren derecho a éstas, elaborando el calendario respectivo.</w:t>
      </w:r>
    </w:p>
    <w:p w14:paraId="76091DB9" w14:textId="77777777" w:rsidR="00660A92" w:rsidRPr="005A0F99" w:rsidRDefault="00660A92" w:rsidP="00660A92">
      <w:pPr>
        <w:pStyle w:val="Prrafodelista"/>
        <w:spacing w:line="360" w:lineRule="auto"/>
        <w:ind w:left="567" w:right="616"/>
        <w:jc w:val="both"/>
        <w:rPr>
          <w:rFonts w:ascii="Palatino Linotype" w:hAnsi="Palatino Linotype"/>
          <w:i/>
          <w:sz w:val="22"/>
        </w:rPr>
      </w:pPr>
    </w:p>
    <w:p w14:paraId="3715D78D" w14:textId="5595FC9E" w:rsidR="00660A92" w:rsidRPr="005A0F99" w:rsidRDefault="00660A92" w:rsidP="00660A92">
      <w:pPr>
        <w:pStyle w:val="Prrafodelista"/>
        <w:spacing w:line="360" w:lineRule="auto"/>
        <w:ind w:left="567" w:right="616"/>
        <w:jc w:val="both"/>
        <w:rPr>
          <w:rFonts w:ascii="Palatino Linotype" w:hAnsi="Palatino Linotype"/>
          <w:i/>
          <w:sz w:val="22"/>
        </w:rPr>
      </w:pPr>
      <w:r w:rsidRPr="005A0F99">
        <w:rPr>
          <w:rFonts w:ascii="Palatino Linotype" w:hAnsi="Palatino Linotype"/>
          <w:i/>
          <w:sz w:val="22"/>
        </w:rPr>
        <w:lastRenderedPageBreak/>
        <w:t xml:space="preserve"> En ningún caso, los servidores públicos que laboren en períodos vacacionales tendrán derecho a doble pago de sueldo.</w:t>
      </w:r>
    </w:p>
    <w:p w14:paraId="56C64ABA" w14:textId="77777777" w:rsidR="00660A92" w:rsidRPr="005A0F99" w:rsidRDefault="00660A92" w:rsidP="00660A92">
      <w:pPr>
        <w:pStyle w:val="Prrafodelista"/>
        <w:spacing w:line="360" w:lineRule="auto"/>
        <w:ind w:left="567" w:right="616"/>
        <w:jc w:val="both"/>
        <w:rPr>
          <w:rFonts w:ascii="Palatino Linotype" w:hAnsi="Palatino Linotype"/>
          <w:i/>
          <w:sz w:val="22"/>
        </w:rPr>
      </w:pPr>
    </w:p>
    <w:p w14:paraId="102D999D" w14:textId="2AF187C2" w:rsidR="00660A92" w:rsidRPr="005A0F99" w:rsidRDefault="00660A92" w:rsidP="00660A92">
      <w:pPr>
        <w:pStyle w:val="Prrafodelista"/>
        <w:spacing w:line="360" w:lineRule="auto"/>
        <w:ind w:left="567" w:right="616"/>
        <w:jc w:val="both"/>
        <w:rPr>
          <w:rFonts w:ascii="Palatino Linotype" w:hAnsi="Palatino Linotype"/>
          <w:b/>
          <w:i/>
          <w:sz w:val="22"/>
        </w:rPr>
      </w:pPr>
      <w:r w:rsidRPr="005A0F99">
        <w:rPr>
          <w:rFonts w:ascii="Palatino Linotype" w:hAnsi="Palatino Linotype"/>
          <w:b/>
          <w:i/>
          <w:sz w:val="22"/>
        </w:rPr>
        <w:t>ARTÍCULO 68.- Cuando por cualquier motivo el servidor público no pudiere hacer uso de alguno de los períodos vacacionales en los términos señalados, la institución pública estará obligada a concederlos a partir del día hábil siguiente de concluido dicho período.</w:t>
      </w:r>
    </w:p>
    <w:p w14:paraId="0EF1DE85" w14:textId="77777777" w:rsidR="00660A92" w:rsidRPr="005A0F99" w:rsidRDefault="00660A92" w:rsidP="00660A92">
      <w:pPr>
        <w:pStyle w:val="Prrafodelista"/>
        <w:spacing w:line="360" w:lineRule="auto"/>
        <w:ind w:left="567" w:right="616"/>
        <w:jc w:val="both"/>
        <w:rPr>
          <w:rFonts w:ascii="Palatino Linotype" w:hAnsi="Palatino Linotype"/>
          <w:i/>
          <w:sz w:val="22"/>
        </w:rPr>
      </w:pPr>
    </w:p>
    <w:p w14:paraId="6FF23AE7" w14:textId="57BC0D19" w:rsidR="00660A92" w:rsidRPr="005A0F99" w:rsidRDefault="00660A92" w:rsidP="00660A92">
      <w:pPr>
        <w:pStyle w:val="Prrafodelista"/>
        <w:spacing w:line="360" w:lineRule="auto"/>
        <w:ind w:left="567" w:right="616"/>
        <w:jc w:val="both"/>
        <w:rPr>
          <w:rFonts w:ascii="Palatino Linotype" w:hAnsi="Palatino Linotype"/>
          <w:i/>
          <w:sz w:val="22"/>
        </w:rPr>
      </w:pPr>
      <w:r w:rsidRPr="005A0F99">
        <w:rPr>
          <w:rFonts w:ascii="Palatino Linotype" w:hAnsi="Palatino Linotype"/>
          <w:i/>
          <w:sz w:val="22"/>
        </w:rPr>
        <w:t>ARTÍCULO 70. Anualmente, los titulares de las instituciones públicas o dependencias, facultados para ello, darán a conocer el calendario oficial de días de descanso obligatorio y de vacaciones.</w:t>
      </w:r>
    </w:p>
    <w:p w14:paraId="7F42021B" w14:textId="18549C57" w:rsidR="00F25211" w:rsidRPr="005A0F99" w:rsidRDefault="00F25211" w:rsidP="00660A92">
      <w:pPr>
        <w:pStyle w:val="Prrafodelista"/>
        <w:spacing w:line="360" w:lineRule="auto"/>
        <w:ind w:left="567" w:right="616"/>
        <w:jc w:val="both"/>
        <w:rPr>
          <w:rFonts w:ascii="Palatino Linotype" w:hAnsi="Palatino Linotype"/>
          <w:b/>
          <w:i/>
          <w:sz w:val="22"/>
        </w:rPr>
      </w:pPr>
      <w:r w:rsidRPr="005A0F99">
        <w:rPr>
          <w:rFonts w:ascii="Palatino Linotype" w:hAnsi="Palatino Linotype"/>
          <w:b/>
          <w:i/>
          <w:sz w:val="22"/>
        </w:rPr>
        <w:t>(Énfasis añadido)</w:t>
      </w:r>
    </w:p>
    <w:p w14:paraId="5D202B1A" w14:textId="77777777" w:rsidR="00660A92" w:rsidRPr="005A0F99" w:rsidRDefault="00660A92" w:rsidP="00660A92">
      <w:pPr>
        <w:pStyle w:val="Prrafodelista"/>
        <w:spacing w:line="360" w:lineRule="auto"/>
        <w:ind w:left="0"/>
        <w:jc w:val="both"/>
        <w:rPr>
          <w:rFonts w:ascii="Palatino Linotype" w:hAnsi="Palatino Linotype" w:cs="Arial"/>
          <w:lang w:val="es-419"/>
        </w:rPr>
      </w:pPr>
    </w:p>
    <w:p w14:paraId="00FE773F" w14:textId="1F08C8D9" w:rsidR="00F25211" w:rsidRPr="005A0F99" w:rsidRDefault="00F25211" w:rsidP="009D7223">
      <w:pPr>
        <w:pStyle w:val="Prrafodelista"/>
        <w:numPr>
          <w:ilvl w:val="0"/>
          <w:numId w:val="32"/>
        </w:numPr>
        <w:spacing w:before="240" w:line="360" w:lineRule="auto"/>
        <w:ind w:left="0" w:firstLine="0"/>
        <w:jc w:val="both"/>
        <w:rPr>
          <w:rFonts w:ascii="Palatino Linotype" w:hAnsi="Palatino Linotype" w:cs="Arial"/>
        </w:rPr>
      </w:pPr>
      <w:r w:rsidRPr="005A0F99">
        <w:rPr>
          <w:rFonts w:ascii="Palatino Linotype" w:hAnsi="Palatino Linotype" w:cs="Arial"/>
        </w:rPr>
        <w:t>De lo anterior, se advierte que la Ley en la Materia establece como un derecho de los trabajadores el periodo vacacional, el cual, será elaborado por la Institución y será de 10 días cada uno. Estos periodos serán accesibles sólo para aquellos que ya cuenten con 6 meses de antigüedad. Por otra parte, las  Instituciones deberán asignar personal de guardia para atender los asuntos urgentes, debiendo señalar al personal que no cumpla con los 6 meses de antigüedad y que aún no tenga acceso al derecho de vacaciones.</w:t>
      </w:r>
    </w:p>
    <w:p w14:paraId="2F0DEF98" w14:textId="77777777" w:rsidR="00F25211" w:rsidRPr="005A0F99" w:rsidRDefault="00F25211" w:rsidP="00F25211">
      <w:pPr>
        <w:pStyle w:val="Prrafodelista"/>
        <w:spacing w:before="240" w:line="360" w:lineRule="auto"/>
        <w:ind w:left="0"/>
        <w:jc w:val="both"/>
        <w:rPr>
          <w:rFonts w:ascii="Palatino Linotype" w:hAnsi="Palatino Linotype" w:cs="Arial"/>
        </w:rPr>
      </w:pPr>
    </w:p>
    <w:p w14:paraId="7364567F" w14:textId="18137920" w:rsidR="009D7223" w:rsidRPr="005A0F99" w:rsidRDefault="00F25211" w:rsidP="009D7223">
      <w:pPr>
        <w:pStyle w:val="Prrafodelista"/>
        <w:numPr>
          <w:ilvl w:val="0"/>
          <w:numId w:val="32"/>
        </w:numPr>
        <w:spacing w:before="240" w:line="360" w:lineRule="auto"/>
        <w:ind w:left="0" w:firstLine="0"/>
        <w:jc w:val="both"/>
        <w:rPr>
          <w:rFonts w:ascii="Palatino Linotype" w:hAnsi="Palatino Linotype" w:cs="Arial"/>
        </w:rPr>
      </w:pPr>
      <w:r w:rsidRPr="005A0F99">
        <w:rPr>
          <w:rFonts w:ascii="Palatino Linotype" w:hAnsi="Palatino Linotype"/>
        </w:rPr>
        <w:t xml:space="preserve">Dicho lo anterior y tomando en consideración la naturaleza de la información que fue requerida por el particular, </w:t>
      </w:r>
      <w:r w:rsidR="009D7223" w:rsidRPr="005A0F99">
        <w:rPr>
          <w:rFonts w:ascii="Palatino Linotype" w:hAnsi="Palatino Linotype"/>
        </w:rPr>
        <w:t xml:space="preserve">sirve citar por </w:t>
      </w:r>
      <w:r w:rsidR="009D7223" w:rsidRPr="005A0F99">
        <w:rPr>
          <w:rFonts w:ascii="Palatino Linotype" w:eastAsia="Palatino Linotype" w:hAnsi="Palatino Linotype" w:cs="Palatino Linotype"/>
        </w:rPr>
        <w:t>analogía los </w:t>
      </w:r>
      <w:r w:rsidR="009D7223" w:rsidRPr="005A0F99">
        <w:rPr>
          <w:rFonts w:ascii="Palatino Linotype" w:eastAsia="Palatino Linotype" w:hAnsi="Palatino Linotype" w:cs="Palatino Linotype"/>
          <w:b/>
        </w:rPr>
        <w:t>Lineamientos para el trámite de la correspondencia de las unidades orgánicas del Poder Ejecutivo</w:t>
      </w:r>
      <w:r w:rsidR="009D7223" w:rsidRPr="005A0F99">
        <w:rPr>
          <w:rFonts w:ascii="Palatino Linotype" w:eastAsia="Palatino Linotype" w:hAnsi="Palatino Linotype" w:cs="Palatino Linotype"/>
        </w:rPr>
        <w:t xml:space="preserve">, publicados en mayo de dos mil diez por la Secretaría de Finanzas del Gobierno del </w:t>
      </w:r>
      <w:r w:rsidR="009D7223" w:rsidRPr="005A0F99">
        <w:rPr>
          <w:rFonts w:ascii="Palatino Linotype" w:eastAsia="Palatino Linotype" w:hAnsi="Palatino Linotype" w:cs="Palatino Linotype"/>
        </w:rPr>
        <w:lastRenderedPageBreak/>
        <w:t>Estado de México. Dichos lineamientos sujetan a todas las dependencias y unidades orgánicas del Poder Ejecutivo para lograr una homogenización en la comunicación formal de las instituciones públicas:</w:t>
      </w:r>
    </w:p>
    <w:p w14:paraId="6B5735C7"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b/>
          <w:i/>
          <w:sz w:val="22"/>
        </w:rPr>
      </w:pPr>
      <w:r w:rsidRPr="005A0F99">
        <w:rPr>
          <w:rFonts w:ascii="Palatino Linotype" w:eastAsia="Palatino Linotype" w:hAnsi="Palatino Linotype" w:cs="Palatino Linotype"/>
          <w:b/>
          <w:i/>
          <w:sz w:val="22"/>
        </w:rPr>
        <w:t>2. Objetivo</w:t>
      </w:r>
    </w:p>
    <w:p w14:paraId="0BB70603"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Proporcionar a las áreas de recepción y despacho de correspondencia de las unidades orgánicas del Poder Ejecutivo</w:t>
      </w:r>
      <w:r w:rsidRPr="005A0F99">
        <w:rPr>
          <w:rFonts w:ascii="Palatino Linotype" w:eastAsia="Palatino Linotype" w:hAnsi="Palatino Linotype" w:cs="Palatino Linotype"/>
          <w:i/>
          <w:sz w:val="22"/>
        </w:rPr>
        <w:t>, un instrumento técnico que les permita homogeneizar y </w:t>
      </w:r>
      <w:r w:rsidRPr="005A0F99">
        <w:rPr>
          <w:rFonts w:ascii="Palatino Linotype" w:eastAsia="Palatino Linotype" w:hAnsi="Palatino Linotype" w:cs="Palatino Linotype"/>
          <w:b/>
          <w:i/>
          <w:sz w:val="22"/>
          <w:u w:val="single"/>
        </w:rPr>
        <w:t>eficientar los servicios de correspondencia, a fin de agilizar la comunicación formal así como coadyuvar a la oportuna toma de decisiones por parte de los servidores públicos</w:t>
      </w:r>
      <w:r w:rsidRPr="005A0F99">
        <w:rPr>
          <w:rFonts w:ascii="Palatino Linotype" w:eastAsia="Palatino Linotype" w:hAnsi="Palatino Linotype" w:cs="Palatino Linotype"/>
          <w:i/>
          <w:sz w:val="22"/>
        </w:rPr>
        <w:t>.</w:t>
      </w:r>
    </w:p>
    <w:p w14:paraId="076E582A"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 </w:t>
      </w:r>
      <w:r w:rsidRPr="005A0F99">
        <w:rPr>
          <w:rFonts w:ascii="Palatino Linotype" w:eastAsia="Palatino Linotype" w:hAnsi="Palatino Linotype" w:cs="Palatino Linotype"/>
          <w:b/>
          <w:i/>
          <w:sz w:val="22"/>
        </w:rPr>
        <w:t>Administración de documentos:</w:t>
      </w:r>
    </w:p>
    <w:p w14:paraId="2F390A24"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u w:val="single"/>
        </w:rPr>
        <w:t>Conjunto de actividades vinculadas con la</w:t>
      </w:r>
      <w:r w:rsidRPr="005A0F99">
        <w:rPr>
          <w:rFonts w:ascii="Palatino Linotype" w:eastAsia="Palatino Linotype" w:hAnsi="Palatino Linotype" w:cs="Palatino Linotype"/>
          <w:i/>
          <w:sz w:val="22"/>
        </w:rPr>
        <w:t> generación, adquisición</w:t>
      </w:r>
      <w:r w:rsidRPr="005A0F99">
        <w:rPr>
          <w:rFonts w:ascii="Palatino Linotype" w:eastAsia="Palatino Linotype" w:hAnsi="Palatino Linotype" w:cs="Palatino Linotype"/>
          <w:b/>
          <w:i/>
          <w:sz w:val="22"/>
          <w:u w:val="single"/>
        </w:rPr>
        <w:t>, recepción</w:t>
      </w:r>
      <w:r w:rsidRPr="005A0F99">
        <w:rPr>
          <w:rFonts w:ascii="Palatino Linotype" w:eastAsia="Palatino Linotype" w:hAnsi="Palatino Linotype" w:cs="Palatino Linotype"/>
          <w:i/>
          <w:sz w:val="22"/>
        </w:rPr>
        <w:t>, control, circulación, reproducción, organización, conservación, custodia, restauración, valoración, selección, eliminación</w:t>
      </w:r>
      <w:r w:rsidRPr="005A0F99">
        <w:rPr>
          <w:rFonts w:ascii="Palatino Linotype" w:eastAsia="Palatino Linotype" w:hAnsi="Palatino Linotype" w:cs="Palatino Linotype"/>
          <w:b/>
          <w:i/>
          <w:sz w:val="22"/>
        </w:rPr>
        <w:t>, </w:t>
      </w:r>
      <w:r w:rsidRPr="005A0F99">
        <w:rPr>
          <w:rFonts w:ascii="Palatino Linotype" w:eastAsia="Palatino Linotype" w:hAnsi="Palatino Linotype" w:cs="Palatino Linotype"/>
          <w:b/>
          <w:i/>
          <w:sz w:val="22"/>
          <w:u w:val="single"/>
        </w:rPr>
        <w:t>uso y divulgación de los documentos.</w:t>
      </w:r>
    </w:p>
    <w:p w14:paraId="3A46DA79"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 </w:t>
      </w:r>
      <w:r w:rsidRPr="005A0F99">
        <w:rPr>
          <w:rFonts w:ascii="Palatino Linotype" w:eastAsia="Palatino Linotype" w:hAnsi="Palatino Linotype" w:cs="Palatino Linotype"/>
          <w:b/>
          <w:i/>
          <w:sz w:val="22"/>
        </w:rPr>
        <w:t>Circulación documental:</w:t>
      </w:r>
    </w:p>
    <w:p w14:paraId="4B38342A" w14:textId="77777777" w:rsidR="009D7223" w:rsidRPr="005A0F99" w:rsidRDefault="009D7223" w:rsidP="009D7223">
      <w:pPr>
        <w:spacing w:after="120" w:line="360" w:lineRule="auto"/>
        <w:ind w:left="567" w:right="616"/>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 </w:t>
      </w:r>
      <w:r w:rsidRPr="005A0F99">
        <w:rPr>
          <w:rFonts w:ascii="Palatino Linotype" w:eastAsia="Palatino Linotype" w:hAnsi="Palatino Linotype" w:cs="Palatino Linotype"/>
          <w:i/>
          <w:sz w:val="22"/>
        </w:rPr>
        <w:t>Tratamiento que se da al documento desde su generación hasta la conclusión del trámite y la determinación de su destino final.</w:t>
      </w:r>
    </w:p>
    <w:p w14:paraId="463611CA"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 3. Conceptualización básica</w:t>
      </w:r>
    </w:p>
    <w:p w14:paraId="235546C1"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w:t>
      </w:r>
    </w:p>
    <w:p w14:paraId="198821D3"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Circular:</w:t>
      </w:r>
    </w:p>
    <w:p w14:paraId="1686489D"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 xml:space="preserve">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w:t>
      </w:r>
      <w:r w:rsidRPr="005A0F99">
        <w:rPr>
          <w:rFonts w:ascii="Palatino Linotype" w:eastAsia="Palatino Linotype" w:hAnsi="Palatino Linotype" w:cs="Palatino Linotype"/>
          <w:b/>
          <w:i/>
          <w:sz w:val="22"/>
        </w:rPr>
        <w:lastRenderedPageBreak/>
        <w:t>cursos de acción o para continuar el desarrollo de determinados procesos administrativos. Es de observancia general y la información que transmite fluye en línea horizontal o vertical descendente</w:t>
      </w:r>
      <w:r w:rsidRPr="005A0F99">
        <w:rPr>
          <w:rFonts w:ascii="Palatino Linotype" w:eastAsia="Palatino Linotype" w:hAnsi="Palatino Linotype" w:cs="Palatino Linotype"/>
          <w:i/>
          <w:sz w:val="22"/>
        </w:rPr>
        <w:t>.</w:t>
      </w:r>
    </w:p>
    <w:p w14:paraId="389C61EA"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 </w:t>
      </w:r>
      <w:r w:rsidRPr="005A0F99">
        <w:rPr>
          <w:rFonts w:ascii="Palatino Linotype" w:eastAsia="Palatino Linotype" w:hAnsi="Palatino Linotype" w:cs="Palatino Linotype"/>
          <w:b/>
          <w:i/>
          <w:sz w:val="22"/>
        </w:rPr>
        <w:t>Control de correspondencia:</w:t>
      </w:r>
    </w:p>
    <w:p w14:paraId="62650E4B"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Proceso mediante el cual se registran los documentos a través de sistemas manuales o automatizados, para garantizar su destino y dar continuidad a la tramitación de asuntos.</w:t>
      </w:r>
    </w:p>
    <w:p w14:paraId="59E24D9A"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w:t>
      </w:r>
    </w:p>
    <w:p w14:paraId="59C7FE89"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Correspondencia oficial:</w:t>
      </w:r>
    </w:p>
    <w:p w14:paraId="687CB5B1"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Comunicaciones escritas que se producen, circulan y controlan entre las unidades orgánicas del Poder Ejecutivo Estatal.</w:t>
      </w:r>
    </w:p>
    <w:p w14:paraId="13534509"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w:t>
      </w:r>
    </w:p>
    <w:p w14:paraId="7C8C15CD"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Documentación en trámite:</w:t>
      </w:r>
    </w:p>
    <w:p w14:paraId="252D47C5"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5A0F99">
        <w:rPr>
          <w:rFonts w:ascii="Palatino Linotype" w:eastAsia="Palatino Linotype" w:hAnsi="Palatino Linotype" w:cs="Palatino Linotype"/>
          <w:i/>
          <w:sz w:val="22"/>
        </w:rPr>
        <w:t>.</w:t>
      </w:r>
    </w:p>
    <w:p w14:paraId="5527126D"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 </w:t>
      </w:r>
    </w:p>
    <w:p w14:paraId="56FAD2D6"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Documento:</w:t>
      </w:r>
    </w:p>
    <w:p w14:paraId="6F774384"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 xml:space="preserve">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w:t>
      </w:r>
      <w:r w:rsidRPr="005A0F99">
        <w:rPr>
          <w:rFonts w:ascii="Palatino Linotype" w:eastAsia="Palatino Linotype" w:hAnsi="Palatino Linotype" w:cs="Palatino Linotype"/>
          <w:b/>
          <w:i/>
          <w:sz w:val="22"/>
        </w:rPr>
        <w:lastRenderedPageBreak/>
        <w:t>convencional, o cualquier otra expresión gráfica, sonora o en imagen que pueda dar constancia de un hecho</w:t>
      </w:r>
      <w:r w:rsidRPr="005A0F99">
        <w:rPr>
          <w:rFonts w:ascii="Palatino Linotype" w:eastAsia="Palatino Linotype" w:hAnsi="Palatino Linotype" w:cs="Palatino Linotype"/>
          <w:i/>
          <w:sz w:val="22"/>
        </w:rPr>
        <w:t>.</w:t>
      </w:r>
    </w:p>
    <w:p w14:paraId="4D660EBF"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w:t>
      </w:r>
    </w:p>
    <w:p w14:paraId="5F508F86"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Memorándum:</w:t>
      </w:r>
    </w:p>
    <w:p w14:paraId="309EF53A"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5D327AF9"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 </w:t>
      </w:r>
      <w:r w:rsidRPr="005A0F99">
        <w:rPr>
          <w:rFonts w:ascii="Palatino Linotype" w:eastAsia="Palatino Linotype" w:hAnsi="Palatino Linotype" w:cs="Palatino Linotype"/>
          <w:b/>
          <w:i/>
          <w:sz w:val="22"/>
        </w:rPr>
        <w:t>Oficio:</w:t>
      </w:r>
    </w:p>
    <w:p w14:paraId="74A4988B"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5A0F99">
        <w:rPr>
          <w:rFonts w:ascii="Palatino Linotype" w:eastAsia="Palatino Linotype" w:hAnsi="Palatino Linotype" w:cs="Palatino Linotype"/>
          <w:i/>
          <w:sz w:val="22"/>
        </w:rPr>
        <w:t>.</w:t>
      </w:r>
    </w:p>
    <w:p w14:paraId="697CF086"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 </w:t>
      </w:r>
      <w:r w:rsidRPr="005A0F99">
        <w:rPr>
          <w:rFonts w:ascii="Palatino Linotype" w:eastAsia="Palatino Linotype" w:hAnsi="Palatino Linotype" w:cs="Palatino Linotype"/>
          <w:b/>
          <w:i/>
          <w:sz w:val="22"/>
        </w:rPr>
        <w:t>Producción de documentos:</w:t>
      </w:r>
    </w:p>
    <w:p w14:paraId="79243166"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b/>
          <w:i/>
          <w:sz w:val="22"/>
        </w:rPr>
        <w:t>Es la generación de los documentos con el objeto de cumplir un trámite determinado, en el desarrollo de toda gestión, a partir del razonamiento de que su producción es necesaria y útil</w:t>
      </w:r>
      <w:r w:rsidRPr="005A0F99">
        <w:rPr>
          <w:rFonts w:ascii="Palatino Linotype" w:eastAsia="Palatino Linotype" w:hAnsi="Palatino Linotype" w:cs="Palatino Linotype"/>
          <w:i/>
          <w:sz w:val="22"/>
        </w:rPr>
        <w:t>.</w:t>
      </w:r>
    </w:p>
    <w:p w14:paraId="7C880565"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w:t>
      </w:r>
    </w:p>
    <w:p w14:paraId="0943F0E6"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 </w:t>
      </w:r>
      <w:r w:rsidRPr="005A0F99">
        <w:rPr>
          <w:rFonts w:ascii="Palatino Linotype" w:eastAsia="Palatino Linotype" w:hAnsi="Palatino Linotype" w:cs="Palatino Linotype"/>
          <w:b/>
          <w:i/>
          <w:sz w:val="22"/>
        </w:rPr>
        <w:t>Recepción de documentos:</w:t>
      </w:r>
    </w:p>
    <w:p w14:paraId="0E7D6F1D"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lastRenderedPageBreak/>
        <w:t> </w:t>
      </w:r>
      <w:r w:rsidRPr="005A0F99">
        <w:rPr>
          <w:rFonts w:ascii="Palatino Linotype" w:eastAsia="Palatino Linotype" w:hAnsi="Palatino Linotype" w:cs="Palatino Linotype"/>
          <w:b/>
          <w:i/>
          <w:sz w:val="22"/>
          <w:u w:val="single"/>
        </w:rPr>
        <w:t>Acción de recibir e ingresar los documentos </w:t>
      </w:r>
      <w:r w:rsidRPr="005A0F99">
        <w:rPr>
          <w:rFonts w:ascii="Palatino Linotype" w:eastAsia="Palatino Linotype" w:hAnsi="Palatino Linotype" w:cs="Palatino Linotype"/>
          <w:i/>
          <w:sz w:val="22"/>
        </w:rPr>
        <w:t>a las unidades orgánicas del Poder Ejecutivo Estatal </w:t>
      </w:r>
      <w:r w:rsidRPr="005A0F99">
        <w:rPr>
          <w:rFonts w:ascii="Palatino Linotype" w:eastAsia="Palatino Linotype" w:hAnsi="Palatino Linotype" w:cs="Palatino Linotype"/>
          <w:b/>
          <w:i/>
          <w:sz w:val="22"/>
          <w:u w:val="single"/>
        </w:rPr>
        <w:t>para su atención, custodia o circulación</w:t>
      </w:r>
      <w:r w:rsidRPr="005A0F99">
        <w:rPr>
          <w:rFonts w:ascii="Palatino Linotype" w:eastAsia="Palatino Linotype" w:hAnsi="Palatino Linotype" w:cs="Palatino Linotype"/>
          <w:i/>
          <w:sz w:val="22"/>
        </w:rPr>
        <w:t>.</w:t>
      </w:r>
    </w:p>
    <w:p w14:paraId="7D1C70EA"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 </w:t>
      </w:r>
      <w:r w:rsidRPr="005A0F99">
        <w:rPr>
          <w:rFonts w:ascii="Palatino Linotype" w:eastAsia="Palatino Linotype" w:hAnsi="Palatino Linotype" w:cs="Palatino Linotype"/>
          <w:b/>
          <w:i/>
          <w:sz w:val="22"/>
        </w:rPr>
        <w:t>4. Lineamientos generales</w:t>
      </w:r>
    </w:p>
    <w:p w14:paraId="4724C8DA"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w:t>
      </w:r>
    </w:p>
    <w:p w14:paraId="693A392C" w14:textId="77777777" w:rsidR="009D7223" w:rsidRPr="005A0F99" w:rsidRDefault="009D7223" w:rsidP="009D7223">
      <w:pPr>
        <w:spacing w:after="120" w:line="360" w:lineRule="auto"/>
        <w:ind w:left="567" w:right="616"/>
        <w:jc w:val="both"/>
        <w:rPr>
          <w:rFonts w:ascii="Palatino Linotype" w:eastAsia="Palatino Linotype" w:hAnsi="Palatino Linotype" w:cs="Palatino Linotype"/>
          <w:sz w:val="22"/>
        </w:rPr>
      </w:pPr>
      <w:r w:rsidRPr="005A0F99">
        <w:rPr>
          <w:rFonts w:ascii="Palatino Linotype" w:eastAsia="Palatino Linotype" w:hAnsi="Palatino Linotype" w:cs="Palatino Linotype"/>
          <w:i/>
          <w:sz w:val="22"/>
        </w:rPr>
        <w:t>4.2 </w:t>
      </w:r>
      <w:r w:rsidRPr="005A0F99">
        <w:rPr>
          <w:rFonts w:ascii="Palatino Linotype" w:eastAsia="Palatino Linotype" w:hAnsi="Palatino Linotype" w:cs="Palatino Linotype"/>
          <w:b/>
          <w:i/>
          <w:sz w:val="22"/>
        </w:rPr>
        <w:t>Las disposiciones establecidas en los presentes lineamientos son de </w:t>
      </w:r>
      <w:r w:rsidRPr="005A0F99">
        <w:rPr>
          <w:rFonts w:ascii="Palatino Linotype" w:eastAsia="Palatino Linotype" w:hAnsi="Palatino Linotype" w:cs="Palatino Linotype"/>
          <w:b/>
          <w:i/>
          <w:sz w:val="22"/>
          <w:u w:val="single"/>
        </w:rPr>
        <w:t>observancia obligatoria para las unidades orgánicas del Poder Ejecutivo Estatal</w:t>
      </w:r>
      <w:r w:rsidRPr="005A0F99">
        <w:rPr>
          <w:rFonts w:ascii="Palatino Linotype" w:eastAsia="Palatino Linotype" w:hAnsi="Palatino Linotype" w:cs="Palatino Linotype"/>
          <w:i/>
          <w:sz w:val="22"/>
          <w:u w:val="single"/>
        </w:rPr>
        <w:t>.</w:t>
      </w:r>
      <w:r w:rsidRPr="005A0F99">
        <w:rPr>
          <w:rFonts w:ascii="Palatino Linotype" w:eastAsia="Palatino Linotype" w:hAnsi="Palatino Linotype" w:cs="Palatino Linotype"/>
          <w:sz w:val="22"/>
        </w:rPr>
        <w:t>…”</w:t>
      </w:r>
    </w:p>
    <w:p w14:paraId="79B02EFD" w14:textId="77777777" w:rsidR="009D7223" w:rsidRPr="005A0F99" w:rsidRDefault="009D7223" w:rsidP="009D7223">
      <w:pPr>
        <w:pStyle w:val="Prrafodelista"/>
        <w:spacing w:before="240" w:line="360" w:lineRule="auto"/>
        <w:ind w:left="0"/>
        <w:jc w:val="both"/>
        <w:rPr>
          <w:rFonts w:ascii="Palatino Linotype" w:hAnsi="Palatino Linotype" w:cs="Arial"/>
        </w:rPr>
      </w:pPr>
    </w:p>
    <w:p w14:paraId="7707903A" w14:textId="77777777" w:rsidR="009D7223" w:rsidRPr="005A0F99" w:rsidRDefault="009D7223" w:rsidP="009D7223">
      <w:pPr>
        <w:pStyle w:val="Prrafodelista"/>
        <w:numPr>
          <w:ilvl w:val="0"/>
          <w:numId w:val="32"/>
        </w:numPr>
        <w:spacing w:before="240" w:line="360" w:lineRule="auto"/>
        <w:ind w:left="0" w:firstLine="0"/>
        <w:jc w:val="both"/>
        <w:rPr>
          <w:rFonts w:ascii="Palatino Linotype" w:hAnsi="Palatino Linotype" w:cs="Arial"/>
        </w:rPr>
      </w:pPr>
      <w:r w:rsidRPr="005A0F99">
        <w:rPr>
          <w:rFonts w:ascii="Palatino Linotype" w:eastAsia="Palatino Linotype" w:hAnsi="Palatino Linotype" w:cs="Palatino Linotype"/>
        </w:rPr>
        <w:t xml:space="preserve">De lo anteriormente vertido, se tiene que los documentos que sirven de comunicación entre las diferentes unidades administrativas de una institución pública pueden ser a través de circulares, memorándums u </w:t>
      </w:r>
      <w:r w:rsidRPr="005A0F99">
        <w:rPr>
          <w:rFonts w:ascii="Palatino Linotype" w:eastAsia="Palatino Linotype" w:hAnsi="Palatino Linotype" w:cs="Palatino Linotype"/>
          <w:b/>
        </w:rPr>
        <w:t>oficios</w:t>
      </w:r>
      <w:r w:rsidRPr="005A0F99">
        <w:rPr>
          <w:rFonts w:ascii="Palatino Linotype" w:eastAsia="Palatino Linotype" w:hAnsi="Palatino Linotype" w:cs="Palatino Linotype"/>
        </w:rPr>
        <w:t>,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5A0F99">
        <w:rPr>
          <w:rFonts w:ascii="Palatino Linotype" w:eastAsia="Palatino Linotype" w:hAnsi="Palatino Linotype" w:cs="Palatino Linotype"/>
          <w:b/>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7834E5B2" w14:textId="77777777" w:rsidR="009D7223" w:rsidRPr="005A0F99" w:rsidRDefault="009D7223" w:rsidP="009D7223">
      <w:pPr>
        <w:pStyle w:val="Prrafodelista"/>
        <w:spacing w:before="240" w:line="360" w:lineRule="auto"/>
        <w:ind w:left="0"/>
        <w:jc w:val="both"/>
        <w:rPr>
          <w:rFonts w:ascii="Palatino Linotype" w:hAnsi="Palatino Linotype" w:cs="Arial"/>
        </w:rPr>
      </w:pPr>
    </w:p>
    <w:p w14:paraId="205CDBC5" w14:textId="77777777" w:rsidR="009D7223" w:rsidRPr="005A0F99" w:rsidRDefault="009D7223" w:rsidP="009D7223">
      <w:pPr>
        <w:pStyle w:val="Prrafodelista"/>
        <w:numPr>
          <w:ilvl w:val="0"/>
          <w:numId w:val="32"/>
        </w:numPr>
        <w:spacing w:before="240" w:line="360" w:lineRule="auto"/>
        <w:ind w:left="0" w:firstLine="0"/>
        <w:jc w:val="both"/>
        <w:rPr>
          <w:rFonts w:ascii="Palatino Linotype" w:hAnsi="Palatino Linotype" w:cs="Arial"/>
        </w:rPr>
      </w:pPr>
      <w:r w:rsidRPr="005A0F99">
        <w:rPr>
          <w:rFonts w:ascii="Palatino Linotype" w:eastAsia="Palatino Linotype" w:hAnsi="Palatino Linotype" w:cs="Palatino Linotype"/>
        </w:rPr>
        <w:lastRenderedPageBreak/>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w:t>
      </w:r>
      <w:r w:rsidRPr="005A0F99">
        <w:rPr>
          <w:rFonts w:ascii="Palatino Linotype" w:eastAsia="Palatino Linotype" w:hAnsi="Palatino Linotype" w:cs="Palatino Linotype"/>
          <w:b/>
        </w:rPr>
        <w:t>oficios</w:t>
      </w:r>
      <w:r w:rsidRPr="005A0F99">
        <w:rPr>
          <w:rFonts w:ascii="Palatino Linotype" w:eastAsia="Palatino Linotype" w:hAnsi="Palatino Linotype" w:cs="Palatino Linotype"/>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2567E305" w14:textId="77777777" w:rsidR="009D7223" w:rsidRPr="005A0F99" w:rsidRDefault="009D7223" w:rsidP="009D7223">
      <w:pPr>
        <w:pStyle w:val="Prrafodelista"/>
        <w:ind w:left="0"/>
        <w:rPr>
          <w:rFonts w:ascii="Palatino Linotype" w:eastAsia="Palatino Linotype" w:hAnsi="Palatino Linotype" w:cs="Palatino Linotype"/>
        </w:rPr>
      </w:pPr>
    </w:p>
    <w:p w14:paraId="1D7CF11D" w14:textId="77777777" w:rsidR="009D7223" w:rsidRPr="005A0F99" w:rsidRDefault="009D7223" w:rsidP="009D7223">
      <w:pPr>
        <w:pStyle w:val="Prrafodelista"/>
        <w:numPr>
          <w:ilvl w:val="0"/>
          <w:numId w:val="32"/>
        </w:numPr>
        <w:spacing w:before="240" w:line="360" w:lineRule="auto"/>
        <w:ind w:left="0" w:firstLine="0"/>
        <w:jc w:val="both"/>
        <w:rPr>
          <w:rFonts w:ascii="Palatino Linotype" w:hAnsi="Palatino Linotype" w:cs="Arial"/>
        </w:rPr>
      </w:pPr>
      <w:r w:rsidRPr="005A0F99">
        <w:rPr>
          <w:rFonts w:ascii="Palatino Linotype" w:eastAsia="Palatino Linotype" w:hAnsi="Palatino Linotype" w:cs="Palatino Linotype"/>
        </w:rPr>
        <w:t>De lo que se deriva que el alcance del Derecho de Acceso a la Información Pública, se refiere a los siguientes tres supuestos:</w:t>
      </w:r>
    </w:p>
    <w:p w14:paraId="5D3AA526" w14:textId="77777777" w:rsidR="009D7223" w:rsidRPr="005A0F99" w:rsidRDefault="009D7223" w:rsidP="009D7223">
      <w:pPr>
        <w:spacing w:before="240" w:after="240" w:line="360" w:lineRule="auto"/>
        <w:ind w:left="284" w:right="49"/>
        <w:jc w:val="both"/>
        <w:rPr>
          <w:rFonts w:ascii="Palatino Linotype" w:eastAsia="Palatino Linotype" w:hAnsi="Palatino Linotype" w:cs="Palatino Linotype"/>
        </w:rPr>
      </w:pPr>
      <w:r w:rsidRPr="005A0F99">
        <w:rPr>
          <w:rFonts w:ascii="Palatino Linotype" w:eastAsia="Palatino Linotype" w:hAnsi="Palatino Linotype" w:cs="Palatino Linotype"/>
        </w:rPr>
        <w:t>1. Que se trate de información registrada en cualquier soporte, que, en ejercicio de sus atribuciones, sea generada por los Sujetos Obligados;</w:t>
      </w:r>
    </w:p>
    <w:p w14:paraId="2DDE84D0" w14:textId="77777777" w:rsidR="009D7223" w:rsidRPr="005A0F99" w:rsidRDefault="009D7223" w:rsidP="009D7223">
      <w:pPr>
        <w:spacing w:before="240" w:after="240" w:line="360" w:lineRule="auto"/>
        <w:ind w:left="284" w:right="49"/>
        <w:jc w:val="both"/>
        <w:rPr>
          <w:rFonts w:ascii="Palatino Linotype" w:eastAsia="Palatino Linotype" w:hAnsi="Palatino Linotype" w:cs="Palatino Linotype"/>
        </w:rPr>
      </w:pPr>
      <w:r w:rsidRPr="005A0F99">
        <w:rPr>
          <w:rFonts w:ascii="Palatino Linotype" w:eastAsia="Palatino Linotype" w:hAnsi="Palatino Linotype" w:cs="Palatino Linotype"/>
        </w:rPr>
        <w:t>2. Que se trate de información registrada en cualquier soporte, que, en ejercicio de sus atribuciones, se encuentre en posesión de los Sujetos Obligados, y</w:t>
      </w:r>
    </w:p>
    <w:p w14:paraId="4C99E984" w14:textId="77777777" w:rsidR="009D7223" w:rsidRPr="005A0F99" w:rsidRDefault="009D7223" w:rsidP="009D7223">
      <w:pPr>
        <w:spacing w:line="360" w:lineRule="auto"/>
        <w:ind w:left="284" w:right="49"/>
        <w:jc w:val="both"/>
        <w:rPr>
          <w:rFonts w:ascii="Palatino Linotype" w:eastAsia="Palatino Linotype" w:hAnsi="Palatino Linotype" w:cs="Palatino Linotype"/>
        </w:rPr>
      </w:pPr>
      <w:r w:rsidRPr="005A0F99">
        <w:rPr>
          <w:rFonts w:ascii="Palatino Linotype" w:eastAsia="Palatino Linotype" w:hAnsi="Palatino Linotype" w:cs="Palatino Linotype"/>
        </w:rPr>
        <w:t>3. Que se trate de información registrada en cualquier soporte, que, en ejercicio de sus atribuciones, sea administrada por los Sujetos Obligados.</w:t>
      </w:r>
    </w:p>
    <w:p w14:paraId="47A05182" w14:textId="77777777" w:rsidR="009D7223" w:rsidRPr="005A0F99" w:rsidRDefault="009D7223" w:rsidP="009D7223">
      <w:pPr>
        <w:spacing w:line="360" w:lineRule="auto"/>
        <w:ind w:left="284" w:right="49"/>
        <w:jc w:val="both"/>
        <w:rPr>
          <w:rFonts w:ascii="Palatino Linotype" w:eastAsia="Palatino Linotype" w:hAnsi="Palatino Linotype" w:cs="Palatino Linotype"/>
        </w:rPr>
      </w:pPr>
    </w:p>
    <w:p w14:paraId="6C63B8EC" w14:textId="77777777" w:rsidR="009D7223" w:rsidRPr="005A0F99" w:rsidRDefault="009D7223" w:rsidP="009D7223">
      <w:pPr>
        <w:pStyle w:val="Prrafodelista"/>
        <w:numPr>
          <w:ilvl w:val="0"/>
          <w:numId w:val="32"/>
        </w:numPr>
        <w:spacing w:line="360" w:lineRule="auto"/>
        <w:ind w:left="0" w:right="49" w:firstLine="0"/>
        <w:jc w:val="both"/>
        <w:rPr>
          <w:rFonts w:ascii="Palatino Linotype" w:eastAsia="Palatino Linotype" w:hAnsi="Palatino Linotype" w:cs="Palatino Linotype"/>
        </w:rPr>
      </w:pPr>
      <w:r w:rsidRPr="005A0F99">
        <w:rPr>
          <w:rFonts w:ascii="Palatino Linotype" w:eastAsia="Palatino Linotype" w:hAnsi="Palatino Linotype" w:cs="Palatino Linotype"/>
        </w:rPr>
        <w:t xml:space="preserve">Mientras que el diverso 166 de la Ley de Transparencia y Acceso a la Información Pública del Estado de México y Municipios, señala que las </w:t>
      </w:r>
      <w:r w:rsidRPr="005A0F99">
        <w:rPr>
          <w:rFonts w:ascii="Palatino Linotype" w:eastAsia="Palatino Linotype" w:hAnsi="Palatino Linotype" w:cs="Palatino Linotype"/>
        </w:rPr>
        <w:lastRenderedPageBreak/>
        <w:t>dependencias y entidades estarán obligadas a entregar los documentos que se encuentren en sus archivos.</w:t>
      </w:r>
    </w:p>
    <w:p w14:paraId="48BA27A0" w14:textId="77777777" w:rsidR="009D7223" w:rsidRPr="005A0F99" w:rsidRDefault="009D7223" w:rsidP="009D7223">
      <w:pPr>
        <w:pStyle w:val="Prrafodelista"/>
        <w:spacing w:line="360" w:lineRule="auto"/>
        <w:ind w:left="0" w:right="49"/>
        <w:jc w:val="both"/>
        <w:rPr>
          <w:rFonts w:ascii="Palatino Linotype" w:eastAsia="Palatino Linotype" w:hAnsi="Palatino Linotype" w:cs="Palatino Linotype"/>
        </w:rPr>
      </w:pPr>
    </w:p>
    <w:p w14:paraId="288F0290" w14:textId="3380A985" w:rsidR="009D7223" w:rsidRPr="005A0F99" w:rsidRDefault="009D7223" w:rsidP="009D7223">
      <w:pPr>
        <w:pStyle w:val="Prrafodelista"/>
        <w:numPr>
          <w:ilvl w:val="0"/>
          <w:numId w:val="32"/>
        </w:numPr>
        <w:spacing w:line="360" w:lineRule="auto"/>
        <w:ind w:left="0" w:right="49" w:firstLine="0"/>
        <w:jc w:val="both"/>
        <w:rPr>
          <w:rFonts w:ascii="Palatino Linotype" w:eastAsia="Palatino Linotype" w:hAnsi="Palatino Linotype" w:cs="Palatino Linotype"/>
        </w:rPr>
      </w:pPr>
      <w:r w:rsidRPr="005A0F99">
        <w:rPr>
          <w:rFonts w:ascii="Palatino Linotype" w:eastAsia="Palatino Linotype" w:hAnsi="Palatino Linotype" w:cs="Palatino Linotype"/>
        </w:rPr>
        <w:t xml:space="preserve">Es por todo lo expuesto que se concluye que el </w:t>
      </w:r>
      <w:r w:rsidRPr="005A0F99">
        <w:rPr>
          <w:rFonts w:ascii="Palatino Linotype" w:eastAsia="Palatino Linotype" w:hAnsi="Palatino Linotype" w:cs="Palatino Linotype"/>
          <w:b/>
        </w:rPr>
        <w:t xml:space="preserve">Sujeto Obligado </w:t>
      </w:r>
      <w:r w:rsidRPr="005A0F99">
        <w:rPr>
          <w:rFonts w:ascii="Palatino Linotype" w:eastAsia="Palatino Linotype" w:hAnsi="Palatino Linotype" w:cs="Palatino Linotype"/>
        </w:rPr>
        <w:t>no garantizó el derecho de acceso a la información del particular, toda vez que, en términos del marco normativo planteado, la Unidad de Transparencia de</w:t>
      </w:r>
      <w:r w:rsidR="00321EB6" w:rsidRPr="005A0F99">
        <w:rPr>
          <w:rFonts w:ascii="Palatino Linotype" w:eastAsia="Palatino Linotype" w:hAnsi="Palatino Linotype" w:cs="Palatino Linotype"/>
        </w:rPr>
        <w:t>l Sujeto Obligado</w:t>
      </w:r>
      <w:r w:rsidRPr="005A0F99">
        <w:rPr>
          <w:rFonts w:ascii="Palatino Linotype" w:eastAsia="Palatino Linotype" w:hAnsi="Palatino Linotype" w:cs="Palatino Linotype"/>
        </w:rPr>
        <w:t xml:space="preserve">, genera, posee y administra los oficios o instrumentos que sirvan de como medio de comunicación o enlace con </w:t>
      </w:r>
      <w:r w:rsidR="00321EB6" w:rsidRPr="005A0F99">
        <w:rPr>
          <w:rFonts w:ascii="Palatino Linotype" w:eastAsia="Palatino Linotype" w:hAnsi="Palatino Linotype" w:cs="Palatino Linotype"/>
        </w:rPr>
        <w:t>distintas áreas administrativas, por lo que es idóneo ordenar la entrega de la documentación requerida por el particular y que se basa en oficios.</w:t>
      </w:r>
    </w:p>
    <w:p w14:paraId="69F41D0B" w14:textId="77777777" w:rsidR="00321EB6" w:rsidRPr="005A0F99" w:rsidRDefault="00321EB6" w:rsidP="00321EB6">
      <w:pPr>
        <w:pStyle w:val="Prrafodelista"/>
        <w:rPr>
          <w:rFonts w:ascii="Palatino Linotype" w:eastAsia="Palatino Linotype" w:hAnsi="Palatino Linotype" w:cs="Palatino Linotype"/>
        </w:rPr>
      </w:pPr>
    </w:p>
    <w:p w14:paraId="43AF3492" w14:textId="51B14ABE" w:rsidR="00321EB6" w:rsidRPr="005A0F99" w:rsidRDefault="00321EB6" w:rsidP="009D7223">
      <w:pPr>
        <w:pStyle w:val="Prrafodelista"/>
        <w:numPr>
          <w:ilvl w:val="0"/>
          <w:numId w:val="32"/>
        </w:numPr>
        <w:spacing w:line="360" w:lineRule="auto"/>
        <w:ind w:left="0" w:right="49" w:firstLine="0"/>
        <w:jc w:val="both"/>
        <w:rPr>
          <w:rFonts w:ascii="Palatino Linotype" w:eastAsia="Palatino Linotype" w:hAnsi="Palatino Linotype" w:cs="Palatino Linotype"/>
        </w:rPr>
      </w:pPr>
      <w:r w:rsidRPr="005A0F99">
        <w:rPr>
          <w:rFonts w:ascii="Palatino Linotype" w:eastAsia="Palatino Linotype" w:hAnsi="Palatino Linotype" w:cs="Palatino Linotype"/>
        </w:rPr>
        <w:t>Ahora bien, de ser el caso de que la información que se ordena entregar contenga datos personales susceptibles de clasificarse como confidenciales, el Sujeto Obligado deberá estar a lo dispuesto en el Considerando Quinto de la presente resolución.</w:t>
      </w:r>
    </w:p>
    <w:p w14:paraId="4B944C93" w14:textId="77777777" w:rsidR="002F478D" w:rsidRPr="005A0F99" w:rsidRDefault="002F478D" w:rsidP="002F478D">
      <w:pPr>
        <w:pStyle w:val="Prrafodelista"/>
        <w:rPr>
          <w:rFonts w:ascii="Palatino Linotype" w:eastAsia="Palatino Linotype" w:hAnsi="Palatino Linotype" w:cs="Palatino Linotype"/>
        </w:rPr>
      </w:pPr>
    </w:p>
    <w:p w14:paraId="7A3FC307" w14:textId="77777777" w:rsidR="002F478D" w:rsidRPr="005A0F99" w:rsidRDefault="002F478D" w:rsidP="002F478D">
      <w:pPr>
        <w:pStyle w:val="Ttulo1"/>
        <w:rPr>
          <w:b/>
          <w:lang w:val="es-ES_tradnl"/>
        </w:rPr>
      </w:pPr>
      <w:bookmarkStart w:id="0" w:name="_Toc87549682"/>
      <w:r w:rsidRPr="005A0F99">
        <w:rPr>
          <w:b/>
          <w:lang w:val="es-ES_tradnl"/>
        </w:rPr>
        <w:t>QUINTO. De la versión pública.</w:t>
      </w:r>
      <w:bookmarkEnd w:id="0"/>
    </w:p>
    <w:p w14:paraId="7B29E8D6" w14:textId="77777777" w:rsidR="002F478D" w:rsidRPr="005A0F99" w:rsidRDefault="002F478D" w:rsidP="002F478D">
      <w:pPr>
        <w:rPr>
          <w:rFonts w:ascii="Palatino Linotype" w:hAnsi="Palatino Linotype"/>
          <w:sz w:val="16"/>
          <w:lang w:val="es-ES_tradnl"/>
        </w:rPr>
      </w:pPr>
    </w:p>
    <w:p w14:paraId="11D65F58" w14:textId="77777777" w:rsidR="002F478D" w:rsidRPr="005A0F99" w:rsidRDefault="002F478D" w:rsidP="002F478D">
      <w:pPr>
        <w:pStyle w:val="Ttulo1"/>
        <w:numPr>
          <w:ilvl w:val="0"/>
          <w:numId w:val="5"/>
        </w:numPr>
        <w:tabs>
          <w:tab w:val="left" w:pos="284"/>
          <w:tab w:val="num" w:pos="360"/>
        </w:tabs>
        <w:spacing w:before="0" w:line="360" w:lineRule="auto"/>
        <w:ind w:left="0" w:firstLine="0"/>
        <w:rPr>
          <w:rFonts w:cs="Times New Roman"/>
          <w:b/>
          <w:szCs w:val="24"/>
          <w:lang w:eastAsia="es-ES_tradnl"/>
        </w:rPr>
      </w:pPr>
      <w:bookmarkStart w:id="1" w:name="_Toc48135362"/>
      <w:bookmarkStart w:id="2" w:name="_Toc72309902"/>
      <w:bookmarkStart w:id="3" w:name="_Toc73643041"/>
      <w:bookmarkStart w:id="4" w:name="_Toc73911519"/>
      <w:bookmarkStart w:id="5" w:name="_Toc87549683"/>
      <w:r w:rsidRPr="005A0F99">
        <w:rPr>
          <w:rFonts w:cs="Times New Roman"/>
          <w:b/>
          <w:szCs w:val="24"/>
          <w:lang w:eastAsia="es-ES_tradnl"/>
        </w:rPr>
        <w:t>Nociones generales.</w:t>
      </w:r>
      <w:bookmarkEnd w:id="1"/>
      <w:bookmarkEnd w:id="2"/>
      <w:bookmarkEnd w:id="3"/>
      <w:bookmarkEnd w:id="4"/>
      <w:bookmarkEnd w:id="5"/>
      <w:r w:rsidRPr="005A0F99">
        <w:rPr>
          <w:rFonts w:cs="Times New Roman"/>
          <w:b/>
          <w:szCs w:val="24"/>
          <w:lang w:eastAsia="es-ES_tradnl"/>
        </w:rPr>
        <w:t xml:space="preserve"> </w:t>
      </w:r>
    </w:p>
    <w:p w14:paraId="68146159" w14:textId="77777777" w:rsidR="002F478D" w:rsidRPr="005A0F99" w:rsidRDefault="002F478D" w:rsidP="002F478D">
      <w:pPr>
        <w:rPr>
          <w:rFonts w:ascii="Palatino Linotype" w:hAnsi="Palatino Linotype"/>
          <w:lang w:eastAsia="es-ES_tradnl"/>
        </w:rPr>
      </w:pPr>
    </w:p>
    <w:p w14:paraId="7BD505D0" w14:textId="4BF109C4" w:rsidR="002F478D" w:rsidRPr="005A0F99" w:rsidRDefault="002F478D" w:rsidP="002F478D">
      <w:pPr>
        <w:pStyle w:val="Prrafodelista"/>
        <w:numPr>
          <w:ilvl w:val="0"/>
          <w:numId w:val="32"/>
        </w:numPr>
        <w:tabs>
          <w:tab w:val="left" w:pos="284"/>
        </w:tabs>
        <w:spacing w:line="360" w:lineRule="auto"/>
        <w:ind w:left="0" w:right="49" w:firstLine="0"/>
        <w:jc w:val="both"/>
        <w:rPr>
          <w:rFonts w:ascii="Palatino Linotype" w:hAnsi="Palatino Linotype" w:cs="Arial"/>
          <w:color w:val="000000"/>
        </w:rPr>
      </w:pPr>
      <w:r w:rsidRPr="005A0F99">
        <w:rPr>
          <w:rFonts w:ascii="Palatino Linotype" w:hAnsi="Palatino Linotype" w:cs="Arial"/>
          <w:color w:val="000000"/>
        </w:rPr>
        <w:t>Debe destacarse que, debido a la naturaleza de la información solicitada</w:t>
      </w:r>
      <w:r w:rsidRPr="005A0F99">
        <w:rPr>
          <w:rFonts w:ascii="Palatino Linotype" w:hAnsi="Palatino Linotype" w:cs="Arial"/>
          <w:b/>
          <w:color w:val="000000"/>
        </w:rPr>
        <w:t xml:space="preserve">, </w:t>
      </w:r>
      <w:r w:rsidRPr="005A0F99">
        <w:rPr>
          <w:rFonts w:ascii="Palatino Linotype" w:hAnsi="Palatino Linotype" w:cs="Arial"/>
          <w:color w:val="000000"/>
        </w:rPr>
        <w:t xml:space="preserve">eventualmente pudiera obrar datos personales susceptibles de protegerse, así como información susceptible de clasificarse como reservada, el </w:t>
      </w:r>
      <w:r w:rsidRPr="005A0F99">
        <w:rPr>
          <w:rFonts w:ascii="Palatino Linotype" w:hAnsi="Palatino Linotype" w:cs="Arial"/>
          <w:b/>
          <w:bCs/>
          <w:color w:val="000000"/>
        </w:rPr>
        <w:t xml:space="preserve">Sujeto Obligado </w:t>
      </w:r>
      <w:r w:rsidRPr="005A0F99">
        <w:rPr>
          <w:rFonts w:ascii="Palatino Linotype" w:hAnsi="Palatino Linotype" w:cs="Arial"/>
          <w:color w:val="000000"/>
        </w:rPr>
        <w:t xml:space="preserve">deberá de hacer la adecuada versión pública, protegiendo los datos que no son susceptibles de ser proporcionados. </w:t>
      </w:r>
    </w:p>
    <w:p w14:paraId="364CFE1D" w14:textId="79108D06" w:rsidR="002F478D" w:rsidRPr="005A0F99" w:rsidRDefault="002F478D" w:rsidP="002F478D">
      <w:pPr>
        <w:numPr>
          <w:ilvl w:val="0"/>
          <w:numId w:val="32"/>
        </w:numPr>
        <w:tabs>
          <w:tab w:val="left" w:pos="284"/>
        </w:tabs>
        <w:spacing w:line="360" w:lineRule="auto"/>
        <w:ind w:left="0" w:right="49" w:firstLine="0"/>
        <w:contextualSpacing/>
        <w:jc w:val="both"/>
        <w:rPr>
          <w:rFonts w:ascii="Palatino Linotype" w:hAnsi="Palatino Linotype" w:cs="Arial"/>
          <w:color w:val="000000"/>
        </w:rPr>
      </w:pPr>
      <w:r w:rsidRPr="005A0F99">
        <w:rPr>
          <w:rFonts w:ascii="Palatino Linotype" w:hAnsi="Palatino Linotype" w:cs="Arial"/>
          <w:color w:val="000000"/>
        </w:rPr>
        <w:lastRenderedPageBreak/>
        <w:t xml:space="preserve">No pasa desapercibido para este Órgano Garante que los </w:t>
      </w:r>
      <w:r w:rsidRPr="005A0F99">
        <w:rPr>
          <w:rFonts w:ascii="Palatino Linotype" w:hAnsi="Palatino Linotype" w:cs="Arial"/>
          <w:b/>
          <w:bCs/>
          <w:color w:val="000000"/>
        </w:rPr>
        <w:t>Sujetos Obligados</w:t>
      </w:r>
      <w:r w:rsidR="00290EC7" w:rsidRPr="005A0F99">
        <w:rPr>
          <w:rFonts w:ascii="Palatino Linotype" w:hAnsi="Palatino Linotype" w:cs="Arial"/>
          <w:b/>
          <w:bCs/>
          <w:color w:val="000000"/>
        </w:rPr>
        <w:t>,</w:t>
      </w:r>
      <w:r w:rsidRPr="005A0F99">
        <w:rPr>
          <w:rFonts w:ascii="Palatino Linotype" w:hAnsi="Palatino Linotype" w:cs="Arial"/>
          <w:b/>
          <w:bCs/>
          <w:color w:val="000000"/>
        </w:rPr>
        <w:t xml:space="preserve"> </w:t>
      </w:r>
      <w:r w:rsidRPr="005A0F99">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2BD7A9F" w14:textId="77777777" w:rsidR="002F478D" w:rsidRPr="005A0F99" w:rsidRDefault="002F478D" w:rsidP="002F478D">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2F478D" w:rsidRPr="005A0F99" w14:paraId="1BBC9E76" w14:textId="77777777" w:rsidTr="00013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A1608AA" w14:textId="77777777" w:rsidR="002F478D" w:rsidRPr="005A0F99" w:rsidRDefault="002F478D" w:rsidP="00013393">
            <w:pPr>
              <w:tabs>
                <w:tab w:val="left" w:pos="284"/>
              </w:tabs>
              <w:spacing w:line="360" w:lineRule="auto"/>
              <w:rPr>
                <w:rFonts w:ascii="Palatino Linotype" w:hAnsi="Palatino Linotype"/>
                <w:bCs w:val="0"/>
                <w:sz w:val="20"/>
              </w:rPr>
            </w:pPr>
            <w:r w:rsidRPr="005A0F99">
              <w:rPr>
                <w:rFonts w:ascii="Palatino Linotype" w:hAnsi="Palatino Linotype" w:cstheme="majorBidi"/>
                <w:sz w:val="20"/>
              </w:rPr>
              <w:t>a) Requisitos previos.</w:t>
            </w:r>
          </w:p>
        </w:tc>
        <w:tc>
          <w:tcPr>
            <w:tcW w:w="6667" w:type="dxa"/>
            <w:hideMark/>
          </w:tcPr>
          <w:p w14:paraId="3A5758F8" w14:textId="77777777" w:rsidR="002F478D" w:rsidRPr="005A0F99" w:rsidRDefault="002F478D" w:rsidP="0001339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A0F99">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3FCFBA2" w14:textId="77777777" w:rsidR="002F478D" w:rsidRPr="005A0F99" w:rsidRDefault="002F478D" w:rsidP="0001339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A0F99">
              <w:rPr>
                <w:rFonts w:ascii="Palatino Linotype" w:hAnsi="Palatino Linotype" w:cs="Arial"/>
                <w:color w:val="000000"/>
                <w:sz w:val="20"/>
              </w:rPr>
              <w:t>Al hacerlo tienen que precisar de qué información se trata, señalando el supuesto de clasificación (confidencialidad o reserva).</w:t>
            </w:r>
          </w:p>
          <w:p w14:paraId="5B4E5203" w14:textId="77777777" w:rsidR="002F478D" w:rsidRPr="005A0F99" w:rsidRDefault="002F478D" w:rsidP="0001339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A0F99">
              <w:rPr>
                <w:rFonts w:ascii="Palatino Linotype" w:hAnsi="Palatino Linotype" w:cs="Arial"/>
                <w:color w:val="000000"/>
                <w:sz w:val="20"/>
              </w:rPr>
              <w:t>Además, se debe señalar el procedimiento, de los tres que establecen los artículos 132 y 106 de la Ley Estatal y General, respectivamente.</w:t>
            </w:r>
          </w:p>
          <w:p w14:paraId="66AD26F6" w14:textId="77777777" w:rsidR="002F478D" w:rsidRPr="005A0F99" w:rsidRDefault="002F478D" w:rsidP="0001339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5A0F99">
              <w:rPr>
                <w:rFonts w:ascii="Palatino Linotype" w:hAnsi="Palatino Linotype" w:cs="Arial"/>
                <w:color w:val="000000"/>
                <w:sz w:val="20"/>
              </w:rPr>
              <w:t xml:space="preserve">El último de estos requisitos previos consiste en que no se pueden emitir acuerdos de carácter general ni particular, esto es, </w:t>
            </w:r>
            <w:r w:rsidRPr="005A0F99">
              <w:rPr>
                <w:rFonts w:ascii="Palatino Linotype" w:hAnsi="Palatino Linotype" w:cs="Arial"/>
                <w:color w:val="000000"/>
                <w:sz w:val="20"/>
                <w:u w:val="single"/>
              </w:rPr>
              <w:t>no se puede hacer un acuerdo para clasificar de manera general todos los documentos de un expediente o área, sin</w:t>
            </w:r>
            <w:r w:rsidRPr="005A0F99">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2F478D" w:rsidRPr="005A0F99" w14:paraId="4A5A468B" w14:textId="77777777" w:rsidTr="00013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E17C858" w14:textId="77777777" w:rsidR="002F478D" w:rsidRPr="005A0F99" w:rsidRDefault="002F478D" w:rsidP="00013393">
            <w:pPr>
              <w:tabs>
                <w:tab w:val="left" w:pos="284"/>
              </w:tabs>
              <w:spacing w:line="360" w:lineRule="auto"/>
              <w:rPr>
                <w:rFonts w:ascii="Palatino Linotype" w:hAnsi="Palatino Linotype"/>
                <w:bCs w:val="0"/>
                <w:sz w:val="20"/>
              </w:rPr>
            </w:pPr>
            <w:r w:rsidRPr="005A0F99">
              <w:rPr>
                <w:rFonts w:ascii="Palatino Linotype" w:hAnsi="Palatino Linotype" w:cstheme="majorBidi"/>
                <w:sz w:val="20"/>
              </w:rPr>
              <w:t>b) Supuestos de clasificación.</w:t>
            </w:r>
          </w:p>
        </w:tc>
        <w:tc>
          <w:tcPr>
            <w:tcW w:w="6667" w:type="dxa"/>
            <w:hideMark/>
          </w:tcPr>
          <w:p w14:paraId="616DA9A4" w14:textId="77777777" w:rsidR="002F478D" w:rsidRPr="005A0F99" w:rsidRDefault="002F478D" w:rsidP="0001339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4711D1F8" w14:textId="77777777" w:rsidR="002F478D" w:rsidRPr="005A0F99" w:rsidRDefault="002F478D" w:rsidP="0001339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1B0E552" w14:textId="77777777" w:rsidR="002F478D" w:rsidRPr="005A0F99" w:rsidRDefault="002F478D" w:rsidP="0001339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A0F99">
              <w:rPr>
                <w:rFonts w:ascii="Palatino Linotype" w:hAnsi="Palatino Linotype" w:cs="Arial"/>
                <w:color w:val="000000"/>
                <w:sz w:val="20"/>
              </w:rPr>
              <w:t xml:space="preserve">El </w:t>
            </w:r>
            <w:r w:rsidRPr="005A0F99">
              <w:rPr>
                <w:rFonts w:ascii="Palatino Linotype" w:hAnsi="Palatino Linotype" w:cs="Arial"/>
                <w:b/>
                <w:color w:val="000000"/>
                <w:sz w:val="20"/>
              </w:rPr>
              <w:t>Sujeto Obligado</w:t>
            </w:r>
            <w:r w:rsidRPr="005A0F99">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F478D" w:rsidRPr="005A0F99" w14:paraId="447767A5" w14:textId="77777777" w:rsidTr="00013393">
        <w:tc>
          <w:tcPr>
            <w:cnfStyle w:val="001000000000" w:firstRow="0" w:lastRow="0" w:firstColumn="1" w:lastColumn="0" w:oddVBand="0" w:evenVBand="0" w:oddHBand="0" w:evenHBand="0" w:firstRowFirstColumn="0" w:firstRowLastColumn="0" w:lastRowFirstColumn="0" w:lastRowLastColumn="0"/>
            <w:tcW w:w="1838" w:type="dxa"/>
            <w:hideMark/>
          </w:tcPr>
          <w:p w14:paraId="04510E7A" w14:textId="77777777" w:rsidR="002F478D" w:rsidRPr="005A0F99" w:rsidRDefault="002F478D" w:rsidP="00013393">
            <w:pPr>
              <w:tabs>
                <w:tab w:val="left" w:pos="284"/>
              </w:tabs>
              <w:spacing w:line="360" w:lineRule="auto"/>
              <w:rPr>
                <w:rFonts w:ascii="Palatino Linotype" w:hAnsi="Palatino Linotype"/>
                <w:bCs w:val="0"/>
                <w:sz w:val="20"/>
              </w:rPr>
            </w:pPr>
            <w:r w:rsidRPr="005A0F99">
              <w:rPr>
                <w:rFonts w:ascii="Palatino Linotype" w:hAnsi="Palatino Linotype" w:cstheme="majorBidi"/>
                <w:sz w:val="20"/>
              </w:rPr>
              <w:lastRenderedPageBreak/>
              <w:t>c) Formalidades para emitir el acuerdo de clasificación.</w:t>
            </w:r>
          </w:p>
        </w:tc>
        <w:tc>
          <w:tcPr>
            <w:tcW w:w="6667" w:type="dxa"/>
            <w:hideMark/>
          </w:tcPr>
          <w:p w14:paraId="34A518D7" w14:textId="77777777" w:rsidR="002F478D" w:rsidRPr="005A0F99" w:rsidRDefault="002F478D" w:rsidP="0001339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3CB6C4A0" w14:textId="77777777" w:rsidR="002F478D" w:rsidRPr="005A0F99" w:rsidRDefault="002F478D" w:rsidP="0001339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 xml:space="preserve">Es necesario que </w:t>
            </w:r>
            <w:r w:rsidRPr="005A0F99">
              <w:rPr>
                <w:rFonts w:ascii="Palatino Linotype" w:hAnsi="Palatino Linotype" w:cs="Arial"/>
                <w:b/>
                <w:color w:val="000000"/>
                <w:sz w:val="20"/>
                <w:u w:val="single"/>
              </w:rPr>
              <w:t>el acto reúna con los requisitos elementales</w:t>
            </w:r>
            <w:r w:rsidRPr="005A0F99">
              <w:rPr>
                <w:rFonts w:ascii="Palatino Linotype" w:hAnsi="Palatino Linotype" w:cs="Arial"/>
                <w:color w:val="000000"/>
                <w:sz w:val="20"/>
              </w:rPr>
              <w:t>, entre ellos, que la autoridad que va a emitir el acto de autoridad sea la legalmente facultada para ello.</w:t>
            </w:r>
          </w:p>
          <w:p w14:paraId="4AA203C5" w14:textId="77777777" w:rsidR="002F478D" w:rsidRPr="005A0F99" w:rsidRDefault="002F478D" w:rsidP="0001339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A0F99">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F478D" w:rsidRPr="005A0F99" w14:paraId="5257C610" w14:textId="77777777" w:rsidTr="00013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3CFFEEE" w14:textId="77777777" w:rsidR="002F478D" w:rsidRPr="005A0F99" w:rsidRDefault="002F478D" w:rsidP="00013393">
            <w:pPr>
              <w:tabs>
                <w:tab w:val="left" w:pos="284"/>
              </w:tabs>
              <w:spacing w:line="360" w:lineRule="auto"/>
              <w:rPr>
                <w:rFonts w:ascii="Palatino Linotype" w:hAnsi="Palatino Linotype"/>
                <w:b w:val="0"/>
                <w:sz w:val="20"/>
              </w:rPr>
            </w:pPr>
          </w:p>
          <w:p w14:paraId="4D73D012" w14:textId="77777777" w:rsidR="002F478D" w:rsidRPr="005A0F99" w:rsidRDefault="002F478D" w:rsidP="00013393">
            <w:pPr>
              <w:tabs>
                <w:tab w:val="left" w:pos="284"/>
              </w:tabs>
              <w:spacing w:line="360" w:lineRule="auto"/>
              <w:jc w:val="both"/>
              <w:rPr>
                <w:rFonts w:ascii="Palatino Linotype" w:hAnsi="Palatino Linotype"/>
                <w:bCs w:val="0"/>
                <w:sz w:val="20"/>
              </w:rPr>
            </w:pPr>
            <w:r w:rsidRPr="005A0F99">
              <w:rPr>
                <w:rFonts w:ascii="Palatino Linotype" w:hAnsi="Palatino Linotype" w:cs="Arial"/>
                <w:color w:val="000000"/>
                <w:sz w:val="20"/>
              </w:rPr>
              <w:lastRenderedPageBreak/>
              <w:t xml:space="preserve">d) Requisitos de fondo del acuerdo de clasificación. </w:t>
            </w:r>
          </w:p>
        </w:tc>
        <w:tc>
          <w:tcPr>
            <w:tcW w:w="6667" w:type="dxa"/>
            <w:hideMark/>
          </w:tcPr>
          <w:p w14:paraId="6F0213AF" w14:textId="77777777" w:rsidR="002F478D" w:rsidRPr="005A0F99" w:rsidRDefault="002F478D" w:rsidP="0001339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w:t>
            </w:r>
            <w:r w:rsidRPr="005A0F99">
              <w:rPr>
                <w:rFonts w:ascii="Palatino Linotype" w:hAnsi="Palatino Linotype" w:cs="Arial"/>
                <w:color w:val="000000"/>
                <w:sz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5A0F99">
              <w:rPr>
                <w:rFonts w:ascii="Palatino Linotype" w:hAnsi="Palatino Linotype" w:cs="Arial"/>
                <w:b/>
                <w:color w:val="000000"/>
                <w:sz w:val="20"/>
              </w:rPr>
              <w:t>Sujetos Obligados</w:t>
            </w:r>
            <w:r w:rsidRPr="005A0F99">
              <w:rPr>
                <w:rFonts w:ascii="Palatino Linotype" w:hAnsi="Palatino Linotype" w:cs="Arial"/>
                <w:color w:val="000000"/>
                <w:sz w:val="20"/>
              </w:rPr>
              <w:t xml:space="preserve">, por lo que deberán fundar y motivar debidamente la clasificación. </w:t>
            </w:r>
          </w:p>
          <w:p w14:paraId="3DBA15EA" w14:textId="77777777" w:rsidR="002F478D" w:rsidRPr="005A0F99" w:rsidRDefault="002F478D" w:rsidP="0001339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 xml:space="preserve">De lo anterior, se desprende que para una correcta </w:t>
            </w:r>
            <w:r w:rsidRPr="005A0F99">
              <w:rPr>
                <w:rFonts w:ascii="Palatino Linotype" w:hAnsi="Palatino Linotype" w:cs="Arial"/>
                <w:b/>
                <w:color w:val="000000"/>
                <w:sz w:val="20"/>
              </w:rPr>
              <w:t>clasificación total o parcial</w:t>
            </w:r>
            <w:r w:rsidRPr="005A0F99">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6E776DE" w14:textId="77777777" w:rsidR="002F478D" w:rsidRPr="005A0F99" w:rsidRDefault="002F478D" w:rsidP="0001339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8C7F9B8" w14:textId="77777777" w:rsidR="002F478D" w:rsidRPr="005A0F99" w:rsidRDefault="002F478D" w:rsidP="0001339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4AC3BDDE" w14:textId="77777777" w:rsidR="002F478D" w:rsidRPr="005A0F99" w:rsidRDefault="002F478D" w:rsidP="0001339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 xml:space="preserve">Ahora bien, </w:t>
            </w:r>
            <w:r w:rsidRPr="005A0F99">
              <w:rPr>
                <w:rFonts w:ascii="Palatino Linotype" w:hAnsi="Palatino Linotype" w:cs="Arial"/>
                <w:b/>
                <w:color w:val="000000"/>
                <w:sz w:val="20"/>
                <w:u w:val="single"/>
              </w:rPr>
              <w:t>para cada caso además de fundar y motivar</w:t>
            </w:r>
            <w:r w:rsidRPr="005A0F99">
              <w:rPr>
                <w:rFonts w:ascii="Palatino Linotype" w:hAnsi="Palatino Linotype" w:cs="Arial"/>
                <w:color w:val="000000"/>
                <w:sz w:val="20"/>
              </w:rPr>
              <w:t xml:space="preserve">, se debe identificar con claridad que datos contenidos en las documentales que son susceptibles de suprimirse, por ejemplo; </w:t>
            </w:r>
            <w:r w:rsidRPr="005A0F99">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F478D" w:rsidRPr="005A0F99" w14:paraId="037E7882" w14:textId="77777777" w:rsidTr="00013393">
        <w:tc>
          <w:tcPr>
            <w:cnfStyle w:val="001000000000" w:firstRow="0" w:lastRow="0" w:firstColumn="1" w:lastColumn="0" w:oddVBand="0" w:evenVBand="0" w:oddHBand="0" w:evenHBand="0" w:firstRowFirstColumn="0" w:firstRowLastColumn="0" w:lastRowFirstColumn="0" w:lastRowLastColumn="0"/>
            <w:tcW w:w="1838" w:type="dxa"/>
          </w:tcPr>
          <w:p w14:paraId="0C563A8B" w14:textId="77777777" w:rsidR="002F478D" w:rsidRPr="005A0F99" w:rsidRDefault="002F478D" w:rsidP="00013393">
            <w:pPr>
              <w:tabs>
                <w:tab w:val="left" w:pos="284"/>
              </w:tabs>
              <w:spacing w:line="360" w:lineRule="auto"/>
              <w:ind w:right="49"/>
              <w:jc w:val="both"/>
              <w:rPr>
                <w:rFonts w:ascii="Palatino Linotype" w:hAnsi="Palatino Linotype" w:cs="Arial"/>
                <w:bCs w:val="0"/>
                <w:sz w:val="20"/>
              </w:rPr>
            </w:pPr>
            <w:r w:rsidRPr="005A0F99">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63109B18" w14:textId="77777777" w:rsidR="002F478D" w:rsidRPr="005A0F99" w:rsidRDefault="002F478D" w:rsidP="0001339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F1AD531" w14:textId="77777777" w:rsidR="002F478D" w:rsidRPr="005A0F99" w:rsidRDefault="002F478D" w:rsidP="0001339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A0F99">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717ABE" w14:textId="77777777" w:rsidR="002F478D" w:rsidRPr="005A0F99" w:rsidRDefault="002F478D" w:rsidP="0001339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A0F99">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5E1D085" w14:textId="77777777" w:rsidR="002F478D" w:rsidRPr="005A0F99" w:rsidRDefault="002F478D" w:rsidP="002F478D">
      <w:pPr>
        <w:pStyle w:val="Prrafodelista"/>
        <w:tabs>
          <w:tab w:val="left" w:pos="284"/>
        </w:tabs>
        <w:ind w:left="0"/>
        <w:rPr>
          <w:rFonts w:ascii="Palatino Linotype" w:hAnsi="Palatino Linotype" w:cs="Arial"/>
          <w:color w:val="000000"/>
        </w:rPr>
      </w:pPr>
    </w:p>
    <w:p w14:paraId="6309481E" w14:textId="77777777" w:rsidR="002F478D" w:rsidRPr="005A0F99" w:rsidRDefault="002F478D" w:rsidP="002F478D">
      <w:pPr>
        <w:pStyle w:val="Prrafodelista"/>
        <w:numPr>
          <w:ilvl w:val="0"/>
          <w:numId w:val="32"/>
        </w:numPr>
        <w:tabs>
          <w:tab w:val="left" w:pos="284"/>
        </w:tabs>
        <w:spacing w:line="360" w:lineRule="auto"/>
        <w:ind w:left="0" w:firstLine="0"/>
        <w:jc w:val="both"/>
        <w:rPr>
          <w:rFonts w:ascii="Palatino Linotype" w:hAnsi="Palatino Linotype" w:cs="Arial"/>
        </w:rPr>
      </w:pPr>
      <w:r w:rsidRPr="005A0F99">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FC52C42" w14:textId="77777777" w:rsidR="002F478D" w:rsidRPr="005A0F99" w:rsidRDefault="002F478D" w:rsidP="002F478D">
      <w:pPr>
        <w:pStyle w:val="Prrafodelista"/>
        <w:spacing w:line="360" w:lineRule="auto"/>
        <w:ind w:left="0" w:right="49"/>
        <w:jc w:val="both"/>
        <w:rPr>
          <w:rFonts w:ascii="Palatino Linotype" w:eastAsia="Palatino Linotype" w:hAnsi="Palatino Linotype" w:cs="Palatino Linotype"/>
        </w:rPr>
      </w:pPr>
    </w:p>
    <w:p w14:paraId="11621533" w14:textId="77777777" w:rsidR="009D7223" w:rsidRPr="005A0F99" w:rsidRDefault="009D7223" w:rsidP="009D7223">
      <w:pPr>
        <w:pStyle w:val="Prrafodelista"/>
        <w:ind w:left="0"/>
        <w:rPr>
          <w:rFonts w:ascii="Palatino Linotype" w:eastAsia="Palatino Linotype" w:hAnsi="Palatino Linotype" w:cs="Palatino Linotype"/>
        </w:rPr>
      </w:pPr>
    </w:p>
    <w:p w14:paraId="6DA09CAA" w14:textId="77777777" w:rsidR="00E74B41" w:rsidRPr="005A0F99" w:rsidRDefault="00E74B41" w:rsidP="00736D6D">
      <w:pPr>
        <w:pStyle w:val="Prrafodelista"/>
        <w:spacing w:line="360" w:lineRule="auto"/>
        <w:ind w:left="0"/>
        <w:jc w:val="center"/>
        <w:rPr>
          <w:rFonts w:ascii="Palatino Linotype" w:hAnsi="Palatino Linotype" w:cs="Arial"/>
          <w:b/>
          <w:color w:val="000000" w:themeColor="text1"/>
          <w:lang w:val="pt-PT"/>
        </w:rPr>
      </w:pPr>
      <w:r w:rsidRPr="005A0F99">
        <w:rPr>
          <w:rFonts w:ascii="Palatino Linotype" w:hAnsi="Palatino Linotype" w:cs="Arial"/>
          <w:b/>
          <w:color w:val="000000" w:themeColor="text1"/>
          <w:lang w:val="pt-PT"/>
        </w:rPr>
        <w:t>R E S O L U T I V O S</w:t>
      </w:r>
    </w:p>
    <w:p w14:paraId="45A72164" w14:textId="77777777" w:rsidR="00E74B41" w:rsidRPr="005A0F99" w:rsidRDefault="00E74B41" w:rsidP="00E74B41">
      <w:pPr>
        <w:spacing w:line="360" w:lineRule="auto"/>
        <w:jc w:val="both"/>
        <w:rPr>
          <w:rFonts w:ascii="Palatino Linotype" w:hAnsi="Palatino Linotype" w:cs="Arial"/>
          <w:color w:val="000000" w:themeColor="text1"/>
          <w:lang w:val="pt-PT"/>
        </w:rPr>
      </w:pPr>
    </w:p>
    <w:p w14:paraId="183F1675" w14:textId="10ADB21D" w:rsidR="00736D6D" w:rsidRPr="005A0F99" w:rsidRDefault="00736D6D" w:rsidP="00736D6D">
      <w:pPr>
        <w:spacing w:line="360" w:lineRule="auto"/>
        <w:jc w:val="both"/>
        <w:rPr>
          <w:rFonts w:ascii="Palatino Linotype" w:hAnsi="Palatino Linotype"/>
        </w:rPr>
      </w:pPr>
      <w:r w:rsidRPr="005A0F99">
        <w:rPr>
          <w:rFonts w:ascii="Palatino Linotype" w:hAnsi="Palatino Linotype" w:cs="Arial"/>
          <w:b/>
        </w:rPr>
        <w:t xml:space="preserve">PRIMERO. </w:t>
      </w:r>
      <w:r w:rsidRPr="005A0F99">
        <w:rPr>
          <w:rFonts w:ascii="Palatino Linotype" w:hAnsi="Palatino Linotype" w:cs="Arial"/>
        </w:rPr>
        <w:t>Resultan parcialmente fundadas las</w:t>
      </w:r>
      <w:r w:rsidRPr="005A0F99">
        <w:rPr>
          <w:rFonts w:ascii="Palatino Linotype" w:hAnsi="Palatino Linotype" w:cs="Arial"/>
          <w:b/>
        </w:rPr>
        <w:t xml:space="preserve"> </w:t>
      </w:r>
      <w:r w:rsidRPr="005A0F99">
        <w:rPr>
          <w:rFonts w:ascii="Palatino Linotype" w:hAnsi="Palatino Linotype" w:cs="Arial"/>
          <w:lang w:val="es-ES"/>
        </w:rPr>
        <w:t xml:space="preserve">razones o motivos de inconformidad hechos valer </w:t>
      </w:r>
      <w:r w:rsidRPr="005A0F99">
        <w:rPr>
          <w:rFonts w:ascii="Palatino Linotype" w:eastAsia="Calibri" w:hAnsi="Palatino Linotype" w:cs="Arial"/>
          <w:lang w:val="es-ES"/>
        </w:rPr>
        <w:t xml:space="preserve">en el recurso de revisión </w:t>
      </w:r>
      <w:r w:rsidR="003F2810" w:rsidRPr="005A0F99">
        <w:rPr>
          <w:rFonts w:ascii="Palatino Linotype" w:eastAsia="Calibri" w:hAnsi="Palatino Linotype" w:cs="Arial"/>
          <w:b/>
          <w:lang w:val="es-ES"/>
        </w:rPr>
        <w:t>00388</w:t>
      </w:r>
      <w:r w:rsidR="003F2810" w:rsidRPr="005A0F99">
        <w:rPr>
          <w:rFonts w:ascii="Palatino Linotype" w:hAnsi="Palatino Linotype"/>
          <w:b/>
          <w:szCs w:val="22"/>
        </w:rPr>
        <w:t>/INFOEM/IP/RR/2023</w:t>
      </w:r>
      <w:r w:rsidRPr="005A0F99">
        <w:rPr>
          <w:rFonts w:ascii="Palatino Linotype" w:hAnsi="Palatino Linotype"/>
          <w:b/>
        </w:rPr>
        <w:t xml:space="preserve">, y </w:t>
      </w:r>
      <w:r w:rsidR="003F2810" w:rsidRPr="005A0F99">
        <w:rPr>
          <w:rFonts w:ascii="Palatino Linotype" w:hAnsi="Palatino Linotype"/>
          <w:b/>
        </w:rPr>
        <w:t>00389/INFOEM/IP/RR/2023</w:t>
      </w:r>
      <w:r w:rsidR="00290EC7" w:rsidRPr="005A0F99">
        <w:rPr>
          <w:rFonts w:ascii="Palatino Linotype" w:hAnsi="Palatino Linotype"/>
          <w:b/>
        </w:rPr>
        <w:t>,</w:t>
      </w:r>
      <w:r w:rsidRPr="005A0F99">
        <w:rPr>
          <w:rFonts w:ascii="Palatino Linotype" w:hAnsi="Palatino Linotype"/>
          <w:b/>
        </w:rPr>
        <w:t xml:space="preserve"> </w:t>
      </w:r>
      <w:r w:rsidRPr="005A0F99">
        <w:rPr>
          <w:rFonts w:ascii="Palatino Linotype" w:hAnsi="Palatino Linotype"/>
        </w:rPr>
        <w:t>en términos del</w:t>
      </w:r>
      <w:r w:rsidR="00290EC7" w:rsidRPr="005A0F99">
        <w:rPr>
          <w:rFonts w:ascii="Palatino Linotype" w:hAnsi="Palatino Linotype"/>
          <w:b/>
          <w:bCs/>
        </w:rPr>
        <w:t xml:space="preserve"> c</w:t>
      </w:r>
      <w:r w:rsidRPr="005A0F99">
        <w:rPr>
          <w:rFonts w:ascii="Palatino Linotype" w:hAnsi="Palatino Linotype"/>
          <w:b/>
          <w:bCs/>
        </w:rPr>
        <w:t>onsiderando</w:t>
      </w:r>
      <w:r w:rsidRPr="005A0F99">
        <w:rPr>
          <w:rFonts w:ascii="Palatino Linotype" w:hAnsi="Palatino Linotype"/>
        </w:rPr>
        <w:t xml:space="preserve"> </w:t>
      </w:r>
      <w:r w:rsidRPr="005A0F99">
        <w:rPr>
          <w:rFonts w:ascii="Palatino Linotype" w:hAnsi="Palatino Linotype"/>
          <w:b/>
        </w:rPr>
        <w:t xml:space="preserve">CUARTO </w:t>
      </w:r>
      <w:r w:rsidRPr="005A0F99">
        <w:rPr>
          <w:rFonts w:ascii="Palatino Linotype" w:hAnsi="Palatino Linotype"/>
        </w:rPr>
        <w:t>de la presente resolución.</w:t>
      </w:r>
    </w:p>
    <w:p w14:paraId="474D4093" w14:textId="77777777" w:rsidR="00736D6D" w:rsidRPr="005A0F99" w:rsidRDefault="00736D6D" w:rsidP="00736D6D">
      <w:pPr>
        <w:spacing w:line="360" w:lineRule="auto"/>
        <w:contextualSpacing/>
        <w:jc w:val="both"/>
        <w:rPr>
          <w:rFonts w:ascii="Palatino Linotype" w:eastAsia="Calibri" w:hAnsi="Palatino Linotype" w:cs="Arial"/>
          <w:b/>
          <w:bCs/>
          <w:lang w:val="es-ES"/>
        </w:rPr>
      </w:pPr>
    </w:p>
    <w:p w14:paraId="79B31879" w14:textId="7296B868" w:rsidR="00736D6D" w:rsidRPr="005A0F99" w:rsidRDefault="00736D6D" w:rsidP="00321EB6">
      <w:pPr>
        <w:pStyle w:val="Sinespaciado"/>
        <w:spacing w:line="360" w:lineRule="auto"/>
        <w:jc w:val="both"/>
        <w:rPr>
          <w:rFonts w:ascii="Palatino Linotype" w:eastAsia="Calibri" w:hAnsi="Palatino Linotype" w:cs="Arial"/>
          <w:lang w:val="es-ES"/>
        </w:rPr>
      </w:pPr>
      <w:r w:rsidRPr="005A0F99">
        <w:rPr>
          <w:rFonts w:ascii="Palatino Linotype" w:eastAsia="Calibri" w:hAnsi="Palatino Linotype" w:cs="Arial"/>
          <w:b/>
          <w:bCs/>
          <w:lang w:val="es-ES"/>
        </w:rPr>
        <w:lastRenderedPageBreak/>
        <w:t xml:space="preserve">SEGUNDO. Se </w:t>
      </w:r>
      <w:r w:rsidR="00321EB6" w:rsidRPr="005A0F99">
        <w:rPr>
          <w:rFonts w:ascii="Palatino Linotype" w:eastAsia="Calibri" w:hAnsi="Palatino Linotype" w:cs="Arial"/>
          <w:b/>
          <w:bCs/>
          <w:lang w:val="es-ES"/>
        </w:rPr>
        <w:t>REVOCAN</w:t>
      </w:r>
      <w:r w:rsidRPr="005A0F99">
        <w:rPr>
          <w:rFonts w:ascii="Palatino Linotype" w:eastAsia="Calibri" w:hAnsi="Palatino Linotype" w:cs="Arial"/>
          <w:b/>
          <w:bCs/>
          <w:lang w:val="es-ES"/>
        </w:rPr>
        <w:t xml:space="preserve"> </w:t>
      </w:r>
      <w:r w:rsidRPr="005A0F99">
        <w:rPr>
          <w:rFonts w:ascii="Palatino Linotype" w:eastAsia="Calibri" w:hAnsi="Palatino Linotype" w:cs="Arial"/>
          <w:bCs/>
          <w:lang w:val="es-ES"/>
        </w:rPr>
        <w:t>las respuestas emitidas por</w:t>
      </w:r>
      <w:r w:rsidRPr="005A0F99">
        <w:rPr>
          <w:rFonts w:ascii="Palatino Linotype" w:eastAsia="Calibri" w:hAnsi="Palatino Linotype" w:cs="Arial"/>
          <w:b/>
          <w:bCs/>
          <w:lang w:val="es-ES"/>
        </w:rPr>
        <w:t xml:space="preserve"> el </w:t>
      </w:r>
      <w:r w:rsidR="003F2810" w:rsidRPr="005A0F99">
        <w:rPr>
          <w:rFonts w:ascii="Palatino Linotype" w:eastAsia="Calibri" w:hAnsi="Palatino Linotype" w:cs="Arial"/>
          <w:b/>
        </w:rPr>
        <w:t>Ayuntamiento de Zinacantepec</w:t>
      </w:r>
      <w:r w:rsidRPr="005A0F99">
        <w:rPr>
          <w:rFonts w:ascii="Palatino Linotype" w:hAnsi="Palatino Linotype"/>
          <w:b/>
          <w:bCs/>
          <w:color w:val="000000"/>
        </w:rPr>
        <w:t xml:space="preserve"> </w:t>
      </w:r>
      <w:r w:rsidRPr="005A0F99">
        <w:rPr>
          <w:rFonts w:ascii="Palatino Linotype" w:eastAsia="Calibri" w:hAnsi="Palatino Linotype" w:cs="Arial"/>
          <w:bCs/>
          <w:lang w:val="es-ES"/>
        </w:rPr>
        <w:t>y se</w:t>
      </w:r>
      <w:r w:rsidRPr="005A0F99">
        <w:rPr>
          <w:rFonts w:ascii="Palatino Linotype" w:eastAsia="Calibri" w:hAnsi="Palatino Linotype" w:cs="Arial"/>
          <w:b/>
          <w:bCs/>
          <w:lang w:val="es-ES"/>
        </w:rPr>
        <w:t xml:space="preserve"> ORDENA </w:t>
      </w:r>
      <w:r w:rsidRPr="005A0F99">
        <w:rPr>
          <w:rFonts w:ascii="Palatino Linotype" w:eastAsia="Calibri" w:hAnsi="Palatino Linotype" w:cs="Arial"/>
          <w:bCs/>
          <w:lang w:val="es-ES"/>
        </w:rPr>
        <w:t xml:space="preserve">entregar vía </w:t>
      </w:r>
      <w:r w:rsidRPr="005A0F99">
        <w:rPr>
          <w:rFonts w:ascii="Palatino Linotype" w:eastAsia="Calibri" w:hAnsi="Palatino Linotype" w:cs="Arial"/>
          <w:b/>
          <w:bCs/>
          <w:lang w:val="es-ES"/>
        </w:rPr>
        <w:t>Sistema de Acceso a la Información Mexiquense (SAIMEX</w:t>
      </w:r>
      <w:r w:rsidR="00290EC7" w:rsidRPr="005A0F99">
        <w:rPr>
          <w:rFonts w:ascii="Palatino Linotype" w:eastAsia="Calibri" w:hAnsi="Palatino Linotype" w:cs="Arial"/>
          <w:b/>
          <w:bCs/>
          <w:lang w:val="es-ES"/>
        </w:rPr>
        <w:t>)</w:t>
      </w:r>
      <w:r w:rsidRPr="005A0F99">
        <w:rPr>
          <w:rFonts w:ascii="Palatino Linotype" w:eastAsia="Calibri" w:hAnsi="Palatino Linotype" w:cs="Arial"/>
          <w:b/>
          <w:bCs/>
          <w:lang w:val="es-ES"/>
        </w:rPr>
        <w:t>,</w:t>
      </w:r>
      <w:r w:rsidRPr="005A0F99">
        <w:rPr>
          <w:rFonts w:ascii="Palatino Linotype" w:eastAsia="Calibri" w:hAnsi="Palatino Linotype" w:cs="Arial"/>
          <w:lang w:val="es-ES"/>
        </w:rPr>
        <w:t xml:space="preserve"> </w:t>
      </w:r>
      <w:r w:rsidR="00321EB6" w:rsidRPr="005A0F99">
        <w:rPr>
          <w:rFonts w:ascii="Palatino Linotype" w:eastAsia="Calibri" w:hAnsi="Palatino Linotype" w:cs="Arial"/>
          <w:lang w:val="es-ES"/>
        </w:rPr>
        <w:t xml:space="preserve">de ser el caso en versión pública, </w:t>
      </w:r>
      <w:r w:rsidRPr="005A0F99">
        <w:rPr>
          <w:rFonts w:ascii="Palatino Linotype" w:eastAsia="Calibri" w:hAnsi="Palatino Linotype" w:cs="Arial"/>
          <w:lang w:val="es-ES"/>
        </w:rPr>
        <w:t>la s</w:t>
      </w:r>
      <w:r w:rsidRPr="005A0F99">
        <w:rPr>
          <w:rFonts w:ascii="Palatino Linotype" w:eastAsia="Calibri" w:hAnsi="Palatino Linotype" w:cs="Arial"/>
          <w:bCs/>
          <w:lang w:val="es-ES"/>
        </w:rPr>
        <w:t xml:space="preserve">iguiente información: </w:t>
      </w:r>
    </w:p>
    <w:p w14:paraId="66BEC853" w14:textId="77777777" w:rsidR="00736D6D" w:rsidRPr="005A0F99" w:rsidRDefault="00736D6D" w:rsidP="00736D6D">
      <w:pPr>
        <w:spacing w:line="360" w:lineRule="auto"/>
        <w:jc w:val="both"/>
        <w:rPr>
          <w:rFonts w:ascii="Palatino Linotype" w:hAnsi="Palatino Linotype" w:cs="Tahoma"/>
          <w:lang w:val="es-ES"/>
        </w:rPr>
      </w:pPr>
    </w:p>
    <w:p w14:paraId="5637D559" w14:textId="13D04968" w:rsidR="00321EB6" w:rsidRPr="005A0F99" w:rsidRDefault="00321EB6" w:rsidP="00B02C87">
      <w:pPr>
        <w:pStyle w:val="Prrafodelista"/>
        <w:numPr>
          <w:ilvl w:val="0"/>
          <w:numId w:val="27"/>
        </w:numPr>
        <w:spacing w:line="360" w:lineRule="auto"/>
        <w:ind w:left="426" w:firstLine="0"/>
        <w:jc w:val="both"/>
        <w:rPr>
          <w:rFonts w:ascii="Palatino Linotype" w:hAnsi="Palatino Linotype"/>
          <w:b/>
          <w:bCs/>
          <w:color w:val="000000"/>
        </w:rPr>
      </w:pPr>
      <w:r w:rsidRPr="005A0F99">
        <w:rPr>
          <w:rFonts w:ascii="Palatino Linotype" w:hAnsi="Palatino Linotype" w:cs="Arial"/>
          <w:b/>
          <w:color w:val="000000" w:themeColor="text1"/>
        </w:rPr>
        <w:t xml:space="preserve">Oficios </w:t>
      </w:r>
      <w:r w:rsidR="00F86DF7" w:rsidRPr="005A0F99">
        <w:rPr>
          <w:rFonts w:ascii="Palatino Linotype" w:hAnsi="Palatino Linotype" w:cs="Arial"/>
          <w:b/>
          <w:color w:val="000000" w:themeColor="text1"/>
        </w:rPr>
        <w:t xml:space="preserve">mediante los cuales se otorgaron </w:t>
      </w:r>
      <w:r w:rsidRPr="005A0F99">
        <w:rPr>
          <w:rFonts w:ascii="Palatino Linotype" w:hAnsi="Palatino Linotype" w:cs="Arial"/>
          <w:b/>
          <w:color w:val="000000" w:themeColor="text1"/>
        </w:rPr>
        <w:t xml:space="preserve">vacaciones </w:t>
      </w:r>
      <w:r w:rsidR="00F86DF7" w:rsidRPr="005A0F99">
        <w:rPr>
          <w:rFonts w:ascii="Palatino Linotype" w:hAnsi="Palatino Linotype" w:cs="Arial"/>
          <w:b/>
          <w:color w:val="000000" w:themeColor="text1"/>
        </w:rPr>
        <w:t>en el mes de</w:t>
      </w:r>
      <w:r w:rsidRPr="005A0F99">
        <w:rPr>
          <w:rFonts w:ascii="Palatino Linotype" w:hAnsi="Palatino Linotype" w:cs="Arial"/>
          <w:b/>
          <w:color w:val="000000" w:themeColor="text1"/>
        </w:rPr>
        <w:t xml:space="preserve"> diciembre 2022; y,</w:t>
      </w:r>
    </w:p>
    <w:p w14:paraId="426FC612" w14:textId="49E71A62" w:rsidR="00321EB6" w:rsidRPr="005A0F99" w:rsidRDefault="00321EB6" w:rsidP="00B02C87">
      <w:pPr>
        <w:pStyle w:val="Prrafodelista"/>
        <w:numPr>
          <w:ilvl w:val="0"/>
          <w:numId w:val="27"/>
        </w:numPr>
        <w:spacing w:line="360" w:lineRule="auto"/>
        <w:ind w:left="426" w:firstLine="0"/>
        <w:jc w:val="both"/>
        <w:rPr>
          <w:rFonts w:ascii="Palatino Linotype" w:hAnsi="Palatino Linotype"/>
          <w:b/>
          <w:bCs/>
          <w:color w:val="000000"/>
        </w:rPr>
      </w:pPr>
      <w:r w:rsidRPr="005A0F99">
        <w:rPr>
          <w:rFonts w:ascii="Palatino Linotype" w:hAnsi="Palatino Linotype" w:cs="Arial"/>
          <w:b/>
          <w:color w:val="000000" w:themeColor="text1"/>
        </w:rPr>
        <w:t>Oficios de todas las áreas donde se hayan designado a servidores públicos para las guardias de las vacaciones de diciembre 2022.</w:t>
      </w:r>
    </w:p>
    <w:p w14:paraId="4CCDBBA7" w14:textId="77777777" w:rsidR="00B02C87" w:rsidRPr="005A0F99" w:rsidRDefault="00B02C87" w:rsidP="00B02C87">
      <w:pPr>
        <w:spacing w:line="360" w:lineRule="auto"/>
        <w:jc w:val="both"/>
        <w:rPr>
          <w:rFonts w:ascii="Palatino Linotype" w:hAnsi="Palatino Linotype"/>
          <w:b/>
          <w:bCs/>
          <w:color w:val="000000"/>
        </w:rPr>
      </w:pPr>
    </w:p>
    <w:p w14:paraId="6866FD71" w14:textId="77777777" w:rsidR="00B02C87" w:rsidRPr="005A0F99" w:rsidRDefault="00B02C87" w:rsidP="00B02C87">
      <w:pPr>
        <w:spacing w:line="360" w:lineRule="auto"/>
        <w:jc w:val="both"/>
        <w:rPr>
          <w:rFonts w:ascii="Palatino Linotype" w:eastAsia="Calibri" w:hAnsi="Palatino Linotype" w:cs="Arial"/>
        </w:rPr>
      </w:pPr>
      <w:r w:rsidRPr="005A0F9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0AAEE7E" w14:textId="77777777" w:rsidR="00F86DF7" w:rsidRPr="005A0F99" w:rsidRDefault="00F86DF7" w:rsidP="00B02C87">
      <w:pPr>
        <w:spacing w:line="360" w:lineRule="auto"/>
        <w:jc w:val="both"/>
        <w:rPr>
          <w:rFonts w:ascii="Palatino Linotype" w:eastAsia="Calibri" w:hAnsi="Palatino Linotype" w:cs="Arial"/>
        </w:rPr>
      </w:pPr>
    </w:p>
    <w:p w14:paraId="57C056CE" w14:textId="77777777" w:rsidR="0068155D" w:rsidRPr="005A0F99" w:rsidRDefault="0068155D" w:rsidP="00BF5855">
      <w:pPr>
        <w:spacing w:line="360" w:lineRule="auto"/>
        <w:rPr>
          <w:rFonts w:ascii="Palatino Linotype" w:hAnsi="Palatino Linotype"/>
          <w:color w:val="000000"/>
        </w:rPr>
      </w:pPr>
      <w:r w:rsidRPr="005A0F99">
        <w:rPr>
          <w:rFonts w:ascii="Palatino Linotype" w:hAnsi="Palatino Linotype"/>
          <w:color w:val="000000"/>
        </w:rPr>
        <w:t>Para el caso que la información que se ordena no haya sido generada, poseída o</w:t>
      </w:r>
    </w:p>
    <w:p w14:paraId="08CF03A4" w14:textId="77777777" w:rsidR="0068155D" w:rsidRPr="005A0F99" w:rsidRDefault="0068155D" w:rsidP="00BF5855">
      <w:pPr>
        <w:spacing w:line="360" w:lineRule="auto"/>
        <w:rPr>
          <w:rFonts w:ascii="Palatino Linotype" w:hAnsi="Palatino Linotype"/>
          <w:color w:val="000000"/>
        </w:rPr>
      </w:pPr>
      <w:r w:rsidRPr="005A0F99">
        <w:rPr>
          <w:rFonts w:ascii="Palatino Linotype" w:hAnsi="Palatino Linotype"/>
          <w:color w:val="000000"/>
        </w:rPr>
        <w:t>administrada, el SUJETO OBLIGADO, deberá manifestarlo de manera precisa y</w:t>
      </w:r>
    </w:p>
    <w:p w14:paraId="08CB6626" w14:textId="77777777" w:rsidR="0068155D" w:rsidRPr="005A0F99" w:rsidRDefault="0068155D" w:rsidP="00BF5855">
      <w:pPr>
        <w:spacing w:line="360" w:lineRule="auto"/>
        <w:rPr>
          <w:rFonts w:ascii="Palatino Linotype" w:hAnsi="Palatino Linotype"/>
          <w:color w:val="000000"/>
        </w:rPr>
      </w:pPr>
      <w:r w:rsidRPr="005A0F99">
        <w:rPr>
          <w:rFonts w:ascii="Palatino Linotype" w:hAnsi="Palatino Linotype"/>
          <w:color w:val="000000"/>
        </w:rPr>
        <w:t>clara, porque no se generó, posee o administra en términos del artículo 19 segundo</w:t>
      </w:r>
    </w:p>
    <w:p w14:paraId="3F9F96BF" w14:textId="7E1A82CA" w:rsidR="00B02C87" w:rsidRPr="005A0F99" w:rsidRDefault="0068155D" w:rsidP="00BF5855">
      <w:pPr>
        <w:spacing w:line="360" w:lineRule="auto"/>
        <w:rPr>
          <w:rFonts w:ascii="Palatino Linotype" w:hAnsi="Palatino Linotype"/>
          <w:color w:val="000000"/>
        </w:rPr>
      </w:pPr>
      <w:r w:rsidRPr="005A0F99">
        <w:rPr>
          <w:rFonts w:ascii="Palatino Linotype" w:hAnsi="Palatino Linotype"/>
          <w:color w:val="000000"/>
        </w:rPr>
        <w:t>párrafo.</w:t>
      </w:r>
    </w:p>
    <w:p w14:paraId="25A9A7C8" w14:textId="77777777" w:rsidR="00BF5855" w:rsidRPr="005A0F99" w:rsidRDefault="00BF5855" w:rsidP="00BF5855">
      <w:pPr>
        <w:spacing w:line="360" w:lineRule="auto"/>
        <w:rPr>
          <w:rFonts w:ascii="Palatino Linotype" w:hAnsi="Palatino Linotype"/>
          <w:color w:val="000000"/>
        </w:rPr>
      </w:pPr>
    </w:p>
    <w:p w14:paraId="5F13286C" w14:textId="77777777" w:rsidR="00B02C87" w:rsidRPr="005A0F99" w:rsidRDefault="00B02C87" w:rsidP="00B02C87">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5A0F99">
        <w:rPr>
          <w:rFonts w:ascii="Palatino Linotype" w:eastAsia="Palatino Linotype" w:hAnsi="Palatino Linotype" w:cs="Palatino Linotype"/>
          <w:b/>
          <w:lang w:val="es-ES_tradnl"/>
        </w:rPr>
        <w:t xml:space="preserve">TERCERO. </w:t>
      </w:r>
      <w:r w:rsidRPr="005A0F99">
        <w:rPr>
          <w:rFonts w:ascii="Palatino Linotype" w:hAnsi="Palatino Linotype" w:cs="Arial"/>
          <w:b/>
          <w:color w:val="222222"/>
          <w:shd w:val="clear" w:color="auto" w:fill="FFFFFF"/>
        </w:rPr>
        <w:t>NOTIFÍQUESE</w:t>
      </w:r>
      <w:r w:rsidRPr="005A0F99">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w:t>
      </w:r>
      <w:r w:rsidRPr="005A0F99">
        <w:rPr>
          <w:rFonts w:ascii="Palatino Linotype" w:hAnsi="Palatino Linotype" w:cs="Arial"/>
          <w:color w:val="222222"/>
          <w:shd w:val="clear" w:color="auto" w:fill="FFFFFF"/>
        </w:rPr>
        <w:lastRenderedPageBreak/>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874DAF" w14:textId="77777777" w:rsidR="00321EB6" w:rsidRPr="005A0F99" w:rsidRDefault="00321EB6" w:rsidP="00B02C87">
      <w:pPr>
        <w:spacing w:line="360" w:lineRule="auto"/>
        <w:jc w:val="both"/>
        <w:rPr>
          <w:rFonts w:ascii="Palatino Linotype" w:hAnsi="Palatino Linotype"/>
          <w:b/>
          <w:bCs/>
          <w:color w:val="000000"/>
        </w:rPr>
      </w:pPr>
    </w:p>
    <w:p w14:paraId="0CB18C79" w14:textId="77777777" w:rsidR="00736D6D" w:rsidRPr="005A0F99" w:rsidRDefault="00736D6D" w:rsidP="00736D6D">
      <w:pPr>
        <w:spacing w:line="360" w:lineRule="auto"/>
        <w:jc w:val="both"/>
        <w:rPr>
          <w:rFonts w:ascii="Palatino Linotype" w:eastAsia="Calibri" w:hAnsi="Palatino Linotype" w:cs="Arial"/>
          <w:bCs/>
        </w:rPr>
      </w:pPr>
      <w:r w:rsidRPr="005A0F99">
        <w:rPr>
          <w:rFonts w:ascii="Palatino Linotype" w:hAnsi="Palatino Linotype" w:cs="Arial"/>
          <w:b/>
        </w:rPr>
        <w:t xml:space="preserve">CUARTO. </w:t>
      </w:r>
      <w:r w:rsidRPr="005A0F9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66AE4A" w14:textId="77777777" w:rsidR="00736D6D" w:rsidRPr="005A0F99" w:rsidRDefault="00736D6D" w:rsidP="00736D6D">
      <w:pPr>
        <w:pStyle w:val="Sinespaciado"/>
        <w:spacing w:line="360" w:lineRule="auto"/>
        <w:rPr>
          <w:rFonts w:ascii="Palatino Linotype" w:eastAsia="Times New Roman" w:hAnsi="Palatino Linotype" w:cs="Arial"/>
          <w:b/>
        </w:rPr>
      </w:pPr>
    </w:p>
    <w:p w14:paraId="0839066E" w14:textId="77777777" w:rsidR="00736D6D" w:rsidRPr="005A0F99" w:rsidRDefault="00736D6D" w:rsidP="00736D6D">
      <w:pPr>
        <w:pStyle w:val="Sinespaciado"/>
        <w:spacing w:line="360" w:lineRule="auto"/>
        <w:rPr>
          <w:rFonts w:ascii="Palatino Linotype" w:eastAsia="Times New Roman" w:hAnsi="Palatino Linotype"/>
          <w:color w:val="222222"/>
          <w:lang w:val="es-ES" w:eastAsia="es-MX"/>
        </w:rPr>
      </w:pPr>
      <w:r w:rsidRPr="005A0F99">
        <w:rPr>
          <w:rFonts w:ascii="Palatino Linotype" w:eastAsia="Times New Roman" w:hAnsi="Palatino Linotype" w:cs="Arial"/>
          <w:b/>
        </w:rPr>
        <w:t xml:space="preserve">QUINTO. </w:t>
      </w:r>
      <w:r w:rsidRPr="005A0F99">
        <w:rPr>
          <w:rFonts w:ascii="Palatino Linotype" w:eastAsia="Times New Roman" w:hAnsi="Palatino Linotype"/>
          <w:b/>
          <w:bCs/>
          <w:color w:val="222222"/>
          <w:lang w:val="es-ES"/>
        </w:rPr>
        <w:t xml:space="preserve">Notifíquese </w:t>
      </w:r>
      <w:r w:rsidRPr="005A0F99">
        <w:rPr>
          <w:rFonts w:ascii="Palatino Linotype" w:eastAsia="Times New Roman" w:hAnsi="Palatino Linotype"/>
          <w:bCs/>
          <w:color w:val="222222"/>
          <w:lang w:val="es-ES"/>
        </w:rPr>
        <w:t xml:space="preserve">al </w:t>
      </w:r>
      <w:r w:rsidRPr="005A0F99">
        <w:rPr>
          <w:rFonts w:ascii="Palatino Linotype" w:eastAsia="Times New Roman" w:hAnsi="Palatino Linotype"/>
          <w:b/>
          <w:color w:val="222222"/>
          <w:lang w:val="es-ES"/>
        </w:rPr>
        <w:t>RECURRENTE</w:t>
      </w:r>
      <w:r w:rsidRPr="005A0F99">
        <w:rPr>
          <w:rFonts w:ascii="Palatino Linotype" w:eastAsia="Times New Roman" w:hAnsi="Palatino Linotype"/>
          <w:color w:val="222222"/>
          <w:lang w:val="es-ES" w:eastAsia="es-MX"/>
        </w:rPr>
        <w:t xml:space="preserve"> la presente resolución vía SAIMEX.</w:t>
      </w:r>
    </w:p>
    <w:p w14:paraId="0EB8709F" w14:textId="4F76D0A4" w:rsidR="00736D6D" w:rsidRPr="005A0F99" w:rsidRDefault="00736D6D" w:rsidP="00736D6D">
      <w:pPr>
        <w:shd w:val="clear" w:color="auto" w:fill="FFFFFF"/>
        <w:spacing w:before="240" w:after="360" w:line="360" w:lineRule="auto"/>
        <w:jc w:val="both"/>
        <w:rPr>
          <w:rFonts w:ascii="Palatino Linotype" w:eastAsia="MS Mincho" w:hAnsi="Palatino Linotype"/>
          <w:lang w:val="es-ES"/>
        </w:rPr>
      </w:pPr>
      <w:r w:rsidRPr="005A0F99">
        <w:rPr>
          <w:rFonts w:ascii="Palatino Linotype" w:eastAsia="MS Mincho" w:hAnsi="Palatino Linotype"/>
          <w:b/>
        </w:rPr>
        <w:t>SEXTO.</w:t>
      </w:r>
      <w:r w:rsidRPr="005A0F99">
        <w:rPr>
          <w:rFonts w:ascii="Palatino Linotype" w:eastAsia="MS Mincho" w:hAnsi="Palatino Linotype"/>
        </w:rPr>
        <w:t xml:space="preserve"> </w:t>
      </w:r>
      <w:r w:rsidRPr="005A0F99">
        <w:rPr>
          <w:rFonts w:ascii="Palatino Linotype" w:eastAsia="MS Mincho" w:hAnsi="Palatino Linotype"/>
          <w:lang w:val="es-ES"/>
        </w:rPr>
        <w:t xml:space="preserve">Se hace del conocimiento de </w:t>
      </w:r>
      <w:r w:rsidRPr="005A0F99">
        <w:rPr>
          <w:rFonts w:ascii="Palatino Linotype" w:hAnsi="Palatino Linotype"/>
          <w:b/>
        </w:rPr>
        <w:t>RECURRENTE</w:t>
      </w:r>
      <w:r w:rsidRPr="005A0F99">
        <w:rPr>
          <w:rFonts w:ascii="Palatino Linotype" w:hAnsi="Palatino Linotype"/>
        </w:rPr>
        <w:t xml:space="preserve"> </w:t>
      </w:r>
      <w:r w:rsidRPr="005A0F99">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5A0F99">
        <w:rPr>
          <w:rFonts w:ascii="Palatino Linotype" w:hAnsi="Palatino Linotype"/>
          <w:color w:val="000000"/>
        </w:rPr>
        <w:t xml:space="preserve">en caso de que considere que la resolución le cause algún perjuicio podrá impugnarla vía </w:t>
      </w:r>
      <w:r w:rsidRPr="005A0F99">
        <w:rPr>
          <w:rFonts w:ascii="Palatino Linotype" w:eastAsia="MS Mincho" w:hAnsi="Palatino Linotype"/>
          <w:bCs/>
          <w:lang w:val="es-ES"/>
        </w:rPr>
        <w:t>juicio de amparo</w:t>
      </w:r>
      <w:r w:rsidRPr="005A0F99">
        <w:rPr>
          <w:rFonts w:ascii="Palatino Linotype" w:eastAsia="MS Mincho" w:hAnsi="Palatino Linotype"/>
          <w:lang w:val="es-ES"/>
        </w:rPr>
        <w:t> en los términos de las leyes aplicables.</w:t>
      </w:r>
    </w:p>
    <w:p w14:paraId="6359E7E3" w14:textId="77777777" w:rsidR="00290EC7" w:rsidRPr="00290EC7" w:rsidRDefault="00290EC7" w:rsidP="00290EC7">
      <w:pPr>
        <w:spacing w:before="240" w:after="240" w:line="360" w:lineRule="auto"/>
        <w:ind w:firstLine="1"/>
        <w:jc w:val="both"/>
        <w:rPr>
          <w:rFonts w:ascii="Palatino Linotype" w:hAnsi="Palatino Linotype"/>
          <w:smallCaps/>
        </w:rPr>
      </w:pPr>
      <w:bookmarkStart w:id="6" w:name="_Hlk129792997"/>
      <w:r w:rsidRPr="005A0F99">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5A0F99">
        <w:rPr>
          <w:rStyle w:val="Referenciasutil"/>
          <w:rFonts w:ascii="Palatino Linotype" w:hAnsi="Palatino Linotype"/>
          <w:color w:val="auto"/>
        </w:rPr>
        <w:lastRenderedPageBreak/>
        <w:t>CONFORMADO POR LOS COMISIONADOS JOSÉ MARTÍNEZ VILCHIS; MARÍA DEL ROSARIO MEJÍA AYALA; SHARON CRISTINA MORALES MARTÍNEZ; LUIS GUSTAVO PARRA NORIEGA Y GUADALUPE RAMÍREZ PEÑA; EN LA VIGÉSIMA OCTAVA SESIÓN ORDINARIA CELEBRADA EL NUEVE (09) DE AGOSTO DE DOS MIL VEINTITRÉS, ANTE EL SECRETARIO TÉCNICO DE</w:t>
      </w:r>
      <w:r w:rsidRPr="005A0F99">
        <w:rPr>
          <w:rStyle w:val="Referenciasutil"/>
          <w:rFonts w:ascii="Palatino Linotype" w:hAnsi="Palatino Linotype"/>
        </w:rPr>
        <w:t xml:space="preserve">L </w:t>
      </w:r>
      <w:r w:rsidRPr="005A0F99">
        <w:rPr>
          <w:rStyle w:val="Referenciasutil"/>
          <w:rFonts w:ascii="Palatino Linotype" w:hAnsi="Palatino Linotype"/>
          <w:color w:val="auto"/>
        </w:rPr>
        <w:t>PLENO ALEXIS TAPIA RAMÍREZ.</w:t>
      </w:r>
      <w:bookmarkStart w:id="7" w:name="_GoBack"/>
      <w:bookmarkEnd w:id="7"/>
      <w:r w:rsidRPr="00290EC7">
        <w:rPr>
          <w:rStyle w:val="Referenciasutil"/>
          <w:rFonts w:ascii="Palatino Linotype" w:hAnsi="Palatino Linotype"/>
          <w:color w:val="auto"/>
        </w:rPr>
        <w:t xml:space="preserve"> </w:t>
      </w:r>
      <w:bookmarkEnd w:id="6"/>
    </w:p>
    <w:p w14:paraId="24F84066" w14:textId="77777777" w:rsidR="00E74B41" w:rsidRPr="00E74B41" w:rsidRDefault="00E74B41" w:rsidP="00E74B41">
      <w:pPr>
        <w:spacing w:line="360" w:lineRule="auto"/>
        <w:jc w:val="both"/>
        <w:rPr>
          <w:rFonts w:ascii="Palatino Linotype" w:hAnsi="Palatino Linotype" w:cs="Arial"/>
          <w:color w:val="000000" w:themeColor="text1"/>
        </w:rPr>
      </w:pPr>
    </w:p>
    <w:p w14:paraId="62CB4093" w14:textId="77777777" w:rsidR="00E74B41" w:rsidRPr="00E74B41" w:rsidRDefault="00E74B41" w:rsidP="00E74B41">
      <w:pPr>
        <w:spacing w:line="360" w:lineRule="auto"/>
        <w:jc w:val="both"/>
        <w:rPr>
          <w:rFonts w:ascii="Palatino Linotype" w:hAnsi="Palatino Linotype" w:cs="Arial"/>
          <w:color w:val="000000" w:themeColor="text1"/>
        </w:rPr>
      </w:pPr>
    </w:p>
    <w:p w14:paraId="2A793819" w14:textId="77777777" w:rsidR="00E74B41" w:rsidRPr="00E74B41" w:rsidRDefault="00E74B41" w:rsidP="00E74B41">
      <w:pPr>
        <w:spacing w:line="360" w:lineRule="auto"/>
        <w:jc w:val="both"/>
        <w:rPr>
          <w:rFonts w:ascii="Palatino Linotype" w:hAnsi="Palatino Linotype" w:cs="Arial"/>
          <w:color w:val="000000" w:themeColor="text1"/>
        </w:rPr>
      </w:pPr>
    </w:p>
    <w:p w14:paraId="0769D1C1" w14:textId="77777777" w:rsidR="00E74B41" w:rsidRPr="00E74B41" w:rsidRDefault="00E74B41" w:rsidP="00E74B41">
      <w:pPr>
        <w:spacing w:line="360" w:lineRule="auto"/>
        <w:jc w:val="both"/>
        <w:rPr>
          <w:rFonts w:ascii="Palatino Linotype" w:hAnsi="Palatino Linotype" w:cs="Arial"/>
          <w:color w:val="000000" w:themeColor="text1"/>
        </w:rPr>
      </w:pPr>
    </w:p>
    <w:p w14:paraId="01A09536" w14:textId="77777777" w:rsidR="00E74B41" w:rsidRPr="00E74B41" w:rsidRDefault="00E74B41" w:rsidP="00E74B41">
      <w:pPr>
        <w:spacing w:line="360" w:lineRule="auto"/>
        <w:jc w:val="both"/>
        <w:rPr>
          <w:rFonts w:ascii="Palatino Linotype" w:hAnsi="Palatino Linotype" w:cs="Arial"/>
          <w:color w:val="000000" w:themeColor="text1"/>
        </w:rPr>
      </w:pPr>
    </w:p>
    <w:p w14:paraId="0888DFA9" w14:textId="77777777" w:rsidR="00E74B41" w:rsidRPr="00E74B41" w:rsidRDefault="00E74B41" w:rsidP="00E74B41">
      <w:pPr>
        <w:spacing w:line="360" w:lineRule="auto"/>
        <w:jc w:val="both"/>
        <w:rPr>
          <w:rFonts w:ascii="Palatino Linotype" w:hAnsi="Palatino Linotype" w:cs="Arial"/>
          <w:color w:val="000000" w:themeColor="text1"/>
        </w:rPr>
      </w:pPr>
    </w:p>
    <w:p w14:paraId="05F8FBDD" w14:textId="77777777" w:rsidR="00E74B41" w:rsidRPr="00E74B41" w:rsidRDefault="00E74B41" w:rsidP="00E74B41">
      <w:pPr>
        <w:spacing w:line="360" w:lineRule="auto"/>
        <w:jc w:val="both"/>
        <w:rPr>
          <w:rFonts w:ascii="Palatino Linotype" w:hAnsi="Palatino Linotype" w:cs="Arial"/>
          <w:color w:val="000000" w:themeColor="text1"/>
        </w:rPr>
      </w:pPr>
    </w:p>
    <w:p w14:paraId="3BE3055F" w14:textId="77777777" w:rsidR="00E74B41" w:rsidRPr="00E74B41" w:rsidRDefault="00E74B41" w:rsidP="00E74B41">
      <w:pPr>
        <w:spacing w:line="360" w:lineRule="auto"/>
        <w:jc w:val="both"/>
        <w:rPr>
          <w:rFonts w:ascii="Palatino Linotype" w:hAnsi="Palatino Linotype" w:cs="Arial"/>
          <w:color w:val="000000" w:themeColor="text1"/>
        </w:rPr>
      </w:pPr>
    </w:p>
    <w:p w14:paraId="7EFA4F21" w14:textId="31E3F54F" w:rsidR="00895335" w:rsidRPr="00E74B41" w:rsidRDefault="00895335" w:rsidP="00E74B41">
      <w:pPr>
        <w:spacing w:line="360" w:lineRule="auto"/>
        <w:jc w:val="both"/>
        <w:rPr>
          <w:rFonts w:ascii="Palatino Linotype" w:hAnsi="Palatino Linotype" w:cs="Arial"/>
          <w:color w:val="000000" w:themeColor="text1"/>
        </w:rPr>
      </w:pPr>
    </w:p>
    <w:sectPr w:rsidR="00895335" w:rsidRPr="00E74B41"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6064C" w14:textId="77777777" w:rsidR="00F44DA8" w:rsidRDefault="00F44DA8" w:rsidP="00587366">
      <w:r>
        <w:separator/>
      </w:r>
    </w:p>
  </w:endnote>
  <w:endnote w:type="continuationSeparator" w:id="0">
    <w:p w14:paraId="0E024490" w14:textId="77777777" w:rsidR="00F44DA8" w:rsidRDefault="00F44DA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41537B" w:rsidRPr="00883450" w:rsidRDefault="0041537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A0F99">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A0F99">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47B193F0" w:rsidR="0041537B" w:rsidRDefault="0041537B">
    <w:pPr>
      <w:pStyle w:val="Piedepgina"/>
    </w:pPr>
  </w:p>
  <w:p w14:paraId="748CF3BF" w14:textId="77777777" w:rsidR="0041537B" w:rsidRDefault="004153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41537B" w:rsidRPr="00883450" w:rsidRDefault="0041537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A0F99" w:rsidRPr="005A0F9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A0F99" w:rsidRPr="005A0F99">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0A9A2B26" w:rsidR="0041537B" w:rsidRPr="00883450" w:rsidRDefault="0041537B">
    <w:pPr>
      <w:pStyle w:val="Piedepgina"/>
      <w:rPr>
        <w:rFonts w:ascii="Palatino Linotype" w:hAnsi="Palatino Linotype"/>
        <w:sz w:val="22"/>
        <w:szCs w:val="22"/>
      </w:rPr>
    </w:pPr>
  </w:p>
  <w:p w14:paraId="3196E709" w14:textId="77777777" w:rsidR="0041537B" w:rsidRDefault="004153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3254B" w14:textId="77777777" w:rsidR="00F44DA8" w:rsidRDefault="00F44DA8" w:rsidP="00587366">
      <w:r>
        <w:separator/>
      </w:r>
    </w:p>
  </w:footnote>
  <w:footnote w:type="continuationSeparator" w:id="0">
    <w:p w14:paraId="33794FCF" w14:textId="77777777" w:rsidR="00F44DA8" w:rsidRDefault="00F44DA8" w:rsidP="00587366">
      <w:r>
        <w:continuationSeparator/>
      </w:r>
    </w:p>
  </w:footnote>
  <w:footnote w:id="1">
    <w:p w14:paraId="549F01F3" w14:textId="77777777" w:rsidR="009D7223" w:rsidRPr="00234955" w:rsidRDefault="009D7223" w:rsidP="009D7223">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BURGOA ORIHUELA Ignacio. </w:t>
      </w:r>
      <w:r w:rsidRPr="00234955">
        <w:rPr>
          <w:rFonts w:ascii="Palatino Linotype" w:eastAsia="Palatino Linotype" w:hAnsi="Palatino Linotype" w:cs="Palatino Linotype"/>
          <w:i/>
          <w:sz w:val="14"/>
          <w:szCs w:val="16"/>
        </w:rPr>
        <w:t>Diccionario De Derecho Constitucional, Garantías y Amparo</w:t>
      </w:r>
      <w:r w:rsidRPr="00234955">
        <w:rPr>
          <w:rFonts w:ascii="Palatino Linotype" w:eastAsia="Palatino Linotype" w:hAnsi="Palatino Linotype" w:cs="Palatino Linotype"/>
          <w:sz w:val="14"/>
          <w:szCs w:val="16"/>
        </w:rPr>
        <w:t>. Ed. Porrúa, S.A., México. 1992. p. 115.</w:t>
      </w:r>
    </w:p>
  </w:footnote>
  <w:footnote w:id="2">
    <w:p w14:paraId="731AA54F" w14:textId="77777777" w:rsidR="009D7223" w:rsidRPr="00234955" w:rsidRDefault="009D7223" w:rsidP="009D7223">
      <w:pPr>
        <w:pBdr>
          <w:top w:val="nil"/>
          <w:left w:val="nil"/>
          <w:bottom w:val="nil"/>
          <w:right w:val="nil"/>
          <w:between w:val="nil"/>
        </w:pBdr>
        <w:jc w:val="both"/>
        <w:rPr>
          <w:rFonts w:ascii="Palatino Linotype" w:eastAsia="Palatino Linotype" w:hAnsi="Palatino Linotype" w:cs="Palatino Linotype"/>
          <w:i/>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CIENFUEGOS SALGADO David. </w:t>
      </w:r>
      <w:r w:rsidRPr="00234955">
        <w:rPr>
          <w:rFonts w:ascii="Palatino Linotype" w:eastAsia="Palatino Linotype" w:hAnsi="Palatino Linotype" w:cs="Palatino Linotype"/>
          <w:i/>
          <w:color w:val="000000"/>
          <w:sz w:val="14"/>
          <w:szCs w:val="16"/>
        </w:rPr>
        <w:t xml:space="preserve">El Derecho de Petición en México. </w:t>
      </w:r>
      <w:r w:rsidRPr="00234955">
        <w:rPr>
          <w:rFonts w:ascii="Palatino Linotype" w:eastAsia="Palatino Linotype" w:hAnsi="Palatino Linotype" w:cs="Palatino Linotype"/>
          <w:color w:val="000000"/>
          <w:sz w:val="14"/>
          <w:szCs w:val="16"/>
        </w:rPr>
        <w:t>Ed. Instituto de Investigaciones Jurídica UNAM. México 2004. p. 31</w:t>
      </w:r>
    </w:p>
  </w:footnote>
  <w:footnote w:id="3">
    <w:p w14:paraId="6044C654" w14:textId="77777777" w:rsidR="009D7223" w:rsidRPr="00234955" w:rsidRDefault="009D7223" w:rsidP="009D7223">
      <w:pPr>
        <w:pBdr>
          <w:top w:val="nil"/>
          <w:left w:val="nil"/>
          <w:bottom w:val="nil"/>
          <w:right w:val="nil"/>
          <w:between w:val="nil"/>
        </w:pBdr>
        <w:jc w:val="both"/>
        <w:rPr>
          <w:rFonts w:ascii="Palatino Linotype" w:eastAsia="Palatino Linotype" w:hAnsi="Palatino Linotype" w:cs="Palatino Linotype"/>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ROBLES HERNÁNDEZ José Guadalupe. </w:t>
      </w:r>
      <w:r w:rsidRPr="00234955">
        <w:rPr>
          <w:rFonts w:ascii="Palatino Linotype" w:eastAsia="Palatino Linotype" w:hAnsi="Palatino Linotype" w:cs="Palatino Linotype"/>
          <w:i/>
          <w:color w:val="000000"/>
          <w:sz w:val="14"/>
          <w:szCs w:val="16"/>
        </w:rPr>
        <w:t xml:space="preserve">Derecho de la Información y Comunicación Pública. </w:t>
      </w:r>
      <w:r w:rsidRPr="00234955">
        <w:rPr>
          <w:rFonts w:ascii="Palatino Linotype" w:eastAsia="Palatino Linotype" w:hAnsi="Palatino Linotype" w:cs="Palatino Linotype"/>
          <w:color w:val="000000"/>
          <w:sz w:val="14"/>
          <w:szCs w:val="16"/>
        </w:rPr>
        <w:t>Ed. Universidad de Occidente. México. 2004, p. 72.</w:t>
      </w:r>
    </w:p>
  </w:footnote>
  <w:footnote w:id="4">
    <w:p w14:paraId="49795D75" w14:textId="77777777" w:rsidR="009D7223" w:rsidRPr="00234955" w:rsidRDefault="009D7223" w:rsidP="009D7223">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VILLANUEVA VILLANUEVA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1537B" w:rsidRPr="00025127" w14:paraId="07F2896E" w14:textId="77777777" w:rsidTr="00FA0F09">
      <w:trPr>
        <w:trHeight w:val="138"/>
        <w:jc w:val="right"/>
      </w:trPr>
      <w:tc>
        <w:tcPr>
          <w:tcW w:w="3260" w:type="dxa"/>
          <w:vAlign w:val="center"/>
        </w:tcPr>
        <w:p w14:paraId="4A5B1974" w14:textId="44CA9AFE" w:rsidR="0041537B" w:rsidRPr="00025127" w:rsidRDefault="0041537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4175902" w:rsidR="0041537B" w:rsidRPr="00025127" w:rsidRDefault="0041537B" w:rsidP="00A84120">
          <w:pPr>
            <w:pStyle w:val="Encabezado"/>
            <w:jc w:val="both"/>
            <w:rPr>
              <w:rFonts w:ascii="Palatino Linotype" w:hAnsi="Palatino Linotype"/>
              <w:b/>
              <w:sz w:val="22"/>
              <w:szCs w:val="22"/>
            </w:rPr>
          </w:pPr>
          <w:r>
            <w:rPr>
              <w:rFonts w:ascii="Palatino Linotype" w:eastAsia="Calibri" w:hAnsi="Palatino Linotype" w:cs="Arial"/>
              <w:b/>
              <w:sz w:val="22"/>
              <w:lang w:val="es-ES"/>
            </w:rPr>
            <w:t>00388</w:t>
          </w:r>
          <w:r w:rsidR="00D46D4B">
            <w:rPr>
              <w:rFonts w:ascii="Palatino Linotype" w:hAnsi="Palatino Linotype"/>
              <w:b/>
              <w:sz w:val="22"/>
              <w:szCs w:val="22"/>
            </w:rPr>
            <w:t>/INFOEM/IP/RR/2023 y A</w:t>
          </w:r>
          <w:r>
            <w:rPr>
              <w:rFonts w:ascii="Palatino Linotype" w:hAnsi="Palatino Linotype"/>
              <w:b/>
              <w:sz w:val="22"/>
              <w:szCs w:val="22"/>
            </w:rPr>
            <w:t>cumulado</w:t>
          </w:r>
        </w:p>
      </w:tc>
    </w:tr>
    <w:tr w:rsidR="0041537B" w:rsidRPr="00025127" w14:paraId="1B5D8690" w14:textId="77777777" w:rsidTr="00FA0F09">
      <w:trPr>
        <w:trHeight w:val="233"/>
        <w:jc w:val="right"/>
      </w:trPr>
      <w:tc>
        <w:tcPr>
          <w:tcW w:w="3260" w:type="dxa"/>
          <w:vAlign w:val="center"/>
        </w:tcPr>
        <w:p w14:paraId="3903F2C6" w14:textId="22D569F8" w:rsidR="0041537B" w:rsidRPr="00025127" w:rsidRDefault="0041537B"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542FB08" w:rsidR="0041537B" w:rsidRPr="00025127" w:rsidRDefault="0041537B" w:rsidP="003F2810">
          <w:pPr>
            <w:pStyle w:val="Encabezado"/>
            <w:jc w:val="both"/>
            <w:rPr>
              <w:rFonts w:ascii="Palatino Linotype" w:hAnsi="Palatino Linotype"/>
              <w:b/>
              <w:sz w:val="22"/>
              <w:szCs w:val="22"/>
            </w:rPr>
          </w:pPr>
          <w:r w:rsidRPr="00736D6D">
            <w:rPr>
              <w:rFonts w:ascii="Palatino Linotype" w:eastAsia="Calibri" w:hAnsi="Palatino Linotype" w:cs="Arial"/>
              <w:b/>
              <w:sz w:val="22"/>
            </w:rPr>
            <w:t xml:space="preserve">Ayuntamiento de </w:t>
          </w:r>
          <w:r>
            <w:rPr>
              <w:rFonts w:ascii="Palatino Linotype" w:eastAsia="Calibri" w:hAnsi="Palatino Linotype" w:cs="Arial"/>
              <w:b/>
              <w:sz w:val="22"/>
            </w:rPr>
            <w:t>Zinacantepec</w:t>
          </w:r>
        </w:p>
      </w:tc>
    </w:tr>
    <w:tr w:rsidR="0041537B" w:rsidRPr="00025127" w14:paraId="095EB01B" w14:textId="77777777" w:rsidTr="00FA0F09">
      <w:trPr>
        <w:trHeight w:val="321"/>
        <w:jc w:val="right"/>
      </w:trPr>
      <w:tc>
        <w:tcPr>
          <w:tcW w:w="3260" w:type="dxa"/>
          <w:vAlign w:val="center"/>
        </w:tcPr>
        <w:p w14:paraId="6E000A51" w14:textId="05E1861A" w:rsidR="0041537B" w:rsidRPr="00025127" w:rsidRDefault="0041537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1537B" w:rsidRPr="00025127" w:rsidRDefault="0041537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1537B" w:rsidRDefault="0041537B"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41537B" w:rsidRDefault="004153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1537B" w:rsidRDefault="00F44DA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1537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1537B" w:rsidRPr="00025127" w14:paraId="0A3256F2" w14:textId="77777777" w:rsidTr="006E6B65">
      <w:trPr>
        <w:trHeight w:val="138"/>
        <w:jc w:val="right"/>
      </w:trPr>
      <w:tc>
        <w:tcPr>
          <w:tcW w:w="3261" w:type="dxa"/>
          <w:vAlign w:val="center"/>
        </w:tcPr>
        <w:p w14:paraId="3D80769D" w14:textId="316F11F8" w:rsidR="0041537B" w:rsidRPr="00743FFA" w:rsidRDefault="0041537B"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4599EA67" w:rsidR="0041537B" w:rsidRPr="00743FFA" w:rsidRDefault="0041537B" w:rsidP="003F2810">
          <w:pPr>
            <w:pStyle w:val="Encabezado"/>
            <w:rPr>
              <w:rFonts w:ascii="Palatino Linotype" w:hAnsi="Palatino Linotype"/>
              <w:b/>
              <w:sz w:val="22"/>
              <w:szCs w:val="22"/>
            </w:rPr>
          </w:pPr>
          <w:r>
            <w:rPr>
              <w:rFonts w:ascii="Palatino Linotype" w:eastAsia="Calibri" w:hAnsi="Palatino Linotype" w:cs="Arial"/>
              <w:b/>
              <w:sz w:val="22"/>
              <w:lang w:val="es-ES"/>
            </w:rPr>
            <w:t>00388</w:t>
          </w:r>
          <w:r w:rsidR="00D46D4B">
            <w:rPr>
              <w:rFonts w:ascii="Palatino Linotype" w:hAnsi="Palatino Linotype"/>
              <w:b/>
              <w:sz w:val="22"/>
              <w:szCs w:val="22"/>
            </w:rPr>
            <w:t>/INFOEM/IP/RR/2023 y A</w:t>
          </w:r>
          <w:r>
            <w:rPr>
              <w:rFonts w:ascii="Palatino Linotype" w:hAnsi="Palatino Linotype"/>
              <w:b/>
              <w:sz w:val="22"/>
              <w:szCs w:val="22"/>
            </w:rPr>
            <w:t>cumulado</w:t>
          </w:r>
        </w:p>
      </w:tc>
    </w:tr>
    <w:tr w:rsidR="0041537B" w:rsidRPr="00025127" w14:paraId="128C8B3C" w14:textId="77777777" w:rsidTr="006E6B65">
      <w:trPr>
        <w:trHeight w:val="233"/>
        <w:jc w:val="right"/>
      </w:trPr>
      <w:tc>
        <w:tcPr>
          <w:tcW w:w="3261" w:type="dxa"/>
          <w:vAlign w:val="center"/>
        </w:tcPr>
        <w:p w14:paraId="483E3371" w14:textId="66B1BC74" w:rsidR="0041537B" w:rsidRPr="00743FFA" w:rsidRDefault="0041537B"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C4739FF" w:rsidR="0041537B" w:rsidRPr="00743FFA" w:rsidRDefault="0041537B" w:rsidP="00736D6D">
          <w:pPr>
            <w:pStyle w:val="Encabezado"/>
            <w:ind w:right="-107"/>
            <w:rPr>
              <w:rFonts w:ascii="Palatino Linotype" w:hAnsi="Palatino Linotype"/>
              <w:b/>
              <w:sz w:val="22"/>
              <w:szCs w:val="22"/>
            </w:rPr>
          </w:pPr>
        </w:p>
      </w:tc>
    </w:tr>
    <w:tr w:rsidR="0041537B" w:rsidRPr="00025127" w14:paraId="41BE0704" w14:textId="77777777" w:rsidTr="006E6B65">
      <w:trPr>
        <w:trHeight w:val="321"/>
        <w:jc w:val="right"/>
      </w:trPr>
      <w:tc>
        <w:tcPr>
          <w:tcW w:w="3261" w:type="dxa"/>
          <w:vAlign w:val="center"/>
        </w:tcPr>
        <w:p w14:paraId="34C64148" w14:textId="10C6C8A9" w:rsidR="0041537B" w:rsidRPr="00743FFA" w:rsidRDefault="0041537B"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5F611C07" w:rsidR="0041537B" w:rsidRPr="00736D6D" w:rsidRDefault="0041537B" w:rsidP="002826FF">
          <w:pPr>
            <w:pStyle w:val="Encabezado"/>
            <w:jc w:val="both"/>
            <w:rPr>
              <w:rFonts w:ascii="Palatino Linotype" w:hAnsi="Palatino Linotype"/>
              <w:b/>
              <w:sz w:val="22"/>
              <w:szCs w:val="22"/>
            </w:rPr>
          </w:pPr>
          <w:r w:rsidRPr="00736D6D">
            <w:rPr>
              <w:rFonts w:ascii="Palatino Linotype" w:eastAsia="Calibri" w:hAnsi="Palatino Linotype" w:cs="Arial"/>
              <w:b/>
              <w:sz w:val="22"/>
            </w:rPr>
            <w:t xml:space="preserve">Ayuntamiento de </w:t>
          </w:r>
          <w:r>
            <w:rPr>
              <w:rFonts w:ascii="Palatino Linotype" w:eastAsia="Calibri" w:hAnsi="Palatino Linotype" w:cs="Arial"/>
              <w:b/>
              <w:sz w:val="22"/>
            </w:rPr>
            <w:t>Zinacantepec</w:t>
          </w:r>
        </w:p>
      </w:tc>
    </w:tr>
    <w:tr w:rsidR="0041537B" w:rsidRPr="00025127" w14:paraId="0C8B6193" w14:textId="77777777" w:rsidTr="006E6B65">
      <w:trPr>
        <w:trHeight w:val="321"/>
        <w:jc w:val="right"/>
      </w:trPr>
      <w:tc>
        <w:tcPr>
          <w:tcW w:w="3261" w:type="dxa"/>
          <w:vAlign w:val="center"/>
        </w:tcPr>
        <w:p w14:paraId="321FFAFF" w14:textId="0E8C2CE7" w:rsidR="0041537B" w:rsidRPr="00743FFA" w:rsidRDefault="0041537B"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41537B" w:rsidRPr="00743FFA" w:rsidRDefault="0041537B"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41537B" w:rsidRDefault="0041537B" w:rsidP="00472C41">
    <w:pPr>
      <w:pStyle w:val="Encabezado"/>
      <w:tabs>
        <w:tab w:val="clear" w:pos="4252"/>
        <w:tab w:val="clear" w:pos="8504"/>
        <w:tab w:val="left" w:pos="3103"/>
      </w:tabs>
    </w:pPr>
  </w:p>
  <w:p w14:paraId="44236E57" w14:textId="77777777" w:rsidR="0041537B" w:rsidRDefault="004153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131486"/>
    <w:multiLevelType w:val="hybridMultilevel"/>
    <w:tmpl w:val="BA5E2F40"/>
    <w:lvl w:ilvl="0" w:tplc="92B82F92">
      <w:start w:val="1"/>
      <w:numFmt w:val="upperRoman"/>
      <w:lvlText w:val="%1."/>
      <w:lvlJc w:val="left"/>
      <w:pPr>
        <w:ind w:left="1080" w:hanging="720"/>
      </w:pPr>
      <w:rPr>
        <w:rFonts w:hint="default"/>
      </w:rPr>
    </w:lvl>
    <w:lvl w:ilvl="1" w:tplc="2F005A4C">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63FF5"/>
    <w:multiLevelType w:val="hybridMultilevel"/>
    <w:tmpl w:val="CE5A0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177527"/>
    <w:multiLevelType w:val="hybridMultilevel"/>
    <w:tmpl w:val="563A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6E3E65"/>
    <w:multiLevelType w:val="hybridMultilevel"/>
    <w:tmpl w:val="5D1670CC"/>
    <w:lvl w:ilvl="0" w:tplc="B28E7616">
      <w:start w:val="1"/>
      <w:numFmt w:val="decimal"/>
      <w:lvlText w:val="%1."/>
      <w:lvlJc w:val="left"/>
      <w:pPr>
        <w:ind w:left="720" w:hanging="360"/>
      </w:pPr>
      <w:rPr>
        <w:b/>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313ED6"/>
    <w:multiLevelType w:val="hybridMultilevel"/>
    <w:tmpl w:val="894A5AE2"/>
    <w:lvl w:ilvl="0" w:tplc="3CF84C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124DB8"/>
    <w:multiLevelType w:val="hybridMultilevel"/>
    <w:tmpl w:val="A192F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9"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23F07CA"/>
    <w:multiLevelType w:val="hybridMultilevel"/>
    <w:tmpl w:val="E312EA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7378C3"/>
    <w:multiLevelType w:val="hybridMultilevel"/>
    <w:tmpl w:val="3D8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9"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72880CF3"/>
    <w:multiLevelType w:val="hybridMultilevel"/>
    <w:tmpl w:val="A5D68BC4"/>
    <w:lvl w:ilvl="0" w:tplc="80A4A6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5"/>
  </w:num>
  <w:num w:numId="2">
    <w:abstractNumId w:val="23"/>
  </w:num>
  <w:num w:numId="3">
    <w:abstractNumId w:val="0"/>
  </w:num>
  <w:num w:numId="4">
    <w:abstractNumId w:val="15"/>
  </w:num>
  <w:num w:numId="5">
    <w:abstractNumId w:val="6"/>
  </w:num>
  <w:num w:numId="6">
    <w:abstractNumId w:val="17"/>
  </w:num>
  <w:num w:numId="7">
    <w:abstractNumId w:val="29"/>
  </w:num>
  <w:num w:numId="8">
    <w:abstractNumId w:val="16"/>
  </w:num>
  <w:num w:numId="9">
    <w:abstractNumId w:val="28"/>
  </w:num>
  <w:num w:numId="10">
    <w:abstractNumId w:val="34"/>
  </w:num>
  <w:num w:numId="11">
    <w:abstractNumId w:val="26"/>
  </w:num>
  <w:num w:numId="12">
    <w:abstractNumId w:val="35"/>
  </w:num>
  <w:num w:numId="13">
    <w:abstractNumId w:val="20"/>
  </w:num>
  <w:num w:numId="14">
    <w:abstractNumId w:val="9"/>
  </w:num>
  <w:num w:numId="15">
    <w:abstractNumId w:val="18"/>
  </w:num>
  <w:num w:numId="16">
    <w:abstractNumId w:val="7"/>
  </w:num>
  <w:num w:numId="17">
    <w:abstractNumId w:val="31"/>
  </w:num>
  <w:num w:numId="18">
    <w:abstractNumId w:val="22"/>
  </w:num>
  <w:num w:numId="19">
    <w:abstractNumId w:val="12"/>
  </w:num>
  <w:num w:numId="20">
    <w:abstractNumId w:val="13"/>
  </w:num>
  <w:num w:numId="21">
    <w:abstractNumId w:val="15"/>
  </w:num>
  <w:num w:numId="22">
    <w:abstractNumId w:val="10"/>
  </w:num>
  <w:num w:numId="2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6"/>
  </w:num>
  <w:num w:numId="26">
    <w:abstractNumId w:val="19"/>
  </w:num>
  <w:num w:numId="27">
    <w:abstractNumId w:val="27"/>
  </w:num>
  <w:num w:numId="28">
    <w:abstractNumId w:val="33"/>
  </w:num>
  <w:num w:numId="29">
    <w:abstractNumId w:val="3"/>
  </w:num>
  <w:num w:numId="30">
    <w:abstractNumId w:val="30"/>
  </w:num>
  <w:num w:numId="31">
    <w:abstractNumId w:val="32"/>
  </w:num>
  <w:num w:numId="32">
    <w:abstractNumId w:val="8"/>
  </w:num>
  <w:num w:numId="33">
    <w:abstractNumId w:val="11"/>
  </w:num>
  <w:num w:numId="34">
    <w:abstractNumId w:val="1"/>
  </w:num>
  <w:num w:numId="35">
    <w:abstractNumId w:val="14"/>
  </w:num>
  <w:num w:numId="36">
    <w:abstractNumId w:val="5"/>
  </w:num>
  <w:num w:numId="37">
    <w:abstractNumId w:val="21"/>
  </w:num>
  <w:num w:numId="38">
    <w:abstractNumId w:val="2"/>
  </w:num>
  <w:num w:numId="39">
    <w:abstractNumId w:val="25"/>
  </w:num>
  <w:num w:numId="4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081C"/>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213"/>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6D07"/>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8A5"/>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6FF"/>
    <w:rsid w:val="00285BA4"/>
    <w:rsid w:val="00286DDB"/>
    <w:rsid w:val="002871EB"/>
    <w:rsid w:val="00290EC7"/>
    <w:rsid w:val="00293711"/>
    <w:rsid w:val="002948C4"/>
    <w:rsid w:val="00294B11"/>
    <w:rsid w:val="002977BE"/>
    <w:rsid w:val="00297E45"/>
    <w:rsid w:val="002A2099"/>
    <w:rsid w:val="002A222E"/>
    <w:rsid w:val="002A229B"/>
    <w:rsid w:val="002A35B6"/>
    <w:rsid w:val="002A4172"/>
    <w:rsid w:val="002A43A4"/>
    <w:rsid w:val="002A4516"/>
    <w:rsid w:val="002A54DE"/>
    <w:rsid w:val="002A6959"/>
    <w:rsid w:val="002A796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537B"/>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B33"/>
    <w:rsid w:val="00594C52"/>
    <w:rsid w:val="00595511"/>
    <w:rsid w:val="00596514"/>
    <w:rsid w:val="0059679B"/>
    <w:rsid w:val="005974B4"/>
    <w:rsid w:val="00597B44"/>
    <w:rsid w:val="00597D18"/>
    <w:rsid w:val="00597F7B"/>
    <w:rsid w:val="005A0642"/>
    <w:rsid w:val="005A094D"/>
    <w:rsid w:val="005A0F99"/>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396F"/>
    <w:rsid w:val="005F487C"/>
    <w:rsid w:val="005F53A4"/>
    <w:rsid w:val="005F5FE1"/>
    <w:rsid w:val="005F62B2"/>
    <w:rsid w:val="005F6B71"/>
    <w:rsid w:val="005F715E"/>
    <w:rsid w:val="006010DA"/>
    <w:rsid w:val="006017AB"/>
    <w:rsid w:val="00604AC3"/>
    <w:rsid w:val="00605865"/>
    <w:rsid w:val="006073A9"/>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155D"/>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7B7"/>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19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7C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D7223"/>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71A"/>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4120"/>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3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5855"/>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5FB"/>
    <w:rsid w:val="00C31713"/>
    <w:rsid w:val="00C317BD"/>
    <w:rsid w:val="00C31862"/>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4B"/>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30AA"/>
    <w:rsid w:val="00E74B41"/>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211"/>
    <w:rsid w:val="00F2567E"/>
    <w:rsid w:val="00F25E84"/>
    <w:rsid w:val="00F26068"/>
    <w:rsid w:val="00F2706D"/>
    <w:rsid w:val="00F2723F"/>
    <w:rsid w:val="00F27ADB"/>
    <w:rsid w:val="00F31178"/>
    <w:rsid w:val="00F325F9"/>
    <w:rsid w:val="00F32971"/>
    <w:rsid w:val="00F33A7A"/>
    <w:rsid w:val="00F3400B"/>
    <w:rsid w:val="00F35C44"/>
    <w:rsid w:val="00F37B6F"/>
    <w:rsid w:val="00F40C05"/>
    <w:rsid w:val="00F40E86"/>
    <w:rsid w:val="00F40E92"/>
    <w:rsid w:val="00F42168"/>
    <w:rsid w:val="00F425B3"/>
    <w:rsid w:val="00F448C5"/>
    <w:rsid w:val="00F44C78"/>
    <w:rsid w:val="00F44DA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6DF7"/>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character" w:styleId="Referenciasutil">
    <w:name w:val="Subtle Reference"/>
    <w:basedOn w:val="Fuentedeprrafopredeter"/>
    <w:uiPriority w:val="31"/>
    <w:qFormat/>
    <w:rsid w:val="00290EC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1074839">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292471">
      <w:bodyDiv w:val="1"/>
      <w:marLeft w:val="0"/>
      <w:marRight w:val="0"/>
      <w:marTop w:val="0"/>
      <w:marBottom w:val="0"/>
      <w:divBdr>
        <w:top w:val="none" w:sz="0" w:space="0" w:color="auto"/>
        <w:left w:val="none" w:sz="0" w:space="0" w:color="auto"/>
        <w:bottom w:val="none" w:sz="0" w:space="0" w:color="auto"/>
        <w:right w:val="none" w:sz="0" w:space="0" w:color="auto"/>
      </w:divBdr>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453E-08E1-487F-A6F9-3358AAAD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45</Pages>
  <Words>9911</Words>
  <Characters>54513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2023-08-08T18:24:00Z</dcterms:created>
  <dcterms:modified xsi:type="dcterms:W3CDTF">2023-08-21T16:53:00Z</dcterms:modified>
</cp:coreProperties>
</file>