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quince de marzo de dos mil veintitrés.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13044/INFOEM/IP/RR/2022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un particular que no proporcionó nombre o seudónimo</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 la </w:t>
      </w:r>
      <w:r w:rsidDel="00000000" w:rsidR="00000000" w:rsidRPr="00000000">
        <w:rPr>
          <w:rFonts w:ascii="Palatino Linotype" w:cs="Palatino Linotype" w:eastAsia="Palatino Linotype" w:hAnsi="Palatino Linotype"/>
          <w:b w:val="1"/>
          <w:rtl w:val="0"/>
        </w:rPr>
        <w:t xml:space="preserve">Secretaría de Justicia y Derechos Humanos,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veintiuno de junio de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00200/SJDH/IP/2022,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“Solicito el Plan de Trabajo del Sistema de Gestión de Protección de Datos Personales de esta Dependencia, correspondiente al ejercicio 2019 a 2022, así como los documentos y/o oficios generados y recibidos por la Unidad de Transparencia conforme al siguiente orden: Designación de los Administradores de Bases de Datos, Actualización de Avisos de Privacidad, Supervisión a las bases de datos documentales o electrónicas para establecer medidas de seguridad, Establecer bitácora de violaciones a la seguridad de las bases de datos documentales o electrónicas, Establecer el Plan de contingencia con las Unidades Administrativas y Actualización de bases de datos, el inventario de las bases de datos, documentos de Gestión de seguridad y documentos de seguridad de la dependencia.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adjuntó archivos.</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w:t>
      </w:r>
      <w:r w:rsidDel="00000000" w:rsidR="00000000" w:rsidRPr="00000000">
        <w:rPr>
          <w:rFonts w:ascii="Palatino Linotype" w:cs="Palatino Linotype" w:eastAsia="Palatino Linotype" w:hAnsi="Palatino Linotype"/>
          <w:b w:val="1"/>
          <w:rtl w:val="0"/>
        </w:rPr>
        <w:t xml:space="preserve">de SAIMEX</w:t>
      </w: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b w:val="1"/>
        </w:rPr>
      </w:pPr>
      <w:bookmarkStart w:colFirst="0" w:colLast="0" w:name="_heading=h.3dy6vkm" w:id="1"/>
      <w:bookmarkEnd w:id="1"/>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doce de julio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que la respuesta no sea legible, favor de comunicarse al teléfono (722) 238.36.93...” (sic)</w:t>
      </w:r>
      <w:r w:rsidDel="00000000" w:rsidR="00000000" w:rsidRPr="00000000">
        <w:rPr>
          <w:rtl w:val="0"/>
        </w:rPr>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el archivo “</w:t>
      </w:r>
      <w:r w:rsidDel="00000000" w:rsidR="00000000" w:rsidRPr="00000000">
        <w:rPr>
          <w:rFonts w:ascii="Palatino Linotype" w:cs="Palatino Linotype" w:eastAsia="Palatino Linotype" w:hAnsi="Palatino Linotype"/>
          <w:i w:val="1"/>
          <w:rtl w:val="0"/>
        </w:rPr>
        <w:t xml:space="preserve">Respuesta 00200.pdf</w:t>
      </w:r>
      <w:r w:rsidDel="00000000" w:rsidR="00000000" w:rsidRPr="00000000">
        <w:rPr>
          <w:rFonts w:ascii="Palatino Linotype" w:cs="Palatino Linotype" w:eastAsia="Palatino Linotype" w:hAnsi="Palatino Linotype"/>
          <w:rtl w:val="0"/>
        </w:rPr>
        <w:t xml:space="preserve">”, que contiene:</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SJDH/UIPPE/1255/2022 de fecha doce de julio de dos mil veintidós, signado por el Titular de la Unidad de Transparencia mediante el cual señala que la Ley de Protección de Datos Personales en Posesión de Sujetos Obligados del Estado de México y Municipios no prevé en ninguna de sus partes, a cargo de los servidores públicos tratantes o poseedores de datos personales, la realización del “Plan de Trabajo del Sistema de Gestión de Protección de Datos Personales de esta Dependencia, correspondiente al ejercicio 2019 a 2022”, por lo cual no se está en posibilidad de dar respuesta positiva a su solicitud.</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acerca de las acciones relacionadas con las medidas de seguridad para el tratamiento de los datos personales señala que son documentadas, contenidas en un sistema de gestión, entendido este como el conjunto de elementos y actividades interrelacionadas para establecer, implementar, operar, monitorear, revisar, mantener y mejorar el tratamiento y seguridad de los datos personales, de conformidad con lo previsto en el artículo 47 de la Ley de Protección de Datos Personales en Posesión de Sujetos Obligados del Estado de México y Municipios.</w:t>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Hace del conocimiento de la persona solicitante, que las unidades administrativas cuentan con el documento de seguridad, como resultado de un proceso de mejora continua, derivado del monitoreo y revisión del sistema de gestión de conformidad con los artículos 48, 49 y 50 de la Ley de Protección de Datos Personales en Posesión de Sujetos Obligados del Estado de México y Municipios.</w:t>
      </w:r>
    </w:p>
    <w:p w:rsidR="00000000" w:rsidDel="00000000" w:rsidP="00000000" w:rsidRDefault="00000000" w:rsidRPr="00000000" w14:paraId="0000000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ejemplificar las  acciones llevadas a cabo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 en relación con la protección de datos personales que resultan en la elaboración del documento de seguridad, anexó los oficios con número de folio SJDH/UIPPE/0259/2019, 730/2020, 1072/2021, 0024/2022 y 0480/2022; el listado de los servidores públicos habilitados de las diversas unidades administrativas de la Secretaría de Justicia y Derechos Humanos, por la asistencia a la “Capacitación para Transparencia y Protección de Datos Personales 2022”, como evidencia de que continuamente se coordinan eventos de revisión y capacitación en el tema;  las Cédulas de Proyectos de Sistematización y Actualización de información en cumplimiento al Programa Anual de Sistematización y Actualización de la Información (PASAI); y finalmente, enlistó las Políticas Generales a las que se ciñe la Secretaría de Justicia y Derechos Humanos.</w:t>
      </w:r>
    </w:p>
    <w:p w:rsidR="00000000" w:rsidDel="00000000" w:rsidP="00000000" w:rsidRDefault="00000000" w:rsidRPr="00000000" w14:paraId="0000000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Anexos:</w:t>
      </w:r>
    </w:p>
    <w:p w:rsidR="00000000" w:rsidDel="00000000" w:rsidP="00000000" w:rsidRDefault="00000000" w:rsidRPr="00000000" w14:paraId="0000001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SJDH/UIPPE/0259/2019, de fecha veintiséis de febrero de dos mil diecinueve, signado por la Titular de la Unidad de Transparencia mediante el cual convoca al servidor público habilitado titular y/o servidor público habilitado suplente, así como al personal que dé respuesta a las solicitudes en materia de transparencia de la Unidad de Vinculación y comunicación a la  “Capacitación en materia de protección de datos personales”, a celebrarse el día 05 de marzo de 2019,  en la cual se abordarían temas como los avisos de privacidad, las bases de datos personales y la protección de los datos personales.</w:t>
      </w:r>
    </w:p>
    <w:p w:rsidR="00000000" w:rsidDel="00000000" w:rsidP="00000000" w:rsidRDefault="00000000" w:rsidRPr="00000000" w14:paraId="0000001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 Oficio número SJDH/UIPPE/730/2020, de fecha siete de septiembre de dos mil veinte , signado por la Titular de la Unidad de Transparencia mediante el cual solicita a la servidora pública habilitada de la Comisión de Búsqueda de personas del Estado de México, gire instrucciones al administrador de la base de datos personales que designó el Subdirector de Sistematización de la Información, con la finalidad de que remitiera a la Unidad de Transparencia el documento de seguridad de las bases de datos personales de la Comisión a su cargo, mismo que debía incluir como mínimo los requisitos establecidos en el artículo 39 de la Ley de Protección de Datos Personales en Posesión de los Sujetos Obligados, con la finalidad de dar cumplimiento al artículo 48 de la misma Ley referida.</w:t>
      </w:r>
    </w:p>
    <w:p w:rsidR="00000000" w:rsidDel="00000000" w:rsidP="00000000" w:rsidRDefault="00000000" w:rsidRPr="00000000" w14:paraId="0000001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SJDH/UIPPE/1072/2021, de fecha tres de septiembre de dos mil veintiuno, mediante el cual se informa a los servidores públicos habilitados de la Secretaria de Justicia y Derechos Humanos que deberán enviar a la Unidad de Transparencia el siete de septiembre de dos mil veintiuno el documento de seguridad colmando todos y cada uno de los requisitos que establece el artículo 49 de la Ley de Protección de Datos Personales en Posesión de los Sujetos Obligados del Estado de México y Municipios, derivado del análisis del documento de la Base de Datos Personales de cada Unidad Administrativa. (dicho oficio se remitió incompleto, al faltar la (s) página (s) subsecuente (s) del mismo.)</w:t>
      </w:r>
    </w:p>
    <w:p w:rsidR="00000000" w:rsidDel="00000000" w:rsidP="00000000" w:rsidRDefault="00000000" w:rsidRPr="00000000" w14:paraId="0000001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SJDH/UIPPE/0024/2022, de fecha siete de enero de dos mil veintidós, signado por la Jefa de la Unidad de Información, Planeación, Programación y Evaluación, mediante el cual solicita a la Comisionada de Búsqueda de Personas gire instrucciones a quien corresponda con la finalidad de que se realice la búsqueda  minuciosa y exhaustiva de todas y cada una de las bases de datos que obran en dicha Comisión, asimismo, que a más tardar el veinte de enero del mismo año remitirá a la Unidad de Transparencia el Aviso de privacidad correspondiente a cada una de ellas, y las cédulas de bases de datos personales correspondientes. Y, finalmente, remita el documento de seguridad de cada una de las bases de datos.</w:t>
      </w:r>
    </w:p>
    <w:p w:rsidR="00000000" w:rsidDel="00000000" w:rsidP="00000000" w:rsidRDefault="00000000" w:rsidRPr="00000000" w14:paraId="0000001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SJDH/UIPPE/0480/2022, de fecha veintitrés de marzo de dos mil veintidós, signado por la Titular de la Unidad de Transparencia, mediante el cual convoca a la servidora pública habilitada de la Comisión de Búsqueda de personas del Estado de México, el servidor público habilitado suplente y a la persona que le apoye en el tema a una capacitación en materia de transparencia y protección de datos personales a celebrarse el día treinta y uno de marzo de dos mil veintidós, derivado de las solicitudes de información recibidas a través de SAIMEX, la Plataforma Nacional de Transparencia, y SARCOEM. </w:t>
      </w:r>
    </w:p>
    <w:p w:rsidR="00000000" w:rsidDel="00000000" w:rsidP="00000000" w:rsidRDefault="00000000" w:rsidRPr="00000000" w14:paraId="0000001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 Listas de asistencia de las capacitaciones “Transparencia y protección de datos 2022”, llevadas a cabo los días veintinueve, treinta y treinta y uno de marzo de dos mil veintidós.</w:t>
      </w:r>
    </w:p>
    <w:p w:rsidR="00000000" w:rsidDel="00000000" w:rsidP="00000000" w:rsidRDefault="00000000" w:rsidRPr="00000000" w14:paraId="0000001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Cédulas de Proyectos de Sistematización y Actualización de Información, elaboradas el veinticuatro de enero de dos mil veintidós, en cumplimiento al Programa Anual de Sistematización y Actualización de la Información (PASAI).</w:t>
      </w:r>
    </w:p>
    <w:p w:rsidR="00000000" w:rsidDel="00000000" w:rsidP="00000000" w:rsidRDefault="00000000" w:rsidRPr="00000000" w14:paraId="0000001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uno de agosto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18">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19">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entrega la bases de datos y Plan de Trabajo del Sistema de Gestión de Protección de Datos Personales de esta Dependencia, ni la informaicón solicitada” (sic)</w:t>
      </w:r>
    </w:p>
    <w:p w:rsidR="00000000" w:rsidDel="00000000" w:rsidP="00000000" w:rsidRDefault="00000000" w:rsidRPr="00000000" w14:paraId="0000001A">
      <w:pPr>
        <w:spacing w:line="360" w:lineRule="auto"/>
        <w:jc w:val="both"/>
        <w:rPr>
          <w:rFonts w:ascii="Palatino Linotype" w:cs="Palatino Linotype" w:eastAsia="Palatino Linotype" w:hAnsi="Palatino Linotype"/>
        </w:rPr>
      </w:pPr>
      <w:bookmarkStart w:colFirst="0" w:colLast="0" w:name="_heading=h.30j0zll" w:id="2"/>
      <w:bookmarkEnd w:id="2"/>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B">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entrega la bases de datos y Plan de Trabajo del Sistema de Gestión de Protección de Datos Personales de esta Dependencia, ni la informaicón solicitada” (sic)</w:t>
      </w:r>
    </w:p>
    <w:p w:rsidR="00000000" w:rsidDel="00000000" w:rsidP="00000000" w:rsidRDefault="00000000" w:rsidRPr="00000000" w14:paraId="0000001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no adjuntó archivos. </w:t>
      </w:r>
    </w:p>
    <w:p w:rsidR="00000000" w:rsidDel="00000000" w:rsidP="00000000" w:rsidRDefault="00000000" w:rsidRPr="00000000" w14:paraId="0000001D">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cuatro de agosto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bookmarkStart w:colFirst="0" w:colLast="0" w:name="_heading=h.2s8eyo1" w:id="3"/>
      <w:bookmarkEnd w:id="3"/>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nueve de agosto de dos mil veintidós,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del SAIMEX, su informe justificado, mediante el cual, con relación a los motivos de inconformidad aducidos por la parte</w:t>
      </w:r>
      <w:r w:rsidDel="00000000" w:rsidR="00000000" w:rsidRPr="00000000">
        <w:rPr>
          <w:rFonts w:ascii="Palatino Linotype" w:cs="Palatino Linotype" w:eastAsia="Palatino Linotype" w:hAnsi="Palatino Linotype"/>
          <w:b w:val="1"/>
          <w:rtl w:val="0"/>
        </w:rPr>
        <w:t xml:space="preserve"> Recurrente, </w:t>
      </w:r>
      <w:r w:rsidDel="00000000" w:rsidR="00000000" w:rsidRPr="00000000">
        <w:rPr>
          <w:rFonts w:ascii="Palatino Linotype" w:cs="Palatino Linotype" w:eastAsia="Palatino Linotype" w:hAnsi="Palatino Linotype"/>
          <w:rtl w:val="0"/>
        </w:rPr>
        <w:t xml:space="preserve">informa que la Ley de Protección de Datos Personales en Posesión de Sujetos Obligados del Estado de México y Municipios nos señala ni prevé, como atribución la realización de un Plan de Trabajo del sistema de Gestión de protección de Datos Personales de dicha dependencia, correspondiente al ejercicio 2019 a 2022, a cargo de los servidores públicos tratantes o poseedores de datos personales.</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sentido, menciona que las atribuciones de la Secretaría de Justicia y Derechos Humanos se encuentran definidas con claridad en el artículo 38 Ter de la Ley Orgánica de la Administración Pública del Estado de México, de cuya consulta se desprende que tampoco hace referencia a la obligación supuesta por la persona solicitante.</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de conformidad con el principio de máxima publicidad, reitera que permanentemente se coordinan eventos de revisión y de capacitación en el tema que nos ocupa, con todos los servidores públicos habilitados de las unidades administrativas que integran la Secretaría, como se aprecia en las documentales anexas a la respuesta, así como se dieron a conocer las Políticas Generales en materia de protección de datos, implementadas y desarrolladas al efecto, entre otras actividades relacionadas con la actividad en controversia.</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analizado el documento, se hizo del conocimiento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 la finalidad de que manifestara lo que as u derecho estimara conveniente, no obstante, fue omisa en ejercer dicha prerrogativa.</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ocho de noviembre de dos mil veintidós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9">
      <w:pPr>
        <w:numPr>
          <w:ilvl w:val="0"/>
          <w:numId w:val="5"/>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2A">
      <w:pPr>
        <w:numPr>
          <w:ilvl w:val="0"/>
          <w:numId w:val="5"/>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B">
      <w:pPr>
        <w:numPr>
          <w:ilvl w:val="0"/>
          <w:numId w:val="5"/>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C">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1">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32">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seis de marzo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veintitrés, </w:t>
      </w:r>
      <w:r w:rsidDel="00000000" w:rsidR="00000000" w:rsidRPr="00000000">
        <w:rPr>
          <w:rFonts w:ascii="Palatino Linotype" w:cs="Palatino Linotype" w:eastAsia="Palatino Linotype" w:hAnsi="Palatino Linotype"/>
          <w:rtl w:val="0"/>
        </w:rPr>
        <w:t xml:space="preserve">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6">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bookmarkStart w:colFirst="0" w:colLast="0" w:name="_heading=h.tyjcwt" w:id="4"/>
      <w:bookmarkEnd w:id="4"/>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doce de julio de dos mil veintidós,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uno de agosto de dos mil veintidós</w:t>
      </w:r>
      <w:r w:rsidDel="00000000" w:rsidR="00000000" w:rsidRPr="00000000">
        <w:rPr>
          <w:rFonts w:ascii="Palatino Linotype" w:cs="Palatino Linotype" w:eastAsia="Palatino Linotype" w:hAnsi="Palatino Linotype"/>
          <w:rtl w:val="0"/>
        </w:rPr>
        <w:t xml:space="preserve">, esto es, al cuarto día en que tuvo conocimiento de la respuesta impugnada.</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rPr>
      </w:pPr>
      <w:bookmarkStart w:colFirst="0" w:colLast="0" w:name="_heading=h.3znysh7" w:id="5"/>
      <w:bookmarkEnd w:id="5"/>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rtl w:val="0"/>
        </w:rPr>
        <w:t xml:space="preserve">no proporcionó nombre o seudónimo </w:t>
      </w:r>
      <w:r w:rsidDel="00000000" w:rsidR="00000000" w:rsidRPr="00000000">
        <w:rPr>
          <w:rFonts w:ascii="Palatino Linotype" w:cs="Palatino Linotype" w:eastAsia="Palatino Linotype" w:hAnsi="Palatino Linotype"/>
          <w:rtl w:val="0"/>
        </w:rPr>
        <w:t xml:space="preserve">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C">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en el presente caso, al haber sido presentado el recurso de revisión vía SAIMEX, dicho requisito resulta innecesario.</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V del ordenamiento legal citado, que a la letra dice: </w:t>
      </w:r>
    </w:p>
    <w:p w:rsidR="00000000" w:rsidDel="00000000" w:rsidP="00000000" w:rsidRDefault="00000000" w:rsidRPr="00000000" w14:paraId="0000003F">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0">
      <w:pPr>
        <w:spacing w:after="120" w:before="120" w:lineRule="auto"/>
        <w:ind w:left="1134" w:firstLine="0"/>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41">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entrega de información incompleta;”</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rPr>
      </w:pPr>
      <w:bookmarkStart w:colFirst="0" w:colLast="0" w:name="_heading=h.2et92p0" w:id="6"/>
      <w:bookmarkEnd w:id="6"/>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Acotado lo anterior, tenemos en principio de cuentas que el artículo 6°, Apartado A), fracción I de la Constitución Política de los Estados Unidos Mexicanos, establece que toda la información en posesión de cualquier autoridad es pública y sólo podrá ser reservada temporalmente por razones de interés público. </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Ley de Transparencia y Acceso a la Información Pública del Estado de México y Municipios (Reglamentaria del artículo 5° de la Constitución Local), establece lo siguiente:</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426"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artículo 12, que, quienes generen, recopilen, administren, manejen, procesen, archiven o conserven información pública serán responsables de la misma.</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426"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artículo 18, que, los Sujetos Obligados deberán documentar todo acto que derive del ejercicio de sus facultades, competencias o funciones, considerando desde su origen la eventual publicidad y reutilización de la información que generen.</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426"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lógica,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4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E">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4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5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w:t>
      </w:r>
      <w:r w:rsidDel="00000000" w:rsidR="00000000" w:rsidRPr="00000000">
        <w:rPr>
          <w:rFonts w:ascii="Palatino Linotype" w:cs="Palatino Linotype" w:eastAsia="Palatino Linotype" w:hAnsi="Palatino Linotype"/>
          <w:b w:val="1"/>
          <w:i w:val="1"/>
          <w:sz w:val="22"/>
          <w:szCs w:val="22"/>
          <w:rtl w:val="0"/>
        </w:rPr>
        <w:t xml:space="preserve">Que se trate de información registrada en cualquier soporte documental, que en ejercicio de las atribuciones conferidas, sea generada por los Sujetos Obligados;</w:t>
      </w:r>
      <w:r w:rsidDel="00000000" w:rsidR="00000000" w:rsidRPr="00000000">
        <w:rPr>
          <w:rtl w:val="0"/>
        </w:rPr>
      </w:r>
    </w:p>
    <w:p w:rsidR="00000000" w:rsidDel="00000000" w:rsidP="00000000" w:rsidRDefault="00000000" w:rsidRPr="00000000" w14:paraId="00000052">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53">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54">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como pudiera tratarse de aquella relacionada con las obligaciones de transparencia señaladas en los artículos 92 y 94 de la Ley de la Materia.</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para un mejor entendimiento en el tema que nos ocupa la solicitud planteada, así como de la respuesta que fue entregada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los motivos de informidad planteados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la información que obra en el expediente electrónico será analizada a través del siguiente cuadro: </w:t>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843"/>
        <w:gridCol w:w="1842"/>
        <w:gridCol w:w="1843"/>
        <w:gridCol w:w="1320"/>
        <w:tblGridChange w:id="0">
          <w:tblGrid>
            <w:gridCol w:w="1980"/>
            <w:gridCol w:w="1843"/>
            <w:gridCol w:w="1842"/>
            <w:gridCol w:w="1843"/>
            <w:gridCol w:w="13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Requerimiento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Respuesta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Motivo de inconformidad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Informe Justificado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¿Satisface el Derecho de Acceso?</w:t>
            </w:r>
          </w:p>
        </w:tc>
      </w:tr>
      <w:tr>
        <w:trPr>
          <w:cantSplit w:val="0"/>
          <w:trHeight w:val="16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1. Plan de Trabajo del Sistema de Gestión de Protección de Datos Personales de esta Dependencia, correspondiente al ejercicio 2019 a 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La Ley de Protección de Datos Personales en Posesión de Sujetos Obligados del Estado de México y Municipios no prevé en ninguna de sus partes, a cargo de los servidores públicos tratantes o poseedores de datos personales, la realización del “Plan de Trabajo del Sistema de Gestión de Protección de Datos Personales de esta Dependencia, correspondiente al ejercicio 2019 a 2022”, por lo cual no se está en posibilidad de dar respuesta positiva a su solicitud.</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5D">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No se entrega la bases de datos y Plan de Trabajo del Sistema de Gestión de Protección de Datos Personales de esta Dependencia, ni la informaicón solicitada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La Ley de Protección de Datos Personales en Posesión de Sujetos Obligados del Estado de México y Municipios no señala ni prevé, como atribución la realización de un Plan de Trabajo del sistema de Gestión de protección de Datos Personales de dicha dependencia, correspondiente al ejercicio 2019 a 2022, a cargo de los servidores públicos tratantes o poseedores de datos personales.</w:t>
            </w:r>
          </w:p>
          <w:p w:rsidR="00000000" w:rsidDel="00000000" w:rsidP="00000000" w:rsidRDefault="00000000" w:rsidRPr="00000000" w14:paraId="0000005F">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60">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Las atribuciones de la Secretaría de Justicia y Derechos Humanos se encuentran definidas con claridad en el artículo 38 Ter de la Ley Orgánica de la Administración Pública del Estado de México, de cuya consulta se desprende que tampoco hace referencia a la obligación supuesta por la persona solicitante.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r>
      <w:tr>
        <w:trPr>
          <w:cantSplit w:val="0"/>
          <w:trHeight w:val="13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2. Documentos y/o oficios generados y recibidos por la Unidad de Transparencia conforme al siguiente orden: </w:t>
            </w:r>
          </w:p>
          <w:p w:rsidR="00000000" w:rsidDel="00000000" w:rsidP="00000000" w:rsidRDefault="00000000" w:rsidRPr="00000000" w14:paraId="00000063">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 Designación de los Administradores de Bases de Datos.</w:t>
            </w:r>
          </w:p>
          <w:p w:rsidR="00000000" w:rsidDel="00000000" w:rsidP="00000000" w:rsidRDefault="00000000" w:rsidRPr="00000000" w14:paraId="00000064">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b. Actualización de Avisos de Privacidad.</w:t>
            </w:r>
          </w:p>
          <w:p w:rsidR="00000000" w:rsidDel="00000000" w:rsidP="00000000" w:rsidRDefault="00000000" w:rsidRPr="00000000" w14:paraId="00000065">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 Supervisión a las bases de datos documentales o electrónicas para establecer medidas de seguridad.</w:t>
            </w:r>
          </w:p>
          <w:p w:rsidR="00000000" w:rsidDel="00000000" w:rsidP="00000000" w:rsidRDefault="00000000" w:rsidRPr="00000000" w14:paraId="00000066">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 Establecer bitácora de violaciones a la seguridad de las bases de datos documentales o electrónicas.</w:t>
            </w:r>
          </w:p>
          <w:p w:rsidR="00000000" w:rsidDel="00000000" w:rsidP="00000000" w:rsidRDefault="00000000" w:rsidRPr="00000000" w14:paraId="00000067">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 Establecer el Plan de contingencia con las Unidades Administrativas </w:t>
            </w:r>
          </w:p>
          <w:p w:rsidR="00000000" w:rsidDel="00000000" w:rsidP="00000000" w:rsidRDefault="00000000" w:rsidRPr="00000000" w14:paraId="00000068">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f. Actualización de bases de datos,</w:t>
            </w:r>
          </w:p>
          <w:p w:rsidR="00000000" w:rsidDel="00000000" w:rsidP="00000000" w:rsidRDefault="00000000" w:rsidRPr="00000000" w14:paraId="00000069">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g. Inventario de las bases de datos.</w:t>
            </w:r>
          </w:p>
          <w:p w:rsidR="00000000" w:rsidDel="00000000" w:rsidP="00000000" w:rsidRDefault="00000000" w:rsidRPr="00000000" w14:paraId="0000006A">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h. documentos de gestión de seguridad y documentos de seguridad de la dependencia.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Acerca de las acciones relacionadas con las medidas de seguridad para el tratamiento de los datos personales señala que son documentadas y contenidas en un sistema de gestión, entendido este como el conjunto de elementos y actividades interrelacionadas para establecer, implementar, operar, monitoreas, revisar, mantener y mejorar el tratamiento y seguridad de los datos personales, de conformidad con lo previsto en el artículo 47 de la Ley de Protección de Datos Personales en Posesión de Sujetos Obligados del Estado de México y Municipios.</w:t>
            </w:r>
          </w:p>
          <w:p w:rsidR="00000000" w:rsidDel="00000000" w:rsidP="00000000" w:rsidRDefault="00000000" w:rsidRPr="00000000" w14:paraId="0000006C">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6D">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Hace del conocimiento de la persona solicitante, que las unidades administrativas cuentan con el documento de seguridad, como resultado de un proceso de mejora continua, derivado del monitoreo y revisión del sistema de gestión de conformidad con los artículos 48, 49 y 50 de la Ley de Protección de Datos Personales en Posesión de Sujetos Obligados del Estado de México y Municipios.</w:t>
            </w:r>
          </w:p>
          <w:p w:rsidR="00000000" w:rsidDel="00000000" w:rsidP="00000000" w:rsidRDefault="00000000" w:rsidRPr="00000000" w14:paraId="0000006E">
            <w:pPr>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6F">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Para ejemplificar las  acciones llevadas a cabo por el Sujeto Obligado,  en relación con la protección de datos personales que resultan en la elaboración del documento de seguridad, anexó los oficios con número de folio SJDH/UIPPE/0259/2019, SJDH/UIPPE/730/2020, SJDH/UIPPE/1072/2021, SJDH/UIPPE/0024/2022 y SJDH/UIPPE/0480/2022; el listado de los servidores públicos habilitados de las diversas unidades administrativas de la Secretaría de Justicia y Derechos Humanos, por la asistencia a la “Capacitación para Transparencia y Protección de Datos Personales 2022”, como evidencia de que continuamente se coordinan eventos de revisión y capacitación en el tema;  las Cédulas de Proyectos de Sistematización y Actualización de información en cumplimiento al Programa Anual de Sistematización y Actualización de la Información (PASAI); y finalmente, enlistó las Políticas Generales a las que se ciñe la Secretaría de Justicia y Derechos Humanos.</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Reitera que permanentemente se coordinan eventos de revisión y de capacitación en el tema que nos ocupa, con todos los servidores públicos habilitados de las unidades administrativas que integran la Secretaría, como se aprecia en las documentales anexas a la respuesta, así como se dieron a conocer las Políticas Generales en materia de protección de datos, implementadas y desarrolladas al efecto, entre otras actividades relacionadas con la actividad en controversia.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Parcialmente</w:t>
            </w:r>
          </w:p>
        </w:tc>
      </w:tr>
    </w:tbl>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es importante precisar que, de la solicitud de información, así como la respuesta proporcionada a la misma se colige que el recurrente únicamente requiere el Plan de Trabajo del Sistema de Gestión de Protección de Datos Personales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y los oficios que la unidad de transparencia haya girado o recibido respecto de la designación de los administradores de bases de datos; la actualización de avisos de privacidad; la supervisión a las bases de datos documentales o electrónicas para establecer medidas de seguridad; el establecimiento de la bitácora de violaciones a la seguridad de las bases de datos documentales o electrónicas; el establecimiento del plan de contingencia con las unidades administrativas; la actualización de bases de datos, y respecto del inventario de las bases de datos, documentos de gestión de seguridad y documentos de seguridad de la dependencia.</w:t>
      </w:r>
    </w:p>
    <w:p w:rsidR="00000000" w:rsidDel="00000000" w:rsidP="00000000" w:rsidRDefault="00000000" w:rsidRPr="00000000" w14:paraId="0000007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por lo que hace al </w:t>
      </w:r>
      <w:r w:rsidDel="00000000" w:rsidR="00000000" w:rsidRPr="00000000">
        <w:rPr>
          <w:rFonts w:ascii="Palatino Linotype" w:cs="Palatino Linotype" w:eastAsia="Palatino Linotype" w:hAnsi="Palatino Linotype"/>
          <w:b w:val="1"/>
          <w:rtl w:val="0"/>
        </w:rPr>
        <w:t xml:space="preserve">requerimiento señalado en numeral 1. </w:t>
      </w:r>
      <w:r w:rsidDel="00000000" w:rsidR="00000000" w:rsidRPr="00000000">
        <w:rPr>
          <w:rFonts w:ascii="Palatino Linotype" w:cs="Palatino Linotype" w:eastAsia="Palatino Linotype" w:hAnsi="Palatino Linotype"/>
          <w:b w:val="1"/>
          <w:i w:val="1"/>
          <w:rtl w:val="0"/>
        </w:rPr>
        <w:t xml:space="preserve">Plan de Trabajo del Sistema de Gestión de Protección de Datos Personales de esta Dependencia, correspondiente al ejercicio 2019 a 2022,</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como puede advertirse del cuadro que antecede, la Unidad de Transparencia señaló que la Ley de Protección de Datos Personales en Posesión de Sujetos Obligados del Estado de México y Municipios no prevé en ninguna de sus partes, a cargo de los servidores públicos tratantes o poseedores de datos personales, la realización del “Plan de Trabajo del Sistema de Gestión de Protección de Datos Personales de esta Dependencia, correspondiente al ejercicio 2019 a 2022”, por lo cual no está en posibilidad de dar respuesta positiva a la solicitud, argumento que reiteró en lo sustancial mediante su informe justificado.</w:t>
      </w:r>
    </w:p>
    <w:p w:rsidR="00000000" w:rsidDel="00000000" w:rsidP="00000000" w:rsidRDefault="00000000" w:rsidRPr="00000000" w14:paraId="00000075">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es importante, en primer lugar, analizar la naturaleza de la información solicitada a fin de conocer si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cuenta con obligación para conocer de lo requerido por el particular, de resultar afirmativo lo anterior, determinar  la naturaleza de la información; es decir, si a la misma le reviste el carácter de pública o, en su caso, se encuentra  dentro de las excepciones previstas al derecho de acceso a la  información. </w:t>
      </w:r>
    </w:p>
    <w:p w:rsidR="00000000" w:rsidDel="00000000" w:rsidP="00000000" w:rsidRDefault="00000000" w:rsidRPr="00000000" w14:paraId="00000076">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importante comenzar señalando que el diverso 14, fracción IV, de la Ley de Protección de Datos Personales en Posesión de Sujetos Obligados del Estado de México y Municipios, establece lo siguiente:</w:t>
      </w:r>
    </w:p>
    <w:p w:rsidR="00000000" w:rsidDel="00000000" w:rsidP="00000000" w:rsidRDefault="00000000" w:rsidRPr="00000000" w14:paraId="00000077">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“Del programa Estatal</w:t>
      </w:r>
    </w:p>
    <w:p w:rsidR="00000000" w:rsidDel="00000000" w:rsidP="00000000" w:rsidRDefault="00000000" w:rsidRPr="00000000" w14:paraId="0000007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w:t>
      </w:r>
      <w:r w:rsidDel="00000000" w:rsidR="00000000" w:rsidRPr="00000000">
        <w:rPr>
          <w:rFonts w:ascii="Palatino Linotype" w:cs="Palatino Linotype" w:eastAsia="Palatino Linotype" w:hAnsi="Palatino Linotype"/>
          <w:i w:val="1"/>
          <w:sz w:val="22"/>
          <w:szCs w:val="22"/>
          <w:rtl w:val="0"/>
        </w:rPr>
        <w:t xml:space="preserve"> El Instituto será responsable de diseñar, ejecutar y evaluar un Programa Estatal de Protección de Datos Personales que defina la política pública y establezca, como mínimo, objetivos, estrategias, acciones y metas; conforme a las bases siguientes:</w:t>
      </w:r>
    </w:p>
    <w:p w:rsidR="00000000" w:rsidDel="00000000" w:rsidP="00000000" w:rsidRDefault="00000000" w:rsidRPr="00000000" w14:paraId="0000007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Impulsar la implementación y mantenimiento de un sistema de gestión de seguridad a que se hace referencia en la presente Ley</w:t>
      </w:r>
      <w:r w:rsidDel="00000000" w:rsidR="00000000" w:rsidRPr="00000000">
        <w:rPr>
          <w:rFonts w:ascii="Palatino Linotype" w:cs="Palatino Linotype" w:eastAsia="Palatino Linotype" w:hAnsi="Palatino Linotype"/>
          <w:i w:val="1"/>
          <w:sz w:val="22"/>
          <w:szCs w:val="22"/>
          <w:rtl w:val="0"/>
        </w:rPr>
        <w:t xml:space="preserve">, así como promover la adopción de estándares nacionales e internacionales y buenas prácticas en la materia, y …” (Sic)</w:t>
      </w:r>
    </w:p>
    <w:p w:rsidR="00000000" w:rsidDel="00000000" w:rsidP="00000000" w:rsidRDefault="00000000" w:rsidRPr="00000000" w14:paraId="0000007B">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citado se desprende que a este Instituto, como parte de sus atribuciones, le corresponde implementar y dar mantenimiento a un sistema de gestión de seguridad.</w:t>
      </w:r>
    </w:p>
    <w:p w:rsidR="00000000" w:rsidDel="00000000" w:rsidP="00000000" w:rsidRDefault="00000000" w:rsidRPr="00000000" w14:paraId="0000007C">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el artículo 47 de la Ley de Protección de Datos Personales en Posesión de Sujetos Obligados del Estado de México y Municipios, establece que las acciones relacionadas con las medidas de seguridad para el tratamiento de los datos personales serán documentadas y contenidas en un sistema de gestión: </w:t>
      </w:r>
    </w:p>
    <w:p w:rsidR="00000000" w:rsidDel="00000000" w:rsidP="00000000" w:rsidRDefault="00000000" w:rsidRPr="00000000" w14:paraId="0000007D">
      <w:pPr>
        <w:tabs>
          <w:tab w:val="left" w:leader="none" w:pos="284"/>
          <w:tab w:val="left" w:leader="none" w:pos="709"/>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47.</w:t>
      </w:r>
      <w:r w:rsidDel="00000000" w:rsidR="00000000" w:rsidRPr="00000000">
        <w:rPr>
          <w:rFonts w:ascii="Palatino Linotype" w:cs="Palatino Linotype" w:eastAsia="Palatino Linotype" w:hAnsi="Palatino Linotype"/>
          <w:i w:val="1"/>
          <w:sz w:val="22"/>
          <w:szCs w:val="22"/>
          <w:rtl w:val="0"/>
        </w:rPr>
        <w:t xml:space="preserve"> Las acciones relacionadas con las medidas de seguridad para el tratamiento de los datos personales serán documentadas y contenidas en un sistema de gestión. </w:t>
      </w:r>
    </w:p>
    <w:p w:rsidR="00000000" w:rsidDel="00000000" w:rsidP="00000000" w:rsidRDefault="00000000" w:rsidRPr="00000000" w14:paraId="0000007E">
      <w:pPr>
        <w:tabs>
          <w:tab w:val="left" w:leader="none" w:pos="284"/>
          <w:tab w:val="left" w:leader="none" w:pos="709"/>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Se entenderá por sistema de gestión al conjunto de elementos y actividades interrelacionadas para establecer, implementar, operar, monitorear, revisar, mantener y mejorar el tratamiento y seguridad de los datos personales</w:t>
      </w:r>
      <w:r w:rsidDel="00000000" w:rsidR="00000000" w:rsidRPr="00000000">
        <w:rPr>
          <w:rFonts w:ascii="Palatino Linotype" w:cs="Palatino Linotype" w:eastAsia="Palatino Linotype" w:hAnsi="Palatino Linotype"/>
          <w:i w:val="1"/>
          <w:sz w:val="22"/>
          <w:szCs w:val="22"/>
          <w:rtl w:val="0"/>
        </w:rPr>
        <w:t xml:space="preserve">, de conformidad con lo previsto en la presente Ley y las demás disposiciones legales aplicables.”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7dp8vu" w:id="7"/>
      <w:bookmarkEnd w:id="7"/>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Revisión y actualización del documento de seguridad</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50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responsable revisará</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documento de seguridad de manera periódica y actualizarlo cuando ocurran los eventos siguientes:</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Se produzcan modificaciones sustanciales al tratamiento de datos personales que deriven en un cambio en el nivel de riesgo.</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 Como resultado de un proceso de mejora continua, derivado del monitoreo y revisión del sistema de gestión.</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III. Como resultado de un proceso de mejora para mitigar el impacto de una vulneración a la seguridad ocurrida.</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IV. Implementación de acciones correctivas y preventivas ante una violación de la seguridad de los datos personales.” (Sic)</w:t>
      </w:r>
      <w:r w:rsidDel="00000000" w:rsidR="00000000" w:rsidRPr="00000000">
        <w:rPr>
          <w:rtl w:val="0"/>
        </w:rPr>
      </w:r>
    </w:p>
    <w:p w:rsidR="00000000" w:rsidDel="00000000" w:rsidP="00000000" w:rsidRDefault="00000000" w:rsidRPr="00000000" w14:paraId="00000085">
      <w:pPr>
        <w:tabs>
          <w:tab w:val="left" w:leader="none" w:pos="284"/>
          <w:tab w:val="left" w:leader="none" w:pos="426"/>
        </w:tabs>
        <w:spacing w:after="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razón, de conformidad con lo que señala el artículo 33 de la Ley General de Protección de Datos Personales en Posesión de Sujetos Obligados, para establecer y mantener las medidas de seguridad para la protección de los datos personales, el responsable debe implementar un sistema de gestión contemplando los siguientes aspectos: </w:t>
      </w:r>
    </w:p>
    <w:p w:rsidR="00000000" w:rsidDel="00000000" w:rsidP="00000000" w:rsidRDefault="00000000" w:rsidRPr="00000000" w14:paraId="00000086">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tabs>
          <w:tab w:val="left" w:leader="none" w:pos="284"/>
          <w:tab w:val="left" w:leader="none" w:pos="426"/>
        </w:tabs>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33.</w:t>
      </w:r>
      <w:r w:rsidDel="00000000" w:rsidR="00000000" w:rsidRPr="00000000">
        <w:rPr>
          <w:rFonts w:ascii="Palatino Linotype" w:cs="Palatino Linotype" w:eastAsia="Palatino Linotype" w:hAnsi="Palatino Linotype"/>
          <w:i w:val="1"/>
          <w:rtl w:val="0"/>
        </w:rPr>
        <w:t xml:space="preserve"> Para establecer y mantener las medidas de seguridad para la protección de los datos personales, el responsable deberá realizar, al menos, las siguientes actividades interrelacionadas: </w:t>
      </w:r>
    </w:p>
    <w:p w:rsidR="00000000" w:rsidDel="00000000" w:rsidP="00000000" w:rsidRDefault="00000000" w:rsidRPr="00000000" w14:paraId="00000088">
      <w:pPr>
        <w:tabs>
          <w:tab w:val="left" w:leader="none" w:pos="284"/>
          <w:tab w:val="left" w:leader="none" w:pos="426"/>
        </w:tabs>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9">
      <w:pPr>
        <w:tabs>
          <w:tab w:val="left" w:leader="none" w:pos="284"/>
          <w:tab w:val="left" w:leader="none" w:pos="426"/>
        </w:tabs>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Crear políticas internas para la gestión y tratamiento de los datos personales, que tomen en cuenta el contexto en el que ocurren los tratamientos y el ciclo de vida de los datos personales, es decir, su obtención, uso y posterior supresión; </w:t>
      </w:r>
    </w:p>
    <w:p w:rsidR="00000000" w:rsidDel="00000000" w:rsidP="00000000" w:rsidRDefault="00000000" w:rsidRPr="00000000" w14:paraId="0000008A">
      <w:pPr>
        <w:tabs>
          <w:tab w:val="left" w:leader="none" w:pos="284"/>
          <w:tab w:val="left" w:leader="none" w:pos="426"/>
        </w:tabs>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B">
      <w:pPr>
        <w:tabs>
          <w:tab w:val="left" w:leader="none" w:pos="284"/>
          <w:tab w:val="left" w:leader="none" w:pos="426"/>
        </w:tabs>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Definir las funciones y obligaciones del personal involucrado en el tratamiento de datos personales;</w:t>
      </w:r>
    </w:p>
    <w:p w:rsidR="00000000" w:rsidDel="00000000" w:rsidP="00000000" w:rsidRDefault="00000000" w:rsidRPr="00000000" w14:paraId="0000008C">
      <w:pPr>
        <w:tabs>
          <w:tab w:val="left" w:leader="none" w:pos="284"/>
          <w:tab w:val="left" w:leader="none" w:pos="426"/>
        </w:tabs>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color w:val="ff0000"/>
          <w:rtl w:val="0"/>
        </w:rPr>
        <w:t xml:space="preserve"> </w:t>
      </w:r>
      <w:r w:rsidDel="00000000" w:rsidR="00000000" w:rsidRPr="00000000">
        <w:rPr>
          <w:rFonts w:ascii="Palatino Linotype" w:cs="Palatino Linotype" w:eastAsia="Palatino Linotype" w:hAnsi="Palatino Linotype"/>
          <w:i w:val="1"/>
          <w:rtl w:val="0"/>
        </w:rPr>
        <w:t xml:space="preserve">III. Elaborar un inventario de datos personales y de los sistemas de tratamiento; </w:t>
      </w:r>
    </w:p>
    <w:p w:rsidR="00000000" w:rsidDel="00000000" w:rsidP="00000000" w:rsidRDefault="00000000" w:rsidRPr="00000000" w14:paraId="0000008D">
      <w:pPr>
        <w:tabs>
          <w:tab w:val="left" w:leader="none" w:pos="284"/>
          <w:tab w:val="left" w:leader="none" w:pos="426"/>
        </w:tabs>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E">
      <w:pPr>
        <w:tabs>
          <w:tab w:val="left" w:leader="none" w:pos="284"/>
          <w:tab w:val="left" w:leader="none" w:pos="426"/>
        </w:tabs>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rsidR="00000000" w:rsidDel="00000000" w:rsidP="00000000" w:rsidRDefault="00000000" w:rsidRPr="00000000" w14:paraId="0000008F">
      <w:pPr>
        <w:tabs>
          <w:tab w:val="left" w:leader="none" w:pos="284"/>
          <w:tab w:val="left" w:leader="none" w:pos="426"/>
        </w:tabs>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0">
      <w:pPr>
        <w:tabs>
          <w:tab w:val="left" w:leader="none" w:pos="284"/>
          <w:tab w:val="left" w:leader="none" w:pos="426"/>
        </w:tabs>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Realizar un análisis de brecha, comparando las medidas de seguridad existentes contra las faltantes en la organización del responsable; </w:t>
      </w:r>
    </w:p>
    <w:p w:rsidR="00000000" w:rsidDel="00000000" w:rsidP="00000000" w:rsidRDefault="00000000" w:rsidRPr="00000000" w14:paraId="00000091">
      <w:pPr>
        <w:tabs>
          <w:tab w:val="left" w:leader="none" w:pos="284"/>
          <w:tab w:val="left" w:leader="none" w:pos="426"/>
        </w:tabs>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2">
      <w:pPr>
        <w:tabs>
          <w:tab w:val="left" w:leader="none" w:pos="284"/>
          <w:tab w:val="left" w:leader="none" w:pos="426"/>
        </w:tabs>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 </w:t>
      </w:r>
      <w:r w:rsidDel="00000000" w:rsidR="00000000" w:rsidRPr="00000000">
        <w:rPr>
          <w:rFonts w:ascii="Palatino Linotype" w:cs="Palatino Linotype" w:eastAsia="Palatino Linotype" w:hAnsi="Palatino Linotype"/>
          <w:b w:val="1"/>
          <w:i w:val="1"/>
          <w:u w:val="single"/>
          <w:rtl w:val="0"/>
        </w:rPr>
        <w:t xml:space="preserve">Elaborar un plan de trabajo para la implementación de las medidas de seguridad faltantes</w:t>
      </w:r>
      <w:r w:rsidDel="00000000" w:rsidR="00000000" w:rsidRPr="00000000">
        <w:rPr>
          <w:rFonts w:ascii="Palatino Linotype" w:cs="Palatino Linotype" w:eastAsia="Palatino Linotype" w:hAnsi="Palatino Linotype"/>
          <w:i w:val="1"/>
          <w:rtl w:val="0"/>
        </w:rPr>
        <w:t xml:space="preserve">, así como las medidas para el cumplimiento cotidiano de las políticas de gestión y tratamiento de los datos personales; </w:t>
      </w:r>
    </w:p>
    <w:p w:rsidR="00000000" w:rsidDel="00000000" w:rsidP="00000000" w:rsidRDefault="00000000" w:rsidRPr="00000000" w14:paraId="00000093">
      <w:pPr>
        <w:tabs>
          <w:tab w:val="left" w:leader="none" w:pos="284"/>
          <w:tab w:val="left" w:leader="none" w:pos="426"/>
        </w:tabs>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4">
      <w:pPr>
        <w:tabs>
          <w:tab w:val="left" w:leader="none" w:pos="284"/>
          <w:tab w:val="left" w:leader="none" w:pos="426"/>
        </w:tabs>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Monitorear y revisar de manera periódica las medidas de seguridad implementadas, así como las amenazas y vulneraciones a las que están sujetos los datos personales, y </w:t>
      </w:r>
    </w:p>
    <w:p w:rsidR="00000000" w:rsidDel="00000000" w:rsidP="00000000" w:rsidRDefault="00000000" w:rsidRPr="00000000" w14:paraId="00000095">
      <w:pPr>
        <w:tabs>
          <w:tab w:val="left" w:leader="none" w:pos="284"/>
          <w:tab w:val="left" w:leader="none" w:pos="426"/>
        </w:tabs>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6">
      <w:pPr>
        <w:tabs>
          <w:tab w:val="left" w:leader="none" w:pos="284"/>
          <w:tab w:val="left" w:leader="none" w:pos="426"/>
        </w:tabs>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Diseñar y aplicar diferentes niveles de capacitación del personal bajo su mando, dependiendo de sus roles y responsabilidades respecto del tratamiento de los datos personales.” (Sic)</w:t>
      </w:r>
    </w:p>
    <w:p w:rsidR="00000000" w:rsidDel="00000000" w:rsidP="00000000" w:rsidRDefault="00000000" w:rsidRPr="00000000" w14:paraId="00000097">
      <w:pPr>
        <w:spacing w:line="360" w:lineRule="auto"/>
        <w:ind w:right="-93"/>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98">
      <w:pPr>
        <w:tabs>
          <w:tab w:val="left" w:leader="none" w:pos="284"/>
          <w:tab w:val="left" w:leader="none" w:pos="426"/>
        </w:tabs>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Hasta este punto, podemos establecer que lo señalado anteriormente corresponde con lo solicitado por el particular,  para adoptar un Sistema de Gestión de Seguridad de Datos Personales el Responsable se deben contemplar, entre otros aspectos con la elaboración de un plan de trabajo para la implementación de las medidas de seguridad.</w:t>
      </w:r>
    </w:p>
    <w:p w:rsidR="00000000" w:rsidDel="00000000" w:rsidP="00000000" w:rsidRDefault="00000000" w:rsidRPr="00000000" w14:paraId="00000099">
      <w:pPr>
        <w:spacing w:after="240" w:before="240" w:line="360"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rtl w:val="0"/>
        </w:rPr>
        <w:t xml:space="preserve">Siendo a través del Documento de Seguridad que se establecen las medidas de seguridad técnicas, físicas y administrativas adoptadas para garantizar la confidencialidad, integridad y disponibilidad de la información contenida en los sistemas y bases de datos personales, para mayor referencia se inserta el artículo 4, fracción XVIII de la Ley de Protección de Datos Personales en Posesión de los Sujetos Obligados del Estado de México y Municipios:</w:t>
      </w:r>
      <w:r w:rsidDel="00000000" w:rsidR="00000000" w:rsidRPr="00000000">
        <w:rPr>
          <w:rtl w:val="0"/>
        </w:rPr>
      </w:r>
    </w:p>
    <w:p w:rsidR="00000000" w:rsidDel="00000000" w:rsidP="00000000" w:rsidRDefault="00000000" w:rsidRPr="00000000" w14:paraId="0000009A">
      <w:pPr>
        <w:spacing w:after="360" w:before="240" w:lineRule="auto"/>
        <w:ind w:left="708"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 Para los efectos de esta Ley se entenderá por: … </w:t>
      </w:r>
    </w:p>
    <w:p w:rsidR="00000000" w:rsidDel="00000000" w:rsidP="00000000" w:rsidRDefault="00000000" w:rsidRPr="00000000" w14:paraId="0000009B">
      <w:pPr>
        <w:spacing w:after="360" w:before="240" w:line="276" w:lineRule="auto"/>
        <w:ind w:left="708"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XVIII. </w:t>
      </w:r>
      <w:r w:rsidDel="00000000" w:rsidR="00000000" w:rsidRPr="00000000">
        <w:rPr>
          <w:rFonts w:ascii="Palatino Linotype" w:cs="Palatino Linotype" w:eastAsia="Palatino Linotype" w:hAnsi="Palatino Linotype"/>
          <w:b w:val="1"/>
          <w:i w:val="1"/>
          <w:sz w:val="22"/>
          <w:szCs w:val="22"/>
          <w:rtl w:val="0"/>
        </w:rPr>
        <w:t xml:space="preserve">Documento de seguridad: </w:t>
      </w:r>
      <w:r w:rsidDel="00000000" w:rsidR="00000000" w:rsidRPr="00000000">
        <w:rPr>
          <w:rFonts w:ascii="Palatino Linotype" w:cs="Palatino Linotype" w:eastAsia="Palatino Linotype" w:hAnsi="Palatino Linotype"/>
          <w:i w:val="1"/>
          <w:sz w:val="22"/>
          <w:szCs w:val="22"/>
          <w:rtl w:val="0"/>
        </w:rPr>
        <w:t xml:space="preserve">al </w:t>
      </w:r>
      <w:r w:rsidDel="00000000" w:rsidR="00000000" w:rsidRPr="00000000">
        <w:rPr>
          <w:rFonts w:ascii="Palatino Linotype" w:cs="Palatino Linotype" w:eastAsia="Palatino Linotype" w:hAnsi="Palatino Linotype"/>
          <w:b w:val="1"/>
          <w:i w:val="1"/>
          <w:sz w:val="22"/>
          <w:szCs w:val="22"/>
          <w:u w:val="single"/>
          <w:rtl w:val="0"/>
        </w:rPr>
        <w:t xml:space="preserve">instrumento que describe y da cuenta de manera general sobre las medidas de seguridad técnicas, físicas y administrativas</w:t>
      </w:r>
      <w:r w:rsidDel="00000000" w:rsidR="00000000" w:rsidRPr="00000000">
        <w:rPr>
          <w:rFonts w:ascii="Palatino Linotype" w:cs="Palatino Linotype" w:eastAsia="Palatino Linotype" w:hAnsi="Palatino Linotype"/>
          <w:i w:val="1"/>
          <w:sz w:val="22"/>
          <w:szCs w:val="22"/>
          <w:rtl w:val="0"/>
        </w:rPr>
        <w:t xml:space="preserve"> adoptadas por el responsable para garantizar la confidencialidad, integridad y disponibilidad de la información contenida en los sistemas y bases de datos personales.</w:t>
      </w:r>
    </w:p>
    <w:p w:rsidR="00000000" w:rsidDel="00000000" w:rsidP="00000000" w:rsidRDefault="00000000" w:rsidRPr="00000000" w14:paraId="0000009C">
      <w:pPr>
        <w:tabs>
          <w:tab w:val="left" w:leader="none" w:pos="284"/>
          <w:tab w:val="left" w:leader="none" w:pos="426"/>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lo anterior, resulta imprescindible señalar que el Instituto Nacional de Transparencia, Acceso a la Información, y Protección de Datos Personales emitió una Guía para cumplir con los principios y deberes de la Ley General de Protección de Datos Personales en Posesión de Sujetos Obligados</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para el sector Público, dirigida a los Sujetos Obligados que traten datos personales, dicha Guía establece que por Sistema de Gestión de Seguridad de los Datos Personales se entenderá “…</w:t>
      </w:r>
      <w:r w:rsidDel="00000000" w:rsidR="00000000" w:rsidRPr="00000000">
        <w:rPr>
          <w:rFonts w:ascii="Palatino Linotype" w:cs="Palatino Linotype" w:eastAsia="Palatino Linotype" w:hAnsi="Palatino Linotype"/>
          <w:i w:val="1"/>
          <w:rtl w:val="0"/>
        </w:rPr>
        <w:t xml:space="preserve">al conjunto de elementos y actividades relacionadas entre sí, que le permitirán al responsable planificar, implementar, monitorear y mejorar las medidas de seguridad de carácter administrativo, físico y técnico, tomando en consideración la normatividad aplicable, así como los estándares a nivel nacional e internacional, en materia de protección de datos personales y seguridad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9D">
      <w:pPr>
        <w:tabs>
          <w:tab w:val="left" w:leader="none" w:pos="284"/>
          <w:tab w:val="left" w:leader="none" w:pos="426"/>
        </w:tabs>
        <w:spacing w:after="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Situación que se robustece son la siguiente captura de pantalla de la guía antes  mencionada que establece: </w:t>
      </w:r>
    </w:p>
    <w:p w:rsidR="00000000" w:rsidDel="00000000" w:rsidP="00000000" w:rsidRDefault="00000000" w:rsidRPr="00000000" w14:paraId="0000009E">
      <w:pPr>
        <w:tabs>
          <w:tab w:val="left" w:leader="none" w:pos="284"/>
          <w:tab w:val="left" w:leader="none" w:pos="426"/>
        </w:tabs>
        <w:spacing w:after="240" w:before="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F">
      <w:pPr>
        <w:spacing w:line="360" w:lineRule="auto"/>
        <w:ind w:right="-93"/>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500000" cy="945652"/>
            <wp:effectExtent b="0" l="0" r="0" t="0"/>
            <wp:docPr id="31" name="image2.png"/>
            <a:graphic>
              <a:graphicData uri="http://schemas.openxmlformats.org/drawingml/2006/picture">
                <pic:pic>
                  <pic:nvPicPr>
                    <pic:cNvPr id="0" name="image2.png"/>
                    <pic:cNvPicPr preferRelativeResize="0"/>
                  </pic:nvPicPr>
                  <pic:blipFill>
                    <a:blip r:embed="rId8"/>
                    <a:srcRect b="71837" l="59231" r="9807" t="16596"/>
                    <a:stretch>
                      <a:fillRect/>
                    </a:stretch>
                  </pic:blipFill>
                  <pic:spPr>
                    <a:xfrm>
                      <a:off x="0" y="0"/>
                      <a:ext cx="4500000" cy="945652"/>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line="360" w:lineRule="auto"/>
        <w:ind w:right="-93"/>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716000" cy="3404597"/>
            <wp:effectExtent b="0" l="0" r="0" t="0"/>
            <wp:docPr id="32" name="image2.png"/>
            <a:graphic>
              <a:graphicData uri="http://schemas.openxmlformats.org/drawingml/2006/picture">
                <pic:pic>
                  <pic:nvPicPr>
                    <pic:cNvPr id="0" name="image2.png"/>
                    <pic:cNvPicPr preferRelativeResize="0"/>
                  </pic:nvPicPr>
                  <pic:blipFill>
                    <a:blip r:embed="rId8"/>
                    <a:srcRect b="9174" l="58555" r="9708" t="50090"/>
                    <a:stretch>
                      <a:fillRect/>
                    </a:stretch>
                  </pic:blipFill>
                  <pic:spPr>
                    <a:xfrm>
                      <a:off x="0" y="0"/>
                      <a:ext cx="4716000" cy="340459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292100</wp:posOffset>
                </wp:positionV>
                <wp:extent cx="4881730" cy="409015"/>
                <wp:effectExtent b="0" l="0" r="0" t="0"/>
                <wp:wrapNone/>
                <wp:docPr id="28" name=""/>
                <a:graphic>
                  <a:graphicData uri="http://schemas.microsoft.com/office/word/2010/wordprocessingShape">
                    <wps:wsp>
                      <wps:cNvSpPr/>
                      <wps:cNvPr id="2" name="Shape 2"/>
                      <wps:spPr>
                        <a:xfrm>
                          <a:off x="2933710" y="3604068"/>
                          <a:ext cx="4824580" cy="351865"/>
                        </a:xfrm>
                        <a:prstGeom prst="rect">
                          <a:avLst/>
                        </a:prstGeom>
                        <a:noFill/>
                        <a:ln cap="flat" cmpd="sng" w="5715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292100</wp:posOffset>
                </wp:positionV>
                <wp:extent cx="4881730" cy="409015"/>
                <wp:effectExtent b="0" l="0" r="0" t="0"/>
                <wp:wrapNone/>
                <wp:docPr id="28"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4881730" cy="409015"/>
                        </a:xfrm>
                        <a:prstGeom prst="rect"/>
                        <a:ln/>
                      </pic:spPr>
                    </pic:pic>
                  </a:graphicData>
                </a:graphic>
              </wp:anchor>
            </w:drawing>
          </mc:Fallback>
        </mc:AlternateContent>
      </w:r>
    </w:p>
    <w:p w:rsidR="00000000" w:rsidDel="00000000" w:rsidP="00000000" w:rsidRDefault="00000000" w:rsidRPr="00000000" w14:paraId="000000A1">
      <w:pPr>
        <w:tabs>
          <w:tab w:val="left" w:leader="none" w:pos="284"/>
          <w:tab w:val="left" w:leader="none" w:pos="426"/>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Dentro de la guía en cuestión, se precisa  que, en cuanto al  “</w:t>
      </w:r>
      <w:r w:rsidDel="00000000" w:rsidR="00000000" w:rsidRPr="00000000">
        <w:rPr>
          <w:rFonts w:ascii="Palatino Linotype" w:cs="Palatino Linotype" w:eastAsia="Palatino Linotype" w:hAnsi="Palatino Linotype"/>
          <w:b w:val="1"/>
          <w:i w:val="1"/>
          <w:rtl w:val="0"/>
        </w:rPr>
        <w:t xml:space="preserve">El plan de trabajo” </w:t>
      </w:r>
      <w:r w:rsidDel="00000000" w:rsidR="00000000" w:rsidRPr="00000000">
        <w:rPr>
          <w:rFonts w:ascii="Palatino Linotype" w:cs="Palatino Linotype" w:eastAsia="Palatino Linotype" w:hAnsi="Palatino Linotype"/>
          <w:i w:val="1"/>
          <w:rtl w:val="0"/>
        </w:rPr>
        <w:t xml:space="preserve">Una vez realizados los análisis correspondientes entre los que se encuentran los de riesgos y de brecha, </w:t>
      </w:r>
      <w:r w:rsidDel="00000000" w:rsidR="00000000" w:rsidRPr="00000000">
        <w:rPr>
          <w:rFonts w:ascii="Palatino Linotype" w:cs="Palatino Linotype" w:eastAsia="Palatino Linotype" w:hAnsi="Palatino Linotype"/>
          <w:b w:val="1"/>
          <w:i w:val="1"/>
          <w:u w:val="single"/>
          <w:rtl w:val="0"/>
        </w:rPr>
        <w:t xml:space="preserve">se debe elaborar un plan de trabajo con la finalidad de implementar las medidas de seguridad faltantes</w:t>
      </w:r>
      <w:r w:rsidDel="00000000" w:rsidR="00000000" w:rsidRPr="00000000">
        <w:rPr>
          <w:rFonts w:ascii="Palatino Linotype" w:cs="Palatino Linotype" w:eastAsia="Palatino Linotype" w:hAnsi="Palatino Linotype"/>
          <w:i w:val="1"/>
          <w:rtl w:val="0"/>
        </w:rPr>
        <w:t xml:space="preserve">, así como para el cumplimiento cotidiano de las políticas de tratamiento de los datos personales. </w:t>
      </w:r>
      <w:r w:rsidDel="00000000" w:rsidR="00000000" w:rsidRPr="00000000">
        <w:rPr>
          <w:rtl w:val="0"/>
        </w:rPr>
      </w:r>
    </w:p>
    <w:p w:rsidR="00000000" w:rsidDel="00000000" w:rsidP="00000000" w:rsidRDefault="00000000" w:rsidRPr="00000000" w14:paraId="000000A2">
      <w:pPr>
        <w:tabs>
          <w:tab w:val="left" w:leader="none" w:pos="284"/>
          <w:tab w:val="left" w:leader="none" w:pos="426"/>
        </w:tabs>
        <w:spacing w:after="240" w:before="240" w:line="360" w:lineRule="auto"/>
        <w:ind w:right="51"/>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ello, se deben priorizar las medidas de seguridad más relevantes e inmediatas a establecer, habrá de considerarse los recursos económicos y humanos con los que cuenta el responsable para el cumplimiento, como todo plan de trabajo es indispensable que se fijen fechas compromiso, personas a cargo de su cumplimiento y para su implementación.</w:t>
      </w:r>
    </w:p>
    <w:p w:rsidR="00000000" w:rsidDel="00000000" w:rsidP="00000000" w:rsidRDefault="00000000" w:rsidRPr="00000000" w14:paraId="000000A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situación anterior, se robustece con el contenido del artículo 35 de la Ley General en la materia en el cual se establece que el responsable del tratamiento de datos deberá elaborar un documento de seguridad en el que se contenga, al menos, lo siguiente:</w:t>
      </w:r>
    </w:p>
    <w:p w:rsidR="00000000" w:rsidDel="00000000" w:rsidP="00000000" w:rsidRDefault="00000000" w:rsidRPr="00000000" w14:paraId="000000A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35</w:t>
      </w:r>
      <w:r w:rsidDel="00000000" w:rsidR="00000000" w:rsidRPr="00000000">
        <w:rPr>
          <w:rFonts w:ascii="Palatino Linotype" w:cs="Palatino Linotype" w:eastAsia="Palatino Linotype" w:hAnsi="Palatino Linotype"/>
          <w:i w:val="1"/>
          <w:sz w:val="22"/>
          <w:szCs w:val="22"/>
          <w:rtl w:val="0"/>
        </w:rPr>
        <w:t xml:space="preserve">. De manera particular, el responsable deberá elaborar un documento de seguridad que contenga, al menos, lo siguiente:</w:t>
      </w:r>
    </w:p>
    <w:p w:rsidR="00000000" w:rsidDel="00000000" w:rsidP="00000000" w:rsidRDefault="00000000" w:rsidRPr="00000000" w14:paraId="000000A5">
      <w:pPr>
        <w:tabs>
          <w:tab w:val="left" w:leader="none" w:pos="8080"/>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inventario de datos personales y de los sistemas de tratamiento;</w:t>
      </w:r>
    </w:p>
    <w:p w:rsidR="00000000" w:rsidDel="00000000" w:rsidP="00000000" w:rsidRDefault="00000000" w:rsidRPr="00000000" w14:paraId="000000A6">
      <w:pPr>
        <w:tabs>
          <w:tab w:val="left" w:leader="none" w:pos="8080"/>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Las funciones y obligaciones de las personas que traten datos personales;</w:t>
      </w:r>
    </w:p>
    <w:p w:rsidR="00000000" w:rsidDel="00000000" w:rsidP="00000000" w:rsidRDefault="00000000" w:rsidRPr="00000000" w14:paraId="000000A7">
      <w:pPr>
        <w:tabs>
          <w:tab w:val="left" w:leader="none" w:pos="8080"/>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análisis de riesgos;</w:t>
      </w:r>
    </w:p>
    <w:p w:rsidR="00000000" w:rsidDel="00000000" w:rsidP="00000000" w:rsidRDefault="00000000" w:rsidRPr="00000000" w14:paraId="000000A8">
      <w:pPr>
        <w:tabs>
          <w:tab w:val="left" w:leader="none" w:pos="8080"/>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El análisis de brecha;</w:t>
      </w:r>
    </w:p>
    <w:p w:rsidR="00000000" w:rsidDel="00000000" w:rsidP="00000000" w:rsidRDefault="00000000" w:rsidRPr="00000000" w14:paraId="000000A9">
      <w:pPr>
        <w:tabs>
          <w:tab w:val="left" w:leader="none" w:pos="8080"/>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El plan de trabajo;</w:t>
      </w:r>
    </w:p>
    <w:p w:rsidR="00000000" w:rsidDel="00000000" w:rsidP="00000000" w:rsidRDefault="00000000" w:rsidRPr="00000000" w14:paraId="000000AA">
      <w:pPr>
        <w:tabs>
          <w:tab w:val="left" w:leader="none" w:pos="8080"/>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Los mecanismos de monitoreo y revisión de las medidas de seguridad, y</w:t>
      </w:r>
    </w:p>
    <w:p w:rsidR="00000000" w:rsidDel="00000000" w:rsidP="00000000" w:rsidRDefault="00000000" w:rsidRPr="00000000" w14:paraId="000000AB">
      <w:pPr>
        <w:tabs>
          <w:tab w:val="left" w:leader="none" w:pos="8080"/>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El programa general de capacitación.”</w:t>
      </w:r>
    </w:p>
    <w:p w:rsidR="00000000" w:rsidDel="00000000" w:rsidP="00000000" w:rsidRDefault="00000000" w:rsidRPr="00000000" w14:paraId="000000AC">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49 de la Ley de Protección de Datos Personales en Posesión de Sujetos Obligados del Estado de México y Municipios, que habla del contenido del documento de seguridad, estipula lo siguiente:</w:t>
      </w:r>
    </w:p>
    <w:p w:rsidR="00000000" w:rsidDel="00000000" w:rsidP="00000000" w:rsidRDefault="00000000" w:rsidRPr="00000000" w14:paraId="000000AD">
      <w:pPr>
        <w:spacing w:after="120" w:before="120" w:lineRule="auto"/>
        <w:ind w:left="851" w:right="902"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 </w:t>
      </w:r>
      <w:r w:rsidDel="00000000" w:rsidR="00000000" w:rsidRPr="00000000">
        <w:rPr>
          <w:rFonts w:ascii="Palatino Linotype" w:cs="Palatino Linotype" w:eastAsia="Palatino Linotype" w:hAnsi="Palatino Linotype"/>
          <w:i w:val="1"/>
          <w:sz w:val="22"/>
          <w:szCs w:val="22"/>
          <w:rtl w:val="0"/>
        </w:rPr>
        <w:t xml:space="preserve">El </w:t>
      </w:r>
      <w:r w:rsidDel="00000000" w:rsidR="00000000" w:rsidRPr="00000000">
        <w:rPr>
          <w:rFonts w:ascii="Palatino Linotype" w:cs="Palatino Linotype" w:eastAsia="Palatino Linotype" w:hAnsi="Palatino Linotype"/>
          <w:b w:val="1"/>
          <w:i w:val="1"/>
          <w:sz w:val="22"/>
          <w:szCs w:val="22"/>
          <w:rtl w:val="0"/>
        </w:rPr>
        <w:t xml:space="preserve">documento de seguridad </w:t>
      </w:r>
      <w:r w:rsidDel="00000000" w:rsidR="00000000" w:rsidRPr="00000000">
        <w:rPr>
          <w:rFonts w:ascii="Palatino Linotype" w:cs="Palatino Linotype" w:eastAsia="Palatino Linotype" w:hAnsi="Palatino Linotype"/>
          <w:i w:val="1"/>
          <w:sz w:val="22"/>
          <w:szCs w:val="22"/>
          <w:rtl w:val="0"/>
        </w:rPr>
        <w:t xml:space="preserve">deberá contener como mínimo lo siguiente:</w:t>
      </w:r>
    </w:p>
    <w:p w:rsidR="00000000" w:rsidDel="00000000" w:rsidP="00000000" w:rsidRDefault="00000000" w:rsidRPr="00000000" w14:paraId="000000AE">
      <w:pPr>
        <w:spacing w:after="120" w:before="120" w:lineRule="auto"/>
        <w:ind w:left="1134" w:right="902"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F">
      <w:pPr>
        <w:spacing w:after="120" w:before="120" w:lineRule="auto"/>
        <w:ind w:left="1134" w:right="902"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Respecto de las </w:t>
      </w:r>
      <w:r w:rsidDel="00000000" w:rsidR="00000000" w:rsidRPr="00000000">
        <w:rPr>
          <w:rFonts w:ascii="Palatino Linotype" w:cs="Palatino Linotype" w:eastAsia="Palatino Linotype" w:hAnsi="Palatino Linotype"/>
          <w:b w:val="1"/>
          <w:i w:val="1"/>
          <w:sz w:val="22"/>
          <w:szCs w:val="22"/>
          <w:rtl w:val="0"/>
        </w:rPr>
        <w:t xml:space="preserve">medidas de seguridad</w:t>
      </w:r>
      <w:r w:rsidDel="00000000" w:rsidR="00000000" w:rsidRPr="00000000">
        <w:rPr>
          <w:rFonts w:ascii="Palatino Linotype" w:cs="Palatino Linotype" w:eastAsia="Palatino Linotype" w:hAnsi="Palatino Linotype"/>
          <w:i w:val="1"/>
          <w:sz w:val="22"/>
          <w:szCs w:val="22"/>
          <w:rtl w:val="0"/>
        </w:rPr>
        <w:t xml:space="preserve"> implementadas deberá incluir lo siguiente:</w:t>
      </w:r>
    </w:p>
    <w:p w:rsidR="00000000" w:rsidDel="00000000" w:rsidP="00000000" w:rsidRDefault="00000000" w:rsidRPr="00000000" w14:paraId="000000B0">
      <w:pPr>
        <w:spacing w:after="120" w:before="120" w:lineRule="auto"/>
        <w:ind w:left="1418" w:right="902"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1">
      <w:pPr>
        <w:spacing w:after="120" w:before="120" w:lineRule="auto"/>
        <w:ind w:left="1418" w:right="902"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w:t>
      </w:r>
      <w:r w:rsidDel="00000000" w:rsidR="00000000" w:rsidRPr="00000000">
        <w:rPr>
          <w:rFonts w:ascii="Palatino Linotype" w:cs="Palatino Linotype" w:eastAsia="Palatino Linotype" w:hAnsi="Palatino Linotype"/>
          <w:i w:val="1"/>
          <w:sz w:val="22"/>
          <w:szCs w:val="22"/>
          <w:rtl w:val="0"/>
        </w:rPr>
        <w:t xml:space="preserve"> El plan de trabajo.”</w:t>
      </w:r>
    </w:p>
    <w:p w:rsidR="00000000" w:rsidDel="00000000" w:rsidP="00000000" w:rsidRDefault="00000000" w:rsidRPr="00000000" w14:paraId="000000B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esta normatividad, queda especificado que </w:t>
      </w:r>
      <w:r w:rsidDel="00000000" w:rsidR="00000000" w:rsidRPr="00000000">
        <w:rPr>
          <w:rFonts w:ascii="Palatino Linotype" w:cs="Palatino Linotype" w:eastAsia="Palatino Linotype" w:hAnsi="Palatino Linotype"/>
          <w:b w:val="1"/>
          <w:i w:val="1"/>
          <w:rtl w:val="0"/>
        </w:rPr>
        <w:t xml:space="preserve">el Plan de Trabajo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es un documento que, a su vez, forma parte del documento de seguridad, entendido como el </w:t>
      </w:r>
      <w:r w:rsidDel="00000000" w:rsidR="00000000" w:rsidRPr="00000000">
        <w:rPr>
          <w:rFonts w:ascii="Palatino Linotype" w:cs="Palatino Linotype" w:eastAsia="Palatino Linotype" w:hAnsi="Palatino Linotype"/>
          <w:b w:val="1"/>
          <w:rtl w:val="0"/>
        </w:rPr>
        <w:t xml:space="preserve">instrumento que </w:t>
      </w:r>
      <w:r w:rsidDel="00000000" w:rsidR="00000000" w:rsidRPr="00000000">
        <w:rPr>
          <w:rFonts w:ascii="Palatino Linotype" w:cs="Palatino Linotype" w:eastAsia="Palatino Linotype" w:hAnsi="Palatino Linotype"/>
          <w:b w:val="1"/>
          <w:u w:val="single"/>
          <w:rtl w:val="0"/>
        </w:rPr>
        <w:t xml:space="preserve">establece las medidas de seguridad</w:t>
      </w:r>
      <w:r w:rsidDel="00000000" w:rsidR="00000000" w:rsidRPr="00000000">
        <w:rPr>
          <w:rFonts w:ascii="Palatino Linotype" w:cs="Palatino Linotype" w:eastAsia="Palatino Linotype" w:hAnsi="Palatino Linotype"/>
          <w:b w:val="1"/>
          <w:rtl w:val="0"/>
        </w:rPr>
        <w:t xml:space="preserve"> técnicas, físicas y administrativas adoptadas para garantizar la confidencialidad, integridad y disponibilidad de la información contenida en los sistemas y bases de datos personales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B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mayor referencia se inserta el artículo 4, fracción XVIII de la Ley de Protección de Datos Personales en Posesión de los Sujetos Obligados del Estado de México y Municipios:</w:t>
      </w:r>
    </w:p>
    <w:p w:rsidR="00000000" w:rsidDel="00000000" w:rsidP="00000000" w:rsidRDefault="00000000" w:rsidRPr="00000000" w14:paraId="000000B4">
      <w:pPr>
        <w:spacing w:after="120" w:before="120" w:lineRule="auto"/>
        <w:ind w:left="851"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Para los efectos de esta Ley se entenderá por: … </w:t>
      </w:r>
    </w:p>
    <w:p w:rsidR="00000000" w:rsidDel="00000000" w:rsidP="00000000" w:rsidRDefault="00000000" w:rsidRPr="00000000" w14:paraId="000000B5">
      <w:pPr>
        <w:spacing w:after="120" w:before="120" w:lineRule="auto"/>
        <w:ind w:left="1134" w:right="10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B6">
      <w:pPr>
        <w:spacing w:after="120" w:before="120" w:lineRule="auto"/>
        <w:ind w:left="1134"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 Documento de seguridad</w:t>
      </w:r>
      <w:r w:rsidDel="00000000" w:rsidR="00000000" w:rsidRPr="00000000">
        <w:rPr>
          <w:rFonts w:ascii="Palatino Linotype" w:cs="Palatino Linotype" w:eastAsia="Palatino Linotype" w:hAnsi="Palatino Linotype"/>
          <w:i w:val="1"/>
          <w:sz w:val="22"/>
          <w:szCs w:val="22"/>
          <w:rtl w:val="0"/>
        </w:rPr>
        <w:t xml:space="preserve">: al instrumento que </w:t>
      </w:r>
      <w:r w:rsidDel="00000000" w:rsidR="00000000" w:rsidRPr="00000000">
        <w:rPr>
          <w:rFonts w:ascii="Palatino Linotype" w:cs="Palatino Linotype" w:eastAsia="Palatino Linotype" w:hAnsi="Palatino Linotype"/>
          <w:b w:val="1"/>
          <w:i w:val="1"/>
          <w:sz w:val="22"/>
          <w:szCs w:val="22"/>
          <w:rtl w:val="0"/>
        </w:rPr>
        <w:t xml:space="preserve">describe y da cuenta de manera general sobre las </w:t>
      </w:r>
      <w:r w:rsidDel="00000000" w:rsidR="00000000" w:rsidRPr="00000000">
        <w:rPr>
          <w:rFonts w:ascii="Palatino Linotype" w:cs="Palatino Linotype" w:eastAsia="Palatino Linotype" w:hAnsi="Palatino Linotype"/>
          <w:b w:val="1"/>
          <w:i w:val="1"/>
          <w:sz w:val="22"/>
          <w:szCs w:val="22"/>
          <w:u w:val="single"/>
          <w:rtl w:val="0"/>
        </w:rPr>
        <w:t xml:space="preserve">medidas de seguridad</w:t>
      </w:r>
      <w:r w:rsidDel="00000000" w:rsidR="00000000" w:rsidRPr="00000000">
        <w:rPr>
          <w:rFonts w:ascii="Palatino Linotype" w:cs="Palatino Linotype" w:eastAsia="Palatino Linotype" w:hAnsi="Palatino Linotype"/>
          <w:b w:val="1"/>
          <w:i w:val="1"/>
          <w:sz w:val="22"/>
          <w:szCs w:val="22"/>
          <w:rtl w:val="0"/>
        </w:rPr>
        <w:t xml:space="preserve"> técnicas, físicas y administrativas adoptadas</w:t>
      </w:r>
      <w:r w:rsidDel="00000000" w:rsidR="00000000" w:rsidRPr="00000000">
        <w:rPr>
          <w:rFonts w:ascii="Palatino Linotype" w:cs="Palatino Linotype" w:eastAsia="Palatino Linotype" w:hAnsi="Palatino Linotype"/>
          <w:i w:val="1"/>
          <w:sz w:val="22"/>
          <w:szCs w:val="22"/>
          <w:rtl w:val="0"/>
        </w:rPr>
        <w:t xml:space="preserve"> por el responsable para garantizar la confidencialidad, integridad y disponibilidad de la información contenida en los sistemas y bases de datos personales.”</w:t>
      </w:r>
    </w:p>
    <w:p w:rsidR="00000000" w:rsidDel="00000000" w:rsidP="00000000" w:rsidRDefault="00000000" w:rsidRPr="00000000" w14:paraId="000000B7">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ese orden de ideas, en lo que respecta al </w:t>
      </w:r>
      <w:r w:rsidDel="00000000" w:rsidR="00000000" w:rsidRPr="00000000">
        <w:rPr>
          <w:rFonts w:ascii="Palatino Linotype" w:cs="Palatino Linotype" w:eastAsia="Palatino Linotype" w:hAnsi="Palatino Linotype"/>
          <w:b w:val="1"/>
          <w:color w:val="000000"/>
          <w:rtl w:val="0"/>
        </w:rPr>
        <w:t xml:space="preserve">Plan de Trabajo del Sistema de Gestión de Protección de Datos Personales</w:t>
      </w:r>
      <w:r w:rsidDel="00000000" w:rsidR="00000000" w:rsidRPr="00000000">
        <w:rPr>
          <w:rFonts w:ascii="Palatino Linotype" w:cs="Palatino Linotype" w:eastAsia="Palatino Linotype" w:hAnsi="Palatino Linotype"/>
          <w:color w:val="000000"/>
          <w:rtl w:val="0"/>
        </w:rPr>
        <w:t xml:space="preserve">, es un documento forma parte de las obligaciones conferidas a los Sujetos Obligados para establecer y mantener las medidas de seguridad; sin embargo, pudiera contener dentro de los elementos que lo conforman, parte de las medidas de seguridad referidas en párrafos que preceden y por lo tanto,</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color w:val="000000"/>
          <w:rtl w:val="0"/>
        </w:rPr>
        <w:t xml:space="preserve">deben considerarse como información de carácter confidencial, de conformidad con el artículo 46 de la Ley de Protección de Datos Personales en Posesión de Sujetos Obligados del Estado de México y Municipios, que a la letra señalan lo siguiente: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8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“Actividades interrelacionadas para establecer y mantener las medidas de seguridad</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8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46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Para establecer y mantener las medidas de seguridad para la protección de los datos personales, el responsable realizará, al menos, las actividades interrelacionadas siguientes: </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8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Crear políticas internas para la gestión y tratamiento de los datos personales, que tomen en cuenta el contexto en el que ocurren los tratamientos y el ciclo de vida de los datos personales, es decir, su obtención, uso y posterior supresión. </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8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Definir las funciones y obligaciones del personal involucrado en el tratamiento de datos personales. </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8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Elaborar un inventario de datos personales y de las bases y o sistemas de tratamiento. </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8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8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Realizar un análisis de brecha, comparando las medidas de seguridad existentes contra las faltantes en la organización del responsable.</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8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Elaborar un plan de trabajo para la implementación de las medidas de seguridad</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faltantes,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así como las medidas para el cumplimiento cotidiano de las políticas de gestión y tratamiento de los datos personales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8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Monitorear y revisar de manera periódica las medidas de seguridad implementadas, así como las amenazas y vulnerabilidades a las que están sujetos los datos personales. </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8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Diseñar y aplicar diferentes niveles de capacitación del personal bajo su mando, dependiendo de sus roles y responsabilidades respecto del tratamiento de los datos personales.”</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Del artículo en cita podemos advertir que, con el propósito establecer y mantener las medidas de seguridad para la protección de los datos personales, el responsable realizará diversas actividades, entre ellas, crear políticas internas para la gestión y tratamiento de los datos personales, definir las funciones y obligaciones del personal involucrado en el tratamiento de datos personales, así como elaborar un inventario de datos personales y de las bases y o sistemas de tratamiento, mismos que al no formar parte de las medidas de seguridad adoptadas por el Sujeto Obligado, son susceptibles de entrega.</w:t>
      </w:r>
      <w:r w:rsidDel="00000000" w:rsidR="00000000" w:rsidRPr="00000000">
        <w:rPr>
          <w:rtl w:val="0"/>
        </w:rPr>
      </w:r>
    </w:p>
    <w:p w:rsidR="00000000" w:rsidDel="00000000" w:rsidP="00000000" w:rsidRDefault="00000000" w:rsidRPr="00000000" w14:paraId="000000C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expuesto, si bien en atención al requerimiento en estudio,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señaló que la Ley de Protección de Datos Personales en Posesión de Sujetos Obligados no prevé en ninguna de sus partes la realización del “Plan de trabajo del Sistema de Gestión de Protección de Datos Personales de esta Dependencia correspondiente al ejercicio 2019 a 2022”, lo cierto es que ha quedado demostrado que la normatividad aplicable si contempla dicha información, misma que forma parte de las medidas de seguridad, del documento de seguridad, sin perder de vista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reconoció que cada unidad administrativa cuenta con un documento de seguridad como resultado de un proceso de mejora continua, derivado del monitoreo y revisión del Sistema de Gestión, en consecuencia, es evidente que la información debe obrar en sus archivos.</w:t>
      </w:r>
    </w:p>
    <w:p w:rsidR="00000000" w:rsidDel="00000000" w:rsidP="00000000" w:rsidRDefault="00000000" w:rsidRPr="00000000" w14:paraId="000000C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es de precisar que dicha información, es decir, las medidas de seguridad del referido documento de seguridad, cuenta con carácter de confidencial, de conformidad con lo estipulado en el artículo 43, segundo párrafo, de la Ley de Protección de Datos Personales en Posesión de Sujetos Obligados del Estado de México y Municipios, a saber: </w:t>
      </w:r>
    </w:p>
    <w:p w:rsidR="00000000" w:rsidDel="00000000" w:rsidP="00000000" w:rsidRDefault="00000000" w:rsidRPr="00000000" w14:paraId="000000C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43.</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6">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Por la naturaleza de la información, </w:t>
      </w:r>
      <w:r w:rsidDel="00000000" w:rsidR="00000000" w:rsidRPr="00000000">
        <w:rPr>
          <w:rFonts w:ascii="Palatino Linotype" w:cs="Palatino Linotype" w:eastAsia="Palatino Linotype" w:hAnsi="Palatino Linotype"/>
          <w:b w:val="1"/>
          <w:i w:val="1"/>
          <w:sz w:val="22"/>
          <w:szCs w:val="22"/>
          <w:u w:val="single"/>
          <w:rtl w:val="0"/>
        </w:rPr>
        <w:t xml:space="preserve">las medidas de seguridad</w:t>
      </w:r>
      <w:r w:rsidDel="00000000" w:rsidR="00000000" w:rsidRPr="00000000">
        <w:rPr>
          <w:rFonts w:ascii="Palatino Linotype" w:cs="Palatino Linotype" w:eastAsia="Palatino Linotype" w:hAnsi="Palatino Linotype"/>
          <w:b w:val="1"/>
          <w:i w:val="1"/>
          <w:sz w:val="22"/>
          <w:szCs w:val="22"/>
          <w:rtl w:val="0"/>
        </w:rPr>
        <w:t xml:space="preserve"> que se adopten </w:t>
      </w:r>
      <w:r w:rsidDel="00000000" w:rsidR="00000000" w:rsidRPr="00000000">
        <w:rPr>
          <w:rFonts w:ascii="Palatino Linotype" w:cs="Palatino Linotype" w:eastAsia="Palatino Linotype" w:hAnsi="Palatino Linotype"/>
          <w:b w:val="1"/>
          <w:i w:val="1"/>
          <w:sz w:val="22"/>
          <w:szCs w:val="22"/>
          <w:u w:val="single"/>
          <w:rtl w:val="0"/>
        </w:rPr>
        <w:t xml:space="preserve">serán consideradas confidenciales</w:t>
      </w:r>
      <w:r w:rsidDel="00000000" w:rsidR="00000000" w:rsidRPr="00000000">
        <w:rPr>
          <w:rFonts w:ascii="Palatino Linotype" w:cs="Palatino Linotype" w:eastAsia="Palatino Linotype" w:hAnsi="Palatino Linotype"/>
          <w:i w:val="1"/>
          <w:sz w:val="22"/>
          <w:szCs w:val="22"/>
          <w:rtl w:val="0"/>
        </w:rPr>
        <w:t xml:space="preserve"> y únicamente se comunicará al Instituto, para su registro, el nivel de seguridad aplicable.”</w:t>
      </w:r>
      <w:r w:rsidDel="00000000" w:rsidR="00000000" w:rsidRPr="00000000">
        <w:rPr>
          <w:rtl w:val="0"/>
        </w:rPr>
      </w:r>
    </w:p>
    <w:p w:rsidR="00000000" w:rsidDel="00000000" w:rsidP="00000000" w:rsidRDefault="00000000" w:rsidRPr="00000000" w14:paraId="000000C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la Ley de Transparencia y Acceso a la Información Pública del Estado de México y Municipios indica lo siguiente respecto a la clasificación de la información:</w:t>
      </w:r>
    </w:p>
    <w:p w:rsidR="00000000" w:rsidDel="00000000" w:rsidP="00000000" w:rsidRDefault="00000000" w:rsidRPr="00000000" w14:paraId="000000C8">
      <w:pPr>
        <w:spacing w:after="120" w:before="120" w:lineRule="auto"/>
        <w:ind w:left="851" w:right="902"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r w:rsidDel="00000000" w:rsidR="00000000" w:rsidRPr="00000000">
        <w:rPr>
          <w:rtl w:val="0"/>
        </w:rPr>
      </w:r>
    </w:p>
    <w:p w:rsidR="00000000" w:rsidDel="00000000" w:rsidP="00000000" w:rsidRDefault="00000000" w:rsidRPr="00000000" w14:paraId="000000C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advertir que existe una disposición legal por la cual subsiste la clasificación de la información, el artículo 43, segundo párrafo de la Ley de Protección de Datos Personales en Posesión de Sujetos Obligados del Estado de México y Municipios, establece que </w:t>
      </w:r>
      <w:r w:rsidDel="00000000" w:rsidR="00000000" w:rsidRPr="00000000">
        <w:rPr>
          <w:rFonts w:ascii="Palatino Linotype" w:cs="Palatino Linotype" w:eastAsia="Palatino Linotype" w:hAnsi="Palatino Linotype"/>
          <w:b w:val="1"/>
          <w:rtl w:val="0"/>
        </w:rPr>
        <w:t xml:space="preserve">las medidas de seguridad adoptadas serán consideradas confidenciales</w:t>
      </w:r>
      <w:r w:rsidDel="00000000" w:rsidR="00000000" w:rsidRPr="00000000">
        <w:rPr>
          <w:rFonts w:ascii="Palatino Linotype" w:cs="Palatino Linotype" w:eastAsia="Palatino Linotype" w:hAnsi="Palatino Linotype"/>
          <w:rtl w:val="0"/>
        </w:rPr>
        <w:t xml:space="preserve">, razón por la cual no pueden ser proporcionadas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tampoco a través de una versión pública, pues de hacerlo se pudiese causar un daño, alteración, pérdida, destrucción, uso, transferencia, acceso y/o cualquier tratamiento ilícito, no autorizado de la información que obre en las bases y sistemas de datos personales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C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las partes que conforman las medidas de seguridad del documento de seguridad, incluido el </w:t>
      </w:r>
      <w:r w:rsidDel="00000000" w:rsidR="00000000" w:rsidRPr="00000000">
        <w:rPr>
          <w:rFonts w:ascii="Palatino Linotype" w:cs="Palatino Linotype" w:eastAsia="Palatino Linotype" w:hAnsi="Palatino Linotype"/>
          <w:i w:val="1"/>
          <w:rtl w:val="0"/>
        </w:rPr>
        <w:t xml:space="preserve">Plan de Trabajo</w:t>
      </w:r>
      <w:r w:rsidDel="00000000" w:rsidR="00000000" w:rsidRPr="00000000">
        <w:rPr>
          <w:rFonts w:ascii="Palatino Linotype" w:cs="Palatino Linotype" w:eastAsia="Palatino Linotype" w:hAnsi="Palatino Linotype"/>
          <w:rtl w:val="0"/>
        </w:rPr>
        <w:t xml:space="preserve"> y los documentos que integran dicho plan al que en su conjunto dan cuenta y contienen las medidas de seguridad adoptadas por los responsables, constituyen información confidencial, cuya clasificación no estará sujeta a una temporalidad como se desprende del diverso 143, segundo párrafo de la Ley de Transparencia Local, a saber:</w:t>
      </w:r>
    </w:p>
    <w:p w:rsidR="00000000" w:rsidDel="00000000" w:rsidP="00000000" w:rsidRDefault="00000000" w:rsidRPr="00000000" w14:paraId="000000CB">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143. (…)</w:t>
      </w:r>
    </w:p>
    <w:p w:rsidR="00000000" w:rsidDel="00000000" w:rsidP="00000000" w:rsidRDefault="00000000" w:rsidRPr="00000000" w14:paraId="000000C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CD">
      <w:pPr>
        <w:spacing w:after="240" w:before="240" w:line="360" w:lineRule="auto"/>
        <w:ind w:right="51"/>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En concordancia con lo anterior, el numeral Trigésimo octavo, segundo párrafo de los Lineamientos Generales en materia de Clasificación y Desclasificación de la información, así como para la elaboración de Versiones Públicas, publicado en el Diario Oficial de la Federación el quince de abril de dos mil dieciséis, señala lo siguiente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Trigésimo octavo</w:t>
      </w:r>
      <w:r w:rsidDel="00000000" w:rsidR="00000000" w:rsidRPr="00000000">
        <w:rPr>
          <w:rFonts w:ascii="Palatino Linotype" w:cs="Palatino Linotype" w:eastAsia="Palatino Linotype" w:hAnsi="Palatino Linotype"/>
          <w:i w:val="1"/>
          <w:sz w:val="22"/>
          <w:szCs w:val="22"/>
          <w:rtl w:val="0"/>
        </w:rPr>
        <w:t xml:space="preserve">. (…) </w:t>
      </w:r>
    </w:p>
    <w:p w:rsidR="00000000" w:rsidDel="00000000" w:rsidP="00000000" w:rsidRDefault="00000000" w:rsidRPr="00000000" w14:paraId="000000C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D0">
      <w:pPr>
        <w:spacing w:after="240" w:before="240" w:line="360" w:lineRule="auto"/>
        <w:ind w:right="49"/>
        <w:jc w:val="both"/>
        <w:rPr/>
      </w:pPr>
      <w:r w:rsidDel="00000000" w:rsidR="00000000" w:rsidRPr="00000000">
        <w:rPr>
          <w:rFonts w:ascii="Palatino Linotype" w:cs="Palatino Linotype" w:eastAsia="Palatino Linotype" w:hAnsi="Palatino Linotype"/>
          <w:rtl w:val="0"/>
        </w:rPr>
        <w:t xml:space="preserve">En tal sentido, el </w:t>
      </w:r>
      <w:r w:rsidDel="00000000" w:rsidR="00000000" w:rsidRPr="00000000">
        <w:rPr>
          <w:rFonts w:ascii="Palatino Linotype" w:cs="Palatino Linotype" w:eastAsia="Palatino Linotype" w:hAnsi="Palatino Linotype"/>
          <w:i w:val="1"/>
          <w:rtl w:val="0"/>
        </w:rPr>
        <w:t xml:space="preserve">plan de trabajo</w:t>
      </w:r>
      <w:r w:rsidDel="00000000" w:rsidR="00000000" w:rsidRPr="00000000">
        <w:rPr>
          <w:rFonts w:ascii="Palatino Linotype" w:cs="Palatino Linotype" w:eastAsia="Palatino Linotype" w:hAnsi="Palatino Linotype"/>
          <w:rtl w:val="0"/>
        </w:rPr>
        <w:t xml:space="preserve"> forma parte del documento de seguridad y justamente considera las acciones tendentes a la protección de los sistemas de datos personales de manera preventiva y correctiva, incluso contempla las vulneraciones que han existido; en este sentido, como se trata de medidas de seguridad implementadas y los detalles de las áreas de oportunidad en la protección de los sistemas que van detectando los expertos en protección de sistemas de datos, tanto físicos como electrónicos, constituye información que en manos expertas puede ser utilizada para vulnerar los sistemas de datos personales, por lo que aplica lo dispuesto en el artículo 43 de la Ley de Protección de Datos Personales en Posesión de Sujetos Obligados del Estado de México y Municipios, ya que si bien, no son formalmente las medidas de seguridad implementadas, se trata del análisis de estas y su eficacia; sus áreas de oportunidad sobre lo que se debe hacer o mejorar, por lo que procede su clasificación como información confidencial, a través del acuerdo mediante el cual se funde y motive la clasificación, mismo que habrá de ponerse a disposición del particular. </w:t>
      </w:r>
      <w:r w:rsidDel="00000000" w:rsidR="00000000" w:rsidRPr="00000000">
        <w:rPr>
          <w:rtl w:val="0"/>
        </w:rPr>
      </w:r>
    </w:p>
    <w:p w:rsidR="00000000" w:rsidDel="00000000" w:rsidP="00000000" w:rsidRDefault="00000000" w:rsidRPr="00000000" w14:paraId="000000D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virtud, el acuerdo emitido por el Comité de Transparencia, en términos de los artículos 122, 132 y 143 de la  Ley de Transparencia y Acceso a la Información Pública del Estado de México y Municipios, deberá contener un razonamiento lógico, acorde a lo previsto  en los ordenamientos jurídicos en la Materia, que permita conocer al particular las condiciones y circunstancias que determinaron negar el acceso a la información; a través de la adecuada fundamentación y motivación, en el entendido de que, todo acto que la autoridad pronuncie en el ejercicio de sus atribuciones, debe expresar los fundamentos legales que le dieron origen y las razones por las que se deben aplicar al caso concreto.</w:t>
      </w:r>
    </w:p>
    <w:p w:rsidR="00000000" w:rsidDel="00000000" w:rsidP="00000000" w:rsidRDefault="00000000" w:rsidRPr="00000000" w14:paraId="000000D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acuerdo deberá contener un razonamiento lógico con el que se demuestre que la información solicitada por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se encuentra en alguna de las hipótesis que contempla la misma ley; toda vez que de acuerdo a la referida Ley la carga de la prueba para justificar toda negativa de acceso a la información por actualizarse cualquiera de los supuestos previstos en la Ley, corresponde a los Sujetos Obligados fundando y motivando debidamente la clasificación</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D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la fundamentación y motivación, debe recordarse que la primera de ellas consiste en 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rsidR="00000000" w:rsidDel="00000000" w:rsidP="00000000" w:rsidRDefault="00000000" w:rsidRPr="00000000" w14:paraId="000000D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Sirven de sustento a lo anterior las tesis jurisprudenciales número I.4º.A. J/43 y VI. 2º. J/43, publicadas en el Semanario Judicial de la Federación y su Gaceta, bajo el número de registro 175,082 y 203,143, respectivamente, cuyo texto y sentido literal es el siguiente:</w:t>
      </w:r>
    </w:p>
    <w:p w:rsidR="00000000" w:rsidDel="00000000" w:rsidP="00000000" w:rsidRDefault="00000000" w:rsidRPr="00000000" w14:paraId="000000D5">
      <w:pPr>
        <w:spacing w:after="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FUNDAMENTACIÓN Y MOTIVACIÓN. EL ASPECTO FORMAL DE LA GARANTÍA Y SU FINALIDAD SE TRADUCEN EN EXPLICAR, JUSTIFICAR, POSIBILITAR LA DEFENSA Y COMUNICAR LA DECISIÓN. </w:t>
      </w:r>
      <w:r w:rsidDel="00000000" w:rsidR="00000000" w:rsidRPr="00000000">
        <w:rPr>
          <w:rFonts w:ascii="Palatino Linotype" w:cs="Palatino Linotype" w:eastAsia="Palatino Linotype" w:hAnsi="Palatino Linotype"/>
          <w:i w:val="1"/>
          <w:sz w:val="22"/>
          <w:szCs w:val="22"/>
          <w:rtl w:val="0"/>
        </w:rPr>
        <w:t xml:space="preserve">El contenido formal de la garantía de legalidad prevista en el artículo 16 constitucional relativa a la fundamentación y motivación tiene como propósito primordial y ratio que el justiciable </w:t>
      </w:r>
      <w:r w:rsidDel="00000000" w:rsidR="00000000" w:rsidRPr="00000000">
        <w:rPr>
          <w:rFonts w:ascii="Palatino Linotype" w:cs="Palatino Linotype" w:eastAsia="Palatino Linotype" w:hAnsi="Palatino Linotype"/>
          <w:i w:val="1"/>
          <w:sz w:val="22"/>
          <w:szCs w:val="22"/>
          <w:u w:val="single"/>
          <w:rtl w:val="0"/>
        </w:rPr>
        <w:t xml:space="preserve">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Del="00000000" w:rsidR="00000000" w:rsidRPr="00000000">
        <w:rPr>
          <w:rFonts w:ascii="Palatino Linotype" w:cs="Palatino Linotype" w:eastAsia="Palatino Linotype" w:hAnsi="Palatino Linotype"/>
          <w:i w:val="1"/>
          <w:sz w:val="22"/>
          <w:szCs w:val="22"/>
          <w:rtl w:val="0"/>
        </w:rPr>
        <w:t xml:space="preserve">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Del="00000000" w:rsidR="00000000" w:rsidRPr="00000000">
        <w:rPr>
          <w:rFonts w:ascii="Palatino Linotype" w:cs="Palatino Linotype" w:eastAsia="Palatino Linotype" w:hAnsi="Palatino Linotype"/>
          <w:i w:val="1"/>
          <w:sz w:val="22"/>
          <w:szCs w:val="22"/>
          <w:u w:val="single"/>
          <w:rtl w:val="0"/>
        </w:rPr>
        <w:t xml:space="preserve">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Del="00000000" w:rsidR="00000000" w:rsidRPr="00000000">
        <w:rPr>
          <w:rFonts w:ascii="Palatino Linotype" w:cs="Palatino Linotype" w:eastAsia="Palatino Linotype" w:hAnsi="Palatino Linotype"/>
          <w:i w:val="1"/>
          <w:sz w:val="22"/>
          <w:szCs w:val="22"/>
          <w:rtl w:val="0"/>
        </w:rPr>
        <w:t xml:space="preserve"> del que se deduzca la relación de pertenencia lógica de los hechos al derecho invocado, que es la subsunción.”</w:t>
      </w:r>
    </w:p>
    <w:p w:rsidR="00000000" w:rsidDel="00000000" w:rsidP="00000000" w:rsidRDefault="00000000" w:rsidRPr="00000000" w14:paraId="000000D6">
      <w:pPr>
        <w:spacing w:after="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FUNDAMENTACION Y MOTIVACION. </w:t>
      </w:r>
      <w:r w:rsidDel="00000000" w:rsidR="00000000" w:rsidRPr="00000000">
        <w:rPr>
          <w:rFonts w:ascii="Palatino Linotype" w:cs="Palatino Linotype" w:eastAsia="Palatino Linotype" w:hAnsi="Palatino Linotype"/>
          <w:i w:val="1"/>
          <w:sz w:val="22"/>
          <w:szCs w:val="22"/>
          <w:rtl w:val="0"/>
        </w:rPr>
        <w:t xml:space="preserve">La debida fundamentación y motivación legal, deben entenderse, por lo primero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la cita del precepto legal aplicable al caso, y por lo segundo, las razones, motivos o circunstancias especiales que llevaron a la autoridad a concluir que el caso particular encuadra en el supuesto previsto por la norma</w:t>
      </w:r>
      <w:r w:rsidDel="00000000" w:rsidR="00000000" w:rsidRPr="00000000">
        <w:rPr>
          <w:rFonts w:ascii="Palatino Linotype" w:cs="Palatino Linotype" w:eastAsia="Palatino Linotype" w:hAnsi="Palatino Linotype"/>
          <w:i w:val="1"/>
          <w:sz w:val="22"/>
          <w:szCs w:val="22"/>
          <w:rtl w:val="0"/>
        </w:rPr>
        <w:t xml:space="preserve"> legal invocada como fundamento.”</w:t>
      </w:r>
      <w:r w:rsidDel="00000000" w:rsidR="00000000" w:rsidRPr="00000000">
        <w:rPr>
          <w:rtl w:val="0"/>
        </w:rPr>
      </w:r>
    </w:p>
    <w:p w:rsidR="00000000" w:rsidDel="00000000" w:rsidP="00000000" w:rsidRDefault="00000000" w:rsidRPr="00000000" w14:paraId="000000D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del </w:t>
      </w:r>
      <w:r w:rsidDel="00000000" w:rsidR="00000000" w:rsidRPr="00000000">
        <w:rPr>
          <w:rFonts w:ascii="Palatino Linotype" w:cs="Palatino Linotype" w:eastAsia="Palatino Linotype" w:hAnsi="Palatino Linotype"/>
          <w:b w:val="1"/>
          <w:rtl w:val="0"/>
        </w:rPr>
        <w:t xml:space="preserve">punto 2,</w:t>
      </w:r>
      <w:r w:rsidDel="00000000" w:rsidR="00000000" w:rsidRPr="00000000">
        <w:rPr>
          <w:rFonts w:ascii="Palatino Linotype" w:cs="Palatino Linotype" w:eastAsia="Palatino Linotype" w:hAnsi="Palatino Linotype"/>
          <w:rtl w:val="0"/>
        </w:rPr>
        <w:t xml:space="preserve"> mediante el cual la persona solicitante requirió le fueran entregados </w:t>
      </w:r>
      <w:r w:rsidDel="00000000" w:rsidR="00000000" w:rsidRPr="00000000">
        <w:rPr>
          <w:rFonts w:ascii="Palatino Linotype" w:cs="Palatino Linotype" w:eastAsia="Palatino Linotype" w:hAnsi="Palatino Linotype"/>
          <w:i w:val="1"/>
          <w:rtl w:val="0"/>
        </w:rPr>
        <w:t xml:space="preserve">documentos y/o oficios generados y recibidos por la Unidad de Transparencia </w:t>
      </w:r>
      <w:r w:rsidDel="00000000" w:rsidR="00000000" w:rsidRPr="00000000">
        <w:rPr>
          <w:rFonts w:ascii="Palatino Linotype" w:cs="Palatino Linotype" w:eastAsia="Palatino Linotype" w:hAnsi="Palatino Linotype"/>
          <w:rtl w:val="0"/>
        </w:rPr>
        <w:t xml:space="preserve">conforme a: </w:t>
      </w:r>
    </w:p>
    <w:p w:rsidR="00000000" w:rsidDel="00000000" w:rsidP="00000000" w:rsidRDefault="00000000" w:rsidRPr="00000000" w14:paraId="000000D8">
      <w:pPr>
        <w:spacing w:after="240" w:before="240" w:line="276"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Designación de los Administradores de Bases de Datos.</w:t>
      </w:r>
    </w:p>
    <w:p w:rsidR="00000000" w:rsidDel="00000000" w:rsidP="00000000" w:rsidRDefault="00000000" w:rsidRPr="00000000" w14:paraId="000000D9">
      <w:pPr>
        <w:spacing w:after="240" w:before="240" w:line="276"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Actualización de Avisos de Privacidad.</w:t>
      </w:r>
    </w:p>
    <w:p w:rsidR="00000000" w:rsidDel="00000000" w:rsidP="00000000" w:rsidRDefault="00000000" w:rsidRPr="00000000" w14:paraId="000000DA">
      <w:pPr>
        <w:spacing w:after="240" w:before="240" w:line="276"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Supervisión a las bases de datos documentales o electrónicas para establecer medidas de seguridad.</w:t>
      </w:r>
    </w:p>
    <w:p w:rsidR="00000000" w:rsidDel="00000000" w:rsidP="00000000" w:rsidRDefault="00000000" w:rsidRPr="00000000" w14:paraId="000000DB">
      <w:pPr>
        <w:spacing w:after="240" w:before="240" w:line="276"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Establecer bitácora de violaciones a la seguridad de las bases de datos documentales o electrónicas.</w:t>
      </w:r>
    </w:p>
    <w:p w:rsidR="00000000" w:rsidDel="00000000" w:rsidP="00000000" w:rsidRDefault="00000000" w:rsidRPr="00000000" w14:paraId="000000DC">
      <w:pPr>
        <w:spacing w:after="240" w:before="240" w:line="276"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 Establecer el Plan de contingencia con las Unidades Administrativas</w:t>
      </w:r>
    </w:p>
    <w:p w:rsidR="00000000" w:rsidDel="00000000" w:rsidP="00000000" w:rsidRDefault="00000000" w:rsidRPr="00000000" w14:paraId="000000DD">
      <w:pPr>
        <w:spacing w:after="240" w:before="240" w:line="276"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 Actualización de bases de datos. </w:t>
      </w:r>
    </w:p>
    <w:p w:rsidR="00000000" w:rsidDel="00000000" w:rsidP="00000000" w:rsidRDefault="00000000" w:rsidRPr="00000000" w14:paraId="000000DE">
      <w:pPr>
        <w:spacing w:after="240" w:before="240" w:line="276"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 El inventario de las bases de datos.</w:t>
      </w:r>
    </w:p>
    <w:p w:rsidR="00000000" w:rsidDel="00000000" w:rsidP="00000000" w:rsidRDefault="00000000" w:rsidRPr="00000000" w14:paraId="000000DF">
      <w:pPr>
        <w:spacing w:after="240" w:before="240" w:line="276"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 Documentos de gestión de seguridad y documentos de seguridad de la dependencia.</w:t>
      </w:r>
    </w:p>
    <w:p w:rsidR="00000000" w:rsidDel="00000000" w:rsidP="00000000" w:rsidRDefault="00000000" w:rsidRPr="00000000" w14:paraId="000000E0">
      <w:pPr>
        <w:spacing w:after="240" w:before="240" w:line="276" w:lineRule="auto"/>
        <w:jc w:val="both"/>
        <w:rPr>
          <w:rFonts w:ascii="Palatino Linotype" w:cs="Palatino Linotype" w:eastAsia="Palatino Linotype" w:hAnsi="Palatino Linotype"/>
        </w:rPr>
      </w:pPr>
      <w:bookmarkStart w:colFirst="0" w:colLast="0" w:name="_heading=h.26in1rg" w:id="8"/>
      <w:bookmarkEnd w:id="8"/>
      <w:r w:rsidDel="00000000" w:rsidR="00000000" w:rsidRPr="00000000">
        <w:rPr>
          <w:rFonts w:ascii="Palatino Linotype" w:cs="Palatino Linotype" w:eastAsia="Palatino Linotype" w:hAnsi="Palatino Linotype"/>
          <w:rtl w:val="0"/>
        </w:rPr>
        <w:t xml:space="preserve">Es de recordar que 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entregó los oficios con números de folio: </w:t>
      </w:r>
    </w:p>
    <w:p w:rsidR="00000000" w:rsidDel="00000000" w:rsidP="00000000" w:rsidRDefault="00000000" w:rsidRPr="00000000" w14:paraId="000000E1">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SJDH/UIPPE/0259/2019, mediante el cual convoca al servidor público habilitado titular y/o servidor público habilitado suplente, así como al personal que dé respuesta a las solicitudes en materia de transparencia de la Unidad de Vinculación y comunicación a la “Capacitación en materia de protección de datos personales”, a celebrarse el día 05 de marzo de 2019, en la cual se abordarían temas como los avisos de privacidad, las bases de datos personales y la protección de los datos personales.</w:t>
      </w:r>
    </w:p>
    <w:p w:rsidR="00000000" w:rsidDel="00000000" w:rsidP="00000000" w:rsidRDefault="00000000" w:rsidRPr="00000000" w14:paraId="000000E2">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SJDH/UIPPE/730/2020, mediante el cual solicita a la servidora pública habilitada de la Comisión de Búsqueda de Personas del Estado de México, gire instrucciones al administrador de la base de datos personales que designó el Subdirector de Sistematización de la Información, con la finalidad de que remitiera a la Unidad de Transparencia el documento de seguridad de las bases de datos personales de la Comisión a su cargo, mismo que debía incluir como mínimo los requisitos establecidos en el artículo 39 de la Ley de Protección de Datos Personales en Posesión de los Sujetos Obligados, con la finalidad de dar cumplimiento al artículo 48 de la misma Ley referida.</w:t>
      </w:r>
    </w:p>
    <w:p w:rsidR="00000000" w:rsidDel="00000000" w:rsidP="00000000" w:rsidRDefault="00000000" w:rsidRPr="00000000" w14:paraId="000000E3">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SJDH/UIPPE/1072/2021, mediante el cual se informa a los servidores públicos habilitados de la Secretaria de Justicia y Derechos Humanos que deberán enviar a la Unidad de Transparencia el documento de seguridad colmando todos y cada uno de los requisitos que establece el artículo 49 de la Ley de Protección de Datos Personales en Posesión de los Sujetos Obligados del Estado de México y Municipios, derivado del análisis del documento de la Base de Datos Personales de cada Unidad Administrativa.</w:t>
      </w:r>
    </w:p>
    <w:p w:rsidR="00000000" w:rsidDel="00000000" w:rsidP="00000000" w:rsidRDefault="00000000" w:rsidRPr="00000000" w14:paraId="000000E4">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SJDH/UIPPE/0024/2022, mediante el cual solicita a la Comisionada de Búsqueda de Personas gire instrucciones a quien corresponda con la finalidad de que se realice la búsqueda minuciosa y exhaustiva de todas y cada una de las bases de datos que obran en dicha Comisión, asimismo, que a más tardar el veinte de enero del mismo año remitirá a la Unidad de Transparencia el Aviso de privacidad correspondiente a cada una de ellas, y las cédulas de bases de datos personales correspondientes. Y, finalmente, remita el documento de seguridad de cada una de las bases de datos.</w:t>
      </w:r>
    </w:p>
    <w:p w:rsidR="00000000" w:rsidDel="00000000" w:rsidP="00000000" w:rsidRDefault="00000000" w:rsidRPr="00000000" w14:paraId="000000E5">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SJDH/UIPPE/0480/2022, mediante el cual convoca a la servidora pública habilitada de la Comisión de Búsqueda de personas del Estado de México, el servidor público habilitado suplente y a la persona que le apoye en el tema a una capacitación en materia de transparencia y protección de datos personales a celebrarse el día treinta y uno de marzo de dos mil veintidós, derivado de las solicitudes de información recibidas a través de SAIMEX, la Plataforma Nacional de Transparencia, y SARCOEM.</w:t>
      </w:r>
    </w:p>
    <w:p w:rsidR="00000000" w:rsidDel="00000000" w:rsidP="00000000" w:rsidRDefault="00000000" w:rsidRPr="00000000" w14:paraId="000000E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remitió las listas de asistencia de las capacitaciones “Transparencia y protección de datos 2022”, llevadas a cabo los días veintinueve, treinta y treinta y uno de marzo de dos mil veintidós; las Cédulas de Proyectos de Sistematización y Actualización de Información, elaboradas el veinticuatro de enero de dos mil veintidós, en cumplimiento al Programa Anual de Sistematización y Actualización de la Información (PASAI); y, enlistó las Políticas Generales a las que se ciñe la Secretaría de Justicia y Derechos Humanos.</w:t>
      </w:r>
    </w:p>
    <w:p w:rsidR="00000000" w:rsidDel="00000000" w:rsidP="00000000" w:rsidRDefault="00000000" w:rsidRPr="00000000" w14:paraId="000000E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Cabe señalar que del análisis efectuado en dicho documentos, se advirtió que en las listas de asistencia se dejaron visibles correos electrónicos personales y números de teléfono particulares de los servidores públicos, datos personales que debieron protegerse, por lo que, al considerarse </w:t>
      </w:r>
      <w:r w:rsidDel="00000000" w:rsidR="00000000" w:rsidRPr="00000000">
        <w:rPr>
          <w:rFonts w:ascii="Palatino Linotype" w:cs="Palatino Linotype" w:eastAsia="Palatino Linotype" w:hAnsi="Palatino Linotype"/>
          <w:color w:val="000000"/>
          <w:rtl w:val="0"/>
        </w:rPr>
        <w:t xml:space="preserve">como una transgresión al derecho de protección de datos personales,</w:t>
      </w:r>
      <w:r w:rsidDel="00000000" w:rsidR="00000000" w:rsidRPr="00000000">
        <w:rPr>
          <w:rFonts w:ascii="Palatino Linotype" w:cs="Palatino Linotype" w:eastAsia="Palatino Linotype" w:hAnsi="Palatino Linotype"/>
          <w:rtl w:val="0"/>
        </w:rPr>
        <w:t xml:space="preserve"> resulta procedente dar vista al Titular de la Dirección General de Protección de Datos Personales de este Órgano,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investigue y sanciones las posibles omisiones en las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este determine lo que conforme derecho corresponda, cuyo resultado deberá ser informado a este Instituto.</w:t>
      </w:r>
      <w:r w:rsidDel="00000000" w:rsidR="00000000" w:rsidRPr="00000000">
        <w:rPr>
          <w:rtl w:val="0"/>
        </w:rPr>
      </w:r>
    </w:p>
    <w:p w:rsidR="00000000" w:rsidDel="00000000" w:rsidP="00000000" w:rsidRDefault="00000000" w:rsidRPr="00000000" w14:paraId="000000E8">
      <w:pPr>
        <w:spacing w:after="240" w:before="240" w:line="360" w:lineRule="auto"/>
        <w:ind w:right="49"/>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Ahora bien, es importante mencionar que las documentales referidas satisfacen de manera parcial el requerimiento de información, al remitir la Unidad de Transparencia únicamente documentos u oficios que generó, y que se encuentran relacionados con los </w:t>
      </w:r>
      <w:r w:rsidDel="00000000" w:rsidR="00000000" w:rsidRPr="00000000">
        <w:rPr>
          <w:rFonts w:ascii="Palatino Linotype" w:cs="Palatino Linotype" w:eastAsia="Palatino Linotype" w:hAnsi="Palatino Linotype"/>
          <w:color w:val="5f497a"/>
          <w:rtl w:val="0"/>
        </w:rPr>
        <w:t xml:space="preserve">avisos de privacidad, bases de datos y los documentos de seguridad de la dependenci</w:t>
      </w:r>
      <w:r w:rsidDel="00000000" w:rsidR="00000000" w:rsidRPr="00000000">
        <w:rPr>
          <w:rFonts w:ascii="Palatino Linotype" w:cs="Palatino Linotype" w:eastAsia="Palatino Linotype" w:hAnsi="Palatino Linotype"/>
          <w:rtl w:val="0"/>
        </w:rPr>
        <w:t xml:space="preserve">a, por lo que al ser dichos documentos ya del conocimiento de la persona solicitante, por considerar este Instituto que se atiende lo previsto por el artículo 166 de la Ley de Transparencia y Acceso a la Información Pública del Estado de México y Municipios, en el que se dispone que las dependencias y entidades estarán obligadas a entregar los documentos que se encuentren en sus archivos, teniendo la obligación de acceso a la información por cumplida cuando se ponga a disposición del particular la información requerida, de otra manera se estaría dudando de la veracidad de la información entregada.</w:t>
      </w:r>
      <w:r w:rsidDel="00000000" w:rsidR="00000000" w:rsidRPr="00000000">
        <w:rPr>
          <w:rtl w:val="0"/>
        </w:rPr>
      </w:r>
    </w:p>
    <w:p w:rsidR="00000000" w:rsidDel="00000000" w:rsidP="00000000" w:rsidRDefault="00000000" w:rsidRPr="00000000" w14:paraId="000000E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este Instituto no este facultado para dudar de la veracidad de la información entregada, toda vez que la presunción de veracidad es un derecho o principio legal, por lo que este Órgano no está facultado para pronunciarse sobre la veracidad de la información entregada, pues no existe precepto legal alguno que permita pronunciamiento al respecto. Sirve de apoyo a lo anterior por analogía el criterio 31-10 emitido por el entonces Instituto Federal de Acceso a la Información y Protección de Datos, que a la letra dice:</w:t>
      </w:r>
    </w:p>
    <w:p w:rsidR="00000000" w:rsidDel="00000000" w:rsidP="00000000" w:rsidRDefault="00000000" w:rsidRPr="00000000" w14:paraId="000000EA">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E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la respuesta emitida no agotó los principios de congruencia y exhaustividad, resultando aplicable el Criterio 02/17 emitido por el Pleno del Instituto Nacional de Transparencia y Acceso a la Información y Protección de Datos Personales, de título y texto siguientes:</w:t>
      </w:r>
    </w:p>
    <w:p w:rsidR="00000000" w:rsidDel="00000000" w:rsidP="00000000" w:rsidRDefault="00000000" w:rsidRPr="00000000" w14:paraId="000000EC">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i w:val="1"/>
          <w:sz w:val="22"/>
          <w:szCs w:val="22"/>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i w:val="1"/>
          <w:sz w:val="22"/>
          <w:szCs w:val="22"/>
          <w:rtl w:val="0"/>
        </w:rPr>
        <w:t xml:space="preserve">; mientras que </w:t>
      </w:r>
      <w:r w:rsidDel="00000000" w:rsidR="00000000" w:rsidRPr="00000000">
        <w:rPr>
          <w:rFonts w:ascii="Palatino Linotype" w:cs="Palatino Linotype" w:eastAsia="Palatino Linotype" w:hAnsi="Palatino Linotype"/>
          <w:b w:val="1"/>
          <w:i w:val="1"/>
          <w:sz w:val="22"/>
          <w:szCs w:val="22"/>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i w:val="1"/>
          <w:sz w:val="22"/>
          <w:szCs w:val="22"/>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0E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afirma así, en virtud de que la Titular de la Unidad de Transparencia no se pronunció de manera concreta sobre cada uno de los requerimientos realizados por la persona solicitante, ni tampoco precisó, de manera concreta, si la información remitida correspondía con la totalidad de la documentación generada, administrada o poseída por el área a su cargo, pues no debe perderse de vista que no remitió ningún  documento u oficio recibido, razón por la cual este Organismo Garante, con la finalidad de garantizar el derecho humano de acceso a la información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y a fin de reparar el agravio causado ante la omisión en que incurriera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ya que, como se señaló, su respuesta careció de los principios de congruencia y exhaustividad, se estima procedente ordenar que, previa búsqueda exhaustiva y razonable, se haga entrega de los documentos que den cuenta de lo solicitado, en versión pública conforme al considerando siguiente.</w:t>
      </w:r>
    </w:p>
    <w:p w:rsidR="00000000" w:rsidDel="00000000" w:rsidP="00000000" w:rsidRDefault="00000000" w:rsidRPr="00000000" w14:paraId="000000E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tal efecto, es oportuno mencionar, en primer lugar, que la persona solicitante no solicitó una descripción de los elementos antes enunciados, no solicitó tampoco de forma separada las documentales que den cuenta de las definiciones citadas, sino que solicitó, de manera concreta, los oficios que la Unidad de Transparencia giró y recibió para elaborar o actualizar los temas descritos.</w:t>
      </w:r>
    </w:p>
    <w:p w:rsidR="00000000" w:rsidDel="00000000" w:rsidP="00000000" w:rsidRDefault="00000000" w:rsidRPr="00000000" w14:paraId="000000E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la persona solicitante requirió los oficios y/o documentos que giró la Unidad de Transparencia a las unidades administrativas que integran la estructura orgánica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los oficios y/o documentos que la Unidad de Transparencia recibió por parte de dichas unidades administrativas para:</w:t>
      </w:r>
    </w:p>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425"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Designación de los Administradores de Bases de Datos. </w:t>
      </w:r>
    </w:p>
    <w:p w:rsidR="00000000" w:rsidDel="00000000" w:rsidP="00000000" w:rsidRDefault="00000000" w:rsidRPr="00000000" w14:paraId="000000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425"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Actualización de Avisos de Privacidad. </w:t>
      </w:r>
    </w:p>
    <w:p w:rsidR="00000000" w:rsidDel="00000000" w:rsidP="00000000" w:rsidRDefault="00000000" w:rsidRPr="00000000" w14:paraId="000000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425"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Llevar a cabo la Supervisión a las bases de datos documentales o electrónicas para establecer medidas de seguridad. </w:t>
      </w:r>
    </w:p>
    <w:p w:rsidR="00000000" w:rsidDel="00000000" w:rsidP="00000000" w:rsidRDefault="00000000" w:rsidRPr="00000000" w14:paraId="000000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425"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Establecer la bitácora de violaciones a la seguridad de las bases de datos documentales o electrónicas.</w:t>
      </w:r>
    </w:p>
    <w:p w:rsidR="00000000" w:rsidDel="00000000" w:rsidP="00000000" w:rsidRDefault="00000000" w:rsidRPr="00000000" w14:paraId="000000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425"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Establecer el Plan de contingencia con las Unidades Administrativas y</w:t>
      </w:r>
    </w:p>
    <w:p w:rsidR="00000000" w:rsidDel="00000000" w:rsidP="00000000" w:rsidRDefault="00000000" w:rsidRPr="00000000" w14:paraId="000000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425"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Llevar a cabo la actualización de bases de datos, </w:t>
      </w:r>
    </w:p>
    <w:p w:rsidR="00000000" w:rsidDel="00000000" w:rsidP="00000000" w:rsidRDefault="00000000" w:rsidRPr="00000000" w14:paraId="000000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425"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inventario de las bases de datos.</w:t>
      </w:r>
    </w:p>
    <w:p w:rsidR="00000000" w:rsidDel="00000000" w:rsidP="00000000" w:rsidRDefault="00000000" w:rsidRPr="00000000" w14:paraId="000000F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425"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Documentos de gestión de seguridad y documentos de seguridad de la dependencia.</w:t>
      </w:r>
    </w:p>
    <w:p w:rsidR="00000000" w:rsidDel="00000000" w:rsidP="00000000" w:rsidRDefault="00000000" w:rsidRPr="00000000" w14:paraId="000000F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Más no solicitó en ningún momento, la documentación generada con motivo de la implementación de los incisos antes citados, pues se insiste, la persona solicitante requirió los oficios y/o documentos de entrada y salida de la Unidad de Transparencia.</w:t>
      </w:r>
    </w:p>
    <w:p w:rsidR="00000000" w:rsidDel="00000000" w:rsidP="00000000" w:rsidRDefault="00000000" w:rsidRPr="00000000" w14:paraId="000000F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como se adelantó, debió pronunciarse respecto de si la información remitida consiste en la totalidad de documentos que obran en sus archivos, así como referir que no ha girado documento u oficio alguno, y, en su caso que no ha recibido ni oficio ni documento alguno, con la finalidad de no dejar lugar a dudas.</w:t>
      </w:r>
    </w:p>
    <w:p w:rsidR="00000000" w:rsidDel="00000000" w:rsidP="00000000" w:rsidRDefault="00000000" w:rsidRPr="00000000" w14:paraId="000000F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ende,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atendió con la debida diligencia lo que respecta al segundo punto de la solicitud, pues no se tiene la certeza de que hubiera realizado una búsqueda de la totalidad de los oficios o documentos girados y recibidos de las Oficinas de la Unidad de Transparencia.</w:t>
      </w:r>
    </w:p>
    <w:p w:rsidR="00000000" w:rsidDel="00000000" w:rsidP="00000000" w:rsidRDefault="00000000" w:rsidRPr="00000000" w14:paraId="000000F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para el </w:t>
      </w:r>
      <w:r w:rsidDel="00000000" w:rsidR="00000000" w:rsidRPr="00000000">
        <w:rPr>
          <w:rFonts w:ascii="Palatino Linotype" w:cs="Palatino Linotype" w:eastAsia="Palatino Linotype" w:hAnsi="Palatino Linotype"/>
          <w:b w:val="1"/>
          <w:rtl w:val="0"/>
        </w:rPr>
        <w:t xml:space="preserve">inciso a.</w:t>
      </w:r>
      <w:r w:rsidDel="00000000" w:rsidR="00000000" w:rsidRPr="00000000">
        <w:rPr>
          <w:rFonts w:ascii="Palatino Linotype" w:cs="Palatino Linotype" w:eastAsia="Palatino Linotype" w:hAnsi="Palatino Linotype"/>
          <w:rtl w:val="0"/>
        </w:rPr>
        <w:t xml:space="preserve"> relativo a la designación de los administradores de bases de datos,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debió generar oficios o documentos dirigidos a las diversas áreas que integran su estructura orgánica, lo cual es necesario para establecer y mantener las medidas de seguridad para la protección de los datos personales, y cada una de las unidades administrativas debió nombrar a un administrador de las bases de datos, lo anterior de acuerdo a la Ley de Protección de Datos Personales en Posesión de Sujetos Obligados del estado de México y Municipios, que establece lo siguiente: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470"/>
        </w:tabs>
        <w:spacing w:after="120" w:before="12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46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Para establecer y mantener las medidas de seguridad para la protección de los datos personales,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el responsable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realizará, al menos, las actividades interrelacionadas siguientes:”</w:t>
      </w:r>
    </w:p>
    <w:p w:rsidR="00000000" w:rsidDel="00000000" w:rsidP="00000000" w:rsidRDefault="00000000" w:rsidRPr="00000000" w14:paraId="000000F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al artículo 4 fracción XLI de la Ley en cita, el responsable, es el propio Sujeto Obligado, que en este caso es la Secretaría de Desarrollo Económico, sin embargo, las dependencias gubernamentales no operan sin funcionarios públicos, en ese sentido se entiende que en quien recaen las funciones previstas en artículo 46 de la Ley en comento, es en el Titular de la Secretaría citada, las cuales son las siguientes:</w:t>
      </w:r>
    </w:p>
    <w:p w:rsidR="00000000" w:rsidDel="00000000" w:rsidP="00000000" w:rsidRDefault="00000000" w:rsidRPr="00000000" w14:paraId="000000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276"/>
          <w:tab w:val="left" w:leader="none" w:pos="7470"/>
        </w:tabs>
        <w:spacing w:after="120" w:before="120" w:line="240" w:lineRule="auto"/>
        <w:ind w:left="851" w:right="851" w:firstLine="0"/>
        <w:jc w:val="both"/>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Crear políticas internas para la gestión y tratamiento de los datos personales, que tomen en cuenta el contexto en el que ocurren los tratamientos y el ciclo de vida de los datos personales, es decir, su obtención, uso y posterior supresión.</w:t>
      </w:r>
    </w:p>
    <w:p w:rsidR="00000000" w:rsidDel="00000000" w:rsidP="00000000" w:rsidRDefault="00000000" w:rsidRPr="00000000" w14:paraId="000000F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276"/>
          <w:tab w:val="left" w:leader="none" w:pos="7470"/>
        </w:tabs>
        <w:spacing w:after="120" w:before="120" w:line="240" w:lineRule="auto"/>
        <w:ind w:left="851" w:right="851" w:firstLine="0"/>
        <w:jc w:val="both"/>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Definir las funciones y obligaciones del personal involucrado en el tratamiento de datos personales.</w:t>
      </w:r>
    </w:p>
    <w:p w:rsidR="00000000" w:rsidDel="00000000" w:rsidP="00000000" w:rsidRDefault="00000000" w:rsidRPr="00000000" w14:paraId="000001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276"/>
          <w:tab w:val="left" w:leader="none" w:pos="7470"/>
        </w:tabs>
        <w:spacing w:after="120" w:before="120" w:line="240" w:lineRule="auto"/>
        <w:ind w:left="851" w:right="851" w:firstLine="0"/>
        <w:jc w:val="both"/>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Elaborar un inventario de datos personales y de las bases y o sistemas de tratamiento.</w:t>
      </w:r>
    </w:p>
    <w:p w:rsidR="00000000" w:rsidDel="00000000" w:rsidP="00000000" w:rsidRDefault="00000000" w:rsidRPr="00000000" w14:paraId="000001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276"/>
          <w:tab w:val="left" w:leader="none" w:pos="7470"/>
        </w:tabs>
        <w:spacing w:after="120" w:before="120" w:line="240" w:lineRule="auto"/>
        <w:ind w:left="851" w:right="851" w:firstLine="0"/>
        <w:jc w:val="both"/>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w:t>
      </w:r>
    </w:p>
    <w:p w:rsidR="00000000" w:rsidDel="00000000" w:rsidP="00000000" w:rsidRDefault="00000000" w:rsidRPr="00000000" w14:paraId="000001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276"/>
          <w:tab w:val="left" w:leader="none" w:pos="7470"/>
        </w:tabs>
        <w:spacing w:after="120" w:before="120" w:line="240" w:lineRule="auto"/>
        <w:ind w:left="851" w:right="851" w:firstLine="0"/>
        <w:jc w:val="both"/>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Realizar un análisis de brecha, comparando las medidas de seguridad existentes contra las faltantes en la organización del responsable.</w:t>
      </w:r>
    </w:p>
    <w:p w:rsidR="00000000" w:rsidDel="00000000" w:rsidP="00000000" w:rsidRDefault="00000000" w:rsidRPr="00000000" w14:paraId="000001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276"/>
          <w:tab w:val="left" w:leader="none" w:pos="7470"/>
        </w:tabs>
        <w:spacing w:after="120" w:before="120" w:line="240" w:lineRule="auto"/>
        <w:ind w:left="851" w:right="851" w:firstLine="0"/>
        <w:jc w:val="both"/>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Elaborar un plan de trabajo para la implementación de las medidas de seguridad faltantes, así como las medidas para el cumplimiento cotidiano de las políticas de gestión y tratamiento de los datos personales.</w:t>
      </w:r>
    </w:p>
    <w:p w:rsidR="00000000" w:rsidDel="00000000" w:rsidP="00000000" w:rsidRDefault="00000000" w:rsidRPr="00000000" w14:paraId="000001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276"/>
          <w:tab w:val="left" w:leader="none" w:pos="7470"/>
        </w:tabs>
        <w:spacing w:after="120" w:before="120" w:line="240" w:lineRule="auto"/>
        <w:ind w:left="851" w:right="851" w:firstLine="0"/>
        <w:jc w:val="both"/>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Monitorear y revisar de manera periódica las medidas de seguridad implementadas, así como las amenazas y vulnerabilidades a las que están sujetos los datos personales.</w:t>
      </w:r>
    </w:p>
    <w:p w:rsidR="00000000" w:rsidDel="00000000" w:rsidP="00000000" w:rsidRDefault="00000000" w:rsidRPr="00000000" w14:paraId="000001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276"/>
          <w:tab w:val="left" w:leader="none" w:pos="7470"/>
        </w:tabs>
        <w:spacing w:after="120" w:before="120" w:line="240" w:lineRule="auto"/>
        <w:ind w:left="851" w:right="851" w:firstLine="0"/>
        <w:jc w:val="both"/>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Diseñar y aplicar diferentes niveles de capacitación del personal bajo su mando, dependiendo de sus roles y responsabilidades respecto del tratamiento de los datos personales.</w:t>
      </w:r>
    </w:p>
    <w:p w:rsidR="00000000" w:rsidDel="00000000" w:rsidP="00000000" w:rsidRDefault="00000000" w:rsidRPr="00000000" w14:paraId="000001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artículo 4 de la Ley en cita, en su fracción I, establece que el </w:t>
      </w:r>
      <w:r w:rsidDel="00000000" w:rsidR="00000000" w:rsidRPr="00000000">
        <w:rPr>
          <w:rFonts w:ascii="Palatino Linotype" w:cs="Palatino Linotype" w:eastAsia="Palatino Linotype" w:hAnsi="Palatino Linotype"/>
          <w:b w:val="1"/>
          <w:u w:val="single"/>
          <w:rtl w:val="0"/>
        </w:rPr>
        <w:t xml:space="preserve">Administrador</w:t>
      </w:r>
      <w:r w:rsidDel="00000000" w:rsidR="00000000" w:rsidRPr="00000000">
        <w:rPr>
          <w:rFonts w:ascii="Palatino Linotype" w:cs="Palatino Linotype" w:eastAsia="Palatino Linotype" w:hAnsi="Palatino Linotype"/>
          <w:rtl w:val="0"/>
        </w:rPr>
        <w:t xml:space="preserve"> es la servidora o el servidor público o persona física facultada y </w:t>
      </w:r>
      <w:r w:rsidDel="00000000" w:rsidR="00000000" w:rsidRPr="00000000">
        <w:rPr>
          <w:rFonts w:ascii="Palatino Linotype" w:cs="Palatino Linotype" w:eastAsia="Palatino Linotype" w:hAnsi="Palatino Linotype"/>
          <w:b w:val="1"/>
          <w:u w:val="single"/>
          <w:rtl w:val="0"/>
        </w:rPr>
        <w:t xml:space="preserve">nombrada</w:t>
      </w:r>
      <w:r w:rsidDel="00000000" w:rsidR="00000000" w:rsidRPr="00000000">
        <w:rPr>
          <w:rFonts w:ascii="Palatino Linotype" w:cs="Palatino Linotype" w:eastAsia="Palatino Linotype" w:hAnsi="Palatino Linotype"/>
          <w:rtl w:val="0"/>
        </w:rPr>
        <w:t xml:space="preserve"> por el </w:t>
      </w:r>
      <w:r w:rsidDel="00000000" w:rsidR="00000000" w:rsidRPr="00000000">
        <w:rPr>
          <w:rFonts w:ascii="Palatino Linotype" w:cs="Palatino Linotype" w:eastAsia="Palatino Linotype" w:hAnsi="Palatino Linotype"/>
          <w:b w:val="1"/>
          <w:u w:val="single"/>
          <w:rtl w:val="0"/>
        </w:rPr>
        <w:t xml:space="preserve">Responsable</w:t>
      </w:r>
      <w:r w:rsidDel="00000000" w:rsidR="00000000" w:rsidRPr="00000000">
        <w:rPr>
          <w:rFonts w:ascii="Palatino Linotype" w:cs="Palatino Linotype" w:eastAsia="Palatino Linotype" w:hAnsi="Palatino Linotype"/>
          <w:rtl w:val="0"/>
        </w:rPr>
        <w:t xml:space="preserve"> para llevar a cabo </w:t>
      </w:r>
      <w:r w:rsidDel="00000000" w:rsidR="00000000" w:rsidRPr="00000000">
        <w:rPr>
          <w:rFonts w:ascii="Palatino Linotype" w:cs="Palatino Linotype" w:eastAsia="Palatino Linotype" w:hAnsi="Palatino Linotype"/>
          <w:b w:val="1"/>
          <w:rtl w:val="0"/>
        </w:rPr>
        <w:t xml:space="preserve">tratamiento de datos personales</w:t>
      </w:r>
      <w:r w:rsidDel="00000000" w:rsidR="00000000" w:rsidRPr="00000000">
        <w:rPr>
          <w:rFonts w:ascii="Palatino Linotype" w:cs="Palatino Linotype" w:eastAsia="Palatino Linotype" w:hAnsi="Palatino Linotype"/>
          <w:rtl w:val="0"/>
        </w:rPr>
        <w:t xml:space="preserve"> y que tiene bajo su responsabilidad los sistemas y bases de datos personales.</w:t>
      </w:r>
    </w:p>
    <w:p w:rsidR="00000000" w:rsidDel="00000000" w:rsidP="00000000" w:rsidRDefault="00000000" w:rsidRPr="00000000" w14:paraId="000001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podemos considerar que los administradores en las diversas unidades administrativas de la Secretaría de Justicia  y Derechos Humanos, se hayan autonombrado administradores, para manejar la base de datos, pues dicha facultad le corresponde al Responsable, (el titular de la Secretaría), se puede considerar que los nombramientos hayan sido de forma verbal (en económico), pero dicha circunstancia no se refiere ni en la respuesta ni en el informe justificado, no obstante de ello, no consta que se haya hecho una búsqueda de dichos nombramientos, pues tanto en la respuesta como en el informe justificado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omiso en emitir pronunciamiento alguno.</w:t>
      </w:r>
    </w:p>
    <w:p w:rsidR="00000000" w:rsidDel="00000000" w:rsidP="00000000" w:rsidRDefault="00000000" w:rsidRPr="00000000" w14:paraId="000001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una búsqueda exhaustiva y razonable de los oficios o documentos girados o recibidos para la designación de los administradores de las bases de datos, en caso de no contar con ellos deberá informarlo así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términos de lo dispuesto por el artículo 19, párrafo segundo de la Ley de Transparencia y Acceso a la Información Pública del Estado de México y Municipios, a saber:</w:t>
      </w:r>
    </w:p>
    <w:p w:rsidR="00000000" w:rsidDel="00000000" w:rsidP="00000000" w:rsidRDefault="00000000" w:rsidRPr="00000000" w14:paraId="0000010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w:t>
      </w:r>
    </w:p>
    <w:p w:rsidR="00000000" w:rsidDel="00000000" w:rsidP="00000000" w:rsidRDefault="00000000" w:rsidRPr="00000000" w14:paraId="0000010B">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Siendo improcedente, en tal supuesto, la entrega de documento alguno, o en su caso, el Acuerdo de Inexistencia, toda vez que el pronunciamiento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declararía en automática la inexistencia de la información solicitada de modo que no existe obligación de justificar o allegar pruebas, y por ende no tiene aplicación lo estatuido en el artículo 49, fracción XIII</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0C">
      <w:pPr>
        <w:spacing w:after="240" w:before="240" w:line="360" w:lineRule="auto"/>
        <w:jc w:val="both"/>
        <w:rPr>
          <w:rFonts w:ascii="Palatino Linotype" w:cs="Palatino Linotype" w:eastAsia="Palatino Linotype" w:hAnsi="Palatino Linotype"/>
        </w:rPr>
      </w:pPr>
      <w:bookmarkStart w:colFirst="0" w:colLast="0" w:name="_heading=h.lnxbz9" w:id="9"/>
      <w:bookmarkEnd w:id="9"/>
      <w:r w:rsidDel="00000000" w:rsidR="00000000" w:rsidRPr="00000000">
        <w:rPr>
          <w:rFonts w:ascii="Palatino Linotype" w:cs="Palatino Linotype" w:eastAsia="Palatino Linotype" w:hAnsi="Palatino Linotype"/>
          <w:rtl w:val="0"/>
        </w:rPr>
        <w:t xml:space="preserve">Por lo que hace al </w:t>
      </w:r>
      <w:r w:rsidDel="00000000" w:rsidR="00000000" w:rsidRPr="00000000">
        <w:rPr>
          <w:rFonts w:ascii="Palatino Linotype" w:cs="Palatino Linotype" w:eastAsia="Palatino Linotype" w:hAnsi="Palatino Linotype"/>
          <w:b w:val="1"/>
          <w:rtl w:val="0"/>
        </w:rPr>
        <w:t xml:space="preserve">inciso b.</w:t>
      </w:r>
      <w:r w:rsidDel="00000000" w:rsidR="00000000" w:rsidRPr="00000000">
        <w:rPr>
          <w:rFonts w:ascii="Palatino Linotype" w:cs="Palatino Linotype" w:eastAsia="Palatino Linotype" w:hAnsi="Palatino Linotype"/>
          <w:rtl w:val="0"/>
        </w:rPr>
        <w:t xml:space="preserve"> referente a la actualización de avisos de privacidad,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solicitó los avisos de privacidad, sino los oficios o documentos girados y recibidos en los que se interrelacionan las dependencias de la Secretaría para actualizar sus Avisos de Privacidad, y si bien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oficios  relacionado con una capacitación en materia de protección de datos personales, en la cual se abordaron temas relacionados con los avisos de privacidad, así como el requerimiento a la Comisionada de Búsqueda de Personas respecto de los avisos de privacidad de las bases de datos que obran en dicha Comisión, no hubo pronunciamiento respecto a si dichos oficios eran los únicos documentos localizados que se relacionan con el punto en análisis, ni tampoco acreditó que hubiera realizado la búsqueda exhaustiva y razonable del soporte documental correspondiente, como los es los oficios y/o documentos recibidos.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p w:rsidR="00000000" w:rsidDel="00000000" w:rsidP="00000000" w:rsidRDefault="00000000" w:rsidRPr="00000000" w14:paraId="0000010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es importante mencionar que no existe norma que obligue a generar oficios para reunirse para actualizar la base de datos, pero tampoco se acredita la búsqueda razonable y exhaustiva, por lo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deberá efectuar dicha búsqueda respecto de los oficios o documentos girados o recibidos para la Actualización de Avisos de Privacidad, y, en caso de no contar con ellos deberá informarlo así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términos del artículo 19, párrafo segundo de Ley de Transparencia Local, citado con antelación.</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Tocante a los incisos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 d. 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relativos a la supervisión a las bases de datos documentales o electrónicas para establecer medidas de seguridad, establecer bitácora de violaciones a la seguridad de las bases de datos documentales o electrónicas, establecer el Plan de contingencia con las Unidades Administrativas, y el inventario de las bases de datos, la persona solicitante requirió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los oficios girados y recibidos</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para fijar una supervisión a las bases de datos de las unidades administrativas de la Secretaría, los oficios girados y recibidos para la interacción de las dependencias de la Secretaría para crear o generar las bitácoras, el plan de contingencia, y el inventario de las bases de datos, sin embargo,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fue omiso en emitir pronunciamiento alguno, asimismo, no consta la búsqueda razonable y exhaustiva de dichos oficios o documentos.</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tal sentido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deberá hacer una búsqueda exhaustiva y razonable de los oficios o documentos girados o recibidos para la supervisión a las bases de datos documentales o electrónicas para establecer medidas de seguridad; para establecer la bitácora de violaciones a la seguridad de las bases de datos documentales o electrónicas; y, para establecer el Plan de Contingencia con las Unidades Administrativas de la Secretaría, y, en caso de no contar con ellos deberá informarlo así a 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términos del artículo 19, párrafo segundo de Ley de Transparencia Local.</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que hace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inciso 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actualización de bases de datos, se reitera que la persona solicitante no requirió las bases de datos, sino los oficios o documentos girados y recibidos para actualizar las bases de datos de las unidades administrativas de las dependencias de la Secretaría, y, en atención al mismo,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remitió oficios relacionados con una capacitación en la que se abordaría como tema las bases de datos personales, así como el requerimiento a la Comisionada de Búsqueda de Personas a efecto de que girara instrucciones a quien correspondiera con la finalidad de que se realizara la búsqueda minuciosa y exhaustiva de todas y cada una de las bases de datos que obran en dicha Comisión, sin embargo, no hubo pronunciamiento respecto a si dichos oficios eran los únicos documentos localizados que se relacionan con el punto en análisis, ni tampoco acreditó que hubiera realizado la búsqueda exhaustiva y razonable del soporte documental correspondiente , como los es los oficios y/o documentos recibidos, pudiendo ser el caso de que nunca se hayan actualizado las bases de datos y por ende no se hayan girado oficios, o que las unidades administrativas las tengan siempre actualizadas sin necesidad que les recuerden, pero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tampoco lo refiere.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tal sentido, se estima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deberá hacer una búsqueda exhaustiva y razonable de los oficios o documentos girados o recibidos para la actualización de bases de datos de las Unidades Administrativas de la Secretaría, y, en caso de no contar con ellos, al no haberse generado, deberá informarlo a la parte Recurrente, en términos del artículo 19, párrafo segundo de la Ley de Transparencia Local.</w:t>
      </w:r>
    </w:p>
    <w:p w:rsidR="00000000" w:rsidDel="00000000" w:rsidP="00000000" w:rsidRDefault="00000000" w:rsidRPr="00000000" w14:paraId="0000011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mismo ocurre respecto del </w:t>
      </w:r>
      <w:r w:rsidDel="00000000" w:rsidR="00000000" w:rsidRPr="00000000">
        <w:rPr>
          <w:rFonts w:ascii="Palatino Linotype" w:cs="Palatino Linotype" w:eastAsia="Palatino Linotype" w:hAnsi="Palatino Linotype"/>
          <w:b w:val="1"/>
          <w:rtl w:val="0"/>
        </w:rPr>
        <w:t xml:space="preserve">inciso h</w:t>
      </w:r>
      <w:r w:rsidDel="00000000" w:rsidR="00000000" w:rsidRPr="00000000">
        <w:rPr>
          <w:rFonts w:ascii="Palatino Linotype" w:cs="Palatino Linotype" w:eastAsia="Palatino Linotype" w:hAnsi="Palatino Linotype"/>
          <w:rtl w:val="0"/>
        </w:rPr>
        <w:t xml:space="preserve">, relativo a los documentos de gestión de seguridad y documentos de seguridad de la dependencia, reiterando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solicitó los oficios o documentos que previamente generó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poder crear el documento de seguridad, ya que, en atención al mismo, se remitieron oficios relacionados con una capacitación en la que se abordaría como tema la protección de datos personales, así como el requerimiento a la Comisionada de Búsqueda de Personas a efecto de que girara instrucciones al administrador de la base de datos personales que designó el Subdirector de Sistematización de la Información, con la finalidad de que remitiera a la Unidad de Transparencia el documento de seguridad de las bases de datos personales de la Comisión a su cargo, y el requerimiento a los servidores públicos habilitados de la Secretaria de Justicia y Derechos Humanos a efecto de que enviaran a la Unidad de Transparencia el documento de seguridad, sin que se pronunciará sobre sí, dichos oficios eran los únicos documentos localizados que se relacionan con el punto en análisis, ni tampoco acreditó que hubiera realizado la búsqueda exhaustiva y razonable del soporte documental correspondiente, como los es los oficios y/o documentos recibidos, en consecuencia,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deberá efectuar la búsqueda respecto de los oficios o documentos girados o recibidos y que se relacionen con los documentos de gestión de seguridad y documentos de seguridad de la dependencia, y, en caso de no contar con ellos deberá informarlo así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términos del artículo 19, párrafo segundo de Ley de Transparencia Local, previamente citado.</w:t>
      </w:r>
    </w:p>
    <w:p w:rsidR="00000000" w:rsidDel="00000000" w:rsidP="00000000" w:rsidRDefault="00000000" w:rsidRPr="00000000" w14:paraId="0000011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parcialmente fundados, siendo procedente </w:t>
      </w:r>
      <w:r w:rsidDel="00000000" w:rsidR="00000000" w:rsidRPr="00000000">
        <w:rPr>
          <w:rFonts w:ascii="Palatino Linotype" w:cs="Palatino Linotype" w:eastAsia="Palatino Linotype" w:hAnsi="Palatino Linotype"/>
          <w:i w:val="1"/>
          <w:rtl w:val="0"/>
        </w:rPr>
        <w:t xml:space="preserve">Modificar</w:t>
      </w:r>
      <w:r w:rsidDel="00000000" w:rsidR="00000000" w:rsidRPr="00000000">
        <w:rPr>
          <w:rFonts w:ascii="Palatino Linotype" w:cs="Palatino Linotype" w:eastAsia="Palatino Linotype" w:hAnsi="Palatino Linotype"/>
          <w:rtl w:val="0"/>
        </w:rPr>
        <w:t xml:space="preserve"> 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11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por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000000" w:rsidDel="00000000" w:rsidP="00000000" w:rsidRDefault="00000000" w:rsidRPr="00000000" w14:paraId="000001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11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1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1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1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1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1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1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1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2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2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2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2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2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2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2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2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sexto, Quincuagésimo séptimo y Quincuagésimo octavo, establecen lo siguiente:</w:t>
      </w:r>
    </w:p>
    <w:p w:rsidR="00000000" w:rsidDel="00000000" w:rsidP="00000000" w:rsidRDefault="00000000" w:rsidRPr="00000000" w14:paraId="0000012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00000" w:rsidDel="00000000" w:rsidP="00000000" w:rsidRDefault="00000000" w:rsidRPr="00000000" w14:paraId="0000012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2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2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servidores públicos en los documentos, y sus firmas autógrafas, cuando sean utilizados en el ejercicio de las facultades conferidas para el desempeño del servicio público, y </w:t>
      </w:r>
    </w:p>
    <w:p w:rsidR="00000000" w:rsidDel="00000000" w:rsidP="00000000" w:rsidRDefault="00000000" w:rsidRPr="00000000" w14:paraId="0000012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000000" w:rsidDel="00000000" w:rsidP="00000000" w:rsidRDefault="00000000" w:rsidRPr="00000000" w14:paraId="0000013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internaciones suscritos por el Estado mexicano. </w:t>
      </w:r>
    </w:p>
    <w:p w:rsidR="00000000" w:rsidDel="00000000" w:rsidP="00000000" w:rsidRDefault="00000000" w:rsidRPr="00000000" w14:paraId="0000013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no permitan la recuperación o visualización de la misma.”</w:t>
      </w:r>
    </w:p>
    <w:p w:rsidR="00000000" w:rsidDel="00000000" w:rsidP="00000000" w:rsidRDefault="00000000" w:rsidRPr="00000000" w14:paraId="000001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directa con ello, los Lineamientos en estudio establecen los formatos para la clasificación parcial y total de los documentos, que atienden a lo siguiente:</w:t>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993"/>
        <w:gridCol w:w="3421"/>
        <w:gridCol w:w="968"/>
        <w:gridCol w:w="3446"/>
        <w:tblGridChange w:id="0">
          <w:tblGrid>
            <w:gridCol w:w="993"/>
            <w:gridCol w:w="3421"/>
            <w:gridCol w:w="968"/>
            <w:gridCol w:w="3446"/>
          </w:tblGrid>
        </w:tblGridChange>
      </w:tblGrid>
      <w:tr>
        <w:trPr>
          <w:cantSplit w:val="0"/>
          <w:tblHeader w:val="0"/>
        </w:trPr>
        <w:tc>
          <w:tcPr>
            <w:gridSpan w:val="2"/>
            <w:tcBorders>
              <w:top w:color="000000" w:space="0" w:sz="0" w:val="nil"/>
              <w:left w:color="000000" w:space="0" w:sz="0" w:val="nil"/>
              <w:right w:color="000000" w:space="0" w:sz="0" w:val="nil"/>
            </w:tcBorders>
          </w:tcPr>
          <w:p w:rsidR="00000000" w:rsidDel="00000000" w:rsidP="00000000" w:rsidRDefault="00000000" w:rsidRPr="00000000" w14:paraId="00000134">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Parcial</w:t>
            </w:r>
          </w:p>
        </w:tc>
        <w:tc>
          <w:tcPr>
            <w:gridSpan w:val="2"/>
            <w:tcBorders>
              <w:top w:color="000000" w:space="0" w:sz="0" w:val="nil"/>
              <w:left w:color="000000" w:space="0" w:sz="0" w:val="nil"/>
              <w:right w:color="000000" w:space="0" w:sz="0" w:val="nil"/>
            </w:tcBorders>
          </w:tcPr>
          <w:p w:rsidR="00000000" w:rsidDel="00000000" w:rsidP="00000000" w:rsidRDefault="00000000" w:rsidRPr="00000000" w14:paraId="00000136">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Total</w:t>
            </w:r>
          </w:p>
        </w:tc>
      </w:tr>
      <w:tr>
        <w:trPr>
          <w:cantSplit w:val="0"/>
          <w:tblHeader w:val="0"/>
        </w:trPr>
        <w:tc>
          <w:tcPr/>
          <w:p w:rsidR="00000000" w:rsidDel="00000000" w:rsidP="00000000" w:rsidRDefault="00000000" w:rsidRPr="00000000" w14:paraId="00000138">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Concepto</w:t>
            </w:r>
          </w:p>
        </w:tc>
        <w:tc>
          <w:tcPr/>
          <w:p w:rsidR="00000000" w:rsidDel="00000000" w:rsidP="00000000" w:rsidRDefault="00000000" w:rsidRPr="00000000" w14:paraId="00000139">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13A">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13B">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13C">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Sello oficial o logotipo del sujeto obligado</w:t>
            </w:r>
          </w:p>
        </w:tc>
      </w:tr>
      <w:tr>
        <w:trPr>
          <w:cantSplit w:val="0"/>
          <w:tblHeader w:val="0"/>
        </w:trPr>
        <w:tc>
          <w:tcPr/>
          <w:p w:rsidR="00000000" w:rsidDel="00000000" w:rsidP="00000000" w:rsidRDefault="00000000" w:rsidRPr="00000000" w14:paraId="0000014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clasificación</w:t>
            </w:r>
          </w:p>
        </w:tc>
        <w:tc>
          <w:tcPr/>
          <w:p w:rsidR="00000000" w:rsidDel="00000000" w:rsidP="00000000" w:rsidRDefault="00000000" w:rsidRPr="00000000" w14:paraId="0000014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14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14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14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Área</w:t>
            </w:r>
          </w:p>
        </w:tc>
        <w:tc>
          <w:tcPr/>
          <w:p w:rsidR="00000000" w:rsidDel="00000000" w:rsidP="00000000" w:rsidRDefault="00000000" w:rsidRPr="00000000" w14:paraId="0000014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14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14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14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Información reservada</w:t>
            </w:r>
          </w:p>
        </w:tc>
        <w:tc>
          <w:tcPr/>
          <w:p w:rsidR="00000000" w:rsidDel="00000000" w:rsidP="00000000" w:rsidRDefault="00000000" w:rsidRPr="00000000" w14:paraId="0000014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14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14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14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4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14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14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15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Ampliación del periodo de reserva</w:t>
            </w:r>
          </w:p>
        </w:tc>
        <w:tc>
          <w:tcPr/>
          <w:p w:rsidR="00000000" w:rsidDel="00000000" w:rsidP="00000000" w:rsidRDefault="00000000" w:rsidRPr="00000000" w14:paraId="0000015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15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5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15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Confidencial</w:t>
            </w:r>
          </w:p>
        </w:tc>
        <w:tc>
          <w:tcPr/>
          <w:p w:rsidR="00000000" w:rsidDel="00000000" w:rsidP="00000000" w:rsidRDefault="00000000" w:rsidRPr="00000000" w14:paraId="0000015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15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15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15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5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15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15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15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del titular del área</w:t>
            </w:r>
          </w:p>
        </w:tc>
        <w:tc>
          <w:tcPr/>
          <w:p w:rsidR="00000000" w:rsidDel="00000000" w:rsidP="00000000" w:rsidRDefault="00000000" w:rsidRPr="00000000" w14:paraId="0000015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15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5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16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desclasificación</w:t>
            </w:r>
          </w:p>
        </w:tc>
        <w:tc>
          <w:tcPr/>
          <w:p w:rsidR="00000000" w:rsidDel="00000000" w:rsidP="00000000" w:rsidRDefault="00000000" w:rsidRPr="00000000" w14:paraId="0000016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16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16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16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y cargo del servidor público</w:t>
            </w:r>
          </w:p>
        </w:tc>
        <w:tc>
          <w:tcPr/>
          <w:p w:rsidR="00000000" w:rsidDel="00000000" w:rsidP="00000000" w:rsidRDefault="00000000" w:rsidRPr="00000000" w14:paraId="0000016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16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16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168">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69">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6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16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subsistanpartes o secciones del mismo reservadas o confidenciales, se señalará este hecho.</w:t>
            </w:r>
          </w:p>
        </w:tc>
      </w:tr>
      <w:tr>
        <w:trPr>
          <w:cantSplit w:val="0"/>
          <w:tblHeader w:val="0"/>
        </w:trPr>
        <w:tc>
          <w:tcPr/>
          <w:p w:rsidR="00000000" w:rsidDel="00000000" w:rsidP="00000000" w:rsidRDefault="00000000" w:rsidRPr="00000000" w14:paraId="0000016C">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6D">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6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16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17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73">
      <w:pPr>
        <w:spacing w:after="240" w:before="240" w:line="360" w:lineRule="auto"/>
        <w:jc w:val="both"/>
        <w:rPr>
          <w:rFonts w:ascii="Palatino Linotype" w:cs="Palatino Linotype" w:eastAsia="Palatino Linotype" w:hAnsi="Palatino Linotype"/>
          <w:b w:val="1"/>
        </w:rPr>
      </w:pPr>
      <w:bookmarkStart w:colFirst="0" w:colLast="0" w:name="_heading=h.1fob9te" w:id="10"/>
      <w:bookmarkEnd w:id="10"/>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parcialmente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13044/INFOEM/IP/RR/2022,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Modifica </w:t>
      </w:r>
      <w:r w:rsidDel="00000000" w:rsidR="00000000" w:rsidRPr="00000000">
        <w:rPr>
          <w:rFonts w:ascii="Palatino Linotype" w:cs="Palatino Linotype" w:eastAsia="Palatino Linotype" w:hAnsi="Palatino Linotype"/>
          <w:rtl w:val="0"/>
        </w:rPr>
        <w:t xml:space="preserve">la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174">
      <w:pPr>
        <w:spacing w:after="240" w:before="240" w:line="360" w:lineRule="auto"/>
        <w:jc w:val="both"/>
        <w:rPr>
          <w:rFonts w:ascii="Palatino Linotype" w:cs="Palatino Linotype" w:eastAsia="Palatino Linotype" w:hAnsi="Palatino Linotype"/>
        </w:rPr>
      </w:pPr>
      <w:bookmarkStart w:colFirst="0" w:colLast="0" w:name="_heading=h.4d34og8" w:id="11"/>
      <w:bookmarkEnd w:id="11"/>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 previa búsqueda exhaustiva y razonable, haga entrega, vía SAIMEX, en versión pública de lo siguiente:</w:t>
      </w:r>
    </w:p>
    <w:p w:rsidR="00000000" w:rsidDel="00000000" w:rsidP="00000000" w:rsidRDefault="00000000" w:rsidRPr="00000000" w14:paraId="00000175">
      <w:pPr>
        <w:spacing w:after="240" w:before="240" w:line="360" w:lineRule="auto"/>
        <w:ind w:left="426"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Oficios y/o documentos generados y/o recibidos por la Unidad de Transparencia del uno de enero de dos mil diecinueve al veintiuno de junio de dos mil veintidós, faltantes, para llevar a cabo lo siguiente:</w:t>
      </w:r>
    </w:p>
    <w:p w:rsidR="00000000" w:rsidDel="00000000" w:rsidP="00000000" w:rsidRDefault="00000000" w:rsidRPr="00000000" w14:paraId="0000017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1276"/>
        </w:tabs>
        <w:spacing w:after="0" w:before="0" w:line="360" w:lineRule="auto"/>
        <w:ind w:left="851"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designación de los administradores de bases de datos. </w:t>
      </w:r>
    </w:p>
    <w:p w:rsidR="00000000" w:rsidDel="00000000" w:rsidP="00000000" w:rsidRDefault="00000000" w:rsidRPr="00000000" w14:paraId="0000017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1276"/>
        </w:tabs>
        <w:spacing w:after="0" w:before="0" w:line="360" w:lineRule="auto"/>
        <w:ind w:left="851"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actualización de avisos de privacidad. </w:t>
      </w:r>
    </w:p>
    <w:p w:rsidR="00000000" w:rsidDel="00000000" w:rsidP="00000000" w:rsidRDefault="00000000" w:rsidRPr="00000000" w14:paraId="0000017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1276"/>
        </w:tabs>
        <w:spacing w:after="0" w:before="0" w:line="360" w:lineRule="auto"/>
        <w:ind w:left="851"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supervisión a las bases de datos documentales o electrónicas para establecer medidas de seguridad. </w:t>
      </w:r>
    </w:p>
    <w:p w:rsidR="00000000" w:rsidDel="00000000" w:rsidP="00000000" w:rsidRDefault="00000000" w:rsidRPr="00000000" w14:paraId="0000017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1276"/>
        </w:tabs>
        <w:spacing w:after="0" w:before="0" w:line="360" w:lineRule="auto"/>
        <w:ind w:left="851"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Establecer la bitácora de violaciones a la seguridad de las bases de datos documentales o electrónicas.</w:t>
      </w:r>
    </w:p>
    <w:p w:rsidR="00000000" w:rsidDel="00000000" w:rsidP="00000000" w:rsidRDefault="00000000" w:rsidRPr="00000000" w14:paraId="0000017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1276"/>
        </w:tabs>
        <w:spacing w:after="0" w:before="0" w:line="360" w:lineRule="auto"/>
        <w:ind w:left="851"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Establecer el plan de contingencia con las unidades administrativas.</w:t>
      </w:r>
    </w:p>
    <w:p w:rsidR="00000000" w:rsidDel="00000000" w:rsidP="00000000" w:rsidRDefault="00000000" w:rsidRPr="00000000" w14:paraId="0000017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1276"/>
        </w:tabs>
        <w:spacing w:after="0" w:before="0" w:line="360" w:lineRule="auto"/>
        <w:ind w:left="851"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actualización de bases de datos.</w:t>
      </w:r>
    </w:p>
    <w:p w:rsidR="00000000" w:rsidDel="00000000" w:rsidP="00000000" w:rsidRDefault="00000000" w:rsidRPr="00000000" w14:paraId="0000017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1276"/>
        </w:tabs>
        <w:spacing w:after="0" w:before="0" w:line="360" w:lineRule="auto"/>
        <w:ind w:left="851"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inventario de las bases de datos.</w:t>
      </w:r>
    </w:p>
    <w:p w:rsidR="00000000" w:rsidDel="00000000" w:rsidP="00000000" w:rsidRDefault="00000000" w:rsidRPr="00000000" w14:paraId="0000017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1276"/>
        </w:tabs>
        <w:spacing w:after="0" w:before="0" w:line="360" w:lineRule="auto"/>
        <w:ind w:left="851"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Los documentos de gestión de seguridad y documentos de seguridad de la dependencia.</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28"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r w:rsidDel="00000000" w:rsidR="00000000" w:rsidRPr="00000000">
        <w:rPr>
          <w:rtl w:val="0"/>
        </w:rPr>
      </w:r>
    </w:p>
    <w:p w:rsidR="00000000" w:rsidDel="00000000" w:rsidP="00000000" w:rsidRDefault="00000000" w:rsidRPr="00000000" w14:paraId="0000017F">
      <w:pPr>
        <w:spacing w:line="360" w:lineRule="auto"/>
        <w:ind w:left="426" w:right="-28"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0">
      <w:pPr>
        <w:spacing w:line="360" w:lineRule="auto"/>
        <w:ind w:left="426" w:right="-2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El Acuerdo del Comité de Transparencia, donde confirme la clasificación de la información como confidencial del Plan de Trabajo del Sistema de Gestión de Protección de Datos Personales de la Secretaría de Justicia y Derechos Humanos, de conformidad con los artículos 49, fracciones II y VIII, 132, fracción II y 143, fracción I, de la Ley de Transparencia y Acceso a la Información Pública del Estado de México y Municipios, así como 43 de la Ley de Protección de Datos Personales en Posesión de Sujetos Obligados del Estado de México y Municipios.</w:t>
      </w:r>
    </w:p>
    <w:p w:rsidR="00000000" w:rsidDel="00000000" w:rsidP="00000000" w:rsidRDefault="00000000" w:rsidRPr="00000000" w14:paraId="00000181">
      <w:pPr>
        <w:spacing w:after="240" w:before="240" w:lineRule="auto"/>
        <w:ind w:left="426" w:right="51"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Para el caso de que en sus archivos no obre información respecto del punto 1, por no haberse generado, deberá hacerlo del conocimiento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de manera precisa y clara, en términos de lo dispuesto por el segundo párrafo del artículo 19 de la Ley de Transparencia Local. </w:t>
      </w:r>
    </w:p>
    <w:p w:rsidR="00000000" w:rsidDel="00000000" w:rsidP="00000000" w:rsidRDefault="00000000" w:rsidRPr="00000000" w14:paraId="0000018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 </w:t>
      </w:r>
      <w:r w:rsidDel="00000000" w:rsidR="00000000" w:rsidRPr="00000000">
        <w:rPr>
          <w:rFonts w:ascii="Palatino Linotype" w:cs="Palatino Linotype" w:eastAsia="Palatino Linotype" w:hAnsi="Palatino Linotype"/>
          <w:rtl w:val="0"/>
        </w:rPr>
        <w:t xml:space="preserve">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18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84">
      <w:pPr>
        <w:spacing w:line="360" w:lineRule="auto"/>
        <w:jc w:val="both"/>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 o recurso de inconformidad de acuerdo con lo establecido en los artículos 159 y 160, fracción I, de la Ley General de Transparencia y Acceso a la Información Pública.</w:t>
      </w:r>
      <w:r w:rsidDel="00000000" w:rsidR="00000000" w:rsidRPr="00000000">
        <w:rPr>
          <w:rtl w:val="0"/>
        </w:rPr>
      </w:r>
    </w:p>
    <w:p w:rsidR="00000000" w:rsidDel="00000000" w:rsidP="00000000" w:rsidRDefault="00000000" w:rsidRPr="00000000" w14:paraId="0000018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Gírese</w:t>
      </w:r>
      <w:r w:rsidDel="00000000" w:rsidR="00000000" w:rsidRPr="00000000">
        <w:rPr>
          <w:rFonts w:ascii="Palatino Linotype" w:cs="Palatino Linotype" w:eastAsia="Palatino Linotype" w:hAnsi="Palatino Linotype"/>
          <w:rtl w:val="0"/>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 en razón de su competencia, en términos de lo expuesto en 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18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QUINCE DE MARZO DE DOS MIL VEINTITRÉS, ANTE EL SECRETARIO TÉCNICO DEL PLENO ALEXIS TAPIA RAMÍREZ.</w:t>
      </w:r>
    </w:p>
    <w:p w:rsidR="00000000" w:rsidDel="00000000" w:rsidP="00000000" w:rsidRDefault="00000000" w:rsidRPr="00000000" w14:paraId="0000018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8">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2">
      <w:pPr>
        <w:spacing w:line="360" w:lineRule="auto"/>
        <w:jc w:val="both"/>
        <w:rPr>
          <w:rFonts w:ascii="Palatino Linotype" w:cs="Palatino Linotype" w:eastAsia="Palatino Linotype" w:hAnsi="Palatino Linotype"/>
        </w:rPr>
      </w:pPr>
      <w:bookmarkStart w:colFirst="0" w:colLast="0" w:name="_heading=h.3rdcrjn" w:id="12"/>
      <w:bookmarkEnd w:id="12"/>
      <w:r w:rsidDel="00000000" w:rsidR="00000000" w:rsidRPr="00000000">
        <w:rPr>
          <w:rtl w:val="0"/>
        </w:rPr>
      </w:r>
    </w:p>
    <w:p w:rsidR="00000000" w:rsidDel="00000000" w:rsidP="00000000" w:rsidRDefault="00000000" w:rsidRPr="00000000" w14:paraId="0000019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5">
      <w:pPr>
        <w:spacing w:line="360" w:lineRule="auto"/>
        <w:jc w:val="both"/>
        <w:rPr>
          <w:rFonts w:ascii="Palatino Linotype" w:cs="Palatino Linotype" w:eastAsia="Palatino Linotype" w:hAnsi="Palatino Linotype"/>
        </w:rPr>
      </w:pPr>
      <w:bookmarkStart w:colFirst="0" w:colLast="0" w:name="_heading=h.1t3h5sf" w:id="13"/>
      <w:bookmarkEnd w:id="13"/>
      <w:r w:rsidDel="00000000" w:rsidR="00000000" w:rsidRPr="00000000">
        <w:rPr>
          <w:rtl w:val="0"/>
        </w:rPr>
      </w:r>
    </w:p>
    <w:p w:rsidR="00000000" w:rsidDel="00000000" w:rsidP="00000000" w:rsidRDefault="00000000" w:rsidRPr="00000000" w14:paraId="0000019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0">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C">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E">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A1">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1A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hyperlink r:id="rId1">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https://home.inai.org.mx/wp-content/documentos/DocumentosSectorPublico/_GuiaPrincipiosDeberes.pdf</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 w:id="3">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Ley de Transparencia y Acceso a la Información</w:t>
      </w:r>
      <w:r w:rsidDel="00000000" w:rsidR="00000000" w:rsidRPr="00000000">
        <w:rPr>
          <w:rFonts w:ascii="Palatino Linotype" w:cs="Palatino Linotype" w:eastAsia="Palatino Linotype" w:hAnsi="Palatino Linotype"/>
          <w:b w:val="0"/>
          <w:i w:val="0"/>
          <w:smallCaps w:val="0"/>
          <w:strike w:val="0"/>
          <w:color w:val="c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Pública</w:t>
      </w:r>
      <w:r w:rsidDel="00000000" w:rsidR="00000000" w:rsidRPr="00000000">
        <w:rPr>
          <w:rFonts w:ascii="Palatino Linotype" w:cs="Palatino Linotype" w:eastAsia="Palatino Linotype" w:hAnsi="Palatino Linotype"/>
          <w:b w:val="0"/>
          <w:i w:val="0"/>
          <w:smallCaps w:val="0"/>
          <w:strike w:val="0"/>
          <w:color w:val="c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del Estado de México y Municipios.</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“Artículo 131.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“Artículo 149. El acuerdo que clasifique la información como confidencial deberá contener un razonamiento lógico en el que demuestre que la información se encuentra en alguna o algunas de las hipótesis previstas en la presente Ley.”</w:t>
      </w:r>
    </w:p>
  </w:footnote>
  <w:footnote w:id="4">
    <w:p w:rsidR="00000000" w:rsidDel="00000000" w:rsidP="00000000" w:rsidRDefault="00000000" w:rsidRPr="00000000" w14:paraId="000001A7">
      <w:pP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49. Los Comités de Transparencia tendrán las siguientes atribuciones:</w:t>
      </w:r>
    </w:p>
    <w:p w:rsidR="00000000" w:rsidDel="00000000" w:rsidP="00000000" w:rsidRDefault="00000000" w:rsidRPr="00000000" w14:paraId="000001A8">
      <w:pP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XIII. Dictaminar las declaratorias de inexistencia de la información que les remitan las unidades administrativas y resolver en consecuencia;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-1080127</wp:posOffset>
          </wp:positionH>
          <wp:positionV relativeFrom="paragraph">
            <wp:posOffset>-262870</wp:posOffset>
          </wp:positionV>
          <wp:extent cx="7809865" cy="10165715"/>
          <wp:effectExtent b="0" l="0" r="0" t="0"/>
          <wp:wrapNone/>
          <wp:docPr id="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1A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AB">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13044/INFOEM/IP/RR/2022</w:t>
          </w:r>
        </w:p>
      </w:tc>
    </w:tr>
    <w:tr>
      <w:trPr>
        <w:cantSplit w:val="0"/>
        <w:trHeight w:val="130" w:hRule="atLeast"/>
        <w:tblHeader w:val="0"/>
      </w:trPr>
      <w:tc>
        <w:tcPr>
          <w:shd w:fill="auto" w:val="clear"/>
          <w:vAlign w:val="center"/>
        </w:tcPr>
        <w:p w:rsidR="00000000" w:rsidDel="00000000" w:rsidP="00000000" w:rsidRDefault="00000000" w:rsidRPr="00000000" w14:paraId="000001A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AD">
          <w:pPr>
            <w:ind w:left="-45"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1A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AF">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Justicia y Derechos Humanos</w:t>
          </w:r>
        </w:p>
      </w:tc>
    </w:tr>
    <w:tr>
      <w:trPr>
        <w:cantSplit w:val="0"/>
        <w:tblHeader w:val="0"/>
      </w:trPr>
      <w:tc>
        <w:tcPr>
          <w:shd w:fill="auto" w:val="clear"/>
          <w:vAlign w:val="center"/>
        </w:tcPr>
        <w:p w:rsidR="00000000" w:rsidDel="00000000" w:rsidP="00000000" w:rsidRDefault="00000000" w:rsidRPr="00000000" w14:paraId="000001B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B1">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B2">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4">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-1080121</wp:posOffset>
          </wp:positionH>
          <wp:positionV relativeFrom="paragraph">
            <wp:posOffset>-488299</wp:posOffset>
          </wp:positionV>
          <wp:extent cx="7809865" cy="10165715"/>
          <wp:effectExtent b="0" l="0" r="0" t="0"/>
          <wp:wrapNone/>
          <wp:docPr id="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4"/>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B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B6">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13044/INFOEM/IP/RR/2022</w:t>
          </w:r>
        </w:p>
      </w:tc>
    </w:tr>
    <w:tr>
      <w:trPr>
        <w:cantSplit w:val="0"/>
        <w:trHeight w:val="228" w:hRule="atLeast"/>
        <w:tblHeader w:val="0"/>
      </w:trPr>
      <w:tc>
        <w:tcPr>
          <w:shd w:fill="auto" w:val="clear"/>
          <w:vAlign w:val="center"/>
        </w:tcPr>
        <w:p w:rsidR="00000000" w:rsidDel="00000000" w:rsidP="00000000" w:rsidRDefault="00000000" w:rsidRPr="00000000" w14:paraId="000001B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B8">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Justicia y Derechos Humanos</w:t>
          </w:r>
        </w:p>
      </w:tc>
    </w:tr>
    <w:tr>
      <w:trPr>
        <w:cantSplit w:val="0"/>
        <w:tblHeader w:val="0"/>
      </w:trPr>
      <w:tc>
        <w:tcPr>
          <w:shd w:fill="auto" w:val="clear"/>
          <w:vAlign w:val="center"/>
        </w:tcPr>
        <w:p w:rsidR="00000000" w:rsidDel="00000000" w:rsidP="00000000" w:rsidRDefault="00000000" w:rsidRPr="00000000" w14:paraId="000001B9">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BA">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BB">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upperRoman"/>
      <w:lvlText w:val="%3."/>
      <w:lvlJc w:val="left"/>
      <w:pPr>
        <w:ind w:left="2700" w:hanging="72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Roman"/>
      <w:lvlText w:val="%1."/>
      <w:lvlJc w:val="left"/>
      <w:pPr>
        <w:ind w:left="1571" w:hanging="720"/>
      </w:pPr>
      <w:rPr/>
    </w:lvl>
    <w:lvl w:ilvl="1">
      <w:start w:val="1"/>
      <w:numFmt w:val="lowerLetter"/>
      <w:lvlText w:val="%2."/>
      <w:lvlJc w:val="left"/>
      <w:pPr>
        <w:ind w:left="1931" w:hanging="360"/>
      </w:pPr>
      <w:rPr/>
    </w:lvl>
    <w:lvl w:ilvl="2">
      <w:start w:val="1"/>
      <w:numFmt w:val="lowerRoman"/>
      <w:lvlText w:val="%3."/>
      <w:lvlJc w:val="right"/>
      <w:pPr>
        <w:ind w:left="2651" w:hanging="180"/>
      </w:pPr>
      <w:rPr/>
    </w:lvl>
    <w:lvl w:ilvl="3">
      <w:start w:val="1"/>
      <w:numFmt w:val="decimal"/>
      <w:lvlText w:val="%4."/>
      <w:lvlJc w:val="left"/>
      <w:pPr>
        <w:ind w:left="3371" w:hanging="360"/>
      </w:pPr>
      <w:rPr/>
    </w:lvl>
    <w:lvl w:ilvl="4">
      <w:start w:val="1"/>
      <w:numFmt w:val="lowerLetter"/>
      <w:lvlText w:val="%5."/>
      <w:lvlJc w:val="left"/>
      <w:pPr>
        <w:ind w:left="4091" w:hanging="360"/>
      </w:pPr>
      <w:rPr/>
    </w:lvl>
    <w:lvl w:ilvl="5">
      <w:start w:val="1"/>
      <w:numFmt w:val="lowerRoman"/>
      <w:lvlText w:val="%6."/>
      <w:lvlJc w:val="right"/>
      <w:pPr>
        <w:ind w:left="4811" w:hanging="180"/>
      </w:pPr>
      <w:rPr/>
    </w:lvl>
    <w:lvl w:ilvl="6">
      <w:start w:val="1"/>
      <w:numFmt w:val="decimal"/>
      <w:lvlText w:val="%7."/>
      <w:lvlJc w:val="left"/>
      <w:pPr>
        <w:ind w:left="5531" w:hanging="360"/>
      </w:pPr>
      <w:rPr/>
    </w:lvl>
    <w:lvl w:ilvl="7">
      <w:start w:val="1"/>
      <w:numFmt w:val="lowerLetter"/>
      <w:lvlText w:val="%8."/>
      <w:lvlJc w:val="left"/>
      <w:pPr>
        <w:ind w:left="6251" w:hanging="360"/>
      </w:pPr>
      <w:rPr/>
    </w:lvl>
    <w:lvl w:ilvl="8">
      <w:start w:val="1"/>
      <w:numFmt w:val="lowerRoman"/>
      <w:lvlText w:val="%9."/>
      <w:lvlJc w:val="right"/>
      <w:pPr>
        <w:ind w:left="6971" w:hanging="180"/>
      </w:pPr>
      <w:rPr/>
    </w:lvl>
  </w:abstractNum>
  <w:abstractNum w:abstractNumId="5">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INAI"/>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3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1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0"/>
    <w:tblPr>
      <w:tblStyleRowBandSize w:val="1"/>
      <w:tblStyleColBandSize w:val="1"/>
      <w:tblCellMar>
        <w:left w:w="115.0" w:type="dxa"/>
        <w:right w:w="115.0" w:type="dxa"/>
      </w:tblCellMar>
    </w:tblPr>
  </w:style>
  <w:style w:type="table" w:styleId="1" w:customStyle="1">
    <w:name w:val="1"/>
    <w:basedOn w:val="TableNormal10"/>
    <w:tblPr>
      <w:tblStyleRowBandSize w:val="1"/>
      <w:tblStyleColBandSize w:val="1"/>
      <w:tblCellMar>
        <w:left w:w="115.0" w:type="dxa"/>
        <w:right w:w="115.0" w:type="dxa"/>
      </w:tblCellMar>
    </w:tblPr>
  </w:style>
  <w:style w:type="table" w:styleId="9" w:customStyle="1">
    <w:name w:val="9"/>
    <w:basedOn w:val="TableNormal20"/>
    <w:tblPr>
      <w:tblStyleRowBandSize w:val="1"/>
      <w:tblStyleColBandSize w:val="1"/>
      <w:tblCellMar>
        <w:left w:w="115.0" w:type="dxa"/>
        <w:right w:w="115.0" w:type="dxa"/>
      </w:tblCellMar>
    </w:tblPr>
  </w:style>
  <w:style w:type="table" w:styleId="8" w:customStyle="1">
    <w:name w:val="8"/>
    <w:basedOn w:val="TableNormal20"/>
    <w:tblPr>
      <w:tblStyleRowBandSize w:val="1"/>
      <w:tblStyleColBandSize w:val="1"/>
      <w:tblCellMar>
        <w:left w:w="115.0" w:type="dxa"/>
        <w:right w:w="115.0" w:type="dxa"/>
      </w:tblCellMar>
    </w:tblPr>
  </w:style>
  <w:style w:type="table" w:styleId="7" w:customStyle="1">
    <w:name w:val="7"/>
    <w:basedOn w:val="TableNormal3"/>
    <w:tblPr>
      <w:tblStyleRowBandSize w:val="1"/>
      <w:tblStyleColBandSize w:val="1"/>
      <w:tblCellMar>
        <w:left w:w="115.0" w:type="dxa"/>
        <w:right w:w="115.0" w:type="dxa"/>
      </w:tblCellMar>
    </w:tblPr>
  </w:style>
  <w:style w:type="table" w:styleId="6" w:customStyle="1">
    <w:name w:val="6"/>
    <w:basedOn w:val="TableNormal3"/>
    <w:tblPr>
      <w:tblStyleRowBandSize w:val="1"/>
      <w:tblStyleColBandSize w:val="1"/>
      <w:tblCellMar>
        <w:left w:w="115.0" w:type="dxa"/>
        <w:right w:w="115.0" w:type="dxa"/>
      </w:tblCellMar>
    </w:tblPr>
  </w:style>
  <w:style w:type="table" w:styleId="20" w:customStyle="1">
    <w:name w:val="20"/>
    <w:basedOn w:val="TableNormal4"/>
    <w:tblPr>
      <w:tblStyleRowBandSize w:val="1"/>
      <w:tblStyleColBandSize w:val="1"/>
      <w:tblCellMar>
        <w:left w:w="115.0" w:type="dxa"/>
        <w:right w:w="115.0" w:type="dxa"/>
      </w:tblCellMar>
    </w:tblPr>
  </w:style>
  <w:style w:type="table" w:styleId="19" w:customStyle="1">
    <w:name w:val="19"/>
    <w:basedOn w:val="TableNormal4"/>
    <w:tblPr>
      <w:tblStyleRowBandSize w:val="1"/>
      <w:tblStyleColBandSize w:val="1"/>
      <w:tblCellMar>
        <w:left w:w="115.0" w:type="dxa"/>
        <w:right w:w="115.0" w:type="dxa"/>
      </w:tblCellMar>
    </w:tblPr>
  </w:style>
  <w:style w:type="table" w:styleId="18" w:customStyle="1">
    <w:name w:val="18"/>
    <w:basedOn w:val="TableNormal5"/>
    <w:tblPr>
      <w:tblStyleRowBandSize w:val="1"/>
      <w:tblStyleColBandSize w:val="1"/>
      <w:tblCellMar>
        <w:left w:w="115.0" w:type="dxa"/>
        <w:right w:w="115.0" w:type="dxa"/>
      </w:tblCellMar>
    </w:tblPr>
  </w:style>
  <w:style w:type="table" w:styleId="17" w:customStyle="1">
    <w:name w:val="17"/>
    <w:basedOn w:val="TableNormal5"/>
    <w:tblPr>
      <w:tblStyleRowBandSize w:val="1"/>
      <w:tblStyleColBandSize w:val="1"/>
      <w:tblCellMar>
        <w:left w:w="115.0" w:type="dxa"/>
        <w:right w:w="115.0" w:type="dxa"/>
      </w:tblCellMar>
    </w:tblPr>
  </w:style>
  <w:style w:type="table" w:styleId="16" w:customStyle="1">
    <w:name w:val="16"/>
    <w:basedOn w:val="TableNormal6"/>
    <w:tblPr>
      <w:tblStyleRowBandSize w:val="1"/>
      <w:tblStyleColBandSize w:val="1"/>
      <w:tblCellMar>
        <w:left w:w="115.0" w:type="dxa"/>
        <w:right w:w="115.0" w:type="dxa"/>
      </w:tblCellMar>
    </w:tblPr>
  </w:style>
  <w:style w:type="table" w:styleId="15" w:customStyle="1">
    <w:name w:val="15"/>
    <w:basedOn w:val="TableNormal6"/>
    <w:tblPr>
      <w:tblStyleRowBandSize w:val="1"/>
      <w:tblStyleColBandSize w:val="1"/>
      <w:tblCellMar>
        <w:left w:w="115.0" w:type="dxa"/>
        <w:right w:w="115.0" w:type="dxa"/>
      </w:tblCellMar>
    </w:tblPr>
  </w:style>
  <w:style w:type="table" w:styleId="14" w:customStyle="1">
    <w:name w:val="14"/>
    <w:basedOn w:val="TableNormal7"/>
    <w:tblPr>
      <w:tblStyleRowBandSize w:val="1"/>
      <w:tblStyleColBandSize w:val="1"/>
      <w:tblCellMar>
        <w:left w:w="115.0" w:type="dxa"/>
        <w:right w:w="115.0" w:type="dxa"/>
      </w:tblCellMar>
    </w:tblPr>
  </w:style>
  <w:style w:type="table" w:styleId="13" w:customStyle="1">
    <w:name w:val="13"/>
    <w:basedOn w:val="TableNormal7"/>
    <w:tblPr>
      <w:tblStyleRowBandSize w:val="1"/>
      <w:tblStyleColBandSize w:val="1"/>
      <w:tblCellMar>
        <w:left w:w="115.0" w:type="dxa"/>
        <w:right w:w="115.0" w:type="dxa"/>
      </w:tblCellMar>
    </w:tblPr>
  </w:style>
  <w:style w:type="character" w:styleId="rse6dlih" w:customStyle="1">
    <w:name w:val="rse6dlih"/>
    <w:basedOn w:val="Fuentedeprrafopredeter"/>
    <w:rsid w:val="00190860"/>
  </w:style>
  <w:style w:type="table" w:styleId="12" w:customStyle="1">
    <w:name w:val="12"/>
    <w:basedOn w:val="TableNormal8"/>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1" w:customStyle="1">
    <w:name w:val="11"/>
    <w:basedOn w:val="TableNormal8"/>
    <w:tblPr>
      <w:tblStyleRowBandSize w:val="1"/>
      <w:tblStyleColBandSize w:val="1"/>
      <w:tblCellMar>
        <w:left w:w="115.0" w:type="dxa"/>
        <w:right w:w="115.0" w:type="dxa"/>
      </w:tblCellMar>
    </w:tblPr>
  </w:style>
  <w:style w:type="table" w:styleId="10" w:customStyle="1">
    <w:name w:val="10"/>
    <w:basedOn w:val="TableNormal8"/>
    <w:tblPr>
      <w:tblStyleRowBandSize w:val="1"/>
      <w:tblStyleColBandSize w:val="1"/>
      <w:tblCellMar>
        <w:left w:w="115.0" w:type="dxa"/>
        <w:right w:w="115.0" w:type="dxa"/>
      </w:tblCellMar>
    </w:tblPr>
  </w:style>
  <w:style w:type="table" w:styleId="24" w:customStyle="1">
    <w:name w:val="24"/>
    <w:basedOn w:val="TableNormal9"/>
    <w:tblPr>
      <w:tblStyleRowBandSize w:val="1"/>
      <w:tblStyleColBandSize w:val="1"/>
      <w:tblCellMar>
        <w:left w:w="115.0" w:type="dxa"/>
        <w:right w:w="115.0" w:type="dxa"/>
      </w:tblCellMar>
    </w:tblPr>
  </w:style>
  <w:style w:type="table" w:styleId="23" w:customStyle="1">
    <w:name w:val="23"/>
    <w:basedOn w:val="TableNormal9"/>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2" w:customStyle="1">
    <w:name w:val="22"/>
    <w:basedOn w:val="TableNormal9"/>
    <w:tblPr>
      <w:tblStyleRowBandSize w:val="1"/>
      <w:tblStyleColBandSize w:val="1"/>
      <w:tblCellMar>
        <w:left w:w="115.0" w:type="dxa"/>
        <w:right w:w="115.0" w:type="dxa"/>
      </w:tblCellMar>
    </w:tblPr>
  </w:style>
  <w:style w:type="table" w:styleId="21" w:customStyle="1">
    <w:name w:val="21"/>
    <w:basedOn w:val="TableNormal9"/>
    <w:tblPr>
      <w:tblStyleRowBandSize w:val="1"/>
      <w:tblStyleColBandSize w:val="1"/>
      <w:tblCellMar>
        <w:left w:w="115.0" w:type="dxa"/>
        <w:right w:w="115.0" w:type="dxa"/>
      </w:tblCellMar>
    </w:tblPr>
  </w:style>
  <w:style w:type="table" w:styleId="a" w:customStyle="1">
    <w:basedOn w:val="TableNormal2"/>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115.0" w:type="dxa"/>
        <w:right w:w="115.0" w:type="dxa"/>
      </w:tblCellMar>
    </w:tblPr>
  </w:style>
  <w:style w:type="table" w:styleId="a3" w:customStyle="1">
    <w:basedOn w:val="TableNormal1"/>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1"/>
    <w:tblPr>
      <w:tblStyleRowBandSize w:val="1"/>
      <w:tblStyleColBandSize w:val="1"/>
      <w:tblCellMar>
        <w:left w:w="115.0" w:type="dxa"/>
        <w:right w:w="115.0" w:type="dxa"/>
      </w:tblCellMar>
    </w:tblPr>
  </w:style>
  <w:style w:type="table" w:styleId="a5" w:customStyle="1">
    <w:basedOn w:val="TableNormal1"/>
    <w:tblPr>
      <w:tblStyleRowBandSize w:val="1"/>
      <w:tblStyleColBandSize w:val="1"/>
      <w:tblCellMar>
        <w:left w:w="115.0" w:type="dxa"/>
        <w:right w:w="115.0" w:type="dxa"/>
      </w:tblCellMar>
    </w:tblPr>
  </w:style>
  <w:style w:type="table" w:styleId="a6" w:customStyle="1">
    <w:basedOn w:val="TableNormal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character" w:styleId="Mencinsinresolver4" w:customStyle="1">
    <w:name w:val="Mención sin resolver4"/>
    <w:basedOn w:val="Fuentedeprrafopredeter"/>
    <w:uiPriority w:val="99"/>
    <w:semiHidden w:val="1"/>
    <w:unhideWhenUsed w:val="1"/>
    <w:rsid w:val="00B70D09"/>
    <w:rPr>
      <w:color w:val="605e5c"/>
      <w:shd w:color="auto" w:fill="e1dfdd" w:val="clear"/>
    </w:rPr>
  </w:style>
  <w:style w:type="paragraph" w:styleId="Saludo">
    <w:name w:val="Salutation"/>
    <w:basedOn w:val="Normal"/>
    <w:next w:val="Normal"/>
    <w:link w:val="SaludoCar"/>
    <w:uiPriority w:val="99"/>
    <w:unhideWhenUsed w:val="1"/>
    <w:rsid w:val="008332B2"/>
  </w:style>
  <w:style w:type="character" w:styleId="SaludoCar" w:customStyle="1">
    <w:name w:val="Saludo Car"/>
    <w:basedOn w:val="Fuentedeprrafopredeter"/>
    <w:link w:val="Saludo"/>
    <w:uiPriority w:val="99"/>
    <w:rsid w:val="008332B2"/>
  </w:style>
  <w:style w:type="paragraph" w:styleId="Listaconvietas2">
    <w:name w:val="List Bullet 2"/>
    <w:basedOn w:val="Normal"/>
    <w:uiPriority w:val="99"/>
    <w:unhideWhenUsed w:val="1"/>
    <w:rsid w:val="008332B2"/>
    <w:pPr>
      <w:numPr>
        <w:numId w:val="7"/>
      </w:numPr>
      <w:contextualSpacing w:val="1"/>
    </w:pPr>
  </w:style>
  <w:style w:type="paragraph" w:styleId="Caracteresenmarcados" w:customStyle="1">
    <w:name w:val="Caracteres enmarcados"/>
    <w:basedOn w:val="Normal"/>
    <w:rsid w:val="008332B2"/>
  </w:style>
  <w:style w:type="paragraph" w:styleId="Citas" w:customStyle="1">
    <w:name w:val="Citas"/>
    <w:basedOn w:val="Normal"/>
    <w:qFormat w:val="1"/>
    <w:rsid w:val="00F62237"/>
    <w:pPr>
      <w:spacing w:after="160" w:before="240" w:line="360" w:lineRule="auto"/>
      <w:ind w:left="851" w:right="851"/>
      <w:jc w:val="both"/>
    </w:pPr>
    <w:rPr>
      <w:rFonts w:ascii="Palatino Linotype" w:cs="Arial" w:hAnsi="Palatino Linotype" w:eastAsiaTheme="minorHAnsi"/>
      <w:i w:val="1"/>
      <w:sz w:val="22"/>
      <w:szCs w:val="22"/>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bottom w:color="95b3d7" w:space="0" w:sz="4" w:val="single"/>
        </w:tcBorders>
      </w:tcPr>
    </w:tblStylePr>
    <w:tblStylePr w:type="lastCol">
      <w:rPr>
        <w:b w:val="1"/>
      </w:rPr>
    </w:tblStylePr>
    <w:tblStylePr w:type="lastRow">
      <w:rPr>
        <w:b w:val="1"/>
      </w:rPr>
      <w:tcPr>
        <w:tcBorders>
          <w:top w:color="95b3d7" w:space="0" w:sz="4" w:val="single"/>
        </w:tcBorders>
      </w:tcPr>
    </w:tblStyle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home.inai.org.mx/wp-content/documentos/DocumentosSectorPublico/_GuiaPrincipiosDeber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00D0Q3PW0TH037ay4hmP55iPLKQ==">AMUW2mVwGVaB5j6lo3CrDG1PllR8uFvncbHkLhgaLgjGDPiA8odwWz0HgMquNRJAK3wKYGvkvSGfh72DdMFXahpYnIjg4fk69aHgHcAK7UehAHCMvO36gc79LIK0IBOvCM62LNFI4nX4wVQvLAEzOULck4iF12t7fWY/3KgQ1K5Vhg1G32QyRjX9Di9ZwsOB1G2lx847UNhXuuvxiLJe3tfQbga1PYGJWAgDzORovKcv3bodxb0Bzz+6+LSKInaG5yf5LffEw9rzz+rETxir0URZqR6RNzLbqRfTBDyowjpN+LALABTOa9OTuIks74pIBd1iqmqNsnW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2023-03-27T18:28:00Z</dcterms:created>
  <dc:creator>iMac</dc:creator>
</cp:coreProperties>
</file>