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EE3" w:rsidRPr="005B0D1E" w:rsidRDefault="00ED68EB" w:rsidP="00251560">
      <w:pPr>
        <w:spacing w:before="240" w:after="240" w:line="360" w:lineRule="auto"/>
        <w:jc w:val="both"/>
        <w:rPr>
          <w:rFonts w:ascii="Palatino Linotype" w:eastAsia="Palatino Linotype" w:hAnsi="Palatino Linotype" w:cs="Palatino Linotype"/>
        </w:rPr>
      </w:pPr>
      <w:bookmarkStart w:id="0" w:name="_GoBack"/>
      <w:bookmarkEnd w:id="0"/>
      <w:r w:rsidRPr="005B0D1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cinco de septiembre de dos mil veintitrés. </w:t>
      </w:r>
    </w:p>
    <w:p w:rsidR="00797EE3" w:rsidRPr="005B0D1E" w:rsidRDefault="00ED68EB" w:rsidP="00251560">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VISTO</w:t>
      </w:r>
      <w:r w:rsidRPr="005B0D1E">
        <w:rPr>
          <w:rFonts w:ascii="Palatino Linotype" w:eastAsia="Palatino Linotype" w:hAnsi="Palatino Linotype" w:cs="Palatino Linotype"/>
        </w:rPr>
        <w:t xml:space="preserve"> el expediente formado con motivo del recurso de revisión </w:t>
      </w:r>
      <w:r w:rsidRPr="005B0D1E">
        <w:rPr>
          <w:rFonts w:ascii="Palatino Linotype" w:eastAsia="Palatino Linotype" w:hAnsi="Palatino Linotype" w:cs="Palatino Linotype"/>
          <w:b/>
        </w:rPr>
        <w:t>03314/INFOEM/IP/RR/2023</w:t>
      </w:r>
      <w:r w:rsidRPr="005B0D1E">
        <w:rPr>
          <w:rFonts w:ascii="Palatino Linotype" w:eastAsia="Palatino Linotype" w:hAnsi="Palatino Linotype" w:cs="Palatino Linotype"/>
        </w:rPr>
        <w:t xml:space="preserve">, interpuesto por </w:t>
      </w:r>
      <w:r w:rsidRPr="005B0D1E">
        <w:rPr>
          <w:rFonts w:ascii="Palatino Linotype" w:eastAsia="Palatino Linotype" w:hAnsi="Palatino Linotype" w:cs="Palatino Linotype"/>
          <w:b/>
        </w:rPr>
        <w:t>un particular que no proporcionó su nombre,</w:t>
      </w:r>
      <w:r w:rsidRPr="005B0D1E">
        <w:rPr>
          <w:rFonts w:ascii="Palatino Linotype" w:eastAsia="Palatino Linotype" w:hAnsi="Palatino Linotype" w:cs="Palatino Linotype"/>
        </w:rPr>
        <w:t xml:space="preserve"> en lo sucesivo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en contra de la respuesta a su solicitud de información con número de folio</w:t>
      </w:r>
      <w:r w:rsidRPr="005B0D1E">
        <w:rPr>
          <w:rFonts w:ascii="Palatino Linotype" w:eastAsia="Palatino Linotype" w:hAnsi="Palatino Linotype" w:cs="Palatino Linotype"/>
          <w:b/>
        </w:rPr>
        <w:t xml:space="preserve"> 00531/FGJ/IP/2023, </w:t>
      </w:r>
      <w:r w:rsidRPr="005B0D1E">
        <w:rPr>
          <w:rFonts w:ascii="Palatino Linotype" w:eastAsia="Palatino Linotype" w:hAnsi="Palatino Linotype" w:cs="Palatino Linotype"/>
        </w:rPr>
        <w:t xml:space="preserve">por parte de la </w:t>
      </w:r>
      <w:r w:rsidRPr="005B0D1E">
        <w:rPr>
          <w:rFonts w:ascii="Palatino Linotype" w:eastAsia="Palatino Linotype" w:hAnsi="Palatino Linotype" w:cs="Palatino Linotype"/>
          <w:b/>
        </w:rPr>
        <w:t xml:space="preserve">Fiscalía General de Justicia del Estado de México, </w:t>
      </w:r>
      <w:r w:rsidRPr="005B0D1E">
        <w:rPr>
          <w:rFonts w:ascii="Palatino Linotype" w:eastAsia="Palatino Linotype" w:hAnsi="Palatino Linotype" w:cs="Palatino Linotype"/>
        </w:rPr>
        <w:t xml:space="preserve">en lo sucesivo el </w:t>
      </w:r>
      <w:r w:rsidRPr="005B0D1E">
        <w:rPr>
          <w:rFonts w:ascii="Palatino Linotype" w:eastAsia="Palatino Linotype" w:hAnsi="Palatino Linotype" w:cs="Palatino Linotype"/>
          <w:b/>
        </w:rPr>
        <w:t xml:space="preserve">SUJETO OBLIGADO, </w:t>
      </w:r>
      <w:r w:rsidRPr="005B0D1E">
        <w:rPr>
          <w:rFonts w:ascii="Palatino Linotype" w:eastAsia="Palatino Linotype" w:hAnsi="Palatino Linotype" w:cs="Palatino Linotype"/>
        </w:rPr>
        <w:t xml:space="preserve">se procede a dictar la presente resolución con base en los siguientes: </w:t>
      </w:r>
    </w:p>
    <w:p w:rsidR="00797EE3" w:rsidRPr="005B0D1E" w:rsidRDefault="00ED68EB" w:rsidP="00251560">
      <w:pPr>
        <w:spacing w:before="240" w:after="240" w:line="360" w:lineRule="auto"/>
        <w:jc w:val="center"/>
        <w:rPr>
          <w:rFonts w:ascii="Palatino Linotype" w:eastAsia="Palatino Linotype" w:hAnsi="Palatino Linotype" w:cs="Palatino Linotype"/>
          <w:b/>
        </w:rPr>
      </w:pPr>
      <w:r w:rsidRPr="005B0D1E">
        <w:rPr>
          <w:rFonts w:ascii="Palatino Linotype" w:eastAsia="Palatino Linotype" w:hAnsi="Palatino Linotype" w:cs="Palatino Linotype"/>
          <w:b/>
        </w:rPr>
        <w:t>I. A N T E C E D E N T E S</w:t>
      </w:r>
    </w:p>
    <w:p w:rsidR="00797EE3" w:rsidRPr="005B0D1E" w:rsidRDefault="00ED68EB" w:rsidP="00251560">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1. Solicitud de acceso a la información.</w:t>
      </w:r>
      <w:r w:rsidRPr="005B0D1E">
        <w:rPr>
          <w:rFonts w:ascii="Palatino Linotype" w:eastAsia="Palatino Linotype" w:hAnsi="Palatino Linotype" w:cs="Palatino Linotype"/>
        </w:rPr>
        <w:t xml:space="preserve"> Con fecha </w:t>
      </w:r>
      <w:r w:rsidRPr="005B0D1E">
        <w:rPr>
          <w:rFonts w:ascii="Palatino Linotype" w:eastAsia="Palatino Linotype" w:hAnsi="Palatino Linotype" w:cs="Palatino Linotype"/>
          <w:b/>
        </w:rPr>
        <w:t>dieciséis de mayo de dos mil veintitrés,</w:t>
      </w:r>
      <w:r w:rsidRPr="005B0D1E">
        <w:rPr>
          <w:rFonts w:ascii="Palatino Linotype" w:eastAsia="Palatino Linotype" w:hAnsi="Palatino Linotype" w:cs="Palatino Linotype"/>
        </w:rPr>
        <w:t xml:space="preserve"> la parte </w:t>
      </w:r>
      <w:r w:rsidRPr="005B0D1E">
        <w:rPr>
          <w:rFonts w:ascii="Palatino Linotype" w:eastAsia="Palatino Linotype" w:hAnsi="Palatino Linotype" w:cs="Palatino Linotype"/>
          <w:b/>
        </w:rPr>
        <w:t xml:space="preserve">RECURRENTE </w:t>
      </w:r>
      <w:r w:rsidRPr="005B0D1E">
        <w:rPr>
          <w:rFonts w:ascii="Palatino Linotype" w:eastAsia="Palatino Linotype" w:hAnsi="Palatino Linotype" w:cs="Palatino Linotype"/>
        </w:rPr>
        <w:t xml:space="preserve">presentó, a través de la Plataforma Nacional de Transparencia ligada con el Sistema de Acceso a la Información Mexiquense, en lo subsecuente el </w:t>
      </w:r>
      <w:r w:rsidRPr="005B0D1E">
        <w:rPr>
          <w:rFonts w:ascii="Palatino Linotype" w:eastAsia="Palatino Linotype" w:hAnsi="Palatino Linotype" w:cs="Palatino Linotype"/>
          <w:b/>
        </w:rPr>
        <w:t>SAIMEX,</w:t>
      </w:r>
      <w:r w:rsidRPr="005B0D1E">
        <w:rPr>
          <w:rFonts w:ascii="Palatino Linotype" w:eastAsia="Palatino Linotype" w:hAnsi="Palatino Linotype" w:cs="Palatino Linotype"/>
        </w:rPr>
        <w:t xml:space="preserve"> ante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la solicitud de acceso a la información pública, a la que se le asignó el número</w:t>
      </w:r>
      <w:r w:rsidRPr="005B0D1E">
        <w:rPr>
          <w:rFonts w:ascii="Palatino Linotype" w:eastAsia="Palatino Linotype" w:hAnsi="Palatino Linotype" w:cs="Palatino Linotype"/>
          <w:b/>
        </w:rPr>
        <w:t xml:space="preserve"> 00531/FGJ/IP/2023, </w:t>
      </w:r>
      <w:r w:rsidRPr="005B0D1E">
        <w:rPr>
          <w:rFonts w:ascii="Palatino Linotype" w:eastAsia="Palatino Linotype" w:hAnsi="Palatino Linotype" w:cs="Palatino Linotype"/>
        </w:rPr>
        <w:t xml:space="preserve">mediante la cual requirió la información siguiente: </w:t>
      </w:r>
    </w:p>
    <w:p w:rsidR="00797EE3" w:rsidRPr="005B0D1E" w:rsidRDefault="00ED68EB" w:rsidP="00251560">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5B0D1E">
        <w:rPr>
          <w:rFonts w:ascii="Palatino Linotype" w:eastAsia="Palatino Linotype" w:hAnsi="Palatino Linotype" w:cs="Palatino Linotype"/>
          <w:i/>
          <w:sz w:val="22"/>
          <w:szCs w:val="22"/>
        </w:rPr>
        <w:t xml:space="preserve">“Con fundamento en el </w:t>
      </w:r>
      <w:proofErr w:type="spellStart"/>
      <w:r w:rsidRPr="005B0D1E">
        <w:rPr>
          <w:rFonts w:ascii="Palatino Linotype" w:eastAsia="Palatino Linotype" w:hAnsi="Palatino Linotype" w:cs="Palatino Linotype"/>
          <w:i/>
          <w:sz w:val="22"/>
          <w:szCs w:val="22"/>
        </w:rPr>
        <w:t>Articulo</w:t>
      </w:r>
      <w:proofErr w:type="spellEnd"/>
      <w:r w:rsidRPr="005B0D1E">
        <w:rPr>
          <w:rFonts w:ascii="Palatino Linotype" w:eastAsia="Palatino Linotype" w:hAnsi="Palatino Linotype" w:cs="Palatino Linotype"/>
          <w:i/>
          <w:sz w:val="22"/>
          <w:szCs w:val="22"/>
        </w:rPr>
        <w:t xml:space="preserve"> 6 Constitucional, en relación con los artículos 6 y 70 de la Ley General de Transparencia y Acceso a la Información Publica </w:t>
      </w:r>
      <w:r w:rsidRPr="005B0D1E">
        <w:rPr>
          <w:rFonts w:ascii="Palatino Linotype" w:eastAsia="Palatino Linotype" w:hAnsi="Palatino Linotype" w:cs="Palatino Linotype"/>
          <w:b/>
          <w:i/>
          <w:sz w:val="22"/>
          <w:szCs w:val="22"/>
        </w:rPr>
        <w:t xml:space="preserve">Solicito me sea proporcionado el organigrama completo en el cual </w:t>
      </w:r>
      <w:proofErr w:type="gramStart"/>
      <w:r w:rsidRPr="005B0D1E">
        <w:rPr>
          <w:rFonts w:ascii="Palatino Linotype" w:eastAsia="Palatino Linotype" w:hAnsi="Palatino Linotype" w:cs="Palatino Linotype"/>
          <w:b/>
          <w:i/>
          <w:sz w:val="22"/>
          <w:szCs w:val="22"/>
        </w:rPr>
        <w:t>contenga</w:t>
      </w:r>
      <w:proofErr w:type="gramEnd"/>
      <w:r w:rsidRPr="005B0D1E">
        <w:rPr>
          <w:rFonts w:ascii="Palatino Linotype" w:eastAsia="Palatino Linotype" w:hAnsi="Palatino Linotype" w:cs="Palatino Linotype"/>
          <w:b/>
          <w:i/>
          <w:sz w:val="22"/>
          <w:szCs w:val="22"/>
        </w:rPr>
        <w:t xml:space="preserve"> el nombre del puesto, plaza o cargo, así como el nombre completo de todos y cada uno de los servidores públicos de la Fiscalía General de Justicia del Estado de México</w:t>
      </w:r>
      <w:r w:rsidRPr="005B0D1E">
        <w:rPr>
          <w:rFonts w:ascii="Palatino Linotype" w:eastAsia="Palatino Linotype" w:hAnsi="Palatino Linotype" w:cs="Palatino Linotype"/>
          <w:i/>
          <w:sz w:val="22"/>
          <w:szCs w:val="22"/>
        </w:rPr>
        <w:t>” (Sic)</w:t>
      </w:r>
    </w:p>
    <w:p w:rsidR="00797EE3" w:rsidRPr="005B0D1E" w:rsidRDefault="00797EE3" w:rsidP="00251560">
      <w:pPr>
        <w:spacing w:before="240"/>
        <w:ind w:left="851" w:right="902"/>
        <w:jc w:val="both"/>
        <w:rPr>
          <w:rFonts w:ascii="Palatino Linotype" w:eastAsia="Palatino Linotype" w:hAnsi="Palatino Linotype" w:cs="Palatino Linotype"/>
          <w:i/>
          <w:sz w:val="22"/>
          <w:szCs w:val="22"/>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lastRenderedPageBreak/>
        <w:t>Modalidad de Entrega:</w:t>
      </w:r>
      <w:r w:rsidRPr="005B0D1E">
        <w:rPr>
          <w:rFonts w:ascii="Palatino Linotype" w:eastAsia="Palatino Linotype" w:hAnsi="Palatino Linotype" w:cs="Palatino Linotype"/>
        </w:rPr>
        <w:t xml:space="preserve"> A través de SAIMEX.</w:t>
      </w: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noProof/>
          <w:lang w:val="es-MX"/>
        </w:rPr>
        <w:drawing>
          <wp:inline distT="114300" distB="114300" distL="114300" distR="114300">
            <wp:extent cx="5760937" cy="822991"/>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60937" cy="822991"/>
                    </a:xfrm>
                    <a:prstGeom prst="rect">
                      <a:avLst/>
                    </a:prstGeom>
                    <a:ln/>
                  </pic:spPr>
                </pic:pic>
              </a:graphicData>
            </a:graphic>
          </wp:inline>
        </w:drawing>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after="240" w:line="360" w:lineRule="auto"/>
        <w:jc w:val="both"/>
        <w:rPr>
          <w:rFonts w:ascii="Palatino Linotype" w:eastAsia="Palatino Linotype" w:hAnsi="Palatino Linotype" w:cs="Palatino Linotype"/>
          <w:b/>
        </w:rPr>
      </w:pPr>
      <w:r w:rsidRPr="005B0D1E">
        <w:rPr>
          <w:rFonts w:ascii="Palatino Linotype" w:eastAsia="Palatino Linotype" w:hAnsi="Palatino Linotype" w:cs="Palatino Linotype"/>
          <w:b/>
        </w:rPr>
        <w:t xml:space="preserve">2. Respuesta. </w:t>
      </w:r>
      <w:r w:rsidRPr="005B0D1E">
        <w:rPr>
          <w:rFonts w:ascii="Palatino Linotype" w:eastAsia="Palatino Linotype" w:hAnsi="Palatino Linotype" w:cs="Palatino Linotype"/>
        </w:rPr>
        <w:t xml:space="preserve">Con fecha </w:t>
      </w:r>
      <w:r w:rsidRPr="005B0D1E">
        <w:rPr>
          <w:rFonts w:ascii="Palatino Linotype" w:eastAsia="Palatino Linotype" w:hAnsi="Palatino Linotype" w:cs="Palatino Linotype"/>
          <w:b/>
        </w:rPr>
        <w:t>veintinueve de mayo de dos mil veintitrés</w:t>
      </w:r>
      <w:r w:rsidRPr="005B0D1E">
        <w:rPr>
          <w:rFonts w:ascii="Palatino Linotype" w:eastAsia="Palatino Linotype" w:hAnsi="Palatino Linotype" w:cs="Palatino Linotype"/>
        </w:rPr>
        <w:t xml:space="preserve">, el </w:t>
      </w:r>
      <w:r w:rsidRPr="005B0D1E">
        <w:rPr>
          <w:rFonts w:ascii="Palatino Linotype" w:eastAsia="Palatino Linotype" w:hAnsi="Palatino Linotype" w:cs="Palatino Linotype"/>
          <w:b/>
        </w:rPr>
        <w:t xml:space="preserve">SUJETO OBLIGADO </w:t>
      </w:r>
      <w:r w:rsidRPr="005B0D1E">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797EE3" w:rsidRPr="005B0D1E" w:rsidRDefault="00ED68EB" w:rsidP="00251560">
      <w:pPr>
        <w:spacing w:before="240" w:after="240"/>
        <w:ind w:left="851" w:right="902"/>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“…SE ANEXA RESPUESTA...” (Sic)</w:t>
      </w:r>
    </w:p>
    <w:p w:rsidR="00797EE3" w:rsidRPr="005B0D1E" w:rsidRDefault="00ED68EB" w:rsidP="00251560">
      <w:pPr>
        <w:spacing w:before="240" w:after="240" w:line="360" w:lineRule="auto"/>
        <w:ind w:right="49"/>
        <w:jc w:val="both"/>
        <w:rPr>
          <w:rFonts w:ascii="Palatino Linotype" w:eastAsia="Palatino Linotype" w:hAnsi="Palatino Linotype" w:cs="Palatino Linotype"/>
          <w:b/>
        </w:rPr>
      </w:pPr>
      <w:r w:rsidRPr="005B0D1E">
        <w:rPr>
          <w:rFonts w:ascii="Palatino Linotype" w:eastAsia="Palatino Linotype" w:hAnsi="Palatino Linotype" w:cs="Palatino Linotype"/>
          <w:b/>
        </w:rPr>
        <w:t>El SUJETO OBLIGADO, adjuntó a su respuesta el siguiente archivo electrónico:</w:t>
      </w:r>
    </w:p>
    <w:p w:rsidR="00797EE3" w:rsidRPr="005B0D1E" w:rsidRDefault="00ED68EB" w:rsidP="00251560">
      <w:pPr>
        <w:spacing w:before="240" w:after="240"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rPr>
        <w:t>“</w:t>
      </w:r>
      <w:hyperlink r:id="rId10">
        <w:r w:rsidRPr="005B0D1E">
          <w:rPr>
            <w:rFonts w:ascii="Palatino Linotype" w:eastAsia="Palatino Linotype" w:hAnsi="Palatino Linotype" w:cs="Palatino Linotype"/>
          </w:rPr>
          <w:t>RESPUESTA 00531_2023_05_29_16_00_32_056.pdf</w:t>
        </w:r>
      </w:hyperlink>
      <w:r w:rsidRPr="005B0D1E">
        <w:rPr>
          <w:rFonts w:ascii="Palatino Linotype" w:eastAsia="Palatino Linotype" w:hAnsi="Palatino Linotype" w:cs="Palatino Linotype"/>
        </w:rPr>
        <w:t xml:space="preserve">”, el cual contiene la respuesta del Titular de la Unidad de Transparencia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por medio del cual informó que la Dirección de Reclutamiento, Selección del Personal y Desarrollo Institucional, informó que el organigrama autorizado por la Secretaría de Finanzas del Gobierno del Estado de México para la Fiscalía General de Justicia se encuentra disponible para su consulta en el siguiente enlace:</w:t>
      </w:r>
    </w:p>
    <w:p w:rsidR="00797EE3" w:rsidRPr="005B0D1E" w:rsidRDefault="00ED68EB" w:rsidP="00251560">
      <w:pPr>
        <w:spacing w:before="240" w:after="240"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rPr>
        <w:t>http://187.190.53.177:5588/sis/transparencia/sgc/Unidad_de_Tranparencia/Articulo_92/Fraccion_II_B_Organigrama/175109_ORGANIGRAMA.pdf</w:t>
      </w:r>
    </w:p>
    <w:p w:rsidR="00797EE3" w:rsidRPr="005B0D1E" w:rsidRDefault="00ED68EB" w:rsidP="00251560">
      <w:pPr>
        <w:spacing w:before="240" w:after="240"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Como se advierte a continuación: </w:t>
      </w:r>
    </w:p>
    <w:p w:rsidR="00797EE3" w:rsidRPr="005B0D1E" w:rsidRDefault="00797EE3" w:rsidP="00251560">
      <w:pPr>
        <w:spacing w:before="240" w:after="240" w:line="360" w:lineRule="auto"/>
        <w:ind w:right="49"/>
        <w:jc w:val="both"/>
        <w:rPr>
          <w:rFonts w:ascii="Palatino Linotype" w:eastAsia="Palatino Linotype" w:hAnsi="Palatino Linotype" w:cs="Palatino Linotype"/>
        </w:rPr>
      </w:pPr>
    </w:p>
    <w:p w:rsidR="00797EE3" w:rsidRPr="005B0D1E" w:rsidRDefault="00797EE3" w:rsidP="00251560">
      <w:pPr>
        <w:spacing w:before="240" w:after="240" w:line="360" w:lineRule="auto"/>
        <w:ind w:right="49"/>
        <w:jc w:val="both"/>
      </w:pPr>
    </w:p>
    <w:p w:rsidR="00797EE3" w:rsidRPr="005B0D1E" w:rsidRDefault="00ED68EB" w:rsidP="00251560">
      <w:pPr>
        <w:spacing w:before="240" w:after="240" w:line="360" w:lineRule="auto"/>
        <w:ind w:right="49"/>
        <w:jc w:val="both"/>
        <w:rPr>
          <w:rFonts w:ascii="Palatino Linotype" w:eastAsia="Palatino Linotype" w:hAnsi="Palatino Linotype" w:cs="Palatino Linotype"/>
          <w:i/>
        </w:rPr>
      </w:pPr>
      <w:r w:rsidRPr="005B0D1E">
        <w:rPr>
          <w:noProof/>
          <w:lang w:val="es-MX"/>
        </w:rPr>
        <w:lastRenderedPageBreak/>
        <w:drawing>
          <wp:inline distT="0" distB="0" distL="0" distR="0">
            <wp:extent cx="5430401" cy="4433958"/>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9303" t="14802" r="23723" b="4478"/>
                    <a:stretch>
                      <a:fillRect/>
                    </a:stretch>
                  </pic:blipFill>
                  <pic:spPr>
                    <a:xfrm>
                      <a:off x="0" y="0"/>
                      <a:ext cx="5430401" cy="4433958"/>
                    </a:xfrm>
                    <a:prstGeom prst="rect">
                      <a:avLst/>
                    </a:prstGeom>
                    <a:ln/>
                  </pic:spPr>
                </pic:pic>
              </a:graphicData>
            </a:graphic>
          </wp:inline>
        </w:drawing>
      </w:r>
    </w:p>
    <w:p w:rsidR="00797EE3" w:rsidRPr="005B0D1E" w:rsidRDefault="00797EE3" w:rsidP="00251560">
      <w:pPr>
        <w:spacing w:before="240"/>
        <w:ind w:left="567" w:right="618"/>
        <w:jc w:val="both"/>
        <w:rPr>
          <w:rFonts w:ascii="Palatino Linotype" w:eastAsia="Palatino Linotype" w:hAnsi="Palatino Linotype" w:cs="Palatino Linotype"/>
          <w:i/>
        </w:rPr>
      </w:pPr>
    </w:p>
    <w:p w:rsidR="00797EE3" w:rsidRPr="005B0D1E" w:rsidRDefault="00ED68EB" w:rsidP="00251560">
      <w:pPr>
        <w:spacing w:after="240"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b/>
        </w:rPr>
        <w:t xml:space="preserve">3. Interposición del recurso de revisión. </w:t>
      </w:r>
      <w:r w:rsidRPr="005B0D1E">
        <w:rPr>
          <w:rFonts w:ascii="Palatino Linotype" w:eastAsia="Palatino Linotype" w:hAnsi="Palatino Linotype" w:cs="Palatino Linotype"/>
        </w:rPr>
        <w:t xml:space="preserve">Inconforme con los términos de la respuesta emitida por parte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el </w:t>
      </w:r>
      <w:r w:rsidRPr="005B0D1E">
        <w:rPr>
          <w:rFonts w:ascii="Palatino Linotype" w:eastAsia="Palatino Linotype" w:hAnsi="Palatino Linotype" w:cs="Palatino Linotype"/>
          <w:b/>
        </w:rPr>
        <w:t>doce de abril del dos mil veintitrés,</w:t>
      </w:r>
      <w:r w:rsidRPr="005B0D1E">
        <w:rPr>
          <w:rFonts w:ascii="Palatino Linotype" w:eastAsia="Palatino Linotype" w:hAnsi="Palatino Linotype" w:cs="Palatino Linotype"/>
        </w:rPr>
        <w:t xml:space="preserv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interpuso el recurso de revisión a través de </w:t>
      </w:r>
      <w:r w:rsidRPr="005B0D1E">
        <w:rPr>
          <w:rFonts w:ascii="Palatino Linotype" w:eastAsia="Palatino Linotype" w:hAnsi="Palatino Linotype" w:cs="Palatino Linotype"/>
          <w:b/>
        </w:rPr>
        <w:t xml:space="preserve">SAIMEX, </w:t>
      </w:r>
      <w:r w:rsidRPr="005B0D1E">
        <w:rPr>
          <w:rFonts w:ascii="Palatino Linotype" w:eastAsia="Palatino Linotype" w:hAnsi="Palatino Linotype" w:cs="Palatino Linotype"/>
        </w:rPr>
        <w:t>en donde se manifestó de la siguiente manera:</w:t>
      </w:r>
    </w:p>
    <w:p w:rsidR="00797EE3" w:rsidRPr="005B0D1E" w:rsidRDefault="00ED68EB" w:rsidP="00251560">
      <w:pPr>
        <w:tabs>
          <w:tab w:val="left" w:pos="2745"/>
        </w:tabs>
        <w:spacing w:before="240" w:after="240" w:line="360" w:lineRule="auto"/>
        <w:jc w:val="both"/>
        <w:rPr>
          <w:rFonts w:ascii="Palatino Linotype" w:eastAsia="Palatino Linotype" w:hAnsi="Palatino Linotype" w:cs="Palatino Linotype"/>
          <w:b/>
        </w:rPr>
      </w:pPr>
      <w:r w:rsidRPr="005B0D1E">
        <w:rPr>
          <w:rFonts w:ascii="Palatino Linotype" w:eastAsia="Palatino Linotype" w:hAnsi="Palatino Linotype" w:cs="Palatino Linotype"/>
          <w:b/>
        </w:rPr>
        <w:t xml:space="preserve">Acto impugnado: </w:t>
      </w:r>
      <w:r w:rsidRPr="005B0D1E">
        <w:rPr>
          <w:rFonts w:ascii="Palatino Linotype" w:eastAsia="Palatino Linotype" w:hAnsi="Palatino Linotype" w:cs="Palatino Linotype"/>
          <w:b/>
        </w:rPr>
        <w:tab/>
      </w:r>
    </w:p>
    <w:p w:rsidR="00797EE3" w:rsidRPr="005B0D1E" w:rsidRDefault="00ED68EB" w:rsidP="00251560">
      <w:pPr>
        <w:ind w:left="851" w:right="902"/>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 xml:space="preserve">“El motivo de la queja es a razón de que la respuesta que dio la autoridad obligada a garantizar el Derecho de acceso a la información </w:t>
      </w:r>
      <w:proofErr w:type="spellStart"/>
      <w:r w:rsidRPr="005B0D1E">
        <w:rPr>
          <w:rFonts w:ascii="Palatino Linotype" w:eastAsia="Palatino Linotype" w:hAnsi="Palatino Linotype" w:cs="Palatino Linotype"/>
          <w:i/>
          <w:sz w:val="22"/>
          <w:szCs w:val="22"/>
        </w:rPr>
        <w:t>Publica</w:t>
      </w:r>
      <w:proofErr w:type="spellEnd"/>
      <w:r w:rsidRPr="005B0D1E">
        <w:rPr>
          <w:rFonts w:ascii="Palatino Linotype" w:eastAsia="Palatino Linotype" w:hAnsi="Palatino Linotype" w:cs="Palatino Linotype"/>
          <w:i/>
          <w:sz w:val="22"/>
          <w:szCs w:val="22"/>
        </w:rPr>
        <w:t xml:space="preserve"> que solicite, violó a todas luces ese Derecho Humano consagrado en el </w:t>
      </w:r>
      <w:proofErr w:type="spellStart"/>
      <w:r w:rsidRPr="005B0D1E">
        <w:rPr>
          <w:rFonts w:ascii="Palatino Linotype" w:eastAsia="Palatino Linotype" w:hAnsi="Palatino Linotype" w:cs="Palatino Linotype"/>
          <w:i/>
          <w:sz w:val="22"/>
          <w:szCs w:val="22"/>
        </w:rPr>
        <w:t>articulo</w:t>
      </w:r>
      <w:proofErr w:type="spellEnd"/>
      <w:r w:rsidRPr="005B0D1E">
        <w:rPr>
          <w:rFonts w:ascii="Palatino Linotype" w:eastAsia="Palatino Linotype" w:hAnsi="Palatino Linotype" w:cs="Palatino Linotype"/>
          <w:i/>
          <w:sz w:val="22"/>
          <w:szCs w:val="22"/>
        </w:rPr>
        <w:t xml:space="preserve"> 6 constitucional y la </w:t>
      </w:r>
      <w:r w:rsidRPr="005B0D1E">
        <w:rPr>
          <w:rFonts w:ascii="Palatino Linotype" w:eastAsia="Palatino Linotype" w:hAnsi="Palatino Linotype" w:cs="Palatino Linotype"/>
          <w:i/>
          <w:sz w:val="22"/>
          <w:szCs w:val="22"/>
        </w:rPr>
        <w:lastRenderedPageBreak/>
        <w:t xml:space="preserve">par de hacer valerlo en la vía administrativa para que sea sancionada, debe de cumplir con este mandato y no lo hizo ya que a lo que se limito es a dirigirme a una enlace de internet en donde según la autoridad se encuentra "el organigrama autorizado por la Secretaría de Finanzas del gobierno del Estado de México, donde no corroboraron su funcionamiento, no solo eso, sino que </w:t>
      </w:r>
      <w:r w:rsidRPr="005B0D1E">
        <w:rPr>
          <w:rFonts w:ascii="Palatino Linotype" w:eastAsia="Palatino Linotype" w:hAnsi="Palatino Linotype" w:cs="Palatino Linotype"/>
          <w:b/>
          <w:i/>
          <w:sz w:val="22"/>
          <w:szCs w:val="22"/>
        </w:rPr>
        <w:t>la información que supuestamente contenía en el enlace, no es la que solicite en el presente asunto y que obra en la presente plataforma, así que aun en el supuesto de que el enlace hubiese funcionado no es la información que solicite.</w:t>
      </w:r>
      <w:r w:rsidRPr="005B0D1E">
        <w:rPr>
          <w:rFonts w:ascii="Palatino Linotype" w:eastAsia="Palatino Linotype" w:hAnsi="Palatino Linotype" w:cs="Palatino Linotype"/>
          <w:i/>
          <w:sz w:val="22"/>
          <w:szCs w:val="22"/>
        </w:rPr>
        <w:t xml:space="preserve"> Otra justificante que dieron fue que de acuerdo al </w:t>
      </w:r>
      <w:proofErr w:type="spellStart"/>
      <w:r w:rsidRPr="005B0D1E">
        <w:rPr>
          <w:rFonts w:ascii="Palatino Linotype" w:eastAsia="Palatino Linotype" w:hAnsi="Palatino Linotype" w:cs="Palatino Linotype"/>
          <w:i/>
          <w:sz w:val="22"/>
          <w:szCs w:val="22"/>
        </w:rPr>
        <w:t>articulo</w:t>
      </w:r>
      <w:proofErr w:type="spellEnd"/>
      <w:r w:rsidRPr="005B0D1E">
        <w:rPr>
          <w:rFonts w:ascii="Palatino Linotype" w:eastAsia="Palatino Linotype" w:hAnsi="Palatino Linotype" w:cs="Palatino Linotype"/>
          <w:i/>
          <w:sz w:val="22"/>
          <w:szCs w:val="22"/>
        </w:rPr>
        <w:t xml:space="preserve"> 12 del ordenamiento en la materia de dicha entidad, ellos deben entregar la información que obre en sus archivos, y en el estado en que se encuentren, sin estar obligados a procesar dicha información o de acuerdo al interés del solicitante, por lo que cabe mencionar que es de explorado conocimiento que todas las Instituciones </w:t>
      </w:r>
      <w:proofErr w:type="spellStart"/>
      <w:r w:rsidRPr="005B0D1E">
        <w:rPr>
          <w:rFonts w:ascii="Palatino Linotype" w:eastAsia="Palatino Linotype" w:hAnsi="Palatino Linotype" w:cs="Palatino Linotype"/>
          <w:i/>
          <w:sz w:val="22"/>
          <w:szCs w:val="22"/>
        </w:rPr>
        <w:t>publicas</w:t>
      </w:r>
      <w:proofErr w:type="spellEnd"/>
      <w:r w:rsidRPr="005B0D1E">
        <w:rPr>
          <w:rFonts w:ascii="Palatino Linotype" w:eastAsia="Palatino Linotype" w:hAnsi="Palatino Linotype" w:cs="Palatino Linotype"/>
          <w:i/>
          <w:sz w:val="22"/>
          <w:szCs w:val="22"/>
        </w:rPr>
        <w:t xml:space="preserve">, más tratándose de una Fiscalía Estatal, tiene un área o departamento que es el encargado de tener el control, seguimiento y actualización de la relación de los servidores públicos adscritos a la misma, por lo que queda de manifiesto la forma poco diligente con la que se conduce dicha autoridad obligada, ya que la información solicitada no se encuentra en ningún supuesto de información reservada o confidencial. Debe saber la Autoridad obligada que para que pueda ser efectivo el Derecho Humano de Acceso a la Información </w:t>
      </w:r>
      <w:proofErr w:type="spellStart"/>
      <w:r w:rsidRPr="005B0D1E">
        <w:rPr>
          <w:rFonts w:ascii="Palatino Linotype" w:eastAsia="Palatino Linotype" w:hAnsi="Palatino Linotype" w:cs="Palatino Linotype"/>
          <w:i/>
          <w:sz w:val="22"/>
          <w:szCs w:val="22"/>
        </w:rPr>
        <w:t>Publica</w:t>
      </w:r>
      <w:proofErr w:type="spellEnd"/>
      <w:r w:rsidRPr="005B0D1E">
        <w:rPr>
          <w:rFonts w:ascii="Palatino Linotype" w:eastAsia="Palatino Linotype" w:hAnsi="Palatino Linotype" w:cs="Palatino Linotype"/>
          <w:i/>
          <w:sz w:val="22"/>
          <w:szCs w:val="22"/>
        </w:rPr>
        <w:t xml:space="preserve">, la Suprema Corte de Justicia de la Nación, ya se </w:t>
      </w:r>
      <w:proofErr w:type="spellStart"/>
      <w:r w:rsidRPr="005B0D1E">
        <w:rPr>
          <w:rFonts w:ascii="Palatino Linotype" w:eastAsia="Palatino Linotype" w:hAnsi="Palatino Linotype" w:cs="Palatino Linotype"/>
          <w:i/>
          <w:sz w:val="22"/>
          <w:szCs w:val="22"/>
        </w:rPr>
        <w:t>a</w:t>
      </w:r>
      <w:proofErr w:type="spellEnd"/>
      <w:r w:rsidRPr="005B0D1E">
        <w:rPr>
          <w:rFonts w:ascii="Palatino Linotype" w:eastAsia="Palatino Linotype" w:hAnsi="Palatino Linotype" w:cs="Palatino Linotype"/>
          <w:i/>
          <w:sz w:val="22"/>
          <w:szCs w:val="22"/>
        </w:rPr>
        <w:t xml:space="preserve"> manifestado al respecto sobre los vertientes que deben ser colmadas, asimismo debe saber que una Ley Secundaria (legislación estatal) nunca podrá estar por encima o vulnerar lo que establece en beneficio de los gobernados una Ley General o la propia Constitución Federal. A efecto de que se </w:t>
      </w:r>
      <w:proofErr w:type="spellStart"/>
      <w:r w:rsidRPr="005B0D1E">
        <w:rPr>
          <w:rFonts w:ascii="Palatino Linotype" w:eastAsia="Palatino Linotype" w:hAnsi="Palatino Linotype" w:cs="Palatino Linotype"/>
          <w:i/>
          <w:sz w:val="22"/>
          <w:szCs w:val="22"/>
        </w:rPr>
        <w:t>este</w:t>
      </w:r>
      <w:proofErr w:type="spellEnd"/>
      <w:r w:rsidRPr="005B0D1E">
        <w:rPr>
          <w:rFonts w:ascii="Palatino Linotype" w:eastAsia="Palatino Linotype" w:hAnsi="Palatino Linotype" w:cs="Palatino Linotype"/>
          <w:i/>
          <w:sz w:val="22"/>
          <w:szCs w:val="22"/>
        </w:rPr>
        <w:t xml:space="preserve"> en posibilidad de resolver teniendo el documento impugnado, en este acto adjunto a la presente como ANEXO 1, la respuesta que emitió para el suscrito la autoridad obligada. Por lo anterior expuesto y motivado, solicito nuevamente me sea proporcionado la información solicitado en el inicio del presente asunto en la forma en la que se esgrimió.” (Sic)</w:t>
      </w:r>
    </w:p>
    <w:p w:rsidR="00797EE3" w:rsidRPr="005B0D1E" w:rsidRDefault="00797EE3" w:rsidP="00251560">
      <w:pPr>
        <w:ind w:left="851" w:right="902"/>
        <w:jc w:val="both"/>
        <w:rPr>
          <w:rFonts w:ascii="Palatino Linotype" w:eastAsia="Palatino Linotype" w:hAnsi="Palatino Linotype" w:cs="Palatino Linotype"/>
          <w:i/>
          <w:sz w:val="22"/>
          <w:szCs w:val="22"/>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Y Razones o motivos de inconformidad</w:t>
      </w:r>
      <w:r w:rsidRPr="005B0D1E">
        <w:rPr>
          <w:rFonts w:ascii="Palatino Linotype" w:eastAsia="Palatino Linotype" w:hAnsi="Palatino Linotype" w:cs="Palatino Linotype"/>
        </w:rPr>
        <w:t xml:space="preserv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no señaló motivos de inconformidad.</w:t>
      </w:r>
    </w:p>
    <w:p w:rsidR="00797EE3" w:rsidRPr="005B0D1E" w:rsidRDefault="00ED68EB" w:rsidP="00251560">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5B0D1E">
        <w:rPr>
          <w:rFonts w:ascii="Palatino Linotype" w:eastAsia="Palatino Linotype" w:hAnsi="Palatino Linotype" w:cs="Palatino Linotype"/>
          <w:i/>
          <w:sz w:val="22"/>
          <w:szCs w:val="22"/>
        </w:rPr>
        <w:t xml:space="preserve"> </w:t>
      </w:r>
    </w:p>
    <w:p w:rsidR="00797EE3" w:rsidRPr="005B0D1E" w:rsidRDefault="00797EE3" w:rsidP="00251560">
      <w:pPr>
        <w:ind w:left="851" w:right="902"/>
        <w:jc w:val="both"/>
        <w:rPr>
          <w:rFonts w:ascii="Palatino Linotype" w:eastAsia="Palatino Linotype" w:hAnsi="Palatino Linotype" w:cs="Palatino Linotype"/>
          <w:i/>
          <w:sz w:val="22"/>
          <w:szCs w:val="22"/>
        </w:rPr>
      </w:pPr>
    </w:p>
    <w:p w:rsidR="00797EE3" w:rsidRPr="005B0D1E" w:rsidRDefault="00ED68EB" w:rsidP="00251560">
      <w:pPr>
        <w:spacing w:line="360" w:lineRule="auto"/>
        <w:ind w:right="51"/>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adjuntó a su acuse del recurso de revisión el siguiente archivo electrónico “</w:t>
      </w:r>
      <w:hyperlink r:id="rId12">
        <w:r w:rsidRPr="005B0D1E">
          <w:rPr>
            <w:rFonts w:ascii="Palatino Linotype" w:eastAsia="Palatino Linotype" w:hAnsi="Palatino Linotype" w:cs="Palatino Linotype"/>
          </w:rPr>
          <w:t>Archivo1686626907484.pdf</w:t>
        </w:r>
      </w:hyperlink>
      <w:r w:rsidRPr="005B0D1E">
        <w:rPr>
          <w:rFonts w:ascii="Palatino Linotype" w:eastAsia="Palatino Linotype" w:hAnsi="Palatino Linotype" w:cs="Palatino Linotype"/>
        </w:rPr>
        <w:t xml:space="preserve">”, el cual corresponde al archivo por medio del cual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otorgó respuesta. </w:t>
      </w:r>
    </w:p>
    <w:p w:rsidR="00797EE3" w:rsidRPr="005B0D1E" w:rsidRDefault="00797EE3" w:rsidP="00251560">
      <w:pPr>
        <w:spacing w:line="360" w:lineRule="auto"/>
        <w:ind w:right="51"/>
        <w:jc w:val="both"/>
        <w:rPr>
          <w:rFonts w:ascii="Palatino Linotype" w:eastAsia="Palatino Linotype" w:hAnsi="Palatino Linotype" w:cs="Palatino Linotype"/>
        </w:rPr>
      </w:pPr>
    </w:p>
    <w:p w:rsidR="00797EE3" w:rsidRPr="005B0D1E" w:rsidRDefault="00ED68EB" w:rsidP="00251560">
      <w:pPr>
        <w:spacing w:line="360" w:lineRule="auto"/>
        <w:ind w:right="51"/>
        <w:jc w:val="both"/>
        <w:rPr>
          <w:rFonts w:ascii="Palatino Linotype" w:eastAsia="Palatino Linotype" w:hAnsi="Palatino Linotype" w:cs="Palatino Linotype"/>
        </w:rPr>
      </w:pPr>
      <w:r w:rsidRPr="005B0D1E">
        <w:rPr>
          <w:rFonts w:ascii="Palatino Linotype" w:eastAsia="Palatino Linotype" w:hAnsi="Palatino Linotype" w:cs="Palatino Linotype"/>
          <w:b/>
        </w:rPr>
        <w:t xml:space="preserve">4. Turno. </w:t>
      </w:r>
      <w:r w:rsidRPr="005B0D1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B0D1E">
        <w:rPr>
          <w:rFonts w:ascii="Palatino Linotype" w:eastAsia="Palatino Linotype" w:hAnsi="Palatino Linotype" w:cs="Palatino Linotype"/>
          <w:b/>
        </w:rPr>
        <w:t xml:space="preserve">Guadalupe Ramírez Peña, </w:t>
      </w:r>
      <w:r w:rsidRPr="005B0D1E">
        <w:rPr>
          <w:rFonts w:ascii="Palatino Linotype" w:eastAsia="Palatino Linotype" w:hAnsi="Palatino Linotype" w:cs="Palatino Linotype"/>
        </w:rPr>
        <w:t xml:space="preserve">a efecto de que analizara sobre su admisión o su </w:t>
      </w:r>
      <w:proofErr w:type="spellStart"/>
      <w:r w:rsidRPr="005B0D1E">
        <w:rPr>
          <w:rFonts w:ascii="Palatino Linotype" w:eastAsia="Palatino Linotype" w:hAnsi="Palatino Linotype" w:cs="Palatino Linotype"/>
        </w:rPr>
        <w:t>desechamiento</w:t>
      </w:r>
      <w:proofErr w:type="spellEnd"/>
      <w:r w:rsidRPr="005B0D1E">
        <w:rPr>
          <w:rFonts w:ascii="Palatino Linotype" w:eastAsia="Palatino Linotype" w:hAnsi="Palatino Linotype" w:cs="Palatino Linotype"/>
        </w:rPr>
        <w:t>.</w:t>
      </w:r>
    </w:p>
    <w:p w:rsidR="00797EE3" w:rsidRPr="005B0D1E" w:rsidRDefault="00797EE3" w:rsidP="00251560">
      <w:pPr>
        <w:spacing w:line="360" w:lineRule="auto"/>
        <w:ind w:right="51"/>
        <w:jc w:val="both"/>
        <w:rPr>
          <w:rFonts w:ascii="Palatino Linotype" w:eastAsia="Palatino Linotype" w:hAnsi="Palatino Linotype" w:cs="Palatino Linotype"/>
        </w:rPr>
      </w:pPr>
    </w:p>
    <w:p w:rsidR="00797EE3" w:rsidRPr="005B0D1E" w:rsidRDefault="00ED68EB" w:rsidP="00251560">
      <w:pPr>
        <w:spacing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5. Admisión del Recurso de revisión.</w:t>
      </w:r>
      <w:r w:rsidRPr="005B0D1E">
        <w:rPr>
          <w:rFonts w:ascii="Palatino Linotype" w:eastAsia="Palatino Linotype" w:hAnsi="Palatino Linotype" w:cs="Palatino Linotype"/>
        </w:rPr>
        <w:t xml:space="preserve"> Con fecha</w:t>
      </w:r>
      <w:r w:rsidRPr="005B0D1E">
        <w:rPr>
          <w:rFonts w:ascii="Palatino Linotype" w:eastAsia="Palatino Linotype" w:hAnsi="Palatino Linotype" w:cs="Palatino Linotype"/>
          <w:b/>
        </w:rPr>
        <w:t xml:space="preserve"> quince de junio de dos mil veintitrés, </w:t>
      </w:r>
      <w:r w:rsidRPr="005B0D1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B0D1E">
        <w:rPr>
          <w:rFonts w:ascii="Palatino Linotype" w:eastAsia="Palatino Linotype" w:hAnsi="Palatino Linotype" w:cs="Palatino Linotype"/>
          <w:b/>
        </w:rPr>
        <w:t xml:space="preserve">SUJETO OBLIGADO </w:t>
      </w:r>
      <w:r w:rsidRPr="005B0D1E">
        <w:rPr>
          <w:rFonts w:ascii="Palatino Linotype" w:eastAsia="Palatino Linotype" w:hAnsi="Palatino Linotype" w:cs="Palatino Linotype"/>
        </w:rPr>
        <w:t>presentara su informe justificado.</w:t>
      </w:r>
    </w:p>
    <w:p w:rsidR="00797EE3" w:rsidRPr="005B0D1E" w:rsidRDefault="00ED68EB" w:rsidP="0025156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6. Manifestaciones</w:t>
      </w:r>
      <w:r w:rsidRPr="005B0D1E">
        <w:rPr>
          <w:rFonts w:ascii="Palatino Linotype" w:eastAsia="Palatino Linotype" w:hAnsi="Palatino Linotype" w:cs="Palatino Linotype"/>
        </w:rPr>
        <w:t xml:space="preserve">. De las constancias que integran el expediente en que se actúa se advierte que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fue omisa en presentar sus alegatos o manifestación alguna.</w:t>
      </w: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Por su parte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en fecha veintiséis de junio del año en curso, remitió su informe justificado a través de los siguientes archivos electrónicos:</w:t>
      </w: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w:t>
      </w:r>
      <w:hyperlink r:id="rId13">
        <w:r w:rsidRPr="005B0D1E">
          <w:rPr>
            <w:rFonts w:ascii="Palatino Linotype" w:eastAsia="Palatino Linotype" w:hAnsi="Palatino Linotype" w:cs="Palatino Linotype"/>
          </w:rPr>
          <w:t>OFICIO INFORME_2023_06_26_19_51_16_927.pdf</w:t>
        </w:r>
      </w:hyperlink>
      <w:r w:rsidRPr="005B0D1E">
        <w:rPr>
          <w:rFonts w:ascii="Palatino Linotype" w:eastAsia="Palatino Linotype" w:hAnsi="Palatino Linotype" w:cs="Palatino Linotype"/>
        </w:rPr>
        <w:t xml:space="preserve">”, el cual contiene el oficio número 2686/MAIP/FGJ/2023, por medio del cual el Titular de la Unidad de Transparencia del SUJETO OBLIGADO, remitió su informe justificado. </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w:t>
      </w:r>
      <w:hyperlink r:id="rId14">
        <w:r w:rsidRPr="005B0D1E">
          <w:rPr>
            <w:rFonts w:ascii="Palatino Linotype" w:eastAsia="Palatino Linotype" w:hAnsi="Palatino Linotype" w:cs="Palatino Linotype"/>
          </w:rPr>
          <w:t>INFORME JUSTIFICADO_2023_06_26_19_51_57_674.pdf</w:t>
        </w:r>
      </w:hyperlink>
      <w:r w:rsidRPr="005B0D1E">
        <w:rPr>
          <w:rFonts w:ascii="Palatino Linotype" w:eastAsia="Palatino Linotype" w:hAnsi="Palatino Linotype" w:cs="Palatino Linotype"/>
        </w:rPr>
        <w:t xml:space="preserve">”, el cual contiene el informe justificado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por medio del cual informó en atención a los motivos de informidad 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que en atención a lo solicitado hizo entrega del organigrama de esa Institución, reiterando su respuesta.</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Por otro lado señaló, que si bien el particular solicitó el Organigrama que contenga nombre completo de todos y cada uno de los servidores públicos de la Fiscalía General de Justicia del Estado de México, esta información no se encuentra procesada en los términos requeridos, es decir, el organigrama con que se cuenta no tiene las características o especificaciones solicitadas por el particular, por ello se proporcionó la información tal y como se genera. </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Sin embargo, precisó que el interés del particular es conocer el nombre de los servidores públicos que ocupan los cargos referidos en el organigrama, estos se encuentran contenidos y disponibles de manera permanente en el directorio de esta Fiscalía General de Justicia del Estado de México, el cual también forma parte de las obligaciones determinadas en el artículo 92 de la Ley de la Materia y se encuentra publicado en la página del IPOMEX, proporcionando la siguiente liga electrónica:</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936A2E" w:rsidP="00251560">
      <w:pPr>
        <w:spacing w:line="360" w:lineRule="auto"/>
        <w:jc w:val="both"/>
        <w:rPr>
          <w:rFonts w:ascii="Palatino Linotype" w:eastAsia="Palatino Linotype" w:hAnsi="Palatino Linotype" w:cs="Palatino Linotype"/>
        </w:rPr>
      </w:pPr>
      <w:hyperlink r:id="rId15">
        <w:r w:rsidR="00ED68EB" w:rsidRPr="005B0D1E">
          <w:rPr>
            <w:rFonts w:ascii="Palatino Linotype" w:eastAsia="Palatino Linotype" w:hAnsi="Palatino Linotype" w:cs="Palatino Linotype"/>
            <w:u w:val="single"/>
          </w:rPr>
          <w:t>https://ipomex.org.mx/ipo3/lgt/indice/FGJEM/art_92_vii.web?token=03ADUVZwDbQz0Ahay3cqoyi47m4zUUF83MABjaNjc0SxF3vMEj0eqrlySqCrV5dMFLXJf4PambTvRXnP2J0n9B0V_ynYGqeHy2YfYEX8TFNSmpgMtpL_aKk6iNnuXNaNKYlyi_SLQIJQwcpdW8kahsykQtivBi2cyZPMzLa5BdfH4GWnKppkTFoJAGyi19ThF8VbCQTQ1ygjqDeeEHw8zuNOgWLAa6J7rnnSuI3K0evxfTFmBDlO4jFqD-1KoyvQ8GD_60bpn0Z82CIQtPHuC7VqJo_cJ0z6Gokc_Czz8_g5cMfKkVs1knctbOvxyyLnjRVgVl8xk5OW92vEk6f6h79W9DOOg55FMukKd5Y9BZIhOq61xE--krwi0NyFY6nryKy1u-Ph11JqDA_kqkutnWRgXiGRtadD6kaql9FDODQTLMz5pTOmpFr8tRJuNSuyfvr7m4_4RSD0AtLj8tjVh_r3a3DyHYbUXrt5skgkEOoVKxBrI1hKvtwOz5T11LPQBzzjgrKlKP-rrVwBAv1ZqFt5AHLKy4dFm4AB6Dmo8nU91BqvgLe6nvNps</w:t>
        </w:r>
      </w:hyperlink>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Precisando que la presente solicitud fue atendida en su totalidad al hacer entrega de las ligas electrónicas en las que se encuentra publicada la información interés del solicitante, solicitando que se sobresea el presente asunto. </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Dichos archivos, se pusieron a la vista 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797EE3" w:rsidRPr="005B0D1E" w:rsidRDefault="00797EE3" w:rsidP="00251560">
      <w:pPr>
        <w:widowControl w:val="0"/>
        <w:spacing w:line="360" w:lineRule="auto"/>
        <w:jc w:val="both"/>
        <w:rPr>
          <w:rFonts w:ascii="Palatino Linotype" w:eastAsia="Palatino Linotype" w:hAnsi="Palatino Linotype" w:cs="Palatino Linotype"/>
        </w:rPr>
      </w:pPr>
    </w:p>
    <w:p w:rsidR="00797EE3" w:rsidRPr="005B0D1E" w:rsidRDefault="00ED68EB" w:rsidP="00251560">
      <w:pPr>
        <w:widowControl w:val="0"/>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7. </w:t>
      </w:r>
      <w:r w:rsidRPr="005B0D1E">
        <w:rPr>
          <w:rFonts w:ascii="Palatino Linotype" w:eastAsia="Palatino Linotype" w:hAnsi="Palatino Linotype" w:cs="Palatino Linotype"/>
          <w:b/>
        </w:rPr>
        <w:t>Ampliación del plazo.</w:t>
      </w:r>
      <w:r w:rsidRPr="005B0D1E">
        <w:rPr>
          <w:rFonts w:ascii="Palatino Linotype" w:eastAsia="Palatino Linotype" w:hAnsi="Palatino Linotype" w:cs="Palatino Linotype"/>
        </w:rPr>
        <w:t xml:space="preserve"> En fecha veintinueve de agosto del año dos mil veintitrés, con fundamento en el artículo 181, párrafo tercero de la Ley de Transparencia y </w:t>
      </w:r>
      <w:r w:rsidRPr="005B0D1E">
        <w:rPr>
          <w:rFonts w:ascii="Palatino Linotype" w:eastAsia="Palatino Linotype" w:hAnsi="Palatino Linotype" w:cs="Palatino Linotype"/>
        </w:rPr>
        <w:lastRenderedPageBreak/>
        <w:t>Acceso a la Información Pública del Estado de México y Municipios, se acordó la ampliación del plazo para su resolución.</w:t>
      </w:r>
    </w:p>
    <w:p w:rsidR="00797EE3" w:rsidRPr="005B0D1E" w:rsidRDefault="00797EE3" w:rsidP="00251560">
      <w:pPr>
        <w:widowControl w:val="0"/>
        <w:spacing w:line="360" w:lineRule="auto"/>
        <w:jc w:val="both"/>
        <w:rPr>
          <w:rFonts w:ascii="Palatino Linotype" w:eastAsia="Palatino Linotype" w:hAnsi="Palatino Linotype" w:cs="Palatino Linotype"/>
        </w:rPr>
      </w:pPr>
    </w:p>
    <w:p w:rsidR="00797EE3" w:rsidRPr="005B0D1E" w:rsidRDefault="00ED68EB" w:rsidP="00251560">
      <w:pPr>
        <w:widowControl w:val="0"/>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strike/>
        </w:rPr>
      </w:pPr>
      <w:r w:rsidRPr="005B0D1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numPr>
          <w:ilvl w:val="0"/>
          <w:numId w:val="1"/>
        </w:numPr>
        <w:ind w:left="851"/>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797EE3" w:rsidRPr="005B0D1E" w:rsidRDefault="00797EE3" w:rsidP="00251560">
      <w:pPr>
        <w:ind w:left="851" w:hanging="360"/>
        <w:jc w:val="both"/>
        <w:rPr>
          <w:rFonts w:ascii="Palatino Linotype" w:eastAsia="Palatino Linotype" w:hAnsi="Palatino Linotype" w:cs="Palatino Linotype"/>
        </w:rPr>
      </w:pPr>
    </w:p>
    <w:p w:rsidR="00797EE3" w:rsidRPr="005B0D1E" w:rsidRDefault="00ED68EB" w:rsidP="00251560">
      <w:pPr>
        <w:numPr>
          <w:ilvl w:val="0"/>
          <w:numId w:val="1"/>
        </w:numPr>
        <w:ind w:left="851"/>
        <w:jc w:val="both"/>
        <w:rPr>
          <w:rFonts w:ascii="Palatino Linotype" w:eastAsia="Palatino Linotype" w:hAnsi="Palatino Linotype" w:cs="Palatino Linotype"/>
        </w:rPr>
      </w:pPr>
      <w:r w:rsidRPr="005B0D1E">
        <w:rPr>
          <w:rFonts w:ascii="Palatino Linotype" w:eastAsia="Palatino Linotype" w:hAnsi="Palatino Linotype" w:cs="Palatino Linotype"/>
        </w:rPr>
        <w:t>Actividad Procesal del interesado. Acciones u omisiones del interesado.</w:t>
      </w:r>
    </w:p>
    <w:p w:rsidR="00797EE3" w:rsidRPr="005B0D1E" w:rsidRDefault="00797EE3" w:rsidP="00251560">
      <w:pPr>
        <w:ind w:left="851" w:hanging="360"/>
        <w:jc w:val="both"/>
        <w:rPr>
          <w:rFonts w:ascii="Palatino Linotype" w:eastAsia="Palatino Linotype" w:hAnsi="Palatino Linotype" w:cs="Palatino Linotype"/>
        </w:rPr>
      </w:pPr>
    </w:p>
    <w:p w:rsidR="00797EE3" w:rsidRPr="005B0D1E" w:rsidRDefault="00ED68EB" w:rsidP="00251560">
      <w:pPr>
        <w:numPr>
          <w:ilvl w:val="0"/>
          <w:numId w:val="1"/>
        </w:numPr>
        <w:ind w:left="851"/>
        <w:jc w:val="both"/>
        <w:rPr>
          <w:rFonts w:ascii="Palatino Linotype" w:eastAsia="Palatino Linotype" w:hAnsi="Palatino Linotype" w:cs="Palatino Linotype"/>
        </w:rPr>
      </w:pPr>
      <w:r w:rsidRPr="005B0D1E">
        <w:rPr>
          <w:rFonts w:ascii="Palatino Linotype" w:eastAsia="Palatino Linotype" w:hAnsi="Palatino Linotype" w:cs="Palatino Linotype"/>
        </w:rPr>
        <w:t>Conducta de la Autoridad: Las Acciones u omisiones realizadas en el procedimiento. Así como si la autoridad actuó con la debida diligencia.</w:t>
      </w:r>
    </w:p>
    <w:p w:rsidR="00797EE3" w:rsidRPr="005B0D1E" w:rsidRDefault="00797EE3" w:rsidP="00251560">
      <w:pPr>
        <w:ind w:left="851" w:hanging="360"/>
        <w:rPr>
          <w:rFonts w:ascii="Palatino Linotype" w:eastAsia="Palatino Linotype" w:hAnsi="Palatino Linotype" w:cs="Palatino Linotype"/>
        </w:rPr>
      </w:pPr>
    </w:p>
    <w:p w:rsidR="00797EE3" w:rsidRPr="005B0D1E" w:rsidRDefault="00ED68EB" w:rsidP="00251560">
      <w:pPr>
        <w:ind w:left="851" w:hanging="360"/>
        <w:jc w:val="both"/>
        <w:rPr>
          <w:rFonts w:ascii="Palatino Linotype" w:eastAsia="Palatino Linotype" w:hAnsi="Palatino Linotype" w:cs="Palatino Linotype"/>
        </w:rPr>
      </w:pPr>
      <w:r w:rsidRPr="005B0D1E">
        <w:rPr>
          <w:rFonts w:ascii="Palatino Linotype" w:eastAsia="Palatino Linotype" w:hAnsi="Palatino Linotype" w:cs="Palatino Linotype"/>
        </w:rPr>
        <w:t>d) La afectación generada en la situación jurídica de la persona involucrada en el proceso: Violación a sus derechos humanos.</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b/>
        </w:rPr>
      </w:pPr>
      <w:r w:rsidRPr="005B0D1E">
        <w:rPr>
          <w:rFonts w:ascii="Palatino Linotype" w:eastAsia="Palatino Linotype" w:hAnsi="Palatino Linotype" w:cs="Palatino Linotype"/>
        </w:rPr>
        <w:lastRenderedPageBreak/>
        <w:t>Argumento que encuentra sustento en la jurisprudencia P</w:t>
      </w:r>
      <w:proofErr w:type="gramStart"/>
      <w:r w:rsidRPr="005B0D1E">
        <w:rPr>
          <w:rFonts w:ascii="Palatino Linotype" w:eastAsia="Palatino Linotype" w:hAnsi="Palatino Linotype" w:cs="Palatino Linotype"/>
        </w:rPr>
        <w:t>./</w:t>
      </w:r>
      <w:proofErr w:type="gramEnd"/>
      <w:r w:rsidRPr="005B0D1E">
        <w:rPr>
          <w:rFonts w:ascii="Palatino Linotype" w:eastAsia="Palatino Linotype" w:hAnsi="Palatino Linotype" w:cs="Palatino Linotype"/>
        </w:rPr>
        <w:t xml:space="preserve">J. 32/92 emitida por el Pleno de la Suprema Corte de Justicia de la Nación de rubro </w:t>
      </w:r>
      <w:r w:rsidRPr="005B0D1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B0D1E">
        <w:rPr>
          <w:rFonts w:ascii="Palatino Linotype" w:eastAsia="Palatino Linotype" w:hAnsi="Palatino Linotype" w:cs="Palatino Linotype"/>
        </w:rPr>
        <w:t>, visible en la Gaceta del Seminario Judicial de la Federación con el registro digital 205635.</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 </w:t>
      </w:r>
      <w:r w:rsidRPr="005B0D1E">
        <w:rPr>
          <w:rFonts w:ascii="Palatino Linotype" w:eastAsia="Palatino Linotype" w:hAnsi="Palatino Linotype" w:cs="Palatino Linotype"/>
          <w:i/>
        </w:rPr>
        <w:t>“PLAZO RAZONABLE PARA RESOLVER. DIMENSIÓN Y EFECTOS DE ESTE CONCEPTO CUANDO SE ADUCE EXCESIVA CARGA DE TRABAJO.”</w:t>
      </w:r>
      <w:r w:rsidRPr="005B0D1E">
        <w:rPr>
          <w:rFonts w:ascii="Palatino Linotype" w:eastAsia="Palatino Linotype" w:hAnsi="Palatino Linotype" w:cs="Palatino Linotype"/>
        </w:rPr>
        <w:t xml:space="preserve"> consultable en el Seminario Judicial de la Federación y su gaceta, con el registro digital 2002351.</w:t>
      </w:r>
    </w:p>
    <w:p w:rsidR="00797EE3" w:rsidRPr="005B0D1E" w:rsidRDefault="00797EE3" w:rsidP="00251560">
      <w:pPr>
        <w:spacing w:line="360" w:lineRule="auto"/>
        <w:jc w:val="both"/>
        <w:rPr>
          <w:rFonts w:ascii="Palatino Linotype" w:eastAsia="Palatino Linotype" w:hAnsi="Palatino Linotype" w:cs="Palatino Linotype"/>
          <w:b/>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i/>
        </w:rPr>
        <w:t>“PLAZO RAZONABLE PARA RESOLVER. CONCEPTO Y ELEMENTOS QUE LO INTEGRAN A LA LUZ DEL DERECHO INTERNACIONAL DE LOS DERECHOS HUMANOS.”</w:t>
      </w:r>
      <w:r w:rsidRPr="005B0D1E">
        <w:rPr>
          <w:rFonts w:ascii="Palatino Linotype" w:eastAsia="Palatino Linotype" w:hAnsi="Palatino Linotype" w:cs="Palatino Linotype"/>
        </w:rPr>
        <w:t>, visible en el Seminario Judicial de la Federación y su gaceta, con el registro digital 2002350.</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797EE3" w:rsidRPr="005B0D1E" w:rsidRDefault="00ED68EB" w:rsidP="00251560">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 xml:space="preserve">8. Cierre de instrucción. </w:t>
      </w:r>
      <w:r w:rsidRPr="005B0D1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5B0D1E">
        <w:rPr>
          <w:rFonts w:ascii="Palatino Linotype" w:eastAsia="Palatino Linotype" w:hAnsi="Palatino Linotype" w:cs="Palatino Linotype"/>
          <w:b/>
        </w:rPr>
        <w:t>primero de septiembre de dos mil veintitrés</w:t>
      </w:r>
      <w:r w:rsidRPr="005B0D1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797EE3" w:rsidRPr="005B0D1E" w:rsidRDefault="00ED68EB" w:rsidP="00251560">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F46358" w:rsidRPr="005B0D1E" w:rsidRDefault="00F46358" w:rsidP="00251560">
      <w:pPr>
        <w:spacing w:before="240" w:after="240" w:line="360" w:lineRule="auto"/>
        <w:jc w:val="both"/>
        <w:rPr>
          <w:rFonts w:ascii="Palatino Linotype" w:eastAsia="Palatino Linotype" w:hAnsi="Palatino Linotype" w:cs="Palatino Linotype"/>
        </w:rPr>
      </w:pPr>
    </w:p>
    <w:p w:rsidR="00797EE3" w:rsidRPr="005B0D1E" w:rsidRDefault="00ED68EB" w:rsidP="00251560">
      <w:pPr>
        <w:widowControl w:val="0"/>
        <w:spacing w:line="360" w:lineRule="auto"/>
        <w:jc w:val="center"/>
        <w:rPr>
          <w:rFonts w:ascii="Palatino Linotype" w:eastAsia="Palatino Linotype" w:hAnsi="Palatino Linotype" w:cs="Palatino Linotype"/>
          <w:b/>
        </w:rPr>
      </w:pPr>
      <w:r w:rsidRPr="005B0D1E">
        <w:rPr>
          <w:rFonts w:ascii="Palatino Linotype" w:eastAsia="Palatino Linotype" w:hAnsi="Palatino Linotype" w:cs="Palatino Linotype"/>
          <w:b/>
        </w:rPr>
        <w:lastRenderedPageBreak/>
        <w:t>II. C O N S I D E R A N D O S</w:t>
      </w:r>
    </w:p>
    <w:p w:rsidR="00797EE3" w:rsidRPr="005B0D1E" w:rsidRDefault="00797EE3" w:rsidP="00251560">
      <w:pPr>
        <w:spacing w:line="360" w:lineRule="auto"/>
        <w:jc w:val="both"/>
        <w:rPr>
          <w:rFonts w:ascii="Palatino Linotype" w:eastAsia="Palatino Linotype" w:hAnsi="Palatino Linotype" w:cs="Palatino Linotype"/>
          <w:b/>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Primero. Competencia.</w:t>
      </w:r>
      <w:r w:rsidRPr="005B0D1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797EE3" w:rsidRPr="005B0D1E" w:rsidRDefault="00ED68EB" w:rsidP="00251560">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5B0D1E">
        <w:rPr>
          <w:rFonts w:ascii="Palatino Linotype" w:eastAsia="Palatino Linotype" w:hAnsi="Palatino Linotype" w:cs="Palatino Linotype"/>
          <w:b/>
        </w:rPr>
        <w:t xml:space="preserve">Segundo. Oportunidad y </w:t>
      </w:r>
      <w:proofErr w:type="spellStart"/>
      <w:r w:rsidRPr="005B0D1E">
        <w:rPr>
          <w:rFonts w:ascii="Palatino Linotype" w:eastAsia="Palatino Linotype" w:hAnsi="Palatino Linotype" w:cs="Palatino Linotype"/>
          <w:b/>
        </w:rPr>
        <w:t>Procedibilidad</w:t>
      </w:r>
      <w:proofErr w:type="spellEnd"/>
      <w:r w:rsidRPr="005B0D1E">
        <w:rPr>
          <w:rFonts w:ascii="Palatino Linotype" w:eastAsia="Palatino Linotype" w:hAnsi="Palatino Linotype" w:cs="Palatino Linotype"/>
          <w:b/>
        </w:rPr>
        <w:t xml:space="preserve"> del Recurso de Revisión. </w:t>
      </w:r>
      <w:r w:rsidRPr="005B0D1E">
        <w:rPr>
          <w:rFonts w:ascii="Palatino Linotype" w:eastAsia="Palatino Linotype" w:hAnsi="Palatino Linotype" w:cs="Palatino Linotype"/>
        </w:rPr>
        <w:t xml:space="preserve">De conformidad con los requisitos de Oportunidad y </w:t>
      </w:r>
      <w:proofErr w:type="spellStart"/>
      <w:r w:rsidRPr="005B0D1E">
        <w:rPr>
          <w:rFonts w:ascii="Palatino Linotype" w:eastAsia="Palatino Linotype" w:hAnsi="Palatino Linotype" w:cs="Palatino Linotype"/>
        </w:rPr>
        <w:t>Procedibilidad</w:t>
      </w:r>
      <w:proofErr w:type="spellEnd"/>
      <w:r w:rsidRPr="005B0D1E">
        <w:rPr>
          <w:rFonts w:ascii="Palatino Linotype" w:eastAsia="Palatino Linotype" w:hAnsi="Palatino Linotype" w:cs="Palatino Linotype"/>
        </w:rPr>
        <w:t xml:space="preserve">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emitió su respuesta a la solicitud planteada por el solicitante el veintinueve de mayo del año dos mil veintidós y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presentó su recurso de revisión el doce de junio del mismo año; esto es, al décimo día hábil siguiente de aquel en que tuvo conocimiento de la respuesta; </w:t>
      </w:r>
      <w:r w:rsidRPr="005B0D1E">
        <w:rPr>
          <w:rFonts w:ascii="Palatino Linotype" w:eastAsia="Palatino Linotype" w:hAnsi="Palatino Linotype" w:cs="Palatino Linotype"/>
        </w:rPr>
        <w:lastRenderedPageBreak/>
        <w:t>evidenciándose que la interposición del recurso se encuentra dentro de los márgenes temporales previstos en el citado precepto legal.</w:t>
      </w:r>
    </w:p>
    <w:p w:rsidR="00797EE3" w:rsidRPr="005B0D1E" w:rsidRDefault="00ED68EB" w:rsidP="00251560">
      <w:pPr>
        <w:spacing w:before="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Al mismo tiempo, tras la revisión del formato de interposición del recurso, es de suma importancia señalar que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no proporcionó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97EE3" w:rsidRPr="005B0D1E" w:rsidRDefault="00797EE3" w:rsidP="00251560">
      <w:pPr>
        <w:ind w:left="567" w:right="474"/>
        <w:jc w:val="both"/>
        <w:rPr>
          <w:rFonts w:ascii="Palatino Linotype" w:eastAsia="Palatino Linotype" w:hAnsi="Palatino Linotype" w:cs="Palatino Linotype"/>
          <w:i/>
        </w:rPr>
      </w:pPr>
    </w:p>
    <w:p w:rsidR="00797EE3" w:rsidRPr="005B0D1E" w:rsidRDefault="00ED68EB" w:rsidP="00251560">
      <w:pPr>
        <w:spacing w:after="240"/>
        <w:ind w:left="567" w:right="474"/>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w:t>
      </w:r>
      <w:r w:rsidRPr="005B0D1E">
        <w:rPr>
          <w:rFonts w:ascii="Palatino Linotype" w:eastAsia="Palatino Linotype" w:hAnsi="Palatino Linotype" w:cs="Palatino Linotype"/>
          <w:b/>
          <w:i/>
          <w:sz w:val="22"/>
          <w:szCs w:val="22"/>
        </w:rPr>
        <w:t>Las solicitudes anónimas</w:t>
      </w:r>
      <w:r w:rsidRPr="005B0D1E">
        <w:rPr>
          <w:rFonts w:ascii="Palatino Linotype" w:eastAsia="Palatino Linotype" w:hAnsi="Palatino Linotype" w:cs="Palatino Linotype"/>
          <w:i/>
          <w:sz w:val="22"/>
          <w:szCs w:val="22"/>
        </w:rPr>
        <w:t xml:space="preserve">, con nombre incompleto o seudónimo </w:t>
      </w:r>
      <w:r w:rsidRPr="005B0D1E">
        <w:rPr>
          <w:rFonts w:ascii="Palatino Linotype" w:eastAsia="Palatino Linotype" w:hAnsi="Palatino Linotype" w:cs="Palatino Linotype"/>
          <w:b/>
          <w:i/>
          <w:sz w:val="22"/>
          <w:szCs w:val="22"/>
        </w:rPr>
        <w:t>serán procedentes para su trámite por parte del sujeto obligado ante quien se presente</w:t>
      </w:r>
      <w:r w:rsidRPr="005B0D1E">
        <w:rPr>
          <w:rFonts w:ascii="Palatino Linotype" w:eastAsia="Palatino Linotype" w:hAnsi="Palatino Linotype" w:cs="Palatino Linotype"/>
          <w:i/>
          <w:sz w:val="22"/>
          <w:szCs w:val="22"/>
        </w:rPr>
        <w:t>. No podrá requerirse información adicional con motivo del nombre proporcionado por el solicitante."(Sic)</w:t>
      </w:r>
    </w:p>
    <w:p w:rsidR="00797EE3" w:rsidRPr="005B0D1E" w:rsidRDefault="00ED68EB" w:rsidP="00251560">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Además, por cuanto hace a la </w:t>
      </w:r>
      <w:proofErr w:type="spellStart"/>
      <w:r w:rsidRPr="005B0D1E">
        <w:rPr>
          <w:rFonts w:ascii="Palatino Linotype" w:eastAsia="Palatino Linotype" w:hAnsi="Palatino Linotype" w:cs="Palatino Linotype"/>
        </w:rPr>
        <w:t>procedibilidad</w:t>
      </w:r>
      <w:proofErr w:type="spellEnd"/>
      <w:r w:rsidRPr="005B0D1E">
        <w:rPr>
          <w:rFonts w:ascii="Palatino Linotype" w:eastAsia="Palatino Linotype" w:hAnsi="Palatino Linotype" w:cs="Palatino Linotype"/>
        </w:rPr>
        <w:t xml:space="preserve">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5B0D1E">
        <w:rPr>
          <w:rFonts w:ascii="Palatino Linotype" w:eastAsia="Palatino Linotype" w:hAnsi="Palatino Linotype" w:cs="Palatino Linotype"/>
          <w:b/>
        </w:rPr>
        <w:t>EL</w:t>
      </w:r>
      <w:r w:rsidRPr="005B0D1E">
        <w:rPr>
          <w:rFonts w:ascii="Palatino Linotype" w:eastAsia="Palatino Linotype" w:hAnsi="Palatino Linotype" w:cs="Palatino Linotype"/>
        </w:rPr>
        <w:t xml:space="preserve"> </w:t>
      </w:r>
      <w:r w:rsidRPr="005B0D1E">
        <w:rPr>
          <w:rFonts w:ascii="Palatino Linotype" w:eastAsia="Palatino Linotype" w:hAnsi="Palatino Linotype" w:cs="Palatino Linotype"/>
          <w:b/>
        </w:rPr>
        <w:t>SAIMEX</w:t>
      </w:r>
      <w:r w:rsidRPr="005B0D1E">
        <w:rPr>
          <w:rFonts w:ascii="Palatino Linotype" w:eastAsia="Palatino Linotype" w:hAnsi="Palatino Linotype" w:cs="Palatino Linotype"/>
        </w:rPr>
        <w:t>.</w:t>
      </w:r>
    </w:p>
    <w:p w:rsidR="00797EE3" w:rsidRPr="005B0D1E" w:rsidRDefault="00797EE3" w:rsidP="00251560">
      <w:pPr>
        <w:pBdr>
          <w:top w:val="nil"/>
          <w:left w:val="nil"/>
          <w:bottom w:val="nil"/>
          <w:right w:val="nil"/>
          <w:between w:val="nil"/>
        </w:pBdr>
        <w:spacing w:line="360" w:lineRule="auto"/>
        <w:ind w:right="-147"/>
        <w:jc w:val="both"/>
        <w:rPr>
          <w:rFonts w:ascii="Palatino Linotype" w:eastAsia="Palatino Linotype" w:hAnsi="Palatino Linotype" w:cs="Palatino Linotype"/>
        </w:rPr>
      </w:pPr>
    </w:p>
    <w:p w:rsidR="00797EE3" w:rsidRPr="005B0D1E" w:rsidRDefault="00ED68EB" w:rsidP="00251560">
      <w:pPr>
        <w:spacing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rsidR="00797EE3" w:rsidRPr="005B0D1E" w:rsidRDefault="00ED68EB" w:rsidP="00251560">
      <w:pPr>
        <w:ind w:left="1276" w:right="1752"/>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w:t>
      </w:r>
      <w:r w:rsidRPr="005B0D1E">
        <w:rPr>
          <w:rFonts w:ascii="Palatino Linotype" w:eastAsia="Palatino Linotype" w:hAnsi="Palatino Linotype" w:cs="Palatino Linotype"/>
          <w:b/>
          <w:i/>
          <w:sz w:val="22"/>
          <w:szCs w:val="22"/>
        </w:rPr>
        <w:t xml:space="preserve">Artículo 179. </w:t>
      </w:r>
      <w:r w:rsidRPr="005B0D1E">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sidRPr="005B0D1E">
        <w:rPr>
          <w:rFonts w:ascii="Palatino Linotype" w:eastAsia="Palatino Linotype" w:hAnsi="Palatino Linotype" w:cs="Palatino Linotype"/>
          <w:i/>
          <w:sz w:val="22"/>
          <w:szCs w:val="22"/>
        </w:rPr>
        <w:lastRenderedPageBreak/>
        <w:t>acceso a la información pública, y procederá en contra de las siguientes causas:</w:t>
      </w:r>
    </w:p>
    <w:p w:rsidR="00797EE3" w:rsidRPr="005B0D1E" w:rsidRDefault="00ED68EB" w:rsidP="00251560">
      <w:pPr>
        <w:ind w:left="1276" w:right="1752"/>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w:t>
      </w:r>
    </w:p>
    <w:p w:rsidR="00797EE3" w:rsidRPr="005B0D1E" w:rsidRDefault="00ED68EB" w:rsidP="00251560">
      <w:pPr>
        <w:ind w:left="1276" w:right="1752"/>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VI. La entrega de información que no corresponda con lo solicitado…” (Sic)</w:t>
      </w:r>
    </w:p>
    <w:p w:rsidR="00F46358" w:rsidRPr="005B0D1E" w:rsidRDefault="00F46358" w:rsidP="00251560">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 xml:space="preserve">Tercero. Materia de la revisión. </w:t>
      </w:r>
      <w:r w:rsidRPr="005B0D1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B0D1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B0D1E">
        <w:rPr>
          <w:rFonts w:ascii="Palatino Linotype" w:eastAsia="Palatino Linotype" w:hAnsi="Palatino Linotype" w:cs="Palatino Linotype"/>
        </w:rPr>
        <w:t xml:space="preserve">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o en su defecto, en caso de ser procedente, ordenar la entrega de información.</w:t>
      </w:r>
    </w:p>
    <w:p w:rsidR="00797EE3" w:rsidRPr="005B0D1E" w:rsidRDefault="00F46358" w:rsidP="00251560">
      <w:pPr>
        <w:spacing w:before="240" w:after="240" w:line="360" w:lineRule="auto"/>
        <w:ind w:right="51"/>
        <w:jc w:val="both"/>
        <w:rPr>
          <w:rFonts w:ascii="Palatino Linotype" w:eastAsia="Palatino Linotype" w:hAnsi="Palatino Linotype" w:cs="Palatino Linotype"/>
        </w:rPr>
      </w:pPr>
      <w:bookmarkStart w:id="4" w:name="_heading=h.2et92p0" w:colFirst="0" w:colLast="0"/>
      <w:bookmarkEnd w:id="4"/>
      <w:r w:rsidRPr="005B0D1E">
        <w:rPr>
          <w:rFonts w:ascii="Palatino Linotype" w:eastAsia="Palatino Linotype" w:hAnsi="Palatino Linotype" w:cs="Palatino Linotype"/>
          <w:b/>
        </w:rPr>
        <w:t xml:space="preserve">Cuarto. Estudio del asunto. </w:t>
      </w:r>
      <w:r w:rsidRPr="005B0D1E">
        <w:rPr>
          <w:rFonts w:ascii="Palatino Linotype" w:eastAsia="Palatino Linotype" w:hAnsi="Palatino Linotype" w:cs="Palatino Linotype"/>
        </w:rPr>
        <w:t xml:space="preserve">Del análisis de la solicitud de información, motivo del recurso de revisión que ahora se resuelve se advierte que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requirió al </w:t>
      </w:r>
      <w:r w:rsidRPr="005B0D1E">
        <w:rPr>
          <w:rFonts w:ascii="Palatino Linotype" w:eastAsia="Palatino Linotype" w:hAnsi="Palatino Linotype" w:cs="Palatino Linotype"/>
          <w:b/>
        </w:rPr>
        <w:t xml:space="preserve">Sujeto Obligado </w:t>
      </w:r>
      <w:r w:rsidRPr="005B0D1E">
        <w:rPr>
          <w:rFonts w:ascii="Palatino Linotype" w:eastAsia="Palatino Linotype" w:hAnsi="Palatino Linotype" w:cs="Palatino Linotype"/>
        </w:rPr>
        <w:t>le proporcione, información consistente en lo siguiente:</w:t>
      </w:r>
    </w:p>
    <w:p w:rsidR="00797EE3" w:rsidRPr="005B0D1E" w:rsidRDefault="00ED68EB" w:rsidP="00251560">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El organigrama completo en el cual contenga el nombre del puesto, plaza o cargo, así como el </w:t>
      </w:r>
      <w:r w:rsidRPr="005B0D1E">
        <w:rPr>
          <w:rFonts w:ascii="Palatino Linotype" w:eastAsia="Palatino Linotype" w:hAnsi="Palatino Linotype" w:cs="Palatino Linotype"/>
          <w:b/>
          <w:u w:val="single"/>
        </w:rPr>
        <w:t xml:space="preserve">nombre completo de todos y cada uno de los servidores públicos </w:t>
      </w:r>
      <w:r w:rsidRPr="005B0D1E">
        <w:rPr>
          <w:rFonts w:ascii="Palatino Linotype" w:eastAsia="Palatino Linotype" w:hAnsi="Palatino Linotype" w:cs="Palatino Linotype"/>
        </w:rPr>
        <w:t>de la Fiscalía General de Justicia del Estado de México..</w:t>
      </w:r>
    </w:p>
    <w:p w:rsidR="00797EE3" w:rsidRPr="005B0D1E" w:rsidRDefault="00ED68EB" w:rsidP="00251560">
      <w:pPr>
        <w:spacing w:before="240" w:after="240"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En respuesta, el </w:t>
      </w:r>
      <w:r w:rsidRPr="005B0D1E">
        <w:rPr>
          <w:rFonts w:ascii="Palatino Linotype" w:eastAsia="Palatino Linotype" w:hAnsi="Palatino Linotype" w:cs="Palatino Linotype"/>
          <w:b/>
        </w:rPr>
        <w:t xml:space="preserve">SUJETO OBLIGADO </w:t>
      </w:r>
      <w:r w:rsidRPr="005B0D1E">
        <w:rPr>
          <w:rFonts w:ascii="Palatino Linotype" w:eastAsia="Palatino Linotype" w:hAnsi="Palatino Linotype" w:cs="Palatino Linotype"/>
        </w:rPr>
        <w:t xml:space="preserve">se concretó entregar una liga electrónica en donde dice que se encuentra el organigrama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w:t>
      </w:r>
    </w:p>
    <w:p w:rsidR="00797EE3" w:rsidRPr="005B0D1E" w:rsidRDefault="00ED68EB" w:rsidP="00251560">
      <w:pPr>
        <w:spacing w:before="240" w:after="240" w:line="360" w:lineRule="auto"/>
        <w:jc w:val="both"/>
        <w:rPr>
          <w:rFonts w:ascii="Palatino Linotype" w:eastAsia="Palatino Linotype" w:hAnsi="Palatino Linotype" w:cs="Palatino Linotype"/>
          <w:sz w:val="22"/>
          <w:szCs w:val="22"/>
        </w:rPr>
      </w:pPr>
      <w:r w:rsidRPr="005B0D1E">
        <w:rPr>
          <w:rFonts w:ascii="Palatino Linotype" w:eastAsia="Palatino Linotype" w:hAnsi="Palatino Linotype" w:cs="Palatino Linotype"/>
        </w:rPr>
        <w:t xml:space="preserve">No conforme con la respuesta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interpuso el recurso de revisión en lo medular porque se le entregó información que no solicitó.</w:t>
      </w: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Ante la interposición del recurso de revisión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rindió su informe justificado, en el cual informó que en atención a los motivos de informidad 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se hizo entrega del organigrama de esa Institución, reiterando su respuesta.</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Por otro lado señaló, que si bien el particular solicitó el Organigrama que contenga nombre completo de todos y cada uno de los servidores públicos de la Fiscalía General de Justicia del Estado de México, </w:t>
      </w:r>
      <w:r w:rsidRPr="005B0D1E">
        <w:rPr>
          <w:rFonts w:ascii="Palatino Linotype" w:eastAsia="Palatino Linotype" w:hAnsi="Palatino Linotype" w:cs="Palatino Linotype"/>
          <w:b/>
          <w:u w:val="single"/>
        </w:rPr>
        <w:t>esta información no se encuentra procesada en los términos requeridos</w:t>
      </w:r>
      <w:r w:rsidRPr="005B0D1E">
        <w:rPr>
          <w:rFonts w:ascii="Palatino Linotype" w:eastAsia="Palatino Linotype" w:hAnsi="Palatino Linotype" w:cs="Palatino Linotype"/>
        </w:rPr>
        <w:t xml:space="preserve">, es decir, </w:t>
      </w:r>
      <w:r w:rsidRPr="005B0D1E">
        <w:rPr>
          <w:rFonts w:ascii="Palatino Linotype" w:eastAsia="Palatino Linotype" w:hAnsi="Palatino Linotype" w:cs="Palatino Linotype"/>
          <w:b/>
          <w:u w:val="single"/>
        </w:rPr>
        <w:t>el organigrama con que se cuenta no tiene las características o especificaciones solicitadas por el particular,</w:t>
      </w:r>
      <w:r w:rsidRPr="005B0D1E">
        <w:rPr>
          <w:rFonts w:ascii="Palatino Linotype" w:eastAsia="Palatino Linotype" w:hAnsi="Palatino Linotype" w:cs="Palatino Linotype"/>
        </w:rPr>
        <w:t xml:space="preserve"> por ello se proporcionó la información tal y como se genera. </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ED68EB"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Sin embargo, preciso que el interés del particular es conocer el nombre de los servidores públicos que ocupan los cargos referidos en el organigrama, estos se encuentran contenidos y disponibles de manera permanente en el directorio de esta Fiscalía General de Justicia del Estado de México, el cual también forma parte de las obligaciones determinadas en el artículo 92 de la Ley de la Materia y se encuentra publicado en la página del IPOMEX, proporcionando la siguiente liga electrónica:</w:t>
      </w:r>
    </w:p>
    <w:p w:rsidR="00797EE3" w:rsidRPr="005B0D1E" w:rsidRDefault="00797EE3" w:rsidP="00251560">
      <w:pPr>
        <w:spacing w:line="360" w:lineRule="auto"/>
        <w:jc w:val="both"/>
        <w:rPr>
          <w:rFonts w:ascii="Palatino Linotype" w:eastAsia="Palatino Linotype" w:hAnsi="Palatino Linotype" w:cs="Palatino Linotype"/>
        </w:rPr>
      </w:pPr>
    </w:p>
    <w:p w:rsidR="00797EE3" w:rsidRPr="005B0D1E" w:rsidRDefault="00936A2E" w:rsidP="00251560">
      <w:pPr>
        <w:spacing w:line="360" w:lineRule="auto"/>
        <w:jc w:val="both"/>
        <w:rPr>
          <w:rFonts w:ascii="Palatino Linotype" w:eastAsia="Palatino Linotype" w:hAnsi="Palatino Linotype" w:cs="Palatino Linotype"/>
        </w:rPr>
      </w:pPr>
      <w:hyperlink r:id="rId16">
        <w:r w:rsidR="00ED68EB" w:rsidRPr="005B0D1E">
          <w:rPr>
            <w:rFonts w:ascii="Palatino Linotype" w:eastAsia="Palatino Linotype" w:hAnsi="Palatino Linotype" w:cs="Palatino Linotype"/>
            <w:u w:val="single"/>
          </w:rPr>
          <w:t>https://ipomex.org.mx/ipo3/lgt/indice/FGJEM/art_92_vii.web?token=03ADUVZwDbQz0Ahay3cqoyi47m4zUUF83MABjaNjc0SxF3vMEj0eqrlySqCrV5dMFLXJf4PambTvRXnP2J0n9B0V_ynYGqeHy2YfYEX8TFNSmpgMtpL_aKk6iNnuXNaNKYlyi_SLQIJQwcpdW8kahsykQtivBi2cyZPMzLa5BdfH4GWnKppkTFoJAGyi19ThF8VbCQTQ1ygjqDeeEHw8zuNOgWLAa6J7rnnSuI3K0evxfTFmBDlO4jFqD-</w:t>
        </w:r>
        <w:r w:rsidR="00ED68EB" w:rsidRPr="005B0D1E">
          <w:rPr>
            <w:rFonts w:ascii="Palatino Linotype" w:eastAsia="Palatino Linotype" w:hAnsi="Palatino Linotype" w:cs="Palatino Linotype"/>
            <w:u w:val="single"/>
          </w:rPr>
          <w:lastRenderedPageBreak/>
          <w:t>1KoyvQ8GD_60bpn0Z82CIQtPHuC7VqJo_cJ0z6Gokc_Czz8_g5cMfKkVs1knctbOvxyyLnjRVgVl8xk5OW92vEk6f6h79W9DOOg55FMukKd5Y9BZIhOq61xE--krwi0NyFY6nryKy1u-Ph11JqDA_kqkutnWRgXiGRtadD6kaql9FDODQTLMz5pTOmpFr8tRJuNSuyfvr7m4_4RSD0AtLj8tjVh_r3a3DyHYbUXrt5skgkEOoVKxBrI1hKvtwOz5T11LPQBzzjgrKlKP-rrVwBAv1ZqFt5AHLKy4dFm4AB6Dmo8nU91BqvgLe6nvNps</w:t>
        </w:r>
      </w:hyperlink>
    </w:p>
    <w:p w:rsidR="00797EE3" w:rsidRPr="005B0D1E" w:rsidRDefault="00797EE3" w:rsidP="00251560">
      <w:pPr>
        <w:spacing w:line="360" w:lineRule="auto"/>
        <w:jc w:val="both"/>
        <w:rPr>
          <w:rFonts w:ascii="Palatino Linotype" w:eastAsia="Palatino Linotype" w:hAnsi="Palatino Linotype" w:cs="Palatino Linotype"/>
        </w:rPr>
      </w:pPr>
    </w:p>
    <w:p w:rsidR="00001D70" w:rsidRPr="005B0D1E" w:rsidRDefault="00001D70" w:rsidP="00001D7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color w:val="000000"/>
        </w:rPr>
        <w:t>Con base en lo precedente</w:t>
      </w:r>
      <w:r w:rsidRPr="005B0D1E">
        <w:rPr>
          <w:rFonts w:ascii="Palatino Linotype" w:eastAsia="Palatino Linotype" w:hAnsi="Palatino Linotype" w:cs="Palatino Linotype"/>
        </w:rPr>
        <w:t xml:space="preserve">, se determina que la información proporcionada por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en su respuesta como informe justificado, no cumple con lo establecido por los artículos 4, 12, 24 último párrafo y 162 de la Ley de Transparencia y Acceso a la Información Pública del Estado de México y Municipios; por ello, los motivos de inconformidad acontecen parcialmente fundados para modificar la respuesta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en razón de las consideraciones de derecho que a continuación se exponen:</w:t>
      </w:r>
    </w:p>
    <w:p w:rsidR="00001D70" w:rsidRPr="005B0D1E" w:rsidRDefault="00001D70" w:rsidP="00251560">
      <w:pPr>
        <w:spacing w:line="360" w:lineRule="auto"/>
        <w:jc w:val="both"/>
        <w:rPr>
          <w:rFonts w:ascii="Palatino Linotype" w:eastAsia="Palatino Linotype" w:hAnsi="Palatino Linotype" w:cs="Palatino Linotype"/>
        </w:rPr>
      </w:pPr>
    </w:p>
    <w:p w:rsidR="00E47A72" w:rsidRPr="005B0D1E" w:rsidRDefault="00E47A72"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Respecto del requerimiento de información 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en donde solicitó:</w:t>
      </w:r>
    </w:p>
    <w:p w:rsidR="00E47A72" w:rsidRPr="005B0D1E" w:rsidRDefault="00E47A72" w:rsidP="00251560">
      <w:pPr>
        <w:spacing w:line="360" w:lineRule="auto"/>
        <w:jc w:val="both"/>
        <w:rPr>
          <w:rFonts w:ascii="Palatino Linotype" w:eastAsia="Palatino Linotype" w:hAnsi="Palatino Linotype" w:cs="Palatino Linotype"/>
        </w:rPr>
      </w:pPr>
    </w:p>
    <w:p w:rsidR="00E47A72" w:rsidRPr="005B0D1E" w:rsidRDefault="00E47A72" w:rsidP="00E47A72">
      <w:pPr>
        <w:pStyle w:val="Prrafodelista"/>
        <w:numPr>
          <w:ilvl w:val="0"/>
          <w:numId w:val="3"/>
        </w:num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Organigrama completo en el cual contenga el nombre del puesto, plaza o cargo.</w:t>
      </w:r>
    </w:p>
    <w:p w:rsidR="00E47A72" w:rsidRPr="005B0D1E" w:rsidRDefault="00E47A72" w:rsidP="00E47A72">
      <w:pPr>
        <w:pStyle w:val="Prrafodelista"/>
        <w:spacing w:line="360" w:lineRule="auto"/>
        <w:jc w:val="both"/>
        <w:rPr>
          <w:rFonts w:ascii="Palatino Linotype" w:eastAsia="Palatino Linotype" w:hAnsi="Palatino Linotype" w:cs="Palatino Linotype"/>
        </w:rPr>
      </w:pPr>
    </w:p>
    <w:p w:rsidR="00E47A72" w:rsidRPr="005B0D1E" w:rsidRDefault="00E47A72" w:rsidP="00E47A72">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En respuesta,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entregó el siguiente link electrónico:</w:t>
      </w:r>
    </w:p>
    <w:p w:rsidR="00E47A72" w:rsidRPr="005B0D1E" w:rsidRDefault="00E47A72" w:rsidP="00E47A72">
      <w:pPr>
        <w:spacing w:line="360" w:lineRule="auto"/>
        <w:jc w:val="both"/>
        <w:rPr>
          <w:rFonts w:ascii="Palatino Linotype" w:eastAsia="Palatino Linotype" w:hAnsi="Palatino Linotype" w:cs="Palatino Linotype"/>
        </w:rPr>
      </w:pPr>
    </w:p>
    <w:p w:rsidR="00E47A72" w:rsidRPr="005B0D1E" w:rsidRDefault="00E47A72" w:rsidP="00E47A72">
      <w:pPr>
        <w:spacing w:after="240"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http://187.190.53.177:5588/sis/transparencia/sgc/Unidad_de_Tranparencia/Articulo_92/Fraccion_II_B_Organigrama/175109_ORGANIGRAMA.pdf</w:t>
      </w:r>
    </w:p>
    <w:p w:rsidR="00E47A72" w:rsidRPr="005B0D1E" w:rsidRDefault="00E47A72" w:rsidP="00E47A72">
      <w:pPr>
        <w:spacing w:before="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Que al ingresar al mismo nos encontramos con lo siguiente:</w:t>
      </w:r>
    </w:p>
    <w:p w:rsidR="00E47A72" w:rsidRPr="005B0D1E" w:rsidRDefault="00E47A72" w:rsidP="00E47A72">
      <w:pPr>
        <w:spacing w:before="240" w:line="360" w:lineRule="auto"/>
        <w:jc w:val="both"/>
        <w:rPr>
          <w:rFonts w:ascii="Palatino Linotype" w:eastAsia="Palatino Linotype" w:hAnsi="Palatino Linotype" w:cs="Palatino Linotype"/>
        </w:rPr>
      </w:pPr>
      <w:r w:rsidRPr="005B0D1E">
        <w:rPr>
          <w:noProof/>
          <w:lang w:val="es-MX"/>
        </w:rPr>
        <w:drawing>
          <wp:inline distT="0" distB="0" distL="0" distR="0" wp14:anchorId="3240840C" wp14:editId="70168704">
            <wp:extent cx="5612130" cy="16516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651635"/>
                    </a:xfrm>
                    <a:prstGeom prst="rect">
                      <a:avLst/>
                    </a:prstGeom>
                  </pic:spPr>
                </pic:pic>
              </a:graphicData>
            </a:graphic>
          </wp:inline>
        </w:drawing>
      </w:r>
    </w:p>
    <w:p w:rsidR="00E47A72" w:rsidRPr="005B0D1E" w:rsidRDefault="00E47A72" w:rsidP="00E47A72">
      <w:pPr>
        <w:spacing w:line="360" w:lineRule="auto"/>
        <w:jc w:val="both"/>
        <w:rPr>
          <w:rFonts w:ascii="Palatino Linotype" w:eastAsia="Palatino Linotype" w:hAnsi="Palatino Linotype" w:cs="Palatino Linotype"/>
        </w:rPr>
      </w:pPr>
    </w:p>
    <w:p w:rsidR="00E47A72" w:rsidRPr="005B0D1E" w:rsidRDefault="00E47A72" w:rsidP="00E47A72">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Para un mejor entendimiento se agrega un extracto de la imagen con ampliación al 100%:</w:t>
      </w:r>
    </w:p>
    <w:p w:rsidR="00E47A72" w:rsidRPr="005B0D1E" w:rsidRDefault="00E47A72" w:rsidP="00E47A72">
      <w:pPr>
        <w:spacing w:line="360" w:lineRule="auto"/>
        <w:jc w:val="both"/>
        <w:rPr>
          <w:rFonts w:ascii="Palatino Linotype" w:eastAsia="Palatino Linotype" w:hAnsi="Palatino Linotype" w:cs="Palatino Linotype"/>
        </w:rPr>
      </w:pPr>
    </w:p>
    <w:p w:rsidR="00E47A72" w:rsidRPr="005B0D1E" w:rsidRDefault="00E47A72" w:rsidP="00E47A72">
      <w:pPr>
        <w:spacing w:line="360" w:lineRule="auto"/>
        <w:jc w:val="center"/>
        <w:rPr>
          <w:rFonts w:ascii="Palatino Linotype" w:eastAsia="Palatino Linotype" w:hAnsi="Palatino Linotype" w:cs="Palatino Linotype"/>
        </w:rPr>
      </w:pPr>
      <w:r w:rsidRPr="005B0D1E">
        <w:rPr>
          <w:noProof/>
          <w:lang w:val="es-MX"/>
        </w:rPr>
        <w:drawing>
          <wp:inline distT="0" distB="0" distL="0" distR="0" wp14:anchorId="2B46894F" wp14:editId="4C0E620E">
            <wp:extent cx="5474499" cy="2621932"/>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33761" t="21168" r="17444" b="33607"/>
                    <a:stretch>
                      <a:fillRect/>
                    </a:stretch>
                  </pic:blipFill>
                  <pic:spPr>
                    <a:xfrm>
                      <a:off x="0" y="0"/>
                      <a:ext cx="5474499" cy="2621932"/>
                    </a:xfrm>
                    <a:prstGeom prst="rect">
                      <a:avLst/>
                    </a:prstGeom>
                    <a:ln/>
                  </pic:spPr>
                </pic:pic>
              </a:graphicData>
            </a:graphic>
          </wp:inline>
        </w:drawing>
      </w:r>
    </w:p>
    <w:p w:rsidR="00E47A72" w:rsidRPr="005B0D1E" w:rsidRDefault="00E47A72" w:rsidP="00E47A72">
      <w:pPr>
        <w:spacing w:line="360" w:lineRule="auto"/>
        <w:jc w:val="both"/>
        <w:rPr>
          <w:rFonts w:ascii="Palatino Linotype" w:eastAsia="Palatino Linotype" w:hAnsi="Palatino Linotype" w:cs="Palatino Linotype"/>
        </w:rPr>
      </w:pPr>
    </w:p>
    <w:p w:rsidR="00E47A72" w:rsidRPr="005B0D1E" w:rsidRDefault="00E47A72" w:rsidP="00E47A72">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Como se advierte, el link proporcionado contiene el organigrama legible de la Fiscalía General de Justicia del Estado de México, respecto de las áreas que integran su estructura orgánica, colmando con ello el derecho de acceso a la información pública 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w:t>
      </w:r>
    </w:p>
    <w:p w:rsidR="00E47A72" w:rsidRPr="005B0D1E" w:rsidRDefault="00E47A72" w:rsidP="00E47A72">
      <w:pPr>
        <w:spacing w:line="360" w:lineRule="auto"/>
        <w:jc w:val="both"/>
        <w:rPr>
          <w:rFonts w:ascii="Palatino Linotype" w:eastAsia="Palatino Linotype" w:hAnsi="Palatino Linotype" w:cs="Palatino Linotype"/>
        </w:rPr>
      </w:pPr>
    </w:p>
    <w:p w:rsidR="00E47A72" w:rsidRPr="005B0D1E" w:rsidRDefault="00E47A72" w:rsidP="00E47A72">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Máxime que el mismo, cumple con lo señalado por el artículo por el artículo 92 fracción II de la Ley de Transparencia y Acceso a la Información Pública del Estado de México y Municipios, que señala lo conducente:</w:t>
      </w:r>
    </w:p>
    <w:p w:rsidR="00E47A72" w:rsidRPr="005B0D1E" w:rsidRDefault="00E47A72" w:rsidP="00E47A72">
      <w:pPr>
        <w:spacing w:line="360" w:lineRule="auto"/>
        <w:ind w:right="-91"/>
        <w:jc w:val="both"/>
        <w:rPr>
          <w:rFonts w:ascii="Palatino Linotype" w:eastAsia="Palatino Linotype" w:hAnsi="Palatino Linotype" w:cs="Palatino Linotype"/>
        </w:rPr>
      </w:pP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aplicables…”(Sic)</w:t>
      </w:r>
    </w:p>
    <w:p w:rsidR="00E47A72" w:rsidRPr="005B0D1E" w:rsidRDefault="00B06E15" w:rsidP="00E47A72">
      <w:pPr>
        <w:spacing w:before="240" w:after="240" w:line="360" w:lineRule="auto"/>
        <w:ind w:right="-93"/>
        <w:jc w:val="both"/>
        <w:rPr>
          <w:rFonts w:ascii="Palatino Linotype" w:eastAsia="Palatino Linotype" w:hAnsi="Palatino Linotype" w:cs="Palatino Linotype"/>
        </w:rPr>
      </w:pPr>
      <w:r w:rsidRPr="005B0D1E">
        <w:rPr>
          <w:rFonts w:ascii="Palatino Linotype" w:eastAsia="Palatino Linotype" w:hAnsi="Palatino Linotype" w:cs="Palatino Linotype"/>
        </w:rPr>
        <w:t>L</w:t>
      </w:r>
      <w:r w:rsidR="00E47A72" w:rsidRPr="005B0D1E">
        <w:rPr>
          <w:rFonts w:ascii="Palatino Linotype" w:eastAsia="Palatino Linotype" w:hAnsi="Palatino Linotype" w:cs="Palatino Linotype"/>
        </w:rPr>
        <w:t>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señalan para sus fracciones II y VII, lo siguiente:</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lastRenderedPageBreak/>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 </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 xml:space="preserve">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 de tal forma que sea posible visualizar los niveles jerárquicos y sus relaciones de dependencia de acuerdo con el estatuto orgánico u otro ordenamiento que le aplique. </w:t>
      </w:r>
    </w:p>
    <w:p w:rsidR="00E47A72" w:rsidRPr="005B0D1E" w:rsidRDefault="00E47A72" w:rsidP="00E47A72">
      <w:pPr>
        <w:spacing w:after="240"/>
        <w:ind w:left="993" w:right="1041"/>
        <w:jc w:val="both"/>
        <w:rPr>
          <w:rFonts w:ascii="Palatino Linotype" w:eastAsia="Palatino Linotype" w:hAnsi="Palatino Linotype" w:cs="Palatino Linotype"/>
          <w:b/>
          <w:i/>
          <w:sz w:val="22"/>
          <w:szCs w:val="22"/>
        </w:rPr>
      </w:pPr>
      <w:r w:rsidRPr="005B0D1E">
        <w:rPr>
          <w:rFonts w:ascii="Palatino Linotype" w:eastAsia="Palatino Linotype" w:hAnsi="Palatino Linotype" w:cs="Palatino Linotype"/>
          <w:b/>
          <w:i/>
          <w:sz w:val="22"/>
          <w:szCs w:val="22"/>
        </w:rPr>
        <w:t xml:space="preserve">Se deberá publicar la estructura vigente, es decir, la que está en operación en el sujeto obligado y ha sido aprobada y/o dictaminada por la autoridad competente. En aquellos casos en los que dicha estructura no corresponda con la funcional, deberá especificarse cuáles puestos se encuentran en tránsito de aprobación por parte de las autoridades competentes. </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w:t>
      </w:r>
      <w:r w:rsidRPr="005B0D1E">
        <w:rPr>
          <w:rFonts w:ascii="Palatino Linotype" w:eastAsia="Palatino Linotype" w:hAnsi="Palatino Linotype" w:cs="Palatino Linotype"/>
          <w:i/>
          <w:sz w:val="22"/>
          <w:szCs w:val="22"/>
        </w:rPr>
        <w:t xml:space="preserve">. </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 xml:space="preserve">Esta nota se conservará durante un trimestre, el cual empezará a contar a partir de la actualización de la fracción. Los sujetos obligados que no tengan estructura orgánica autorizada deberán incluir una nota fundamentada, motivada y actualizada al periodo que corresponda, que explique la situación del sujeto obligado. </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 xml:space="preserve">La estructura orgánica deberá incluir al titular del sujeto obligado y todos los servidores públicos adscritos a las unidades administrativas, áreas, institutos o los que correspondan, incluido el personal de gabinete de apoyo </w:t>
      </w:r>
      <w:proofErr w:type="spellStart"/>
      <w:r w:rsidRPr="005B0D1E">
        <w:rPr>
          <w:rFonts w:ascii="Palatino Linotype" w:eastAsia="Palatino Linotype" w:hAnsi="Palatino Linotype" w:cs="Palatino Linotype"/>
          <w:i/>
          <w:sz w:val="22"/>
          <w:szCs w:val="22"/>
        </w:rPr>
        <w:t>u</w:t>
      </w:r>
      <w:proofErr w:type="spellEnd"/>
      <w:r w:rsidRPr="005B0D1E">
        <w:rPr>
          <w:rFonts w:ascii="Palatino Linotype" w:eastAsia="Palatino Linotype" w:hAnsi="Palatino Linotype" w:cs="Palatino Linotype"/>
          <w:i/>
          <w:sz w:val="22"/>
          <w:szCs w:val="22"/>
        </w:rPr>
        <w:t xml:space="preserve"> homólogo, prestadores de servicios profesionales, miembros de los sujetos obligados, así como los respectivos niveles de adjunto, homólogo o cualquier otro equivalente, según la denominación que se le dé. Asimismo, se publicará la estructura orgánica de la administración paramunicipal, desconcentrada y de </w:t>
      </w:r>
      <w:r w:rsidRPr="005B0D1E">
        <w:rPr>
          <w:rFonts w:ascii="Palatino Linotype" w:eastAsia="Palatino Linotype" w:hAnsi="Palatino Linotype" w:cs="Palatino Linotype"/>
          <w:i/>
          <w:sz w:val="22"/>
          <w:szCs w:val="22"/>
        </w:rPr>
        <w:lastRenderedPageBreak/>
        <w:t xml:space="preserve">los diversos institutos con que cuentan los municipios, ayuntamientos o delegaciones. </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 xml:space="preserve">Por cada área registrada, el sujeto obligado deberá incluir la denominación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 </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 xml:space="preserve">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 Además, se publicará un hipervínculo al organigrama completo, con el objetivo de visualizar la representación gráfica de la estructura orgánica, desde el puesto del titular del sujeto obligado hasta el nivel de jefatura de departamento </w:t>
      </w:r>
      <w:proofErr w:type="spellStart"/>
      <w:r w:rsidRPr="005B0D1E">
        <w:rPr>
          <w:rFonts w:ascii="Palatino Linotype" w:eastAsia="Palatino Linotype" w:hAnsi="Palatino Linotype" w:cs="Palatino Linotype"/>
          <w:i/>
          <w:sz w:val="22"/>
          <w:szCs w:val="22"/>
        </w:rPr>
        <w:t>u</w:t>
      </w:r>
      <w:proofErr w:type="spellEnd"/>
      <w:r w:rsidRPr="005B0D1E">
        <w:rPr>
          <w:rFonts w:ascii="Palatino Linotype" w:eastAsia="Palatino Linotype" w:hAnsi="Palatino Linotype" w:cs="Palatino Linotype"/>
          <w:i/>
          <w:sz w:val="22"/>
          <w:szCs w:val="22"/>
        </w:rPr>
        <w:t xml:space="preserve"> homólogo y, en su caso, los prestadores de servicios profesionales y/o cualquier otro tipo de personal adscrito. </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Respecto de los sujetos obligados que no forman parte de los organismos gubernamentales la estructura orgánica hará referencia a los cargos equivalentes conforme a su normatividad interna…</w:t>
      </w:r>
    </w:p>
    <w:p w:rsidR="00E47A72" w:rsidRPr="005B0D1E" w:rsidRDefault="00E47A72" w:rsidP="00E47A72">
      <w:pPr>
        <w:spacing w:after="240"/>
        <w:ind w:left="993" w:right="1041"/>
        <w:jc w:val="both"/>
        <w:rPr>
          <w:rFonts w:ascii="Palatino Linotype" w:eastAsia="Palatino Linotype" w:hAnsi="Palatino Linotype" w:cs="Palatino Linotype"/>
          <w:i/>
          <w:sz w:val="22"/>
          <w:szCs w:val="22"/>
        </w:rPr>
      </w:pPr>
      <w:r w:rsidRPr="005B0D1E">
        <w:rPr>
          <w:noProof/>
          <w:lang w:val="es-MX"/>
        </w:rPr>
        <w:drawing>
          <wp:inline distT="0" distB="0" distL="0" distR="0" wp14:anchorId="36DC6308" wp14:editId="3FD00638">
            <wp:extent cx="3421595" cy="924850"/>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l="25516" t="32151" r="13513" b="38549"/>
                    <a:stretch>
                      <a:fillRect/>
                    </a:stretch>
                  </pic:blipFill>
                  <pic:spPr>
                    <a:xfrm>
                      <a:off x="0" y="0"/>
                      <a:ext cx="3421595" cy="924850"/>
                    </a:xfrm>
                    <a:prstGeom prst="rect">
                      <a:avLst/>
                    </a:prstGeom>
                    <a:ln/>
                  </pic:spPr>
                </pic:pic>
              </a:graphicData>
            </a:graphic>
          </wp:inline>
        </w:drawing>
      </w:r>
      <w:r w:rsidRPr="005B0D1E">
        <w:rPr>
          <w:rFonts w:ascii="Palatino Linotype" w:eastAsia="Palatino Linotype" w:hAnsi="Palatino Linotype" w:cs="Palatino Linotype"/>
          <w:i/>
          <w:sz w:val="22"/>
          <w:szCs w:val="22"/>
        </w:rPr>
        <w:t>” (Sic)</w:t>
      </w:r>
    </w:p>
    <w:p w:rsidR="00E47A72" w:rsidRPr="005B0D1E" w:rsidRDefault="00E47A72" w:rsidP="00E47A72">
      <w:pPr>
        <w:spacing w:line="360" w:lineRule="auto"/>
        <w:jc w:val="both"/>
        <w:rPr>
          <w:rFonts w:ascii="Palatino Linotype" w:eastAsia="Palatino Linotype" w:hAnsi="Palatino Linotype" w:cs="Palatino Linotype"/>
        </w:rPr>
      </w:pPr>
    </w:p>
    <w:p w:rsidR="00E47A72" w:rsidRPr="005B0D1E" w:rsidRDefault="00B06E15" w:rsidP="00251560">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Por otro lado, en cuanto al requerimiento de información, relacionada con:</w:t>
      </w:r>
    </w:p>
    <w:p w:rsidR="00B06E15" w:rsidRPr="005B0D1E" w:rsidRDefault="00B06E15" w:rsidP="00251560">
      <w:pPr>
        <w:spacing w:line="360" w:lineRule="auto"/>
        <w:jc w:val="both"/>
        <w:rPr>
          <w:rFonts w:ascii="Palatino Linotype" w:eastAsia="Palatino Linotype" w:hAnsi="Palatino Linotype" w:cs="Palatino Linotype"/>
        </w:rPr>
      </w:pPr>
    </w:p>
    <w:p w:rsidR="00B06E15" w:rsidRPr="005B0D1E" w:rsidRDefault="00B06E15" w:rsidP="00B06E15">
      <w:pPr>
        <w:pStyle w:val="Prrafodelista"/>
        <w:numPr>
          <w:ilvl w:val="0"/>
          <w:numId w:val="3"/>
        </w:num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El nombre completo de todos y cada uno de los servidores públicos de la Fiscalía General de Justicia del Estado de México.</w:t>
      </w:r>
    </w:p>
    <w:p w:rsidR="00555D48" w:rsidRPr="005B0D1E" w:rsidRDefault="00B06E15" w:rsidP="00B06E15">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En informe justificado,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informó </w:t>
      </w:r>
      <w:r w:rsidR="00555D48" w:rsidRPr="005B0D1E">
        <w:rPr>
          <w:rFonts w:ascii="Palatino Linotype" w:hAnsi="Palatino Linotype"/>
        </w:rPr>
        <w:t xml:space="preserve">con la finalidad de garantizar el Derecho Humano de acceso a la información de la </w:t>
      </w:r>
      <w:r w:rsidRPr="005B0D1E">
        <w:rPr>
          <w:rFonts w:ascii="Palatino Linotype" w:hAnsi="Palatino Linotype"/>
        </w:rPr>
        <w:t xml:space="preserve">parte </w:t>
      </w:r>
      <w:r w:rsidRPr="005B0D1E">
        <w:rPr>
          <w:rFonts w:ascii="Palatino Linotype" w:hAnsi="Palatino Linotype"/>
          <w:b/>
        </w:rPr>
        <w:t>RECURRENTE</w:t>
      </w:r>
      <w:r w:rsidR="00555D48" w:rsidRPr="005B0D1E">
        <w:rPr>
          <w:rFonts w:ascii="Palatino Linotype" w:hAnsi="Palatino Linotype"/>
        </w:rPr>
        <w:t xml:space="preserve">, en observancia de los principios de máxima publicidad y suficiencia, </w:t>
      </w:r>
      <w:r w:rsidR="007D4FDB" w:rsidRPr="005B0D1E">
        <w:rPr>
          <w:rFonts w:ascii="Palatino Linotype" w:hAnsi="Palatino Linotype"/>
        </w:rPr>
        <w:t xml:space="preserve">que </w:t>
      </w:r>
      <w:r w:rsidR="00555D48" w:rsidRPr="005B0D1E">
        <w:rPr>
          <w:rFonts w:ascii="Palatino Linotype" w:hAnsi="Palatino Linotype"/>
        </w:rPr>
        <w:t xml:space="preserve">si </w:t>
      </w:r>
      <w:r w:rsidR="00555D48" w:rsidRPr="005B0D1E">
        <w:rPr>
          <w:rFonts w:ascii="Palatino Linotype" w:eastAsia="Palatino Linotype" w:hAnsi="Palatino Linotype" w:cs="Palatino Linotype"/>
        </w:rPr>
        <w:t>el interés del particular es conocer el nombre de los servidores públicos que ocupan los cargos referidos en el organigrama, estos se encuentran contenidos y disponibles de manera permanente en el directorio, mismo que se localiza en el portal de IPOMEX, en cumplimiento a la obligación de transparencia prevista en la fracción VII</w:t>
      </w:r>
      <w:r w:rsidR="003701AE" w:rsidRPr="005B0D1E">
        <w:rPr>
          <w:rStyle w:val="Refdenotaalpie"/>
          <w:rFonts w:ascii="Palatino Linotype" w:eastAsia="Palatino Linotype" w:hAnsi="Palatino Linotype" w:cs="Palatino Linotype"/>
        </w:rPr>
        <w:footnoteReference w:id="1"/>
      </w:r>
      <w:r w:rsidR="00555D48" w:rsidRPr="005B0D1E">
        <w:rPr>
          <w:rFonts w:ascii="Palatino Linotype" w:eastAsia="Palatino Linotype" w:hAnsi="Palatino Linotype" w:cs="Palatino Linotype"/>
        </w:rPr>
        <w:t xml:space="preserve"> del artículo 92 de la Ley de la Materia, y proporcionó la </w:t>
      </w:r>
      <w:r w:rsidRPr="005B0D1E">
        <w:rPr>
          <w:rFonts w:ascii="Palatino Linotype" w:eastAsia="Palatino Linotype" w:hAnsi="Palatino Linotype" w:cs="Palatino Linotype"/>
        </w:rPr>
        <w:t xml:space="preserve">siguiente </w:t>
      </w:r>
      <w:r w:rsidR="00555D48" w:rsidRPr="005B0D1E">
        <w:rPr>
          <w:rFonts w:ascii="Palatino Linotype" w:eastAsia="Palatino Linotype" w:hAnsi="Palatino Linotype" w:cs="Palatino Linotype"/>
        </w:rPr>
        <w:t>dirección electrónica a efectos de que la persona solicitante pudiera realizar la consulta de la in</w:t>
      </w:r>
      <w:r w:rsidRPr="005B0D1E">
        <w:rPr>
          <w:rFonts w:ascii="Palatino Linotype" w:eastAsia="Palatino Linotype" w:hAnsi="Palatino Linotype" w:cs="Palatino Linotype"/>
        </w:rPr>
        <w:t>formación que es de su interés:</w:t>
      </w:r>
    </w:p>
    <w:p w:rsidR="00B06E15" w:rsidRPr="005B0D1E" w:rsidRDefault="00B06E15" w:rsidP="00B06E15">
      <w:pPr>
        <w:spacing w:line="360" w:lineRule="auto"/>
        <w:jc w:val="both"/>
        <w:rPr>
          <w:rFonts w:ascii="Palatino Linotype" w:eastAsia="Palatino Linotype" w:hAnsi="Palatino Linotype" w:cs="Palatino Linotype"/>
        </w:rPr>
      </w:pPr>
    </w:p>
    <w:p w:rsidR="00B06E15" w:rsidRPr="005B0D1E" w:rsidRDefault="00936A2E" w:rsidP="00B06E15">
      <w:pPr>
        <w:spacing w:line="360" w:lineRule="auto"/>
        <w:jc w:val="both"/>
        <w:rPr>
          <w:rFonts w:ascii="Palatino Linotype" w:eastAsia="Palatino Linotype" w:hAnsi="Palatino Linotype" w:cs="Palatino Linotype"/>
        </w:rPr>
      </w:pPr>
      <w:hyperlink r:id="rId20" w:history="1">
        <w:r w:rsidR="00B06E15" w:rsidRPr="005B0D1E">
          <w:rPr>
            <w:rStyle w:val="Hipervnculo"/>
            <w:rFonts w:ascii="Palatino Linotype" w:eastAsia="Palatino Linotype" w:hAnsi="Palatino Linotype" w:cs="Palatino Linotype"/>
          </w:rPr>
          <w:t>https://ipomex.org.mx/ipo3/lgt/indice/FGJEM/art_92_vii.web?token=03ADUVZwDbQz0Ahay3cqoyi47m4zUUF83MABjaNjc0SxF3vMEj0eqrlySqCrV5dMFLXJf4PambTvRXnP2J0n9B0V_ynYGqeHy2YfYEX8TFNSmpgMtpL_aKk6iNnuXNaNKYlyi_SLQIJQwcpdW8kahsykQtivBi2cyZPMzLa5BdfH4GWnKppkTFoJAGyi19ThF8VbCQTQ1ygjqDeeEHw8zuNOgWLAa6J7rnnSuI3K0evxfTFmBDlO4jFqD-1KoyvQ8GD_60bpn0Z82CIQtPHuC7VqJo_cJ0z6Gokc_Czz8_g5cMfKkVs1knctbOvxyyLnjRVgVl8xk5OW92vEk6f6h79W9DOOg55FMukKd5Y9BZIhOq61xE--</w:t>
        </w:r>
        <w:r w:rsidR="00B06E15" w:rsidRPr="005B0D1E">
          <w:rPr>
            <w:rStyle w:val="Hipervnculo"/>
            <w:rFonts w:ascii="Palatino Linotype" w:eastAsia="Palatino Linotype" w:hAnsi="Palatino Linotype" w:cs="Palatino Linotype"/>
          </w:rPr>
          <w:lastRenderedPageBreak/>
          <w:t>krwi0NyFY6nryKy1u-Ph11JqDA_kqkutnWRgXiGRtadD6kaql9FDODQTLMz5pTOmpFr8tRJuNSuyfvr7m4_4RSD0AtLj8tjVh_r3a3DyHYbUXrt5skgkEOoVKxBrI1hKvtwOz5T11LPQBzzjgrKlKP-rrVwBAv1ZqFt5AHLKy4dFm4AB6Dmo8nU91BqvgLe6nvNps</w:t>
        </w:r>
      </w:hyperlink>
    </w:p>
    <w:p w:rsidR="00555D48" w:rsidRPr="005B0D1E" w:rsidRDefault="00555D48" w:rsidP="00251560">
      <w:pPr>
        <w:autoSpaceDE w:val="0"/>
        <w:autoSpaceDN w:val="0"/>
        <w:adjustRightInd w:val="0"/>
        <w:spacing w:before="240" w:after="360" w:line="360" w:lineRule="auto"/>
        <w:ind w:right="18"/>
        <w:jc w:val="both"/>
        <w:rPr>
          <w:rFonts w:ascii="Palatino Linotype" w:eastAsia="Palatino Linotype" w:hAnsi="Palatino Linotype" w:cs="Palatino Linotype"/>
        </w:rPr>
      </w:pPr>
      <w:r w:rsidRPr="005B0D1E">
        <w:rPr>
          <w:rFonts w:ascii="Palatino Linotype" w:eastAsia="Palatino Linotype" w:hAnsi="Palatino Linotype" w:cs="Palatino Linotype"/>
        </w:rPr>
        <w:t>Como sustento a lo anterior, se menciona que al ingresar al mismo corresponde con el directorio de la Fiscalía General de Justicia del Estado de México, como se advierte a continuación en las siguientes imágenes:</w:t>
      </w:r>
    </w:p>
    <w:p w:rsidR="00555D48" w:rsidRPr="005B0D1E" w:rsidRDefault="00555D48" w:rsidP="00251560">
      <w:pPr>
        <w:spacing w:after="240" w:line="360" w:lineRule="auto"/>
        <w:jc w:val="both"/>
        <w:rPr>
          <w:rFonts w:ascii="Palatino Linotype" w:eastAsia="Palatino Linotype" w:hAnsi="Palatino Linotype" w:cs="Palatino Linotype"/>
        </w:rPr>
      </w:pPr>
      <w:r w:rsidRPr="005B0D1E">
        <w:rPr>
          <w:noProof/>
          <w:lang w:val="es-MX"/>
        </w:rPr>
        <w:drawing>
          <wp:inline distT="0" distB="0" distL="0" distR="0" wp14:anchorId="36ED7D55" wp14:editId="4FEDF4ED">
            <wp:extent cx="5312133" cy="1703581"/>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14595" t="32947" r="40642" b="26611"/>
                    <a:stretch>
                      <a:fillRect/>
                    </a:stretch>
                  </pic:blipFill>
                  <pic:spPr>
                    <a:xfrm>
                      <a:off x="0" y="0"/>
                      <a:ext cx="5312133" cy="1703581"/>
                    </a:xfrm>
                    <a:prstGeom prst="rect">
                      <a:avLst/>
                    </a:prstGeom>
                    <a:ln/>
                  </pic:spPr>
                </pic:pic>
              </a:graphicData>
            </a:graphic>
          </wp:inline>
        </w:drawing>
      </w:r>
    </w:p>
    <w:p w:rsidR="00555D48" w:rsidRPr="005B0D1E" w:rsidRDefault="00555D48" w:rsidP="00251560">
      <w:pPr>
        <w:spacing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Y al descárgalo podemos observar la siguiente información:</w:t>
      </w:r>
    </w:p>
    <w:p w:rsidR="00555D48" w:rsidRPr="005B0D1E" w:rsidRDefault="00555D48" w:rsidP="00251560">
      <w:pPr>
        <w:spacing w:after="240" w:line="360" w:lineRule="auto"/>
        <w:jc w:val="both"/>
        <w:rPr>
          <w:rFonts w:ascii="Palatino Linotype" w:eastAsia="Palatino Linotype" w:hAnsi="Palatino Linotype" w:cs="Palatino Linotype"/>
        </w:rPr>
      </w:pPr>
      <w:r w:rsidRPr="005B0D1E">
        <w:rPr>
          <w:noProof/>
          <w:lang w:val="es-MX"/>
        </w:rPr>
        <w:drawing>
          <wp:inline distT="0" distB="0" distL="0" distR="0" wp14:anchorId="76DA1A23" wp14:editId="28299C17">
            <wp:extent cx="5654281" cy="1794790"/>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t="17986" r="32890" b="59725"/>
                    <a:stretch>
                      <a:fillRect/>
                    </a:stretch>
                  </pic:blipFill>
                  <pic:spPr>
                    <a:xfrm>
                      <a:off x="0" y="0"/>
                      <a:ext cx="5654281" cy="1794790"/>
                    </a:xfrm>
                    <a:prstGeom prst="rect">
                      <a:avLst/>
                    </a:prstGeom>
                    <a:ln/>
                  </pic:spPr>
                </pic:pic>
              </a:graphicData>
            </a:graphic>
          </wp:inline>
        </w:drawing>
      </w:r>
    </w:p>
    <w:p w:rsidR="00AB0278" w:rsidRPr="005B0D1E" w:rsidRDefault="00555D48" w:rsidP="00AB0278">
      <w:pPr>
        <w:spacing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La cual da cuenta del nombre del servidor público, denominación del cargo o nombramiento otorgado, </w:t>
      </w:r>
      <w:r w:rsidR="00B06E15" w:rsidRPr="005B0D1E">
        <w:rPr>
          <w:rFonts w:ascii="Palatino Linotype" w:eastAsia="Palatino Linotype" w:hAnsi="Palatino Linotype" w:cs="Palatino Linotype"/>
        </w:rPr>
        <w:t xml:space="preserve">de los </w:t>
      </w:r>
      <w:r w:rsidR="00C56EBE" w:rsidRPr="005B0D1E">
        <w:rPr>
          <w:rFonts w:ascii="Palatino Linotype" w:eastAsia="Palatino Linotype" w:hAnsi="Palatino Linotype" w:cs="Palatino Linotype"/>
        </w:rPr>
        <w:t xml:space="preserve">titulares de las áreas </w:t>
      </w:r>
      <w:r w:rsidR="00B06E15" w:rsidRPr="005B0D1E">
        <w:rPr>
          <w:rFonts w:ascii="Palatino Linotype" w:eastAsia="Palatino Linotype" w:hAnsi="Palatino Linotype" w:cs="Palatino Linotype"/>
        </w:rPr>
        <w:t>de la Fiscalía General de Justicia del Estado de México</w:t>
      </w:r>
      <w:r w:rsidR="00AB0278" w:rsidRPr="005B0D1E">
        <w:rPr>
          <w:rFonts w:ascii="Palatino Linotype" w:eastAsia="Palatino Linotype" w:hAnsi="Palatino Linotype" w:cs="Palatino Linotype"/>
        </w:rPr>
        <w:t xml:space="preserve">, los que se relacionan con su organigrama, </w:t>
      </w:r>
      <w:r w:rsidR="0022580E" w:rsidRPr="005B0D1E">
        <w:rPr>
          <w:rFonts w:ascii="Palatino Linotype" w:eastAsia="Palatino Linotype" w:hAnsi="Palatino Linotype" w:cs="Palatino Linotype"/>
        </w:rPr>
        <w:t xml:space="preserve">directorio </w:t>
      </w:r>
      <w:r w:rsidR="00AB0278" w:rsidRPr="005B0D1E">
        <w:rPr>
          <w:rFonts w:ascii="Palatino Linotype" w:eastAsia="Palatino Linotype" w:hAnsi="Palatino Linotype" w:cs="Palatino Linotype"/>
        </w:rPr>
        <w:t xml:space="preserve">que a su vez cumple con lo señalado por el artículo 92 fracción VII de la </w:t>
      </w:r>
      <w:r w:rsidR="00AB0278" w:rsidRPr="005B0D1E">
        <w:rPr>
          <w:rFonts w:ascii="Palatino Linotype" w:hAnsi="Palatino Linotype" w:cs="Arial"/>
        </w:rPr>
        <w:t>Ley de Transparencia y Acceso a la Información Pública del Estado de México y Municipios, que señala lo conducente:</w:t>
      </w:r>
    </w:p>
    <w:p w:rsidR="00AB0278" w:rsidRPr="005B0D1E" w:rsidRDefault="00AB0278" w:rsidP="00AB0278">
      <w:pPr>
        <w:shd w:val="clear" w:color="auto" w:fill="FFFFFF"/>
        <w:spacing w:after="240"/>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B0278" w:rsidRPr="005B0D1E" w:rsidRDefault="00AB0278" w:rsidP="00AB0278">
      <w:pPr>
        <w:shd w:val="clear" w:color="auto" w:fill="FFFFFF"/>
        <w:spacing w:after="240"/>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p>
    <w:p w:rsidR="00AB0278" w:rsidRPr="005B0D1E" w:rsidRDefault="00AB0278" w:rsidP="00AB0278">
      <w:pPr>
        <w:shd w:val="clear" w:color="auto" w:fill="FFFFFF"/>
        <w:spacing w:after="240"/>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AB0278" w:rsidRPr="005B0D1E" w:rsidRDefault="00AB0278" w:rsidP="00AB0278">
      <w:pPr>
        <w:shd w:val="clear" w:color="auto" w:fill="FFFFFF"/>
        <w:spacing w:after="240"/>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b/>
          <w:i/>
          <w:color w:val="222222"/>
          <w:sz w:val="22"/>
          <w:szCs w:val="22"/>
        </w:rPr>
        <w:t>El directorio deberá incluir, al menos el nombre, cargo o nombramiento oficial asignado, nivel del puesto en la estructura orgánica</w:t>
      </w:r>
      <w:r w:rsidRPr="005B0D1E">
        <w:rPr>
          <w:rFonts w:ascii="Palatino Linotype" w:eastAsia="Palatino Linotype" w:hAnsi="Palatino Linotype" w:cs="Palatino Linotype"/>
          <w:i/>
          <w:color w:val="222222"/>
          <w:sz w:val="22"/>
          <w:szCs w:val="22"/>
        </w:rPr>
        <w:t>, fecha de alta en el cargo, número telefónico, domicilio para recibir correspondencia y dirección de correo electrónico oficiales, datos que deberán señalarse de forma independiente por dependencia y entidad pública de cada sujeto obligado…” (Sic)</w:t>
      </w:r>
    </w:p>
    <w:p w:rsidR="00AB0278" w:rsidRPr="005B0D1E" w:rsidRDefault="00AB0278" w:rsidP="00AB0278">
      <w:pPr>
        <w:spacing w:before="240" w:after="240" w:line="360" w:lineRule="auto"/>
        <w:ind w:right="-93"/>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w:t>
      </w:r>
      <w:r w:rsidRPr="005B0D1E">
        <w:rPr>
          <w:rFonts w:ascii="Palatino Linotype" w:eastAsia="Palatino Linotype" w:hAnsi="Palatino Linotype" w:cs="Palatino Linotype"/>
        </w:rPr>
        <w:lastRenderedPageBreak/>
        <w:t>sujetos obligados en los portales de Internet y en la Plataforma Nacional de Transparencia, que señala para su fracción VII, lo siguiente:</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El directorio deberá incluir al menos el nombre, cargo o nombramiento asignado, nivel del puesto en la estructura orgánica, fecha de alta en el cargo, número telefónico, domicilio para recibir correspondencia y dirección de correo electrónico oficiales 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 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base10.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Periodo de actualización: trimestral En su caso, 15 días hábiles después de alguna modificación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Conservar en sitio de Internet: información vigente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Aplica a: todos los sujetos obligados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Criterios sustantivos de contenido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1 Ejercicio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2 Periodo que se informa (fecha de inicio y fecha de término con el formato día/mes/año)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3 Clave o nivel del puesto (de acuerdo con el catálogo que regule la actividad del sujeto obligado)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b/>
          <w:i/>
          <w:color w:val="222222"/>
          <w:sz w:val="22"/>
          <w:szCs w:val="22"/>
        </w:rPr>
      </w:pPr>
      <w:r w:rsidRPr="005B0D1E">
        <w:rPr>
          <w:rFonts w:ascii="Palatino Linotype" w:eastAsia="Palatino Linotype" w:hAnsi="Palatino Linotype" w:cs="Palatino Linotype"/>
          <w:b/>
          <w:i/>
          <w:color w:val="222222"/>
          <w:sz w:val="22"/>
          <w:szCs w:val="22"/>
        </w:rPr>
        <w:t xml:space="preserve">Criterio 4 Denominación del cargo (de conformidad con nombramiento otorgado)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b/>
          <w:i/>
          <w:color w:val="222222"/>
          <w:sz w:val="22"/>
          <w:szCs w:val="22"/>
        </w:rPr>
        <w:lastRenderedPageBreak/>
        <w:t>Criterio 5 Nombre del servidor(a) público(a</w:t>
      </w:r>
      <w:proofErr w:type="gramStart"/>
      <w:r w:rsidRPr="005B0D1E">
        <w:rPr>
          <w:rFonts w:ascii="Palatino Linotype" w:eastAsia="Palatino Linotype" w:hAnsi="Palatino Linotype" w:cs="Palatino Linotype"/>
          <w:b/>
          <w:i/>
          <w:color w:val="222222"/>
          <w:sz w:val="22"/>
          <w:szCs w:val="22"/>
        </w:rPr>
        <w:t>)(</w:t>
      </w:r>
      <w:proofErr w:type="gramEnd"/>
      <w:r w:rsidRPr="005B0D1E">
        <w:rPr>
          <w:rFonts w:ascii="Palatino Linotype" w:eastAsia="Palatino Linotype" w:hAnsi="Palatino Linotype" w:cs="Palatino Linotype"/>
          <w:b/>
          <w:i/>
          <w:color w:val="222222"/>
          <w:sz w:val="22"/>
          <w:szCs w:val="22"/>
        </w:rPr>
        <w:t>nombre[s], primer apellido, segundo apellido), integrante y/o miembro del sujeto obligado, y/o persona que desempeñe un empleo, cargo o comisión y/o ejerza actos de autoridad</w:t>
      </w:r>
      <w:r w:rsidRPr="005B0D1E">
        <w:rPr>
          <w:rFonts w:ascii="Palatino Linotype" w:eastAsia="Palatino Linotype" w:hAnsi="Palatino Linotype" w:cs="Palatino Linotype"/>
          <w:i/>
          <w:color w:val="222222"/>
          <w:sz w:val="22"/>
          <w:szCs w:val="22"/>
        </w:rPr>
        <w:t xml:space="preserve">. En su caso, incluir una nota que especifique el motivo por el cual no existe servidor(a) público(a) ocupando el cargo, por ejemplo: Vacante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6 Área de adscripción (de acuerdo con el catálogo que, en su caso, regule la actividad del sujeto obligado)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7 Fecha de alta en el cargo con el formato día/mes/año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roofErr w:type="gramStart"/>
      <w:r w:rsidRPr="005B0D1E">
        <w:rPr>
          <w:rFonts w:ascii="Palatino Linotype" w:eastAsia="Palatino Linotype" w:hAnsi="Palatino Linotype" w:cs="Palatino Linotype"/>
          <w:i/>
          <w:color w:val="222222"/>
          <w:sz w:val="22"/>
          <w:szCs w:val="22"/>
        </w:rPr>
        <w:t>)12</w:t>
      </w:r>
      <w:proofErr w:type="gramEnd"/>
      <w:r w:rsidRPr="005B0D1E">
        <w:rPr>
          <w:rFonts w:ascii="Palatino Linotype" w:eastAsia="Palatino Linotype" w:hAnsi="Palatino Linotype" w:cs="Palatino Linotype"/>
          <w:i/>
          <w:color w:val="222222"/>
          <w:sz w:val="22"/>
          <w:szCs w:val="22"/>
        </w:rPr>
        <w:t xml:space="preserve">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9 Número(s) de teléfono(s) oficial(es) y extensión (es)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Criterio 10 Correo electrónico oficial, en su caso</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11 Periodo de actualización de la información: trimestral. En su caso, 15 días hábiles después de alguna modificación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12 La información publicada deberá estar actualizada al periodo que corresponde de acuerdo con la Tabla de actualización y conservación de la información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13 Conservar en el sitio de Internet y a través de la Plataforma Nacional la Información de acuerdo con la Tabla de actualización y conservación de la información Criterios adjetivos de confiabilidad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Criterio 14 Área(s) responsable(s</w:t>
      </w:r>
      <w:proofErr w:type="gramStart"/>
      <w:r w:rsidRPr="005B0D1E">
        <w:rPr>
          <w:rFonts w:ascii="Palatino Linotype" w:eastAsia="Palatino Linotype" w:hAnsi="Palatino Linotype" w:cs="Palatino Linotype"/>
          <w:i/>
          <w:color w:val="222222"/>
          <w:sz w:val="22"/>
          <w:szCs w:val="22"/>
        </w:rPr>
        <w:t>)que</w:t>
      </w:r>
      <w:proofErr w:type="gramEnd"/>
      <w:r w:rsidRPr="005B0D1E">
        <w:rPr>
          <w:rFonts w:ascii="Palatino Linotype" w:eastAsia="Palatino Linotype" w:hAnsi="Palatino Linotype" w:cs="Palatino Linotype"/>
          <w:i/>
          <w:color w:val="222222"/>
          <w:sz w:val="22"/>
          <w:szCs w:val="22"/>
        </w:rPr>
        <w:t xml:space="preserve"> genera(n), posee(n), publica(n) y actualiza(n) la información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15 Fecha de actualización de la información publicada con el formato día/mes/año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16 Fecha de validación de la información publicada con el formato día/mes/año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Criterio 17 Nota. Este criterio se cumple en caso de que sea necesario que el sujeto obligado incluya alguna aclaración relativa a la información publicada y/o explicación por la falta de información Criterios adjetivos de formato </w:t>
      </w:r>
    </w:p>
    <w:p w:rsidR="00AB0278" w:rsidRPr="005B0D1E" w:rsidRDefault="00AB0278" w:rsidP="00AB0278">
      <w:pPr>
        <w:shd w:val="clear" w:color="auto" w:fill="FFFFFF"/>
        <w:spacing w:after="240"/>
        <w:ind w:left="992" w:right="1043"/>
        <w:contextualSpacing/>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Criterio 18 La información publicada se organiza mediante el formato 7, en el que se incluyen todos los campos especificados en los criterios sustantivos de contenido Criterio 19 El soporte de la información permite su reutilización…” (Sic)</w:t>
      </w:r>
    </w:p>
    <w:p w:rsidR="00AB0278" w:rsidRPr="005B0D1E" w:rsidRDefault="00AB0278" w:rsidP="00AB0278">
      <w:pPr>
        <w:spacing w:before="240" w:after="240" w:line="360" w:lineRule="auto"/>
        <w:contextualSpacing/>
        <w:jc w:val="both"/>
        <w:rPr>
          <w:rFonts w:ascii="Palatino Linotype" w:eastAsia="Palatino Linotype" w:hAnsi="Palatino Linotype" w:cs="Palatino Linotype"/>
        </w:rPr>
      </w:pPr>
    </w:p>
    <w:p w:rsidR="00AB0278" w:rsidRPr="005B0D1E" w:rsidRDefault="00AB0278" w:rsidP="00AB0278">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Sin embargo, </w:t>
      </w:r>
      <w:r w:rsidR="00C56EBE" w:rsidRPr="005B0D1E">
        <w:rPr>
          <w:rFonts w:ascii="Palatino Linotype" w:eastAsia="Palatino Linotype" w:hAnsi="Palatino Linotype" w:cs="Palatino Linotype"/>
        </w:rPr>
        <w:t>el particular solicitó el nombre de todos y cada uno de los servidores públicos de la Fiscalía General de Justicia del Estado de México</w:t>
      </w:r>
      <w:r w:rsidRPr="005B0D1E">
        <w:rPr>
          <w:rFonts w:ascii="Palatino Linotype" w:eastAsia="Palatino Linotype" w:hAnsi="Palatino Linotype" w:cs="Palatino Linotype"/>
        </w:rPr>
        <w:t>, incluyendo el personal administrativo y operativos; de ahí que, su respuesta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AB0278" w:rsidRPr="005B0D1E" w:rsidRDefault="00AB0278" w:rsidP="00AB0278">
      <w:pPr>
        <w:spacing w:before="80" w:after="240"/>
        <w:ind w:left="567" w:right="900"/>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5B0D1E">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B0D1E">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5B0D1E">
        <w:rPr>
          <w:rFonts w:ascii="Palatino Linotype" w:eastAsia="Palatino Linotype" w:hAnsi="Palatino Linotype" w:cs="Palatino Linotype"/>
          <w:i/>
          <w:color w:val="000000"/>
          <w:sz w:val="22"/>
          <w:szCs w:val="22"/>
        </w:rPr>
        <w:t xml:space="preserve">; mientras que </w:t>
      </w:r>
      <w:r w:rsidRPr="005B0D1E">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5B0D1E">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C56EBE" w:rsidRPr="005B0D1E" w:rsidRDefault="00C56EBE" w:rsidP="00C56EBE">
      <w:pPr>
        <w:spacing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En ese sentido, se determina que con la entrega del directorio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no se tiene por satisfecho el derecho de acceso a la información pública 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w:t>
      </w:r>
    </w:p>
    <w:p w:rsidR="00A84437" w:rsidRPr="005B0D1E" w:rsidRDefault="00A84437" w:rsidP="00A84437">
      <w:pPr>
        <w:spacing w:line="360" w:lineRule="auto"/>
        <w:ind w:right="51"/>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Además de las constancias que obran en el expediente del SAIMEX, se advierte que el </w:t>
      </w:r>
      <w:r w:rsidRPr="005B0D1E">
        <w:rPr>
          <w:rFonts w:ascii="Palatino Linotype" w:eastAsia="Palatino Linotype" w:hAnsi="Palatino Linotype" w:cs="Palatino Linotype"/>
          <w:b/>
        </w:rPr>
        <w:t xml:space="preserve">SUJETO OBLIGADO, </w:t>
      </w:r>
      <w:r w:rsidRPr="005B0D1E">
        <w:rPr>
          <w:rFonts w:ascii="Palatino Linotype" w:eastAsia="Palatino Linotype" w:hAnsi="Palatino Linotype" w:cs="Palatino Linotype"/>
        </w:rPr>
        <w:t xml:space="preserve">no siguió el procedimiento establecido por el artículo 162 de la Ley de Transparencia y Acceso a la Información Pública del Estado de México y Municipios, ya que, no se puede perder de vista que para otorgar respuesta a la </w:t>
      </w:r>
      <w:r w:rsidRPr="005B0D1E">
        <w:rPr>
          <w:rFonts w:ascii="Palatino Linotype" w:eastAsia="Palatino Linotype" w:hAnsi="Palatino Linotype" w:cs="Palatino Linotype"/>
        </w:rPr>
        <w:lastRenderedPageBreak/>
        <w:t xml:space="preserve">solicitud inicial,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rsidR="00A84437" w:rsidRPr="005B0D1E" w:rsidRDefault="00A84437" w:rsidP="00A84437">
      <w:pPr>
        <w:spacing w:before="240" w:after="240"/>
        <w:ind w:left="709" w:right="902"/>
        <w:jc w:val="both"/>
        <w:rPr>
          <w:rFonts w:ascii="Palatino Linotype" w:eastAsia="Palatino Linotype" w:hAnsi="Palatino Linotype" w:cs="Palatino Linotype"/>
          <w:i/>
          <w:sz w:val="20"/>
          <w:szCs w:val="20"/>
        </w:rPr>
      </w:pPr>
      <w:r w:rsidRPr="005B0D1E">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A84437" w:rsidRPr="005B0D1E" w:rsidRDefault="00A84437" w:rsidP="00A84437">
      <w:pPr>
        <w:shd w:val="clear" w:color="auto" w:fill="FFFFFF"/>
        <w:spacing w:before="240" w:after="240" w:line="360" w:lineRule="auto"/>
        <w:jc w:val="both"/>
        <w:rPr>
          <w:color w:val="222222"/>
        </w:rPr>
      </w:pPr>
      <w:r w:rsidRPr="005B0D1E">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5B0D1E">
        <w:rPr>
          <w:rFonts w:ascii="Palatino Linotype" w:eastAsia="Palatino Linotype" w:hAnsi="Palatino Linotype" w:cs="Palatino Linotype"/>
          <w:color w:val="000000"/>
        </w:rPr>
        <w:t>de Transparencia y Acceso a la Información Pública del Estado de México y Municipios, el cual menciona lo siguiente:</w:t>
      </w:r>
    </w:p>
    <w:p w:rsidR="00A84437" w:rsidRPr="005B0D1E" w:rsidRDefault="00A84437" w:rsidP="00A84437">
      <w:pPr>
        <w:shd w:val="clear" w:color="auto" w:fill="FFFFFF"/>
        <w:spacing w:after="240" w:line="276" w:lineRule="auto"/>
        <w:ind w:left="993" w:right="1041"/>
        <w:jc w:val="both"/>
        <w:rPr>
          <w:color w:val="222222"/>
        </w:rPr>
      </w:pPr>
      <w:r w:rsidRPr="005B0D1E">
        <w:rPr>
          <w:rFonts w:ascii="Palatino Linotype" w:eastAsia="Palatino Linotype" w:hAnsi="Palatino Linotype" w:cs="Palatino Linotype"/>
          <w:b/>
          <w:i/>
          <w:color w:val="222222"/>
          <w:sz w:val="22"/>
          <w:szCs w:val="22"/>
        </w:rPr>
        <w:t>“Artículo 162.</w:t>
      </w:r>
      <w:r w:rsidRPr="005B0D1E">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rsidR="00A84437" w:rsidRPr="005B0D1E" w:rsidRDefault="00A84437" w:rsidP="00A84437">
      <w:pPr>
        <w:shd w:val="clear" w:color="auto" w:fill="FFFFFF"/>
        <w:spacing w:line="360" w:lineRule="auto"/>
        <w:jc w:val="both"/>
        <w:rPr>
          <w:color w:val="222222"/>
        </w:rPr>
      </w:pPr>
      <w:r w:rsidRPr="005B0D1E">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5B0D1E">
        <w:rPr>
          <w:rFonts w:ascii="Palatino Linotype" w:eastAsia="Palatino Linotype" w:hAnsi="Palatino Linotype" w:cs="Palatino Linotype"/>
          <w:color w:val="222222"/>
          <w:vertAlign w:val="superscript"/>
        </w:rPr>
        <w:footnoteReference w:id="2"/>
      </w:r>
      <w:r w:rsidRPr="005B0D1E">
        <w:rPr>
          <w:rFonts w:ascii="Palatino Linotype" w:eastAsia="Palatino Linotype" w:hAnsi="Palatino Linotype" w:cs="Palatino Linotype"/>
          <w:color w:val="222222"/>
        </w:rPr>
        <w:t xml:space="preserve">, para ello la misma norma establece que los sujetos obligados deberán otorgar el acceso a los </w:t>
      </w:r>
      <w:r w:rsidRPr="005B0D1E">
        <w:rPr>
          <w:rFonts w:ascii="Palatino Linotype" w:eastAsia="Palatino Linotype" w:hAnsi="Palatino Linotype" w:cs="Palatino Linotype"/>
          <w:color w:val="222222"/>
        </w:rPr>
        <w:lastRenderedPageBreak/>
        <w:t>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rsidR="00A84437" w:rsidRPr="005B0D1E" w:rsidRDefault="00A84437" w:rsidP="00A84437">
      <w:pPr>
        <w:shd w:val="clear" w:color="auto" w:fill="FFFFFF"/>
        <w:ind w:left="993" w:right="1041"/>
        <w:jc w:val="both"/>
        <w:rPr>
          <w:rFonts w:ascii="Palatino Linotype" w:eastAsia="Palatino Linotype" w:hAnsi="Palatino Linotype" w:cs="Palatino Linotype"/>
          <w:b/>
          <w:i/>
          <w:color w:val="222222"/>
          <w:sz w:val="22"/>
          <w:szCs w:val="22"/>
        </w:rPr>
      </w:pPr>
    </w:p>
    <w:p w:rsidR="00A84437" w:rsidRPr="005B0D1E" w:rsidRDefault="00A84437" w:rsidP="00A84437">
      <w:pPr>
        <w:shd w:val="clear" w:color="auto" w:fill="FFFFFF"/>
        <w:ind w:left="993" w:right="1041"/>
        <w:jc w:val="both"/>
        <w:rPr>
          <w:color w:val="222222"/>
        </w:rPr>
      </w:pPr>
      <w:r w:rsidRPr="005B0D1E">
        <w:rPr>
          <w:rFonts w:ascii="Palatino Linotype" w:eastAsia="Palatino Linotype" w:hAnsi="Palatino Linotype" w:cs="Palatino Linotype"/>
          <w:b/>
          <w:i/>
          <w:color w:val="222222"/>
          <w:sz w:val="22"/>
          <w:szCs w:val="22"/>
        </w:rPr>
        <w:t>“Artículo 160. </w:t>
      </w:r>
      <w:r w:rsidRPr="005B0D1E">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A84437" w:rsidRPr="005B0D1E" w:rsidRDefault="00A84437" w:rsidP="00A84437">
      <w:pPr>
        <w:shd w:val="clear" w:color="auto" w:fill="FFFFFF"/>
        <w:ind w:left="993" w:right="1041"/>
        <w:jc w:val="both"/>
        <w:rPr>
          <w:color w:val="222222"/>
        </w:rPr>
      </w:pPr>
      <w:r w:rsidRPr="005B0D1E">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rsidR="00A84437" w:rsidRPr="005B0D1E" w:rsidRDefault="00A84437" w:rsidP="00A84437">
      <w:pPr>
        <w:shd w:val="clear" w:color="auto" w:fill="FFFFFF"/>
        <w:ind w:left="993" w:right="1041"/>
        <w:jc w:val="both"/>
        <w:rPr>
          <w:color w:val="222222"/>
        </w:rPr>
      </w:pPr>
      <w:r w:rsidRPr="005B0D1E">
        <w:rPr>
          <w:rFonts w:ascii="Palatino Linotype" w:eastAsia="Palatino Linotype" w:hAnsi="Palatino Linotype" w:cs="Palatino Linotype"/>
          <w:b/>
          <w:i/>
          <w:color w:val="222222"/>
          <w:sz w:val="22"/>
          <w:szCs w:val="22"/>
        </w:rPr>
        <w:t>Artículo 163.</w:t>
      </w:r>
      <w:r w:rsidRPr="005B0D1E">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rsidR="00A84437" w:rsidRPr="005B0D1E" w:rsidRDefault="00A84437" w:rsidP="00A84437">
      <w:pPr>
        <w:shd w:val="clear" w:color="auto" w:fill="FFFFFF"/>
        <w:ind w:left="993" w:right="1041"/>
        <w:jc w:val="both"/>
        <w:rPr>
          <w:color w:val="222222"/>
        </w:rPr>
      </w:pPr>
      <w:r w:rsidRPr="005B0D1E">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A84437" w:rsidRPr="005B0D1E" w:rsidRDefault="00A84437" w:rsidP="00A84437">
      <w:pPr>
        <w:shd w:val="clear" w:color="auto" w:fill="FFFFFF"/>
        <w:ind w:left="993" w:right="1041"/>
        <w:jc w:val="both"/>
        <w:rPr>
          <w:color w:val="222222"/>
        </w:rPr>
      </w:pPr>
      <w:r w:rsidRPr="005B0D1E">
        <w:rPr>
          <w:rFonts w:ascii="Palatino Linotype" w:eastAsia="Palatino Linotype" w:hAnsi="Palatino Linotype" w:cs="Palatino Linotype"/>
          <w:b/>
          <w:i/>
          <w:color w:val="222222"/>
          <w:sz w:val="22"/>
          <w:szCs w:val="22"/>
        </w:rPr>
        <w:t>Artículo 165.</w:t>
      </w:r>
      <w:r w:rsidRPr="005B0D1E">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rsidR="00A84437" w:rsidRPr="005B0D1E" w:rsidRDefault="00A84437" w:rsidP="00A84437">
      <w:pPr>
        <w:shd w:val="clear" w:color="auto" w:fill="FFFFFF"/>
        <w:ind w:left="993" w:right="1041"/>
        <w:jc w:val="both"/>
        <w:rPr>
          <w:color w:val="222222"/>
        </w:rPr>
      </w:pPr>
      <w:r w:rsidRPr="005B0D1E">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A84437" w:rsidRPr="005B0D1E" w:rsidRDefault="00A84437" w:rsidP="00A84437">
      <w:pPr>
        <w:shd w:val="clear" w:color="auto" w:fill="FFFFFF"/>
        <w:spacing w:after="240"/>
        <w:ind w:left="993" w:right="1041"/>
        <w:jc w:val="both"/>
        <w:rPr>
          <w:color w:val="222222"/>
        </w:rPr>
      </w:pPr>
      <w:r w:rsidRPr="005B0D1E">
        <w:rPr>
          <w:rFonts w:ascii="Palatino Linotype" w:eastAsia="Palatino Linotype" w:hAnsi="Palatino Linotype" w:cs="Palatino Linotype"/>
          <w:i/>
          <w:color w:val="222222"/>
          <w:sz w:val="22"/>
          <w:szCs w:val="22"/>
        </w:rPr>
        <w:lastRenderedPageBreak/>
        <w:t>Ante la falta de respuesta a una solicitud en el plazo previsto y en caso de que proceda el acceso, los costos de reproducción y envío correrán a cargo del sujeto obligado.” (Sic)</w:t>
      </w:r>
    </w:p>
    <w:p w:rsidR="00A84437" w:rsidRPr="005B0D1E" w:rsidRDefault="00A84437" w:rsidP="00A84437">
      <w:pPr>
        <w:shd w:val="clear" w:color="auto" w:fill="FFFFFF"/>
        <w:spacing w:before="240" w:after="240" w:line="360" w:lineRule="auto"/>
        <w:jc w:val="both"/>
        <w:rPr>
          <w:color w:val="222222"/>
        </w:rPr>
      </w:pPr>
      <w:r w:rsidRPr="005B0D1E">
        <w:rPr>
          <w:rFonts w:ascii="Palatino Linotype" w:eastAsia="Palatino Linotype" w:hAnsi="Palatino Linotype" w:cs="Palatino Linotype"/>
          <w:color w:val="222222"/>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5B0D1E">
        <w:rPr>
          <w:rFonts w:ascii="Palatino Linotype" w:eastAsia="Palatino Linotype" w:hAnsi="Palatino Linotype" w:cs="Palatino Linotype"/>
          <w:color w:val="222222"/>
          <w:vertAlign w:val="superscript"/>
        </w:rPr>
        <w:footnoteReference w:id="3"/>
      </w:r>
      <w:r w:rsidRPr="005B0D1E">
        <w:rPr>
          <w:rFonts w:ascii="Palatino Linotype" w:eastAsia="Palatino Linotype" w:hAnsi="Palatino Linotype" w:cs="Palatino Linotype"/>
          <w:color w:val="222222"/>
        </w:rPr>
        <w:t xml:space="preserve">, situación que no se advierte en el presente caso, toda vez que el </w:t>
      </w:r>
      <w:r w:rsidRPr="005B0D1E">
        <w:rPr>
          <w:rFonts w:ascii="Palatino Linotype" w:eastAsia="Palatino Linotype" w:hAnsi="Palatino Linotype" w:cs="Palatino Linotype"/>
          <w:b/>
          <w:color w:val="222222"/>
        </w:rPr>
        <w:t>SUJETO OBLIGADO</w:t>
      </w:r>
      <w:r w:rsidRPr="005B0D1E">
        <w:rPr>
          <w:rFonts w:ascii="Palatino Linotype" w:eastAsia="Palatino Linotype" w:hAnsi="Palatino Linotype" w:cs="Palatino Linotype"/>
          <w:color w:val="222222"/>
        </w:rPr>
        <w:t xml:space="preserve">, a través de su </w:t>
      </w:r>
      <w:r w:rsidRPr="005B0D1E">
        <w:rPr>
          <w:rFonts w:ascii="Palatino Linotype" w:eastAsia="Palatino Linotype" w:hAnsi="Palatino Linotype" w:cs="Palatino Linotype"/>
          <w:color w:val="000000"/>
        </w:rPr>
        <w:t xml:space="preserve">Unidad de Transparencia </w:t>
      </w:r>
      <w:r w:rsidRPr="005B0D1E">
        <w:rPr>
          <w:rFonts w:ascii="Palatino Linotype" w:eastAsia="Palatino Linotype" w:hAnsi="Palatino Linotype" w:cs="Palatino Linotype"/>
          <w:color w:val="222222"/>
        </w:rPr>
        <w:t>no ha brindado el acceso a la información solicitada por el particular de manera completa,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rsidR="00206E27" w:rsidRPr="005B0D1E" w:rsidRDefault="00A84437" w:rsidP="00206E27">
      <w:pPr>
        <w:shd w:val="clear" w:color="auto" w:fill="FFFFFF"/>
        <w:spacing w:before="240" w:after="240" w:line="360" w:lineRule="auto"/>
        <w:jc w:val="both"/>
        <w:rPr>
          <w:rFonts w:ascii="Palatino Linotype" w:eastAsia="Palatino Linotype" w:hAnsi="Palatino Linotype" w:cs="Palatino Linotype"/>
          <w:color w:val="222222"/>
        </w:rPr>
      </w:pPr>
      <w:r w:rsidRPr="005B0D1E">
        <w:rPr>
          <w:rFonts w:ascii="Palatino Linotype" w:eastAsia="Palatino Linotype" w:hAnsi="Palatino Linotype" w:cs="Palatino Linotype"/>
          <w:color w:val="222222"/>
        </w:rPr>
        <w:t xml:space="preserve">En mérito de lo anterior, se colige que el SUJETO OBLIGADO debió realizar una búsqueda exhaustiva y razonable de la información peticionada en todas las áreas competentes para que se pronunciaran respecto de la solicitud del particular, como pudieran ser, por ejemplo, </w:t>
      </w:r>
      <w:r w:rsidR="00206E27" w:rsidRPr="005B0D1E">
        <w:rPr>
          <w:rFonts w:ascii="Palatino Linotype" w:eastAsia="Palatino Linotype" w:hAnsi="Palatino Linotype" w:cs="Palatino Linotype"/>
          <w:color w:val="222222"/>
        </w:rPr>
        <w:t xml:space="preserve">la Dirección de Administración que en términos del Manual General de Organización del </w:t>
      </w:r>
      <w:r w:rsidR="00206E27" w:rsidRPr="005B0D1E">
        <w:rPr>
          <w:rFonts w:ascii="Palatino Linotype" w:eastAsia="Palatino Linotype" w:hAnsi="Palatino Linotype" w:cs="Palatino Linotype"/>
          <w:b/>
          <w:color w:val="222222"/>
        </w:rPr>
        <w:t>SUJETO OBLIGADO</w:t>
      </w:r>
      <w:r w:rsidR="00206E27" w:rsidRPr="005B0D1E">
        <w:rPr>
          <w:rFonts w:ascii="Palatino Linotype" w:eastAsia="Palatino Linotype" w:hAnsi="Palatino Linotype" w:cs="Palatino Linotype"/>
          <w:color w:val="222222"/>
        </w:rPr>
        <w:t>, tiene las siguientes atribuciones:</w:t>
      </w:r>
    </w:p>
    <w:p w:rsidR="00206E27" w:rsidRPr="005B0D1E" w:rsidRDefault="00206E27" w:rsidP="00206E27">
      <w:pPr>
        <w:shd w:val="clear" w:color="auto" w:fill="FFFFFF"/>
        <w:spacing w:before="240" w:after="240" w:line="360" w:lineRule="auto"/>
        <w:jc w:val="both"/>
        <w:rPr>
          <w:rFonts w:ascii="Palatino Linotype" w:eastAsia="Palatino Linotype" w:hAnsi="Palatino Linotype" w:cs="Palatino Linotype"/>
          <w:color w:val="222222"/>
        </w:rPr>
      </w:pPr>
    </w:p>
    <w:p w:rsidR="00816FB3" w:rsidRPr="005B0D1E" w:rsidRDefault="00816FB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 </w:t>
      </w:r>
    </w:p>
    <w:p w:rsidR="00206E27" w:rsidRPr="005B0D1E" w:rsidRDefault="00816FB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lastRenderedPageBreak/>
        <w:t>“</w:t>
      </w:r>
      <w:r w:rsidR="00206E27" w:rsidRPr="005B0D1E">
        <w:rPr>
          <w:rFonts w:ascii="Palatino Linotype" w:eastAsia="Palatino Linotype" w:hAnsi="Palatino Linotype" w:cs="Palatino Linotype"/>
          <w:i/>
          <w:color w:val="222222"/>
          <w:sz w:val="22"/>
          <w:szCs w:val="22"/>
        </w:rPr>
        <w:t xml:space="preserve">213420000 DIRECCIÓN GENERAL DE ADMINISTRACIÓN OBJETIVO: </w:t>
      </w:r>
      <w:r w:rsidR="00206E27" w:rsidRPr="005B0D1E">
        <w:rPr>
          <w:rFonts w:ascii="Palatino Linotype" w:eastAsia="Palatino Linotype" w:hAnsi="Palatino Linotype" w:cs="Palatino Linotype"/>
          <w:b/>
          <w:i/>
          <w:color w:val="222222"/>
          <w:sz w:val="22"/>
          <w:szCs w:val="22"/>
        </w:rPr>
        <w:t>Planear y coordinar las actividades referentes a los recursos humanos</w:t>
      </w:r>
      <w:r w:rsidR="00206E27" w:rsidRPr="005B0D1E">
        <w:rPr>
          <w:rFonts w:ascii="Palatino Linotype" w:eastAsia="Palatino Linotype" w:hAnsi="Palatino Linotype" w:cs="Palatino Linotype"/>
          <w:i/>
          <w:color w:val="222222"/>
          <w:sz w:val="22"/>
          <w:szCs w:val="22"/>
        </w:rPr>
        <w:t xml:space="preserve">, materiales, financieros y técnicos con base en la normatividad establecida, así como proponer y establecer las medidas de control y las normas que deban aplicar las diferentes unidades administrativas para garantizar el desarrollo de las metas y programas de la Procuraduría. </w:t>
      </w:r>
    </w:p>
    <w:p w:rsidR="00206E27"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FUNCIONES: </w:t>
      </w:r>
    </w:p>
    <w:p w:rsidR="00206E27"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-Coordinar y supervisar los programas de trabajo de las subdirecciones y departamentos que integran la Dirección General de Administración. </w:t>
      </w:r>
    </w:p>
    <w:p w:rsidR="00206E27"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 Proponer y coadyuvar en la ejecución de acciones que contribuyan a mejorar la operación de los procesos de trabajo y la calidad de los servicios administrativos que proporciona la Coordinación de Planeación y Administración. </w:t>
      </w:r>
    </w:p>
    <w:p w:rsidR="00206E27"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 Dirigir y administrar el manejo y control de los recursos humanos, financieros, materiales y técnicos de la Procuraduría General de Justicia del Estado de México, con base en las necesidades de la Institución. </w:t>
      </w:r>
    </w:p>
    <w:p w:rsidR="00206E27"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 Asegurar el aprovisionamiento de los insumos y bienes, así como el suministro de los servicios generales que requieran las unidades y órganos que integran a la Procuraduría, cumpliendo con las políticas y medidas de racionalidad, austeridad y disciplina determinadas para el ejercicio del presupuesto y ejecución de programas. </w:t>
      </w:r>
    </w:p>
    <w:p w:rsidR="00206E27"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b/>
          <w:i/>
          <w:color w:val="222222"/>
          <w:sz w:val="22"/>
          <w:szCs w:val="22"/>
        </w:rPr>
        <w:t>-Evaluar y autorizar los movimientos de personal de la institución, como son altas, bajas, licencias, permisos, entre otros, de conformidad con la normatividad vigente en la materia</w:t>
      </w:r>
      <w:r w:rsidRPr="005B0D1E">
        <w:rPr>
          <w:rFonts w:ascii="Palatino Linotype" w:eastAsia="Palatino Linotype" w:hAnsi="Palatino Linotype" w:cs="Palatino Linotype"/>
          <w:i/>
          <w:color w:val="222222"/>
          <w:sz w:val="22"/>
          <w:szCs w:val="22"/>
        </w:rPr>
        <w:t xml:space="preserve">. </w:t>
      </w:r>
    </w:p>
    <w:p w:rsidR="00206E27"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-Dirigir la integración del proyecto anual de los presupuestos de ingresos y egresos. </w:t>
      </w:r>
    </w:p>
    <w:p w:rsidR="000B5FD3"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-Llevar el control y seguimiento administrativo y presupuestal de los programas especiales asignados a la Procuraduría General de Justicia del Estado de México, de acuerdo a los lineamientos establecidos para tal efecto. </w:t>
      </w:r>
    </w:p>
    <w:p w:rsidR="000B5FD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 xml:space="preserve">Verificar que la comprobación y registro contable del presupuesto de egresos se realice oportunamente. </w:t>
      </w:r>
    </w:p>
    <w:p w:rsidR="000B5FD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 xml:space="preserve">Administrar el presupuesto asignado a la Procuraduría, así como proponer al Coordinador de Planeación y Administración las modificaciones presupuestales necesarias y supervisar el seguimiento del control presupuestal. </w:t>
      </w:r>
    </w:p>
    <w:p w:rsidR="000B5FD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 xml:space="preserve">Controlar y supervisar que se realice correctamente la comprobación y registro contable del presupuesto de egresos. </w:t>
      </w:r>
    </w:p>
    <w:p w:rsidR="000B5FD3"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lastRenderedPageBreak/>
        <w:t xml:space="preserve">- Coordinar el pago de proveedores de bienes y servicios a los beneficiarios de los programas que ejecuta la Procuraduría, para cumplir con las contraprestaciones respectivas. </w:t>
      </w:r>
    </w:p>
    <w:p w:rsidR="000B5FD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 xml:space="preserve">Coordinar y supervisar la elaboración del Programa Anual de Adquisiciones de la Institución. Autorizar las solicitudes de adquisiciones, arrendamientos y servicios relacionados con bienes muebles, inmuebles, así como de obra pública y los servicios relacionados con la misma. </w:t>
      </w:r>
    </w:p>
    <w:p w:rsidR="000B5FD3"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 Supervisar y asegurar que los bienes muebles e inmuebles reciban el mantenimiento preventivo y correctivo requerido. Coordinar con la Dirección General de Información, Planeación, Programación y Evaluación, la elaboración del anteproyecto de Presupuesto Anual de Egresos, de acuerdo a las necesidades de las unidades administrativas de la Procuraduría General de Justicia del Estado de México. </w:t>
      </w:r>
    </w:p>
    <w:p w:rsidR="000B5FD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 xml:space="preserve">Coordinar y controlar el fondo </w:t>
      </w:r>
      <w:proofErr w:type="spellStart"/>
      <w:r w:rsidR="00206E27" w:rsidRPr="005B0D1E">
        <w:rPr>
          <w:rFonts w:ascii="Palatino Linotype" w:eastAsia="Palatino Linotype" w:hAnsi="Palatino Linotype" w:cs="Palatino Linotype"/>
          <w:i/>
          <w:color w:val="222222"/>
          <w:sz w:val="22"/>
          <w:szCs w:val="22"/>
        </w:rPr>
        <w:t>revolvente</w:t>
      </w:r>
      <w:proofErr w:type="spellEnd"/>
      <w:r w:rsidR="00206E27" w:rsidRPr="005B0D1E">
        <w:rPr>
          <w:rFonts w:ascii="Palatino Linotype" w:eastAsia="Palatino Linotype" w:hAnsi="Palatino Linotype" w:cs="Palatino Linotype"/>
          <w:i/>
          <w:color w:val="222222"/>
          <w:sz w:val="22"/>
          <w:szCs w:val="22"/>
        </w:rPr>
        <w:t xml:space="preserve"> asignado a las unidades administrativas adscritas a la Procuraduría. Administrar, manejar y vigilar el fondo auxiliar para la procuración de justicia. </w:t>
      </w:r>
    </w:p>
    <w:p w:rsidR="000B5FD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 xml:space="preserve">Proponer el otorgamiento de recompensas, estímulos y reconocimientos a servidores públicos de la Procuraduría General de Justicia del Estado de México. Establecer, controlar y evaluar el Programa Interno de Protección Civil y de Seguridad para las unidades administrativas de la Procuraduría. </w:t>
      </w:r>
    </w:p>
    <w:p w:rsidR="000B5FD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 xml:space="preserve">Determinar medidas de control, conservación, rehabilitación, reposición y en general, del buen uso de los recursos materiales a cargo de las unidades administrativas de la Procuraduría. </w:t>
      </w:r>
    </w:p>
    <w:p w:rsidR="000B5FD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 xml:space="preserve">Coordinar la integración y actualización del inventario de bienes muebles e inmuebles, así como asegurar que se lleve a cabo la verificación, asignación, conservación y estado de los bienes. </w:t>
      </w:r>
    </w:p>
    <w:p w:rsidR="000B5FD3" w:rsidRPr="005B0D1E" w:rsidRDefault="00206E27"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 Proponer los lineamientos para la administración del armamento y parque vehicular de la Institución, así como autorizar su asignación a los servidores públicos. </w:t>
      </w:r>
    </w:p>
    <w:p w:rsidR="00816FB3" w:rsidRPr="005B0D1E" w:rsidRDefault="000B5FD3" w:rsidP="00206E27">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r w:rsidR="00206E27" w:rsidRPr="005B0D1E">
        <w:rPr>
          <w:rFonts w:ascii="Palatino Linotype" w:eastAsia="Palatino Linotype" w:hAnsi="Palatino Linotype" w:cs="Palatino Linotype"/>
          <w:i/>
          <w:color w:val="222222"/>
          <w:sz w:val="22"/>
          <w:szCs w:val="22"/>
        </w:rPr>
        <w:t>Coordinar el adecuado resguardo, custodia, conservación y mantenimiento de los bienes asegurados, así como establecer los lineamientos en materia de control, conservación, asignación y destino</w:t>
      </w:r>
      <w:r w:rsidR="00816FB3" w:rsidRPr="005B0D1E">
        <w:rPr>
          <w:rFonts w:ascii="Palatino Linotype" w:eastAsia="Palatino Linotype" w:hAnsi="Palatino Linotype" w:cs="Palatino Linotype"/>
          <w:i/>
          <w:color w:val="222222"/>
          <w:sz w:val="22"/>
          <w:szCs w:val="22"/>
        </w:rPr>
        <w:t>” (Sic)</w:t>
      </w:r>
    </w:p>
    <w:p w:rsidR="00816FB3" w:rsidRPr="005B0D1E" w:rsidRDefault="00816FB3" w:rsidP="00816FB3">
      <w:pPr>
        <w:spacing w:line="360" w:lineRule="auto"/>
        <w:ind w:right="51"/>
        <w:jc w:val="both"/>
        <w:rPr>
          <w:rFonts w:ascii="Palatino Linotype" w:eastAsia="Palatino Linotype" w:hAnsi="Palatino Linotype" w:cs="Palatino Linotype"/>
          <w:color w:val="FF0000"/>
        </w:rPr>
      </w:pPr>
    </w:p>
    <w:p w:rsidR="00CF1DFD" w:rsidRPr="005B0D1E" w:rsidRDefault="000033AF" w:rsidP="000033AF">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Precisado lo anterior y a consideración de este Organismo Garante, como ya se precisó con el directorio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no da cuenta de todos los servidores públicos con los que cuenta la Fiscalía General de Justicia del Estado de </w:t>
      </w:r>
      <w:r w:rsidRPr="005B0D1E">
        <w:rPr>
          <w:rFonts w:ascii="Palatino Linotype" w:eastAsia="Palatino Linotype" w:hAnsi="Palatino Linotype" w:cs="Palatino Linotype"/>
        </w:rPr>
        <w:lastRenderedPageBreak/>
        <w:t xml:space="preserve">México; por ello, </w:t>
      </w:r>
      <w:r w:rsidR="008C6BA7" w:rsidRPr="005B0D1E">
        <w:rPr>
          <w:rFonts w:ascii="Palatino Linotype" w:eastAsia="Palatino Linotype" w:hAnsi="Palatino Linotype" w:cs="Palatino Linotype"/>
        </w:rPr>
        <w:t xml:space="preserve">en términos de lo señalado por el artículo 2 fracción VIII y 32 de la Ley de la Fiscalía General de Justicia del Estado de México, </w:t>
      </w:r>
      <w:r w:rsidR="00CF1DFD" w:rsidRPr="005B0D1E">
        <w:rPr>
          <w:rFonts w:ascii="Palatino Linotype" w:eastAsia="Palatino Linotype" w:hAnsi="Palatino Linotype" w:cs="Palatino Linotype"/>
        </w:rPr>
        <w:t>que señalan:</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“Artículo 2. Para los efectos aplicación e interpretación de esta Ley se entiende por:</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VIII. Personal Operativo: a las y los agentes del Ministerio Público, Policía de Investigación, las y los orientadores jurídicos, las y los facilitadores de mecanismos alternativos de solución de controversias en materia penal y servicios periciales.</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Artículo 32. Para el eficaz cumplimiento de las atribuciones conferidas por las disposiciones jurídicas aplicables, la Fiscalía contará con los siguientes auxiliares y apoyos: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A. Directos: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 Las instituciones policiales del Estado de México y de sus Municipios.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II. Los Servicios Periciales.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B. Complementarios: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 Las y los Síndicos de los Ayuntamientos.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II. Las policías federales.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III. Las fuerzas armadas.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IV. Las instituciones policiales de investigación y preventivas de otras entidades federativas.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C. Jurídicos: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 Las áreas o unidades que realicen funciones normativas, jurídicas, de evaluación técnica y jurídica o de consulta.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II. Las y los asesores internos o externos en materia legal.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III. Las áreas de vinculación y de relaciones institucionales.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D. Técnicos: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 Las áreas o unidades de planeación y de elaboración de políticas públicas.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II. Las áreas o unidades de atención y apoyo a víctimas.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III. Las áreas de resguardo y administración de indicios o evidencias.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IV. Las áreas o unidades de atención inmediata, mediación, conciliación y de apoyo para la solución de controversias.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V. Las áreas de capacitación y profesionalización.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VI. Las áreas de estadísticas, sistemas, logística y archivo.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 xml:space="preserve">VII. Las áreas de tecnologías de la información y comunicación. </w:t>
      </w:r>
    </w:p>
    <w:p w:rsidR="00CF1DFD" w:rsidRPr="005B0D1E" w:rsidRDefault="00CF1DFD" w:rsidP="00CF1DFD">
      <w:pPr>
        <w:shd w:val="clear" w:color="auto" w:fill="FFFFFF"/>
        <w:ind w:left="993" w:right="1041"/>
        <w:jc w:val="both"/>
        <w:rPr>
          <w:rFonts w:ascii="Palatino Linotype" w:eastAsia="Palatino Linotype" w:hAnsi="Palatino Linotype" w:cs="Palatino Linotype"/>
          <w:b/>
          <w:i/>
          <w:color w:val="222222"/>
          <w:sz w:val="22"/>
          <w:szCs w:val="22"/>
        </w:rPr>
      </w:pPr>
      <w:r w:rsidRPr="005B0D1E">
        <w:rPr>
          <w:rFonts w:ascii="Palatino Linotype" w:eastAsia="Palatino Linotype" w:hAnsi="Palatino Linotype" w:cs="Palatino Linotype"/>
          <w:b/>
          <w:i/>
          <w:color w:val="222222"/>
          <w:sz w:val="22"/>
          <w:szCs w:val="22"/>
        </w:rPr>
        <w:t xml:space="preserve">E. Administrativos: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lastRenderedPageBreak/>
        <w:t xml:space="preserve">I. Las áreas de gestión y administración de recursos humanos y materiales. </w:t>
      </w:r>
    </w:p>
    <w:p w:rsidR="00CF1DFD" w:rsidRPr="005B0D1E" w:rsidRDefault="00CF1DFD" w:rsidP="00CF1DFD">
      <w:pPr>
        <w:shd w:val="clear" w:color="auto" w:fill="FFFFFF"/>
        <w:ind w:left="993" w:right="1041"/>
        <w:jc w:val="both"/>
        <w:rPr>
          <w:rFonts w:ascii="Palatino Linotype" w:eastAsia="Palatino Linotype" w:hAnsi="Palatino Linotype" w:cs="Palatino Linotype"/>
          <w:i/>
          <w:color w:val="222222"/>
          <w:sz w:val="22"/>
          <w:szCs w:val="22"/>
        </w:rPr>
      </w:pPr>
      <w:r w:rsidRPr="005B0D1E">
        <w:rPr>
          <w:rFonts w:ascii="Palatino Linotype" w:eastAsia="Palatino Linotype" w:hAnsi="Palatino Linotype" w:cs="Palatino Linotype"/>
          <w:i/>
          <w:color w:val="222222"/>
          <w:sz w:val="22"/>
          <w:szCs w:val="22"/>
        </w:rPr>
        <w:t>II. Las áreas de comunicación social, relaciones públicas y atención al público. F. Las demás áreas o unidades que sean necesarias para el eficaz ejercicio de sus atribuciones.” (Sic)</w:t>
      </w:r>
    </w:p>
    <w:p w:rsidR="000033AF" w:rsidRPr="005B0D1E" w:rsidRDefault="00F83369" w:rsidP="000033AF">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E</w:t>
      </w:r>
      <w:r w:rsidR="008C6BA7" w:rsidRPr="005B0D1E">
        <w:rPr>
          <w:rFonts w:ascii="Palatino Linotype" w:eastAsia="Palatino Linotype" w:hAnsi="Palatino Linotype" w:cs="Palatino Linotype"/>
        </w:rPr>
        <w:t xml:space="preserve">s </w:t>
      </w:r>
      <w:r w:rsidR="000033AF" w:rsidRPr="005B0D1E">
        <w:rPr>
          <w:rFonts w:ascii="Palatino Linotype" w:eastAsia="Palatino Linotype" w:hAnsi="Palatino Linotype" w:cs="Palatino Linotype"/>
        </w:rPr>
        <w:t xml:space="preserve">importante hacer una distinción del personal administrativo y operativo del </w:t>
      </w:r>
      <w:r w:rsidR="000033AF" w:rsidRPr="005B0D1E">
        <w:rPr>
          <w:rFonts w:ascii="Palatino Linotype" w:eastAsia="Palatino Linotype" w:hAnsi="Palatino Linotype" w:cs="Palatino Linotype"/>
          <w:b/>
        </w:rPr>
        <w:t>SUJETO OBLIGADO</w:t>
      </w:r>
      <w:r w:rsidR="000033AF" w:rsidRPr="005B0D1E">
        <w:rPr>
          <w:rFonts w:ascii="Palatino Linotype" w:eastAsia="Palatino Linotype" w:hAnsi="Palatino Linotype" w:cs="Palatino Linotype"/>
        </w:rPr>
        <w:t>.</w:t>
      </w:r>
    </w:p>
    <w:p w:rsidR="000033AF" w:rsidRPr="005B0D1E" w:rsidRDefault="000033AF" w:rsidP="000033AF">
      <w:pPr>
        <w:spacing w:before="240" w:after="240" w:line="360" w:lineRule="auto"/>
        <w:jc w:val="both"/>
        <w:rPr>
          <w:rFonts w:ascii="Palatino Linotype" w:eastAsia="Palatino Linotype" w:hAnsi="Palatino Linotype" w:cs="Palatino Linotype"/>
          <w:b/>
        </w:rPr>
      </w:pPr>
      <w:r w:rsidRPr="005B0D1E">
        <w:rPr>
          <w:rFonts w:ascii="Palatino Linotype" w:eastAsia="Palatino Linotype" w:hAnsi="Palatino Linotype" w:cs="Palatino Linotype"/>
        </w:rPr>
        <w:t xml:space="preserve">Al respecto se destaca que tomando como parámetro las atribuciones y competencias reservadas, el personal de Seguridad ha sido clasificado en dos rubros, aludiendo al personal operativo y al personal administrativo, destacando que el personal operativo combate directamente a la delincuencia, mientras que el personal administrativo desempeña actividades diversas a las realizadas por el personal operativo. </w:t>
      </w:r>
    </w:p>
    <w:p w:rsidR="000033AF" w:rsidRPr="005B0D1E" w:rsidRDefault="000033AF" w:rsidP="000033AF">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Bajo este contexto, es menester puntualizar que por regla general existe un interés público por conocer quién es el responsable de ejercer actos de autoridad, recibir recursos públicos o incluso generar actos de molestia. Ciertamente tan claro e indiscutible es dicho interés público que dicha información figura dentro de las obligaciones de transparencia común de los Sujetos Obligados, lo anterior con fundamento en el numeral 92, fracción VII de la Ley de Transparencia local “Directorio de servidores públicos”. </w:t>
      </w:r>
    </w:p>
    <w:p w:rsidR="000033AF" w:rsidRPr="005B0D1E" w:rsidRDefault="000033AF" w:rsidP="000033AF">
      <w:pPr>
        <w:spacing w:line="360" w:lineRule="auto"/>
        <w:jc w:val="both"/>
        <w:rPr>
          <w:rFonts w:ascii="Palatino Linotype" w:eastAsia="Palatino Linotype" w:hAnsi="Palatino Linotype" w:cs="Palatino Linotype"/>
        </w:rPr>
      </w:pPr>
    </w:p>
    <w:p w:rsidR="00206E27" w:rsidRPr="005B0D1E" w:rsidRDefault="000033AF" w:rsidP="00206E27">
      <w:pPr>
        <w:spacing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rPr>
        <w:t xml:space="preserve">No obstante, se insiste en que la información relativa a servidores públicos cuyas atribuciones se encuentran encauzadas a la prevención o persecución de los delitos y combate directo de la delincuencia, su nombre requiere de un tratamiento diverso en comparación al resto de los servidores públicos, ya que su divulgación puede </w:t>
      </w:r>
      <w:r w:rsidRPr="005B0D1E">
        <w:rPr>
          <w:rFonts w:ascii="Palatino Linotype" w:eastAsia="Palatino Linotype" w:hAnsi="Palatino Linotype" w:cs="Palatino Linotype"/>
        </w:rPr>
        <w:lastRenderedPageBreak/>
        <w:t>comprometer el ejercicio de sus facultades y poner en riesgo la vida, segurid</w:t>
      </w:r>
      <w:r w:rsidR="00206E27" w:rsidRPr="005B0D1E">
        <w:rPr>
          <w:rFonts w:ascii="Palatino Linotype" w:eastAsia="Palatino Linotype" w:hAnsi="Palatino Linotype" w:cs="Palatino Linotype"/>
        </w:rPr>
        <w:t xml:space="preserve">ad y salud de la persona física, actualizándose con ello lo estipulado </w:t>
      </w:r>
      <w:r w:rsidR="008C6BA7" w:rsidRPr="005B0D1E">
        <w:rPr>
          <w:rFonts w:ascii="Palatino Linotype" w:eastAsia="Palatino Linotype" w:hAnsi="Palatino Linotype" w:cs="Palatino Linotype"/>
          <w:color w:val="000000"/>
        </w:rPr>
        <w:t>por los</w:t>
      </w:r>
      <w:r w:rsidR="00206E27" w:rsidRPr="005B0D1E">
        <w:rPr>
          <w:rFonts w:ascii="Palatino Linotype" w:eastAsia="Palatino Linotype" w:hAnsi="Palatino Linotype" w:cs="Palatino Linotype"/>
          <w:color w:val="000000"/>
        </w:rPr>
        <w:t xml:space="preserve"> artículo</w:t>
      </w:r>
      <w:r w:rsidR="008C6BA7" w:rsidRPr="005B0D1E">
        <w:rPr>
          <w:rFonts w:ascii="Palatino Linotype" w:eastAsia="Palatino Linotype" w:hAnsi="Palatino Linotype" w:cs="Palatino Linotype"/>
          <w:color w:val="000000"/>
        </w:rPr>
        <w:t>s 113 fracción V de la Ley General de Transparencia y Acceso a la Información Pública y 140, Fracciones I</w:t>
      </w:r>
      <w:r w:rsidR="00D11A0B" w:rsidRPr="005B0D1E">
        <w:rPr>
          <w:rFonts w:ascii="Palatino Linotype" w:eastAsia="Palatino Linotype" w:hAnsi="Palatino Linotype" w:cs="Palatino Linotype"/>
          <w:color w:val="000000"/>
        </w:rPr>
        <w:t>V</w:t>
      </w:r>
      <w:r w:rsidR="00206E27" w:rsidRPr="005B0D1E">
        <w:rPr>
          <w:rFonts w:ascii="Palatino Linotype" w:eastAsia="Palatino Linotype" w:hAnsi="Palatino Linotype" w:cs="Palatino Linotype"/>
          <w:color w:val="000000"/>
        </w:rPr>
        <w:t>,  de la Ley de Transparencia Estatal, que a la letra establecen lo siguiente:</w:t>
      </w:r>
    </w:p>
    <w:p w:rsidR="00206E27" w:rsidRPr="005B0D1E" w:rsidRDefault="00206E27" w:rsidP="00206E2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8C6BA7" w:rsidRPr="005B0D1E" w:rsidRDefault="00206E27" w:rsidP="00206E27">
      <w:pPr>
        <w:pBdr>
          <w:top w:val="nil"/>
          <w:left w:val="nil"/>
          <w:bottom w:val="nil"/>
          <w:right w:val="nil"/>
          <w:between w:val="nil"/>
        </w:pBdr>
        <w:ind w:left="567" w:right="567"/>
        <w:jc w:val="both"/>
        <w:rPr>
          <w:rFonts w:ascii="Palatino Linotype" w:eastAsia="Palatino Linotype" w:hAnsi="Palatino Linotype" w:cs="Palatino Linotype"/>
          <w:i/>
          <w:color w:val="000000"/>
          <w:u w:val="single"/>
        </w:rPr>
      </w:pPr>
      <w:r w:rsidRPr="005B0D1E">
        <w:rPr>
          <w:rFonts w:ascii="Palatino Linotype" w:eastAsia="Palatino Linotype" w:hAnsi="Palatino Linotype" w:cs="Palatino Linotype"/>
          <w:i/>
          <w:color w:val="000000"/>
          <w:u w:val="single"/>
        </w:rPr>
        <w:t>“</w:t>
      </w:r>
      <w:r w:rsidR="008C6BA7" w:rsidRPr="005B0D1E">
        <w:rPr>
          <w:rFonts w:ascii="Palatino Linotype" w:eastAsia="Palatino Linotype" w:hAnsi="Palatino Linotype" w:cs="Palatino Linotype"/>
          <w:i/>
          <w:color w:val="000000"/>
          <w:u w:val="single"/>
        </w:rPr>
        <w:t>Artículo 113. Como información reservada podrá clasificarse aquella cuya publicación:</w:t>
      </w:r>
    </w:p>
    <w:p w:rsidR="008C6BA7" w:rsidRPr="005B0D1E" w:rsidRDefault="008C6BA7" w:rsidP="00206E27">
      <w:pPr>
        <w:pBdr>
          <w:top w:val="nil"/>
          <w:left w:val="nil"/>
          <w:bottom w:val="nil"/>
          <w:right w:val="nil"/>
          <w:between w:val="nil"/>
        </w:pBdr>
        <w:ind w:left="567" w:right="567"/>
        <w:jc w:val="both"/>
        <w:rPr>
          <w:rFonts w:ascii="Palatino Linotype" w:eastAsia="Palatino Linotype" w:hAnsi="Palatino Linotype" w:cs="Palatino Linotype"/>
          <w:i/>
          <w:color w:val="000000"/>
          <w:u w:val="single"/>
        </w:rPr>
      </w:pPr>
      <w:r w:rsidRPr="005B0D1E">
        <w:rPr>
          <w:rFonts w:ascii="Palatino Linotype" w:eastAsia="Palatino Linotype" w:hAnsi="Palatino Linotype" w:cs="Palatino Linotype"/>
          <w:i/>
          <w:color w:val="000000"/>
          <w:u w:val="single"/>
        </w:rPr>
        <w:t>…</w:t>
      </w:r>
    </w:p>
    <w:p w:rsidR="008C6BA7" w:rsidRPr="005B0D1E" w:rsidRDefault="008C6BA7" w:rsidP="00206E27">
      <w:pPr>
        <w:pBdr>
          <w:top w:val="nil"/>
          <w:left w:val="nil"/>
          <w:bottom w:val="nil"/>
          <w:right w:val="nil"/>
          <w:between w:val="nil"/>
        </w:pBdr>
        <w:ind w:left="567" w:right="567"/>
        <w:jc w:val="both"/>
        <w:rPr>
          <w:rFonts w:ascii="Palatino Linotype" w:eastAsia="Palatino Linotype" w:hAnsi="Palatino Linotype" w:cs="Palatino Linotype"/>
          <w:i/>
          <w:color w:val="000000"/>
          <w:u w:val="single"/>
        </w:rPr>
      </w:pPr>
      <w:r w:rsidRPr="005B0D1E">
        <w:rPr>
          <w:rFonts w:ascii="Palatino Linotype" w:eastAsia="Palatino Linotype" w:hAnsi="Palatino Linotype" w:cs="Palatino Linotype"/>
          <w:i/>
          <w:color w:val="000000"/>
          <w:u w:val="single"/>
        </w:rPr>
        <w:t>V. Pueda poner en riesgo la vida, seguridad o salud de una persona física;</w:t>
      </w:r>
    </w:p>
    <w:p w:rsidR="008C6BA7" w:rsidRPr="005B0D1E" w:rsidRDefault="008C6BA7" w:rsidP="00206E27">
      <w:pPr>
        <w:pBdr>
          <w:top w:val="nil"/>
          <w:left w:val="nil"/>
          <w:bottom w:val="nil"/>
          <w:right w:val="nil"/>
          <w:between w:val="nil"/>
        </w:pBdr>
        <w:ind w:left="567" w:right="567"/>
        <w:jc w:val="both"/>
        <w:rPr>
          <w:rFonts w:ascii="Palatino Linotype" w:eastAsia="Palatino Linotype" w:hAnsi="Palatino Linotype" w:cs="Palatino Linotype"/>
          <w:i/>
          <w:color w:val="000000"/>
          <w:u w:val="single"/>
        </w:rPr>
      </w:pPr>
    </w:p>
    <w:p w:rsidR="00206E27" w:rsidRPr="005B0D1E" w:rsidRDefault="00206E27" w:rsidP="00206E27">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5B0D1E">
        <w:rPr>
          <w:rFonts w:ascii="Palatino Linotype" w:eastAsia="Palatino Linotype" w:hAnsi="Palatino Linotype" w:cs="Palatino Linotype"/>
          <w:b/>
          <w:i/>
          <w:color w:val="000000"/>
        </w:rPr>
        <w:t>Artículo 140.</w:t>
      </w:r>
      <w:r w:rsidRPr="005B0D1E">
        <w:rPr>
          <w:rFonts w:ascii="Palatino Linotype" w:eastAsia="Palatino Linotype" w:hAnsi="Palatino Linotype" w:cs="Palatino Linotype"/>
          <w:i/>
          <w:color w:val="000000"/>
        </w:rPr>
        <w:t xml:space="preserve"> </w:t>
      </w:r>
      <w:r w:rsidRPr="005B0D1E">
        <w:rPr>
          <w:rFonts w:ascii="Palatino Linotype" w:eastAsia="Palatino Linotype" w:hAnsi="Palatino Linotype" w:cs="Palatino Linotype"/>
          <w:i/>
          <w:color w:val="000000"/>
          <w:u w:val="single"/>
        </w:rPr>
        <w:t>El acceso a la información pública será restringido excepcionalmente, cuando por razones de interés público, ésta sea clasificada como reservada, conforme a los criterios siguientes:</w:t>
      </w:r>
    </w:p>
    <w:p w:rsidR="00206E27" w:rsidRPr="005B0D1E" w:rsidRDefault="00206E27" w:rsidP="00206E27">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5B0D1E">
        <w:rPr>
          <w:rFonts w:ascii="Palatino Linotype" w:eastAsia="Palatino Linotype" w:hAnsi="Palatino Linotype" w:cs="Palatino Linotype"/>
          <w:i/>
          <w:color w:val="000000"/>
        </w:rPr>
        <w:t xml:space="preserve">(…) </w:t>
      </w:r>
    </w:p>
    <w:p w:rsidR="00206E27" w:rsidRPr="005B0D1E" w:rsidRDefault="00206E27" w:rsidP="00206E27">
      <w:pPr>
        <w:pBdr>
          <w:top w:val="nil"/>
          <w:left w:val="nil"/>
          <w:bottom w:val="nil"/>
          <w:right w:val="nil"/>
          <w:between w:val="nil"/>
        </w:pBdr>
        <w:ind w:left="567" w:right="567"/>
        <w:jc w:val="both"/>
        <w:rPr>
          <w:rFonts w:ascii="Palatino Linotype" w:eastAsia="Palatino Linotype" w:hAnsi="Palatino Linotype" w:cs="Palatino Linotype"/>
          <w:i/>
          <w:color w:val="000000"/>
          <w:u w:val="single"/>
        </w:rPr>
      </w:pPr>
      <w:r w:rsidRPr="005B0D1E">
        <w:rPr>
          <w:rFonts w:ascii="Palatino Linotype" w:eastAsia="Palatino Linotype" w:hAnsi="Palatino Linotype" w:cs="Palatino Linotype"/>
          <w:i/>
          <w:color w:val="000000"/>
          <w:u w:val="single"/>
        </w:rPr>
        <w:t>IV. Ponga en riesgo la vida, la seguridad o la salud de una persona física;</w:t>
      </w:r>
    </w:p>
    <w:p w:rsidR="00206E27" w:rsidRPr="005B0D1E" w:rsidRDefault="00206E27" w:rsidP="008C6BA7">
      <w:pPr>
        <w:pBdr>
          <w:top w:val="nil"/>
          <w:left w:val="nil"/>
          <w:bottom w:val="nil"/>
          <w:right w:val="nil"/>
          <w:between w:val="nil"/>
        </w:pBdr>
        <w:ind w:left="567" w:right="567"/>
        <w:jc w:val="both"/>
        <w:rPr>
          <w:rFonts w:ascii="Palatino Linotype" w:eastAsia="Palatino Linotype" w:hAnsi="Palatino Linotype" w:cs="Palatino Linotype"/>
          <w:i/>
          <w:color w:val="000000"/>
        </w:rPr>
      </w:pPr>
      <w:r w:rsidRPr="005B0D1E">
        <w:rPr>
          <w:rFonts w:ascii="Palatino Linotype" w:eastAsia="Palatino Linotype" w:hAnsi="Palatino Linotype" w:cs="Palatino Linotype"/>
          <w:i/>
          <w:color w:val="000000"/>
        </w:rPr>
        <w:t>(…).”</w:t>
      </w:r>
      <w:r w:rsidR="000B5FD3" w:rsidRPr="005B0D1E">
        <w:rPr>
          <w:rFonts w:ascii="Palatino Linotype" w:eastAsia="Palatino Linotype" w:hAnsi="Palatino Linotype" w:cs="Palatino Linotype"/>
          <w:i/>
          <w:color w:val="000000"/>
        </w:rPr>
        <w:t>(Sic)</w:t>
      </w:r>
    </w:p>
    <w:p w:rsidR="00206E27" w:rsidRPr="005B0D1E" w:rsidRDefault="00206E27" w:rsidP="000033AF">
      <w:pPr>
        <w:spacing w:line="360" w:lineRule="auto"/>
        <w:jc w:val="both"/>
        <w:rPr>
          <w:rFonts w:ascii="Palatino Linotype" w:eastAsia="Palatino Linotype" w:hAnsi="Palatino Linotype" w:cs="Palatino Linotype"/>
        </w:rPr>
      </w:pPr>
    </w:p>
    <w:p w:rsidR="000033AF" w:rsidRPr="005B0D1E" w:rsidRDefault="000033AF" w:rsidP="000033AF">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Al respecto, el Pleno del Órgano Garante Nacional ha sostenido el criterio número </w:t>
      </w:r>
      <w:r w:rsidRPr="005B0D1E">
        <w:rPr>
          <w:rFonts w:ascii="Palatino Linotype" w:eastAsia="Palatino Linotype" w:hAnsi="Palatino Linotype" w:cs="Palatino Linotype"/>
          <w:b/>
        </w:rPr>
        <w:t xml:space="preserve">006/2009 </w:t>
      </w:r>
      <w:r w:rsidRPr="005B0D1E">
        <w:rPr>
          <w:rFonts w:ascii="Palatino Linotype" w:eastAsia="Palatino Linotype" w:hAnsi="Palatino Linotype" w:cs="Palatino Linotype"/>
        </w:rPr>
        <w:t xml:space="preserve">cuyo rubro y texto disponen a la literalidad lo siguiente: </w:t>
      </w:r>
    </w:p>
    <w:p w:rsidR="000033AF" w:rsidRPr="005B0D1E" w:rsidRDefault="000033AF" w:rsidP="000033AF">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b/>
          <w:i/>
          <w:color w:val="000000"/>
          <w:sz w:val="22"/>
          <w:szCs w:val="22"/>
        </w:rPr>
      </w:pPr>
      <w:r w:rsidRPr="005B0D1E">
        <w:rPr>
          <w:rFonts w:ascii="Palatino Linotype" w:eastAsia="Palatino Linotype" w:hAnsi="Palatino Linotype" w:cs="Palatino Linotype"/>
          <w:b/>
          <w:i/>
          <w:color w:val="000000"/>
          <w:sz w:val="22"/>
          <w:szCs w:val="22"/>
        </w:rPr>
        <w:t>“NOMBRES DE SERVIDORES PÚBLICOS DEDICADOS A ACTIVIDADES EN MATERIA DE SEGURIDAD, POR EXCEPCIÓN PUEDEN CONSIDERARSE INFORMACIÓN RESERVADA.</w:t>
      </w:r>
    </w:p>
    <w:p w:rsidR="000033AF" w:rsidRPr="005B0D1E" w:rsidRDefault="000033AF" w:rsidP="000033AF">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w:t>
      </w:r>
      <w:r w:rsidRPr="005B0D1E">
        <w:rPr>
          <w:rFonts w:ascii="Palatino Linotype" w:eastAsia="Palatino Linotype" w:hAnsi="Palatino Linotype" w:cs="Palatino Linotype"/>
          <w:i/>
          <w:color w:val="000000"/>
          <w:sz w:val="22"/>
          <w:szCs w:val="22"/>
        </w:rPr>
        <w:lastRenderedPageBreak/>
        <w:t>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0033AF" w:rsidRPr="005B0D1E" w:rsidRDefault="000033AF" w:rsidP="000033AF">
      <w:pPr>
        <w:pBdr>
          <w:top w:val="nil"/>
          <w:left w:val="nil"/>
          <w:bottom w:val="nil"/>
          <w:right w:val="nil"/>
          <w:between w:val="nil"/>
        </w:pBdr>
        <w:spacing w:before="240" w:after="160" w:line="276" w:lineRule="auto"/>
        <w:ind w:left="851" w:right="851"/>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Precedentes:</w:t>
      </w:r>
    </w:p>
    <w:p w:rsidR="000033AF" w:rsidRPr="005B0D1E" w:rsidRDefault="000033AF" w:rsidP="000033AF">
      <w:pPr>
        <w:numPr>
          <w:ilvl w:val="0"/>
          <w:numId w:val="9"/>
        </w:numPr>
        <w:pBdr>
          <w:top w:val="nil"/>
          <w:left w:val="nil"/>
          <w:bottom w:val="nil"/>
          <w:right w:val="nil"/>
          <w:between w:val="nil"/>
        </w:pBdr>
        <w:spacing w:before="240" w:after="160" w:line="276" w:lineRule="auto"/>
        <w:ind w:right="851"/>
        <w:jc w:val="both"/>
      </w:pPr>
      <w:r w:rsidRPr="005B0D1E">
        <w:rPr>
          <w:rFonts w:ascii="Palatino Linotype" w:eastAsia="Palatino Linotype" w:hAnsi="Palatino Linotype" w:cs="Palatino Linotype"/>
          <w:i/>
          <w:color w:val="000000"/>
          <w:sz w:val="22"/>
          <w:szCs w:val="22"/>
        </w:rPr>
        <w:t>Acceso a la información pública. 4548/07. Sesión del 13 de febrero de 2008. Votación por unanimidad. Sin votos disidentes o particulares. Centro de Investigación y Seguridad Nacional. Comisionado Ponente Alonso Gómez-Robledo V.</w:t>
      </w:r>
    </w:p>
    <w:p w:rsidR="000033AF" w:rsidRPr="005B0D1E" w:rsidRDefault="000033AF" w:rsidP="000033AF">
      <w:pPr>
        <w:numPr>
          <w:ilvl w:val="0"/>
          <w:numId w:val="9"/>
        </w:numPr>
        <w:pBdr>
          <w:top w:val="nil"/>
          <w:left w:val="nil"/>
          <w:bottom w:val="nil"/>
          <w:right w:val="nil"/>
          <w:between w:val="nil"/>
        </w:pBdr>
        <w:spacing w:before="240" w:after="160" w:line="276" w:lineRule="auto"/>
        <w:ind w:right="851"/>
        <w:jc w:val="both"/>
      </w:pPr>
      <w:r w:rsidRPr="005B0D1E">
        <w:rPr>
          <w:rFonts w:ascii="Palatino Linotype" w:eastAsia="Palatino Linotype" w:hAnsi="Palatino Linotype" w:cs="Palatino Linotype"/>
          <w:i/>
          <w:color w:val="000000"/>
          <w:sz w:val="22"/>
          <w:szCs w:val="22"/>
        </w:rPr>
        <w:t xml:space="preserve">Acceso a la información pública. 4130/08. Sesión del 17 de diciembre de 2008. Votación por unanimidad. Sin votos disidentes o particulares. Policía Federal Preventiva. Comisionada Ponente Jacqueline </w:t>
      </w:r>
      <w:proofErr w:type="spellStart"/>
      <w:r w:rsidRPr="005B0D1E">
        <w:rPr>
          <w:rFonts w:ascii="Palatino Linotype" w:eastAsia="Palatino Linotype" w:hAnsi="Palatino Linotype" w:cs="Palatino Linotype"/>
          <w:i/>
          <w:color w:val="000000"/>
          <w:sz w:val="22"/>
          <w:szCs w:val="22"/>
        </w:rPr>
        <w:t>Peschard</w:t>
      </w:r>
      <w:proofErr w:type="spellEnd"/>
      <w:r w:rsidRPr="005B0D1E">
        <w:rPr>
          <w:rFonts w:ascii="Palatino Linotype" w:eastAsia="Palatino Linotype" w:hAnsi="Palatino Linotype" w:cs="Palatino Linotype"/>
          <w:i/>
          <w:color w:val="000000"/>
          <w:sz w:val="22"/>
          <w:szCs w:val="22"/>
        </w:rPr>
        <w:t xml:space="preserve"> Mariscal.</w:t>
      </w:r>
    </w:p>
    <w:p w:rsidR="000033AF" w:rsidRPr="005B0D1E" w:rsidRDefault="000033AF" w:rsidP="000033AF">
      <w:pPr>
        <w:numPr>
          <w:ilvl w:val="0"/>
          <w:numId w:val="9"/>
        </w:numPr>
        <w:pBdr>
          <w:top w:val="nil"/>
          <w:left w:val="nil"/>
          <w:bottom w:val="nil"/>
          <w:right w:val="nil"/>
          <w:between w:val="nil"/>
        </w:pBdr>
        <w:spacing w:before="240" w:after="160" w:line="276" w:lineRule="auto"/>
        <w:ind w:right="851"/>
        <w:jc w:val="both"/>
      </w:pPr>
      <w:r w:rsidRPr="005B0D1E">
        <w:rPr>
          <w:rFonts w:ascii="Palatino Linotype" w:eastAsia="Palatino Linotype" w:hAnsi="Palatino Linotype" w:cs="Palatino Linotype"/>
          <w:i/>
          <w:color w:val="000000"/>
          <w:sz w:val="22"/>
          <w:szCs w:val="22"/>
        </w:rPr>
        <w:t>Acceso a la información pública. 4441/08. Sesión del 14 de enero de 2009. Votación por unanimidad. Sin votos disidentes o particulares. Policía Federal Preventiva. Comisionado Ponente Alonso Gómez-Robledo V.</w:t>
      </w:r>
    </w:p>
    <w:p w:rsidR="000033AF" w:rsidRPr="005B0D1E" w:rsidRDefault="000033AF" w:rsidP="000033AF">
      <w:pPr>
        <w:numPr>
          <w:ilvl w:val="0"/>
          <w:numId w:val="9"/>
        </w:numPr>
        <w:pBdr>
          <w:top w:val="nil"/>
          <w:left w:val="nil"/>
          <w:bottom w:val="nil"/>
          <w:right w:val="nil"/>
          <w:between w:val="nil"/>
        </w:pBdr>
        <w:spacing w:before="240" w:after="160" w:line="276" w:lineRule="auto"/>
        <w:ind w:right="851"/>
        <w:jc w:val="both"/>
      </w:pPr>
      <w:r w:rsidRPr="005B0D1E">
        <w:rPr>
          <w:rFonts w:ascii="Palatino Linotype" w:eastAsia="Palatino Linotype" w:hAnsi="Palatino Linotype" w:cs="Palatino Linotype"/>
          <w:i/>
          <w:color w:val="000000"/>
          <w:sz w:val="22"/>
          <w:szCs w:val="22"/>
        </w:rPr>
        <w:t xml:space="preserve">Acceso a la información pública. 5235/08. Sesión del 11 de febrero de 2009. Votación por unanimidad. Sin votos disidentes o particulares. </w:t>
      </w:r>
      <w:r w:rsidRPr="005B0D1E">
        <w:rPr>
          <w:rFonts w:ascii="Palatino Linotype" w:eastAsia="Palatino Linotype" w:hAnsi="Palatino Linotype" w:cs="Palatino Linotype"/>
          <w:i/>
          <w:color w:val="000000"/>
          <w:sz w:val="22"/>
          <w:szCs w:val="22"/>
        </w:rPr>
        <w:lastRenderedPageBreak/>
        <w:t xml:space="preserve">Secretaría de la Defensa Nacional. Comisionada Ponente Jacqueline </w:t>
      </w:r>
      <w:proofErr w:type="spellStart"/>
      <w:r w:rsidRPr="005B0D1E">
        <w:rPr>
          <w:rFonts w:ascii="Palatino Linotype" w:eastAsia="Palatino Linotype" w:hAnsi="Palatino Linotype" w:cs="Palatino Linotype"/>
          <w:i/>
          <w:color w:val="000000"/>
          <w:sz w:val="22"/>
          <w:szCs w:val="22"/>
        </w:rPr>
        <w:t>Peschard</w:t>
      </w:r>
      <w:proofErr w:type="spellEnd"/>
      <w:r w:rsidRPr="005B0D1E">
        <w:rPr>
          <w:rFonts w:ascii="Palatino Linotype" w:eastAsia="Palatino Linotype" w:hAnsi="Palatino Linotype" w:cs="Palatino Linotype"/>
          <w:i/>
          <w:color w:val="000000"/>
          <w:sz w:val="22"/>
          <w:szCs w:val="22"/>
        </w:rPr>
        <w:t xml:space="preserve"> Mariscal.</w:t>
      </w:r>
    </w:p>
    <w:p w:rsidR="000033AF" w:rsidRPr="005B0D1E" w:rsidRDefault="000033AF" w:rsidP="000033AF">
      <w:pPr>
        <w:numPr>
          <w:ilvl w:val="0"/>
          <w:numId w:val="9"/>
        </w:numPr>
        <w:pBdr>
          <w:top w:val="nil"/>
          <w:left w:val="nil"/>
          <w:bottom w:val="nil"/>
          <w:right w:val="nil"/>
          <w:between w:val="nil"/>
        </w:pBdr>
        <w:spacing w:before="240" w:after="160" w:line="276" w:lineRule="auto"/>
        <w:ind w:right="851"/>
        <w:jc w:val="both"/>
        <w:rPr>
          <w:rFonts w:ascii="Palatino Linotype" w:eastAsia="Palatino Linotype" w:hAnsi="Palatino Linotype" w:cs="Palatino Linotype"/>
          <w:b/>
          <w:i/>
          <w:color w:val="000000"/>
          <w:sz w:val="22"/>
          <w:szCs w:val="22"/>
        </w:rPr>
      </w:pPr>
      <w:r w:rsidRPr="005B0D1E">
        <w:rPr>
          <w:rFonts w:ascii="Palatino Linotype" w:eastAsia="Palatino Linotype" w:hAnsi="Palatino Linotype" w:cs="Palatino Linotype"/>
          <w:i/>
          <w:color w:val="000000"/>
          <w:sz w:val="22"/>
          <w:szCs w:val="22"/>
        </w:rPr>
        <w:t xml:space="preserve">Acceso a la información pública. 2166/09. Sesión del 19 de agosto de 2009. Votación por unanimidad. Sin votos disidentes o particulares. Secretaría de Seguridad Pública. Comisionado Ponente Juan Pablo Guerrero </w:t>
      </w:r>
      <w:proofErr w:type="spellStart"/>
      <w:r w:rsidRPr="005B0D1E">
        <w:rPr>
          <w:rFonts w:ascii="Palatino Linotype" w:eastAsia="Palatino Linotype" w:hAnsi="Palatino Linotype" w:cs="Palatino Linotype"/>
          <w:i/>
          <w:color w:val="000000"/>
          <w:sz w:val="22"/>
          <w:szCs w:val="22"/>
        </w:rPr>
        <w:t>Amparán</w:t>
      </w:r>
      <w:proofErr w:type="spellEnd"/>
      <w:r w:rsidRPr="005B0D1E">
        <w:rPr>
          <w:rFonts w:ascii="Palatino Linotype" w:eastAsia="Palatino Linotype" w:hAnsi="Palatino Linotype" w:cs="Palatino Linotype"/>
          <w:i/>
          <w:color w:val="000000"/>
          <w:sz w:val="22"/>
          <w:szCs w:val="22"/>
        </w:rPr>
        <w:t xml:space="preserve">.” </w:t>
      </w:r>
      <w:r w:rsidRPr="005B0D1E">
        <w:rPr>
          <w:rFonts w:ascii="Palatino Linotype" w:eastAsia="Palatino Linotype" w:hAnsi="Palatino Linotype" w:cs="Palatino Linotype"/>
          <w:b/>
          <w:i/>
          <w:color w:val="000000"/>
          <w:sz w:val="22"/>
          <w:szCs w:val="22"/>
        </w:rPr>
        <w:t>(Sic)</w:t>
      </w:r>
    </w:p>
    <w:p w:rsidR="000033AF" w:rsidRPr="005B0D1E" w:rsidRDefault="000033AF" w:rsidP="000033AF">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Así, el personal operativo se ocupa de garantizar </w:t>
      </w:r>
      <w:r w:rsidRPr="005B0D1E">
        <w:rPr>
          <w:rFonts w:ascii="Palatino Linotype" w:eastAsia="Palatino Linotype" w:hAnsi="Palatino Linotype" w:cs="Palatino Linotype"/>
          <w:color w:val="000000"/>
        </w:rPr>
        <w:t xml:space="preserve">la seguridad pública, a través de acciones preventivas y correctivas, encaminadas a </w:t>
      </w:r>
      <w:r w:rsidRPr="005B0D1E">
        <w:rPr>
          <w:rFonts w:ascii="Palatino Linotype" w:eastAsia="Palatino Linotype" w:hAnsi="Palatino Linotype" w:cs="Palatino Linotype"/>
        </w:rPr>
        <w:t xml:space="preserve">la prevención o persecución de los delitos y combate a </w:t>
      </w:r>
      <w:r w:rsidRPr="005B0D1E">
        <w:rPr>
          <w:rFonts w:ascii="Palatino Linotype" w:eastAsia="Palatino Linotype" w:hAnsi="Palatino Linotype" w:cs="Palatino Linotype"/>
          <w:color w:val="000000"/>
        </w:rPr>
        <w:t xml:space="preserve">la delincuencia en sus diversas manifestaciones, y en ese sentido, una de las formas en que la delincuencia puede llegar a poner en riesgo la seguridad es precisamente anulando, impidiendo, obstaculizando la actuación de los servidores públicos que realizan funciones de carácter operativo. </w:t>
      </w:r>
      <w:r w:rsidRPr="005B0D1E">
        <w:rPr>
          <w:rFonts w:ascii="Palatino Linotype" w:eastAsia="Palatino Linotype" w:hAnsi="Palatino Linotype" w:cs="Palatino Linotype"/>
        </w:rPr>
        <w:t xml:space="preserve"> </w:t>
      </w:r>
    </w:p>
    <w:p w:rsidR="000033AF" w:rsidRPr="005B0D1E" w:rsidRDefault="000033AF" w:rsidP="000033AF">
      <w:pPr>
        <w:spacing w:line="360" w:lineRule="auto"/>
        <w:jc w:val="both"/>
        <w:rPr>
          <w:rFonts w:ascii="Palatino Linotype" w:eastAsia="Palatino Linotype" w:hAnsi="Palatino Linotype" w:cs="Palatino Linotype"/>
        </w:rPr>
      </w:pPr>
    </w:p>
    <w:p w:rsidR="000033AF" w:rsidRPr="005B0D1E" w:rsidRDefault="000033AF" w:rsidP="000033AF">
      <w:pPr>
        <w:spacing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rPr>
        <w:t xml:space="preserve">De tal forma que revelar </w:t>
      </w:r>
      <w:r w:rsidRPr="005B0D1E">
        <w:rPr>
          <w:rFonts w:ascii="Palatino Linotype" w:eastAsia="Palatino Linotype" w:hAnsi="Palatino Linotype" w:cs="Palatino Linotype"/>
          <w:color w:val="000000"/>
        </w:rPr>
        <w:t>la información de personal operativo  atenta de forma directa contra sus funciones de independencia y autonomía, a su libertad de actuación libre de coacción o interferencia, incluso, los inhibe a actuar bajo el criterio de objetividad.</w:t>
      </w:r>
    </w:p>
    <w:p w:rsidR="000033AF" w:rsidRPr="005B0D1E" w:rsidRDefault="000033AF" w:rsidP="000033AF">
      <w:pPr>
        <w:spacing w:before="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Bajo este contexto, con relación al personal operativo para realizar la reserva de la información no basta con exponer alguna de las causales previstas en la Ley de Transparencia local, en sentido contrario dicha valoración debe de realizarse a través de la </w:t>
      </w:r>
      <w:r w:rsidRPr="005B0D1E">
        <w:rPr>
          <w:rFonts w:ascii="Palatino Linotype" w:eastAsia="Palatino Linotype" w:hAnsi="Palatino Linotype" w:cs="Palatino Linotype"/>
          <w:b/>
          <w:i/>
        </w:rPr>
        <w:t xml:space="preserve">“prueba de daño” </w:t>
      </w:r>
      <w:r w:rsidRPr="005B0D1E">
        <w:rPr>
          <w:rFonts w:ascii="Palatino Linotype" w:eastAsia="Palatino Linotype" w:hAnsi="Palatino Linotype" w:cs="Palatino Linotype"/>
        </w:rPr>
        <w:t xml:space="preserve">que consiste en exponer los argumentos y razones, basados en elementos objetivos o verificables, a partir de los cuales se derive que la divulgación de información, en particular, puede afectar, poner en riesgo o dañar el interés protegido. </w:t>
      </w:r>
    </w:p>
    <w:p w:rsidR="000033AF" w:rsidRPr="005B0D1E" w:rsidRDefault="000033AF" w:rsidP="000033AF">
      <w:pPr>
        <w:spacing w:before="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 xml:space="preserve">Para aplicar la prueba de daño, se deberán de precisar las razones objetivas por las que la apertura genera una afectación, acreditando que: </w:t>
      </w:r>
    </w:p>
    <w:p w:rsidR="000033AF" w:rsidRPr="005B0D1E" w:rsidRDefault="000033AF" w:rsidP="000033AF">
      <w:pPr>
        <w:widowControl w:val="0"/>
        <w:numPr>
          <w:ilvl w:val="0"/>
          <w:numId w:val="8"/>
        </w:numPr>
        <w:pBdr>
          <w:top w:val="nil"/>
          <w:left w:val="nil"/>
          <w:bottom w:val="nil"/>
          <w:right w:val="nil"/>
          <w:between w:val="nil"/>
        </w:pBdr>
        <w:spacing w:before="240" w:after="240" w:line="360" w:lineRule="auto"/>
        <w:ind w:right="333"/>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 xml:space="preserve">La divulgación de la información representa un riesgo real, demostrable e identificable del perjuicio significativo al interés público o a la seguridad pública; </w:t>
      </w:r>
    </w:p>
    <w:p w:rsidR="000033AF" w:rsidRPr="005B0D1E" w:rsidRDefault="000033AF" w:rsidP="000033AF">
      <w:pPr>
        <w:widowControl w:val="0"/>
        <w:numPr>
          <w:ilvl w:val="0"/>
          <w:numId w:val="8"/>
        </w:numPr>
        <w:pBdr>
          <w:top w:val="nil"/>
          <w:left w:val="nil"/>
          <w:bottom w:val="nil"/>
          <w:right w:val="nil"/>
          <w:between w:val="nil"/>
        </w:pBdr>
        <w:spacing w:after="240" w:line="360" w:lineRule="auto"/>
        <w:ind w:right="333"/>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 xml:space="preserve">El riesgo de perjuicio que supondría la divulgación supera el interés público general de que se difunda; y </w:t>
      </w:r>
    </w:p>
    <w:p w:rsidR="000033AF" w:rsidRPr="005B0D1E" w:rsidRDefault="000033AF" w:rsidP="000033AF">
      <w:pPr>
        <w:widowControl w:val="0"/>
        <w:numPr>
          <w:ilvl w:val="0"/>
          <w:numId w:val="8"/>
        </w:numPr>
        <w:pBdr>
          <w:top w:val="nil"/>
          <w:left w:val="nil"/>
          <w:bottom w:val="nil"/>
          <w:right w:val="nil"/>
          <w:between w:val="nil"/>
        </w:pBdr>
        <w:spacing w:after="240" w:line="360" w:lineRule="auto"/>
        <w:ind w:right="333"/>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 xml:space="preserve">La limitación se adecua al principio de proporcionalidad y representa el medio menos restrictivo disponible para evitar el perjuicio. </w:t>
      </w:r>
    </w:p>
    <w:p w:rsidR="000033AF" w:rsidRPr="005B0D1E" w:rsidRDefault="000033AF" w:rsidP="000033AF">
      <w:pPr>
        <w:spacing w:before="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Los acuerdos de reserva deberán de cumplir con los siguientes parámetros de forma y fondo: </w:t>
      </w:r>
    </w:p>
    <w:p w:rsidR="000033AF" w:rsidRPr="005B0D1E" w:rsidRDefault="000033AF" w:rsidP="000033AF">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Número de folio de la solicitud</w:t>
      </w:r>
    </w:p>
    <w:p w:rsidR="000033AF" w:rsidRPr="005B0D1E" w:rsidRDefault="000033AF" w:rsidP="000033AF">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Referencia de la información solicitada</w:t>
      </w:r>
    </w:p>
    <w:p w:rsidR="000033AF" w:rsidRPr="005B0D1E" w:rsidRDefault="000033AF" w:rsidP="000033AF">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 xml:space="preserve">Causal aplicable del artículo 113 de la Ley General, vinculándola con el Lineamiento especifico del presente ordenamiento y, cuando corresponda, el supuesto normativo que expresamente le otorga el carácter de información reservada. </w:t>
      </w:r>
    </w:p>
    <w:p w:rsidR="000033AF" w:rsidRPr="005B0D1E" w:rsidRDefault="000033AF" w:rsidP="000033AF">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 xml:space="preserve">Fundamento y Motivación Legal. </w:t>
      </w:r>
    </w:p>
    <w:p w:rsidR="000033AF" w:rsidRPr="005B0D1E" w:rsidRDefault="000033AF" w:rsidP="000033AF">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lastRenderedPageBreak/>
        <w:t xml:space="preserve">Conexión entre los fundamentos y motivos que dieron origen a la Reserva de la información. </w:t>
      </w:r>
    </w:p>
    <w:p w:rsidR="000033AF" w:rsidRPr="005B0D1E" w:rsidRDefault="000033AF" w:rsidP="000033AF">
      <w:pPr>
        <w:spacing w:before="240" w:line="360" w:lineRule="auto"/>
        <w:ind w:left="360"/>
        <w:jc w:val="both"/>
        <w:rPr>
          <w:rFonts w:ascii="Palatino Linotype" w:eastAsia="Palatino Linotype" w:hAnsi="Palatino Linotype" w:cs="Palatino Linotype"/>
          <w:b/>
        </w:rPr>
      </w:pPr>
      <w:r w:rsidRPr="005B0D1E">
        <w:rPr>
          <w:rFonts w:ascii="Palatino Linotype" w:eastAsia="Palatino Linotype" w:hAnsi="Palatino Linotype" w:cs="Palatino Linotype"/>
          <w:b/>
        </w:rPr>
        <w:t>Prueba de Daño</w:t>
      </w:r>
    </w:p>
    <w:p w:rsidR="000033AF" w:rsidRPr="005B0D1E" w:rsidRDefault="000033AF" w:rsidP="000033AF">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Riesgo real, demostrable e identificable (Modo, Tiempo y lugar)</w:t>
      </w:r>
    </w:p>
    <w:p w:rsidR="000033AF" w:rsidRPr="005B0D1E" w:rsidRDefault="000033AF" w:rsidP="000033AF">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Temporalidad de la Reserva de la Información</w:t>
      </w:r>
    </w:p>
    <w:p w:rsidR="000033AF" w:rsidRPr="005B0D1E" w:rsidRDefault="000033AF" w:rsidP="000033AF">
      <w:pPr>
        <w:numPr>
          <w:ilvl w:val="0"/>
          <w:numId w:val="7"/>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 xml:space="preserve">Autoridades competentes. </w:t>
      </w:r>
    </w:p>
    <w:p w:rsidR="000033AF" w:rsidRPr="005B0D1E" w:rsidRDefault="000033AF" w:rsidP="000033A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033AF" w:rsidRPr="005B0D1E" w:rsidRDefault="000033AF" w:rsidP="000033A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 xml:space="preserve">En sentido contrario, el personal de seguridad que desempeña funciones administrativas invariablemente deberá de recibir un tratamiento menos riguroso, puesto que sus funciones no involucran riesgo a la vida, seguridad o salud, por lo que conocer el nombre de los servidores públicos con funciones administrativas adscritos </w:t>
      </w:r>
      <w:r w:rsidR="0031011C" w:rsidRPr="005B0D1E">
        <w:rPr>
          <w:rFonts w:ascii="Palatino Linotype" w:eastAsia="Palatino Linotype" w:hAnsi="Palatino Linotype" w:cs="Palatino Linotype"/>
          <w:color w:val="000000"/>
        </w:rPr>
        <w:t xml:space="preserve">al Sujeto Obligado </w:t>
      </w:r>
      <w:r w:rsidRPr="005B0D1E">
        <w:rPr>
          <w:rFonts w:ascii="Palatino Linotype" w:eastAsia="Palatino Linotype" w:hAnsi="Palatino Linotype" w:cs="Palatino Linotype"/>
          <w:color w:val="000000"/>
        </w:rPr>
        <w:t xml:space="preserve">es de interés general y alcance público, toda vez que al servicio a la sociedad a través de un empleo, cargo o comisión, al que le corresponden determinadas obligaciones a las que quedan constreñidos, y sujetos de que se les exijan determinadas responsabilidades, todo lo cual corresponde a cualquier persona física que preste sus servicios </w:t>
      </w:r>
      <w:r w:rsidRPr="005B0D1E">
        <w:rPr>
          <w:rFonts w:ascii="Palatino Linotype" w:eastAsia="Palatino Linotype" w:hAnsi="Palatino Linotype" w:cs="Palatino Linotype"/>
          <w:b/>
          <w:color w:val="000000"/>
          <w:u w:val="single"/>
        </w:rPr>
        <w:t>bajo cualquier forma en que se sirva al interés público y a cualquier nivel de gobierno</w:t>
      </w:r>
      <w:r w:rsidRPr="005B0D1E">
        <w:rPr>
          <w:rFonts w:ascii="Palatino Linotype" w:eastAsia="Palatino Linotype" w:hAnsi="Palatino Linotype" w:cs="Palatino Linotype"/>
          <w:color w:val="000000"/>
        </w:rPr>
        <w:t xml:space="preserve">, razón por la que es de explorado derecho que su nombre, sin duda alguna, debe ser público ya que es la condición esencial de todo el sistema de una efectiva rendición de cuentas, al que la transparencia y el derecho de acceso a la información contribuyen. </w:t>
      </w:r>
    </w:p>
    <w:p w:rsidR="000033AF" w:rsidRPr="005B0D1E" w:rsidRDefault="000033AF" w:rsidP="000033A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033AF" w:rsidRPr="005B0D1E" w:rsidRDefault="000033AF" w:rsidP="000033AF">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lastRenderedPageBreak/>
        <w:t xml:space="preserve">Por lo tanto los nombres de los servidores públicos con funciones administrativas,  son información a la que le reviste el carácter de pública y la misma no actualiza los supuestos establecidos en los artículos 140 de la </w:t>
      </w:r>
      <w:r w:rsidRPr="005B0D1E">
        <w:rPr>
          <w:rFonts w:ascii="Palatino Linotype" w:eastAsia="Palatino Linotype" w:hAnsi="Palatino Linotype" w:cs="Palatino Linotype"/>
          <w:b/>
          <w:color w:val="000000"/>
        </w:rPr>
        <w:t>Ley de Transparencia y Acceso a la Información Pública del Estado de México y Municipios</w:t>
      </w:r>
      <w:r w:rsidRPr="005B0D1E">
        <w:rPr>
          <w:rFonts w:ascii="Palatino Linotype" w:eastAsia="Palatino Linotype" w:hAnsi="Palatino Linotype" w:cs="Palatino Linotype"/>
          <w:color w:val="000000"/>
        </w:rPr>
        <w:t xml:space="preserve"> y 113 de la Ley General para ser clasificada como información reservada.</w:t>
      </w:r>
    </w:p>
    <w:p w:rsidR="000033AF" w:rsidRPr="005B0D1E" w:rsidRDefault="000033AF" w:rsidP="000033A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033AF" w:rsidRPr="005B0D1E" w:rsidRDefault="000033AF" w:rsidP="000033AF">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Con base en lo anteriormente expuesto, resulta procedente ordenar la entrega de la siguiente información:</w:t>
      </w:r>
    </w:p>
    <w:p w:rsidR="000033AF" w:rsidRPr="005B0D1E" w:rsidRDefault="000033AF" w:rsidP="000033AF">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Razones por las cuales lo procedente es ordenar la búsqueda exhaustiva y razonable del documento o documentos en donde el nombre de los servidores públicos con cargo administrativo; faltantes</w:t>
      </w:r>
      <w:r w:rsidR="002221F9" w:rsidRPr="005B0D1E">
        <w:rPr>
          <w:rFonts w:ascii="Palatino Linotype" w:eastAsia="Palatino Linotype" w:hAnsi="Palatino Linotype" w:cs="Palatino Linotype"/>
        </w:rPr>
        <w:t>,</w:t>
      </w:r>
      <w:r w:rsidRPr="005B0D1E">
        <w:rPr>
          <w:rFonts w:ascii="Palatino Linotype" w:eastAsia="Palatino Linotype" w:hAnsi="Palatino Linotype" w:cs="Palatino Linotype"/>
        </w:rPr>
        <w:t xml:space="preserve"> de la Fiscalía General de Justicia del Estado de México, en funciones al dieciséis de mayo del año dos mil veintitrés y en versión pública conforme a lo señalado por el considerando quinto del presente fallo. </w:t>
      </w:r>
    </w:p>
    <w:p w:rsidR="000033AF" w:rsidRPr="005B0D1E" w:rsidRDefault="000033AF" w:rsidP="000033AF">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5B0D1E">
        <w:rPr>
          <w:rFonts w:ascii="Palatino Linotype" w:eastAsia="Palatino Linotype" w:hAnsi="Palatino Linotype" w:cs="Palatino Linotype"/>
          <w:color w:val="000000"/>
        </w:rPr>
        <w:t xml:space="preserve">Por lo que respecta al personal operativo, se ordena al </w:t>
      </w:r>
      <w:r w:rsidRPr="005B0D1E">
        <w:rPr>
          <w:rFonts w:ascii="Palatino Linotype" w:eastAsia="Palatino Linotype" w:hAnsi="Palatino Linotype" w:cs="Palatino Linotype"/>
          <w:b/>
          <w:color w:val="000000"/>
        </w:rPr>
        <w:t>SUJETO OBLIGADO</w:t>
      </w:r>
      <w:r w:rsidRPr="005B0D1E">
        <w:rPr>
          <w:rFonts w:ascii="Palatino Linotype" w:eastAsia="Palatino Linotype" w:hAnsi="Palatino Linotype" w:cs="Palatino Linotype"/>
          <w:color w:val="000000"/>
        </w:rPr>
        <w:t>, el acuerdo que emita el Comité de Transparencia por el cual se clasifique como reservado el nombre de personal operativo,</w:t>
      </w:r>
      <w:r w:rsidRPr="005B0D1E">
        <w:rPr>
          <w:rFonts w:ascii="Palatino Linotype" w:eastAsia="Palatino Linotype" w:hAnsi="Palatino Linotype" w:cs="Palatino Linotype"/>
          <w:b/>
          <w:color w:val="000000"/>
        </w:rPr>
        <w:t xml:space="preserve"> </w:t>
      </w:r>
      <w:r w:rsidRPr="005B0D1E">
        <w:rPr>
          <w:rFonts w:ascii="Palatino Linotype" w:eastAsia="Palatino Linotype" w:hAnsi="Palatino Linotype" w:cs="Palatino Linotype"/>
          <w:color w:val="000000"/>
        </w:rPr>
        <w:t xml:space="preserve">adscrito a la Fiscalía General de Justicia del Estado de México debidamente fundamentado y motivado. </w:t>
      </w:r>
    </w:p>
    <w:p w:rsidR="000033AF" w:rsidRPr="005B0D1E" w:rsidRDefault="000033AF" w:rsidP="000033A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2221F9" w:rsidRPr="005B0D1E" w:rsidRDefault="002221F9" w:rsidP="002221F9">
      <w:pPr>
        <w:spacing w:before="240" w:after="240" w:line="360" w:lineRule="auto"/>
        <w:ind w:right="49"/>
        <w:jc w:val="both"/>
        <w:rPr>
          <w:rFonts w:ascii="Palatino Linotype" w:eastAsia="Palatino Linotype" w:hAnsi="Palatino Linotype" w:cs="Palatino Linotype"/>
        </w:rPr>
      </w:pPr>
      <w:bookmarkStart w:id="5" w:name="_heading=h.3znysh7" w:colFirst="0" w:colLast="0"/>
      <w:bookmarkEnd w:id="5"/>
      <w:r w:rsidRPr="005B0D1E">
        <w:rPr>
          <w:rFonts w:ascii="Palatino Linotype" w:eastAsia="Palatino Linotype" w:hAnsi="Palatino Linotype" w:cs="Palatino Linotype"/>
          <w:b/>
        </w:rPr>
        <w:t xml:space="preserve">Quinto. Versión Pública. </w:t>
      </w:r>
      <w:r w:rsidRPr="005B0D1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w:t>
      </w:r>
      <w:r w:rsidRPr="005B0D1E">
        <w:rPr>
          <w:rFonts w:ascii="Palatino Linotype" w:eastAsia="Palatino Linotype" w:hAnsi="Palatino Linotype" w:cs="Palatino Linotype"/>
        </w:rPr>
        <w:lastRenderedPageBreak/>
        <w:t xml:space="preserve">señala, el Sujeto Obligado tendrá que hacer la elaboración de una versión pública de los documentos que vaya entregar para dar cumplimiento a esta resolución, a fin de satisfacer el derecho de acceso a la información pública del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sin menoscabar el derecho a la protección de los datos personales de terceros.</w:t>
      </w:r>
    </w:p>
    <w:p w:rsidR="002221F9" w:rsidRPr="005B0D1E" w:rsidRDefault="002221F9" w:rsidP="002221F9">
      <w:pPr>
        <w:spacing w:line="360" w:lineRule="auto"/>
        <w:jc w:val="both"/>
        <w:rPr>
          <w:rFonts w:ascii="Palatino Linotype" w:eastAsia="Palatino Linotype" w:hAnsi="Palatino Linotype" w:cs="Palatino Linotype"/>
        </w:rPr>
      </w:pPr>
    </w:p>
    <w:p w:rsidR="002221F9" w:rsidRPr="005B0D1E" w:rsidRDefault="002221F9" w:rsidP="002221F9">
      <w:pPr>
        <w:spacing w:after="240" w:line="360" w:lineRule="auto"/>
        <w:ind w:right="50"/>
        <w:jc w:val="both"/>
        <w:rPr>
          <w:rFonts w:ascii="Palatino Linotype" w:eastAsia="Palatino Linotype" w:hAnsi="Palatino Linotype" w:cs="Palatino Linotype"/>
        </w:rPr>
      </w:pPr>
      <w:r w:rsidRPr="005B0D1E">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rsidR="002221F9" w:rsidRPr="005B0D1E" w:rsidRDefault="002221F9" w:rsidP="002221F9">
      <w:pPr>
        <w:ind w:left="993" w:right="1041"/>
        <w:jc w:val="both"/>
        <w:rPr>
          <w:rFonts w:ascii="Palatino Linotype" w:eastAsia="Palatino Linotype" w:hAnsi="Palatino Linotype" w:cs="Palatino Linotype"/>
          <w:b/>
          <w:i/>
          <w:sz w:val="22"/>
          <w:szCs w:val="22"/>
        </w:rPr>
      </w:pPr>
      <w:r w:rsidRPr="005B0D1E">
        <w:rPr>
          <w:rFonts w:ascii="Palatino Linotype" w:eastAsia="Palatino Linotype" w:hAnsi="Palatino Linotype" w:cs="Palatino Linotype"/>
          <w:b/>
          <w:i/>
          <w:sz w:val="22"/>
          <w:szCs w:val="22"/>
        </w:rPr>
        <w:t xml:space="preserve"> “Artículo 3. Para los efectos de la presente Ley se entenderá por:</w:t>
      </w: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IX. Datos personales:</w:t>
      </w:r>
      <w:r w:rsidRPr="005B0D1E">
        <w:rPr>
          <w:rFonts w:ascii="Palatino Linotype" w:eastAsia="Palatino Linotype" w:hAnsi="Palatino Linotype" w:cs="Palatino Linotype"/>
          <w:i/>
          <w:sz w:val="22"/>
          <w:szCs w:val="22"/>
        </w:rPr>
        <w:t xml:space="preserve"> </w:t>
      </w:r>
      <w:r w:rsidRPr="005B0D1E">
        <w:rPr>
          <w:rFonts w:ascii="Palatino Linotype" w:eastAsia="Palatino Linotype" w:hAnsi="Palatino Linotype" w:cs="Palatino Linotype"/>
          <w:b/>
          <w:i/>
          <w:sz w:val="22"/>
          <w:szCs w:val="22"/>
        </w:rPr>
        <w:t>La información concerniente a una persona, identificada o identificable</w:t>
      </w:r>
      <w:r w:rsidRPr="005B0D1E">
        <w:rPr>
          <w:rFonts w:ascii="Palatino Linotype" w:eastAsia="Palatino Linotype" w:hAnsi="Palatino Linotype" w:cs="Palatino Linotype"/>
          <w:i/>
          <w:sz w:val="22"/>
          <w:szCs w:val="22"/>
        </w:rPr>
        <w:t xml:space="preserve"> según lo dispuesto por la Ley de Protección de Datos Personales del Estado de México;</w:t>
      </w: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XX. Información clasificada:</w:t>
      </w:r>
      <w:r w:rsidRPr="005B0D1E">
        <w:rPr>
          <w:rFonts w:ascii="Palatino Linotype" w:eastAsia="Palatino Linotype" w:hAnsi="Palatino Linotype" w:cs="Palatino Linotype"/>
          <w:i/>
          <w:sz w:val="22"/>
          <w:szCs w:val="22"/>
        </w:rPr>
        <w:t xml:space="preserve"> Aquella considerada por la presente Ley como reservada o confidencial;</w:t>
      </w: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XXXII. Protección de Datos Personales:</w:t>
      </w:r>
      <w:r w:rsidRPr="005B0D1E">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XLV. Versión pública</w:t>
      </w:r>
      <w:r w:rsidRPr="005B0D1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221F9" w:rsidRPr="005B0D1E" w:rsidRDefault="002221F9" w:rsidP="002221F9">
      <w:pPr>
        <w:ind w:left="993" w:right="1041"/>
        <w:jc w:val="both"/>
        <w:rPr>
          <w:rFonts w:ascii="Palatino Linotype" w:eastAsia="Palatino Linotype" w:hAnsi="Palatino Linotype" w:cs="Palatino Linotype"/>
          <w:i/>
          <w:sz w:val="22"/>
          <w:szCs w:val="22"/>
        </w:rPr>
      </w:pP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“Artículo 6.</w:t>
      </w:r>
      <w:r w:rsidRPr="005B0D1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221F9" w:rsidRPr="005B0D1E" w:rsidRDefault="002221F9" w:rsidP="002221F9">
      <w:pPr>
        <w:ind w:left="993" w:right="1041"/>
        <w:jc w:val="both"/>
        <w:rPr>
          <w:rFonts w:ascii="Palatino Linotype" w:eastAsia="Palatino Linotype" w:hAnsi="Palatino Linotype" w:cs="Palatino Linotype"/>
          <w:i/>
          <w:sz w:val="22"/>
          <w:szCs w:val="22"/>
        </w:rPr>
      </w:pPr>
    </w:p>
    <w:p w:rsidR="002221F9" w:rsidRPr="005B0D1E" w:rsidRDefault="002221F9" w:rsidP="002221F9">
      <w:pPr>
        <w:ind w:left="993" w:right="1041"/>
        <w:jc w:val="both"/>
        <w:rPr>
          <w:rFonts w:ascii="Palatino Linotype" w:eastAsia="Palatino Linotype" w:hAnsi="Palatino Linotype" w:cs="Palatino Linotype"/>
          <w:b/>
          <w:i/>
          <w:sz w:val="22"/>
          <w:szCs w:val="22"/>
        </w:rPr>
      </w:pPr>
      <w:r w:rsidRPr="005B0D1E">
        <w:rPr>
          <w:rFonts w:ascii="Palatino Linotype" w:eastAsia="Palatino Linotype" w:hAnsi="Palatino Linotype" w:cs="Palatino Linotype"/>
          <w:b/>
          <w:i/>
          <w:sz w:val="22"/>
          <w:szCs w:val="22"/>
        </w:rPr>
        <w:lastRenderedPageBreak/>
        <w:t>“Artículo 137.</w:t>
      </w:r>
      <w:r w:rsidRPr="005B0D1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221F9" w:rsidRPr="005B0D1E" w:rsidRDefault="002221F9" w:rsidP="002221F9">
      <w:pPr>
        <w:ind w:left="993" w:right="1041"/>
        <w:jc w:val="both"/>
        <w:rPr>
          <w:rFonts w:ascii="Palatino Linotype" w:eastAsia="Palatino Linotype" w:hAnsi="Palatino Linotype" w:cs="Palatino Linotype"/>
          <w:b/>
          <w:i/>
          <w:sz w:val="22"/>
          <w:szCs w:val="22"/>
        </w:rPr>
      </w:pP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“Artículo 143</w:t>
      </w:r>
      <w:r w:rsidRPr="005B0D1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I.</w:t>
      </w:r>
      <w:r w:rsidRPr="005B0D1E">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rsidR="002221F9" w:rsidRPr="005B0D1E" w:rsidRDefault="002221F9" w:rsidP="002221F9">
      <w:pPr>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rsidR="002221F9" w:rsidRPr="005B0D1E" w:rsidRDefault="002221F9" w:rsidP="002221F9">
      <w:pPr>
        <w:ind w:left="993" w:right="1041"/>
        <w:jc w:val="both"/>
        <w:rPr>
          <w:rFonts w:ascii="Palatino Linotype" w:eastAsia="Palatino Linotype" w:hAnsi="Palatino Linotype" w:cs="Palatino Linotype"/>
          <w:i/>
          <w:sz w:val="22"/>
          <w:szCs w:val="22"/>
        </w:rPr>
      </w:pPr>
    </w:p>
    <w:p w:rsidR="002221F9" w:rsidRPr="005B0D1E" w:rsidRDefault="002221F9" w:rsidP="002221F9">
      <w:pPr>
        <w:spacing w:line="360" w:lineRule="auto"/>
        <w:ind w:right="51"/>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2221F9" w:rsidRPr="005B0D1E" w:rsidRDefault="002221F9" w:rsidP="002221F9">
      <w:pPr>
        <w:spacing w:line="360" w:lineRule="auto"/>
        <w:ind w:right="51"/>
        <w:jc w:val="both"/>
        <w:rPr>
          <w:rFonts w:ascii="Palatino Linotype" w:eastAsia="Palatino Linotype" w:hAnsi="Palatino Linotype" w:cs="Palatino Linotype"/>
        </w:rPr>
      </w:pPr>
    </w:p>
    <w:p w:rsidR="002221F9" w:rsidRPr="005B0D1E" w:rsidRDefault="002221F9" w:rsidP="002221F9">
      <w:pPr>
        <w:spacing w:line="360" w:lineRule="auto"/>
        <w:ind w:right="50"/>
        <w:jc w:val="both"/>
        <w:rPr>
          <w:rFonts w:ascii="Palatino Linotype" w:eastAsia="Palatino Linotype" w:hAnsi="Palatino Linotype" w:cs="Palatino Linotype"/>
        </w:rPr>
      </w:pPr>
      <w:r w:rsidRPr="005B0D1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221F9" w:rsidRPr="005B0D1E" w:rsidRDefault="002221F9" w:rsidP="002221F9">
      <w:pPr>
        <w:spacing w:line="360" w:lineRule="auto"/>
        <w:ind w:right="51"/>
        <w:jc w:val="both"/>
        <w:rPr>
          <w:rFonts w:ascii="Palatino Linotype" w:eastAsia="Palatino Linotype" w:hAnsi="Palatino Linotype" w:cs="Palatino Linotype"/>
        </w:rPr>
      </w:pPr>
    </w:p>
    <w:p w:rsidR="002221F9" w:rsidRPr="005B0D1E" w:rsidRDefault="002221F9" w:rsidP="002221F9">
      <w:pPr>
        <w:spacing w:line="360" w:lineRule="auto"/>
        <w:ind w:right="51"/>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rsidR="002221F9" w:rsidRPr="005B0D1E" w:rsidRDefault="002221F9" w:rsidP="002221F9">
      <w:pPr>
        <w:spacing w:line="360" w:lineRule="auto"/>
        <w:ind w:right="51"/>
        <w:jc w:val="both"/>
        <w:rPr>
          <w:rFonts w:ascii="Palatino Linotype" w:eastAsia="Palatino Linotype" w:hAnsi="Palatino Linotype" w:cs="Palatino Linotype"/>
        </w:rPr>
      </w:pPr>
    </w:p>
    <w:p w:rsidR="002221F9" w:rsidRPr="005B0D1E" w:rsidRDefault="002221F9" w:rsidP="002221F9">
      <w:pPr>
        <w:ind w:left="992" w:right="1043"/>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“Artículo 49.</w:t>
      </w:r>
      <w:r w:rsidRPr="005B0D1E">
        <w:rPr>
          <w:rFonts w:ascii="Palatino Linotype" w:eastAsia="Palatino Linotype" w:hAnsi="Palatino Linotype" w:cs="Palatino Linotype"/>
          <w:i/>
          <w:sz w:val="22"/>
          <w:szCs w:val="22"/>
        </w:rPr>
        <w:t xml:space="preserve"> </w:t>
      </w:r>
      <w:r w:rsidRPr="005B0D1E">
        <w:rPr>
          <w:rFonts w:ascii="Palatino Linotype" w:eastAsia="Palatino Linotype" w:hAnsi="Palatino Linotype" w:cs="Palatino Linotype"/>
          <w:b/>
          <w:i/>
          <w:sz w:val="22"/>
          <w:szCs w:val="22"/>
        </w:rPr>
        <w:t>Los Comités de Transparencia</w:t>
      </w:r>
      <w:r w:rsidRPr="005B0D1E">
        <w:rPr>
          <w:rFonts w:ascii="Palatino Linotype" w:eastAsia="Palatino Linotype" w:hAnsi="Palatino Linotype" w:cs="Palatino Linotype"/>
          <w:i/>
          <w:sz w:val="22"/>
          <w:szCs w:val="22"/>
        </w:rPr>
        <w:t xml:space="preserve"> tendrán las siguientes atribuciones:</w:t>
      </w:r>
    </w:p>
    <w:p w:rsidR="002221F9" w:rsidRPr="005B0D1E" w:rsidRDefault="002221F9" w:rsidP="002221F9">
      <w:pPr>
        <w:ind w:left="992" w:right="1043"/>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VIII. Aprobar, modificar o revocar la clasificación de la información</w:t>
      </w:r>
      <w:r w:rsidRPr="005B0D1E">
        <w:rPr>
          <w:rFonts w:ascii="Palatino Linotype" w:eastAsia="Palatino Linotype" w:hAnsi="Palatino Linotype" w:cs="Palatino Linotype"/>
          <w:i/>
          <w:sz w:val="22"/>
          <w:szCs w:val="22"/>
        </w:rPr>
        <w:t>…”</w:t>
      </w:r>
    </w:p>
    <w:p w:rsidR="002221F9" w:rsidRPr="005B0D1E" w:rsidRDefault="002221F9" w:rsidP="002221F9">
      <w:pPr>
        <w:ind w:left="992" w:right="1043"/>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w:t>
      </w:r>
      <w:r w:rsidRPr="005B0D1E">
        <w:rPr>
          <w:rFonts w:ascii="Palatino Linotype" w:eastAsia="Palatino Linotype" w:hAnsi="Palatino Linotype" w:cs="Palatino Linotype"/>
          <w:b/>
          <w:i/>
          <w:sz w:val="22"/>
          <w:szCs w:val="22"/>
        </w:rPr>
        <w:t>Artículo 53.</w:t>
      </w:r>
      <w:r w:rsidRPr="005B0D1E">
        <w:rPr>
          <w:rFonts w:ascii="Palatino Linotype" w:eastAsia="Palatino Linotype" w:hAnsi="Palatino Linotype" w:cs="Palatino Linotype"/>
          <w:i/>
          <w:sz w:val="22"/>
          <w:szCs w:val="22"/>
        </w:rPr>
        <w:t xml:space="preserve"> Las </w:t>
      </w:r>
      <w:r w:rsidRPr="005B0D1E">
        <w:rPr>
          <w:rFonts w:ascii="Palatino Linotype" w:eastAsia="Palatino Linotype" w:hAnsi="Palatino Linotype" w:cs="Palatino Linotype"/>
          <w:b/>
          <w:i/>
          <w:sz w:val="22"/>
          <w:szCs w:val="22"/>
        </w:rPr>
        <w:t>Unidades de Transparencia</w:t>
      </w:r>
      <w:r w:rsidRPr="005B0D1E">
        <w:rPr>
          <w:rFonts w:ascii="Palatino Linotype" w:eastAsia="Palatino Linotype" w:hAnsi="Palatino Linotype" w:cs="Palatino Linotype"/>
          <w:i/>
          <w:sz w:val="22"/>
          <w:szCs w:val="22"/>
        </w:rPr>
        <w:t xml:space="preserve"> tendrán las siguientes </w:t>
      </w:r>
      <w:r w:rsidRPr="005B0D1E">
        <w:rPr>
          <w:rFonts w:ascii="Palatino Linotype" w:eastAsia="Palatino Linotype" w:hAnsi="Palatino Linotype" w:cs="Palatino Linotype"/>
          <w:b/>
          <w:i/>
          <w:sz w:val="22"/>
          <w:szCs w:val="22"/>
        </w:rPr>
        <w:t>funciones</w:t>
      </w:r>
      <w:r w:rsidRPr="005B0D1E">
        <w:rPr>
          <w:rFonts w:ascii="Palatino Linotype" w:eastAsia="Palatino Linotype" w:hAnsi="Palatino Linotype" w:cs="Palatino Linotype"/>
          <w:i/>
          <w:sz w:val="22"/>
          <w:szCs w:val="22"/>
        </w:rPr>
        <w:t>:</w:t>
      </w:r>
    </w:p>
    <w:p w:rsidR="002221F9" w:rsidRPr="005B0D1E" w:rsidRDefault="002221F9" w:rsidP="002221F9">
      <w:pPr>
        <w:ind w:left="992" w:right="1043"/>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X. Presentar ante el Comité, el proyecto de clasificación de información</w:t>
      </w:r>
      <w:r w:rsidRPr="005B0D1E">
        <w:rPr>
          <w:rFonts w:ascii="Palatino Linotype" w:eastAsia="Palatino Linotype" w:hAnsi="Palatino Linotype" w:cs="Palatino Linotype"/>
          <w:i/>
          <w:sz w:val="22"/>
          <w:szCs w:val="22"/>
        </w:rPr>
        <w:t xml:space="preserve">…” </w:t>
      </w:r>
    </w:p>
    <w:p w:rsidR="002221F9" w:rsidRPr="005B0D1E" w:rsidRDefault="002221F9" w:rsidP="002221F9">
      <w:pPr>
        <w:ind w:left="992" w:right="1043"/>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“Artículo 59.</w:t>
      </w:r>
      <w:r w:rsidRPr="005B0D1E">
        <w:rPr>
          <w:rFonts w:ascii="Palatino Linotype" w:eastAsia="Palatino Linotype" w:hAnsi="Palatino Linotype" w:cs="Palatino Linotype"/>
          <w:i/>
          <w:sz w:val="22"/>
          <w:szCs w:val="22"/>
        </w:rPr>
        <w:t xml:space="preserve"> Los </w:t>
      </w:r>
      <w:r w:rsidRPr="005B0D1E">
        <w:rPr>
          <w:rFonts w:ascii="Palatino Linotype" w:eastAsia="Palatino Linotype" w:hAnsi="Palatino Linotype" w:cs="Palatino Linotype"/>
          <w:b/>
          <w:i/>
          <w:sz w:val="22"/>
          <w:szCs w:val="22"/>
        </w:rPr>
        <w:t>servidores públicos habilitados</w:t>
      </w:r>
      <w:r w:rsidRPr="005B0D1E">
        <w:rPr>
          <w:rFonts w:ascii="Palatino Linotype" w:eastAsia="Palatino Linotype" w:hAnsi="Palatino Linotype" w:cs="Palatino Linotype"/>
          <w:i/>
          <w:sz w:val="22"/>
          <w:szCs w:val="22"/>
        </w:rPr>
        <w:t xml:space="preserve"> tendrán las </w:t>
      </w:r>
      <w:r w:rsidRPr="005B0D1E">
        <w:rPr>
          <w:rFonts w:ascii="Palatino Linotype" w:eastAsia="Palatino Linotype" w:hAnsi="Palatino Linotype" w:cs="Palatino Linotype"/>
          <w:b/>
          <w:i/>
          <w:sz w:val="22"/>
          <w:szCs w:val="22"/>
        </w:rPr>
        <w:t>funciones</w:t>
      </w:r>
      <w:r w:rsidRPr="005B0D1E">
        <w:rPr>
          <w:rFonts w:ascii="Palatino Linotype" w:eastAsia="Palatino Linotype" w:hAnsi="Palatino Linotype" w:cs="Palatino Linotype"/>
          <w:i/>
          <w:sz w:val="22"/>
          <w:szCs w:val="22"/>
        </w:rPr>
        <w:t xml:space="preserve"> siguientes:</w:t>
      </w:r>
    </w:p>
    <w:p w:rsidR="002221F9" w:rsidRPr="005B0D1E" w:rsidRDefault="002221F9" w:rsidP="002221F9">
      <w:pPr>
        <w:ind w:left="992" w:right="1043"/>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B0D1E">
        <w:rPr>
          <w:rFonts w:ascii="Palatino Linotype" w:eastAsia="Palatino Linotype" w:hAnsi="Palatino Linotype" w:cs="Palatino Linotype"/>
          <w:i/>
          <w:sz w:val="22"/>
          <w:szCs w:val="22"/>
        </w:rPr>
        <w:t>, la cual tendrá los fundamentos y argumentos en que se basa dicha propuesta…” (Sic)</w:t>
      </w:r>
    </w:p>
    <w:p w:rsidR="002221F9" w:rsidRPr="005B0D1E" w:rsidRDefault="002221F9" w:rsidP="002221F9">
      <w:pPr>
        <w:ind w:left="992" w:right="1043"/>
        <w:jc w:val="both"/>
        <w:rPr>
          <w:rFonts w:ascii="Palatino Linotype" w:eastAsia="Palatino Linotype" w:hAnsi="Palatino Linotype" w:cs="Palatino Linotype"/>
          <w:i/>
          <w:sz w:val="22"/>
          <w:szCs w:val="22"/>
        </w:rPr>
      </w:pPr>
    </w:p>
    <w:p w:rsidR="002221F9" w:rsidRPr="005B0D1E" w:rsidRDefault="002221F9" w:rsidP="002221F9">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w:t>
      </w:r>
      <w:r w:rsidRPr="005B0D1E">
        <w:rPr>
          <w:rFonts w:ascii="Palatino Linotype" w:eastAsia="Palatino Linotype" w:hAnsi="Palatino Linotype" w:cs="Palatino Linotype"/>
        </w:rPr>
        <w:lastRenderedPageBreak/>
        <w:t>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221F9" w:rsidRPr="005B0D1E" w:rsidRDefault="002221F9" w:rsidP="002221F9">
      <w:pPr>
        <w:spacing w:line="360" w:lineRule="auto"/>
        <w:jc w:val="both"/>
        <w:rPr>
          <w:rFonts w:ascii="Palatino Linotype" w:eastAsia="Palatino Linotype" w:hAnsi="Palatino Linotype" w:cs="Palatino Linotype"/>
        </w:rPr>
      </w:pPr>
    </w:p>
    <w:p w:rsidR="002221F9" w:rsidRPr="005B0D1E" w:rsidRDefault="002221F9" w:rsidP="002221F9">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944AB8" w:rsidRPr="005B0D1E" w:rsidRDefault="00944AB8" w:rsidP="002221F9">
      <w:pPr>
        <w:spacing w:line="360" w:lineRule="auto"/>
        <w:jc w:val="both"/>
        <w:rPr>
          <w:rFonts w:ascii="Palatino Linotype" w:eastAsia="Palatino Linotype" w:hAnsi="Palatino Linotype" w:cs="Palatino Linotype"/>
        </w:rPr>
      </w:pPr>
    </w:p>
    <w:p w:rsidR="002221F9" w:rsidRPr="005B0D1E" w:rsidRDefault="002221F9" w:rsidP="002221F9">
      <w:pPr>
        <w:spacing w:after="240"/>
        <w:ind w:left="993" w:right="1041"/>
        <w:jc w:val="both"/>
        <w:rPr>
          <w:rFonts w:ascii="Palatino Linotype" w:eastAsia="Palatino Linotype" w:hAnsi="Palatino Linotype" w:cs="Palatino Linotype"/>
          <w:i/>
          <w:sz w:val="22"/>
          <w:szCs w:val="22"/>
        </w:rPr>
      </w:pPr>
      <w:r w:rsidRPr="005B0D1E">
        <w:rPr>
          <w:rFonts w:ascii="Palatino Linotype" w:eastAsia="Palatino Linotype" w:hAnsi="Palatino Linotype" w:cs="Palatino Linotype"/>
          <w:i/>
          <w:sz w:val="22"/>
          <w:szCs w:val="22"/>
        </w:rPr>
        <w:t>“</w:t>
      </w:r>
      <w:r w:rsidRPr="005B0D1E">
        <w:rPr>
          <w:rFonts w:ascii="Palatino Linotype" w:eastAsia="Palatino Linotype" w:hAnsi="Palatino Linotype" w:cs="Palatino Linotype"/>
          <w:b/>
          <w:i/>
          <w:sz w:val="22"/>
          <w:szCs w:val="22"/>
        </w:rPr>
        <w:t>Artículo 149.</w:t>
      </w:r>
      <w:r w:rsidRPr="005B0D1E">
        <w:rPr>
          <w:rFonts w:ascii="Palatino Linotype" w:eastAsia="Palatino Linotype" w:hAnsi="Palatino Linotype" w:cs="Palatino Linotype"/>
          <w:i/>
          <w:sz w:val="22"/>
          <w:szCs w:val="22"/>
        </w:rPr>
        <w:t xml:space="preserve"> El </w:t>
      </w:r>
      <w:r w:rsidRPr="005B0D1E">
        <w:rPr>
          <w:rFonts w:ascii="Palatino Linotype" w:eastAsia="Palatino Linotype" w:hAnsi="Palatino Linotype" w:cs="Palatino Linotype"/>
          <w:b/>
          <w:i/>
          <w:sz w:val="22"/>
          <w:szCs w:val="22"/>
        </w:rPr>
        <w:t>acuerdo que clasifique la información como confidencial</w:t>
      </w:r>
      <w:r w:rsidRPr="005B0D1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2221F9" w:rsidRPr="005B0D1E" w:rsidRDefault="002221F9" w:rsidP="002221F9">
      <w:pPr>
        <w:spacing w:before="240" w:line="360" w:lineRule="auto"/>
        <w:ind w:right="51"/>
        <w:jc w:val="both"/>
        <w:rPr>
          <w:rFonts w:ascii="Palatino Linotype" w:eastAsia="Palatino Linotype" w:hAnsi="Palatino Linotype" w:cs="Palatino Linotype"/>
          <w:i/>
          <w:sz w:val="22"/>
          <w:szCs w:val="22"/>
        </w:rPr>
      </w:pPr>
    </w:p>
    <w:p w:rsidR="002221F9" w:rsidRPr="005B0D1E" w:rsidRDefault="002221F9" w:rsidP="002221F9">
      <w:pPr>
        <w:spacing w:line="360" w:lineRule="auto"/>
        <w:ind w:right="51"/>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Es decir,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2221F9" w:rsidRPr="005B0D1E" w:rsidRDefault="002221F9" w:rsidP="002221F9">
      <w:pPr>
        <w:spacing w:line="360" w:lineRule="auto"/>
        <w:ind w:right="51"/>
        <w:jc w:val="both"/>
        <w:rPr>
          <w:rFonts w:ascii="Palatino Linotype" w:eastAsia="Palatino Linotype" w:hAnsi="Palatino Linotype" w:cs="Palatino Linotype"/>
          <w:color w:val="FF0000"/>
        </w:rPr>
      </w:pPr>
    </w:p>
    <w:p w:rsidR="002221F9" w:rsidRPr="005B0D1E" w:rsidRDefault="002221F9" w:rsidP="002221F9">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Al respecto, se destaca que la versión pública que elabore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B0D1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5B0D1E">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2221F9" w:rsidRPr="005B0D1E" w:rsidRDefault="002221F9" w:rsidP="002221F9">
      <w:pPr>
        <w:ind w:left="709" w:right="709"/>
        <w:jc w:val="both"/>
        <w:rPr>
          <w:rFonts w:ascii="Palatino Linotype" w:eastAsia="Palatino Linotype" w:hAnsi="Palatino Linotype" w:cs="Palatino Linotype"/>
          <w:b/>
          <w:i/>
          <w:sz w:val="22"/>
          <w:szCs w:val="22"/>
        </w:rPr>
      </w:pP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i/>
          <w:color w:val="000000"/>
          <w:sz w:val="22"/>
          <w:szCs w:val="22"/>
        </w:rPr>
        <w:t>“</w:t>
      </w:r>
      <w:r w:rsidRPr="005B0D1E">
        <w:rPr>
          <w:rFonts w:ascii="Palatino Linotype" w:eastAsia="Palatino Linotype" w:hAnsi="Palatino Linotype" w:cs="Palatino Linotype"/>
          <w:b/>
          <w:i/>
          <w:color w:val="000000"/>
          <w:sz w:val="22"/>
          <w:szCs w:val="22"/>
        </w:rPr>
        <w:t>Segundo.-</w:t>
      </w:r>
      <w:r w:rsidRPr="005B0D1E">
        <w:rPr>
          <w:rFonts w:ascii="Palatino Linotype" w:eastAsia="Palatino Linotype" w:hAnsi="Palatino Linotype" w:cs="Palatino Linotype"/>
          <w:i/>
          <w:color w:val="000000"/>
          <w:sz w:val="22"/>
          <w:szCs w:val="22"/>
        </w:rPr>
        <w:t xml:space="preserve"> Para efectos de los presentes Lineamientos Generales, se entenderá por:</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XVIII.</w:t>
      </w:r>
      <w:r w:rsidRPr="005B0D1E">
        <w:rPr>
          <w:rFonts w:ascii="Palatino Linotype" w:eastAsia="Palatino Linotype" w:hAnsi="Palatino Linotype" w:cs="Palatino Linotype"/>
          <w:i/>
          <w:color w:val="000000"/>
          <w:sz w:val="22"/>
          <w:szCs w:val="22"/>
        </w:rPr>
        <w:t xml:space="preserve"> </w:t>
      </w:r>
      <w:r w:rsidRPr="005B0D1E">
        <w:rPr>
          <w:rFonts w:ascii="Palatino Linotype" w:eastAsia="Palatino Linotype" w:hAnsi="Palatino Linotype" w:cs="Palatino Linotype"/>
          <w:b/>
          <w:i/>
          <w:color w:val="000000"/>
          <w:sz w:val="22"/>
          <w:szCs w:val="22"/>
        </w:rPr>
        <w:t>Versión pública:</w:t>
      </w:r>
      <w:r w:rsidRPr="005B0D1E">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5B0D1E">
        <w:rPr>
          <w:rFonts w:ascii="Palatino Linotype" w:eastAsia="Palatino Linotype" w:hAnsi="Palatino Linotype" w:cs="Palatino Linotype"/>
          <w:b/>
          <w:i/>
          <w:color w:val="000000"/>
          <w:sz w:val="22"/>
          <w:szCs w:val="22"/>
          <w:u w:val="single"/>
        </w:rPr>
        <w:t>fundando y motivando la</w:t>
      </w:r>
      <w:r w:rsidRPr="005B0D1E">
        <w:rPr>
          <w:rFonts w:ascii="Palatino Linotype" w:eastAsia="Palatino Linotype" w:hAnsi="Palatino Linotype" w:cs="Palatino Linotype"/>
          <w:i/>
          <w:color w:val="000000"/>
          <w:sz w:val="22"/>
          <w:szCs w:val="22"/>
        </w:rPr>
        <w:t xml:space="preserve"> reserva o </w:t>
      </w:r>
      <w:r w:rsidRPr="005B0D1E">
        <w:rPr>
          <w:rFonts w:ascii="Palatino Linotype" w:eastAsia="Palatino Linotype" w:hAnsi="Palatino Linotype" w:cs="Palatino Linotype"/>
          <w:b/>
          <w:i/>
          <w:color w:val="000000"/>
          <w:sz w:val="22"/>
          <w:szCs w:val="22"/>
          <w:u w:val="single"/>
        </w:rPr>
        <w:t>confidencialidad</w:t>
      </w:r>
      <w:r w:rsidRPr="005B0D1E">
        <w:rPr>
          <w:rFonts w:ascii="Palatino Linotype" w:eastAsia="Palatino Linotype" w:hAnsi="Palatino Linotype" w:cs="Palatino Linotype"/>
          <w:i/>
          <w:color w:val="000000"/>
          <w:sz w:val="22"/>
          <w:szCs w:val="22"/>
        </w:rPr>
        <w:t>, a través de la resolución que para tal efecto emita el Comité de Transparencia.</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Cuarto.</w:t>
      </w:r>
      <w:r w:rsidRPr="005B0D1E">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i/>
          <w:color w:val="000000"/>
          <w:sz w:val="22"/>
          <w:szCs w:val="22"/>
        </w:rPr>
        <w:lastRenderedPageBreak/>
        <w:t>Los sujetos obligados deberán aplicar, de manera estricta, las excepciones al derecho de acceso a la información y sólo podrán invocarlas cuando acrediten su procedencia.</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Quinto.</w:t>
      </w:r>
      <w:r w:rsidRPr="005B0D1E">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Séptimo.</w:t>
      </w:r>
      <w:r w:rsidRPr="005B0D1E">
        <w:rPr>
          <w:rFonts w:ascii="Palatino Linotype" w:eastAsia="Palatino Linotype" w:hAnsi="Palatino Linotype" w:cs="Palatino Linotype"/>
          <w:i/>
          <w:color w:val="000000"/>
          <w:sz w:val="22"/>
          <w:szCs w:val="22"/>
        </w:rPr>
        <w:t xml:space="preserve"> La clasificación de la información se llevará a cabo en el momento en que:</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I.</w:t>
      </w:r>
      <w:r w:rsidRPr="005B0D1E">
        <w:rPr>
          <w:rFonts w:ascii="Palatino Linotype" w:eastAsia="Palatino Linotype" w:hAnsi="Palatino Linotype" w:cs="Palatino Linotype"/>
          <w:i/>
          <w:color w:val="000000"/>
          <w:sz w:val="22"/>
          <w:szCs w:val="22"/>
        </w:rPr>
        <w:t xml:space="preserve"> Se reciba una solicitud de acceso a la información;</w:t>
      </w:r>
    </w:p>
    <w:p w:rsidR="002221F9" w:rsidRPr="005B0D1E" w:rsidRDefault="002221F9" w:rsidP="002221F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b/>
          <w:i/>
          <w:color w:val="000000"/>
          <w:sz w:val="22"/>
          <w:szCs w:val="22"/>
        </w:rPr>
        <w:t>II.</w:t>
      </w:r>
      <w:r w:rsidRPr="005B0D1E">
        <w:rPr>
          <w:rFonts w:ascii="Palatino Linotype" w:eastAsia="Palatino Linotype" w:hAnsi="Palatino Linotype" w:cs="Palatino Linotype"/>
          <w:i/>
          <w:color w:val="000000"/>
          <w:sz w:val="22"/>
          <w:szCs w:val="22"/>
        </w:rPr>
        <w:t xml:space="preserve"> Se  determine mediante resolución del Comité de Transparencia, el órgano garante </w:t>
      </w:r>
    </w:p>
    <w:p w:rsidR="002221F9" w:rsidRPr="005B0D1E" w:rsidRDefault="002221F9" w:rsidP="002221F9">
      <w:pPr>
        <w:pBdr>
          <w:top w:val="nil"/>
          <w:left w:val="nil"/>
          <w:bottom w:val="nil"/>
          <w:right w:val="nil"/>
          <w:between w:val="nil"/>
        </w:pBdr>
        <w:ind w:left="709" w:right="709"/>
        <w:jc w:val="both"/>
        <w:rPr>
          <w:color w:val="000000"/>
        </w:rPr>
      </w:pPr>
      <w:proofErr w:type="gramStart"/>
      <w:r w:rsidRPr="005B0D1E">
        <w:rPr>
          <w:rFonts w:ascii="Palatino Linotype" w:eastAsia="Palatino Linotype" w:hAnsi="Palatino Linotype" w:cs="Palatino Linotype"/>
          <w:i/>
          <w:color w:val="000000"/>
          <w:sz w:val="22"/>
          <w:szCs w:val="22"/>
        </w:rPr>
        <w:t>competente</w:t>
      </w:r>
      <w:proofErr w:type="gramEnd"/>
      <w:r w:rsidRPr="005B0D1E">
        <w:rPr>
          <w:rFonts w:ascii="Palatino Linotype" w:eastAsia="Palatino Linotype" w:hAnsi="Palatino Linotype" w:cs="Palatino Linotype"/>
          <w:i/>
          <w:color w:val="000000"/>
          <w:sz w:val="22"/>
          <w:szCs w:val="22"/>
        </w:rPr>
        <w:t>, o en cumplimiento a una sentencia del Poder Judicial; o</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III.</w:t>
      </w:r>
      <w:r w:rsidRPr="005B0D1E">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Octavo.</w:t>
      </w:r>
      <w:r w:rsidRPr="005B0D1E">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rsidR="002221F9" w:rsidRPr="005B0D1E" w:rsidRDefault="002221F9" w:rsidP="002221F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Noveno.</w:t>
      </w:r>
      <w:r w:rsidRPr="005B0D1E">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b/>
          <w:i/>
          <w:color w:val="000000"/>
          <w:sz w:val="22"/>
          <w:szCs w:val="22"/>
        </w:rPr>
        <w:t>Décimo.</w:t>
      </w:r>
      <w:r w:rsidRPr="005B0D1E">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w:t>
      </w:r>
      <w:r w:rsidRPr="005B0D1E">
        <w:rPr>
          <w:rFonts w:ascii="Palatino Linotype" w:eastAsia="Palatino Linotype" w:hAnsi="Palatino Linotype" w:cs="Palatino Linotype"/>
          <w:i/>
          <w:color w:val="000000"/>
          <w:sz w:val="22"/>
          <w:szCs w:val="22"/>
        </w:rPr>
        <w:lastRenderedPageBreak/>
        <w:t>conocimientos técnicos y legales que le permitan manejar adecuadamente la información clasificada, en los términos de la Ley General de Archivos, Lineamientos para la Organización y Conservación de Archivos y demás normatividad aplicable.</w:t>
      </w: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rsidR="002221F9" w:rsidRPr="005B0D1E" w:rsidRDefault="002221F9" w:rsidP="002221F9">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b/>
          <w:i/>
          <w:color w:val="000000"/>
          <w:sz w:val="22"/>
          <w:szCs w:val="22"/>
        </w:rPr>
        <w:t>Décimo primero.</w:t>
      </w:r>
      <w:r w:rsidRPr="005B0D1E">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221F9" w:rsidRPr="005B0D1E" w:rsidRDefault="002221F9" w:rsidP="002221F9">
      <w:pPr>
        <w:pBdr>
          <w:top w:val="nil"/>
          <w:left w:val="nil"/>
          <w:bottom w:val="nil"/>
          <w:right w:val="nil"/>
          <w:between w:val="nil"/>
        </w:pBdr>
        <w:ind w:right="709"/>
        <w:jc w:val="both"/>
        <w:rPr>
          <w:color w:val="000000"/>
        </w:rPr>
      </w:pPr>
    </w:p>
    <w:p w:rsidR="002221F9" w:rsidRPr="005B0D1E" w:rsidRDefault="002221F9" w:rsidP="002221F9">
      <w:pPr>
        <w:pBdr>
          <w:top w:val="nil"/>
          <w:left w:val="nil"/>
          <w:bottom w:val="nil"/>
          <w:right w:val="nil"/>
          <w:between w:val="nil"/>
        </w:pBdr>
        <w:ind w:left="709" w:right="709"/>
        <w:jc w:val="both"/>
        <w:rPr>
          <w:color w:val="000000"/>
        </w:rPr>
      </w:pPr>
      <w:r w:rsidRPr="005B0D1E">
        <w:rPr>
          <w:rFonts w:ascii="Palatino Linotype" w:eastAsia="Palatino Linotype" w:hAnsi="Palatino Linotype" w:cs="Palatino Linotype"/>
          <w:i/>
          <w:color w:val="000000"/>
          <w:sz w:val="22"/>
          <w:szCs w:val="22"/>
        </w:rPr>
        <w:t>[…]</w:t>
      </w:r>
    </w:p>
    <w:p w:rsidR="002221F9" w:rsidRPr="005B0D1E" w:rsidRDefault="002221F9" w:rsidP="002221F9">
      <w:pPr>
        <w:pBdr>
          <w:top w:val="nil"/>
          <w:left w:val="nil"/>
          <w:bottom w:val="nil"/>
          <w:right w:val="nil"/>
          <w:between w:val="nil"/>
        </w:pBdr>
        <w:ind w:left="709" w:right="709"/>
        <w:jc w:val="center"/>
        <w:rPr>
          <w:color w:val="000000"/>
        </w:rPr>
      </w:pPr>
      <w:r w:rsidRPr="005B0D1E">
        <w:rPr>
          <w:rFonts w:ascii="Palatino Linotype" w:eastAsia="Palatino Linotype" w:hAnsi="Palatino Linotype" w:cs="Palatino Linotype"/>
          <w:b/>
          <w:i/>
          <w:color w:val="000000"/>
          <w:sz w:val="22"/>
          <w:szCs w:val="22"/>
        </w:rPr>
        <w:t>CAPÍTULO VIII</w:t>
      </w:r>
    </w:p>
    <w:p w:rsidR="002221F9" w:rsidRPr="005B0D1E" w:rsidRDefault="002221F9" w:rsidP="002221F9">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5B0D1E">
        <w:rPr>
          <w:rFonts w:ascii="Palatino Linotype" w:eastAsia="Palatino Linotype" w:hAnsi="Palatino Linotype" w:cs="Palatino Linotype"/>
          <w:b/>
          <w:i/>
          <w:color w:val="000000"/>
          <w:sz w:val="22"/>
          <w:szCs w:val="22"/>
        </w:rPr>
        <w:t>DE LOS ELEMENTOS PARA LA CLASIFICACIÓN</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b/>
          <w:i/>
          <w:color w:val="000000"/>
          <w:sz w:val="22"/>
          <w:szCs w:val="22"/>
        </w:rPr>
        <w:t>Quincuagésimo</w:t>
      </w:r>
      <w:r w:rsidRPr="005B0D1E">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b/>
          <w:i/>
          <w:color w:val="000000"/>
          <w:sz w:val="22"/>
          <w:szCs w:val="22"/>
        </w:rPr>
        <w:t>Quincuagésimo primero</w:t>
      </w:r>
      <w:r w:rsidRPr="005B0D1E">
        <w:rPr>
          <w:rFonts w:ascii="Palatino Linotype" w:eastAsia="Palatino Linotype" w:hAnsi="Palatino Linotype" w:cs="Palatino Linotype"/>
          <w:i/>
          <w:color w:val="000000"/>
          <w:sz w:val="22"/>
          <w:szCs w:val="22"/>
        </w:rPr>
        <w:t>. Toda acta del Comité de Transparencia deberá contener:</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 xml:space="preserve">I. El número de sesión y fecha; </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II. El nombre del área que solicitó la clasificación de información;</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III. La fundamentación legal y motivación correspondiente;</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IV. La resolución o resoluciones aprobadas; y</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 xml:space="preserve">V. La rúbrica o firma digital de cada integrante del Comité de Transparencia. </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II. Descripción de las partes o secciones reservadas, en caso de clasificación parcial;</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III. El periodo por el que mantendrá su clasificación y fecha de expiración; y</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IV. El nombre del titular y área encargada de realizar la versión pública del documento, en su caso.</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lastRenderedPageBreak/>
        <w:t xml:space="preserve">En los casos en que se clasifique la información como reservada siempre se entregará o anexará la prueba de daño con la respuesta al solicitante. </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b/>
          <w:i/>
          <w:color w:val="000000"/>
          <w:sz w:val="22"/>
          <w:szCs w:val="22"/>
        </w:rPr>
        <w:t>Quincuagésimo segundo</w:t>
      </w:r>
      <w:r w:rsidRPr="005B0D1E">
        <w:rPr>
          <w:rFonts w:ascii="Palatino Linotype" w:eastAsia="Palatino Linotype" w:hAnsi="Palatino Linotype" w:cs="Palatino Linotype"/>
          <w:i/>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B0D1E">
        <w:rPr>
          <w:rFonts w:ascii="Palatino Linotype" w:eastAsia="Palatino Linotype" w:hAnsi="Palatino Linotype" w:cs="Palatino Linotype"/>
          <w:i/>
          <w:color w:val="000000"/>
          <w:sz w:val="22"/>
          <w:szCs w:val="22"/>
        </w:rPr>
        <w:t>sobreposición</w:t>
      </w:r>
      <w:proofErr w:type="spellEnd"/>
      <w:r w:rsidRPr="005B0D1E">
        <w:rPr>
          <w:rFonts w:ascii="Palatino Linotype" w:eastAsia="Palatino Linotype" w:hAnsi="Palatino Linotype" w:cs="Palatino Linotype"/>
          <w:i/>
          <w:color w:val="000000"/>
          <w:sz w:val="22"/>
          <w:szCs w:val="22"/>
        </w:rPr>
        <w:t xml:space="preserve"> de contenido distinto al autorizado por el Comité.</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III. Señalar las personas o instancias autorizadas a acceder a la información clasificada.</w:t>
      </w:r>
    </w:p>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rsidR="002221F9" w:rsidRPr="005B0D1E" w:rsidRDefault="002221F9" w:rsidP="002221F9">
      <w:pPr>
        <w:pBdr>
          <w:top w:val="nil"/>
          <w:left w:val="nil"/>
          <w:bottom w:val="nil"/>
          <w:right w:val="nil"/>
          <w:between w:val="nil"/>
        </w:pBdr>
        <w:spacing w:after="160"/>
        <w:ind w:left="709" w:right="709"/>
        <w:jc w:val="both"/>
        <w:rPr>
          <w:color w:val="000000"/>
        </w:rPr>
      </w:pPr>
      <w:r w:rsidRPr="005B0D1E">
        <w:rPr>
          <w:rFonts w:ascii="Palatino Linotype" w:eastAsia="Palatino Linotype" w:hAnsi="Palatino Linotype" w:cs="Palatino Linotype"/>
          <w:b/>
          <w:i/>
          <w:color w:val="000000"/>
          <w:sz w:val="22"/>
          <w:szCs w:val="22"/>
        </w:rPr>
        <w:t xml:space="preserve">Quincuagésimo tercero. </w:t>
      </w:r>
      <w:r w:rsidRPr="005B0D1E">
        <w:rPr>
          <w:rFonts w:ascii="Palatino Linotype" w:eastAsia="Palatino Linotype" w:hAnsi="Palatino Linotype" w:cs="Palatino Linotype"/>
          <w:b/>
          <w:i/>
          <w:color w:val="000000"/>
          <w:sz w:val="22"/>
          <w:szCs w:val="22"/>
          <w:u w:val="single"/>
        </w:rPr>
        <w:t>El formato para señalar la clasificación de un documento o expediente que contenga información reservada, es el siguiente</w:t>
      </w:r>
      <w:proofErr w:type="gramStart"/>
      <w:r w:rsidRPr="005B0D1E">
        <w:rPr>
          <w:rFonts w:ascii="Palatino Linotype" w:eastAsia="Palatino Linotype" w:hAnsi="Palatino Linotype" w:cs="Palatino Linotype"/>
          <w:b/>
          <w:i/>
          <w:color w:val="000000"/>
          <w:sz w:val="22"/>
          <w:szCs w:val="22"/>
          <w:u w:val="single"/>
        </w:rPr>
        <w:t>:</w:t>
      </w:r>
      <w:r w:rsidRPr="005B0D1E">
        <w:rPr>
          <w:rFonts w:ascii="Palatino Linotype" w:eastAsia="Palatino Linotype" w:hAnsi="Palatino Linotype" w:cs="Palatino Linotype"/>
          <w:i/>
          <w:color w:val="000000"/>
          <w:sz w:val="22"/>
          <w:szCs w:val="22"/>
        </w:rPr>
        <w:t>:</w:t>
      </w:r>
      <w:proofErr w:type="gramEnd"/>
    </w:p>
    <w:tbl>
      <w:tblPr>
        <w:tblW w:w="8833" w:type="dxa"/>
        <w:jc w:val="center"/>
        <w:tblLayout w:type="fixed"/>
        <w:tblLook w:val="0400" w:firstRow="0" w:lastRow="0" w:firstColumn="0" w:lastColumn="0" w:noHBand="0" w:noVBand="1"/>
      </w:tblPr>
      <w:tblGrid>
        <w:gridCol w:w="1660"/>
        <w:gridCol w:w="1980"/>
        <w:gridCol w:w="5193"/>
      </w:tblGrid>
      <w:tr w:rsidR="002221F9" w:rsidRPr="005B0D1E" w:rsidTr="00CA77AC">
        <w:trPr>
          <w:jc w:val="center"/>
        </w:trPr>
        <w:tc>
          <w:tcPr>
            <w:tcW w:w="1660" w:type="dxa"/>
            <w:tcBorders>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b/>
                <w:i/>
                <w:color w:val="000000"/>
              </w:rPr>
              <w:t>Dónde:</w:t>
            </w:r>
          </w:p>
        </w:tc>
      </w:tr>
      <w:tr w:rsidR="002221F9" w:rsidRPr="005B0D1E" w:rsidTr="00CA77AC">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2221F9" w:rsidRPr="005B0D1E" w:rsidTr="00CA77A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Se señalará el nombre del área del cual es titular quien clasifica.</w:t>
            </w:r>
          </w:p>
        </w:tc>
      </w:tr>
      <w:tr w:rsidR="002221F9" w:rsidRPr="005B0D1E" w:rsidTr="00CA77A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 xml:space="preserve">Se indicarán las partes o páginas del documento que se clasifican como reservadas, o, en su caso, se </w:t>
            </w:r>
            <w:r w:rsidRPr="005B0D1E">
              <w:rPr>
                <w:rFonts w:ascii="Palatino Linotype" w:eastAsia="Palatino Linotype" w:hAnsi="Palatino Linotype" w:cs="Palatino Linotype"/>
                <w:i/>
                <w:color w:val="000000"/>
              </w:rPr>
              <w:lastRenderedPageBreak/>
              <w:t>precisará que se ha reservado el documento o expediente en su totalidad.</w:t>
            </w:r>
          </w:p>
        </w:tc>
      </w:tr>
      <w:tr w:rsidR="002221F9" w:rsidRPr="005B0D1E" w:rsidTr="00CA77A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2221F9" w:rsidRPr="005B0D1E" w:rsidTr="00CA77A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2221F9" w:rsidRPr="005B0D1E" w:rsidTr="00CA77A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2221F9" w:rsidRPr="005B0D1E" w:rsidTr="00CA77A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Rúbrica autógrafa o firma digital de quien clasifica.</w:t>
            </w:r>
          </w:p>
        </w:tc>
      </w:tr>
      <w:tr w:rsidR="002221F9" w:rsidRPr="005B0D1E" w:rsidTr="00CA77A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Se anotará la fecha en que se desclasifica el documento.</w:t>
            </w:r>
          </w:p>
        </w:tc>
      </w:tr>
      <w:tr w:rsidR="002221F9" w:rsidRPr="005B0D1E" w:rsidTr="00CA77AC">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221F9" w:rsidRPr="005B0D1E" w:rsidRDefault="002221F9" w:rsidP="00CA77AC">
            <w:pPr>
              <w:pBdr>
                <w:top w:val="nil"/>
                <w:left w:val="nil"/>
                <w:bottom w:val="nil"/>
                <w:right w:val="nil"/>
                <w:between w:val="nil"/>
              </w:pBdr>
              <w:jc w:val="center"/>
              <w:rPr>
                <w:color w:val="000000"/>
              </w:rPr>
            </w:pPr>
            <w:r w:rsidRPr="005B0D1E">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pBdr>
                <w:top w:val="nil"/>
                <w:left w:val="nil"/>
                <w:bottom w:val="nil"/>
                <w:right w:val="nil"/>
                <w:between w:val="nil"/>
              </w:pBdr>
              <w:jc w:val="both"/>
              <w:rPr>
                <w:color w:val="000000"/>
              </w:rPr>
            </w:pPr>
            <w:r w:rsidRPr="005B0D1E">
              <w:rPr>
                <w:rFonts w:ascii="Palatino Linotype" w:eastAsia="Palatino Linotype" w:hAnsi="Palatino Linotype" w:cs="Palatino Linotype"/>
                <w:i/>
                <w:color w:val="000000"/>
              </w:rPr>
              <w:t>Rúbrica autógrafa o firma digital de quien desclasifica.</w:t>
            </w:r>
          </w:p>
        </w:tc>
      </w:tr>
      <w:tr w:rsidR="002221F9" w:rsidRPr="005B0D1E" w:rsidTr="00CA77AC">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221F9" w:rsidRPr="005B0D1E" w:rsidRDefault="002221F9" w:rsidP="00CA77AC">
            <w:pPr>
              <w:widowControl w:val="0"/>
              <w:pBdr>
                <w:top w:val="nil"/>
                <w:left w:val="nil"/>
                <w:bottom w:val="nil"/>
                <w:right w:val="nil"/>
                <w:between w:val="nil"/>
              </w:pBdr>
              <w:spacing w:line="276" w:lineRule="auto"/>
              <w:rPr>
                <w:color w:val="000000"/>
              </w:rPr>
            </w:pPr>
          </w:p>
        </w:tc>
      </w:tr>
    </w:tbl>
    <w:p w:rsidR="002221F9" w:rsidRPr="005B0D1E" w:rsidRDefault="002221F9" w:rsidP="002221F9">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5B0D1E">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2221F9" w:rsidRPr="005B0D1E" w:rsidRDefault="002221F9" w:rsidP="002221F9">
      <w:pPr>
        <w:pBdr>
          <w:top w:val="nil"/>
          <w:left w:val="nil"/>
          <w:bottom w:val="nil"/>
          <w:right w:val="nil"/>
          <w:between w:val="nil"/>
        </w:pBdr>
        <w:spacing w:after="160"/>
        <w:ind w:left="709" w:right="709"/>
        <w:jc w:val="both"/>
      </w:pPr>
      <w:r w:rsidRPr="005B0D1E">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5B0D1E">
        <w:rPr>
          <w:rFonts w:ascii="Palatino Linotype" w:eastAsia="Palatino Linotype" w:hAnsi="Palatino Linotype" w:cs="Palatino Linotype"/>
          <w:i/>
          <w:color w:val="000000"/>
          <w:sz w:val="22"/>
          <w:szCs w:val="22"/>
        </w:rPr>
        <w:t>testado</w:t>
      </w:r>
      <w:proofErr w:type="spellEnd"/>
      <w:r w:rsidRPr="005B0D1E">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rsidR="002221F9" w:rsidRPr="005B0D1E" w:rsidRDefault="002221F9" w:rsidP="002221F9">
      <w:pPr>
        <w:jc w:val="both"/>
      </w:pPr>
    </w:p>
    <w:p w:rsidR="002221F9" w:rsidRPr="005B0D1E" w:rsidRDefault="002221F9" w:rsidP="002221F9">
      <w:pPr>
        <w:rPr>
          <w:color w:val="000000"/>
        </w:rPr>
      </w:pPr>
    </w:p>
    <w:p w:rsidR="002221F9" w:rsidRPr="005B0D1E" w:rsidRDefault="002221F9" w:rsidP="002221F9">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rsidR="002221F9" w:rsidRPr="005B0D1E" w:rsidRDefault="002221F9" w:rsidP="002221F9">
      <w:pPr>
        <w:spacing w:line="360" w:lineRule="auto"/>
        <w:jc w:val="both"/>
        <w:rPr>
          <w:rFonts w:ascii="Palatino Linotype" w:eastAsia="Palatino Linotype" w:hAnsi="Palatino Linotype" w:cs="Palatino Linotype"/>
        </w:rPr>
      </w:pPr>
    </w:p>
    <w:p w:rsidR="002221F9" w:rsidRPr="005B0D1E" w:rsidRDefault="002221F9" w:rsidP="002221F9">
      <w:pPr>
        <w:shd w:val="clear" w:color="auto" w:fill="FFFFFF"/>
        <w:spacing w:line="360" w:lineRule="auto"/>
        <w:ind w:right="51"/>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w:t>
      </w:r>
    </w:p>
    <w:p w:rsidR="00A84437" w:rsidRPr="005B0D1E" w:rsidRDefault="00A84437" w:rsidP="00A84437">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Así, con fundamento en lo prescrito en los artículos 5 párrafos vigésimo, vigésimo primero y vigésimo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9F310D" w:rsidRPr="005B0D1E" w:rsidRDefault="009F310D" w:rsidP="00A84437">
      <w:pPr>
        <w:spacing w:before="240" w:after="240" w:line="360" w:lineRule="auto"/>
        <w:jc w:val="both"/>
        <w:rPr>
          <w:rFonts w:ascii="Palatino Linotype" w:eastAsia="Palatino Linotype" w:hAnsi="Palatino Linotype" w:cs="Palatino Linotype"/>
        </w:rPr>
      </w:pPr>
    </w:p>
    <w:p w:rsidR="00A84437" w:rsidRPr="005B0D1E" w:rsidRDefault="00A84437" w:rsidP="002221F9">
      <w:pPr>
        <w:pStyle w:val="Prrafodelista"/>
        <w:numPr>
          <w:ilvl w:val="0"/>
          <w:numId w:val="10"/>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sidRPr="005B0D1E">
        <w:rPr>
          <w:rFonts w:ascii="Palatino Linotype" w:eastAsia="Palatino Linotype" w:hAnsi="Palatino Linotype" w:cs="Palatino Linotype"/>
          <w:b/>
          <w:color w:val="000000"/>
          <w:sz w:val="22"/>
          <w:szCs w:val="22"/>
        </w:rPr>
        <w:lastRenderedPageBreak/>
        <w:t>R E S U E L V E:</w:t>
      </w:r>
    </w:p>
    <w:p w:rsidR="00A84437" w:rsidRPr="005B0D1E" w:rsidRDefault="00A84437" w:rsidP="00A84437">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 xml:space="preserve">Primero. </w:t>
      </w:r>
      <w:r w:rsidRPr="005B0D1E">
        <w:rPr>
          <w:rFonts w:ascii="Palatino Linotype" w:eastAsia="Palatino Linotype" w:hAnsi="Palatino Linotype" w:cs="Palatino Linotype"/>
        </w:rPr>
        <w:t>Resulta</w:t>
      </w:r>
      <w:r w:rsidRPr="005B0D1E">
        <w:rPr>
          <w:rFonts w:ascii="Palatino Linotype" w:eastAsia="Palatino Linotype" w:hAnsi="Palatino Linotype" w:cs="Palatino Linotype"/>
          <w:b/>
        </w:rPr>
        <w:t xml:space="preserve"> FUNDADO</w:t>
      </w:r>
      <w:r w:rsidRPr="005B0D1E">
        <w:rPr>
          <w:rFonts w:ascii="Palatino Linotype" w:eastAsia="Palatino Linotype" w:hAnsi="Palatino Linotype" w:cs="Palatino Linotype"/>
        </w:rPr>
        <w:t xml:space="preserve"> el motivo de inconformidad hecho valer por el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en el Recurso de Revisión </w:t>
      </w:r>
      <w:r w:rsidR="002221F9" w:rsidRPr="005B0D1E">
        <w:rPr>
          <w:rFonts w:ascii="Palatino Linotype" w:eastAsia="Palatino Linotype" w:hAnsi="Palatino Linotype" w:cs="Palatino Linotype"/>
          <w:b/>
        </w:rPr>
        <w:t>03314</w:t>
      </w:r>
      <w:r w:rsidRPr="005B0D1E">
        <w:rPr>
          <w:rFonts w:ascii="Palatino Linotype" w:eastAsia="Palatino Linotype" w:hAnsi="Palatino Linotype" w:cs="Palatino Linotype"/>
          <w:b/>
        </w:rPr>
        <w:t>/INFOEM/IP/RR/2</w:t>
      </w:r>
      <w:r w:rsidR="002221F9" w:rsidRPr="005B0D1E">
        <w:rPr>
          <w:rFonts w:ascii="Palatino Linotype" w:eastAsia="Palatino Linotype" w:hAnsi="Palatino Linotype" w:cs="Palatino Linotype"/>
          <w:b/>
        </w:rPr>
        <w:t>023</w:t>
      </w:r>
      <w:r w:rsidRPr="005B0D1E">
        <w:rPr>
          <w:rFonts w:ascii="Palatino Linotype" w:eastAsia="Palatino Linotype" w:hAnsi="Palatino Linotype" w:cs="Palatino Linotype"/>
          <w:b/>
        </w:rPr>
        <w:t xml:space="preserve">, </w:t>
      </w:r>
      <w:r w:rsidRPr="005B0D1E">
        <w:rPr>
          <w:rFonts w:ascii="Palatino Linotype" w:eastAsia="Palatino Linotype" w:hAnsi="Palatino Linotype" w:cs="Palatino Linotype"/>
        </w:rPr>
        <w:t xml:space="preserve">por lo que, en términos del considerando </w:t>
      </w:r>
      <w:r w:rsidRPr="005B0D1E">
        <w:rPr>
          <w:rFonts w:ascii="Palatino Linotype" w:eastAsia="Palatino Linotype" w:hAnsi="Palatino Linotype" w:cs="Palatino Linotype"/>
          <w:b/>
        </w:rPr>
        <w:t xml:space="preserve">Cuarto </w:t>
      </w:r>
      <w:r w:rsidRPr="005B0D1E">
        <w:rPr>
          <w:rFonts w:ascii="Palatino Linotype" w:eastAsia="Palatino Linotype" w:hAnsi="Palatino Linotype" w:cs="Palatino Linotype"/>
        </w:rPr>
        <w:t xml:space="preserve">de esta resolución, se </w:t>
      </w:r>
      <w:r w:rsidR="002221F9" w:rsidRPr="005B0D1E">
        <w:rPr>
          <w:rFonts w:ascii="Palatino Linotype" w:eastAsia="Palatino Linotype" w:hAnsi="Palatino Linotype" w:cs="Palatino Linotype"/>
          <w:b/>
        </w:rPr>
        <w:t>MODIFICA</w:t>
      </w:r>
      <w:r w:rsidRPr="005B0D1E">
        <w:rPr>
          <w:rFonts w:ascii="Palatino Linotype" w:eastAsia="Palatino Linotype" w:hAnsi="Palatino Linotype" w:cs="Palatino Linotype"/>
          <w:b/>
        </w:rPr>
        <w:t xml:space="preserve"> </w:t>
      </w:r>
      <w:r w:rsidRPr="005B0D1E">
        <w:rPr>
          <w:rFonts w:ascii="Palatino Linotype" w:eastAsia="Palatino Linotype" w:hAnsi="Palatino Linotype" w:cs="Palatino Linotype"/>
        </w:rPr>
        <w:t xml:space="preserve">la respuesta emitida por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w:t>
      </w:r>
    </w:p>
    <w:p w:rsidR="00A84437" w:rsidRPr="005B0D1E" w:rsidRDefault="00A84437" w:rsidP="00A84437">
      <w:pPr>
        <w:spacing w:line="360" w:lineRule="auto"/>
        <w:ind w:right="49"/>
        <w:jc w:val="both"/>
        <w:rPr>
          <w:rFonts w:ascii="Palatino Linotype" w:eastAsia="Palatino Linotype" w:hAnsi="Palatino Linotype" w:cs="Palatino Linotype"/>
          <w:b/>
        </w:rPr>
      </w:pPr>
    </w:p>
    <w:p w:rsidR="00A84437" w:rsidRPr="005B0D1E" w:rsidRDefault="00A84437" w:rsidP="00A84437">
      <w:pPr>
        <w:spacing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b/>
        </w:rPr>
        <w:t xml:space="preserve">Segundo. </w:t>
      </w:r>
      <w:r w:rsidRPr="005B0D1E">
        <w:rPr>
          <w:rFonts w:ascii="Palatino Linotype" w:eastAsia="Palatino Linotype" w:hAnsi="Palatino Linotype" w:cs="Palatino Linotype"/>
        </w:rPr>
        <w:t>Se</w:t>
      </w:r>
      <w:r w:rsidRPr="005B0D1E">
        <w:rPr>
          <w:rFonts w:ascii="Palatino Linotype" w:eastAsia="Palatino Linotype" w:hAnsi="Palatino Linotype" w:cs="Palatino Linotype"/>
          <w:b/>
        </w:rPr>
        <w:t xml:space="preserve"> ORDENA </w:t>
      </w:r>
      <w:r w:rsidRPr="005B0D1E">
        <w:rPr>
          <w:rFonts w:ascii="Palatino Linotype" w:eastAsia="Palatino Linotype" w:hAnsi="Palatino Linotype" w:cs="Palatino Linotype"/>
        </w:rPr>
        <w:t xml:space="preserve">al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a que,</w:t>
      </w:r>
      <w:r w:rsidRPr="005B0D1E">
        <w:rPr>
          <w:rFonts w:ascii="Palatino Linotype" w:eastAsia="Palatino Linotype" w:hAnsi="Palatino Linotype" w:cs="Palatino Linotype"/>
          <w:b/>
        </w:rPr>
        <w:t xml:space="preserve"> </w:t>
      </w:r>
      <w:r w:rsidRPr="005B0D1E">
        <w:rPr>
          <w:rFonts w:ascii="Palatino Linotype" w:eastAsia="Palatino Linotype" w:hAnsi="Palatino Linotype" w:cs="Palatino Linotype"/>
        </w:rPr>
        <w:t xml:space="preserve">en términos del Considerando Cuarto y Quinto, haga entrega vía Sistema de Acceso a la Información Mexiquense (SAIMEX), previa búsqueda exhaustiva y razonable, en versión pública </w:t>
      </w:r>
      <w:r w:rsidR="003217EB" w:rsidRPr="005B0D1E">
        <w:rPr>
          <w:rFonts w:ascii="Palatino Linotype" w:eastAsia="Palatino Linotype" w:hAnsi="Palatino Linotype" w:cs="Palatino Linotype"/>
        </w:rPr>
        <w:t xml:space="preserve">de ser procedente, </w:t>
      </w:r>
      <w:r w:rsidRPr="005B0D1E">
        <w:rPr>
          <w:rFonts w:ascii="Palatino Linotype" w:eastAsia="Palatino Linotype" w:hAnsi="Palatino Linotype" w:cs="Palatino Linotype"/>
        </w:rPr>
        <w:t>del documento o documentos en donde conste lo siguiente:</w:t>
      </w:r>
    </w:p>
    <w:p w:rsidR="002221F9" w:rsidRPr="005B0D1E" w:rsidRDefault="002221F9" w:rsidP="002221F9">
      <w:pPr>
        <w:pStyle w:val="Prrafodelista"/>
        <w:numPr>
          <w:ilvl w:val="0"/>
          <w:numId w:val="11"/>
        </w:num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El nombre de los servidores públicos con </w:t>
      </w:r>
      <w:proofErr w:type="gramStart"/>
      <w:r w:rsidRPr="005B0D1E">
        <w:rPr>
          <w:rFonts w:ascii="Palatino Linotype" w:eastAsia="Palatino Linotype" w:hAnsi="Palatino Linotype" w:cs="Palatino Linotype"/>
        </w:rPr>
        <w:t>cargo administrativo; faltantes</w:t>
      </w:r>
      <w:proofErr w:type="gramEnd"/>
      <w:r w:rsidRPr="005B0D1E">
        <w:rPr>
          <w:rFonts w:ascii="Palatino Linotype" w:eastAsia="Palatino Linotype" w:hAnsi="Palatino Linotype" w:cs="Palatino Linotype"/>
        </w:rPr>
        <w:t>, en funciones al dieciséis de mayo del año dos mil veintitrés.</w:t>
      </w:r>
    </w:p>
    <w:p w:rsidR="002221F9" w:rsidRPr="005B0D1E" w:rsidRDefault="002221F9" w:rsidP="002221F9">
      <w:pPr>
        <w:pStyle w:val="Prrafodelista"/>
        <w:numPr>
          <w:ilvl w:val="0"/>
          <w:numId w:val="11"/>
        </w:numPr>
        <w:pBdr>
          <w:top w:val="nil"/>
          <w:left w:val="nil"/>
          <w:bottom w:val="nil"/>
          <w:right w:val="nil"/>
          <w:between w:val="nil"/>
        </w:pBdr>
        <w:spacing w:before="240" w:after="240" w:line="276"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color w:val="000000"/>
        </w:rPr>
        <w:t xml:space="preserve">Acuerdo que emita el Comité de Transparencia por el cual se clasifique como reservado el nombre de personal operativo adscrito a la Fiscalía General de Justicia del Estado de México, </w:t>
      </w:r>
      <w:r w:rsidRPr="005B0D1E">
        <w:rPr>
          <w:rFonts w:ascii="Palatino Linotype" w:eastAsia="Palatino Linotype" w:hAnsi="Palatino Linotype" w:cs="Palatino Linotype"/>
        </w:rPr>
        <w:t>al dieciséis de mayo del año dos mil veintitrés</w:t>
      </w:r>
      <w:r w:rsidRPr="005B0D1E">
        <w:rPr>
          <w:rFonts w:ascii="Palatino Linotype" w:eastAsia="Palatino Linotype" w:hAnsi="Palatino Linotype" w:cs="Palatino Linotype"/>
          <w:color w:val="000000"/>
        </w:rPr>
        <w:t>;</w:t>
      </w:r>
    </w:p>
    <w:p w:rsidR="00A84437" w:rsidRPr="005B0D1E" w:rsidRDefault="002221F9" w:rsidP="00A84437">
      <w:pPr>
        <w:pBdr>
          <w:top w:val="nil"/>
          <w:left w:val="nil"/>
          <w:bottom w:val="nil"/>
          <w:right w:val="nil"/>
          <w:between w:val="nil"/>
        </w:pBdr>
        <w:spacing w:before="240" w:after="240" w:line="276" w:lineRule="auto"/>
        <w:ind w:left="360" w:right="49"/>
        <w:jc w:val="both"/>
        <w:rPr>
          <w:rFonts w:ascii="Palatino Linotype" w:eastAsia="Palatino Linotype" w:hAnsi="Palatino Linotype" w:cs="Palatino Linotype"/>
          <w:i/>
          <w:color w:val="000000"/>
        </w:rPr>
      </w:pPr>
      <w:r w:rsidRPr="005B0D1E">
        <w:rPr>
          <w:rFonts w:ascii="Palatino Linotype" w:eastAsia="Palatino Linotype" w:hAnsi="Palatino Linotype" w:cs="Palatino Linotype"/>
          <w:i/>
          <w:color w:val="000000"/>
        </w:rPr>
        <w:t>En el caso del numeral  1, p</w:t>
      </w:r>
      <w:r w:rsidR="00A84437" w:rsidRPr="005B0D1E">
        <w:rPr>
          <w:rFonts w:ascii="Palatino Linotype" w:eastAsia="Palatino Linotype" w:hAnsi="Palatino Linotype" w:cs="Palatino Linotype"/>
          <w:i/>
          <w:color w:val="000000"/>
        </w:rPr>
        <w:t>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A84437" w:rsidRPr="005B0D1E" w:rsidRDefault="00A84437" w:rsidP="00A84437">
      <w:pPr>
        <w:spacing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b/>
        </w:rPr>
        <w:t>Tercero.</w:t>
      </w:r>
      <w:r w:rsidRPr="005B0D1E">
        <w:rPr>
          <w:rFonts w:ascii="Palatino Linotype" w:eastAsia="Palatino Linotype" w:hAnsi="Palatino Linotype" w:cs="Palatino Linotype"/>
        </w:rPr>
        <w:t xml:space="preserve"> </w:t>
      </w:r>
      <w:r w:rsidRPr="005B0D1E">
        <w:rPr>
          <w:rFonts w:ascii="Palatino Linotype" w:eastAsia="Palatino Linotype" w:hAnsi="Palatino Linotype" w:cs="Palatino Linotype"/>
          <w:b/>
        </w:rPr>
        <w:t>Notifíquese vía SAIMEX</w:t>
      </w:r>
      <w:r w:rsidRPr="005B0D1E">
        <w:rPr>
          <w:rFonts w:ascii="Palatino Linotype" w:eastAsia="Palatino Linotype" w:hAnsi="Palatino Linotype" w:cs="Palatino Linotype"/>
        </w:rPr>
        <w:t xml:space="preserve">, la presente resolución al Titular de la Unidad de Transparencia del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para que conforme al artículo 186 </w:t>
      </w:r>
      <w:r w:rsidRPr="005B0D1E">
        <w:rPr>
          <w:rFonts w:ascii="Palatino Linotype" w:eastAsia="Palatino Linotype" w:hAnsi="Palatino Linotype" w:cs="Palatino Linotype"/>
        </w:rPr>
        <w:lastRenderedPageBreak/>
        <w:t>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84437" w:rsidRPr="005B0D1E" w:rsidRDefault="00A84437" w:rsidP="00A84437">
      <w:pPr>
        <w:spacing w:line="360" w:lineRule="auto"/>
        <w:jc w:val="both"/>
        <w:rPr>
          <w:rFonts w:ascii="Palatino Linotype" w:eastAsia="Palatino Linotype" w:hAnsi="Palatino Linotype" w:cs="Palatino Linotype"/>
        </w:rPr>
      </w:pPr>
    </w:p>
    <w:p w:rsidR="00A84437" w:rsidRPr="005B0D1E" w:rsidRDefault="00A84437" w:rsidP="00A84437">
      <w:pPr>
        <w:spacing w:line="360" w:lineRule="auto"/>
        <w:ind w:right="49"/>
        <w:jc w:val="both"/>
        <w:rPr>
          <w:rFonts w:ascii="Palatino Linotype" w:eastAsia="Palatino Linotype" w:hAnsi="Palatino Linotype" w:cs="Palatino Linotype"/>
        </w:rPr>
      </w:pPr>
      <w:r w:rsidRPr="005B0D1E">
        <w:rPr>
          <w:rFonts w:ascii="Palatino Linotype" w:eastAsia="Palatino Linotype" w:hAnsi="Palatino Linotype" w:cs="Palatino Linotype"/>
          <w:b/>
        </w:rPr>
        <w:t>Cuarto. Notifíquese vía SAIMEX</w:t>
      </w:r>
      <w:r w:rsidRPr="005B0D1E">
        <w:rPr>
          <w:rFonts w:ascii="Palatino Linotype" w:eastAsia="Palatino Linotype" w:hAnsi="Palatino Linotype" w:cs="Palatino Linotype"/>
        </w:rPr>
        <w:t xml:space="preserve"> a la parte </w:t>
      </w:r>
      <w:r w:rsidRPr="005B0D1E">
        <w:rPr>
          <w:rFonts w:ascii="Palatino Linotype" w:eastAsia="Palatino Linotype" w:hAnsi="Palatino Linotype" w:cs="Palatino Linotype"/>
          <w:b/>
        </w:rPr>
        <w:t>RECURRENTE</w:t>
      </w:r>
      <w:r w:rsidRPr="005B0D1E">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A84437" w:rsidRPr="005B0D1E" w:rsidRDefault="00A84437" w:rsidP="00A84437">
      <w:pPr>
        <w:spacing w:line="360" w:lineRule="auto"/>
        <w:ind w:right="49"/>
        <w:jc w:val="both"/>
        <w:rPr>
          <w:rFonts w:ascii="Palatino Linotype" w:eastAsia="Palatino Linotype" w:hAnsi="Palatino Linotype" w:cs="Palatino Linotype"/>
        </w:rPr>
      </w:pPr>
    </w:p>
    <w:p w:rsidR="00A84437" w:rsidRPr="005B0D1E" w:rsidRDefault="00A84437" w:rsidP="00A84437">
      <w:pPr>
        <w:spacing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b/>
        </w:rPr>
        <w:t>Quinto.</w:t>
      </w:r>
      <w:r w:rsidRPr="005B0D1E">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5B0D1E">
        <w:rPr>
          <w:rFonts w:ascii="Palatino Linotype" w:eastAsia="Palatino Linotype" w:hAnsi="Palatino Linotype" w:cs="Palatino Linotype"/>
          <w:b/>
        </w:rPr>
        <w:t>SUJETO OBLIGADO</w:t>
      </w:r>
      <w:r w:rsidRPr="005B0D1E">
        <w:rPr>
          <w:rFonts w:ascii="Palatino Linotype" w:eastAsia="Palatino Linotype" w:hAnsi="Palatino Linotype" w:cs="Palatino Linotype"/>
        </w:rPr>
        <w:t xml:space="preserve"> de manera fundada y motivada, podrá solicitar una ampliación de plazo para el cumplimiento de la presente resolución.</w:t>
      </w:r>
    </w:p>
    <w:p w:rsidR="00616C52" w:rsidRPr="005B0D1E" w:rsidRDefault="00616C52" w:rsidP="00251560">
      <w:pPr>
        <w:spacing w:before="240" w:after="240" w:line="360" w:lineRule="auto"/>
        <w:jc w:val="both"/>
        <w:rPr>
          <w:rFonts w:ascii="Palatino Linotype" w:eastAsia="Palatino Linotype" w:hAnsi="Palatino Linotype" w:cs="Palatino Linotype"/>
        </w:rPr>
      </w:pPr>
    </w:p>
    <w:p w:rsidR="00797EE3" w:rsidRDefault="00ED68EB" w:rsidP="00251560">
      <w:pPr>
        <w:spacing w:before="240" w:after="240" w:line="360" w:lineRule="auto"/>
        <w:jc w:val="both"/>
        <w:rPr>
          <w:rFonts w:ascii="Palatino Linotype" w:eastAsia="Palatino Linotype" w:hAnsi="Palatino Linotype" w:cs="Palatino Linotype"/>
        </w:rPr>
      </w:pPr>
      <w:r w:rsidRPr="005B0D1E">
        <w:rPr>
          <w:rFonts w:ascii="Palatino Linotype" w:eastAsia="Palatino Linotype" w:hAnsi="Palatino Linotype" w:cs="Palatino Linotype"/>
        </w:rPr>
        <w:t xml:space="preserve">ASÍ LO RESUELVE, POR UNANIMIDAD DE VOTOS, EL PLENO DEL INSTITUTO DE TRANSPARENCIA, ACCESO A LA INFORMACIÓN PÚBLICA Y </w:t>
      </w:r>
      <w:r w:rsidRPr="005B0D1E">
        <w:rPr>
          <w:rFonts w:ascii="Palatino Linotype" w:eastAsia="Palatino Linotype" w:hAnsi="Palatino Linotype" w:cs="Palatino Linotype"/>
        </w:rPr>
        <w:lastRenderedPageBreak/>
        <w:t>PROTECCIÓN DE DATOS PERSONALES DEL ESTADO DE MÉXICO Y MUNICIPIOS, CONFORMADO POR LOS COMISIONADOS JOSÉ MARTÍNEZ VILCHIS, MARÍA DEL ROSARIO MEJÍA AYALA, SHARON CRISTINA MORALES MARTÍNEZ, LUIS GUSTAVO PARRA NORIEGA</w:t>
      </w:r>
      <w:r w:rsidR="00D11A0B" w:rsidRPr="005B0D1E">
        <w:rPr>
          <w:rFonts w:ascii="Palatino Linotype" w:eastAsia="Palatino Linotype" w:hAnsi="Palatino Linotype" w:cs="Palatino Linotype"/>
        </w:rPr>
        <w:t xml:space="preserve"> EMITIENDO VOTO PARTICULAR</w:t>
      </w:r>
      <w:r w:rsidRPr="005B0D1E">
        <w:rPr>
          <w:rFonts w:ascii="Palatino Linotype" w:eastAsia="Palatino Linotype" w:hAnsi="Palatino Linotype" w:cs="Palatino Linotype"/>
        </w:rPr>
        <w:t xml:space="preserve"> Y GUADALUPE RAMÍREZ PEÑA; EN LA TRIGÉSIMA SEGUNDA SE</w:t>
      </w:r>
      <w:r w:rsidR="002221F9" w:rsidRPr="005B0D1E">
        <w:rPr>
          <w:rFonts w:ascii="Palatino Linotype" w:eastAsia="Palatino Linotype" w:hAnsi="Palatino Linotype" w:cs="Palatino Linotype"/>
        </w:rPr>
        <w:t>SIÓN ORDINARIA CELEBRADA EL CINCO</w:t>
      </w:r>
      <w:r w:rsidRPr="005B0D1E">
        <w:rPr>
          <w:rFonts w:ascii="Palatino Linotype" w:eastAsia="Palatino Linotype" w:hAnsi="Palatino Linotype" w:cs="Palatino Linotype"/>
        </w:rPr>
        <w:t xml:space="preserve"> DE SEPTIEMBRE DE DOS MIL VEINTITRÉS, ANTE EL SECRETARIO TÉCNICO DEL PLENO ALEXIS TAPIA RAMÍREZ.</w:t>
      </w: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Default="00616C52" w:rsidP="00251560">
      <w:pPr>
        <w:spacing w:before="240" w:after="240" w:line="360" w:lineRule="auto"/>
        <w:jc w:val="both"/>
        <w:rPr>
          <w:rFonts w:ascii="Palatino Linotype" w:eastAsia="Palatino Linotype" w:hAnsi="Palatino Linotype" w:cs="Palatino Linotype"/>
        </w:rPr>
      </w:pPr>
    </w:p>
    <w:p w:rsidR="00616C52" w:rsidRPr="00AE7208" w:rsidRDefault="00616C52" w:rsidP="00251560">
      <w:pPr>
        <w:spacing w:before="240" w:after="240" w:line="360" w:lineRule="auto"/>
        <w:jc w:val="both"/>
        <w:rPr>
          <w:rFonts w:ascii="Palatino Linotype" w:eastAsia="Palatino Linotype" w:hAnsi="Palatino Linotype" w:cs="Palatino Linotype"/>
        </w:rPr>
      </w:pPr>
    </w:p>
    <w:sectPr w:rsidR="00616C52" w:rsidRPr="00AE7208">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475" w:rsidRDefault="007F1475">
      <w:r>
        <w:separator/>
      </w:r>
    </w:p>
  </w:endnote>
  <w:endnote w:type="continuationSeparator" w:id="0">
    <w:p w:rsidR="007F1475" w:rsidRDefault="007F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37" w:rsidRDefault="00A844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36A2E">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6A2E">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rsidR="00A84437" w:rsidRDefault="00A8443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37" w:rsidRDefault="00A8443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36A2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36A2E">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rsidR="00A84437" w:rsidRDefault="00A8443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475" w:rsidRDefault="007F1475">
      <w:r>
        <w:separator/>
      </w:r>
    </w:p>
  </w:footnote>
  <w:footnote w:type="continuationSeparator" w:id="0">
    <w:p w:rsidR="007F1475" w:rsidRDefault="007F1475">
      <w:r>
        <w:continuationSeparator/>
      </w:r>
    </w:p>
  </w:footnote>
  <w:footnote w:id="1">
    <w:p w:rsidR="00A84437" w:rsidRPr="003701AE" w:rsidRDefault="00A84437" w:rsidP="003701AE">
      <w:pPr>
        <w:shd w:val="clear" w:color="auto" w:fill="FFFFFF"/>
        <w:ind w:right="51"/>
        <w:jc w:val="both"/>
        <w:rPr>
          <w:rFonts w:ascii="Palatino Linotype" w:eastAsia="Palatino Linotype" w:hAnsi="Palatino Linotype" w:cs="Palatino Linotype"/>
          <w:color w:val="222222"/>
          <w:sz w:val="16"/>
          <w:szCs w:val="16"/>
        </w:rPr>
      </w:pPr>
      <w:r w:rsidRPr="003701AE">
        <w:rPr>
          <w:rStyle w:val="Refdenotaalpie"/>
          <w:sz w:val="16"/>
          <w:szCs w:val="16"/>
        </w:rPr>
        <w:footnoteRef/>
      </w:r>
      <w:r w:rsidRPr="003701AE">
        <w:rPr>
          <w:sz w:val="16"/>
          <w:szCs w:val="16"/>
        </w:rPr>
        <w:t xml:space="preserve"> </w:t>
      </w:r>
      <w:r w:rsidRPr="003701AE">
        <w:rPr>
          <w:rFonts w:ascii="Palatino Linotype" w:eastAsia="Palatino Linotype" w:hAnsi="Palatino Linotype" w:cs="Palatino Linotype"/>
          <w:color w:val="222222"/>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84437" w:rsidRPr="003701AE" w:rsidRDefault="00A84437" w:rsidP="003701AE">
      <w:pPr>
        <w:shd w:val="clear" w:color="auto" w:fill="FFFFFF"/>
        <w:ind w:right="51"/>
        <w:jc w:val="both"/>
        <w:rPr>
          <w:rFonts w:ascii="Palatino Linotype" w:eastAsia="Palatino Linotype" w:hAnsi="Palatino Linotype" w:cs="Palatino Linotype"/>
          <w:color w:val="222222"/>
          <w:sz w:val="16"/>
          <w:szCs w:val="16"/>
        </w:rPr>
      </w:pPr>
      <w:r w:rsidRPr="003701AE">
        <w:rPr>
          <w:rFonts w:ascii="Palatino Linotype" w:eastAsia="Palatino Linotype" w:hAnsi="Palatino Linotype" w:cs="Palatino Linotype"/>
          <w:color w:val="222222"/>
          <w:sz w:val="16"/>
          <w:szCs w:val="16"/>
        </w:rPr>
        <w:t>…</w:t>
      </w:r>
    </w:p>
    <w:p w:rsidR="00A84437" w:rsidRPr="003701AE" w:rsidRDefault="00A84437" w:rsidP="003701AE">
      <w:pPr>
        <w:shd w:val="clear" w:color="auto" w:fill="FFFFFF"/>
        <w:ind w:right="51"/>
        <w:jc w:val="both"/>
        <w:rPr>
          <w:rFonts w:ascii="Palatino Linotype" w:eastAsia="Palatino Linotype" w:hAnsi="Palatino Linotype" w:cs="Palatino Linotype"/>
          <w:color w:val="222222"/>
          <w:sz w:val="16"/>
          <w:szCs w:val="16"/>
        </w:rPr>
      </w:pPr>
      <w:r w:rsidRPr="003701AE">
        <w:rPr>
          <w:rFonts w:ascii="Palatino Linotype" w:eastAsia="Palatino Linotype" w:hAnsi="Palatino Linotype" w:cs="Palatino Linotype"/>
          <w:color w:val="222222"/>
          <w:sz w:val="16"/>
          <w:szCs w:val="16"/>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A84437" w:rsidRPr="003701AE" w:rsidRDefault="00A84437" w:rsidP="003701AE">
      <w:pPr>
        <w:shd w:val="clear" w:color="auto" w:fill="FFFFFF"/>
        <w:ind w:right="51"/>
        <w:jc w:val="both"/>
        <w:rPr>
          <w:rFonts w:ascii="Palatino Linotype" w:eastAsia="Palatino Linotype" w:hAnsi="Palatino Linotype" w:cs="Palatino Linotype"/>
          <w:color w:val="222222"/>
          <w:sz w:val="16"/>
          <w:szCs w:val="16"/>
        </w:rPr>
      </w:pPr>
      <w:r w:rsidRPr="003701AE">
        <w:rPr>
          <w:rFonts w:ascii="Palatino Linotype" w:eastAsia="Palatino Linotype" w:hAnsi="Palatino Linotype" w:cs="Palatino Linotype"/>
          <w:b/>
          <w:color w:val="222222"/>
          <w:sz w:val="16"/>
          <w:szCs w:val="16"/>
        </w:rPr>
        <w:t>El directorio deberá incluir, al menos el nombre, cargo o nombramiento oficial asignado, nivel del puesto en la estructura orgánica</w:t>
      </w:r>
      <w:r w:rsidRPr="003701AE">
        <w:rPr>
          <w:rFonts w:ascii="Palatino Linotype" w:eastAsia="Palatino Linotype" w:hAnsi="Palatino Linotype" w:cs="Palatino Linotype"/>
          <w:color w:val="222222"/>
          <w:sz w:val="16"/>
          <w:szCs w:val="16"/>
        </w:rPr>
        <w:t>, fecha de alta en el cargo, número telefónico, domicilio para recibir correspondencia y dirección de correo electrónico oficiales, datos que deberán señalarse de forma independiente por dependencia y entidad pública de cada sujeto obligado…” (Sic)</w:t>
      </w:r>
    </w:p>
  </w:footnote>
  <w:footnote w:id="2">
    <w:p w:rsidR="00A84437" w:rsidRDefault="00A84437" w:rsidP="00A84437">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3">
    <w:p w:rsidR="00A84437" w:rsidRDefault="00A84437" w:rsidP="00A84437">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37" w:rsidRDefault="00A8443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-1080131</wp:posOffset>
          </wp:positionH>
          <wp:positionV relativeFrom="paragraph">
            <wp:posOffset>-488311</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A84437">
      <w:tc>
        <w:tcPr>
          <w:tcW w:w="2489" w:type="dxa"/>
          <w:shd w:val="clear" w:color="auto" w:fill="auto"/>
        </w:tcPr>
        <w:p w:rsidR="00A84437" w:rsidRDefault="00A844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A84437" w:rsidRDefault="00A8443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03314/INFOEM/IP/RR/2023</w:t>
          </w:r>
        </w:p>
      </w:tc>
    </w:tr>
    <w:tr w:rsidR="00A84437">
      <w:trPr>
        <w:trHeight w:val="228"/>
      </w:trPr>
      <w:tc>
        <w:tcPr>
          <w:tcW w:w="2489" w:type="dxa"/>
          <w:shd w:val="clear" w:color="auto" w:fill="auto"/>
          <w:vAlign w:val="center"/>
        </w:tcPr>
        <w:p w:rsidR="00A84437" w:rsidRDefault="00A844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A84437" w:rsidRDefault="00A84437">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Fiscalía General de Justicia del Estado de México.</w:t>
          </w:r>
        </w:p>
      </w:tc>
    </w:tr>
    <w:tr w:rsidR="00A84437">
      <w:tc>
        <w:tcPr>
          <w:tcW w:w="2489" w:type="dxa"/>
          <w:shd w:val="clear" w:color="auto" w:fill="auto"/>
          <w:vAlign w:val="center"/>
        </w:tcPr>
        <w:p w:rsidR="00A84437" w:rsidRDefault="00A8443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A84437" w:rsidRDefault="00A8443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84437" w:rsidRDefault="00A8443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437" w:rsidRDefault="00A8443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A84437">
      <w:tc>
        <w:tcPr>
          <w:tcW w:w="2551" w:type="dxa"/>
          <w:shd w:val="clear" w:color="auto" w:fill="auto"/>
          <w:vAlign w:val="center"/>
        </w:tcPr>
        <w:p w:rsidR="00A84437" w:rsidRDefault="00A844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A84437" w:rsidRDefault="00A8443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03314/INFOEM/IP/RR/2023</w:t>
          </w:r>
        </w:p>
      </w:tc>
    </w:tr>
    <w:tr w:rsidR="00A84437">
      <w:trPr>
        <w:trHeight w:val="130"/>
      </w:trPr>
      <w:tc>
        <w:tcPr>
          <w:tcW w:w="2551" w:type="dxa"/>
          <w:shd w:val="clear" w:color="auto" w:fill="auto"/>
          <w:vAlign w:val="center"/>
        </w:tcPr>
        <w:p w:rsidR="00A84437" w:rsidRDefault="00A844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A84437" w:rsidRDefault="00A84437">
          <w:pPr>
            <w:tabs>
              <w:tab w:val="left" w:pos="3153"/>
            </w:tabs>
            <w:ind w:left="-45"/>
            <w:jc w:val="both"/>
            <w:rPr>
              <w:rFonts w:ascii="Palatino Linotype" w:eastAsia="Palatino Linotype" w:hAnsi="Palatino Linotype" w:cs="Palatino Linotype"/>
              <w:b/>
              <w:sz w:val="22"/>
              <w:szCs w:val="22"/>
            </w:rPr>
          </w:pPr>
        </w:p>
      </w:tc>
    </w:tr>
    <w:tr w:rsidR="00A84437">
      <w:trPr>
        <w:trHeight w:val="228"/>
      </w:trPr>
      <w:tc>
        <w:tcPr>
          <w:tcW w:w="2551" w:type="dxa"/>
          <w:shd w:val="clear" w:color="auto" w:fill="auto"/>
          <w:vAlign w:val="center"/>
        </w:tcPr>
        <w:p w:rsidR="00A84437" w:rsidRDefault="00A844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A84437" w:rsidRDefault="00A8443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Fiscalía General de Justicia del Estado de México.</w:t>
          </w:r>
        </w:p>
      </w:tc>
    </w:tr>
    <w:tr w:rsidR="00A84437">
      <w:tc>
        <w:tcPr>
          <w:tcW w:w="2551" w:type="dxa"/>
          <w:shd w:val="clear" w:color="auto" w:fill="auto"/>
          <w:vAlign w:val="center"/>
        </w:tcPr>
        <w:p w:rsidR="00A84437" w:rsidRDefault="00A8443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A84437" w:rsidRDefault="00A8443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A84437" w:rsidRDefault="00A84437">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-1089656</wp:posOffset>
          </wp:positionH>
          <wp:positionV relativeFrom="paragraph">
            <wp:posOffset>-1169666</wp:posOffset>
          </wp:positionV>
          <wp:extent cx="7809865" cy="10165715"/>
          <wp:effectExtent l="0" t="0" r="0" b="0"/>
          <wp:wrapNone/>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EF25BE"/>
    <w:multiLevelType w:val="multilevel"/>
    <w:tmpl w:val="3D9ACA3C"/>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
    <w:nsid w:val="1BC169FF"/>
    <w:multiLevelType w:val="multilevel"/>
    <w:tmpl w:val="4CE45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1D02FF2"/>
    <w:multiLevelType w:val="multilevel"/>
    <w:tmpl w:val="32C8714E"/>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06D4609"/>
    <w:multiLevelType w:val="hybridMultilevel"/>
    <w:tmpl w:val="BB2277B4"/>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60E314B"/>
    <w:multiLevelType w:val="multilevel"/>
    <w:tmpl w:val="73F0275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5B9A6460"/>
    <w:multiLevelType w:val="multilevel"/>
    <w:tmpl w:val="F4A0356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60F02568"/>
    <w:multiLevelType w:val="hybridMultilevel"/>
    <w:tmpl w:val="5F48E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48D0491"/>
    <w:multiLevelType w:val="hybridMultilevel"/>
    <w:tmpl w:val="CDC82FE8"/>
    <w:lvl w:ilvl="0" w:tplc="C2941AC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B59598D"/>
    <w:multiLevelType w:val="multilevel"/>
    <w:tmpl w:val="72523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7"/>
  </w:num>
  <w:num w:numId="3">
    <w:abstractNumId w:val="8"/>
  </w:num>
  <w:num w:numId="4">
    <w:abstractNumId w:val="3"/>
  </w:num>
  <w:num w:numId="5">
    <w:abstractNumId w:val="4"/>
  </w:num>
  <w:num w:numId="6">
    <w:abstractNumId w:val="10"/>
  </w:num>
  <w:num w:numId="7">
    <w:abstractNumId w:val="1"/>
  </w:num>
  <w:num w:numId="8">
    <w:abstractNumId w:val="2"/>
  </w:num>
  <w:num w:numId="9">
    <w:abstractNumId w:val="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EE3"/>
    <w:rsid w:val="00001D70"/>
    <w:rsid w:val="000033AF"/>
    <w:rsid w:val="0004002A"/>
    <w:rsid w:val="000A1318"/>
    <w:rsid w:val="000B5FD3"/>
    <w:rsid w:val="000C225F"/>
    <w:rsid w:val="00172D1A"/>
    <w:rsid w:val="00206E27"/>
    <w:rsid w:val="002221F9"/>
    <w:rsid w:val="0022580E"/>
    <w:rsid w:val="00244927"/>
    <w:rsid w:val="00251560"/>
    <w:rsid w:val="002638F7"/>
    <w:rsid w:val="002B5558"/>
    <w:rsid w:val="0031011C"/>
    <w:rsid w:val="003217EB"/>
    <w:rsid w:val="00334743"/>
    <w:rsid w:val="00343C87"/>
    <w:rsid w:val="003701AE"/>
    <w:rsid w:val="003A5AF8"/>
    <w:rsid w:val="00460D75"/>
    <w:rsid w:val="004A13E9"/>
    <w:rsid w:val="00555D48"/>
    <w:rsid w:val="005B0D1E"/>
    <w:rsid w:val="00616C52"/>
    <w:rsid w:val="00721D1A"/>
    <w:rsid w:val="00797EE3"/>
    <w:rsid w:val="007D4FDB"/>
    <w:rsid w:val="007F1475"/>
    <w:rsid w:val="00816FB3"/>
    <w:rsid w:val="0088691F"/>
    <w:rsid w:val="00894CAE"/>
    <w:rsid w:val="008C6BA7"/>
    <w:rsid w:val="008E5508"/>
    <w:rsid w:val="00936A2E"/>
    <w:rsid w:val="00944AB8"/>
    <w:rsid w:val="009F310D"/>
    <w:rsid w:val="00A60CC7"/>
    <w:rsid w:val="00A84437"/>
    <w:rsid w:val="00AB0278"/>
    <w:rsid w:val="00AE7208"/>
    <w:rsid w:val="00B06E15"/>
    <w:rsid w:val="00C56EBE"/>
    <w:rsid w:val="00CF1DFD"/>
    <w:rsid w:val="00D11A0B"/>
    <w:rsid w:val="00D647E6"/>
    <w:rsid w:val="00DB477D"/>
    <w:rsid w:val="00E47A72"/>
    <w:rsid w:val="00EA683B"/>
    <w:rsid w:val="00ED68EB"/>
    <w:rsid w:val="00EE253A"/>
    <w:rsid w:val="00F46358"/>
    <w:rsid w:val="00F83369"/>
    <w:rsid w:val="00FD04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DD702-2301-4CF7-BFF2-74BAFF07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823295.page" TargetMode="Externa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saimex.org.mx/saimex/solicitud/downloadAttach/1810302.page"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ipomex.org.mx/ipo3/lgt/indice/FGJEM/art_92_vii.web?token=03ADUVZwDbQz0Ahay3cqoyi47m4zUUF83MABjaNjc0SxF3vMEj0eqrlySqCrV5dMFLXJf4PambTvRXnP2J0n9B0V_ynYGqeHy2YfYEX8TFNSmpgMtpL_aKk6iNnuXNaNKYlyi_SLQIJQwcpdW8kahsykQtivBi2cyZPMzLa5BdfH4GWnKppkTFoJAGyi19ThF8VbCQTQ1ygjqDeeEHw8zuNOgWLAa6J7rnnSuI3K0evxfTFmBDlO4jFqD-1KoyvQ8GD_60bpn0Z82CIQtPHuC7VqJo_cJ0z6Gokc_Czz8_g5cMfKkVs1knctbOvxyyLnjRVgVl8xk5OW92vEk6f6h79W9DOOg55FMukKd5Y9BZIhOq61xE--krwi0NyFY6nryKy1u-Ph11JqDA_kqkutnWRgXiGRtadD6kaql9FDODQTLMz5pTOmpFr8tRJuNSuyfvr7m4_4RSD0AtLj8tjVh_r3a3DyHYbUXrt5skgkEOoVKxBrI1hKvtwOz5T11LPQBzzjgrKlKP-rrVwBAv1ZqFt5AHLKy4dFm4AB6Dmo8nU91BqvgLe6nvNps" TargetMode="External"/><Relationship Id="rId20" Type="http://schemas.openxmlformats.org/officeDocument/2006/relationships/hyperlink" Target="https://ipomex.org.mx/ipo3/lgt/indice/FGJEM/art_92_vii.web?token=03ADUVZwDbQz0Ahay3cqoyi47m4zUUF83MABjaNjc0SxF3vMEj0eqrlySqCrV5dMFLXJf4PambTvRXnP2J0n9B0V_ynYGqeHy2YfYEX8TFNSmpgMtpL_aKk6iNnuXNaNKYlyi_SLQIJQwcpdW8kahsykQtivBi2cyZPMzLa5BdfH4GWnKppkTFoJAGyi19ThF8VbCQTQ1ygjqDeeEHw8zuNOgWLAa6J7rnnSuI3K0evxfTFmBDlO4jFqD-1KoyvQ8GD_60bpn0Z82CIQtPHuC7VqJo_cJ0z6Gokc_Czz8_g5cMfKkVs1knctbOvxyyLnjRVgVl8xk5OW92vEk6f6h79W9DOOg55FMukKd5Y9BZIhOq61xE--krwi0NyFY6nryKy1u-Ph11JqDA_kqkutnWRgXiGRtadD6kaql9FDODQTLMz5pTOmpFr8tRJuNSuyfvr7m4_4RSD0AtLj8tjVh_r3a3DyHYbUXrt5skgkEOoVKxBrI1hKvtwOz5T11LPQBzzjgrKlKP-rrVwBAv1ZqFt5AHLKy4dFm4AB6Dmo8nU91BqvgLe6nvNp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pomex.org.mx/ipo3/lgt/indice/FGJEM/art_92_vii.web?token=03ADUVZwDbQz0Ahay3cqoyi47m4zUUF83MABjaNjc0SxF3vMEj0eqrlySqCrV5dMFLXJf4PambTvRXnP2J0n9B0V_ynYGqeHy2YfYEX8TFNSmpgMtpL_aKk6iNnuXNaNKYlyi_SLQIJQwcpdW8kahsykQtivBi2cyZPMzLa5BdfH4GWnKppkTFoJAGyi19ThF8VbCQTQ1ygjqDeeEHw8zuNOgWLAa6J7rnnSuI3K0evxfTFmBDlO4jFqD-1KoyvQ8GD_60bpn0Z82CIQtPHuC7VqJo_cJ0z6Gokc_Czz8_g5cMfKkVs1knctbOvxyyLnjRVgVl8xk5OW92vEk6f6h79W9DOOg55FMukKd5Y9BZIhOq61xE--krwi0NyFY6nryKy1u-Ph11JqDA_kqkutnWRgXiGRtadD6kaql9FDODQTLMz5pTOmpFr8tRJuNSuyfvr7m4_4RSD0AtLj8tjVh_r3a3DyHYbUXrt5skgkEOoVKxBrI1hKvtwOz5T11LPQBzzjgrKlKP-rrVwBAv1ZqFt5AHLKy4dFm4AB6Dmo8nU91BqvgLe6nvNps"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aimex.org.mx/saimex/solicitud/downloadAttach/1796237.page"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aimex.org.mx/saimex/solicitud/downloadAttach/1823296.page"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FFuYNWP1nrHlHDwGIed0g3LPfw==">CgMxLjAyCGguZ2pkZ3hzMgloLjMwajB6bGwyCGgudHlqY3d0MgloLjFmb2I5dGUyCWguM3pueXNoNzgAciExT3ZkT0xfdy1CamJLT2V6TUc5TG4zcTRJanFmQ1RoX3o=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B1D008-2968-4C99-979C-1A363444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13206</Words>
  <Characters>72636</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2023-09-07T15:59:00Z</cp:lastPrinted>
  <dcterms:created xsi:type="dcterms:W3CDTF">2023-09-20T20:24:00Z</dcterms:created>
  <dcterms:modified xsi:type="dcterms:W3CDTF">2023-09-20T20:24:00Z</dcterms:modified>
</cp:coreProperties>
</file>