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902BA64"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w:t>
      </w:r>
      <w:r w:rsidR="0000039D">
        <w:rPr>
          <w:rFonts w:ascii="Palatino Linotype" w:hAnsi="Palatino Linotype"/>
          <w:sz w:val="24"/>
          <w:szCs w:val="24"/>
        </w:rPr>
        <w:t>de México y Municipios, con domi</w:t>
      </w:r>
      <w:r w:rsidRPr="007C7FFD">
        <w:rPr>
          <w:rFonts w:ascii="Palatino Linotype" w:hAnsi="Palatino Linotype"/>
          <w:sz w:val="24"/>
          <w:szCs w:val="24"/>
        </w:rPr>
        <w:t>cilio e</w:t>
      </w:r>
      <w:r w:rsidR="00124A99">
        <w:rPr>
          <w:rFonts w:ascii="Palatino Linotype" w:hAnsi="Palatino Linotype"/>
          <w:sz w:val="24"/>
          <w:szCs w:val="24"/>
        </w:rPr>
        <w:t xml:space="preserve">n Metepec, </w:t>
      </w:r>
      <w:r w:rsidR="0000039D">
        <w:rPr>
          <w:rFonts w:ascii="Palatino Linotype" w:hAnsi="Palatino Linotype"/>
          <w:sz w:val="24"/>
          <w:szCs w:val="24"/>
        </w:rPr>
        <w:t>Es</w:t>
      </w:r>
      <w:r w:rsidR="00301972">
        <w:rPr>
          <w:rFonts w:ascii="Palatino Linotype" w:hAnsi="Palatino Linotype"/>
          <w:sz w:val="24"/>
          <w:szCs w:val="24"/>
        </w:rPr>
        <w:t>tado</w:t>
      </w:r>
      <w:r w:rsidR="00AD27F5">
        <w:rPr>
          <w:rFonts w:ascii="Palatino Linotype" w:hAnsi="Palatino Linotype"/>
          <w:sz w:val="24"/>
          <w:szCs w:val="24"/>
        </w:rPr>
        <w:t xml:space="preserve"> de México; de fecha quince</w:t>
      </w:r>
      <w:r w:rsidRPr="007C7FFD">
        <w:rPr>
          <w:rFonts w:ascii="Palatino Linotype" w:hAnsi="Palatino Linotype"/>
          <w:sz w:val="24"/>
          <w:szCs w:val="24"/>
        </w:rPr>
        <w:t xml:space="preserve"> (</w:t>
      </w:r>
      <w:r w:rsidR="002861EE">
        <w:rPr>
          <w:rFonts w:ascii="Palatino Linotype" w:hAnsi="Palatino Linotype"/>
          <w:sz w:val="24"/>
          <w:szCs w:val="24"/>
        </w:rPr>
        <w:t>1</w:t>
      </w:r>
      <w:r w:rsidR="00AD27F5">
        <w:rPr>
          <w:rFonts w:ascii="Palatino Linotype" w:hAnsi="Palatino Linotype"/>
          <w:sz w:val="24"/>
          <w:szCs w:val="24"/>
        </w:rPr>
        <w:t>5</w:t>
      </w:r>
      <w:r w:rsidR="00BE6E79" w:rsidRPr="007C7FFD">
        <w:rPr>
          <w:rFonts w:ascii="Palatino Linotype" w:hAnsi="Palatino Linotype"/>
          <w:sz w:val="24"/>
          <w:szCs w:val="24"/>
        </w:rPr>
        <w:t>) de</w:t>
      </w:r>
      <w:r w:rsidR="0000039D">
        <w:rPr>
          <w:rFonts w:ascii="Palatino Linotype" w:hAnsi="Palatino Linotype"/>
          <w:sz w:val="24"/>
          <w:szCs w:val="24"/>
        </w:rPr>
        <w:t xml:space="preserve"> </w:t>
      </w:r>
      <w:r w:rsidR="002861EE">
        <w:rPr>
          <w:rFonts w:ascii="Palatino Linotype" w:hAnsi="Palatino Linotype"/>
          <w:sz w:val="24"/>
          <w:szCs w:val="24"/>
        </w:rPr>
        <w:t>noviembre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27DAB6D0"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2861EE" w:rsidRPr="002861EE">
        <w:rPr>
          <w:rFonts w:ascii="Palatino Linotype" w:eastAsia="Calibri" w:hAnsi="Palatino Linotype" w:cs="Tahoma"/>
          <w:b/>
          <w:sz w:val="24"/>
          <w:lang w:eastAsia="en-US"/>
        </w:rPr>
        <w:t>03988/INFOEM/IP/RR/2022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 xml:space="preserve">promovido </w:t>
      </w:r>
      <w:r w:rsidR="00E8105E">
        <w:rPr>
          <w:rFonts w:ascii="Palatino Linotype" w:hAnsi="Palatino Linotype"/>
          <w:b/>
          <w:sz w:val="24"/>
          <w:szCs w:val="24"/>
        </w:rPr>
        <w:t xml:space="preserve">XXX </w:t>
      </w:r>
      <w:proofErr w:type="spellStart"/>
      <w:r w:rsidR="00E8105E">
        <w:rPr>
          <w:rFonts w:ascii="Palatino Linotype" w:hAnsi="Palatino Linotype"/>
          <w:b/>
          <w:sz w:val="24"/>
          <w:szCs w:val="24"/>
        </w:rPr>
        <w:t>XXX</w:t>
      </w:r>
      <w:proofErr w:type="spellEnd"/>
      <w:r w:rsidR="00E8105E">
        <w:rPr>
          <w:rFonts w:ascii="Palatino Linotype" w:hAnsi="Palatino Linotype"/>
          <w:b/>
          <w:sz w:val="24"/>
          <w:szCs w:val="24"/>
        </w:rPr>
        <w:t xml:space="preserve"> </w:t>
      </w:r>
      <w:proofErr w:type="spellStart"/>
      <w:r w:rsidR="00E8105E">
        <w:rPr>
          <w:rFonts w:ascii="Palatino Linotype" w:hAnsi="Palatino Linotype"/>
          <w:b/>
          <w:sz w:val="24"/>
          <w:szCs w:val="24"/>
        </w:rPr>
        <w:t>XXX</w:t>
      </w:r>
      <w:proofErr w:type="spellEnd"/>
      <w:r w:rsidR="00C71745">
        <w:rPr>
          <w:rFonts w:ascii="Palatino Linotype" w:hAnsi="Palatino Linotype"/>
          <w:sz w:val="24"/>
          <w:szCs w:val="24"/>
        </w:rPr>
        <w:t xml:space="preserve">, </w:t>
      </w:r>
      <w:r w:rsidR="005D09C1" w:rsidRPr="007C7FFD">
        <w:rPr>
          <w:rFonts w:ascii="Palatino Linotype" w:hAnsi="Palatino Linotype"/>
          <w:sz w:val="24"/>
          <w:szCs w:val="24"/>
        </w:rPr>
        <w:t xml:space="preserve">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2861EE" w:rsidRPr="002861EE">
        <w:rPr>
          <w:rFonts w:ascii="Palatino Linotype" w:eastAsia="Calibri" w:hAnsi="Palatino Linotype" w:cs="Arial"/>
          <w:b/>
          <w:bCs/>
          <w:sz w:val="24"/>
          <w:lang w:val="es-ES"/>
        </w:rPr>
        <w:t>Ayuntamiento de Nicolás Romero</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11F51B6C"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2861EE">
        <w:rPr>
          <w:rFonts w:ascii="Palatino Linotype" w:eastAsia="Calibri" w:hAnsi="Palatino Linotype" w:cs="Arial"/>
          <w:sz w:val="24"/>
          <w:lang w:val="es-ES"/>
        </w:rPr>
        <w:t>diecisiete</w:t>
      </w:r>
      <w:r w:rsidR="000904E7">
        <w:rPr>
          <w:rFonts w:ascii="Palatino Linotype" w:eastAsia="Calibri" w:hAnsi="Palatino Linotype" w:cs="Arial"/>
          <w:sz w:val="24"/>
          <w:lang w:val="es-ES"/>
        </w:rPr>
        <w:t xml:space="preserve"> (</w:t>
      </w:r>
      <w:r w:rsidR="002861EE">
        <w:rPr>
          <w:rFonts w:ascii="Palatino Linotype" w:eastAsia="Calibri" w:hAnsi="Palatino Linotype" w:cs="Arial"/>
          <w:sz w:val="24"/>
          <w:lang w:val="es-ES"/>
        </w:rPr>
        <w:t>17</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2861EE">
        <w:rPr>
          <w:rFonts w:ascii="Palatino Linotype" w:eastAsia="Calibri" w:hAnsi="Palatino Linotype" w:cs="Arial"/>
          <w:sz w:val="24"/>
          <w:lang w:val="es-ES"/>
        </w:rPr>
        <w:t>febrero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2861EE">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2861EE">
        <w:rPr>
          <w:rFonts w:ascii="Palatino Linotype" w:hAnsi="Palatino Linotype" w:cs="Arial"/>
          <w:b/>
          <w:sz w:val="24"/>
          <w:lang w:val="es-ES"/>
        </w:rPr>
        <w:t>044</w:t>
      </w:r>
      <w:r w:rsidR="006C28CC" w:rsidRPr="006C28CC">
        <w:rPr>
          <w:rFonts w:ascii="Palatino Linotype" w:hAnsi="Palatino Linotype" w:cs="Arial"/>
          <w:b/>
          <w:sz w:val="24"/>
          <w:lang w:val="es-ES"/>
        </w:rPr>
        <w:t>/</w:t>
      </w:r>
      <w:r w:rsidR="002861EE">
        <w:rPr>
          <w:rFonts w:ascii="Palatino Linotype" w:hAnsi="Palatino Linotype" w:cs="Arial"/>
          <w:b/>
          <w:sz w:val="24"/>
          <w:lang w:val="es-ES"/>
        </w:rPr>
        <w:t>NICOROM</w:t>
      </w:r>
      <w:r w:rsidR="00B13121">
        <w:rPr>
          <w:rFonts w:ascii="Palatino Linotype" w:hAnsi="Palatino Linotype" w:cs="Arial"/>
          <w:b/>
          <w:sz w:val="24"/>
          <w:lang w:val="es-ES"/>
        </w:rPr>
        <w:t>/IP/202</w:t>
      </w:r>
      <w:r w:rsidR="002861EE">
        <w:rPr>
          <w:rFonts w:ascii="Palatino Linotype" w:hAnsi="Palatino Linotype" w:cs="Arial"/>
          <w:b/>
          <w:sz w:val="24"/>
          <w:lang w:val="es-ES"/>
        </w:rPr>
        <w:t>2</w:t>
      </w:r>
      <w:r w:rsidR="00AD27F5">
        <w:rPr>
          <w:rFonts w:ascii="Palatino Linotype" w:hAnsi="Palatino Linotype" w:cs="Arial"/>
          <w:b/>
          <w:sz w:val="24"/>
          <w:lang w:val="es-ES"/>
        </w:rPr>
        <w:t xml:space="preserve">, </w:t>
      </w:r>
      <w:r w:rsidR="00AD27F5">
        <w:rPr>
          <w:rFonts w:ascii="Palatino Linotype" w:hAnsi="Palatino Linotype" w:cs="Arial"/>
          <w:sz w:val="24"/>
          <w:lang w:val="es-ES"/>
        </w:rPr>
        <w:t>en la que</w:t>
      </w:r>
      <w:r w:rsidR="008A2519" w:rsidRPr="006C28CC">
        <w:rPr>
          <w:rFonts w:ascii="Palatino Linotype" w:eastAsia="Calibri" w:hAnsi="Palatino Linotype" w:cs="Arial"/>
          <w:sz w:val="24"/>
          <w:lang w:val="es-ES"/>
        </w:rPr>
        <w:t xml:space="preserve"> solicitó lo siguiente:</w:t>
      </w:r>
    </w:p>
    <w:p w14:paraId="39EB81E9" w14:textId="77777777" w:rsidR="008A2519" w:rsidRPr="00AD27F5" w:rsidRDefault="008A2519" w:rsidP="008A2519">
      <w:pPr>
        <w:pStyle w:val="Prrafodelista"/>
        <w:spacing w:line="360" w:lineRule="auto"/>
        <w:ind w:left="0"/>
        <w:jc w:val="both"/>
        <w:rPr>
          <w:rFonts w:ascii="Palatino Linotype" w:hAnsi="Palatino Linotype" w:cs="Arial"/>
          <w:sz w:val="28"/>
          <w:lang w:val="es-ES"/>
        </w:rPr>
      </w:pPr>
    </w:p>
    <w:p w14:paraId="34D96AAB" w14:textId="60357020" w:rsidR="00AF085A" w:rsidRPr="00AD27F5" w:rsidRDefault="00124A99" w:rsidP="00301972">
      <w:pPr>
        <w:pStyle w:val="Prrafodelista"/>
        <w:spacing w:line="360" w:lineRule="auto"/>
        <w:ind w:left="567" w:right="539"/>
        <w:jc w:val="both"/>
        <w:rPr>
          <w:rFonts w:ascii="Palatino Linotype" w:hAnsi="Palatino Linotype"/>
          <w:i/>
          <w:sz w:val="24"/>
        </w:rPr>
      </w:pPr>
      <w:r w:rsidRPr="00AD27F5">
        <w:rPr>
          <w:rFonts w:ascii="Palatino Linotype" w:hAnsi="Palatino Linotype"/>
          <w:i/>
          <w:sz w:val="24"/>
        </w:rPr>
        <w:t>“</w:t>
      </w:r>
      <w:r w:rsidR="002861EE" w:rsidRPr="00AD27F5">
        <w:rPr>
          <w:rFonts w:ascii="Palatino Linotype" w:hAnsi="Palatino Linotype"/>
          <w:i/>
          <w:sz w:val="24"/>
        </w:rPr>
        <w:t xml:space="preserve">SOLICITO SE ME INFORME LA SIGUIENTE INFORMACIÓN DEL PERSONAL DE LA DIRECCIÓN DE SEGURIDAD PUBLICA Y PROTECCIÓN CIUDADANA: 1.- CARGO DE LOS C.C.FRANCISCO JAVIER ORTEGA MORALES, MIGUEL OSWALDO CASTILLO MARTINEZ Y EDUARDO AGUILERA GONZALEZ. 2.- SALARIO DE LOS C.C.FRANCISCO JAVIER ORTEGA MORALES, MIGUEL OSWALDO </w:t>
      </w:r>
      <w:r w:rsidR="002861EE" w:rsidRPr="00AD27F5">
        <w:rPr>
          <w:rFonts w:ascii="Palatino Linotype" w:hAnsi="Palatino Linotype"/>
          <w:i/>
          <w:sz w:val="24"/>
        </w:rPr>
        <w:lastRenderedPageBreak/>
        <w:t>CASTILLO MARTINEZ Y EDUARDO AGUILERA GONZALEZ. 3.- SI LOS C.C.FRANCISCO JAVIER ORTEGA MORALES, MIGUEL OSWALDO CASTILLO MARTINEZ Y EDUARDO AGUILERA GONZALEZ CUENTAN CON CERTIFICACIÓN ANTE EL CENTRO DE CONTROL DE CONFIANZA, EN QUE AÑO REALIZARON SUS EVALUACIONES Y SI DICHAS CERTIFICACIONES SE ENCUENTRAN VIGENTES. 4.- FUNCIONES PROPIAS DEL CARGO QUE OSTENTAN LOS C.C.FRANCISCO JAVIER ORTEGA MORALES, MIGUEL OSWALDO CASTILLO MARTINEZ Y EDUARDO AGUILERA GONZALEZ Y FUNDAMENTO LEGAL QUE FACULTA DICHAS FUNCIONES.</w:t>
      </w:r>
      <w:r w:rsidRPr="00AD27F5">
        <w:rPr>
          <w:rFonts w:ascii="Palatino Linotype" w:hAnsi="Palatino Linotype"/>
          <w:i/>
          <w:sz w:val="24"/>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Pr="0000039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5D607744" w14:textId="77777777" w:rsidR="0000039D" w:rsidRDefault="0000039D" w:rsidP="0000039D">
      <w:pPr>
        <w:pStyle w:val="Prrafodelista"/>
        <w:spacing w:line="360" w:lineRule="auto"/>
        <w:ind w:left="0"/>
        <w:jc w:val="both"/>
        <w:rPr>
          <w:rFonts w:ascii="Palatino Linotype" w:hAnsi="Palatino Linotype" w:cs="Arial"/>
          <w:sz w:val="24"/>
          <w:lang w:val="es-ES"/>
        </w:rPr>
      </w:pPr>
    </w:p>
    <w:p w14:paraId="0F742B25" w14:textId="29A78887" w:rsidR="00670CBE" w:rsidRDefault="002861EE"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El veintitrés</w:t>
      </w:r>
      <w:r w:rsidR="00670CBE">
        <w:rPr>
          <w:rFonts w:ascii="Palatino Linotype" w:hAnsi="Palatino Linotype" w:cs="Arial"/>
          <w:sz w:val="24"/>
          <w:lang w:val="es-ES"/>
        </w:rPr>
        <w:t xml:space="preserve"> (</w:t>
      </w:r>
      <w:r>
        <w:rPr>
          <w:rFonts w:ascii="Palatino Linotype" w:hAnsi="Palatino Linotype" w:cs="Arial"/>
          <w:sz w:val="24"/>
          <w:lang w:val="es-ES"/>
        </w:rPr>
        <w:t>23</w:t>
      </w:r>
      <w:r w:rsidR="00670CBE">
        <w:rPr>
          <w:rFonts w:ascii="Palatino Linotype" w:hAnsi="Palatino Linotype" w:cs="Arial"/>
          <w:sz w:val="24"/>
          <w:lang w:val="es-ES"/>
        </w:rPr>
        <w:t xml:space="preserve">) de </w:t>
      </w:r>
      <w:r>
        <w:rPr>
          <w:rFonts w:ascii="Palatino Linotype" w:hAnsi="Palatino Linotype" w:cs="Arial"/>
          <w:sz w:val="24"/>
          <w:lang w:val="es-ES"/>
        </w:rPr>
        <w:t>febrero</w:t>
      </w:r>
      <w:r w:rsidR="00301972">
        <w:rPr>
          <w:rFonts w:ascii="Palatino Linotype" w:hAnsi="Palatino Linotype" w:cs="Arial"/>
          <w:sz w:val="24"/>
          <w:lang w:val="es-ES"/>
        </w:rPr>
        <w:t xml:space="preserve"> de dos mil </w:t>
      </w:r>
      <w:r w:rsidRPr="007C7FFD">
        <w:rPr>
          <w:rFonts w:ascii="Palatino Linotype" w:eastAsia="Calibri" w:hAnsi="Palatino Linotype"/>
          <w:sz w:val="24"/>
          <w:lang w:val="es-ES"/>
        </w:rPr>
        <w:t>veinti</w:t>
      </w:r>
      <w:r>
        <w:rPr>
          <w:rFonts w:ascii="Palatino Linotype" w:eastAsia="Calibri" w:hAnsi="Palatino Linotype"/>
          <w:sz w:val="24"/>
          <w:lang w:val="es-ES"/>
        </w:rPr>
        <w:t>dós</w:t>
      </w:r>
      <w:r w:rsidR="00670CBE">
        <w:rPr>
          <w:rFonts w:ascii="Palatino Linotype" w:hAnsi="Palatino Linotype" w:cs="Arial"/>
          <w:sz w:val="24"/>
          <w:lang w:val="es-ES"/>
        </w:rPr>
        <w:t xml:space="preserve">, el Sujeto Obligado </w:t>
      </w:r>
      <w:r w:rsidR="0000039D">
        <w:rPr>
          <w:rFonts w:ascii="Palatino Linotype" w:hAnsi="Palatino Linotype" w:cs="Arial"/>
          <w:sz w:val="24"/>
          <w:lang w:val="es-ES"/>
        </w:rPr>
        <w:t>dio respuesta a la solicitud, en los siguientes términos:</w:t>
      </w:r>
    </w:p>
    <w:p w14:paraId="6FE27DC0" w14:textId="77777777" w:rsidR="0000039D" w:rsidRPr="0000039D" w:rsidRDefault="0000039D" w:rsidP="0000039D">
      <w:pPr>
        <w:pStyle w:val="Prrafodelista"/>
        <w:rPr>
          <w:rFonts w:ascii="Palatino Linotype" w:hAnsi="Palatino Linotype" w:cs="Arial"/>
          <w:sz w:val="24"/>
          <w:lang w:val="es-ES"/>
        </w:rPr>
      </w:pPr>
    </w:p>
    <w:p w14:paraId="13B11F88" w14:textId="77777777" w:rsidR="002861EE" w:rsidRPr="002861EE" w:rsidRDefault="002861EE" w:rsidP="002861EE">
      <w:pPr>
        <w:pStyle w:val="Prrafodelista"/>
        <w:spacing w:line="360" w:lineRule="auto"/>
        <w:jc w:val="both"/>
        <w:rPr>
          <w:rFonts w:ascii="Palatino Linotype" w:hAnsi="Palatino Linotype" w:cs="Arial"/>
          <w:i/>
          <w:szCs w:val="22"/>
          <w:lang w:val="es-ES"/>
        </w:rPr>
      </w:pPr>
      <w:r w:rsidRPr="002861EE">
        <w:rPr>
          <w:rFonts w:ascii="Palatino Linotype" w:hAnsi="Palatino Linotype" w:cs="Arial"/>
          <w:i/>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135EB4" w14:textId="77777777" w:rsidR="002861EE" w:rsidRPr="002861EE" w:rsidRDefault="002861EE" w:rsidP="002861EE">
      <w:pPr>
        <w:pStyle w:val="Prrafodelista"/>
        <w:spacing w:line="360" w:lineRule="auto"/>
        <w:jc w:val="both"/>
        <w:rPr>
          <w:rFonts w:ascii="Palatino Linotype" w:hAnsi="Palatino Linotype" w:cs="Arial"/>
          <w:i/>
          <w:szCs w:val="22"/>
          <w:lang w:val="es-ES"/>
        </w:rPr>
      </w:pPr>
      <w:r w:rsidRPr="002861EE">
        <w:rPr>
          <w:rFonts w:ascii="Palatino Linotype" w:hAnsi="Palatino Linotype" w:cs="Arial"/>
          <w:i/>
          <w:szCs w:val="22"/>
          <w:lang w:val="es-ES"/>
        </w:rPr>
        <w:t xml:space="preserve">Buenas tardes, por este medio envío respuesta a su solicitud de información. Sin </w:t>
      </w:r>
      <w:proofErr w:type="spellStart"/>
      <w:proofErr w:type="gramStart"/>
      <w:r w:rsidRPr="002861EE">
        <w:rPr>
          <w:rFonts w:ascii="Palatino Linotype" w:hAnsi="Palatino Linotype" w:cs="Arial"/>
          <w:i/>
          <w:szCs w:val="22"/>
          <w:lang w:val="es-ES"/>
        </w:rPr>
        <w:t>mas</w:t>
      </w:r>
      <w:proofErr w:type="spellEnd"/>
      <w:proofErr w:type="gramEnd"/>
      <w:r w:rsidRPr="002861EE">
        <w:rPr>
          <w:rFonts w:ascii="Palatino Linotype" w:hAnsi="Palatino Linotype" w:cs="Arial"/>
          <w:i/>
          <w:szCs w:val="22"/>
          <w:lang w:val="es-ES"/>
        </w:rPr>
        <w:t xml:space="preserve"> por el momento, reciba un cordial saludo.</w:t>
      </w:r>
    </w:p>
    <w:p w14:paraId="3B24DF01" w14:textId="77777777" w:rsidR="002861EE" w:rsidRPr="002861EE" w:rsidRDefault="002861EE" w:rsidP="002861EE">
      <w:pPr>
        <w:pStyle w:val="Prrafodelista"/>
        <w:spacing w:line="360" w:lineRule="auto"/>
        <w:jc w:val="both"/>
        <w:rPr>
          <w:rFonts w:ascii="Palatino Linotype" w:hAnsi="Palatino Linotype" w:cs="Arial"/>
          <w:i/>
          <w:szCs w:val="22"/>
          <w:lang w:val="es-ES"/>
        </w:rPr>
      </w:pPr>
      <w:r w:rsidRPr="002861EE">
        <w:rPr>
          <w:rFonts w:ascii="Palatino Linotype" w:hAnsi="Palatino Linotype" w:cs="Arial"/>
          <w:i/>
          <w:szCs w:val="22"/>
          <w:lang w:val="es-ES"/>
        </w:rPr>
        <w:t>ATENTAMENTE</w:t>
      </w:r>
    </w:p>
    <w:p w14:paraId="56524500" w14:textId="108C0B5F" w:rsidR="00237142" w:rsidRDefault="002861EE" w:rsidP="002861EE">
      <w:pPr>
        <w:pStyle w:val="Prrafodelista"/>
        <w:spacing w:line="360" w:lineRule="auto"/>
        <w:jc w:val="both"/>
        <w:rPr>
          <w:rFonts w:ascii="Palatino Linotype" w:hAnsi="Palatino Linotype" w:cs="Arial"/>
          <w:i/>
          <w:szCs w:val="22"/>
          <w:lang w:val="es-ES"/>
        </w:rPr>
      </w:pPr>
      <w:r w:rsidRPr="002861EE">
        <w:rPr>
          <w:rFonts w:ascii="Palatino Linotype" w:hAnsi="Palatino Linotype" w:cs="Arial"/>
          <w:i/>
          <w:szCs w:val="22"/>
          <w:lang w:val="es-ES"/>
        </w:rPr>
        <w:t>LIC. ALFONSO HERNANDEZ GASCA</w:t>
      </w:r>
    </w:p>
    <w:p w14:paraId="1F7325E0" w14:textId="60269103" w:rsidR="002861EE" w:rsidRPr="00AD27F5" w:rsidRDefault="00237142" w:rsidP="00237142">
      <w:pPr>
        <w:pStyle w:val="Prrafodelista"/>
        <w:numPr>
          <w:ilvl w:val="0"/>
          <w:numId w:val="40"/>
        </w:numPr>
        <w:spacing w:line="360" w:lineRule="auto"/>
        <w:ind w:left="426"/>
        <w:jc w:val="both"/>
        <w:rPr>
          <w:rStyle w:val="Hipervnculo"/>
          <w:rFonts w:ascii="Palatino Linotype" w:hAnsi="Palatino Linotype" w:cs="Arial"/>
          <w:color w:val="auto"/>
          <w:sz w:val="20"/>
          <w:szCs w:val="22"/>
          <w:u w:val="none"/>
          <w:lang w:val="es-ES"/>
        </w:rPr>
      </w:pPr>
      <w:r w:rsidRPr="00AD27F5">
        <w:rPr>
          <w:rStyle w:val="Hipervnculo"/>
          <w:rFonts w:ascii="Palatino Linotype" w:hAnsi="Palatino Linotype" w:cs="Arial"/>
          <w:bCs/>
          <w:color w:val="auto"/>
          <w:szCs w:val="22"/>
          <w:u w:val="none"/>
        </w:rPr>
        <w:lastRenderedPageBreak/>
        <w:t xml:space="preserve">El particular adjuntó el documento electrónico denominado </w:t>
      </w:r>
      <w:r w:rsidR="002861EE" w:rsidRPr="00AD27F5">
        <w:rPr>
          <w:rStyle w:val="Hipervnculo"/>
          <w:rFonts w:ascii="Palatino Linotype" w:hAnsi="Palatino Linotype" w:cs="Arial"/>
          <w:bCs/>
          <w:color w:val="auto"/>
          <w:szCs w:val="22"/>
          <w:u w:val="none"/>
        </w:rPr>
        <w:t>NR_TM_OM_RH_0122 00044.</w:t>
      </w:r>
      <w:r w:rsidRPr="00AD27F5">
        <w:rPr>
          <w:rStyle w:val="Hipervnculo"/>
          <w:rFonts w:ascii="Palatino Linotype" w:hAnsi="Palatino Linotype" w:cs="Arial"/>
          <w:bCs/>
          <w:color w:val="auto"/>
          <w:szCs w:val="22"/>
          <w:u w:val="none"/>
        </w:rPr>
        <w:t xml:space="preserve">pdf, que contiene </w:t>
      </w:r>
      <w:r w:rsidR="002861EE" w:rsidRPr="00AD27F5">
        <w:rPr>
          <w:rStyle w:val="Hipervnculo"/>
          <w:rFonts w:ascii="Palatino Linotype" w:hAnsi="Palatino Linotype" w:cs="Arial"/>
          <w:bCs/>
          <w:color w:val="auto"/>
          <w:szCs w:val="22"/>
          <w:u w:val="none"/>
        </w:rPr>
        <w:t xml:space="preserve">el oficio NR/TM/OM/RH/0122/2022 suscrito por el Oficial Mayor </w:t>
      </w:r>
      <w:r w:rsidR="009551BB" w:rsidRPr="00AD27F5">
        <w:rPr>
          <w:rStyle w:val="Hipervnculo"/>
          <w:rFonts w:ascii="Palatino Linotype" w:hAnsi="Palatino Linotype" w:cs="Arial"/>
          <w:bCs/>
          <w:color w:val="auto"/>
          <w:szCs w:val="22"/>
          <w:u w:val="none"/>
        </w:rPr>
        <w:t>que contiene cargo y salario mensual de los servidores públicos señalados en la solicitud. Asimismo, refiere que la información faltante corresponde a la Coordinación de Administración Policial de la Dirección de Seguridad Pública y la Secretaría Técnica del Consejo Municipal de Seguridad Pública.</w:t>
      </w:r>
    </w:p>
    <w:p w14:paraId="125905BC" w14:textId="77777777" w:rsidR="00237142" w:rsidRPr="00237142" w:rsidRDefault="00237142" w:rsidP="00237142">
      <w:pPr>
        <w:pStyle w:val="Prrafodelista"/>
        <w:spacing w:line="360" w:lineRule="auto"/>
        <w:jc w:val="both"/>
        <w:rPr>
          <w:rStyle w:val="Hipervnculo"/>
          <w:rFonts w:ascii="Palatino Linotype" w:hAnsi="Palatino Linotype" w:cs="Arial"/>
          <w:color w:val="auto"/>
          <w:szCs w:val="22"/>
          <w:u w:val="none"/>
          <w:lang w:val="es-ES"/>
        </w:rPr>
      </w:pPr>
    </w:p>
    <w:p w14:paraId="518CDCD9" w14:textId="43BA2AED"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9551BB">
        <w:rPr>
          <w:rFonts w:ascii="Palatino Linotype" w:eastAsia="Calibri" w:hAnsi="Palatino Linotype" w:cs="Arial"/>
          <w:sz w:val="24"/>
          <w:lang w:val="es-AR"/>
        </w:rPr>
        <w:t>dieciséis</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9551BB">
        <w:rPr>
          <w:rFonts w:ascii="Palatino Linotype" w:eastAsia="Calibri" w:hAnsi="Palatino Linotype" w:cs="Arial"/>
          <w:sz w:val="24"/>
          <w:lang w:val="es-AR"/>
        </w:rPr>
        <w:t>16</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9551BB">
        <w:rPr>
          <w:rFonts w:ascii="Palatino Linotype" w:eastAsia="Calibri" w:hAnsi="Palatino Linotype" w:cs="Arial"/>
          <w:sz w:val="24"/>
          <w:lang w:val="es-AR"/>
        </w:rPr>
        <w:t>marzo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w:t>
      </w:r>
      <w:r w:rsidR="002861EE" w:rsidRPr="007C7FFD">
        <w:rPr>
          <w:rFonts w:ascii="Palatino Linotype" w:eastAsia="Calibri" w:hAnsi="Palatino Linotype"/>
          <w:sz w:val="24"/>
          <w:lang w:val="es-ES"/>
        </w:rPr>
        <w:t>veinti</w:t>
      </w:r>
      <w:r w:rsidR="002861EE">
        <w:rPr>
          <w:rFonts w:ascii="Palatino Linotype" w:eastAsia="Calibri" w:hAnsi="Palatino Linotype"/>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AD27F5" w:rsidRDefault="00F714A9" w:rsidP="005000AA">
      <w:pPr>
        <w:pStyle w:val="Prrafodelista"/>
        <w:rPr>
          <w:rFonts w:ascii="Palatino Linotype" w:eastAsia="Calibri" w:hAnsi="Palatino Linotype" w:cs="Tahoma"/>
          <w:b/>
          <w:szCs w:val="22"/>
          <w:lang w:eastAsia="en-US"/>
        </w:rPr>
      </w:pPr>
    </w:p>
    <w:p w14:paraId="137ACA93" w14:textId="338278DB" w:rsidR="00F714A9" w:rsidRPr="00AD27F5" w:rsidRDefault="00F714A9" w:rsidP="00F714A9">
      <w:pPr>
        <w:pStyle w:val="Prrafodelista"/>
        <w:spacing w:line="360" w:lineRule="auto"/>
        <w:jc w:val="both"/>
        <w:rPr>
          <w:rFonts w:ascii="Palatino Linotype" w:hAnsi="Palatino Linotype"/>
          <w:bCs/>
          <w:i/>
          <w:iCs/>
          <w:szCs w:val="22"/>
        </w:rPr>
      </w:pPr>
      <w:r w:rsidRPr="00AD27F5">
        <w:rPr>
          <w:rFonts w:ascii="Palatino Linotype" w:hAnsi="Palatino Linotype"/>
          <w:b/>
          <w:szCs w:val="22"/>
        </w:rPr>
        <w:t xml:space="preserve">Acto impugnado: </w:t>
      </w:r>
      <w:r w:rsidRPr="00AD27F5">
        <w:rPr>
          <w:rFonts w:ascii="Palatino Linotype" w:hAnsi="Palatino Linotype"/>
          <w:bCs/>
          <w:i/>
          <w:iCs/>
          <w:szCs w:val="22"/>
        </w:rPr>
        <w:t>“</w:t>
      </w:r>
      <w:r w:rsidR="009551BB" w:rsidRPr="00AD27F5">
        <w:rPr>
          <w:rFonts w:ascii="Palatino Linotype" w:hAnsi="Palatino Linotype"/>
          <w:bCs/>
          <w:i/>
          <w:iCs/>
          <w:szCs w:val="22"/>
        </w:rPr>
        <w:t>LA RESPUESTA REALIZADA A LA PETICIÓN REGISTRADA CON EL NUMERO 00044/NICOROM//IP/2022.</w:t>
      </w:r>
      <w:r w:rsidRPr="00AD27F5">
        <w:rPr>
          <w:rFonts w:ascii="Palatino Linotype" w:hAnsi="Palatino Linotype"/>
          <w:bCs/>
          <w:i/>
          <w:iCs/>
          <w:szCs w:val="22"/>
        </w:rPr>
        <w:t>”</w:t>
      </w:r>
      <w:r w:rsidR="00B83EE1" w:rsidRPr="00AD27F5">
        <w:rPr>
          <w:rFonts w:ascii="Palatino Linotype" w:hAnsi="Palatino Linotype"/>
          <w:bCs/>
          <w:i/>
          <w:iCs/>
          <w:szCs w:val="22"/>
        </w:rPr>
        <w:t xml:space="preserve"> (</w:t>
      </w:r>
      <w:proofErr w:type="gramStart"/>
      <w:r w:rsidR="00B83EE1" w:rsidRPr="00AD27F5">
        <w:rPr>
          <w:rFonts w:ascii="Palatino Linotype" w:hAnsi="Palatino Linotype"/>
          <w:bCs/>
          <w:i/>
          <w:iCs/>
          <w:szCs w:val="22"/>
        </w:rPr>
        <w:t>sic</w:t>
      </w:r>
      <w:proofErr w:type="gramEnd"/>
      <w:r w:rsidR="00B83EE1" w:rsidRPr="00AD27F5">
        <w:rPr>
          <w:rFonts w:ascii="Palatino Linotype" w:hAnsi="Palatino Linotype"/>
          <w:bCs/>
          <w:i/>
          <w:iCs/>
          <w:szCs w:val="22"/>
        </w:rPr>
        <w:t>)</w:t>
      </w:r>
    </w:p>
    <w:p w14:paraId="0F38B6A1" w14:textId="6A7484DC" w:rsidR="001A0283" w:rsidRPr="00AD27F5" w:rsidRDefault="00ED737F" w:rsidP="00ED737F">
      <w:pPr>
        <w:pStyle w:val="Prrafodelista"/>
        <w:spacing w:line="360" w:lineRule="auto"/>
        <w:jc w:val="both"/>
        <w:rPr>
          <w:rFonts w:ascii="Palatino Linotype" w:hAnsi="Palatino Linotype"/>
          <w:b/>
          <w:szCs w:val="22"/>
        </w:rPr>
      </w:pPr>
      <w:r w:rsidRPr="00AD27F5">
        <w:rPr>
          <w:rFonts w:ascii="Palatino Linotype" w:hAnsi="Palatino Linotype"/>
          <w:b/>
          <w:szCs w:val="22"/>
        </w:rPr>
        <w:t>Motivos o razones de inconformidad</w:t>
      </w:r>
      <w:r w:rsidR="001A0283" w:rsidRPr="00AD27F5">
        <w:rPr>
          <w:rFonts w:ascii="Palatino Linotype" w:hAnsi="Palatino Linotype"/>
          <w:b/>
          <w:szCs w:val="22"/>
        </w:rPr>
        <w:t>: “</w:t>
      </w:r>
      <w:r w:rsidR="009551BB" w:rsidRPr="00AD27F5">
        <w:rPr>
          <w:rFonts w:ascii="Palatino Linotype" w:hAnsi="Palatino Linotype"/>
          <w:bCs/>
          <w:i/>
          <w:iCs/>
          <w:szCs w:val="22"/>
        </w:rPr>
        <w:t>LA RESPUESTA DADA NO SATISFACE TODOS LOS PUNTOS SOLICITADOS, TODA VEZ QUE TAL Y COMO SE ADVIERTE DEL OFICIO NR/TM/OM/RH/0122/2022, LA INFORMACIÓN RESTANTE DEBIO HABERSE SOLICITADO A DIVERSAS DEPENDENCIAS Y PARA EL CASOEL AREA DE TRANSPARENCIA NUNCA LO HIZO DADO QUE SOLO ADJUNTA LA RESPUESTA DEL OFICIAL MAYOR.</w:t>
      </w:r>
      <w:r w:rsidR="001A0283" w:rsidRPr="00AD27F5">
        <w:rPr>
          <w:rFonts w:ascii="Palatino Linotype" w:hAnsi="Palatino Linotype" w:cstheme="minorBidi"/>
          <w:bCs/>
          <w:i/>
          <w:iCs/>
          <w:szCs w:val="22"/>
        </w:rPr>
        <w:t>” (</w:t>
      </w:r>
      <w:proofErr w:type="gramStart"/>
      <w:r w:rsidR="001A0283" w:rsidRPr="00AD27F5">
        <w:rPr>
          <w:rFonts w:ascii="Palatino Linotype" w:hAnsi="Palatino Linotype" w:cstheme="minorBidi"/>
          <w:bCs/>
          <w:i/>
          <w:iCs/>
          <w:szCs w:val="22"/>
        </w:rPr>
        <w:t>sic</w:t>
      </w:r>
      <w:proofErr w:type="gramEnd"/>
      <w:r w:rsidR="001A0283" w:rsidRPr="00AD27F5">
        <w:rPr>
          <w:rFonts w:ascii="Palatino Linotype" w:hAnsi="Palatino Linotype" w:cstheme="minorBidi"/>
          <w:bCs/>
          <w:i/>
          <w:iCs/>
          <w:szCs w:val="22"/>
        </w:rPr>
        <w:t>)</w:t>
      </w:r>
    </w:p>
    <w:p w14:paraId="7CE208EC" w14:textId="77777777" w:rsidR="001A0283" w:rsidRPr="00AD27F5"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74FA5D9A"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AD27F5">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69342B6E" w14:textId="43E5C7A5" w:rsidR="009551BB" w:rsidRPr="009551BB" w:rsidRDefault="00D73603" w:rsidP="009551BB">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lastRenderedPageBreak/>
        <w:t>La Comisionada</w:t>
      </w:r>
      <w:r w:rsidR="005000AA" w:rsidRPr="007C7FFD">
        <w:rPr>
          <w:rFonts w:ascii="Palatino Linotype" w:eastAsia="Calibri" w:hAnsi="Palatino Linotype" w:cs="Arial"/>
          <w:sz w:val="24"/>
          <w:lang w:val="es-ES"/>
        </w:rPr>
        <w:t xml:space="preserve"> Ponente</w:t>
      </w:r>
      <w:r w:rsidR="00AD27F5">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9551BB">
        <w:rPr>
          <w:rFonts w:ascii="Palatino Linotype" w:eastAsia="Calibri" w:hAnsi="Palatino Linotype" w:cs="Arial"/>
          <w:sz w:val="24"/>
          <w:lang w:val="es-ES"/>
        </w:rPr>
        <w:t>veintidós</w:t>
      </w:r>
      <w:r w:rsidR="00ED737F">
        <w:rPr>
          <w:rFonts w:ascii="Palatino Linotype" w:eastAsia="Calibri" w:hAnsi="Palatino Linotype" w:cs="Arial"/>
          <w:sz w:val="24"/>
          <w:lang w:val="es-ES"/>
        </w:rPr>
        <w:t xml:space="preserve"> (</w:t>
      </w:r>
      <w:r w:rsidR="00B2645F">
        <w:rPr>
          <w:rFonts w:ascii="Palatino Linotype" w:eastAsia="Calibri" w:hAnsi="Palatino Linotype" w:cs="Arial"/>
          <w:sz w:val="24"/>
          <w:lang w:val="es-ES"/>
        </w:rPr>
        <w:t>2</w:t>
      </w:r>
      <w:r w:rsidR="009551BB">
        <w:rPr>
          <w:rFonts w:ascii="Palatino Linotype" w:eastAsia="Calibri" w:hAnsi="Palatino Linotype" w:cs="Arial"/>
          <w:sz w:val="24"/>
          <w:lang w:val="es-ES"/>
        </w:rPr>
        <w:t>2</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9551BB">
        <w:rPr>
          <w:rFonts w:ascii="Palatino Linotype" w:eastAsia="Calibri" w:hAnsi="Palatino Linotype" w:cs="Arial"/>
          <w:sz w:val="24"/>
          <w:lang w:val="es-ES"/>
        </w:rPr>
        <w:t>marzo</w:t>
      </w:r>
      <w:r w:rsidR="005000AA" w:rsidRPr="007C7FFD">
        <w:rPr>
          <w:rFonts w:ascii="Palatino Linotype" w:eastAsia="Calibri" w:hAnsi="Palatino Linotype" w:cs="Arial"/>
          <w:sz w:val="24"/>
          <w:lang w:val="es-ES"/>
        </w:rPr>
        <w:t xml:space="preserve"> de dos mil </w:t>
      </w:r>
      <w:r w:rsidR="002861EE" w:rsidRPr="007C7FFD">
        <w:rPr>
          <w:rFonts w:ascii="Palatino Linotype" w:eastAsia="Calibri" w:hAnsi="Palatino Linotype"/>
          <w:sz w:val="24"/>
          <w:lang w:val="es-ES"/>
        </w:rPr>
        <w:t>veinti</w:t>
      </w:r>
      <w:r w:rsidR="002861EE">
        <w:rPr>
          <w:rFonts w:ascii="Palatino Linotype" w:eastAsia="Calibri" w:hAnsi="Palatino Linotype"/>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0437165A" w14:textId="77777777" w:rsidR="009551BB" w:rsidRPr="009551BB" w:rsidRDefault="009551BB" w:rsidP="009551BB">
      <w:pPr>
        <w:pStyle w:val="Prrafodelista"/>
        <w:rPr>
          <w:rFonts w:ascii="Palatino Linotype" w:hAnsi="Palatino Linotype" w:cs="Arial"/>
          <w:color w:val="000000" w:themeColor="text1"/>
        </w:rPr>
      </w:pPr>
    </w:p>
    <w:p w14:paraId="2F7B7502" w14:textId="7CACF2B2" w:rsidR="009551BB" w:rsidRPr="009551BB" w:rsidRDefault="009551BB" w:rsidP="009551BB">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8"/>
          <w:lang w:val="es-ES_tradnl"/>
        </w:rPr>
      </w:pPr>
      <w:r w:rsidRPr="009551BB">
        <w:rPr>
          <w:rFonts w:ascii="Palatino Linotype" w:hAnsi="Palatino Linotype" w:cs="Arial"/>
          <w:color w:val="000000" w:themeColor="text1"/>
          <w:sz w:val="24"/>
        </w:rPr>
        <w:t>De las constancias que obran en los expedientes electrónicos del SAIMEX; se aprecia que, tanto el Sujeto Obligado como el Recurrente fueron omisos en realizar manifestaciones, presentar alegatos o r</w:t>
      </w:r>
      <w:r>
        <w:rPr>
          <w:rFonts w:ascii="Palatino Linotype" w:hAnsi="Palatino Linotype" w:cs="Arial"/>
          <w:color w:val="000000" w:themeColor="text1"/>
          <w:sz w:val="24"/>
        </w:rPr>
        <w:t>endir su informe justificado; se inserta imagen de referencia:</w:t>
      </w:r>
    </w:p>
    <w:p w14:paraId="799416D9" w14:textId="77777777" w:rsidR="009551BB" w:rsidRPr="009551BB" w:rsidRDefault="009551BB" w:rsidP="009551BB">
      <w:pPr>
        <w:pStyle w:val="Prrafodelista"/>
        <w:rPr>
          <w:rFonts w:ascii="Palatino Linotype" w:eastAsiaTheme="minorEastAsia" w:hAnsi="Palatino Linotype" w:cstheme="minorBidi"/>
          <w:i/>
          <w:color w:val="000000"/>
          <w:sz w:val="28"/>
          <w:lang w:val="es-ES_tradnl"/>
        </w:rPr>
      </w:pPr>
    </w:p>
    <w:p w14:paraId="11E782DD" w14:textId="09056DA5" w:rsidR="009551BB" w:rsidRPr="009551BB" w:rsidRDefault="009551BB" w:rsidP="009551BB">
      <w:pPr>
        <w:pStyle w:val="Prrafodelista"/>
        <w:spacing w:before="240" w:after="240" w:line="360" w:lineRule="auto"/>
        <w:ind w:left="0"/>
        <w:jc w:val="both"/>
        <w:rPr>
          <w:rFonts w:ascii="Palatino Linotype" w:eastAsiaTheme="minorEastAsia" w:hAnsi="Palatino Linotype" w:cstheme="minorBidi"/>
          <w:i/>
          <w:color w:val="000000"/>
          <w:sz w:val="28"/>
          <w:lang w:val="es-ES_tradnl"/>
        </w:rPr>
      </w:pPr>
      <w:r w:rsidRPr="009551BB">
        <w:rPr>
          <w:rFonts w:ascii="Palatino Linotype" w:eastAsiaTheme="minorEastAsia" w:hAnsi="Palatino Linotype" w:cstheme="minorBidi"/>
          <w:i/>
          <w:noProof/>
          <w:color w:val="000000"/>
          <w:sz w:val="28"/>
          <w:lang w:eastAsia="es-MX"/>
        </w:rPr>
        <w:drawing>
          <wp:inline distT="0" distB="0" distL="0" distR="0" wp14:anchorId="304C0A8A" wp14:editId="1C68DE6D">
            <wp:extent cx="5742940" cy="1600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00835"/>
                    </a:xfrm>
                    <a:prstGeom prst="rect">
                      <a:avLst/>
                    </a:prstGeom>
                  </pic:spPr>
                </pic:pic>
              </a:graphicData>
            </a:graphic>
          </wp:inline>
        </w:drawing>
      </w:r>
    </w:p>
    <w:p w14:paraId="171482EF" w14:textId="77777777" w:rsidR="009551BB" w:rsidRPr="009551BB" w:rsidRDefault="009551BB" w:rsidP="009551BB">
      <w:pPr>
        <w:pStyle w:val="Prrafodelista"/>
        <w:rPr>
          <w:rFonts w:ascii="Palatino Linotype" w:hAnsi="Palatino Linotype" w:cs="Arial"/>
          <w:color w:val="222222"/>
          <w:sz w:val="24"/>
        </w:rPr>
      </w:pPr>
    </w:p>
    <w:p w14:paraId="6D1C38FB" w14:textId="2E448E51" w:rsidR="009551BB" w:rsidRPr="009551BB" w:rsidRDefault="009551BB" w:rsidP="009551BB">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8"/>
          <w:lang w:val="es-ES_tradnl"/>
        </w:rPr>
      </w:pPr>
      <w:r w:rsidRPr="009551BB">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9551BB">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6EC2DA09" w14:textId="77777777" w:rsidR="009551BB" w:rsidRPr="00B76C1D" w:rsidRDefault="009551BB" w:rsidP="009551BB">
      <w:pPr>
        <w:pStyle w:val="Prrafodelista"/>
        <w:tabs>
          <w:tab w:val="left" w:pos="284"/>
        </w:tabs>
        <w:spacing w:line="360" w:lineRule="auto"/>
        <w:ind w:left="0"/>
        <w:jc w:val="both"/>
        <w:rPr>
          <w:rFonts w:ascii="Palatino Linotype" w:hAnsi="Palatino Linotype" w:cs="Arial"/>
        </w:rPr>
      </w:pPr>
    </w:p>
    <w:p w14:paraId="443377FE" w14:textId="77777777" w:rsidR="009551BB" w:rsidRPr="00B76C1D" w:rsidRDefault="009551BB" w:rsidP="009551BB">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58F1455" w14:textId="77777777" w:rsidR="009551BB" w:rsidRPr="00B76C1D" w:rsidRDefault="009551BB" w:rsidP="009551BB">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D0BB82D" w14:textId="77777777" w:rsidR="009551BB" w:rsidRPr="009551BB" w:rsidRDefault="009551BB" w:rsidP="009551BB">
      <w:pPr>
        <w:pStyle w:val="Prrafodelista"/>
        <w:numPr>
          <w:ilvl w:val="0"/>
          <w:numId w:val="3"/>
        </w:numPr>
        <w:tabs>
          <w:tab w:val="left" w:pos="284"/>
        </w:tabs>
        <w:spacing w:line="360" w:lineRule="auto"/>
        <w:ind w:left="0" w:firstLine="0"/>
        <w:jc w:val="both"/>
        <w:rPr>
          <w:rFonts w:ascii="Palatino Linotype" w:hAnsi="Palatino Linotype" w:cs="Arial"/>
          <w:b/>
          <w:bCs/>
          <w:sz w:val="24"/>
          <w:lang w:eastAsia="es-MX"/>
        </w:rPr>
      </w:pPr>
      <w:r w:rsidRPr="009551BB">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551BB">
        <w:rPr>
          <w:rFonts w:ascii="Palatino Linotype" w:hAnsi="Palatino Linotype" w:cs="Arial"/>
          <w:b/>
          <w:bCs/>
          <w:color w:val="222222"/>
          <w:sz w:val="24"/>
        </w:rPr>
        <w:t>SUJETO OBLIGADO</w:t>
      </w:r>
      <w:r w:rsidRPr="009551BB">
        <w:rPr>
          <w:rFonts w:ascii="Palatino Linotype" w:hAnsi="Palatino Linotype" w:cs="Arial"/>
          <w:color w:val="222222"/>
          <w:sz w:val="24"/>
        </w:rPr>
        <w:t> pierda la oportunidad de justificar su falta de respuesta y manifestar lo que a su derecho convenga.</w:t>
      </w:r>
    </w:p>
    <w:p w14:paraId="76DBE20C" w14:textId="77777777" w:rsidR="009551BB" w:rsidRPr="009551BB" w:rsidRDefault="009551BB" w:rsidP="009551BB">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4016115" w14:textId="5C89BA52"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lastRenderedPageBreak/>
        <w:t xml:space="preserve">El </w:t>
      </w:r>
      <w:r w:rsidR="009551BB">
        <w:rPr>
          <w:rFonts w:ascii="Palatino Linotype" w:hAnsi="Palatino Linotype" w:cs="Arial"/>
          <w:sz w:val="24"/>
        </w:rPr>
        <w:t>dos</w:t>
      </w:r>
      <w:r>
        <w:rPr>
          <w:rFonts w:ascii="Palatino Linotype" w:hAnsi="Palatino Linotype" w:cs="Arial"/>
          <w:sz w:val="24"/>
        </w:rPr>
        <w:t xml:space="preserve"> (</w:t>
      </w:r>
      <w:r w:rsidR="009551BB">
        <w:rPr>
          <w:rFonts w:ascii="Palatino Linotype" w:hAnsi="Palatino Linotype" w:cs="Arial"/>
          <w:sz w:val="24"/>
        </w:rPr>
        <w:t>2</w:t>
      </w:r>
      <w:r>
        <w:rPr>
          <w:rFonts w:ascii="Palatino Linotype" w:hAnsi="Palatino Linotype" w:cs="Arial"/>
          <w:sz w:val="24"/>
        </w:rPr>
        <w:t xml:space="preserve">) de </w:t>
      </w:r>
      <w:r w:rsidR="009551BB">
        <w:rPr>
          <w:rFonts w:ascii="Palatino Linotype" w:hAnsi="Palatino Linotype" w:cs="Arial"/>
          <w:sz w:val="24"/>
        </w:rPr>
        <w:t>junio</w:t>
      </w:r>
      <w:r w:rsidR="002C77BE">
        <w:rPr>
          <w:rFonts w:ascii="Palatino Linotype" w:hAnsi="Palatino Linotype" w:cs="Arial"/>
          <w:sz w:val="24"/>
        </w:rPr>
        <w:t xml:space="preserve"> </w:t>
      </w:r>
      <w:r>
        <w:rPr>
          <w:rFonts w:ascii="Palatino Linotype" w:hAnsi="Palatino Linotype" w:cs="Arial"/>
          <w:sz w:val="24"/>
        </w:rPr>
        <w:t xml:space="preserve">de dos mil </w:t>
      </w:r>
      <w:r w:rsidR="002861EE" w:rsidRPr="007C7FFD">
        <w:rPr>
          <w:rFonts w:ascii="Palatino Linotype" w:eastAsia="Calibri" w:hAnsi="Palatino Linotype"/>
          <w:sz w:val="24"/>
          <w:lang w:val="es-ES"/>
        </w:rPr>
        <w:t>veinti</w:t>
      </w:r>
      <w:r w:rsidR="002861EE">
        <w:rPr>
          <w:rFonts w:ascii="Palatino Linotype" w:eastAsia="Calibri" w:hAnsi="Palatino Linotype"/>
          <w:sz w:val="24"/>
          <w:lang w:val="es-ES"/>
        </w:rPr>
        <w:t>dós</w:t>
      </w:r>
      <w:r>
        <w:rPr>
          <w:rFonts w:ascii="Palatino Linotype" w:hAnsi="Palatino Linotype" w:cs="Arial"/>
          <w:sz w:val="24"/>
        </w:rPr>
        <w:t>, la Comisionada Ponente</w:t>
      </w:r>
      <w:r w:rsidR="00734D59">
        <w:rPr>
          <w:rFonts w:ascii="Palatino Linotype" w:hAnsi="Palatino Linotype" w:cs="Arial"/>
          <w:sz w:val="24"/>
        </w:rPr>
        <w:t xml:space="preserve"> notificó el acuerdo mediante el cual se amplió el plazo para emitir resolución</w:t>
      </w:r>
      <w:r w:rsidR="00C73A15">
        <w:rPr>
          <w:rFonts w:ascii="Palatino Linotype" w:hAnsi="Palatino Linotype" w:cs="Arial"/>
          <w:sz w:val="24"/>
        </w:rPr>
        <w:t>; asimismo, notificó el acuerdo mediante el cual se decretó el cierre de instrucción</w:t>
      </w:r>
      <w:r w:rsidR="00734D59">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Así, en términos de lo que establecen los artículos 8.1 y 25 de la Convención Americana sobre Derechos Humanos, los recursos deben ser sencillos y resolverse en </w:t>
      </w:r>
      <w:r w:rsidRPr="003E4CA3">
        <w:rPr>
          <w:rFonts w:ascii="Palatino Linotype" w:hAnsi="Palatino Linotype"/>
          <w:sz w:val="24"/>
        </w:rPr>
        <w:lastRenderedPageBreak/>
        <w:t>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AD27F5" w:rsidRDefault="00734D59" w:rsidP="00734D59">
      <w:pPr>
        <w:pStyle w:val="Prrafodelista"/>
        <w:spacing w:before="240" w:after="240" w:line="360" w:lineRule="auto"/>
        <w:ind w:left="0"/>
        <w:jc w:val="both"/>
        <w:rPr>
          <w:rFonts w:ascii="Palatino Linotype" w:hAnsi="Palatino Linotype"/>
        </w:rPr>
      </w:pPr>
    </w:p>
    <w:p w14:paraId="350B83BB" w14:textId="5C373058" w:rsidR="00734D59" w:rsidRPr="00AD27F5" w:rsidRDefault="00734D59" w:rsidP="00734D59">
      <w:pPr>
        <w:pStyle w:val="Prrafodelista"/>
        <w:spacing w:before="240" w:after="240" w:line="360" w:lineRule="auto"/>
        <w:ind w:left="284"/>
        <w:jc w:val="both"/>
        <w:rPr>
          <w:rFonts w:ascii="Palatino Linotype" w:hAnsi="Palatino Linotype"/>
        </w:rPr>
      </w:pPr>
      <w:r w:rsidRPr="00AD27F5">
        <w:rPr>
          <w:rFonts w:ascii="Palatino Linotype" w:hAnsi="Palatino Linotype"/>
        </w:rPr>
        <w:t>a)  Complejidad del asunto: La complejidad de la prueba, la pluralidad de sujetos procesales, el tiempo transcurrido, las características y contexto del recurso.</w:t>
      </w:r>
    </w:p>
    <w:p w14:paraId="15C95B94" w14:textId="4C46948F" w:rsidR="00734D59" w:rsidRPr="00AD27F5" w:rsidRDefault="00734D59" w:rsidP="00734D59">
      <w:pPr>
        <w:pStyle w:val="Prrafodelista"/>
        <w:spacing w:before="240" w:after="240" w:line="360" w:lineRule="auto"/>
        <w:ind w:left="284"/>
        <w:jc w:val="both"/>
        <w:rPr>
          <w:rFonts w:ascii="Palatino Linotype" w:hAnsi="Palatino Linotype"/>
        </w:rPr>
      </w:pPr>
      <w:r w:rsidRPr="00AD27F5">
        <w:rPr>
          <w:rFonts w:ascii="Palatino Linotype" w:hAnsi="Palatino Linotype"/>
        </w:rPr>
        <w:t>b)    Actividad Procesal del interesado: Acciones u omisiones del interesado.</w:t>
      </w:r>
    </w:p>
    <w:p w14:paraId="68CAEA8B" w14:textId="75BAAE5D" w:rsidR="00734D59" w:rsidRPr="00AD27F5" w:rsidRDefault="00734D59" w:rsidP="00734D59">
      <w:pPr>
        <w:pStyle w:val="Prrafodelista"/>
        <w:spacing w:before="240" w:after="240" w:line="360" w:lineRule="auto"/>
        <w:ind w:left="284"/>
        <w:jc w:val="both"/>
        <w:rPr>
          <w:rFonts w:ascii="Palatino Linotype" w:hAnsi="Palatino Linotype"/>
        </w:rPr>
      </w:pPr>
      <w:r w:rsidRPr="00AD27F5">
        <w:rPr>
          <w:rFonts w:ascii="Palatino Linotype" w:hAnsi="Palatino Linotype"/>
        </w:rPr>
        <w:t>c)    Conducta de la Autoridad: Las Acciones u omisiones realizadas en el procedimiento. Así como si la autoridad actuó con la debida diligencia.</w:t>
      </w:r>
    </w:p>
    <w:p w14:paraId="4B94D606" w14:textId="15C02D09" w:rsidR="00734D59" w:rsidRPr="00AD27F5" w:rsidRDefault="00734D59" w:rsidP="00734D59">
      <w:pPr>
        <w:pStyle w:val="Prrafodelista"/>
        <w:spacing w:before="240" w:after="240" w:line="360" w:lineRule="auto"/>
        <w:ind w:left="284"/>
        <w:jc w:val="both"/>
        <w:rPr>
          <w:rFonts w:ascii="Palatino Linotype" w:hAnsi="Palatino Linotype"/>
        </w:rPr>
      </w:pPr>
      <w:r w:rsidRPr="00AD27F5">
        <w:rPr>
          <w:rFonts w:ascii="Palatino Linotype" w:hAnsi="Palatino Linotype"/>
        </w:rPr>
        <w:t xml:space="preserve">d) </w:t>
      </w:r>
      <w:r w:rsidR="00AD27F5">
        <w:rPr>
          <w:rFonts w:ascii="Palatino Linotype" w:hAnsi="Palatino Linotype"/>
        </w:rPr>
        <w:t xml:space="preserve">    </w:t>
      </w:r>
      <w:r w:rsidRPr="00AD27F5">
        <w:rPr>
          <w:rFonts w:ascii="Palatino Linotype" w:hAnsi="Palatino Linotype"/>
        </w:rPr>
        <w:t>La afectación generada en la situación jurídica de la persona involucrada en el proceso: Violación a sus derechos humanos.</w:t>
      </w:r>
    </w:p>
    <w:p w14:paraId="27E383DD" w14:textId="77777777" w:rsidR="00734D59" w:rsidRPr="00AD27F5"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E4CA3">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w:t>
      </w:r>
      <w:proofErr w:type="gramStart"/>
      <w:r w:rsidRPr="003E4CA3">
        <w:rPr>
          <w:rFonts w:ascii="Palatino Linotype" w:hAnsi="Palatino Linotype"/>
          <w:sz w:val="24"/>
        </w:rPr>
        <w:t>./</w:t>
      </w:r>
      <w:proofErr w:type="gramEnd"/>
      <w:r w:rsidRPr="003E4CA3">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711AE69"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3F0EFBE5" w14:textId="77777777" w:rsidR="00734D59" w:rsidRPr="00AD27F5" w:rsidRDefault="00734D59" w:rsidP="00734D59">
      <w:pPr>
        <w:pStyle w:val="Prrafodelista"/>
        <w:rPr>
          <w:rFonts w:ascii="Palatino Linotype" w:hAnsi="Palatino Linotype"/>
        </w:rPr>
      </w:pPr>
    </w:p>
    <w:p w14:paraId="3CE249D9" w14:textId="77777777" w:rsidR="00734D59" w:rsidRPr="00AD27F5" w:rsidRDefault="00734D59" w:rsidP="00734D59">
      <w:pPr>
        <w:pStyle w:val="Prrafodelista"/>
        <w:spacing w:before="240" w:after="240" w:line="360" w:lineRule="auto"/>
        <w:ind w:left="567"/>
        <w:jc w:val="both"/>
        <w:rPr>
          <w:rFonts w:ascii="Palatino Linotype" w:hAnsi="Palatino Linotype"/>
        </w:rPr>
      </w:pPr>
      <w:r w:rsidRPr="00AD27F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AD27F5" w:rsidRDefault="00734D59" w:rsidP="00734D59">
      <w:pPr>
        <w:pStyle w:val="Prrafodelista"/>
        <w:spacing w:before="240" w:after="240" w:line="360" w:lineRule="auto"/>
        <w:ind w:left="567"/>
        <w:jc w:val="both"/>
        <w:rPr>
          <w:rFonts w:ascii="Palatino Linotype" w:hAnsi="Palatino Linotype"/>
        </w:rPr>
      </w:pPr>
      <w:r w:rsidRPr="00AD27F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AD27F5"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3E4CA3"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79FB5C78"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5C7C1E">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 xml:space="preserve">Constitución </w:t>
      </w:r>
      <w:r w:rsidRPr="007C7FFD">
        <w:rPr>
          <w:rFonts w:ascii="Palatino Linotype" w:eastAsia="Calibri" w:hAnsi="Palatino Linotype"/>
          <w:b/>
          <w:sz w:val="24"/>
          <w:lang w:val="es-ES"/>
        </w:rPr>
        <w:lastRenderedPageBreak/>
        <w:t>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5B17767C"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9551BB">
        <w:rPr>
          <w:rFonts w:ascii="Palatino Linotype" w:eastAsia="Calibri" w:hAnsi="Palatino Linotype" w:cs="Arial"/>
          <w:color w:val="000000" w:themeColor="text1"/>
          <w:sz w:val="24"/>
        </w:rPr>
        <w:t>veintitrés</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9551BB">
        <w:rPr>
          <w:rFonts w:ascii="Palatino Linotype" w:eastAsia="Calibri" w:hAnsi="Palatino Linotype" w:cs="Arial"/>
          <w:color w:val="000000" w:themeColor="text1"/>
          <w:sz w:val="24"/>
        </w:rPr>
        <w:t>23</w:t>
      </w:r>
      <w:r w:rsidRPr="00D604FD">
        <w:rPr>
          <w:rFonts w:ascii="Palatino Linotype" w:eastAsia="Calibri" w:hAnsi="Palatino Linotype" w:cs="Arial"/>
          <w:color w:val="000000" w:themeColor="text1"/>
          <w:sz w:val="24"/>
        </w:rPr>
        <w:t xml:space="preserve">) de </w:t>
      </w:r>
      <w:r w:rsidR="009551BB">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w:t>
      </w:r>
      <w:r w:rsidR="002861EE" w:rsidRPr="007C7FFD">
        <w:rPr>
          <w:rFonts w:ascii="Palatino Linotype" w:eastAsia="Calibri" w:hAnsi="Palatino Linotype"/>
          <w:sz w:val="24"/>
          <w:lang w:val="es-ES"/>
        </w:rPr>
        <w:t>veinti</w:t>
      </w:r>
      <w:r w:rsidR="002861EE">
        <w:rPr>
          <w:rFonts w:ascii="Palatino Linotype" w:eastAsia="Calibri" w:hAnsi="Palatino Linotype"/>
          <w:sz w:val="24"/>
          <w:lang w:val="es-ES"/>
        </w:rPr>
        <w:t>dós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9369E4">
        <w:rPr>
          <w:rFonts w:ascii="Palatino Linotype" w:eastAsia="Calibri" w:hAnsi="Palatino Linotype" w:cs="Arial"/>
          <w:color w:val="000000" w:themeColor="text1"/>
          <w:sz w:val="24"/>
        </w:rPr>
        <w:t>veinti</w:t>
      </w:r>
      <w:r w:rsidR="009D1667">
        <w:rPr>
          <w:rFonts w:ascii="Palatino Linotype" w:eastAsia="Calibri" w:hAnsi="Palatino Linotype" w:cs="Arial"/>
          <w:color w:val="000000" w:themeColor="text1"/>
          <w:sz w:val="24"/>
        </w:rPr>
        <w:t>cuatro</w:t>
      </w:r>
      <w:r w:rsidRPr="00D604FD">
        <w:rPr>
          <w:rFonts w:ascii="Palatino Linotype" w:eastAsia="Calibri" w:hAnsi="Palatino Linotype" w:cs="Arial"/>
          <w:color w:val="000000" w:themeColor="text1"/>
          <w:sz w:val="24"/>
        </w:rPr>
        <w:t xml:space="preserve"> (</w:t>
      </w:r>
      <w:r w:rsidR="009D1667">
        <w:rPr>
          <w:rFonts w:ascii="Palatino Linotype" w:eastAsia="Calibri" w:hAnsi="Palatino Linotype" w:cs="Arial"/>
          <w:color w:val="000000" w:themeColor="text1"/>
          <w:sz w:val="24"/>
        </w:rPr>
        <w:t>24</w:t>
      </w:r>
      <w:r w:rsidRPr="00D604FD">
        <w:rPr>
          <w:rFonts w:ascii="Palatino Linotype" w:eastAsia="Calibri" w:hAnsi="Palatino Linotype" w:cs="Arial"/>
          <w:color w:val="000000" w:themeColor="text1"/>
          <w:sz w:val="24"/>
        </w:rPr>
        <w:t xml:space="preserve">) </w:t>
      </w:r>
      <w:r w:rsidR="009369E4">
        <w:rPr>
          <w:rFonts w:ascii="Palatino Linotype" w:eastAsia="Calibri" w:hAnsi="Palatino Linotype" w:cs="Arial"/>
          <w:color w:val="000000" w:themeColor="text1"/>
          <w:sz w:val="24"/>
        </w:rPr>
        <w:t xml:space="preserve">de </w:t>
      </w:r>
      <w:r w:rsidR="009D1667">
        <w:rPr>
          <w:rFonts w:ascii="Palatino Linotype" w:eastAsia="Calibri" w:hAnsi="Palatino Linotype" w:cs="Arial"/>
          <w:color w:val="000000" w:themeColor="text1"/>
          <w:sz w:val="24"/>
        </w:rPr>
        <w:t>febrero</w:t>
      </w:r>
      <w:r w:rsidR="009369E4">
        <w:rPr>
          <w:rFonts w:ascii="Palatino Linotype" w:eastAsia="Calibri" w:hAnsi="Palatino Linotype" w:cs="Arial"/>
          <w:color w:val="000000" w:themeColor="text1"/>
          <w:sz w:val="24"/>
        </w:rPr>
        <w:t xml:space="preserve"> al </w:t>
      </w:r>
      <w:r w:rsidR="009D1667">
        <w:rPr>
          <w:rFonts w:ascii="Palatino Linotype" w:eastAsia="Calibri" w:hAnsi="Palatino Linotype" w:cs="Arial"/>
          <w:color w:val="000000" w:themeColor="text1"/>
          <w:sz w:val="24"/>
        </w:rPr>
        <w:t>diecisiete</w:t>
      </w:r>
      <w:r w:rsidR="00B0606A">
        <w:rPr>
          <w:rFonts w:ascii="Palatino Linotype" w:eastAsia="Calibri" w:hAnsi="Palatino Linotype" w:cs="Arial"/>
          <w:color w:val="000000" w:themeColor="text1"/>
          <w:sz w:val="24"/>
        </w:rPr>
        <w:t xml:space="preserve"> (</w:t>
      </w:r>
      <w:r w:rsidR="009D1667">
        <w:rPr>
          <w:rFonts w:ascii="Palatino Linotype" w:eastAsia="Calibri" w:hAnsi="Palatino Linotype" w:cs="Arial"/>
          <w:color w:val="000000" w:themeColor="text1"/>
          <w:sz w:val="24"/>
        </w:rPr>
        <w:t>17)</w:t>
      </w:r>
      <w:r w:rsidR="00B0606A">
        <w:rPr>
          <w:rFonts w:ascii="Palatino Linotype" w:eastAsia="Calibri" w:hAnsi="Palatino Linotype" w:cs="Arial"/>
          <w:color w:val="000000" w:themeColor="text1"/>
          <w:sz w:val="24"/>
        </w:rPr>
        <w:t xml:space="preserve"> </w:t>
      </w:r>
      <w:r w:rsidR="00334E1A">
        <w:rPr>
          <w:rFonts w:ascii="Palatino Linotype" w:eastAsia="Calibri" w:hAnsi="Palatino Linotype" w:cs="Arial"/>
          <w:color w:val="000000" w:themeColor="text1"/>
          <w:sz w:val="24"/>
        </w:rPr>
        <w:t xml:space="preserve">de </w:t>
      </w:r>
      <w:r w:rsidR="009D1667">
        <w:rPr>
          <w:rFonts w:ascii="Palatino Linotype" w:eastAsia="Calibri" w:hAnsi="Palatino Linotype" w:cs="Arial"/>
          <w:color w:val="000000" w:themeColor="text1"/>
          <w:sz w:val="24"/>
        </w:rPr>
        <w:t>marzo</w:t>
      </w:r>
      <w:r w:rsidR="009369E4">
        <w:rPr>
          <w:rFonts w:ascii="Palatino Linotype" w:eastAsia="Calibri" w:hAnsi="Palatino Linotype" w:cs="Arial"/>
          <w:color w:val="000000" w:themeColor="text1"/>
          <w:sz w:val="24"/>
        </w:rPr>
        <w:t xml:space="preserve"> </w:t>
      </w:r>
      <w:r w:rsidR="00B0606A">
        <w:rPr>
          <w:rFonts w:ascii="Palatino Linotype" w:eastAsia="Calibri" w:hAnsi="Palatino Linotype" w:cs="Arial"/>
          <w:color w:val="000000" w:themeColor="text1"/>
          <w:sz w:val="24"/>
        </w:rPr>
        <w:t xml:space="preserve">de </w:t>
      </w:r>
      <w:r w:rsidRPr="00D604FD">
        <w:rPr>
          <w:rFonts w:ascii="Palatino Linotype" w:eastAsia="Calibri" w:hAnsi="Palatino Linotype" w:cs="Arial"/>
          <w:color w:val="000000" w:themeColor="text1"/>
          <w:sz w:val="24"/>
        </w:rPr>
        <w:t xml:space="preserve">dos mil </w:t>
      </w:r>
      <w:r w:rsidR="002861EE" w:rsidRPr="007C7FFD">
        <w:rPr>
          <w:rFonts w:ascii="Palatino Linotype" w:eastAsia="Calibri" w:hAnsi="Palatino Linotype"/>
          <w:sz w:val="24"/>
          <w:lang w:val="es-ES"/>
        </w:rPr>
        <w:t>veinti</w:t>
      </w:r>
      <w:r w:rsidR="002861EE">
        <w:rPr>
          <w:rFonts w:ascii="Palatino Linotype" w:eastAsia="Calibri" w:hAnsi="Palatino Linotype"/>
          <w:sz w:val="24"/>
          <w:lang w:val="es-ES"/>
        </w:rPr>
        <w:t>dós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9D1667">
        <w:rPr>
          <w:rFonts w:ascii="Palatino Linotype" w:hAnsi="Palatino Linotype"/>
          <w:color w:val="000000" w:themeColor="text1"/>
          <w:sz w:val="24"/>
        </w:rPr>
        <w:t>dieciséis</w:t>
      </w:r>
      <w:r w:rsidRPr="00D604FD">
        <w:rPr>
          <w:rFonts w:ascii="Palatino Linotype" w:hAnsi="Palatino Linotype"/>
          <w:color w:val="000000" w:themeColor="text1"/>
          <w:sz w:val="24"/>
        </w:rPr>
        <w:t xml:space="preserve"> (</w:t>
      </w:r>
      <w:r w:rsidR="009D1667">
        <w:rPr>
          <w:rFonts w:ascii="Palatino Linotype" w:hAnsi="Palatino Linotype"/>
          <w:color w:val="000000" w:themeColor="text1"/>
          <w:sz w:val="24"/>
        </w:rPr>
        <w:t>16</w:t>
      </w:r>
      <w:r w:rsidRPr="00D604FD">
        <w:rPr>
          <w:rFonts w:ascii="Palatino Linotype" w:hAnsi="Palatino Linotype"/>
          <w:color w:val="000000" w:themeColor="text1"/>
          <w:sz w:val="24"/>
        </w:rPr>
        <w:t xml:space="preserve">) de </w:t>
      </w:r>
      <w:r w:rsidR="009D1667">
        <w:rPr>
          <w:rFonts w:ascii="Palatino Linotype" w:hAnsi="Palatino Linotype"/>
          <w:color w:val="000000" w:themeColor="text1"/>
          <w:sz w:val="24"/>
        </w:rPr>
        <w:t>marzo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w:t>
      </w:r>
      <w:r w:rsidR="002861EE" w:rsidRPr="007C7FFD">
        <w:rPr>
          <w:rFonts w:ascii="Palatino Linotype" w:eastAsia="Calibri" w:hAnsi="Palatino Linotype"/>
          <w:sz w:val="24"/>
          <w:lang w:val="es-ES"/>
        </w:rPr>
        <w:t>veinti</w:t>
      </w:r>
      <w:r w:rsidR="002861EE">
        <w:rPr>
          <w:rFonts w:ascii="Palatino Linotype" w:eastAsia="Calibri" w:hAnsi="Palatino Linotype"/>
          <w:sz w:val="24"/>
          <w:lang w:val="es-ES"/>
        </w:rPr>
        <w:t>dós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D604FD">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1364B556" w14:textId="31497D91" w:rsidR="005F31FE" w:rsidRPr="00961C3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9D1667">
        <w:rPr>
          <w:rFonts w:ascii="Palatino Linotype" w:hAnsi="Palatino Linotype"/>
          <w:bCs/>
          <w:sz w:val="24"/>
        </w:rPr>
        <w:t>, de los servidores públicos señalados en la solicitud,</w:t>
      </w:r>
      <w:r w:rsidR="00030C87" w:rsidRPr="007C7FFD">
        <w:rPr>
          <w:rFonts w:ascii="Palatino Linotype" w:hAnsi="Palatino Linotype"/>
          <w:bCs/>
          <w:sz w:val="24"/>
        </w:rPr>
        <w:t xml:space="preserve"> </w:t>
      </w:r>
      <w:r w:rsidR="009D1667">
        <w:rPr>
          <w:rFonts w:ascii="Palatino Linotype" w:hAnsi="Palatino Linotype"/>
          <w:bCs/>
          <w:sz w:val="24"/>
        </w:rPr>
        <w:t xml:space="preserve">la </w:t>
      </w:r>
      <w:r w:rsidR="005F31FE">
        <w:rPr>
          <w:rFonts w:ascii="Palatino Linotype" w:hAnsi="Palatino Linotype"/>
          <w:bCs/>
          <w:sz w:val="24"/>
        </w:rPr>
        <w:t>siguiente información:</w:t>
      </w:r>
    </w:p>
    <w:p w14:paraId="37536EC6" w14:textId="77777777" w:rsidR="002C77BE" w:rsidRPr="00AD27F5" w:rsidRDefault="002C77BE" w:rsidP="002C77BE">
      <w:pPr>
        <w:pStyle w:val="Prrafodelista"/>
        <w:spacing w:line="360" w:lineRule="auto"/>
        <w:ind w:left="708"/>
        <w:jc w:val="both"/>
        <w:rPr>
          <w:rFonts w:ascii="Palatino Linotype" w:hAnsi="Palatino Linotype"/>
          <w:lang w:eastAsia="es-MX"/>
        </w:rPr>
      </w:pPr>
    </w:p>
    <w:p w14:paraId="7387E6CD" w14:textId="2ECBD6A0" w:rsidR="009D1667" w:rsidRPr="00AD27F5" w:rsidRDefault="009D1667" w:rsidP="009D1667">
      <w:pPr>
        <w:pStyle w:val="Prrafodelista"/>
        <w:numPr>
          <w:ilvl w:val="0"/>
          <w:numId w:val="41"/>
        </w:numPr>
        <w:spacing w:line="360" w:lineRule="auto"/>
        <w:ind w:left="708"/>
        <w:jc w:val="both"/>
        <w:rPr>
          <w:rFonts w:ascii="Palatino Linotype" w:hAnsi="Palatino Linotype"/>
          <w:b/>
          <w:lang w:eastAsia="es-MX"/>
        </w:rPr>
      </w:pPr>
      <w:r w:rsidRPr="00AD27F5">
        <w:rPr>
          <w:rFonts w:ascii="Palatino Linotype" w:hAnsi="Palatino Linotype"/>
          <w:b/>
          <w:lang w:eastAsia="es-MX"/>
        </w:rPr>
        <w:t>Cargo</w:t>
      </w:r>
    </w:p>
    <w:p w14:paraId="7ADA65B1" w14:textId="5166BF80" w:rsidR="009D1667" w:rsidRPr="00AD27F5" w:rsidRDefault="009D1667" w:rsidP="009D1667">
      <w:pPr>
        <w:pStyle w:val="Prrafodelista"/>
        <w:numPr>
          <w:ilvl w:val="0"/>
          <w:numId w:val="41"/>
        </w:numPr>
        <w:spacing w:line="360" w:lineRule="auto"/>
        <w:ind w:left="708"/>
        <w:jc w:val="both"/>
        <w:rPr>
          <w:rFonts w:ascii="Palatino Linotype" w:hAnsi="Palatino Linotype"/>
          <w:b/>
          <w:lang w:eastAsia="es-MX"/>
        </w:rPr>
      </w:pPr>
      <w:r w:rsidRPr="00AD27F5">
        <w:rPr>
          <w:rFonts w:ascii="Palatino Linotype" w:hAnsi="Palatino Linotype"/>
          <w:b/>
          <w:lang w:eastAsia="es-MX"/>
        </w:rPr>
        <w:t xml:space="preserve">Salario </w:t>
      </w:r>
    </w:p>
    <w:p w14:paraId="42F49DE0" w14:textId="0EE98CAC" w:rsidR="009D1667" w:rsidRPr="00AD27F5" w:rsidRDefault="009D1667" w:rsidP="009D1667">
      <w:pPr>
        <w:pStyle w:val="Prrafodelista"/>
        <w:numPr>
          <w:ilvl w:val="0"/>
          <w:numId w:val="41"/>
        </w:numPr>
        <w:spacing w:line="360" w:lineRule="auto"/>
        <w:ind w:left="708"/>
        <w:jc w:val="both"/>
        <w:rPr>
          <w:rFonts w:ascii="Palatino Linotype" w:hAnsi="Palatino Linotype"/>
          <w:b/>
          <w:lang w:eastAsia="es-MX"/>
        </w:rPr>
      </w:pPr>
      <w:r w:rsidRPr="00AD27F5">
        <w:rPr>
          <w:rFonts w:ascii="Palatino Linotype" w:hAnsi="Palatino Linotype"/>
          <w:b/>
          <w:lang w:eastAsia="es-MX"/>
        </w:rPr>
        <w:t>Si cuentan con certificación ante el centro de control de confianza, en que año realizaron sus evaluaciones y si dichas certificaciones se encuentran vigentes.</w:t>
      </w:r>
    </w:p>
    <w:p w14:paraId="41CB7C09" w14:textId="6966A596" w:rsidR="009D1667" w:rsidRPr="00AD27F5" w:rsidRDefault="009D1667" w:rsidP="009D1667">
      <w:pPr>
        <w:pStyle w:val="Prrafodelista"/>
        <w:numPr>
          <w:ilvl w:val="0"/>
          <w:numId w:val="41"/>
        </w:numPr>
        <w:spacing w:line="360" w:lineRule="auto"/>
        <w:ind w:left="708"/>
        <w:jc w:val="both"/>
        <w:rPr>
          <w:rFonts w:ascii="Palatino Linotype" w:hAnsi="Palatino Linotype"/>
          <w:b/>
          <w:lang w:eastAsia="es-MX"/>
        </w:rPr>
      </w:pPr>
      <w:r w:rsidRPr="00AD27F5">
        <w:rPr>
          <w:rFonts w:ascii="Palatino Linotype" w:hAnsi="Palatino Linotype"/>
          <w:b/>
          <w:lang w:eastAsia="es-MX"/>
        </w:rPr>
        <w:t>Funciones propias del cargo que ostentan y fundamento legal que faculta dichas funciones.</w:t>
      </w:r>
    </w:p>
    <w:p w14:paraId="366246AD" w14:textId="77777777" w:rsidR="009D1667" w:rsidRPr="00AD27F5" w:rsidRDefault="009D1667" w:rsidP="009D1667">
      <w:pPr>
        <w:pStyle w:val="Prrafodelista"/>
        <w:spacing w:line="360" w:lineRule="auto"/>
        <w:ind w:left="708"/>
        <w:jc w:val="both"/>
        <w:rPr>
          <w:rFonts w:ascii="Palatino Linotype" w:hAnsi="Palatino Linotype"/>
          <w:lang w:eastAsia="es-MX"/>
        </w:rPr>
      </w:pPr>
    </w:p>
    <w:p w14:paraId="384DB3DF" w14:textId="313F08E6" w:rsidR="002C77BE"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B17EC8">
        <w:rPr>
          <w:rFonts w:ascii="Palatino Linotype" w:eastAsiaTheme="minorEastAsia" w:hAnsi="Palatino Linotype"/>
          <w:iCs/>
          <w:sz w:val="24"/>
          <w:lang w:val="es-ES_tradnl"/>
        </w:rPr>
        <w:t xml:space="preserve"> </w:t>
      </w:r>
      <w:r w:rsidR="009D1667">
        <w:rPr>
          <w:rFonts w:ascii="Palatino Linotype" w:eastAsiaTheme="minorEastAsia" w:hAnsi="Palatino Linotype"/>
          <w:iCs/>
          <w:sz w:val="24"/>
          <w:lang w:val="es-ES_tradnl"/>
        </w:rPr>
        <w:t>entregó el cargo y salario de los servidores públicos</w:t>
      </w:r>
    </w:p>
    <w:p w14:paraId="66764A63" w14:textId="735AAFAF" w:rsidR="00A77AED" w:rsidRPr="00BC5160" w:rsidRDefault="009D166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El Recurrente se inconforma porque le entregaron información incompleta.</w:t>
      </w:r>
    </w:p>
    <w:p w14:paraId="7A5437AD" w14:textId="77777777" w:rsidR="00BC5160" w:rsidRPr="00A77AED"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47E8EC76"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2C77BE">
        <w:rPr>
          <w:rFonts w:ascii="Palatino Linotype" w:hAnsi="Palatino Linotype" w:cs="Arial"/>
          <w:sz w:val="24"/>
          <w:szCs w:val="24"/>
          <w:lang w:val="es-ES" w:eastAsia="es-MX"/>
        </w:rPr>
        <w:t>V</w:t>
      </w:r>
      <w:r w:rsidR="00961C3D">
        <w:rPr>
          <w:rFonts w:ascii="Palatino Linotype" w:hAnsi="Palatino Linotype" w:cs="Arial"/>
          <w:sz w:val="24"/>
          <w:szCs w:val="24"/>
          <w:lang w:val="es-ES" w:eastAsia="es-MX"/>
        </w:rPr>
        <w:t xml:space="preserve">, relativo a la </w:t>
      </w:r>
      <w:r w:rsidR="009D1667">
        <w:rPr>
          <w:rFonts w:ascii="Palatino Linotype" w:hAnsi="Palatino Linotype" w:cs="Arial"/>
          <w:sz w:val="24"/>
          <w:szCs w:val="24"/>
          <w:lang w:val="es-ES" w:eastAsia="es-MX"/>
        </w:rPr>
        <w:t>entrega de información incompleta</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lastRenderedPageBreak/>
        <w:t>CUARTO. Estudio y Resolución del asunto.</w:t>
      </w:r>
      <w:bookmarkEnd w:id="8"/>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AD27F5">
      <w:pPr>
        <w:pStyle w:val="Ttulo2"/>
        <w:numPr>
          <w:ilvl w:val="0"/>
          <w:numId w:val="40"/>
        </w:numPr>
        <w:spacing w:line="259" w:lineRule="auto"/>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C7FFD">
        <w:rPr>
          <w:rFonts w:ascii="Palatino Linotype" w:hAnsi="Palatino Linotype"/>
          <w:i/>
          <w:color w:val="000000"/>
          <w:sz w:val="24"/>
          <w:szCs w:val="24"/>
        </w:rPr>
        <w:lastRenderedPageBreak/>
        <w:t>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lastRenderedPageBreak/>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todos los actos de autoridad que realicen los Sujetos Obligados deben estar documentados y, bajo el más alto estándar de transparencia deberán </w:t>
      </w:r>
      <w:r w:rsidRPr="007C7FFD">
        <w:rPr>
          <w:rFonts w:ascii="Palatino Linotype" w:hAnsi="Palatino Linotype"/>
          <w:sz w:val="24"/>
          <w:lang w:val="es-ES"/>
        </w:rPr>
        <w:lastRenderedPageBreak/>
        <w:t>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7C7FFD">
        <w:rPr>
          <w:rFonts w:ascii="Palatino Linotype" w:hAnsi="Palatino Linotype" w:cs="Bookman Old Style"/>
          <w:i/>
          <w:sz w:val="22"/>
          <w:szCs w:val="24"/>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lastRenderedPageBreak/>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7C7FFD">
        <w:rPr>
          <w:rFonts w:ascii="Palatino Linotype" w:hAnsi="Palatino Linotype" w:cs="Arial"/>
          <w:i/>
          <w:sz w:val="22"/>
          <w:szCs w:val="24"/>
        </w:rPr>
        <w:lastRenderedPageBreak/>
        <w:t xml:space="preserve">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7C7FFD">
        <w:rPr>
          <w:rFonts w:ascii="Palatino Linotype" w:hAnsi="Palatino Linotype" w:cs="Arial"/>
          <w:i/>
          <w:sz w:val="22"/>
          <w:szCs w:val="24"/>
        </w:rPr>
        <w:lastRenderedPageBreak/>
        <w:t>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24CDD797"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2861EE" w:rsidRPr="002861EE">
        <w:rPr>
          <w:rFonts w:ascii="Palatino Linotype" w:eastAsia="Calibri" w:hAnsi="Palatino Linotype" w:cs="Arial"/>
          <w:b/>
          <w:bCs/>
          <w:sz w:val="24"/>
          <w:lang w:val="es-ES"/>
        </w:rPr>
        <w:t>Ayuntamiento de Nicolás Romero</w:t>
      </w:r>
      <w:r w:rsidRPr="007C7FFD">
        <w:rPr>
          <w:rFonts w:ascii="Palatino Linotype" w:hAnsi="Palatino Linotype" w:cs="Arial"/>
          <w:sz w:val="24"/>
        </w:rPr>
        <w:t xml:space="preserve">, al ser un Sujeto Obligado comprendido por la Legislación Local en materia de </w:t>
      </w:r>
      <w:r w:rsidRPr="007C7FFD">
        <w:rPr>
          <w:rFonts w:ascii="Palatino Linotype" w:hAnsi="Palatino Linotype" w:cs="Arial"/>
          <w:sz w:val="24"/>
        </w:rPr>
        <w:lastRenderedPageBreak/>
        <w:t>Transparencia, se encuentra obligado a hacer pública toda aquella información que genere, administre o posea.</w:t>
      </w:r>
    </w:p>
    <w:p w14:paraId="7F97CDE3" w14:textId="77777777" w:rsidR="009D1667" w:rsidRPr="009D1667" w:rsidRDefault="009D1667" w:rsidP="009D1667">
      <w:pPr>
        <w:pStyle w:val="Prrafodelista"/>
        <w:rPr>
          <w:rFonts w:ascii="Palatino Linotype" w:hAnsi="Palatino Linotype" w:cs="Arial"/>
          <w:sz w:val="24"/>
        </w:rPr>
      </w:pPr>
    </w:p>
    <w:p w14:paraId="4DC45258" w14:textId="77777777" w:rsidR="009D1667" w:rsidRDefault="009D1667" w:rsidP="009D1667">
      <w:pPr>
        <w:pStyle w:val="Prrafodelista"/>
        <w:spacing w:line="360" w:lineRule="auto"/>
        <w:ind w:left="0"/>
        <w:jc w:val="both"/>
        <w:rPr>
          <w:rFonts w:ascii="Palatino Linotype" w:hAnsi="Palatino Linotype" w:cs="Arial"/>
          <w:sz w:val="24"/>
        </w:rPr>
      </w:pPr>
    </w:p>
    <w:p w14:paraId="4653FD44" w14:textId="75FA6141"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bookmarkStart w:id="17" w:name="_GoBack"/>
      <w:bookmarkEnd w:id="17"/>
      <w:r w:rsidRPr="0029432B">
        <w:rPr>
          <w:rFonts w:ascii="Palatino Linotype" w:hAnsi="Palatino Linotype"/>
          <w:b/>
          <w:color w:val="000000" w:themeColor="text1"/>
          <w:sz w:val="24"/>
        </w:rPr>
        <w:t xml:space="preserve">II. </w:t>
      </w:r>
      <w:bookmarkEnd w:id="16"/>
      <w:r w:rsidR="00085010" w:rsidRPr="0029432B">
        <w:rPr>
          <w:rFonts w:ascii="Palatino Linotype" w:hAnsi="Palatino Linotype"/>
          <w:b/>
          <w:color w:val="000000" w:themeColor="text1"/>
          <w:sz w:val="24"/>
        </w:rPr>
        <w:t>De la</w:t>
      </w:r>
      <w:r w:rsidR="008A06D7" w:rsidRPr="0029432B">
        <w:rPr>
          <w:rFonts w:ascii="Palatino Linotype" w:hAnsi="Palatino Linotype"/>
          <w:b/>
          <w:color w:val="000000" w:themeColor="text1"/>
          <w:sz w:val="24"/>
        </w:rPr>
        <w:t xml:space="preserve"> </w:t>
      </w:r>
      <w:r w:rsidR="00475052" w:rsidRPr="0029432B">
        <w:rPr>
          <w:rFonts w:ascii="Palatino Linotype" w:hAnsi="Palatino Linotype"/>
          <w:b/>
          <w:color w:val="000000" w:themeColor="text1"/>
          <w:sz w:val="24"/>
        </w:rPr>
        <w:t>información requerida</w:t>
      </w:r>
      <w:r w:rsidR="00AE265F" w:rsidRPr="0029432B">
        <w:rPr>
          <w:rFonts w:ascii="Palatino Linotype" w:hAnsi="Palatino Linotype"/>
          <w:b/>
          <w:color w:val="000000" w:themeColor="text1"/>
          <w:sz w:val="24"/>
        </w:rPr>
        <w:t>.</w:t>
      </w:r>
    </w:p>
    <w:p w14:paraId="3393F824" w14:textId="77777777" w:rsidR="000101B1" w:rsidRPr="00475052" w:rsidRDefault="000101B1"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475052">
        <w:rPr>
          <w:rFonts w:ascii="Palatino Linotype" w:eastAsia="Calibri" w:hAnsi="Palatino Linotype" w:cs="Arial"/>
          <w:sz w:val="24"/>
        </w:rPr>
        <w:t>Para analizar las actuaciones de las partes, que obran en el expediente electrónico del SAIMEX, es necesario realizar el siguiente recuadro:</w:t>
      </w:r>
    </w:p>
    <w:p w14:paraId="6881671D" w14:textId="77777777"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3823"/>
        <w:gridCol w:w="3685"/>
        <w:gridCol w:w="1486"/>
      </w:tblGrid>
      <w:tr w:rsidR="000101B1" w:rsidRPr="00475052" w14:paraId="7084D42F" w14:textId="77777777" w:rsidTr="00470EF6">
        <w:tc>
          <w:tcPr>
            <w:tcW w:w="3823" w:type="dxa"/>
            <w:shd w:val="clear" w:color="auto" w:fill="E7E6E6" w:themeFill="background2"/>
          </w:tcPr>
          <w:p w14:paraId="0298164C" w14:textId="7D238947" w:rsidR="000101B1" w:rsidRPr="00470EF6" w:rsidRDefault="000101B1" w:rsidP="00470EF6">
            <w:pPr>
              <w:pStyle w:val="Prrafodelista"/>
              <w:tabs>
                <w:tab w:val="left" w:pos="567"/>
              </w:tabs>
              <w:spacing w:line="360" w:lineRule="auto"/>
              <w:ind w:left="0"/>
              <w:jc w:val="center"/>
              <w:rPr>
                <w:rFonts w:ascii="Palatino Linotype" w:eastAsia="Calibri" w:hAnsi="Palatino Linotype" w:cs="Arial"/>
                <w:b/>
              </w:rPr>
            </w:pPr>
            <w:r w:rsidRPr="00470EF6">
              <w:rPr>
                <w:rFonts w:ascii="Palatino Linotype" w:eastAsia="Calibri" w:hAnsi="Palatino Linotype" w:cs="Arial"/>
                <w:b/>
              </w:rPr>
              <w:t>Información solicitada</w:t>
            </w:r>
          </w:p>
        </w:tc>
        <w:tc>
          <w:tcPr>
            <w:tcW w:w="3685" w:type="dxa"/>
            <w:shd w:val="clear" w:color="auto" w:fill="E7E6E6" w:themeFill="background2"/>
          </w:tcPr>
          <w:p w14:paraId="1F9C2007" w14:textId="25C815D6" w:rsidR="000101B1" w:rsidRPr="00470EF6" w:rsidRDefault="000101B1" w:rsidP="00470EF6">
            <w:pPr>
              <w:pStyle w:val="Prrafodelista"/>
              <w:tabs>
                <w:tab w:val="left" w:pos="567"/>
              </w:tabs>
              <w:spacing w:line="360" w:lineRule="auto"/>
              <w:ind w:left="0"/>
              <w:jc w:val="center"/>
              <w:rPr>
                <w:rFonts w:ascii="Palatino Linotype" w:eastAsia="Calibri" w:hAnsi="Palatino Linotype" w:cs="Arial"/>
                <w:b/>
              </w:rPr>
            </w:pPr>
            <w:r w:rsidRPr="00470EF6">
              <w:rPr>
                <w:rFonts w:ascii="Palatino Linotype" w:eastAsia="Calibri" w:hAnsi="Palatino Linotype" w:cs="Arial"/>
                <w:b/>
              </w:rPr>
              <w:t>Respuesta</w:t>
            </w:r>
          </w:p>
        </w:tc>
        <w:tc>
          <w:tcPr>
            <w:tcW w:w="1486" w:type="dxa"/>
            <w:shd w:val="clear" w:color="auto" w:fill="E7E6E6" w:themeFill="background2"/>
          </w:tcPr>
          <w:p w14:paraId="43856BC9" w14:textId="1B9893DC" w:rsidR="000101B1" w:rsidRPr="00470EF6" w:rsidRDefault="000101B1" w:rsidP="00470EF6">
            <w:pPr>
              <w:pStyle w:val="Prrafodelista"/>
              <w:tabs>
                <w:tab w:val="left" w:pos="567"/>
              </w:tabs>
              <w:spacing w:line="360" w:lineRule="auto"/>
              <w:ind w:left="0"/>
              <w:jc w:val="center"/>
              <w:rPr>
                <w:rFonts w:ascii="Palatino Linotype" w:eastAsia="Calibri" w:hAnsi="Palatino Linotype" w:cs="Arial"/>
                <w:b/>
              </w:rPr>
            </w:pPr>
            <w:r w:rsidRPr="00470EF6">
              <w:rPr>
                <w:rFonts w:ascii="Palatino Linotype" w:eastAsia="Calibri" w:hAnsi="Palatino Linotype" w:cs="Arial"/>
                <w:b/>
              </w:rPr>
              <w:t>¿Colma?</w:t>
            </w:r>
          </w:p>
        </w:tc>
      </w:tr>
      <w:tr w:rsidR="000101B1" w:rsidRPr="00475052" w14:paraId="229F3E1F" w14:textId="77777777" w:rsidTr="000101B1">
        <w:tc>
          <w:tcPr>
            <w:tcW w:w="3823" w:type="dxa"/>
          </w:tcPr>
          <w:p w14:paraId="32CD0AEF" w14:textId="3445389D"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Cargo.</w:t>
            </w:r>
          </w:p>
        </w:tc>
        <w:tc>
          <w:tcPr>
            <w:tcW w:w="3685" w:type="dxa"/>
          </w:tcPr>
          <w:p w14:paraId="4A415C05" w14:textId="778A12EF" w:rsidR="000101B1" w:rsidRPr="00475052" w:rsidRDefault="000101B1" w:rsidP="000101B1">
            <w:pPr>
              <w:pStyle w:val="Prrafodelista"/>
              <w:numPr>
                <w:ilvl w:val="0"/>
                <w:numId w:val="47"/>
              </w:numPr>
              <w:tabs>
                <w:tab w:val="left" w:pos="567"/>
              </w:tabs>
              <w:spacing w:line="360" w:lineRule="auto"/>
              <w:jc w:val="both"/>
              <w:rPr>
                <w:rFonts w:ascii="Palatino Linotype" w:eastAsia="Calibri" w:hAnsi="Palatino Linotype" w:cs="Arial"/>
              </w:rPr>
            </w:pPr>
            <w:r w:rsidRPr="00475052">
              <w:rPr>
                <w:rFonts w:ascii="Palatino Linotype" w:eastAsia="Calibri" w:hAnsi="Palatino Linotype" w:cs="Arial"/>
              </w:rPr>
              <w:t>Auxiliar Administrativo A</w:t>
            </w:r>
          </w:p>
          <w:p w14:paraId="2FE368EF" w14:textId="77777777" w:rsidR="000101B1" w:rsidRPr="00475052" w:rsidRDefault="000101B1" w:rsidP="000101B1">
            <w:pPr>
              <w:pStyle w:val="Prrafodelista"/>
              <w:numPr>
                <w:ilvl w:val="0"/>
                <w:numId w:val="47"/>
              </w:numPr>
              <w:tabs>
                <w:tab w:val="left" w:pos="567"/>
              </w:tabs>
              <w:spacing w:line="360" w:lineRule="auto"/>
              <w:jc w:val="both"/>
              <w:rPr>
                <w:rFonts w:ascii="Palatino Linotype" w:eastAsia="Calibri" w:hAnsi="Palatino Linotype" w:cs="Arial"/>
              </w:rPr>
            </w:pPr>
            <w:r w:rsidRPr="00475052">
              <w:rPr>
                <w:rFonts w:ascii="Palatino Linotype" w:eastAsia="Calibri" w:hAnsi="Palatino Linotype" w:cs="Arial"/>
              </w:rPr>
              <w:t>Coordinador A</w:t>
            </w:r>
          </w:p>
          <w:p w14:paraId="7F293009" w14:textId="545852F5" w:rsidR="000101B1" w:rsidRPr="00475052" w:rsidRDefault="000101B1" w:rsidP="000101B1">
            <w:pPr>
              <w:pStyle w:val="Prrafodelista"/>
              <w:numPr>
                <w:ilvl w:val="0"/>
                <w:numId w:val="47"/>
              </w:numPr>
              <w:tabs>
                <w:tab w:val="left" w:pos="567"/>
              </w:tabs>
              <w:spacing w:line="360" w:lineRule="auto"/>
              <w:jc w:val="both"/>
              <w:rPr>
                <w:rFonts w:ascii="Palatino Linotype" w:eastAsia="Calibri" w:hAnsi="Palatino Linotype" w:cs="Arial"/>
              </w:rPr>
            </w:pPr>
            <w:r w:rsidRPr="00475052">
              <w:rPr>
                <w:rFonts w:ascii="Palatino Linotype" w:eastAsia="Calibri" w:hAnsi="Palatino Linotype" w:cs="Arial"/>
              </w:rPr>
              <w:t>Auxiliar administrativo A</w:t>
            </w:r>
          </w:p>
        </w:tc>
        <w:tc>
          <w:tcPr>
            <w:tcW w:w="1486" w:type="dxa"/>
          </w:tcPr>
          <w:p w14:paraId="6A24D8D4" w14:textId="723D1BFA"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Si colma</w:t>
            </w:r>
          </w:p>
        </w:tc>
      </w:tr>
      <w:tr w:rsidR="000101B1" w:rsidRPr="00475052" w14:paraId="4880E9D8" w14:textId="77777777" w:rsidTr="000101B1">
        <w:tc>
          <w:tcPr>
            <w:tcW w:w="3823" w:type="dxa"/>
          </w:tcPr>
          <w:p w14:paraId="521EDD77" w14:textId="48740F9F"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Salario</w:t>
            </w:r>
          </w:p>
        </w:tc>
        <w:tc>
          <w:tcPr>
            <w:tcW w:w="3685" w:type="dxa"/>
          </w:tcPr>
          <w:p w14:paraId="6B07E7C1" w14:textId="5005D8EB" w:rsidR="000101B1" w:rsidRPr="00475052" w:rsidRDefault="000101B1" w:rsidP="000101B1">
            <w:pPr>
              <w:pStyle w:val="Prrafodelista"/>
              <w:numPr>
                <w:ilvl w:val="0"/>
                <w:numId w:val="47"/>
              </w:numPr>
              <w:tabs>
                <w:tab w:val="left" w:pos="567"/>
              </w:tabs>
              <w:spacing w:line="360" w:lineRule="auto"/>
              <w:jc w:val="both"/>
              <w:rPr>
                <w:rFonts w:ascii="Palatino Linotype" w:eastAsia="Calibri" w:hAnsi="Palatino Linotype" w:cs="Arial"/>
              </w:rPr>
            </w:pPr>
            <w:r w:rsidRPr="00475052">
              <w:rPr>
                <w:rFonts w:ascii="Palatino Linotype" w:eastAsia="Calibri" w:hAnsi="Palatino Linotype" w:cs="Arial"/>
              </w:rPr>
              <w:t>$20,712.00 bruto mensual</w:t>
            </w:r>
          </w:p>
          <w:p w14:paraId="75047C7F" w14:textId="68E63C68" w:rsidR="000101B1" w:rsidRPr="00475052" w:rsidRDefault="000101B1" w:rsidP="000101B1">
            <w:pPr>
              <w:pStyle w:val="Prrafodelista"/>
              <w:numPr>
                <w:ilvl w:val="0"/>
                <w:numId w:val="47"/>
              </w:numPr>
              <w:tabs>
                <w:tab w:val="left" w:pos="567"/>
              </w:tabs>
              <w:spacing w:line="360" w:lineRule="auto"/>
              <w:jc w:val="both"/>
              <w:rPr>
                <w:rFonts w:ascii="Palatino Linotype" w:eastAsia="Calibri" w:hAnsi="Palatino Linotype" w:cs="Arial"/>
              </w:rPr>
            </w:pPr>
            <w:r w:rsidRPr="00475052">
              <w:rPr>
                <w:rFonts w:ascii="Palatino Linotype" w:eastAsia="Calibri" w:hAnsi="Palatino Linotype" w:cs="Arial"/>
              </w:rPr>
              <w:t>$33,390.00 bruto mensual</w:t>
            </w:r>
          </w:p>
          <w:p w14:paraId="6774A803" w14:textId="4B8AABD3" w:rsidR="000101B1" w:rsidRPr="00475052" w:rsidRDefault="000101B1" w:rsidP="000101B1">
            <w:pPr>
              <w:pStyle w:val="Prrafodelista"/>
              <w:numPr>
                <w:ilvl w:val="0"/>
                <w:numId w:val="47"/>
              </w:numPr>
              <w:tabs>
                <w:tab w:val="left" w:pos="567"/>
              </w:tabs>
              <w:spacing w:line="360" w:lineRule="auto"/>
              <w:jc w:val="both"/>
              <w:rPr>
                <w:rFonts w:ascii="Palatino Linotype" w:eastAsia="Calibri" w:hAnsi="Palatino Linotype" w:cs="Arial"/>
              </w:rPr>
            </w:pPr>
            <w:r w:rsidRPr="00475052">
              <w:rPr>
                <w:rFonts w:ascii="Palatino Linotype" w:eastAsia="Calibri" w:hAnsi="Palatino Linotype" w:cs="Arial"/>
              </w:rPr>
              <w:t>$20,712.00 bruto mensual</w:t>
            </w:r>
          </w:p>
          <w:p w14:paraId="0522EC89" w14:textId="2D673278"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p>
        </w:tc>
        <w:tc>
          <w:tcPr>
            <w:tcW w:w="1486" w:type="dxa"/>
          </w:tcPr>
          <w:p w14:paraId="27D8F021" w14:textId="0CC08047"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Si colma</w:t>
            </w:r>
          </w:p>
        </w:tc>
      </w:tr>
      <w:tr w:rsidR="000101B1" w:rsidRPr="00475052" w14:paraId="44AA4A38" w14:textId="77777777" w:rsidTr="000101B1">
        <w:tc>
          <w:tcPr>
            <w:tcW w:w="3823" w:type="dxa"/>
          </w:tcPr>
          <w:p w14:paraId="1497E4BB" w14:textId="015E74A1"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Cuenta con certificación de control y confianza y vigencia</w:t>
            </w:r>
          </w:p>
        </w:tc>
        <w:tc>
          <w:tcPr>
            <w:tcW w:w="3685" w:type="dxa"/>
          </w:tcPr>
          <w:p w14:paraId="222E8492" w14:textId="426AF5E4"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No se pronunció</w:t>
            </w:r>
          </w:p>
        </w:tc>
        <w:tc>
          <w:tcPr>
            <w:tcW w:w="1486" w:type="dxa"/>
          </w:tcPr>
          <w:p w14:paraId="6DA09613" w14:textId="5AB1FD5F"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No colma</w:t>
            </w:r>
          </w:p>
        </w:tc>
      </w:tr>
      <w:tr w:rsidR="000101B1" w:rsidRPr="00475052" w14:paraId="408CE58D" w14:textId="77777777" w:rsidTr="000101B1">
        <w:tc>
          <w:tcPr>
            <w:tcW w:w="3823" w:type="dxa"/>
          </w:tcPr>
          <w:p w14:paraId="53EE0ECC" w14:textId="73BE474B"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Funciones.</w:t>
            </w:r>
          </w:p>
        </w:tc>
        <w:tc>
          <w:tcPr>
            <w:tcW w:w="3685" w:type="dxa"/>
          </w:tcPr>
          <w:p w14:paraId="6EBA9ABF" w14:textId="6A5F47F0"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No se pronunció.</w:t>
            </w:r>
          </w:p>
        </w:tc>
        <w:tc>
          <w:tcPr>
            <w:tcW w:w="1486" w:type="dxa"/>
          </w:tcPr>
          <w:p w14:paraId="07CF8E25" w14:textId="5E63FBD3" w:rsidR="000101B1" w:rsidRPr="00475052" w:rsidRDefault="000101B1" w:rsidP="000101B1">
            <w:pPr>
              <w:pStyle w:val="Prrafodelista"/>
              <w:tabs>
                <w:tab w:val="left" w:pos="567"/>
              </w:tabs>
              <w:spacing w:line="360" w:lineRule="auto"/>
              <w:ind w:left="0"/>
              <w:jc w:val="both"/>
              <w:rPr>
                <w:rFonts w:ascii="Palatino Linotype" w:eastAsia="Calibri" w:hAnsi="Palatino Linotype" w:cs="Arial"/>
              </w:rPr>
            </w:pPr>
            <w:r w:rsidRPr="00475052">
              <w:rPr>
                <w:rFonts w:ascii="Palatino Linotype" w:eastAsia="Calibri" w:hAnsi="Palatino Linotype" w:cs="Arial"/>
              </w:rPr>
              <w:t>No colma</w:t>
            </w:r>
          </w:p>
        </w:tc>
      </w:tr>
    </w:tbl>
    <w:p w14:paraId="567CC545" w14:textId="77777777" w:rsidR="00CF4944" w:rsidRPr="00475052" w:rsidRDefault="00CF4944" w:rsidP="00CF4944">
      <w:pPr>
        <w:pStyle w:val="Prrafodelista"/>
        <w:tabs>
          <w:tab w:val="left" w:pos="567"/>
        </w:tabs>
        <w:spacing w:line="360" w:lineRule="auto"/>
        <w:ind w:left="0"/>
        <w:jc w:val="both"/>
        <w:rPr>
          <w:rFonts w:ascii="Palatino Linotype" w:eastAsia="Calibri" w:hAnsi="Palatino Linotype" w:cs="Arial"/>
          <w:sz w:val="24"/>
        </w:rPr>
      </w:pPr>
    </w:p>
    <w:p w14:paraId="176E02B5" w14:textId="2F57CDBE" w:rsidR="000101B1" w:rsidRPr="00475052" w:rsidRDefault="00CF4944" w:rsidP="000101B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75052">
        <w:rPr>
          <w:rFonts w:ascii="Palatino Linotype" w:eastAsia="Calibri" w:hAnsi="Palatino Linotype" w:cs="Arial"/>
          <w:sz w:val="24"/>
        </w:rPr>
        <w:t>E</w:t>
      </w:r>
      <w:r w:rsidR="000101B1" w:rsidRPr="00475052">
        <w:rPr>
          <w:rFonts w:ascii="Palatino Linotype" w:eastAsia="Calibri" w:hAnsi="Palatino Linotype" w:cs="Arial"/>
          <w:sz w:val="24"/>
        </w:rPr>
        <w:t>s necesario traer a contexto la Ley de Transparencia y Acceso a la Información Pública del Estado de México y Municipios, en los artículos 4 y 12, que disponen lo siguiente:</w:t>
      </w:r>
    </w:p>
    <w:p w14:paraId="726AA368" w14:textId="77777777" w:rsidR="000101B1" w:rsidRPr="002C557F" w:rsidRDefault="000101B1" w:rsidP="000101B1">
      <w:pPr>
        <w:pStyle w:val="Prrafodelista"/>
        <w:rPr>
          <w:rFonts w:ascii="Palatino Linotype" w:eastAsia="Calibri" w:hAnsi="Palatino Linotype" w:cs="Arial"/>
          <w:sz w:val="24"/>
        </w:rPr>
      </w:pPr>
    </w:p>
    <w:p w14:paraId="000BBBD4" w14:textId="77777777" w:rsidR="000101B1" w:rsidRPr="00466C65" w:rsidRDefault="000101B1" w:rsidP="000101B1">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316EFC" w14:textId="77777777" w:rsidR="000101B1" w:rsidRPr="00244458" w:rsidRDefault="000101B1" w:rsidP="000101B1">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7B9183" w14:textId="77777777" w:rsidR="000101B1" w:rsidRDefault="000101B1" w:rsidP="000101B1">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3B8A3F82" w14:textId="77777777" w:rsidR="000101B1" w:rsidRDefault="000101B1" w:rsidP="000101B1">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41B32DCD" w14:textId="77777777" w:rsidR="000101B1" w:rsidRPr="00466C65" w:rsidRDefault="000101B1" w:rsidP="000101B1">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11F0E792" w14:textId="77777777" w:rsidR="000101B1" w:rsidRPr="00466C65" w:rsidRDefault="000101B1" w:rsidP="000101B1">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w:t>
      </w:r>
      <w:r w:rsidRPr="00466C65">
        <w:rPr>
          <w:rFonts w:ascii="Palatino Linotype" w:hAnsi="Palatino Linotype" w:cs="Arial"/>
          <w:bCs/>
          <w:i/>
          <w:noProof/>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61F07433" w14:textId="77777777" w:rsidR="000101B1" w:rsidRPr="00466C65" w:rsidRDefault="000101B1" w:rsidP="000101B1">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75C0AA05" w14:textId="77777777" w:rsidR="000101B1" w:rsidRPr="00893431" w:rsidRDefault="000101B1" w:rsidP="000101B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93431">
        <w:rPr>
          <w:rFonts w:ascii="Palatino Linotype" w:eastAsia="Calibri" w:hAnsi="Palatino Linotype" w:cs="Arial"/>
          <w:sz w:val="24"/>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7B478A8F" w14:textId="77777777" w:rsidR="000101B1" w:rsidRPr="00893431" w:rsidRDefault="000101B1" w:rsidP="000101B1">
      <w:pPr>
        <w:pStyle w:val="Prrafodelista"/>
        <w:tabs>
          <w:tab w:val="left" w:pos="567"/>
        </w:tabs>
        <w:spacing w:line="360" w:lineRule="auto"/>
        <w:ind w:left="0"/>
        <w:jc w:val="both"/>
        <w:rPr>
          <w:rFonts w:ascii="Palatino Linotype" w:eastAsia="Calibri" w:hAnsi="Palatino Linotype" w:cs="Arial"/>
          <w:sz w:val="24"/>
        </w:rPr>
      </w:pPr>
    </w:p>
    <w:p w14:paraId="029B7CD3" w14:textId="77777777" w:rsidR="000101B1" w:rsidRPr="00893431" w:rsidRDefault="000101B1" w:rsidP="000101B1">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893431">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893431">
        <w:rPr>
          <w:rFonts w:ascii="Palatino Linotype" w:hAnsi="Palatino Linotype" w:cs="Arial"/>
          <w:b/>
          <w:sz w:val="24"/>
        </w:rPr>
        <w:t xml:space="preserve"> </w:t>
      </w:r>
      <w:r w:rsidRPr="00893431">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893431">
        <w:rPr>
          <w:rFonts w:ascii="Palatino Linotype" w:hAnsi="Palatino Linotype" w:cs="Arial"/>
          <w:b/>
          <w:i/>
          <w:sz w:val="24"/>
        </w:rPr>
        <w:t>ad hoc</w:t>
      </w:r>
      <w:r w:rsidRPr="00893431">
        <w:rPr>
          <w:rFonts w:ascii="Palatino Linotype" w:hAnsi="Palatino Linotype" w:cs="Arial"/>
          <w:sz w:val="24"/>
        </w:rPr>
        <w:t>, para satisfacer el derecho de acceso a la información pública.</w:t>
      </w:r>
    </w:p>
    <w:p w14:paraId="22105B48" w14:textId="77777777" w:rsidR="000101B1" w:rsidRPr="008822E9" w:rsidRDefault="000101B1" w:rsidP="000101B1">
      <w:pPr>
        <w:pStyle w:val="Prrafodelista"/>
        <w:spacing w:line="360" w:lineRule="auto"/>
        <w:rPr>
          <w:rFonts w:ascii="Palatino Linotype" w:hAnsi="Palatino Linotype" w:cs="Arial"/>
        </w:rPr>
      </w:pPr>
    </w:p>
    <w:p w14:paraId="688AAE93" w14:textId="77777777" w:rsidR="000101B1" w:rsidRPr="00893431" w:rsidRDefault="000101B1" w:rsidP="000101B1">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893431">
        <w:rPr>
          <w:rFonts w:ascii="Palatino Linotype" w:hAnsi="Palatino Linotype" w:cs="Arial"/>
          <w:sz w:val="24"/>
        </w:rPr>
        <w:t xml:space="preserve">Como apoyo a lo anterior, es aplicable el Criterio 09-10, emitido por </w:t>
      </w:r>
      <w:r w:rsidRPr="00893431">
        <w:rPr>
          <w:rFonts w:ascii="Palatino Linotype" w:eastAsia="Arial Unicode MS" w:hAnsi="Palatino Linotype" w:cs="Arial"/>
          <w:sz w:val="24"/>
        </w:rPr>
        <w:t xml:space="preserve">el Pleno del entonces </w:t>
      </w:r>
      <w:r w:rsidRPr="00893431">
        <w:rPr>
          <w:rFonts w:ascii="Palatino Linotype" w:eastAsia="Arial Unicode MS" w:hAnsi="Palatino Linotype" w:cs="Arial"/>
          <w:bCs/>
          <w:sz w:val="24"/>
        </w:rPr>
        <w:t xml:space="preserve">Instituto Federal </w:t>
      </w:r>
      <w:r w:rsidRPr="00893431">
        <w:rPr>
          <w:rFonts w:ascii="Palatino Linotype" w:hAnsi="Palatino Linotype" w:cs="Arial"/>
          <w:sz w:val="24"/>
        </w:rPr>
        <w:t>de</w:t>
      </w:r>
      <w:r w:rsidRPr="00893431">
        <w:rPr>
          <w:rFonts w:ascii="Palatino Linotype" w:eastAsia="Arial Unicode MS" w:hAnsi="Palatino Linotype" w:cs="Arial"/>
          <w:bCs/>
          <w:sz w:val="24"/>
        </w:rPr>
        <w:t xml:space="preserve"> Acceso a la Información y Protección de Datos (IFAI), </w:t>
      </w:r>
      <w:r w:rsidRPr="00893431">
        <w:rPr>
          <w:rFonts w:ascii="Palatino Linotype" w:eastAsia="Arial Unicode MS" w:hAnsi="Palatino Linotype" w:cs="Arial"/>
          <w:sz w:val="24"/>
        </w:rPr>
        <w:t>ahora Instituto Nacional de Transparencia, Acceso a la Información y Protección de Datos Personales (INAI),</w:t>
      </w:r>
      <w:r w:rsidRPr="00893431">
        <w:rPr>
          <w:rFonts w:ascii="Palatino Linotype" w:hAnsi="Palatino Linotype"/>
          <w:bCs/>
          <w:sz w:val="24"/>
        </w:rPr>
        <w:t xml:space="preserve"> que dice:</w:t>
      </w:r>
      <w:r w:rsidRPr="00893431">
        <w:rPr>
          <w:rFonts w:ascii="Palatino Linotype" w:hAnsi="Palatino Linotype"/>
          <w:b/>
          <w:bCs/>
          <w:sz w:val="24"/>
        </w:rPr>
        <w:t xml:space="preserve"> </w:t>
      </w:r>
    </w:p>
    <w:p w14:paraId="2B5830F1"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w:t>
      </w:r>
      <w:r w:rsidRPr="00466C65">
        <w:rPr>
          <w:rFonts w:ascii="Palatino Linotype" w:hAnsi="Palatino Linotype" w:cs="Arial"/>
          <w:i/>
          <w:sz w:val="22"/>
          <w:szCs w:val="22"/>
        </w:rPr>
        <w:lastRenderedPageBreak/>
        <w:t>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15A6AD5"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34C1730D"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7C67955B"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1751/09 Laboratorios de Biológicos y Reactivos de México S.A. de C.V. – María </w:t>
      </w:r>
      <w:proofErr w:type="spellStart"/>
      <w:r w:rsidRPr="00466C65">
        <w:rPr>
          <w:rFonts w:ascii="Palatino Linotype" w:hAnsi="Palatino Linotype" w:cs="Arial"/>
          <w:i/>
          <w:sz w:val="22"/>
          <w:szCs w:val="22"/>
        </w:rPr>
        <w:t>Marván</w:t>
      </w:r>
      <w:proofErr w:type="spellEnd"/>
      <w:r w:rsidRPr="00466C65">
        <w:rPr>
          <w:rFonts w:ascii="Palatino Linotype" w:hAnsi="Palatino Linotype" w:cs="Arial"/>
          <w:i/>
          <w:sz w:val="22"/>
          <w:szCs w:val="22"/>
        </w:rPr>
        <w:t xml:space="preserve"> Laborde</w:t>
      </w:r>
    </w:p>
    <w:p w14:paraId="2CD9C9E2"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2868/09 Consejo Nacional de Ciencia y Tecnología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3A22A676"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5E58E205" w14:textId="77777777" w:rsidR="000101B1" w:rsidRPr="00466C65" w:rsidRDefault="000101B1" w:rsidP="000101B1">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0304/10 Instituto Nacional de Cancerología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12E3BBE7" w14:textId="77777777" w:rsidR="000101B1" w:rsidRDefault="000101B1" w:rsidP="000101B1">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04329A41" w14:textId="77777777" w:rsidR="000101B1" w:rsidRPr="000101B1" w:rsidRDefault="000101B1" w:rsidP="000101B1">
      <w:pPr>
        <w:pStyle w:val="Prrafodelista"/>
        <w:tabs>
          <w:tab w:val="left" w:pos="567"/>
        </w:tabs>
        <w:spacing w:line="360" w:lineRule="auto"/>
        <w:ind w:left="0"/>
        <w:jc w:val="both"/>
        <w:rPr>
          <w:rFonts w:ascii="Palatino Linotype" w:eastAsia="Calibri" w:hAnsi="Palatino Linotype" w:cs="Arial"/>
          <w:highlight w:val="yellow"/>
        </w:rPr>
      </w:pPr>
    </w:p>
    <w:p w14:paraId="3A2D418E" w14:textId="77777777" w:rsidR="000101B1" w:rsidRDefault="000101B1" w:rsidP="000101B1">
      <w:pPr>
        <w:pStyle w:val="Prrafodelista"/>
        <w:tabs>
          <w:tab w:val="left" w:pos="567"/>
        </w:tabs>
        <w:spacing w:line="360" w:lineRule="auto"/>
        <w:ind w:left="0"/>
        <w:jc w:val="both"/>
        <w:rPr>
          <w:rFonts w:ascii="Palatino Linotype" w:eastAsia="Calibri" w:hAnsi="Palatino Linotype" w:cs="Arial"/>
          <w:highlight w:val="yellow"/>
        </w:rPr>
      </w:pPr>
    </w:p>
    <w:p w14:paraId="0BA8BA57" w14:textId="3725C061" w:rsidR="00CF4944" w:rsidRDefault="00CF4944" w:rsidP="000101B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Si bien, la normatividad en materia no establece como una obligación la elaboración de documentos ad hoc en la atención de solicitudes, en sentido contrario, la normatividad no lo establece como una prohibición, resultando que los Sujetos Obligados están en posibilidad de atender las solicitudes de acceso a la información a través de elaboración de documentos ad hoc, siempre que se colmen los requerimientos formulados por los particulares, tal y como sucedió en el presente </w:t>
      </w:r>
      <w:r>
        <w:rPr>
          <w:rFonts w:ascii="Palatino Linotype" w:eastAsia="Calibri" w:hAnsi="Palatino Linotype" w:cs="Arial"/>
          <w:sz w:val="24"/>
        </w:rPr>
        <w:lastRenderedPageBreak/>
        <w:t>asunto en particular, toda vez que, se atendieron dos requerimientos, relativos a cargo y salario.</w:t>
      </w:r>
    </w:p>
    <w:p w14:paraId="45AE5743" w14:textId="77777777" w:rsidR="00CF4944" w:rsidRDefault="00CF4944" w:rsidP="00CF4944">
      <w:pPr>
        <w:pStyle w:val="Prrafodelista"/>
        <w:tabs>
          <w:tab w:val="left" w:pos="567"/>
        </w:tabs>
        <w:spacing w:line="360" w:lineRule="auto"/>
        <w:ind w:left="0"/>
        <w:jc w:val="both"/>
        <w:rPr>
          <w:rFonts w:ascii="Palatino Linotype" w:eastAsia="Calibri" w:hAnsi="Palatino Linotype" w:cs="Arial"/>
          <w:sz w:val="24"/>
        </w:rPr>
      </w:pPr>
    </w:p>
    <w:p w14:paraId="3844363D" w14:textId="77777777" w:rsidR="000101B1" w:rsidRPr="001F6745" w:rsidRDefault="000101B1" w:rsidP="000101B1">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F6745">
        <w:rPr>
          <w:rFonts w:ascii="Palatino Linotype" w:eastAsia="Calibri" w:hAnsi="Palatino Linotype" w:cs="Arial"/>
          <w:sz w:val="24"/>
        </w:rPr>
        <w:t xml:space="preserve">Con dicha manifestación, </w:t>
      </w:r>
      <w:r w:rsidRPr="001F6745">
        <w:rPr>
          <w:rFonts w:ascii="Palatino Linotype" w:hAnsi="Palatino Linotype"/>
          <w:sz w:val="24"/>
          <w:lang w:eastAsia="en-US"/>
        </w:rPr>
        <w:t xml:space="preserve">es que </w:t>
      </w:r>
      <w:r w:rsidRPr="001F6745">
        <w:rPr>
          <w:rFonts w:ascii="Palatino Linotype" w:hAnsi="Palatino Linotype"/>
          <w:sz w:val="24"/>
          <w:lang w:val="es-ES"/>
        </w:rPr>
        <w:t>debemos</w:t>
      </w:r>
      <w:r w:rsidRPr="001F6745">
        <w:rPr>
          <w:rFonts w:ascii="Palatino Linotype" w:hAnsi="Palatino Linotype"/>
          <w:i/>
          <w:sz w:val="24"/>
          <w:lang w:val="es-ES"/>
        </w:rPr>
        <w:t xml:space="preserve"> </w:t>
      </w:r>
      <w:r w:rsidRPr="001F6745">
        <w:rPr>
          <w:rFonts w:ascii="Palatino Linotype" w:hAnsi="Palatino Linotype" w:cs="Arial"/>
          <w:sz w:val="24"/>
          <w:szCs w:val="20"/>
        </w:rPr>
        <w:t>hacer referencia a l</w:t>
      </w:r>
      <w:r w:rsidRPr="001F6745">
        <w:rPr>
          <w:rFonts w:ascii="Palatino Linotype" w:hAnsi="Palatino Linotype"/>
          <w:sz w:val="24"/>
        </w:rPr>
        <w:t>a presunción de veracidad</w:t>
      </w:r>
      <w:r w:rsidRPr="001F6745">
        <w:rPr>
          <w:rStyle w:val="Refdenotaalpie"/>
          <w:rFonts w:ascii="Palatino Linotype" w:hAnsi="Palatino Linotype"/>
          <w:sz w:val="24"/>
        </w:rPr>
        <w:footnoteReference w:id="6"/>
      </w:r>
      <w:r w:rsidRPr="001F6745">
        <w:rPr>
          <w:rFonts w:ascii="Palatino Linotype" w:hAnsi="Palatino Linotype"/>
          <w:sz w:val="24"/>
        </w:rPr>
        <w:t xml:space="preserve"> supone una declaración </w:t>
      </w:r>
      <w:proofErr w:type="spellStart"/>
      <w:r w:rsidRPr="001F6745">
        <w:rPr>
          <w:rFonts w:ascii="Palatino Linotype" w:hAnsi="Palatino Linotype"/>
          <w:i/>
          <w:sz w:val="24"/>
        </w:rPr>
        <w:t>iurus</w:t>
      </w:r>
      <w:proofErr w:type="spellEnd"/>
      <w:r w:rsidRPr="001F6745">
        <w:rPr>
          <w:rFonts w:ascii="Palatino Linotype" w:hAnsi="Palatino Linotype"/>
          <w:i/>
          <w:sz w:val="24"/>
        </w:rPr>
        <w:t xml:space="preserve"> tantum</w:t>
      </w:r>
      <w:r w:rsidRPr="001F6745">
        <w:rPr>
          <w:rFonts w:ascii="Palatino Linotype" w:hAnsi="Palatino Linotype"/>
          <w:sz w:val="24"/>
        </w:rPr>
        <w:t xml:space="preserve"> ya que admite prueba en contra, por lo que este Órgano no está facultado para pronunciarse sobre la veracidad de la información entregada.</w:t>
      </w:r>
    </w:p>
    <w:p w14:paraId="2BE1812D" w14:textId="77777777" w:rsidR="000101B1" w:rsidRPr="001F6745" w:rsidRDefault="000101B1" w:rsidP="000101B1">
      <w:pPr>
        <w:pStyle w:val="Prrafodelista"/>
        <w:spacing w:line="360" w:lineRule="auto"/>
        <w:ind w:left="0"/>
        <w:jc w:val="both"/>
        <w:rPr>
          <w:rFonts w:ascii="Palatino Linotype" w:hAnsi="Palatino Linotype" w:cs="Arial"/>
          <w:color w:val="000000" w:themeColor="text1"/>
          <w:sz w:val="24"/>
        </w:rPr>
      </w:pPr>
    </w:p>
    <w:p w14:paraId="05256BF9" w14:textId="77777777" w:rsidR="000101B1" w:rsidRPr="001F6745" w:rsidRDefault="000101B1" w:rsidP="000101B1">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F6745">
        <w:rPr>
          <w:rFonts w:ascii="Palatino Linotype" w:hAnsi="Palatino Linotype"/>
          <w:sz w:val="24"/>
        </w:rPr>
        <w:t>Sirve de apoyo a lo anterior por analogía el criterio 31-10 emitido por el entonces Instituto Federal de Acceso a la Información y Protección de Datos, que a la letra dice:</w:t>
      </w:r>
    </w:p>
    <w:p w14:paraId="07ABF405" w14:textId="77777777" w:rsidR="000101B1" w:rsidRPr="00804F21" w:rsidRDefault="000101B1" w:rsidP="000101B1">
      <w:pPr>
        <w:pStyle w:val="Prrafodelista"/>
        <w:tabs>
          <w:tab w:val="left" w:pos="1740"/>
        </w:tabs>
        <w:rPr>
          <w:rFonts w:ascii="Palatino Linotype" w:hAnsi="Palatino Linotype"/>
        </w:rPr>
      </w:pPr>
      <w:r>
        <w:rPr>
          <w:rFonts w:ascii="Palatino Linotype" w:hAnsi="Palatino Linotype"/>
        </w:rPr>
        <w:tab/>
      </w:r>
    </w:p>
    <w:p w14:paraId="6ABD1F02" w14:textId="77777777" w:rsidR="000101B1" w:rsidRPr="00804F21" w:rsidRDefault="000101B1" w:rsidP="000101B1">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w:t>
      </w:r>
      <w:r w:rsidRPr="00804F21">
        <w:rPr>
          <w:rFonts w:ascii="Palatino Linotype" w:hAnsi="Palatino Linotype"/>
          <w:i/>
          <w:iCs/>
          <w:sz w:val="22"/>
        </w:rPr>
        <w:lastRenderedPageBreak/>
        <w:t>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5B7C98" w14:textId="77777777" w:rsidR="000101B1" w:rsidRPr="00A426CE" w:rsidRDefault="000101B1" w:rsidP="000101B1">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A426CE">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74C7D07F" w14:textId="77777777" w:rsidR="000101B1" w:rsidRPr="0040362C" w:rsidRDefault="000101B1" w:rsidP="000101B1">
      <w:pPr>
        <w:pStyle w:val="Prrafodelista"/>
        <w:shd w:val="clear" w:color="auto" w:fill="FFFFFF"/>
        <w:spacing w:before="240" w:after="240" w:line="360" w:lineRule="auto"/>
        <w:ind w:left="0"/>
        <w:jc w:val="both"/>
        <w:rPr>
          <w:rFonts w:ascii="Palatino Linotype" w:hAnsi="Palatino Linotype" w:cs="Arial"/>
        </w:rPr>
      </w:pPr>
    </w:p>
    <w:p w14:paraId="30968CF4" w14:textId="77777777" w:rsidR="000101B1" w:rsidRDefault="000101B1" w:rsidP="000101B1">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1AAA2703" w14:textId="77777777" w:rsidR="000101B1" w:rsidRDefault="000101B1" w:rsidP="000101B1">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0F7EAD99" w14:textId="4723B9C2" w:rsidR="00CF4944" w:rsidRPr="00CF4944" w:rsidRDefault="00CF4944" w:rsidP="00CF4944">
      <w:pPr>
        <w:pStyle w:val="Prrafodelista"/>
        <w:numPr>
          <w:ilvl w:val="0"/>
          <w:numId w:val="2"/>
        </w:numPr>
        <w:shd w:val="clear" w:color="auto" w:fill="FFFFFF"/>
        <w:tabs>
          <w:tab w:val="left" w:pos="284"/>
        </w:tabs>
        <w:spacing w:before="240" w:after="240" w:line="360" w:lineRule="auto"/>
        <w:ind w:left="0" w:right="49" w:firstLine="0"/>
        <w:jc w:val="both"/>
        <w:rPr>
          <w:rStyle w:val="Hipervnculo"/>
          <w:rFonts w:ascii="Palatino Linotype" w:hAnsi="Palatino Linotype" w:cs="Arial"/>
          <w:color w:val="000000"/>
          <w:sz w:val="24"/>
          <w:u w:val="none"/>
          <w:lang w:val="es-ES_tradnl"/>
        </w:rPr>
      </w:pPr>
      <w:r>
        <w:rPr>
          <w:rFonts w:ascii="Palatino Linotype" w:hAnsi="Palatino Linotype" w:cs="Arial"/>
          <w:color w:val="000000"/>
          <w:sz w:val="24"/>
        </w:rPr>
        <w:t xml:space="preserve">Ahora bien, es procedente analizar los requerimientos sobre los cuales el Sujeto Obligado fue omiso en pronunciarse. En primer término, del oficio remitido en respuesta, se aprecia que el Oficial Mayor hace alusión que la información faltante corre a cargo de </w:t>
      </w:r>
      <w:r w:rsidRPr="00CF4944">
        <w:rPr>
          <w:rStyle w:val="Hipervnculo"/>
          <w:rFonts w:ascii="Palatino Linotype" w:hAnsi="Palatino Linotype" w:cs="Arial"/>
          <w:bCs/>
          <w:color w:val="auto"/>
          <w:sz w:val="24"/>
          <w:szCs w:val="22"/>
          <w:u w:val="none"/>
        </w:rPr>
        <w:t>la Coordinación de Administración Policial de la Dirección de Seguridad Pública y la Secretaría Técnica del Consejo Municipal de Seguridad Pública.</w:t>
      </w:r>
    </w:p>
    <w:p w14:paraId="6C68E74F" w14:textId="77777777" w:rsidR="00CF4944" w:rsidRPr="00CF4944" w:rsidRDefault="00CF4944" w:rsidP="00CF4944">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7227D872" w14:textId="77777777" w:rsidR="00CF4944" w:rsidRPr="005F527E" w:rsidRDefault="00CF4944" w:rsidP="00CF4944">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lastRenderedPageBreak/>
        <w:t xml:space="preserve">Es necesario mencionar que el acceso a la información es un derecho humano constitucional y convencionalmente reconocido y para tal efecto </w:t>
      </w:r>
      <w:r w:rsidRPr="005F527E">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F527E">
        <w:rPr>
          <w:rFonts w:ascii="Palatino Linotype" w:eastAsia="Calibri" w:hAnsi="Palatino Linotype"/>
          <w:i/>
          <w:sz w:val="24"/>
          <w:lang w:val="es-ES"/>
        </w:rPr>
        <w:t xml:space="preserve">en el ámbito de sus atribuciones, de promover, respetar, proteger y </w:t>
      </w:r>
      <w:r w:rsidRPr="005F527E">
        <w:rPr>
          <w:rFonts w:ascii="Palatino Linotype" w:eastAsia="Calibri" w:hAnsi="Palatino Linotype"/>
          <w:b/>
          <w:i/>
          <w:sz w:val="24"/>
          <w:lang w:val="es-ES"/>
        </w:rPr>
        <w:t>garantizar</w:t>
      </w:r>
      <w:r w:rsidRPr="005F527E">
        <w:rPr>
          <w:rFonts w:ascii="Palatino Linotype" w:eastAsia="Calibri" w:hAnsi="Palatino Linotype"/>
          <w:i/>
          <w:sz w:val="24"/>
          <w:lang w:val="es-ES"/>
        </w:rPr>
        <w:t xml:space="preserve"> los derechos humanos. </w:t>
      </w:r>
      <w:r w:rsidRPr="005F527E">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5F527E">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5F527E">
        <w:rPr>
          <w:rStyle w:val="Refdenotaalpie"/>
          <w:rFonts w:ascii="Palatino Linotype" w:hAnsi="Palatino Linotype"/>
          <w:i/>
          <w:sz w:val="24"/>
        </w:rPr>
        <w:footnoteReference w:id="7"/>
      </w:r>
      <w:r w:rsidRPr="005F527E">
        <w:rPr>
          <w:rFonts w:ascii="Palatino Linotype" w:hAnsi="Palatino Linotype"/>
          <w:i/>
          <w:sz w:val="24"/>
        </w:rPr>
        <w:t xml:space="preserve">, </w:t>
      </w:r>
      <w:r w:rsidRPr="005F527E">
        <w:rPr>
          <w:rFonts w:ascii="Palatino Linotype" w:hAnsi="Palatino Linotype"/>
          <w:sz w:val="24"/>
        </w:rPr>
        <w:t>asimismo establece</w:t>
      </w:r>
      <w:r w:rsidRPr="005F527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DA78DD6" w14:textId="77777777" w:rsidR="00CF4944" w:rsidRPr="005F527E" w:rsidRDefault="00CF4944" w:rsidP="00CF4944">
      <w:pPr>
        <w:pStyle w:val="Prrafodelista"/>
        <w:rPr>
          <w:rFonts w:ascii="Palatino Linotype" w:eastAsia="Calibri" w:hAnsi="Palatino Linotype" w:cs="Arial"/>
          <w:sz w:val="24"/>
        </w:rPr>
      </w:pPr>
    </w:p>
    <w:p w14:paraId="1FF957D6" w14:textId="77777777" w:rsidR="00CF4944" w:rsidRPr="005F527E" w:rsidRDefault="00CF4944" w:rsidP="00CF4944">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w:t>
      </w:r>
      <w:r w:rsidRPr="005F527E">
        <w:rPr>
          <w:rFonts w:ascii="Palatino Linotype" w:hAnsi="Palatino Linotype"/>
          <w:sz w:val="24"/>
        </w:rPr>
        <w:lastRenderedPageBreak/>
        <w:t>localizar de manera rápida los documentos que se soliciten o bien, simplemente para el desarrollo de sus facultades, competencias y atribuciones que a diario desempeñan.</w:t>
      </w:r>
    </w:p>
    <w:p w14:paraId="3BAB616B" w14:textId="77777777" w:rsidR="00CF4944" w:rsidRPr="005F527E" w:rsidRDefault="00CF4944" w:rsidP="00CF4944">
      <w:pPr>
        <w:pStyle w:val="Prrafodelista"/>
        <w:rPr>
          <w:rFonts w:ascii="Palatino Linotype" w:hAnsi="Palatino Linotype"/>
          <w:sz w:val="24"/>
        </w:rPr>
      </w:pPr>
    </w:p>
    <w:p w14:paraId="38C513F2" w14:textId="77777777" w:rsidR="00CF4944" w:rsidRPr="001F6745" w:rsidRDefault="00CF4944" w:rsidP="00CF4944">
      <w:pPr>
        <w:pStyle w:val="Prrafodelista"/>
        <w:numPr>
          <w:ilvl w:val="0"/>
          <w:numId w:val="2"/>
        </w:numPr>
        <w:spacing w:line="360" w:lineRule="auto"/>
        <w:ind w:left="0" w:firstLine="0"/>
        <w:jc w:val="both"/>
        <w:rPr>
          <w:rFonts w:ascii="Palatino Linotype" w:eastAsia="Calibri" w:hAnsi="Palatino Linotype" w:cs="Arial"/>
          <w:sz w:val="24"/>
        </w:rPr>
      </w:pPr>
      <w:r w:rsidRPr="001F6745">
        <w:rPr>
          <w:rFonts w:ascii="Palatino Linotype" w:hAnsi="Palatino Linotype"/>
          <w:sz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F6745">
        <w:rPr>
          <w:rFonts w:ascii="Palatino Linotype" w:hAnsi="Palatino Linotype"/>
          <w:i/>
          <w:sz w:val="24"/>
        </w:rPr>
        <w:t>realizar, con efectividad, los trámites internos necesarios para la atención de las solicitudes de información</w:t>
      </w:r>
      <w:r w:rsidRPr="001F6745">
        <w:rPr>
          <w:rStyle w:val="Refdenotaalpie"/>
          <w:rFonts w:ascii="Palatino Linotype" w:hAnsi="Palatino Linotype"/>
          <w:sz w:val="24"/>
        </w:rPr>
        <w:footnoteReference w:id="8"/>
      </w:r>
      <w:r w:rsidRPr="001F6745">
        <w:rPr>
          <w:rFonts w:ascii="Palatino Linotype" w:hAnsi="Palatino Linotype"/>
          <w:sz w:val="24"/>
        </w:rPr>
        <w:t>, es decir, deben otorgar respuestas concisas, contundentes y certeras, además de estar en estricto apego a lo que la normatividad en la materia establece.</w:t>
      </w:r>
    </w:p>
    <w:p w14:paraId="7B9B0F17" w14:textId="77777777" w:rsidR="00CF4944" w:rsidRPr="00923DF9" w:rsidRDefault="00CF4944" w:rsidP="00CF4944">
      <w:pPr>
        <w:pStyle w:val="Prrafodelista"/>
        <w:rPr>
          <w:rFonts w:ascii="Palatino Linotype" w:eastAsia="Calibri" w:hAnsi="Palatino Linotype" w:cs="Arial"/>
        </w:rPr>
      </w:pPr>
    </w:p>
    <w:p w14:paraId="069EDFF1" w14:textId="77777777" w:rsidR="00CF4944" w:rsidRPr="001F6745" w:rsidRDefault="00CF4944" w:rsidP="00CF4944">
      <w:pPr>
        <w:pStyle w:val="Prrafodelista"/>
        <w:numPr>
          <w:ilvl w:val="0"/>
          <w:numId w:val="2"/>
        </w:numPr>
        <w:spacing w:line="360" w:lineRule="auto"/>
        <w:ind w:left="0" w:firstLine="0"/>
        <w:jc w:val="both"/>
        <w:rPr>
          <w:rFonts w:ascii="Palatino Linotype" w:eastAsia="Calibri" w:hAnsi="Palatino Linotype" w:cs="Arial"/>
          <w:sz w:val="24"/>
        </w:rPr>
      </w:pPr>
      <w:r w:rsidRPr="001F6745">
        <w:rPr>
          <w:rFonts w:ascii="Palatino Linotype" w:hAnsi="Palatino Linotype"/>
          <w:sz w:val="24"/>
          <w:lang w:eastAsia="en-US"/>
        </w:rPr>
        <w:t xml:space="preserve">Debiendo cumplir con lo dispuesto en la Ley de Transparencia y Acceso a la Información Pública del Estado de México y Municipios, en el artículo 162, mismo del que se inserta su contenido: </w:t>
      </w:r>
    </w:p>
    <w:p w14:paraId="1801DA53" w14:textId="77777777" w:rsidR="00CF4944" w:rsidRPr="00C971AF" w:rsidRDefault="00CF4944" w:rsidP="00CF4944">
      <w:pPr>
        <w:pStyle w:val="Prrafodelista"/>
        <w:rPr>
          <w:rFonts w:ascii="Palatino Linotype" w:hAnsi="Palatino Linotype"/>
          <w:lang w:eastAsia="en-US"/>
        </w:rPr>
      </w:pPr>
    </w:p>
    <w:p w14:paraId="1A21575B" w14:textId="77777777" w:rsidR="00CF4944" w:rsidRPr="00DE0C45" w:rsidRDefault="00CF4944" w:rsidP="00CF4944">
      <w:pPr>
        <w:autoSpaceDE w:val="0"/>
        <w:autoSpaceDN w:val="0"/>
        <w:adjustRightInd w:val="0"/>
        <w:spacing w:line="360" w:lineRule="auto"/>
        <w:ind w:left="567" w:right="567"/>
        <w:jc w:val="both"/>
        <w:rPr>
          <w:rFonts w:ascii="Palatino Linotype" w:hAnsi="Palatino Linotype"/>
          <w:i/>
          <w:sz w:val="28"/>
          <w:lang w:eastAsia="en-US"/>
        </w:rPr>
      </w:pPr>
      <w:r w:rsidRPr="00DE0C45">
        <w:rPr>
          <w:rFonts w:ascii="Palatino Linotype" w:hAnsi="Palatino Linotype" w:cs="Bookman Old Style,Bold"/>
          <w:b/>
          <w:bCs/>
          <w:i/>
          <w:sz w:val="22"/>
        </w:rPr>
        <w:t xml:space="preserve">Artículo 162. </w:t>
      </w:r>
      <w:r w:rsidRPr="00DE0C45">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C20F030" w14:textId="77777777" w:rsidR="00CF4944" w:rsidRPr="00565E3E" w:rsidRDefault="00CF4944" w:rsidP="00CF4944">
      <w:pPr>
        <w:pStyle w:val="Prrafodelista"/>
        <w:spacing w:line="360" w:lineRule="auto"/>
        <w:ind w:left="0"/>
        <w:jc w:val="both"/>
        <w:rPr>
          <w:rFonts w:ascii="Palatino Linotype" w:hAnsi="Palatino Linotype"/>
          <w:lang w:eastAsia="en-US"/>
        </w:rPr>
      </w:pPr>
      <w:r>
        <w:rPr>
          <w:rFonts w:ascii="Palatino Linotype" w:hAnsi="Palatino Linotype"/>
          <w:lang w:eastAsia="en-US"/>
        </w:rPr>
        <w:t xml:space="preserve"> </w:t>
      </w:r>
    </w:p>
    <w:p w14:paraId="66AB28C4" w14:textId="77777777" w:rsidR="00CF4944" w:rsidRPr="001F6745" w:rsidRDefault="00CF4944" w:rsidP="00CF4944">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 xml:space="preserve">Las unidades de transparencia deberán turnar las solicitudes de acceso a la información a las áreas correspondientes para que estas a su vez, manifestarán lo </w:t>
      </w:r>
      <w:r w:rsidRPr="001F6745">
        <w:rPr>
          <w:rFonts w:ascii="Palatino Linotype" w:hAnsi="Palatino Linotype"/>
          <w:sz w:val="24"/>
          <w:lang w:eastAsia="en-US"/>
        </w:rPr>
        <w:lastRenderedPageBreak/>
        <w:t>conducente; situación que no se materializó, puesto que el Titular de la Unidad de Transparencia fue omiso en realizar tal acción.</w:t>
      </w:r>
    </w:p>
    <w:p w14:paraId="4F47E468" w14:textId="77777777" w:rsidR="00CF4944" w:rsidRPr="001F6745" w:rsidRDefault="00CF4944" w:rsidP="00CF4944">
      <w:pPr>
        <w:pStyle w:val="Prrafodelista"/>
        <w:spacing w:line="360" w:lineRule="auto"/>
        <w:ind w:left="0"/>
        <w:jc w:val="both"/>
        <w:rPr>
          <w:rFonts w:ascii="Palatino Linotype" w:hAnsi="Palatino Linotype"/>
          <w:sz w:val="24"/>
          <w:lang w:eastAsia="en-US"/>
        </w:rPr>
      </w:pPr>
    </w:p>
    <w:p w14:paraId="141257A1" w14:textId="77777777" w:rsidR="00CF4944" w:rsidRPr="001F6745" w:rsidRDefault="00CF4944" w:rsidP="00CF4944">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1EB879E8" w14:textId="77777777" w:rsidR="00CF4944" w:rsidRPr="001F6745" w:rsidRDefault="00CF4944" w:rsidP="00CF4944">
      <w:pPr>
        <w:pStyle w:val="Prrafodelista"/>
        <w:rPr>
          <w:rFonts w:ascii="Palatino Linotype" w:hAnsi="Palatino Linotype"/>
          <w:sz w:val="24"/>
          <w:lang w:eastAsia="en-US"/>
        </w:rPr>
      </w:pPr>
    </w:p>
    <w:p w14:paraId="26297886" w14:textId="77777777" w:rsidR="00CF4944" w:rsidRPr="001F6745" w:rsidRDefault="00CF4944" w:rsidP="00CF4944">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20016BD9" w14:textId="77777777" w:rsidR="00CF4944" w:rsidRPr="001F6745" w:rsidRDefault="00CF4944" w:rsidP="00CF4944">
      <w:pPr>
        <w:pStyle w:val="Prrafodelista"/>
        <w:rPr>
          <w:rFonts w:ascii="Palatino Linotype" w:hAnsi="Palatino Linotype"/>
          <w:sz w:val="24"/>
          <w:lang w:eastAsia="en-US"/>
        </w:rPr>
      </w:pPr>
    </w:p>
    <w:p w14:paraId="71931C07" w14:textId="77777777" w:rsidR="00CF4944" w:rsidRPr="001F6745" w:rsidRDefault="00CF4944" w:rsidP="00CF4944">
      <w:pPr>
        <w:pStyle w:val="Prrafodelista"/>
        <w:numPr>
          <w:ilvl w:val="0"/>
          <w:numId w:val="2"/>
        </w:numPr>
        <w:spacing w:line="360" w:lineRule="auto"/>
        <w:ind w:left="0" w:firstLine="0"/>
        <w:jc w:val="both"/>
        <w:rPr>
          <w:rFonts w:ascii="Palatino Linotype" w:hAnsi="Palatino Linotype"/>
          <w:sz w:val="24"/>
          <w:lang w:eastAsia="en-US"/>
        </w:rPr>
      </w:pPr>
      <w:r w:rsidRPr="001F6745">
        <w:rPr>
          <w:rFonts w:ascii="Palatino Linotype" w:hAnsi="Palatino Linotype"/>
          <w:sz w:val="24"/>
          <w:lang w:eastAsia="en-US"/>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33A71B3A" w14:textId="77777777" w:rsidR="00CF4944" w:rsidRPr="001F6745" w:rsidRDefault="00CF4944" w:rsidP="00CF4944">
      <w:pPr>
        <w:pStyle w:val="Prrafodelista"/>
        <w:rPr>
          <w:rFonts w:ascii="Palatino Linotype" w:hAnsi="Palatino Linotype"/>
          <w:sz w:val="24"/>
        </w:rPr>
      </w:pPr>
    </w:p>
    <w:p w14:paraId="2CCC3C17" w14:textId="77777777" w:rsidR="00CF4944" w:rsidRDefault="00CF4944" w:rsidP="00CF4944">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Es así que, los Titulares de las Unidades de Transparencia, al recibir una solicitud deben recibir, tramitar y dar respuesta a las solicitudes de acceso a la </w:t>
      </w:r>
      <w:r>
        <w:rPr>
          <w:rFonts w:ascii="Palatino Linotype" w:eastAsia="Calibri" w:hAnsi="Palatino Linotype" w:cs="Arial"/>
          <w:sz w:val="24"/>
        </w:rPr>
        <w:lastRenderedPageBreak/>
        <w:t>información, tal y como lo dispone la fracción II y IV del artículo 53 de la Ley de Transparencia y Acceso a la Información Pública del Estado de México y Municipios:</w:t>
      </w:r>
    </w:p>
    <w:p w14:paraId="322A04CA" w14:textId="77777777" w:rsidR="00CF4944" w:rsidRPr="001F6745" w:rsidRDefault="00CF4944" w:rsidP="00CF4944">
      <w:pPr>
        <w:pStyle w:val="Prrafodelista"/>
        <w:rPr>
          <w:rFonts w:ascii="Palatino Linotype" w:eastAsia="Calibri" w:hAnsi="Palatino Linotype" w:cs="Arial"/>
          <w:sz w:val="24"/>
        </w:rPr>
      </w:pPr>
    </w:p>
    <w:p w14:paraId="11068956" w14:textId="77777777" w:rsidR="00CF4944" w:rsidRPr="001F6745" w:rsidRDefault="00CF4944" w:rsidP="00CF4944">
      <w:pPr>
        <w:pStyle w:val="Prrafodelista"/>
        <w:spacing w:line="360" w:lineRule="auto"/>
        <w:ind w:left="567" w:right="822"/>
        <w:jc w:val="both"/>
        <w:rPr>
          <w:rFonts w:ascii="Palatino Linotype" w:hAnsi="Palatino Linotype"/>
          <w:i/>
        </w:rPr>
      </w:pPr>
      <w:r w:rsidRPr="001F6745">
        <w:rPr>
          <w:rFonts w:ascii="Palatino Linotype" w:hAnsi="Palatino Linotype"/>
          <w:i/>
        </w:rPr>
        <w:t xml:space="preserve">Artículo 53. Las Unidades de Transparencia tendrán las siguientes funciones: </w:t>
      </w:r>
    </w:p>
    <w:p w14:paraId="42CF5473" w14:textId="77777777" w:rsidR="00CF4944" w:rsidRPr="001F6745" w:rsidRDefault="00CF4944" w:rsidP="00CF4944">
      <w:pPr>
        <w:pStyle w:val="Prrafodelista"/>
        <w:spacing w:line="360" w:lineRule="auto"/>
        <w:ind w:left="567" w:right="822"/>
        <w:jc w:val="both"/>
        <w:rPr>
          <w:rFonts w:ascii="Palatino Linotype" w:hAnsi="Palatino Linotype"/>
          <w:i/>
        </w:rPr>
      </w:pPr>
      <w:proofErr w:type="gramStart"/>
      <w:r w:rsidRPr="001F6745">
        <w:rPr>
          <w:rFonts w:ascii="Palatino Linotype" w:hAnsi="Palatino Linotype"/>
          <w:i/>
        </w:rPr>
        <w:t>I.</w:t>
      </w:r>
      <w:proofErr w:type="gramEnd"/>
      <w:r w:rsidRPr="001F6745">
        <w:rPr>
          <w:rFonts w:ascii="Palatino Linotype" w:hAnsi="Palatino Linotype"/>
          <w:i/>
        </w:rPr>
        <w:t xml:space="preserve"> …</w:t>
      </w:r>
    </w:p>
    <w:p w14:paraId="26E7A010" w14:textId="77777777" w:rsidR="00CF4944" w:rsidRPr="001F6745" w:rsidRDefault="00CF4944" w:rsidP="00CF4944">
      <w:pPr>
        <w:pStyle w:val="Prrafodelista"/>
        <w:spacing w:line="360" w:lineRule="auto"/>
        <w:ind w:left="567" w:right="822"/>
        <w:jc w:val="both"/>
        <w:rPr>
          <w:rFonts w:ascii="Palatino Linotype" w:hAnsi="Palatino Linotype"/>
          <w:i/>
        </w:rPr>
      </w:pPr>
      <w:r w:rsidRPr="001F6745">
        <w:rPr>
          <w:rFonts w:ascii="Palatino Linotype" w:hAnsi="Palatino Linotype"/>
          <w:i/>
        </w:rPr>
        <w:t>II. Recibir, tramitar y dar respuesta a las solicitudes de acceso a la información;</w:t>
      </w:r>
    </w:p>
    <w:p w14:paraId="1EF448F3" w14:textId="77777777" w:rsidR="00CF4944" w:rsidRPr="001F6745" w:rsidRDefault="00CF4944" w:rsidP="00CF4944">
      <w:pPr>
        <w:pStyle w:val="Prrafodelista"/>
        <w:spacing w:line="360" w:lineRule="auto"/>
        <w:ind w:left="567" w:right="822"/>
        <w:jc w:val="both"/>
        <w:rPr>
          <w:rFonts w:ascii="Palatino Linotype" w:hAnsi="Palatino Linotype"/>
          <w:i/>
        </w:rPr>
      </w:pPr>
      <w:r w:rsidRPr="001F6745">
        <w:rPr>
          <w:rFonts w:ascii="Palatino Linotype" w:hAnsi="Palatino Linotype"/>
          <w:i/>
        </w:rPr>
        <w:t>…</w:t>
      </w:r>
    </w:p>
    <w:p w14:paraId="1C9F6287" w14:textId="77777777" w:rsidR="00CF4944" w:rsidRPr="001F6745" w:rsidRDefault="00CF4944" w:rsidP="00CF4944">
      <w:pPr>
        <w:pStyle w:val="Prrafodelista"/>
        <w:spacing w:line="360" w:lineRule="auto"/>
        <w:ind w:left="567" w:right="822"/>
        <w:jc w:val="both"/>
        <w:rPr>
          <w:rFonts w:ascii="Palatino Linotype" w:eastAsia="Calibri" w:hAnsi="Palatino Linotype" w:cs="Arial"/>
          <w:i/>
          <w:sz w:val="24"/>
        </w:rPr>
      </w:pPr>
      <w:r w:rsidRPr="001F6745">
        <w:rPr>
          <w:rFonts w:ascii="Palatino Linotype" w:hAnsi="Palatino Linotype"/>
          <w:i/>
        </w:rPr>
        <w:t>IV. Realizar, con efectividad, los trámites internos necesarios para la atención de las solicitudes de acceso a la información;</w:t>
      </w:r>
    </w:p>
    <w:p w14:paraId="29939D20" w14:textId="77777777" w:rsidR="00CF4944" w:rsidRPr="001F6745" w:rsidRDefault="00CF4944" w:rsidP="00CF4944">
      <w:pPr>
        <w:rPr>
          <w:rFonts w:ascii="Palatino Linotype" w:eastAsia="Calibri" w:hAnsi="Palatino Linotype" w:cs="Arial"/>
          <w:sz w:val="24"/>
        </w:rPr>
      </w:pPr>
    </w:p>
    <w:p w14:paraId="0650367C" w14:textId="77777777" w:rsidR="00CF4944" w:rsidRPr="00AD27F5" w:rsidRDefault="00CF4944" w:rsidP="00CF4944">
      <w:pPr>
        <w:pStyle w:val="Prrafodelista"/>
        <w:numPr>
          <w:ilvl w:val="0"/>
          <w:numId w:val="2"/>
        </w:numPr>
        <w:spacing w:line="360" w:lineRule="auto"/>
        <w:ind w:left="0" w:firstLine="0"/>
        <w:jc w:val="both"/>
        <w:rPr>
          <w:rFonts w:ascii="Palatino Linotype" w:eastAsia="Calibri" w:hAnsi="Palatino Linotype" w:cs="Arial"/>
          <w:sz w:val="24"/>
        </w:rPr>
      </w:pPr>
      <w:r>
        <w:rPr>
          <w:rFonts w:ascii="Palatino Linotype" w:hAnsi="Palatino Linotype"/>
          <w:sz w:val="24"/>
        </w:rPr>
        <w:t>En el presente asunto en particular, se aprecia que el Sujeto Obligado no turnó la solicitud a todas las áreas que de acuerdo a sus funciones, atribuciones y competencias debe generar, administrar o poseer la información requerida por el particular.</w:t>
      </w:r>
    </w:p>
    <w:p w14:paraId="1B3013DA" w14:textId="77777777" w:rsidR="00AD27F5" w:rsidRPr="00AD27F5" w:rsidRDefault="00AD27F5" w:rsidP="00AD27F5">
      <w:pPr>
        <w:spacing w:line="360" w:lineRule="auto"/>
        <w:jc w:val="both"/>
        <w:rPr>
          <w:rFonts w:ascii="Palatino Linotype" w:eastAsia="Calibri" w:hAnsi="Palatino Linotype" w:cs="Arial"/>
          <w:sz w:val="24"/>
        </w:rPr>
      </w:pPr>
    </w:p>
    <w:p w14:paraId="0F88258E" w14:textId="10F120F1" w:rsidR="00CF4944" w:rsidRPr="00CF4944" w:rsidRDefault="00CF4944" w:rsidP="00CF4944">
      <w:pPr>
        <w:pStyle w:val="Prrafodelista"/>
        <w:numPr>
          <w:ilvl w:val="3"/>
          <w:numId w:val="2"/>
        </w:numPr>
        <w:spacing w:line="360" w:lineRule="auto"/>
        <w:ind w:left="567"/>
        <w:jc w:val="both"/>
        <w:rPr>
          <w:rFonts w:ascii="Palatino Linotype" w:eastAsia="Calibri" w:hAnsi="Palatino Linotype" w:cs="Arial"/>
          <w:b/>
          <w:sz w:val="24"/>
        </w:rPr>
      </w:pPr>
      <w:r w:rsidRPr="00CF4944">
        <w:rPr>
          <w:rFonts w:ascii="Palatino Linotype" w:eastAsia="Calibri" w:hAnsi="Palatino Linotype" w:cs="Arial"/>
          <w:b/>
          <w:sz w:val="24"/>
        </w:rPr>
        <w:t>Certificado de control y confianza</w:t>
      </w:r>
    </w:p>
    <w:p w14:paraId="59AD6152"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sz w:val="24"/>
          <w:lang w:val="es-ES"/>
        </w:rPr>
        <w:t xml:space="preserve">La </w:t>
      </w:r>
      <w:r w:rsidRPr="00F35110">
        <w:rPr>
          <w:rFonts w:ascii="Palatino Linotype" w:hAnsi="Palatino Linotype" w:cs="Tahoma"/>
          <w:sz w:val="24"/>
          <w:lang w:val="es-ES"/>
        </w:rPr>
        <w:t xml:space="preserve">Ley General del Sistema Nacional de Seguridad Pública en el artículo 66 y el diverso 109 de la Ley de Seguridad del Estado de México, establecen que la certificación es el proceso por el cual </w:t>
      </w:r>
      <w:r w:rsidRPr="00F35110">
        <w:rPr>
          <w:rFonts w:ascii="Palatino Linotype" w:hAnsi="Palatino Linotype" w:cs="Tahoma"/>
          <w:b/>
          <w:bCs/>
          <w:sz w:val="24"/>
          <w:lang w:val="es-ES"/>
        </w:rPr>
        <w:t>los integrantes de las instituciones de seguridad pública o de procuración de justicia se someten a las evaluaciones establecidas por el Centro de Control de Confianza del Estado de México.</w:t>
      </w:r>
    </w:p>
    <w:p w14:paraId="6B7B6FC3" w14:textId="77777777" w:rsidR="00F35110" w:rsidRPr="00F35110" w:rsidRDefault="00F35110" w:rsidP="00F35110">
      <w:pPr>
        <w:pStyle w:val="Prrafodelista"/>
        <w:tabs>
          <w:tab w:val="left" w:pos="851"/>
        </w:tabs>
        <w:spacing w:before="240" w:after="240" w:line="360" w:lineRule="auto"/>
        <w:ind w:left="0" w:right="49"/>
        <w:jc w:val="both"/>
        <w:rPr>
          <w:rFonts w:ascii="Palatino Linotype" w:hAnsi="Palatino Linotype"/>
          <w:sz w:val="24"/>
          <w:lang w:val="es-ES"/>
        </w:rPr>
      </w:pPr>
    </w:p>
    <w:p w14:paraId="797B7808"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cs="Tahoma"/>
          <w:sz w:val="24"/>
          <w:lang w:val="es-ES"/>
        </w:rPr>
        <w:lastRenderedPageBreak/>
        <w:t xml:space="preserve">En ese contexto, el Centro de Control de Confianza del Estado de México, es un organismo público descentralizado, con personalidad jurídica y patrimonio propios, sectorizado de la Secretaría de Seguridad, cuyo objeto es realizar las evaluaciones permanentes de control de confianza, de desempeño, poligrafía, entorno social y psicológico, así como exámenes toxicológicos a los aspirante e integrantes de las instituciones de seguridad pública y privada, estatal y municipal, </w:t>
      </w:r>
      <w:r w:rsidRPr="00F35110">
        <w:rPr>
          <w:rFonts w:ascii="Palatino Linotype" w:hAnsi="Palatino Linotype" w:cs="Tahoma"/>
          <w:b/>
          <w:bCs/>
          <w:sz w:val="24"/>
          <w:lang w:val="es-ES"/>
        </w:rPr>
        <w:t>a fin de emitir la certificación correspondiente.</w:t>
      </w:r>
    </w:p>
    <w:p w14:paraId="10B8D633" w14:textId="77777777" w:rsidR="00F35110" w:rsidRPr="00F35110" w:rsidRDefault="00F35110" w:rsidP="00F35110">
      <w:pPr>
        <w:pStyle w:val="Prrafodelista"/>
        <w:rPr>
          <w:rFonts w:ascii="Palatino Linotype" w:hAnsi="Palatino Linotype" w:cs="Tahoma"/>
          <w:sz w:val="24"/>
          <w:lang w:val="es-ES"/>
        </w:rPr>
      </w:pPr>
    </w:p>
    <w:p w14:paraId="1DFE2FC8"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cs="Tahoma"/>
          <w:sz w:val="24"/>
          <w:lang w:val="es-ES"/>
        </w:rPr>
        <w:t>Además, que ninguna persona podrá ingresar o permanecer en las instituciones de seguridad pública sin contar con el Certificado y registro vigentes.</w:t>
      </w:r>
    </w:p>
    <w:p w14:paraId="3B7BC98C" w14:textId="77777777" w:rsidR="00F35110" w:rsidRPr="00F35110" w:rsidRDefault="00F35110" w:rsidP="00F35110">
      <w:pPr>
        <w:pStyle w:val="Prrafodelista"/>
        <w:rPr>
          <w:rFonts w:ascii="Palatino Linotype" w:hAnsi="Palatino Linotype" w:cs="Tahoma"/>
          <w:sz w:val="24"/>
          <w:lang w:val="es-ES"/>
        </w:rPr>
      </w:pPr>
    </w:p>
    <w:p w14:paraId="16EFDB0D" w14:textId="77777777" w:rsidR="00F35110" w:rsidRPr="00AD27F5"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cs="Tahoma"/>
          <w:sz w:val="24"/>
          <w:lang w:val="es-ES"/>
        </w:rPr>
        <w:t xml:space="preserve">En ese contexto, el artículo 5°, fracciones VIII, IX y X, de la Ley General del Sistema Nacional de Seguridad Pública y el diverso 6°, fracciones XI y XII, de la Ley </w:t>
      </w:r>
      <w:r w:rsidRPr="00AD27F5">
        <w:rPr>
          <w:rFonts w:ascii="Palatino Linotype" w:hAnsi="Palatino Linotype" w:cs="Tahoma"/>
          <w:sz w:val="24"/>
          <w:lang w:val="es-ES"/>
        </w:rPr>
        <w:t>de Seguridad del Estado de México, establece lo siguiente:</w:t>
      </w:r>
    </w:p>
    <w:p w14:paraId="18601374" w14:textId="77777777" w:rsidR="00F35110" w:rsidRPr="00AD27F5" w:rsidRDefault="00F35110" w:rsidP="00F35110">
      <w:pPr>
        <w:numPr>
          <w:ilvl w:val="0"/>
          <w:numId w:val="48"/>
        </w:numPr>
        <w:spacing w:line="360" w:lineRule="auto"/>
        <w:contextualSpacing/>
        <w:jc w:val="both"/>
        <w:rPr>
          <w:rFonts w:ascii="Palatino Linotype" w:hAnsi="Palatino Linotype" w:cs="Tahoma"/>
          <w:sz w:val="22"/>
          <w:szCs w:val="24"/>
          <w:lang w:val="es-ES"/>
        </w:rPr>
      </w:pPr>
      <w:r w:rsidRPr="00AD27F5">
        <w:rPr>
          <w:rFonts w:ascii="Palatino Linotype" w:hAnsi="Palatino Linotype" w:cs="Tahoma"/>
          <w:b/>
          <w:bCs/>
          <w:sz w:val="22"/>
          <w:szCs w:val="24"/>
          <w:lang w:val="es-ES"/>
        </w:rPr>
        <w:t>Instituciones Policiales:</w:t>
      </w:r>
      <w:r w:rsidRPr="00AD27F5">
        <w:rPr>
          <w:rFonts w:ascii="Palatino Linotype" w:hAnsi="Palatino Linotype" w:cs="Tahoma"/>
          <w:sz w:val="22"/>
          <w:szCs w:val="24"/>
          <w:lang w:val="es-ES"/>
        </w:rPr>
        <w:t xml:space="preserve"> Son los cuerpos de policía, de vigilancia y custodia de los establecimientos penitenciarios, detención preventiva, centros de arraigo y en general, todas las dependencias encargadas de la seguridad pública a nivel federal, estatal y municipal.</w:t>
      </w:r>
    </w:p>
    <w:p w14:paraId="38D6F7BF" w14:textId="77777777" w:rsidR="00F35110" w:rsidRPr="00AD27F5" w:rsidRDefault="00F35110" w:rsidP="00F35110">
      <w:pPr>
        <w:spacing w:line="360" w:lineRule="auto"/>
        <w:ind w:left="720"/>
        <w:contextualSpacing/>
        <w:rPr>
          <w:rFonts w:ascii="Palatino Linotype" w:hAnsi="Palatino Linotype" w:cs="Tahoma"/>
          <w:sz w:val="22"/>
          <w:szCs w:val="24"/>
          <w:lang w:val="es-ES"/>
        </w:rPr>
      </w:pPr>
    </w:p>
    <w:p w14:paraId="29EB337A" w14:textId="77777777" w:rsidR="00F35110" w:rsidRPr="00AD27F5" w:rsidRDefault="00F35110" w:rsidP="00F35110">
      <w:pPr>
        <w:numPr>
          <w:ilvl w:val="0"/>
          <w:numId w:val="48"/>
        </w:numPr>
        <w:spacing w:line="360" w:lineRule="auto"/>
        <w:contextualSpacing/>
        <w:jc w:val="both"/>
        <w:rPr>
          <w:rFonts w:ascii="Palatino Linotype" w:hAnsi="Palatino Linotype" w:cs="Tahoma"/>
          <w:sz w:val="22"/>
          <w:szCs w:val="24"/>
          <w:lang w:val="es-ES"/>
        </w:rPr>
      </w:pPr>
      <w:r w:rsidRPr="00AD27F5">
        <w:rPr>
          <w:rFonts w:ascii="Palatino Linotype" w:hAnsi="Palatino Linotype" w:cs="Tahoma"/>
          <w:b/>
          <w:bCs/>
          <w:sz w:val="22"/>
          <w:szCs w:val="24"/>
          <w:lang w:val="es-ES"/>
        </w:rPr>
        <w:t xml:space="preserve">Instituciones de Procuración de Justicia: </w:t>
      </w:r>
      <w:r w:rsidRPr="00AD27F5">
        <w:rPr>
          <w:rFonts w:ascii="Palatino Linotype" w:hAnsi="Palatino Linotype" w:cs="Tahoma"/>
          <w:sz w:val="22"/>
          <w:szCs w:val="24"/>
          <w:lang w:val="es-ES"/>
        </w:rPr>
        <w:t>Son aquellas de la Federación y Entidades Federativas que integran el Ministerio Público, los servicios periciales, policías de investigación y auxiliares.</w:t>
      </w:r>
    </w:p>
    <w:p w14:paraId="3F22A809" w14:textId="77777777" w:rsidR="00F35110" w:rsidRPr="00AD27F5" w:rsidRDefault="00F35110" w:rsidP="00F35110">
      <w:pPr>
        <w:spacing w:line="360" w:lineRule="auto"/>
        <w:rPr>
          <w:rFonts w:ascii="Palatino Linotype" w:hAnsi="Palatino Linotype" w:cs="Tahoma"/>
          <w:sz w:val="22"/>
          <w:szCs w:val="24"/>
          <w:lang w:val="es-ES"/>
        </w:rPr>
      </w:pPr>
    </w:p>
    <w:p w14:paraId="2F953D82" w14:textId="77777777" w:rsidR="00F35110" w:rsidRPr="00AD27F5" w:rsidRDefault="00F35110" w:rsidP="00F35110">
      <w:pPr>
        <w:numPr>
          <w:ilvl w:val="0"/>
          <w:numId w:val="48"/>
        </w:numPr>
        <w:spacing w:line="360" w:lineRule="auto"/>
        <w:contextualSpacing/>
        <w:jc w:val="both"/>
        <w:rPr>
          <w:rFonts w:ascii="Palatino Linotype" w:hAnsi="Palatino Linotype" w:cs="Tahoma"/>
          <w:sz w:val="22"/>
          <w:szCs w:val="24"/>
          <w:lang w:val="es-ES"/>
        </w:rPr>
      </w:pPr>
      <w:r w:rsidRPr="00AD27F5">
        <w:rPr>
          <w:rFonts w:ascii="Palatino Linotype" w:hAnsi="Palatino Linotype" w:cs="Tahoma"/>
          <w:b/>
          <w:bCs/>
          <w:sz w:val="22"/>
          <w:szCs w:val="24"/>
          <w:lang w:val="es-ES"/>
        </w:rPr>
        <w:lastRenderedPageBreak/>
        <w:t>Instituciones de Seguridad Pública:</w:t>
      </w:r>
      <w:r w:rsidRPr="00AD27F5">
        <w:rPr>
          <w:rFonts w:ascii="Palatino Linotype" w:hAnsi="Palatino Linotype" w:cs="Tahoma"/>
          <w:sz w:val="22"/>
          <w:szCs w:val="24"/>
          <w:lang w:val="es-ES"/>
        </w:rPr>
        <w:t xml:space="preserve"> Instituciones Policiales, de Procuración de Justicia, del Sistema Penitenciario y dependencias encargadas de la seguridad pública a nivel federal, estatal y municipal.</w:t>
      </w:r>
    </w:p>
    <w:p w14:paraId="0B656EB5" w14:textId="77777777" w:rsidR="00F35110" w:rsidRPr="00F35110" w:rsidRDefault="00F35110" w:rsidP="00F35110">
      <w:pPr>
        <w:spacing w:line="360" w:lineRule="auto"/>
        <w:rPr>
          <w:rFonts w:ascii="Palatino Linotype" w:hAnsi="Palatino Linotype" w:cs="Tahoma"/>
          <w:sz w:val="24"/>
          <w:szCs w:val="24"/>
          <w:lang w:val="es-ES"/>
        </w:rPr>
      </w:pPr>
    </w:p>
    <w:p w14:paraId="4D54DE5C" w14:textId="77777777" w:rsidR="00F35110" w:rsidRPr="00F35110" w:rsidRDefault="00F35110" w:rsidP="00F35110">
      <w:pPr>
        <w:pStyle w:val="Prrafodelista"/>
        <w:numPr>
          <w:ilvl w:val="0"/>
          <w:numId w:val="2"/>
        </w:numPr>
        <w:spacing w:line="360" w:lineRule="auto"/>
        <w:ind w:left="0" w:firstLine="0"/>
        <w:jc w:val="both"/>
        <w:rPr>
          <w:rFonts w:ascii="Palatino Linotype" w:hAnsi="Palatino Linotype" w:cs="Tahoma"/>
          <w:sz w:val="24"/>
          <w:lang w:val="es-ES"/>
        </w:rPr>
      </w:pPr>
      <w:r w:rsidRPr="00F35110">
        <w:rPr>
          <w:rFonts w:ascii="Palatino Linotype" w:hAnsi="Palatino Linotype" w:cs="Tahoma"/>
          <w:sz w:val="24"/>
          <w:lang w:val="es-ES"/>
        </w:rPr>
        <w:t>Sobre lo anterior, el Instructivo de llenado del Formato “Personal de Seguridad Pública”, del Secretariado Ejecutivo del Sistema Nacional de Seguridad Pública establece que las instituciones de seguridad pública, se integran por los siguientes categorizaciones de puestos:</w:t>
      </w:r>
    </w:p>
    <w:p w14:paraId="4BE349A3" w14:textId="77777777" w:rsidR="00F35110" w:rsidRPr="00AD27F5" w:rsidRDefault="00F35110" w:rsidP="00F35110">
      <w:pPr>
        <w:spacing w:line="360" w:lineRule="auto"/>
        <w:rPr>
          <w:rFonts w:ascii="Palatino Linotype" w:hAnsi="Palatino Linotype" w:cs="Tahoma"/>
          <w:sz w:val="22"/>
          <w:szCs w:val="24"/>
          <w:lang w:val="es-ES"/>
        </w:rPr>
      </w:pPr>
    </w:p>
    <w:p w14:paraId="698CC05D" w14:textId="77777777" w:rsidR="00F35110" w:rsidRPr="00AD27F5" w:rsidRDefault="00F35110" w:rsidP="00F35110">
      <w:pPr>
        <w:pStyle w:val="Prrafodelista"/>
        <w:numPr>
          <w:ilvl w:val="0"/>
          <w:numId w:val="49"/>
        </w:numPr>
        <w:spacing w:line="360" w:lineRule="auto"/>
        <w:jc w:val="both"/>
        <w:rPr>
          <w:rFonts w:ascii="Palatino Linotype" w:hAnsi="Palatino Linotype" w:cs="Tahoma"/>
          <w:b/>
          <w:bCs/>
          <w:lang w:val="es-ES"/>
        </w:rPr>
      </w:pPr>
      <w:r w:rsidRPr="00AD27F5">
        <w:rPr>
          <w:rFonts w:ascii="Palatino Linotype" w:hAnsi="Palatino Linotype" w:cs="Tahoma"/>
          <w:b/>
          <w:bCs/>
          <w:lang w:val="es-ES"/>
        </w:rPr>
        <w:t xml:space="preserve">Mando: </w:t>
      </w:r>
      <w:r w:rsidRPr="00AD27F5">
        <w:rPr>
          <w:rFonts w:ascii="Palatino Linotype" w:hAnsi="Palatino Linotype" w:cs="Tahoma"/>
          <w:lang w:val="es-ES"/>
        </w:rPr>
        <w:t>Se conforma por el personal con funciones de dirección, coordinación y supervisión, es decir, los altos mandos y mandos medios y superiores.</w:t>
      </w:r>
    </w:p>
    <w:p w14:paraId="57BC9AEE" w14:textId="77777777" w:rsidR="00F35110" w:rsidRPr="00AD27F5" w:rsidRDefault="00F35110" w:rsidP="00F35110">
      <w:pPr>
        <w:pStyle w:val="Prrafodelista"/>
        <w:numPr>
          <w:ilvl w:val="0"/>
          <w:numId w:val="49"/>
        </w:numPr>
        <w:spacing w:line="360" w:lineRule="auto"/>
        <w:jc w:val="both"/>
        <w:rPr>
          <w:rFonts w:ascii="Palatino Linotype" w:hAnsi="Palatino Linotype" w:cs="Tahoma"/>
          <w:b/>
          <w:bCs/>
          <w:lang w:val="es-ES"/>
        </w:rPr>
      </w:pPr>
      <w:r w:rsidRPr="00AD27F5">
        <w:rPr>
          <w:rFonts w:ascii="Palatino Linotype" w:hAnsi="Palatino Linotype" w:cs="Tahoma"/>
          <w:b/>
          <w:bCs/>
          <w:lang w:val="es-ES"/>
        </w:rPr>
        <w:t xml:space="preserve">Operativos: </w:t>
      </w:r>
      <w:r w:rsidRPr="00AD27F5">
        <w:rPr>
          <w:rFonts w:ascii="Palatino Linotype" w:hAnsi="Palatino Linotype" w:cs="Tahoma"/>
          <w:lang w:val="es-ES"/>
        </w:rPr>
        <w:t>Integrado por el personal que desempeña funciones de campo (policiacas, especializadas y no tienen funciones de mando), tales como la Policía Ministerial, Judicial, Estatal Preventiva, Municipal, escoltas, grupos antisecuestro, t</w:t>
      </w:r>
      <w:proofErr w:type="spellStart"/>
      <w:r w:rsidRPr="00AD27F5">
        <w:rPr>
          <w:rFonts w:ascii="Palatino Linotype" w:hAnsi="Palatino Linotype"/>
        </w:rPr>
        <w:t>errorismo</w:t>
      </w:r>
      <w:proofErr w:type="spellEnd"/>
      <w:r w:rsidRPr="00AD27F5">
        <w:rPr>
          <w:rFonts w:ascii="Palatino Linotype" w:hAnsi="Palatino Linotype"/>
        </w:rPr>
        <w:t>, inteligencia, grupos de reacción o equivalentes.</w:t>
      </w:r>
    </w:p>
    <w:p w14:paraId="799092EB" w14:textId="77777777" w:rsidR="00F35110" w:rsidRPr="00AD27F5" w:rsidRDefault="00F35110" w:rsidP="00F35110">
      <w:pPr>
        <w:pStyle w:val="Prrafodelista"/>
        <w:numPr>
          <w:ilvl w:val="0"/>
          <w:numId w:val="49"/>
        </w:numPr>
        <w:spacing w:line="360" w:lineRule="auto"/>
        <w:jc w:val="both"/>
        <w:rPr>
          <w:rFonts w:ascii="Palatino Linotype" w:hAnsi="Palatino Linotype" w:cs="Tahoma"/>
          <w:b/>
          <w:bCs/>
          <w:lang w:val="es-ES"/>
        </w:rPr>
      </w:pPr>
      <w:r w:rsidRPr="00AD27F5">
        <w:rPr>
          <w:rFonts w:ascii="Palatino Linotype" w:hAnsi="Palatino Linotype" w:cs="Tahoma"/>
          <w:b/>
          <w:bCs/>
          <w:lang w:val="es-ES"/>
        </w:rPr>
        <w:t xml:space="preserve">Administrativos: </w:t>
      </w:r>
      <w:r w:rsidRPr="00AD27F5">
        <w:rPr>
          <w:rFonts w:ascii="Palatino Linotype" w:hAnsi="Palatino Linotype" w:cs="Tahoma"/>
          <w:lang w:val="es-ES"/>
        </w:rPr>
        <w:t>Conformado por el personal de apoyo.</w:t>
      </w:r>
    </w:p>
    <w:p w14:paraId="3A61483E" w14:textId="77777777" w:rsidR="00F35110" w:rsidRPr="00AD27F5" w:rsidRDefault="00F35110" w:rsidP="00F35110">
      <w:pPr>
        <w:pStyle w:val="Prrafodelista"/>
        <w:tabs>
          <w:tab w:val="left" w:pos="851"/>
        </w:tabs>
        <w:spacing w:before="240" w:after="240" w:line="360" w:lineRule="auto"/>
        <w:ind w:left="0" w:right="49"/>
        <w:jc w:val="both"/>
        <w:rPr>
          <w:rFonts w:ascii="Palatino Linotype" w:hAnsi="Palatino Linotype"/>
          <w:lang w:val="es-ES"/>
        </w:rPr>
      </w:pPr>
    </w:p>
    <w:p w14:paraId="411D4A90"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sz w:val="24"/>
        </w:rPr>
        <w:t>Por su parte, el Centro Nacional de Certificación y Acreditación</w:t>
      </w:r>
      <w:r w:rsidRPr="00F35110">
        <w:rPr>
          <w:rStyle w:val="Refdenotaalpie"/>
          <w:rFonts w:ascii="Palatino Linotype" w:hAnsi="Palatino Linotype"/>
          <w:sz w:val="24"/>
        </w:rPr>
        <w:footnoteReference w:id="9"/>
      </w:r>
      <w:r w:rsidRPr="00F35110">
        <w:rPr>
          <w:rFonts w:ascii="Palatino Linotype" w:hAnsi="Palatino Linotype"/>
          <w:sz w:val="24"/>
        </w:rPr>
        <w:t xml:space="preserve"> para obtener el certificado es obligatorio que los elementos </w:t>
      </w:r>
      <w:r w:rsidRPr="00F35110">
        <w:rPr>
          <w:rFonts w:ascii="Palatino Linotype" w:hAnsi="Palatino Linotype"/>
          <w:b/>
          <w:sz w:val="24"/>
          <w:u w:val="single"/>
        </w:rPr>
        <w:t xml:space="preserve">acrediten contar con evaluación de </w:t>
      </w:r>
      <w:r w:rsidRPr="00F35110">
        <w:rPr>
          <w:rFonts w:ascii="Palatino Linotype" w:hAnsi="Palatino Linotype"/>
          <w:b/>
          <w:sz w:val="24"/>
          <w:u w:val="single"/>
        </w:rPr>
        <w:lastRenderedPageBreak/>
        <w:t>control y confianza</w:t>
      </w:r>
      <w:r w:rsidRPr="00F35110">
        <w:rPr>
          <w:rFonts w:ascii="Palatino Linotype" w:hAnsi="Palatino Linotype"/>
          <w:sz w:val="24"/>
        </w:rPr>
        <w:t>, formación inicial o equivalente, evaluación de competencias básicas o profesionales y la evaluación del desempeño.</w:t>
      </w:r>
    </w:p>
    <w:p w14:paraId="1BC26090" w14:textId="77777777" w:rsidR="00F35110" w:rsidRPr="00F35110" w:rsidRDefault="00F35110" w:rsidP="00F35110">
      <w:pPr>
        <w:pStyle w:val="Prrafodelista"/>
        <w:rPr>
          <w:rFonts w:ascii="Palatino Linotype" w:hAnsi="Palatino Linotype"/>
          <w:sz w:val="24"/>
        </w:rPr>
      </w:pPr>
    </w:p>
    <w:p w14:paraId="0AFF3D85"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sz w:val="24"/>
        </w:rPr>
        <w:t xml:space="preserve"> En ese sentido, es de destacar que el objetivo del certificado es garantizar que la población cuente con policías confiables que tengan como único objetivo el de velar por la seguridad, por ello, que toda vez que es un requisito el contar con el Certificado Único Policial para estar adscrito a la Dirección de Seguridad Ciudadana del Municipio y para esto, es necesario contar con la acreditación de la evaluación de control y confianza. </w:t>
      </w:r>
    </w:p>
    <w:p w14:paraId="7CE7DC8C" w14:textId="77777777" w:rsidR="00F35110" w:rsidRPr="00F35110" w:rsidRDefault="00F35110" w:rsidP="00F35110">
      <w:pPr>
        <w:pStyle w:val="Prrafodelista"/>
        <w:rPr>
          <w:rFonts w:ascii="Palatino Linotype" w:hAnsi="Palatino Linotype"/>
          <w:sz w:val="24"/>
          <w:lang w:val="es-ES"/>
        </w:rPr>
      </w:pPr>
    </w:p>
    <w:p w14:paraId="6604E0C4"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sz w:val="24"/>
        </w:rPr>
        <w:t>Respecto a lo anterior, de conformidad con la página oficial de la Secretaría de Seguridad</w:t>
      </w:r>
      <w:r w:rsidRPr="00F35110">
        <w:rPr>
          <w:rStyle w:val="Refdenotaalpie"/>
          <w:rFonts w:ascii="Palatino Linotype" w:hAnsi="Palatino Linotype"/>
          <w:sz w:val="24"/>
        </w:rPr>
        <w:footnoteReference w:id="10"/>
      </w:r>
      <w:r w:rsidRPr="00F35110">
        <w:rPr>
          <w:rFonts w:ascii="Palatino Linotype" w:hAnsi="Palatino Linotype"/>
          <w:sz w:val="24"/>
        </w:rPr>
        <w:t xml:space="preserve">,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con el perfil del puesto. </w:t>
      </w:r>
    </w:p>
    <w:p w14:paraId="642FAD6C" w14:textId="77777777" w:rsidR="00F35110" w:rsidRPr="00F35110" w:rsidRDefault="00F35110" w:rsidP="00F35110">
      <w:pPr>
        <w:pStyle w:val="Prrafodelista"/>
        <w:rPr>
          <w:rFonts w:ascii="Palatino Linotype" w:hAnsi="Palatino Linotype"/>
          <w:sz w:val="24"/>
          <w:lang w:val="es-ES"/>
        </w:rPr>
      </w:pPr>
    </w:p>
    <w:p w14:paraId="141CE97F" w14:textId="77777777" w:rsidR="00F35110" w:rsidRPr="00F35110" w:rsidRDefault="00F35110" w:rsidP="00F351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35110">
        <w:rPr>
          <w:rFonts w:ascii="Palatino Linotype" w:hAnsi="Palatino Linotype"/>
          <w:sz w:val="24"/>
        </w:rPr>
        <w:t xml:space="preserve"> Asimismo, es de mencionar que para la expedición del certificado, el proceso de evaluación se realiza en tres días, donde en el día uno, se llevará a cabo la evaluación, toxicológica, investigación de antecedentes, evaluación psicológica, evaluación socioeconómica y evaluación médica; en el día dos, se realizará una </w:t>
      </w:r>
      <w:r w:rsidRPr="00F35110">
        <w:rPr>
          <w:rFonts w:ascii="Palatino Linotype" w:hAnsi="Palatino Linotype"/>
          <w:sz w:val="24"/>
        </w:rPr>
        <w:lastRenderedPageBreak/>
        <w:t xml:space="preserve">evaluación poligráfica y por último, en el día tres, se ejecutará una visita domiciliaria, tal como se observa a continuación: </w:t>
      </w:r>
    </w:p>
    <w:p w14:paraId="343657C6" w14:textId="77777777" w:rsidR="00F35110" w:rsidRPr="00F35110" w:rsidRDefault="00F35110" w:rsidP="00F35110">
      <w:pPr>
        <w:spacing w:line="360" w:lineRule="auto"/>
        <w:jc w:val="both"/>
        <w:rPr>
          <w:rFonts w:ascii="Palatino Linotype" w:hAnsi="Palatino Linotype"/>
          <w:sz w:val="24"/>
          <w:szCs w:val="24"/>
        </w:rPr>
      </w:pPr>
    </w:p>
    <w:p w14:paraId="23D207F8" w14:textId="77777777" w:rsidR="00F35110" w:rsidRPr="00F35110" w:rsidRDefault="00F35110" w:rsidP="00F35110">
      <w:pPr>
        <w:spacing w:line="360" w:lineRule="auto"/>
        <w:jc w:val="center"/>
        <w:rPr>
          <w:rFonts w:ascii="Palatino Linotype" w:hAnsi="Palatino Linotype"/>
          <w:sz w:val="24"/>
          <w:szCs w:val="24"/>
        </w:rPr>
      </w:pPr>
      <w:r w:rsidRPr="00F35110">
        <w:rPr>
          <w:rFonts w:ascii="Palatino Linotype" w:hAnsi="Palatino Linotype"/>
          <w:noProof/>
          <w:sz w:val="24"/>
          <w:szCs w:val="24"/>
          <w:lang w:eastAsia="es-MX"/>
        </w:rPr>
        <w:drawing>
          <wp:inline distT="0" distB="0" distL="0" distR="0" wp14:anchorId="1B81A59C" wp14:editId="57BB0931">
            <wp:extent cx="4552950" cy="293625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9701" cy="2953511"/>
                    </a:xfrm>
                    <a:prstGeom prst="rect">
                      <a:avLst/>
                    </a:prstGeom>
                  </pic:spPr>
                </pic:pic>
              </a:graphicData>
            </a:graphic>
          </wp:inline>
        </w:drawing>
      </w:r>
    </w:p>
    <w:p w14:paraId="4B88820B" w14:textId="77777777" w:rsidR="00F35110" w:rsidRPr="00F35110" w:rsidRDefault="00F35110" w:rsidP="00F35110">
      <w:pPr>
        <w:spacing w:line="360" w:lineRule="auto"/>
        <w:ind w:left="1134" w:right="1183"/>
        <w:jc w:val="both"/>
        <w:rPr>
          <w:rFonts w:ascii="Palatino Linotype" w:hAnsi="Palatino Linotype"/>
          <w:sz w:val="24"/>
          <w:szCs w:val="24"/>
        </w:rPr>
      </w:pPr>
      <w:r w:rsidRPr="00F35110">
        <w:rPr>
          <w:rFonts w:ascii="Palatino Linotype" w:hAnsi="Palatino Linotype"/>
          <w:sz w:val="24"/>
          <w:szCs w:val="24"/>
        </w:rPr>
        <w:t xml:space="preserve"> </w:t>
      </w:r>
    </w:p>
    <w:p w14:paraId="4EF1CEBD" w14:textId="77777777" w:rsidR="00F35110" w:rsidRPr="00F35110" w:rsidRDefault="00F35110" w:rsidP="00F35110">
      <w:pPr>
        <w:spacing w:line="360" w:lineRule="auto"/>
        <w:jc w:val="both"/>
        <w:rPr>
          <w:rFonts w:ascii="Palatino Linotype" w:hAnsi="Palatino Linotype"/>
          <w:sz w:val="24"/>
          <w:szCs w:val="24"/>
        </w:rPr>
      </w:pPr>
    </w:p>
    <w:p w14:paraId="2D951455" w14:textId="77777777" w:rsidR="00F35110" w:rsidRPr="00F35110" w:rsidRDefault="00F35110" w:rsidP="00F35110">
      <w:pPr>
        <w:pStyle w:val="Prrafodelista"/>
        <w:numPr>
          <w:ilvl w:val="0"/>
          <w:numId w:val="2"/>
        </w:numPr>
        <w:spacing w:line="360" w:lineRule="auto"/>
        <w:ind w:left="0" w:firstLine="0"/>
        <w:jc w:val="both"/>
        <w:rPr>
          <w:rFonts w:ascii="Palatino Linotype" w:hAnsi="Palatino Linotype"/>
          <w:sz w:val="24"/>
        </w:rPr>
      </w:pPr>
      <w:r w:rsidRPr="00F35110">
        <w:rPr>
          <w:rFonts w:ascii="Palatino Linotype" w:hAnsi="Palatino Linotype"/>
          <w:sz w:val="24"/>
        </w:rPr>
        <w:t xml:space="preserve">Ahora bien, es importante no perder de vista que el examen de control y confianza comprende también los exámenes antidoping o toxicológicos, pues forman parte del proceso de evaluación realizado para obtener la certificación correspondiente y cuya aplicación le corresponde al Centro de Control de Confianza del Estado de México, a través de la Dirección Médica y Toxicológica, como se muestra a continuación: </w:t>
      </w:r>
    </w:p>
    <w:p w14:paraId="4B39DB64" w14:textId="77777777" w:rsidR="00F35110" w:rsidRPr="00DF3D1E" w:rsidRDefault="00F35110" w:rsidP="00F35110">
      <w:pPr>
        <w:spacing w:line="360" w:lineRule="auto"/>
        <w:jc w:val="both"/>
        <w:rPr>
          <w:rFonts w:ascii="Palatino Linotype" w:hAnsi="Palatino Linotype"/>
        </w:rPr>
      </w:pPr>
    </w:p>
    <w:p w14:paraId="05A2755B" w14:textId="77777777" w:rsidR="00F35110" w:rsidRPr="00DF3D1E" w:rsidRDefault="00F35110" w:rsidP="00F35110">
      <w:pPr>
        <w:spacing w:line="276" w:lineRule="auto"/>
        <w:ind w:left="567" w:right="616"/>
        <w:jc w:val="both"/>
        <w:rPr>
          <w:rFonts w:ascii="Palatino Linotype" w:hAnsi="Palatino Linotype"/>
          <w:b/>
          <w:i/>
          <w:sz w:val="22"/>
        </w:rPr>
      </w:pPr>
      <w:r w:rsidRPr="00DF3D1E">
        <w:rPr>
          <w:rFonts w:ascii="Palatino Linotype" w:hAnsi="Palatino Linotype"/>
          <w:b/>
          <w:i/>
          <w:sz w:val="22"/>
        </w:rPr>
        <w:lastRenderedPageBreak/>
        <w:t>MANUAL DE PROCEDIMIENTOS DE LA DIRECCIÓN MÉDICA Y TOXICOLÓGICA DEL CENTRO DE CONTROL DE CONFIANZA DEL ESTADO DE MÉXICO</w:t>
      </w:r>
    </w:p>
    <w:p w14:paraId="447CD85C" w14:textId="77777777" w:rsidR="00F35110" w:rsidRPr="00DF3D1E" w:rsidRDefault="00F35110" w:rsidP="00F35110">
      <w:pPr>
        <w:spacing w:line="276" w:lineRule="auto"/>
        <w:ind w:left="567" w:right="616"/>
        <w:jc w:val="both"/>
        <w:rPr>
          <w:rFonts w:ascii="Palatino Linotype" w:hAnsi="Palatino Linotype"/>
          <w:i/>
          <w:sz w:val="22"/>
        </w:rPr>
      </w:pPr>
      <w:r w:rsidRPr="00DF3D1E">
        <w:rPr>
          <w:rFonts w:ascii="Palatino Linotype" w:hAnsi="Palatino Linotype"/>
          <w:i/>
          <w:sz w:val="22"/>
        </w:rPr>
        <w:t>…</w:t>
      </w:r>
    </w:p>
    <w:p w14:paraId="04851306" w14:textId="77777777" w:rsidR="00F35110" w:rsidRPr="00DF3D1E" w:rsidRDefault="00F35110" w:rsidP="00F35110">
      <w:pPr>
        <w:spacing w:line="276" w:lineRule="auto"/>
        <w:ind w:left="567" w:right="616"/>
        <w:jc w:val="both"/>
        <w:rPr>
          <w:rFonts w:ascii="Palatino Linotype" w:hAnsi="Palatino Linotype"/>
          <w:i/>
          <w:sz w:val="22"/>
        </w:rPr>
      </w:pPr>
      <w:r w:rsidRPr="00DF3D1E">
        <w:rPr>
          <w:rFonts w:ascii="Palatino Linotype" w:hAnsi="Palatino Linotype"/>
          <w:i/>
          <w:sz w:val="22"/>
        </w:rPr>
        <w:t>La Dirección Médica y Toxicológica es la unidad administrativa responsable de realizar las evaluaciones toxicológicas de control de confianza, así como de la emisión, entrega de resultados y la emisión de los certificados correspondientes.</w:t>
      </w:r>
    </w:p>
    <w:p w14:paraId="0037793E" w14:textId="77777777" w:rsidR="00F35110" w:rsidRPr="00DF3D1E" w:rsidRDefault="00F35110" w:rsidP="00F35110">
      <w:pPr>
        <w:spacing w:line="276" w:lineRule="auto"/>
        <w:ind w:left="567" w:right="616"/>
        <w:jc w:val="both"/>
        <w:rPr>
          <w:rFonts w:ascii="Palatino Linotype" w:hAnsi="Palatino Linotype"/>
          <w:i/>
          <w:sz w:val="22"/>
        </w:rPr>
      </w:pPr>
      <w:r w:rsidRPr="00DF3D1E">
        <w:rPr>
          <w:rFonts w:ascii="Palatino Linotype" w:hAnsi="Palatino Linotype"/>
          <w:i/>
          <w:sz w:val="22"/>
        </w:rPr>
        <w:t>…</w:t>
      </w:r>
    </w:p>
    <w:p w14:paraId="58ADBE22" w14:textId="103DF9CB" w:rsidR="00F35110" w:rsidRDefault="00F35110" w:rsidP="00F35110">
      <w:pPr>
        <w:pStyle w:val="Prrafodelista"/>
        <w:numPr>
          <w:ilvl w:val="0"/>
          <w:numId w:val="2"/>
        </w:numPr>
        <w:spacing w:line="360" w:lineRule="auto"/>
        <w:ind w:left="0" w:firstLine="0"/>
        <w:jc w:val="both"/>
        <w:rPr>
          <w:rFonts w:ascii="Palatino Linotype" w:hAnsi="Palatino Linotype"/>
          <w:sz w:val="24"/>
        </w:rPr>
      </w:pPr>
      <w:r w:rsidRPr="00F35110">
        <w:rPr>
          <w:rFonts w:ascii="Palatino Linotype" w:hAnsi="Palatino Linotype"/>
          <w:sz w:val="24"/>
        </w:rPr>
        <w:t xml:space="preserve">En ese sentido, toda vez que los exámenes referidos forman parte conjunta del proceso de evaluación para obtener la certificación de aprobación de los exámenes de control y confianza y, es el Centro de Control de Confianza, la dependencia encargada de aplicar y expedir el </w:t>
      </w:r>
      <w:r w:rsidRPr="00F35110">
        <w:rPr>
          <w:rFonts w:ascii="Palatino Linotype" w:hAnsi="Palatino Linotype"/>
          <w:b/>
          <w:sz w:val="24"/>
        </w:rPr>
        <w:t>certificado de aprobación o no aprobación</w:t>
      </w:r>
      <w:r w:rsidRPr="00F35110">
        <w:rPr>
          <w:rFonts w:ascii="Palatino Linotype" w:hAnsi="Palatino Linotype"/>
          <w:sz w:val="24"/>
        </w:rPr>
        <w:t xml:space="preserve">. En consecuencia, al ser una obligación de los integrantes del cuerpo de seguridad de las instituciones para el ingreso y permanencia contar con dichos exámenes, es que es viable ordenar la entrega del documento donde consten </w:t>
      </w:r>
      <w:r>
        <w:rPr>
          <w:rFonts w:ascii="Palatino Linotype" w:hAnsi="Palatino Linotype"/>
          <w:sz w:val="24"/>
        </w:rPr>
        <w:t>si cuentan con el certificado de aprobación del examen de control y confianza, así como el año y su vigencia.</w:t>
      </w:r>
    </w:p>
    <w:p w14:paraId="30A58A0A" w14:textId="77777777" w:rsidR="00F35110" w:rsidRPr="00F35110" w:rsidRDefault="00F35110" w:rsidP="00F35110">
      <w:pPr>
        <w:spacing w:line="360" w:lineRule="auto"/>
        <w:jc w:val="both"/>
        <w:rPr>
          <w:rFonts w:ascii="Palatino Linotype" w:eastAsia="Calibri" w:hAnsi="Palatino Linotype" w:cs="Arial"/>
          <w:sz w:val="24"/>
        </w:rPr>
      </w:pPr>
    </w:p>
    <w:p w14:paraId="6817BFD9" w14:textId="6DC612DF" w:rsidR="00CF4944" w:rsidRPr="00F35110" w:rsidRDefault="00F35110" w:rsidP="00CF4944">
      <w:pPr>
        <w:pStyle w:val="Prrafodelista"/>
        <w:shd w:val="clear" w:color="auto" w:fill="FFFFFF"/>
        <w:tabs>
          <w:tab w:val="left" w:pos="284"/>
        </w:tabs>
        <w:spacing w:before="240" w:after="240" w:line="360" w:lineRule="auto"/>
        <w:ind w:left="0" w:right="49"/>
        <w:jc w:val="both"/>
        <w:rPr>
          <w:rFonts w:ascii="Palatino Linotype" w:hAnsi="Palatino Linotype" w:cs="Arial"/>
          <w:b/>
          <w:color w:val="000000"/>
          <w:sz w:val="24"/>
          <w:lang w:val="es-ES_tradnl"/>
        </w:rPr>
      </w:pPr>
      <w:r w:rsidRPr="00F35110">
        <w:rPr>
          <w:rFonts w:ascii="Palatino Linotype" w:hAnsi="Palatino Linotype" w:cs="Arial"/>
          <w:b/>
          <w:color w:val="000000"/>
          <w:sz w:val="24"/>
          <w:lang w:val="es-ES_tradnl"/>
        </w:rPr>
        <w:t>b) De las funciones que realizan</w:t>
      </w:r>
    </w:p>
    <w:p w14:paraId="4CA7EB2B" w14:textId="0E834B72" w:rsidR="00470FAA" w:rsidRPr="00470FAA" w:rsidRDefault="00470FAA" w:rsidP="00470FAA">
      <w:pPr>
        <w:pStyle w:val="Prrafodelista"/>
        <w:numPr>
          <w:ilvl w:val="0"/>
          <w:numId w:val="2"/>
        </w:numPr>
        <w:spacing w:line="360" w:lineRule="auto"/>
        <w:ind w:left="0" w:firstLine="0"/>
        <w:jc w:val="both"/>
        <w:rPr>
          <w:rFonts w:ascii="Palatino Linotype" w:hAnsi="Palatino Linotype" w:cs="Arial"/>
          <w:color w:val="000000" w:themeColor="text1"/>
          <w:sz w:val="24"/>
        </w:rPr>
      </w:pPr>
      <w:r w:rsidRPr="00470FAA">
        <w:rPr>
          <w:rFonts w:ascii="Palatino Linotype" w:hAnsi="Palatino Linotype" w:cs="Arial"/>
          <w:color w:val="000000" w:themeColor="text1"/>
          <w:sz w:val="24"/>
        </w:rPr>
        <w:t xml:space="preserve">El particular solicitó información relativa a </w:t>
      </w:r>
      <w:r>
        <w:rPr>
          <w:rFonts w:ascii="Palatino Linotype" w:hAnsi="Palatino Linotype" w:cs="Arial"/>
          <w:color w:val="000000" w:themeColor="text1"/>
          <w:sz w:val="24"/>
        </w:rPr>
        <w:t>las funciones que realizan los servidores públicos señalados en la solicitud.</w:t>
      </w:r>
      <w:r w:rsidRPr="00470FAA">
        <w:rPr>
          <w:rFonts w:ascii="Palatino Linotype" w:hAnsi="Palatino Linotype" w:cs="Arial"/>
          <w:color w:val="000000" w:themeColor="text1"/>
          <w:sz w:val="24"/>
        </w:rPr>
        <w:t xml:space="preserve"> Para tal efecto, es necesario traer a contexto la Ley del Trabajo de los Servidores Públicos del Estado y Municipios, la cual establece lo siguiente:</w:t>
      </w:r>
    </w:p>
    <w:p w14:paraId="60F5ADAC" w14:textId="77777777" w:rsidR="00470FAA" w:rsidRPr="00470FAA" w:rsidRDefault="00470FAA" w:rsidP="00470FAA">
      <w:pPr>
        <w:pStyle w:val="Prrafodelista"/>
        <w:spacing w:line="360" w:lineRule="auto"/>
        <w:ind w:left="0"/>
        <w:jc w:val="both"/>
        <w:rPr>
          <w:rFonts w:ascii="Palatino Linotype" w:hAnsi="Palatino Linotype" w:cs="Arial"/>
          <w:color w:val="000000" w:themeColor="text1"/>
          <w:sz w:val="24"/>
        </w:rPr>
      </w:pPr>
    </w:p>
    <w:p w14:paraId="4C1480F7" w14:textId="77777777" w:rsidR="00470FAA" w:rsidRPr="0042037B" w:rsidRDefault="00470FAA" w:rsidP="00470FAA">
      <w:pPr>
        <w:pStyle w:val="Prrafodelista"/>
        <w:spacing w:line="360" w:lineRule="auto"/>
        <w:ind w:left="567" w:right="616"/>
        <w:jc w:val="both"/>
        <w:rPr>
          <w:rFonts w:ascii="Palatino Linotype" w:hAnsi="Palatino Linotype"/>
          <w:i/>
        </w:rPr>
      </w:pPr>
      <w:r w:rsidRPr="0042037B">
        <w:rPr>
          <w:rFonts w:ascii="Palatino Linotype" w:hAnsi="Palatino Linotype"/>
          <w:i/>
        </w:rPr>
        <w:t>ARTÍCULO 4. Para efectos de esta ley se entiende:</w:t>
      </w:r>
    </w:p>
    <w:p w14:paraId="49A469A2" w14:textId="77777777" w:rsidR="00470FAA" w:rsidRPr="0042037B" w:rsidRDefault="00470FAA" w:rsidP="00470FAA">
      <w:pPr>
        <w:pStyle w:val="Prrafodelista"/>
        <w:spacing w:line="360" w:lineRule="auto"/>
        <w:ind w:left="567" w:right="616"/>
        <w:jc w:val="both"/>
        <w:rPr>
          <w:rFonts w:ascii="Palatino Linotype" w:hAnsi="Palatino Linotype" w:cs="Arial"/>
          <w:i/>
          <w:color w:val="000000" w:themeColor="text1"/>
        </w:rPr>
      </w:pPr>
      <w:r w:rsidRPr="0042037B">
        <w:rPr>
          <w:rFonts w:ascii="Palatino Linotype" w:hAnsi="Palatino Linotype"/>
          <w:i/>
        </w:rPr>
        <w:lastRenderedPageBreak/>
        <w:t>…</w:t>
      </w:r>
    </w:p>
    <w:p w14:paraId="437546E4" w14:textId="77777777" w:rsidR="00470FAA" w:rsidRPr="0042037B" w:rsidRDefault="00470FAA" w:rsidP="00470FAA">
      <w:pPr>
        <w:pStyle w:val="Prrafodelista"/>
        <w:spacing w:line="360" w:lineRule="auto"/>
        <w:ind w:left="567" w:right="616"/>
        <w:jc w:val="both"/>
        <w:rPr>
          <w:rFonts w:ascii="Palatino Linotype" w:hAnsi="Palatino Linotype"/>
          <w:b/>
          <w:i/>
        </w:rPr>
      </w:pPr>
      <w:r w:rsidRPr="0042037B">
        <w:rPr>
          <w:rFonts w:ascii="Palatino Linotype" w:hAnsi="Palatino Linotype"/>
          <w:i/>
        </w:rPr>
        <w:t xml:space="preserve">VI. Servidor Público: </w:t>
      </w:r>
      <w:r w:rsidRPr="0042037B">
        <w:rPr>
          <w:rFonts w:ascii="Palatino Linotype" w:hAnsi="Palatino Linotype"/>
          <w:b/>
          <w:i/>
        </w:rPr>
        <w:t>A toda persona física que preste a una institución pública un trabajo personal subordinado de carácter material o intelectual, o de ambos géneros, mediante el pago de un sueldo.</w:t>
      </w:r>
    </w:p>
    <w:p w14:paraId="052D66E8" w14:textId="77777777" w:rsidR="00470FAA" w:rsidRPr="0042037B" w:rsidRDefault="00470FAA" w:rsidP="00470FAA">
      <w:pPr>
        <w:pStyle w:val="Prrafodelista"/>
        <w:spacing w:line="360" w:lineRule="auto"/>
        <w:ind w:left="567" w:right="616"/>
        <w:jc w:val="both"/>
        <w:rPr>
          <w:rFonts w:ascii="Palatino Linotype" w:hAnsi="Palatino Linotype" w:cs="Arial"/>
          <w:i/>
          <w:color w:val="000000" w:themeColor="text1"/>
        </w:rPr>
      </w:pPr>
      <w:r w:rsidRPr="0042037B">
        <w:rPr>
          <w:rFonts w:ascii="Palatino Linotype" w:hAnsi="Palatino Linotype"/>
          <w:i/>
        </w:rPr>
        <w:t>…</w:t>
      </w:r>
    </w:p>
    <w:p w14:paraId="39D19019" w14:textId="77777777" w:rsidR="00470FAA" w:rsidRPr="0042037B" w:rsidRDefault="00470FAA" w:rsidP="00470FAA">
      <w:pPr>
        <w:pStyle w:val="Prrafodelista"/>
        <w:spacing w:line="360" w:lineRule="auto"/>
        <w:ind w:left="567" w:right="616"/>
        <w:jc w:val="both"/>
        <w:rPr>
          <w:rFonts w:ascii="Palatino Linotype" w:hAnsi="Palatino Linotype" w:cs="Arial"/>
          <w:i/>
          <w:color w:val="000000" w:themeColor="text1"/>
        </w:rPr>
      </w:pPr>
    </w:p>
    <w:p w14:paraId="3791E34D" w14:textId="77777777" w:rsidR="00470FAA" w:rsidRPr="0042037B" w:rsidRDefault="00470FAA" w:rsidP="00470FAA">
      <w:pPr>
        <w:pStyle w:val="Prrafodelista"/>
        <w:spacing w:line="360" w:lineRule="auto"/>
        <w:ind w:left="567" w:right="616"/>
        <w:jc w:val="both"/>
        <w:rPr>
          <w:rFonts w:ascii="Palatino Linotype" w:hAnsi="Palatino Linotype" w:cs="Arial"/>
          <w:i/>
          <w:color w:val="000000" w:themeColor="text1"/>
        </w:rPr>
      </w:pPr>
      <w:r w:rsidRPr="0042037B">
        <w:rPr>
          <w:rFonts w:ascii="Palatino Linotype" w:hAnsi="Palatino Linotype"/>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72C9E11A" w14:textId="77777777" w:rsidR="00470FAA" w:rsidRDefault="00470FAA" w:rsidP="00470FAA">
      <w:pPr>
        <w:pStyle w:val="Prrafodelista"/>
        <w:spacing w:line="360" w:lineRule="auto"/>
        <w:ind w:left="0"/>
        <w:jc w:val="both"/>
        <w:rPr>
          <w:rFonts w:ascii="Palatino Linotype" w:hAnsi="Palatino Linotype" w:cs="Arial"/>
          <w:color w:val="000000" w:themeColor="text1"/>
        </w:rPr>
      </w:pPr>
    </w:p>
    <w:p w14:paraId="45CDA45F" w14:textId="77777777" w:rsidR="00470FAA" w:rsidRPr="00470FAA" w:rsidRDefault="00470FAA" w:rsidP="00470FAA">
      <w:pPr>
        <w:pStyle w:val="Prrafodelista"/>
        <w:numPr>
          <w:ilvl w:val="0"/>
          <w:numId w:val="2"/>
        </w:numPr>
        <w:spacing w:line="360" w:lineRule="auto"/>
        <w:ind w:left="0" w:firstLine="0"/>
        <w:jc w:val="both"/>
        <w:rPr>
          <w:rFonts w:ascii="Palatino Linotype" w:hAnsi="Palatino Linotype" w:cs="Arial"/>
          <w:color w:val="000000" w:themeColor="text1"/>
          <w:sz w:val="24"/>
        </w:rPr>
      </w:pPr>
      <w:r w:rsidRPr="00470FAA">
        <w:rPr>
          <w:rFonts w:ascii="Palatino Linotype" w:hAnsi="Palatino Linotype" w:cs="Arial"/>
          <w:color w:val="000000" w:themeColor="text1"/>
          <w:sz w:val="24"/>
        </w:rPr>
        <w:t>Es así que, se considera Servidor Público a la persona física que presta sus servicios laborales a una institución pública, dicha relación laboral, se entiende establecida a través de nombramiento, formato único de movimientos de personal o contrato.</w:t>
      </w:r>
    </w:p>
    <w:p w14:paraId="7D27A926" w14:textId="77777777" w:rsidR="00470FAA" w:rsidRPr="00470FAA" w:rsidRDefault="00470FAA" w:rsidP="00470FAA">
      <w:pPr>
        <w:pStyle w:val="Prrafodelista"/>
        <w:spacing w:line="360" w:lineRule="auto"/>
        <w:ind w:left="0"/>
        <w:jc w:val="both"/>
        <w:rPr>
          <w:rFonts w:ascii="Palatino Linotype" w:hAnsi="Palatino Linotype" w:cs="Arial"/>
          <w:color w:val="000000" w:themeColor="text1"/>
          <w:sz w:val="24"/>
        </w:rPr>
      </w:pPr>
    </w:p>
    <w:p w14:paraId="7591126F" w14:textId="77777777" w:rsidR="00470FAA" w:rsidRPr="00470FAA" w:rsidRDefault="00470FAA" w:rsidP="00470FAA">
      <w:pPr>
        <w:pStyle w:val="Prrafodelista"/>
        <w:numPr>
          <w:ilvl w:val="0"/>
          <w:numId w:val="2"/>
        </w:numPr>
        <w:spacing w:line="360" w:lineRule="auto"/>
        <w:ind w:left="0" w:firstLine="0"/>
        <w:jc w:val="both"/>
        <w:rPr>
          <w:rFonts w:ascii="Palatino Linotype" w:hAnsi="Palatino Linotype" w:cs="Arial"/>
          <w:color w:val="000000" w:themeColor="text1"/>
          <w:sz w:val="24"/>
        </w:rPr>
      </w:pPr>
      <w:r w:rsidRPr="00470FAA">
        <w:rPr>
          <w:rFonts w:ascii="Palatino Linotype" w:hAnsi="Palatino Linotype" w:cs="Arial"/>
          <w:color w:val="000000" w:themeColor="text1"/>
          <w:sz w:val="24"/>
        </w:rPr>
        <w:t>Asimismo, la Ley referida establece lo siguiente:</w:t>
      </w:r>
    </w:p>
    <w:p w14:paraId="597D2170" w14:textId="77777777" w:rsidR="00470FAA" w:rsidRPr="00154DCF" w:rsidRDefault="00470FAA" w:rsidP="00470FAA">
      <w:pPr>
        <w:pStyle w:val="Prrafodelista"/>
        <w:rPr>
          <w:rFonts w:ascii="Palatino Linotype" w:hAnsi="Palatino Linotype" w:cs="Arial"/>
          <w:color w:val="000000" w:themeColor="text1"/>
        </w:rPr>
      </w:pPr>
    </w:p>
    <w:p w14:paraId="30789BEE" w14:textId="77777777" w:rsidR="00470FAA" w:rsidRDefault="00470FAA" w:rsidP="00470FAA">
      <w:pPr>
        <w:pStyle w:val="Prrafodelista"/>
        <w:spacing w:line="360" w:lineRule="auto"/>
        <w:ind w:left="0"/>
        <w:jc w:val="both"/>
        <w:rPr>
          <w:rFonts w:ascii="Palatino Linotype" w:hAnsi="Palatino Linotype" w:cs="Arial"/>
          <w:color w:val="000000" w:themeColor="text1"/>
        </w:rPr>
      </w:pPr>
    </w:p>
    <w:p w14:paraId="1E02D5ED" w14:textId="77777777" w:rsidR="00470FAA" w:rsidRPr="00154DCF" w:rsidRDefault="00470FAA" w:rsidP="00470FAA">
      <w:pPr>
        <w:pStyle w:val="Prrafodelista"/>
        <w:spacing w:line="360" w:lineRule="auto"/>
        <w:ind w:left="567" w:right="616"/>
        <w:jc w:val="center"/>
        <w:rPr>
          <w:rFonts w:ascii="Palatino Linotype" w:hAnsi="Palatino Linotype"/>
          <w:b/>
        </w:rPr>
      </w:pPr>
      <w:r w:rsidRPr="00154DCF">
        <w:rPr>
          <w:rFonts w:ascii="Palatino Linotype" w:hAnsi="Palatino Linotype"/>
          <w:b/>
        </w:rPr>
        <w:t>TITULO TERCERO</w:t>
      </w:r>
    </w:p>
    <w:p w14:paraId="6DD59E1E" w14:textId="77777777" w:rsidR="00470FAA" w:rsidRPr="00154DCF" w:rsidRDefault="00470FAA" w:rsidP="00470FAA">
      <w:pPr>
        <w:pStyle w:val="Prrafodelista"/>
        <w:spacing w:line="360" w:lineRule="auto"/>
        <w:ind w:left="567" w:right="616"/>
        <w:jc w:val="center"/>
        <w:rPr>
          <w:rFonts w:ascii="Palatino Linotype" w:hAnsi="Palatino Linotype"/>
          <w:b/>
        </w:rPr>
      </w:pPr>
      <w:r w:rsidRPr="00154DCF">
        <w:rPr>
          <w:rFonts w:ascii="Palatino Linotype" w:hAnsi="Palatino Linotype"/>
          <w:b/>
        </w:rPr>
        <w:t>De los Derechos y Obligaciones Individuales de los Servidores Públicos</w:t>
      </w:r>
    </w:p>
    <w:p w14:paraId="371FC781" w14:textId="77777777" w:rsidR="00470FAA" w:rsidRPr="00154DCF" w:rsidRDefault="00470FAA" w:rsidP="00470FAA">
      <w:pPr>
        <w:pStyle w:val="Prrafodelista"/>
        <w:spacing w:line="360" w:lineRule="auto"/>
        <w:ind w:left="567" w:right="616"/>
        <w:jc w:val="center"/>
        <w:rPr>
          <w:rFonts w:ascii="Palatino Linotype" w:hAnsi="Palatino Linotype"/>
          <w:b/>
        </w:rPr>
      </w:pPr>
      <w:r w:rsidRPr="00154DCF">
        <w:rPr>
          <w:rFonts w:ascii="Palatino Linotype" w:hAnsi="Palatino Linotype"/>
          <w:b/>
        </w:rPr>
        <w:t>CAPITULO I</w:t>
      </w:r>
    </w:p>
    <w:p w14:paraId="59357B33" w14:textId="77777777" w:rsidR="00470FAA" w:rsidRPr="00154DCF" w:rsidRDefault="00470FAA" w:rsidP="00470FAA">
      <w:pPr>
        <w:pStyle w:val="Prrafodelista"/>
        <w:spacing w:line="360" w:lineRule="auto"/>
        <w:ind w:left="567" w:right="616"/>
        <w:jc w:val="center"/>
        <w:rPr>
          <w:rFonts w:ascii="Palatino Linotype" w:hAnsi="Palatino Linotype"/>
          <w:b/>
        </w:rPr>
      </w:pPr>
      <w:r w:rsidRPr="00154DCF">
        <w:rPr>
          <w:rFonts w:ascii="Palatino Linotype" w:hAnsi="Palatino Linotype"/>
          <w:b/>
        </w:rPr>
        <w:t>Del Ingreso al Servicio Público</w:t>
      </w:r>
    </w:p>
    <w:p w14:paraId="73C43D79" w14:textId="77777777" w:rsidR="00470FAA" w:rsidRDefault="00470FAA" w:rsidP="00470FAA">
      <w:pPr>
        <w:pStyle w:val="Prrafodelista"/>
        <w:spacing w:line="360" w:lineRule="auto"/>
        <w:ind w:left="567" w:right="616"/>
        <w:jc w:val="both"/>
      </w:pPr>
    </w:p>
    <w:p w14:paraId="4A774504" w14:textId="77777777" w:rsidR="00470FAA" w:rsidRPr="00154DCF" w:rsidRDefault="00470FAA" w:rsidP="00470FAA">
      <w:pPr>
        <w:pStyle w:val="Prrafodelista"/>
        <w:spacing w:line="360" w:lineRule="auto"/>
        <w:ind w:left="567" w:right="616"/>
        <w:jc w:val="both"/>
        <w:rPr>
          <w:rFonts w:ascii="Palatino Linotype" w:hAnsi="Palatino Linotype" w:cs="Arial"/>
          <w:i/>
          <w:color w:val="000000" w:themeColor="text1"/>
        </w:rPr>
      </w:pPr>
      <w:r w:rsidRPr="00154DCF">
        <w:rPr>
          <w:rFonts w:ascii="Palatino Linotype" w:hAnsi="Palatino Linotype"/>
          <w:i/>
        </w:rPr>
        <w:lastRenderedPageBreak/>
        <w:t>ARTÍCULO 45.-Los servidores públicos prestarán sus servicios mediante nombramiento, contrato o formato único de Movimientos de Personal expedidos por quien estuviere facultado legalmente para extenderlo.</w:t>
      </w:r>
    </w:p>
    <w:p w14:paraId="5C9F803F" w14:textId="77777777" w:rsidR="00470FAA" w:rsidRPr="00154DCF" w:rsidRDefault="00470FAA" w:rsidP="00470FAA">
      <w:pPr>
        <w:spacing w:line="360" w:lineRule="auto"/>
        <w:ind w:left="567" w:right="616"/>
        <w:jc w:val="both"/>
        <w:rPr>
          <w:rFonts w:ascii="Palatino Linotype" w:hAnsi="Palatino Linotype" w:cs="Arial"/>
          <w:i/>
          <w:color w:val="000000" w:themeColor="text1"/>
          <w:sz w:val="22"/>
        </w:rPr>
      </w:pPr>
    </w:p>
    <w:p w14:paraId="6E07C9E6"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ARTÍCULO 47. Para ingresar al servicio público se requiere: </w:t>
      </w:r>
    </w:p>
    <w:p w14:paraId="3BD974AA"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 Presentar una solicitud utilizando la forma oficial que se autorice por la institución pública o dependencia correspondiente; </w:t>
      </w:r>
    </w:p>
    <w:p w14:paraId="205D7E31"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II. Ser de nacionalidad mexicana, con la excepción prevista en el artículo 17 de la presente ley; </w:t>
      </w:r>
    </w:p>
    <w:p w14:paraId="3DBEEEE0"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III. Estar en pleno ejercicio de sus derechos civiles y políticos, en su caso; </w:t>
      </w:r>
    </w:p>
    <w:p w14:paraId="60DECF61"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IV. Acreditar, cuando proceda, el cumplimiento de la Ley del Servicio Militar Nacional; </w:t>
      </w:r>
    </w:p>
    <w:p w14:paraId="5EC6AB6E"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 Derogada. </w:t>
      </w:r>
    </w:p>
    <w:p w14:paraId="06AB8A15"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VI. No haber sido separado anteriormente del servicio por las causas previstas en el artículo 93 de la presente ley; </w:t>
      </w:r>
    </w:p>
    <w:p w14:paraId="7DDD096A"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VII. Tener buena salud, lo que se comprobará con los certificados médicos correspondientes, en la forma en que se establezca en cada institución pública; </w:t>
      </w:r>
    </w:p>
    <w:p w14:paraId="23BF13C8"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VIII. Cumplir con los requisitos que se establezcan para los diferentes puestos; </w:t>
      </w:r>
    </w:p>
    <w:p w14:paraId="7466A543"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IX. Acreditar por medio de los exámenes correspondientes los conocimientos y aptitudes necesarios para el desempeño del puesto; y </w:t>
      </w:r>
    </w:p>
    <w:p w14:paraId="20DEF1BB"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X. No estar inhabilitado para el ejercicio del servicio público. </w:t>
      </w:r>
    </w:p>
    <w:p w14:paraId="23EC461D" w14:textId="77777777" w:rsidR="00470FAA"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XI. Presentar certificado expedido por la Unidad del Registro de Deudores Alimentarios Morosos en el que conste, si se encuentra inscrito o no en el mismo. </w:t>
      </w:r>
    </w:p>
    <w:p w14:paraId="3A4A7C56" w14:textId="77777777" w:rsidR="00470FAA" w:rsidRDefault="00470FAA" w:rsidP="00470FAA">
      <w:pPr>
        <w:spacing w:line="360" w:lineRule="auto"/>
        <w:ind w:left="567" w:right="616"/>
        <w:jc w:val="both"/>
        <w:rPr>
          <w:rFonts w:ascii="Palatino Linotype" w:hAnsi="Palatino Linotype"/>
          <w:i/>
          <w:sz w:val="22"/>
        </w:rPr>
      </w:pPr>
    </w:p>
    <w:p w14:paraId="5690B2C0" w14:textId="77777777" w:rsidR="00470FAA" w:rsidRPr="00154DCF" w:rsidRDefault="00470FAA" w:rsidP="00470FAA">
      <w:pPr>
        <w:spacing w:line="360" w:lineRule="auto"/>
        <w:ind w:left="567" w:right="616"/>
        <w:jc w:val="both"/>
        <w:rPr>
          <w:rFonts w:ascii="Palatino Linotype" w:hAnsi="Palatino Linotype" w:cs="Arial"/>
          <w:i/>
          <w:color w:val="000000" w:themeColor="text1"/>
          <w:sz w:val="22"/>
        </w:rPr>
      </w:pPr>
      <w:r w:rsidRPr="00154DCF">
        <w:rPr>
          <w:rFonts w:ascii="Palatino Linotype" w:hAnsi="Palatino Linotype"/>
          <w:i/>
          <w:sz w:val="22"/>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82662D8" w14:textId="77777777" w:rsidR="00470FAA" w:rsidRPr="00154DCF" w:rsidRDefault="00470FAA" w:rsidP="00470FAA">
      <w:pPr>
        <w:spacing w:line="360" w:lineRule="auto"/>
        <w:ind w:left="567" w:right="616"/>
        <w:jc w:val="both"/>
        <w:rPr>
          <w:rFonts w:ascii="Palatino Linotype" w:hAnsi="Palatino Linotype" w:cs="Arial"/>
          <w:i/>
          <w:color w:val="000000" w:themeColor="text1"/>
          <w:sz w:val="22"/>
        </w:rPr>
      </w:pPr>
    </w:p>
    <w:p w14:paraId="43AAABF2" w14:textId="77777777" w:rsidR="00470FAA" w:rsidRPr="00154DCF" w:rsidRDefault="00470FAA" w:rsidP="00470FAA">
      <w:pPr>
        <w:spacing w:line="360" w:lineRule="auto"/>
        <w:ind w:left="567" w:right="616"/>
        <w:jc w:val="both"/>
        <w:rPr>
          <w:rFonts w:ascii="Palatino Linotype" w:hAnsi="Palatino Linotype" w:cs="Arial"/>
          <w:i/>
          <w:color w:val="000000" w:themeColor="text1"/>
          <w:sz w:val="22"/>
        </w:rPr>
      </w:pPr>
    </w:p>
    <w:p w14:paraId="05933497" w14:textId="77777777" w:rsidR="00470FAA" w:rsidRPr="00154DCF"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ARTÍCULO 48. Para iniciar la prestación de los servicios se requiere: </w:t>
      </w:r>
    </w:p>
    <w:p w14:paraId="7B5537E1" w14:textId="77777777" w:rsidR="00470FAA" w:rsidRPr="00154DCF" w:rsidRDefault="00470FAA" w:rsidP="00470FAA">
      <w:pPr>
        <w:spacing w:line="360" w:lineRule="auto"/>
        <w:ind w:left="567" w:right="616"/>
        <w:jc w:val="both"/>
        <w:rPr>
          <w:rFonts w:ascii="Palatino Linotype" w:hAnsi="Palatino Linotype"/>
          <w:b/>
          <w:i/>
          <w:sz w:val="22"/>
        </w:rPr>
      </w:pPr>
      <w:r w:rsidRPr="00154DCF">
        <w:rPr>
          <w:rFonts w:ascii="Palatino Linotype" w:hAnsi="Palatino Linotype"/>
          <w:b/>
          <w:i/>
          <w:sz w:val="22"/>
        </w:rPr>
        <w:t xml:space="preserve">I. Tener conferido el nombramiento, contrato respectivo o formato único de Movimientos de Personal; </w:t>
      </w:r>
    </w:p>
    <w:p w14:paraId="0F4DA754" w14:textId="77777777" w:rsidR="00470FAA" w:rsidRPr="00154DCF" w:rsidRDefault="00470FAA" w:rsidP="00470FAA">
      <w:pPr>
        <w:spacing w:line="360" w:lineRule="auto"/>
        <w:ind w:left="567" w:right="616"/>
        <w:jc w:val="both"/>
        <w:rPr>
          <w:rFonts w:ascii="Palatino Linotype" w:hAnsi="Palatino Linotype"/>
          <w:i/>
          <w:sz w:val="22"/>
        </w:rPr>
      </w:pPr>
      <w:r w:rsidRPr="00154DCF">
        <w:rPr>
          <w:rFonts w:ascii="Palatino Linotype" w:hAnsi="Palatino Linotype"/>
          <w:i/>
          <w:sz w:val="22"/>
        </w:rPr>
        <w:t xml:space="preserve">II. Rendir la protesta de ley en caso de nombramiento; y </w:t>
      </w:r>
    </w:p>
    <w:p w14:paraId="31190D45" w14:textId="77777777" w:rsidR="00470FAA" w:rsidRPr="00154DCF" w:rsidRDefault="00470FAA" w:rsidP="00470FAA">
      <w:pPr>
        <w:spacing w:line="360" w:lineRule="auto"/>
        <w:ind w:left="567" w:right="616"/>
        <w:jc w:val="both"/>
        <w:rPr>
          <w:rFonts w:ascii="Palatino Linotype" w:hAnsi="Palatino Linotype" w:cs="Arial"/>
          <w:i/>
          <w:color w:val="000000" w:themeColor="text1"/>
          <w:sz w:val="22"/>
        </w:rPr>
      </w:pPr>
      <w:r w:rsidRPr="00154DCF">
        <w:rPr>
          <w:rFonts w:ascii="Palatino Linotype" w:hAnsi="Palatino Linotype"/>
          <w:i/>
          <w:sz w:val="22"/>
        </w:rPr>
        <w:t>III. Tomar posesión del cargo.</w:t>
      </w:r>
    </w:p>
    <w:p w14:paraId="291EDC0C" w14:textId="77777777" w:rsidR="00470FAA" w:rsidRDefault="00470FAA" w:rsidP="00470FAA">
      <w:pPr>
        <w:rPr>
          <w:rFonts w:ascii="Palatino Linotype" w:hAnsi="Palatino Linotype" w:cs="Arial"/>
          <w:color w:val="000000" w:themeColor="text1"/>
        </w:rPr>
      </w:pPr>
    </w:p>
    <w:p w14:paraId="1FEC72E1" w14:textId="77777777" w:rsidR="00470FAA" w:rsidRPr="00154DCF" w:rsidRDefault="00470FAA" w:rsidP="00470FAA">
      <w:pPr>
        <w:rPr>
          <w:rFonts w:ascii="Palatino Linotype" w:hAnsi="Palatino Linotype" w:cs="Arial"/>
          <w:color w:val="000000" w:themeColor="text1"/>
        </w:rPr>
      </w:pPr>
    </w:p>
    <w:p w14:paraId="4CFFF642" w14:textId="068655BA" w:rsidR="00470FAA" w:rsidRDefault="00470FAA" w:rsidP="00470FAA">
      <w:pPr>
        <w:pStyle w:val="Prrafodelista"/>
        <w:numPr>
          <w:ilvl w:val="0"/>
          <w:numId w:val="2"/>
        </w:numPr>
        <w:spacing w:line="360" w:lineRule="auto"/>
        <w:ind w:left="0" w:firstLine="0"/>
        <w:jc w:val="both"/>
        <w:rPr>
          <w:rFonts w:ascii="Palatino Linotype" w:hAnsi="Palatino Linotype" w:cs="Arial"/>
          <w:color w:val="000000" w:themeColor="text1"/>
          <w:sz w:val="24"/>
        </w:rPr>
      </w:pPr>
      <w:r w:rsidRPr="001F6677">
        <w:rPr>
          <w:rFonts w:ascii="Palatino Linotype" w:hAnsi="Palatino Linotype" w:cs="Arial"/>
          <w:color w:val="000000" w:themeColor="text1"/>
          <w:sz w:val="24"/>
        </w:rPr>
        <w:t>Para el ingreso al Servicio Público se debe contar con nombramiento, formato único de movimiento de p</w:t>
      </w:r>
      <w:r w:rsidR="001F6677" w:rsidRPr="001F6677">
        <w:rPr>
          <w:rFonts w:ascii="Palatino Linotype" w:hAnsi="Palatino Linotype" w:cs="Arial"/>
          <w:color w:val="000000" w:themeColor="text1"/>
          <w:sz w:val="24"/>
        </w:rPr>
        <w:t>ersonal o contrato. Por su parte, el nombramiento, de acuerdo al artículo 49 de la citada ley debe contener los siguientes elementos</w:t>
      </w:r>
      <w:r w:rsidR="001F6677">
        <w:rPr>
          <w:rFonts w:ascii="Palatino Linotype" w:hAnsi="Palatino Linotype" w:cs="Arial"/>
          <w:color w:val="000000" w:themeColor="text1"/>
          <w:sz w:val="24"/>
        </w:rPr>
        <w:t>:</w:t>
      </w:r>
    </w:p>
    <w:p w14:paraId="4989FAEE" w14:textId="77777777" w:rsidR="001F6677" w:rsidRDefault="001F6677" w:rsidP="001F6677">
      <w:pPr>
        <w:pStyle w:val="Prrafodelista"/>
        <w:spacing w:line="360" w:lineRule="auto"/>
        <w:ind w:left="0"/>
        <w:jc w:val="both"/>
        <w:rPr>
          <w:rFonts w:ascii="Palatino Linotype" w:hAnsi="Palatino Linotype" w:cs="Arial"/>
          <w:color w:val="000000" w:themeColor="text1"/>
          <w:sz w:val="24"/>
        </w:rPr>
      </w:pPr>
    </w:p>
    <w:p w14:paraId="28D33DBE"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4AF4689B"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p>
    <w:p w14:paraId="1D5DE032"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Nombre completo del servidor público; </w:t>
      </w:r>
    </w:p>
    <w:p w14:paraId="356EA87E" w14:textId="77777777" w:rsidR="001F6677" w:rsidRPr="001F6677" w:rsidRDefault="001F6677" w:rsidP="001F6677">
      <w:pPr>
        <w:spacing w:line="360" w:lineRule="auto"/>
        <w:ind w:left="567" w:right="567"/>
        <w:jc w:val="both"/>
        <w:rPr>
          <w:rFonts w:ascii="Palatino Linotype" w:eastAsia="Palatino Linotype" w:hAnsi="Palatino Linotype" w:cs="Palatino Linotype"/>
          <w:b/>
          <w:i/>
          <w:sz w:val="22"/>
          <w:szCs w:val="22"/>
        </w:rPr>
      </w:pPr>
      <w:r w:rsidRPr="001F6677">
        <w:rPr>
          <w:rFonts w:ascii="Palatino Linotype" w:eastAsia="Palatino Linotype" w:hAnsi="Palatino Linotype" w:cs="Palatino Linotype"/>
          <w:b/>
          <w:i/>
          <w:sz w:val="22"/>
          <w:szCs w:val="22"/>
        </w:rPr>
        <w:t xml:space="preserve">II. Cargo para el que es designado, fecha de inicio de sus servicios y lugar de adscripción; </w:t>
      </w:r>
    </w:p>
    <w:p w14:paraId="7142CACE"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III. Carácter del nombramiento, ya sea de servidores públicos generales o de confianza, así como la temporalidad del mismo; </w:t>
      </w:r>
    </w:p>
    <w:p w14:paraId="2A6B234B"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Remuneración correspondiente al puesto; </w:t>
      </w:r>
    </w:p>
    <w:p w14:paraId="6B35C1CB" w14:textId="77777777" w:rsidR="001F6677" w:rsidRDefault="001F6677" w:rsidP="001F6677">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Jornada de trabajo; </w:t>
      </w:r>
    </w:p>
    <w:p w14:paraId="085888E1"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Derogada; </w:t>
      </w:r>
    </w:p>
    <w:p w14:paraId="4787C43A" w14:textId="77777777" w:rsidR="001F6677" w:rsidRDefault="001F6677" w:rsidP="001F6677">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564FE3D1" w14:textId="77777777" w:rsidR="001F6677" w:rsidRDefault="001F6677" w:rsidP="001F6677">
      <w:pPr>
        <w:pStyle w:val="Prrafodelista"/>
        <w:spacing w:line="360" w:lineRule="auto"/>
        <w:ind w:left="0"/>
        <w:jc w:val="both"/>
        <w:rPr>
          <w:rFonts w:ascii="Palatino Linotype" w:hAnsi="Palatino Linotype" w:cs="Arial"/>
          <w:color w:val="000000" w:themeColor="text1"/>
          <w:sz w:val="24"/>
        </w:rPr>
      </w:pPr>
    </w:p>
    <w:p w14:paraId="4704CAF4" w14:textId="7F6216AF" w:rsidR="001F6677" w:rsidRDefault="001F6677" w:rsidP="00470FAA">
      <w:pPr>
        <w:pStyle w:val="Prrafodelista"/>
        <w:numPr>
          <w:ilvl w:val="0"/>
          <w:numId w:val="2"/>
        </w:numPr>
        <w:spacing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Entre los elementos que debe contener el nombramiento resaltan el cargo, inicio de actividades y lugar de adscripción, con esto se entiende que al señalar el cargo que ostentan debe existir un documento en el que se señalen las funciones, actividades, obligaciones y atribuciones que debe desarrollar o desempeñar derivado del cargo que ostenta.</w:t>
      </w:r>
    </w:p>
    <w:p w14:paraId="62C7A117" w14:textId="77777777" w:rsidR="001F6677" w:rsidRDefault="001F6677" w:rsidP="001F6677">
      <w:pPr>
        <w:pStyle w:val="Prrafodelista"/>
        <w:spacing w:line="360" w:lineRule="auto"/>
        <w:ind w:left="0"/>
        <w:jc w:val="both"/>
        <w:rPr>
          <w:rFonts w:ascii="Palatino Linotype" w:hAnsi="Palatino Linotype" w:cs="Arial"/>
          <w:color w:val="000000" w:themeColor="text1"/>
          <w:sz w:val="24"/>
        </w:rPr>
      </w:pPr>
    </w:p>
    <w:p w14:paraId="50AAABA2" w14:textId="77777777" w:rsidR="001F6677" w:rsidRDefault="001F6677" w:rsidP="001F6677">
      <w:pPr>
        <w:pStyle w:val="Prrafodelista"/>
        <w:numPr>
          <w:ilvl w:val="0"/>
          <w:numId w:val="2"/>
        </w:numPr>
        <w:spacing w:line="360" w:lineRule="auto"/>
        <w:ind w:left="0" w:firstLine="0"/>
        <w:jc w:val="both"/>
        <w:rPr>
          <w:rFonts w:ascii="Palatino Linotype" w:eastAsia="Calibri" w:hAnsi="Palatino Linotype"/>
          <w:sz w:val="24"/>
          <w:lang w:val="es-ES_tradnl"/>
        </w:rPr>
      </w:pPr>
      <w:r w:rsidRPr="00893431">
        <w:rPr>
          <w:rFonts w:ascii="Palatino Linotype" w:eastAsia="Calibri" w:hAnsi="Palatino Linotype"/>
          <w:sz w:val="24"/>
          <w:lang w:val="es-ES_tradnl"/>
        </w:rPr>
        <w:t>Además, la información requerida por el particular corresponde a información pública de oficio que deben publicar los Sujetos Obligados en sus portales electrónicos, conforme a lo dispuesto en el artículo 92 fracción II, de la Ley de Transparencia y Acceso a la Información Pública del Estado de México y Municipios:</w:t>
      </w:r>
    </w:p>
    <w:p w14:paraId="65B47A32" w14:textId="77777777" w:rsidR="001F6677" w:rsidRPr="00893431" w:rsidRDefault="001F6677" w:rsidP="001F6677">
      <w:pPr>
        <w:pStyle w:val="Prrafodelista"/>
        <w:spacing w:line="360" w:lineRule="auto"/>
        <w:ind w:left="0"/>
        <w:jc w:val="both"/>
        <w:rPr>
          <w:rFonts w:ascii="Palatino Linotype" w:eastAsia="Calibri" w:hAnsi="Palatino Linotype"/>
          <w:sz w:val="24"/>
          <w:lang w:val="es-ES_tradnl"/>
        </w:rPr>
      </w:pPr>
    </w:p>
    <w:p w14:paraId="57C0B730" w14:textId="77777777" w:rsidR="001F6677" w:rsidRPr="00893431" w:rsidRDefault="001F6677" w:rsidP="001F6677">
      <w:pPr>
        <w:pStyle w:val="Prrafodelista"/>
        <w:spacing w:line="360" w:lineRule="auto"/>
        <w:ind w:left="567" w:right="616"/>
        <w:jc w:val="center"/>
        <w:rPr>
          <w:rFonts w:ascii="Palatino Linotype" w:hAnsi="Palatino Linotype"/>
          <w:b/>
          <w:bCs/>
          <w:i/>
          <w:iCs/>
        </w:rPr>
      </w:pPr>
      <w:r w:rsidRPr="00893431">
        <w:rPr>
          <w:rFonts w:ascii="Palatino Linotype" w:hAnsi="Palatino Linotype"/>
          <w:b/>
          <w:bCs/>
          <w:i/>
          <w:iCs/>
        </w:rPr>
        <w:t>Capítulo II</w:t>
      </w:r>
    </w:p>
    <w:p w14:paraId="1740A347" w14:textId="77777777" w:rsidR="001F6677" w:rsidRDefault="001F6677" w:rsidP="001F6677">
      <w:pPr>
        <w:pStyle w:val="Prrafodelista"/>
        <w:spacing w:line="360" w:lineRule="auto"/>
        <w:ind w:left="567" w:right="616"/>
        <w:jc w:val="center"/>
        <w:rPr>
          <w:rFonts w:ascii="Palatino Linotype" w:hAnsi="Palatino Linotype"/>
          <w:b/>
          <w:bCs/>
          <w:i/>
          <w:iCs/>
        </w:rPr>
      </w:pPr>
      <w:r w:rsidRPr="00893431">
        <w:rPr>
          <w:rFonts w:ascii="Palatino Linotype" w:hAnsi="Palatino Linotype"/>
          <w:b/>
          <w:bCs/>
          <w:i/>
          <w:iCs/>
        </w:rPr>
        <w:t>De las Obligaciones de Transparencia Comunes</w:t>
      </w:r>
    </w:p>
    <w:p w14:paraId="25C4916B" w14:textId="77777777" w:rsidR="001F6677" w:rsidRPr="00893431" w:rsidRDefault="001F6677" w:rsidP="001F6677">
      <w:pPr>
        <w:pStyle w:val="Prrafodelista"/>
        <w:spacing w:line="360" w:lineRule="auto"/>
        <w:ind w:left="567" w:right="616"/>
        <w:jc w:val="center"/>
        <w:rPr>
          <w:rFonts w:ascii="Palatino Linotype" w:eastAsia="Calibri" w:hAnsi="Palatino Linotype"/>
          <w:b/>
          <w:bCs/>
          <w:i/>
          <w:iCs/>
          <w:lang w:val="es-ES_tradnl"/>
        </w:rPr>
      </w:pPr>
    </w:p>
    <w:p w14:paraId="010B7950" w14:textId="77777777" w:rsidR="001F6677" w:rsidRPr="00893431" w:rsidRDefault="001F6677" w:rsidP="001F6677">
      <w:pPr>
        <w:spacing w:line="360" w:lineRule="auto"/>
        <w:ind w:left="567" w:right="616"/>
        <w:jc w:val="both"/>
        <w:rPr>
          <w:rFonts w:ascii="Palatino Linotype" w:eastAsia="Calibri" w:hAnsi="Palatino Linotype"/>
          <w:i/>
          <w:iCs/>
          <w:sz w:val="22"/>
          <w:szCs w:val="24"/>
          <w:lang w:val="es-ES_tradnl"/>
        </w:rPr>
      </w:pPr>
      <w:r w:rsidRPr="00893431">
        <w:rPr>
          <w:rFonts w:ascii="Palatino Linotype" w:hAnsi="Palatino Linotype"/>
          <w:i/>
          <w:iCs/>
          <w:sz w:val="22"/>
          <w:szCs w:val="24"/>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399175" w14:textId="77777777" w:rsidR="001F6677" w:rsidRPr="00893431" w:rsidRDefault="001F6677" w:rsidP="001F6677">
      <w:pPr>
        <w:pStyle w:val="Prrafodelista"/>
        <w:spacing w:line="360" w:lineRule="auto"/>
        <w:ind w:left="567" w:right="616"/>
        <w:rPr>
          <w:rFonts w:ascii="Palatino Linotype" w:eastAsia="Calibri" w:hAnsi="Palatino Linotype"/>
          <w:i/>
          <w:iCs/>
          <w:lang w:val="es-ES_tradnl"/>
        </w:rPr>
      </w:pPr>
    </w:p>
    <w:p w14:paraId="2B8E1377" w14:textId="77777777" w:rsidR="001F6677" w:rsidRPr="00893431" w:rsidRDefault="001F6677" w:rsidP="001F6677">
      <w:pPr>
        <w:pStyle w:val="Prrafodelista"/>
        <w:spacing w:line="360" w:lineRule="auto"/>
        <w:ind w:left="567" w:right="616"/>
        <w:jc w:val="both"/>
        <w:rPr>
          <w:rFonts w:ascii="Palatino Linotype" w:hAnsi="Palatino Linotype"/>
          <w:i/>
          <w:iCs/>
        </w:rPr>
      </w:pPr>
      <w:r w:rsidRPr="00893431">
        <w:rPr>
          <w:rFonts w:ascii="Palatino Linotype" w:hAnsi="Palatino Linotype"/>
          <w:i/>
          <w:iCs/>
        </w:rPr>
        <w:t xml:space="preserve">II. Su estructura orgánica completa, en un formato que permita vincular cada parte de la estructura, </w:t>
      </w:r>
      <w:r w:rsidRPr="00893431">
        <w:rPr>
          <w:rFonts w:ascii="Palatino Linotype" w:hAnsi="Palatino Linotype"/>
          <w:b/>
          <w:i/>
          <w:iCs/>
        </w:rPr>
        <w:t xml:space="preserve">las atribuciones y responsabilidades que le corresponden a cada servidor público, prestador de servicios profesionales o miembro de los sujetos obligados, </w:t>
      </w:r>
      <w:r w:rsidRPr="00893431">
        <w:rPr>
          <w:rFonts w:ascii="Palatino Linotype" w:hAnsi="Palatino Linotype"/>
          <w:i/>
          <w:iCs/>
        </w:rPr>
        <w:t>de conformidad con las disposiciones jurídicas aplicables;</w:t>
      </w:r>
    </w:p>
    <w:p w14:paraId="048D9908" w14:textId="77777777" w:rsidR="001F6677" w:rsidRPr="00893431" w:rsidRDefault="001F6677" w:rsidP="001F6677">
      <w:pPr>
        <w:pStyle w:val="Prrafodelista"/>
        <w:spacing w:line="360" w:lineRule="auto"/>
        <w:ind w:left="567" w:right="616"/>
        <w:jc w:val="both"/>
        <w:rPr>
          <w:rFonts w:ascii="Palatino Linotype" w:eastAsia="Calibri" w:hAnsi="Palatino Linotype"/>
          <w:i/>
          <w:iCs/>
          <w:lang w:val="es-ES_tradnl"/>
        </w:rPr>
      </w:pPr>
      <w:r w:rsidRPr="00893431">
        <w:rPr>
          <w:rFonts w:ascii="Palatino Linotype" w:hAnsi="Palatino Linotype"/>
          <w:i/>
          <w:iCs/>
        </w:rPr>
        <w:t>(Énfasis añadido)</w:t>
      </w:r>
    </w:p>
    <w:p w14:paraId="47348D1A" w14:textId="77777777" w:rsidR="001F6677" w:rsidRPr="00893431" w:rsidRDefault="001F6677" w:rsidP="001F6677">
      <w:pPr>
        <w:pStyle w:val="Prrafodelista"/>
        <w:spacing w:line="360" w:lineRule="auto"/>
        <w:ind w:left="0"/>
        <w:jc w:val="both"/>
        <w:rPr>
          <w:rFonts w:ascii="Palatino Linotype" w:eastAsia="Calibri" w:hAnsi="Palatino Linotype"/>
          <w:sz w:val="24"/>
          <w:lang w:val="es-ES_tradnl"/>
        </w:rPr>
      </w:pPr>
    </w:p>
    <w:p w14:paraId="461601B0" w14:textId="505FBC67" w:rsidR="001F6677" w:rsidRDefault="001F6677" w:rsidP="001F6677">
      <w:pPr>
        <w:pStyle w:val="Prrafodelista"/>
        <w:numPr>
          <w:ilvl w:val="0"/>
          <w:numId w:val="2"/>
        </w:numPr>
        <w:spacing w:line="360" w:lineRule="auto"/>
        <w:ind w:left="0" w:firstLine="0"/>
        <w:jc w:val="both"/>
        <w:rPr>
          <w:rFonts w:ascii="Palatino Linotype" w:eastAsia="Calibri" w:hAnsi="Palatino Linotype"/>
          <w:sz w:val="24"/>
          <w:lang w:val="es-ES_tradnl"/>
        </w:rPr>
      </w:pPr>
      <w:r w:rsidRPr="00893431">
        <w:rPr>
          <w:rFonts w:ascii="Palatino Linotype" w:eastAsia="Calibri" w:hAnsi="Palatino Linotype"/>
          <w:sz w:val="24"/>
          <w:lang w:val="es-ES_tradnl"/>
        </w:rPr>
        <w:t xml:space="preserve">Es así que el documento denominado estructura orgánica debe elaborarse de tal manera que permita vincular cada parte de la estructura, </w:t>
      </w:r>
      <w:r w:rsidRPr="001F6677">
        <w:rPr>
          <w:rFonts w:ascii="Palatino Linotype" w:eastAsia="Calibri" w:hAnsi="Palatino Linotype"/>
          <w:b/>
          <w:sz w:val="24"/>
          <w:lang w:val="es-ES_tradnl"/>
        </w:rPr>
        <w:t xml:space="preserve">las atribuciones y responsabilidades </w:t>
      </w:r>
      <w:r w:rsidRPr="00893431">
        <w:rPr>
          <w:rFonts w:ascii="Palatino Linotype" w:eastAsia="Calibri" w:hAnsi="Palatino Linotype"/>
          <w:b/>
          <w:sz w:val="24"/>
          <w:lang w:val="es-ES_tradnl"/>
        </w:rPr>
        <w:t>que le corresponden a cada servidor público</w:t>
      </w:r>
      <w:r w:rsidRPr="00893431">
        <w:rPr>
          <w:rFonts w:ascii="Palatino Linotype" w:eastAsia="Calibri" w:hAnsi="Palatino Linotype"/>
          <w:sz w:val="24"/>
          <w:lang w:val="es-ES_tradnl"/>
        </w:rPr>
        <w:t xml:space="preserve">, </w:t>
      </w:r>
      <w:r>
        <w:rPr>
          <w:rFonts w:ascii="Palatino Linotype" w:eastAsia="Calibri" w:hAnsi="Palatino Linotype"/>
          <w:sz w:val="24"/>
          <w:lang w:val="es-ES_tradnl"/>
        </w:rPr>
        <w:t>En consecuencia, se determina la existencia de fu</w:t>
      </w:r>
      <w:r w:rsidRPr="00893431">
        <w:rPr>
          <w:rFonts w:ascii="Palatino Linotype" w:eastAsia="Calibri" w:hAnsi="Palatino Linotype"/>
          <w:sz w:val="24"/>
          <w:lang w:val="es-ES_tradnl"/>
        </w:rPr>
        <w:t>ente obligacional para que cada servidor público parte de la estructura orgánica cuente con funciones</w:t>
      </w:r>
      <w:r>
        <w:rPr>
          <w:rFonts w:ascii="Palatino Linotype" w:eastAsia="Calibri" w:hAnsi="Palatino Linotype"/>
          <w:sz w:val="24"/>
          <w:lang w:val="es-ES_tradnl"/>
        </w:rPr>
        <w:t xml:space="preserve"> y atribuciones</w:t>
      </w:r>
      <w:r w:rsidRPr="00893431">
        <w:rPr>
          <w:rFonts w:ascii="Palatino Linotype" w:eastAsia="Calibri" w:hAnsi="Palatino Linotype"/>
          <w:sz w:val="24"/>
          <w:lang w:val="es-ES_tradnl"/>
        </w:rPr>
        <w:t xml:space="preserve"> fijadas en un documento como fundamento legal, </w:t>
      </w:r>
      <w:r>
        <w:rPr>
          <w:rFonts w:ascii="Palatino Linotype" w:eastAsia="Calibri" w:hAnsi="Palatino Linotype"/>
          <w:sz w:val="24"/>
          <w:lang w:val="es-ES_tradnl"/>
        </w:rPr>
        <w:t xml:space="preserve">ya sea bando municipal, reglamento orgánico o manual de organización, </w:t>
      </w:r>
      <w:r w:rsidRPr="00893431">
        <w:rPr>
          <w:rFonts w:ascii="Palatino Linotype" w:eastAsia="Calibri" w:hAnsi="Palatino Linotype"/>
          <w:sz w:val="24"/>
          <w:lang w:val="es-ES_tradnl"/>
        </w:rPr>
        <w:t>en consecuencia, se determina que la información debe existir y ponerse a disposición del Recurrente.</w:t>
      </w:r>
    </w:p>
    <w:p w14:paraId="1F7BCB98" w14:textId="77777777" w:rsidR="001F6677" w:rsidRDefault="001F6677" w:rsidP="001F6677">
      <w:pPr>
        <w:pStyle w:val="Prrafodelista"/>
        <w:spacing w:line="360" w:lineRule="auto"/>
        <w:ind w:left="0"/>
        <w:jc w:val="both"/>
        <w:rPr>
          <w:rFonts w:ascii="Palatino Linotype" w:hAnsi="Palatino Linotype" w:cs="Arial"/>
          <w:color w:val="000000" w:themeColor="text1"/>
          <w:sz w:val="24"/>
        </w:rPr>
      </w:pPr>
    </w:p>
    <w:p w14:paraId="6B3E50B2" w14:textId="77777777" w:rsidR="001F6677" w:rsidRDefault="001F6677" w:rsidP="001F6677">
      <w:pPr>
        <w:pStyle w:val="Prrafodelista"/>
        <w:spacing w:line="360" w:lineRule="auto"/>
        <w:ind w:left="0"/>
        <w:jc w:val="both"/>
        <w:rPr>
          <w:rFonts w:ascii="Palatino Linotype" w:hAnsi="Palatino Linotype" w:cs="Arial"/>
          <w:color w:val="000000" w:themeColor="text1"/>
          <w:sz w:val="24"/>
        </w:rPr>
      </w:pPr>
    </w:p>
    <w:bookmarkEnd w:id="9"/>
    <w:p w14:paraId="1D86F5E3" w14:textId="77777777" w:rsidR="00F35110" w:rsidRPr="00F35110" w:rsidRDefault="00F35110" w:rsidP="00F35110">
      <w:pPr>
        <w:pStyle w:val="Ttulo1"/>
        <w:rPr>
          <w:rFonts w:ascii="Palatino Linotype" w:hAnsi="Palatino Linotype"/>
          <w:b/>
          <w:color w:val="auto"/>
          <w:sz w:val="24"/>
          <w:lang w:val="es-ES_tradnl"/>
        </w:rPr>
      </w:pPr>
      <w:r w:rsidRPr="00F35110">
        <w:rPr>
          <w:rFonts w:ascii="Palatino Linotype" w:hAnsi="Palatino Linotype"/>
          <w:b/>
          <w:color w:val="auto"/>
          <w:sz w:val="24"/>
          <w:lang w:val="es-ES_tradnl"/>
        </w:rPr>
        <w:lastRenderedPageBreak/>
        <w:t>QUINTO. De la versión pública.</w:t>
      </w:r>
    </w:p>
    <w:p w14:paraId="5D93C1C8" w14:textId="77777777" w:rsidR="00F35110" w:rsidRPr="00F35110" w:rsidRDefault="00F35110" w:rsidP="00F35110">
      <w:pPr>
        <w:rPr>
          <w:rFonts w:ascii="Palatino Linotype" w:hAnsi="Palatino Linotype"/>
          <w:b/>
          <w:sz w:val="16"/>
          <w:lang w:val="es-ES_tradnl"/>
        </w:rPr>
      </w:pPr>
    </w:p>
    <w:p w14:paraId="087DF7F7" w14:textId="77777777" w:rsidR="00F35110" w:rsidRPr="00F35110" w:rsidRDefault="00F35110" w:rsidP="00F35110">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F35110">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F35110">
        <w:rPr>
          <w:rFonts w:ascii="Palatino Linotype" w:hAnsi="Palatino Linotype" w:cs="Times New Roman"/>
          <w:b/>
          <w:color w:val="auto"/>
          <w:sz w:val="24"/>
          <w:szCs w:val="24"/>
          <w:lang w:eastAsia="es-ES_tradnl"/>
        </w:rPr>
        <w:t xml:space="preserve"> </w:t>
      </w:r>
    </w:p>
    <w:p w14:paraId="525C183C" w14:textId="77777777" w:rsidR="00F35110" w:rsidRPr="001F6677" w:rsidRDefault="00F35110" w:rsidP="00F35110">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1F6677">
        <w:rPr>
          <w:rFonts w:ascii="Palatino Linotype" w:hAnsi="Palatino Linotype" w:cs="Arial"/>
          <w:color w:val="000000"/>
          <w:sz w:val="24"/>
        </w:rPr>
        <w:t>Debe destacarse que, debido a la naturaleza de la información solicitada</w:t>
      </w:r>
      <w:r w:rsidRPr="001F6677">
        <w:rPr>
          <w:rFonts w:ascii="Palatino Linotype" w:hAnsi="Palatino Linotype" w:cs="Arial"/>
          <w:b/>
          <w:color w:val="000000"/>
          <w:sz w:val="24"/>
        </w:rPr>
        <w:t xml:space="preserve">, </w:t>
      </w:r>
      <w:r w:rsidRPr="001F667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1F6677">
        <w:rPr>
          <w:rFonts w:ascii="Palatino Linotype" w:hAnsi="Palatino Linotype" w:cs="Arial"/>
          <w:b/>
          <w:bCs/>
          <w:color w:val="000000"/>
          <w:sz w:val="24"/>
        </w:rPr>
        <w:t xml:space="preserve">Sujeto Obligado </w:t>
      </w:r>
      <w:r w:rsidRPr="001F6677">
        <w:rPr>
          <w:rFonts w:ascii="Palatino Linotype" w:hAnsi="Palatino Linotype" w:cs="Arial"/>
          <w:color w:val="000000"/>
          <w:sz w:val="24"/>
        </w:rPr>
        <w:t xml:space="preserve">deberá de hacer la adecuada versión pública, protegiendo los datos que no son susceptibles de ser proporcionados. </w:t>
      </w:r>
    </w:p>
    <w:p w14:paraId="321A87FF" w14:textId="77777777" w:rsidR="00F35110" w:rsidRPr="001F6677" w:rsidRDefault="00F35110" w:rsidP="00F35110">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3EDFFF14" w14:textId="77777777" w:rsidR="00F35110" w:rsidRPr="001F6677" w:rsidRDefault="00F35110" w:rsidP="00F35110">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1F6677">
        <w:rPr>
          <w:rFonts w:ascii="Palatino Linotype" w:hAnsi="Palatino Linotype" w:cs="Arial"/>
          <w:color w:val="000000"/>
          <w:sz w:val="24"/>
          <w:szCs w:val="24"/>
        </w:rPr>
        <w:t xml:space="preserve">No pasa desapercibido para este Órgano Garante que los </w:t>
      </w:r>
      <w:r w:rsidRPr="001F6677">
        <w:rPr>
          <w:rFonts w:ascii="Palatino Linotype" w:hAnsi="Palatino Linotype" w:cs="Arial"/>
          <w:b/>
          <w:bCs/>
          <w:color w:val="000000"/>
          <w:sz w:val="24"/>
          <w:szCs w:val="24"/>
        </w:rPr>
        <w:t xml:space="preserve">Sujetos Obligados </w:t>
      </w:r>
      <w:r w:rsidRPr="001F667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2497A02" w14:textId="77777777" w:rsidR="00F35110" w:rsidRPr="00030C87" w:rsidRDefault="00F35110" w:rsidP="00F35110">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F35110" w:rsidRPr="00030C87" w14:paraId="519AF26D" w14:textId="77777777" w:rsidTr="00AD2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7DA6D1A" w14:textId="77777777" w:rsidR="00F35110" w:rsidRPr="00BE2CF3" w:rsidRDefault="00F35110" w:rsidP="00AD27F5">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1985823" w14:textId="77777777" w:rsidR="00F35110" w:rsidRPr="00BE2CF3" w:rsidRDefault="00F35110" w:rsidP="00AD27F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C79FA73" w14:textId="77777777" w:rsidR="00F35110" w:rsidRPr="00BE2CF3" w:rsidRDefault="00F35110" w:rsidP="00AD27F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1E89EF69" w14:textId="77777777" w:rsidR="00F35110" w:rsidRPr="00BE2CF3" w:rsidRDefault="00F35110" w:rsidP="00AD27F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lastRenderedPageBreak/>
              <w:t>Además, se debe señalar el procedimiento, de los tres que establecen los artículos 132 y 106 de la Ley Estatal y General, respectivamente.</w:t>
            </w:r>
          </w:p>
          <w:p w14:paraId="2CB25CB2" w14:textId="77777777" w:rsidR="00F35110" w:rsidRPr="00BE2CF3" w:rsidRDefault="00F35110" w:rsidP="00AD27F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F35110" w:rsidRPr="00030C87" w14:paraId="002CEF87" w14:textId="77777777" w:rsidTr="00AD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5330AA" w14:textId="77777777" w:rsidR="00F35110" w:rsidRPr="00BE2CF3" w:rsidRDefault="00F35110" w:rsidP="00AD27F5">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527EC744"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4AF6FEA"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96559A5" w14:textId="77777777" w:rsidR="00F35110" w:rsidRPr="00BE2CF3" w:rsidRDefault="00F35110" w:rsidP="00AD27F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5110" w:rsidRPr="00030C87" w14:paraId="2A9B067E" w14:textId="77777777" w:rsidTr="00AD27F5">
        <w:tc>
          <w:tcPr>
            <w:cnfStyle w:val="001000000000" w:firstRow="0" w:lastRow="0" w:firstColumn="1" w:lastColumn="0" w:oddVBand="0" w:evenVBand="0" w:oddHBand="0" w:evenHBand="0" w:firstRowFirstColumn="0" w:firstRowLastColumn="0" w:lastRowFirstColumn="0" w:lastRowLastColumn="0"/>
            <w:tcW w:w="1838" w:type="dxa"/>
            <w:hideMark/>
          </w:tcPr>
          <w:p w14:paraId="56EDC6B0" w14:textId="77777777" w:rsidR="00F35110" w:rsidRPr="00BE2CF3" w:rsidRDefault="00F35110" w:rsidP="00AD27F5">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7AEC3410" w14:textId="77777777" w:rsidR="00F35110" w:rsidRPr="00BE2CF3" w:rsidRDefault="00F35110" w:rsidP="00AD27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2964824" w14:textId="77777777" w:rsidR="00F35110" w:rsidRPr="00BE2CF3" w:rsidRDefault="00F35110" w:rsidP="00AD27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6A5A7081" w14:textId="77777777" w:rsidR="00F35110" w:rsidRPr="00BE2CF3" w:rsidRDefault="00F35110" w:rsidP="00AD27F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5110" w:rsidRPr="00030C87" w14:paraId="2D35FAAE" w14:textId="77777777" w:rsidTr="00AD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54CC65" w14:textId="77777777" w:rsidR="00F35110" w:rsidRPr="00BE2CF3" w:rsidRDefault="00F35110" w:rsidP="00AD27F5">
            <w:pPr>
              <w:tabs>
                <w:tab w:val="left" w:pos="284"/>
              </w:tabs>
              <w:spacing w:line="360" w:lineRule="auto"/>
              <w:rPr>
                <w:rFonts w:ascii="Palatino Linotype" w:hAnsi="Palatino Linotype"/>
                <w:b w:val="0"/>
                <w:sz w:val="20"/>
              </w:rPr>
            </w:pPr>
          </w:p>
          <w:p w14:paraId="0831F026" w14:textId="77777777" w:rsidR="00F35110" w:rsidRPr="00BE2CF3" w:rsidRDefault="00F35110" w:rsidP="00AD27F5">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7ED690C8"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087D4497"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BE2CF3">
              <w:rPr>
                <w:rFonts w:ascii="Palatino Linotype" w:hAnsi="Palatino Linotype" w:cs="Arial"/>
                <w:color w:val="000000"/>
                <w:sz w:val="20"/>
              </w:rPr>
              <w:lastRenderedPageBreak/>
              <w:t>que le dieron origen y las razones por las que se deben aplicar al caso concreto.</w:t>
            </w:r>
          </w:p>
          <w:p w14:paraId="48BD191D"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9795996"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5F6E801E" w14:textId="77777777" w:rsidR="00F35110" w:rsidRPr="00BE2CF3" w:rsidRDefault="00F35110" w:rsidP="00AD27F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5110" w:rsidRPr="00030C87" w14:paraId="2DCACC99" w14:textId="77777777" w:rsidTr="00AD27F5">
        <w:tc>
          <w:tcPr>
            <w:cnfStyle w:val="001000000000" w:firstRow="0" w:lastRow="0" w:firstColumn="1" w:lastColumn="0" w:oddVBand="0" w:evenVBand="0" w:oddHBand="0" w:evenHBand="0" w:firstRowFirstColumn="0" w:firstRowLastColumn="0" w:lastRowFirstColumn="0" w:lastRowLastColumn="0"/>
            <w:tcW w:w="1838" w:type="dxa"/>
          </w:tcPr>
          <w:p w14:paraId="0ADEC1C0" w14:textId="77777777" w:rsidR="00F35110" w:rsidRPr="00BE2CF3" w:rsidRDefault="00F35110" w:rsidP="00AD27F5">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1EBBA2BE" w14:textId="77777777" w:rsidR="00F35110" w:rsidRPr="00BE2CF3" w:rsidRDefault="00F35110" w:rsidP="00AD27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1F5F0B26" w14:textId="77777777" w:rsidR="00F35110" w:rsidRPr="00BE2CF3" w:rsidRDefault="00F35110" w:rsidP="00AD27F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3B6628" w14:textId="77777777" w:rsidR="00F35110" w:rsidRPr="00BE2CF3" w:rsidRDefault="00F35110" w:rsidP="00AD27F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817C8AC" w14:textId="77777777" w:rsidR="00F35110" w:rsidRPr="00030C87" w:rsidRDefault="00F35110" w:rsidP="00F35110">
      <w:pPr>
        <w:pStyle w:val="Prrafodelista"/>
        <w:tabs>
          <w:tab w:val="left" w:pos="284"/>
        </w:tabs>
        <w:ind w:left="0"/>
        <w:rPr>
          <w:rFonts w:ascii="Palatino Linotype" w:hAnsi="Palatino Linotype" w:cs="Arial"/>
          <w:color w:val="000000"/>
        </w:rPr>
      </w:pPr>
    </w:p>
    <w:p w14:paraId="237A4614" w14:textId="77777777" w:rsidR="00F35110" w:rsidRPr="00F35110" w:rsidRDefault="00F35110" w:rsidP="00F35110">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F35110">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E3E558C" w14:textId="77777777" w:rsidR="00F35110" w:rsidRDefault="00F35110" w:rsidP="00F35110">
      <w:pPr>
        <w:pStyle w:val="Prrafodelista"/>
        <w:tabs>
          <w:tab w:val="left" w:pos="567"/>
        </w:tabs>
        <w:spacing w:line="360" w:lineRule="auto"/>
        <w:ind w:left="0"/>
        <w:jc w:val="both"/>
        <w:rPr>
          <w:rFonts w:ascii="Palatino Linotype" w:hAnsi="Palatino Linotype" w:cs="Arial"/>
          <w:color w:val="222222"/>
          <w:sz w:val="24"/>
          <w:lang w:eastAsia="es-MX"/>
        </w:rPr>
      </w:pPr>
    </w:p>
    <w:p w14:paraId="1A568F3A" w14:textId="77777777" w:rsidR="00F35110" w:rsidRPr="00F35110" w:rsidRDefault="00F35110" w:rsidP="00F3511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7C7FFD">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7A8FA82"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 xml:space="preserve">Resultan </w:t>
      </w:r>
      <w:r w:rsidR="00F35110">
        <w:rPr>
          <w:rFonts w:ascii="Palatino Linotype" w:hAnsi="Palatino Linotype" w:cs="Arial"/>
          <w:sz w:val="24"/>
          <w:szCs w:val="24"/>
        </w:rPr>
        <w:t xml:space="preserve">parcialmente </w:t>
      </w:r>
      <w:r w:rsidRPr="00946F7F">
        <w:rPr>
          <w:rFonts w:ascii="Palatino Linotype" w:hAnsi="Palatino Linotype" w:cs="Arial"/>
          <w:sz w:val="24"/>
          <w:szCs w:val="24"/>
        </w:rPr>
        <w:t>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2861EE" w:rsidRPr="002861EE">
        <w:rPr>
          <w:rFonts w:ascii="Palatino Linotype" w:eastAsia="Calibri" w:hAnsi="Palatino Linotype" w:cs="Tahoma"/>
          <w:b/>
          <w:sz w:val="24"/>
          <w:lang w:eastAsia="en-US"/>
        </w:rPr>
        <w:t>03988/INFOEM/IP/RR/2022</w:t>
      </w:r>
      <w:r w:rsidR="00AD27F5">
        <w:rPr>
          <w:rFonts w:ascii="Palatino Linotype" w:eastAsia="Calibri" w:hAnsi="Palatino Linotype" w:cs="Tahoma"/>
          <w:b/>
          <w:sz w:val="24"/>
          <w:lang w:eastAsia="en-US"/>
        </w:rPr>
        <w:t>,</w:t>
      </w:r>
      <w:r w:rsidRPr="00301972">
        <w:rPr>
          <w:rFonts w:ascii="Palatino Linotype" w:hAnsi="Palatino Linotype"/>
          <w:b/>
          <w:sz w:val="32"/>
          <w:szCs w:val="24"/>
        </w:rPr>
        <w:t xml:space="preserve"> </w:t>
      </w:r>
      <w:r w:rsidRPr="00946F7F">
        <w:rPr>
          <w:rFonts w:ascii="Palatino Linotype" w:hAnsi="Palatino Linotype"/>
          <w:sz w:val="24"/>
          <w:szCs w:val="24"/>
        </w:rPr>
        <w:t>en términos de</w:t>
      </w:r>
      <w:r w:rsidR="00F35110">
        <w:rPr>
          <w:rFonts w:ascii="Palatino Linotype" w:hAnsi="Palatino Linotype"/>
          <w:sz w:val="24"/>
          <w:szCs w:val="24"/>
        </w:rPr>
        <w:t xml:space="preserve"> </w:t>
      </w:r>
      <w:r w:rsidRPr="00946F7F">
        <w:rPr>
          <w:rFonts w:ascii="Palatino Linotype" w:hAnsi="Palatino Linotype"/>
          <w:sz w:val="24"/>
          <w:szCs w:val="24"/>
        </w:rPr>
        <w:t>l</w:t>
      </w:r>
      <w:r w:rsidR="00F35110">
        <w:rPr>
          <w:rFonts w:ascii="Palatino Linotype" w:hAnsi="Palatino Linotype"/>
          <w:sz w:val="24"/>
          <w:szCs w:val="24"/>
        </w:rPr>
        <w:t xml:space="preserve">os </w:t>
      </w:r>
      <w:r w:rsidR="00AD27F5">
        <w:rPr>
          <w:rFonts w:ascii="Palatino Linotype" w:hAnsi="Palatino Linotype"/>
          <w:b/>
          <w:bCs/>
          <w:sz w:val="24"/>
          <w:szCs w:val="24"/>
        </w:rPr>
        <w:t>c</w:t>
      </w:r>
      <w:r w:rsidRPr="00946F7F">
        <w:rPr>
          <w:rFonts w:ascii="Palatino Linotype" w:hAnsi="Palatino Linotype"/>
          <w:b/>
          <w:bCs/>
          <w:sz w:val="24"/>
          <w:szCs w:val="24"/>
        </w:rPr>
        <w:t>onsiderando</w:t>
      </w:r>
      <w:r w:rsidR="00F35110">
        <w:rPr>
          <w:rFonts w:ascii="Palatino Linotype" w:hAnsi="Palatino Linotype"/>
          <w:b/>
          <w:bCs/>
          <w:sz w:val="24"/>
          <w:szCs w:val="24"/>
        </w:rPr>
        <w:t>s</w:t>
      </w:r>
      <w:r w:rsidRPr="00946F7F">
        <w:rPr>
          <w:rFonts w:ascii="Palatino Linotype" w:hAnsi="Palatino Linotype"/>
          <w:sz w:val="24"/>
          <w:szCs w:val="24"/>
        </w:rPr>
        <w:t xml:space="preserve"> </w:t>
      </w:r>
      <w:r w:rsidRPr="00946F7F">
        <w:rPr>
          <w:rFonts w:ascii="Palatino Linotype" w:hAnsi="Palatino Linotype"/>
          <w:b/>
          <w:sz w:val="24"/>
          <w:szCs w:val="24"/>
        </w:rPr>
        <w:t>CUARTO</w:t>
      </w:r>
      <w:r w:rsidR="00F35110">
        <w:rPr>
          <w:rFonts w:ascii="Palatino Linotype" w:hAnsi="Palatino Linotype"/>
          <w:b/>
          <w:sz w:val="24"/>
          <w:szCs w:val="24"/>
        </w:rPr>
        <w:t xml:space="preserve"> y QUINTO</w:t>
      </w:r>
      <w:r w:rsidRPr="00946F7F">
        <w:rPr>
          <w:rFonts w:ascii="Palatino Linotype" w:hAnsi="Palatino Linotype"/>
          <w:b/>
          <w:sz w:val="24"/>
          <w:szCs w:val="24"/>
        </w:rPr>
        <w:t xml:space="preserve"> </w:t>
      </w:r>
      <w:r w:rsidRPr="00946F7F">
        <w:rPr>
          <w:rFonts w:ascii="Palatino Linotype" w:hAnsi="Palatino Linotype"/>
          <w:sz w:val="24"/>
          <w:szCs w:val="24"/>
        </w:rPr>
        <w:t>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489F1874" w:rsidR="004D7062" w:rsidRPr="00F35110" w:rsidRDefault="00CB2836" w:rsidP="00946F7F">
      <w:pPr>
        <w:pStyle w:val="Sinespaciado"/>
        <w:spacing w:line="360" w:lineRule="auto"/>
        <w:ind w:left="0" w:right="0"/>
        <w:rPr>
          <w:rFonts w:ascii="Palatino Linotype" w:eastAsia="Calibri" w:hAnsi="Palatino Linotype" w:cs="Arial"/>
          <w:bCs/>
          <w:sz w:val="24"/>
          <w:lang w:val="es-ES"/>
        </w:rPr>
      </w:pPr>
      <w:r w:rsidRPr="009369E4">
        <w:rPr>
          <w:rFonts w:ascii="Palatino Linotype" w:eastAsia="Calibri" w:hAnsi="Palatino Linotype" w:cs="Arial"/>
          <w:b/>
          <w:bCs/>
          <w:sz w:val="24"/>
          <w:lang w:val="es-ES"/>
        </w:rPr>
        <w:t xml:space="preserve">SEGUNDO. </w:t>
      </w:r>
      <w:r w:rsidR="00C13112" w:rsidRPr="009369E4">
        <w:rPr>
          <w:rFonts w:ascii="Palatino Linotype" w:eastAsia="Calibri" w:hAnsi="Palatino Linotype" w:cs="Arial"/>
          <w:bCs/>
          <w:sz w:val="24"/>
          <w:lang w:val="es-ES"/>
        </w:rPr>
        <w:t xml:space="preserve">Se </w:t>
      </w:r>
      <w:r w:rsidR="009369E4" w:rsidRPr="009369E4">
        <w:rPr>
          <w:rFonts w:ascii="Palatino Linotype" w:eastAsia="Calibri" w:hAnsi="Palatino Linotype" w:cs="Arial"/>
          <w:b/>
          <w:bCs/>
          <w:sz w:val="24"/>
          <w:lang w:val="es-ES"/>
        </w:rPr>
        <w:t>MODIFICA</w:t>
      </w:r>
      <w:r w:rsidR="00C13112" w:rsidRPr="009369E4">
        <w:rPr>
          <w:rFonts w:ascii="Palatino Linotype" w:eastAsia="Calibri" w:hAnsi="Palatino Linotype" w:cs="Arial"/>
          <w:bCs/>
          <w:sz w:val="24"/>
          <w:lang w:val="es-ES"/>
        </w:rPr>
        <w:t xml:space="preserve"> la respuesta y se </w:t>
      </w:r>
      <w:r w:rsidRPr="009369E4">
        <w:rPr>
          <w:rFonts w:ascii="Palatino Linotype" w:eastAsia="Calibri" w:hAnsi="Palatino Linotype" w:cs="Arial"/>
          <w:b/>
          <w:bCs/>
          <w:sz w:val="24"/>
          <w:lang w:val="es-ES"/>
        </w:rPr>
        <w:t xml:space="preserve">ORDENA </w:t>
      </w:r>
      <w:r w:rsidRPr="009369E4">
        <w:rPr>
          <w:rFonts w:ascii="Palatino Linotype" w:eastAsia="Calibri" w:hAnsi="Palatino Linotype" w:cs="Arial"/>
          <w:bCs/>
          <w:sz w:val="24"/>
          <w:lang w:val="es-ES"/>
        </w:rPr>
        <w:t xml:space="preserve">al </w:t>
      </w:r>
      <w:r w:rsidR="002861EE" w:rsidRPr="002861EE">
        <w:rPr>
          <w:rFonts w:ascii="Palatino Linotype" w:eastAsia="Calibri" w:hAnsi="Palatino Linotype" w:cs="Arial"/>
          <w:b/>
          <w:bCs/>
          <w:sz w:val="24"/>
          <w:lang w:val="es-ES"/>
        </w:rPr>
        <w:t>Ayuntamiento de Nicolás Romero</w:t>
      </w:r>
      <w:r w:rsidR="00AD27F5">
        <w:rPr>
          <w:rFonts w:ascii="Palatino Linotype" w:eastAsia="Calibri" w:hAnsi="Palatino Linotype" w:cs="Arial"/>
          <w:b/>
          <w:bCs/>
          <w:sz w:val="24"/>
          <w:lang w:val="es-ES"/>
        </w:rPr>
        <w:t>,</w:t>
      </w:r>
      <w:r w:rsidRPr="009369E4">
        <w:rPr>
          <w:rFonts w:ascii="Palatino Linotype" w:eastAsia="Calibri" w:hAnsi="Palatino Linotype" w:cs="Arial"/>
          <w:b/>
          <w:bCs/>
          <w:sz w:val="24"/>
          <w:lang w:val="es-ES"/>
        </w:rPr>
        <w:t xml:space="preserve"> </w:t>
      </w:r>
      <w:r w:rsidRPr="009369E4">
        <w:rPr>
          <w:rFonts w:ascii="Palatino Linotype" w:eastAsia="Calibri" w:hAnsi="Palatino Linotype" w:cs="Arial"/>
          <w:bCs/>
          <w:sz w:val="24"/>
          <w:lang w:val="es-ES"/>
        </w:rPr>
        <w:t>entregar vía</w:t>
      </w:r>
      <w:r w:rsidR="004D7062" w:rsidRPr="009369E4">
        <w:rPr>
          <w:rFonts w:ascii="Palatino Linotype" w:eastAsia="Calibri" w:hAnsi="Palatino Linotype" w:cs="Arial"/>
          <w:b/>
          <w:bCs/>
          <w:sz w:val="24"/>
          <w:lang w:val="es-ES"/>
        </w:rPr>
        <w:t xml:space="preserve"> </w:t>
      </w:r>
      <w:r w:rsidR="00AC1E70" w:rsidRPr="009369E4">
        <w:rPr>
          <w:rFonts w:ascii="Palatino Linotype" w:eastAsia="Calibri" w:hAnsi="Palatino Linotype" w:cs="Arial"/>
          <w:bCs/>
          <w:sz w:val="24"/>
          <w:lang w:val="es-ES"/>
        </w:rPr>
        <w:t>Sistema de Acceso a la Información Mexiquense</w:t>
      </w:r>
      <w:r w:rsidR="00AC1E70" w:rsidRPr="009369E4">
        <w:rPr>
          <w:rFonts w:ascii="Palatino Linotype" w:eastAsia="Calibri" w:hAnsi="Palatino Linotype" w:cs="Arial"/>
          <w:b/>
          <w:bCs/>
          <w:sz w:val="24"/>
          <w:lang w:val="es-ES"/>
        </w:rPr>
        <w:t xml:space="preserve"> (SAIMEX),</w:t>
      </w:r>
      <w:r w:rsidR="00F35110">
        <w:rPr>
          <w:rFonts w:ascii="Palatino Linotype" w:eastAsia="Calibri" w:hAnsi="Palatino Linotype" w:cs="Arial"/>
          <w:b/>
          <w:bCs/>
          <w:sz w:val="24"/>
          <w:lang w:val="es-ES"/>
        </w:rPr>
        <w:t xml:space="preserve"> </w:t>
      </w:r>
      <w:r w:rsidR="00F35110" w:rsidRPr="00F35110">
        <w:rPr>
          <w:rFonts w:ascii="Palatino Linotype" w:eastAsia="Calibri" w:hAnsi="Palatino Linotype" w:cs="Arial"/>
          <w:bCs/>
          <w:sz w:val="24"/>
          <w:lang w:val="es-ES"/>
        </w:rPr>
        <w:t xml:space="preserve">de ser el caso en versión pública, </w:t>
      </w:r>
      <w:r w:rsidR="00A44A9A">
        <w:rPr>
          <w:rFonts w:ascii="Palatino Linotype" w:eastAsia="Calibri" w:hAnsi="Palatino Linotype" w:cs="Arial"/>
          <w:bCs/>
          <w:sz w:val="24"/>
          <w:lang w:val="es-ES"/>
        </w:rPr>
        <w:t xml:space="preserve">de los servidores públicos señalados en la solicitud </w:t>
      </w:r>
      <w:r w:rsidR="00A44A9A" w:rsidRPr="006C28CC">
        <w:rPr>
          <w:rFonts w:ascii="Palatino Linotype" w:hAnsi="Palatino Linotype" w:cs="Arial"/>
          <w:b/>
          <w:sz w:val="24"/>
          <w:lang w:val="es-ES"/>
        </w:rPr>
        <w:t>0</w:t>
      </w:r>
      <w:r w:rsidR="00A44A9A">
        <w:rPr>
          <w:rFonts w:ascii="Palatino Linotype" w:hAnsi="Palatino Linotype" w:cs="Arial"/>
          <w:b/>
          <w:sz w:val="24"/>
          <w:lang w:val="es-ES"/>
        </w:rPr>
        <w:t>0044</w:t>
      </w:r>
      <w:r w:rsidR="00A44A9A" w:rsidRPr="006C28CC">
        <w:rPr>
          <w:rFonts w:ascii="Palatino Linotype" w:hAnsi="Palatino Linotype" w:cs="Arial"/>
          <w:b/>
          <w:sz w:val="24"/>
          <w:lang w:val="es-ES"/>
        </w:rPr>
        <w:t>/</w:t>
      </w:r>
      <w:r w:rsidR="00A44A9A">
        <w:rPr>
          <w:rFonts w:ascii="Palatino Linotype" w:hAnsi="Palatino Linotype" w:cs="Arial"/>
          <w:b/>
          <w:sz w:val="24"/>
          <w:lang w:val="es-ES"/>
        </w:rPr>
        <w:t xml:space="preserve">NICOROM/IP/2022, </w:t>
      </w:r>
      <w:r w:rsidR="00F35110" w:rsidRPr="00F35110">
        <w:rPr>
          <w:rFonts w:ascii="Palatino Linotype" w:eastAsia="Calibri" w:hAnsi="Palatino Linotype" w:cs="Arial"/>
          <w:bCs/>
          <w:sz w:val="24"/>
          <w:lang w:val="es-ES"/>
        </w:rPr>
        <w:t>los documentos donde conste la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08024C4D" w14:textId="6E9CD140" w:rsidR="00F35110" w:rsidRDefault="001F6677" w:rsidP="004D7062">
      <w:pPr>
        <w:pStyle w:val="Prrafodelista"/>
        <w:numPr>
          <w:ilvl w:val="0"/>
          <w:numId w:val="26"/>
        </w:numPr>
        <w:spacing w:line="360" w:lineRule="auto"/>
        <w:ind w:right="616"/>
        <w:jc w:val="both"/>
        <w:rPr>
          <w:rFonts w:ascii="Palatino Linotype" w:hAnsi="Palatino Linotype" w:cs="Arial"/>
          <w:b/>
          <w:bCs/>
          <w:sz w:val="24"/>
          <w:lang w:eastAsia="es-MX"/>
        </w:rPr>
      </w:pPr>
      <w:r>
        <w:rPr>
          <w:rFonts w:ascii="Palatino Linotype" w:hAnsi="Palatino Linotype" w:cs="Arial"/>
          <w:b/>
          <w:bCs/>
          <w:sz w:val="24"/>
          <w:lang w:eastAsia="es-MX"/>
        </w:rPr>
        <w:t>Documento donde conste que cu</w:t>
      </w:r>
      <w:r w:rsidR="00A44A9A">
        <w:rPr>
          <w:rFonts w:ascii="Palatino Linotype" w:hAnsi="Palatino Linotype" w:cs="Arial"/>
          <w:b/>
          <w:bCs/>
          <w:sz w:val="24"/>
          <w:lang w:eastAsia="es-MX"/>
        </w:rPr>
        <w:t>entan con C</w:t>
      </w:r>
      <w:r w:rsidR="00F35110">
        <w:rPr>
          <w:rFonts w:ascii="Palatino Linotype" w:hAnsi="Palatino Linotype" w:cs="Arial"/>
          <w:b/>
          <w:bCs/>
          <w:sz w:val="24"/>
          <w:lang w:eastAsia="es-MX"/>
        </w:rPr>
        <w:t xml:space="preserve">ertificación </w:t>
      </w:r>
      <w:r>
        <w:rPr>
          <w:rFonts w:ascii="Palatino Linotype" w:hAnsi="Palatino Linotype" w:cs="Arial"/>
          <w:b/>
          <w:bCs/>
          <w:sz w:val="24"/>
          <w:lang w:eastAsia="es-MX"/>
        </w:rPr>
        <w:t>emitida</w:t>
      </w:r>
      <w:r w:rsidR="00F35110">
        <w:rPr>
          <w:rFonts w:ascii="Palatino Linotype" w:hAnsi="Palatino Linotype" w:cs="Arial"/>
          <w:b/>
          <w:bCs/>
          <w:sz w:val="24"/>
          <w:lang w:eastAsia="es-MX"/>
        </w:rPr>
        <w:t xml:space="preserve"> por el Centro de Contro</w:t>
      </w:r>
      <w:r w:rsidR="00A44A9A">
        <w:rPr>
          <w:rFonts w:ascii="Palatino Linotype" w:hAnsi="Palatino Linotype" w:cs="Arial"/>
          <w:b/>
          <w:bCs/>
          <w:sz w:val="24"/>
          <w:lang w:eastAsia="es-MX"/>
        </w:rPr>
        <w:t>l y Confianza del Estado de México, así como el año de certificación y vigencia al diecisiete (17) de febrero de dos mil veintidós;</w:t>
      </w:r>
    </w:p>
    <w:p w14:paraId="74BD6FBF" w14:textId="69370BC6" w:rsidR="00A44A9A" w:rsidRDefault="00A44A9A" w:rsidP="004D7062">
      <w:pPr>
        <w:pStyle w:val="Prrafodelista"/>
        <w:numPr>
          <w:ilvl w:val="0"/>
          <w:numId w:val="26"/>
        </w:numPr>
        <w:spacing w:line="360" w:lineRule="auto"/>
        <w:ind w:right="616"/>
        <w:jc w:val="both"/>
        <w:rPr>
          <w:rFonts w:ascii="Palatino Linotype" w:hAnsi="Palatino Linotype" w:cs="Arial"/>
          <w:b/>
          <w:bCs/>
          <w:sz w:val="24"/>
          <w:lang w:eastAsia="es-MX"/>
        </w:rPr>
      </w:pPr>
      <w:r>
        <w:rPr>
          <w:rFonts w:ascii="Palatino Linotype" w:hAnsi="Palatino Linotype" w:cs="Arial"/>
          <w:b/>
          <w:bCs/>
          <w:sz w:val="24"/>
          <w:lang w:eastAsia="es-MX"/>
        </w:rPr>
        <w:t>Funciones y fundamento legal de las mismas al diecisiete (17) de febrero de dos mil veintidós.</w:t>
      </w:r>
    </w:p>
    <w:p w14:paraId="027FEC37" w14:textId="77777777" w:rsidR="001F6677" w:rsidRPr="00F35110" w:rsidRDefault="001F6677" w:rsidP="001F6677">
      <w:pPr>
        <w:pStyle w:val="Prrafodelista"/>
        <w:spacing w:line="360" w:lineRule="auto"/>
        <w:ind w:right="616"/>
        <w:jc w:val="both"/>
        <w:rPr>
          <w:rFonts w:ascii="Palatino Linotype" w:hAnsi="Palatino Linotype" w:cs="Arial"/>
          <w:b/>
          <w:bCs/>
          <w:sz w:val="24"/>
          <w:lang w:eastAsia="es-MX"/>
        </w:rPr>
      </w:pPr>
    </w:p>
    <w:p w14:paraId="72F64C86" w14:textId="77777777" w:rsidR="00A44A9A" w:rsidRPr="00A44A9A" w:rsidRDefault="00A44A9A" w:rsidP="00A44A9A">
      <w:pPr>
        <w:spacing w:line="360" w:lineRule="auto"/>
        <w:jc w:val="both"/>
        <w:rPr>
          <w:rFonts w:ascii="Palatino Linotype" w:eastAsia="Calibri" w:hAnsi="Palatino Linotype" w:cs="Arial"/>
          <w:sz w:val="24"/>
        </w:rPr>
      </w:pPr>
      <w:r w:rsidRPr="00A44A9A">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02671B5" w14:textId="77777777" w:rsidR="00A44A9A" w:rsidRDefault="00A44A9A"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AD27F5">
        <w:rPr>
          <w:rFonts w:ascii="Palatino Linotype" w:hAnsi="Palatino Linotype" w:cs="Arial"/>
          <w:b/>
          <w:color w:val="222222"/>
          <w:sz w:val="24"/>
          <w:shd w:val="clear" w:color="auto" w:fill="FFFFFF"/>
        </w:rPr>
        <w:t xml:space="preserve">dé cumplimiento a lo ordenado dentro del plazo de diez días hábiles, </w:t>
      </w:r>
      <w:r w:rsidR="00013639" w:rsidRPr="00013639">
        <w:rPr>
          <w:rFonts w:ascii="Palatino Linotype" w:hAnsi="Palatino Linotype" w:cs="Arial"/>
          <w:color w:val="222222"/>
          <w:sz w:val="24"/>
          <w:shd w:val="clear" w:color="auto" w:fill="FFFFFF"/>
        </w:rPr>
        <w:t xml:space="preserve">e informe a este Instituto en un plazo de tres días hábiles siguientes sobre el cumplimiento dado a la presente y, se le apercibe que en caso de negarse a cumplir la presente resolución o hacerlo de manera parcial, se le </w:t>
      </w:r>
      <w:r w:rsidR="00013639" w:rsidRPr="00013639">
        <w:rPr>
          <w:rFonts w:ascii="Palatino Linotype" w:hAnsi="Palatino Linotype" w:cs="Arial"/>
          <w:color w:val="222222"/>
          <w:sz w:val="24"/>
          <w:shd w:val="clear" w:color="auto" w:fill="FFFFFF"/>
        </w:rPr>
        <w:lastRenderedPageBreak/>
        <w:t>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F0CB4B2" w14:textId="4A77D9FE" w:rsidR="001F6677"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1F6677">
        <w:rPr>
          <w:rFonts w:ascii="Palatino Linotype" w:eastAsia="MS Mincho" w:hAnsi="Palatino Linotype"/>
          <w:sz w:val="24"/>
          <w:szCs w:val="24"/>
          <w:lang w:val="es-ES_tradnl"/>
        </w:rPr>
        <w:t>.</w:t>
      </w:r>
    </w:p>
    <w:p w14:paraId="3600743B" w14:textId="77777777" w:rsidR="001F6677" w:rsidRDefault="001F6677"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6EDBDF2" w14:textId="77777777" w:rsidR="001F6677" w:rsidRPr="002B0CFC" w:rsidRDefault="001F6677" w:rsidP="001F6677">
      <w:pPr>
        <w:spacing w:line="360" w:lineRule="auto"/>
        <w:jc w:val="both"/>
        <w:rPr>
          <w:rFonts w:ascii="Palatino Linotype" w:eastAsia="Calibri" w:hAnsi="Palatino Linotype" w:cs="Arial"/>
          <w:bCs/>
          <w:sz w:val="24"/>
        </w:rPr>
      </w:pPr>
      <w:r w:rsidRPr="002B0CFC">
        <w:rPr>
          <w:rFonts w:ascii="Palatino Linotype" w:hAnsi="Palatino Linotype" w:cs="Arial"/>
          <w:b/>
          <w:sz w:val="24"/>
        </w:rPr>
        <w:t xml:space="preserve">QUINTO. </w:t>
      </w:r>
      <w:r w:rsidRPr="002B0CFC">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F2C7F4" w14:textId="77777777" w:rsidR="001F6677" w:rsidRPr="00255189" w:rsidRDefault="001F6677"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6FFFA1F" w14:textId="38DC59CF" w:rsidR="008B3B7F" w:rsidRDefault="001F6677"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8B3B7F" w:rsidRPr="0036769D">
        <w:rPr>
          <w:rFonts w:ascii="Palatino Linotype" w:eastAsia="MS Mincho" w:hAnsi="Palatino Linotype"/>
          <w:sz w:val="24"/>
          <w:szCs w:val="24"/>
          <w:lang w:val="es-ES"/>
        </w:rPr>
        <w:t xml:space="preserve">Se hace del conocimiento de </w:t>
      </w:r>
      <w:r w:rsidR="008B3B7F" w:rsidRPr="0036769D">
        <w:rPr>
          <w:rFonts w:ascii="Palatino Linotype" w:hAnsi="Palatino Linotype"/>
          <w:b/>
          <w:sz w:val="24"/>
          <w:szCs w:val="24"/>
        </w:rPr>
        <w:t>RECURRENTE</w:t>
      </w:r>
      <w:r w:rsidR="008B3B7F" w:rsidRPr="0036769D">
        <w:rPr>
          <w:rFonts w:ascii="Palatino Linotype" w:hAnsi="Palatino Linotype"/>
          <w:sz w:val="24"/>
          <w:szCs w:val="24"/>
        </w:rPr>
        <w:t xml:space="preserve"> </w:t>
      </w:r>
      <w:r w:rsidR="008B3B7F"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36769D">
        <w:rPr>
          <w:rFonts w:ascii="Palatino Linotype" w:hAnsi="Palatino Linotype"/>
          <w:color w:val="000000"/>
          <w:sz w:val="24"/>
          <w:szCs w:val="24"/>
        </w:rPr>
        <w:t xml:space="preserve">en caso de que considere que la resolución le cause algún perjuicio podrá impugnarla vía </w:t>
      </w:r>
      <w:r w:rsidR="008B3B7F" w:rsidRPr="0036769D">
        <w:rPr>
          <w:rFonts w:ascii="Palatino Linotype" w:eastAsia="MS Mincho" w:hAnsi="Palatino Linotype"/>
          <w:bCs/>
          <w:sz w:val="24"/>
          <w:szCs w:val="24"/>
          <w:lang w:val="es-ES"/>
        </w:rPr>
        <w:t>juicio de amparo</w:t>
      </w:r>
      <w:r w:rsidR="008B3B7F" w:rsidRPr="0036769D">
        <w:rPr>
          <w:rFonts w:ascii="Palatino Linotype" w:eastAsia="MS Mincho" w:hAnsi="Palatino Linotype"/>
          <w:sz w:val="24"/>
          <w:szCs w:val="24"/>
          <w:lang w:val="es-ES"/>
        </w:rPr>
        <w:t> en los términos de las leyes aplicables.</w:t>
      </w:r>
    </w:p>
    <w:p w14:paraId="55AE1D8B" w14:textId="58855AD2" w:rsidR="00AD27F5" w:rsidRDefault="00AD27F5" w:rsidP="00AD27F5">
      <w:pPr>
        <w:spacing w:before="240" w:after="240" w:line="360" w:lineRule="auto"/>
        <w:ind w:firstLine="1"/>
        <w:jc w:val="both"/>
        <w:rPr>
          <w:rStyle w:val="Referenciasutil"/>
          <w:rFonts w:ascii="Palatino Linotype" w:hAnsi="Palatino Linotype"/>
          <w:color w:val="auto"/>
          <w:sz w:val="24"/>
        </w:rPr>
      </w:pPr>
      <w:bookmarkStart w:id="28" w:name="_Hlk129792997"/>
      <w:r w:rsidRPr="00AD27F5">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AD27F5">
        <w:rPr>
          <w:rStyle w:val="Referenciasutil"/>
          <w:rFonts w:ascii="Palatino Linotype" w:hAnsi="Palatino Linotype"/>
          <w:color w:val="auto"/>
          <w:sz w:val="24"/>
        </w:rPr>
        <w:lastRenderedPageBreak/>
        <w:t>MEJÍA AYALA; SHARON CRISTINA MORALES MARTÍNEZ; LUIS GUSTAVO PARRA NORIEGA Y GUADALUPE RAMÍREZ PEÑA; EN LA CUA</w:t>
      </w:r>
      <w:r w:rsidR="005364D3">
        <w:rPr>
          <w:rStyle w:val="Referenciasutil"/>
          <w:rFonts w:ascii="Palatino Linotype" w:hAnsi="Palatino Linotype"/>
          <w:color w:val="auto"/>
          <w:sz w:val="24"/>
        </w:rPr>
        <w:t>DRA</w:t>
      </w:r>
      <w:r w:rsidRPr="00AD27F5">
        <w:rPr>
          <w:rStyle w:val="Referenciasutil"/>
          <w:rFonts w:ascii="Palatino Linotype" w:hAnsi="Palatino Linotype"/>
          <w:color w:val="auto"/>
          <w:sz w:val="24"/>
        </w:rPr>
        <w:t xml:space="preserve">GÉSIMA PRIMERA SESIÓN ORDINARIA CELEBRADA EL QUINCE (15) DE NOVIEMBRE DE DOS MIL VEINTITRÉS, ANTE EL SECRETARIO TÉCNICO DEL PLENO ALEXIS TAPIA RAMÍREZ. </w:t>
      </w:r>
      <w:bookmarkEnd w:id="28"/>
    </w:p>
    <w:p w14:paraId="10BA86E6" w14:textId="77777777" w:rsidR="00AD27F5" w:rsidRDefault="00AD27F5" w:rsidP="00AD27F5">
      <w:pPr>
        <w:spacing w:before="240" w:after="240" w:line="360" w:lineRule="auto"/>
        <w:ind w:firstLine="1"/>
        <w:jc w:val="both"/>
        <w:rPr>
          <w:rStyle w:val="Referenciasutil"/>
          <w:rFonts w:ascii="Palatino Linotype" w:hAnsi="Palatino Linotype"/>
          <w:color w:val="auto"/>
          <w:sz w:val="24"/>
        </w:rPr>
      </w:pPr>
    </w:p>
    <w:p w14:paraId="149E81AE" w14:textId="77777777" w:rsidR="00AD27F5" w:rsidRDefault="00AD27F5" w:rsidP="00AD27F5">
      <w:pPr>
        <w:spacing w:before="240" w:after="240" w:line="360" w:lineRule="auto"/>
        <w:ind w:firstLine="1"/>
        <w:jc w:val="both"/>
        <w:rPr>
          <w:rStyle w:val="Referenciasutil"/>
          <w:rFonts w:ascii="Palatino Linotype" w:hAnsi="Palatino Linotype"/>
          <w:color w:val="auto"/>
          <w:sz w:val="24"/>
        </w:rPr>
      </w:pPr>
    </w:p>
    <w:p w14:paraId="1FE1BA78" w14:textId="77777777" w:rsidR="00AD27F5" w:rsidRDefault="00AD27F5" w:rsidP="00AD27F5">
      <w:pPr>
        <w:spacing w:before="240" w:after="240" w:line="360" w:lineRule="auto"/>
        <w:ind w:firstLine="1"/>
        <w:jc w:val="both"/>
        <w:rPr>
          <w:rStyle w:val="Referenciasutil"/>
          <w:rFonts w:ascii="Palatino Linotype" w:hAnsi="Palatino Linotype"/>
          <w:color w:val="auto"/>
          <w:sz w:val="24"/>
        </w:rPr>
      </w:pPr>
    </w:p>
    <w:p w14:paraId="31BB414C" w14:textId="77777777" w:rsidR="00AD27F5" w:rsidRDefault="00AD27F5" w:rsidP="00AD27F5">
      <w:pPr>
        <w:spacing w:before="240" w:after="240" w:line="360" w:lineRule="auto"/>
        <w:ind w:firstLine="1"/>
        <w:jc w:val="both"/>
        <w:rPr>
          <w:rStyle w:val="Referenciasutil"/>
          <w:rFonts w:ascii="Palatino Linotype" w:hAnsi="Palatino Linotype"/>
          <w:color w:val="auto"/>
          <w:sz w:val="24"/>
        </w:rPr>
      </w:pPr>
    </w:p>
    <w:p w14:paraId="77C4C0D2" w14:textId="77777777" w:rsidR="00AD27F5" w:rsidRPr="00AD27F5" w:rsidRDefault="00AD27F5" w:rsidP="00AD27F5">
      <w:pPr>
        <w:spacing w:before="240" w:after="240" w:line="360" w:lineRule="auto"/>
        <w:ind w:firstLine="1"/>
        <w:jc w:val="both"/>
        <w:rPr>
          <w:rStyle w:val="Referenciasutil"/>
          <w:rFonts w:ascii="Palatino Linotype" w:hAnsi="Palatino Linotype"/>
          <w:color w:val="auto"/>
          <w:sz w:val="24"/>
        </w:rPr>
      </w:pP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67CBA" w14:textId="77777777" w:rsidR="00980E5C" w:rsidRDefault="00980E5C">
      <w:r>
        <w:separator/>
      </w:r>
    </w:p>
  </w:endnote>
  <w:endnote w:type="continuationSeparator" w:id="0">
    <w:p w14:paraId="5347E39E" w14:textId="77777777" w:rsidR="00980E5C" w:rsidRDefault="0098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D27F5" w:rsidRDefault="00AD27F5">
            <w:pPr>
              <w:pStyle w:val="Piedepgina"/>
              <w:jc w:val="right"/>
            </w:pPr>
          </w:p>
          <w:p w14:paraId="1F7A191C" w14:textId="2A69F491" w:rsidR="00AD27F5" w:rsidRDefault="00AD27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190C">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190C">
              <w:rPr>
                <w:b/>
                <w:bCs/>
                <w:noProof/>
              </w:rPr>
              <w:t>52</w:t>
            </w:r>
            <w:r>
              <w:rPr>
                <w:b/>
                <w:bCs/>
                <w:sz w:val="24"/>
                <w:szCs w:val="24"/>
              </w:rPr>
              <w:fldChar w:fldCharType="end"/>
            </w:r>
          </w:p>
        </w:sdtContent>
      </w:sdt>
    </w:sdtContent>
  </w:sdt>
  <w:p w14:paraId="2A221972" w14:textId="77777777" w:rsidR="00AD27F5" w:rsidRDefault="00AD27F5">
    <w:pPr>
      <w:pStyle w:val="Piedepgina"/>
    </w:pPr>
  </w:p>
  <w:p w14:paraId="1D6FF208" w14:textId="77777777" w:rsidR="00AD27F5" w:rsidRDefault="00AD27F5"/>
  <w:p w14:paraId="70055CD7" w14:textId="77777777" w:rsidR="00AD27F5" w:rsidRDefault="00AD27F5"/>
  <w:p w14:paraId="5452645F" w14:textId="77777777" w:rsidR="00AD27F5" w:rsidRDefault="00AD27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D27F5" w:rsidRDefault="00AD27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432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432B">
              <w:rPr>
                <w:b/>
                <w:bCs/>
                <w:noProof/>
              </w:rPr>
              <w:t>52</w:t>
            </w:r>
            <w:r>
              <w:rPr>
                <w:b/>
                <w:bCs/>
                <w:sz w:val="24"/>
                <w:szCs w:val="24"/>
              </w:rPr>
              <w:fldChar w:fldCharType="end"/>
            </w:r>
          </w:p>
        </w:sdtContent>
      </w:sdt>
    </w:sdtContent>
  </w:sdt>
  <w:p w14:paraId="2D12AEB2" w14:textId="77777777" w:rsidR="00AD27F5" w:rsidRDefault="00AD27F5">
    <w:pPr>
      <w:pStyle w:val="Piedepgina"/>
    </w:pPr>
  </w:p>
  <w:p w14:paraId="54227169" w14:textId="77777777" w:rsidR="00AD27F5" w:rsidRDefault="00AD27F5"/>
  <w:p w14:paraId="7DE40FB1" w14:textId="77777777" w:rsidR="00AD27F5" w:rsidRDefault="00AD27F5"/>
  <w:p w14:paraId="33755E87" w14:textId="77777777" w:rsidR="00AD27F5" w:rsidRDefault="00AD27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046D1" w14:textId="77777777" w:rsidR="00980E5C" w:rsidRDefault="00980E5C">
      <w:r>
        <w:separator/>
      </w:r>
    </w:p>
  </w:footnote>
  <w:footnote w:type="continuationSeparator" w:id="0">
    <w:p w14:paraId="108002EC" w14:textId="77777777" w:rsidR="00980E5C" w:rsidRDefault="00980E5C">
      <w:r>
        <w:continuationSeparator/>
      </w:r>
    </w:p>
  </w:footnote>
  <w:footnote w:id="1">
    <w:p w14:paraId="625BCC19" w14:textId="77777777" w:rsidR="00AD27F5" w:rsidRDefault="00AD27F5" w:rsidP="00030C87">
      <w:pPr>
        <w:pStyle w:val="Textonotapie"/>
      </w:pPr>
      <w:r>
        <w:rPr>
          <w:rStyle w:val="Refdenotaalpie"/>
        </w:rPr>
        <w:footnoteRef/>
      </w:r>
      <w:r>
        <w:t xml:space="preserve"> Convención Americana sobre Derechos Humanos. Artículo 13.</w:t>
      </w:r>
    </w:p>
  </w:footnote>
  <w:footnote w:id="2">
    <w:p w14:paraId="76B1CB8C" w14:textId="77777777" w:rsidR="00AD27F5" w:rsidRDefault="00AD27F5"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AD27F5" w:rsidRDefault="00AD27F5"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AD27F5" w:rsidRDefault="00AD27F5"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AD27F5" w:rsidRDefault="00AD27F5"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AD27F5" w:rsidRDefault="00AD27F5" w:rsidP="00030C87">
      <w:pPr>
        <w:pStyle w:val="Textonotapie"/>
      </w:pPr>
      <w:r>
        <w:t>II. Eficacia: Obligación del Instituto para tutelar, de manera efectiva, el derecho de acceso a la información;</w:t>
      </w:r>
    </w:p>
    <w:p w14:paraId="0DC8B13D" w14:textId="77777777" w:rsidR="00AD27F5" w:rsidRDefault="00AD27F5" w:rsidP="00030C87">
      <w:pPr>
        <w:pStyle w:val="Textonotapie"/>
      </w:pPr>
      <w:r>
        <w:t xml:space="preserve">… </w:t>
      </w:r>
    </w:p>
  </w:footnote>
  <w:footnote w:id="6">
    <w:p w14:paraId="0CCDF85F" w14:textId="77777777" w:rsidR="00AD27F5" w:rsidRPr="00952F10" w:rsidRDefault="00AD27F5" w:rsidP="000101B1">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4BE1ED7" w14:textId="77777777" w:rsidR="00AD27F5" w:rsidRDefault="00AD27F5" w:rsidP="000101B1">
      <w:pPr>
        <w:pStyle w:val="Textonotapie"/>
      </w:pPr>
    </w:p>
  </w:footnote>
  <w:footnote w:id="7">
    <w:p w14:paraId="5053AE3B" w14:textId="77777777" w:rsidR="00AD27F5" w:rsidRDefault="00AD27F5" w:rsidP="00CF4944">
      <w:pPr>
        <w:pStyle w:val="Textonotapie"/>
      </w:pPr>
      <w:r>
        <w:rPr>
          <w:rStyle w:val="Refdenotaalpie"/>
        </w:rPr>
        <w:footnoteRef/>
      </w:r>
      <w:r>
        <w:t xml:space="preserve"> Artículo 150. Ley de Transparencia y Acceso a la Información Pública del Estado de México y Municipios.</w:t>
      </w:r>
    </w:p>
    <w:p w14:paraId="354FF5F6" w14:textId="77777777" w:rsidR="00AD27F5" w:rsidRDefault="00AD27F5" w:rsidP="00CF4944">
      <w:pPr>
        <w:pStyle w:val="Textonotapie"/>
      </w:pPr>
      <w:r>
        <w:t>Artículo 151. Ibídem.</w:t>
      </w:r>
    </w:p>
  </w:footnote>
  <w:footnote w:id="8">
    <w:p w14:paraId="579BA0C1" w14:textId="77777777" w:rsidR="00AD27F5" w:rsidRDefault="00AD27F5" w:rsidP="00CF4944">
      <w:pPr>
        <w:pStyle w:val="Textonotapie"/>
      </w:pPr>
      <w:r>
        <w:rPr>
          <w:rStyle w:val="Refdenotaalpie"/>
        </w:rPr>
        <w:footnoteRef/>
      </w:r>
      <w:r>
        <w:t xml:space="preserve"> Fracción IV. Artículo 53. Ibídem.</w:t>
      </w:r>
    </w:p>
  </w:footnote>
  <w:footnote w:id="9">
    <w:p w14:paraId="3D5C8D7E" w14:textId="77777777" w:rsidR="00AD27F5" w:rsidRDefault="00AD27F5" w:rsidP="00F35110">
      <w:pPr>
        <w:pStyle w:val="Textonotapie"/>
      </w:pPr>
      <w:r>
        <w:rPr>
          <w:rStyle w:val="Refdenotaalpie"/>
        </w:rPr>
        <w:footnoteRef/>
      </w:r>
      <w:r>
        <w:t xml:space="preserve"> Disponible para su consulta en </w:t>
      </w:r>
      <w:hyperlink r:id="rId1" w:history="1">
        <w:r w:rsidRPr="00F65364">
          <w:rPr>
            <w:rStyle w:val="Hipervnculo"/>
            <w:rFonts w:ascii="Palatino Linotype" w:hAnsi="Palatino Linotype"/>
          </w:rPr>
          <w:t>https://www.gob.mx/cms/uploads/attachment/file/188142/6._Capacitaci_n_FORTASEG_Centro_Nacional_de_Certificaci_n_y_Acreditaci_n.pdf</w:t>
        </w:r>
      </w:hyperlink>
    </w:p>
  </w:footnote>
  <w:footnote w:id="10">
    <w:p w14:paraId="22ACFBCF" w14:textId="77777777" w:rsidR="00AD27F5" w:rsidRDefault="00AD27F5" w:rsidP="00F35110">
      <w:pPr>
        <w:pStyle w:val="Textonotapie"/>
      </w:pPr>
      <w:r>
        <w:rPr>
          <w:rStyle w:val="Refdenotaalpie"/>
        </w:rPr>
        <w:footnoteRef/>
      </w:r>
      <w:r>
        <w:t xml:space="preserve"> Disponible en </w:t>
      </w:r>
      <w:hyperlink r:id="rId2" w:history="1">
        <w:r w:rsidRPr="00F65364">
          <w:rPr>
            <w:rStyle w:val="Hipervnculo"/>
            <w:rFonts w:ascii="Palatino Linotype" w:hAnsi="Palatino Linotype"/>
          </w:rPr>
          <w:t>https://ccc.edomex.gob.mx/evaluaciones_de_confianza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D27F5" w:rsidRDefault="00980E5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D27F5" w:rsidRDefault="00AD27F5"/>
  <w:p w14:paraId="77B719CE" w14:textId="77777777" w:rsidR="00AD27F5" w:rsidRDefault="00AD27F5"/>
  <w:p w14:paraId="50A3AAAA" w14:textId="77777777" w:rsidR="00AD27F5" w:rsidRDefault="00AD27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D27F5" w14:paraId="6255E3A4" w14:textId="77777777" w:rsidTr="00814079">
      <w:trPr>
        <w:trHeight w:val="1435"/>
      </w:trPr>
      <w:tc>
        <w:tcPr>
          <w:tcW w:w="1843" w:type="dxa"/>
          <w:shd w:val="clear" w:color="auto" w:fill="auto"/>
        </w:tcPr>
        <w:p w14:paraId="3E05202F" w14:textId="4A7C9DF8" w:rsidR="00AD27F5" w:rsidRDefault="00AD27F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D27F5" w:rsidRDefault="00AD27F5"/>
        <w:tbl>
          <w:tblPr>
            <w:tblStyle w:val="Tablaconcuadrcula"/>
            <w:tblW w:w="6094"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3"/>
          </w:tblGrid>
          <w:tr w:rsidR="00AD27F5" w14:paraId="727F90BF" w14:textId="77777777" w:rsidTr="00AD27F5">
            <w:trPr>
              <w:trHeight w:val="338"/>
            </w:trPr>
            <w:tc>
              <w:tcPr>
                <w:tcW w:w="2551" w:type="dxa"/>
              </w:tcPr>
              <w:p w14:paraId="23087CD5" w14:textId="77777777" w:rsidR="00AD27F5" w:rsidRDefault="00AD27F5">
                <w:pPr>
                  <w:tabs>
                    <w:tab w:val="right" w:pos="8838"/>
                  </w:tabs>
                  <w:ind w:right="-105"/>
                  <w:rPr>
                    <w:rFonts w:ascii="Palatino Linotype" w:eastAsia="Calibri" w:hAnsi="Palatino Linotype" w:cs="Tahoma"/>
                    <w:b/>
                    <w:sz w:val="22"/>
                    <w:szCs w:val="22"/>
                    <w:lang w:eastAsia="en-US"/>
                  </w:rPr>
                </w:pPr>
              </w:p>
              <w:p w14:paraId="410A3741" w14:textId="535C9D39" w:rsidR="00AD27F5" w:rsidRDefault="00AD27F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3" w:type="dxa"/>
              </w:tcPr>
              <w:p w14:paraId="67E34D7D" w14:textId="77777777" w:rsidR="00AD27F5" w:rsidRDefault="00AD27F5" w:rsidP="00427B6E">
                <w:pPr>
                  <w:tabs>
                    <w:tab w:val="right" w:pos="8838"/>
                  </w:tabs>
                  <w:ind w:right="-105" w:hanging="101"/>
                  <w:jc w:val="both"/>
                  <w:rPr>
                    <w:rFonts w:ascii="Palatino Linotype" w:eastAsia="Calibri" w:hAnsi="Palatino Linotype" w:cs="Tahoma"/>
                    <w:bCs/>
                    <w:sz w:val="22"/>
                    <w:szCs w:val="22"/>
                    <w:lang w:eastAsia="en-US"/>
                  </w:rPr>
                </w:pPr>
              </w:p>
              <w:p w14:paraId="3FF69A05" w14:textId="6D222E9C" w:rsidR="00AD27F5" w:rsidRDefault="00AD27F5"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03988/INFOEM/IP/RR/2022</w:t>
                </w:r>
              </w:p>
            </w:tc>
          </w:tr>
          <w:tr w:rsidR="00AD27F5" w14:paraId="1389436A" w14:textId="128385F2" w:rsidTr="00AD27F5">
            <w:trPr>
              <w:trHeight w:val="283"/>
            </w:trPr>
            <w:tc>
              <w:tcPr>
                <w:tcW w:w="2551" w:type="dxa"/>
              </w:tcPr>
              <w:p w14:paraId="22E0F4E9" w14:textId="77777777" w:rsidR="00AD27F5" w:rsidRDefault="00AD27F5">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3543" w:type="dxa"/>
              </w:tcPr>
              <w:p w14:paraId="2B205C7F" w14:textId="298B595A" w:rsidR="00AD27F5" w:rsidRPr="004277F1" w:rsidRDefault="00AD27F5" w:rsidP="007451C1">
                <w:pPr>
                  <w:tabs>
                    <w:tab w:val="left" w:pos="2834"/>
                    <w:tab w:val="right" w:pos="8838"/>
                  </w:tabs>
                  <w:ind w:left="-113" w:right="-107"/>
                  <w:jc w:val="both"/>
                  <w:rPr>
                    <w:rFonts w:ascii="Palatino Linotype" w:eastAsia="Calibri" w:hAnsi="Palatino Linotype" w:cs="Tahoma"/>
                    <w:sz w:val="22"/>
                    <w:szCs w:val="22"/>
                    <w:lang w:eastAsia="en-US"/>
                  </w:rPr>
                </w:pPr>
                <w:r w:rsidRPr="002861EE">
                  <w:rPr>
                    <w:rFonts w:ascii="Palatino Linotype" w:eastAsia="Calibri" w:hAnsi="Palatino Linotype" w:cs="Arial"/>
                    <w:bCs/>
                    <w:sz w:val="22"/>
                  </w:rPr>
                  <w:t>Ayuntamiento de Nicolás Romero</w:t>
                </w:r>
              </w:p>
            </w:tc>
          </w:tr>
          <w:bookmarkEnd w:id="29"/>
          <w:tr w:rsidR="00AD27F5" w14:paraId="28CCE4E5" w14:textId="77777777" w:rsidTr="00AD27F5">
            <w:trPr>
              <w:trHeight w:val="283"/>
            </w:trPr>
            <w:tc>
              <w:tcPr>
                <w:tcW w:w="2551" w:type="dxa"/>
              </w:tcPr>
              <w:p w14:paraId="13EBF3BB" w14:textId="6E4ECE4B" w:rsidR="00AD27F5" w:rsidRDefault="00AD27F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3" w:type="dxa"/>
              </w:tcPr>
              <w:p w14:paraId="5DF20594" w14:textId="1A6CDEA4" w:rsidR="00AD27F5" w:rsidRDefault="00AD27F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D27F5" w:rsidRDefault="00AD27F5">
          <w:pPr>
            <w:tabs>
              <w:tab w:val="right" w:pos="8838"/>
            </w:tabs>
            <w:ind w:left="-28"/>
            <w:jc w:val="both"/>
            <w:rPr>
              <w:rFonts w:ascii="Arial" w:eastAsia="Calibri" w:hAnsi="Arial" w:cs="Arial"/>
              <w:b/>
              <w:sz w:val="22"/>
              <w:szCs w:val="22"/>
              <w:lang w:eastAsia="en-US"/>
            </w:rPr>
          </w:pPr>
        </w:p>
      </w:tc>
    </w:tr>
  </w:tbl>
  <w:p w14:paraId="07EF2D29" w14:textId="1620A8B4" w:rsidR="00AD27F5" w:rsidRDefault="00980E5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D27F5" w:rsidRDefault="00AD27F5"/>
  <w:p w14:paraId="104386EF" w14:textId="77777777" w:rsidR="00AD27F5" w:rsidRDefault="00AD27F5"/>
  <w:p w14:paraId="60A3E393" w14:textId="77777777" w:rsidR="00AD27F5" w:rsidRDefault="00AD27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D27F5" w14:paraId="61517A1D" w14:textId="77777777" w:rsidTr="003A6126">
      <w:trPr>
        <w:trHeight w:val="1435"/>
      </w:trPr>
      <w:tc>
        <w:tcPr>
          <w:tcW w:w="1560" w:type="dxa"/>
          <w:shd w:val="clear" w:color="auto" w:fill="auto"/>
        </w:tcPr>
        <w:p w14:paraId="4B74E846" w14:textId="1E0D62B9" w:rsidR="00AD27F5" w:rsidRDefault="00AD27F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4"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48"/>
            <w:gridCol w:w="3402"/>
          </w:tblGrid>
          <w:tr w:rsidR="00AD27F5" w14:paraId="7F59E1EF" w14:textId="77777777" w:rsidTr="00AD27F5">
            <w:trPr>
              <w:trHeight w:val="144"/>
            </w:trPr>
            <w:tc>
              <w:tcPr>
                <w:tcW w:w="2444" w:type="dxa"/>
              </w:tcPr>
              <w:p w14:paraId="5EFF942E" w14:textId="77777777" w:rsidR="00AD27F5" w:rsidRDefault="00AD27F5"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648" w:type="dxa"/>
              </w:tcPr>
              <w:p w14:paraId="0DE47EE2" w14:textId="3F947D03" w:rsidR="00AD27F5" w:rsidRPr="002B2042" w:rsidRDefault="00AD27F5" w:rsidP="00AD27F5">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lang w:eastAsia="en-US"/>
                  </w:rPr>
                  <w:t>03988/INFOEM/IP/RR/2022</w:t>
                </w:r>
                <w:r w:rsidRPr="00B13121">
                  <w:rPr>
                    <w:rFonts w:ascii="Palatino Linotype" w:eastAsia="Calibri" w:hAnsi="Palatino Linotype" w:cs="Tahoma"/>
                    <w:lang w:eastAsia="en-US"/>
                  </w:rPr>
                  <w:t xml:space="preserve"> </w:t>
                </w:r>
              </w:p>
            </w:tc>
            <w:tc>
              <w:tcPr>
                <w:tcW w:w="3402" w:type="dxa"/>
              </w:tcPr>
              <w:p w14:paraId="11E4533C" w14:textId="3B21362A" w:rsidR="00AD27F5" w:rsidRDefault="00AD27F5">
                <w:pPr>
                  <w:tabs>
                    <w:tab w:val="right" w:pos="8838"/>
                  </w:tabs>
                  <w:ind w:left="-74" w:right="-105"/>
                  <w:jc w:val="both"/>
                  <w:rPr>
                    <w:rFonts w:ascii="Palatino Linotype" w:eastAsia="Calibri" w:hAnsi="Palatino Linotype" w:cs="Tahoma"/>
                    <w:bCs/>
                    <w:sz w:val="22"/>
                    <w:szCs w:val="22"/>
                    <w:lang w:eastAsia="en-US"/>
                  </w:rPr>
                </w:pPr>
              </w:p>
            </w:tc>
          </w:tr>
          <w:tr w:rsidR="00AD27F5" w14:paraId="3FC4FA7D" w14:textId="77777777" w:rsidTr="00AD27F5">
            <w:trPr>
              <w:trHeight w:val="144"/>
            </w:trPr>
            <w:tc>
              <w:tcPr>
                <w:tcW w:w="2444" w:type="dxa"/>
              </w:tcPr>
              <w:p w14:paraId="363D966B" w14:textId="77777777" w:rsidR="00AD27F5" w:rsidRDefault="00AD27F5"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648" w:type="dxa"/>
              </w:tcPr>
              <w:p w14:paraId="73C065CD" w14:textId="042D725D" w:rsidR="00AD27F5" w:rsidRPr="00301972" w:rsidRDefault="00E8105E" w:rsidP="00AD27F5">
                <w:pPr>
                  <w:tabs>
                    <w:tab w:val="left" w:pos="3122"/>
                    <w:tab w:val="right" w:pos="8838"/>
                  </w:tabs>
                  <w:ind w:right="178"/>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57E965B5" w:rsidR="00AD27F5" w:rsidRDefault="00AD27F5"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AD27F5" w14:paraId="4D832A43" w14:textId="77777777" w:rsidTr="00AD27F5">
            <w:trPr>
              <w:trHeight w:val="283"/>
            </w:trPr>
            <w:tc>
              <w:tcPr>
                <w:tcW w:w="2444" w:type="dxa"/>
              </w:tcPr>
              <w:p w14:paraId="02CA5CB0" w14:textId="77777777" w:rsidR="00AD27F5" w:rsidRDefault="00AD27F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48" w:type="dxa"/>
              </w:tcPr>
              <w:p w14:paraId="28528629" w14:textId="1023A58C" w:rsidR="00AD27F5" w:rsidRPr="002861EE" w:rsidRDefault="00AD27F5" w:rsidP="00AD27F5">
                <w:pPr>
                  <w:tabs>
                    <w:tab w:val="left" w:pos="2834"/>
                    <w:tab w:val="right" w:pos="8838"/>
                  </w:tabs>
                  <w:ind w:left="-3" w:right="-105"/>
                  <w:rPr>
                    <w:rFonts w:ascii="Palatino Linotype" w:eastAsia="Calibri" w:hAnsi="Palatino Linotype" w:cs="Tahoma"/>
                    <w:sz w:val="22"/>
                    <w:szCs w:val="22"/>
                    <w:lang w:eastAsia="en-US"/>
                  </w:rPr>
                </w:pPr>
                <w:r w:rsidRPr="002861EE">
                  <w:rPr>
                    <w:rFonts w:ascii="Palatino Linotype" w:eastAsia="Calibri" w:hAnsi="Palatino Linotype" w:cs="Arial"/>
                    <w:bCs/>
                    <w:sz w:val="22"/>
                  </w:rPr>
                  <w:t>Ayuntamiento de Nicolás Romero</w:t>
                </w:r>
              </w:p>
            </w:tc>
            <w:tc>
              <w:tcPr>
                <w:tcW w:w="3402" w:type="dxa"/>
              </w:tcPr>
              <w:p w14:paraId="00F18B8C" w14:textId="77777777" w:rsidR="00AD27F5" w:rsidRDefault="00AD27F5">
                <w:pPr>
                  <w:tabs>
                    <w:tab w:val="left" w:pos="2834"/>
                    <w:tab w:val="right" w:pos="8838"/>
                  </w:tabs>
                  <w:ind w:left="-74" w:right="-105"/>
                  <w:jc w:val="both"/>
                  <w:rPr>
                    <w:rFonts w:ascii="Palatino Linotype" w:eastAsia="Calibri" w:hAnsi="Palatino Linotype" w:cs="Tahoma"/>
                    <w:sz w:val="22"/>
                    <w:szCs w:val="22"/>
                    <w:lang w:eastAsia="en-US"/>
                  </w:rPr>
                </w:pPr>
              </w:p>
            </w:tc>
          </w:tr>
          <w:tr w:rsidR="00AD27F5" w14:paraId="7BC74D7A" w14:textId="77777777" w:rsidTr="00AD27F5">
            <w:trPr>
              <w:trHeight w:val="283"/>
            </w:trPr>
            <w:tc>
              <w:tcPr>
                <w:tcW w:w="2444" w:type="dxa"/>
              </w:tcPr>
              <w:p w14:paraId="3BF93338" w14:textId="01E84F2D" w:rsidR="00AD27F5" w:rsidRDefault="00AD27F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48" w:type="dxa"/>
              </w:tcPr>
              <w:p w14:paraId="3589422E" w14:textId="64278750" w:rsidR="00AD27F5" w:rsidRPr="003037E1" w:rsidRDefault="00AD27F5" w:rsidP="00AD27F5">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AD27F5" w:rsidRDefault="00AD27F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D27F5" w:rsidRDefault="00AD27F5">
          <w:pPr>
            <w:tabs>
              <w:tab w:val="right" w:pos="8838"/>
            </w:tabs>
            <w:ind w:left="-28"/>
            <w:jc w:val="both"/>
            <w:rPr>
              <w:rFonts w:ascii="Arial" w:eastAsia="Calibri" w:hAnsi="Arial" w:cs="Arial"/>
              <w:b/>
              <w:sz w:val="22"/>
              <w:szCs w:val="22"/>
              <w:lang w:eastAsia="en-US"/>
            </w:rPr>
          </w:pPr>
        </w:p>
      </w:tc>
    </w:tr>
  </w:tbl>
  <w:p w14:paraId="5F654A99" w14:textId="6CB7D4AE" w:rsidR="00AD27F5" w:rsidRDefault="00980E5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64.25pt;margin-top:-139.75pt;width:663.5pt;height:12in;z-index:-251658240;mso-position-horizontal-relative:margin;mso-position-vertical-relative:margin" o:allowincell="f">
          <v:imagedata r:id="rId1" o:title="marcaaguaINFOEM"/>
          <w10:wrap anchorx="margin" anchory="margin"/>
        </v:shape>
      </w:pict>
    </w:r>
  </w:p>
  <w:p w14:paraId="673BC59D" w14:textId="77777777" w:rsidR="00AD27F5" w:rsidRDefault="00AD27F5"/>
  <w:p w14:paraId="69AC6122" w14:textId="77777777" w:rsidR="00AD27F5" w:rsidRDefault="00AD27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DC2E87"/>
    <w:multiLevelType w:val="hybridMultilevel"/>
    <w:tmpl w:val="478EA1C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CA4360"/>
    <w:multiLevelType w:val="hybridMultilevel"/>
    <w:tmpl w:val="11181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C2F6F2A"/>
    <w:multiLevelType w:val="hybridMultilevel"/>
    <w:tmpl w:val="D8942FB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D466845"/>
    <w:multiLevelType w:val="hybridMultilevel"/>
    <w:tmpl w:val="EF80967C"/>
    <w:lvl w:ilvl="0" w:tplc="32CAD506">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703E19"/>
    <w:multiLevelType w:val="hybridMultilevel"/>
    <w:tmpl w:val="F950FC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
  </w:num>
  <w:num w:numId="7">
    <w:abstractNumId w:val="4"/>
  </w:num>
  <w:num w:numId="8">
    <w:abstractNumId w:val="37"/>
  </w:num>
  <w:num w:numId="9">
    <w:abstractNumId w:val="42"/>
  </w:num>
  <w:num w:numId="10">
    <w:abstractNumId w:val="36"/>
  </w:num>
  <w:num w:numId="11">
    <w:abstractNumId w:val="5"/>
  </w:num>
  <w:num w:numId="12">
    <w:abstractNumId w:val="22"/>
  </w:num>
  <w:num w:numId="13">
    <w:abstractNumId w:val="46"/>
  </w:num>
  <w:num w:numId="14">
    <w:abstractNumId w:val="2"/>
  </w:num>
  <w:num w:numId="15">
    <w:abstractNumId w:val="26"/>
  </w:num>
  <w:num w:numId="16">
    <w:abstractNumId w:val="23"/>
  </w:num>
  <w:num w:numId="17">
    <w:abstractNumId w:val="33"/>
  </w:num>
  <w:num w:numId="18">
    <w:abstractNumId w:val="32"/>
  </w:num>
  <w:num w:numId="19">
    <w:abstractNumId w:val="24"/>
  </w:num>
  <w:num w:numId="20">
    <w:abstractNumId w:val="12"/>
  </w:num>
  <w:num w:numId="21">
    <w:abstractNumId w:val="17"/>
  </w:num>
  <w:num w:numId="22">
    <w:abstractNumId w:val="43"/>
  </w:num>
  <w:num w:numId="23">
    <w:abstractNumId w:val="29"/>
  </w:num>
  <w:num w:numId="24">
    <w:abstractNumId w:val="34"/>
  </w:num>
  <w:num w:numId="25">
    <w:abstractNumId w:val="41"/>
  </w:num>
  <w:num w:numId="26">
    <w:abstractNumId w:val="39"/>
  </w:num>
  <w:num w:numId="27">
    <w:abstractNumId w:val="47"/>
  </w:num>
  <w:num w:numId="28">
    <w:abstractNumId w:val="35"/>
  </w:num>
  <w:num w:numId="29">
    <w:abstractNumId w:val="9"/>
  </w:num>
  <w:num w:numId="30">
    <w:abstractNumId w:val="10"/>
  </w:num>
  <w:num w:numId="31">
    <w:abstractNumId w:val="31"/>
  </w:num>
  <w:num w:numId="32">
    <w:abstractNumId w:val="18"/>
  </w:num>
  <w:num w:numId="33">
    <w:abstractNumId w:val="20"/>
  </w:num>
  <w:num w:numId="34">
    <w:abstractNumId w:val="19"/>
  </w:num>
  <w:num w:numId="35">
    <w:abstractNumId w:val="40"/>
  </w:num>
  <w:num w:numId="36">
    <w:abstractNumId w:val="13"/>
  </w:num>
  <w:num w:numId="37">
    <w:abstractNumId w:val="21"/>
  </w:num>
  <w:num w:numId="38">
    <w:abstractNumId w:val="28"/>
  </w:num>
  <w:num w:numId="39">
    <w:abstractNumId w:val="6"/>
  </w:num>
  <w:num w:numId="40">
    <w:abstractNumId w:val="11"/>
  </w:num>
  <w:num w:numId="41">
    <w:abstractNumId w:val="27"/>
  </w:num>
  <w:num w:numId="42">
    <w:abstractNumId w:val="3"/>
  </w:num>
  <w:num w:numId="43">
    <w:abstractNumId w:val="45"/>
  </w:num>
  <w:num w:numId="44">
    <w:abstractNumId w:val="30"/>
  </w:num>
  <w:num w:numId="45">
    <w:abstractNumId w:val="38"/>
  </w:num>
  <w:num w:numId="46">
    <w:abstractNumId w:val="8"/>
  </w:num>
  <w:num w:numId="47">
    <w:abstractNumId w:val="44"/>
  </w:num>
  <w:num w:numId="48">
    <w:abstractNumId w:val="14"/>
  </w:num>
  <w:num w:numId="4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1B1"/>
    <w:rsid w:val="00010B0D"/>
    <w:rsid w:val="00012CD0"/>
    <w:rsid w:val="00013454"/>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411B"/>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CD7"/>
    <w:rsid w:val="00174363"/>
    <w:rsid w:val="0017459B"/>
    <w:rsid w:val="00174A74"/>
    <w:rsid w:val="00175428"/>
    <w:rsid w:val="00175BB6"/>
    <w:rsid w:val="00175CEB"/>
    <w:rsid w:val="00176367"/>
    <w:rsid w:val="00176773"/>
    <w:rsid w:val="00176E8E"/>
    <w:rsid w:val="00180118"/>
    <w:rsid w:val="001807FF"/>
    <w:rsid w:val="0018081B"/>
    <w:rsid w:val="001811F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4D9D"/>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677"/>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142"/>
    <w:rsid w:val="00237C1F"/>
    <w:rsid w:val="00237D0D"/>
    <w:rsid w:val="00241116"/>
    <w:rsid w:val="002416C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D66"/>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1EE"/>
    <w:rsid w:val="00287034"/>
    <w:rsid w:val="00287DB9"/>
    <w:rsid w:val="00291497"/>
    <w:rsid w:val="00291D61"/>
    <w:rsid w:val="0029209D"/>
    <w:rsid w:val="00293491"/>
    <w:rsid w:val="002934DF"/>
    <w:rsid w:val="00294301"/>
    <w:rsid w:val="0029432B"/>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7BE"/>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4799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3A3"/>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0EF6"/>
    <w:rsid w:val="00470FAA"/>
    <w:rsid w:val="00472003"/>
    <w:rsid w:val="0047317B"/>
    <w:rsid w:val="00475052"/>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6F"/>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190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64D3"/>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0190"/>
    <w:rsid w:val="00563BEB"/>
    <w:rsid w:val="00566849"/>
    <w:rsid w:val="00566F49"/>
    <w:rsid w:val="0056797B"/>
    <w:rsid w:val="00570981"/>
    <w:rsid w:val="005716BE"/>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9A5"/>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2190"/>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4C1"/>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2D1E"/>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4E86"/>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1BB"/>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0E5C"/>
    <w:rsid w:val="009823AF"/>
    <w:rsid w:val="009831DB"/>
    <w:rsid w:val="00983D6A"/>
    <w:rsid w:val="00983EDC"/>
    <w:rsid w:val="00983EED"/>
    <w:rsid w:val="009849EF"/>
    <w:rsid w:val="009850C9"/>
    <w:rsid w:val="00986909"/>
    <w:rsid w:val="00986DB7"/>
    <w:rsid w:val="009870A5"/>
    <w:rsid w:val="00987252"/>
    <w:rsid w:val="009873AA"/>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41F4"/>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667"/>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4A9A"/>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27F5"/>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656A"/>
    <w:rsid w:val="00BC0924"/>
    <w:rsid w:val="00BC1FA5"/>
    <w:rsid w:val="00BC2592"/>
    <w:rsid w:val="00BC2C0C"/>
    <w:rsid w:val="00BC3C5F"/>
    <w:rsid w:val="00BC4DAC"/>
    <w:rsid w:val="00BC5160"/>
    <w:rsid w:val="00BC6FDD"/>
    <w:rsid w:val="00BC732A"/>
    <w:rsid w:val="00BC758B"/>
    <w:rsid w:val="00BD152C"/>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0CF4"/>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67F16"/>
    <w:rsid w:val="00C700DA"/>
    <w:rsid w:val="00C7063C"/>
    <w:rsid w:val="00C714C9"/>
    <w:rsid w:val="00C71745"/>
    <w:rsid w:val="00C71F4C"/>
    <w:rsid w:val="00C73A15"/>
    <w:rsid w:val="00C73C57"/>
    <w:rsid w:val="00C746D9"/>
    <w:rsid w:val="00C74B42"/>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5D82"/>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4944"/>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5990"/>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875"/>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B2F"/>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05E"/>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974D1"/>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80F"/>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0BE"/>
    <w:rsid w:val="00F302FE"/>
    <w:rsid w:val="00F31CC8"/>
    <w:rsid w:val="00F321B1"/>
    <w:rsid w:val="00F32ACB"/>
    <w:rsid w:val="00F33758"/>
    <w:rsid w:val="00F33D92"/>
    <w:rsid w:val="00F346C1"/>
    <w:rsid w:val="00F35110"/>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66C"/>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3B3888F1-6383-4E50-8040-B4BC843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AD27F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520125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0536468">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2133301">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2552798">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183573">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27587448">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9400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2329708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5652497">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4278890">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ccc.edomex.gob.mx/evaluaciones_de_confianza" TargetMode="External"/><Relationship Id="rId1" Type="http://schemas.openxmlformats.org/officeDocument/2006/relationships/hyperlink" Target="https://www.gob.mx/cms/uploads/attachment/file/188142/6._Capacitaci_n_FORTASEG_Centro_Nacional_de_Certificaci_n_y_Acreditaci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F6AE4-8A04-41F9-B16F-D51A5DD0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52</Pages>
  <Words>10838</Words>
  <Characters>59615</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6</cp:revision>
  <cp:lastPrinted>2021-08-18T17:12:00Z</cp:lastPrinted>
  <dcterms:created xsi:type="dcterms:W3CDTF">2023-11-14T18:07:00Z</dcterms:created>
  <dcterms:modified xsi:type="dcterms:W3CDTF">2023-11-21T17:23:00Z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