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E994D7F" w:rsidR="00EA0165" w:rsidRPr="001D06B6" w:rsidRDefault="00EA0165" w:rsidP="001D06B6">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1D06B6">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D06B6">
        <w:rPr>
          <w:rFonts w:ascii="Palatino Linotype" w:eastAsiaTheme="minorEastAsia" w:hAnsi="Palatino Linotype" w:cstheme="minorBidi"/>
          <w:color w:val="000000" w:themeColor="text1"/>
          <w:lang w:val="es-ES_tradnl"/>
        </w:rPr>
        <w:t xml:space="preserve">n Metepec, Estado </w:t>
      </w:r>
      <w:r w:rsidR="00403CB8">
        <w:rPr>
          <w:rFonts w:ascii="Palatino Linotype" w:eastAsiaTheme="minorEastAsia" w:hAnsi="Palatino Linotype" w:cstheme="minorBidi"/>
          <w:color w:val="000000" w:themeColor="text1"/>
          <w:lang w:val="es-ES_tradnl"/>
        </w:rPr>
        <w:t>de México; de quince (15</w:t>
      </w:r>
      <w:r w:rsidRPr="001D06B6">
        <w:rPr>
          <w:rFonts w:ascii="Palatino Linotype" w:eastAsiaTheme="minorEastAsia" w:hAnsi="Palatino Linotype" w:cstheme="minorBidi"/>
          <w:color w:val="000000" w:themeColor="text1"/>
          <w:lang w:val="es-MX"/>
        </w:rPr>
        <w:t>) de</w:t>
      </w:r>
      <w:r w:rsidR="00E4613C" w:rsidRPr="001D06B6">
        <w:rPr>
          <w:rFonts w:ascii="Palatino Linotype" w:eastAsiaTheme="minorEastAsia" w:hAnsi="Palatino Linotype" w:cstheme="minorBidi"/>
          <w:color w:val="000000" w:themeColor="text1"/>
          <w:lang w:val="es-MX"/>
        </w:rPr>
        <w:t xml:space="preserve"> marzo</w:t>
      </w:r>
      <w:r w:rsidR="00F03AFC" w:rsidRPr="001D06B6">
        <w:rPr>
          <w:rFonts w:ascii="Palatino Linotype" w:eastAsiaTheme="minorEastAsia" w:hAnsi="Palatino Linotype" w:cstheme="minorBidi"/>
          <w:color w:val="000000" w:themeColor="text1"/>
          <w:lang w:val="es-MX"/>
        </w:rPr>
        <w:t xml:space="preserve"> </w:t>
      </w:r>
      <w:r w:rsidR="00E4613C" w:rsidRPr="001D06B6">
        <w:rPr>
          <w:rFonts w:ascii="Palatino Linotype" w:eastAsiaTheme="minorEastAsia" w:hAnsi="Palatino Linotype" w:cstheme="minorBidi"/>
          <w:color w:val="000000" w:themeColor="text1"/>
          <w:lang w:val="es-MX"/>
        </w:rPr>
        <w:t>de dos mil veintitrés</w:t>
      </w:r>
      <w:r w:rsidRPr="001D06B6">
        <w:rPr>
          <w:rFonts w:ascii="Palatino Linotype" w:eastAsiaTheme="minorEastAsia" w:hAnsi="Palatino Linotype" w:cstheme="minorBidi"/>
          <w:color w:val="000000" w:themeColor="text1"/>
          <w:lang w:val="es-ES_tradnl"/>
        </w:rPr>
        <w:t xml:space="preserve">. </w:t>
      </w:r>
    </w:p>
    <w:p w14:paraId="4CD92C47" w14:textId="57F26229" w:rsidR="001B067D" w:rsidRPr="001D06B6" w:rsidRDefault="001B067D" w:rsidP="00835237">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1D06B6">
        <w:rPr>
          <w:rFonts w:ascii="Palatino Linotype" w:eastAsiaTheme="minorEastAsia" w:hAnsi="Palatino Linotype" w:cstheme="minorBidi"/>
          <w:b/>
          <w:color w:val="000000" w:themeColor="text1"/>
          <w:lang w:val="es-ES_tradnl"/>
        </w:rPr>
        <w:t>VISTO</w:t>
      </w:r>
      <w:r w:rsidRPr="001D06B6">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1D06B6">
        <w:rPr>
          <w:rFonts w:ascii="Palatino Linotype" w:hAnsi="Palatino Linotype"/>
          <w:b/>
          <w:bCs/>
          <w:color w:val="FF0000"/>
        </w:rPr>
        <w:t xml:space="preserve"> </w:t>
      </w:r>
      <w:r w:rsidR="00F0395A" w:rsidRPr="001D06B6">
        <w:rPr>
          <w:rFonts w:ascii="Palatino Linotype" w:eastAsiaTheme="minorEastAsia" w:hAnsi="Palatino Linotype" w:cstheme="minorBidi"/>
          <w:b/>
          <w:bCs/>
          <w:color w:val="000000" w:themeColor="text1"/>
        </w:rPr>
        <w:t>00518/INFOEM/IP/RR/2023</w:t>
      </w:r>
      <w:r w:rsidRPr="001D06B6">
        <w:rPr>
          <w:rFonts w:ascii="Palatino Linotype" w:eastAsiaTheme="minorEastAsia" w:hAnsi="Palatino Linotype" w:cstheme="minorBidi"/>
          <w:b/>
          <w:bCs/>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1D06B6">
        <w:rPr>
          <w:rFonts w:ascii="Palatino Linotype" w:eastAsiaTheme="minorEastAsia" w:hAnsi="Palatino Linotype" w:cstheme="minorBidi"/>
          <w:b/>
          <w:color w:val="000000" w:themeColor="text1"/>
          <w:lang w:val="es-ES_tradnl"/>
        </w:rPr>
        <w:t xml:space="preserve">(SAIMEX), </w:t>
      </w:r>
      <w:r w:rsidRPr="001D06B6">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1D06B6">
        <w:rPr>
          <w:rFonts w:ascii="Palatino Linotype" w:eastAsiaTheme="minorEastAsia" w:hAnsi="Palatino Linotype" w:cstheme="minorBidi"/>
          <w:b/>
          <w:color w:val="000000" w:themeColor="text1"/>
          <w:lang w:val="es-ES_tradnl"/>
        </w:rPr>
        <w:t>RECURRENTE</w:t>
      </w:r>
      <w:r w:rsidRPr="001D06B6">
        <w:rPr>
          <w:rFonts w:ascii="Palatino Linotype" w:eastAsiaTheme="minorEastAsia" w:hAnsi="Palatino Linotype" w:cstheme="minorBidi"/>
          <w:color w:val="000000" w:themeColor="text1"/>
          <w:lang w:val="es-ES_tradnl"/>
        </w:rPr>
        <w:t>, en contra de las respuestas de</w:t>
      </w:r>
      <w:r w:rsidR="00C16849" w:rsidRPr="001D06B6">
        <w:rPr>
          <w:rFonts w:ascii="Palatino Linotype" w:eastAsiaTheme="minorEastAsia" w:hAnsi="Palatino Linotype" w:cstheme="minorBidi"/>
          <w:color w:val="000000" w:themeColor="text1"/>
          <w:lang w:val="es-ES_tradnl"/>
        </w:rPr>
        <w:t>l</w:t>
      </w:r>
      <w:r w:rsidR="00C16849" w:rsidRPr="001D06B6">
        <w:rPr>
          <w:rFonts w:ascii="Palatino Linotype" w:hAnsi="Palatino Linotype"/>
        </w:rPr>
        <w:t xml:space="preserve"> </w:t>
      </w:r>
      <w:r w:rsidR="00E4613C" w:rsidRPr="001D06B6">
        <w:rPr>
          <w:rFonts w:ascii="Palatino Linotype" w:hAnsi="Palatino Linotype"/>
          <w:b/>
          <w:bCs/>
        </w:rPr>
        <w:t>Ayuntamiento de Zinacantepec</w:t>
      </w:r>
      <w:r w:rsidR="006E050D" w:rsidRPr="001D06B6">
        <w:rPr>
          <w:rFonts w:ascii="Palatino Linotype" w:hAnsi="Palatino Linotype"/>
        </w:rPr>
        <w:t xml:space="preserve"> </w:t>
      </w:r>
      <w:r w:rsidRPr="001D06B6">
        <w:rPr>
          <w:rFonts w:ascii="Palatino Linotype" w:eastAsiaTheme="minorEastAsia" w:hAnsi="Palatino Linotype" w:cstheme="minorBidi"/>
          <w:color w:val="000000" w:themeColor="text1"/>
          <w:lang w:val="es-ES_tradnl"/>
        </w:rPr>
        <w:t>en lo sucesivo el</w:t>
      </w:r>
      <w:r w:rsidRPr="001D06B6">
        <w:rPr>
          <w:rFonts w:ascii="Palatino Linotype" w:eastAsiaTheme="minorEastAsia" w:hAnsi="Palatino Linotype" w:cstheme="minorBidi"/>
          <w:b/>
          <w:color w:val="000000" w:themeColor="text1"/>
          <w:lang w:val="es-ES_tradnl"/>
        </w:rPr>
        <w:t xml:space="preserve"> SUJETO OBLIGADO, </w:t>
      </w:r>
      <w:r w:rsidRPr="001D06B6">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044F5B2F" w:rsidR="00F216D7" w:rsidRPr="001D06B6" w:rsidRDefault="00EA0165" w:rsidP="001D06B6">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1D06B6">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5BD6D081" w:rsidR="00132CE1" w:rsidRPr="001D06B6" w:rsidRDefault="00EA0165" w:rsidP="001D06B6">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D06B6">
        <w:rPr>
          <w:rFonts w:ascii="Palatino Linotype" w:eastAsia="Calibri" w:hAnsi="Palatino Linotype" w:cs="Arial"/>
          <w:color w:val="000000" w:themeColor="text1"/>
        </w:rPr>
        <w:t>El</w:t>
      </w:r>
      <w:r w:rsidR="003F6FDD" w:rsidRPr="001D06B6">
        <w:rPr>
          <w:rFonts w:ascii="Palatino Linotype" w:eastAsia="Calibri" w:hAnsi="Palatino Linotype" w:cs="Arial"/>
          <w:color w:val="000000" w:themeColor="text1"/>
        </w:rPr>
        <w:t xml:space="preserve"> doce</w:t>
      </w:r>
      <w:r w:rsidR="00B32176" w:rsidRPr="001D06B6">
        <w:rPr>
          <w:rFonts w:ascii="Palatino Linotype" w:eastAsia="Calibri" w:hAnsi="Palatino Linotype" w:cs="Arial"/>
          <w:color w:val="000000" w:themeColor="text1"/>
        </w:rPr>
        <w:t xml:space="preserve"> </w:t>
      </w:r>
      <w:r w:rsidRPr="001D06B6">
        <w:rPr>
          <w:rFonts w:ascii="Palatino Linotype" w:eastAsia="Calibri" w:hAnsi="Palatino Linotype" w:cs="Arial"/>
          <w:color w:val="000000" w:themeColor="text1"/>
        </w:rPr>
        <w:t>(</w:t>
      </w:r>
      <w:r w:rsidR="003F6FDD" w:rsidRPr="001D06B6">
        <w:rPr>
          <w:rFonts w:ascii="Palatino Linotype" w:eastAsia="Calibri" w:hAnsi="Palatino Linotype" w:cs="Arial"/>
          <w:color w:val="000000" w:themeColor="text1"/>
        </w:rPr>
        <w:t>12</w:t>
      </w:r>
      <w:r w:rsidRPr="001D06B6">
        <w:rPr>
          <w:rFonts w:ascii="Palatino Linotype" w:eastAsia="Calibri" w:hAnsi="Palatino Linotype" w:cs="Arial"/>
          <w:color w:val="000000" w:themeColor="text1"/>
        </w:rPr>
        <w:t>) de</w:t>
      </w:r>
      <w:r w:rsidR="003F6FDD" w:rsidRPr="001D06B6">
        <w:rPr>
          <w:rFonts w:ascii="Palatino Linotype" w:eastAsia="Calibri" w:hAnsi="Palatino Linotype" w:cs="Arial"/>
          <w:color w:val="000000" w:themeColor="text1"/>
        </w:rPr>
        <w:t xml:space="preserve"> diciembre</w:t>
      </w:r>
      <w:r w:rsidR="006E050D" w:rsidRPr="001D06B6">
        <w:rPr>
          <w:rFonts w:ascii="Palatino Linotype" w:eastAsia="Calibri" w:hAnsi="Palatino Linotype" w:cs="Arial"/>
          <w:color w:val="000000" w:themeColor="text1"/>
        </w:rPr>
        <w:t xml:space="preserve"> </w:t>
      </w:r>
      <w:r w:rsidRPr="001D06B6">
        <w:rPr>
          <w:rFonts w:ascii="Palatino Linotype" w:eastAsia="Calibri" w:hAnsi="Palatino Linotype" w:cs="Arial"/>
          <w:color w:val="000000" w:themeColor="text1"/>
        </w:rPr>
        <w:t xml:space="preserve">de dos mil </w:t>
      </w:r>
      <w:r w:rsidR="00A91CCB" w:rsidRPr="001D06B6">
        <w:rPr>
          <w:rFonts w:ascii="Palatino Linotype" w:eastAsia="Calibri" w:hAnsi="Palatino Linotype" w:cs="Arial"/>
          <w:color w:val="000000" w:themeColor="text1"/>
        </w:rPr>
        <w:t>veintidós</w:t>
      </w:r>
      <w:r w:rsidRPr="001D06B6">
        <w:rPr>
          <w:rFonts w:ascii="Palatino Linotype" w:eastAsia="Calibri" w:hAnsi="Palatino Linotype" w:cs="Arial"/>
          <w:color w:val="000000" w:themeColor="text1"/>
        </w:rPr>
        <w:t xml:space="preserve">, </w:t>
      </w:r>
      <w:r w:rsidRPr="001D06B6">
        <w:rPr>
          <w:rFonts w:ascii="Palatino Linotype" w:eastAsiaTheme="minorEastAsia" w:hAnsi="Palatino Linotype" w:cstheme="minorBidi"/>
          <w:color w:val="000000" w:themeColor="text1"/>
          <w:lang w:val="es-ES_tradnl"/>
        </w:rPr>
        <w:t>el particular presentó</w:t>
      </w:r>
      <w:r w:rsidR="004E2BC2" w:rsidRPr="001D06B6">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1D06B6">
        <w:rPr>
          <w:rFonts w:ascii="Palatino Linotype" w:eastAsiaTheme="minorEastAsia" w:hAnsi="Palatino Linotype" w:cstheme="minorBidi"/>
          <w:b/>
          <w:bCs/>
          <w:color w:val="000000" w:themeColor="text1"/>
          <w:lang w:val="es-ES_tradnl"/>
        </w:rPr>
        <w:t>SAIMEX</w:t>
      </w:r>
      <w:r w:rsidR="004E2BC2" w:rsidRPr="001D06B6">
        <w:rPr>
          <w:rFonts w:ascii="Palatino Linotype" w:eastAsiaTheme="minorEastAsia" w:hAnsi="Palatino Linotype" w:cstheme="minorBidi"/>
          <w:bCs/>
          <w:color w:val="000000" w:themeColor="text1"/>
          <w:lang w:val="es-ES_tradnl"/>
        </w:rPr>
        <w:t>)</w:t>
      </w:r>
      <w:r w:rsidRPr="001D06B6">
        <w:rPr>
          <w:rFonts w:ascii="Palatino Linotype" w:eastAsia="Calibri" w:hAnsi="Palatino Linotype" w:cs="Arial"/>
          <w:b/>
          <w:color w:val="000000" w:themeColor="text1"/>
        </w:rPr>
        <w:t xml:space="preserve">, </w:t>
      </w:r>
      <w:r w:rsidRPr="001D06B6">
        <w:rPr>
          <w:rFonts w:ascii="Palatino Linotype" w:eastAsia="Calibri" w:hAnsi="Palatino Linotype" w:cs="Arial"/>
          <w:color w:val="000000" w:themeColor="text1"/>
        </w:rPr>
        <w:t>la solicitud de información pública registrada con el número</w:t>
      </w:r>
      <w:r w:rsidR="0050018F" w:rsidRPr="001D06B6">
        <w:rPr>
          <w:rFonts w:ascii="Palatino Linotype" w:hAnsi="Palatino Linotype"/>
          <w:b/>
          <w:bCs/>
          <w:color w:val="FF0000"/>
        </w:rPr>
        <w:t xml:space="preserve"> </w:t>
      </w:r>
      <w:r w:rsidR="00E4613C" w:rsidRPr="001D06B6">
        <w:rPr>
          <w:rFonts w:ascii="Palatino Linotype" w:eastAsia="Calibri" w:hAnsi="Palatino Linotype" w:cs="Arial"/>
          <w:b/>
          <w:bCs/>
          <w:color w:val="000000" w:themeColor="text1"/>
        </w:rPr>
        <w:t>01445/ZINACANT/IP/2022</w:t>
      </w:r>
      <w:r w:rsidR="000965A1" w:rsidRPr="001D06B6">
        <w:rPr>
          <w:rFonts w:ascii="Palatino Linotype" w:eastAsia="Calibri" w:hAnsi="Palatino Linotype" w:cs="Arial"/>
          <w:b/>
          <w:bCs/>
          <w:color w:val="000000" w:themeColor="text1"/>
        </w:rPr>
        <w:t>,</w:t>
      </w:r>
      <w:r w:rsidRPr="001D06B6">
        <w:rPr>
          <w:rFonts w:ascii="Palatino Linotype" w:eastAsia="Calibri" w:hAnsi="Palatino Linotype" w:cs="Arial"/>
          <w:color w:val="000000" w:themeColor="text1"/>
        </w:rPr>
        <w:t xml:space="preserve"> mediante la cual requirió:</w:t>
      </w:r>
    </w:p>
    <w:p w14:paraId="05E88F19" w14:textId="67BC27C3" w:rsidR="009E192F" w:rsidRPr="001D06B6" w:rsidRDefault="00EA0165" w:rsidP="001D06B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D06B6">
        <w:rPr>
          <w:rFonts w:ascii="Palatino Linotype" w:eastAsiaTheme="minorEastAsia" w:hAnsi="Palatino Linotype" w:cstheme="minorBidi"/>
          <w:i/>
          <w:color w:val="000000" w:themeColor="text1"/>
          <w:lang w:val="es-ES_tradnl"/>
        </w:rPr>
        <w:t>“</w:t>
      </w:r>
      <w:r w:rsidR="003F6FDD" w:rsidRPr="001D06B6">
        <w:rPr>
          <w:rFonts w:ascii="Palatino Linotype" w:eastAsiaTheme="minorEastAsia" w:hAnsi="Palatino Linotype" w:cstheme="minorBidi"/>
          <w:i/>
          <w:color w:val="000000" w:themeColor="text1"/>
          <w:lang w:val="es-ES_tradnl"/>
        </w:rPr>
        <w:t>SOLICITO LOS RECIBOS DE PREDIAL PAGADOS DEL MES DE DICIEMBRE DEL AÑO 2022</w:t>
      </w:r>
      <w:r w:rsidRPr="001D06B6">
        <w:rPr>
          <w:rFonts w:ascii="Palatino Linotype" w:eastAsiaTheme="minorEastAsia" w:hAnsi="Palatino Linotype" w:cstheme="minorBidi"/>
          <w:i/>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(Sic).</w:t>
      </w:r>
    </w:p>
    <w:p w14:paraId="795384FA" w14:textId="2DE3121F" w:rsidR="00C5163C" w:rsidRPr="001D06B6" w:rsidRDefault="00A91CCB" w:rsidP="001D06B6">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1D06B6">
        <w:rPr>
          <w:rFonts w:ascii="Palatino Linotype" w:eastAsia="Calibri" w:hAnsi="Palatino Linotype" w:cs="Arial"/>
          <w:lang w:val="es-AR"/>
        </w:rPr>
        <w:t xml:space="preserve">De las constancias </w:t>
      </w:r>
      <w:r w:rsidRPr="001D06B6">
        <w:rPr>
          <w:rFonts w:ascii="Palatino Linotype" w:hAnsi="Palatino Linotype" w:cs="Arial"/>
        </w:rPr>
        <w:t xml:space="preserve">que obran en el expediente, se aprecia que el entonces </w:t>
      </w:r>
      <w:r w:rsidRPr="001D06B6">
        <w:rPr>
          <w:rFonts w:ascii="Palatino Linotype" w:hAnsi="Palatino Linotype" w:cs="Arial"/>
          <w:b/>
        </w:rPr>
        <w:t>SOLICITANTE</w:t>
      </w:r>
      <w:r w:rsidRPr="001D06B6">
        <w:rPr>
          <w:rFonts w:ascii="Palatino Linotype" w:hAnsi="Palatino Linotype" w:cs="Arial"/>
        </w:rPr>
        <w:t xml:space="preserve"> señaló como modalidad de entrega de la información:</w:t>
      </w:r>
      <w:r w:rsidRPr="001D06B6">
        <w:rPr>
          <w:rFonts w:ascii="Palatino Linotype" w:hAnsi="Palatino Linotype" w:cs="Arial"/>
          <w:b/>
        </w:rPr>
        <w:t xml:space="preserve"> </w:t>
      </w:r>
      <w:r w:rsidRPr="001D06B6">
        <w:rPr>
          <w:rFonts w:ascii="Palatino Linotype" w:eastAsiaTheme="minorEastAsia" w:hAnsi="Palatino Linotype" w:cstheme="minorBidi"/>
          <w:b/>
          <w:lang w:val="es-ES_tradnl"/>
        </w:rPr>
        <w:t>A través del SAIMEX.</w:t>
      </w:r>
    </w:p>
    <w:p w14:paraId="57883E59" w14:textId="77777777" w:rsidR="00E86390" w:rsidRPr="001D06B6" w:rsidRDefault="00E86390" w:rsidP="001D06B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8DACB0E" w14:textId="7149DF40" w:rsidR="0009569C" w:rsidRPr="001D06B6" w:rsidRDefault="006E050D" w:rsidP="001D06B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D06B6">
        <w:rPr>
          <w:rFonts w:ascii="Palatino Linotype" w:eastAsiaTheme="minorEastAsia" w:hAnsi="Palatino Linotype" w:cstheme="minorBidi"/>
          <w:color w:val="000000" w:themeColor="text1"/>
          <w:lang w:val="es-ES_tradnl"/>
        </w:rPr>
        <w:lastRenderedPageBreak/>
        <w:t xml:space="preserve"> </w:t>
      </w:r>
      <w:r w:rsidR="001A0598" w:rsidRPr="001D06B6">
        <w:rPr>
          <w:rFonts w:ascii="Palatino Linotype" w:eastAsiaTheme="minorEastAsia" w:hAnsi="Palatino Linotype" w:cstheme="minorBidi"/>
          <w:color w:val="000000" w:themeColor="text1"/>
          <w:lang w:val="es-ES_tradnl"/>
        </w:rPr>
        <w:t xml:space="preserve"> </w:t>
      </w:r>
      <w:r w:rsidR="0009569C" w:rsidRPr="001D06B6">
        <w:rPr>
          <w:rFonts w:ascii="Palatino Linotype" w:eastAsia="MS Mincho" w:hAnsi="Palatino Linotype"/>
          <w:color w:val="000000" w:themeColor="text1"/>
        </w:rPr>
        <w:t xml:space="preserve">El diecinueve (19) de diciembre de dos mil veintidós, el </w:t>
      </w:r>
      <w:r w:rsidR="0009569C" w:rsidRPr="001D06B6">
        <w:rPr>
          <w:rFonts w:ascii="Palatino Linotype" w:eastAsia="MS Mincho" w:hAnsi="Palatino Linotype"/>
          <w:b/>
          <w:color w:val="000000" w:themeColor="text1"/>
        </w:rPr>
        <w:t>SUJETO OBLIGADO</w:t>
      </w:r>
      <w:r w:rsidR="0009569C" w:rsidRPr="001D06B6">
        <w:rPr>
          <w:rFonts w:ascii="Palatino Linotype" w:eastAsia="MS Mincho" w:hAnsi="Palatino Linotype"/>
          <w:color w:val="000000" w:themeColor="text1"/>
        </w:rPr>
        <w:t xml:space="preserve"> requirió a la entonces </w:t>
      </w:r>
      <w:r w:rsidR="0009569C" w:rsidRPr="001D06B6">
        <w:rPr>
          <w:rFonts w:ascii="Palatino Linotype" w:eastAsia="MS Mincho" w:hAnsi="Palatino Linotype"/>
          <w:b/>
          <w:color w:val="000000" w:themeColor="text1"/>
        </w:rPr>
        <w:t>SOLICITANTE</w:t>
      </w:r>
      <w:r w:rsidR="0009569C" w:rsidRPr="001D06B6">
        <w:rPr>
          <w:rFonts w:ascii="Palatino Linotype" w:eastAsia="MS Mincho" w:hAnsi="Palatino Linotype"/>
          <w:color w:val="000000" w:themeColor="text1"/>
        </w:rPr>
        <w:t xml:space="preserve"> para que aclarase su solicitud de información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87DDA" w:rsidRPr="00987DDA" w14:paraId="6E499406" w14:textId="77777777" w:rsidTr="00987DDA">
        <w:trPr>
          <w:trHeight w:val="300"/>
          <w:tblCellSpacing w:w="0" w:type="dxa"/>
          <w:jc w:val="center"/>
        </w:trPr>
        <w:tc>
          <w:tcPr>
            <w:tcW w:w="0" w:type="auto"/>
            <w:vAlign w:val="center"/>
            <w:hideMark/>
          </w:tcPr>
          <w:p w14:paraId="0950729D" w14:textId="77777777" w:rsidR="00987DDA" w:rsidRPr="00987DDA" w:rsidRDefault="00987DDA" w:rsidP="00987DDA">
            <w:pPr>
              <w:ind w:left="1560" w:right="1286"/>
              <w:jc w:val="right"/>
              <w:rPr>
                <w:i/>
                <w:lang w:val="es-MX" w:eastAsia="es-MX"/>
              </w:rPr>
            </w:pPr>
            <w:r w:rsidRPr="00987DDA">
              <w:rPr>
                <w:rFonts w:ascii="Verdana" w:hAnsi="Verdana"/>
                <w:i/>
                <w:sz w:val="18"/>
                <w:szCs w:val="18"/>
                <w:lang w:val="es-MX" w:eastAsia="es-MX"/>
              </w:rPr>
              <w:t>Zinacantepec, México a 19 de Diciembre de 2022</w:t>
            </w:r>
          </w:p>
        </w:tc>
      </w:tr>
      <w:tr w:rsidR="00987DDA" w:rsidRPr="00987DDA" w14:paraId="54556EEF" w14:textId="77777777" w:rsidTr="00987DDA">
        <w:trPr>
          <w:trHeight w:val="300"/>
          <w:tblCellSpacing w:w="0" w:type="dxa"/>
          <w:jc w:val="center"/>
        </w:trPr>
        <w:tc>
          <w:tcPr>
            <w:tcW w:w="0" w:type="auto"/>
            <w:vAlign w:val="center"/>
            <w:hideMark/>
          </w:tcPr>
          <w:p w14:paraId="17C0A3B7" w14:textId="77777777" w:rsidR="00987DDA" w:rsidRPr="00987DDA" w:rsidRDefault="00987DDA" w:rsidP="00987DDA">
            <w:pPr>
              <w:ind w:left="1560" w:right="1286"/>
              <w:jc w:val="right"/>
              <w:rPr>
                <w:i/>
                <w:lang w:val="es-MX" w:eastAsia="es-MX"/>
              </w:rPr>
            </w:pPr>
            <w:r w:rsidRPr="00987DDA">
              <w:rPr>
                <w:rFonts w:ascii="Verdana" w:hAnsi="Verdana"/>
                <w:i/>
                <w:sz w:val="18"/>
                <w:szCs w:val="18"/>
                <w:lang w:val="es-MX" w:eastAsia="es-MX"/>
              </w:rPr>
              <w:t>Nombre del solicitante: C. Solicitante</w:t>
            </w:r>
          </w:p>
        </w:tc>
      </w:tr>
      <w:tr w:rsidR="00987DDA" w:rsidRPr="00987DDA" w14:paraId="0FD81141" w14:textId="77777777" w:rsidTr="00987DDA">
        <w:trPr>
          <w:trHeight w:val="300"/>
          <w:tblCellSpacing w:w="0" w:type="dxa"/>
          <w:jc w:val="center"/>
        </w:trPr>
        <w:tc>
          <w:tcPr>
            <w:tcW w:w="0" w:type="auto"/>
            <w:vAlign w:val="center"/>
            <w:hideMark/>
          </w:tcPr>
          <w:p w14:paraId="6C8D9D4A" w14:textId="77777777" w:rsidR="00987DDA" w:rsidRPr="00987DDA" w:rsidRDefault="00987DDA" w:rsidP="00987DDA">
            <w:pPr>
              <w:ind w:left="1560" w:right="1286"/>
              <w:jc w:val="right"/>
              <w:rPr>
                <w:i/>
                <w:lang w:val="es-MX" w:eastAsia="es-MX"/>
              </w:rPr>
            </w:pPr>
            <w:r w:rsidRPr="00987DDA">
              <w:rPr>
                <w:rFonts w:ascii="Verdana" w:hAnsi="Verdana"/>
                <w:i/>
                <w:sz w:val="18"/>
                <w:szCs w:val="18"/>
                <w:lang w:val="es-MX" w:eastAsia="es-MX"/>
              </w:rPr>
              <w:t>Folio de la solicitud: 01445/ZINACANT/IP/2022</w:t>
            </w:r>
          </w:p>
        </w:tc>
      </w:tr>
      <w:tr w:rsidR="00987DDA" w:rsidRPr="00987DDA" w14:paraId="6A2CF5AA" w14:textId="77777777" w:rsidTr="00987DDA">
        <w:trPr>
          <w:trHeight w:val="450"/>
          <w:tblCellSpacing w:w="0" w:type="dxa"/>
          <w:jc w:val="center"/>
        </w:trPr>
        <w:tc>
          <w:tcPr>
            <w:tcW w:w="0" w:type="auto"/>
            <w:vAlign w:val="center"/>
            <w:hideMark/>
          </w:tcPr>
          <w:p w14:paraId="6F1A9758" w14:textId="77777777" w:rsidR="00987DDA" w:rsidRPr="00987DDA" w:rsidRDefault="00987DDA" w:rsidP="00987DDA">
            <w:pPr>
              <w:ind w:left="1560" w:right="1286"/>
              <w:jc w:val="both"/>
              <w:rPr>
                <w:i/>
                <w:lang w:val="es-MX" w:eastAsia="es-MX"/>
              </w:rPr>
            </w:pPr>
          </w:p>
        </w:tc>
      </w:tr>
      <w:tr w:rsidR="00987DDA" w:rsidRPr="00987DDA" w14:paraId="055517CE" w14:textId="77777777" w:rsidTr="00987DDA">
        <w:trPr>
          <w:trHeight w:val="150"/>
          <w:tblCellSpacing w:w="0" w:type="dxa"/>
          <w:jc w:val="center"/>
        </w:trPr>
        <w:tc>
          <w:tcPr>
            <w:tcW w:w="0" w:type="auto"/>
            <w:vAlign w:val="center"/>
            <w:hideMark/>
          </w:tcPr>
          <w:p w14:paraId="59D96DC6" w14:textId="77777777" w:rsidR="00987DDA" w:rsidRPr="00987DDA" w:rsidRDefault="00987DDA" w:rsidP="00987DDA">
            <w:pPr>
              <w:ind w:left="1560" w:right="1286"/>
              <w:jc w:val="both"/>
              <w:rPr>
                <w:i/>
                <w:lang w:val="es-MX" w:eastAsia="es-MX"/>
              </w:rPr>
            </w:pPr>
            <w:r w:rsidRPr="00987DDA">
              <w:rPr>
                <w:rFonts w:ascii="Verdana" w:hAnsi="Verdana"/>
                <w:i/>
                <w:sz w:val="18"/>
                <w:szCs w:val="18"/>
                <w:lang w:val="es-MX" w:eastAsia="es-MX"/>
              </w:rPr>
              <w:t xml:space="preserve">Con fundamento en el </w:t>
            </w:r>
            <w:proofErr w:type="spellStart"/>
            <w:r w:rsidRPr="00987DDA">
              <w:rPr>
                <w:rFonts w:ascii="Verdana" w:hAnsi="Verdana"/>
                <w:i/>
                <w:sz w:val="18"/>
                <w:szCs w:val="18"/>
                <w:lang w:val="es-MX" w:eastAsia="es-MX"/>
              </w:rPr>
              <w:t>articulo</w:t>
            </w:r>
            <w:proofErr w:type="spellEnd"/>
            <w:r w:rsidRPr="00987DDA">
              <w:rPr>
                <w:rFonts w:ascii="Verdana" w:hAnsi="Verdana"/>
                <w:i/>
                <w:sz w:val="18"/>
                <w:szCs w:val="18"/>
                <w:lang w:val="es-MX" w:eastAsia="es-MX"/>
              </w:rPr>
              <w:t xml:space="preserve"> 159 de la Ley de Transparencia y Acceso a la Información Pública del Estado de México y Municipios, se le requiere para que dentro del plazo de diez días hábiles realice lo siguiente:</w:t>
            </w:r>
          </w:p>
        </w:tc>
      </w:tr>
      <w:tr w:rsidR="00987DDA" w:rsidRPr="00987DDA" w14:paraId="1BC7AEB8" w14:textId="77777777" w:rsidTr="00987DDA">
        <w:trPr>
          <w:trHeight w:val="375"/>
          <w:tblCellSpacing w:w="0" w:type="dxa"/>
          <w:jc w:val="center"/>
        </w:trPr>
        <w:tc>
          <w:tcPr>
            <w:tcW w:w="0" w:type="auto"/>
            <w:vAlign w:val="center"/>
            <w:hideMark/>
          </w:tcPr>
          <w:p w14:paraId="2C7EE944" w14:textId="77777777" w:rsidR="00987DDA" w:rsidRPr="00987DDA" w:rsidRDefault="00987DDA" w:rsidP="00987DDA">
            <w:pPr>
              <w:ind w:left="1560" w:right="1286"/>
              <w:jc w:val="both"/>
              <w:rPr>
                <w:i/>
                <w:lang w:val="es-MX" w:eastAsia="es-MX"/>
              </w:rPr>
            </w:pPr>
          </w:p>
        </w:tc>
      </w:tr>
      <w:tr w:rsidR="00987DDA" w:rsidRPr="00987DDA" w14:paraId="04E57338" w14:textId="77777777" w:rsidTr="00987DDA">
        <w:trPr>
          <w:trHeight w:val="150"/>
          <w:tblCellSpacing w:w="0" w:type="dxa"/>
          <w:jc w:val="center"/>
        </w:trPr>
        <w:tc>
          <w:tcPr>
            <w:tcW w:w="0" w:type="auto"/>
            <w:vAlign w:val="center"/>
            <w:hideMark/>
          </w:tcPr>
          <w:p w14:paraId="56869A97" w14:textId="77777777" w:rsidR="00987DDA" w:rsidRPr="00987DDA" w:rsidRDefault="00987DDA" w:rsidP="00987DDA">
            <w:pPr>
              <w:ind w:left="1560" w:right="1286"/>
              <w:jc w:val="both"/>
              <w:rPr>
                <w:i/>
                <w:lang w:val="es-MX" w:eastAsia="es-MX"/>
              </w:rPr>
            </w:pPr>
            <w:r w:rsidRPr="00987DDA">
              <w:rPr>
                <w:rFonts w:ascii="Verdana" w:hAnsi="Verdana"/>
                <w:i/>
                <w:sz w:val="18"/>
                <w:szCs w:val="18"/>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987DDA" w:rsidRPr="00987DDA" w14:paraId="1BF24B1F" w14:textId="77777777" w:rsidTr="00987DDA">
        <w:trPr>
          <w:trHeight w:val="375"/>
          <w:tblCellSpacing w:w="0" w:type="dxa"/>
          <w:jc w:val="center"/>
        </w:trPr>
        <w:tc>
          <w:tcPr>
            <w:tcW w:w="0" w:type="auto"/>
            <w:vAlign w:val="center"/>
            <w:hideMark/>
          </w:tcPr>
          <w:p w14:paraId="7181CF15" w14:textId="77777777" w:rsidR="00987DDA" w:rsidRPr="00987DDA" w:rsidRDefault="00987DDA" w:rsidP="00987DDA">
            <w:pPr>
              <w:ind w:left="1560" w:right="1286"/>
              <w:jc w:val="both"/>
              <w:rPr>
                <w:i/>
                <w:lang w:val="es-MX" w:eastAsia="es-MX"/>
              </w:rPr>
            </w:pPr>
          </w:p>
        </w:tc>
      </w:tr>
      <w:tr w:rsidR="00987DDA" w:rsidRPr="00987DDA" w14:paraId="4E46DB1F" w14:textId="77777777" w:rsidTr="00987DDA">
        <w:trPr>
          <w:trHeight w:val="150"/>
          <w:tblCellSpacing w:w="0" w:type="dxa"/>
          <w:jc w:val="center"/>
        </w:trPr>
        <w:tc>
          <w:tcPr>
            <w:tcW w:w="0" w:type="auto"/>
            <w:vAlign w:val="center"/>
            <w:hideMark/>
          </w:tcPr>
          <w:p w14:paraId="3938ACB8" w14:textId="77777777" w:rsidR="00987DDA" w:rsidRPr="00987DDA" w:rsidRDefault="00987DDA" w:rsidP="00987DDA">
            <w:pPr>
              <w:ind w:left="1560" w:right="1286"/>
              <w:jc w:val="both"/>
              <w:rPr>
                <w:i/>
                <w:lang w:val="es-MX" w:eastAsia="es-MX"/>
              </w:rPr>
            </w:pPr>
            <w:r w:rsidRPr="00987DDA">
              <w:rPr>
                <w:rFonts w:ascii="Verdana" w:hAnsi="Verdana"/>
                <w:i/>
                <w:sz w:val="18"/>
                <w:szCs w:val="18"/>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987DDA" w:rsidRPr="00987DDA" w14:paraId="33129311" w14:textId="77777777" w:rsidTr="00987DDA">
        <w:trPr>
          <w:trHeight w:val="150"/>
          <w:tblCellSpacing w:w="0" w:type="dxa"/>
          <w:jc w:val="center"/>
        </w:trPr>
        <w:tc>
          <w:tcPr>
            <w:tcW w:w="0" w:type="auto"/>
            <w:vAlign w:val="center"/>
            <w:hideMark/>
          </w:tcPr>
          <w:p w14:paraId="0F510AA8" w14:textId="77777777" w:rsidR="00987DDA" w:rsidRPr="00987DDA" w:rsidRDefault="00987DDA" w:rsidP="00987DDA">
            <w:pPr>
              <w:ind w:left="1560" w:right="1286"/>
              <w:jc w:val="both"/>
              <w:rPr>
                <w:i/>
                <w:lang w:val="es-MX" w:eastAsia="es-MX"/>
              </w:rPr>
            </w:pPr>
          </w:p>
        </w:tc>
      </w:tr>
      <w:tr w:rsidR="00987DDA" w:rsidRPr="00987DDA" w14:paraId="357E68C8" w14:textId="77777777" w:rsidTr="00987DDA">
        <w:trPr>
          <w:trHeight w:val="150"/>
          <w:tblCellSpacing w:w="0" w:type="dxa"/>
          <w:jc w:val="center"/>
        </w:trPr>
        <w:tc>
          <w:tcPr>
            <w:tcW w:w="0" w:type="auto"/>
            <w:vAlign w:val="center"/>
            <w:hideMark/>
          </w:tcPr>
          <w:p w14:paraId="6AA0CA51" w14:textId="77777777" w:rsidR="00987DDA" w:rsidRPr="00987DDA" w:rsidRDefault="00987DDA" w:rsidP="00987DDA">
            <w:pPr>
              <w:ind w:left="1560" w:right="1286"/>
              <w:jc w:val="both"/>
              <w:rPr>
                <w:i/>
                <w:lang w:val="es-MX" w:eastAsia="es-MX"/>
              </w:rPr>
            </w:pPr>
            <w:r w:rsidRPr="00987DDA">
              <w:rPr>
                <w:rFonts w:ascii="Verdana" w:hAnsi="Verdana"/>
                <w:i/>
                <w:sz w:val="18"/>
                <w:szCs w:val="18"/>
                <w:lang w:val="es-MX" w:eastAsia="es-MX"/>
              </w:rPr>
              <w:t>ATENTAMENTE</w:t>
            </w:r>
          </w:p>
        </w:tc>
      </w:tr>
      <w:tr w:rsidR="00987DDA" w:rsidRPr="00987DDA" w14:paraId="3F0D1561" w14:textId="77777777" w:rsidTr="00987DDA">
        <w:trPr>
          <w:trHeight w:val="225"/>
          <w:tblCellSpacing w:w="0" w:type="dxa"/>
          <w:jc w:val="center"/>
        </w:trPr>
        <w:tc>
          <w:tcPr>
            <w:tcW w:w="0" w:type="auto"/>
            <w:vAlign w:val="center"/>
            <w:hideMark/>
          </w:tcPr>
          <w:p w14:paraId="4D8694F3" w14:textId="77777777" w:rsidR="00987DDA" w:rsidRPr="00987DDA" w:rsidRDefault="00987DDA" w:rsidP="00987DDA">
            <w:pPr>
              <w:ind w:left="1560" w:right="1286"/>
              <w:jc w:val="both"/>
              <w:rPr>
                <w:lang w:val="es-MX" w:eastAsia="es-MX"/>
              </w:rPr>
            </w:pPr>
          </w:p>
        </w:tc>
      </w:tr>
      <w:tr w:rsidR="00987DDA" w:rsidRPr="00987DDA" w14:paraId="591F4913" w14:textId="77777777" w:rsidTr="00987DDA">
        <w:trPr>
          <w:trHeight w:val="80"/>
          <w:tblCellSpacing w:w="0" w:type="dxa"/>
          <w:jc w:val="center"/>
        </w:trPr>
        <w:tc>
          <w:tcPr>
            <w:tcW w:w="0" w:type="auto"/>
            <w:vAlign w:val="center"/>
            <w:hideMark/>
          </w:tcPr>
          <w:p w14:paraId="73FA01AD" w14:textId="77777777" w:rsidR="00987DDA" w:rsidRPr="00987DDA" w:rsidRDefault="00987DDA" w:rsidP="00987DDA">
            <w:pPr>
              <w:ind w:left="1560" w:right="1286"/>
              <w:jc w:val="both"/>
              <w:rPr>
                <w:lang w:val="es-MX" w:eastAsia="es-MX"/>
              </w:rPr>
            </w:pPr>
            <w:r w:rsidRPr="00987DDA">
              <w:rPr>
                <w:rFonts w:ascii="Verdana" w:hAnsi="Verdana"/>
                <w:sz w:val="18"/>
                <w:szCs w:val="18"/>
                <w:lang w:val="es-MX" w:eastAsia="es-MX"/>
              </w:rPr>
              <w:t>ING. JESUS EMMANUEL ENCASTIN RENDON</w:t>
            </w:r>
          </w:p>
        </w:tc>
      </w:tr>
    </w:tbl>
    <w:p w14:paraId="62959544" w14:textId="77777777" w:rsidR="0009569C" w:rsidRPr="001D06B6" w:rsidRDefault="0009569C" w:rsidP="001D06B6">
      <w:pPr>
        <w:spacing w:line="360" w:lineRule="auto"/>
        <w:rPr>
          <w:rFonts w:ascii="Palatino Linotype" w:eastAsia="MS Mincho" w:hAnsi="Palatino Linotype"/>
          <w:color w:val="000000" w:themeColor="text1"/>
          <w:lang w:val="es-ES_tradnl"/>
        </w:rPr>
      </w:pPr>
    </w:p>
    <w:p w14:paraId="6736F2FE" w14:textId="76C95B02" w:rsidR="0009569C" w:rsidRPr="00987DDA" w:rsidRDefault="0009569C" w:rsidP="00987DDA">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87DDA">
        <w:rPr>
          <w:rFonts w:ascii="Palatino Linotype" w:eastAsia="MS Mincho" w:hAnsi="Palatino Linotype"/>
          <w:color w:val="000000" w:themeColor="text1"/>
          <w:lang w:val="es-ES_tradnl"/>
        </w:rPr>
        <w:t xml:space="preserve">El veintiuno (21) de diciembre de dos mil veintidós, el entonces </w:t>
      </w:r>
      <w:r w:rsidRPr="00987DDA">
        <w:rPr>
          <w:rFonts w:ascii="Palatino Linotype" w:eastAsia="MS Mincho" w:hAnsi="Palatino Linotype"/>
          <w:b/>
          <w:color w:val="000000" w:themeColor="text1"/>
          <w:lang w:val="es-ES_tradnl"/>
        </w:rPr>
        <w:t>SOLICITANTE</w:t>
      </w:r>
      <w:r w:rsidR="0017220A" w:rsidRPr="00987DDA">
        <w:rPr>
          <w:rFonts w:ascii="Palatino Linotype" w:eastAsia="MS Mincho" w:hAnsi="Palatino Linotype"/>
          <w:color w:val="000000" w:themeColor="text1"/>
          <w:lang w:val="es-ES_tradnl"/>
        </w:rPr>
        <w:t xml:space="preserve"> atendió el requerimiento</w:t>
      </w:r>
      <w:r w:rsidRPr="00987DDA">
        <w:rPr>
          <w:rFonts w:ascii="Palatino Linotype" w:eastAsia="MS Mincho" w:hAnsi="Palatino Linotype"/>
          <w:color w:val="000000" w:themeColor="text1"/>
          <w:lang w:val="es-ES_tradnl"/>
        </w:rPr>
        <w:t xml:space="preserve"> de aclar</w:t>
      </w:r>
      <w:r w:rsidR="0017220A" w:rsidRPr="00987DDA">
        <w:rPr>
          <w:rFonts w:ascii="Palatino Linotype" w:eastAsia="MS Mincho" w:hAnsi="Palatino Linotype"/>
          <w:color w:val="000000" w:themeColor="text1"/>
          <w:lang w:val="es-ES_tradnl"/>
        </w:rPr>
        <w:t xml:space="preserve">ación en el que confirmó la </w:t>
      </w:r>
      <w:r w:rsidRPr="00987DDA">
        <w:rPr>
          <w:rFonts w:ascii="Palatino Linotype" w:eastAsia="MS Mincho" w:hAnsi="Palatino Linotype"/>
          <w:color w:val="000000" w:themeColor="text1"/>
          <w:lang w:val="es-ES_tradnl"/>
        </w:rPr>
        <w:t>sol</w:t>
      </w:r>
      <w:r w:rsidR="00773C33" w:rsidRPr="00987DDA">
        <w:rPr>
          <w:rFonts w:ascii="Palatino Linotype" w:eastAsia="MS Mincho" w:hAnsi="Palatino Linotype"/>
          <w:color w:val="000000" w:themeColor="text1"/>
          <w:lang w:val="es-ES_tradnl"/>
        </w:rPr>
        <w:t>icitud</w:t>
      </w:r>
      <w:r w:rsidR="00987DDA" w:rsidRPr="00987DDA">
        <w:rPr>
          <w:rFonts w:ascii="Palatino Linotype" w:eastAsia="MS Mincho" w:hAnsi="Palatino Linotype"/>
          <w:color w:val="000000" w:themeColor="text1"/>
          <w:lang w:val="es-ES_tradnl"/>
        </w:rPr>
        <w:t xml:space="preserve"> inicialmente planteada, refiriendo</w:t>
      </w:r>
      <w:r w:rsidR="00987DDA">
        <w:rPr>
          <w:rFonts w:ascii="Palatino Linotype" w:eastAsia="MS Mincho" w:hAnsi="Palatino Linotype"/>
          <w:color w:val="000000" w:themeColor="text1"/>
          <w:lang w:val="es-ES_tradnl"/>
        </w:rPr>
        <w:t>:</w:t>
      </w:r>
      <w:r w:rsidR="00987DDA" w:rsidRPr="00987DDA">
        <w:rPr>
          <w:rFonts w:ascii="Palatino Linotype" w:eastAsia="MS Mincho" w:hAnsi="Palatino Linotype"/>
          <w:color w:val="000000" w:themeColor="text1"/>
          <w:lang w:val="es-ES_tradnl"/>
        </w:rPr>
        <w:t xml:space="preserve"> “LA SOLICITUD ES MUY ESPECÍFICA</w:t>
      </w:r>
      <w:r w:rsidR="00987DDA">
        <w:rPr>
          <w:rFonts w:ascii="Palatino Linotype" w:eastAsia="MS Mincho" w:hAnsi="Palatino Linotype"/>
          <w:color w:val="000000" w:themeColor="text1"/>
          <w:lang w:val="es-ES_tradnl"/>
        </w:rPr>
        <w:t>”.</w:t>
      </w:r>
    </w:p>
    <w:p w14:paraId="6B3F182E" w14:textId="77777777" w:rsidR="00F63245" w:rsidRPr="001D06B6" w:rsidRDefault="00F63245" w:rsidP="001D06B6">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u w:val="single"/>
          <w:lang w:val="es-ES_tradnl"/>
        </w:rPr>
      </w:pPr>
    </w:p>
    <w:p w14:paraId="40EEC507" w14:textId="7F941C16" w:rsidR="00773C33" w:rsidRPr="001D06B6" w:rsidRDefault="00773C33" w:rsidP="001D06B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D06B6">
        <w:rPr>
          <w:rFonts w:ascii="Palatino Linotype" w:eastAsiaTheme="minorEastAsia" w:hAnsi="Palatino Linotype" w:cs="Arial"/>
          <w:iCs/>
          <w:lang w:val="es-ES_tradnl"/>
        </w:rPr>
        <w:t xml:space="preserve">El </w:t>
      </w:r>
      <w:r w:rsidRPr="001D06B6">
        <w:rPr>
          <w:rFonts w:ascii="Palatino Linotype" w:eastAsiaTheme="minorEastAsia" w:hAnsi="Palatino Linotype" w:cs="Arial"/>
          <w:b/>
          <w:bCs/>
          <w:iCs/>
          <w:lang w:val="es-ES_tradnl"/>
        </w:rPr>
        <w:t>SUJETO OBLIGADO</w:t>
      </w:r>
      <w:r w:rsidRPr="001D06B6">
        <w:rPr>
          <w:rFonts w:ascii="Palatino Linotype" w:eastAsiaTheme="minorEastAsia" w:hAnsi="Palatino Linotype" w:cs="Arial"/>
          <w:iCs/>
          <w:lang w:val="es-ES_tradnl"/>
        </w:rPr>
        <w:t xml:space="preserve"> no emitió respuesta según consta en el Sistema de Acceso a la Información Mexiquense </w:t>
      </w:r>
      <w:r w:rsidRPr="001D06B6">
        <w:rPr>
          <w:rFonts w:ascii="Palatino Linotype" w:eastAsiaTheme="minorEastAsia" w:hAnsi="Palatino Linotype" w:cs="Arial"/>
          <w:b/>
          <w:bCs/>
          <w:iCs/>
          <w:lang w:val="es-ES_tradnl"/>
        </w:rPr>
        <w:t>(SAIMEX).</w:t>
      </w:r>
    </w:p>
    <w:p w14:paraId="13937F63" w14:textId="77777777" w:rsidR="00773C33" w:rsidRPr="001D06B6" w:rsidRDefault="00773C33" w:rsidP="001D06B6">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BB5C5BA" w14:textId="63129772" w:rsidR="00EA0165" w:rsidRPr="001D06B6" w:rsidRDefault="00EA0165" w:rsidP="001D06B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D06B6">
        <w:rPr>
          <w:rFonts w:ascii="Palatino Linotype" w:hAnsi="Palatino Linotype" w:cs="Arial"/>
          <w:color w:val="000000" w:themeColor="text1"/>
        </w:rPr>
        <w:t xml:space="preserve">Derivado de la respuesta emitida por el </w:t>
      </w:r>
      <w:r w:rsidRPr="001D06B6">
        <w:rPr>
          <w:rFonts w:ascii="Palatino Linotype" w:hAnsi="Palatino Linotype" w:cs="Arial"/>
          <w:b/>
          <w:color w:val="000000" w:themeColor="text1"/>
        </w:rPr>
        <w:t>SUJETO OBLIGADO</w:t>
      </w:r>
      <w:r w:rsidRPr="001D06B6">
        <w:rPr>
          <w:rFonts w:ascii="Palatino Linotype" w:hAnsi="Palatino Linotype" w:cs="Arial"/>
          <w:color w:val="000000" w:themeColor="text1"/>
        </w:rPr>
        <w:t>, e</w:t>
      </w:r>
      <w:r w:rsidR="00394E20" w:rsidRPr="001D06B6">
        <w:rPr>
          <w:rFonts w:ascii="Palatino Linotype" w:hAnsi="Palatino Linotype" w:cs="Arial"/>
          <w:color w:val="000000" w:themeColor="text1"/>
        </w:rPr>
        <w:t>l</w:t>
      </w:r>
      <w:r w:rsidR="00773C33" w:rsidRPr="001D06B6">
        <w:rPr>
          <w:rFonts w:ascii="Palatino Linotype" w:hAnsi="Palatino Linotype" w:cs="Arial"/>
          <w:color w:val="000000" w:themeColor="text1"/>
        </w:rPr>
        <w:t xml:space="preserve"> treinta (30</w:t>
      </w:r>
      <w:r w:rsidR="00C6721C" w:rsidRPr="001D06B6">
        <w:rPr>
          <w:rFonts w:ascii="Palatino Linotype" w:hAnsi="Palatino Linotype" w:cs="Arial"/>
          <w:color w:val="000000" w:themeColor="text1"/>
        </w:rPr>
        <w:t>)</w:t>
      </w:r>
      <w:r w:rsidR="00394E20" w:rsidRPr="001D06B6">
        <w:rPr>
          <w:rFonts w:ascii="Palatino Linotype" w:hAnsi="Palatino Linotype" w:cs="Arial"/>
          <w:color w:val="000000" w:themeColor="text1"/>
        </w:rPr>
        <w:t xml:space="preserve"> </w:t>
      </w:r>
      <w:r w:rsidR="00773C33" w:rsidRPr="001D06B6">
        <w:rPr>
          <w:rFonts w:ascii="Palatino Linotype" w:hAnsi="Palatino Linotype" w:cs="Arial"/>
          <w:color w:val="000000" w:themeColor="text1"/>
        </w:rPr>
        <w:t>de enero</w:t>
      </w:r>
      <w:r w:rsidR="00B32176" w:rsidRPr="001D06B6">
        <w:rPr>
          <w:rFonts w:ascii="Palatino Linotype" w:hAnsi="Palatino Linotype" w:cs="Arial"/>
          <w:color w:val="000000" w:themeColor="text1"/>
        </w:rPr>
        <w:t xml:space="preserve"> </w:t>
      </w:r>
      <w:r w:rsidRPr="001D06B6">
        <w:rPr>
          <w:rFonts w:ascii="Palatino Linotype" w:hAnsi="Palatino Linotype" w:cs="Arial"/>
          <w:color w:val="000000" w:themeColor="text1"/>
        </w:rPr>
        <w:t xml:space="preserve">de dos mil </w:t>
      </w:r>
      <w:r w:rsidR="00C6721C" w:rsidRPr="001D06B6">
        <w:rPr>
          <w:rFonts w:ascii="Palatino Linotype" w:hAnsi="Palatino Linotype" w:cs="Arial"/>
          <w:color w:val="000000" w:themeColor="text1"/>
        </w:rPr>
        <w:t>veintidós,</w:t>
      </w:r>
      <w:r w:rsidRPr="001D06B6">
        <w:rPr>
          <w:rFonts w:ascii="Palatino Linotype" w:hAnsi="Palatino Linotype" w:cs="Arial"/>
          <w:color w:val="000000" w:themeColor="text1"/>
        </w:rPr>
        <w:t xml:space="preserve"> el particular interpuso el recurso de revisión</w:t>
      </w:r>
      <w:r w:rsidR="00186108" w:rsidRPr="001D06B6">
        <w:rPr>
          <w:rFonts w:ascii="Palatino Linotype" w:hAnsi="Palatino Linotype"/>
          <w:b/>
          <w:bCs/>
          <w:color w:val="FF0000"/>
        </w:rPr>
        <w:t xml:space="preserve"> </w:t>
      </w:r>
      <w:r w:rsidR="009F28D9" w:rsidRPr="001D06B6">
        <w:rPr>
          <w:rFonts w:ascii="Palatino Linotype" w:hAnsi="Palatino Linotype" w:cs="Arial"/>
          <w:b/>
          <w:bCs/>
          <w:color w:val="000000" w:themeColor="text1"/>
        </w:rPr>
        <w:t xml:space="preserve"> </w:t>
      </w:r>
      <w:r w:rsidR="00F0395A" w:rsidRPr="001D06B6">
        <w:rPr>
          <w:rFonts w:ascii="Palatino Linotype" w:hAnsi="Palatino Linotype" w:cs="Arial"/>
          <w:b/>
          <w:bCs/>
          <w:color w:val="000000" w:themeColor="text1"/>
        </w:rPr>
        <w:t>00518/INFOEM/IP/RR/2023</w:t>
      </w:r>
      <w:r w:rsidRPr="001D06B6">
        <w:rPr>
          <w:rFonts w:ascii="Palatino Linotype" w:eastAsia="Calibri" w:hAnsi="Palatino Linotype" w:cs="Arial"/>
          <w:b/>
          <w:color w:val="000000" w:themeColor="text1"/>
        </w:rPr>
        <w:t>;</w:t>
      </w:r>
      <w:r w:rsidRPr="001D06B6">
        <w:rPr>
          <w:rFonts w:ascii="Palatino Linotype" w:hAnsi="Palatino Linotype" w:cs="Arial"/>
          <w:color w:val="000000" w:themeColor="text1"/>
        </w:rPr>
        <w:t xml:space="preserve"> impugnación en la que refirió lo siguiente:</w:t>
      </w:r>
    </w:p>
    <w:p w14:paraId="176F4252" w14:textId="77777777" w:rsidR="00EA0165" w:rsidRPr="001D06B6" w:rsidRDefault="00EA0165" w:rsidP="001D06B6">
      <w:pPr>
        <w:tabs>
          <w:tab w:val="left" w:pos="426"/>
        </w:tabs>
        <w:spacing w:line="360" w:lineRule="auto"/>
        <w:ind w:left="284"/>
        <w:contextualSpacing/>
        <w:jc w:val="both"/>
        <w:rPr>
          <w:rFonts w:ascii="Palatino Linotype" w:hAnsi="Palatino Linotype" w:cs="Arial"/>
          <w:color w:val="000000" w:themeColor="text1"/>
        </w:rPr>
      </w:pPr>
    </w:p>
    <w:p w14:paraId="224FFDC9" w14:textId="3CF2F25E" w:rsidR="00EA0165" w:rsidRPr="001D06B6" w:rsidRDefault="00EA0165" w:rsidP="001D06B6">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Acto impugnado:</w:t>
      </w:r>
      <w:r w:rsidRPr="001D06B6">
        <w:rPr>
          <w:rFonts w:ascii="Palatino Linotype" w:hAnsi="Palatino Linotype" w:cs="Arial"/>
          <w:color w:val="000000" w:themeColor="text1"/>
        </w:rPr>
        <w:t xml:space="preserve"> </w:t>
      </w:r>
      <w:r w:rsidRPr="001D06B6">
        <w:rPr>
          <w:rFonts w:ascii="Palatino Linotype" w:hAnsi="Palatino Linotype" w:cs="Arial"/>
          <w:i/>
          <w:color w:val="000000" w:themeColor="text1"/>
        </w:rPr>
        <w:t>“</w:t>
      </w:r>
      <w:r w:rsidR="00392E5C" w:rsidRPr="001D06B6">
        <w:rPr>
          <w:rFonts w:ascii="Palatino Linotype" w:hAnsi="Palatino Linotype" w:cs="Arial"/>
          <w:i/>
          <w:color w:val="000000" w:themeColor="text1"/>
        </w:rPr>
        <w:t>NO ENTREGA INFORMACIÓN</w:t>
      </w:r>
      <w:r w:rsidRPr="001D06B6">
        <w:rPr>
          <w:rFonts w:ascii="Palatino Linotype" w:hAnsi="Palatino Linotype" w:cs="Arial"/>
          <w:i/>
          <w:color w:val="000000" w:themeColor="text1"/>
        </w:rPr>
        <w:t>”</w:t>
      </w:r>
      <w:r w:rsidRPr="001D06B6">
        <w:rPr>
          <w:rFonts w:ascii="Palatino Linotype" w:hAnsi="Palatino Linotype" w:cs="Arial"/>
          <w:color w:val="000000" w:themeColor="text1"/>
        </w:rPr>
        <w:t xml:space="preserve"> (Sic).</w:t>
      </w:r>
    </w:p>
    <w:p w14:paraId="71C7D21F" w14:textId="77777777" w:rsidR="00EA0165" w:rsidRPr="001D06B6" w:rsidRDefault="00EA0165" w:rsidP="001D06B6">
      <w:pPr>
        <w:tabs>
          <w:tab w:val="left" w:pos="0"/>
        </w:tabs>
        <w:spacing w:line="360" w:lineRule="auto"/>
        <w:ind w:left="720" w:right="909"/>
        <w:contextualSpacing/>
        <w:jc w:val="both"/>
        <w:rPr>
          <w:rFonts w:ascii="Palatino Linotype" w:hAnsi="Palatino Linotype" w:cs="Arial"/>
          <w:color w:val="000000" w:themeColor="text1"/>
        </w:rPr>
      </w:pPr>
    </w:p>
    <w:p w14:paraId="16E57192" w14:textId="59DF8657" w:rsidR="00EA0165" w:rsidRPr="001D06B6" w:rsidRDefault="00EA0165" w:rsidP="001D06B6">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Razones o motivos de inconformidad:</w:t>
      </w:r>
      <w:r w:rsidRPr="001D06B6">
        <w:rPr>
          <w:rFonts w:ascii="Palatino Linotype" w:hAnsi="Palatino Linotype" w:cs="Arial"/>
          <w:color w:val="000000" w:themeColor="text1"/>
        </w:rPr>
        <w:t xml:space="preserve"> </w:t>
      </w:r>
      <w:r w:rsidRPr="001D06B6">
        <w:rPr>
          <w:rFonts w:ascii="Palatino Linotype" w:hAnsi="Palatino Linotype" w:cs="Arial"/>
          <w:i/>
          <w:color w:val="000000" w:themeColor="text1"/>
        </w:rPr>
        <w:t>“</w:t>
      </w:r>
      <w:r w:rsidR="00392E5C" w:rsidRPr="001D06B6">
        <w:rPr>
          <w:rFonts w:ascii="Palatino Linotype" w:hAnsi="Palatino Linotype" w:cs="Arial"/>
          <w:i/>
          <w:color w:val="000000" w:themeColor="text1"/>
        </w:rPr>
        <w:t>NO ENTREGA INFORMACIÓN</w:t>
      </w:r>
      <w:r w:rsidRPr="001D06B6">
        <w:rPr>
          <w:rFonts w:ascii="Palatino Linotype" w:hAnsi="Palatino Linotype" w:cs="Arial"/>
          <w:i/>
          <w:color w:val="000000" w:themeColor="text1"/>
        </w:rPr>
        <w:t xml:space="preserve">” </w:t>
      </w:r>
      <w:r w:rsidRPr="001D06B6">
        <w:rPr>
          <w:rFonts w:ascii="Palatino Linotype" w:hAnsi="Palatino Linotype" w:cs="Arial"/>
          <w:color w:val="000000" w:themeColor="text1"/>
        </w:rPr>
        <w:t>(Sic).</w:t>
      </w:r>
    </w:p>
    <w:p w14:paraId="552C6645" w14:textId="77777777" w:rsidR="001B234C" w:rsidRPr="001D06B6" w:rsidRDefault="001B234C" w:rsidP="001D06B6">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1D06B6" w:rsidRDefault="00EA0165" w:rsidP="001D06B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D06B6">
        <w:rPr>
          <w:rFonts w:ascii="Palatino Linotype" w:hAnsi="Palatino Linotype" w:cs="Arial"/>
          <w:color w:val="000000" w:themeColor="text1"/>
        </w:rPr>
        <w:t xml:space="preserve">Se registró el recurso de revisión bajo el número de expediente </w:t>
      </w:r>
      <w:r w:rsidRPr="001D06B6">
        <w:rPr>
          <w:rFonts w:ascii="Palatino Linotype" w:eastAsiaTheme="minorEastAsia" w:hAnsi="Palatino Linotype" w:cs="Arial"/>
          <w:bCs/>
          <w:color w:val="000000" w:themeColor="text1"/>
          <w:lang w:val="es-ES_tradnl"/>
        </w:rPr>
        <w:t xml:space="preserve">al rubro indicado, asimismo, con fundamento en lo dispuesto por el </w:t>
      </w:r>
      <w:r w:rsidRPr="001D06B6">
        <w:rPr>
          <w:rFonts w:ascii="Palatino Linotype" w:eastAsia="Calibri" w:hAnsi="Palatino Linotype" w:cs="Arial"/>
          <w:color w:val="000000" w:themeColor="text1"/>
        </w:rPr>
        <w:t xml:space="preserve">artículo 185 fracción I de la </w:t>
      </w:r>
      <w:r w:rsidRPr="001D06B6">
        <w:rPr>
          <w:rFonts w:ascii="Palatino Linotype" w:eastAsia="Calibri" w:hAnsi="Palatino Linotype" w:cs="Arial"/>
          <w:b/>
          <w:color w:val="000000" w:themeColor="text1"/>
        </w:rPr>
        <w:t xml:space="preserve">Ley de Transparencia y Acceso a la Información Pública del Estado de México y Municipios </w:t>
      </w:r>
      <w:r w:rsidR="005E6282" w:rsidRPr="001D06B6">
        <w:rPr>
          <w:rFonts w:ascii="Palatino Linotype" w:hAnsi="Palatino Linotype" w:cs="Arial"/>
          <w:color w:val="000000" w:themeColor="text1"/>
        </w:rPr>
        <w:t>se turnó a</w:t>
      </w:r>
      <w:r w:rsidR="00351568" w:rsidRPr="001D06B6">
        <w:rPr>
          <w:rFonts w:ascii="Palatino Linotype" w:hAnsi="Palatino Linotype" w:cs="Arial"/>
          <w:color w:val="000000" w:themeColor="text1"/>
        </w:rPr>
        <w:t xml:space="preserve"> la </w:t>
      </w:r>
      <w:r w:rsidR="00E3149E" w:rsidRPr="001D06B6">
        <w:rPr>
          <w:rFonts w:ascii="Palatino Linotype" w:hAnsi="Palatino Linotype" w:cs="Arial"/>
          <w:b/>
          <w:color w:val="000000" w:themeColor="text1"/>
        </w:rPr>
        <w:t>C</w:t>
      </w:r>
      <w:r w:rsidR="00351568" w:rsidRPr="001D06B6">
        <w:rPr>
          <w:rFonts w:ascii="Palatino Linotype" w:hAnsi="Palatino Linotype" w:cs="Arial"/>
          <w:b/>
          <w:color w:val="000000" w:themeColor="text1"/>
        </w:rPr>
        <w:t>omisionada María del Rosario Mejía Ayala</w:t>
      </w:r>
      <w:r w:rsidRPr="001D06B6">
        <w:rPr>
          <w:rFonts w:ascii="Palatino Linotype" w:hAnsi="Palatino Linotype" w:cs="Arial"/>
          <w:b/>
          <w:color w:val="000000" w:themeColor="text1"/>
        </w:rPr>
        <w:t xml:space="preserve">, </w:t>
      </w:r>
      <w:r w:rsidRPr="001D06B6">
        <w:rPr>
          <w:rFonts w:ascii="Palatino Linotype" w:hAnsi="Palatino Linotype" w:cs="Arial"/>
          <w:color w:val="000000" w:themeColor="text1"/>
        </w:rPr>
        <w:t xml:space="preserve">con el objeto de </w:t>
      </w:r>
      <w:r w:rsidRPr="001D06B6">
        <w:rPr>
          <w:rFonts w:ascii="Palatino Linotype" w:hAnsi="Palatino Linotype" w:cs="Arial"/>
          <w:color w:val="000000" w:themeColor="text1"/>
          <w:lang w:val="es-MX"/>
        </w:rPr>
        <w:t>su análisis.</w:t>
      </w:r>
    </w:p>
    <w:p w14:paraId="49F28BD1" w14:textId="77777777" w:rsidR="00EA0165" w:rsidRPr="001D06B6" w:rsidRDefault="00EA0165" w:rsidP="001D06B6">
      <w:pPr>
        <w:tabs>
          <w:tab w:val="left" w:pos="426"/>
        </w:tabs>
        <w:spacing w:line="360" w:lineRule="auto"/>
        <w:contextualSpacing/>
        <w:jc w:val="both"/>
        <w:rPr>
          <w:rFonts w:ascii="Palatino Linotype" w:eastAsia="Calibri" w:hAnsi="Palatino Linotype" w:cs="Arial"/>
          <w:color w:val="000000" w:themeColor="text1"/>
        </w:rPr>
      </w:pPr>
    </w:p>
    <w:p w14:paraId="6134AC85" w14:textId="449C8AC3" w:rsidR="006401B8" w:rsidRPr="001D06B6" w:rsidRDefault="00351568" w:rsidP="001D06B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D06B6">
        <w:rPr>
          <w:rFonts w:ascii="Palatino Linotype" w:hAnsi="Palatino Linotype" w:cs="Arial"/>
          <w:color w:val="000000" w:themeColor="text1"/>
        </w:rPr>
        <w:t xml:space="preserve">La </w:t>
      </w:r>
      <w:r w:rsidRPr="001D06B6">
        <w:rPr>
          <w:rFonts w:ascii="Palatino Linotype" w:hAnsi="Palatino Linotype" w:cs="Arial"/>
          <w:b/>
          <w:color w:val="000000" w:themeColor="text1"/>
        </w:rPr>
        <w:t>Comisionada María del Rosario Mejía Ayala</w:t>
      </w:r>
      <w:r w:rsidR="00EA0165" w:rsidRPr="001D06B6">
        <w:rPr>
          <w:rFonts w:ascii="Palatino Linotype" w:eastAsia="Calibri" w:hAnsi="Palatino Linotype" w:cs="Arial"/>
          <w:color w:val="000000" w:themeColor="text1"/>
        </w:rPr>
        <w:t>, con fundamento en lo dispuesto por el artículo 185 fracción II de la ley de la materia, a</w:t>
      </w:r>
      <w:r w:rsidR="008D7419" w:rsidRPr="001D06B6">
        <w:rPr>
          <w:rFonts w:ascii="Palatino Linotype" w:eastAsia="Calibri" w:hAnsi="Palatino Linotype" w:cs="Arial"/>
          <w:color w:val="000000" w:themeColor="text1"/>
        </w:rPr>
        <w:t xml:space="preserve"> través del acuerdo de admisión </w:t>
      </w:r>
      <w:r w:rsidR="00EA0165" w:rsidRPr="001D06B6">
        <w:rPr>
          <w:rFonts w:ascii="Palatino Linotype" w:eastAsia="Calibri" w:hAnsi="Palatino Linotype" w:cs="Arial"/>
          <w:color w:val="000000" w:themeColor="text1"/>
        </w:rPr>
        <w:t>de</w:t>
      </w:r>
      <w:r w:rsidR="00392E5C" w:rsidRPr="001D06B6">
        <w:rPr>
          <w:rFonts w:ascii="Palatino Linotype" w:eastAsia="Calibri" w:hAnsi="Palatino Linotype" w:cs="Arial"/>
          <w:color w:val="000000" w:themeColor="text1"/>
        </w:rPr>
        <w:t xml:space="preserve"> tres</w:t>
      </w:r>
      <w:r w:rsidR="00FC5933" w:rsidRPr="001D06B6">
        <w:rPr>
          <w:rFonts w:ascii="Palatino Linotype" w:eastAsia="Calibri" w:hAnsi="Palatino Linotype" w:cs="Arial"/>
          <w:color w:val="000000" w:themeColor="text1"/>
        </w:rPr>
        <w:t xml:space="preserve"> </w:t>
      </w:r>
      <w:r w:rsidR="00EA0165" w:rsidRPr="001D06B6">
        <w:rPr>
          <w:rFonts w:ascii="Palatino Linotype" w:eastAsia="Calibri" w:hAnsi="Palatino Linotype" w:cs="Arial"/>
          <w:color w:val="000000" w:themeColor="text1"/>
        </w:rPr>
        <w:t>(</w:t>
      </w:r>
      <w:r w:rsidR="0001649D" w:rsidRPr="001D06B6">
        <w:rPr>
          <w:rFonts w:ascii="Palatino Linotype" w:eastAsia="Calibri" w:hAnsi="Palatino Linotype" w:cs="Arial"/>
          <w:color w:val="000000" w:themeColor="text1"/>
        </w:rPr>
        <w:t>03</w:t>
      </w:r>
      <w:r w:rsidR="00EA0165" w:rsidRPr="001D06B6">
        <w:rPr>
          <w:rFonts w:ascii="Palatino Linotype" w:eastAsia="Calibri" w:hAnsi="Palatino Linotype" w:cs="Arial"/>
          <w:color w:val="000000" w:themeColor="text1"/>
        </w:rPr>
        <w:t>) de</w:t>
      </w:r>
      <w:r w:rsidR="00392E5C" w:rsidRPr="001D06B6">
        <w:rPr>
          <w:rFonts w:ascii="Palatino Linotype" w:eastAsia="Calibri" w:hAnsi="Palatino Linotype" w:cs="Arial"/>
          <w:color w:val="000000" w:themeColor="text1"/>
        </w:rPr>
        <w:t xml:space="preserve"> febrero</w:t>
      </w:r>
      <w:r w:rsidR="00132CE1" w:rsidRPr="001D06B6">
        <w:rPr>
          <w:rFonts w:ascii="Palatino Linotype" w:eastAsia="Calibri" w:hAnsi="Palatino Linotype" w:cs="Arial"/>
          <w:color w:val="000000" w:themeColor="text1"/>
        </w:rPr>
        <w:t xml:space="preserve"> de dos mil </w:t>
      </w:r>
      <w:r w:rsidR="0001649D" w:rsidRPr="001D06B6">
        <w:rPr>
          <w:rFonts w:ascii="Palatino Linotype" w:eastAsia="Calibri" w:hAnsi="Palatino Linotype" w:cs="Arial"/>
          <w:color w:val="000000" w:themeColor="text1"/>
        </w:rPr>
        <w:t>veintitrés</w:t>
      </w:r>
      <w:r w:rsidR="00EA0165" w:rsidRPr="001D06B6">
        <w:rPr>
          <w:rFonts w:ascii="Palatino Linotype" w:eastAsia="Calibri" w:hAnsi="Palatino Linotype" w:cs="Arial"/>
          <w:color w:val="000000" w:themeColor="text1"/>
        </w:rPr>
        <w:t xml:space="preserve">, puso a disposición de las partes el expediente electrónico </w:t>
      </w:r>
      <w:r w:rsidR="00EA0165" w:rsidRPr="001D06B6">
        <w:rPr>
          <w:rFonts w:ascii="Palatino Linotype" w:eastAsia="Calibri" w:hAnsi="Palatino Linotype" w:cs="Arial"/>
          <w:color w:val="000000" w:themeColor="text1"/>
          <w:lang w:val="es-ES_tradnl"/>
        </w:rPr>
        <w:t xml:space="preserve">vía </w:t>
      </w:r>
      <w:r w:rsidR="00EA0165" w:rsidRPr="001D06B6">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D06B6">
        <w:rPr>
          <w:rFonts w:ascii="Palatino Linotype" w:eastAsia="Calibri" w:hAnsi="Palatino Linotype" w:cs="Arial"/>
          <w:b/>
          <w:color w:val="000000" w:themeColor="text1"/>
        </w:rPr>
        <w:t>SUJETO OBLIGADO</w:t>
      </w:r>
      <w:r w:rsidR="00EA0165" w:rsidRPr="001D06B6">
        <w:rPr>
          <w:rFonts w:ascii="Palatino Linotype" w:eastAsia="Calibri" w:hAnsi="Palatino Linotype" w:cs="Arial"/>
          <w:color w:val="000000" w:themeColor="text1"/>
        </w:rPr>
        <w:t xml:space="preserve"> presentara el</w:t>
      </w:r>
      <w:r w:rsidR="00266490" w:rsidRPr="001D06B6">
        <w:rPr>
          <w:rFonts w:ascii="Palatino Linotype" w:eastAsia="Calibri" w:hAnsi="Palatino Linotype" w:cs="Arial"/>
          <w:color w:val="000000" w:themeColor="text1"/>
        </w:rPr>
        <w:t xml:space="preserve"> </w:t>
      </w:r>
      <w:r w:rsidR="00770DBB" w:rsidRPr="001D06B6">
        <w:rPr>
          <w:rFonts w:ascii="Palatino Linotype" w:eastAsia="Calibri" w:hAnsi="Palatino Linotype" w:cs="Arial"/>
          <w:color w:val="000000" w:themeColor="text1"/>
        </w:rPr>
        <w:t>i</w:t>
      </w:r>
      <w:r w:rsidR="006401B8" w:rsidRPr="001D06B6">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66FE0E5F" w14:textId="77777777" w:rsidR="00876C04" w:rsidRPr="001D06B6" w:rsidRDefault="00876C04" w:rsidP="001D06B6">
      <w:pPr>
        <w:pStyle w:val="Prrafodelista"/>
        <w:spacing w:line="360" w:lineRule="auto"/>
        <w:rPr>
          <w:rFonts w:ascii="Palatino Linotype" w:eastAsia="Calibri" w:hAnsi="Palatino Linotype" w:cs="Arial"/>
          <w:color w:val="000000" w:themeColor="text1"/>
        </w:rPr>
      </w:pPr>
    </w:p>
    <w:p w14:paraId="25924617" w14:textId="72082A57" w:rsidR="00876C04" w:rsidRPr="001D06B6" w:rsidRDefault="00876C04" w:rsidP="001D06B6">
      <w:pPr>
        <w:numPr>
          <w:ilvl w:val="0"/>
          <w:numId w:val="2"/>
        </w:numPr>
        <w:tabs>
          <w:tab w:val="left" w:pos="284"/>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D06B6">
        <w:rPr>
          <w:rFonts w:ascii="Palatino Linotype" w:eastAsia="Calibri" w:hAnsi="Palatino Linotype" w:cs="Arial"/>
          <w:color w:val="000000" w:themeColor="text1"/>
        </w:rPr>
        <w:lastRenderedPageBreak/>
        <w:t xml:space="preserve">De </w:t>
      </w:r>
      <w:r w:rsidRPr="001D06B6">
        <w:rPr>
          <w:rFonts w:ascii="Palatino Linotype" w:eastAsiaTheme="minorEastAsia" w:hAnsi="Palatino Linotype" w:cstheme="minorBidi"/>
          <w:color w:val="000000"/>
        </w:rPr>
        <w:t xml:space="preserve">las </w:t>
      </w:r>
      <w:r w:rsidRPr="001D06B6">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1D06B6">
        <w:rPr>
          <w:rFonts w:ascii="Palatino Linotype" w:eastAsiaTheme="minorEastAsia" w:hAnsi="Palatino Linotype" w:cstheme="minorBidi"/>
          <w:b/>
          <w:color w:val="000000"/>
          <w:lang w:val="es-ES_tradnl"/>
        </w:rPr>
        <w:t xml:space="preserve">SUJETO OBLIGADO </w:t>
      </w:r>
      <w:r w:rsidRPr="001D06B6">
        <w:rPr>
          <w:rFonts w:ascii="Palatino Linotype" w:eastAsiaTheme="minorEastAsia" w:hAnsi="Palatino Linotype" w:cstheme="minorBidi"/>
          <w:color w:val="000000"/>
          <w:lang w:val="es-ES_tradnl"/>
        </w:rPr>
        <w:t xml:space="preserve">rindió informe justificado, por medio del documento que a continuación se describe: </w:t>
      </w:r>
    </w:p>
    <w:p w14:paraId="552000BC" w14:textId="79C92E52" w:rsidR="00987DDA" w:rsidRPr="00987DDA" w:rsidRDefault="00392E5C" w:rsidP="008E5054">
      <w:pPr>
        <w:pStyle w:val="Prrafodelista"/>
        <w:numPr>
          <w:ilvl w:val="0"/>
          <w:numId w:val="3"/>
        </w:numPr>
        <w:tabs>
          <w:tab w:val="left" w:pos="284"/>
          <w:tab w:val="left" w:pos="426"/>
        </w:tabs>
        <w:spacing w:before="240" w:after="240" w:line="360" w:lineRule="auto"/>
        <w:contextualSpacing/>
        <w:jc w:val="both"/>
        <w:rPr>
          <w:rFonts w:ascii="Palatino Linotype" w:eastAsia="Calibri" w:hAnsi="Palatino Linotype" w:cs="Arial"/>
          <w:i/>
          <w:color w:val="000000" w:themeColor="text1"/>
        </w:rPr>
      </w:pPr>
      <w:r w:rsidRPr="00987DDA">
        <w:rPr>
          <w:rFonts w:ascii="Palatino Linotype" w:eastAsia="Calibri" w:hAnsi="Palatino Linotype" w:cs="Arial"/>
          <w:b/>
          <w:color w:val="000000" w:themeColor="text1"/>
          <w:u w:val="single"/>
        </w:rPr>
        <w:t>respuesta de solicitud 1445-22R.pdf</w:t>
      </w:r>
      <w:r w:rsidRPr="00987DDA">
        <w:rPr>
          <w:rFonts w:ascii="Palatino Linotype" w:eastAsia="Calibri" w:hAnsi="Palatino Linotype" w:cs="Arial"/>
          <w:b/>
          <w:color w:val="000000" w:themeColor="text1"/>
        </w:rPr>
        <w:t xml:space="preserve">: </w:t>
      </w:r>
      <w:r w:rsidR="00876C04" w:rsidRPr="00987DDA">
        <w:rPr>
          <w:rFonts w:ascii="Palatino Linotype" w:eastAsia="Calibri" w:hAnsi="Palatino Linotype" w:cs="Arial"/>
          <w:color w:val="000000" w:themeColor="text1"/>
        </w:rPr>
        <w:t xml:space="preserve">Documento </w:t>
      </w:r>
      <w:r w:rsidR="00C77F99" w:rsidRPr="00987DDA">
        <w:rPr>
          <w:rFonts w:ascii="Palatino Linotype" w:eastAsia="Calibri" w:hAnsi="Palatino Linotype" w:cs="Arial"/>
          <w:color w:val="000000" w:themeColor="text1"/>
        </w:rPr>
        <w:t xml:space="preserve">suscrito por el Titular de la Unidad de Transparencia, </w:t>
      </w:r>
      <w:r w:rsidRPr="00987DDA">
        <w:rPr>
          <w:rFonts w:ascii="Palatino Linotype" w:eastAsia="Calibri" w:hAnsi="Palatino Linotype" w:cs="Arial"/>
          <w:color w:val="000000" w:themeColor="text1"/>
        </w:rPr>
        <w:t xml:space="preserve">mediante el cual refiere </w:t>
      </w:r>
      <w:r w:rsidR="002B3478" w:rsidRPr="00987DDA">
        <w:rPr>
          <w:rFonts w:ascii="Palatino Linotype" w:eastAsia="Calibri" w:hAnsi="Palatino Linotype" w:cs="Arial"/>
          <w:color w:val="000000" w:themeColor="text1"/>
        </w:rPr>
        <w:t>“</w:t>
      </w:r>
      <w:r w:rsidR="00987DDA" w:rsidRPr="00987DDA">
        <w:rPr>
          <w:rFonts w:ascii="Palatino Linotype" w:eastAsia="Calibri" w:hAnsi="Palatino Linotype" w:cs="Arial"/>
          <w:i/>
          <w:color w:val="000000" w:themeColor="text1"/>
        </w:rPr>
        <w:t xml:space="preserve">Le informo que conforme a los Artículos 6 Base A y 16, segundo párrafo de la Constitución Política de los Estados Unidos Mexicanos; 1, 16 y 113 de la Ley Federal de Transparencia y Acceso a la Información Pública; 85 Fracción III de la Ley de Protección de Datos Personales en Posesión de Sujetos Obligados y Artículo 26 del Bando Municipal de Zinacantepec vigente, no se encuentra dentro de las facultades del Sujeto Obligado a través de su Tesorería Municipal, el de proporcionar la información que usted amablemente refiere, puesto que existen bases, principios y procedimientos para garantizar el derecho que tiene toda persona a la protección de sus datos personales, en posesión de Sujetos Obligados contra el uso, acceso o tratamiento no autorizado. </w:t>
      </w:r>
    </w:p>
    <w:p w14:paraId="09391925" w14:textId="77777777" w:rsidR="00987DDA" w:rsidRPr="00987DDA" w:rsidRDefault="00987DDA" w:rsidP="00987DDA">
      <w:pPr>
        <w:pStyle w:val="Prrafodelista"/>
        <w:spacing w:line="360" w:lineRule="auto"/>
        <w:jc w:val="both"/>
        <w:rPr>
          <w:rFonts w:ascii="Palatino Linotype" w:eastAsia="Calibri" w:hAnsi="Palatino Linotype" w:cs="Arial"/>
          <w:i/>
          <w:color w:val="000000" w:themeColor="text1"/>
        </w:rPr>
      </w:pPr>
    </w:p>
    <w:p w14:paraId="0F006DAE" w14:textId="69CC2038" w:rsidR="00876C04" w:rsidRPr="00987DDA" w:rsidRDefault="00987DDA" w:rsidP="00987DDA">
      <w:pPr>
        <w:pStyle w:val="Prrafodelista"/>
        <w:spacing w:line="360" w:lineRule="auto"/>
        <w:jc w:val="both"/>
        <w:rPr>
          <w:rFonts w:ascii="Palatino Linotype" w:eastAsia="Calibri" w:hAnsi="Palatino Linotype" w:cs="Arial"/>
          <w:i/>
          <w:color w:val="000000" w:themeColor="text1"/>
        </w:rPr>
      </w:pPr>
      <w:r w:rsidRPr="00987DDA">
        <w:rPr>
          <w:rFonts w:ascii="Palatino Linotype" w:eastAsia="Calibri" w:hAnsi="Palatino Linotype" w:cs="Arial"/>
          <w:i/>
          <w:color w:val="000000" w:themeColor="text1"/>
        </w:rPr>
        <w:t>Y es por ello por lo que solo el titular de cada uno de los recibos de pago podrá acceder a la información solicitada, puesto que es un documento oficial e intransferible, por ello se le hace la extensa recomendación que si usted como solicitante de la información exhibe documento legal en donde los propietarios de los recibos de pago predial le otorguen derechos para la consulta de su información estaremos en toda la disposición de informarle lo solicitado, de otro modo nos vemos imposibilitados en proporcionar documentos algunos.</w:t>
      </w:r>
      <w:r w:rsidRPr="00987DDA">
        <w:rPr>
          <w:rFonts w:ascii="Palatino Linotype" w:eastAsia="Calibri" w:hAnsi="Palatino Linotype" w:cs="Arial"/>
          <w:color w:val="000000" w:themeColor="text1"/>
        </w:rPr>
        <w:t xml:space="preserve"> ” (Sic).</w:t>
      </w:r>
    </w:p>
    <w:p w14:paraId="05F7A080" w14:textId="1DFC7865" w:rsidR="00021740" w:rsidRPr="001D06B6" w:rsidRDefault="00876C04" w:rsidP="001D06B6">
      <w:pPr>
        <w:numPr>
          <w:ilvl w:val="0"/>
          <w:numId w:val="2"/>
        </w:numPr>
        <w:tabs>
          <w:tab w:val="left" w:pos="284"/>
          <w:tab w:val="left" w:pos="426"/>
        </w:tabs>
        <w:spacing w:before="240" w:after="240" w:line="360" w:lineRule="auto"/>
        <w:ind w:left="0" w:firstLine="0"/>
        <w:contextualSpacing/>
        <w:jc w:val="both"/>
        <w:rPr>
          <w:rFonts w:ascii="Palatino Linotype" w:eastAsia="MS Mincho" w:hAnsi="Palatino Linotype" w:cs="Arial"/>
        </w:rPr>
      </w:pPr>
      <w:r w:rsidRPr="001D06B6">
        <w:rPr>
          <w:rFonts w:ascii="Palatino Linotype" w:eastAsiaTheme="minorEastAsia" w:hAnsi="Palatino Linotype" w:cstheme="minorBidi"/>
          <w:color w:val="000000"/>
          <w:lang w:val="es-ES_tradnl"/>
        </w:rPr>
        <w:t>Por su parte el Recurrente no presento medios de prueba que a su derecho conviniera</w:t>
      </w:r>
      <w:r w:rsidRPr="001D06B6">
        <w:rPr>
          <w:rFonts w:ascii="Palatino Linotype" w:eastAsia="Calibri" w:hAnsi="Palatino Linotype" w:cs="Arial"/>
          <w:color w:val="000000" w:themeColor="text1"/>
        </w:rPr>
        <w:t>.</w:t>
      </w:r>
    </w:p>
    <w:p w14:paraId="07D50B45" w14:textId="77777777" w:rsidR="00021740" w:rsidRPr="001D06B6" w:rsidRDefault="00021740" w:rsidP="001D06B6">
      <w:pPr>
        <w:tabs>
          <w:tab w:val="left" w:pos="284"/>
        </w:tabs>
        <w:spacing w:before="240" w:after="240" w:line="360" w:lineRule="auto"/>
        <w:ind w:right="49"/>
        <w:contextualSpacing/>
        <w:jc w:val="both"/>
        <w:rPr>
          <w:rFonts w:ascii="Palatino Linotype" w:eastAsia="MS Mincho" w:hAnsi="Palatino Linotype" w:cs="Arial"/>
        </w:rPr>
      </w:pPr>
    </w:p>
    <w:p w14:paraId="1A06EC63" w14:textId="2EE2A29A" w:rsidR="0028674A" w:rsidRPr="001D06B6" w:rsidRDefault="00021740" w:rsidP="001D06B6">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1D06B6">
        <w:rPr>
          <w:rFonts w:ascii="Palatino Linotype" w:eastAsiaTheme="minorEastAsia" w:hAnsi="Palatino Linotype" w:cstheme="minorBidi"/>
          <w:color w:val="000000" w:themeColor="text1"/>
          <w:lang w:val="es-ES_tradnl"/>
        </w:rPr>
        <w:t xml:space="preserve"> Así las cosas, la</w:t>
      </w:r>
      <w:r w:rsidRPr="001D06B6">
        <w:rPr>
          <w:rFonts w:ascii="Palatino Linotype" w:eastAsiaTheme="minorEastAsia" w:hAnsi="Palatino Linotype" w:cstheme="minorBidi"/>
          <w:b/>
          <w:color w:val="000000" w:themeColor="text1"/>
          <w:lang w:val="es-ES_tradnl"/>
        </w:rPr>
        <w:t xml:space="preserve"> Comisionada María del Rosario Mejía Ayala</w:t>
      </w:r>
      <w:r w:rsidRPr="001D06B6">
        <w:rPr>
          <w:rFonts w:ascii="Palatino Linotype" w:eastAsiaTheme="minorEastAsia" w:hAnsi="Palatino Linotype" w:cstheme="minorBidi"/>
          <w:color w:val="000000" w:themeColor="text1"/>
          <w:lang w:val="es-ES_tradnl"/>
        </w:rPr>
        <w:t xml:space="preserve"> decretó el cierre de instrucción mediante acuerdo de fecha </w:t>
      </w:r>
      <w:r w:rsidR="00D56A66" w:rsidRPr="001D06B6">
        <w:rPr>
          <w:rFonts w:ascii="Palatino Linotype" w:eastAsiaTheme="minorEastAsia" w:hAnsi="Palatino Linotype" w:cstheme="minorBidi"/>
          <w:color w:val="000000" w:themeColor="text1"/>
          <w:lang w:val="es-ES_tradnl"/>
        </w:rPr>
        <w:t>veinti</w:t>
      </w:r>
      <w:r w:rsidR="00987DDA">
        <w:rPr>
          <w:rFonts w:ascii="Palatino Linotype" w:eastAsiaTheme="minorEastAsia" w:hAnsi="Palatino Linotype" w:cstheme="minorBidi"/>
          <w:color w:val="000000" w:themeColor="text1"/>
          <w:lang w:val="es-ES_tradnl"/>
        </w:rPr>
        <w:t>ocho</w:t>
      </w:r>
      <w:r w:rsidR="00D56A66" w:rsidRPr="001D06B6">
        <w:rPr>
          <w:rFonts w:ascii="Palatino Linotype" w:eastAsiaTheme="minorEastAsia" w:hAnsi="Palatino Linotype" w:cstheme="minorBidi"/>
          <w:color w:val="000000" w:themeColor="text1"/>
          <w:lang w:val="es-ES_tradnl"/>
        </w:rPr>
        <w:t xml:space="preserve"> (2</w:t>
      </w:r>
      <w:r w:rsidR="00987DDA">
        <w:rPr>
          <w:rFonts w:ascii="Palatino Linotype" w:eastAsiaTheme="minorEastAsia" w:hAnsi="Palatino Linotype" w:cstheme="minorBidi"/>
          <w:color w:val="000000" w:themeColor="text1"/>
          <w:lang w:val="es-ES_tradnl"/>
        </w:rPr>
        <w:t>8</w:t>
      </w:r>
      <w:r w:rsidRPr="001D06B6">
        <w:rPr>
          <w:rFonts w:ascii="Palatino Linotype" w:eastAsiaTheme="minorEastAsia" w:hAnsi="Palatino Linotype" w:cstheme="minorBidi"/>
          <w:color w:val="000000" w:themeColor="text1"/>
          <w:lang w:val="es-ES_tradnl"/>
        </w:rPr>
        <w:t>) de</w:t>
      </w:r>
      <w:r w:rsidR="00D56A66" w:rsidRPr="001D06B6">
        <w:rPr>
          <w:rFonts w:ascii="Palatino Linotype" w:eastAsiaTheme="minorEastAsia" w:hAnsi="Palatino Linotype" w:cstheme="minorBidi"/>
          <w:color w:val="000000" w:themeColor="text1"/>
          <w:lang w:val="es-ES_tradnl"/>
        </w:rPr>
        <w:t xml:space="preserve"> febrero de dos mil veintitrés</w:t>
      </w:r>
      <w:r w:rsidRPr="001D06B6">
        <w:rPr>
          <w:rFonts w:ascii="Palatino Linotype" w:eastAsiaTheme="minorEastAsia" w:hAnsi="Palatino Linotype" w:cstheme="minorBidi"/>
          <w:color w:val="000000" w:themeColor="text1"/>
          <w:lang w:val="es-ES_tradnl"/>
        </w:rPr>
        <w:t xml:space="preserve">. </w:t>
      </w:r>
      <w:bookmarkStart w:id="6" w:name="_Toc68804758"/>
    </w:p>
    <w:p w14:paraId="494F97AD" w14:textId="77777777" w:rsidR="00EA0165" w:rsidRPr="001D06B6" w:rsidRDefault="00EA0165" w:rsidP="001D06B6">
      <w:pPr>
        <w:pStyle w:val="Ttulo1"/>
        <w:spacing w:line="360" w:lineRule="auto"/>
        <w:jc w:val="center"/>
        <w:rPr>
          <w:rFonts w:ascii="Palatino Linotype" w:hAnsi="Palatino Linotype"/>
          <w:b/>
          <w:color w:val="000000" w:themeColor="text1"/>
          <w:sz w:val="24"/>
          <w:szCs w:val="24"/>
          <w:lang w:val="es-MX" w:eastAsia="en-US"/>
        </w:rPr>
      </w:pPr>
      <w:bookmarkStart w:id="7" w:name="_Toc105089658"/>
      <w:r w:rsidRPr="001D06B6">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1D06B6" w:rsidRDefault="00EA0165" w:rsidP="001D06B6">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1D06B6" w:rsidRDefault="00EA0165" w:rsidP="001D06B6">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5089659"/>
      <w:r w:rsidRPr="001D06B6">
        <w:rPr>
          <w:rFonts w:ascii="Palatino Linotype" w:hAnsi="Palatino Linotype"/>
          <w:b/>
          <w:color w:val="000000" w:themeColor="text1"/>
          <w:sz w:val="24"/>
          <w:szCs w:val="24"/>
          <w:lang w:val="es-MX" w:eastAsia="en-US"/>
        </w:rPr>
        <w:t>PRIMERO. De la competencia</w:t>
      </w:r>
      <w:bookmarkEnd w:id="8"/>
      <w:bookmarkEnd w:id="9"/>
      <w:bookmarkEnd w:id="10"/>
      <w:r w:rsidR="00537427" w:rsidRPr="001D06B6">
        <w:rPr>
          <w:rFonts w:ascii="Palatino Linotype" w:hAnsi="Palatino Linotype"/>
          <w:b/>
          <w:color w:val="000000" w:themeColor="text1"/>
          <w:sz w:val="24"/>
          <w:szCs w:val="24"/>
          <w:lang w:val="es-MX" w:eastAsia="en-US"/>
        </w:rPr>
        <w:t>.</w:t>
      </w:r>
      <w:bookmarkEnd w:id="11"/>
    </w:p>
    <w:p w14:paraId="15D1D21E" w14:textId="1FEE95DB" w:rsidR="00EA0165" w:rsidRPr="001D06B6" w:rsidRDefault="00EA0165" w:rsidP="001D06B6">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1D06B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D06B6">
        <w:rPr>
          <w:rFonts w:ascii="Palatino Linotype" w:eastAsia="Calibri" w:hAnsi="Palatino Linotype"/>
          <w:b/>
        </w:rPr>
        <w:t>Constitución Política de los Estados Unidos Mexicanos</w:t>
      </w:r>
      <w:r w:rsidRPr="001D06B6">
        <w:rPr>
          <w:rFonts w:ascii="Palatino Linotype" w:eastAsia="Calibri" w:hAnsi="Palatino Linotype"/>
        </w:rPr>
        <w:t xml:space="preserve">; </w:t>
      </w:r>
      <w:r w:rsidRPr="001D06B6">
        <w:rPr>
          <w:rFonts w:ascii="Palatino Linotype" w:eastAsia="Calibri" w:hAnsi="Palatino Linotype" w:cs="Arial"/>
          <w:bCs/>
          <w:color w:val="222222"/>
          <w:shd w:val="clear" w:color="auto" w:fill="FFFFFF"/>
          <w:lang w:eastAsia="en-US"/>
        </w:rPr>
        <w:t>5, párrafo</w:t>
      </w:r>
      <w:r w:rsidR="00543BF9" w:rsidRPr="001D06B6">
        <w:rPr>
          <w:rFonts w:ascii="Palatino Linotype" w:eastAsia="Calibri" w:hAnsi="Palatino Linotype"/>
          <w:lang w:val="es-MX" w:eastAsia="en-US"/>
        </w:rPr>
        <w:t xml:space="preserve"> trigésimo, trigésimo primero y trigésimo segundo, fracciones I, II, III, IV y V</w:t>
      </w:r>
      <w:r w:rsidR="00543BF9" w:rsidRPr="001D06B6">
        <w:rPr>
          <w:rFonts w:ascii="Palatino Linotype" w:eastAsia="MS Mincho" w:hAnsi="Palatino Linotype"/>
          <w:lang w:val="es-ES_tradnl"/>
        </w:rPr>
        <w:t xml:space="preserve"> </w:t>
      </w:r>
      <w:r w:rsidRPr="001D06B6">
        <w:rPr>
          <w:rFonts w:ascii="Palatino Linotype" w:eastAsia="Calibri" w:hAnsi="Palatino Linotype"/>
        </w:rPr>
        <w:t xml:space="preserve">de la </w:t>
      </w:r>
      <w:r w:rsidRPr="001D06B6">
        <w:rPr>
          <w:rFonts w:ascii="Palatino Linotype" w:eastAsia="Calibri" w:hAnsi="Palatino Linotype"/>
          <w:b/>
        </w:rPr>
        <w:t>Constitución Política del Estado Libre y Soberano de México</w:t>
      </w:r>
      <w:r w:rsidRPr="001D06B6">
        <w:rPr>
          <w:rFonts w:ascii="Palatino Linotype" w:eastAsia="Calibri" w:hAnsi="Palatino Linotype"/>
        </w:rPr>
        <w:t xml:space="preserve">; artículos 1, 2 fracción II, 13, 29, 36 fracciones I y II, 176, 178, 179, 181 párrafo tercero y 185 </w:t>
      </w:r>
      <w:r w:rsidRPr="001D06B6">
        <w:rPr>
          <w:rFonts w:ascii="Palatino Linotype" w:eastAsia="Calibri" w:hAnsi="Palatino Linotype" w:cs="Arial"/>
        </w:rPr>
        <w:t xml:space="preserve">de la </w:t>
      </w:r>
      <w:r w:rsidRPr="001D06B6">
        <w:rPr>
          <w:rFonts w:ascii="Palatino Linotype" w:eastAsia="Calibri" w:hAnsi="Palatino Linotype" w:cs="Arial"/>
          <w:b/>
        </w:rPr>
        <w:t>Ley de Transparencia y Acceso a la Información Pública del Estado de México y Municipios</w:t>
      </w:r>
      <w:r w:rsidRPr="001D06B6">
        <w:rPr>
          <w:rFonts w:ascii="Palatino Linotype" w:eastAsia="Calibri" w:hAnsi="Palatino Linotype" w:cs="Arial"/>
        </w:rPr>
        <w:t xml:space="preserve">; </w:t>
      </w:r>
      <w:r w:rsidRPr="001D06B6">
        <w:rPr>
          <w:rFonts w:ascii="Palatino Linotype" w:eastAsia="Calibri" w:hAnsi="Palatino Linotype" w:cs="Arial"/>
          <w:b/>
        </w:rPr>
        <w:t>7, 9 fracciones I y XXIV, y 11</w:t>
      </w:r>
      <w:r w:rsidRPr="001D06B6">
        <w:rPr>
          <w:rFonts w:ascii="Palatino Linotype" w:eastAsia="Calibri" w:hAnsi="Palatino Linotype" w:cs="Arial"/>
        </w:rPr>
        <w:t xml:space="preserve"> del </w:t>
      </w:r>
      <w:r w:rsidRPr="001D06B6">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D06B6">
        <w:rPr>
          <w:rFonts w:ascii="Palatino Linotype" w:eastAsia="Calibri" w:hAnsi="Palatino Linotype" w:cs="Arial"/>
          <w:b/>
        </w:rPr>
        <w:t>.</w:t>
      </w:r>
    </w:p>
    <w:p w14:paraId="35904852" w14:textId="77777777" w:rsidR="00D56A66" w:rsidRPr="001D06B6" w:rsidRDefault="00D56A66" w:rsidP="001D06B6">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1D06B6" w:rsidRDefault="00EA0165" w:rsidP="001D06B6">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5089660"/>
      <w:r w:rsidRPr="001D06B6">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C61498" w14:textId="77777777" w:rsidR="00957350" w:rsidRPr="001D06B6" w:rsidRDefault="00957350" w:rsidP="001D06B6">
      <w:pPr>
        <w:spacing w:line="360" w:lineRule="auto"/>
        <w:contextualSpacing/>
        <w:jc w:val="both"/>
        <w:rPr>
          <w:rFonts w:ascii="Palatino Linotype" w:eastAsiaTheme="majorEastAsia" w:hAnsi="Palatino Linotype" w:cstheme="majorBidi"/>
          <w:i/>
          <w:color w:val="000000"/>
          <w:lang w:val="es-ES_tradnl"/>
        </w:rPr>
      </w:pPr>
    </w:p>
    <w:p w14:paraId="250F3346" w14:textId="796D96B8" w:rsidR="00D56A66" w:rsidRPr="001D06B6" w:rsidRDefault="00D56A66" w:rsidP="001D06B6">
      <w:pPr>
        <w:pStyle w:val="Prrafodelista"/>
        <w:numPr>
          <w:ilvl w:val="0"/>
          <w:numId w:val="2"/>
        </w:numPr>
        <w:spacing w:before="240" w:after="240" w:line="360" w:lineRule="auto"/>
        <w:ind w:left="0" w:firstLine="0"/>
        <w:contextualSpacing/>
        <w:jc w:val="both"/>
        <w:rPr>
          <w:rFonts w:ascii="Palatino Linotype" w:hAnsi="Palatino Linotype" w:cs="Arial"/>
        </w:rPr>
      </w:pPr>
      <w:r w:rsidRPr="001D06B6">
        <w:rPr>
          <w:rFonts w:ascii="Palatino Linotype" w:eastAsia="Calibri" w:hAnsi="Palatino Linotype" w:cs="Arial"/>
        </w:rPr>
        <w:t xml:space="preserve">Es de precisar, que la Ley de Transparencia y Acceso a la Información Pública del Estado de México y Municipios, en el artículo 178 describe la procedencia del </w:t>
      </w:r>
      <w:r w:rsidRPr="001D06B6">
        <w:rPr>
          <w:rFonts w:ascii="Palatino Linotype" w:eastAsia="Calibri" w:hAnsi="Palatino Linotype" w:cs="Arial"/>
        </w:rPr>
        <w:lastRenderedPageBreak/>
        <w:t xml:space="preserve">recurso de revisión, asimismo señala que el plazo del </w:t>
      </w:r>
      <w:r w:rsidRPr="001D06B6">
        <w:rPr>
          <w:rFonts w:ascii="Palatino Linotype" w:eastAsia="Calibri" w:hAnsi="Palatino Linotype" w:cs="Arial"/>
          <w:b/>
        </w:rPr>
        <w:t>SUJETO OBLIGADO</w:t>
      </w:r>
      <w:r w:rsidRPr="001D06B6">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32EC1AF" w14:textId="77777777" w:rsidR="00D56A66" w:rsidRPr="001D06B6" w:rsidRDefault="00D56A66" w:rsidP="001D06B6">
      <w:pPr>
        <w:spacing w:before="240" w:after="240" w:line="360" w:lineRule="auto"/>
        <w:contextualSpacing/>
        <w:jc w:val="both"/>
        <w:rPr>
          <w:rFonts w:ascii="Palatino Linotype" w:hAnsi="Palatino Linotype" w:cs="Arial"/>
          <w:lang w:val="es-ES_tradnl"/>
        </w:rPr>
      </w:pPr>
    </w:p>
    <w:p w14:paraId="43C93013" w14:textId="77777777" w:rsidR="00D56A66" w:rsidRPr="001D06B6" w:rsidRDefault="00D56A66" w:rsidP="001D06B6">
      <w:pPr>
        <w:numPr>
          <w:ilvl w:val="0"/>
          <w:numId w:val="2"/>
        </w:numPr>
        <w:spacing w:before="240" w:after="240" w:line="360" w:lineRule="auto"/>
        <w:ind w:left="0" w:firstLine="0"/>
        <w:contextualSpacing/>
        <w:jc w:val="both"/>
        <w:rPr>
          <w:rFonts w:ascii="Palatino Linotype" w:hAnsi="Palatino Linotype" w:cs="Arial"/>
          <w:lang w:val="es-ES_tradnl"/>
        </w:rPr>
      </w:pPr>
      <w:r w:rsidRPr="001D06B6">
        <w:rPr>
          <w:rFonts w:ascii="Palatino Linotype" w:eastAsia="Calibri" w:hAnsi="Palatino Linotype" w:cs="Arial"/>
        </w:rPr>
        <w:t xml:space="preserve">Por ende, se constituye la figura jurídica de la </w:t>
      </w:r>
      <w:r w:rsidRPr="001D06B6">
        <w:rPr>
          <w:rFonts w:ascii="Palatino Linotype" w:eastAsia="Calibri" w:hAnsi="Palatino Linotype" w:cs="Arial"/>
          <w:i/>
        </w:rPr>
        <w:t>negativa ficta</w:t>
      </w:r>
      <w:r w:rsidRPr="001D06B6">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1D06B6">
        <w:rPr>
          <w:rFonts w:ascii="Palatino Linotype" w:eastAsia="Calibri" w:hAnsi="Palatino Linotype" w:cs="Arial"/>
          <w:b/>
        </w:rPr>
        <w:t>178</w:t>
      </w:r>
      <w:r w:rsidRPr="001D06B6">
        <w:rPr>
          <w:rFonts w:ascii="Palatino Linotype" w:eastAsia="Calibri" w:hAnsi="Palatino Linotype" w:cs="Arial"/>
        </w:rPr>
        <w:t xml:space="preserve"> segundo párrafo de </w:t>
      </w:r>
      <w:r w:rsidRPr="001D06B6">
        <w:rPr>
          <w:rFonts w:ascii="Palatino Linotype" w:eastAsia="Calibri" w:hAnsi="Palatino Linotype" w:cs="Arial"/>
          <w:b/>
        </w:rPr>
        <w:t>Ley de Transparencia y Acceso a la Información Pública del Estado de México y Municipios</w:t>
      </w:r>
      <w:r w:rsidRPr="001D06B6">
        <w:rPr>
          <w:rFonts w:ascii="Palatino Linotype" w:eastAsia="Calibri" w:hAnsi="Palatino Linotype"/>
          <w:shd w:val="clear" w:color="auto" w:fill="FFFFFF"/>
        </w:rPr>
        <w:t xml:space="preserve">, que dispone; ante la falta de respuesta del </w:t>
      </w:r>
      <w:r w:rsidRPr="001D06B6">
        <w:rPr>
          <w:rFonts w:ascii="Palatino Linotype" w:eastAsia="Calibri" w:hAnsi="Palatino Linotype"/>
          <w:b/>
          <w:shd w:val="clear" w:color="auto" w:fill="FFFFFF"/>
        </w:rPr>
        <w:t>SUJETO OBLIGADO,</w:t>
      </w:r>
      <w:r w:rsidRPr="001D06B6">
        <w:rPr>
          <w:rFonts w:ascii="Palatino Linotype" w:eastAsia="Calibri" w:hAnsi="Palatino Linotype"/>
          <w:shd w:val="clear" w:color="auto" w:fill="FFFFFF"/>
        </w:rPr>
        <w:t xml:space="preserve"> dentro de los plazos establecidos en esta Ley, a una solicitud de acceso a la información pública, el recurso </w:t>
      </w:r>
      <w:r w:rsidRPr="001D06B6">
        <w:rPr>
          <w:rFonts w:ascii="Palatino Linotype" w:eastAsia="Calibri" w:hAnsi="Palatino Linotype"/>
          <w:b/>
          <w:shd w:val="clear" w:color="auto" w:fill="FFFFFF"/>
        </w:rPr>
        <w:t xml:space="preserve">podrá ser interpuesto en cualquier momento. </w:t>
      </w:r>
    </w:p>
    <w:p w14:paraId="184634CD" w14:textId="77777777" w:rsidR="00D56A66" w:rsidRPr="001D06B6" w:rsidRDefault="00D56A66" w:rsidP="001D06B6">
      <w:pPr>
        <w:spacing w:line="360" w:lineRule="auto"/>
        <w:ind w:left="284"/>
        <w:contextualSpacing/>
        <w:rPr>
          <w:rFonts w:ascii="Palatino Linotype" w:hAnsi="Palatino Linotype" w:cs="Arial"/>
          <w:lang w:val="es-ES_tradnl"/>
        </w:rPr>
      </w:pPr>
    </w:p>
    <w:p w14:paraId="58646587" w14:textId="77777777" w:rsidR="00D56A66" w:rsidRPr="001D06B6" w:rsidRDefault="00D56A66" w:rsidP="001D06B6">
      <w:pPr>
        <w:numPr>
          <w:ilvl w:val="0"/>
          <w:numId w:val="2"/>
        </w:numPr>
        <w:spacing w:before="240" w:after="240" w:line="360" w:lineRule="auto"/>
        <w:ind w:left="0" w:firstLine="0"/>
        <w:contextualSpacing/>
        <w:jc w:val="both"/>
        <w:rPr>
          <w:rFonts w:ascii="Palatino Linotype" w:hAnsi="Palatino Linotype" w:cs="Arial"/>
          <w:lang w:val="es-ES_tradnl"/>
        </w:rPr>
      </w:pPr>
      <w:r w:rsidRPr="001D06B6">
        <w:rPr>
          <w:rFonts w:ascii="Palatino Linotype" w:eastAsia="Calibri" w:hAnsi="Palatino Linotype" w:cs="Arial"/>
        </w:rPr>
        <w:t xml:space="preserve">Por lo que, tratándose de la </w:t>
      </w:r>
      <w:r w:rsidRPr="001D06B6">
        <w:rPr>
          <w:rFonts w:ascii="Palatino Linotype" w:eastAsia="Calibri" w:hAnsi="Palatino Linotype" w:cs="Arial"/>
          <w:i/>
        </w:rPr>
        <w:t>negativa ficta</w:t>
      </w:r>
      <w:r w:rsidRPr="001D06B6">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1D06B6">
        <w:rPr>
          <w:rFonts w:ascii="Palatino Linotype" w:eastAsia="Calibri" w:hAnsi="Palatino Linotype" w:cs="Arial"/>
        </w:rPr>
        <w:lastRenderedPageBreak/>
        <w:t xml:space="preserve">interposición del recurso de revisión en cualquier tiempo cuando exista </w:t>
      </w:r>
      <w:r w:rsidRPr="001D06B6">
        <w:rPr>
          <w:rFonts w:ascii="Palatino Linotype" w:eastAsia="Calibri" w:hAnsi="Palatino Linotype" w:cs="Arial"/>
          <w:i/>
        </w:rPr>
        <w:t>negativa ficta</w:t>
      </w:r>
      <w:r w:rsidRPr="001D06B6">
        <w:rPr>
          <w:rFonts w:ascii="Palatino Linotype" w:eastAsia="Calibri" w:hAnsi="Palatino Linotype" w:cs="Arial"/>
        </w:rPr>
        <w:t>, que señala:</w:t>
      </w:r>
    </w:p>
    <w:p w14:paraId="1E97C9B5" w14:textId="77777777" w:rsidR="00D56A66" w:rsidRPr="001D06B6" w:rsidRDefault="00D56A66" w:rsidP="001D06B6">
      <w:pPr>
        <w:spacing w:before="240" w:after="240" w:line="360" w:lineRule="auto"/>
        <w:contextualSpacing/>
        <w:jc w:val="both"/>
        <w:rPr>
          <w:rFonts w:ascii="Palatino Linotype" w:hAnsi="Palatino Linotype" w:cs="Arial"/>
          <w:lang w:val="es-ES_tradnl"/>
        </w:rPr>
      </w:pPr>
    </w:p>
    <w:p w14:paraId="4021DA2E" w14:textId="77777777" w:rsidR="00D56A66" w:rsidRPr="001D06B6" w:rsidRDefault="00D56A66" w:rsidP="001D06B6">
      <w:pPr>
        <w:tabs>
          <w:tab w:val="left" w:pos="7655"/>
        </w:tabs>
        <w:spacing w:before="240" w:after="240" w:line="360" w:lineRule="auto"/>
        <w:ind w:left="567" w:right="567"/>
        <w:jc w:val="center"/>
        <w:rPr>
          <w:rFonts w:ascii="Palatino Linotype" w:eastAsia="Calibri" w:hAnsi="Palatino Linotype" w:cs="Arial"/>
          <w:b/>
        </w:rPr>
      </w:pPr>
      <w:r w:rsidRPr="001D06B6">
        <w:rPr>
          <w:rFonts w:ascii="Palatino Linotype" w:eastAsia="Calibri" w:hAnsi="Palatino Linotype" w:cs="Arial"/>
          <w:b/>
        </w:rPr>
        <w:t>Criterio 0001-15</w:t>
      </w:r>
    </w:p>
    <w:p w14:paraId="6DBBDDBE" w14:textId="77777777" w:rsidR="00D56A66" w:rsidRPr="001D06B6" w:rsidRDefault="00D56A66" w:rsidP="001D06B6">
      <w:pPr>
        <w:tabs>
          <w:tab w:val="left" w:pos="7655"/>
        </w:tabs>
        <w:spacing w:before="240" w:after="240" w:line="360" w:lineRule="auto"/>
        <w:ind w:left="567" w:right="567"/>
        <w:jc w:val="both"/>
        <w:rPr>
          <w:rFonts w:ascii="Palatino Linotype" w:eastAsia="Calibri" w:hAnsi="Palatino Linotype" w:cs="Arial"/>
          <w:i/>
        </w:rPr>
      </w:pPr>
      <w:r w:rsidRPr="001D06B6">
        <w:rPr>
          <w:rFonts w:ascii="Palatino Linotype" w:eastAsia="Calibri" w:hAnsi="Palatino Linotype" w:cs="Arial"/>
          <w:b/>
          <w:i/>
        </w:rPr>
        <w:t>NEGATIVA FICTA. PLAZO PARA INTERPONER EL RECURSO DE REVISIÓN TRATÁNDOSE DE.</w:t>
      </w:r>
      <w:r w:rsidRPr="001D06B6">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B36A35B" w14:textId="77777777" w:rsidR="00D56A66" w:rsidRPr="001D06B6" w:rsidRDefault="00D56A66" w:rsidP="001D06B6">
      <w:pPr>
        <w:tabs>
          <w:tab w:val="left" w:pos="7655"/>
        </w:tabs>
        <w:spacing w:before="240" w:after="240" w:line="360" w:lineRule="auto"/>
        <w:ind w:left="567" w:right="567"/>
        <w:jc w:val="both"/>
        <w:rPr>
          <w:rFonts w:ascii="Palatino Linotype" w:eastAsia="Calibri" w:hAnsi="Palatino Linotype" w:cs="Arial"/>
          <w:i/>
        </w:rPr>
      </w:pPr>
    </w:p>
    <w:p w14:paraId="5A25B219" w14:textId="77777777" w:rsidR="00D56A66" w:rsidRPr="001D06B6" w:rsidRDefault="00D56A66" w:rsidP="001D06B6">
      <w:pPr>
        <w:numPr>
          <w:ilvl w:val="0"/>
          <w:numId w:val="2"/>
        </w:numPr>
        <w:spacing w:before="240" w:after="240" w:line="360" w:lineRule="auto"/>
        <w:ind w:left="0" w:firstLine="0"/>
        <w:contextualSpacing/>
        <w:jc w:val="both"/>
        <w:rPr>
          <w:rFonts w:ascii="Palatino Linotype" w:hAnsi="Palatino Linotype" w:cs="Arial"/>
        </w:rPr>
      </w:pPr>
      <w:r w:rsidRPr="001D06B6">
        <w:rPr>
          <w:rFonts w:ascii="Palatino Linotype" w:hAnsi="Palatino Linotype" w:cs="Arial"/>
        </w:rPr>
        <w:t xml:space="preserve">Lo anterior, se explica porque la </w:t>
      </w:r>
      <w:r w:rsidRPr="001D06B6">
        <w:rPr>
          <w:rFonts w:ascii="Palatino Linotype" w:hAnsi="Palatino Linotype" w:cs="Arial"/>
          <w:b/>
          <w:u w:val="single"/>
        </w:rPr>
        <w:t>posible ausencia</w:t>
      </w:r>
      <w:r w:rsidRPr="001D06B6">
        <w:rPr>
          <w:rFonts w:ascii="Palatino Linotype" w:hAnsi="Palatino Linotype" w:cs="Arial"/>
        </w:rPr>
        <w:t xml:space="preserve"> de una respuesta en la solicitud constituye un acto que vulnera el derecho de manera continua y </w:t>
      </w:r>
      <w:r w:rsidRPr="001D06B6">
        <w:rPr>
          <w:rFonts w:ascii="Palatino Linotype" w:hAnsi="Palatino Linotype" w:cs="Arial"/>
        </w:rPr>
        <w:lastRenderedPageBreak/>
        <w:t xml:space="preserve">actualizable cada día en tanto, no se emita la respuesta a la que esté impuesto el </w:t>
      </w:r>
      <w:r w:rsidRPr="001D06B6">
        <w:rPr>
          <w:rFonts w:ascii="Palatino Linotype" w:hAnsi="Palatino Linotype" w:cs="Arial"/>
          <w:b/>
        </w:rPr>
        <w:t>SUJETO OBLIGADO</w:t>
      </w:r>
      <w:r w:rsidRPr="001D06B6">
        <w:rPr>
          <w:rFonts w:ascii="Palatino Linotype" w:hAnsi="Palatino Linotype" w:cs="Arial"/>
        </w:rPr>
        <w:t>.</w:t>
      </w:r>
    </w:p>
    <w:p w14:paraId="732E5354" w14:textId="77777777" w:rsidR="00D56A66" w:rsidRPr="001D06B6" w:rsidRDefault="00D56A66" w:rsidP="001D06B6">
      <w:pPr>
        <w:spacing w:line="360" w:lineRule="auto"/>
        <w:rPr>
          <w:rFonts w:ascii="Palatino Linotype" w:eastAsia="Calibri" w:hAnsi="Palatino Linotype" w:cs="Arial"/>
        </w:rPr>
      </w:pPr>
    </w:p>
    <w:p w14:paraId="533FAD15" w14:textId="77777777" w:rsidR="00D56A66" w:rsidRPr="001D06B6" w:rsidRDefault="00D56A66" w:rsidP="001D06B6">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rPr>
      </w:pPr>
      <w:r w:rsidRPr="001D06B6">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CDFEA4D" w14:textId="77777777" w:rsidR="00D56A66" w:rsidRPr="001D06B6" w:rsidRDefault="00D56A66" w:rsidP="001D06B6">
      <w:pPr>
        <w:spacing w:before="240" w:after="240" w:line="360" w:lineRule="auto"/>
        <w:ind w:right="49"/>
        <w:contextualSpacing/>
        <w:jc w:val="both"/>
        <w:rPr>
          <w:rFonts w:ascii="Palatino Linotype" w:eastAsiaTheme="minorEastAsia" w:hAnsi="Palatino Linotype" w:cs="Arial"/>
          <w:b/>
          <w:lang w:val="es-ES_tradnl"/>
        </w:rPr>
      </w:pPr>
    </w:p>
    <w:p w14:paraId="0D827A06" w14:textId="618FFBB0" w:rsidR="00403CB8" w:rsidRDefault="00D56A66" w:rsidP="001D06B6">
      <w:pPr>
        <w:keepNext/>
        <w:keepLines/>
        <w:spacing w:line="360" w:lineRule="auto"/>
        <w:outlineLvl w:val="0"/>
        <w:rPr>
          <w:rFonts w:ascii="Palatino Linotype" w:eastAsia="Calibri" w:hAnsi="Palatino Linotype"/>
          <w:b/>
          <w:bCs/>
        </w:rPr>
      </w:pPr>
      <w:bookmarkStart w:id="16" w:name="_Toc86251412"/>
      <w:r w:rsidRPr="001D06B6">
        <w:rPr>
          <w:rFonts w:ascii="Palatino Linotype" w:eastAsia="Calibri" w:hAnsi="Palatino Linotype"/>
          <w:b/>
          <w:bCs/>
        </w:rPr>
        <w:t>TERCERO. Del planteamiento de la Litis.</w:t>
      </w:r>
      <w:bookmarkEnd w:id="16"/>
      <w:r w:rsidRPr="001D06B6">
        <w:rPr>
          <w:rFonts w:ascii="Palatino Linotype" w:eastAsia="Calibri" w:hAnsi="Palatino Linotype"/>
          <w:b/>
          <w:bCs/>
        </w:rPr>
        <w:t xml:space="preserve"> </w:t>
      </w:r>
    </w:p>
    <w:p w14:paraId="6BB78206" w14:textId="77777777" w:rsidR="00403CB8" w:rsidRPr="001D06B6" w:rsidRDefault="00403CB8" w:rsidP="001D06B6">
      <w:pPr>
        <w:keepNext/>
        <w:keepLines/>
        <w:spacing w:line="360" w:lineRule="auto"/>
        <w:outlineLvl w:val="0"/>
        <w:rPr>
          <w:rFonts w:ascii="Palatino Linotype" w:eastAsia="Calibri" w:hAnsi="Palatino Linotype"/>
          <w:b/>
          <w:bCs/>
        </w:rPr>
      </w:pPr>
    </w:p>
    <w:p w14:paraId="53648D12" w14:textId="77777777" w:rsidR="00D56A66" w:rsidRPr="001D06B6" w:rsidRDefault="00D56A66" w:rsidP="001D06B6">
      <w:pPr>
        <w:numPr>
          <w:ilvl w:val="0"/>
          <w:numId w:val="2"/>
        </w:numPr>
        <w:tabs>
          <w:tab w:val="left" w:pos="284"/>
        </w:tabs>
        <w:spacing w:before="240" w:after="240" w:line="360" w:lineRule="auto"/>
        <w:ind w:left="0" w:firstLine="0"/>
        <w:contextualSpacing/>
        <w:jc w:val="both"/>
        <w:rPr>
          <w:rFonts w:ascii="Palatino Linotype" w:hAnsi="Palatino Linotype" w:cs="Arial"/>
          <w:i/>
          <w:iCs/>
        </w:rPr>
      </w:pPr>
      <w:r w:rsidRPr="001D06B6">
        <w:rPr>
          <w:rFonts w:ascii="Palatino Linotype" w:eastAsiaTheme="minorEastAsia" w:hAnsi="Palatino Linotype"/>
          <w:iCs/>
          <w:lang w:val="es-ES_tradnl"/>
        </w:rPr>
        <w:t xml:space="preserve"> De </w:t>
      </w:r>
      <w:r w:rsidRPr="001D06B6">
        <w:rPr>
          <w:rFonts w:ascii="Palatino Linotype" w:hAnsi="Palatino Linotype" w:cs="Arial"/>
          <w:iCs/>
        </w:rPr>
        <w:t>las constancias en el expediente al rubro indicado, se desprende que el Recurrente requirió la siguiente información:</w:t>
      </w:r>
      <w:r w:rsidRPr="001D06B6">
        <w:rPr>
          <w:rFonts w:ascii="Palatino Linotype" w:hAnsi="Palatino Linotype" w:cs="Arial"/>
        </w:rPr>
        <w:t xml:space="preserve"> </w:t>
      </w:r>
    </w:p>
    <w:p w14:paraId="78ACBAF2" w14:textId="034B11E1" w:rsidR="00D56A66" w:rsidRPr="001D06B6" w:rsidRDefault="00D56A66" w:rsidP="008E5054">
      <w:pPr>
        <w:pStyle w:val="Prrafodelista"/>
        <w:numPr>
          <w:ilvl w:val="0"/>
          <w:numId w:val="5"/>
        </w:numPr>
        <w:tabs>
          <w:tab w:val="left" w:pos="284"/>
        </w:tabs>
        <w:spacing w:before="240" w:after="240" w:line="360" w:lineRule="auto"/>
        <w:ind w:hanging="153"/>
        <w:contextualSpacing/>
        <w:jc w:val="both"/>
        <w:rPr>
          <w:rFonts w:ascii="Palatino Linotype" w:eastAsiaTheme="minorEastAsia" w:hAnsi="Palatino Linotype"/>
          <w:i/>
          <w:lang w:val="es-ES_tradnl"/>
        </w:rPr>
      </w:pPr>
      <w:r w:rsidRPr="001D06B6">
        <w:rPr>
          <w:rFonts w:ascii="Palatino Linotype" w:hAnsi="Palatino Linotype" w:cs="Arial"/>
          <w:iCs/>
        </w:rPr>
        <w:t xml:space="preserve">Recibos de pago predial </w:t>
      </w:r>
      <w:r w:rsidR="00DB21E2" w:rsidRPr="001D06B6">
        <w:rPr>
          <w:rFonts w:ascii="Palatino Linotype" w:hAnsi="Palatino Linotype" w:cs="Arial"/>
          <w:iCs/>
        </w:rPr>
        <w:t xml:space="preserve">del mes de diciembre del año dos mil veintidós. </w:t>
      </w:r>
    </w:p>
    <w:p w14:paraId="158CCBC7" w14:textId="77777777" w:rsidR="00D56A66" w:rsidRPr="001D06B6" w:rsidRDefault="00D56A66" w:rsidP="001D06B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rPr>
      </w:pPr>
      <w:r w:rsidRPr="001D06B6">
        <w:rPr>
          <w:rFonts w:ascii="Palatino Linotype" w:eastAsiaTheme="minorEastAsia" w:hAnsi="Palatino Linotype"/>
          <w:lang w:val="es-ES_tradnl"/>
        </w:rPr>
        <w:t xml:space="preserve">Derivado </w:t>
      </w:r>
      <w:r w:rsidRPr="001D06B6">
        <w:rPr>
          <w:rFonts w:ascii="Palatino Linotype" w:eastAsiaTheme="minorEastAsia" w:hAnsi="Palatino Linotype" w:cs="Arial"/>
          <w:lang w:val="es-ES_tradnl"/>
        </w:rPr>
        <w:t xml:space="preserve">de la falta de respuesta por parte del </w:t>
      </w:r>
      <w:r w:rsidRPr="001D06B6">
        <w:rPr>
          <w:rFonts w:ascii="Palatino Linotype" w:eastAsiaTheme="minorEastAsia" w:hAnsi="Palatino Linotype" w:cs="Arial"/>
          <w:b/>
          <w:lang w:val="es-ES_tradnl"/>
        </w:rPr>
        <w:t>SUJETO OBLIGADO</w:t>
      </w:r>
      <w:r w:rsidRPr="001D06B6">
        <w:rPr>
          <w:rFonts w:ascii="Palatino Linotype" w:eastAsiaTheme="minorEastAsia" w:hAnsi="Palatino Linotype" w:cs="Arial"/>
          <w:lang w:val="es-ES_tradnl"/>
        </w:rPr>
        <w:t>, el Recurrente interpuso el Recurso de Revisión</w:t>
      </w:r>
      <w:r w:rsidRPr="001D06B6">
        <w:rPr>
          <w:rFonts w:ascii="Palatino Linotype" w:hAnsi="Palatino Linotype"/>
        </w:rPr>
        <w:t>, ante este Órgano Garante para hacer valer su derecho de acceso a la información pública.</w:t>
      </w:r>
    </w:p>
    <w:p w14:paraId="5572607E" w14:textId="77777777" w:rsidR="00D56A66" w:rsidRPr="001D06B6" w:rsidRDefault="00D56A66" w:rsidP="001D06B6">
      <w:pPr>
        <w:tabs>
          <w:tab w:val="left" w:pos="284"/>
        </w:tabs>
        <w:spacing w:before="240" w:after="240" w:line="360" w:lineRule="auto"/>
        <w:contextualSpacing/>
        <w:jc w:val="both"/>
        <w:rPr>
          <w:rFonts w:ascii="Palatino Linotype" w:eastAsiaTheme="minorEastAsia" w:hAnsi="Palatino Linotype"/>
          <w:i/>
          <w:lang w:val="es-ES_tradnl"/>
        </w:rPr>
      </w:pPr>
    </w:p>
    <w:p w14:paraId="1FEC9B64" w14:textId="77777777" w:rsidR="00D56A66" w:rsidRPr="001D06B6" w:rsidRDefault="00D56A66" w:rsidP="001D06B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rPr>
      </w:pPr>
      <w:r w:rsidRPr="001D06B6">
        <w:rPr>
          <w:rFonts w:ascii="Palatino Linotype" w:eastAsia="Palatino Linotype" w:hAnsi="Palatino Linotype" w:cs="Palatino Linotype"/>
        </w:rPr>
        <w:t xml:space="preserve">Por lo anterior, la </w:t>
      </w:r>
      <w:r w:rsidRPr="001D06B6">
        <w:rPr>
          <w:rFonts w:ascii="Palatino Linotype" w:eastAsia="Palatino Linotype" w:hAnsi="Palatino Linotype" w:cs="Palatino Linotype"/>
          <w:i/>
        </w:rPr>
        <w:t>Litis</w:t>
      </w:r>
      <w:r w:rsidRPr="001D06B6">
        <w:rPr>
          <w:rFonts w:ascii="Palatino Linotype" w:eastAsia="Palatino Linotype" w:hAnsi="Palatino Linotype" w:cs="Palatino Linotype"/>
        </w:rPr>
        <w:t xml:space="preserve"> a resolver en el presente recurso se circunscribe en determinar si el </w:t>
      </w:r>
      <w:r w:rsidRPr="001D06B6">
        <w:rPr>
          <w:rFonts w:ascii="Palatino Linotype" w:eastAsia="Palatino Linotype" w:hAnsi="Palatino Linotype" w:cs="Palatino Linotype"/>
          <w:b/>
        </w:rPr>
        <w:t>SUJETO OBLIGADO</w:t>
      </w:r>
      <w:r w:rsidRPr="001D06B6">
        <w:rPr>
          <w:rFonts w:ascii="Palatino Linotype" w:eastAsia="Palatino Linotype" w:hAnsi="Palatino Linotype" w:cs="Palatino Linotype"/>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53120818" w14:textId="77777777" w:rsidR="00D56A66" w:rsidRPr="001D06B6" w:rsidRDefault="00D56A66" w:rsidP="001D06B6">
      <w:pPr>
        <w:spacing w:line="360" w:lineRule="auto"/>
        <w:rPr>
          <w:rFonts w:ascii="Palatino Linotype" w:eastAsia="Palatino Linotype" w:hAnsi="Palatino Linotype" w:cs="Palatino Linotype"/>
        </w:rPr>
      </w:pPr>
    </w:p>
    <w:p w14:paraId="75CD6678" w14:textId="77777777" w:rsidR="00D56A66" w:rsidRPr="001D06B6" w:rsidRDefault="00D56A66" w:rsidP="001D06B6">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1D06B6">
        <w:rPr>
          <w:rFonts w:ascii="Palatino Linotype" w:eastAsia="Palatino Linotype" w:hAnsi="Palatino Linotype" w:cs="Palatino Linotype"/>
          <w:i/>
          <w:color w:val="000000"/>
        </w:rPr>
        <w:lastRenderedPageBreak/>
        <w:t>“</w:t>
      </w:r>
      <w:r w:rsidRPr="001D06B6">
        <w:rPr>
          <w:rFonts w:ascii="Palatino Linotype" w:eastAsia="Palatino Linotype" w:hAnsi="Palatino Linotype" w:cs="Palatino Linotype"/>
          <w:b/>
          <w:i/>
          <w:color w:val="000000"/>
        </w:rPr>
        <w:t>Artículo 179.</w:t>
      </w:r>
      <w:r w:rsidRPr="001D06B6">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63E0FD0E" w14:textId="77777777" w:rsidR="00D56A66" w:rsidRPr="001D06B6" w:rsidRDefault="00D56A66" w:rsidP="001D06B6">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1D06B6">
        <w:rPr>
          <w:rFonts w:ascii="Palatino Linotype" w:eastAsia="Palatino Linotype" w:hAnsi="Palatino Linotype" w:cs="Palatino Linotype"/>
          <w:b/>
          <w:i/>
          <w:color w:val="000000"/>
        </w:rPr>
        <w:t>I.</w:t>
      </w:r>
      <w:r w:rsidRPr="001D06B6">
        <w:rPr>
          <w:rFonts w:ascii="Palatino Linotype" w:eastAsia="Palatino Linotype" w:hAnsi="Palatino Linotype" w:cs="Palatino Linotype"/>
          <w:i/>
          <w:color w:val="000000"/>
        </w:rPr>
        <w:t xml:space="preserve"> La negativa a la información solicitada;</w:t>
      </w:r>
    </w:p>
    <w:p w14:paraId="4958FED7" w14:textId="77777777" w:rsidR="00D56A66" w:rsidRPr="001D06B6" w:rsidRDefault="00D56A66" w:rsidP="001D06B6">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1D06B6">
        <w:rPr>
          <w:rFonts w:ascii="Palatino Linotype" w:eastAsia="Palatino Linotype" w:hAnsi="Palatino Linotype" w:cs="Palatino Linotype"/>
          <w:i/>
          <w:color w:val="000000"/>
        </w:rPr>
        <w:t>(…)</w:t>
      </w:r>
    </w:p>
    <w:p w14:paraId="76356880" w14:textId="77777777" w:rsidR="00D56A66" w:rsidRPr="001D06B6" w:rsidRDefault="00D56A66" w:rsidP="001D06B6">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1D06B6">
        <w:rPr>
          <w:rFonts w:ascii="Palatino Linotype" w:eastAsia="Palatino Linotype" w:hAnsi="Palatino Linotype" w:cs="Palatino Linotype"/>
          <w:b/>
          <w:i/>
          <w:color w:val="000000"/>
        </w:rPr>
        <w:t>VII.</w:t>
      </w:r>
      <w:r w:rsidRPr="001D06B6">
        <w:rPr>
          <w:rFonts w:ascii="Palatino Linotype" w:eastAsia="Palatino Linotype" w:hAnsi="Palatino Linotype" w:cs="Palatino Linotype"/>
          <w:i/>
          <w:color w:val="000000"/>
        </w:rPr>
        <w:t xml:space="preserve"> La falta de respuesta a una solicitud de acceso a la información;</w:t>
      </w:r>
    </w:p>
    <w:p w14:paraId="79F6F400" w14:textId="77777777" w:rsidR="00D56A66" w:rsidRPr="001D06B6" w:rsidRDefault="00D56A66" w:rsidP="001D06B6">
      <w:pPr>
        <w:pBdr>
          <w:top w:val="nil"/>
          <w:left w:val="nil"/>
          <w:bottom w:val="nil"/>
          <w:right w:val="nil"/>
          <w:between w:val="nil"/>
        </w:pBdr>
        <w:tabs>
          <w:tab w:val="left" w:pos="426"/>
        </w:tabs>
        <w:spacing w:line="360" w:lineRule="auto"/>
        <w:ind w:left="567" w:right="567"/>
        <w:jc w:val="both"/>
        <w:rPr>
          <w:rFonts w:ascii="Palatino Linotype" w:eastAsia="Palatino Linotype" w:hAnsi="Palatino Linotype" w:cs="Palatino Linotype"/>
          <w:i/>
          <w:color w:val="000000"/>
        </w:rPr>
      </w:pPr>
      <w:r w:rsidRPr="001D06B6">
        <w:rPr>
          <w:rFonts w:ascii="Palatino Linotype" w:eastAsia="Palatino Linotype" w:hAnsi="Palatino Linotype" w:cs="Palatino Linotype"/>
          <w:i/>
          <w:color w:val="000000"/>
        </w:rPr>
        <w:t>(…)”</w:t>
      </w:r>
    </w:p>
    <w:p w14:paraId="4210EAC1" w14:textId="77777777" w:rsidR="00957350" w:rsidRPr="001D06B6" w:rsidRDefault="00957350" w:rsidP="001D06B6">
      <w:pPr>
        <w:spacing w:before="240" w:after="240" w:line="360" w:lineRule="auto"/>
        <w:ind w:right="49"/>
        <w:contextualSpacing/>
        <w:jc w:val="both"/>
        <w:rPr>
          <w:rFonts w:ascii="Palatino Linotype" w:eastAsia="MS Mincho" w:hAnsi="Palatino Linotype" w:cs="Arial"/>
          <w:lang w:val="es-ES_tradnl"/>
        </w:rPr>
      </w:pPr>
    </w:p>
    <w:p w14:paraId="0A7DB896" w14:textId="141F0C31" w:rsidR="00271881" w:rsidRDefault="00957350" w:rsidP="001D06B6">
      <w:pPr>
        <w:keepNext/>
        <w:keepLines/>
        <w:spacing w:before="240" w:line="360" w:lineRule="auto"/>
        <w:outlineLvl w:val="0"/>
        <w:rPr>
          <w:rFonts w:ascii="Palatino Linotype" w:eastAsia="MS Gothic" w:hAnsi="Palatino Linotype"/>
          <w:b/>
          <w:lang w:val="es-ES_tradnl"/>
        </w:rPr>
      </w:pPr>
      <w:r w:rsidRPr="001D06B6">
        <w:rPr>
          <w:rFonts w:ascii="Palatino Linotype" w:eastAsia="MS Gothic" w:hAnsi="Palatino Linotype"/>
          <w:b/>
          <w:lang w:val="es-ES_tradnl"/>
        </w:rPr>
        <w:t>CUARTO. Del Estudio y Resolución del Asunto.</w:t>
      </w:r>
    </w:p>
    <w:p w14:paraId="4784C78F" w14:textId="77777777" w:rsidR="00987DDA" w:rsidRPr="001D06B6" w:rsidRDefault="00987DDA" w:rsidP="001D06B6">
      <w:pPr>
        <w:keepNext/>
        <w:keepLines/>
        <w:spacing w:before="240" w:line="360" w:lineRule="auto"/>
        <w:outlineLvl w:val="0"/>
        <w:rPr>
          <w:rFonts w:ascii="Palatino Linotype" w:eastAsia="MS Gothic" w:hAnsi="Palatino Linotype"/>
          <w:b/>
          <w:lang w:val="es-ES_tradnl"/>
        </w:rPr>
      </w:pPr>
    </w:p>
    <w:p w14:paraId="1C4CE858" w14:textId="2323B585" w:rsidR="00957350" w:rsidRPr="001D06B6" w:rsidRDefault="00957350" w:rsidP="001D06B6">
      <w:pPr>
        <w:numPr>
          <w:ilvl w:val="0"/>
          <w:numId w:val="2"/>
        </w:numPr>
        <w:tabs>
          <w:tab w:val="left" w:pos="426"/>
        </w:tabs>
        <w:spacing w:before="240" w:after="160" w:line="360" w:lineRule="auto"/>
        <w:ind w:left="0" w:right="49" w:firstLine="0"/>
        <w:contextualSpacing/>
        <w:jc w:val="both"/>
        <w:rPr>
          <w:rFonts w:ascii="Palatino Linotype" w:hAnsi="Palatino Linotype" w:cs="Arial"/>
          <w:bCs/>
          <w:color w:val="000000"/>
          <w:lang w:val="es-MX" w:eastAsia="es-MX"/>
        </w:rPr>
      </w:pPr>
      <w:r w:rsidRPr="001D06B6">
        <w:rPr>
          <w:rFonts w:ascii="Palatino Linotype" w:eastAsia="Calibri" w:hAnsi="Palatino Linotype"/>
          <w:color w:val="000000"/>
          <w:lang w:val="es-MX" w:eastAsia="en-US"/>
        </w:rPr>
        <w:t xml:space="preserve">Una </w:t>
      </w:r>
      <w:r w:rsidRPr="001D06B6">
        <w:rPr>
          <w:rFonts w:ascii="Palatino Linotype" w:eastAsia="Calibri" w:hAnsi="Palatino Linotype"/>
          <w:lang w:val="es-MX" w:eastAsia="en-US"/>
        </w:rPr>
        <w:t>vez expuesto lo anterior, de la lectura a la solicitud de información</w:t>
      </w:r>
      <w:r w:rsidRPr="001D06B6">
        <w:rPr>
          <w:rFonts w:ascii="Palatino Linotype" w:eastAsia="Calibri" w:hAnsi="Palatino Linotype"/>
          <w:b/>
          <w:bCs/>
          <w:lang w:val="es-MX" w:eastAsia="en-US"/>
        </w:rPr>
        <w:t xml:space="preserve"> </w:t>
      </w:r>
      <w:r w:rsidR="00E4613C" w:rsidRPr="001D06B6">
        <w:rPr>
          <w:rFonts w:ascii="Palatino Linotype" w:eastAsia="Calibri" w:hAnsi="Palatino Linotype"/>
          <w:b/>
          <w:bCs/>
          <w:lang w:val="es-MX" w:eastAsia="en-US"/>
        </w:rPr>
        <w:t>01445/ZINACANT/IP/2022</w:t>
      </w:r>
      <w:r w:rsidRPr="001D06B6">
        <w:rPr>
          <w:rFonts w:ascii="Palatino Linotype" w:eastAsia="Calibri" w:hAnsi="Palatino Linotype"/>
          <w:lang w:val="es-MX" w:eastAsia="en-US"/>
        </w:rPr>
        <w:t xml:space="preserve">, y como fuera señalado en los antecedentes de esta resolución, se advierte que el particular requirió al </w:t>
      </w:r>
      <w:r w:rsidR="00E4613C" w:rsidRPr="001D06B6">
        <w:rPr>
          <w:rFonts w:ascii="Palatino Linotype" w:eastAsia="Calibri" w:hAnsi="Palatino Linotype"/>
          <w:b/>
          <w:lang w:val="es-MX" w:eastAsia="en-US"/>
        </w:rPr>
        <w:t>Ayuntamiento de Zinacantepec</w:t>
      </w:r>
      <w:r w:rsidRPr="001D06B6">
        <w:rPr>
          <w:rFonts w:ascii="Palatino Linotype" w:eastAsia="Calibri" w:hAnsi="Palatino Linotype"/>
          <w:lang w:val="es-MX" w:eastAsia="en-US"/>
        </w:rPr>
        <w:t xml:space="preserve"> </w:t>
      </w:r>
      <w:r w:rsidRPr="001D06B6">
        <w:rPr>
          <w:rFonts w:ascii="Palatino Linotype" w:eastAsia="Calibri" w:hAnsi="Palatino Linotype" w:cs="Arial"/>
          <w:color w:val="000000"/>
          <w:lang w:val="es-MX" w:eastAsia="en-US"/>
        </w:rPr>
        <w:t>acceder a la siguiente información:</w:t>
      </w:r>
    </w:p>
    <w:p w14:paraId="4D7A3C4E" w14:textId="77777777" w:rsidR="00957350" w:rsidRPr="001D06B6" w:rsidRDefault="00957350" w:rsidP="001D06B6">
      <w:pPr>
        <w:spacing w:after="160" w:line="360" w:lineRule="auto"/>
        <w:ind w:left="567"/>
        <w:contextualSpacing/>
        <w:rPr>
          <w:rFonts w:ascii="Palatino Linotype" w:hAnsi="Palatino Linotype" w:cs="Arial"/>
          <w:bCs/>
          <w:color w:val="000000"/>
          <w:lang w:val="es-MX" w:eastAsia="es-MX"/>
        </w:rPr>
      </w:pPr>
    </w:p>
    <w:p w14:paraId="7E17EEB4" w14:textId="255A2440" w:rsidR="00DB21E2" w:rsidRPr="001D06B6" w:rsidRDefault="00DB21E2" w:rsidP="008E5054">
      <w:pPr>
        <w:pStyle w:val="Prrafodelista"/>
        <w:numPr>
          <w:ilvl w:val="0"/>
          <w:numId w:val="4"/>
        </w:numPr>
        <w:spacing w:line="360" w:lineRule="auto"/>
        <w:rPr>
          <w:rFonts w:ascii="Palatino Linotype" w:hAnsi="Palatino Linotype" w:cs="Arial"/>
          <w:bCs/>
          <w:color w:val="000000"/>
          <w:lang w:val="es-MX" w:eastAsia="es-MX"/>
        </w:rPr>
      </w:pPr>
      <w:r w:rsidRPr="001D06B6">
        <w:rPr>
          <w:rFonts w:ascii="Palatino Linotype" w:hAnsi="Palatino Linotype" w:cs="Arial"/>
          <w:bCs/>
          <w:color w:val="000000"/>
          <w:lang w:val="es-MX" w:eastAsia="es-MX"/>
        </w:rPr>
        <w:t xml:space="preserve">Recibos de pago predial del mes de diciembre del año dos mil veintidós. </w:t>
      </w:r>
    </w:p>
    <w:p w14:paraId="6CC4E4C7" w14:textId="77777777" w:rsidR="00957350" w:rsidRPr="001D06B6" w:rsidRDefault="00957350" w:rsidP="001D06B6">
      <w:pPr>
        <w:tabs>
          <w:tab w:val="left" w:pos="426"/>
        </w:tabs>
        <w:spacing w:before="240" w:line="360" w:lineRule="auto"/>
        <w:ind w:right="49"/>
        <w:contextualSpacing/>
        <w:jc w:val="both"/>
        <w:rPr>
          <w:rFonts w:ascii="Palatino Linotype" w:hAnsi="Palatino Linotype" w:cs="Arial"/>
          <w:bCs/>
          <w:color w:val="000000"/>
          <w:lang w:val="es-MX" w:eastAsia="es-MX"/>
        </w:rPr>
      </w:pPr>
    </w:p>
    <w:p w14:paraId="51643207" w14:textId="7D966F32" w:rsidR="00DB21E2" w:rsidRPr="001D06B6" w:rsidRDefault="00DB21E2" w:rsidP="001D06B6">
      <w:pPr>
        <w:numPr>
          <w:ilvl w:val="0"/>
          <w:numId w:val="2"/>
        </w:numPr>
        <w:tabs>
          <w:tab w:val="left" w:pos="426"/>
        </w:tabs>
        <w:spacing w:before="240" w:after="160" w:line="360" w:lineRule="auto"/>
        <w:ind w:left="0" w:right="49" w:firstLine="0"/>
        <w:contextualSpacing/>
        <w:jc w:val="both"/>
        <w:rPr>
          <w:rFonts w:ascii="Palatino Linotype" w:hAnsi="Palatino Linotype" w:cs="Arial"/>
          <w:bCs/>
          <w:color w:val="000000"/>
          <w:lang w:val="es-MX" w:eastAsia="es-MX"/>
        </w:rPr>
      </w:pPr>
      <w:r w:rsidRPr="001D06B6">
        <w:rPr>
          <w:rFonts w:ascii="Palatino Linotype" w:hAnsi="Palatino Linotype" w:cs="Arial"/>
          <w:bCs/>
          <w:color w:val="000000"/>
          <w:lang w:eastAsia="es-MX"/>
        </w:rPr>
        <w:t xml:space="preserve">De las </w:t>
      </w:r>
      <w:r w:rsidRPr="001D06B6">
        <w:rPr>
          <w:rFonts w:ascii="Palatino Linotype" w:hAnsi="Palatino Linotype" w:cs="Arial"/>
          <w:bCs/>
          <w:color w:val="000000"/>
          <w:lang w:val="es-ES_tradnl" w:eastAsia="es-MX"/>
        </w:rPr>
        <w:t xml:space="preserve">constancias que obran en el expediente digital del recurso de revisión que hoy se resuelve, se aprecia que el </w:t>
      </w:r>
      <w:r w:rsidRPr="001D06B6">
        <w:rPr>
          <w:rFonts w:ascii="Palatino Linotype" w:hAnsi="Palatino Linotype" w:cs="Arial"/>
          <w:b/>
          <w:bCs/>
          <w:color w:val="000000"/>
          <w:lang w:val="es-ES_tradnl" w:eastAsia="es-MX"/>
        </w:rPr>
        <w:t xml:space="preserve">SUJETO OBLIGADO </w:t>
      </w:r>
      <w:r w:rsidRPr="001D06B6">
        <w:rPr>
          <w:rFonts w:ascii="Palatino Linotype" w:hAnsi="Palatino Linotype" w:cs="Arial"/>
          <w:bCs/>
          <w:color w:val="000000"/>
          <w:lang w:val="es-ES_tradnl" w:eastAsia="es-MX"/>
        </w:rPr>
        <w:t xml:space="preserve">rindió informe justificado, por medio del documento que a continuación se describe: </w:t>
      </w:r>
    </w:p>
    <w:p w14:paraId="44842C23" w14:textId="77777777" w:rsidR="0001649D" w:rsidRPr="001D06B6" w:rsidRDefault="0001649D" w:rsidP="001D06B6">
      <w:pPr>
        <w:tabs>
          <w:tab w:val="left" w:pos="426"/>
        </w:tabs>
        <w:spacing w:before="240" w:after="160" w:line="360" w:lineRule="auto"/>
        <w:ind w:right="49"/>
        <w:contextualSpacing/>
        <w:jc w:val="both"/>
        <w:rPr>
          <w:rFonts w:ascii="Palatino Linotype" w:hAnsi="Palatino Linotype" w:cs="Arial"/>
          <w:bCs/>
          <w:color w:val="000000"/>
          <w:lang w:val="es-MX" w:eastAsia="es-MX"/>
        </w:rPr>
      </w:pPr>
    </w:p>
    <w:p w14:paraId="4A6B8F41" w14:textId="229388C4" w:rsidR="00403CB8" w:rsidRPr="00403CB8" w:rsidRDefault="00DB21E2" w:rsidP="00403CB8">
      <w:pPr>
        <w:numPr>
          <w:ilvl w:val="0"/>
          <w:numId w:val="3"/>
        </w:numPr>
        <w:tabs>
          <w:tab w:val="left" w:pos="426"/>
        </w:tabs>
        <w:spacing w:before="240" w:after="160" w:line="360" w:lineRule="auto"/>
        <w:ind w:right="49"/>
        <w:contextualSpacing/>
        <w:jc w:val="both"/>
        <w:rPr>
          <w:rFonts w:ascii="Palatino Linotype" w:hAnsi="Palatino Linotype" w:cs="Arial"/>
          <w:bCs/>
          <w:color w:val="000000"/>
          <w:lang w:val="es-MX" w:eastAsia="es-MX"/>
        </w:rPr>
      </w:pPr>
      <w:r w:rsidRPr="00403CB8">
        <w:rPr>
          <w:rFonts w:ascii="Palatino Linotype" w:hAnsi="Palatino Linotype" w:cs="Arial"/>
          <w:b/>
          <w:bCs/>
          <w:color w:val="000000"/>
          <w:u w:val="single"/>
          <w:lang w:eastAsia="es-MX"/>
        </w:rPr>
        <w:t>respuesta de solicitud 1445-22R.pdf</w:t>
      </w:r>
      <w:r w:rsidRPr="00403CB8">
        <w:rPr>
          <w:rFonts w:ascii="Palatino Linotype" w:hAnsi="Palatino Linotype" w:cs="Arial"/>
          <w:b/>
          <w:bCs/>
          <w:color w:val="000000"/>
          <w:lang w:eastAsia="es-MX"/>
        </w:rPr>
        <w:t xml:space="preserve">: </w:t>
      </w:r>
      <w:r w:rsidRPr="00403CB8">
        <w:rPr>
          <w:rFonts w:ascii="Palatino Linotype" w:hAnsi="Palatino Linotype" w:cs="Arial"/>
          <w:bCs/>
          <w:color w:val="000000"/>
          <w:lang w:eastAsia="es-MX"/>
        </w:rPr>
        <w:t xml:space="preserve">Documento suscrito por el Titular de la Unidad de Transparencia, mediante el cual refiere </w:t>
      </w:r>
      <w:r w:rsidR="00403CB8" w:rsidRPr="00403CB8">
        <w:rPr>
          <w:rFonts w:ascii="Palatino Linotype" w:eastAsia="Calibri" w:hAnsi="Palatino Linotype" w:cs="Arial"/>
          <w:color w:val="000000" w:themeColor="text1"/>
        </w:rPr>
        <w:t>“</w:t>
      </w:r>
      <w:r w:rsidR="00403CB8" w:rsidRPr="00403CB8">
        <w:rPr>
          <w:rFonts w:ascii="Palatino Linotype" w:eastAsia="Calibri" w:hAnsi="Palatino Linotype" w:cs="Arial"/>
          <w:i/>
          <w:color w:val="000000" w:themeColor="text1"/>
        </w:rPr>
        <w:t xml:space="preserve">Le informo que conforme a </w:t>
      </w:r>
      <w:r w:rsidR="00403CB8" w:rsidRPr="00403CB8">
        <w:rPr>
          <w:rFonts w:ascii="Palatino Linotype" w:eastAsia="Calibri" w:hAnsi="Palatino Linotype" w:cs="Arial"/>
          <w:i/>
          <w:color w:val="000000" w:themeColor="text1"/>
        </w:rPr>
        <w:lastRenderedPageBreak/>
        <w:t xml:space="preserve">los Artículos 6 Base A y 16, segundo párrafo de la Constitución Política de los Estados Unidos Mexicanos; 1, 16 y 113 de la Ley Federal de Transparencia y Acceso a la Información Pública; 85 Fracción III de la Ley de Protección de Datos Personales en Posesión de Sujetos Obligados y Artículo 26 del Bando Municipal de Zinacantepec vigente, no se encuentra dentro de las facultades del Sujeto Obligado a través de su Tesorería Municipal, el de proporcionar la información que usted amablemente refiere, puesto que existen bases, principios y procedimientos para garantizar el derecho que tiene toda persona a la protección de sus datos personales, en posesión de Sujetos Obligados contra el uso, acceso o tratamiento no autorizado. </w:t>
      </w:r>
    </w:p>
    <w:p w14:paraId="1B6393E5" w14:textId="77777777" w:rsidR="00403CB8" w:rsidRPr="00987DDA" w:rsidRDefault="00403CB8" w:rsidP="00403CB8">
      <w:pPr>
        <w:pStyle w:val="Prrafodelista"/>
        <w:spacing w:line="360" w:lineRule="auto"/>
        <w:jc w:val="right"/>
        <w:rPr>
          <w:rFonts w:ascii="Palatino Linotype" w:eastAsia="Calibri" w:hAnsi="Palatino Linotype" w:cs="Arial"/>
          <w:i/>
          <w:color w:val="000000" w:themeColor="text1"/>
        </w:rPr>
      </w:pPr>
    </w:p>
    <w:p w14:paraId="2FEA4BD2" w14:textId="562D8584" w:rsidR="00403CB8" w:rsidRDefault="00403CB8" w:rsidP="00403CB8">
      <w:pPr>
        <w:spacing w:line="360" w:lineRule="auto"/>
        <w:ind w:left="708"/>
        <w:jc w:val="both"/>
        <w:rPr>
          <w:rFonts w:ascii="Palatino Linotype" w:eastAsia="Calibri" w:hAnsi="Palatino Linotype" w:cs="Arial"/>
          <w:color w:val="000000" w:themeColor="text1"/>
        </w:rPr>
      </w:pPr>
      <w:r w:rsidRPr="00987DDA">
        <w:rPr>
          <w:rFonts w:ascii="Palatino Linotype" w:eastAsia="Calibri" w:hAnsi="Palatino Linotype" w:cs="Arial"/>
          <w:i/>
          <w:color w:val="000000" w:themeColor="text1"/>
        </w:rPr>
        <w:t>Y es por ello por lo que solo el titular de cada uno de los recibos de pago podrá acceder a la información solicitada, puesto que es un documento oficial e intransferible, por ello se le hace la extensa recomendación que si usted como solicitante de la información exhibe documento legal en donde los propietarios de los recibos de pago predial le otorguen derechos para la consulta de su información estaremos en toda la disposición de informarle lo solicitado, de otro modo nos vemos imposibilitados en proporcionar documentos algunos.</w:t>
      </w:r>
      <w:r w:rsidRPr="00987DDA">
        <w:rPr>
          <w:rFonts w:ascii="Palatino Linotype" w:eastAsia="Calibri" w:hAnsi="Palatino Linotype" w:cs="Arial"/>
          <w:color w:val="000000" w:themeColor="text1"/>
        </w:rPr>
        <w:t xml:space="preserve"> ” (Sic).</w:t>
      </w:r>
    </w:p>
    <w:p w14:paraId="10F29C06" w14:textId="77777777" w:rsidR="00403CB8" w:rsidRPr="001D06B6" w:rsidRDefault="00403CB8" w:rsidP="00403CB8">
      <w:pPr>
        <w:spacing w:line="360" w:lineRule="auto"/>
        <w:ind w:left="708"/>
        <w:jc w:val="both"/>
        <w:rPr>
          <w:rFonts w:ascii="Palatino Linotype" w:hAnsi="Palatino Linotype" w:cs="Arial"/>
          <w:bCs/>
          <w:color w:val="000000"/>
          <w:lang w:val="es-MX" w:eastAsia="es-MX"/>
        </w:rPr>
      </w:pPr>
    </w:p>
    <w:p w14:paraId="08FE10CB" w14:textId="06D7D60F" w:rsidR="00413702" w:rsidRPr="00413702" w:rsidRDefault="0001649D" w:rsidP="00413702">
      <w:pPr>
        <w:numPr>
          <w:ilvl w:val="0"/>
          <w:numId w:val="2"/>
        </w:numPr>
        <w:tabs>
          <w:tab w:val="left" w:pos="426"/>
        </w:tabs>
        <w:spacing w:before="240" w:after="160" w:line="360" w:lineRule="auto"/>
        <w:ind w:left="0" w:right="49" w:firstLine="0"/>
        <w:contextualSpacing/>
        <w:jc w:val="both"/>
        <w:rPr>
          <w:rFonts w:ascii="Palatino Linotype" w:hAnsi="Palatino Linotype" w:cs="Arial"/>
          <w:bCs/>
          <w:color w:val="000000"/>
          <w:lang w:val="es-MX" w:eastAsia="es-MX"/>
        </w:rPr>
      </w:pPr>
      <w:r w:rsidRPr="001D06B6">
        <w:rPr>
          <w:rFonts w:ascii="Palatino Linotype" w:hAnsi="Palatino Linotype" w:cs="Arial"/>
          <w:bCs/>
          <w:color w:val="000000"/>
          <w:lang w:val="es-MX" w:eastAsia="es-MX"/>
        </w:rPr>
        <w:t xml:space="preserve">Cabe mencionar que el </w:t>
      </w:r>
      <w:r w:rsidRPr="001D06B6">
        <w:rPr>
          <w:rFonts w:ascii="Palatino Linotype" w:hAnsi="Palatino Linotype" w:cs="Arial"/>
          <w:b/>
          <w:bCs/>
          <w:color w:val="000000"/>
          <w:lang w:val="es-MX" w:eastAsia="es-MX"/>
        </w:rPr>
        <w:t>SUJETO OBLIGADO</w:t>
      </w:r>
      <w:r w:rsidRPr="001D06B6">
        <w:rPr>
          <w:rFonts w:ascii="Palatino Linotype" w:hAnsi="Palatino Linotype" w:cs="Arial"/>
          <w:bCs/>
          <w:color w:val="000000"/>
          <w:lang w:val="es-MX" w:eastAsia="es-MX"/>
        </w:rPr>
        <w:t xml:space="preserve"> advirtió que solo el Titular de cada uno de los recibos de pago podrá acceder a la información, por lo que se procede analizar l</w:t>
      </w:r>
      <w:r w:rsidR="00413702">
        <w:rPr>
          <w:rFonts w:ascii="Palatino Linotype" w:hAnsi="Palatino Linotype" w:cs="Arial"/>
          <w:bCs/>
          <w:color w:val="000000"/>
          <w:lang w:val="es-MX" w:eastAsia="es-MX"/>
        </w:rPr>
        <w:t xml:space="preserve">a naturaleza de la información, por ello es necesario traer a contexto </w:t>
      </w:r>
      <w:r w:rsidR="00413702" w:rsidRPr="00413702">
        <w:rPr>
          <w:rFonts w:ascii="Palatino Linotype" w:eastAsiaTheme="minorHAnsi" w:hAnsi="Palatino Linotype" w:cs="Arial"/>
          <w:lang w:eastAsia="en-US"/>
        </w:rPr>
        <w:t>los artículos 87 y 95 de la Ley Orgánica Municipal del Estado de México, artículo 21 y 55 del Bando Municipal 2022 del Ayuntamiento de Zinacantepec, que disponen:</w:t>
      </w:r>
    </w:p>
    <w:p w14:paraId="15D6E4CF" w14:textId="77777777" w:rsidR="00413702" w:rsidRPr="00BA0C3A" w:rsidRDefault="00413702" w:rsidP="00413702">
      <w:pPr>
        <w:pStyle w:val="Prrafodelista"/>
        <w:spacing w:line="360" w:lineRule="auto"/>
        <w:ind w:left="0"/>
        <w:jc w:val="both"/>
        <w:rPr>
          <w:rFonts w:ascii="Palatino Linotype" w:eastAsiaTheme="minorHAnsi" w:hAnsi="Palatino Linotype" w:cs="Arial"/>
          <w:lang w:eastAsia="en-US"/>
        </w:rPr>
      </w:pPr>
    </w:p>
    <w:p w14:paraId="7014A15A"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w:t>
      </w:r>
      <w:r w:rsidRPr="00BA0C3A">
        <w:rPr>
          <w:rFonts w:ascii="Palatino Linotype" w:eastAsiaTheme="minorHAnsi" w:hAnsi="Palatino Linotype" w:cs="Arial"/>
          <w:b/>
          <w:i/>
          <w:szCs w:val="22"/>
          <w:lang w:eastAsia="en-US"/>
        </w:rPr>
        <w:t>Artículo 87.-</w:t>
      </w:r>
      <w:r w:rsidRPr="00BA0C3A">
        <w:rPr>
          <w:rFonts w:ascii="Palatino Linotype" w:eastAsiaTheme="minorHAnsi" w:hAnsi="Palatino Linotype" w:cs="Arial"/>
          <w:i/>
          <w:szCs w:val="22"/>
          <w:lang w:eastAsia="en-US"/>
        </w:rPr>
        <w:t xml:space="preserve"> Para el despacho, estudio y planeación de los diversos asuntos de la administración municipal, el ayuntamiento contará por lo menos con las siguientes Dependencias:</w:t>
      </w:r>
    </w:p>
    <w:p w14:paraId="627EF6D3"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 La secretaría del ayuntamiento;</w:t>
      </w:r>
    </w:p>
    <w:p w14:paraId="3BCFE3AE"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u w:val="single"/>
          <w:lang w:eastAsia="en-US"/>
        </w:rPr>
        <w:t>II. La tesorería municipal</w:t>
      </w:r>
      <w:r w:rsidRPr="00BA0C3A">
        <w:rPr>
          <w:rFonts w:ascii="Palatino Linotype" w:eastAsiaTheme="minorHAnsi" w:hAnsi="Palatino Linotype" w:cs="Arial"/>
          <w:i/>
          <w:szCs w:val="22"/>
          <w:lang w:eastAsia="en-US"/>
        </w:rPr>
        <w:t>.</w:t>
      </w:r>
    </w:p>
    <w:p w14:paraId="315E5AA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III. La Dirección de Obras Públicas o equivalente.</w:t>
      </w:r>
    </w:p>
    <w:p w14:paraId="0BC9C890"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IV. La Dirección de Desarrollo Económico o equivalente.</w:t>
      </w:r>
    </w:p>
    <w:p w14:paraId="571FFFB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 La Dirección de Desarrollo Urbano o equivalente;</w:t>
      </w:r>
    </w:p>
    <w:p w14:paraId="01A32E83"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 La Dirección de Ecología o equivalente.</w:t>
      </w:r>
    </w:p>
    <w:p w14:paraId="6C3C0F2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VII. La Dirección de Desarrollo Social o equivalente</w:t>
      </w:r>
    </w:p>
    <w:p w14:paraId="571F75BC"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VIII. La Coordinación Municipal de Protección Civil o equivalente.</w:t>
      </w:r>
    </w:p>
    <w:p w14:paraId="6CF495D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IX. La Dirección de las Mujeres o equivalente</w:t>
      </w:r>
    </w:p>
    <w:p w14:paraId="7E248209"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p>
    <w:p w14:paraId="599D9113"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b/>
          <w:i/>
          <w:szCs w:val="22"/>
          <w:lang w:eastAsia="en-US"/>
        </w:rPr>
        <w:t>Artículo 95.-</w:t>
      </w:r>
      <w:r w:rsidRPr="00BA0C3A">
        <w:rPr>
          <w:rFonts w:ascii="Palatino Linotype" w:eastAsiaTheme="minorHAnsi" w:hAnsi="Palatino Linotype" w:cs="Arial"/>
          <w:i/>
          <w:szCs w:val="22"/>
          <w:lang w:eastAsia="en-US"/>
        </w:rPr>
        <w:t xml:space="preserve"> Son atribuciones del </w:t>
      </w:r>
      <w:r w:rsidRPr="00BA0C3A">
        <w:rPr>
          <w:rFonts w:ascii="Palatino Linotype" w:eastAsiaTheme="minorHAnsi" w:hAnsi="Palatino Linotype" w:cs="Arial"/>
          <w:i/>
          <w:szCs w:val="22"/>
          <w:u w:val="single"/>
          <w:lang w:eastAsia="en-US"/>
        </w:rPr>
        <w:t>tesorero municipal</w:t>
      </w:r>
      <w:r w:rsidRPr="00BA0C3A">
        <w:rPr>
          <w:rFonts w:ascii="Palatino Linotype" w:eastAsiaTheme="minorHAnsi" w:hAnsi="Palatino Linotype" w:cs="Arial"/>
          <w:i/>
          <w:szCs w:val="22"/>
          <w:lang w:eastAsia="en-US"/>
        </w:rPr>
        <w:t>:</w:t>
      </w:r>
    </w:p>
    <w:p w14:paraId="0CD35ED8"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 xml:space="preserve">I. </w:t>
      </w:r>
      <w:r w:rsidRPr="00BA0C3A">
        <w:rPr>
          <w:rFonts w:ascii="Palatino Linotype" w:eastAsiaTheme="minorHAnsi" w:hAnsi="Palatino Linotype" w:cs="Arial"/>
          <w:i/>
          <w:szCs w:val="22"/>
          <w:u w:val="single"/>
          <w:lang w:eastAsia="en-US"/>
        </w:rPr>
        <w:t>Administrar la hacienda pública municipal</w:t>
      </w:r>
      <w:r w:rsidRPr="00BA0C3A">
        <w:rPr>
          <w:rFonts w:ascii="Palatino Linotype" w:eastAsiaTheme="minorHAnsi" w:hAnsi="Palatino Linotype" w:cs="Arial"/>
          <w:i/>
          <w:szCs w:val="22"/>
          <w:lang w:eastAsia="en-US"/>
        </w:rPr>
        <w:t>, de conformidad con las disposiciones legales aplicables;</w:t>
      </w:r>
    </w:p>
    <w:p w14:paraId="23EA4F40"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6EEF085D"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III. Imponer las sanciones administrativas que procedan por infracciones a las disposiciones fiscales;</w:t>
      </w:r>
    </w:p>
    <w:p w14:paraId="6320C7E0"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u w:val="single"/>
          <w:lang w:eastAsia="en-US"/>
        </w:rPr>
        <w:t>IV. Llevar los registros contables, financieros y administrativos de los</w:t>
      </w:r>
      <w:r w:rsidRPr="00BA0C3A">
        <w:rPr>
          <w:rFonts w:ascii="Palatino Linotype" w:eastAsiaTheme="minorHAnsi" w:hAnsi="Palatino Linotype" w:cs="Arial"/>
          <w:i/>
          <w:szCs w:val="22"/>
          <w:lang w:eastAsia="en-US"/>
        </w:rPr>
        <w:t xml:space="preserve"> </w:t>
      </w:r>
      <w:r w:rsidRPr="00BA0C3A">
        <w:rPr>
          <w:rFonts w:ascii="Palatino Linotype" w:eastAsiaTheme="minorHAnsi" w:hAnsi="Palatino Linotype" w:cs="Arial"/>
          <w:b/>
          <w:i/>
          <w:szCs w:val="22"/>
          <w:u w:val="single"/>
          <w:lang w:eastAsia="en-US"/>
        </w:rPr>
        <w:t>ingresos</w:t>
      </w:r>
      <w:r w:rsidRPr="00BA0C3A">
        <w:rPr>
          <w:rFonts w:ascii="Palatino Linotype" w:eastAsiaTheme="minorHAnsi" w:hAnsi="Palatino Linotype" w:cs="Arial"/>
          <w:i/>
          <w:szCs w:val="22"/>
          <w:lang w:eastAsia="en-US"/>
        </w:rPr>
        <w:t>, egresos, e inventarios;</w:t>
      </w:r>
    </w:p>
    <w:p w14:paraId="7BA0D26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63B3FD06"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 Presentar anualmente al ayuntamiento un informe de la situación contable financiera de la Tesorería Municipal;</w:t>
      </w:r>
    </w:p>
    <w:p w14:paraId="0AFEC01A"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lastRenderedPageBreak/>
        <w:t>VI Bis. Proporcionar para la formulación del proyecto de Presupuesto de Egresos Municipales la información financiera relativa a la solución o en su caso, el pago de los litigios laborales;</w:t>
      </w:r>
    </w:p>
    <w:p w14:paraId="6A1C4EA7"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VII. Diseñar y aprobar las formas oficiales de manifestaciones, avisos y declaraciones y demás documentos requeridos;</w:t>
      </w:r>
    </w:p>
    <w:p w14:paraId="5B02591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VIII. Participar en la formulación de Convenios Fiscales y ejercer las atribuciones que le correspondan en el ámbito de su competencia;</w:t>
      </w:r>
    </w:p>
    <w:p w14:paraId="0421EF27"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IX. Proponer al ayuntamiento la cancelación de cuentas incobrables;</w:t>
      </w:r>
    </w:p>
    <w:p w14:paraId="24E06C6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 Custodiar y ejercer las garantías que se otorguen en favor de la hacienda municipal;</w:t>
      </w:r>
    </w:p>
    <w:p w14:paraId="50AC99D1"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XI. Proponer la política de ingresos de la tesorería municipal;</w:t>
      </w:r>
    </w:p>
    <w:p w14:paraId="0895C94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XII. Intervenir en la elaboración del programa financiero municipal;</w:t>
      </w:r>
    </w:p>
    <w:p w14:paraId="7558A221"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XIII. Elaborar y mantener actualizado el Padrón de Contribuyentes;</w:t>
      </w:r>
    </w:p>
    <w:p w14:paraId="6450C24C"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XIV. Ministrar a su inmediato antecesor todos los datos oficiales que le solicitare, para contestar los pliegos de observaciones y alcances que formule y deduzca el Órgano Superior de Fiscalización del Estado de México;</w:t>
      </w:r>
    </w:p>
    <w:p w14:paraId="093AD69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XV. Solicitar a las instancias competentes, la práctica de revisiones circunstanciadas, de conformidad con las normas que rigen en materia de control y evaluación gubernamental en el ámbito municipal;</w:t>
      </w:r>
    </w:p>
    <w:p w14:paraId="314852A7"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XVI. Glosar oportunamente las cuentas del ayuntamiento;</w:t>
      </w:r>
    </w:p>
    <w:p w14:paraId="3E978FA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576FFD3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XVIII. Expedir copias certificadas de los documentos a su cuidado, por acuerdo expreso del Ayuntamiento y cuando se trate de documentación presentada ante el Órgano Superior de Fiscalización del Estado de México;</w:t>
      </w:r>
    </w:p>
    <w:p w14:paraId="7E515215"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w:t>
      </w:r>
      <w:r w:rsidRPr="00BA0C3A">
        <w:rPr>
          <w:rFonts w:ascii="Palatino Linotype" w:eastAsiaTheme="minorHAnsi" w:hAnsi="Palatino Linotype" w:cs="Arial"/>
          <w:i/>
          <w:szCs w:val="22"/>
          <w:lang w:eastAsia="en-US"/>
        </w:rPr>
        <w:lastRenderedPageBreak/>
        <w:t>infracciones impuestas por las autoridades competentes, por la inobservancia de las diversas disposiciones y ordenamientos legales, constituyendo los créditos fiscales correspondientes;</w:t>
      </w:r>
    </w:p>
    <w:p w14:paraId="10C6F78D"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XX. Dar cumplimiento a las leyes, convenios de coordinación fiscal y demás que en materia hacendaria celebre el Ayuntamiento con el Estado;</w:t>
      </w:r>
    </w:p>
    <w:p w14:paraId="3C13A2E1"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 xml:space="preserve">XXI. Entregar oportunamente a él o los Síndicos, según sea el caso, el informe </w:t>
      </w:r>
      <w:proofErr w:type="spellStart"/>
      <w:r w:rsidRPr="00BA0C3A">
        <w:rPr>
          <w:rFonts w:ascii="Palatino Linotype" w:eastAsiaTheme="minorHAnsi" w:hAnsi="Palatino Linotype" w:cs="Arial"/>
          <w:i/>
          <w:szCs w:val="22"/>
          <w:lang w:eastAsia="en-US"/>
        </w:rPr>
        <w:t>mensualque</w:t>
      </w:r>
      <w:proofErr w:type="spellEnd"/>
      <w:r w:rsidRPr="00BA0C3A">
        <w:rPr>
          <w:rFonts w:ascii="Palatino Linotype" w:eastAsiaTheme="minorHAnsi" w:hAnsi="Palatino Linotype" w:cs="Arial"/>
          <w:i/>
          <w:szCs w:val="22"/>
          <w:lang w:eastAsia="en-US"/>
        </w:rPr>
        <w:t xml:space="preserve"> corresponda, a fin de que se revise, y de ser necesario, para que se formulen las observaciones respectivas.</w:t>
      </w:r>
    </w:p>
    <w:p w14:paraId="585C7697"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XXII. Las que les señalen las demás disposiciones legales y el ayuntamiento.</w:t>
      </w:r>
    </w:p>
    <w:p w14:paraId="6E3E6B6D" w14:textId="77777777" w:rsidR="00413702" w:rsidRPr="00BA0C3A" w:rsidRDefault="00413702" w:rsidP="00413702">
      <w:pPr>
        <w:spacing w:line="276" w:lineRule="auto"/>
        <w:ind w:right="822"/>
        <w:jc w:val="both"/>
        <w:rPr>
          <w:rFonts w:ascii="Palatino Linotype" w:eastAsiaTheme="minorHAnsi" w:hAnsi="Palatino Linotype" w:cs="Arial"/>
          <w:i/>
          <w:szCs w:val="22"/>
          <w:lang w:eastAsia="en-US"/>
        </w:rPr>
      </w:pPr>
    </w:p>
    <w:p w14:paraId="6BAC1601" w14:textId="77777777" w:rsidR="00413702" w:rsidRPr="00BA0C3A" w:rsidRDefault="00413702" w:rsidP="00413702">
      <w:pPr>
        <w:pStyle w:val="Prrafodelista"/>
        <w:spacing w:line="276" w:lineRule="auto"/>
        <w:ind w:left="851" w:right="822"/>
        <w:rPr>
          <w:rFonts w:ascii="Palatino Linotype" w:eastAsiaTheme="minorHAnsi" w:hAnsi="Palatino Linotype" w:cs="Arial"/>
          <w:b/>
          <w:i/>
          <w:szCs w:val="22"/>
          <w:lang w:eastAsia="en-US"/>
        </w:rPr>
      </w:pPr>
      <w:r w:rsidRPr="00BA0C3A">
        <w:rPr>
          <w:rFonts w:ascii="Palatino Linotype" w:eastAsiaTheme="minorHAnsi" w:hAnsi="Palatino Linotype" w:cs="Arial"/>
          <w:b/>
          <w:i/>
          <w:szCs w:val="22"/>
          <w:lang w:eastAsia="en-US"/>
        </w:rPr>
        <w:t>Bando Municipal de Zinacantepec 2022</w:t>
      </w:r>
    </w:p>
    <w:p w14:paraId="43D5034C"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p>
    <w:p w14:paraId="5DEC59D7"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b/>
          <w:i/>
          <w:szCs w:val="22"/>
          <w:lang w:eastAsia="en-US"/>
        </w:rPr>
        <w:t xml:space="preserve">Artículo 21. </w:t>
      </w:r>
      <w:r w:rsidRPr="00BA0C3A">
        <w:rPr>
          <w:rFonts w:ascii="Palatino Linotype" w:eastAsiaTheme="minorHAnsi" w:hAnsi="Palatino Linotype" w:cs="Arial"/>
          <w:i/>
          <w:szCs w:val="22"/>
          <w:lang w:eastAsia="en-US"/>
        </w:rPr>
        <w:t>El Presidente Municipal para el ejercicio de sus funciones, se auxiliará de las siguientes Unidades Administrativas:</w:t>
      </w:r>
    </w:p>
    <w:p w14:paraId="4F3F8823"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 Secretaría del Ayuntamiento</w:t>
      </w:r>
    </w:p>
    <w:p w14:paraId="53568A4B"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II. Secretaría Particular.</w:t>
      </w:r>
    </w:p>
    <w:p w14:paraId="3A04487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III. Secretaría Técnica.</w:t>
      </w:r>
    </w:p>
    <w:p w14:paraId="515C1827"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IV. Unidad de Información, Planeación, Programación y Evaluación.</w:t>
      </w:r>
    </w:p>
    <w:p w14:paraId="551768BB"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 Coordinación Municipal de Mejora Regulatoria.</w:t>
      </w:r>
    </w:p>
    <w:p w14:paraId="7E19C298"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 Unidad de Transparencia.</w:t>
      </w:r>
    </w:p>
    <w:p w14:paraId="3D4B3A4E"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VII. Secretaría Técnica del Consejo Municipal de Seguridad Pública.</w:t>
      </w:r>
    </w:p>
    <w:p w14:paraId="0A088A3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VIII. Coordinación de Asesores.</w:t>
      </w:r>
    </w:p>
    <w:p w14:paraId="04AA5B10"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IX. Coordinación de Asuntos Intergubernamentales, y</w:t>
      </w:r>
    </w:p>
    <w:p w14:paraId="16741F73"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X. Las demás que determine crear el Ayuntamiento a propuesta del Presidente Municipal.</w:t>
      </w:r>
    </w:p>
    <w:p w14:paraId="7FE73FD0"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p>
    <w:p w14:paraId="658801E0"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2DBCDD3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p>
    <w:p w14:paraId="417E9371"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b/>
          <w:i/>
          <w:szCs w:val="22"/>
          <w:lang w:eastAsia="en-US"/>
        </w:rPr>
      </w:pPr>
      <w:r w:rsidRPr="00BA0C3A">
        <w:rPr>
          <w:rFonts w:ascii="Palatino Linotype" w:eastAsiaTheme="minorHAnsi" w:hAnsi="Palatino Linotype" w:cs="Arial"/>
          <w:b/>
          <w:i/>
          <w:szCs w:val="22"/>
          <w:lang w:eastAsia="en-US"/>
        </w:rPr>
        <w:lastRenderedPageBreak/>
        <w:t>I. DEPENDENCIAS ADMINISTRATIVAS:</w:t>
      </w:r>
    </w:p>
    <w:p w14:paraId="2FEB2C7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1. Tesorería Municipal…</w:t>
      </w:r>
    </w:p>
    <w:p w14:paraId="6C14D572"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i/>
          <w:szCs w:val="22"/>
          <w:lang w:eastAsia="en-US"/>
        </w:rPr>
        <w:t>…</w:t>
      </w:r>
    </w:p>
    <w:p w14:paraId="764D73EA"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p>
    <w:p w14:paraId="1464E1CE"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i/>
          <w:szCs w:val="22"/>
          <w:lang w:eastAsia="en-US"/>
        </w:rPr>
      </w:pPr>
      <w:r w:rsidRPr="00BA0C3A">
        <w:rPr>
          <w:rFonts w:ascii="Palatino Linotype" w:eastAsiaTheme="minorHAnsi" w:hAnsi="Palatino Linotype" w:cs="Arial"/>
          <w:b/>
          <w:i/>
          <w:szCs w:val="22"/>
          <w:lang w:eastAsia="en-US"/>
        </w:rPr>
        <w:t>Artículo 55.</w:t>
      </w:r>
      <w:r w:rsidRPr="00BA0C3A">
        <w:rPr>
          <w:rFonts w:ascii="Palatino Linotype" w:eastAsiaTheme="minorHAnsi" w:hAnsi="Palatino Linotype" w:cs="Arial"/>
          <w:i/>
          <w:szCs w:val="22"/>
          <w:lang w:eastAsia="en-US"/>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7D3750CF" w14:textId="77777777" w:rsidR="00413702" w:rsidRPr="00BA0C3A" w:rsidRDefault="00413702" w:rsidP="00413702">
      <w:pPr>
        <w:pStyle w:val="Prrafodelista"/>
        <w:spacing w:line="276" w:lineRule="auto"/>
        <w:ind w:left="851" w:right="822"/>
        <w:jc w:val="both"/>
        <w:rPr>
          <w:rFonts w:ascii="Palatino Linotype" w:eastAsiaTheme="minorHAnsi" w:hAnsi="Palatino Linotype" w:cs="Arial"/>
          <w:szCs w:val="22"/>
          <w:lang w:eastAsia="en-US"/>
        </w:rPr>
      </w:pPr>
    </w:p>
    <w:p w14:paraId="4E23FF26" w14:textId="77777777" w:rsidR="00413702" w:rsidRPr="00BA0C3A" w:rsidRDefault="00413702" w:rsidP="00413702">
      <w:pPr>
        <w:pStyle w:val="Prrafodelista"/>
        <w:spacing w:line="276" w:lineRule="auto"/>
        <w:ind w:left="851" w:right="822"/>
        <w:rPr>
          <w:rFonts w:ascii="Palatino Linotype" w:eastAsiaTheme="minorHAnsi" w:hAnsi="Palatino Linotype" w:cs="Arial"/>
          <w:szCs w:val="22"/>
          <w:lang w:eastAsia="en-US"/>
        </w:rPr>
      </w:pPr>
      <w:r w:rsidRPr="00BA0C3A">
        <w:rPr>
          <w:rFonts w:ascii="Palatino Linotype" w:eastAsiaTheme="minorHAnsi" w:hAnsi="Palatino Linotype" w:cs="Arial"/>
          <w:szCs w:val="22"/>
          <w:lang w:eastAsia="en-US"/>
        </w:rPr>
        <w:t>(Énfasis añadido)</w:t>
      </w:r>
    </w:p>
    <w:p w14:paraId="560028A6" w14:textId="77777777" w:rsidR="00413702" w:rsidRPr="00BA0C3A" w:rsidRDefault="00413702" w:rsidP="00413702">
      <w:pPr>
        <w:pStyle w:val="Prrafodelista"/>
        <w:spacing w:line="360" w:lineRule="auto"/>
        <w:ind w:left="644"/>
        <w:jc w:val="both"/>
        <w:rPr>
          <w:rFonts w:ascii="Palatino Linotype" w:hAnsi="Palatino Linotype"/>
          <w:lang w:val="es-ES_tradnl"/>
        </w:rPr>
      </w:pPr>
    </w:p>
    <w:p w14:paraId="5F244BF5"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Theme="minorHAnsi" w:hAnsi="Palatino Linotype" w:cs="Arial"/>
          <w:lang w:eastAsia="en-US"/>
        </w:rPr>
      </w:pPr>
      <w:r w:rsidRPr="00BA0C3A">
        <w:rPr>
          <w:rFonts w:ascii="Palatino Linotype" w:eastAsiaTheme="minorHAnsi" w:hAnsi="Palatino Linotype" w:cs="Arial"/>
          <w:lang w:eastAsia="en-US"/>
        </w:rPr>
        <w:t xml:space="preserve">De conformidad con los preceptos legales citados, podemos concluir que dentro de las distintas áreas de las que se auxilia el </w:t>
      </w:r>
      <w:r w:rsidRPr="00BA0C3A">
        <w:rPr>
          <w:rFonts w:ascii="Palatino Linotype" w:eastAsiaTheme="minorHAnsi" w:hAnsi="Palatino Linotype" w:cs="Arial"/>
          <w:b/>
          <w:lang w:eastAsia="en-US"/>
        </w:rPr>
        <w:t>Sujeto Obligado</w:t>
      </w:r>
      <w:r w:rsidRPr="00BA0C3A">
        <w:rPr>
          <w:rFonts w:ascii="Palatino Linotype" w:eastAsiaTheme="minorHAnsi" w:hAnsi="Palatino Linotype" w:cs="Arial"/>
          <w:lang w:eastAsia="en-US"/>
        </w:rPr>
        <w:t xml:space="preserve"> para la administración pública municipal, se encuentra la Tesorería Municipal, la cual es la unidad administrativa encargada de administrar la hacienda pública municipal, en particular del registro contable, financiero y administrativo de los ingresos.</w:t>
      </w:r>
    </w:p>
    <w:p w14:paraId="0E82E62D" w14:textId="77777777" w:rsidR="00413702" w:rsidRPr="00BA0C3A" w:rsidRDefault="00413702" w:rsidP="00413702">
      <w:pPr>
        <w:pStyle w:val="Prrafodelista"/>
        <w:spacing w:line="360" w:lineRule="auto"/>
        <w:ind w:left="0"/>
        <w:jc w:val="both"/>
        <w:rPr>
          <w:rFonts w:ascii="Palatino Linotype" w:eastAsiaTheme="minorHAnsi" w:hAnsi="Palatino Linotype" w:cs="Arial"/>
          <w:lang w:eastAsia="en-US"/>
        </w:rPr>
      </w:pPr>
    </w:p>
    <w:p w14:paraId="4EC4FC9A"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Theme="minorHAnsi" w:hAnsi="Palatino Linotype" w:cs="Arial"/>
          <w:lang w:eastAsia="en-US"/>
        </w:rPr>
      </w:pPr>
      <w:r w:rsidRPr="00BA0C3A">
        <w:rPr>
          <w:rFonts w:ascii="Palatino Linotype" w:eastAsiaTheme="minorHAnsi" w:hAnsi="Palatino Linotype" w:cs="Arial"/>
          <w:lang w:eastAsia="en-US"/>
        </w:rPr>
        <w:t>De conformidad con los artículos 350, 351, 352 y 352 Bis del Código Financiero del Estado de México, la administración pública municipal es objeto de fiscalización por parte Órgano Superior de Fiscalización del Estado de México (OSFEM), preceptos legales que se citan para mayor referencia:</w:t>
      </w:r>
    </w:p>
    <w:p w14:paraId="761B78E2" w14:textId="77777777" w:rsidR="00413702" w:rsidRPr="00BA0C3A" w:rsidRDefault="00413702" w:rsidP="00413702">
      <w:pPr>
        <w:pStyle w:val="Prrafodelista"/>
        <w:spacing w:line="360" w:lineRule="auto"/>
        <w:ind w:left="644"/>
        <w:jc w:val="both"/>
        <w:rPr>
          <w:rFonts w:ascii="Palatino Linotype" w:eastAsiaTheme="minorHAnsi" w:hAnsi="Palatino Linotype" w:cs="Arial"/>
          <w:lang w:eastAsia="en-US"/>
        </w:rPr>
      </w:pPr>
    </w:p>
    <w:p w14:paraId="16F9673F"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w:t>
      </w:r>
      <w:r w:rsidRPr="00BA0C3A">
        <w:rPr>
          <w:rFonts w:ascii="Palatino Linotype" w:eastAsiaTheme="minorHAnsi" w:hAnsi="Palatino Linotype" w:cs="Arial"/>
          <w:b/>
          <w:i/>
          <w:lang w:eastAsia="en-US"/>
        </w:rPr>
        <w:t>Artículo 350.-</w:t>
      </w:r>
      <w:r w:rsidRPr="00BA0C3A">
        <w:rPr>
          <w:rFonts w:ascii="Palatino Linotype" w:eastAsiaTheme="minorHAnsi" w:hAnsi="Palatino Linotype" w:cs="Arial"/>
          <w:i/>
          <w:lang w:eastAsia="en-US"/>
        </w:rPr>
        <w:t xml:space="preserve"> La Secretaría y las </w:t>
      </w:r>
      <w:r w:rsidRPr="00BA0C3A">
        <w:rPr>
          <w:rFonts w:ascii="Palatino Linotype" w:eastAsiaTheme="minorHAnsi" w:hAnsi="Palatino Linotype" w:cs="Arial"/>
          <w:i/>
          <w:u w:val="single"/>
          <w:lang w:eastAsia="en-US"/>
        </w:rPr>
        <w:t>Tesorerías</w:t>
      </w:r>
      <w:r w:rsidRPr="00BA0C3A">
        <w:rPr>
          <w:rFonts w:ascii="Palatino Linotype" w:eastAsiaTheme="minorHAnsi" w:hAnsi="Palatino Linotype" w:cs="Arial"/>
          <w:i/>
          <w:lang w:eastAsia="en-US"/>
        </w:rPr>
        <w:t xml:space="preserve">, enviarán para su análisis y evaluación al Órgano Superior de Fiscalización del Estado de México, de manera trimestral dentro de los primeros veinte días hábiles posteriores al término del </w:t>
      </w:r>
      <w:r w:rsidRPr="00BA0C3A">
        <w:rPr>
          <w:rFonts w:ascii="Palatino Linotype" w:eastAsiaTheme="minorHAnsi" w:hAnsi="Palatino Linotype" w:cs="Arial"/>
          <w:i/>
          <w:lang w:eastAsia="en-US"/>
        </w:rPr>
        <w:lastRenderedPageBreak/>
        <w:t>periodo a informar y para el trimestre correspondiente al cierre del ejercicio fiscal, el envío se alineará con el plazo de entrega de la cuenta pública respectiva, la siguiente información:</w:t>
      </w:r>
    </w:p>
    <w:p w14:paraId="78FA9A26"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I. Patrimonial.</w:t>
      </w:r>
    </w:p>
    <w:p w14:paraId="40F8A1D6"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II. Presupuestal.</w:t>
      </w:r>
    </w:p>
    <w:p w14:paraId="1D65564D"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III. De la obra pública.</w:t>
      </w:r>
    </w:p>
    <w:p w14:paraId="53AC8D5B"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IV. De nómina</w:t>
      </w:r>
    </w:p>
    <w:p w14:paraId="1DB7BD8B"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p>
    <w:p w14:paraId="2CEF3D09"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b/>
          <w:i/>
          <w:lang w:eastAsia="en-US"/>
        </w:rPr>
        <w:t>Artículo 351.-</w:t>
      </w:r>
      <w:r w:rsidRPr="00BA0C3A">
        <w:rPr>
          <w:rFonts w:ascii="Palatino Linotype" w:eastAsiaTheme="minorHAnsi" w:hAnsi="Palatino Linotype" w:cs="Arial"/>
          <w:i/>
          <w:lang w:eastAsia="en-U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71055D4E"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14:paraId="75D96DC6"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p>
    <w:p w14:paraId="31552943"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b/>
          <w:i/>
          <w:lang w:eastAsia="en-US"/>
        </w:rPr>
        <w:t>Artículo 352.-</w:t>
      </w:r>
      <w:r w:rsidRPr="00BA0C3A">
        <w:rPr>
          <w:rFonts w:ascii="Palatino Linotype" w:eastAsiaTheme="minorHAnsi" w:hAnsi="Palatino Linotype" w:cs="Arial"/>
          <w:i/>
          <w:lang w:eastAsia="en-US"/>
        </w:rPr>
        <w:t xml:space="preserve"> La cuenta pública se constituye por la información económica, patrimonial,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14:paraId="2B1CAB36"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05E0EF1E"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p>
    <w:p w14:paraId="214203BA"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b/>
          <w:i/>
          <w:lang w:eastAsia="en-US"/>
        </w:rPr>
        <w:t>Artículo 352 Bis.-</w:t>
      </w:r>
      <w:r w:rsidRPr="00BA0C3A">
        <w:rPr>
          <w:rFonts w:ascii="Palatino Linotype" w:eastAsiaTheme="minorHAnsi" w:hAnsi="Palatino Linotype" w:cs="Arial"/>
          <w:i/>
          <w:lang w:eastAsia="en-US"/>
        </w:rPr>
        <w:t xml:space="preserve"> Como parte de la cuenta pública, se informará a la Legislatura de las acciones y resultados de la ejecución del Plan de Desarrollo del Estado o del municipio que corresponda y del avance de los programas, en términos de lo establecido en la Ley de Planeación del Estado de México y Municipios.</w:t>
      </w:r>
    </w:p>
    <w:p w14:paraId="7C95C863"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14:paraId="19358BA8"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Se adicionará a dichos informes un apartado especial sobre las reasignaciones realizadas, a nivel de proyecto, así como otro apartado para informar de las asignaciones de los recursos en términos de lo dispuesto por el artículo 317 Bis A de este Código.</w:t>
      </w:r>
    </w:p>
    <w:p w14:paraId="363B7217" w14:textId="77777777" w:rsidR="00413702" w:rsidRPr="00BA0C3A" w:rsidRDefault="00413702" w:rsidP="00413702">
      <w:pPr>
        <w:pStyle w:val="Prrafodelista"/>
        <w:spacing w:line="276" w:lineRule="auto"/>
        <w:ind w:left="644" w:right="567"/>
        <w:jc w:val="both"/>
        <w:rPr>
          <w:rFonts w:ascii="Palatino Linotype" w:eastAsiaTheme="minorHAnsi" w:hAnsi="Palatino Linotype" w:cs="Arial"/>
          <w:i/>
          <w:lang w:eastAsia="en-US"/>
        </w:rPr>
      </w:pPr>
      <w:r w:rsidRPr="00BA0C3A">
        <w:rPr>
          <w:rFonts w:ascii="Palatino Linotype" w:eastAsiaTheme="minorHAnsi" w:hAnsi="Palatino Linotype" w:cs="Arial"/>
          <w:i/>
          <w:lang w:eastAsia="en-US"/>
        </w:rPr>
        <w:t>El Poder Ejecutivo a través de la Secretaría, comparecerá en las reuniones trimestrales de análisis y evaluación de los informes presentados que, celebren el Órgano Superior de Fiscalización de la Legislatura y las Comisiones Legislativas respectivas.</w:t>
      </w:r>
    </w:p>
    <w:p w14:paraId="2194AFD4" w14:textId="77777777" w:rsidR="00413702" w:rsidRPr="00BA0C3A" w:rsidRDefault="00413702" w:rsidP="00413702">
      <w:pPr>
        <w:pStyle w:val="Prrafodelista"/>
        <w:spacing w:line="276" w:lineRule="auto"/>
        <w:ind w:left="644"/>
        <w:jc w:val="both"/>
        <w:rPr>
          <w:rFonts w:ascii="Palatino Linotype" w:eastAsiaTheme="minorHAnsi" w:hAnsi="Palatino Linotype" w:cs="Arial"/>
          <w:lang w:eastAsia="en-US"/>
        </w:rPr>
      </w:pPr>
    </w:p>
    <w:p w14:paraId="602A18D4"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Theme="minorHAnsi" w:hAnsi="Palatino Linotype" w:cs="Arial"/>
          <w:lang w:eastAsia="en-US"/>
        </w:rPr>
      </w:pPr>
      <w:r w:rsidRPr="00BA0C3A">
        <w:rPr>
          <w:rFonts w:ascii="Palatino Linotype" w:eastAsiaTheme="minorHAnsi" w:hAnsi="Palatino Linotype" w:cs="Arial"/>
          <w:lang w:eastAsia="en-US"/>
        </w:rPr>
        <w:t xml:space="preserve">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2021, entre los que se destacan los denominados “Diario de Ingresos y Pólizas de Ingresos con los Documentos Comprobatorios”, en los que podemos observar, </w:t>
      </w:r>
      <w:r w:rsidRPr="00BA0C3A">
        <w:rPr>
          <w:rFonts w:ascii="Palatino Linotype" w:eastAsiaTheme="minorHAnsi" w:hAnsi="Palatino Linotype" w:cs="Arial"/>
          <w:lang w:eastAsia="en-US"/>
        </w:rPr>
        <w:lastRenderedPageBreak/>
        <w:t>contendrá desagregados los distintos ingresos recibidos por los Municipios, precisando la fecha y concepto de estos, se insertan las imágenes siguientes para mayor referencia:</w:t>
      </w:r>
    </w:p>
    <w:p w14:paraId="4A075B6D" w14:textId="77777777" w:rsidR="00413702" w:rsidRPr="00BA0C3A" w:rsidRDefault="00413702" w:rsidP="00413702">
      <w:pPr>
        <w:pStyle w:val="Prrafodelista"/>
        <w:spacing w:line="360" w:lineRule="auto"/>
        <w:ind w:left="644"/>
        <w:jc w:val="both"/>
        <w:rPr>
          <w:rFonts w:ascii="Palatino Linotype" w:eastAsiaTheme="minorHAnsi" w:hAnsi="Palatino Linotype" w:cs="Arial"/>
          <w:lang w:eastAsia="en-US"/>
        </w:rPr>
      </w:pPr>
    </w:p>
    <w:p w14:paraId="174B3958" w14:textId="77777777" w:rsidR="00413702" w:rsidRPr="00BA0C3A" w:rsidRDefault="00413702" w:rsidP="00413702">
      <w:pPr>
        <w:pStyle w:val="Prrafodelista"/>
        <w:spacing w:line="360" w:lineRule="auto"/>
        <w:ind w:left="644"/>
        <w:jc w:val="center"/>
        <w:rPr>
          <w:rFonts w:ascii="Palatino Linotype" w:eastAsiaTheme="minorHAnsi" w:hAnsi="Palatino Linotype" w:cs="Arial"/>
          <w:lang w:eastAsia="en-US"/>
        </w:rPr>
      </w:pPr>
      <w:r w:rsidRPr="00BA0C3A">
        <w:rPr>
          <w:rFonts w:eastAsiaTheme="minorHAnsi"/>
          <w:noProof/>
          <w:lang w:val="es-MX" w:eastAsia="es-MX"/>
        </w:rPr>
        <w:drawing>
          <wp:inline distT="0" distB="0" distL="0" distR="0" wp14:anchorId="3336EDD3" wp14:editId="5D4E7E9C">
            <wp:extent cx="4239057" cy="2531659"/>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4240971" cy="2532802"/>
                    </a:xfrm>
                    <a:prstGeom prst="rect">
                      <a:avLst/>
                    </a:prstGeom>
                  </pic:spPr>
                </pic:pic>
              </a:graphicData>
            </a:graphic>
          </wp:inline>
        </w:drawing>
      </w:r>
    </w:p>
    <w:p w14:paraId="3BE3A927" w14:textId="77777777" w:rsidR="00413702" w:rsidRPr="00BA0C3A" w:rsidRDefault="00413702" w:rsidP="00413702">
      <w:pPr>
        <w:pStyle w:val="Prrafodelista"/>
        <w:spacing w:line="360" w:lineRule="auto"/>
        <w:ind w:left="644"/>
        <w:jc w:val="center"/>
        <w:rPr>
          <w:rFonts w:ascii="Palatino Linotype" w:eastAsiaTheme="minorHAnsi" w:hAnsi="Palatino Linotype" w:cs="Arial"/>
          <w:lang w:eastAsia="en-US"/>
        </w:rPr>
      </w:pPr>
      <w:r w:rsidRPr="00BA0C3A">
        <w:rPr>
          <w:rFonts w:eastAsiaTheme="minorHAnsi"/>
          <w:noProof/>
          <w:lang w:val="es-MX" w:eastAsia="es-MX"/>
        </w:rPr>
        <w:lastRenderedPageBreak/>
        <w:drawing>
          <wp:inline distT="0" distB="0" distL="0" distR="0" wp14:anchorId="275C010A" wp14:editId="0FA0925C">
            <wp:extent cx="4572638" cy="414395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4572638" cy="4143953"/>
                    </a:xfrm>
                    <a:prstGeom prst="rect">
                      <a:avLst/>
                    </a:prstGeom>
                  </pic:spPr>
                </pic:pic>
              </a:graphicData>
            </a:graphic>
          </wp:inline>
        </w:drawing>
      </w:r>
    </w:p>
    <w:p w14:paraId="27DD223F" w14:textId="77777777" w:rsidR="00413702" w:rsidRPr="00BA0C3A" w:rsidRDefault="00413702" w:rsidP="00413702">
      <w:pPr>
        <w:pStyle w:val="Prrafodelista"/>
        <w:spacing w:line="360" w:lineRule="auto"/>
        <w:ind w:left="644"/>
        <w:jc w:val="center"/>
        <w:rPr>
          <w:rFonts w:ascii="Palatino Linotype" w:eastAsiaTheme="minorHAnsi" w:hAnsi="Palatino Linotype" w:cs="Arial"/>
          <w:lang w:eastAsia="en-US"/>
        </w:rPr>
      </w:pPr>
      <w:r w:rsidRPr="00BA0C3A">
        <w:rPr>
          <w:rFonts w:eastAsiaTheme="minorHAnsi"/>
          <w:noProof/>
          <w:lang w:val="es-MX" w:eastAsia="es-MX"/>
        </w:rPr>
        <w:drawing>
          <wp:inline distT="0" distB="0" distL="0" distR="0" wp14:anchorId="1E1B8FF7" wp14:editId="226EC795">
            <wp:extent cx="4650080" cy="2772896"/>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4650080" cy="2772896"/>
                    </a:xfrm>
                    <a:prstGeom prst="rect">
                      <a:avLst/>
                    </a:prstGeom>
                  </pic:spPr>
                </pic:pic>
              </a:graphicData>
            </a:graphic>
          </wp:inline>
        </w:drawing>
      </w:r>
    </w:p>
    <w:p w14:paraId="6977A5FF" w14:textId="77777777" w:rsidR="00413702" w:rsidRPr="00BA0C3A" w:rsidRDefault="00413702" w:rsidP="00413702">
      <w:pPr>
        <w:pStyle w:val="Prrafodelista"/>
        <w:spacing w:line="360" w:lineRule="auto"/>
        <w:ind w:left="644"/>
        <w:jc w:val="center"/>
        <w:rPr>
          <w:rFonts w:ascii="Palatino Linotype" w:eastAsiaTheme="minorHAnsi" w:hAnsi="Palatino Linotype" w:cs="Arial"/>
          <w:lang w:eastAsia="en-US"/>
        </w:rPr>
      </w:pPr>
      <w:r w:rsidRPr="00BA0C3A">
        <w:rPr>
          <w:rFonts w:eastAsiaTheme="minorHAnsi"/>
          <w:noProof/>
          <w:lang w:val="es-MX" w:eastAsia="es-MX"/>
        </w:rPr>
        <w:lastRenderedPageBreak/>
        <w:drawing>
          <wp:inline distT="0" distB="0" distL="0" distR="0" wp14:anchorId="0EEB523C" wp14:editId="74BE76A0">
            <wp:extent cx="3099544" cy="3379623"/>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1">
                      <a:extLst>
                        <a:ext uri="{28A0092B-C50C-407E-A947-70E740481C1C}">
                          <a14:useLocalDpi xmlns:a14="http://schemas.microsoft.com/office/drawing/2010/main" val="0"/>
                        </a:ext>
                      </a:extLst>
                    </a:blip>
                    <a:stretch>
                      <a:fillRect/>
                    </a:stretch>
                  </pic:blipFill>
                  <pic:spPr>
                    <a:xfrm>
                      <a:off x="0" y="0"/>
                      <a:ext cx="3107222" cy="3387994"/>
                    </a:xfrm>
                    <a:prstGeom prst="rect">
                      <a:avLst/>
                    </a:prstGeom>
                  </pic:spPr>
                </pic:pic>
              </a:graphicData>
            </a:graphic>
          </wp:inline>
        </w:drawing>
      </w:r>
    </w:p>
    <w:p w14:paraId="2E28230C" w14:textId="77777777" w:rsidR="00413702" w:rsidRPr="00BA0C3A" w:rsidRDefault="00413702" w:rsidP="00413702">
      <w:pPr>
        <w:pStyle w:val="Prrafodelista"/>
        <w:spacing w:line="360" w:lineRule="auto"/>
        <w:ind w:left="644"/>
        <w:jc w:val="center"/>
        <w:rPr>
          <w:rFonts w:ascii="Palatino Linotype" w:eastAsiaTheme="minorHAnsi" w:hAnsi="Palatino Linotype" w:cs="Arial"/>
          <w:lang w:eastAsia="en-US"/>
        </w:rPr>
      </w:pPr>
      <w:r w:rsidRPr="00BA0C3A">
        <w:rPr>
          <w:rFonts w:eastAsiaTheme="minorHAnsi"/>
          <w:noProof/>
          <w:lang w:val="es-MX" w:eastAsia="es-MX"/>
        </w:rPr>
        <w:drawing>
          <wp:inline distT="0" distB="0" distL="0" distR="0" wp14:anchorId="49D9C61F" wp14:editId="42925F9D">
            <wp:extent cx="4534533" cy="408679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2">
                      <a:extLst>
                        <a:ext uri="{28A0092B-C50C-407E-A947-70E740481C1C}">
                          <a14:useLocalDpi xmlns:a14="http://schemas.microsoft.com/office/drawing/2010/main" val="0"/>
                        </a:ext>
                      </a:extLst>
                    </a:blip>
                    <a:stretch>
                      <a:fillRect/>
                    </a:stretch>
                  </pic:blipFill>
                  <pic:spPr>
                    <a:xfrm>
                      <a:off x="0" y="0"/>
                      <a:ext cx="4534533" cy="4086795"/>
                    </a:xfrm>
                    <a:prstGeom prst="rect">
                      <a:avLst/>
                    </a:prstGeom>
                  </pic:spPr>
                </pic:pic>
              </a:graphicData>
            </a:graphic>
          </wp:inline>
        </w:drawing>
      </w:r>
    </w:p>
    <w:p w14:paraId="54D53D0E" w14:textId="77777777" w:rsidR="00413702" w:rsidRPr="00BA0C3A" w:rsidRDefault="00413702" w:rsidP="00413702">
      <w:pPr>
        <w:pStyle w:val="Prrafodelista"/>
        <w:spacing w:line="360" w:lineRule="auto"/>
        <w:ind w:left="644"/>
        <w:rPr>
          <w:rFonts w:ascii="Palatino Linotype" w:eastAsiaTheme="minorHAnsi" w:hAnsi="Palatino Linotype" w:cs="Arial"/>
          <w:lang w:eastAsia="en-US"/>
        </w:rPr>
      </w:pPr>
    </w:p>
    <w:p w14:paraId="0FD7CC6E" w14:textId="16F00FFF" w:rsidR="00413702" w:rsidRDefault="00413702" w:rsidP="00413702">
      <w:pPr>
        <w:pStyle w:val="Prrafodelista"/>
        <w:numPr>
          <w:ilvl w:val="0"/>
          <w:numId w:val="2"/>
        </w:numPr>
        <w:autoSpaceDE w:val="0"/>
        <w:autoSpaceDN w:val="0"/>
        <w:adjustRightInd w:val="0"/>
        <w:spacing w:line="360" w:lineRule="auto"/>
        <w:ind w:left="0" w:firstLine="0"/>
        <w:contextualSpacing/>
        <w:jc w:val="both"/>
        <w:rPr>
          <w:rFonts w:ascii="Palatino Linotype" w:eastAsiaTheme="minorHAnsi" w:hAnsi="Palatino Linotype" w:cs="Arial"/>
          <w:lang w:eastAsia="en-US"/>
        </w:rPr>
      </w:pPr>
      <w:r w:rsidRPr="00BA0C3A">
        <w:rPr>
          <w:rFonts w:ascii="Palatino Linotype" w:eastAsiaTheme="minorHAnsi" w:hAnsi="Palatino Linotype" w:cs="Arial"/>
          <w:lang w:eastAsia="en-US"/>
        </w:rPr>
        <w:t xml:space="preserve">Con base en las imágenes insertas, podemos concluir que el </w:t>
      </w:r>
      <w:r w:rsidRPr="00BA0C3A">
        <w:rPr>
          <w:rFonts w:ascii="Palatino Linotype" w:eastAsiaTheme="minorHAnsi" w:hAnsi="Palatino Linotype" w:cs="Arial"/>
          <w:b/>
          <w:lang w:eastAsia="en-US"/>
        </w:rPr>
        <w:t>Sujeto Obligado</w:t>
      </w:r>
      <w:r w:rsidRPr="00BA0C3A">
        <w:rPr>
          <w:rFonts w:ascii="Palatino Linotype" w:eastAsiaTheme="minorHAnsi" w:hAnsi="Palatino Linotype" w:cs="Arial"/>
          <w:lang w:eastAsia="en-US"/>
        </w:rPr>
        <w:t xml:space="preserve"> al ser sujeto fiscalizado por parte del Órgano Superior de Fiscalización del Estado de México (OSFEM), debe rendir de manera </w:t>
      </w:r>
      <w:r w:rsidRPr="00BA0C3A">
        <w:rPr>
          <w:rFonts w:ascii="Palatino Linotype" w:eastAsiaTheme="minorHAnsi" w:hAnsi="Palatino Linotype" w:cs="Arial"/>
          <w:b/>
          <w:lang w:eastAsia="en-US"/>
        </w:rPr>
        <w:t>trimestral</w:t>
      </w:r>
      <w:r w:rsidRPr="00BA0C3A">
        <w:rPr>
          <w:rFonts w:ascii="Palatino Linotype" w:eastAsiaTheme="minorHAnsi" w:hAnsi="Palatino Linotype" w:cs="Arial"/>
          <w:lang w:eastAsia="en-US"/>
        </w:rPr>
        <w:t xml:space="preserve"> (dentro de los 20 días hábiles posteriores al término del trimestre que se informa) los formatos que permitan eficaz y e</w:t>
      </w:r>
      <w:r>
        <w:rPr>
          <w:rFonts w:ascii="Palatino Linotype" w:eastAsiaTheme="minorHAnsi" w:hAnsi="Palatino Linotype" w:cs="Arial"/>
          <w:lang w:eastAsia="en-US"/>
        </w:rPr>
        <w:t>ficientemente su fiscalización.</w:t>
      </w:r>
    </w:p>
    <w:p w14:paraId="12A279F7" w14:textId="77777777" w:rsidR="00413702" w:rsidRDefault="00413702" w:rsidP="00413702">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p>
    <w:p w14:paraId="3796518D" w14:textId="77777777" w:rsidR="00413702" w:rsidRPr="00BA0C3A" w:rsidRDefault="00413702" w:rsidP="00413702">
      <w:pPr>
        <w:pStyle w:val="Prrafodelista"/>
        <w:numPr>
          <w:ilvl w:val="0"/>
          <w:numId w:val="7"/>
        </w:numPr>
        <w:spacing w:line="360" w:lineRule="auto"/>
        <w:ind w:right="49"/>
        <w:contextualSpacing/>
        <w:jc w:val="both"/>
        <w:rPr>
          <w:rFonts w:ascii="Palatino Linotype" w:eastAsiaTheme="minorEastAsia" w:hAnsi="Palatino Linotype"/>
          <w:b/>
        </w:rPr>
      </w:pPr>
      <w:r w:rsidRPr="00BA0C3A">
        <w:rPr>
          <w:rFonts w:ascii="Palatino Linotype" w:eastAsiaTheme="minorEastAsia" w:hAnsi="Palatino Linotype"/>
          <w:b/>
        </w:rPr>
        <w:t>De los recibos de predial</w:t>
      </w:r>
    </w:p>
    <w:p w14:paraId="7E2DA16A" w14:textId="77777777" w:rsidR="00413702" w:rsidRPr="00413702" w:rsidRDefault="00413702" w:rsidP="00413702">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p>
    <w:p w14:paraId="6C9DB257" w14:textId="77777777" w:rsidR="00413702" w:rsidRPr="00BA0C3A" w:rsidRDefault="00413702" w:rsidP="00413702">
      <w:pPr>
        <w:pStyle w:val="Prrafodelista"/>
        <w:numPr>
          <w:ilvl w:val="0"/>
          <w:numId w:val="2"/>
        </w:numPr>
        <w:tabs>
          <w:tab w:val="left" w:pos="851"/>
        </w:tabs>
        <w:spacing w:line="360" w:lineRule="auto"/>
        <w:ind w:left="0" w:right="49" w:firstLine="0"/>
        <w:contextualSpacing/>
        <w:jc w:val="both"/>
        <w:rPr>
          <w:rFonts w:ascii="Palatino Linotype" w:hAnsi="Palatino Linotype"/>
        </w:rPr>
      </w:pPr>
      <w:r w:rsidRPr="00BA0C3A">
        <w:rPr>
          <w:rFonts w:ascii="Palatino Linotype" w:hAnsi="Palatino Linotype"/>
        </w:rPr>
        <w:t xml:space="preserve">El derecho de acceso a la información encuentra su materia elemental en los archivos que se encuentran en posesión de los Sujetos Obligados, ya sea porque fueron generados por este, o bien, son generados por persona distinta pero se encuentran en su posesión. Esto por ser una obligación </w:t>
      </w:r>
      <w:r w:rsidRPr="00BA0C3A">
        <w:rPr>
          <w:rFonts w:ascii="Palatino Linotype" w:hAnsi="Palatino Linotype" w:cs="Arial"/>
        </w:rPr>
        <w:t xml:space="preserve">contemplada tanto en la ley de transparencia como en la constitución, es decir, la obligación de </w:t>
      </w:r>
      <w:r w:rsidRPr="00BA0C3A">
        <w:rPr>
          <w:rFonts w:ascii="Palatino Linotype" w:eastAsia="Calibri" w:hAnsi="Palatino Linotype" w:cs="Arial"/>
          <w:b/>
        </w:rPr>
        <w:t>documentar todo acto que se derive del ejercicio de sus facultades, competencias o funciones,</w:t>
      </w:r>
      <w:r w:rsidRPr="00BA0C3A">
        <w:rPr>
          <w:rFonts w:ascii="Palatino Linotype" w:eastAsia="Calibri" w:hAnsi="Palatino Linotype" w:cs="Arial"/>
        </w:rPr>
        <w:t xml:space="preserve"> considerando desde su origen la eventual publicidad y reutilización de la información que generen, posean o administren.</w:t>
      </w:r>
    </w:p>
    <w:p w14:paraId="78CFA352" w14:textId="77777777" w:rsidR="00413702" w:rsidRPr="00BA0C3A" w:rsidRDefault="00413702" w:rsidP="00413702">
      <w:pPr>
        <w:spacing w:line="360" w:lineRule="auto"/>
        <w:ind w:right="49"/>
        <w:contextualSpacing/>
        <w:jc w:val="both"/>
        <w:rPr>
          <w:rFonts w:ascii="Palatino Linotype" w:eastAsiaTheme="minorEastAsia" w:hAnsi="Palatino Linotype"/>
        </w:rPr>
      </w:pPr>
    </w:p>
    <w:p w14:paraId="50B97A66" w14:textId="77777777" w:rsidR="00413702" w:rsidRPr="00BA0C3A" w:rsidRDefault="00413702" w:rsidP="00413702">
      <w:pPr>
        <w:numPr>
          <w:ilvl w:val="0"/>
          <w:numId w:val="2"/>
        </w:numPr>
        <w:spacing w:line="360" w:lineRule="auto"/>
        <w:ind w:left="0" w:right="49" w:firstLine="0"/>
        <w:contextualSpacing/>
        <w:jc w:val="both"/>
        <w:rPr>
          <w:rFonts w:ascii="Palatino Linotype" w:eastAsiaTheme="minorEastAsia" w:hAnsi="Palatino Linotype"/>
        </w:rPr>
      </w:pPr>
      <w:r w:rsidRPr="00BA0C3A">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996D66" w14:textId="77777777" w:rsidR="00413702" w:rsidRPr="00BA0C3A" w:rsidRDefault="00413702" w:rsidP="00413702">
      <w:pPr>
        <w:spacing w:line="360" w:lineRule="auto"/>
        <w:ind w:right="49"/>
        <w:contextualSpacing/>
        <w:jc w:val="both"/>
        <w:rPr>
          <w:rFonts w:ascii="Palatino Linotype" w:eastAsiaTheme="minorEastAsia" w:hAnsi="Palatino Linotype"/>
        </w:rPr>
      </w:pPr>
    </w:p>
    <w:p w14:paraId="7706D3CB" w14:textId="77777777" w:rsidR="00413702" w:rsidRPr="00BA0C3A" w:rsidRDefault="00413702" w:rsidP="00413702">
      <w:pPr>
        <w:numPr>
          <w:ilvl w:val="0"/>
          <w:numId w:val="2"/>
        </w:numPr>
        <w:spacing w:line="360" w:lineRule="auto"/>
        <w:ind w:left="0" w:right="49" w:firstLine="0"/>
        <w:contextualSpacing/>
        <w:jc w:val="both"/>
        <w:rPr>
          <w:rFonts w:ascii="Palatino Linotype" w:eastAsiaTheme="minorEastAsia" w:hAnsi="Palatino Linotype"/>
        </w:rPr>
      </w:pPr>
      <w:r w:rsidRPr="00BA0C3A">
        <w:rPr>
          <w:rFonts w:ascii="Palatino Linotype" w:hAnsi="Palatino Linotype"/>
        </w:rPr>
        <w:lastRenderedPageBreak/>
        <w:t>Además</w:t>
      </w:r>
      <w:r w:rsidRPr="00BA0C3A">
        <w:rPr>
          <w:rFonts w:ascii="Palatino Linotype" w:hAnsi="Palatino Linotype" w:cs="Arial"/>
          <w:color w:val="000000"/>
        </w:rPr>
        <w:t>, debemos tomar en cuenta los artículos 4 y 12, de la Ley de Transparencia y Acceso a la Información Pública del Estado de México y Municipios, los cuales establecen lo siguiente:</w:t>
      </w:r>
    </w:p>
    <w:p w14:paraId="5BF808C2" w14:textId="77777777" w:rsidR="00413702" w:rsidRPr="00BA0C3A" w:rsidRDefault="00413702" w:rsidP="00413702">
      <w:pPr>
        <w:spacing w:line="360" w:lineRule="auto"/>
        <w:ind w:right="49"/>
        <w:contextualSpacing/>
        <w:jc w:val="both"/>
        <w:rPr>
          <w:rFonts w:ascii="Palatino Linotype" w:hAnsi="Palatino Linotype" w:cs="Arial"/>
          <w:color w:val="000000"/>
        </w:rPr>
      </w:pPr>
    </w:p>
    <w:p w14:paraId="5574D79D" w14:textId="77777777" w:rsidR="00413702" w:rsidRPr="00BA0C3A" w:rsidRDefault="00413702" w:rsidP="00413702">
      <w:pPr>
        <w:autoSpaceDE w:val="0"/>
        <w:autoSpaceDN w:val="0"/>
        <w:adjustRightInd w:val="0"/>
        <w:spacing w:line="360" w:lineRule="auto"/>
        <w:ind w:left="851" w:right="822"/>
        <w:jc w:val="both"/>
        <w:rPr>
          <w:rFonts w:ascii="Palatino Linotype" w:hAnsi="Palatino Linotype" w:cs="Bookman Old Style"/>
          <w:i/>
          <w:sz w:val="22"/>
        </w:rPr>
      </w:pPr>
      <w:r w:rsidRPr="00BA0C3A">
        <w:rPr>
          <w:rFonts w:ascii="Palatino Linotype" w:hAnsi="Palatino Linotype" w:cs="Bookman Old Style,Bold"/>
          <w:b/>
          <w:bCs/>
          <w:i/>
          <w:sz w:val="22"/>
        </w:rPr>
        <w:t xml:space="preserve">Artículo 4. </w:t>
      </w:r>
      <w:r w:rsidRPr="00BA0C3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E807367" w14:textId="77777777" w:rsidR="00413702" w:rsidRPr="00BA0C3A" w:rsidRDefault="00413702" w:rsidP="00413702">
      <w:pPr>
        <w:autoSpaceDE w:val="0"/>
        <w:autoSpaceDN w:val="0"/>
        <w:adjustRightInd w:val="0"/>
        <w:spacing w:line="360" w:lineRule="auto"/>
        <w:ind w:left="851" w:right="822"/>
        <w:jc w:val="both"/>
        <w:rPr>
          <w:rFonts w:ascii="Palatino Linotype" w:hAnsi="Palatino Linotype" w:cs="Bookman Old Style"/>
          <w:i/>
          <w:sz w:val="22"/>
        </w:rPr>
      </w:pPr>
      <w:r w:rsidRPr="00BA0C3A">
        <w:rPr>
          <w:rFonts w:ascii="Palatino Linotype" w:hAnsi="Palatino Linotype" w:cs="Bookman Old Style"/>
          <w:b/>
          <w:i/>
          <w:sz w:val="22"/>
        </w:rPr>
        <w:t>Toda la información</w:t>
      </w:r>
      <w:r w:rsidRPr="00BA0C3A">
        <w:rPr>
          <w:rFonts w:ascii="Palatino Linotype" w:hAnsi="Palatino Linotype" w:cs="Bookman Old Style"/>
          <w:i/>
          <w:sz w:val="22"/>
        </w:rPr>
        <w:t xml:space="preserve"> generada, obtenida, adquirida, transformada, administrada o </w:t>
      </w:r>
      <w:r w:rsidRPr="00BA0C3A">
        <w:rPr>
          <w:rFonts w:ascii="Palatino Linotype" w:hAnsi="Palatino Linotype" w:cs="Bookman Old Style"/>
          <w:b/>
          <w:i/>
          <w:sz w:val="22"/>
        </w:rPr>
        <w:t>en posesión de los sujetos obligados es pública</w:t>
      </w:r>
      <w:r w:rsidRPr="00BA0C3A">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D840AA" w14:textId="77777777" w:rsidR="00413702" w:rsidRPr="00BA0C3A" w:rsidRDefault="00413702" w:rsidP="00413702">
      <w:pPr>
        <w:autoSpaceDE w:val="0"/>
        <w:autoSpaceDN w:val="0"/>
        <w:adjustRightInd w:val="0"/>
        <w:spacing w:line="360" w:lineRule="auto"/>
        <w:ind w:left="851" w:right="822"/>
        <w:jc w:val="both"/>
        <w:rPr>
          <w:rFonts w:ascii="Palatino Linotype" w:hAnsi="Palatino Linotype" w:cs="Bookman Old Style"/>
          <w:i/>
          <w:sz w:val="22"/>
        </w:rPr>
      </w:pPr>
      <w:r w:rsidRPr="00BA0C3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2335722E" w14:textId="77777777" w:rsidR="00413702" w:rsidRPr="00BA0C3A" w:rsidRDefault="00413702" w:rsidP="00413702">
      <w:pPr>
        <w:autoSpaceDE w:val="0"/>
        <w:autoSpaceDN w:val="0"/>
        <w:adjustRightInd w:val="0"/>
        <w:spacing w:line="360" w:lineRule="auto"/>
        <w:ind w:left="851" w:right="822"/>
        <w:jc w:val="both"/>
        <w:rPr>
          <w:rFonts w:ascii="Palatino Linotype" w:hAnsi="Palatino Linotype" w:cs="Bookman Old Style"/>
          <w:i/>
          <w:sz w:val="22"/>
        </w:rPr>
      </w:pPr>
    </w:p>
    <w:p w14:paraId="546A1FEF" w14:textId="77777777" w:rsidR="00413702" w:rsidRPr="00BA0C3A" w:rsidRDefault="00413702" w:rsidP="00413702">
      <w:pPr>
        <w:autoSpaceDE w:val="0"/>
        <w:autoSpaceDN w:val="0"/>
        <w:adjustRightInd w:val="0"/>
        <w:spacing w:line="360" w:lineRule="auto"/>
        <w:ind w:left="851" w:right="822"/>
        <w:jc w:val="both"/>
        <w:rPr>
          <w:rFonts w:ascii="Palatino Linotype" w:hAnsi="Palatino Linotype" w:cs="Bookman Old Style"/>
          <w:i/>
          <w:sz w:val="22"/>
        </w:rPr>
      </w:pPr>
      <w:r w:rsidRPr="00BA0C3A">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14:paraId="0657E9C5" w14:textId="77777777" w:rsidR="00413702" w:rsidRPr="00BA0C3A" w:rsidRDefault="00413702" w:rsidP="00413702">
      <w:pPr>
        <w:autoSpaceDE w:val="0"/>
        <w:autoSpaceDN w:val="0"/>
        <w:adjustRightInd w:val="0"/>
        <w:spacing w:line="360" w:lineRule="auto"/>
        <w:ind w:left="851" w:right="822"/>
        <w:jc w:val="both"/>
        <w:rPr>
          <w:rFonts w:ascii="Palatino Linotype" w:hAnsi="Palatino Linotype" w:cs="Bookman Old Style"/>
          <w:i/>
          <w:sz w:val="22"/>
        </w:rPr>
      </w:pPr>
      <w:r w:rsidRPr="00BA0C3A">
        <w:rPr>
          <w:rFonts w:ascii="Palatino Linotype" w:hAnsi="Palatino Linotype" w:cs="Bookman Old Style"/>
          <w:b/>
          <w:i/>
          <w:sz w:val="22"/>
        </w:rPr>
        <w:t xml:space="preserve">Los sujetos obligados sólo proporcionarán la información pública que se les requiera y que obre en sus archivos y en el estado en que ésta se </w:t>
      </w:r>
      <w:r w:rsidRPr="00BA0C3A">
        <w:rPr>
          <w:rFonts w:ascii="Palatino Linotype" w:hAnsi="Palatino Linotype" w:cs="Bookman Old Style"/>
          <w:b/>
          <w:i/>
          <w:sz w:val="22"/>
        </w:rPr>
        <w:lastRenderedPageBreak/>
        <w:t>encuentre</w:t>
      </w:r>
      <w:r w:rsidRPr="00BA0C3A">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cálculos o practicar investigaciones.</w:t>
      </w:r>
    </w:p>
    <w:p w14:paraId="75AFEB27" w14:textId="77777777" w:rsidR="00413702" w:rsidRPr="00BA0C3A" w:rsidRDefault="00413702" w:rsidP="00413702">
      <w:pPr>
        <w:spacing w:line="360" w:lineRule="auto"/>
        <w:ind w:right="49"/>
        <w:contextualSpacing/>
        <w:jc w:val="both"/>
        <w:rPr>
          <w:rFonts w:ascii="Palatino Linotype" w:eastAsiaTheme="minorEastAsia" w:hAnsi="Palatino Linotype"/>
        </w:rPr>
      </w:pPr>
    </w:p>
    <w:p w14:paraId="78DD2708" w14:textId="77777777" w:rsidR="00413702" w:rsidRPr="00BA0C3A" w:rsidRDefault="00413702" w:rsidP="00413702">
      <w:pPr>
        <w:pStyle w:val="Prrafodelista"/>
        <w:numPr>
          <w:ilvl w:val="0"/>
          <w:numId w:val="2"/>
        </w:numPr>
        <w:tabs>
          <w:tab w:val="left" w:pos="851"/>
        </w:tabs>
        <w:spacing w:line="360" w:lineRule="auto"/>
        <w:ind w:left="0" w:right="49" w:firstLine="0"/>
        <w:contextualSpacing/>
        <w:jc w:val="both"/>
        <w:rPr>
          <w:rFonts w:ascii="Palatino Linotype" w:hAnsi="Palatino Linotype"/>
        </w:rPr>
      </w:pPr>
      <w:r w:rsidRPr="00BA0C3A">
        <w:rPr>
          <w:rFonts w:ascii="Palatino Linotype" w:eastAsiaTheme="minorEastAsia" w:hAnsi="Palatino Linotype" w:cs="Arial"/>
          <w:lang w:val="es-ES_tradnl"/>
        </w:rPr>
        <w:t xml:space="preserve">Ahora bien, </w:t>
      </w:r>
      <w:r w:rsidRPr="00BA0C3A">
        <w:rPr>
          <w:rFonts w:ascii="Palatino Linotype" w:hAnsi="Palatino Linotype" w:cs="Arial"/>
        </w:rPr>
        <w:t>La Ley de Ingresos de los Municipios del Estado de México para el Ejercicio Fiscal 2022, que el pago del impuesto predial será percibido por la hacienda municipal de los municipios, lo anterior se encuentra en el artículo 1 de la Ley en mención que se trascribe a continuación:</w:t>
      </w:r>
    </w:p>
    <w:p w14:paraId="572F6573" w14:textId="77777777" w:rsidR="00413702" w:rsidRPr="00BA0C3A" w:rsidRDefault="00413702" w:rsidP="00413702">
      <w:pPr>
        <w:pStyle w:val="Prrafodelista"/>
        <w:rPr>
          <w:rFonts w:ascii="Palatino Linotype" w:hAnsi="Palatino Linotype"/>
        </w:rPr>
      </w:pPr>
    </w:p>
    <w:p w14:paraId="5053DD3E"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 xml:space="preserve">“Artículo 1.- La hacienda pública de los municipios del Estado de México, percibirá durante el ejercicio fiscal del año 2022, los ingresos provenientes de los conceptos que a continuación se enumeran: </w:t>
      </w:r>
    </w:p>
    <w:p w14:paraId="3C5B8604"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 xml:space="preserve">1. IMPUESTOS: </w:t>
      </w:r>
    </w:p>
    <w:p w14:paraId="1E310FE9"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w:t>
      </w:r>
    </w:p>
    <w:p w14:paraId="5B3C29EC"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1.2.1. Predial. (…)”</w:t>
      </w:r>
    </w:p>
    <w:p w14:paraId="2E211921" w14:textId="77777777" w:rsidR="00413702" w:rsidRPr="00BA0C3A" w:rsidRDefault="00413702" w:rsidP="00413702">
      <w:pPr>
        <w:pStyle w:val="Prrafodelista"/>
        <w:numPr>
          <w:ilvl w:val="0"/>
          <w:numId w:val="2"/>
        </w:numPr>
        <w:tabs>
          <w:tab w:val="left" w:pos="851"/>
        </w:tabs>
        <w:spacing w:line="360" w:lineRule="auto"/>
        <w:ind w:left="0" w:right="49" w:firstLine="0"/>
        <w:contextualSpacing/>
        <w:jc w:val="both"/>
        <w:rPr>
          <w:rFonts w:ascii="Palatino Linotype" w:hAnsi="Palatino Linotype"/>
        </w:rPr>
      </w:pPr>
      <w:r w:rsidRPr="00BA0C3A">
        <w:rPr>
          <w:rFonts w:ascii="Palatino Linotype" w:hAnsi="Palatino Linotype" w:cs="Arial"/>
        </w:rPr>
        <w:t>Del precepto anterior se desprende que el pago del impuesto predial, como obligación de los contribuyentes, ingresa a la hacienda municipal y a su vez está integrado en la Ley de Ingresos, por lo tanto tiene una doble naturaleza que se debe transparentar, por un lado es un acto de autoridad y por otro al ingresar al Municipio, obtiene la calidad de recurso público.</w:t>
      </w:r>
    </w:p>
    <w:p w14:paraId="46CDCB06" w14:textId="77777777" w:rsidR="00413702" w:rsidRPr="00BA0C3A" w:rsidRDefault="00413702" w:rsidP="00413702">
      <w:pPr>
        <w:pStyle w:val="Prrafodelista"/>
        <w:tabs>
          <w:tab w:val="left" w:pos="851"/>
        </w:tabs>
        <w:spacing w:line="360" w:lineRule="auto"/>
        <w:ind w:left="0" w:right="49"/>
        <w:jc w:val="both"/>
        <w:rPr>
          <w:rFonts w:ascii="Palatino Linotype" w:hAnsi="Palatino Linotype"/>
        </w:rPr>
      </w:pPr>
    </w:p>
    <w:p w14:paraId="5FF27C52" w14:textId="77777777" w:rsidR="00413702" w:rsidRPr="00BA0C3A" w:rsidRDefault="00413702" w:rsidP="00413702">
      <w:pPr>
        <w:pStyle w:val="Prrafodelista"/>
        <w:numPr>
          <w:ilvl w:val="0"/>
          <w:numId w:val="2"/>
        </w:numPr>
        <w:tabs>
          <w:tab w:val="left" w:pos="851"/>
        </w:tabs>
        <w:spacing w:line="360" w:lineRule="auto"/>
        <w:ind w:left="0" w:right="49" w:firstLine="0"/>
        <w:contextualSpacing/>
        <w:jc w:val="both"/>
        <w:rPr>
          <w:rFonts w:ascii="Palatino Linotype" w:hAnsi="Palatino Linotype"/>
        </w:rPr>
      </w:pPr>
      <w:r w:rsidRPr="00BA0C3A">
        <w:rPr>
          <w:rFonts w:ascii="Palatino Linotype" w:hAnsi="Palatino Linotype" w:cs="Arial"/>
        </w:rPr>
        <w:lastRenderedPageBreak/>
        <w:t>Correlacionado con lo expuesto en las líneas anteriores, es una obligación común de transparencia, el dar a conocer los ingresos recibidos por cualquier concepto, entendido ingreso, como el impuesto predial pagado por los contribuyentes, lo anterior descasa en la fracción XLVII del artículo 92 de  la Ley de la materia, que se transcribe a continuación:</w:t>
      </w:r>
    </w:p>
    <w:p w14:paraId="74983924"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D514BD"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w:t>
      </w:r>
    </w:p>
    <w:p w14:paraId="1F89577A" w14:textId="77777777" w:rsidR="00413702" w:rsidRPr="00BA0C3A" w:rsidRDefault="00413702" w:rsidP="00413702">
      <w:pPr>
        <w:spacing w:before="100" w:beforeAutospacing="1" w:after="100" w:afterAutospacing="1" w:line="360" w:lineRule="auto"/>
        <w:ind w:left="851" w:right="851"/>
        <w:jc w:val="both"/>
        <w:rPr>
          <w:rFonts w:ascii="Palatino Linotype" w:hAnsi="Palatino Linotype" w:cs="Arial"/>
          <w:i/>
          <w:sz w:val="22"/>
        </w:rPr>
      </w:pPr>
      <w:r w:rsidRPr="00BA0C3A">
        <w:rPr>
          <w:rFonts w:ascii="Palatino Linotype" w:hAnsi="Palatino Linotype" w:cs="Arial"/>
          <w:i/>
          <w:sz w:val="22"/>
        </w:rPr>
        <w:t>XLVII. Los ingresos recibidos por cualquier concepto señalando el nombre de los responsables de recibirlos, administrarlos y ejercerlos, indicando el destino de cada uno de ellos; (…)”</w:t>
      </w:r>
    </w:p>
    <w:p w14:paraId="72ED9B5D" w14:textId="77777777" w:rsidR="00413702" w:rsidRDefault="00413702" w:rsidP="00413702">
      <w:pPr>
        <w:pStyle w:val="Prrafodelista"/>
        <w:numPr>
          <w:ilvl w:val="0"/>
          <w:numId w:val="2"/>
        </w:numPr>
        <w:spacing w:before="100" w:beforeAutospacing="1" w:after="100" w:afterAutospacing="1" w:line="360" w:lineRule="auto"/>
        <w:ind w:left="0" w:firstLine="0"/>
        <w:contextualSpacing/>
        <w:jc w:val="both"/>
        <w:rPr>
          <w:rFonts w:ascii="Palatino Linotype" w:hAnsi="Palatino Linotype" w:cs="Arial"/>
        </w:rPr>
      </w:pPr>
      <w:r w:rsidRPr="00BA0C3A">
        <w:rPr>
          <w:rFonts w:ascii="Palatino Linotype" w:hAnsi="Palatino Linotype" w:cs="Arial"/>
        </w:rPr>
        <w:t>Siguiendo con el análisis, es preciso mencionar que los Sujetos Obligados están constreñidos a documentar todo acto que derive del ejercicio de sus facultades, competencias o funciones y para el caso concreto, debió de registrar los pagos realizados por los contribuyentes, lo anterior está contenido en el artículo 18 de la Ley de la materia.</w:t>
      </w:r>
    </w:p>
    <w:p w14:paraId="1E1446CC" w14:textId="77777777" w:rsidR="00413702" w:rsidRPr="00BA0C3A" w:rsidRDefault="00413702" w:rsidP="00413702">
      <w:pPr>
        <w:pStyle w:val="Prrafodelista"/>
        <w:spacing w:before="100" w:beforeAutospacing="1" w:after="100" w:afterAutospacing="1" w:line="360" w:lineRule="auto"/>
        <w:ind w:left="0"/>
        <w:contextualSpacing/>
        <w:jc w:val="both"/>
        <w:rPr>
          <w:rFonts w:ascii="Palatino Linotype" w:hAnsi="Palatino Linotype" w:cs="Arial"/>
        </w:rPr>
      </w:pPr>
    </w:p>
    <w:p w14:paraId="3FAFCA74" w14:textId="09364994" w:rsidR="00413702" w:rsidRDefault="00413702" w:rsidP="00413702">
      <w:pPr>
        <w:pStyle w:val="Prrafodelista"/>
        <w:numPr>
          <w:ilvl w:val="0"/>
          <w:numId w:val="2"/>
        </w:numPr>
        <w:spacing w:before="100" w:beforeAutospacing="1" w:after="100" w:afterAutospacing="1" w:line="360" w:lineRule="auto"/>
        <w:ind w:left="0" w:firstLine="0"/>
        <w:contextualSpacing/>
        <w:jc w:val="both"/>
        <w:rPr>
          <w:rFonts w:ascii="Palatino Linotype" w:hAnsi="Palatino Linotype" w:cs="Arial"/>
          <w:sz w:val="28"/>
        </w:rPr>
      </w:pPr>
      <w:r w:rsidRPr="00BA0C3A">
        <w:rPr>
          <w:rFonts w:ascii="Palatino Linotype" w:hAnsi="Palatino Linotype" w:cs="Arial"/>
          <w:szCs w:val="28"/>
        </w:rPr>
        <w:t xml:space="preserve">Asimismo, es necesario traer a contexto el artículo </w:t>
      </w:r>
      <w:r w:rsidRPr="00BA0C3A">
        <w:rPr>
          <w:rFonts w:ascii="Palatino Linotype" w:eastAsia="Calibri" w:hAnsi="Palatino Linotype" w:cs="Tahoma"/>
          <w:bCs/>
          <w:lang w:eastAsia="en-US"/>
        </w:rPr>
        <w:t xml:space="preserve">55 del Código Financiero del Estado de México y Municipios, en donde establece que el Ayuntamiento está obligado a guardar absoluta reserva o confidencialidad, respecto de las </w:t>
      </w:r>
      <w:r w:rsidRPr="00BA0C3A">
        <w:rPr>
          <w:rFonts w:ascii="Palatino Linotype" w:eastAsia="Calibri" w:hAnsi="Palatino Linotype" w:cs="Tahoma"/>
          <w:bCs/>
          <w:lang w:eastAsia="en-US"/>
        </w:rPr>
        <w:lastRenderedPageBreak/>
        <w:t>declaraciones y datos que proporcionen los particulares o terceros relacionados con ellos, así como los obtenidos en el ejercicio de las facultades de comprobación.</w:t>
      </w:r>
    </w:p>
    <w:p w14:paraId="02B17708" w14:textId="77777777" w:rsidR="00413702" w:rsidRPr="00413702" w:rsidRDefault="00413702" w:rsidP="00413702">
      <w:pPr>
        <w:pStyle w:val="Prrafodelista"/>
        <w:spacing w:before="100" w:beforeAutospacing="1" w:after="100" w:afterAutospacing="1" w:line="360" w:lineRule="auto"/>
        <w:ind w:left="0"/>
        <w:contextualSpacing/>
        <w:jc w:val="both"/>
        <w:rPr>
          <w:rFonts w:ascii="Palatino Linotype" w:hAnsi="Palatino Linotype" w:cs="Arial"/>
          <w:sz w:val="28"/>
        </w:rPr>
      </w:pPr>
    </w:p>
    <w:p w14:paraId="6E123AA4" w14:textId="55A1CDEE" w:rsidR="00413702" w:rsidRPr="00413702" w:rsidRDefault="00413702" w:rsidP="00413702">
      <w:pPr>
        <w:pStyle w:val="Prrafodelista"/>
        <w:numPr>
          <w:ilvl w:val="0"/>
          <w:numId w:val="2"/>
        </w:numPr>
        <w:spacing w:before="100" w:beforeAutospacing="1" w:after="100" w:afterAutospacing="1" w:line="360" w:lineRule="auto"/>
        <w:ind w:left="0" w:firstLine="0"/>
        <w:contextualSpacing/>
        <w:jc w:val="both"/>
        <w:rPr>
          <w:rFonts w:ascii="Palatino Linotype" w:hAnsi="Palatino Linotype" w:cs="Arial"/>
          <w:sz w:val="32"/>
        </w:rPr>
      </w:pPr>
      <w:r w:rsidRPr="00BA0C3A">
        <w:rPr>
          <w:rFonts w:ascii="Palatino Linotype" w:eastAsia="Calibri" w:hAnsi="Palatino Linotype" w:cs="Tahoma"/>
          <w:bCs/>
          <w:lang w:eastAsia="en-US"/>
        </w:rPr>
        <w:t>Por su parte el artículo 143, fracción II, de la Ley de Transparencia y Acceso a la Información Pública del Estado de México y Municipios, dispone que se considera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300D39" w14:textId="77777777" w:rsidR="00413702" w:rsidRPr="00413702" w:rsidRDefault="00413702" w:rsidP="00413702">
      <w:pPr>
        <w:pStyle w:val="Prrafodelista"/>
        <w:spacing w:before="100" w:beforeAutospacing="1" w:after="100" w:afterAutospacing="1" w:line="360" w:lineRule="auto"/>
        <w:ind w:left="0"/>
        <w:contextualSpacing/>
        <w:jc w:val="both"/>
        <w:rPr>
          <w:rFonts w:ascii="Palatino Linotype" w:hAnsi="Palatino Linotype" w:cs="Arial"/>
          <w:sz w:val="32"/>
        </w:rPr>
      </w:pPr>
    </w:p>
    <w:p w14:paraId="4C60A15C"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lang w:eastAsia="en-US"/>
        </w:rPr>
      </w:pPr>
      <w:r w:rsidRPr="00BA0C3A">
        <w:rPr>
          <w:rFonts w:ascii="Palatino Linotype" w:eastAsia="Calibri" w:hAnsi="Palatino Linotype" w:cs="Tahoma"/>
          <w:bCs/>
          <w:lang w:eastAsia="en-US"/>
        </w:rPr>
        <w:t>En este orden de ideas, en términos del Cuadragésimo quinto de los Lineamientos Generales en Materia de Clasificación y Desclasificación de la Información, así como para la Elaboración de Versiones Públicas, 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321B22F6" w14:textId="77777777" w:rsidR="00413702" w:rsidRPr="00BA0C3A" w:rsidRDefault="00413702" w:rsidP="00413702">
      <w:pPr>
        <w:pStyle w:val="Prrafodelista"/>
        <w:spacing w:line="360" w:lineRule="auto"/>
        <w:ind w:left="0"/>
        <w:jc w:val="both"/>
        <w:rPr>
          <w:rFonts w:ascii="Palatino Linotype" w:eastAsia="Calibri" w:hAnsi="Palatino Linotype" w:cs="Tahoma"/>
          <w:bCs/>
          <w:lang w:eastAsia="en-US"/>
        </w:rPr>
      </w:pPr>
    </w:p>
    <w:p w14:paraId="5618F75B"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lang w:eastAsia="en-US"/>
        </w:rPr>
      </w:pPr>
      <w:r w:rsidRPr="00BA0C3A">
        <w:rPr>
          <w:rFonts w:ascii="Palatino Linotype" w:eastAsia="Calibri" w:hAnsi="Palatino Linotype" w:cs="Tahoma"/>
          <w:bCs/>
          <w:lang w:eastAsia="en-US"/>
        </w:rPr>
        <w:t xml:space="preserve">Dada la naturaleza de la información relacionada con el pago de contribuciones, esta no está sujeta a temporalidad alguna de clasificación y únicamente pueden tener acceso a ella los titulares de la misma, sus representantes </w:t>
      </w:r>
      <w:r w:rsidRPr="00BA0C3A">
        <w:rPr>
          <w:rFonts w:ascii="Palatino Linotype" w:eastAsia="Calibri" w:hAnsi="Palatino Linotype" w:cs="Tahoma"/>
          <w:bCs/>
          <w:lang w:eastAsia="en-US"/>
        </w:rPr>
        <w:lastRenderedPageBreak/>
        <w:t>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16D63C8C" w14:textId="77777777" w:rsidR="00413702" w:rsidRPr="00BA0C3A" w:rsidRDefault="00413702" w:rsidP="00413702">
      <w:pPr>
        <w:pStyle w:val="Prrafodelista"/>
        <w:spacing w:line="360" w:lineRule="auto"/>
        <w:ind w:left="0"/>
        <w:jc w:val="both"/>
        <w:rPr>
          <w:rFonts w:ascii="Palatino Linotype" w:eastAsia="Calibri" w:hAnsi="Palatino Linotype" w:cs="Tahoma"/>
          <w:bCs/>
          <w:lang w:eastAsia="en-US"/>
        </w:rPr>
      </w:pPr>
    </w:p>
    <w:p w14:paraId="33DD7C36"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lang w:eastAsia="en-US"/>
        </w:rPr>
      </w:pPr>
      <w:r w:rsidRPr="00BA0C3A">
        <w:rPr>
          <w:rFonts w:ascii="Palatino Linotype" w:eastAsia="Calibri" w:hAnsi="Palatino Linotype" w:cs="Tahoma"/>
          <w:bCs/>
          <w:lang w:eastAsia="en-U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52F2E3AE" w14:textId="77777777" w:rsidR="00413702" w:rsidRPr="00BA0C3A" w:rsidRDefault="00413702" w:rsidP="00413702">
      <w:pPr>
        <w:pStyle w:val="Prrafodelista"/>
        <w:spacing w:line="360" w:lineRule="auto"/>
        <w:ind w:left="0"/>
        <w:jc w:val="both"/>
        <w:rPr>
          <w:rFonts w:ascii="Palatino Linotype" w:eastAsia="Calibri" w:hAnsi="Palatino Linotype" w:cs="Tahoma"/>
          <w:bCs/>
          <w:lang w:eastAsia="en-US"/>
        </w:rPr>
      </w:pPr>
    </w:p>
    <w:p w14:paraId="4B156FAA"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iCs/>
          <w:lang w:eastAsia="en-US"/>
        </w:rPr>
      </w:pPr>
      <w:r w:rsidRPr="00BA0C3A">
        <w:rPr>
          <w:rFonts w:ascii="Palatino Linotype" w:eastAsia="Calibri" w:hAnsi="Palatino Linotype" w:cs="Tahoma"/>
          <w:bCs/>
          <w:lang w:eastAsia="en-US"/>
        </w:rPr>
        <w:t>Sobre el particular, resulta aplicable la tesis aislada con número 1a.</w:t>
      </w:r>
      <w:r w:rsidRPr="00BA0C3A">
        <w:rPr>
          <w:rFonts w:ascii="Palatino Linotype" w:eastAsia="Calibri" w:hAnsi="Palatino Linotype" w:cs="Tahoma"/>
          <w:bCs/>
          <w:iCs/>
          <w:lang w:eastAsia="en-US"/>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1069A45A" w14:textId="77777777" w:rsidR="00413702" w:rsidRPr="00BA0C3A" w:rsidRDefault="00413702" w:rsidP="00413702">
      <w:pPr>
        <w:pStyle w:val="Prrafodelista"/>
        <w:spacing w:line="360" w:lineRule="auto"/>
        <w:ind w:left="644"/>
        <w:jc w:val="both"/>
        <w:rPr>
          <w:rFonts w:ascii="Palatino Linotype" w:eastAsia="Calibri" w:hAnsi="Palatino Linotype" w:cs="Tahoma"/>
          <w:bCs/>
          <w:iCs/>
          <w:lang w:eastAsia="en-US"/>
        </w:rPr>
      </w:pPr>
    </w:p>
    <w:p w14:paraId="3FD2D122" w14:textId="77777777" w:rsidR="00413702" w:rsidRPr="00BA0C3A" w:rsidRDefault="00413702" w:rsidP="00413702">
      <w:pPr>
        <w:pStyle w:val="Prrafodelista"/>
        <w:spacing w:line="276" w:lineRule="auto"/>
        <w:ind w:left="851" w:right="822"/>
        <w:jc w:val="both"/>
        <w:rPr>
          <w:rFonts w:ascii="Palatino Linotype" w:eastAsia="Calibri" w:hAnsi="Palatino Linotype" w:cs="Tahoma"/>
          <w:bCs/>
          <w:i/>
          <w:iCs/>
          <w:szCs w:val="22"/>
          <w:lang w:eastAsia="en-US"/>
        </w:rPr>
      </w:pPr>
      <w:r w:rsidRPr="00BA0C3A">
        <w:rPr>
          <w:rFonts w:ascii="Palatino Linotype" w:eastAsia="Calibri" w:hAnsi="Palatino Linotype" w:cs="Tahoma"/>
          <w:b/>
          <w:bCs/>
          <w:i/>
          <w:iCs/>
          <w:szCs w:val="22"/>
          <w:lang w:eastAsia="en-US"/>
        </w:rPr>
        <w:t xml:space="preserve">“SECRETO FISCAL. CONCEPTO DE. </w:t>
      </w:r>
      <w:r w:rsidRPr="00BA0C3A">
        <w:rPr>
          <w:rFonts w:ascii="Palatino Linotype" w:eastAsia="Calibri" w:hAnsi="Palatino Linotype" w:cs="Tahoma"/>
          <w:bCs/>
          <w:i/>
          <w:iCs/>
          <w:szCs w:val="22"/>
          <w:lang w:eastAsia="en-U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w:t>
      </w:r>
      <w:r w:rsidRPr="00BA0C3A">
        <w:rPr>
          <w:rFonts w:ascii="Palatino Linotype" w:eastAsia="Calibri" w:hAnsi="Palatino Linotype" w:cs="Tahoma"/>
          <w:bCs/>
          <w:i/>
          <w:iCs/>
          <w:szCs w:val="22"/>
          <w:lang w:eastAsia="en-US"/>
        </w:rPr>
        <w:lastRenderedPageBreak/>
        <w:t>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respecto.”(Sic)</w:t>
      </w:r>
    </w:p>
    <w:p w14:paraId="15ADE749" w14:textId="77777777" w:rsidR="00413702" w:rsidRPr="00BA0C3A" w:rsidRDefault="00413702" w:rsidP="00413702">
      <w:pPr>
        <w:pStyle w:val="Prrafodelista"/>
        <w:spacing w:line="360" w:lineRule="auto"/>
        <w:ind w:left="644"/>
        <w:jc w:val="both"/>
        <w:rPr>
          <w:rFonts w:ascii="Palatino Linotype" w:eastAsia="Calibri" w:hAnsi="Palatino Linotype" w:cs="Tahoma"/>
          <w:bCs/>
          <w:iCs/>
          <w:lang w:eastAsia="en-US"/>
        </w:rPr>
      </w:pPr>
    </w:p>
    <w:p w14:paraId="4B8E9E81"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iCs/>
          <w:lang w:eastAsia="en-US"/>
        </w:rPr>
      </w:pPr>
      <w:r w:rsidRPr="00BA0C3A">
        <w:rPr>
          <w:rFonts w:ascii="Palatino Linotype" w:eastAsia="Calibri" w:hAnsi="Palatino Linotype" w:cs="Tahoma"/>
          <w:bCs/>
          <w:iCs/>
          <w:lang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p>
    <w:p w14:paraId="3963A38A" w14:textId="77777777" w:rsidR="00413702" w:rsidRPr="00BA0C3A" w:rsidRDefault="00413702" w:rsidP="00413702">
      <w:pPr>
        <w:pStyle w:val="Prrafodelista"/>
        <w:spacing w:line="360" w:lineRule="auto"/>
        <w:ind w:left="0"/>
        <w:jc w:val="both"/>
        <w:rPr>
          <w:rFonts w:ascii="Palatino Linotype" w:eastAsia="Calibri" w:hAnsi="Palatino Linotype" w:cs="Tahoma"/>
          <w:bCs/>
          <w:iCs/>
          <w:lang w:eastAsia="en-US"/>
        </w:rPr>
      </w:pPr>
    </w:p>
    <w:p w14:paraId="3E85B575" w14:textId="77777777" w:rsidR="00413702"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iCs/>
          <w:lang w:eastAsia="en-US"/>
        </w:rPr>
      </w:pPr>
      <w:r w:rsidRPr="00BA0C3A">
        <w:rPr>
          <w:rFonts w:ascii="Palatino Linotype" w:eastAsia="Calibri" w:hAnsi="Palatino Linotype" w:cs="Tahoma"/>
          <w:bCs/>
          <w:iCs/>
          <w:lang w:eastAsia="en-US"/>
        </w:rPr>
        <w:t>Lo cual, se traduce en una concreta carga -de no hacer- impuesta a la autoridad fiscal, consistente en que al aplicar las disposiciones fiscales no deben revelar de ninguna forma información tributaria de los contribuyentes. Por lo cual, no procede la entrega de dicha información, toda vez que se trata de información de contribuyentes sobre la cual prevalece el secreto fiscal.</w:t>
      </w:r>
    </w:p>
    <w:p w14:paraId="33931E91" w14:textId="77777777" w:rsidR="00413702" w:rsidRPr="00BA0C3A" w:rsidRDefault="00413702" w:rsidP="00413702">
      <w:pPr>
        <w:pStyle w:val="Prrafodelista"/>
        <w:spacing w:line="360" w:lineRule="auto"/>
        <w:ind w:left="0"/>
        <w:contextualSpacing/>
        <w:jc w:val="both"/>
        <w:rPr>
          <w:rFonts w:ascii="Palatino Linotype" w:eastAsia="Calibri" w:hAnsi="Palatino Linotype" w:cs="Tahoma"/>
          <w:bCs/>
          <w:iCs/>
          <w:lang w:eastAsia="en-US"/>
        </w:rPr>
      </w:pPr>
    </w:p>
    <w:p w14:paraId="2A8F188E" w14:textId="2CC9DE0E" w:rsidR="00413702" w:rsidRPr="00BA0C3A" w:rsidRDefault="00413702" w:rsidP="00413702">
      <w:pPr>
        <w:pStyle w:val="Prrafodelista"/>
        <w:numPr>
          <w:ilvl w:val="0"/>
          <w:numId w:val="2"/>
        </w:numPr>
        <w:spacing w:line="360" w:lineRule="auto"/>
        <w:ind w:left="0" w:firstLine="0"/>
        <w:contextualSpacing/>
        <w:jc w:val="both"/>
        <w:rPr>
          <w:rFonts w:ascii="Palatino Linotype" w:eastAsia="Calibri" w:hAnsi="Palatino Linotype" w:cs="Tahoma"/>
          <w:bCs/>
          <w:iCs/>
          <w:lang w:eastAsia="en-US"/>
        </w:rPr>
      </w:pPr>
      <w:r w:rsidRPr="00BA0C3A">
        <w:rPr>
          <w:rFonts w:ascii="Palatino Linotype" w:eastAsia="Calibri" w:hAnsi="Palatino Linotype" w:cs="Tahoma"/>
          <w:bCs/>
          <w:iCs/>
          <w:lang w:eastAsia="en-US"/>
        </w:rPr>
        <w:lastRenderedPageBreak/>
        <w:t>Puntualizado lo anteriormente expuesto, los recibos de pago predial de</w:t>
      </w:r>
      <w:r w:rsidR="002E6DB4">
        <w:rPr>
          <w:rFonts w:ascii="Palatino Linotype" w:eastAsia="Calibri" w:hAnsi="Palatino Linotype" w:cs="Tahoma"/>
          <w:bCs/>
          <w:iCs/>
          <w:lang w:eastAsia="en-US"/>
        </w:rPr>
        <w:t xml:space="preserve"> diciembre de dos mil veintidós</w:t>
      </w:r>
      <w:r w:rsidRPr="00BA0C3A">
        <w:rPr>
          <w:rFonts w:ascii="Palatino Linotype" w:eastAsia="Calibri" w:hAnsi="Palatino Linotype" w:cs="Tahoma"/>
          <w:bCs/>
          <w:iCs/>
          <w:lang w:eastAsia="en-US"/>
        </w:rPr>
        <w:t xml:space="preserve">, actualizan el supuesto de confidencialidad establecido en el artículo 143, fracción II, de la Ley de Transparencia y Acceso a la Información Pública </w:t>
      </w:r>
      <w:r w:rsidRPr="00BA0C3A">
        <w:rPr>
          <w:rFonts w:ascii="Palatino Linotype" w:eastAsia="Calibri" w:hAnsi="Palatino Linotype" w:cs="Tahoma"/>
          <w:bCs/>
          <w:lang w:eastAsia="en-US"/>
        </w:rPr>
        <w:t>del Estado de México y Municipios, por lo que el Sujeto Obligado a través de su Comité de Transparencia, deberá fundar y motivar la clasificación de la información,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4EADCB43" w14:textId="77777777" w:rsidR="00413702" w:rsidRPr="00BA0C3A" w:rsidRDefault="00413702" w:rsidP="00413702">
      <w:pPr>
        <w:pStyle w:val="Prrafodelista"/>
        <w:spacing w:line="360" w:lineRule="auto"/>
        <w:ind w:left="0"/>
        <w:jc w:val="both"/>
        <w:rPr>
          <w:rFonts w:ascii="Palatino Linotype" w:eastAsia="Calibri" w:hAnsi="Palatino Linotype" w:cs="Tahoma"/>
          <w:bCs/>
          <w:iCs/>
          <w:lang w:eastAsia="en-US"/>
        </w:rPr>
      </w:pPr>
    </w:p>
    <w:p w14:paraId="7C5BB4B5"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hAnsi="Palatino Linotype" w:cs="Arial"/>
          <w:bCs/>
          <w:iCs/>
          <w:color w:val="000000" w:themeColor="text1"/>
        </w:rPr>
      </w:pPr>
      <w:r w:rsidRPr="00BA0C3A">
        <w:rPr>
          <w:rFonts w:ascii="Palatino Linotype" w:hAnsi="Palatino Linotype" w:cs="Arial"/>
          <w:bCs/>
          <w:iCs/>
          <w:color w:val="000000" w:themeColor="text1"/>
        </w:rPr>
        <w:t>Finalmente, en lo que corresponde a los recibos de pago predial de bienes inmuebles propiedad de las dependencias gubernamentales, debemos traer a contexto el artículo 23 del Código Financiero del Estado de México, el cual dispone:</w:t>
      </w:r>
    </w:p>
    <w:p w14:paraId="65308F1E" w14:textId="77777777" w:rsidR="00413702" w:rsidRPr="00BA0C3A" w:rsidRDefault="00413702" w:rsidP="00413702">
      <w:pPr>
        <w:pStyle w:val="Prrafodelista"/>
        <w:spacing w:line="360" w:lineRule="auto"/>
        <w:ind w:left="644"/>
        <w:jc w:val="both"/>
        <w:rPr>
          <w:rFonts w:ascii="Palatino Linotype" w:hAnsi="Palatino Linotype" w:cs="Arial"/>
          <w:bCs/>
          <w:iCs/>
          <w:color w:val="000000" w:themeColor="text1"/>
        </w:rPr>
      </w:pPr>
    </w:p>
    <w:p w14:paraId="12EF6C69" w14:textId="77777777" w:rsidR="00413702" w:rsidRPr="00BA0C3A" w:rsidRDefault="00413702" w:rsidP="00413702">
      <w:pPr>
        <w:pStyle w:val="Prrafodelista"/>
        <w:spacing w:line="360" w:lineRule="auto"/>
        <w:ind w:left="851" w:right="822"/>
        <w:jc w:val="both"/>
        <w:rPr>
          <w:rFonts w:ascii="Palatino Linotype" w:hAnsi="Palatino Linotype" w:cs="Arial"/>
          <w:bCs/>
          <w:i/>
          <w:iCs/>
          <w:color w:val="000000" w:themeColor="text1"/>
        </w:rPr>
      </w:pPr>
      <w:r w:rsidRPr="00BA0C3A">
        <w:rPr>
          <w:rFonts w:ascii="Palatino Linotype" w:hAnsi="Palatino Linotype" w:cs="Arial"/>
          <w:bCs/>
          <w:i/>
          <w:iCs/>
          <w:color w:val="000000" w:themeColor="text1"/>
        </w:rPr>
        <w:t>“</w:t>
      </w:r>
      <w:r w:rsidRPr="00BA0C3A">
        <w:rPr>
          <w:rFonts w:ascii="Palatino Linotype" w:hAnsi="Palatino Linotype" w:cs="Arial"/>
          <w:b/>
          <w:bCs/>
          <w:i/>
          <w:iCs/>
          <w:color w:val="000000" w:themeColor="text1"/>
        </w:rPr>
        <w:t>Artículo 23</w:t>
      </w:r>
      <w:r w:rsidRPr="00BA0C3A">
        <w:rPr>
          <w:rFonts w:ascii="Palatino Linotype" w:hAnsi="Palatino Linotype" w:cs="Arial"/>
          <w:bCs/>
          <w:i/>
          <w:iCs/>
          <w:color w:val="000000" w:themeColor="text1"/>
        </w:rPr>
        <w:t xml:space="preserve">.- </w:t>
      </w:r>
      <w:r w:rsidRPr="00BA0C3A">
        <w:rPr>
          <w:rFonts w:ascii="Palatino Linotype" w:hAnsi="Palatino Linotype" w:cs="Arial"/>
          <w:bCs/>
          <w:i/>
          <w:iCs/>
          <w:color w:val="000000" w:themeColor="text1"/>
          <w:u w:val="single"/>
        </w:rPr>
        <w:t>Están exentos del pago de impuestos</w:t>
      </w:r>
      <w:r w:rsidRPr="00BA0C3A">
        <w:rPr>
          <w:rFonts w:ascii="Palatino Linotype" w:hAnsi="Palatino Linotype" w:cs="Arial"/>
          <w:bCs/>
          <w:i/>
          <w:iCs/>
          <w:color w:val="000000" w:themeColor="text1"/>
        </w:rPr>
        <w:t xml:space="preserve">, derechos y aportaciones de mejoras, el Estado, </w:t>
      </w:r>
      <w:r w:rsidRPr="00BA0C3A">
        <w:rPr>
          <w:rFonts w:ascii="Palatino Linotype" w:hAnsi="Palatino Linotype" w:cs="Arial"/>
          <w:bCs/>
          <w:i/>
          <w:iCs/>
          <w:color w:val="000000" w:themeColor="text1"/>
          <w:u w:val="single"/>
        </w:rPr>
        <w:t>los Municipios</w:t>
      </w:r>
      <w:r w:rsidRPr="00BA0C3A">
        <w:rPr>
          <w:rFonts w:ascii="Palatino Linotype" w:hAnsi="Palatino Linotype" w:cs="Arial"/>
          <w:bCs/>
          <w:i/>
          <w:iCs/>
          <w:color w:val="000000" w:themeColor="text1"/>
        </w:rPr>
        <w:t xml:space="preserve">, los Organismos Autónomos, las Entidades Públicas y las entidades federativas en caso de reciprocidad, </w:t>
      </w:r>
      <w:r w:rsidRPr="00BA0C3A">
        <w:rPr>
          <w:rFonts w:ascii="Palatino Linotype" w:hAnsi="Palatino Linotype" w:cs="Arial"/>
          <w:bCs/>
          <w:i/>
          <w:iCs/>
          <w:color w:val="000000" w:themeColor="text1"/>
          <w:u w:val="single"/>
        </w:rPr>
        <w:t>cuando su actividad corresponda a funciones de derecho público</w:t>
      </w:r>
      <w:r w:rsidRPr="00BA0C3A">
        <w:rPr>
          <w:rFonts w:ascii="Palatino Linotype" w:hAnsi="Palatino Linotype" w:cs="Arial"/>
          <w:bCs/>
          <w:i/>
          <w:iCs/>
          <w:color w:val="000000" w:themeColor="text1"/>
        </w:rPr>
        <w:t xml:space="preserve">, así como las personas físicas y jurídicas colectivas que señale este Código o en casos particulares de la Ley de Ingresos. </w:t>
      </w:r>
    </w:p>
    <w:p w14:paraId="061EAAF3" w14:textId="77777777" w:rsidR="00413702" w:rsidRPr="00BA0C3A" w:rsidRDefault="00413702" w:rsidP="00413702">
      <w:pPr>
        <w:pStyle w:val="Prrafodelista"/>
        <w:spacing w:line="360" w:lineRule="auto"/>
        <w:ind w:left="851" w:right="822"/>
        <w:jc w:val="both"/>
        <w:rPr>
          <w:rFonts w:ascii="Palatino Linotype" w:hAnsi="Palatino Linotype" w:cs="Arial"/>
          <w:bCs/>
          <w:i/>
          <w:iCs/>
          <w:color w:val="000000" w:themeColor="text1"/>
        </w:rPr>
      </w:pPr>
      <w:r w:rsidRPr="00BA0C3A">
        <w:rPr>
          <w:rFonts w:ascii="Palatino Linotype" w:hAnsi="Palatino Linotype" w:cs="Arial"/>
          <w:bCs/>
          <w:i/>
          <w:iCs/>
          <w:color w:val="000000" w:themeColor="text1"/>
        </w:rPr>
        <w:t xml:space="preserve">Lo dispuesto en el párrafo anterior no resulta aplicable para los artículos 56 y 216-I, así como a lo previsto en la Sección Segunda, del Capítulo Primero del Título Tercero y en la Sección Primera, del Capítulo Segundo del Título Cuarto de este Código. </w:t>
      </w:r>
    </w:p>
    <w:p w14:paraId="6190E599" w14:textId="77777777" w:rsidR="00413702" w:rsidRPr="00BA0C3A" w:rsidRDefault="00413702" w:rsidP="00413702">
      <w:pPr>
        <w:pStyle w:val="Prrafodelista"/>
        <w:spacing w:line="360" w:lineRule="auto"/>
        <w:ind w:left="851" w:right="822"/>
        <w:jc w:val="both"/>
        <w:rPr>
          <w:rFonts w:ascii="Palatino Linotype" w:hAnsi="Palatino Linotype" w:cs="Arial"/>
          <w:bCs/>
          <w:i/>
          <w:iCs/>
          <w:color w:val="000000" w:themeColor="text1"/>
        </w:rPr>
      </w:pPr>
      <w:r w:rsidRPr="00BA0C3A">
        <w:rPr>
          <w:rFonts w:ascii="Palatino Linotype" w:hAnsi="Palatino Linotype" w:cs="Arial"/>
          <w:bCs/>
          <w:i/>
          <w:iCs/>
          <w:color w:val="000000" w:themeColor="text1"/>
        </w:rPr>
        <w:lastRenderedPageBreak/>
        <w:t xml:space="preserve">Para efectos de la declaración de la exención a que se refiere la fracción IV del artículo 115 de la Constitución Política de los Estados Unidos Mexicanos, la calidad de bien del dominio público, deberá acreditarse fehacientemente. </w:t>
      </w:r>
    </w:p>
    <w:p w14:paraId="0EC4F6B3" w14:textId="77777777" w:rsidR="00413702" w:rsidRPr="00BA0C3A" w:rsidRDefault="00413702" w:rsidP="00413702">
      <w:pPr>
        <w:pStyle w:val="Prrafodelista"/>
        <w:spacing w:line="360" w:lineRule="auto"/>
        <w:ind w:left="851" w:right="822"/>
        <w:jc w:val="both"/>
        <w:rPr>
          <w:rFonts w:ascii="Palatino Linotype" w:hAnsi="Palatino Linotype" w:cs="Arial"/>
          <w:bCs/>
          <w:i/>
          <w:iCs/>
          <w:color w:val="000000" w:themeColor="text1"/>
        </w:rPr>
      </w:pPr>
      <w:r w:rsidRPr="00BA0C3A">
        <w:rPr>
          <w:rFonts w:ascii="Palatino Linotype" w:hAnsi="Palatino Linotype" w:cs="Arial"/>
          <w:bCs/>
          <w:i/>
          <w:iCs/>
          <w:color w:val="000000" w:themeColor="text1"/>
          <w:u w:val="single"/>
        </w:rPr>
        <w:t>La exención se solicitará por escrito a la autoridad fiscal competente, debiéndose acompañar u ofrecer las pruebas que demuestren su procedencia</w:t>
      </w:r>
      <w:r w:rsidRPr="00BA0C3A">
        <w:rPr>
          <w:rFonts w:ascii="Palatino Linotype" w:hAnsi="Palatino Linotype" w:cs="Arial"/>
          <w:bCs/>
          <w:i/>
          <w:iCs/>
          <w:color w:val="000000" w:themeColor="text1"/>
        </w:rPr>
        <w:t xml:space="preserve">. </w:t>
      </w:r>
    </w:p>
    <w:p w14:paraId="3538FBE2" w14:textId="77777777" w:rsidR="00413702" w:rsidRPr="00BA0C3A" w:rsidRDefault="00413702" w:rsidP="00413702">
      <w:pPr>
        <w:pStyle w:val="Prrafodelista"/>
        <w:spacing w:line="360" w:lineRule="auto"/>
        <w:ind w:left="851" w:right="822"/>
        <w:jc w:val="both"/>
        <w:rPr>
          <w:rFonts w:ascii="Palatino Linotype" w:hAnsi="Palatino Linotype" w:cs="Arial"/>
          <w:bCs/>
          <w:i/>
          <w:iCs/>
          <w:color w:val="000000" w:themeColor="text1"/>
        </w:rPr>
      </w:pPr>
      <w:r w:rsidRPr="00BA0C3A">
        <w:rPr>
          <w:rFonts w:ascii="Palatino Linotype" w:hAnsi="Palatino Linotype" w:cs="Arial"/>
          <w:bCs/>
          <w:i/>
          <w:iCs/>
          <w:color w:val="000000" w:themeColor="text1"/>
        </w:rPr>
        <w:t xml:space="preserve">No quedan comprendidos entre los bienes del dominio público los inmuebles que los organismos descentralizados utilicen para oficinas administrativas o en general para propósitos distintos a los del cumplimiento de su objeto. </w:t>
      </w:r>
    </w:p>
    <w:p w14:paraId="6623D22F" w14:textId="77777777" w:rsidR="00413702" w:rsidRPr="00BA0C3A" w:rsidRDefault="00413702" w:rsidP="00413702">
      <w:pPr>
        <w:pStyle w:val="Prrafodelista"/>
        <w:spacing w:line="360" w:lineRule="auto"/>
        <w:ind w:left="851" w:right="822"/>
        <w:jc w:val="both"/>
        <w:rPr>
          <w:rFonts w:ascii="Palatino Linotype" w:hAnsi="Palatino Linotype" w:cs="Arial"/>
          <w:bCs/>
          <w:iCs/>
          <w:color w:val="000000" w:themeColor="text1"/>
        </w:rPr>
      </w:pPr>
      <w:r w:rsidRPr="00BA0C3A">
        <w:rPr>
          <w:rFonts w:ascii="Palatino Linotype" w:hAnsi="Palatino Linotype" w:cs="Arial"/>
          <w:bCs/>
          <w:i/>
          <w:iCs/>
          <w:color w:val="000000" w:themeColor="text1"/>
        </w:rPr>
        <w:t>Quienes de acuerdo con este Código, no estén obligadas a pagar contribuciones, únicamente tendrán las obligaciones de carácter administrativo que en el mismo se establezcan.”</w:t>
      </w:r>
    </w:p>
    <w:p w14:paraId="0743410D" w14:textId="77777777" w:rsidR="00413702" w:rsidRPr="00BA0C3A" w:rsidRDefault="00413702" w:rsidP="00413702">
      <w:pPr>
        <w:ind w:right="616"/>
        <w:jc w:val="both"/>
        <w:rPr>
          <w:rFonts w:ascii="Palatino Linotype" w:hAnsi="Palatino Linotype" w:cs="Arial"/>
          <w:bCs/>
          <w:iCs/>
          <w:color w:val="000000" w:themeColor="text1"/>
        </w:rPr>
      </w:pPr>
    </w:p>
    <w:p w14:paraId="3A233962" w14:textId="77777777" w:rsidR="00413702" w:rsidRPr="00BA0C3A" w:rsidRDefault="00413702" w:rsidP="00413702">
      <w:pPr>
        <w:pStyle w:val="Prrafodelista"/>
        <w:ind w:left="644" w:right="616"/>
        <w:rPr>
          <w:rFonts w:ascii="Palatino Linotype" w:hAnsi="Palatino Linotype" w:cs="Arial"/>
          <w:bCs/>
          <w:iCs/>
          <w:color w:val="000000" w:themeColor="text1"/>
        </w:rPr>
      </w:pPr>
      <w:r w:rsidRPr="00BA0C3A">
        <w:rPr>
          <w:rFonts w:ascii="Palatino Linotype" w:hAnsi="Palatino Linotype" w:cs="Arial"/>
          <w:bCs/>
          <w:iCs/>
          <w:color w:val="000000" w:themeColor="text1"/>
        </w:rPr>
        <w:t>(Énfasis añadido)</w:t>
      </w:r>
    </w:p>
    <w:p w14:paraId="745D3E23" w14:textId="77777777" w:rsidR="00413702" w:rsidRPr="00BA0C3A" w:rsidRDefault="00413702" w:rsidP="00413702">
      <w:pPr>
        <w:spacing w:line="360" w:lineRule="auto"/>
        <w:ind w:left="284"/>
        <w:jc w:val="both"/>
        <w:rPr>
          <w:rFonts w:ascii="Palatino Linotype" w:hAnsi="Palatino Linotype" w:cs="Arial"/>
          <w:bCs/>
          <w:iCs/>
          <w:color w:val="000000" w:themeColor="text1"/>
        </w:rPr>
      </w:pPr>
    </w:p>
    <w:p w14:paraId="1C595930" w14:textId="00567B68" w:rsidR="00413702" w:rsidRPr="00413702" w:rsidRDefault="00413702" w:rsidP="00413702">
      <w:pPr>
        <w:pStyle w:val="Prrafodelista"/>
        <w:numPr>
          <w:ilvl w:val="0"/>
          <w:numId w:val="2"/>
        </w:numPr>
        <w:spacing w:line="360" w:lineRule="auto"/>
        <w:ind w:left="0" w:firstLine="0"/>
        <w:contextualSpacing/>
        <w:jc w:val="both"/>
        <w:rPr>
          <w:rFonts w:ascii="Palatino Linotype" w:hAnsi="Palatino Linotype" w:cs="Arial"/>
          <w:bCs/>
          <w:iCs/>
          <w:color w:val="000000" w:themeColor="text1"/>
        </w:rPr>
      </w:pPr>
      <w:r w:rsidRPr="00BA0C3A">
        <w:rPr>
          <w:rFonts w:ascii="Palatino Linotype" w:hAnsi="Palatino Linotype" w:cs="Arial"/>
          <w:bCs/>
          <w:iCs/>
          <w:color w:val="000000" w:themeColor="text1"/>
        </w:rPr>
        <w:t xml:space="preserve">Precepto legal que consagra que los Municipios pueden peticionar la exención de pago del impuesto predial, cuando sus actividades correspondan a funciones de derecho público. Lo anterior toma relevancia, atendiendo que existe el supuesto que el </w:t>
      </w:r>
      <w:r w:rsidRPr="00BA0C3A">
        <w:rPr>
          <w:rFonts w:ascii="Palatino Linotype" w:hAnsi="Palatino Linotype" w:cs="Arial"/>
          <w:b/>
          <w:bCs/>
          <w:iCs/>
          <w:color w:val="000000" w:themeColor="text1"/>
        </w:rPr>
        <w:t>Sujeto Obligado</w:t>
      </w:r>
      <w:r w:rsidRPr="00BA0C3A">
        <w:rPr>
          <w:rFonts w:ascii="Palatino Linotype" w:hAnsi="Palatino Linotype" w:cs="Arial"/>
          <w:bCs/>
          <w:iCs/>
          <w:color w:val="000000" w:themeColor="text1"/>
        </w:rPr>
        <w:t xml:space="preserve"> no haya peticionado la exención de pago del impuesto predial, debiendo entonces, haber hecho pago del mismo. Por lo que, la publicidad de los comprobantes de pago permiten una debida transparencia y rendición de cuentas, por lo que deberá hacer entrega, observando lo relativo a la tutela de los datos de carácter sensible, en términos tanto de las Leyes Locales de Transparencia y de Protección de Datos Personales. </w:t>
      </w:r>
    </w:p>
    <w:p w14:paraId="2ABF3ABD" w14:textId="77777777" w:rsidR="00413702" w:rsidRPr="00BA0C3A" w:rsidRDefault="00413702" w:rsidP="00413702">
      <w:pPr>
        <w:pStyle w:val="Prrafodelista"/>
        <w:numPr>
          <w:ilvl w:val="0"/>
          <w:numId w:val="2"/>
        </w:numPr>
        <w:spacing w:line="360" w:lineRule="auto"/>
        <w:ind w:left="0" w:firstLine="0"/>
        <w:contextualSpacing/>
        <w:jc w:val="both"/>
        <w:rPr>
          <w:rFonts w:ascii="Palatino Linotype" w:hAnsi="Palatino Linotype" w:cs="Arial"/>
          <w:bCs/>
          <w:iCs/>
          <w:color w:val="000000" w:themeColor="text1"/>
        </w:rPr>
      </w:pPr>
      <w:r w:rsidRPr="00BA0C3A">
        <w:rPr>
          <w:rFonts w:ascii="Palatino Linotype" w:hAnsi="Palatino Linotype" w:cs="Arial"/>
          <w:bCs/>
          <w:iCs/>
          <w:color w:val="000000" w:themeColor="text1"/>
        </w:rPr>
        <w:lastRenderedPageBreak/>
        <w:t>En sentido contrario, de haber peticionado la exención del pago del impuesto predial, se encuentra imposibilitado a la entrega de información que no fue generada, por dicha circunstancia. Por lo que en términos de cumplimiento a la presente resolución, de existir dicho supuesto, deberá hacerlo del conocimiento en términos del párrafo segundo del artículo 19 de la multicitada Ley de Transparencia Local</w:t>
      </w:r>
      <w:r w:rsidRPr="00BA0C3A">
        <w:rPr>
          <w:rStyle w:val="Refdenotaalpie"/>
          <w:rFonts w:ascii="Palatino Linotype" w:hAnsi="Palatino Linotype" w:cs="Arial"/>
          <w:bCs/>
          <w:iCs/>
          <w:color w:val="000000" w:themeColor="text1"/>
        </w:rPr>
        <w:footnoteReference w:id="1"/>
      </w:r>
      <w:r w:rsidRPr="00BA0C3A">
        <w:rPr>
          <w:rFonts w:ascii="Palatino Linotype" w:hAnsi="Palatino Linotype" w:cs="Arial"/>
          <w:bCs/>
          <w:iCs/>
          <w:color w:val="000000" w:themeColor="text1"/>
        </w:rPr>
        <w:t>.</w:t>
      </w:r>
    </w:p>
    <w:p w14:paraId="053D3643" w14:textId="77777777" w:rsidR="00413702" w:rsidRPr="00BA0C3A" w:rsidRDefault="00413702" w:rsidP="00413702">
      <w:pPr>
        <w:pStyle w:val="Prrafodelista"/>
        <w:spacing w:line="360" w:lineRule="auto"/>
        <w:ind w:left="0"/>
        <w:jc w:val="both"/>
        <w:rPr>
          <w:rFonts w:ascii="Palatino Linotype" w:hAnsi="Palatino Linotype" w:cs="Arial"/>
          <w:bCs/>
          <w:iCs/>
          <w:color w:val="000000" w:themeColor="text1"/>
        </w:rPr>
      </w:pPr>
    </w:p>
    <w:p w14:paraId="18575467" w14:textId="77777777" w:rsidR="00413702" w:rsidRPr="00BA0C3A" w:rsidRDefault="00413702" w:rsidP="00413702">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17" w:name="_Toc89350464"/>
      <w:bookmarkStart w:id="18" w:name="_Toc94119619"/>
      <w:r w:rsidRPr="00BA0C3A">
        <w:rPr>
          <w:rFonts w:ascii="Palatino Linotype" w:hAnsi="Palatino Linotype"/>
          <w:b/>
          <w:bCs/>
          <w:color w:val="000000" w:themeColor="text1"/>
        </w:rPr>
        <w:t>QUINTO. De la versión pública.</w:t>
      </w:r>
      <w:bookmarkEnd w:id="17"/>
      <w:bookmarkEnd w:id="18"/>
    </w:p>
    <w:p w14:paraId="694D9F66" w14:textId="77777777" w:rsidR="00413702" w:rsidRPr="00BA0C3A" w:rsidRDefault="00413702" w:rsidP="00413702">
      <w:pPr>
        <w:pStyle w:val="Prrafodelista"/>
        <w:tabs>
          <w:tab w:val="left" w:pos="426"/>
        </w:tabs>
        <w:spacing w:line="360" w:lineRule="auto"/>
        <w:ind w:left="0" w:right="51"/>
        <w:jc w:val="both"/>
        <w:rPr>
          <w:rFonts w:ascii="Palatino Linotype" w:hAnsi="Palatino Linotype"/>
          <w:color w:val="000000" w:themeColor="text1"/>
        </w:rPr>
      </w:pPr>
    </w:p>
    <w:p w14:paraId="61E8FDCB" w14:textId="77777777" w:rsidR="00413702" w:rsidRPr="00BA0C3A" w:rsidRDefault="00413702" w:rsidP="00413702">
      <w:pPr>
        <w:pStyle w:val="Prrafodelista"/>
        <w:numPr>
          <w:ilvl w:val="0"/>
          <w:numId w:val="2"/>
        </w:numPr>
        <w:tabs>
          <w:tab w:val="left" w:pos="426"/>
        </w:tabs>
        <w:spacing w:line="360" w:lineRule="auto"/>
        <w:ind w:left="0" w:right="51" w:firstLine="0"/>
        <w:contextualSpacing/>
        <w:jc w:val="both"/>
        <w:rPr>
          <w:rFonts w:ascii="Palatino Linotype" w:hAnsi="Palatino Linotype"/>
          <w:color w:val="000000" w:themeColor="text1"/>
        </w:rPr>
      </w:pPr>
      <w:r w:rsidRPr="00BA0C3A">
        <w:rPr>
          <w:rFonts w:ascii="Palatino Linotype" w:hAnsi="Palatino Linotype"/>
          <w:color w:val="000000" w:themeColor="text1"/>
        </w:rPr>
        <w:t>Debe destacarse que, debido a la naturaleza de la información solicitada</w:t>
      </w:r>
      <w:r w:rsidRPr="00BA0C3A">
        <w:rPr>
          <w:rFonts w:ascii="Palatino Linotype" w:hAnsi="Palatino Linotype"/>
          <w:b/>
          <w:color w:val="000000" w:themeColor="text1"/>
        </w:rPr>
        <w:t xml:space="preserve"> </w:t>
      </w:r>
      <w:r w:rsidRPr="00BA0C3A">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25D4A9C" w14:textId="77777777" w:rsidR="00413702" w:rsidRPr="00BA0C3A" w:rsidRDefault="00413702" w:rsidP="00413702">
      <w:pPr>
        <w:pStyle w:val="Prrafodelista"/>
        <w:tabs>
          <w:tab w:val="left" w:pos="426"/>
        </w:tabs>
        <w:spacing w:line="360" w:lineRule="auto"/>
        <w:ind w:left="0" w:right="51"/>
        <w:jc w:val="both"/>
        <w:rPr>
          <w:rFonts w:ascii="Palatino Linotype" w:hAnsi="Palatino Linotype"/>
          <w:color w:val="000000" w:themeColor="text1"/>
        </w:rPr>
      </w:pPr>
    </w:p>
    <w:p w14:paraId="100411CD" w14:textId="77777777" w:rsidR="00413702" w:rsidRPr="00BA0C3A" w:rsidRDefault="00413702" w:rsidP="00413702">
      <w:pPr>
        <w:pStyle w:val="Prrafodelista"/>
        <w:numPr>
          <w:ilvl w:val="0"/>
          <w:numId w:val="2"/>
        </w:numPr>
        <w:tabs>
          <w:tab w:val="left" w:pos="284"/>
        </w:tabs>
        <w:spacing w:line="360" w:lineRule="auto"/>
        <w:ind w:left="0" w:right="51" w:firstLine="0"/>
        <w:contextualSpacing/>
        <w:jc w:val="both"/>
        <w:rPr>
          <w:rFonts w:ascii="Palatino Linotype" w:hAnsi="Palatino Linotype"/>
          <w:color w:val="000000" w:themeColor="text1"/>
        </w:rPr>
      </w:pPr>
      <w:r w:rsidRPr="00BA0C3A">
        <w:rPr>
          <w:rFonts w:ascii="Palatino Linotype" w:hAnsi="Palatino Linotype"/>
          <w:color w:val="000000" w:themeColor="text1"/>
        </w:rPr>
        <w:t xml:space="preserve">La </w:t>
      </w:r>
      <w:r w:rsidRPr="00BA0C3A">
        <w:rPr>
          <w:rFonts w:ascii="Palatino Linotype" w:eastAsia="MS Mincho" w:hAnsi="Palatino Linotype"/>
        </w:rPr>
        <w:t xml:space="preserve">clasificación total o parcial de la información requerida, mediante solicitud de acceso a la información pública, constituye una restricción al derecho </w:t>
      </w:r>
      <w:r w:rsidRPr="00BA0C3A">
        <w:rPr>
          <w:rFonts w:ascii="Palatino Linotype" w:eastAsia="MS Mincho" w:hAnsi="Palatino Linotype"/>
        </w:rPr>
        <w:lastRenderedPageBreak/>
        <w:t xml:space="preserve">humano de acceso a la información. </w:t>
      </w:r>
      <w:r w:rsidRPr="00BA0C3A">
        <w:rPr>
          <w:rFonts w:ascii="Palatino Linotype" w:hAnsi="Palatino Linotype" w:cs="Arial"/>
          <w:color w:val="000000"/>
        </w:rPr>
        <w:t xml:space="preserve">Actualmente, el grave problema que enfrentamos son los Acuerdos de Clasificación de la Información que emiten los </w:t>
      </w:r>
      <w:r w:rsidRPr="00BA0C3A">
        <w:rPr>
          <w:rFonts w:ascii="Palatino Linotype" w:hAnsi="Palatino Linotype" w:cs="Arial"/>
          <w:b/>
          <w:color w:val="000000"/>
        </w:rPr>
        <w:t>SUJETOS OBLIGADOS</w:t>
      </w:r>
      <w:r w:rsidRPr="00BA0C3A">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072B91C2" w14:textId="77777777" w:rsidR="00413702" w:rsidRPr="00BA0C3A" w:rsidRDefault="00413702" w:rsidP="00413702">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7"/>
        <w:gridCol w:w="6982"/>
      </w:tblGrid>
      <w:tr w:rsidR="00413702" w:rsidRPr="00BA0C3A" w14:paraId="3DD15926" w14:textId="77777777" w:rsidTr="007A5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83805E" w14:textId="77777777" w:rsidR="00413702" w:rsidRPr="00BA0C3A" w:rsidRDefault="00413702" w:rsidP="007A598B">
            <w:pPr>
              <w:spacing w:line="360" w:lineRule="auto"/>
              <w:rPr>
                <w:rFonts w:ascii="Palatino Linotype" w:hAnsi="Palatino Linotype"/>
                <w:sz w:val="22"/>
                <w:szCs w:val="20"/>
              </w:rPr>
            </w:pPr>
            <w:r w:rsidRPr="00BA0C3A">
              <w:rPr>
                <w:rFonts w:ascii="Palatino Linotype" w:hAnsi="Palatino Linotype" w:cstheme="majorBidi"/>
                <w:b w:val="0"/>
                <w:sz w:val="22"/>
                <w:szCs w:val="20"/>
              </w:rPr>
              <w:t>a) Requisitos previos.</w:t>
            </w:r>
          </w:p>
        </w:tc>
        <w:tc>
          <w:tcPr>
            <w:tcW w:w="6990" w:type="dxa"/>
          </w:tcPr>
          <w:p w14:paraId="28E0552A" w14:textId="77777777" w:rsidR="00413702" w:rsidRPr="00BA0C3A" w:rsidRDefault="00413702" w:rsidP="007A598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100 y 122 de la Ley Estatal y de la Ley General, respectivamente, señalan que si los </w:t>
            </w:r>
            <w:r w:rsidRPr="00BA0C3A">
              <w:rPr>
                <w:rFonts w:ascii="Palatino Linotype" w:hAnsi="Palatino Linotype" w:cs="Arial"/>
                <w:b w:val="0"/>
                <w:color w:val="000000"/>
                <w:sz w:val="22"/>
                <w:szCs w:val="20"/>
              </w:rPr>
              <w:t>Sujetos Obligados</w:t>
            </w:r>
            <w:r w:rsidRPr="00BA0C3A">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412FFCE2" w14:textId="77777777" w:rsidR="00413702" w:rsidRPr="00BA0C3A" w:rsidRDefault="00413702" w:rsidP="007A598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Al hacerlo tienen que precisar de qué información se trata, señalando el supuesto de clasificación (confidencialidad o reserva).</w:t>
            </w:r>
          </w:p>
          <w:p w14:paraId="69052EA9" w14:textId="77777777" w:rsidR="00413702" w:rsidRPr="00BA0C3A" w:rsidRDefault="00413702" w:rsidP="007A598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Además, se debe señalar el procedimiento, de los tres que establecen los artículos 132 y 106 de la Ley Estatal y General, respectivamente.</w:t>
            </w:r>
          </w:p>
          <w:p w14:paraId="06DBEAF4" w14:textId="77777777" w:rsidR="00413702" w:rsidRPr="00BA0C3A" w:rsidRDefault="00413702" w:rsidP="007A598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BA0C3A">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BA0C3A">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413702" w:rsidRPr="00BA0C3A" w14:paraId="63724904" w14:textId="77777777" w:rsidTr="007A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55DDB9" w14:textId="77777777" w:rsidR="00413702" w:rsidRPr="00BA0C3A" w:rsidRDefault="00413702" w:rsidP="007A598B">
            <w:pPr>
              <w:spacing w:line="360" w:lineRule="auto"/>
              <w:rPr>
                <w:rFonts w:ascii="Palatino Linotype" w:hAnsi="Palatino Linotype"/>
                <w:sz w:val="22"/>
                <w:szCs w:val="20"/>
              </w:rPr>
            </w:pPr>
            <w:r w:rsidRPr="00BA0C3A">
              <w:rPr>
                <w:rFonts w:ascii="Palatino Linotype" w:hAnsi="Palatino Linotype" w:cstheme="majorBidi"/>
                <w:b w:val="0"/>
                <w:sz w:val="22"/>
                <w:szCs w:val="20"/>
              </w:rPr>
              <w:lastRenderedPageBreak/>
              <w:t>b) Supuestos de clasificación.</w:t>
            </w:r>
          </w:p>
        </w:tc>
        <w:tc>
          <w:tcPr>
            <w:tcW w:w="6990" w:type="dxa"/>
          </w:tcPr>
          <w:p w14:paraId="3027D0A9"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027C9DB1"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1BA4EEB" w14:textId="77777777" w:rsidR="00413702" w:rsidRPr="00BA0C3A" w:rsidRDefault="00413702" w:rsidP="007A598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El </w:t>
            </w:r>
            <w:r w:rsidRPr="00BA0C3A">
              <w:rPr>
                <w:rFonts w:ascii="Palatino Linotype" w:hAnsi="Palatino Linotype" w:cs="Arial"/>
                <w:b/>
                <w:color w:val="000000"/>
                <w:sz w:val="22"/>
                <w:szCs w:val="20"/>
              </w:rPr>
              <w:t>SUJETO OBLIGADO</w:t>
            </w:r>
            <w:r w:rsidRPr="00BA0C3A">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13702" w:rsidRPr="00BA0C3A" w14:paraId="5FA3C07C" w14:textId="77777777" w:rsidTr="007A598B">
        <w:tc>
          <w:tcPr>
            <w:cnfStyle w:val="001000000000" w:firstRow="0" w:lastRow="0" w:firstColumn="1" w:lastColumn="0" w:oddVBand="0" w:evenVBand="0" w:oddHBand="0" w:evenHBand="0" w:firstRowFirstColumn="0" w:firstRowLastColumn="0" w:lastRowFirstColumn="0" w:lastRowLastColumn="0"/>
            <w:tcW w:w="1838" w:type="dxa"/>
          </w:tcPr>
          <w:p w14:paraId="3267FF68" w14:textId="77777777" w:rsidR="00413702" w:rsidRPr="00BA0C3A" w:rsidRDefault="00413702" w:rsidP="007A598B">
            <w:pPr>
              <w:spacing w:line="360" w:lineRule="auto"/>
              <w:rPr>
                <w:rFonts w:ascii="Palatino Linotype" w:hAnsi="Palatino Linotype"/>
                <w:sz w:val="22"/>
                <w:szCs w:val="20"/>
              </w:rPr>
            </w:pPr>
            <w:r w:rsidRPr="00BA0C3A">
              <w:rPr>
                <w:rFonts w:ascii="Palatino Linotype" w:hAnsi="Palatino Linotype" w:cstheme="majorBidi"/>
                <w:b w:val="0"/>
                <w:sz w:val="22"/>
                <w:szCs w:val="20"/>
              </w:rPr>
              <w:t>c) Formalidades para emitir el acuerdo de clasificación.</w:t>
            </w:r>
          </w:p>
        </w:tc>
        <w:tc>
          <w:tcPr>
            <w:tcW w:w="6990" w:type="dxa"/>
          </w:tcPr>
          <w:p w14:paraId="5ABE0CA0" w14:textId="77777777" w:rsidR="00413702" w:rsidRPr="00BA0C3A" w:rsidRDefault="00413702" w:rsidP="007A598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47F739C8" w14:textId="77777777" w:rsidR="00413702" w:rsidRPr="00BA0C3A" w:rsidRDefault="00413702" w:rsidP="007A598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Es necesario que </w:t>
            </w:r>
            <w:r w:rsidRPr="00BA0C3A">
              <w:rPr>
                <w:rFonts w:ascii="Palatino Linotype" w:hAnsi="Palatino Linotype" w:cs="Arial"/>
                <w:b/>
                <w:color w:val="000000"/>
                <w:sz w:val="22"/>
                <w:szCs w:val="20"/>
                <w:u w:val="single"/>
              </w:rPr>
              <w:t>el acto reúna con los requisitos elementales</w:t>
            </w:r>
            <w:r w:rsidRPr="00BA0C3A">
              <w:rPr>
                <w:rFonts w:ascii="Palatino Linotype" w:hAnsi="Palatino Linotype" w:cs="Arial"/>
                <w:color w:val="000000"/>
                <w:sz w:val="22"/>
                <w:szCs w:val="20"/>
              </w:rPr>
              <w:t>, entre ellos, que la autoridad que va a emitir el acto de autoridad sea la legalmente facultada para ello.</w:t>
            </w:r>
          </w:p>
          <w:p w14:paraId="72707775" w14:textId="77777777" w:rsidR="00413702" w:rsidRPr="00BA0C3A" w:rsidRDefault="00413702" w:rsidP="007A598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w:t>
            </w:r>
            <w:r w:rsidRPr="00BA0C3A">
              <w:rPr>
                <w:rFonts w:ascii="Palatino Linotype" w:hAnsi="Palatino Linotype" w:cs="Arial"/>
                <w:color w:val="000000"/>
                <w:sz w:val="22"/>
                <w:szCs w:val="2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413702" w:rsidRPr="00BA0C3A" w14:paraId="1E81B7B2" w14:textId="77777777" w:rsidTr="007A59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1C2DFD" w14:textId="77777777" w:rsidR="00413702" w:rsidRPr="00BA0C3A" w:rsidRDefault="00413702" w:rsidP="007A598B">
            <w:pPr>
              <w:spacing w:line="360" w:lineRule="auto"/>
              <w:rPr>
                <w:rFonts w:ascii="Palatino Linotype" w:hAnsi="Palatino Linotype"/>
                <w:b w:val="0"/>
                <w:sz w:val="22"/>
                <w:szCs w:val="20"/>
              </w:rPr>
            </w:pPr>
          </w:p>
          <w:p w14:paraId="5C1D0DB0" w14:textId="77777777" w:rsidR="00413702" w:rsidRPr="00BA0C3A" w:rsidRDefault="00413702" w:rsidP="007A598B">
            <w:pPr>
              <w:spacing w:line="360" w:lineRule="auto"/>
              <w:jc w:val="both"/>
              <w:rPr>
                <w:rFonts w:ascii="Palatino Linotype" w:hAnsi="Palatino Linotype"/>
                <w:b w:val="0"/>
                <w:sz w:val="22"/>
                <w:szCs w:val="20"/>
              </w:rPr>
            </w:pPr>
            <w:r w:rsidRPr="00BA0C3A">
              <w:rPr>
                <w:rFonts w:ascii="Palatino Linotype" w:hAnsi="Palatino Linotype" w:cs="Arial"/>
                <w:b w:val="0"/>
                <w:color w:val="000000"/>
                <w:sz w:val="22"/>
                <w:szCs w:val="20"/>
              </w:rPr>
              <w:t xml:space="preserve">d) Requisitos de fondo del acuerdo de clasificación. </w:t>
            </w:r>
          </w:p>
        </w:tc>
        <w:tc>
          <w:tcPr>
            <w:tcW w:w="6990" w:type="dxa"/>
          </w:tcPr>
          <w:p w14:paraId="61A2FD6A"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A0C3A">
              <w:rPr>
                <w:rFonts w:ascii="Palatino Linotype" w:hAnsi="Palatino Linotype" w:cs="Arial"/>
                <w:b/>
                <w:color w:val="000000"/>
                <w:sz w:val="22"/>
                <w:szCs w:val="20"/>
              </w:rPr>
              <w:t>Sujetos Obligados</w:t>
            </w:r>
            <w:r w:rsidRPr="00BA0C3A">
              <w:rPr>
                <w:rFonts w:ascii="Palatino Linotype" w:hAnsi="Palatino Linotype" w:cs="Arial"/>
                <w:color w:val="000000"/>
                <w:sz w:val="22"/>
                <w:szCs w:val="20"/>
              </w:rPr>
              <w:t xml:space="preserve">, por lo que deberán fundar y motivar debidamente la clasificación. </w:t>
            </w:r>
          </w:p>
          <w:p w14:paraId="44E0BB9A"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De lo anterior, se desprende que para una correcta </w:t>
            </w:r>
            <w:r w:rsidRPr="00BA0C3A">
              <w:rPr>
                <w:rFonts w:ascii="Palatino Linotype" w:hAnsi="Palatino Linotype" w:cs="Arial"/>
                <w:b/>
                <w:color w:val="000000"/>
                <w:sz w:val="22"/>
                <w:szCs w:val="20"/>
              </w:rPr>
              <w:t>clasificación total o parcial</w:t>
            </w:r>
            <w:r w:rsidRPr="00BA0C3A">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89D297"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E60EE47"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lastRenderedPageBreak/>
              <w:t>En ese mismo sentido, el numeral trigésimo tercero fracción V de los Lineamientos Generales, precisa que para motivar la clasificación se deben acreditar las circunstancias de tiempo, modo y lugar.</w:t>
            </w:r>
          </w:p>
          <w:p w14:paraId="77A20AB5" w14:textId="77777777" w:rsidR="00413702" w:rsidRPr="00BA0C3A" w:rsidRDefault="00413702" w:rsidP="007A598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Ahora bien, </w:t>
            </w:r>
            <w:r w:rsidRPr="00BA0C3A">
              <w:rPr>
                <w:rFonts w:ascii="Palatino Linotype" w:hAnsi="Palatino Linotype" w:cs="Arial"/>
                <w:b/>
                <w:color w:val="000000"/>
                <w:sz w:val="22"/>
                <w:szCs w:val="20"/>
                <w:u w:val="single"/>
              </w:rPr>
              <w:t>para cada caso además de fundar y motivar</w:t>
            </w:r>
            <w:r w:rsidRPr="00BA0C3A">
              <w:rPr>
                <w:rFonts w:ascii="Palatino Linotype" w:hAnsi="Palatino Linotype" w:cs="Arial"/>
                <w:color w:val="000000"/>
                <w:sz w:val="22"/>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13702" w:rsidRPr="00BA0C3A" w14:paraId="4DA95A3B" w14:textId="77777777" w:rsidTr="007A598B">
        <w:tc>
          <w:tcPr>
            <w:cnfStyle w:val="001000000000" w:firstRow="0" w:lastRow="0" w:firstColumn="1" w:lastColumn="0" w:oddVBand="0" w:evenVBand="0" w:oddHBand="0" w:evenHBand="0" w:firstRowFirstColumn="0" w:firstRowLastColumn="0" w:lastRowFirstColumn="0" w:lastRowLastColumn="0"/>
            <w:tcW w:w="1838" w:type="dxa"/>
          </w:tcPr>
          <w:p w14:paraId="7170D78A" w14:textId="77777777" w:rsidR="00413702" w:rsidRPr="00BA0C3A" w:rsidRDefault="00413702" w:rsidP="007A598B">
            <w:pPr>
              <w:spacing w:line="360" w:lineRule="auto"/>
              <w:ind w:right="49"/>
              <w:jc w:val="both"/>
              <w:rPr>
                <w:rFonts w:ascii="Palatino Linotype" w:hAnsi="Palatino Linotype" w:cs="Arial"/>
                <w:color w:val="000000"/>
                <w:sz w:val="22"/>
                <w:szCs w:val="20"/>
              </w:rPr>
            </w:pPr>
            <w:r w:rsidRPr="00BA0C3A">
              <w:rPr>
                <w:rFonts w:ascii="Palatino Linotype" w:eastAsia="MS Gothic" w:hAnsi="Palatino Linotype"/>
                <w:b w:val="0"/>
                <w:sz w:val="22"/>
                <w:szCs w:val="20"/>
              </w:rPr>
              <w:lastRenderedPageBreak/>
              <w:t xml:space="preserve">e) Condiciones especiales de la clasificación de la información como confidencial. </w:t>
            </w:r>
          </w:p>
          <w:p w14:paraId="1109CBF6" w14:textId="77777777" w:rsidR="00413702" w:rsidRPr="00BA0C3A" w:rsidRDefault="00413702" w:rsidP="007A598B">
            <w:pPr>
              <w:spacing w:line="360" w:lineRule="auto"/>
              <w:rPr>
                <w:rFonts w:ascii="Palatino Linotype" w:hAnsi="Palatino Linotype"/>
                <w:sz w:val="22"/>
                <w:szCs w:val="20"/>
              </w:rPr>
            </w:pPr>
          </w:p>
        </w:tc>
        <w:tc>
          <w:tcPr>
            <w:tcW w:w="6990" w:type="dxa"/>
          </w:tcPr>
          <w:p w14:paraId="3FE2558A" w14:textId="77777777" w:rsidR="00413702" w:rsidRPr="00BA0C3A" w:rsidRDefault="00413702" w:rsidP="007A598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68F8594F" w14:textId="77777777" w:rsidR="00413702" w:rsidRPr="00BA0C3A" w:rsidRDefault="00413702" w:rsidP="007A598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BA0C3A">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A872529" w14:textId="77777777" w:rsidR="00413702" w:rsidRPr="00BA0C3A" w:rsidRDefault="00413702" w:rsidP="007A598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BA0C3A">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25BC138" w14:textId="77777777" w:rsidR="00413702" w:rsidRDefault="00413702" w:rsidP="00413702">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p>
    <w:p w14:paraId="59516ACC" w14:textId="77777777" w:rsidR="007C5C6D" w:rsidRPr="00413702" w:rsidRDefault="007C5C6D" w:rsidP="00413702">
      <w:pPr>
        <w:pStyle w:val="Prrafodelista"/>
        <w:autoSpaceDE w:val="0"/>
        <w:autoSpaceDN w:val="0"/>
        <w:adjustRightInd w:val="0"/>
        <w:spacing w:line="360" w:lineRule="auto"/>
        <w:ind w:left="0"/>
        <w:contextualSpacing/>
        <w:jc w:val="both"/>
        <w:rPr>
          <w:rFonts w:ascii="Palatino Linotype" w:eastAsiaTheme="minorHAnsi" w:hAnsi="Palatino Linotype" w:cs="Arial"/>
          <w:lang w:eastAsia="en-US"/>
        </w:rPr>
      </w:pPr>
      <w:bookmarkStart w:id="19" w:name="_Toc466371865"/>
      <w:bookmarkStart w:id="20" w:name="_Toc466377653"/>
      <w:bookmarkStart w:id="21" w:name="_Toc67588008"/>
      <w:bookmarkStart w:id="22" w:name="_Toc68804770"/>
    </w:p>
    <w:p w14:paraId="7F2BAB0C" w14:textId="3DA4A3F6" w:rsidR="007C5C6D" w:rsidRPr="001D06B6" w:rsidRDefault="00413702" w:rsidP="001D06B6">
      <w:pPr>
        <w:keepNext/>
        <w:keepLines/>
        <w:spacing w:before="240" w:line="360" w:lineRule="auto"/>
        <w:outlineLvl w:val="0"/>
        <w:rPr>
          <w:rFonts w:ascii="Palatino Linotype" w:eastAsia="MS Gothic" w:hAnsi="Palatino Linotype" w:cstheme="majorBidi"/>
          <w:b/>
        </w:rPr>
      </w:pPr>
      <w:bookmarkStart w:id="23" w:name="_Toc86251419"/>
      <w:r>
        <w:rPr>
          <w:rFonts w:ascii="Palatino Linotype" w:eastAsiaTheme="minorEastAsia" w:hAnsi="Palatino Linotype" w:cs="Arial"/>
          <w:b/>
          <w:lang w:val="es-ES_tradnl"/>
        </w:rPr>
        <w:lastRenderedPageBreak/>
        <w:t>SEX</w:t>
      </w:r>
      <w:r w:rsidR="00B239ED">
        <w:rPr>
          <w:rFonts w:ascii="Palatino Linotype" w:eastAsiaTheme="minorEastAsia" w:hAnsi="Palatino Linotype" w:cs="Arial"/>
          <w:b/>
          <w:lang w:val="es-ES_tradnl"/>
        </w:rPr>
        <w:t>TO.</w:t>
      </w:r>
      <w:r w:rsidR="007C5C6D" w:rsidRPr="001D06B6">
        <w:rPr>
          <w:rFonts w:ascii="Palatino Linotype" w:eastAsia="MS Gothic" w:hAnsi="Palatino Linotype" w:cstheme="majorBidi"/>
          <w:b/>
        </w:rPr>
        <w:t xml:space="preserve"> Vista a los órganos de control interno.</w:t>
      </w:r>
      <w:bookmarkEnd w:id="23"/>
    </w:p>
    <w:p w14:paraId="494DE677" w14:textId="78909149" w:rsidR="007C5C6D" w:rsidRPr="001D06B6" w:rsidRDefault="007C5C6D" w:rsidP="001D06B6">
      <w:pPr>
        <w:pStyle w:val="Prrafodelista"/>
        <w:numPr>
          <w:ilvl w:val="0"/>
          <w:numId w:val="2"/>
        </w:numPr>
        <w:spacing w:before="240" w:after="240" w:line="360" w:lineRule="auto"/>
        <w:ind w:left="0" w:firstLine="0"/>
        <w:contextualSpacing/>
        <w:jc w:val="both"/>
        <w:rPr>
          <w:rFonts w:ascii="Palatino Linotype" w:hAnsi="Palatino Linotype"/>
          <w:lang w:val="es-ES_tradnl"/>
        </w:rPr>
      </w:pPr>
      <w:r w:rsidRPr="001D06B6">
        <w:rPr>
          <w:rFonts w:ascii="Palatino Linotype" w:hAnsi="Palatino Linotype"/>
          <w:lang w:val="es-ES_tradnl"/>
        </w:rPr>
        <w:t>Con fundamento en el artículo 222 de la Ley de Transparencia y Acceso a la Información Pública del Estado de México y Municipios, son causas de responsabilidad administrativas las siguientes:</w:t>
      </w:r>
    </w:p>
    <w:p w14:paraId="7C672D72" w14:textId="77777777" w:rsidR="007C5C6D" w:rsidRPr="001D06B6" w:rsidRDefault="007C5C6D" w:rsidP="001D06B6">
      <w:pPr>
        <w:pStyle w:val="Prrafodelista"/>
        <w:spacing w:before="240" w:after="240" w:line="360" w:lineRule="auto"/>
        <w:ind w:left="0"/>
        <w:contextualSpacing/>
        <w:jc w:val="both"/>
        <w:rPr>
          <w:rFonts w:ascii="Palatino Linotype" w:hAnsi="Palatino Linotype"/>
          <w:lang w:val="es-ES_tradnl"/>
        </w:rPr>
      </w:pPr>
    </w:p>
    <w:p w14:paraId="4C8F4DDA" w14:textId="77777777" w:rsidR="007C5C6D" w:rsidRPr="001D06B6" w:rsidRDefault="007C5C6D" w:rsidP="001D06B6">
      <w:pPr>
        <w:pStyle w:val="Prrafodelista"/>
        <w:spacing w:line="360" w:lineRule="auto"/>
        <w:ind w:left="567" w:right="567"/>
        <w:jc w:val="both"/>
        <w:rPr>
          <w:rFonts w:ascii="Palatino Linotype" w:hAnsi="Palatino Linotype"/>
          <w:i/>
        </w:rPr>
      </w:pPr>
      <w:r w:rsidRPr="001D06B6">
        <w:rPr>
          <w:rFonts w:ascii="Palatino Linotype" w:hAnsi="Palatino Linotype"/>
          <w:b/>
          <w:i/>
        </w:rPr>
        <w:t>“Artículo 222.</w:t>
      </w:r>
      <w:r w:rsidRPr="001D06B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30AA903E" w14:textId="77777777" w:rsidR="007C5C6D" w:rsidRPr="001D06B6" w:rsidRDefault="007C5C6D" w:rsidP="001D06B6">
      <w:pPr>
        <w:pStyle w:val="Prrafodelista"/>
        <w:spacing w:line="360" w:lineRule="auto"/>
        <w:ind w:left="567" w:right="567"/>
        <w:jc w:val="both"/>
        <w:rPr>
          <w:rFonts w:ascii="Palatino Linotype" w:hAnsi="Palatino Linotype"/>
          <w:i/>
        </w:rPr>
      </w:pPr>
      <w:r w:rsidRPr="001D06B6">
        <w:rPr>
          <w:rFonts w:ascii="Palatino Linotype" w:hAnsi="Palatino Linotype"/>
          <w:i/>
        </w:rPr>
        <w:t>(…)</w:t>
      </w:r>
    </w:p>
    <w:p w14:paraId="1A6C7185" w14:textId="77777777" w:rsidR="007C5C6D" w:rsidRPr="001D06B6" w:rsidRDefault="007C5C6D" w:rsidP="001D06B6">
      <w:pPr>
        <w:pStyle w:val="Prrafodelista"/>
        <w:spacing w:line="360" w:lineRule="auto"/>
        <w:ind w:left="567" w:right="567"/>
        <w:jc w:val="both"/>
        <w:rPr>
          <w:rFonts w:ascii="Palatino Linotype" w:hAnsi="Palatino Linotype"/>
          <w:i/>
        </w:rPr>
      </w:pPr>
      <w:r w:rsidRPr="001D06B6">
        <w:rPr>
          <w:rFonts w:ascii="Palatino Linotype" w:hAnsi="Palatino Linotype"/>
          <w:b/>
          <w:i/>
        </w:rPr>
        <w:t>I. Cualquier acto u omisión que provoque la suspensión o deficiencia en la atención de las solicitudes de información</w:t>
      </w:r>
      <w:r w:rsidRPr="001D06B6">
        <w:rPr>
          <w:rFonts w:ascii="Palatino Linotype" w:hAnsi="Palatino Linotype"/>
          <w:i/>
        </w:rPr>
        <w:t>;</w:t>
      </w:r>
    </w:p>
    <w:p w14:paraId="4D4BAA5F" w14:textId="77777777" w:rsidR="007C5C6D" w:rsidRPr="001D06B6" w:rsidRDefault="007C5C6D" w:rsidP="001D06B6">
      <w:pPr>
        <w:pStyle w:val="Prrafodelista"/>
        <w:spacing w:line="360" w:lineRule="auto"/>
        <w:ind w:left="567" w:right="567"/>
        <w:jc w:val="both"/>
        <w:rPr>
          <w:rFonts w:ascii="Palatino Linotype" w:hAnsi="Palatino Linotype"/>
          <w:i/>
        </w:rPr>
      </w:pPr>
      <w:r w:rsidRPr="001D06B6">
        <w:rPr>
          <w:rFonts w:ascii="Palatino Linotype" w:hAnsi="Palatino Linotype"/>
          <w:b/>
          <w:i/>
        </w:rPr>
        <w:t>II. La falta de respuesta a las solicitudes de información en los plazos señalados en la normatividad aplicable</w:t>
      </w:r>
      <w:r w:rsidRPr="001D06B6">
        <w:rPr>
          <w:rFonts w:ascii="Palatino Linotype" w:hAnsi="Palatino Linotype"/>
          <w:i/>
        </w:rPr>
        <w:t>;</w:t>
      </w:r>
    </w:p>
    <w:p w14:paraId="6AD3DB0C" w14:textId="77777777" w:rsidR="007C5C6D" w:rsidRPr="001D06B6" w:rsidRDefault="007C5C6D" w:rsidP="001D06B6">
      <w:pPr>
        <w:pStyle w:val="Prrafodelista"/>
        <w:spacing w:line="360" w:lineRule="auto"/>
        <w:ind w:left="567" w:right="567"/>
        <w:jc w:val="both"/>
        <w:rPr>
          <w:rFonts w:ascii="Palatino Linotype" w:hAnsi="Palatino Linotype"/>
          <w:i/>
        </w:rPr>
      </w:pPr>
      <w:r w:rsidRPr="001D06B6">
        <w:rPr>
          <w:rFonts w:ascii="Palatino Linotype" w:hAnsi="Palatino Linotype"/>
          <w:i/>
        </w:rPr>
        <w:t>(…)”</w:t>
      </w:r>
    </w:p>
    <w:p w14:paraId="5C8741B6" w14:textId="77777777" w:rsidR="007C5C6D" w:rsidRPr="001D06B6" w:rsidRDefault="007C5C6D" w:rsidP="001D06B6">
      <w:pPr>
        <w:pStyle w:val="Prrafodelista"/>
        <w:spacing w:line="360" w:lineRule="auto"/>
        <w:ind w:left="567" w:right="567"/>
        <w:jc w:val="both"/>
        <w:rPr>
          <w:rFonts w:ascii="Palatino Linotype" w:hAnsi="Palatino Linotype"/>
          <w:b/>
          <w:i/>
        </w:rPr>
      </w:pPr>
      <w:r w:rsidRPr="001D06B6">
        <w:rPr>
          <w:rFonts w:ascii="Palatino Linotype" w:hAnsi="Palatino Linotype"/>
          <w:b/>
          <w:i/>
        </w:rPr>
        <w:t>(Énfasis Añadido)</w:t>
      </w:r>
    </w:p>
    <w:p w14:paraId="4BF0C1C0" w14:textId="77777777" w:rsidR="007C5C6D" w:rsidRPr="001D06B6" w:rsidRDefault="007C5C6D" w:rsidP="001D06B6">
      <w:pPr>
        <w:spacing w:before="240" w:after="240" w:line="360" w:lineRule="auto"/>
        <w:contextualSpacing/>
        <w:jc w:val="both"/>
        <w:rPr>
          <w:rFonts w:ascii="Palatino Linotype" w:hAnsi="Palatino Linotype"/>
          <w:lang w:val="es-ES_tradnl"/>
        </w:rPr>
      </w:pPr>
    </w:p>
    <w:p w14:paraId="06BF433E" w14:textId="77777777" w:rsidR="007C5C6D" w:rsidRPr="001D06B6" w:rsidRDefault="007C5C6D" w:rsidP="001D06B6">
      <w:pPr>
        <w:numPr>
          <w:ilvl w:val="0"/>
          <w:numId w:val="2"/>
        </w:numPr>
        <w:spacing w:before="240" w:after="240" w:line="360" w:lineRule="auto"/>
        <w:ind w:left="0" w:firstLine="0"/>
        <w:contextualSpacing/>
        <w:jc w:val="both"/>
        <w:rPr>
          <w:rFonts w:ascii="Palatino Linotype" w:hAnsi="Palatino Linotype"/>
          <w:lang w:val="es-ES_tradnl"/>
        </w:rPr>
      </w:pPr>
      <w:r w:rsidRPr="001D06B6">
        <w:rPr>
          <w:rFonts w:ascii="Palatino Linotype" w:hAnsi="Palatino Linotype"/>
          <w:lang w:val="es-ES_tradnl"/>
        </w:rPr>
        <w:t>Es conveniente señalar la fracción X, del artículo 36, de la Ley de Transparencia y Acceso a la Información Pública del Estado de México y Municipios, que establece:</w:t>
      </w:r>
    </w:p>
    <w:p w14:paraId="7283616F" w14:textId="77777777" w:rsidR="007C5C6D" w:rsidRPr="001D06B6" w:rsidRDefault="007C5C6D" w:rsidP="001D06B6">
      <w:pPr>
        <w:spacing w:before="240" w:after="240" w:line="360" w:lineRule="auto"/>
        <w:contextualSpacing/>
        <w:jc w:val="both"/>
        <w:rPr>
          <w:rFonts w:ascii="Palatino Linotype" w:hAnsi="Palatino Linotype"/>
          <w:lang w:val="es-ES_tradnl"/>
        </w:rPr>
      </w:pPr>
    </w:p>
    <w:p w14:paraId="353DDD34" w14:textId="77777777" w:rsidR="007C5C6D" w:rsidRPr="001D06B6" w:rsidRDefault="007C5C6D" w:rsidP="001D06B6">
      <w:pPr>
        <w:spacing w:line="360" w:lineRule="auto"/>
        <w:ind w:left="567" w:right="567"/>
        <w:contextualSpacing/>
        <w:jc w:val="both"/>
        <w:rPr>
          <w:rFonts w:ascii="Palatino Linotype" w:hAnsi="Palatino Linotype"/>
          <w:i/>
          <w:lang w:val="es-ES_tradnl"/>
        </w:rPr>
      </w:pPr>
      <w:r w:rsidRPr="001D06B6">
        <w:rPr>
          <w:rFonts w:ascii="Palatino Linotype" w:hAnsi="Palatino Linotype"/>
          <w:i/>
          <w:lang w:val="es-ES_tradnl"/>
        </w:rPr>
        <w:t>“</w:t>
      </w:r>
      <w:r w:rsidRPr="001D06B6">
        <w:rPr>
          <w:rFonts w:ascii="Palatino Linotype" w:hAnsi="Palatino Linotype"/>
          <w:b/>
          <w:i/>
          <w:lang w:val="es-ES_tradnl"/>
        </w:rPr>
        <w:t>Artículo 36.</w:t>
      </w:r>
      <w:r w:rsidRPr="001D06B6">
        <w:rPr>
          <w:rFonts w:ascii="Palatino Linotype" w:hAnsi="Palatino Linotype"/>
          <w:i/>
          <w:lang w:val="es-ES_tradnl"/>
        </w:rPr>
        <w:t xml:space="preserve"> El Instituto tendrá, en el ámbito de su competencia, las siguientes atribuciones:</w:t>
      </w:r>
    </w:p>
    <w:p w14:paraId="215BF3BA" w14:textId="77777777" w:rsidR="007C5C6D" w:rsidRPr="001D06B6" w:rsidRDefault="007C5C6D" w:rsidP="001D06B6">
      <w:pPr>
        <w:spacing w:line="360" w:lineRule="auto"/>
        <w:ind w:left="567" w:right="567"/>
        <w:contextualSpacing/>
        <w:jc w:val="both"/>
        <w:rPr>
          <w:rFonts w:ascii="Palatino Linotype" w:hAnsi="Palatino Linotype"/>
          <w:i/>
          <w:lang w:val="es-ES_tradnl"/>
        </w:rPr>
      </w:pPr>
      <w:r w:rsidRPr="001D06B6">
        <w:rPr>
          <w:rFonts w:ascii="Palatino Linotype" w:hAnsi="Palatino Linotype"/>
          <w:i/>
          <w:lang w:val="es-ES_tradnl"/>
        </w:rPr>
        <w:t>(…)</w:t>
      </w:r>
    </w:p>
    <w:p w14:paraId="5FA1E642" w14:textId="77777777" w:rsidR="007C5C6D" w:rsidRPr="001D06B6" w:rsidRDefault="007C5C6D" w:rsidP="001D06B6">
      <w:pPr>
        <w:spacing w:line="360" w:lineRule="auto"/>
        <w:ind w:left="567" w:right="567"/>
        <w:contextualSpacing/>
        <w:jc w:val="both"/>
        <w:rPr>
          <w:rFonts w:ascii="Palatino Linotype" w:hAnsi="Palatino Linotype"/>
          <w:i/>
          <w:lang w:val="es-ES_tradnl"/>
        </w:rPr>
      </w:pPr>
      <w:r w:rsidRPr="001D06B6">
        <w:rPr>
          <w:rFonts w:ascii="Palatino Linotype" w:hAnsi="Palatino Linotype"/>
          <w:i/>
          <w:lang w:val="es-ES_tradnl"/>
        </w:rPr>
        <w:lastRenderedPageBreak/>
        <w:t>X. Hacer del conocimiento del órgano de control interno o equivalente de cada Sujeto Obligado las infracciones a esta Ley; “</w:t>
      </w:r>
    </w:p>
    <w:p w14:paraId="610B5AF3" w14:textId="77777777" w:rsidR="007C5C6D" w:rsidRPr="001D06B6" w:rsidRDefault="007C5C6D" w:rsidP="001D06B6">
      <w:pPr>
        <w:spacing w:line="360" w:lineRule="auto"/>
        <w:ind w:left="567" w:right="567"/>
        <w:contextualSpacing/>
        <w:jc w:val="both"/>
        <w:rPr>
          <w:rFonts w:ascii="Palatino Linotype" w:hAnsi="Palatino Linotype"/>
          <w:i/>
          <w:lang w:val="es-ES_tradnl"/>
        </w:rPr>
      </w:pPr>
      <w:r w:rsidRPr="001D06B6">
        <w:rPr>
          <w:rFonts w:ascii="Palatino Linotype" w:hAnsi="Palatino Linotype"/>
          <w:i/>
          <w:lang w:val="es-ES_tradnl"/>
        </w:rPr>
        <w:t>(…)”</w:t>
      </w:r>
    </w:p>
    <w:p w14:paraId="0BAD087A" w14:textId="77777777" w:rsidR="007C5C6D" w:rsidRPr="001D06B6" w:rsidRDefault="007C5C6D" w:rsidP="001D06B6">
      <w:pPr>
        <w:spacing w:line="360" w:lineRule="auto"/>
        <w:ind w:left="567" w:right="567"/>
        <w:contextualSpacing/>
        <w:jc w:val="both"/>
        <w:rPr>
          <w:rFonts w:ascii="Palatino Linotype" w:hAnsi="Palatino Linotype"/>
          <w:i/>
          <w:lang w:val="es-ES_tradnl"/>
        </w:rPr>
      </w:pPr>
    </w:p>
    <w:p w14:paraId="082AEEE4" w14:textId="77777777" w:rsidR="007C5C6D" w:rsidRPr="001D06B6" w:rsidRDefault="007C5C6D" w:rsidP="001D06B6">
      <w:pPr>
        <w:spacing w:line="360" w:lineRule="auto"/>
        <w:ind w:left="567" w:right="567"/>
        <w:contextualSpacing/>
        <w:jc w:val="both"/>
        <w:rPr>
          <w:rFonts w:ascii="Palatino Linotype" w:hAnsi="Palatino Linotype"/>
          <w:b/>
          <w:i/>
          <w:lang w:val="es-ES_tradnl"/>
        </w:rPr>
      </w:pPr>
      <w:r w:rsidRPr="001D06B6">
        <w:rPr>
          <w:rFonts w:ascii="Palatino Linotype" w:hAnsi="Palatino Linotype"/>
          <w:b/>
          <w:i/>
          <w:lang w:val="es-ES_tradnl"/>
        </w:rPr>
        <w:t>(Énfasis Añadido)</w:t>
      </w:r>
    </w:p>
    <w:p w14:paraId="721B47A3" w14:textId="77777777" w:rsidR="007C5C6D" w:rsidRPr="001D06B6" w:rsidRDefault="007C5C6D" w:rsidP="001D06B6">
      <w:pPr>
        <w:spacing w:before="240" w:after="240" w:line="360" w:lineRule="auto"/>
        <w:contextualSpacing/>
        <w:jc w:val="both"/>
        <w:rPr>
          <w:rFonts w:ascii="Palatino Linotype" w:eastAsia="MS Mincho" w:hAnsi="Palatino Linotype" w:cs="Arial"/>
          <w:lang w:val="es-ES_tradnl"/>
        </w:rPr>
      </w:pPr>
    </w:p>
    <w:p w14:paraId="1B983BDE" w14:textId="77777777" w:rsidR="007C5C6D" w:rsidRPr="001D06B6" w:rsidRDefault="007C5C6D" w:rsidP="001D06B6">
      <w:pPr>
        <w:numPr>
          <w:ilvl w:val="0"/>
          <w:numId w:val="2"/>
        </w:numPr>
        <w:spacing w:before="240" w:after="240" w:line="360" w:lineRule="auto"/>
        <w:ind w:left="0" w:firstLine="0"/>
        <w:contextualSpacing/>
        <w:jc w:val="both"/>
        <w:rPr>
          <w:rFonts w:ascii="Palatino Linotype" w:eastAsia="MS Mincho" w:hAnsi="Palatino Linotype" w:cs="Arial"/>
          <w:lang w:val="es-ES_tradnl"/>
        </w:rPr>
      </w:pPr>
      <w:r w:rsidRPr="001D06B6">
        <w:rPr>
          <w:rFonts w:ascii="Palatino Linotype" w:hAnsi="Palatino Linotype"/>
          <w:lang w:val="es-ES_tradnl"/>
        </w:rPr>
        <w:t xml:space="preserve">Asimismo, este Pleno hará del conocimiento del órgano de control de este Instituto de las infracciones en que el </w:t>
      </w:r>
      <w:r w:rsidRPr="001D06B6">
        <w:rPr>
          <w:rFonts w:ascii="Palatino Linotype" w:hAnsi="Palatino Linotype"/>
          <w:b/>
          <w:lang w:val="es-ES_tradnl"/>
        </w:rPr>
        <w:t>SUJETO OBLIGADO</w:t>
      </w:r>
      <w:r w:rsidRPr="001D06B6">
        <w:rPr>
          <w:rFonts w:ascii="Palatino Linotype" w:hAnsi="Palatino Linotype"/>
          <w:lang w:val="es-ES_tradnl"/>
        </w:rPr>
        <w:t xml:space="preserve"> incurrió, lo cual se encuentra previsto </w:t>
      </w:r>
      <w:r w:rsidRPr="001D06B6">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3A3D6CAB" w14:textId="77777777" w:rsidR="007C5C6D" w:rsidRPr="001D06B6" w:rsidRDefault="007C5C6D" w:rsidP="001D06B6">
      <w:pPr>
        <w:spacing w:before="240" w:after="240" w:line="360" w:lineRule="auto"/>
        <w:contextualSpacing/>
        <w:jc w:val="both"/>
        <w:rPr>
          <w:rFonts w:ascii="Palatino Linotype" w:eastAsia="MS Mincho" w:hAnsi="Palatino Linotype" w:cs="Arial"/>
          <w:lang w:val="es-ES_tradnl"/>
        </w:rPr>
      </w:pPr>
    </w:p>
    <w:p w14:paraId="617EBEBA" w14:textId="77777777" w:rsidR="007C5C6D" w:rsidRPr="001D06B6" w:rsidRDefault="007C5C6D" w:rsidP="001D06B6">
      <w:pPr>
        <w:spacing w:line="360" w:lineRule="auto"/>
        <w:ind w:left="567" w:right="567"/>
        <w:contextualSpacing/>
        <w:jc w:val="both"/>
        <w:rPr>
          <w:rFonts w:ascii="Palatino Linotype" w:hAnsi="Palatino Linotype"/>
          <w:i/>
          <w:lang w:val="es-ES_tradnl"/>
        </w:rPr>
      </w:pPr>
      <w:r w:rsidRPr="001D06B6">
        <w:rPr>
          <w:rFonts w:ascii="Palatino Linotype" w:hAnsi="Palatino Linotype"/>
          <w:i/>
          <w:lang w:val="es-ES_tradnl"/>
        </w:rPr>
        <w:t>“</w:t>
      </w:r>
      <w:bookmarkStart w:id="24" w:name="_GoBack"/>
      <w:r w:rsidRPr="001D06B6">
        <w:rPr>
          <w:rFonts w:ascii="Palatino Linotype" w:hAnsi="Palatino Linotype"/>
          <w:b/>
          <w:i/>
          <w:lang w:val="es-ES_tradnl"/>
        </w:rPr>
        <w:t>Artículo 1</w:t>
      </w:r>
      <w:bookmarkEnd w:id="24"/>
      <w:r w:rsidRPr="001D06B6">
        <w:rPr>
          <w:rFonts w:ascii="Palatino Linotype" w:hAnsi="Palatino Linotype"/>
          <w:b/>
          <w:i/>
          <w:lang w:val="es-ES_tradnl"/>
        </w:rPr>
        <w:t>90.</w:t>
      </w:r>
      <w:r w:rsidRPr="001D06B6">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67C0E8" w14:textId="77777777" w:rsidR="007C5C6D" w:rsidRPr="001D06B6" w:rsidRDefault="007C5C6D" w:rsidP="001D06B6">
      <w:pPr>
        <w:spacing w:line="360" w:lineRule="auto"/>
        <w:ind w:left="567" w:right="567"/>
        <w:contextualSpacing/>
        <w:jc w:val="both"/>
        <w:rPr>
          <w:rFonts w:ascii="Palatino Linotype" w:eastAsiaTheme="minorEastAsia" w:hAnsi="Palatino Linotype"/>
          <w:i/>
          <w:lang w:val="es-ES_tradnl"/>
        </w:rPr>
      </w:pPr>
      <w:r w:rsidRPr="001D06B6">
        <w:rPr>
          <w:rFonts w:ascii="Palatino Linotype" w:hAnsi="Palatino Linotype"/>
          <w:i/>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D06B6">
        <w:rPr>
          <w:rFonts w:ascii="Palatino Linotype" w:eastAsiaTheme="minorEastAsia" w:hAnsi="Palatino Linotype"/>
          <w:i/>
          <w:lang w:val="es-ES_tradnl"/>
        </w:rPr>
        <w:t xml:space="preserve"> (De Acuerdo al Decreto N°207, Publicado el 30 de mayo de 2017)</w:t>
      </w:r>
    </w:p>
    <w:p w14:paraId="65606E3A" w14:textId="77777777" w:rsidR="007C5C6D" w:rsidRPr="001D06B6" w:rsidRDefault="007C5C6D" w:rsidP="001D06B6">
      <w:pPr>
        <w:spacing w:line="360" w:lineRule="auto"/>
        <w:ind w:left="567" w:right="567"/>
        <w:contextualSpacing/>
        <w:jc w:val="both"/>
        <w:rPr>
          <w:rFonts w:ascii="Palatino Linotype" w:eastAsiaTheme="minorEastAsia" w:hAnsi="Palatino Linotype"/>
          <w:i/>
          <w:lang w:val="es-ES_tradnl"/>
        </w:rPr>
      </w:pPr>
      <w:r w:rsidRPr="001D06B6">
        <w:rPr>
          <w:rFonts w:ascii="Palatino Linotype" w:eastAsiaTheme="minorEastAsia" w:hAnsi="Palatino Linotype"/>
          <w:i/>
          <w:lang w:val="es-ES_tradnl"/>
        </w:rPr>
        <w:t>(…)”</w:t>
      </w:r>
    </w:p>
    <w:p w14:paraId="3F71A121" w14:textId="77777777" w:rsidR="007C5C6D" w:rsidRPr="001D06B6" w:rsidRDefault="007C5C6D" w:rsidP="001D06B6">
      <w:pPr>
        <w:spacing w:line="360" w:lineRule="auto"/>
        <w:ind w:right="567"/>
        <w:contextualSpacing/>
        <w:jc w:val="both"/>
        <w:rPr>
          <w:rFonts w:ascii="Palatino Linotype" w:eastAsiaTheme="minorEastAsia" w:hAnsi="Palatino Linotype"/>
          <w:i/>
          <w:lang w:val="es-ES_tradnl"/>
        </w:rPr>
      </w:pPr>
    </w:p>
    <w:p w14:paraId="053F44B6" w14:textId="77777777" w:rsidR="007C5C6D" w:rsidRPr="001D06B6" w:rsidRDefault="007C5C6D" w:rsidP="001D06B6">
      <w:pPr>
        <w:spacing w:line="360" w:lineRule="auto"/>
        <w:ind w:left="567" w:right="567"/>
        <w:contextualSpacing/>
        <w:jc w:val="both"/>
        <w:rPr>
          <w:rFonts w:ascii="Palatino Linotype" w:eastAsiaTheme="minorEastAsia" w:hAnsi="Palatino Linotype"/>
          <w:b/>
          <w:i/>
          <w:lang w:val="es-ES_tradnl"/>
        </w:rPr>
      </w:pPr>
      <w:r w:rsidRPr="001D06B6">
        <w:rPr>
          <w:rFonts w:ascii="Palatino Linotype" w:eastAsiaTheme="minorEastAsia" w:hAnsi="Palatino Linotype"/>
          <w:b/>
          <w:i/>
          <w:lang w:val="es-ES_tradnl"/>
        </w:rPr>
        <w:t>(Énfasis Añadido)</w:t>
      </w:r>
    </w:p>
    <w:p w14:paraId="673BA5CC" w14:textId="77777777" w:rsidR="007C5C6D" w:rsidRPr="001D06B6" w:rsidRDefault="007C5C6D" w:rsidP="001D06B6">
      <w:pPr>
        <w:spacing w:line="360" w:lineRule="auto"/>
        <w:ind w:right="567"/>
        <w:contextualSpacing/>
        <w:jc w:val="both"/>
        <w:rPr>
          <w:rFonts w:ascii="Palatino Linotype" w:eastAsiaTheme="minorEastAsia" w:hAnsi="Palatino Linotype"/>
          <w:b/>
          <w:i/>
          <w:lang w:val="es-ES_tradnl"/>
        </w:rPr>
      </w:pPr>
    </w:p>
    <w:p w14:paraId="76547F56" w14:textId="5501CDB4" w:rsidR="007C5C6D" w:rsidRPr="001D06B6" w:rsidRDefault="007C5C6D" w:rsidP="001D06B6">
      <w:pPr>
        <w:numPr>
          <w:ilvl w:val="0"/>
          <w:numId w:val="2"/>
        </w:numPr>
        <w:spacing w:after="120" w:line="360" w:lineRule="auto"/>
        <w:ind w:left="0" w:right="49" w:firstLine="0"/>
        <w:contextualSpacing/>
        <w:jc w:val="both"/>
        <w:rPr>
          <w:rFonts w:ascii="Palatino Linotype" w:eastAsiaTheme="minorEastAsia" w:hAnsi="Palatino Linotype" w:cs="Arial"/>
          <w:lang w:val="es-ES_tradnl"/>
        </w:rPr>
      </w:pPr>
      <w:r w:rsidRPr="001D06B6">
        <w:rPr>
          <w:rFonts w:ascii="Palatino Linotype" w:eastAsiaTheme="minorEastAsia" w:hAnsi="Palatino Linotype" w:cs="Arial"/>
          <w:lang w:val="es-ES_tradnl"/>
        </w:rPr>
        <w:t>En consecuencia el recurso de revisión consiste en una garantía secundaria</w:t>
      </w:r>
      <w:r w:rsidRPr="001D06B6">
        <w:rPr>
          <w:rFonts w:ascii="Palatino Linotype" w:eastAsiaTheme="minorEastAsia" w:hAnsi="Palatino Linotype" w:cs="Arial"/>
          <w:i/>
          <w:lang w:val="es-ES_tradnl"/>
        </w:rPr>
        <w:t xml:space="preserve"> de la anulabilidad de los actos inválidos y de la responsabilidad de los actos ilícitos, que constituyen las desobediencias de sus garantías primarias</w:t>
      </w:r>
      <w:r w:rsidRPr="001D06B6">
        <w:rPr>
          <w:rFonts w:ascii="Palatino Linotype" w:eastAsiaTheme="minorEastAsia" w:hAnsi="Palatino Linotype" w:cs="Arial"/>
          <w:vertAlign w:val="superscript"/>
          <w:lang w:val="es-ES_tradnl"/>
        </w:rPr>
        <w:footnoteReference w:id="2"/>
      </w:r>
      <w:r w:rsidRPr="001D06B6">
        <w:rPr>
          <w:rFonts w:ascii="Palatino Linotype" w:eastAsiaTheme="minorEastAsia" w:hAnsi="Palatino Linotype" w:cs="Arial"/>
          <w:lang w:val="es-ES_tradnl"/>
        </w:rPr>
        <w:t xml:space="preserve">  , esto refiere que, ante la falta de respuesta por parte del </w:t>
      </w:r>
      <w:r w:rsidRPr="001D06B6">
        <w:rPr>
          <w:rFonts w:ascii="Palatino Linotype" w:eastAsiaTheme="minorEastAsia" w:hAnsi="Palatino Linotype" w:cs="Arial"/>
          <w:b/>
          <w:lang w:val="es-ES_tradnl"/>
        </w:rPr>
        <w:t>SUJETO OBLIGADO</w:t>
      </w:r>
      <w:r w:rsidRPr="001D06B6">
        <w:rPr>
          <w:rFonts w:ascii="Palatino Linotype" w:eastAsiaTheme="minorEastAsia" w:hAnsi="Palatino Linotype" w:cs="Arial"/>
          <w:lang w:val="es-ES_tradnl"/>
        </w:rPr>
        <w:t xml:space="preserve">, </w:t>
      </w:r>
      <w:r w:rsidR="00F0395A" w:rsidRPr="001D06B6">
        <w:rPr>
          <w:rFonts w:ascii="Palatino Linotype" w:eastAsiaTheme="minorEastAsia" w:hAnsi="Palatino Linotype" w:cs="Arial"/>
          <w:lang w:val="es-ES_tradnl"/>
        </w:rPr>
        <w:t>el</w:t>
      </w:r>
      <w:r w:rsidRPr="001D06B6">
        <w:rPr>
          <w:rFonts w:ascii="Palatino Linotype" w:eastAsiaTheme="minorEastAsia" w:hAnsi="Palatino Linotype" w:cs="Arial"/>
          <w:lang w:val="es-ES_tradnl"/>
        </w:rPr>
        <w:t xml:space="preserve"> </w:t>
      </w:r>
      <w:r w:rsidRPr="001D06B6">
        <w:rPr>
          <w:rFonts w:ascii="Palatino Linotype" w:eastAsiaTheme="minorEastAsia" w:hAnsi="Palatino Linotype" w:cs="Arial"/>
          <w:b/>
          <w:lang w:val="es-ES_tradnl"/>
        </w:rPr>
        <w:t>RECURRENTE</w:t>
      </w:r>
      <w:r w:rsidRPr="001D06B6">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2C36887B" w14:textId="77777777" w:rsidR="00F0395A" w:rsidRPr="001D06B6" w:rsidRDefault="00F0395A" w:rsidP="001D06B6">
      <w:pPr>
        <w:spacing w:after="120" w:line="360" w:lineRule="auto"/>
        <w:ind w:right="49"/>
        <w:contextualSpacing/>
        <w:jc w:val="both"/>
        <w:rPr>
          <w:rFonts w:ascii="Palatino Linotype" w:eastAsiaTheme="minorEastAsia" w:hAnsi="Palatino Linotype" w:cs="Arial"/>
          <w:lang w:val="es-ES_tradnl"/>
        </w:rPr>
      </w:pPr>
    </w:p>
    <w:p w14:paraId="6176136A" w14:textId="5AF37536" w:rsidR="00F0395A" w:rsidRPr="001D06B6" w:rsidRDefault="00F0395A" w:rsidP="001D06B6">
      <w:pPr>
        <w:numPr>
          <w:ilvl w:val="0"/>
          <w:numId w:val="2"/>
        </w:numPr>
        <w:spacing w:after="120" w:line="360" w:lineRule="auto"/>
        <w:ind w:left="0" w:right="49" w:firstLine="0"/>
        <w:contextualSpacing/>
        <w:jc w:val="both"/>
        <w:rPr>
          <w:rFonts w:ascii="Palatino Linotype" w:eastAsiaTheme="minorEastAsia" w:hAnsi="Palatino Linotype" w:cs="Arial"/>
          <w:lang w:val="es-ES_tradnl"/>
        </w:rPr>
      </w:pPr>
      <w:r w:rsidRPr="001D06B6">
        <w:rPr>
          <w:rFonts w:ascii="Palatino Linotype" w:eastAsiaTheme="minorEastAsia" w:hAnsi="Palatino Linotype" w:cs="Arial"/>
          <w:lang w:val="es-ES_tradnl"/>
        </w:rPr>
        <w:t xml:space="preserve">Por lo anteriormente expuesto y fundado, este </w:t>
      </w:r>
      <w:r w:rsidRPr="001D06B6">
        <w:rPr>
          <w:rFonts w:ascii="Palatino Linotype" w:eastAsiaTheme="minorEastAsia" w:hAnsi="Palatino Linotype" w:cs="Arial"/>
          <w:b/>
          <w:lang w:val="es-ES_tradnl"/>
        </w:rPr>
        <w:t>ÓRGANO GARANTE</w:t>
      </w:r>
      <w:r w:rsidRPr="001D06B6">
        <w:rPr>
          <w:rFonts w:ascii="Palatino Linotype" w:eastAsiaTheme="minorEastAsia" w:hAnsi="Palatino Linotype" w:cs="Arial"/>
          <w:lang w:val="es-ES_tradnl"/>
        </w:rPr>
        <w:t xml:space="preserve"> emite los siguientes:</w:t>
      </w:r>
    </w:p>
    <w:p w14:paraId="4AADDE7E" w14:textId="77777777" w:rsidR="007C5C6D" w:rsidRPr="001D06B6" w:rsidRDefault="007C5C6D" w:rsidP="001D06B6">
      <w:pPr>
        <w:keepNext/>
        <w:keepLines/>
        <w:spacing w:before="240" w:line="360" w:lineRule="auto"/>
        <w:jc w:val="center"/>
        <w:outlineLvl w:val="0"/>
        <w:rPr>
          <w:rFonts w:ascii="Palatino Linotype" w:eastAsia="Calibri" w:hAnsi="Palatino Linotype" w:cstheme="majorBidi"/>
        </w:rPr>
      </w:pPr>
      <w:bookmarkStart w:id="25" w:name="_Toc524344198"/>
      <w:bookmarkStart w:id="26" w:name="_Toc526271203"/>
      <w:bookmarkStart w:id="27" w:name="_Toc536106982"/>
      <w:bookmarkStart w:id="28" w:name="_Toc86251425"/>
      <w:r w:rsidRPr="001D06B6">
        <w:rPr>
          <w:rFonts w:ascii="Palatino Linotype" w:eastAsia="Calibri" w:hAnsi="Palatino Linotype" w:cstheme="majorBidi"/>
          <w:b/>
        </w:rPr>
        <w:t>R E S O L U T I V O S</w:t>
      </w:r>
      <w:bookmarkEnd w:id="25"/>
      <w:bookmarkEnd w:id="26"/>
      <w:bookmarkEnd w:id="27"/>
      <w:bookmarkEnd w:id="28"/>
      <w:r w:rsidRPr="001D06B6">
        <w:rPr>
          <w:rFonts w:ascii="Palatino Linotype" w:eastAsia="Calibri" w:hAnsi="Palatino Linotype" w:cstheme="majorBidi"/>
          <w:b/>
        </w:rPr>
        <w:t xml:space="preserve"> </w:t>
      </w:r>
    </w:p>
    <w:p w14:paraId="0B3D5E9E" w14:textId="77777777" w:rsidR="007C5C6D" w:rsidRPr="001D06B6" w:rsidRDefault="007C5C6D" w:rsidP="001D06B6">
      <w:pPr>
        <w:spacing w:line="360" w:lineRule="auto"/>
        <w:rPr>
          <w:rFonts w:ascii="Palatino Linotype" w:eastAsiaTheme="minorEastAsia" w:hAnsi="Palatino Linotype"/>
        </w:rPr>
      </w:pPr>
    </w:p>
    <w:p w14:paraId="4C639AE1" w14:textId="5E0A6D7A" w:rsidR="007C5C6D" w:rsidRPr="001D06B6" w:rsidRDefault="007C5C6D" w:rsidP="001D06B6">
      <w:pPr>
        <w:spacing w:line="360" w:lineRule="auto"/>
        <w:jc w:val="both"/>
        <w:rPr>
          <w:rFonts w:ascii="Palatino Linotype" w:eastAsiaTheme="minorEastAsia" w:hAnsi="Palatino Linotype" w:cs="Arial"/>
          <w:bCs/>
          <w:lang w:val="es-ES_tradnl"/>
        </w:rPr>
      </w:pPr>
      <w:r w:rsidRPr="001D06B6">
        <w:rPr>
          <w:rFonts w:ascii="Palatino Linotype" w:hAnsi="Palatino Linotype" w:cs="Arial"/>
          <w:b/>
          <w:lang w:val="es-ES_tradnl"/>
        </w:rPr>
        <w:t xml:space="preserve">PRIMERO. </w:t>
      </w:r>
      <w:r w:rsidRPr="001D06B6">
        <w:rPr>
          <w:rFonts w:ascii="Palatino Linotype" w:hAnsi="Palatino Linotype" w:cs="Arial"/>
          <w:lang w:val="es-ES_tradnl"/>
        </w:rPr>
        <w:t>Resultan fundadas las</w:t>
      </w:r>
      <w:r w:rsidRPr="001D06B6">
        <w:rPr>
          <w:rFonts w:ascii="Palatino Linotype" w:hAnsi="Palatino Linotype" w:cs="Arial"/>
          <w:b/>
          <w:lang w:val="es-ES_tradnl"/>
        </w:rPr>
        <w:t xml:space="preserve"> </w:t>
      </w:r>
      <w:r w:rsidRPr="001D06B6">
        <w:rPr>
          <w:rFonts w:ascii="Palatino Linotype" w:hAnsi="Palatino Linotype" w:cs="Arial"/>
        </w:rPr>
        <w:t>razones y motivos de inconformidad hechos valer en el recurso de revisión</w:t>
      </w:r>
      <w:r w:rsidRPr="001D06B6">
        <w:rPr>
          <w:rFonts w:ascii="Palatino Linotype" w:hAnsi="Palatino Linotype" w:cs="Arial"/>
          <w:b/>
          <w:bCs/>
          <w:lang w:val="es-ES_tradnl"/>
        </w:rPr>
        <w:t xml:space="preserve"> </w:t>
      </w:r>
      <w:r w:rsidR="00B239ED" w:rsidRPr="001D06B6">
        <w:rPr>
          <w:rFonts w:ascii="Palatino Linotype" w:hAnsi="Palatino Linotype"/>
          <w:b/>
        </w:rPr>
        <w:t>00518/INFOEM/IP/RR/2023</w:t>
      </w:r>
      <w:r w:rsidR="00B239ED">
        <w:rPr>
          <w:rFonts w:ascii="Palatino Linotype" w:hAnsi="Palatino Linotype"/>
          <w:b/>
        </w:rPr>
        <w:t xml:space="preserve"> </w:t>
      </w:r>
      <w:r w:rsidRPr="001D06B6">
        <w:rPr>
          <w:rFonts w:ascii="Palatino Linotype" w:eastAsiaTheme="minorHAnsi" w:hAnsi="Palatino Linotype" w:cs="AppleSystemUIFontBold"/>
          <w:bCs/>
          <w:lang w:val="es-ES_tradnl" w:eastAsia="en-US"/>
        </w:rPr>
        <w:t xml:space="preserve">en </w:t>
      </w:r>
      <w:r w:rsidRPr="001D06B6">
        <w:rPr>
          <w:rFonts w:ascii="Palatino Linotype" w:eastAsiaTheme="minorEastAsia" w:hAnsi="Palatino Linotype" w:cs="Arial"/>
          <w:bCs/>
          <w:lang w:val="es-ES_tradnl"/>
        </w:rPr>
        <w:t xml:space="preserve">términos del </w:t>
      </w:r>
      <w:r w:rsidRPr="001D06B6">
        <w:rPr>
          <w:rFonts w:ascii="Palatino Linotype" w:eastAsiaTheme="minorEastAsia" w:hAnsi="Palatino Linotype" w:cs="Arial"/>
          <w:b/>
          <w:bCs/>
          <w:lang w:val="es-ES_tradnl"/>
        </w:rPr>
        <w:t>Considerando CUARTO</w:t>
      </w:r>
      <w:r w:rsidR="00DE5096">
        <w:rPr>
          <w:rFonts w:ascii="Palatino Linotype" w:eastAsiaTheme="minorEastAsia" w:hAnsi="Palatino Linotype" w:cs="Arial"/>
          <w:b/>
          <w:bCs/>
          <w:lang w:val="es-ES_tradnl"/>
        </w:rPr>
        <w:t xml:space="preserve"> y QUINTO</w:t>
      </w:r>
      <w:r w:rsidRPr="001D06B6">
        <w:rPr>
          <w:rFonts w:ascii="Palatino Linotype" w:eastAsiaTheme="minorEastAsia" w:hAnsi="Palatino Linotype" w:cs="Arial"/>
          <w:b/>
          <w:bCs/>
          <w:lang w:val="es-ES_tradnl"/>
        </w:rPr>
        <w:t xml:space="preserve"> </w:t>
      </w:r>
      <w:r w:rsidRPr="001D06B6">
        <w:rPr>
          <w:rFonts w:ascii="Palatino Linotype" w:eastAsiaTheme="minorEastAsia" w:hAnsi="Palatino Linotype" w:cs="Arial"/>
          <w:bCs/>
          <w:lang w:val="es-ES_tradnl"/>
        </w:rPr>
        <w:t>de la presente resolución.</w:t>
      </w:r>
    </w:p>
    <w:p w14:paraId="24398E85" w14:textId="77777777" w:rsidR="007C5C6D" w:rsidRPr="001D06B6" w:rsidRDefault="007C5C6D" w:rsidP="001D06B6">
      <w:pPr>
        <w:spacing w:line="360" w:lineRule="auto"/>
        <w:jc w:val="both"/>
        <w:rPr>
          <w:rFonts w:ascii="Palatino Linotype" w:eastAsiaTheme="minorEastAsia" w:hAnsi="Palatino Linotype" w:cs="Arial"/>
          <w:bCs/>
          <w:lang w:val="es-ES_tradnl"/>
        </w:rPr>
      </w:pPr>
    </w:p>
    <w:p w14:paraId="34A98F70" w14:textId="7D916C87" w:rsidR="00944EA3" w:rsidRDefault="007C5C6D" w:rsidP="001D06B6">
      <w:pPr>
        <w:spacing w:line="360" w:lineRule="auto"/>
        <w:jc w:val="both"/>
        <w:rPr>
          <w:rFonts w:ascii="Palatino Linotype" w:hAnsi="Palatino Linotype"/>
        </w:rPr>
      </w:pPr>
      <w:r w:rsidRPr="001D06B6">
        <w:rPr>
          <w:rFonts w:ascii="Palatino Linotype" w:eastAsia="Calibri" w:hAnsi="Palatino Linotype" w:cs="Arial"/>
          <w:b/>
          <w:bCs/>
        </w:rPr>
        <w:t xml:space="preserve">SEGUNDO. </w:t>
      </w:r>
      <w:r w:rsidRPr="001D06B6">
        <w:rPr>
          <w:rFonts w:ascii="Palatino Linotype" w:eastAsia="Calibri" w:hAnsi="Palatino Linotype" w:cs="Arial"/>
        </w:rPr>
        <w:t xml:space="preserve">Se </w:t>
      </w:r>
      <w:r w:rsidR="00944EA3" w:rsidRPr="001D06B6">
        <w:rPr>
          <w:rFonts w:ascii="Palatino Linotype" w:eastAsia="Calibri" w:hAnsi="Palatino Linotype" w:cs="Arial"/>
          <w:b/>
        </w:rPr>
        <w:t xml:space="preserve">ORDENA al </w:t>
      </w:r>
      <w:r w:rsidR="00F0395A" w:rsidRPr="001D06B6">
        <w:rPr>
          <w:rFonts w:ascii="Palatino Linotype" w:hAnsi="Palatino Linotype"/>
          <w:b/>
          <w:color w:val="000000" w:themeColor="text1"/>
        </w:rPr>
        <w:t>Ayuntamiento de Zinacantepec</w:t>
      </w:r>
      <w:r w:rsidRPr="001D06B6">
        <w:rPr>
          <w:rFonts w:ascii="Palatino Linotype" w:hAnsi="Palatino Linotype"/>
          <w:b/>
          <w:color w:val="000000" w:themeColor="text1"/>
        </w:rPr>
        <w:t xml:space="preserve"> </w:t>
      </w:r>
      <w:r w:rsidRPr="001D06B6">
        <w:rPr>
          <w:rFonts w:ascii="Palatino Linotype" w:eastAsia="Calibri" w:hAnsi="Palatino Linotype" w:cs="Arial"/>
        </w:rPr>
        <w:t>dar atención a la solicitud de información</w:t>
      </w:r>
      <w:r w:rsidRPr="001D06B6">
        <w:rPr>
          <w:rFonts w:ascii="Palatino Linotype" w:hAnsi="Palatino Linotype"/>
        </w:rPr>
        <w:t xml:space="preserve"> </w:t>
      </w:r>
      <w:r w:rsidR="00B239ED" w:rsidRPr="001D06B6">
        <w:rPr>
          <w:rFonts w:ascii="Palatino Linotype" w:eastAsiaTheme="minorHAnsi" w:hAnsi="Palatino Linotype" w:cs="AppleSystemUIFontBold"/>
          <w:b/>
          <w:bCs/>
          <w:lang w:val="es-ES_tradnl" w:eastAsia="en-US"/>
        </w:rPr>
        <w:t>01445/ZINACANT/IP/2022</w:t>
      </w:r>
      <w:r w:rsidR="00974033">
        <w:rPr>
          <w:rFonts w:ascii="Palatino Linotype" w:eastAsia="Calibri" w:hAnsi="Palatino Linotype" w:cs="Arial"/>
        </w:rPr>
        <w:t>, entregar la in</w:t>
      </w:r>
      <w:r w:rsidRPr="001D06B6">
        <w:rPr>
          <w:rFonts w:ascii="Palatino Linotype" w:eastAsia="Calibri" w:hAnsi="Palatino Linotype" w:cs="Arial"/>
        </w:rPr>
        <w:t xml:space="preserve">formación </w:t>
      </w:r>
      <w:r w:rsidRPr="001D06B6">
        <w:rPr>
          <w:rFonts w:ascii="Palatino Linotype" w:hAnsi="Palatino Linotype" w:cs="Arial"/>
        </w:rPr>
        <w:t xml:space="preserve">vía </w:t>
      </w:r>
      <w:r w:rsidRPr="001D06B6">
        <w:rPr>
          <w:rFonts w:ascii="Palatino Linotype" w:hAnsi="Palatino Linotype" w:cs="Arial"/>
        </w:rPr>
        <w:lastRenderedPageBreak/>
        <w:t xml:space="preserve">Sistema de Acceso a Información Mexiquense </w:t>
      </w:r>
      <w:r w:rsidR="00944EA3" w:rsidRPr="001D06B6">
        <w:rPr>
          <w:rFonts w:ascii="Palatino Linotype" w:hAnsi="Palatino Linotype" w:cs="Arial"/>
          <w:b/>
        </w:rPr>
        <w:t xml:space="preserve">(SAIMEX), </w:t>
      </w:r>
      <w:r w:rsidR="00DE5096" w:rsidRPr="00DE5096">
        <w:rPr>
          <w:rFonts w:ascii="Palatino Linotype" w:hAnsi="Palatino Linotype" w:cs="Arial"/>
          <w:lang w:eastAsia="es-MX"/>
        </w:rPr>
        <w:t xml:space="preserve">en versión pública, </w:t>
      </w:r>
      <w:r w:rsidR="002E6DB4" w:rsidRPr="00940DC8">
        <w:rPr>
          <w:rFonts w:ascii="Palatino Linotype" w:hAnsi="Palatino Linotype" w:cs="Arial"/>
          <w:lang w:eastAsia="es-MX"/>
        </w:rPr>
        <w:t>a la fecha de la solicitud</w:t>
      </w:r>
      <w:r w:rsidR="00DE5096" w:rsidRPr="00940DC8">
        <w:rPr>
          <w:rFonts w:ascii="Palatino Linotype" w:hAnsi="Palatino Linotype" w:cs="Arial"/>
          <w:lang w:eastAsia="es-MX"/>
        </w:rPr>
        <w:t xml:space="preserve">, </w:t>
      </w:r>
      <w:r w:rsidR="002E6DB4" w:rsidRPr="00940DC8">
        <w:rPr>
          <w:rFonts w:ascii="Palatino Linotype" w:hAnsi="Palatino Linotype" w:cs="Arial"/>
          <w:lang w:eastAsia="es-MX"/>
        </w:rPr>
        <w:t>de lo siguiente</w:t>
      </w:r>
      <w:r w:rsidR="00944EA3" w:rsidRPr="00940DC8">
        <w:rPr>
          <w:rFonts w:ascii="Palatino Linotype" w:hAnsi="Palatino Linotype"/>
        </w:rPr>
        <w:t>:</w:t>
      </w:r>
    </w:p>
    <w:p w14:paraId="1C45E8F0" w14:textId="77777777" w:rsidR="00413702" w:rsidRPr="001D06B6" w:rsidRDefault="00413702" w:rsidP="001D06B6">
      <w:pPr>
        <w:spacing w:line="360" w:lineRule="auto"/>
        <w:jc w:val="both"/>
        <w:rPr>
          <w:rFonts w:ascii="Palatino Linotype" w:hAnsi="Palatino Linotype"/>
        </w:rPr>
      </w:pPr>
    </w:p>
    <w:p w14:paraId="11C8C2F6" w14:textId="77777777" w:rsidR="00413702" w:rsidRPr="00BA0C3A" w:rsidRDefault="00413702" w:rsidP="00413702">
      <w:pPr>
        <w:pStyle w:val="Prrafodelista"/>
        <w:numPr>
          <w:ilvl w:val="3"/>
          <w:numId w:val="6"/>
        </w:numPr>
        <w:spacing w:line="360" w:lineRule="auto"/>
        <w:ind w:left="851" w:right="822" w:firstLine="0"/>
        <w:contextualSpacing/>
        <w:jc w:val="both"/>
        <w:rPr>
          <w:rFonts w:ascii="Palatino Linotype" w:eastAsia="Palatino Linotype" w:hAnsi="Palatino Linotype" w:cs="Palatino Linotype"/>
          <w:b/>
        </w:rPr>
      </w:pPr>
      <w:r w:rsidRPr="00BA0C3A">
        <w:rPr>
          <w:rFonts w:ascii="Palatino Linotype" w:eastAsia="Palatino Linotype" w:hAnsi="Palatino Linotype" w:cs="Palatino Linotype"/>
          <w:b/>
        </w:rPr>
        <w:t>Comprobantes de pago predial de los bienes inmuebles propiedad del Sujeto Obligado;</w:t>
      </w:r>
    </w:p>
    <w:p w14:paraId="5DEC1362" w14:textId="77777777" w:rsidR="00413702" w:rsidRPr="00BA0C3A" w:rsidRDefault="00413702" w:rsidP="00413702">
      <w:pPr>
        <w:pStyle w:val="Prrafodelista"/>
        <w:spacing w:line="360" w:lineRule="auto"/>
        <w:ind w:left="851" w:right="822"/>
        <w:jc w:val="both"/>
        <w:rPr>
          <w:rFonts w:ascii="Palatino Linotype" w:eastAsia="Palatino Linotype" w:hAnsi="Palatino Linotype" w:cs="Palatino Linotype"/>
          <w:b/>
        </w:rPr>
      </w:pPr>
    </w:p>
    <w:p w14:paraId="44B08366" w14:textId="77777777" w:rsidR="00413702" w:rsidRPr="00BA0C3A" w:rsidRDefault="00413702" w:rsidP="00413702">
      <w:pPr>
        <w:pStyle w:val="Prrafodelista"/>
        <w:numPr>
          <w:ilvl w:val="3"/>
          <w:numId w:val="6"/>
        </w:numPr>
        <w:spacing w:line="360" w:lineRule="auto"/>
        <w:ind w:left="851" w:right="822" w:firstLine="0"/>
        <w:contextualSpacing/>
        <w:jc w:val="both"/>
        <w:rPr>
          <w:rFonts w:ascii="Palatino Linotype" w:eastAsia="Palatino Linotype" w:hAnsi="Palatino Linotype" w:cs="Palatino Linotype"/>
          <w:b/>
        </w:rPr>
      </w:pPr>
      <w:r w:rsidRPr="00BA0C3A">
        <w:rPr>
          <w:rFonts w:ascii="Palatino Linotype" w:hAnsi="Palatino Linotype" w:cs="Arial"/>
          <w:b/>
          <w:bCs/>
        </w:rPr>
        <w:t xml:space="preserve">Acuerdo </w:t>
      </w:r>
      <w:r w:rsidRPr="00BA0C3A">
        <w:rPr>
          <w:rFonts w:ascii="Palatino Linotype" w:eastAsiaTheme="minorHAnsi" w:hAnsi="Palatino Linotype" w:cs="Arial"/>
          <w:b/>
          <w:lang w:val="es-ES_tradnl" w:eastAsia="en-US"/>
        </w:rPr>
        <w:t>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14:paraId="30B5841D" w14:textId="77777777" w:rsidR="007C5C6D" w:rsidRDefault="007C5C6D" w:rsidP="001D06B6">
      <w:pPr>
        <w:spacing w:line="360" w:lineRule="auto"/>
        <w:jc w:val="both"/>
        <w:rPr>
          <w:rFonts w:ascii="Palatino Linotype" w:eastAsia="Calibri" w:hAnsi="Palatino Linotype" w:cs="Arial"/>
        </w:rPr>
      </w:pPr>
    </w:p>
    <w:p w14:paraId="497E91CF" w14:textId="77777777" w:rsidR="00DE5096" w:rsidRPr="00BA0C3A" w:rsidRDefault="00DE5096" w:rsidP="00DE5096">
      <w:pPr>
        <w:spacing w:line="360" w:lineRule="auto"/>
        <w:jc w:val="both"/>
        <w:rPr>
          <w:rFonts w:ascii="Palatino Linotype" w:eastAsia="Calibri" w:hAnsi="Palatino Linotype" w:cs="Arial"/>
          <w:b/>
        </w:rPr>
      </w:pPr>
      <w:r w:rsidRPr="00BA0C3A">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A0C3A">
        <w:rPr>
          <w:rFonts w:ascii="Palatino Linotype" w:eastAsia="Calibri" w:hAnsi="Palatino Linotype" w:cs="Arial"/>
          <w:b/>
        </w:rPr>
        <w:t>RECURRENTE.</w:t>
      </w:r>
    </w:p>
    <w:p w14:paraId="17AC9BED" w14:textId="77777777" w:rsidR="00DE5096" w:rsidRPr="00BA0C3A" w:rsidRDefault="00DE5096" w:rsidP="00DE5096">
      <w:pPr>
        <w:spacing w:line="360" w:lineRule="auto"/>
        <w:ind w:right="48"/>
        <w:jc w:val="both"/>
        <w:rPr>
          <w:rFonts w:ascii="Palatino Linotype" w:eastAsia="Palatino Linotype" w:hAnsi="Palatino Linotype" w:cs="Palatino Linotype"/>
          <w:b/>
        </w:rPr>
      </w:pPr>
    </w:p>
    <w:p w14:paraId="4F354400" w14:textId="4F77938C" w:rsidR="00DE5096" w:rsidRPr="00DE5096" w:rsidRDefault="00DE5096" w:rsidP="001D06B6">
      <w:pPr>
        <w:spacing w:line="360" w:lineRule="auto"/>
        <w:jc w:val="both"/>
        <w:rPr>
          <w:rFonts w:ascii="Palatino Linotype" w:hAnsi="Palatino Linotype" w:cs="Tahoma"/>
        </w:rPr>
      </w:pPr>
      <w:r w:rsidRPr="00BA0C3A">
        <w:rPr>
          <w:rFonts w:ascii="Palatino Linotype" w:hAnsi="Palatino Linotype" w:cs="Tahoma"/>
        </w:rPr>
        <w:t xml:space="preserve">Respecto del numeral </w:t>
      </w:r>
      <w:r w:rsidRPr="00BA0C3A">
        <w:rPr>
          <w:rFonts w:ascii="Palatino Linotype" w:hAnsi="Palatino Linotype" w:cs="Tahoma"/>
          <w:b/>
          <w:sz w:val="26"/>
          <w:szCs w:val="26"/>
        </w:rPr>
        <w:t>1</w:t>
      </w:r>
      <w:r w:rsidRPr="00BA0C3A">
        <w:rPr>
          <w:rFonts w:ascii="Palatino Linotype" w:hAnsi="Palatino Linotype" w:cs="Tahoma"/>
        </w:rPr>
        <w:t>,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14:paraId="3E9A2B18" w14:textId="77777777" w:rsidR="007C5C6D" w:rsidRPr="001D06B6" w:rsidRDefault="007C5C6D" w:rsidP="001D06B6">
      <w:pPr>
        <w:tabs>
          <w:tab w:val="left" w:pos="8080"/>
        </w:tabs>
        <w:spacing w:line="360" w:lineRule="auto"/>
        <w:ind w:right="49"/>
        <w:contextualSpacing/>
        <w:jc w:val="both"/>
        <w:rPr>
          <w:rFonts w:ascii="Palatino Linotype" w:eastAsia="Palatino Linotype" w:hAnsi="Palatino Linotype" w:cs="Palatino Linotype"/>
          <w:b/>
          <w:lang w:val="es-ES_tradnl"/>
        </w:rPr>
      </w:pPr>
      <w:r w:rsidRPr="001D06B6">
        <w:rPr>
          <w:rFonts w:ascii="Palatino Linotype" w:eastAsia="Palatino Linotype" w:hAnsi="Palatino Linotype" w:cs="Palatino Linotype"/>
          <w:b/>
          <w:lang w:val="es-ES_tradnl"/>
        </w:rPr>
        <w:lastRenderedPageBreak/>
        <w:t xml:space="preserve">TERCERO. Notifíquese </w:t>
      </w:r>
      <w:r w:rsidRPr="001D06B6">
        <w:rPr>
          <w:rFonts w:ascii="Palatino Linotype" w:eastAsia="Palatino Linotype" w:hAnsi="Palatino Linotype" w:cs="Palatino Linotype"/>
          <w:lang w:val="es-ES_tradnl"/>
        </w:rPr>
        <w:t xml:space="preserve">al Titular de la Unidad de Transparencia del </w:t>
      </w:r>
      <w:r w:rsidRPr="001D06B6">
        <w:rPr>
          <w:rFonts w:ascii="Palatino Linotype" w:eastAsia="Palatino Linotype" w:hAnsi="Palatino Linotype" w:cs="Palatino Linotype"/>
          <w:b/>
          <w:lang w:val="es-ES_tradnl"/>
        </w:rPr>
        <w:t>SUJETO OBLIGADO</w:t>
      </w:r>
      <w:r w:rsidRPr="001D06B6">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1D06B6">
        <w:rPr>
          <w:rFonts w:ascii="Palatino Linotype" w:eastAsiaTheme="minorEastAsia" w:hAnsi="Palatino Linotype"/>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3B741A66" w14:textId="77777777" w:rsidR="007C5C6D" w:rsidRPr="001D06B6" w:rsidRDefault="007C5C6D" w:rsidP="001D06B6">
      <w:pPr>
        <w:shd w:val="clear" w:color="auto" w:fill="FFFFFF"/>
        <w:spacing w:line="360" w:lineRule="auto"/>
        <w:jc w:val="both"/>
        <w:rPr>
          <w:rFonts w:ascii="Palatino Linotype" w:hAnsi="Palatino Linotype" w:cs="Arial"/>
          <w:b/>
          <w:lang w:val="es-ES_tradnl"/>
        </w:rPr>
      </w:pPr>
    </w:p>
    <w:p w14:paraId="70259D5C" w14:textId="77777777" w:rsidR="007C5C6D" w:rsidRPr="001D06B6" w:rsidRDefault="007C5C6D" w:rsidP="001D06B6">
      <w:pPr>
        <w:shd w:val="clear" w:color="auto" w:fill="FFFFFF"/>
        <w:spacing w:line="360" w:lineRule="auto"/>
        <w:jc w:val="both"/>
        <w:rPr>
          <w:rFonts w:ascii="Palatino Linotype" w:eastAsia="MS Mincho" w:hAnsi="Palatino Linotype"/>
          <w:lang w:val="es-ES_tradnl"/>
        </w:rPr>
      </w:pPr>
      <w:r w:rsidRPr="001D06B6">
        <w:rPr>
          <w:rFonts w:ascii="Palatino Linotype" w:hAnsi="Palatino Linotype" w:cs="Arial"/>
          <w:b/>
          <w:lang w:val="es-ES_tradnl"/>
        </w:rPr>
        <w:t xml:space="preserve">CUARTO. </w:t>
      </w:r>
      <w:r w:rsidRPr="001D06B6">
        <w:rPr>
          <w:rFonts w:ascii="Palatino Linotype" w:hAnsi="Palatino Linotype"/>
          <w:bCs/>
        </w:rPr>
        <w:t>Notifíquese el</w:t>
      </w:r>
      <w:r w:rsidRPr="001D06B6">
        <w:rPr>
          <w:rFonts w:ascii="Palatino Linotype" w:eastAsiaTheme="minorEastAsia" w:hAnsi="Palatino Linotype"/>
          <w:b/>
          <w:lang w:val="es-ES_tradnl"/>
        </w:rPr>
        <w:t xml:space="preserve"> RECURRENTE </w:t>
      </w:r>
      <w:r w:rsidRPr="001D06B6">
        <w:rPr>
          <w:rFonts w:ascii="Palatino Linotype" w:eastAsiaTheme="minorEastAsia" w:hAnsi="Palatino Linotype"/>
          <w:lang w:val="es-ES_tradnl"/>
        </w:rPr>
        <w:t>la presente resolución</w:t>
      </w:r>
      <w:r w:rsidRPr="001D06B6">
        <w:rPr>
          <w:rFonts w:ascii="Palatino Linotype" w:eastAsia="MS Mincho" w:hAnsi="Palatino Linotype"/>
          <w:lang w:val="es-ES_tradnl"/>
        </w:rPr>
        <w:t xml:space="preserve"> </w:t>
      </w:r>
      <w:r w:rsidRPr="001D06B6">
        <w:rPr>
          <w:rFonts w:ascii="Palatino Linotype" w:hAnsi="Palatino Linotype" w:cs="Arial"/>
        </w:rPr>
        <w:t xml:space="preserve">vía Sistema de Acceso a Información Mexiquense </w:t>
      </w:r>
      <w:r w:rsidRPr="001D06B6">
        <w:rPr>
          <w:rFonts w:ascii="Palatino Linotype" w:hAnsi="Palatino Linotype" w:cs="Arial"/>
          <w:b/>
        </w:rPr>
        <w:t>(SAIMEX).</w:t>
      </w:r>
    </w:p>
    <w:p w14:paraId="6E12B83F" w14:textId="77777777" w:rsidR="007C5C6D" w:rsidRPr="001D06B6" w:rsidRDefault="007C5C6D" w:rsidP="001D06B6">
      <w:pPr>
        <w:shd w:val="clear" w:color="auto" w:fill="FFFFFF"/>
        <w:spacing w:line="360" w:lineRule="auto"/>
        <w:jc w:val="both"/>
        <w:rPr>
          <w:rFonts w:ascii="Palatino Linotype" w:eastAsia="MS Mincho" w:hAnsi="Palatino Linotype"/>
          <w:lang w:val="es-ES_tradnl"/>
        </w:rPr>
      </w:pPr>
    </w:p>
    <w:p w14:paraId="5206B60A" w14:textId="4FDA495E" w:rsidR="0006623C" w:rsidRDefault="007C5C6D" w:rsidP="0006623C">
      <w:pPr>
        <w:shd w:val="clear" w:color="auto" w:fill="FFFFFF"/>
        <w:spacing w:line="360" w:lineRule="auto"/>
        <w:jc w:val="both"/>
        <w:rPr>
          <w:rFonts w:ascii="Palatino Linotype" w:hAnsi="Palatino Linotype"/>
          <w:lang w:eastAsia="es-MX"/>
        </w:rPr>
      </w:pPr>
      <w:r w:rsidRPr="001D06B6">
        <w:rPr>
          <w:rFonts w:ascii="Palatino Linotype" w:eastAsia="MS Mincho" w:hAnsi="Palatino Linotype"/>
          <w:b/>
        </w:rPr>
        <w:t>QUINTO.</w:t>
      </w:r>
      <w:r w:rsidRPr="001D06B6">
        <w:rPr>
          <w:rFonts w:ascii="Palatino Linotype" w:eastAsia="MS Mincho" w:hAnsi="Palatino Linotype"/>
        </w:rPr>
        <w:t xml:space="preserve"> </w:t>
      </w:r>
      <w:r w:rsidR="0006623C">
        <w:rPr>
          <w:rFonts w:ascii="Palatino Linotype" w:hAnsi="Palatino Linotype"/>
          <w:lang w:eastAsia="es-MX"/>
        </w:rPr>
        <w:t xml:space="preserve">Se hace del conocimiento de </w:t>
      </w:r>
      <w:r w:rsidR="0006623C">
        <w:rPr>
          <w:rFonts w:ascii="Palatino Linotype" w:hAnsi="Palatino Linotype"/>
          <w:b/>
          <w:lang w:eastAsia="es-MX"/>
        </w:rPr>
        <w:t>EL RECURRENTE</w:t>
      </w:r>
      <w:r w:rsidR="0006623C">
        <w:rPr>
          <w:rFonts w:ascii="Palatino Linotype" w:hAnsi="Palatino Linotype"/>
          <w:lang w:eastAsia="es-MX"/>
        </w:rPr>
        <w:t xml:space="preserve"> que, de conformidad con lo establecido en el artículo 196 de la Ley de Transparencia y Acceso a la Información Pública del Estado de México y Municipios, en caso de que considere que la resolución le cause algún perjuicio podrá </w:t>
      </w:r>
      <w:r w:rsidR="0006623C" w:rsidRPr="00940DC8">
        <w:rPr>
          <w:rFonts w:ascii="Palatino Linotype" w:hAnsi="Palatino Linotype"/>
          <w:lang w:eastAsia="es-MX"/>
        </w:rPr>
        <w:t>impugnarla </w:t>
      </w:r>
      <w:r w:rsidR="0006623C" w:rsidRPr="00940DC8">
        <w:rPr>
          <w:rFonts w:ascii="Palatino Linotype" w:hAnsi="Palatino Linotype"/>
          <w:bCs/>
          <w:lang w:eastAsia="es-MX"/>
        </w:rPr>
        <w:t>vía juicio de amparo</w:t>
      </w:r>
      <w:r w:rsidR="0006623C" w:rsidRPr="00940DC8">
        <w:rPr>
          <w:rFonts w:ascii="Palatino Linotype" w:hAnsi="Palatino Linotype"/>
          <w:lang w:eastAsia="es-MX"/>
        </w:rPr>
        <w:t xml:space="preserve"> en los términos de las leyes aplicables, o bien, </w:t>
      </w:r>
      <w:r w:rsidR="0006623C" w:rsidRPr="00940DC8">
        <w:rPr>
          <w:rFonts w:ascii="Palatino Linotype" w:eastAsia="Palatino Linotype" w:hAnsi="Palatino Linotype" w:cs="Palatino Linotype"/>
        </w:rPr>
        <w:t>vía recurso de inconformidad ante el Instituto Nacional de Transparencia, Acceso a la Información y Protección de Datos Personales.</w:t>
      </w:r>
    </w:p>
    <w:p w14:paraId="4CAD52EE" w14:textId="77777777" w:rsidR="007C5C6D" w:rsidRPr="001D06B6" w:rsidRDefault="007C5C6D" w:rsidP="001D06B6">
      <w:pPr>
        <w:shd w:val="clear" w:color="auto" w:fill="FFFFFF"/>
        <w:spacing w:line="360" w:lineRule="auto"/>
        <w:jc w:val="both"/>
        <w:rPr>
          <w:rFonts w:ascii="Palatino Linotype" w:eastAsia="MS Mincho" w:hAnsi="Palatino Linotype"/>
        </w:rPr>
      </w:pPr>
    </w:p>
    <w:p w14:paraId="30535B1D" w14:textId="77777777" w:rsidR="007C5C6D" w:rsidRPr="001D06B6" w:rsidRDefault="007C5C6D" w:rsidP="001D06B6">
      <w:pPr>
        <w:spacing w:line="360" w:lineRule="auto"/>
        <w:jc w:val="both"/>
        <w:rPr>
          <w:rFonts w:ascii="Palatino Linotype" w:eastAsia="MS Mincho" w:hAnsi="Palatino Linotype"/>
        </w:rPr>
      </w:pPr>
      <w:r w:rsidRPr="001D06B6">
        <w:rPr>
          <w:rFonts w:ascii="Palatino Linotype" w:eastAsia="MS Mincho" w:hAnsi="Palatino Linotype"/>
          <w:b/>
          <w:lang w:val="es-ES_tradnl"/>
        </w:rPr>
        <w:t xml:space="preserve">SEXTO. </w:t>
      </w:r>
      <w:r w:rsidRPr="001D06B6">
        <w:rPr>
          <w:rFonts w:ascii="Palatino Linotype" w:eastAsia="MS Mincho" w:hAnsi="Palatino Linotype"/>
        </w:rPr>
        <w:t>Hágase del conocimiento del</w:t>
      </w:r>
      <w:r w:rsidRPr="001D06B6">
        <w:rPr>
          <w:rFonts w:ascii="Palatino Linotype" w:eastAsia="MS Mincho" w:hAnsi="Palatino Linotype"/>
          <w:b/>
        </w:rPr>
        <w:t xml:space="preserve"> RECURRENTE</w:t>
      </w:r>
      <w:r w:rsidRPr="001D06B6">
        <w:rPr>
          <w:rFonts w:ascii="Palatino Linotype" w:eastAsia="MS Mincho" w:hAnsi="Palatino Linotype"/>
        </w:rPr>
        <w:t xml:space="preserve"> que la respuesta que dé el</w:t>
      </w:r>
      <w:r w:rsidRPr="001D06B6">
        <w:rPr>
          <w:rFonts w:ascii="Palatino Linotype" w:eastAsia="MS Mincho" w:hAnsi="Palatino Linotype"/>
          <w:b/>
        </w:rPr>
        <w:t xml:space="preserve"> SUJETO OBLIGADO</w:t>
      </w:r>
      <w:r w:rsidRPr="001D06B6">
        <w:rPr>
          <w:rFonts w:ascii="Palatino Linotype" w:eastAsia="MS Mincho" w:hAnsi="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DB3B89" w14:textId="77777777" w:rsidR="007C5C6D" w:rsidRPr="001D06B6" w:rsidRDefault="007C5C6D" w:rsidP="001D06B6">
      <w:pPr>
        <w:spacing w:line="360" w:lineRule="auto"/>
        <w:jc w:val="both"/>
        <w:rPr>
          <w:rFonts w:ascii="Palatino Linotype" w:eastAsia="MS Mincho" w:hAnsi="Palatino Linotype"/>
        </w:rPr>
      </w:pPr>
    </w:p>
    <w:p w14:paraId="5D879BA2" w14:textId="77777777" w:rsidR="007C5C6D" w:rsidRPr="001D06B6" w:rsidRDefault="007C5C6D" w:rsidP="001D06B6">
      <w:pPr>
        <w:spacing w:line="360" w:lineRule="auto"/>
        <w:jc w:val="both"/>
        <w:rPr>
          <w:rFonts w:ascii="Palatino Linotype" w:eastAsia="MS Mincho" w:hAnsi="Palatino Linotype"/>
          <w:lang w:val="es-ES_tradnl"/>
        </w:rPr>
      </w:pPr>
      <w:r w:rsidRPr="001D06B6">
        <w:rPr>
          <w:rFonts w:ascii="Palatino Linotype" w:eastAsia="MS Mincho" w:hAnsi="Palatino Linotype"/>
          <w:b/>
          <w:lang w:val="es-ES_tradnl"/>
        </w:rPr>
        <w:lastRenderedPageBreak/>
        <w:t>SÉPTIMO.</w:t>
      </w:r>
      <w:r w:rsidRPr="001D06B6">
        <w:rPr>
          <w:rFonts w:ascii="Palatino Linotype" w:eastAsia="MS Mincho" w:hAnsi="Palatino Linotype"/>
          <w:lang w:val="es-ES_tradnl"/>
        </w:rPr>
        <w:t xml:space="preserve"> Con fundamento en el artículo 198 de la Ley de Transparencia y Acceso a la Información Pública del Estado de México y Municipios, se apercibe al </w:t>
      </w:r>
      <w:r w:rsidRPr="001D06B6">
        <w:rPr>
          <w:rFonts w:ascii="Palatino Linotype" w:eastAsia="MS Mincho" w:hAnsi="Palatino Linotype"/>
          <w:b/>
          <w:lang w:val="es-ES_tradnl"/>
        </w:rPr>
        <w:t>SUJETO OBLIGADO</w:t>
      </w:r>
      <w:r w:rsidRPr="001D06B6">
        <w:rPr>
          <w:rFonts w:ascii="Palatino Linotype" w:eastAsia="MS Mincho" w:hAnsi="Palatino Linotype"/>
          <w:lang w:val="es-ES_tradnl"/>
        </w:rPr>
        <w:t xml:space="preserve"> de que, en caso de incumplimiento total o parcial de la presente resolución, se actuará de conformidad con lo dispuesto en los artículos 213, 214, 215, 216 y 217 de la ley en cita.</w:t>
      </w:r>
    </w:p>
    <w:p w14:paraId="366A7DC7" w14:textId="77777777" w:rsidR="007C5C6D" w:rsidRPr="001D06B6" w:rsidRDefault="007C5C6D" w:rsidP="001D06B6">
      <w:pPr>
        <w:spacing w:line="360" w:lineRule="auto"/>
        <w:jc w:val="both"/>
        <w:rPr>
          <w:rFonts w:ascii="Palatino Linotype" w:eastAsia="MS Mincho" w:hAnsi="Palatino Linotype"/>
          <w:b/>
          <w:lang w:val="es-ES_tradnl"/>
        </w:rPr>
      </w:pPr>
    </w:p>
    <w:p w14:paraId="2E6812A9" w14:textId="5668D543" w:rsidR="007C5C6D" w:rsidRPr="001D06B6" w:rsidRDefault="007C5C6D" w:rsidP="001D06B6">
      <w:pPr>
        <w:spacing w:line="360" w:lineRule="auto"/>
        <w:jc w:val="both"/>
        <w:rPr>
          <w:rFonts w:ascii="Palatino Linotype" w:eastAsia="MS Mincho" w:hAnsi="Palatino Linotype"/>
          <w:lang w:val="es-ES_tradnl"/>
        </w:rPr>
      </w:pPr>
      <w:r w:rsidRPr="001D06B6">
        <w:rPr>
          <w:rFonts w:ascii="Palatino Linotype" w:eastAsia="MS Mincho" w:hAnsi="Palatino Linotype"/>
          <w:b/>
          <w:lang w:val="es-ES_tradnl"/>
        </w:rPr>
        <w:t>OCTAVO.</w:t>
      </w:r>
      <w:r w:rsidRPr="001D06B6">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D06B6">
        <w:rPr>
          <w:rFonts w:ascii="Palatino Linotype" w:eastAsia="MS Mincho" w:hAnsi="Palatino Linotype"/>
          <w:b/>
          <w:lang w:val="es-ES_tradnl"/>
        </w:rPr>
        <w:t xml:space="preserve">Considerando </w:t>
      </w:r>
      <w:r w:rsidR="00DE5096">
        <w:rPr>
          <w:rFonts w:ascii="Palatino Linotype" w:eastAsia="MS Mincho" w:hAnsi="Palatino Linotype"/>
          <w:b/>
          <w:lang w:val="es-ES_tradnl"/>
        </w:rPr>
        <w:t>SEX</w:t>
      </w:r>
      <w:r w:rsidR="00B239ED">
        <w:rPr>
          <w:rFonts w:ascii="Palatino Linotype" w:eastAsia="MS Mincho" w:hAnsi="Palatino Linotype"/>
          <w:b/>
          <w:lang w:val="es-ES_tradnl"/>
        </w:rPr>
        <w:t>TO</w:t>
      </w:r>
      <w:r w:rsidRPr="001D06B6">
        <w:rPr>
          <w:rFonts w:ascii="Palatino Linotype" w:eastAsia="MS Mincho" w:hAnsi="Palatino Linotype"/>
          <w:b/>
          <w:lang w:val="es-ES_tradnl"/>
        </w:rPr>
        <w:t>.</w:t>
      </w:r>
    </w:p>
    <w:p w14:paraId="193150D5" w14:textId="77777777" w:rsidR="00C66E8C" w:rsidRDefault="00C66E8C" w:rsidP="00C66E8C">
      <w:pPr>
        <w:spacing w:before="240" w:after="240" w:line="360" w:lineRule="auto"/>
        <w:ind w:firstLine="1"/>
        <w:jc w:val="both"/>
        <w:rPr>
          <w:rFonts w:ascii="Palatino Linotype" w:hAnsi="Palatino Linotype"/>
        </w:rPr>
      </w:pPr>
      <w:bookmarkStart w:id="29" w:name="_Hlk12979299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29"/>
    <w:p w14:paraId="074EBC95" w14:textId="77777777" w:rsidR="008748C4" w:rsidRPr="001D06B6" w:rsidRDefault="008748C4" w:rsidP="001D06B6">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bookmarkEnd w:id="19"/>
    <w:bookmarkEnd w:id="20"/>
    <w:bookmarkEnd w:id="21"/>
    <w:bookmarkEnd w:id="22"/>
    <w:p w14:paraId="4FB93C03"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10402E36"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09398F68"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003F4EB2"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17BAA1D6"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6DDF57CC"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2C381924"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7F2932A5" w14:textId="77777777" w:rsidR="00A44F51" w:rsidRPr="001D06B6" w:rsidRDefault="00A44F51" w:rsidP="001D06B6">
      <w:pPr>
        <w:spacing w:before="240" w:after="240" w:line="360" w:lineRule="auto"/>
        <w:ind w:right="-93"/>
        <w:jc w:val="both"/>
        <w:rPr>
          <w:rFonts w:ascii="Palatino Linotype" w:eastAsia="Calibri" w:hAnsi="Palatino Linotype" w:cs="Tahoma"/>
          <w:bCs/>
          <w:lang w:val="es-MX"/>
        </w:rPr>
      </w:pPr>
    </w:p>
    <w:p w14:paraId="4453F8E6" w14:textId="0999C4CD" w:rsidR="00090DE6" w:rsidRPr="001D06B6" w:rsidRDefault="00090DE6" w:rsidP="001D06B6">
      <w:pPr>
        <w:spacing w:before="240" w:after="240" w:line="360" w:lineRule="auto"/>
        <w:jc w:val="both"/>
        <w:rPr>
          <w:rFonts w:ascii="Palatino Linotype" w:hAnsi="Palatino Linotype"/>
        </w:rPr>
      </w:pPr>
    </w:p>
    <w:p w14:paraId="6659C5E2" w14:textId="77777777" w:rsidR="001D06B6" w:rsidRPr="001D06B6" w:rsidRDefault="001D06B6">
      <w:pPr>
        <w:spacing w:before="240" w:after="240" w:line="360" w:lineRule="auto"/>
        <w:jc w:val="both"/>
        <w:rPr>
          <w:rFonts w:ascii="Palatino Linotype" w:hAnsi="Palatino Linotype"/>
        </w:rPr>
      </w:pPr>
    </w:p>
    <w:sectPr w:rsidR="001D06B6" w:rsidRPr="001D06B6" w:rsidSect="00130703">
      <w:headerReference w:type="default" r:id="rId13"/>
      <w:footerReference w:type="default" r:id="rId14"/>
      <w:headerReference w:type="first" r:id="rId15"/>
      <w:footerReference w:type="first" r:id="rId16"/>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5D3B" w14:textId="77777777" w:rsidR="00AB65D2" w:rsidRDefault="00AB65D2" w:rsidP="00C80F8C">
      <w:r>
        <w:separator/>
      </w:r>
    </w:p>
  </w:endnote>
  <w:endnote w:type="continuationSeparator" w:id="0">
    <w:p w14:paraId="7E831E74" w14:textId="77777777" w:rsidR="00AB65D2" w:rsidRDefault="00AB65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E24C63" w:rsidRPr="00817AAB" w:rsidRDefault="00E24C6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35237">
      <w:rPr>
        <w:rFonts w:ascii="Palatino Linotype" w:hAnsi="Palatino Linotype" w:cs="Arial"/>
        <w:b/>
        <w:bCs/>
        <w:noProof/>
      </w:rPr>
      <w:t>40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35237">
      <w:rPr>
        <w:rFonts w:ascii="Palatino Linotype" w:hAnsi="Palatino Linotype" w:cs="Arial"/>
        <w:b/>
        <w:bCs/>
        <w:noProof/>
      </w:rPr>
      <w:t>40</w:t>
    </w:r>
    <w:r w:rsidRPr="00817AAB">
      <w:rPr>
        <w:rFonts w:ascii="Palatino Linotype" w:hAnsi="Palatino Linotype" w:cs="Arial"/>
        <w:b/>
        <w:bCs/>
      </w:rPr>
      <w:fldChar w:fldCharType="end"/>
    </w:r>
  </w:p>
  <w:p w14:paraId="1192A578" w14:textId="77777777" w:rsidR="00E24C63" w:rsidRDefault="00E24C63" w:rsidP="00935A0D">
    <w:pPr>
      <w:pStyle w:val="Piedepgina"/>
      <w:rPr>
        <w:rFonts w:ascii="Times New Roman" w:hAnsi="Times New Roman" w:cs="Times New Roman"/>
      </w:rPr>
    </w:pPr>
  </w:p>
  <w:p w14:paraId="14A770F8" w14:textId="77777777" w:rsidR="00E24C63" w:rsidRDefault="00E24C6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E24C63" w:rsidRDefault="00E24C6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523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5237">
      <w:rPr>
        <w:rFonts w:ascii="Arial" w:hAnsi="Arial" w:cs="Arial"/>
        <w:b/>
        <w:bCs/>
        <w:noProof/>
        <w:sz w:val="20"/>
        <w:szCs w:val="20"/>
      </w:rPr>
      <w:t>40</w:t>
    </w:r>
    <w:r>
      <w:rPr>
        <w:rFonts w:ascii="Arial" w:hAnsi="Arial" w:cs="Arial"/>
        <w:b/>
        <w:bCs/>
        <w:sz w:val="20"/>
        <w:szCs w:val="20"/>
      </w:rPr>
      <w:fldChar w:fldCharType="end"/>
    </w:r>
  </w:p>
  <w:p w14:paraId="5D98ABD5" w14:textId="77777777" w:rsidR="00E24C63" w:rsidRDefault="00E24C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7996F" w14:textId="77777777" w:rsidR="00AB65D2" w:rsidRDefault="00AB65D2" w:rsidP="00C80F8C">
      <w:r>
        <w:separator/>
      </w:r>
    </w:p>
  </w:footnote>
  <w:footnote w:type="continuationSeparator" w:id="0">
    <w:p w14:paraId="64B695C1" w14:textId="77777777" w:rsidR="00AB65D2" w:rsidRDefault="00AB65D2" w:rsidP="00C80F8C">
      <w:r>
        <w:continuationSeparator/>
      </w:r>
    </w:p>
  </w:footnote>
  <w:footnote w:id="1">
    <w:p w14:paraId="74F75615" w14:textId="77777777" w:rsidR="00413702" w:rsidRDefault="00413702" w:rsidP="00413702">
      <w:pPr>
        <w:pStyle w:val="Textonotapie"/>
        <w:jc w:val="both"/>
        <w:rPr>
          <w:rFonts w:ascii="Palatino Linotype" w:hAnsi="Palatino Linotype"/>
        </w:rPr>
      </w:pPr>
      <w:r>
        <w:rPr>
          <w:rStyle w:val="Refdenotaalpie"/>
        </w:rPr>
        <w:footnoteRef/>
      </w:r>
      <w:r>
        <w:t xml:space="preserve"> </w:t>
      </w:r>
      <w:r w:rsidRPr="002E365D">
        <w:rPr>
          <w:rFonts w:ascii="Palatino Linotype" w:hAnsi="Palatino Linotype"/>
          <w:b/>
        </w:rPr>
        <w:t>Artículo 19.</w:t>
      </w:r>
      <w:r w:rsidRPr="002E365D">
        <w:rPr>
          <w:rFonts w:ascii="Palatino Linotype" w:hAnsi="Palatino Linotype"/>
        </w:rPr>
        <w:t xml:space="preserve"> Se presume que la información debe existir si se refiere a las facultades, competencias y funciones que los ordenamientos jurídicos aplicables otorgan a los sujetos obligados. </w:t>
      </w:r>
    </w:p>
    <w:p w14:paraId="4FAE5CDD" w14:textId="77777777" w:rsidR="00413702" w:rsidRDefault="00413702" w:rsidP="00413702">
      <w:pPr>
        <w:pStyle w:val="Textonotapie"/>
        <w:jc w:val="both"/>
        <w:rPr>
          <w:rFonts w:ascii="Palatino Linotype" w:hAnsi="Palatino Linotype"/>
        </w:rPr>
      </w:pPr>
      <w:r w:rsidRPr="002E365D">
        <w:rPr>
          <w:rFonts w:ascii="Palatino Linotype" w:hAnsi="Palatino Linotype"/>
          <w:u w:val="single"/>
        </w:rPr>
        <w:t>En los casos en que ciertas facultades, competencias o funciones no se hayan ejercido, se debe motivar la respuesta en función de las causas que motiven tal circunstancia</w:t>
      </w:r>
      <w:r w:rsidRPr="002E365D">
        <w:rPr>
          <w:rFonts w:ascii="Palatino Linotype" w:hAnsi="Palatino Linotype"/>
        </w:rPr>
        <w:t xml:space="preserve">. </w:t>
      </w:r>
    </w:p>
    <w:p w14:paraId="6F2D603A" w14:textId="77777777" w:rsidR="00413702" w:rsidRDefault="00413702" w:rsidP="00413702">
      <w:pPr>
        <w:pStyle w:val="Textonotapie"/>
        <w:jc w:val="both"/>
      </w:pPr>
      <w:r w:rsidRPr="002E365D">
        <w:rPr>
          <w:rFonts w:ascii="Palatino Linotype" w:hAnsi="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2">
    <w:p w14:paraId="22A60C97" w14:textId="77777777" w:rsidR="007C5C6D" w:rsidRDefault="007C5C6D" w:rsidP="007C5C6D">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E24C63" w14:paraId="6B4E3B81" w14:textId="77777777" w:rsidTr="00B4299A">
      <w:tc>
        <w:tcPr>
          <w:tcW w:w="2701" w:type="dxa"/>
          <w:vAlign w:val="center"/>
          <w:hideMark/>
        </w:tcPr>
        <w:p w14:paraId="0ABBC6C0" w14:textId="1226DAAF" w:rsidR="00E24C63" w:rsidRPr="00B4299A" w:rsidRDefault="00E24C6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1EA2ED5" w:rsidR="00E24C63" w:rsidRPr="00B4299A" w:rsidRDefault="00E4613C" w:rsidP="006E011A">
          <w:pPr>
            <w:rPr>
              <w:rFonts w:ascii="Palatino Linotype" w:hAnsi="Palatino Linotype"/>
              <w:b/>
              <w:szCs w:val="22"/>
              <w:lang w:val="es-ES_tradnl"/>
            </w:rPr>
          </w:pPr>
          <w:r w:rsidRPr="00E4613C">
            <w:rPr>
              <w:rFonts w:ascii="Palatino Linotype" w:hAnsi="Palatino Linotype"/>
              <w:b/>
              <w:szCs w:val="22"/>
              <w:lang w:val="es-ES_tradnl"/>
            </w:rPr>
            <w:t>00518/INFOEM/IP/RR/2023</w:t>
          </w:r>
        </w:p>
      </w:tc>
    </w:tr>
    <w:tr w:rsidR="00E24C63" w14:paraId="31CB780F" w14:textId="77777777" w:rsidTr="00B4299A">
      <w:trPr>
        <w:trHeight w:val="228"/>
      </w:trPr>
      <w:tc>
        <w:tcPr>
          <w:tcW w:w="2701" w:type="dxa"/>
          <w:vAlign w:val="center"/>
          <w:hideMark/>
        </w:tcPr>
        <w:p w14:paraId="4F49CB4A" w14:textId="6966D32E" w:rsidR="00E24C63" w:rsidRPr="00B4299A" w:rsidRDefault="00E24C6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8CE24DC" w:rsidR="00E24C63" w:rsidRPr="00B4299A" w:rsidRDefault="00E4613C" w:rsidP="00EA0165">
          <w:pPr>
            <w:jc w:val="both"/>
            <w:rPr>
              <w:rFonts w:ascii="Palatino Linotype" w:hAnsi="Palatino Linotype"/>
              <w:b/>
              <w:szCs w:val="22"/>
              <w:lang w:val="es-ES_tradnl"/>
            </w:rPr>
          </w:pPr>
          <w:r w:rsidRPr="00E4613C">
            <w:rPr>
              <w:rFonts w:ascii="Palatino Linotype" w:hAnsi="Palatino Linotype"/>
              <w:b/>
              <w:szCs w:val="22"/>
              <w:lang w:val="es-ES_tradnl"/>
            </w:rPr>
            <w:t>Ayuntamiento de Zinacantepec</w:t>
          </w:r>
        </w:p>
      </w:tc>
    </w:tr>
    <w:tr w:rsidR="00E24C63" w14:paraId="69050F56" w14:textId="77777777" w:rsidTr="00B4299A">
      <w:tc>
        <w:tcPr>
          <w:tcW w:w="2701" w:type="dxa"/>
          <w:vAlign w:val="center"/>
          <w:hideMark/>
        </w:tcPr>
        <w:p w14:paraId="65C9B735" w14:textId="75C78F81" w:rsidR="00E24C63" w:rsidRPr="00B4299A" w:rsidRDefault="00E24C6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E24C63" w:rsidRPr="00B4299A" w:rsidRDefault="00E24C6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E24C63" w:rsidRDefault="00E24C6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E24C63" w:rsidRDefault="00E24C6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E24C63" w:rsidRDefault="00E24C6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E24C63" w14:paraId="477E149B" w14:textId="77777777" w:rsidTr="00CB57FD">
      <w:trPr>
        <w:trHeight w:val="277"/>
      </w:trPr>
      <w:tc>
        <w:tcPr>
          <w:tcW w:w="2693" w:type="dxa"/>
          <w:vAlign w:val="center"/>
          <w:hideMark/>
        </w:tcPr>
        <w:p w14:paraId="5C0586E4" w14:textId="77777777" w:rsidR="00E24C63" w:rsidRPr="009B3353" w:rsidRDefault="00E24C6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C19AE58" w:rsidR="00E24C63" w:rsidRPr="009B3353" w:rsidRDefault="00E4613C" w:rsidP="003141EB">
          <w:pPr>
            <w:rPr>
              <w:rFonts w:ascii="Palatino Linotype" w:hAnsi="Palatino Linotype"/>
              <w:b/>
              <w:szCs w:val="22"/>
              <w:lang w:val="es-ES_tradnl"/>
            </w:rPr>
          </w:pPr>
          <w:r w:rsidRPr="00E4613C">
            <w:rPr>
              <w:rFonts w:ascii="Palatino Linotype" w:hAnsi="Palatino Linotype"/>
              <w:b/>
              <w:szCs w:val="22"/>
              <w:lang w:val="es-ES_tradnl"/>
            </w:rPr>
            <w:t>00518/INFOEM/IP/RR/2023</w:t>
          </w:r>
        </w:p>
      </w:tc>
    </w:tr>
    <w:tr w:rsidR="00E24C63" w14:paraId="5B5BE21C" w14:textId="77777777" w:rsidTr="00CB57FD">
      <w:tc>
        <w:tcPr>
          <w:tcW w:w="2693" w:type="dxa"/>
          <w:vAlign w:val="center"/>
          <w:hideMark/>
        </w:tcPr>
        <w:p w14:paraId="4AE96902" w14:textId="4E063913" w:rsidR="00E24C63" w:rsidRPr="009B3353" w:rsidRDefault="00E24C6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0A07333" w:rsidR="00E24C63" w:rsidRPr="009B3353" w:rsidRDefault="00E24C63" w:rsidP="00AC6228">
          <w:pPr>
            <w:rPr>
              <w:rFonts w:ascii="Palatino Linotype" w:hAnsi="Palatino Linotype"/>
              <w:b/>
              <w:szCs w:val="22"/>
              <w:lang w:val="es-ES_tradnl"/>
            </w:rPr>
          </w:pPr>
        </w:p>
      </w:tc>
    </w:tr>
    <w:tr w:rsidR="00E24C63" w14:paraId="22601A11" w14:textId="77777777" w:rsidTr="00CB57FD">
      <w:trPr>
        <w:trHeight w:val="228"/>
      </w:trPr>
      <w:tc>
        <w:tcPr>
          <w:tcW w:w="2693" w:type="dxa"/>
          <w:vAlign w:val="center"/>
          <w:hideMark/>
        </w:tcPr>
        <w:p w14:paraId="6EFE221D" w14:textId="49C5F800" w:rsidR="00E24C63" w:rsidRPr="009B3353" w:rsidRDefault="00E24C6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C269E68" w:rsidR="00E24C63" w:rsidRPr="009B3353" w:rsidRDefault="00E4613C" w:rsidP="006E050D">
          <w:pPr>
            <w:jc w:val="both"/>
            <w:rPr>
              <w:rFonts w:ascii="Palatino Linotype" w:eastAsia="Calibri" w:hAnsi="Palatino Linotype"/>
              <w:b/>
              <w:szCs w:val="22"/>
              <w:lang w:val="es-MX" w:eastAsia="en-US"/>
            </w:rPr>
          </w:pPr>
          <w:r w:rsidRPr="00E4613C">
            <w:rPr>
              <w:rFonts w:ascii="Palatino Linotype" w:eastAsia="Calibri" w:hAnsi="Palatino Linotype"/>
              <w:b/>
              <w:szCs w:val="22"/>
              <w:lang w:val="es-MX" w:eastAsia="en-US"/>
            </w:rPr>
            <w:t>Ayuntamiento de Zinacantepec</w:t>
          </w:r>
        </w:p>
      </w:tc>
    </w:tr>
    <w:tr w:rsidR="00E24C63" w14:paraId="2D6C630E" w14:textId="77777777" w:rsidTr="00CB57FD">
      <w:tc>
        <w:tcPr>
          <w:tcW w:w="2693" w:type="dxa"/>
          <w:vAlign w:val="center"/>
          <w:hideMark/>
        </w:tcPr>
        <w:p w14:paraId="5BD4C6DB" w14:textId="7CF21504" w:rsidR="00E24C63" w:rsidRPr="009B3353" w:rsidRDefault="00E24C6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E24C63" w:rsidRPr="009B3353" w:rsidRDefault="00E24C6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E24C63" w:rsidRDefault="00E24C6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35A73FF"/>
    <w:multiLevelType w:val="hybridMultilevel"/>
    <w:tmpl w:val="901612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7334E5"/>
    <w:multiLevelType w:val="hybridMultilevel"/>
    <w:tmpl w:val="B1A6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5"/>
  </w:num>
  <w:num w:numId="5">
    <w:abstractNumId w:val="7"/>
  </w:num>
  <w:num w:numId="6">
    <w:abstractNumId w:val="6"/>
  </w:num>
  <w:num w:numId="7">
    <w:abstractNumId w:val="0"/>
  </w:num>
  <w:num w:numId="8">
    <w:abstractNumId w:val="4"/>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133D"/>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649D"/>
    <w:rsid w:val="00017BE1"/>
    <w:rsid w:val="000200EF"/>
    <w:rsid w:val="00020869"/>
    <w:rsid w:val="00020A18"/>
    <w:rsid w:val="00021740"/>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23C"/>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569C"/>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AC4"/>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6E8D"/>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58F"/>
    <w:rsid w:val="000F1BBF"/>
    <w:rsid w:val="000F219C"/>
    <w:rsid w:val="000F2EB3"/>
    <w:rsid w:val="000F4598"/>
    <w:rsid w:val="000F50AC"/>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85D"/>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BD9"/>
    <w:rsid w:val="00165C66"/>
    <w:rsid w:val="00166139"/>
    <w:rsid w:val="001667F0"/>
    <w:rsid w:val="00167F89"/>
    <w:rsid w:val="00167F8F"/>
    <w:rsid w:val="001701C4"/>
    <w:rsid w:val="001705A5"/>
    <w:rsid w:val="00170782"/>
    <w:rsid w:val="00170979"/>
    <w:rsid w:val="00170D88"/>
    <w:rsid w:val="00170E0A"/>
    <w:rsid w:val="00170E97"/>
    <w:rsid w:val="00171D47"/>
    <w:rsid w:val="00171F21"/>
    <w:rsid w:val="00172089"/>
    <w:rsid w:val="0017220A"/>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2D5F"/>
    <w:rsid w:val="001B3256"/>
    <w:rsid w:val="001B3C02"/>
    <w:rsid w:val="001B4AB2"/>
    <w:rsid w:val="001B5099"/>
    <w:rsid w:val="001B6BDC"/>
    <w:rsid w:val="001B6E23"/>
    <w:rsid w:val="001C085B"/>
    <w:rsid w:val="001C0C3F"/>
    <w:rsid w:val="001C1A4E"/>
    <w:rsid w:val="001C1CAE"/>
    <w:rsid w:val="001C1DC2"/>
    <w:rsid w:val="001C304B"/>
    <w:rsid w:val="001C51A0"/>
    <w:rsid w:val="001C54E5"/>
    <w:rsid w:val="001C592C"/>
    <w:rsid w:val="001C5CD3"/>
    <w:rsid w:val="001D0631"/>
    <w:rsid w:val="001D064E"/>
    <w:rsid w:val="001D06B6"/>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881"/>
    <w:rsid w:val="00271FC2"/>
    <w:rsid w:val="00273204"/>
    <w:rsid w:val="00273D12"/>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478"/>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0672"/>
    <w:rsid w:val="002E1D63"/>
    <w:rsid w:val="002E2669"/>
    <w:rsid w:val="002E4EC0"/>
    <w:rsid w:val="002E5744"/>
    <w:rsid w:val="002E578A"/>
    <w:rsid w:val="002E6172"/>
    <w:rsid w:val="002E6B74"/>
    <w:rsid w:val="002E6DB4"/>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96E"/>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E2B"/>
    <w:rsid w:val="00392E5C"/>
    <w:rsid w:val="00394E20"/>
    <w:rsid w:val="003950A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6FDD"/>
    <w:rsid w:val="003F733C"/>
    <w:rsid w:val="003F7346"/>
    <w:rsid w:val="0040233B"/>
    <w:rsid w:val="00402A30"/>
    <w:rsid w:val="004030E3"/>
    <w:rsid w:val="00403CB8"/>
    <w:rsid w:val="00403FAA"/>
    <w:rsid w:val="00404666"/>
    <w:rsid w:val="00405277"/>
    <w:rsid w:val="004053FB"/>
    <w:rsid w:val="004058AB"/>
    <w:rsid w:val="0040596D"/>
    <w:rsid w:val="00405A99"/>
    <w:rsid w:val="00410650"/>
    <w:rsid w:val="004106C1"/>
    <w:rsid w:val="004126F7"/>
    <w:rsid w:val="00413702"/>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97A1E"/>
    <w:rsid w:val="004A0812"/>
    <w:rsid w:val="004A0EA8"/>
    <w:rsid w:val="004A14D9"/>
    <w:rsid w:val="004A21F6"/>
    <w:rsid w:val="004A2680"/>
    <w:rsid w:val="004A421F"/>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6E"/>
    <w:rsid w:val="00542D8A"/>
    <w:rsid w:val="00543427"/>
    <w:rsid w:val="00543BF9"/>
    <w:rsid w:val="00544117"/>
    <w:rsid w:val="00544E0A"/>
    <w:rsid w:val="00550B31"/>
    <w:rsid w:val="00550CA5"/>
    <w:rsid w:val="005515E9"/>
    <w:rsid w:val="00551BA4"/>
    <w:rsid w:val="00552D59"/>
    <w:rsid w:val="005533D0"/>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2CD"/>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38"/>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D96"/>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C33"/>
    <w:rsid w:val="00773EA1"/>
    <w:rsid w:val="007753ED"/>
    <w:rsid w:val="00775414"/>
    <w:rsid w:val="00775CB2"/>
    <w:rsid w:val="0077600B"/>
    <w:rsid w:val="0077689F"/>
    <w:rsid w:val="007772EB"/>
    <w:rsid w:val="0078030F"/>
    <w:rsid w:val="00780825"/>
    <w:rsid w:val="00780906"/>
    <w:rsid w:val="00780D17"/>
    <w:rsid w:val="00782370"/>
    <w:rsid w:val="00782DD9"/>
    <w:rsid w:val="00782EDF"/>
    <w:rsid w:val="007830E3"/>
    <w:rsid w:val="0078467A"/>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5C6D"/>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237"/>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903"/>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C04"/>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33"/>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054"/>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4A2"/>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DC8"/>
    <w:rsid w:val="00940FFE"/>
    <w:rsid w:val="009411A0"/>
    <w:rsid w:val="00942B6C"/>
    <w:rsid w:val="00943B74"/>
    <w:rsid w:val="0094486F"/>
    <w:rsid w:val="00944A83"/>
    <w:rsid w:val="00944CA2"/>
    <w:rsid w:val="00944EA3"/>
    <w:rsid w:val="009458C7"/>
    <w:rsid w:val="0094714C"/>
    <w:rsid w:val="009472B3"/>
    <w:rsid w:val="00947905"/>
    <w:rsid w:val="00947F35"/>
    <w:rsid w:val="009500DD"/>
    <w:rsid w:val="00951598"/>
    <w:rsid w:val="00952919"/>
    <w:rsid w:val="009542AC"/>
    <w:rsid w:val="00954A59"/>
    <w:rsid w:val="00955029"/>
    <w:rsid w:val="00955ADE"/>
    <w:rsid w:val="00957350"/>
    <w:rsid w:val="009573BD"/>
    <w:rsid w:val="0095790B"/>
    <w:rsid w:val="0096079C"/>
    <w:rsid w:val="0096089C"/>
    <w:rsid w:val="0096146C"/>
    <w:rsid w:val="00962E4E"/>
    <w:rsid w:val="0096373C"/>
    <w:rsid w:val="00964C60"/>
    <w:rsid w:val="00964E79"/>
    <w:rsid w:val="00964F37"/>
    <w:rsid w:val="0096576D"/>
    <w:rsid w:val="00966711"/>
    <w:rsid w:val="00966926"/>
    <w:rsid w:val="00966C2B"/>
    <w:rsid w:val="00966FEC"/>
    <w:rsid w:val="00967C2E"/>
    <w:rsid w:val="00971134"/>
    <w:rsid w:val="00971434"/>
    <w:rsid w:val="009737A5"/>
    <w:rsid w:val="00974033"/>
    <w:rsid w:val="00974437"/>
    <w:rsid w:val="00974C3A"/>
    <w:rsid w:val="009752BA"/>
    <w:rsid w:val="00975A2A"/>
    <w:rsid w:val="00975D23"/>
    <w:rsid w:val="00975EB9"/>
    <w:rsid w:val="009763B8"/>
    <w:rsid w:val="00976A12"/>
    <w:rsid w:val="00977454"/>
    <w:rsid w:val="009816F9"/>
    <w:rsid w:val="00981A8D"/>
    <w:rsid w:val="00981F51"/>
    <w:rsid w:val="0098269C"/>
    <w:rsid w:val="009837CB"/>
    <w:rsid w:val="00985240"/>
    <w:rsid w:val="009858EF"/>
    <w:rsid w:val="00985D90"/>
    <w:rsid w:val="00986B3C"/>
    <w:rsid w:val="009872E2"/>
    <w:rsid w:val="00987DDA"/>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0B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0FFB"/>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ACD"/>
    <w:rsid w:val="00A32DE9"/>
    <w:rsid w:val="00A3314E"/>
    <w:rsid w:val="00A344AD"/>
    <w:rsid w:val="00A35622"/>
    <w:rsid w:val="00A36ED5"/>
    <w:rsid w:val="00A3726B"/>
    <w:rsid w:val="00A403D7"/>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5D2"/>
    <w:rsid w:val="00AB66F0"/>
    <w:rsid w:val="00AB7491"/>
    <w:rsid w:val="00AC161D"/>
    <w:rsid w:val="00AC17F2"/>
    <w:rsid w:val="00AC20D8"/>
    <w:rsid w:val="00AC2D4B"/>
    <w:rsid w:val="00AC37A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6E4"/>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39ED"/>
    <w:rsid w:val="00B25866"/>
    <w:rsid w:val="00B25A6F"/>
    <w:rsid w:val="00B25BC6"/>
    <w:rsid w:val="00B270F3"/>
    <w:rsid w:val="00B30948"/>
    <w:rsid w:val="00B316E2"/>
    <w:rsid w:val="00B32176"/>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4F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4BF0"/>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6E8C"/>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99"/>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3E1"/>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AC3"/>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985"/>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0C35"/>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6A66"/>
    <w:rsid w:val="00D5723A"/>
    <w:rsid w:val="00D61B15"/>
    <w:rsid w:val="00D63904"/>
    <w:rsid w:val="00D64514"/>
    <w:rsid w:val="00D649B8"/>
    <w:rsid w:val="00D64A87"/>
    <w:rsid w:val="00D6598B"/>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1E2"/>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BC1"/>
    <w:rsid w:val="00DE1D18"/>
    <w:rsid w:val="00DE23D2"/>
    <w:rsid w:val="00DE331A"/>
    <w:rsid w:val="00DE37CF"/>
    <w:rsid w:val="00DE3D5F"/>
    <w:rsid w:val="00DE3FBD"/>
    <w:rsid w:val="00DE4133"/>
    <w:rsid w:val="00DE4508"/>
    <w:rsid w:val="00DE5096"/>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3F1E"/>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9C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C63"/>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13C"/>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00B"/>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390"/>
    <w:rsid w:val="00E86E4F"/>
    <w:rsid w:val="00E86EA4"/>
    <w:rsid w:val="00E87ACA"/>
    <w:rsid w:val="00E905A0"/>
    <w:rsid w:val="00E906D5"/>
    <w:rsid w:val="00E92E98"/>
    <w:rsid w:val="00E94560"/>
    <w:rsid w:val="00E94E45"/>
    <w:rsid w:val="00E954B7"/>
    <w:rsid w:val="00E9550C"/>
    <w:rsid w:val="00E95D22"/>
    <w:rsid w:val="00E96435"/>
    <w:rsid w:val="00E96577"/>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95A"/>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D34"/>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A14"/>
    <w:rsid w:val="00F62E09"/>
    <w:rsid w:val="00F63245"/>
    <w:rsid w:val="00F63C1F"/>
    <w:rsid w:val="00F65A46"/>
    <w:rsid w:val="00F6635F"/>
    <w:rsid w:val="00F6662F"/>
    <w:rsid w:val="00F66689"/>
    <w:rsid w:val="00F70118"/>
    <w:rsid w:val="00F702B4"/>
    <w:rsid w:val="00F706F1"/>
    <w:rsid w:val="00F70E4A"/>
    <w:rsid w:val="00F73398"/>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71D"/>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6F3023B-EE76-4461-828D-1A20F158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1E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decomentario">
    <w:name w:val="annotation reference"/>
    <w:basedOn w:val="Fuentedeprrafopredeter"/>
    <w:uiPriority w:val="99"/>
    <w:semiHidden/>
    <w:unhideWhenUsed/>
    <w:rsid w:val="00021740"/>
    <w:rPr>
      <w:sz w:val="16"/>
      <w:szCs w:val="16"/>
    </w:rPr>
  </w:style>
  <w:style w:type="paragraph" w:styleId="Textocomentario">
    <w:name w:val="annotation text"/>
    <w:basedOn w:val="Normal"/>
    <w:link w:val="TextocomentarioCar"/>
    <w:uiPriority w:val="99"/>
    <w:semiHidden/>
    <w:unhideWhenUsed/>
    <w:rsid w:val="00021740"/>
    <w:rPr>
      <w:sz w:val="20"/>
      <w:szCs w:val="20"/>
    </w:rPr>
  </w:style>
  <w:style w:type="character" w:customStyle="1" w:styleId="TextocomentarioCar">
    <w:name w:val="Texto comentario Car"/>
    <w:basedOn w:val="Fuentedeprrafopredeter"/>
    <w:link w:val="Textocomentario"/>
    <w:uiPriority w:val="99"/>
    <w:semiHidden/>
    <w:rsid w:val="00021740"/>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21740"/>
    <w:rPr>
      <w:b/>
      <w:bCs/>
    </w:rPr>
  </w:style>
  <w:style w:type="character" w:customStyle="1" w:styleId="AsuntodelcomentarioCar">
    <w:name w:val="Asunto del comentario Car"/>
    <w:basedOn w:val="TextocomentarioCar"/>
    <w:link w:val="Asuntodelcomentario"/>
    <w:uiPriority w:val="99"/>
    <w:semiHidden/>
    <w:rsid w:val="00021740"/>
    <w:rPr>
      <w:rFonts w:ascii="Times New Roman" w:eastAsia="Times New Roman" w:hAnsi="Times New Roman" w:cs="Times New Roman"/>
      <w:b/>
      <w:bCs/>
      <w:sz w:val="20"/>
      <w:szCs w:val="20"/>
      <w:lang w:val="es-ES"/>
    </w:rPr>
  </w:style>
  <w:style w:type="table" w:styleId="Tablanormal1">
    <w:name w:val="Plain Table 1"/>
    <w:basedOn w:val="Tablanormal"/>
    <w:uiPriority w:val="41"/>
    <w:rsid w:val="00987DDA"/>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7555459">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23743204">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109830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285992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2AA32-A9EE-42DB-8B23-22E57CE1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40</Pages>
  <Words>8272</Words>
  <Characters>45501</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2023-03-09T21:16:00Z</dcterms:created>
  <dcterms:modified xsi:type="dcterms:W3CDTF">2023-04-12T22:59:00Z</dcterms:modified>
</cp:coreProperties>
</file>