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B01A7E" w:rsidRDefault="009F09BC" w:rsidP="00AF52DB">
      <w:pPr>
        <w:tabs>
          <w:tab w:val="left" w:pos="3465"/>
        </w:tabs>
        <w:spacing w:line="360" w:lineRule="auto"/>
        <w:jc w:val="both"/>
        <w:rPr>
          <w:rFonts w:ascii="Palatino Linotype" w:hAnsi="Palatino Linotype"/>
          <w:color w:val="000000" w:themeColor="text1"/>
        </w:rPr>
      </w:pPr>
      <w:r w:rsidRPr="00B01A7E">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675B3A" w:rsidRPr="00B01A7E">
        <w:rPr>
          <w:rFonts w:ascii="Palatino Linotype" w:hAnsi="Palatino Linotype"/>
          <w:color w:val="000000" w:themeColor="text1"/>
        </w:rPr>
        <w:t>cinco</w:t>
      </w:r>
      <w:r w:rsidR="006971FE" w:rsidRPr="00B01A7E">
        <w:rPr>
          <w:rFonts w:ascii="Palatino Linotype" w:hAnsi="Palatino Linotype"/>
          <w:color w:val="000000" w:themeColor="text1"/>
        </w:rPr>
        <w:t xml:space="preserve"> (05)</w:t>
      </w:r>
      <w:r w:rsidR="00675B3A" w:rsidRPr="00B01A7E">
        <w:rPr>
          <w:rFonts w:ascii="Palatino Linotype" w:hAnsi="Palatino Linotype"/>
          <w:color w:val="000000" w:themeColor="text1"/>
        </w:rPr>
        <w:t xml:space="preserve"> de ju</w:t>
      </w:r>
      <w:r w:rsidR="006971FE" w:rsidRPr="00B01A7E">
        <w:rPr>
          <w:rFonts w:ascii="Palatino Linotype" w:hAnsi="Palatino Linotype"/>
          <w:color w:val="000000" w:themeColor="text1"/>
        </w:rPr>
        <w:t>l</w:t>
      </w:r>
      <w:r w:rsidR="00675B3A" w:rsidRPr="00B01A7E">
        <w:rPr>
          <w:rFonts w:ascii="Palatino Linotype" w:hAnsi="Palatino Linotype"/>
          <w:color w:val="000000" w:themeColor="text1"/>
        </w:rPr>
        <w:t>io</w:t>
      </w:r>
      <w:r w:rsidR="00E61C13" w:rsidRPr="00B01A7E">
        <w:rPr>
          <w:rFonts w:ascii="Palatino Linotype" w:hAnsi="Palatino Linotype"/>
          <w:color w:val="000000" w:themeColor="text1"/>
        </w:rPr>
        <w:t xml:space="preserve"> de dos mil </w:t>
      </w:r>
      <w:r w:rsidR="00DF7F47" w:rsidRPr="00B01A7E">
        <w:rPr>
          <w:rFonts w:ascii="Palatino Linotype" w:hAnsi="Palatino Linotype"/>
          <w:color w:val="000000" w:themeColor="text1"/>
        </w:rPr>
        <w:t>veintitrés</w:t>
      </w:r>
      <w:r w:rsidRPr="00B01A7E">
        <w:rPr>
          <w:rFonts w:ascii="Palatino Linotype" w:hAnsi="Palatino Linotype"/>
          <w:color w:val="000000" w:themeColor="text1"/>
        </w:rPr>
        <w:t>.</w:t>
      </w:r>
    </w:p>
    <w:p w:rsidR="00AF52DB" w:rsidRPr="00B01A7E" w:rsidRDefault="00AF52DB" w:rsidP="00AF52DB">
      <w:pPr>
        <w:tabs>
          <w:tab w:val="left" w:pos="3465"/>
        </w:tabs>
        <w:spacing w:line="360" w:lineRule="auto"/>
        <w:jc w:val="both"/>
        <w:rPr>
          <w:rFonts w:ascii="Palatino Linotype" w:hAnsi="Palatino Linotype"/>
          <w:color w:val="000000" w:themeColor="text1"/>
        </w:rPr>
      </w:pPr>
    </w:p>
    <w:p w:rsidR="009F09BC" w:rsidRPr="00B01A7E" w:rsidRDefault="009F09BC" w:rsidP="00AF52DB">
      <w:pPr>
        <w:spacing w:line="360" w:lineRule="auto"/>
        <w:jc w:val="both"/>
        <w:rPr>
          <w:rFonts w:ascii="Palatino Linotype" w:hAnsi="Palatino Linotype"/>
          <w:color w:val="000000" w:themeColor="text1"/>
        </w:rPr>
      </w:pPr>
      <w:r w:rsidRPr="00B01A7E">
        <w:rPr>
          <w:rFonts w:ascii="Palatino Linotype" w:hAnsi="Palatino Linotype"/>
          <w:b/>
          <w:color w:val="000000" w:themeColor="text1"/>
        </w:rPr>
        <w:t>VISTO</w:t>
      </w:r>
      <w:r w:rsidRPr="00B01A7E">
        <w:rPr>
          <w:rFonts w:ascii="Palatino Linotype" w:hAnsi="Palatino Linotype"/>
          <w:color w:val="000000" w:themeColor="text1"/>
        </w:rPr>
        <w:t xml:space="preserve"> </w:t>
      </w:r>
      <w:r w:rsidR="008A699B" w:rsidRPr="00B01A7E">
        <w:rPr>
          <w:rFonts w:ascii="Palatino Linotype" w:hAnsi="Palatino Linotype"/>
          <w:color w:val="000000" w:themeColor="text1"/>
        </w:rPr>
        <w:t>e</w:t>
      </w:r>
      <w:r w:rsidRPr="00B01A7E">
        <w:rPr>
          <w:rFonts w:ascii="Palatino Linotype" w:hAnsi="Palatino Linotype"/>
          <w:color w:val="000000" w:themeColor="text1"/>
        </w:rPr>
        <w:t xml:space="preserve">l expediente electrónico formado con motivo del recurso de revisión </w:t>
      </w:r>
      <w:r w:rsidR="00675B3A" w:rsidRPr="00B01A7E">
        <w:rPr>
          <w:rFonts w:ascii="Palatino Linotype" w:hAnsi="Palatino Linotype"/>
          <w:b/>
          <w:color w:val="000000" w:themeColor="text1"/>
        </w:rPr>
        <w:t>11293/INFOEM/IP/RR/2022</w:t>
      </w:r>
      <w:r w:rsidRPr="00B01A7E">
        <w:rPr>
          <w:rFonts w:ascii="Palatino Linotype" w:hAnsi="Palatino Linotype"/>
          <w:color w:val="000000" w:themeColor="text1"/>
        </w:rPr>
        <w:t>,</w:t>
      </w:r>
      <w:r w:rsidRPr="00B01A7E">
        <w:rPr>
          <w:rFonts w:ascii="Palatino Linotype" w:hAnsi="Palatino Linotype" w:cs="Arial"/>
          <w:b/>
          <w:bCs/>
          <w:color w:val="000000" w:themeColor="text1"/>
        </w:rPr>
        <w:t xml:space="preserve"> </w:t>
      </w:r>
      <w:r w:rsidRPr="00B01A7E">
        <w:rPr>
          <w:rFonts w:ascii="Palatino Linotype" w:hAnsi="Palatino Linotype"/>
          <w:color w:val="000000" w:themeColor="text1"/>
        </w:rPr>
        <w:t xml:space="preserve">promovido por </w:t>
      </w:r>
      <w:r w:rsidR="00B01A7E" w:rsidRPr="00B01A7E">
        <w:rPr>
          <w:rFonts w:ascii="Palatino Linotype" w:hAnsi="Palatino Linotype"/>
          <w:b/>
          <w:color w:val="000000" w:themeColor="text1"/>
        </w:rPr>
        <w:t xml:space="preserve">XXX </w:t>
      </w:r>
      <w:proofErr w:type="spellStart"/>
      <w:r w:rsidR="00B01A7E" w:rsidRPr="00B01A7E">
        <w:rPr>
          <w:rFonts w:ascii="Palatino Linotype" w:hAnsi="Palatino Linotype"/>
          <w:b/>
          <w:color w:val="000000" w:themeColor="text1"/>
        </w:rPr>
        <w:t>XXX</w:t>
      </w:r>
      <w:proofErr w:type="spellEnd"/>
      <w:r w:rsidR="00B01A7E" w:rsidRPr="00B01A7E">
        <w:rPr>
          <w:rFonts w:ascii="Palatino Linotype" w:hAnsi="Palatino Linotype"/>
          <w:b/>
          <w:color w:val="000000" w:themeColor="text1"/>
        </w:rPr>
        <w:t xml:space="preserve"> </w:t>
      </w:r>
      <w:proofErr w:type="spellStart"/>
      <w:r w:rsidR="00B01A7E" w:rsidRPr="00B01A7E">
        <w:rPr>
          <w:rFonts w:ascii="Palatino Linotype" w:hAnsi="Palatino Linotype"/>
          <w:b/>
          <w:color w:val="000000" w:themeColor="text1"/>
        </w:rPr>
        <w:t>XXX</w:t>
      </w:r>
      <w:proofErr w:type="spellEnd"/>
      <w:r w:rsidRPr="00B01A7E">
        <w:rPr>
          <w:rFonts w:ascii="Palatino Linotype" w:hAnsi="Palatino Linotype"/>
          <w:color w:val="000000" w:themeColor="text1"/>
        </w:rPr>
        <w:t xml:space="preserve">, a quien en lo sucesivo se le identificará como </w:t>
      </w:r>
      <w:r w:rsidR="002B3C82" w:rsidRPr="00B01A7E">
        <w:rPr>
          <w:rFonts w:ascii="Palatino Linotype" w:hAnsi="Palatino Linotype"/>
          <w:b/>
          <w:color w:val="000000" w:themeColor="text1"/>
        </w:rPr>
        <w:t>EL RECURRENTE</w:t>
      </w:r>
      <w:r w:rsidRPr="00B01A7E">
        <w:rPr>
          <w:rFonts w:ascii="Palatino Linotype" w:hAnsi="Palatino Linotype" w:cs="Arial"/>
          <w:color w:val="000000" w:themeColor="text1"/>
        </w:rPr>
        <w:t xml:space="preserve">, en contra de la respuesta </w:t>
      </w:r>
      <w:r w:rsidR="00652937" w:rsidRPr="00B01A7E">
        <w:rPr>
          <w:rFonts w:ascii="Palatino Linotype" w:hAnsi="Palatino Linotype" w:cs="Arial"/>
          <w:color w:val="000000" w:themeColor="text1"/>
        </w:rPr>
        <w:t>de</w:t>
      </w:r>
      <w:r w:rsidR="002B3C82" w:rsidRPr="00B01A7E">
        <w:rPr>
          <w:rFonts w:ascii="Palatino Linotype" w:hAnsi="Palatino Linotype" w:cs="Arial"/>
          <w:color w:val="000000" w:themeColor="text1"/>
        </w:rPr>
        <w:t xml:space="preserve"> la </w:t>
      </w:r>
      <w:r w:rsidR="00166B4F" w:rsidRPr="00B01A7E">
        <w:rPr>
          <w:rFonts w:ascii="Palatino Linotype" w:hAnsi="Palatino Linotype" w:cs="Arial"/>
          <w:b/>
          <w:color w:val="000000" w:themeColor="text1"/>
        </w:rPr>
        <w:t>Secretaría de Desarrollo Urbano y Obra</w:t>
      </w:r>
      <w:r w:rsidRPr="00B01A7E">
        <w:rPr>
          <w:rFonts w:ascii="Palatino Linotype" w:hAnsi="Palatino Linotype" w:cs="Arial"/>
          <w:b/>
          <w:color w:val="000000" w:themeColor="text1"/>
        </w:rPr>
        <w:t>,</w:t>
      </w:r>
      <w:r w:rsidRPr="00B01A7E">
        <w:rPr>
          <w:rFonts w:ascii="Palatino Linotype" w:hAnsi="Palatino Linotype"/>
          <w:b/>
          <w:color w:val="000000" w:themeColor="text1"/>
        </w:rPr>
        <w:t xml:space="preserve"> </w:t>
      </w:r>
      <w:r w:rsidRPr="00B01A7E">
        <w:rPr>
          <w:rFonts w:ascii="Palatino Linotype" w:hAnsi="Palatino Linotype"/>
          <w:color w:val="000000" w:themeColor="text1"/>
        </w:rPr>
        <w:t>en lo sucesivo el</w:t>
      </w:r>
      <w:r w:rsidRPr="00B01A7E">
        <w:rPr>
          <w:rFonts w:ascii="Palatino Linotype" w:hAnsi="Palatino Linotype"/>
          <w:b/>
          <w:color w:val="000000" w:themeColor="text1"/>
        </w:rPr>
        <w:t xml:space="preserve"> SUJETO OBLIGADO</w:t>
      </w:r>
      <w:r w:rsidRPr="00B01A7E">
        <w:rPr>
          <w:rFonts w:ascii="Palatino Linotype" w:hAnsi="Palatino Linotype"/>
          <w:color w:val="000000" w:themeColor="text1"/>
        </w:rPr>
        <w:t>, se procede a dictar la presente resolución, con base en los siguientes:</w:t>
      </w:r>
    </w:p>
    <w:p w:rsidR="00865A34" w:rsidRPr="00B01A7E" w:rsidRDefault="00865A34" w:rsidP="00AF52DB">
      <w:pPr>
        <w:spacing w:line="360" w:lineRule="auto"/>
        <w:jc w:val="both"/>
        <w:rPr>
          <w:rFonts w:ascii="Palatino Linotype" w:hAnsi="Palatino Linotype"/>
          <w:b/>
          <w:color w:val="000000" w:themeColor="text1"/>
        </w:rPr>
      </w:pPr>
    </w:p>
    <w:p w:rsidR="009F09BC" w:rsidRPr="00B01A7E" w:rsidRDefault="009F09BC" w:rsidP="00AF52DB">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B01A7E">
        <w:rPr>
          <w:rFonts w:ascii="Palatino Linotype" w:hAnsi="Palatino Linotype"/>
          <w:b/>
          <w:color w:val="000000" w:themeColor="text1"/>
          <w:sz w:val="24"/>
          <w:szCs w:val="24"/>
        </w:rPr>
        <w:t>ANTECEDENTES</w:t>
      </w:r>
      <w:bookmarkEnd w:id="0"/>
      <w:bookmarkEnd w:id="1"/>
      <w:bookmarkEnd w:id="2"/>
    </w:p>
    <w:p w:rsidR="009F09BC" w:rsidRPr="00B01A7E" w:rsidRDefault="009F09BC" w:rsidP="00AF52DB">
      <w:pPr>
        <w:pStyle w:val="Prrafodelista"/>
        <w:numPr>
          <w:ilvl w:val="0"/>
          <w:numId w:val="15"/>
        </w:numPr>
        <w:spacing w:line="360" w:lineRule="auto"/>
        <w:ind w:left="0" w:firstLine="0"/>
        <w:jc w:val="both"/>
        <w:rPr>
          <w:rFonts w:ascii="Palatino Linotype" w:eastAsia="Calibri" w:hAnsi="Palatino Linotype" w:cs="Arial"/>
          <w:color w:val="000000" w:themeColor="text1"/>
          <w:lang w:val="es-ES"/>
        </w:rPr>
      </w:pPr>
      <w:r w:rsidRPr="00B01A7E">
        <w:rPr>
          <w:rFonts w:ascii="Palatino Linotype" w:eastAsia="Calibri" w:hAnsi="Palatino Linotype" w:cs="Arial"/>
          <w:color w:val="000000" w:themeColor="text1"/>
          <w:lang w:val="es-ES"/>
        </w:rPr>
        <w:t xml:space="preserve">El día </w:t>
      </w:r>
      <w:r w:rsidR="00166B4F" w:rsidRPr="00B01A7E">
        <w:rPr>
          <w:rFonts w:ascii="Palatino Linotype" w:eastAsia="Calibri" w:hAnsi="Palatino Linotype" w:cs="Arial"/>
          <w:color w:val="000000" w:themeColor="text1"/>
          <w:lang w:val="es-ES"/>
        </w:rPr>
        <w:t>dos de junio</w:t>
      </w:r>
      <w:r w:rsidR="00E960AB" w:rsidRPr="00B01A7E">
        <w:rPr>
          <w:rFonts w:ascii="Palatino Linotype" w:eastAsia="Calibri" w:hAnsi="Palatino Linotype" w:cs="Arial"/>
          <w:color w:val="000000" w:themeColor="text1"/>
          <w:lang w:val="es-ES"/>
        </w:rPr>
        <w:t xml:space="preserve"> de dos mil veintidós</w:t>
      </w:r>
      <w:r w:rsidRPr="00B01A7E">
        <w:rPr>
          <w:rFonts w:ascii="Palatino Linotype" w:hAnsi="Palatino Linotype"/>
          <w:b/>
          <w:color w:val="000000" w:themeColor="text1"/>
        </w:rPr>
        <w:t xml:space="preserve">, </w:t>
      </w:r>
      <w:r w:rsidRPr="00B01A7E">
        <w:rPr>
          <w:rFonts w:ascii="Palatino Linotype" w:eastAsia="Calibri" w:hAnsi="Palatino Linotype" w:cs="Arial"/>
          <w:color w:val="000000" w:themeColor="text1"/>
          <w:lang w:val="es-ES"/>
        </w:rPr>
        <w:t xml:space="preserve">se presentó ante el </w:t>
      </w:r>
      <w:r w:rsidRPr="00B01A7E">
        <w:rPr>
          <w:rFonts w:ascii="Palatino Linotype" w:eastAsia="Calibri" w:hAnsi="Palatino Linotype" w:cs="Arial"/>
          <w:b/>
          <w:color w:val="000000" w:themeColor="text1"/>
          <w:lang w:val="es-ES"/>
        </w:rPr>
        <w:t>SUJETO OBLIGADO</w:t>
      </w:r>
      <w:r w:rsidRPr="00B01A7E">
        <w:rPr>
          <w:rFonts w:ascii="Palatino Linotype" w:eastAsia="Calibri" w:hAnsi="Palatino Linotype" w:cs="Arial"/>
          <w:color w:val="000000" w:themeColor="text1"/>
        </w:rPr>
        <w:t xml:space="preserve"> vía </w:t>
      </w:r>
      <w:r w:rsidR="008A699B" w:rsidRPr="00B01A7E">
        <w:rPr>
          <w:rFonts w:ascii="Palatino Linotype" w:eastAsia="Calibri" w:hAnsi="Palatino Linotype" w:cs="Arial"/>
          <w:color w:val="000000" w:themeColor="text1"/>
          <w:lang w:val="es-ES"/>
        </w:rPr>
        <w:t>SAIMEX, la solicitud</w:t>
      </w:r>
      <w:r w:rsidRPr="00B01A7E">
        <w:rPr>
          <w:rFonts w:ascii="Palatino Linotype" w:eastAsia="Calibri" w:hAnsi="Palatino Linotype" w:cs="Arial"/>
          <w:color w:val="000000" w:themeColor="text1"/>
          <w:lang w:val="es-ES"/>
        </w:rPr>
        <w:t xml:space="preserve"> de información pública</w:t>
      </w:r>
      <w:r w:rsidR="008A699B" w:rsidRPr="00B01A7E">
        <w:rPr>
          <w:rFonts w:ascii="Palatino Linotype" w:eastAsia="Calibri" w:hAnsi="Palatino Linotype" w:cs="Arial"/>
          <w:color w:val="000000" w:themeColor="text1"/>
          <w:lang w:val="es-ES"/>
        </w:rPr>
        <w:t xml:space="preserve"> registrada</w:t>
      </w:r>
      <w:r w:rsidRPr="00B01A7E">
        <w:rPr>
          <w:rFonts w:ascii="Palatino Linotype" w:eastAsia="Calibri" w:hAnsi="Palatino Linotype" w:cs="Arial"/>
          <w:color w:val="000000" w:themeColor="text1"/>
          <w:lang w:val="es-ES"/>
        </w:rPr>
        <w:t xml:space="preserve"> con </w:t>
      </w:r>
      <w:r w:rsidR="008A699B" w:rsidRPr="00B01A7E">
        <w:rPr>
          <w:rFonts w:ascii="Palatino Linotype" w:eastAsia="Calibri" w:hAnsi="Palatino Linotype" w:cs="Arial"/>
          <w:color w:val="000000" w:themeColor="text1"/>
          <w:lang w:val="es-ES"/>
        </w:rPr>
        <w:t xml:space="preserve">el </w:t>
      </w:r>
      <w:r w:rsidRPr="00B01A7E">
        <w:rPr>
          <w:rFonts w:ascii="Palatino Linotype" w:eastAsia="Calibri" w:hAnsi="Palatino Linotype" w:cs="Arial"/>
          <w:color w:val="000000" w:themeColor="text1"/>
          <w:lang w:val="es-ES"/>
        </w:rPr>
        <w:t>número</w:t>
      </w:r>
      <w:r w:rsidRPr="00B01A7E">
        <w:rPr>
          <w:rFonts w:ascii="Palatino Linotype" w:hAnsi="Palatino Linotype"/>
          <w:b/>
          <w:bCs/>
          <w:color w:val="000000" w:themeColor="text1"/>
        </w:rPr>
        <w:t xml:space="preserve"> </w:t>
      </w:r>
      <w:r w:rsidR="00166B4F" w:rsidRPr="00B01A7E">
        <w:rPr>
          <w:rFonts w:ascii="Palatino Linotype" w:hAnsi="Palatino Linotype"/>
          <w:b/>
          <w:bCs/>
          <w:color w:val="000000" w:themeColor="text1"/>
        </w:rPr>
        <w:t>00240/SEDUO/IP/2022</w:t>
      </w:r>
      <w:r w:rsidRPr="00B01A7E">
        <w:rPr>
          <w:rFonts w:ascii="Palatino Linotype" w:hAnsi="Palatino Linotype"/>
          <w:b/>
          <w:bCs/>
          <w:color w:val="000000" w:themeColor="text1"/>
        </w:rPr>
        <w:t xml:space="preserve">; </w:t>
      </w:r>
      <w:r w:rsidR="006971FE" w:rsidRPr="00B01A7E">
        <w:rPr>
          <w:rFonts w:ascii="Palatino Linotype" w:eastAsia="Calibri" w:hAnsi="Palatino Linotype" w:cs="Arial"/>
          <w:color w:val="000000" w:themeColor="text1"/>
          <w:lang w:val="es-ES"/>
        </w:rPr>
        <w:t xml:space="preserve">en el que </w:t>
      </w:r>
      <w:r w:rsidRPr="00B01A7E">
        <w:rPr>
          <w:rFonts w:ascii="Palatino Linotype" w:eastAsia="Calibri" w:hAnsi="Palatino Linotype" w:cs="Arial"/>
          <w:color w:val="000000" w:themeColor="text1"/>
          <w:lang w:val="es-ES"/>
        </w:rPr>
        <w:t>se solicitó la siguiente información:</w:t>
      </w:r>
    </w:p>
    <w:p w:rsidR="008A699B" w:rsidRPr="00B01A7E" w:rsidRDefault="008A699B" w:rsidP="00AF52DB">
      <w:pPr>
        <w:pStyle w:val="Prrafodelista"/>
        <w:spacing w:line="360" w:lineRule="auto"/>
        <w:ind w:left="0"/>
        <w:jc w:val="both"/>
        <w:rPr>
          <w:rFonts w:ascii="Palatino Linotype" w:eastAsia="Calibri" w:hAnsi="Palatino Linotype" w:cs="Arial"/>
          <w:color w:val="000000" w:themeColor="text1"/>
          <w:lang w:val="es-ES"/>
        </w:rPr>
      </w:pPr>
    </w:p>
    <w:p w:rsidR="008A699B" w:rsidRPr="00B01A7E" w:rsidRDefault="008A699B" w:rsidP="00AF52DB">
      <w:pPr>
        <w:pStyle w:val="Prrafodelista"/>
        <w:spacing w:line="360" w:lineRule="auto"/>
        <w:ind w:left="426" w:right="474"/>
        <w:jc w:val="both"/>
        <w:rPr>
          <w:rFonts w:ascii="Palatino Linotype" w:hAnsi="Palatino Linotype"/>
          <w:i/>
          <w:color w:val="000000" w:themeColor="text1"/>
        </w:rPr>
      </w:pPr>
      <w:r w:rsidRPr="00B01A7E">
        <w:rPr>
          <w:rFonts w:ascii="Palatino Linotype" w:hAnsi="Palatino Linotype"/>
          <w:i/>
          <w:color w:val="000000" w:themeColor="text1"/>
        </w:rPr>
        <w:t>“</w:t>
      </w:r>
      <w:r w:rsidR="00166B4F" w:rsidRPr="00B01A7E">
        <w:rPr>
          <w:rFonts w:ascii="Palatino Linotype" w:hAnsi="Palatino Linotype"/>
          <w:i/>
          <w:color w:val="000000" w:themeColor="text1"/>
        </w:rPr>
        <w:t>Solicito documento donde se compruebe el pago quincenal del titular de la Dirección General de la Comisión de Impacto Estatal, es decir, "comprobante quincenal" o "constancia quincenal", de esta mismo sujeto obligado solicito conocer del titular de la Dirección de Servicios al Inversionista, Director de Dictaminación y Director del registro de evaluaciones de Impacto Estatal.</w:t>
      </w:r>
      <w:r w:rsidRPr="00B01A7E">
        <w:rPr>
          <w:rFonts w:ascii="Palatino Linotype" w:hAnsi="Palatino Linotype"/>
          <w:i/>
          <w:color w:val="000000" w:themeColor="text1"/>
        </w:rPr>
        <w:t>”</w:t>
      </w:r>
    </w:p>
    <w:p w:rsidR="00C36548" w:rsidRPr="00B01A7E" w:rsidRDefault="00C36548" w:rsidP="00AF52DB">
      <w:pPr>
        <w:spacing w:line="360" w:lineRule="auto"/>
        <w:ind w:right="474"/>
        <w:jc w:val="both"/>
        <w:rPr>
          <w:rFonts w:ascii="Palatino Linotype" w:hAnsi="Palatino Linotype"/>
          <w:i/>
          <w:color w:val="000000" w:themeColor="text1"/>
        </w:rPr>
      </w:pPr>
    </w:p>
    <w:p w:rsidR="009F09BC" w:rsidRPr="00B01A7E" w:rsidRDefault="009F09BC" w:rsidP="00AF52DB">
      <w:pPr>
        <w:pStyle w:val="Prrafodelista"/>
        <w:numPr>
          <w:ilvl w:val="0"/>
          <w:numId w:val="23"/>
        </w:numPr>
        <w:spacing w:line="360" w:lineRule="auto"/>
        <w:ind w:left="851" w:right="34"/>
        <w:jc w:val="both"/>
        <w:rPr>
          <w:rFonts w:ascii="Palatino Linotype" w:hAnsi="Palatino Linotype"/>
          <w:color w:val="000000" w:themeColor="text1"/>
        </w:rPr>
      </w:pPr>
      <w:r w:rsidRPr="00B01A7E">
        <w:rPr>
          <w:rFonts w:ascii="Palatino Linotype" w:eastAsia="Times New Roman" w:hAnsi="Palatino Linotype" w:cs="Arial"/>
          <w:color w:val="000000" w:themeColor="text1"/>
          <w:lang w:val="es-ES"/>
        </w:rPr>
        <w:t>Se eligió como modalidad de entrega de la información</w:t>
      </w:r>
      <w:r w:rsidRPr="00B01A7E">
        <w:rPr>
          <w:rFonts w:ascii="Palatino Linotype" w:hAnsi="Palatino Linotype"/>
          <w:color w:val="000000" w:themeColor="text1"/>
        </w:rPr>
        <w:t xml:space="preserve">: A través del </w:t>
      </w:r>
      <w:r w:rsidRPr="00B01A7E">
        <w:rPr>
          <w:rFonts w:ascii="Palatino Linotype" w:hAnsi="Palatino Linotype"/>
          <w:b/>
          <w:color w:val="000000" w:themeColor="text1"/>
        </w:rPr>
        <w:t>SAIMEX</w:t>
      </w:r>
    </w:p>
    <w:p w:rsidR="009F09BC" w:rsidRPr="00B01A7E" w:rsidRDefault="00BE2A9D" w:rsidP="00AF52DB">
      <w:pPr>
        <w:pStyle w:val="Prrafodelista"/>
        <w:numPr>
          <w:ilvl w:val="0"/>
          <w:numId w:val="15"/>
        </w:numPr>
        <w:tabs>
          <w:tab w:val="left" w:pos="0"/>
        </w:tabs>
        <w:spacing w:line="360" w:lineRule="auto"/>
        <w:ind w:right="51"/>
        <w:jc w:val="both"/>
        <w:rPr>
          <w:rFonts w:ascii="Palatino Linotype" w:hAnsi="Palatino Linotype" w:cs="Arial"/>
          <w:i/>
          <w:color w:val="000000" w:themeColor="text1"/>
        </w:rPr>
      </w:pPr>
      <w:r w:rsidRPr="00B01A7E">
        <w:rPr>
          <w:rFonts w:ascii="Palatino Linotype" w:hAnsi="Palatino Linotype" w:cs="Arial"/>
          <w:color w:val="000000" w:themeColor="text1"/>
        </w:rPr>
        <w:lastRenderedPageBreak/>
        <w:t xml:space="preserve">El </w:t>
      </w:r>
      <w:r w:rsidR="00166B4F" w:rsidRPr="00B01A7E">
        <w:rPr>
          <w:rFonts w:ascii="Palatino Linotype" w:hAnsi="Palatino Linotype" w:cs="Arial"/>
          <w:color w:val="000000" w:themeColor="text1"/>
        </w:rPr>
        <w:t>diez de junio</w:t>
      </w:r>
      <w:r w:rsidR="00E960AB" w:rsidRPr="00B01A7E">
        <w:rPr>
          <w:rFonts w:ascii="Palatino Linotype" w:hAnsi="Palatino Linotype" w:cs="Arial"/>
          <w:color w:val="000000" w:themeColor="text1"/>
        </w:rPr>
        <w:t xml:space="preserve"> de dos mil veintidós</w:t>
      </w:r>
      <w:r w:rsidR="009F09BC" w:rsidRPr="00B01A7E">
        <w:rPr>
          <w:rFonts w:ascii="Palatino Linotype" w:hAnsi="Palatino Linotype" w:cs="Arial"/>
          <w:color w:val="000000" w:themeColor="text1"/>
        </w:rPr>
        <w:t xml:space="preserve">, el </w:t>
      </w:r>
      <w:r w:rsidR="009F09BC" w:rsidRPr="00B01A7E">
        <w:rPr>
          <w:rFonts w:ascii="Palatino Linotype" w:hAnsi="Palatino Linotype" w:cs="Arial"/>
          <w:b/>
          <w:color w:val="000000" w:themeColor="text1"/>
        </w:rPr>
        <w:t>SUJETO OBLIGADO,</w:t>
      </w:r>
      <w:r w:rsidR="009F09BC" w:rsidRPr="00B01A7E">
        <w:rPr>
          <w:rFonts w:ascii="Palatino Linotype" w:hAnsi="Palatino Linotype" w:cs="Arial"/>
          <w:color w:val="000000" w:themeColor="text1"/>
        </w:rPr>
        <w:t xml:space="preserve"> dio respuesta a la solicitud de información </w:t>
      </w:r>
      <w:r w:rsidR="00C36548" w:rsidRPr="00B01A7E">
        <w:rPr>
          <w:rFonts w:ascii="Palatino Linotype" w:hAnsi="Palatino Linotype" w:cs="Arial"/>
          <w:color w:val="000000" w:themeColor="text1"/>
        </w:rPr>
        <w:t xml:space="preserve">mediante dos archivos de nombres </w:t>
      </w:r>
      <w:r w:rsidR="00166B4F" w:rsidRPr="00B01A7E">
        <w:rPr>
          <w:rFonts w:ascii="Palatino Linotype" w:hAnsi="Palatino Linotype" w:cs="Arial"/>
          <w:b/>
          <w:color w:val="000000" w:themeColor="text1"/>
        </w:rPr>
        <w:t>R. DGCIE 240-22.pdf y UT 240-2022.pdf</w:t>
      </w:r>
      <w:r w:rsidR="00DF7F47" w:rsidRPr="00B01A7E">
        <w:rPr>
          <w:rFonts w:ascii="Palatino Linotype" w:hAnsi="Palatino Linotype" w:cs="Arial"/>
          <w:color w:val="000000" w:themeColor="text1"/>
        </w:rPr>
        <w:t xml:space="preserve">, </w:t>
      </w:r>
      <w:r w:rsidR="00C36548" w:rsidRPr="00B01A7E">
        <w:rPr>
          <w:rFonts w:ascii="Palatino Linotype" w:hAnsi="Palatino Linotype" w:cs="Arial"/>
          <w:color w:val="000000" w:themeColor="text1"/>
        </w:rPr>
        <w:t xml:space="preserve">cuyo contenido </w:t>
      </w:r>
      <w:r w:rsidR="00C36548" w:rsidRPr="00B01A7E">
        <w:rPr>
          <w:rFonts w:ascii="Palatino Linotype" w:hAnsi="Palatino Linotype" w:cs="Arial"/>
          <w:i/>
          <w:color w:val="000000" w:themeColor="text1"/>
        </w:rPr>
        <w:t>grosso modo</w:t>
      </w:r>
      <w:r w:rsidR="00C36548" w:rsidRPr="00B01A7E">
        <w:rPr>
          <w:rFonts w:ascii="Palatino Linotype" w:hAnsi="Palatino Linotype" w:cs="Arial"/>
          <w:color w:val="000000" w:themeColor="text1"/>
        </w:rPr>
        <w:t xml:space="preserve"> es el siguiente</w:t>
      </w:r>
      <w:r w:rsidR="009F09BC" w:rsidRPr="00B01A7E">
        <w:rPr>
          <w:rFonts w:ascii="Palatino Linotype" w:hAnsi="Palatino Linotype" w:cs="Arial"/>
          <w:color w:val="000000" w:themeColor="text1"/>
        </w:rPr>
        <w:t>:</w:t>
      </w:r>
    </w:p>
    <w:p w:rsidR="00AF52DB" w:rsidRPr="00B01A7E" w:rsidRDefault="00AF52DB" w:rsidP="00AF52DB">
      <w:pPr>
        <w:pStyle w:val="Prrafodelista"/>
        <w:tabs>
          <w:tab w:val="left" w:pos="0"/>
        </w:tabs>
        <w:spacing w:line="360" w:lineRule="auto"/>
        <w:ind w:left="360" w:right="51"/>
        <w:jc w:val="both"/>
        <w:rPr>
          <w:rFonts w:ascii="Palatino Linotype" w:hAnsi="Palatino Linotype" w:cs="Arial"/>
          <w:i/>
          <w:color w:val="000000" w:themeColor="text1"/>
        </w:rPr>
      </w:pPr>
    </w:p>
    <w:p w:rsidR="00D92B79" w:rsidRPr="00B01A7E" w:rsidRDefault="00166B4F" w:rsidP="00AF52DB">
      <w:pPr>
        <w:pStyle w:val="Prrafodelista"/>
        <w:tabs>
          <w:tab w:val="left" w:pos="0"/>
        </w:tabs>
        <w:spacing w:line="360" w:lineRule="auto"/>
        <w:ind w:left="0" w:right="51"/>
        <w:jc w:val="center"/>
        <w:rPr>
          <w:rFonts w:ascii="Palatino Linotype" w:hAnsi="Palatino Linotype" w:cs="Arial"/>
          <w:color w:val="000000" w:themeColor="text1"/>
        </w:rPr>
      </w:pPr>
      <w:r w:rsidRPr="00B01A7E">
        <w:rPr>
          <w:rFonts w:ascii="Palatino Linotype" w:hAnsi="Palatino Linotype" w:cs="Arial"/>
          <w:noProof/>
          <w:color w:val="000000" w:themeColor="text1"/>
          <w:lang w:val="es-MX" w:eastAsia="es-MX"/>
        </w:rPr>
        <w:drawing>
          <wp:inline distT="0" distB="0" distL="0" distR="0">
            <wp:extent cx="5607050" cy="2959100"/>
            <wp:effectExtent l="19050" t="19050" r="12700" b="127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0" cy="2959100"/>
                    </a:xfrm>
                    <a:prstGeom prst="rect">
                      <a:avLst/>
                    </a:prstGeom>
                    <a:noFill/>
                    <a:ln>
                      <a:solidFill>
                        <a:schemeClr val="tx1"/>
                      </a:solidFill>
                    </a:ln>
                  </pic:spPr>
                </pic:pic>
              </a:graphicData>
            </a:graphic>
          </wp:inline>
        </w:drawing>
      </w:r>
    </w:p>
    <w:p w:rsidR="00166B4F" w:rsidRPr="00B01A7E" w:rsidRDefault="00166B4F" w:rsidP="00AF52DB">
      <w:pPr>
        <w:pStyle w:val="Prrafodelista"/>
        <w:tabs>
          <w:tab w:val="left" w:pos="0"/>
        </w:tabs>
        <w:spacing w:line="360" w:lineRule="auto"/>
        <w:ind w:left="0" w:right="51"/>
        <w:jc w:val="center"/>
        <w:rPr>
          <w:rFonts w:ascii="Palatino Linotype" w:hAnsi="Palatino Linotype" w:cs="Arial"/>
          <w:color w:val="000000" w:themeColor="text1"/>
        </w:rPr>
      </w:pPr>
      <w:r w:rsidRPr="00B01A7E">
        <w:rPr>
          <w:rFonts w:ascii="Palatino Linotype" w:hAnsi="Palatino Linotype" w:cs="Arial"/>
          <w:noProof/>
          <w:color w:val="000000" w:themeColor="text1"/>
          <w:lang w:val="es-MX" w:eastAsia="es-MX"/>
        </w:rPr>
        <w:drawing>
          <wp:inline distT="0" distB="0" distL="0" distR="0">
            <wp:extent cx="5613400" cy="2895600"/>
            <wp:effectExtent l="19050" t="19050" r="25400" b="190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3400" cy="2895600"/>
                    </a:xfrm>
                    <a:prstGeom prst="rect">
                      <a:avLst/>
                    </a:prstGeom>
                    <a:noFill/>
                    <a:ln>
                      <a:solidFill>
                        <a:schemeClr val="tx1"/>
                      </a:solidFill>
                    </a:ln>
                  </pic:spPr>
                </pic:pic>
              </a:graphicData>
            </a:graphic>
          </wp:inline>
        </w:drawing>
      </w:r>
    </w:p>
    <w:p w:rsidR="009F09BC" w:rsidRPr="00B01A7E" w:rsidRDefault="009F09BC" w:rsidP="00AF52DB">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B01A7E">
        <w:rPr>
          <w:rFonts w:ascii="Palatino Linotype" w:eastAsia="Times New Roman" w:hAnsi="Palatino Linotype" w:cs="Arial"/>
          <w:color w:val="000000" w:themeColor="text1"/>
          <w:lang w:val="es-ES"/>
        </w:rPr>
        <w:lastRenderedPageBreak/>
        <w:t>E</w:t>
      </w:r>
      <w:r w:rsidR="002C4997" w:rsidRPr="00B01A7E">
        <w:rPr>
          <w:rFonts w:ascii="Palatino Linotype" w:eastAsia="Times New Roman" w:hAnsi="Palatino Linotype" w:cs="Arial"/>
          <w:color w:val="000000" w:themeColor="text1"/>
          <w:lang w:val="es-ES"/>
        </w:rPr>
        <w:t xml:space="preserve">l </w:t>
      </w:r>
      <w:r w:rsidR="00166B4F" w:rsidRPr="00B01A7E">
        <w:rPr>
          <w:rFonts w:ascii="Palatino Linotype" w:eastAsia="Times New Roman" w:hAnsi="Palatino Linotype" w:cs="Arial"/>
          <w:color w:val="000000" w:themeColor="text1"/>
          <w:lang w:val="es-ES"/>
        </w:rPr>
        <w:t>trece de juni</w:t>
      </w:r>
      <w:r w:rsidR="0095509E" w:rsidRPr="00B01A7E">
        <w:rPr>
          <w:rFonts w:ascii="Palatino Linotype" w:eastAsia="Times New Roman" w:hAnsi="Palatino Linotype" w:cs="Arial"/>
          <w:color w:val="000000" w:themeColor="text1"/>
          <w:lang w:val="es-ES"/>
        </w:rPr>
        <w:t>o</w:t>
      </w:r>
      <w:r w:rsidRPr="00B01A7E">
        <w:rPr>
          <w:rFonts w:ascii="Palatino Linotype" w:eastAsia="Times New Roman" w:hAnsi="Palatino Linotype" w:cs="Arial"/>
          <w:color w:val="000000" w:themeColor="text1"/>
          <w:lang w:val="es-ES"/>
        </w:rPr>
        <w:t xml:space="preserve"> de </w:t>
      </w:r>
      <w:r w:rsidR="009E5782" w:rsidRPr="00B01A7E">
        <w:rPr>
          <w:rFonts w:ascii="Palatino Linotype" w:eastAsia="Times New Roman" w:hAnsi="Palatino Linotype" w:cs="Arial"/>
          <w:color w:val="000000" w:themeColor="text1"/>
          <w:lang w:val="es-ES"/>
        </w:rPr>
        <w:t>dos mil veintidós</w:t>
      </w:r>
      <w:r w:rsidRPr="00B01A7E">
        <w:rPr>
          <w:rFonts w:ascii="Palatino Linotype" w:eastAsia="Times New Roman" w:hAnsi="Palatino Linotype" w:cs="Arial"/>
          <w:color w:val="000000" w:themeColor="text1"/>
          <w:lang w:val="es-ES"/>
        </w:rPr>
        <w:t xml:space="preserve">, el particular interpuso </w:t>
      </w:r>
      <w:r w:rsidR="002C4997" w:rsidRPr="00B01A7E">
        <w:rPr>
          <w:rFonts w:ascii="Palatino Linotype" w:eastAsia="Times New Roman" w:hAnsi="Palatino Linotype" w:cs="Arial"/>
          <w:color w:val="000000" w:themeColor="text1"/>
          <w:lang w:val="es-ES"/>
        </w:rPr>
        <w:t>e</w:t>
      </w:r>
      <w:r w:rsidRPr="00B01A7E">
        <w:rPr>
          <w:rFonts w:ascii="Palatino Linotype" w:eastAsia="Times New Roman" w:hAnsi="Palatino Linotype" w:cs="Arial"/>
          <w:color w:val="000000" w:themeColor="text1"/>
          <w:lang w:val="es-ES"/>
        </w:rPr>
        <w:t>l recurso de revisión en contra de la respuesta, manifestando l</w:t>
      </w:r>
      <w:r w:rsidR="002C4997" w:rsidRPr="00B01A7E">
        <w:rPr>
          <w:rFonts w:ascii="Palatino Linotype" w:eastAsia="Times New Roman" w:hAnsi="Palatino Linotype" w:cs="Arial"/>
          <w:color w:val="000000" w:themeColor="text1"/>
          <w:lang w:val="es-ES"/>
        </w:rPr>
        <w:t>a</w:t>
      </w:r>
      <w:r w:rsidRPr="00B01A7E">
        <w:rPr>
          <w:rFonts w:ascii="Palatino Linotype" w:eastAsia="Times New Roman" w:hAnsi="Palatino Linotype" w:cs="Arial"/>
          <w:color w:val="000000" w:themeColor="text1"/>
          <w:lang w:val="es-ES"/>
        </w:rPr>
        <w:t xml:space="preserve">s </w:t>
      </w:r>
      <w:r w:rsidR="002C4997" w:rsidRPr="00B01A7E">
        <w:rPr>
          <w:rFonts w:ascii="Palatino Linotype" w:eastAsia="Times New Roman" w:hAnsi="Palatino Linotype" w:cs="Arial"/>
          <w:color w:val="000000" w:themeColor="text1"/>
          <w:lang w:val="es-ES"/>
        </w:rPr>
        <w:t>siguientes</w:t>
      </w:r>
      <w:r w:rsidRPr="00B01A7E">
        <w:rPr>
          <w:rFonts w:ascii="Palatino Linotype" w:eastAsia="Times New Roman" w:hAnsi="Palatino Linotype" w:cs="Arial"/>
          <w:color w:val="000000" w:themeColor="text1"/>
          <w:lang w:val="es-ES"/>
        </w:rPr>
        <w:t xml:space="preserve"> razones o motivos de inconformidad:</w:t>
      </w:r>
    </w:p>
    <w:p w:rsidR="00166B4F" w:rsidRPr="00B01A7E" w:rsidRDefault="00166B4F" w:rsidP="00AF52DB">
      <w:pPr>
        <w:pStyle w:val="Prrafodelista"/>
        <w:tabs>
          <w:tab w:val="left" w:pos="0"/>
        </w:tabs>
        <w:spacing w:line="360" w:lineRule="auto"/>
        <w:ind w:left="0" w:right="49"/>
        <w:jc w:val="both"/>
        <w:rPr>
          <w:rFonts w:ascii="Palatino Linotype" w:hAnsi="Palatino Linotype" w:cs="Arial"/>
          <w:i/>
          <w:color w:val="000000" w:themeColor="text1"/>
        </w:rPr>
      </w:pPr>
    </w:p>
    <w:p w:rsidR="009F09BC" w:rsidRPr="00B01A7E" w:rsidRDefault="009F09BC" w:rsidP="00AF52DB">
      <w:pPr>
        <w:pStyle w:val="Prrafodelista"/>
        <w:numPr>
          <w:ilvl w:val="0"/>
          <w:numId w:val="23"/>
        </w:numPr>
        <w:spacing w:line="360" w:lineRule="auto"/>
        <w:jc w:val="both"/>
        <w:rPr>
          <w:rStyle w:val="Ttulo2Car"/>
          <w:rFonts w:ascii="Palatino Linotype" w:eastAsiaTheme="minorEastAsia" w:hAnsi="Palatino Linotype" w:cstheme="minorBidi"/>
          <w:i/>
          <w:color w:val="000000" w:themeColor="text1"/>
          <w:sz w:val="24"/>
          <w:szCs w:val="24"/>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B01A7E">
        <w:rPr>
          <w:rStyle w:val="Ttulo2Car"/>
          <w:rFonts w:ascii="Palatino Linotype" w:hAnsi="Palatino Linotype"/>
          <w:b/>
          <w:color w:val="000000" w:themeColor="text1"/>
          <w:sz w:val="24"/>
          <w:szCs w:val="24"/>
        </w:rPr>
        <w:t>Acto impugnado</w:t>
      </w:r>
      <w:bookmarkEnd w:id="3"/>
      <w:r w:rsidRPr="00B01A7E">
        <w:rPr>
          <w:rStyle w:val="Ttulo2Car"/>
          <w:rFonts w:ascii="Palatino Linotype" w:hAnsi="Palatino Linotype"/>
          <w:b/>
          <w:color w:val="000000" w:themeColor="text1"/>
          <w:sz w:val="24"/>
          <w:szCs w:val="24"/>
        </w:rPr>
        <w:t xml:space="preserve">: </w:t>
      </w:r>
      <w:r w:rsidRPr="00B01A7E">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166B4F" w:rsidRPr="00B01A7E">
        <w:rPr>
          <w:rStyle w:val="Ttulo2Car"/>
          <w:rFonts w:ascii="Palatino Linotype" w:hAnsi="Palatino Linotype"/>
          <w:i/>
          <w:color w:val="000000" w:themeColor="text1"/>
          <w:sz w:val="24"/>
          <w:szCs w:val="24"/>
        </w:rPr>
        <w:t>Solicite documento que lo compruebe.</w:t>
      </w:r>
      <w:r w:rsidR="00652937" w:rsidRPr="00B01A7E">
        <w:rPr>
          <w:rStyle w:val="Ttulo2Car"/>
          <w:rFonts w:ascii="Palatino Linotype" w:hAnsi="Palatino Linotype"/>
          <w:i/>
          <w:color w:val="000000" w:themeColor="text1"/>
          <w:sz w:val="24"/>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166B4F" w:rsidRPr="00B01A7E" w:rsidRDefault="00166B4F" w:rsidP="00AF52DB">
      <w:pPr>
        <w:pStyle w:val="Prrafodelista"/>
        <w:spacing w:line="360" w:lineRule="auto"/>
        <w:ind w:left="1004"/>
        <w:jc w:val="both"/>
        <w:rPr>
          <w:rFonts w:ascii="Palatino Linotype" w:hAnsi="Palatino Linotype"/>
          <w:i/>
          <w:color w:val="000000" w:themeColor="text1"/>
        </w:rPr>
      </w:pPr>
    </w:p>
    <w:p w:rsidR="009F09BC" w:rsidRPr="00B01A7E" w:rsidRDefault="009F09BC" w:rsidP="00AF52DB">
      <w:pPr>
        <w:pStyle w:val="Prrafodelista"/>
        <w:numPr>
          <w:ilvl w:val="0"/>
          <w:numId w:val="23"/>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B01A7E">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B01A7E">
        <w:rPr>
          <w:rFonts w:ascii="Palatino Linotype" w:hAnsi="Palatino Linotype"/>
          <w:b/>
          <w:color w:val="000000" w:themeColor="text1"/>
        </w:rPr>
        <w:t xml:space="preserve"> </w:t>
      </w:r>
      <w:r w:rsidRPr="00B01A7E">
        <w:rPr>
          <w:rFonts w:ascii="Palatino Linotype" w:hAnsi="Palatino Linotype"/>
          <w:i/>
          <w:color w:val="000000" w:themeColor="text1"/>
        </w:rPr>
        <w:t>“</w:t>
      </w:r>
      <w:r w:rsidR="00166B4F" w:rsidRPr="00B01A7E">
        <w:rPr>
          <w:rFonts w:ascii="Palatino Linotype" w:hAnsi="Palatino Linotype"/>
          <w:i/>
          <w:color w:val="000000" w:themeColor="text1"/>
        </w:rPr>
        <w:t>Solicite documento que lo compruebe.</w:t>
      </w:r>
      <w:r w:rsidRPr="00B01A7E">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82142B" w:rsidRPr="00B01A7E" w:rsidRDefault="0082142B" w:rsidP="00AF52DB">
      <w:pPr>
        <w:spacing w:line="360" w:lineRule="auto"/>
        <w:rPr>
          <w:rFonts w:ascii="Palatino Linotype" w:hAnsi="Palatino Linotype"/>
          <w:i/>
          <w:color w:val="000000" w:themeColor="text1"/>
        </w:rPr>
      </w:pPr>
    </w:p>
    <w:p w:rsidR="009F09BC" w:rsidRPr="00B01A7E" w:rsidRDefault="00CC5B2F" w:rsidP="00AF52DB">
      <w:pPr>
        <w:pStyle w:val="Prrafodelista"/>
        <w:numPr>
          <w:ilvl w:val="0"/>
          <w:numId w:val="15"/>
        </w:numPr>
        <w:spacing w:line="360" w:lineRule="auto"/>
        <w:ind w:left="0" w:firstLine="0"/>
        <w:jc w:val="both"/>
        <w:rPr>
          <w:rFonts w:ascii="Palatino Linotype" w:hAnsi="Palatino Linotype"/>
          <w:i/>
          <w:color w:val="000000" w:themeColor="text1"/>
        </w:rPr>
      </w:pPr>
      <w:r w:rsidRPr="00B01A7E">
        <w:rPr>
          <w:rFonts w:ascii="Palatino Linotype" w:eastAsia="Calibri" w:hAnsi="Palatino Linotype" w:cs="Arial"/>
          <w:color w:val="000000" w:themeColor="text1"/>
          <w:lang w:val="es-ES"/>
        </w:rPr>
        <w:t>La Comisionada</w:t>
      </w:r>
      <w:r w:rsidR="009F09BC" w:rsidRPr="00B01A7E">
        <w:rPr>
          <w:rFonts w:ascii="Palatino Linotype" w:eastAsia="Calibri" w:hAnsi="Palatino Linotype" w:cs="Arial"/>
          <w:color w:val="000000" w:themeColor="text1"/>
          <w:lang w:val="es-ES"/>
        </w:rPr>
        <w:t xml:space="preserve"> Ponente con fundamento en lo dispuesto por el artículo 185 fracción II de la ley de la materia, a través del acuerdo de admisión de fecha </w:t>
      </w:r>
      <w:r w:rsidR="00166B4F" w:rsidRPr="00B01A7E">
        <w:rPr>
          <w:rFonts w:ascii="Palatino Linotype" w:eastAsia="Calibri" w:hAnsi="Palatino Linotype" w:cs="Arial"/>
          <w:color w:val="000000" w:themeColor="text1"/>
          <w:lang w:val="es-ES"/>
        </w:rPr>
        <w:t>diecisiete de junio</w:t>
      </w:r>
      <w:r w:rsidR="009F09BC" w:rsidRPr="00B01A7E">
        <w:rPr>
          <w:rFonts w:ascii="Palatino Linotype" w:eastAsia="Calibri" w:hAnsi="Palatino Linotype" w:cs="Arial"/>
          <w:color w:val="000000" w:themeColor="text1"/>
          <w:lang w:val="es-ES"/>
        </w:rPr>
        <w:t xml:space="preserve"> del año en curso, puso a disposición de las partes el expediente electrónico </w:t>
      </w:r>
      <w:r w:rsidR="009F09BC" w:rsidRPr="00B01A7E">
        <w:rPr>
          <w:rFonts w:ascii="Palatino Linotype" w:eastAsia="Calibri" w:hAnsi="Palatino Linotype" w:cs="Arial"/>
          <w:color w:val="000000" w:themeColor="text1"/>
        </w:rPr>
        <w:t xml:space="preserve">vía </w:t>
      </w:r>
      <w:r w:rsidR="009F09BC" w:rsidRPr="00B01A7E">
        <w:rPr>
          <w:rFonts w:ascii="Palatino Linotype" w:eastAsia="Calibri" w:hAnsi="Palatino Linotype" w:cs="Arial"/>
          <w:b/>
          <w:color w:val="000000" w:themeColor="text1"/>
          <w:lang w:val="es-ES"/>
        </w:rPr>
        <w:t>SAIMEX</w:t>
      </w:r>
      <w:r w:rsidR="006971FE" w:rsidRPr="00B01A7E">
        <w:rPr>
          <w:rFonts w:ascii="Palatino Linotype" w:eastAsia="Calibri" w:hAnsi="Palatino Linotype" w:cs="Arial"/>
          <w:b/>
          <w:color w:val="000000" w:themeColor="text1"/>
          <w:lang w:val="es-ES"/>
        </w:rPr>
        <w:t>,</w:t>
      </w:r>
      <w:r w:rsidR="009F09BC" w:rsidRPr="00B01A7E">
        <w:rPr>
          <w:rFonts w:ascii="Palatino Linotype" w:eastAsia="Calibri" w:hAnsi="Palatino Linotype" w:cs="Arial"/>
          <w:b/>
          <w:color w:val="000000" w:themeColor="text1"/>
          <w:lang w:val="es-ES"/>
        </w:rPr>
        <w:t xml:space="preserve"> </w:t>
      </w:r>
      <w:r w:rsidR="009F09BC" w:rsidRPr="00B01A7E">
        <w:rPr>
          <w:rFonts w:ascii="Palatino Linotype" w:eastAsia="Calibri" w:hAnsi="Palatino Linotype" w:cs="Arial"/>
          <w:color w:val="000000" w:themeColor="text1"/>
          <w:lang w:val="es-ES"/>
        </w:rPr>
        <w:t>a efecto de que en un plazo máximo de siete días manifestaran lo que a su derecho conviniera, ofrecieran pruebas y alegatos según co</w:t>
      </w:r>
      <w:r w:rsidR="006971FE" w:rsidRPr="00B01A7E">
        <w:rPr>
          <w:rFonts w:ascii="Palatino Linotype" w:eastAsia="Calibri" w:hAnsi="Palatino Linotype" w:cs="Arial"/>
          <w:color w:val="000000" w:themeColor="text1"/>
          <w:lang w:val="es-ES"/>
        </w:rPr>
        <w:t>rresponda a los casos concretos</w:t>
      </w:r>
      <w:r w:rsidR="009F09BC" w:rsidRPr="00B01A7E">
        <w:rPr>
          <w:rFonts w:ascii="Palatino Linotype" w:eastAsia="Calibri" w:hAnsi="Palatino Linotype" w:cs="Arial"/>
          <w:color w:val="000000" w:themeColor="text1"/>
          <w:lang w:val="es-ES"/>
        </w:rPr>
        <w:t xml:space="preserve"> y el </w:t>
      </w:r>
      <w:r w:rsidR="009F09BC" w:rsidRPr="00B01A7E">
        <w:rPr>
          <w:rFonts w:ascii="Palatino Linotype" w:eastAsia="Calibri" w:hAnsi="Palatino Linotype" w:cs="Arial"/>
          <w:b/>
          <w:color w:val="000000" w:themeColor="text1"/>
          <w:lang w:val="es-ES"/>
        </w:rPr>
        <w:t>SUJETO OBLIGADO</w:t>
      </w:r>
      <w:r w:rsidR="006971FE" w:rsidRPr="00B01A7E">
        <w:rPr>
          <w:rFonts w:ascii="Palatino Linotype" w:eastAsia="Calibri" w:hAnsi="Palatino Linotype" w:cs="Arial"/>
          <w:b/>
          <w:color w:val="000000" w:themeColor="text1"/>
          <w:lang w:val="es-ES"/>
        </w:rPr>
        <w:t>,</w:t>
      </w:r>
      <w:r w:rsidR="009F09BC" w:rsidRPr="00B01A7E">
        <w:rPr>
          <w:rFonts w:ascii="Palatino Linotype" w:eastAsia="Calibri" w:hAnsi="Palatino Linotype" w:cs="Arial"/>
          <w:color w:val="000000" w:themeColor="text1"/>
          <w:lang w:val="es-ES"/>
        </w:rPr>
        <w:t xml:space="preserve"> presentará el Informe Justificado procedente.</w:t>
      </w:r>
    </w:p>
    <w:p w:rsidR="009F09BC" w:rsidRPr="00B01A7E" w:rsidRDefault="009F09BC" w:rsidP="00AF52DB">
      <w:pPr>
        <w:pStyle w:val="Prrafodelista"/>
        <w:spacing w:line="360" w:lineRule="auto"/>
        <w:ind w:left="0"/>
        <w:jc w:val="both"/>
        <w:rPr>
          <w:rFonts w:ascii="Palatino Linotype" w:hAnsi="Palatino Linotype"/>
          <w:color w:val="000000" w:themeColor="text1"/>
        </w:rPr>
      </w:pPr>
    </w:p>
    <w:p w:rsidR="00E8479A" w:rsidRPr="00B01A7E" w:rsidRDefault="009F09BC" w:rsidP="00AF52DB">
      <w:pPr>
        <w:pStyle w:val="Prrafodelista"/>
        <w:numPr>
          <w:ilvl w:val="0"/>
          <w:numId w:val="15"/>
        </w:numPr>
        <w:spacing w:line="360" w:lineRule="auto"/>
        <w:ind w:left="0" w:firstLine="0"/>
        <w:jc w:val="both"/>
        <w:rPr>
          <w:rFonts w:ascii="Palatino Linotype" w:hAnsi="Palatino Linotype"/>
          <w:color w:val="000000" w:themeColor="text1"/>
        </w:rPr>
      </w:pPr>
      <w:r w:rsidRPr="00B01A7E">
        <w:rPr>
          <w:rFonts w:ascii="Palatino Linotype" w:hAnsi="Palatino Linotype"/>
          <w:color w:val="000000" w:themeColor="text1"/>
        </w:rPr>
        <w:t xml:space="preserve">El </w:t>
      </w:r>
      <w:r w:rsidRPr="00B01A7E">
        <w:rPr>
          <w:rFonts w:ascii="Palatino Linotype" w:hAnsi="Palatino Linotype"/>
          <w:b/>
          <w:color w:val="000000" w:themeColor="text1"/>
        </w:rPr>
        <w:t xml:space="preserve">SUJETO </w:t>
      </w:r>
      <w:r w:rsidRPr="00B01A7E">
        <w:rPr>
          <w:rFonts w:ascii="Palatino Linotype" w:eastAsia="Calibri" w:hAnsi="Palatino Linotype" w:cs="Arial"/>
          <w:b/>
          <w:color w:val="000000" w:themeColor="text1"/>
          <w:lang w:val="es-ES"/>
        </w:rPr>
        <w:t>OBLIGADO</w:t>
      </w:r>
      <w:r w:rsidR="006971FE" w:rsidRPr="00B01A7E">
        <w:rPr>
          <w:rFonts w:ascii="Palatino Linotype" w:eastAsia="Calibri" w:hAnsi="Palatino Linotype" w:cs="Arial"/>
          <w:b/>
          <w:color w:val="000000" w:themeColor="text1"/>
          <w:lang w:val="es-ES"/>
        </w:rPr>
        <w:t>,</w:t>
      </w:r>
      <w:r w:rsidR="007A6A1A" w:rsidRPr="00B01A7E">
        <w:rPr>
          <w:rFonts w:ascii="Palatino Linotype" w:hAnsi="Palatino Linotype"/>
          <w:color w:val="000000" w:themeColor="text1"/>
        </w:rPr>
        <w:t xml:space="preserve"> </w:t>
      </w:r>
      <w:r w:rsidR="00FF2E85" w:rsidRPr="00B01A7E">
        <w:rPr>
          <w:rFonts w:ascii="Palatino Linotype" w:hAnsi="Palatino Linotype"/>
          <w:color w:val="000000" w:themeColor="text1"/>
        </w:rPr>
        <w:t>el d</w:t>
      </w:r>
      <w:r w:rsidR="00166B4F" w:rsidRPr="00B01A7E">
        <w:rPr>
          <w:rFonts w:ascii="Palatino Linotype" w:hAnsi="Palatino Linotype"/>
          <w:color w:val="000000" w:themeColor="text1"/>
        </w:rPr>
        <w:t>ía veintisiete de junio</w:t>
      </w:r>
      <w:r w:rsidR="00FF2E85" w:rsidRPr="00B01A7E">
        <w:rPr>
          <w:rFonts w:ascii="Palatino Linotype" w:hAnsi="Palatino Linotype"/>
          <w:color w:val="000000" w:themeColor="text1"/>
        </w:rPr>
        <w:t xml:space="preserve"> de dos mil veintidós, rindió su informe justificado, mismo que fue hecho del conocimiento del particular mediante acuerdo de fecha </w:t>
      </w:r>
      <w:r w:rsidR="00166B4F" w:rsidRPr="00B01A7E">
        <w:rPr>
          <w:rFonts w:ascii="Palatino Linotype" w:hAnsi="Palatino Linotype"/>
          <w:color w:val="000000" w:themeColor="text1"/>
        </w:rPr>
        <w:t>veintisiete de junio</w:t>
      </w:r>
      <w:r w:rsidR="00FF2E85" w:rsidRPr="00B01A7E">
        <w:rPr>
          <w:rFonts w:ascii="Palatino Linotype" w:hAnsi="Palatino Linotype"/>
          <w:color w:val="000000" w:themeColor="text1"/>
        </w:rPr>
        <w:t xml:space="preserve"> de</w:t>
      </w:r>
      <w:r w:rsidR="00166B4F" w:rsidRPr="00B01A7E">
        <w:rPr>
          <w:rFonts w:ascii="Palatino Linotype" w:hAnsi="Palatino Linotype"/>
          <w:color w:val="000000" w:themeColor="text1"/>
        </w:rPr>
        <w:t xml:space="preserve"> dos mil veintitrés</w:t>
      </w:r>
      <w:r w:rsidR="00E8479A" w:rsidRPr="00B01A7E">
        <w:rPr>
          <w:rFonts w:ascii="Palatino Linotype" w:hAnsi="Palatino Linotype"/>
          <w:color w:val="000000" w:themeColor="text1"/>
        </w:rPr>
        <w:t xml:space="preserve">, a través del cual confirma su respuesta, </w:t>
      </w:r>
      <w:r w:rsidR="00E8479A" w:rsidRPr="00B01A7E">
        <w:rPr>
          <w:rFonts w:ascii="Palatino Linotype" w:hAnsi="Palatino Linotype"/>
          <w:i/>
          <w:color w:val="000000" w:themeColor="text1"/>
        </w:rPr>
        <w:t xml:space="preserve">grosso modo </w:t>
      </w:r>
      <w:r w:rsidR="00E8479A" w:rsidRPr="00B01A7E">
        <w:rPr>
          <w:rFonts w:ascii="Palatino Linotype" w:hAnsi="Palatino Linotype"/>
          <w:color w:val="000000" w:themeColor="text1"/>
        </w:rPr>
        <w:t>en los siguientes términos:</w:t>
      </w:r>
    </w:p>
    <w:p w:rsidR="00E8479A" w:rsidRPr="00B01A7E" w:rsidRDefault="00E8479A" w:rsidP="00AF52DB">
      <w:pPr>
        <w:pStyle w:val="Prrafodelista"/>
        <w:spacing w:line="360" w:lineRule="auto"/>
        <w:rPr>
          <w:rFonts w:ascii="Palatino Linotype" w:hAnsi="Palatino Linotype"/>
          <w:color w:val="000000" w:themeColor="text1"/>
        </w:rPr>
      </w:pPr>
    </w:p>
    <w:p w:rsidR="00E8479A" w:rsidRPr="00B01A7E" w:rsidRDefault="00166B4F" w:rsidP="00AF52DB">
      <w:pPr>
        <w:pStyle w:val="Prrafodelista"/>
        <w:spacing w:line="360" w:lineRule="auto"/>
        <w:ind w:left="0"/>
        <w:jc w:val="center"/>
        <w:rPr>
          <w:rFonts w:ascii="Palatino Linotype" w:hAnsi="Palatino Linotype"/>
          <w:color w:val="000000" w:themeColor="text1"/>
        </w:rPr>
      </w:pPr>
      <w:r w:rsidRPr="00B01A7E">
        <w:rPr>
          <w:rFonts w:ascii="Palatino Linotype" w:hAnsi="Palatino Linotype"/>
          <w:noProof/>
          <w:color w:val="000000" w:themeColor="text1"/>
          <w:lang w:val="es-MX" w:eastAsia="es-MX"/>
        </w:rPr>
        <w:lastRenderedPageBreak/>
        <w:drawing>
          <wp:inline distT="0" distB="0" distL="0" distR="0" wp14:anchorId="4BF9338E" wp14:editId="194268EC">
            <wp:extent cx="5257800" cy="5893162"/>
            <wp:effectExtent l="19050" t="19050" r="19050" b="127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59951" cy="5895573"/>
                    </a:xfrm>
                    <a:prstGeom prst="rect">
                      <a:avLst/>
                    </a:prstGeom>
                    <a:ln>
                      <a:solidFill>
                        <a:schemeClr val="tx1"/>
                      </a:solidFill>
                    </a:ln>
                  </pic:spPr>
                </pic:pic>
              </a:graphicData>
            </a:graphic>
          </wp:inline>
        </w:drawing>
      </w:r>
    </w:p>
    <w:p w:rsidR="00E8479A" w:rsidRPr="00B01A7E" w:rsidRDefault="00E8479A" w:rsidP="00AF52DB">
      <w:pPr>
        <w:pStyle w:val="Prrafodelista"/>
        <w:spacing w:line="360" w:lineRule="auto"/>
        <w:rPr>
          <w:rFonts w:ascii="Palatino Linotype" w:hAnsi="Palatino Linotype"/>
          <w:color w:val="000000" w:themeColor="text1"/>
        </w:rPr>
      </w:pPr>
    </w:p>
    <w:p w:rsidR="009F09BC" w:rsidRPr="00B01A7E" w:rsidRDefault="009F09BC" w:rsidP="00AF52DB">
      <w:pPr>
        <w:pStyle w:val="Prrafodelista"/>
        <w:numPr>
          <w:ilvl w:val="0"/>
          <w:numId w:val="15"/>
        </w:numPr>
        <w:spacing w:line="360" w:lineRule="auto"/>
        <w:ind w:left="0" w:firstLine="0"/>
        <w:jc w:val="both"/>
        <w:rPr>
          <w:rFonts w:ascii="Palatino Linotype" w:hAnsi="Palatino Linotype"/>
          <w:color w:val="000000" w:themeColor="text1"/>
        </w:rPr>
      </w:pPr>
      <w:r w:rsidRPr="00B01A7E">
        <w:rPr>
          <w:rFonts w:ascii="Palatino Linotype" w:hAnsi="Palatino Linotype"/>
          <w:color w:val="000000" w:themeColor="text1"/>
        </w:rPr>
        <w:t xml:space="preserve">Por su parte </w:t>
      </w:r>
      <w:r w:rsidR="00FF2E85" w:rsidRPr="00B01A7E">
        <w:rPr>
          <w:rFonts w:ascii="Palatino Linotype" w:hAnsi="Palatino Linotype"/>
          <w:b/>
          <w:color w:val="000000" w:themeColor="text1"/>
        </w:rPr>
        <w:t>EL</w:t>
      </w:r>
      <w:r w:rsidR="0095509E" w:rsidRPr="00B01A7E">
        <w:rPr>
          <w:rFonts w:ascii="Palatino Linotype" w:hAnsi="Palatino Linotype"/>
          <w:b/>
          <w:color w:val="000000" w:themeColor="text1"/>
        </w:rPr>
        <w:t xml:space="preserve"> PARTICULAR</w:t>
      </w:r>
      <w:r w:rsidRPr="00B01A7E">
        <w:rPr>
          <w:rFonts w:ascii="Palatino Linotype" w:hAnsi="Palatino Linotype"/>
          <w:b/>
          <w:color w:val="000000" w:themeColor="text1"/>
        </w:rPr>
        <w:t xml:space="preserve"> </w:t>
      </w:r>
      <w:r w:rsidR="00A305ED" w:rsidRPr="00B01A7E">
        <w:rPr>
          <w:rFonts w:ascii="Palatino Linotype" w:hAnsi="Palatino Linotype"/>
          <w:color w:val="000000" w:themeColor="text1"/>
        </w:rPr>
        <w:t>dejó de realizar manifestaciones que a su derecho conviniera y asistiera</w:t>
      </w:r>
      <w:r w:rsidRPr="00B01A7E">
        <w:rPr>
          <w:rFonts w:ascii="Palatino Linotype" w:hAnsi="Palatino Linotype"/>
          <w:color w:val="000000" w:themeColor="text1"/>
        </w:rPr>
        <w:t>.</w:t>
      </w:r>
    </w:p>
    <w:p w:rsidR="00ED6E75" w:rsidRPr="00B01A7E" w:rsidRDefault="00ED6E75" w:rsidP="00AF52DB">
      <w:pPr>
        <w:pStyle w:val="Prrafodelista"/>
        <w:spacing w:line="360" w:lineRule="auto"/>
        <w:ind w:left="0"/>
        <w:jc w:val="both"/>
        <w:rPr>
          <w:rFonts w:ascii="Palatino Linotype" w:hAnsi="Palatino Linotype"/>
          <w:color w:val="000000" w:themeColor="text1"/>
        </w:rPr>
      </w:pPr>
    </w:p>
    <w:p w:rsidR="004868CE" w:rsidRPr="00B01A7E" w:rsidRDefault="00A305ED" w:rsidP="00AF52DB">
      <w:pPr>
        <w:pStyle w:val="Prrafodelista"/>
        <w:numPr>
          <w:ilvl w:val="0"/>
          <w:numId w:val="15"/>
        </w:numPr>
        <w:spacing w:line="360" w:lineRule="auto"/>
        <w:ind w:left="0" w:firstLine="0"/>
        <w:jc w:val="both"/>
        <w:rPr>
          <w:rFonts w:ascii="Palatino Linotype" w:hAnsi="Palatino Linotype"/>
          <w:b/>
          <w:color w:val="000000" w:themeColor="text1"/>
        </w:rPr>
      </w:pPr>
      <w:r w:rsidRPr="00B01A7E">
        <w:rPr>
          <w:rFonts w:ascii="Palatino Linotype" w:hAnsi="Palatino Linotype"/>
          <w:color w:val="000000" w:themeColor="text1"/>
        </w:rPr>
        <w:lastRenderedPageBreak/>
        <w:t>M</w:t>
      </w:r>
      <w:r w:rsidR="006672E1" w:rsidRPr="00B01A7E">
        <w:rPr>
          <w:rFonts w:ascii="Palatino Linotype" w:hAnsi="Palatino Linotype"/>
          <w:color w:val="000000" w:themeColor="text1"/>
        </w:rPr>
        <w:t>ediante acuerdo de fecha</w:t>
      </w:r>
      <w:r w:rsidR="00D6651B" w:rsidRPr="00B01A7E">
        <w:rPr>
          <w:rFonts w:ascii="Palatino Linotype" w:hAnsi="Palatino Linotype"/>
          <w:color w:val="000000" w:themeColor="text1"/>
        </w:rPr>
        <w:t xml:space="preserve"> </w:t>
      </w:r>
      <w:r w:rsidR="00EE25B3" w:rsidRPr="00B01A7E">
        <w:rPr>
          <w:rFonts w:ascii="Palatino Linotype" w:hAnsi="Palatino Linotype"/>
          <w:color w:val="000000" w:themeColor="text1"/>
        </w:rPr>
        <w:t>doce</w:t>
      </w:r>
      <w:r w:rsidR="00FF2E85" w:rsidRPr="00B01A7E">
        <w:rPr>
          <w:rFonts w:ascii="Palatino Linotype" w:hAnsi="Palatino Linotype"/>
          <w:color w:val="000000" w:themeColor="text1"/>
        </w:rPr>
        <w:t xml:space="preserve"> de diciembre</w:t>
      </w:r>
      <w:r w:rsidR="0001674C" w:rsidRPr="00B01A7E">
        <w:rPr>
          <w:rFonts w:ascii="Palatino Linotype" w:hAnsi="Palatino Linotype"/>
          <w:color w:val="000000" w:themeColor="text1"/>
        </w:rPr>
        <w:t xml:space="preserve"> </w:t>
      </w:r>
      <w:r w:rsidR="00FF2E85" w:rsidRPr="00B01A7E">
        <w:rPr>
          <w:rFonts w:ascii="Palatino Linotype" w:hAnsi="Palatino Linotype"/>
          <w:color w:val="000000" w:themeColor="text1"/>
        </w:rPr>
        <w:t>de dos mil veintidós</w:t>
      </w:r>
      <w:r w:rsidR="0001674C" w:rsidRPr="00B01A7E">
        <w:rPr>
          <w:rFonts w:ascii="Palatino Linotype" w:hAnsi="Palatino Linotype"/>
          <w:color w:val="000000" w:themeColor="text1"/>
        </w:rPr>
        <w:t xml:space="preserve">, </w:t>
      </w:r>
      <w:r w:rsidR="006672E1" w:rsidRPr="00B01A7E">
        <w:rPr>
          <w:rFonts w:ascii="Palatino Linotype" w:hAnsi="Palatino Linotype"/>
          <w:color w:val="000000" w:themeColor="text1"/>
        </w:rPr>
        <w:t>se amplió el termino para resolver</w:t>
      </w:r>
      <w:r w:rsidR="004868CE" w:rsidRPr="00B01A7E">
        <w:rPr>
          <w:rFonts w:ascii="Palatino Linotype" w:hAnsi="Palatino Linotype"/>
          <w:color w:val="000000" w:themeColor="text1"/>
        </w:rPr>
        <w:t>, al respecto cabe hacer las siguientes precisiones:</w:t>
      </w:r>
    </w:p>
    <w:p w:rsidR="00166B4F" w:rsidRPr="00B01A7E" w:rsidRDefault="00166B4F" w:rsidP="00AF52DB">
      <w:pPr>
        <w:pStyle w:val="Prrafodelista"/>
        <w:spacing w:line="360" w:lineRule="auto"/>
        <w:rPr>
          <w:rFonts w:ascii="Palatino Linotype" w:hAnsi="Palatino Linotype"/>
          <w:b/>
          <w:color w:val="000000" w:themeColor="text1"/>
        </w:rPr>
      </w:pPr>
    </w:p>
    <w:p w:rsidR="004868CE" w:rsidRPr="00B01A7E" w:rsidRDefault="004868CE" w:rsidP="00AF52DB">
      <w:pPr>
        <w:pStyle w:val="Prrafodelista"/>
        <w:numPr>
          <w:ilvl w:val="0"/>
          <w:numId w:val="42"/>
        </w:numPr>
        <w:spacing w:line="360" w:lineRule="auto"/>
        <w:ind w:left="284" w:firstLine="0"/>
        <w:contextualSpacing w:val="0"/>
        <w:jc w:val="center"/>
        <w:rPr>
          <w:rFonts w:ascii="Palatino Linotype" w:hAnsi="Palatino Linotype"/>
          <w:b/>
          <w:color w:val="000000" w:themeColor="text1"/>
        </w:rPr>
      </w:pPr>
      <w:r w:rsidRPr="00B01A7E">
        <w:rPr>
          <w:rFonts w:ascii="Palatino Linotype" w:hAnsi="Palatino Linotype"/>
          <w:b/>
          <w:color w:val="000000" w:themeColor="text1"/>
        </w:rPr>
        <w:t>Argumentos a considerar en las resoluciones a los recursos de revisión para justificar los fallos emitidos fuera del plazo legal de 45 días.</w:t>
      </w:r>
    </w:p>
    <w:p w:rsidR="004868CE" w:rsidRPr="00B01A7E" w:rsidRDefault="004868CE" w:rsidP="00AF52DB">
      <w:pPr>
        <w:spacing w:line="360" w:lineRule="auto"/>
        <w:rPr>
          <w:rFonts w:ascii="Palatino Linotype" w:hAnsi="Palatino Linotype"/>
          <w:color w:val="000000" w:themeColor="text1"/>
        </w:rPr>
      </w:pPr>
    </w:p>
    <w:p w:rsidR="004868CE" w:rsidRPr="00B01A7E" w:rsidRDefault="004868CE" w:rsidP="00AF52DB">
      <w:pPr>
        <w:pStyle w:val="Prrafodelista"/>
        <w:numPr>
          <w:ilvl w:val="0"/>
          <w:numId w:val="15"/>
        </w:numPr>
        <w:spacing w:line="360" w:lineRule="auto"/>
        <w:ind w:left="0" w:firstLine="0"/>
        <w:jc w:val="both"/>
        <w:rPr>
          <w:rFonts w:ascii="Palatino Linotype" w:hAnsi="Palatino Linotype"/>
          <w:color w:val="000000" w:themeColor="text1"/>
        </w:rPr>
      </w:pPr>
      <w:r w:rsidRPr="00B01A7E">
        <w:rPr>
          <w:rFonts w:ascii="Palatino Linotype" w:hAnsi="Palatino Linotype"/>
          <w:color w:val="000000" w:themeColor="text1"/>
        </w:rPr>
        <w:t xml:space="preserve">Este organismo garante no pasa por alto justificar, que la dilación en la resolución del </w:t>
      </w:r>
      <w:r w:rsidRPr="00B01A7E">
        <w:rPr>
          <w:rFonts w:ascii="Palatino Linotype" w:hAnsi="Palatino Linotype"/>
          <w:color w:val="000000" w:themeColor="text1"/>
          <w:lang w:val="es-MX"/>
        </w:rPr>
        <w:t>presente</w:t>
      </w:r>
      <w:r w:rsidRPr="00B01A7E">
        <w:rPr>
          <w:rFonts w:ascii="Palatino Linotype" w:hAnsi="Palatino Linotype"/>
          <w:color w:val="000000" w:themeColor="text1"/>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4868CE" w:rsidRPr="00B01A7E" w:rsidRDefault="004868CE" w:rsidP="00AF52DB">
      <w:pPr>
        <w:pStyle w:val="Prrafodelista"/>
        <w:spacing w:line="360" w:lineRule="auto"/>
        <w:ind w:left="0"/>
        <w:jc w:val="both"/>
        <w:rPr>
          <w:rFonts w:ascii="Palatino Linotype" w:hAnsi="Palatino Linotype"/>
          <w:color w:val="000000" w:themeColor="text1"/>
        </w:rPr>
      </w:pPr>
    </w:p>
    <w:p w:rsidR="004868CE" w:rsidRPr="00B01A7E" w:rsidRDefault="004868CE" w:rsidP="00AF52DB">
      <w:pPr>
        <w:pStyle w:val="Prrafodelista"/>
        <w:numPr>
          <w:ilvl w:val="0"/>
          <w:numId w:val="15"/>
        </w:numPr>
        <w:spacing w:line="360" w:lineRule="auto"/>
        <w:ind w:left="0" w:firstLine="0"/>
        <w:jc w:val="both"/>
        <w:rPr>
          <w:rFonts w:ascii="Palatino Linotype" w:hAnsi="Palatino Linotype"/>
          <w:color w:val="000000" w:themeColor="text1"/>
        </w:rPr>
      </w:pPr>
      <w:r w:rsidRPr="00B01A7E">
        <w:rPr>
          <w:rFonts w:ascii="Palatino Linotype" w:hAnsi="Palatino Linotype"/>
          <w:color w:val="000000" w:themeColor="text1"/>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E8479A" w:rsidRPr="00B01A7E" w:rsidRDefault="00E8479A" w:rsidP="00AF52DB">
      <w:pPr>
        <w:pStyle w:val="Prrafodelista"/>
        <w:spacing w:line="360" w:lineRule="auto"/>
        <w:rPr>
          <w:rFonts w:ascii="Palatino Linotype" w:hAnsi="Palatino Linotype"/>
          <w:color w:val="000000" w:themeColor="text1"/>
        </w:rPr>
      </w:pPr>
    </w:p>
    <w:p w:rsidR="004868CE" w:rsidRPr="00B01A7E" w:rsidRDefault="004868CE" w:rsidP="00AF52DB">
      <w:pPr>
        <w:pStyle w:val="Prrafodelista"/>
        <w:numPr>
          <w:ilvl w:val="0"/>
          <w:numId w:val="15"/>
        </w:numPr>
        <w:spacing w:line="360" w:lineRule="auto"/>
        <w:ind w:left="0" w:firstLine="0"/>
        <w:jc w:val="both"/>
        <w:rPr>
          <w:rFonts w:ascii="Palatino Linotype" w:hAnsi="Palatino Linotype"/>
          <w:color w:val="000000" w:themeColor="text1"/>
        </w:rPr>
      </w:pPr>
      <w:r w:rsidRPr="00B01A7E">
        <w:rPr>
          <w:rFonts w:ascii="Palatino Linotype" w:hAnsi="Palatino Linotype"/>
          <w:color w:val="000000" w:themeColor="text1"/>
        </w:rPr>
        <w:t xml:space="preserve">Así, en términos de lo que establecen los artículos 8.1 y 25 de la Convención Americana sobre Derechos Humanos, los recursos deben ser sencillos y resolverse </w:t>
      </w:r>
      <w:r w:rsidRPr="00B01A7E">
        <w:rPr>
          <w:rFonts w:ascii="Palatino Linotype" w:hAnsi="Palatino Linotype"/>
          <w:color w:val="000000" w:themeColor="text1"/>
        </w:rPr>
        <w:lastRenderedPageBreak/>
        <w:t>en el menor tiempo posible, tomando en consideración la dilación total del procedimiento; esto es, en un plazo razonable.</w:t>
      </w:r>
    </w:p>
    <w:p w:rsidR="004868CE" w:rsidRPr="00B01A7E" w:rsidRDefault="004868CE" w:rsidP="00AF52DB">
      <w:pPr>
        <w:spacing w:line="360" w:lineRule="auto"/>
        <w:jc w:val="both"/>
        <w:rPr>
          <w:rFonts w:ascii="Palatino Linotype" w:hAnsi="Palatino Linotype"/>
          <w:color w:val="000000" w:themeColor="text1"/>
        </w:rPr>
      </w:pPr>
    </w:p>
    <w:p w:rsidR="004868CE" w:rsidRPr="00B01A7E" w:rsidRDefault="004868CE" w:rsidP="00AF52DB">
      <w:pPr>
        <w:pStyle w:val="Prrafodelista"/>
        <w:numPr>
          <w:ilvl w:val="0"/>
          <w:numId w:val="15"/>
        </w:numPr>
        <w:spacing w:line="360" w:lineRule="auto"/>
        <w:ind w:left="0" w:firstLine="0"/>
        <w:jc w:val="both"/>
        <w:rPr>
          <w:rFonts w:ascii="Palatino Linotype" w:hAnsi="Palatino Linotype"/>
          <w:color w:val="000000" w:themeColor="text1"/>
        </w:rPr>
      </w:pPr>
      <w:r w:rsidRPr="00B01A7E">
        <w:rPr>
          <w:rFonts w:ascii="Palatino Linotype" w:hAnsi="Palatino Linotype"/>
          <w:color w:val="000000" w:themeColor="text1"/>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4868CE" w:rsidRPr="00B01A7E" w:rsidRDefault="004868CE" w:rsidP="00AF52DB">
      <w:pPr>
        <w:spacing w:line="360" w:lineRule="auto"/>
        <w:jc w:val="both"/>
        <w:rPr>
          <w:rFonts w:ascii="Palatino Linotype" w:hAnsi="Palatino Linotype"/>
          <w:color w:val="000000" w:themeColor="text1"/>
        </w:rPr>
      </w:pPr>
    </w:p>
    <w:p w:rsidR="004868CE" w:rsidRPr="00B01A7E" w:rsidRDefault="004868CE" w:rsidP="00AF52DB">
      <w:pPr>
        <w:pStyle w:val="Prrafodelista"/>
        <w:numPr>
          <w:ilvl w:val="0"/>
          <w:numId w:val="15"/>
        </w:numPr>
        <w:spacing w:line="360" w:lineRule="auto"/>
        <w:ind w:left="0" w:firstLine="0"/>
        <w:jc w:val="both"/>
        <w:rPr>
          <w:rFonts w:ascii="Palatino Linotype" w:hAnsi="Palatino Linotype"/>
          <w:color w:val="000000" w:themeColor="text1"/>
        </w:rPr>
      </w:pPr>
      <w:r w:rsidRPr="00B01A7E">
        <w:rPr>
          <w:rFonts w:ascii="Palatino Linotype" w:hAnsi="Palatino Linotype"/>
          <w:color w:val="000000" w:themeColor="text1"/>
        </w:rPr>
        <w:t xml:space="preserve">Por ello, excepcionalmente, si un asunto es resuelto con posterioridad a los plazos señalados por la norma debe analizarse la razonabilidad de dicha dilación atendiendo a los siguientes criterios:   </w:t>
      </w:r>
    </w:p>
    <w:p w:rsidR="004868CE" w:rsidRPr="00B01A7E" w:rsidRDefault="004868CE" w:rsidP="00AF52DB">
      <w:pPr>
        <w:pStyle w:val="Prrafodelista"/>
        <w:spacing w:line="360" w:lineRule="auto"/>
        <w:rPr>
          <w:rFonts w:ascii="Palatino Linotype" w:hAnsi="Palatino Linotype"/>
          <w:color w:val="000000" w:themeColor="text1"/>
        </w:rPr>
      </w:pPr>
    </w:p>
    <w:p w:rsidR="004868CE" w:rsidRPr="00B01A7E" w:rsidRDefault="004868CE" w:rsidP="00AF52DB">
      <w:pPr>
        <w:pStyle w:val="Prrafodelista"/>
        <w:numPr>
          <w:ilvl w:val="0"/>
          <w:numId w:val="43"/>
        </w:numPr>
        <w:spacing w:line="360" w:lineRule="auto"/>
        <w:jc w:val="both"/>
        <w:rPr>
          <w:rFonts w:ascii="Palatino Linotype" w:hAnsi="Palatino Linotype"/>
          <w:color w:val="000000" w:themeColor="text1"/>
        </w:rPr>
      </w:pPr>
      <w:r w:rsidRPr="00B01A7E">
        <w:rPr>
          <w:rFonts w:ascii="Palatino Linotype" w:hAnsi="Palatino Linotype"/>
          <w:color w:val="000000" w:themeColor="text1"/>
        </w:rPr>
        <w:t xml:space="preserve">Complejidad del Asunto: La complejidad de la prueba, la pluralidad de sujetos procesales, el tiempo transcurrido, las características y contexto del recurso. </w:t>
      </w:r>
    </w:p>
    <w:p w:rsidR="004868CE" w:rsidRPr="00B01A7E" w:rsidRDefault="004868CE" w:rsidP="00AF52DB">
      <w:pPr>
        <w:pStyle w:val="Prrafodelista"/>
        <w:spacing w:line="360" w:lineRule="auto"/>
        <w:ind w:left="927"/>
        <w:jc w:val="both"/>
        <w:rPr>
          <w:rFonts w:ascii="Palatino Linotype" w:hAnsi="Palatino Linotype"/>
          <w:color w:val="000000" w:themeColor="text1"/>
        </w:rPr>
      </w:pPr>
    </w:p>
    <w:p w:rsidR="004868CE" w:rsidRPr="00B01A7E" w:rsidRDefault="004868CE" w:rsidP="00AF52DB">
      <w:pPr>
        <w:pStyle w:val="Prrafodelista"/>
        <w:numPr>
          <w:ilvl w:val="0"/>
          <w:numId w:val="43"/>
        </w:numPr>
        <w:spacing w:line="360" w:lineRule="auto"/>
        <w:jc w:val="both"/>
        <w:rPr>
          <w:rFonts w:ascii="Palatino Linotype" w:hAnsi="Palatino Linotype"/>
          <w:color w:val="000000" w:themeColor="text1"/>
        </w:rPr>
      </w:pPr>
      <w:r w:rsidRPr="00B01A7E">
        <w:rPr>
          <w:rFonts w:ascii="Palatino Linotype" w:hAnsi="Palatino Linotype"/>
          <w:color w:val="000000" w:themeColor="text1"/>
        </w:rPr>
        <w:t>Actividad Procesal del interesado. Acciones u omisiones del interesado.</w:t>
      </w:r>
    </w:p>
    <w:p w:rsidR="004868CE" w:rsidRPr="00B01A7E" w:rsidRDefault="004868CE" w:rsidP="00AF52DB">
      <w:pPr>
        <w:spacing w:line="360" w:lineRule="auto"/>
        <w:jc w:val="both"/>
        <w:rPr>
          <w:rFonts w:ascii="Palatino Linotype" w:hAnsi="Palatino Linotype"/>
          <w:color w:val="000000" w:themeColor="text1"/>
        </w:rPr>
      </w:pPr>
    </w:p>
    <w:p w:rsidR="004868CE" w:rsidRPr="00B01A7E" w:rsidRDefault="004868CE" w:rsidP="00AF52DB">
      <w:pPr>
        <w:pStyle w:val="Prrafodelista"/>
        <w:numPr>
          <w:ilvl w:val="0"/>
          <w:numId w:val="43"/>
        </w:numPr>
        <w:spacing w:line="360" w:lineRule="auto"/>
        <w:jc w:val="both"/>
        <w:rPr>
          <w:rFonts w:ascii="Palatino Linotype" w:hAnsi="Palatino Linotype"/>
          <w:color w:val="000000" w:themeColor="text1"/>
        </w:rPr>
      </w:pPr>
      <w:r w:rsidRPr="00B01A7E">
        <w:rPr>
          <w:rFonts w:ascii="Palatino Linotype" w:hAnsi="Palatino Linotype"/>
          <w:color w:val="000000" w:themeColor="text1"/>
        </w:rPr>
        <w:t>Conducta de la Autoridad: Las Acciones u omisiones realizadas en el procedimiento. Así como si la autoridad actuó con la debida diligencia.</w:t>
      </w:r>
    </w:p>
    <w:p w:rsidR="004868CE" w:rsidRPr="00B01A7E" w:rsidRDefault="004868CE" w:rsidP="00AF52DB">
      <w:pPr>
        <w:pStyle w:val="Prrafodelista"/>
        <w:spacing w:line="360" w:lineRule="auto"/>
        <w:rPr>
          <w:rFonts w:ascii="Palatino Linotype" w:hAnsi="Palatino Linotype"/>
          <w:color w:val="000000" w:themeColor="text1"/>
        </w:rPr>
      </w:pPr>
    </w:p>
    <w:p w:rsidR="004868CE" w:rsidRPr="00B01A7E" w:rsidRDefault="004868CE" w:rsidP="00AF52DB">
      <w:pPr>
        <w:pStyle w:val="Prrafodelista"/>
        <w:numPr>
          <w:ilvl w:val="0"/>
          <w:numId w:val="43"/>
        </w:numPr>
        <w:spacing w:line="360" w:lineRule="auto"/>
        <w:jc w:val="both"/>
        <w:rPr>
          <w:rFonts w:ascii="Palatino Linotype" w:hAnsi="Palatino Linotype"/>
          <w:color w:val="000000" w:themeColor="text1"/>
        </w:rPr>
      </w:pPr>
      <w:r w:rsidRPr="00B01A7E">
        <w:rPr>
          <w:rFonts w:ascii="Palatino Linotype" w:hAnsi="Palatino Linotype"/>
          <w:color w:val="000000" w:themeColor="text1"/>
        </w:rPr>
        <w:t>La afectación generada en la situación jurídica de la persona involucrada en el proceso: Violación a sus derechos humanos.</w:t>
      </w:r>
    </w:p>
    <w:p w:rsidR="00EE25B3" w:rsidRPr="00B01A7E" w:rsidRDefault="00EE25B3" w:rsidP="00AF52DB">
      <w:pPr>
        <w:pStyle w:val="Prrafodelista"/>
        <w:spacing w:line="360" w:lineRule="auto"/>
        <w:rPr>
          <w:rFonts w:ascii="Palatino Linotype" w:hAnsi="Palatino Linotype"/>
          <w:color w:val="000000" w:themeColor="text1"/>
        </w:rPr>
      </w:pPr>
    </w:p>
    <w:p w:rsidR="004868CE" w:rsidRPr="00B01A7E" w:rsidRDefault="004868CE" w:rsidP="00AF52DB">
      <w:pPr>
        <w:pStyle w:val="Prrafodelista"/>
        <w:numPr>
          <w:ilvl w:val="0"/>
          <w:numId w:val="15"/>
        </w:numPr>
        <w:spacing w:line="360" w:lineRule="auto"/>
        <w:ind w:left="0" w:firstLine="0"/>
        <w:jc w:val="both"/>
        <w:rPr>
          <w:rFonts w:ascii="Palatino Linotype" w:hAnsi="Palatino Linotype"/>
          <w:color w:val="000000" w:themeColor="text1"/>
        </w:rPr>
      </w:pPr>
      <w:r w:rsidRPr="00B01A7E">
        <w:rPr>
          <w:rFonts w:ascii="Palatino Linotype" w:hAnsi="Palatino Linotype"/>
          <w:color w:val="000000" w:themeColor="text1"/>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4868CE" w:rsidRPr="00B01A7E" w:rsidRDefault="004868CE" w:rsidP="00AF52DB">
      <w:pPr>
        <w:spacing w:line="360" w:lineRule="auto"/>
        <w:jc w:val="both"/>
        <w:rPr>
          <w:rFonts w:ascii="Palatino Linotype" w:hAnsi="Palatino Linotype"/>
          <w:color w:val="000000" w:themeColor="text1"/>
        </w:rPr>
      </w:pPr>
    </w:p>
    <w:p w:rsidR="004868CE" w:rsidRPr="00B01A7E" w:rsidRDefault="004868CE" w:rsidP="00AF52DB">
      <w:pPr>
        <w:pStyle w:val="Prrafodelista"/>
        <w:numPr>
          <w:ilvl w:val="0"/>
          <w:numId w:val="15"/>
        </w:numPr>
        <w:spacing w:line="360" w:lineRule="auto"/>
        <w:ind w:left="0" w:firstLine="0"/>
        <w:jc w:val="both"/>
        <w:rPr>
          <w:rFonts w:ascii="Palatino Linotype" w:hAnsi="Palatino Linotype"/>
          <w:b/>
          <w:color w:val="000000" w:themeColor="text1"/>
        </w:rPr>
      </w:pPr>
      <w:r w:rsidRPr="00B01A7E">
        <w:rPr>
          <w:rFonts w:ascii="Palatino Linotype" w:hAnsi="Palatino Linotype"/>
          <w:color w:val="000000" w:themeColor="text1"/>
        </w:rPr>
        <w:t xml:space="preserve">Argumento que encuentra sustento en la jurisprudencia P./J. 32/92 emitida por el Pleno de la Suprema Corte de Justicia de la Nación de rubro </w:t>
      </w:r>
      <w:r w:rsidRPr="00B01A7E">
        <w:rPr>
          <w:rFonts w:ascii="Palatino Linotype" w:hAnsi="Palatino Linotype"/>
          <w:i/>
          <w:color w:val="000000" w:themeColor="text1"/>
        </w:rPr>
        <w:t>“TÉRMINOS PROCESALES. PARA DETERMINAR SI UN FUNCIONARIO JUDICIAL ACTUÓ INDEBIDAMENTE POR NO RESPETARLOS SE DEBE ATENDER AL PRESUPUESTO QUE CONSIDERÓ EL LEGISLADOR AL FIJARLOS Y LAS CARACTERÍSTICAS DEL CASO.”</w:t>
      </w:r>
      <w:r w:rsidRPr="00B01A7E">
        <w:rPr>
          <w:rFonts w:ascii="Palatino Linotype" w:hAnsi="Palatino Linotype"/>
          <w:color w:val="000000" w:themeColor="text1"/>
        </w:rPr>
        <w:t>, visible en la Gaceta del Seminario Judicial de la Federación con el registro digital 205635.</w:t>
      </w:r>
    </w:p>
    <w:p w:rsidR="004868CE" w:rsidRPr="00B01A7E" w:rsidRDefault="004868CE" w:rsidP="00AF52DB">
      <w:pPr>
        <w:spacing w:line="360" w:lineRule="auto"/>
        <w:jc w:val="both"/>
        <w:rPr>
          <w:rFonts w:ascii="Palatino Linotype" w:hAnsi="Palatino Linotype"/>
          <w:color w:val="000000" w:themeColor="text1"/>
        </w:rPr>
      </w:pPr>
    </w:p>
    <w:p w:rsidR="004868CE" w:rsidRPr="00B01A7E" w:rsidRDefault="004868CE" w:rsidP="00AF52DB">
      <w:pPr>
        <w:pStyle w:val="Prrafodelista"/>
        <w:numPr>
          <w:ilvl w:val="0"/>
          <w:numId w:val="15"/>
        </w:numPr>
        <w:spacing w:line="360" w:lineRule="auto"/>
        <w:ind w:left="0" w:firstLine="0"/>
        <w:jc w:val="both"/>
        <w:rPr>
          <w:rFonts w:ascii="Palatino Linotype" w:hAnsi="Palatino Linotype"/>
          <w:color w:val="000000" w:themeColor="text1"/>
        </w:rPr>
      </w:pPr>
      <w:r w:rsidRPr="00B01A7E">
        <w:rPr>
          <w:rFonts w:ascii="Palatino Linotype" w:hAnsi="Palatino Linotype"/>
          <w:color w:val="000000" w:themeColor="text1"/>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B01A7E">
        <w:rPr>
          <w:rFonts w:ascii="Palatino Linotype" w:hAnsi="Palatino Linotype"/>
          <w:color w:val="000000" w:themeColor="text1"/>
        </w:rPr>
        <w:lastRenderedPageBreak/>
        <w:t>los términos legales previamente establecidos por la Ley, por tratarse de causas de fuerza mayor.</w:t>
      </w:r>
    </w:p>
    <w:p w:rsidR="004868CE" w:rsidRPr="00B01A7E" w:rsidRDefault="004868CE" w:rsidP="00AF52DB">
      <w:pPr>
        <w:spacing w:line="360" w:lineRule="auto"/>
        <w:jc w:val="both"/>
        <w:rPr>
          <w:rFonts w:ascii="Palatino Linotype" w:hAnsi="Palatino Linotype"/>
          <w:color w:val="000000" w:themeColor="text1"/>
        </w:rPr>
      </w:pPr>
    </w:p>
    <w:p w:rsidR="004868CE" w:rsidRPr="00B01A7E" w:rsidRDefault="004868CE" w:rsidP="00AF52DB">
      <w:pPr>
        <w:pStyle w:val="Prrafodelista"/>
        <w:numPr>
          <w:ilvl w:val="0"/>
          <w:numId w:val="15"/>
        </w:numPr>
        <w:spacing w:line="360" w:lineRule="auto"/>
        <w:ind w:left="0" w:firstLine="0"/>
        <w:jc w:val="both"/>
        <w:rPr>
          <w:rFonts w:ascii="Palatino Linotype" w:hAnsi="Palatino Linotype"/>
          <w:color w:val="000000" w:themeColor="text1"/>
        </w:rPr>
      </w:pPr>
      <w:r w:rsidRPr="00B01A7E">
        <w:rPr>
          <w:rFonts w:ascii="Palatino Linotype" w:hAnsi="Palatino Linotype"/>
          <w:color w:val="000000" w:themeColor="text1"/>
        </w:rPr>
        <w:t>Por ello, este organismo garante comprometido con la tutela de los derechos humanos confiados, señala que este exceso del plazo legal para resolver el presente asunto, resulta de carácter excepcional.</w:t>
      </w:r>
    </w:p>
    <w:p w:rsidR="004868CE" w:rsidRPr="00B01A7E" w:rsidRDefault="004868CE" w:rsidP="00AF52DB">
      <w:pPr>
        <w:spacing w:line="360" w:lineRule="auto"/>
        <w:jc w:val="both"/>
        <w:rPr>
          <w:rFonts w:ascii="Palatino Linotype" w:hAnsi="Palatino Linotype"/>
          <w:color w:val="000000" w:themeColor="text1"/>
        </w:rPr>
      </w:pPr>
    </w:p>
    <w:p w:rsidR="004868CE" w:rsidRPr="00B01A7E" w:rsidRDefault="004868CE" w:rsidP="00AF52DB">
      <w:pPr>
        <w:pStyle w:val="Prrafodelista"/>
        <w:numPr>
          <w:ilvl w:val="0"/>
          <w:numId w:val="15"/>
        </w:numPr>
        <w:spacing w:line="360" w:lineRule="auto"/>
        <w:ind w:left="0" w:firstLine="0"/>
        <w:jc w:val="both"/>
        <w:rPr>
          <w:rFonts w:ascii="Palatino Linotype" w:hAnsi="Palatino Linotype"/>
          <w:color w:val="000000" w:themeColor="text1"/>
        </w:rPr>
      </w:pPr>
      <w:r w:rsidRPr="00B01A7E">
        <w:rPr>
          <w:rFonts w:ascii="Palatino Linotype" w:hAnsi="Palatino Linotype"/>
          <w:color w:val="000000" w:themeColor="text1"/>
        </w:rPr>
        <w:t>Al respecto, también son de considerar los criterios sostenidos por el Cuarto Tribunal Colegiado en Materia Administrativa del Primer Circuito, cuyos rubros y datos de identificación son los siguientes:</w:t>
      </w:r>
    </w:p>
    <w:p w:rsidR="004868CE" w:rsidRPr="00B01A7E" w:rsidRDefault="004868CE" w:rsidP="00AF52DB">
      <w:pPr>
        <w:spacing w:line="360" w:lineRule="auto"/>
        <w:jc w:val="both"/>
        <w:rPr>
          <w:rFonts w:ascii="Palatino Linotype" w:hAnsi="Palatino Linotype"/>
          <w:color w:val="000000" w:themeColor="text1"/>
        </w:rPr>
      </w:pPr>
    </w:p>
    <w:p w:rsidR="004868CE" w:rsidRPr="00B01A7E" w:rsidRDefault="004868CE" w:rsidP="00AF52DB">
      <w:pPr>
        <w:spacing w:line="360" w:lineRule="auto"/>
        <w:ind w:left="425" w:right="476"/>
        <w:jc w:val="both"/>
        <w:rPr>
          <w:rFonts w:ascii="Palatino Linotype" w:hAnsi="Palatino Linotype"/>
          <w:color w:val="000000" w:themeColor="text1"/>
        </w:rPr>
      </w:pPr>
      <w:r w:rsidRPr="00B01A7E">
        <w:rPr>
          <w:rFonts w:ascii="Palatino Linotype" w:hAnsi="Palatino Linotype"/>
          <w:color w:val="000000" w:themeColor="text1"/>
        </w:rPr>
        <w:t xml:space="preserve"> </w:t>
      </w:r>
      <w:r w:rsidRPr="00B01A7E">
        <w:rPr>
          <w:rFonts w:ascii="Palatino Linotype" w:hAnsi="Palatino Linotype"/>
          <w:i/>
          <w:color w:val="000000" w:themeColor="text1"/>
        </w:rPr>
        <w:t>“PLAZO RAZONABLE PARA RESOLVER. DIMENSIÓN Y EFECTOS DE ESTE CONCEPTO CUANDO SE ADUCE EXCESIVA CARGA DE TRABAJO.”</w:t>
      </w:r>
      <w:r w:rsidRPr="00B01A7E">
        <w:rPr>
          <w:rFonts w:ascii="Palatino Linotype" w:hAnsi="Palatino Linotype"/>
          <w:color w:val="000000" w:themeColor="text1"/>
        </w:rPr>
        <w:t xml:space="preserve"> consultable en el Seminario Judicial de la Federación y su gaceta, con el registro digital 2002351.</w:t>
      </w:r>
    </w:p>
    <w:p w:rsidR="004868CE" w:rsidRPr="00B01A7E" w:rsidRDefault="004868CE" w:rsidP="00AF52DB">
      <w:pPr>
        <w:spacing w:line="360" w:lineRule="auto"/>
        <w:ind w:left="425" w:right="476"/>
        <w:jc w:val="both"/>
        <w:rPr>
          <w:rFonts w:ascii="Palatino Linotype" w:hAnsi="Palatino Linotype"/>
          <w:b/>
          <w:color w:val="000000" w:themeColor="text1"/>
        </w:rPr>
      </w:pPr>
    </w:p>
    <w:p w:rsidR="004868CE" w:rsidRPr="00B01A7E" w:rsidRDefault="004868CE" w:rsidP="00AF52DB">
      <w:pPr>
        <w:spacing w:line="360" w:lineRule="auto"/>
        <w:ind w:left="425" w:right="476"/>
        <w:jc w:val="both"/>
        <w:rPr>
          <w:rFonts w:ascii="Palatino Linotype" w:hAnsi="Palatino Linotype"/>
          <w:color w:val="000000" w:themeColor="text1"/>
        </w:rPr>
      </w:pPr>
      <w:r w:rsidRPr="00B01A7E">
        <w:rPr>
          <w:rFonts w:ascii="Palatino Linotype" w:hAnsi="Palatino Linotype"/>
          <w:i/>
          <w:color w:val="000000" w:themeColor="text1"/>
        </w:rPr>
        <w:t>“PLAZO RAZONABLE PARA RESOLVER. CONCEPTO Y ELEMENTOS QUE LO INTEGRAN A LA LUZ DEL DERECHO INTERNACIONAL DE LOS DERECHOS HUMANOS.”</w:t>
      </w:r>
      <w:r w:rsidRPr="00B01A7E">
        <w:rPr>
          <w:rFonts w:ascii="Palatino Linotype" w:hAnsi="Palatino Linotype"/>
          <w:color w:val="000000" w:themeColor="text1"/>
        </w:rPr>
        <w:t>, visible en el Seminario Judicial de la Federación y su gaceta, con el registro digital 2002350.”</w:t>
      </w:r>
    </w:p>
    <w:p w:rsidR="004868CE" w:rsidRPr="00B01A7E" w:rsidRDefault="004868CE" w:rsidP="00AF52DB">
      <w:pPr>
        <w:pStyle w:val="Prrafodelista"/>
        <w:spacing w:line="360" w:lineRule="auto"/>
        <w:ind w:left="0"/>
        <w:jc w:val="both"/>
        <w:rPr>
          <w:rFonts w:ascii="Palatino Linotype" w:hAnsi="Palatino Linotype"/>
          <w:b/>
          <w:color w:val="000000" w:themeColor="text1"/>
        </w:rPr>
      </w:pPr>
    </w:p>
    <w:p w:rsidR="00A305ED" w:rsidRPr="00B01A7E" w:rsidRDefault="004868CE" w:rsidP="00AF52DB">
      <w:pPr>
        <w:pStyle w:val="Prrafodelista"/>
        <w:numPr>
          <w:ilvl w:val="0"/>
          <w:numId w:val="15"/>
        </w:numPr>
        <w:spacing w:line="360" w:lineRule="auto"/>
        <w:ind w:left="0" w:firstLine="0"/>
        <w:jc w:val="both"/>
        <w:rPr>
          <w:rFonts w:ascii="Palatino Linotype" w:hAnsi="Palatino Linotype"/>
          <w:b/>
          <w:color w:val="000000" w:themeColor="text1"/>
        </w:rPr>
      </w:pPr>
      <w:r w:rsidRPr="00B01A7E">
        <w:rPr>
          <w:rFonts w:ascii="Palatino Linotype" w:hAnsi="Palatino Linotype"/>
          <w:color w:val="000000" w:themeColor="text1"/>
        </w:rPr>
        <w:t>P</w:t>
      </w:r>
      <w:r w:rsidR="006672E1" w:rsidRPr="00B01A7E">
        <w:rPr>
          <w:rFonts w:ascii="Palatino Linotype" w:hAnsi="Palatino Linotype"/>
          <w:color w:val="000000" w:themeColor="text1"/>
        </w:rPr>
        <w:t xml:space="preserve">osteriormente </w:t>
      </w:r>
      <w:r w:rsidR="0001674C" w:rsidRPr="00B01A7E">
        <w:rPr>
          <w:rFonts w:ascii="Palatino Linotype" w:hAnsi="Palatino Linotype"/>
          <w:color w:val="000000" w:themeColor="text1"/>
        </w:rPr>
        <w:t>se d</w:t>
      </w:r>
      <w:r w:rsidR="006672E1" w:rsidRPr="00B01A7E">
        <w:rPr>
          <w:rFonts w:ascii="Palatino Linotype" w:hAnsi="Palatino Linotype"/>
          <w:color w:val="000000" w:themeColor="text1"/>
        </w:rPr>
        <w:t>ecretó el cierre de instrucción</w:t>
      </w:r>
      <w:r w:rsidR="00D6651B" w:rsidRPr="00B01A7E">
        <w:rPr>
          <w:rFonts w:ascii="Palatino Linotype" w:hAnsi="Palatino Linotype"/>
          <w:color w:val="000000" w:themeColor="text1"/>
        </w:rPr>
        <w:t xml:space="preserve"> </w:t>
      </w:r>
      <w:r w:rsidR="00FF2E85" w:rsidRPr="00B01A7E">
        <w:rPr>
          <w:rFonts w:ascii="Palatino Linotype" w:hAnsi="Palatino Linotype"/>
          <w:color w:val="000000" w:themeColor="text1"/>
        </w:rPr>
        <w:t xml:space="preserve">mediante acuerdo de fecha </w:t>
      </w:r>
      <w:r w:rsidR="00EE25B3" w:rsidRPr="00B01A7E">
        <w:rPr>
          <w:rFonts w:ascii="Palatino Linotype" w:hAnsi="Palatino Linotype"/>
          <w:color w:val="000000" w:themeColor="text1"/>
        </w:rPr>
        <w:t>treinta de junio</w:t>
      </w:r>
      <w:r w:rsidR="00FF2E85" w:rsidRPr="00B01A7E">
        <w:rPr>
          <w:rFonts w:ascii="Palatino Linotype" w:hAnsi="Palatino Linotype"/>
          <w:color w:val="000000" w:themeColor="text1"/>
        </w:rPr>
        <w:t xml:space="preserve"> de dos mil veintitrés</w:t>
      </w:r>
      <w:r w:rsidR="0001674C" w:rsidRPr="00B01A7E">
        <w:rPr>
          <w:rFonts w:ascii="Palatino Linotype" w:hAnsi="Palatino Linotype"/>
          <w:color w:val="000000" w:themeColor="text1"/>
        </w:rPr>
        <w:t xml:space="preserve">, </w:t>
      </w:r>
      <w:r w:rsidR="009F09BC" w:rsidRPr="00B01A7E">
        <w:rPr>
          <w:rFonts w:ascii="Palatino Linotype" w:hAnsi="Palatino Linotype" w:cs="Arial"/>
          <w:color w:val="000000" w:themeColor="text1"/>
        </w:rPr>
        <w:t>por lo que no habiendo más que hacer constar, y -------</w:t>
      </w:r>
      <w:bookmarkStart w:id="133" w:name="_Toc491791302"/>
      <w:bookmarkStart w:id="134" w:name="_Toc83128578"/>
      <w:r w:rsidR="00875788" w:rsidRPr="00B01A7E">
        <w:rPr>
          <w:rFonts w:ascii="Palatino Linotype" w:hAnsi="Palatino Linotype" w:cs="Arial"/>
          <w:color w:val="000000" w:themeColor="text1"/>
        </w:rPr>
        <w:t>---------------</w:t>
      </w:r>
      <w:r w:rsidR="00FF2E85" w:rsidRPr="00B01A7E">
        <w:rPr>
          <w:rFonts w:ascii="Palatino Linotype" w:hAnsi="Palatino Linotype" w:cs="Arial"/>
          <w:color w:val="000000" w:themeColor="text1"/>
        </w:rPr>
        <w:t>------------------------------------------</w:t>
      </w:r>
      <w:r w:rsidRPr="00B01A7E">
        <w:rPr>
          <w:rFonts w:ascii="Palatino Linotype" w:hAnsi="Palatino Linotype" w:cs="Arial"/>
          <w:color w:val="000000" w:themeColor="text1"/>
        </w:rPr>
        <w:t>---------------------------------</w:t>
      </w:r>
      <w:r w:rsidR="00EE25B3" w:rsidRPr="00B01A7E">
        <w:rPr>
          <w:rFonts w:ascii="Palatino Linotype" w:hAnsi="Palatino Linotype" w:cs="Arial"/>
          <w:color w:val="000000" w:themeColor="text1"/>
        </w:rPr>
        <w:t>-----------</w:t>
      </w:r>
    </w:p>
    <w:p w:rsidR="009F09BC" w:rsidRPr="00B01A7E" w:rsidRDefault="009F09BC" w:rsidP="00AF52DB">
      <w:pPr>
        <w:pStyle w:val="Prrafodelista"/>
        <w:spacing w:line="360" w:lineRule="auto"/>
        <w:ind w:left="0"/>
        <w:jc w:val="center"/>
        <w:rPr>
          <w:rFonts w:ascii="Palatino Linotype" w:hAnsi="Palatino Linotype"/>
          <w:b/>
          <w:color w:val="000000" w:themeColor="text1"/>
        </w:rPr>
      </w:pPr>
      <w:r w:rsidRPr="00B01A7E">
        <w:rPr>
          <w:rFonts w:ascii="Palatino Linotype" w:hAnsi="Palatino Linotype"/>
          <w:b/>
          <w:color w:val="000000" w:themeColor="text1"/>
        </w:rPr>
        <w:lastRenderedPageBreak/>
        <w:t>CONSIDERANDO</w:t>
      </w:r>
      <w:bookmarkEnd w:id="133"/>
      <w:bookmarkEnd w:id="134"/>
    </w:p>
    <w:p w:rsidR="009F09BC" w:rsidRPr="00B01A7E" w:rsidRDefault="009F09BC" w:rsidP="00AF52DB">
      <w:pPr>
        <w:pStyle w:val="Ttulo2"/>
        <w:spacing w:before="0" w:line="360" w:lineRule="auto"/>
        <w:rPr>
          <w:rFonts w:ascii="Palatino Linotype" w:hAnsi="Palatino Linotype"/>
          <w:b/>
          <w:color w:val="000000" w:themeColor="text1"/>
          <w:sz w:val="24"/>
          <w:szCs w:val="24"/>
        </w:rPr>
      </w:pPr>
      <w:bookmarkStart w:id="135" w:name="_Toc491791303"/>
      <w:bookmarkStart w:id="136" w:name="_Toc83128579"/>
      <w:r w:rsidRPr="00B01A7E">
        <w:rPr>
          <w:rFonts w:ascii="Palatino Linotype" w:hAnsi="Palatino Linotype"/>
          <w:b/>
          <w:color w:val="000000" w:themeColor="text1"/>
          <w:sz w:val="24"/>
          <w:szCs w:val="24"/>
        </w:rPr>
        <w:t>PRIMERO. De la competencia</w:t>
      </w:r>
      <w:bookmarkEnd w:id="135"/>
      <w:bookmarkEnd w:id="136"/>
    </w:p>
    <w:p w:rsidR="009F09BC" w:rsidRPr="00B01A7E" w:rsidRDefault="009F09BC" w:rsidP="00AF52DB">
      <w:pPr>
        <w:spacing w:line="360" w:lineRule="auto"/>
        <w:rPr>
          <w:rFonts w:ascii="Palatino Linotype" w:hAnsi="Palatino Linotype"/>
          <w:color w:val="000000" w:themeColor="text1"/>
          <w:lang w:val="es-MX" w:eastAsia="en-US"/>
        </w:rPr>
      </w:pPr>
    </w:p>
    <w:p w:rsidR="00353F1D" w:rsidRPr="00B01A7E" w:rsidRDefault="00FF2E85" w:rsidP="00AF52DB">
      <w:pPr>
        <w:pStyle w:val="Prrafodelista"/>
        <w:numPr>
          <w:ilvl w:val="0"/>
          <w:numId w:val="15"/>
        </w:numPr>
        <w:spacing w:line="360" w:lineRule="auto"/>
        <w:ind w:left="0" w:firstLine="0"/>
        <w:jc w:val="both"/>
        <w:rPr>
          <w:rFonts w:ascii="Palatino Linotype" w:hAnsi="Palatino Linotype"/>
          <w:color w:val="000000" w:themeColor="text1"/>
        </w:rPr>
      </w:pPr>
      <w:r w:rsidRPr="00B01A7E">
        <w:rPr>
          <w:rFonts w:ascii="Palatino Linotype" w:hAnsi="Palatino Linotype"/>
          <w:color w:val="000000" w:themeColor="text1"/>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9F09BC" w:rsidRPr="00B01A7E" w:rsidRDefault="009F09BC" w:rsidP="00AF52DB">
      <w:pPr>
        <w:pStyle w:val="Prrafodelista"/>
        <w:spacing w:line="360" w:lineRule="auto"/>
        <w:ind w:left="0"/>
        <w:jc w:val="both"/>
        <w:rPr>
          <w:rFonts w:ascii="Palatino Linotype" w:eastAsia="Calibri" w:hAnsi="Palatino Linotype" w:cs="Times New Roman"/>
          <w:b/>
          <w:color w:val="000000" w:themeColor="text1"/>
          <w:lang w:val="es-ES"/>
        </w:rPr>
      </w:pPr>
    </w:p>
    <w:p w:rsidR="009F09BC" w:rsidRPr="00B01A7E" w:rsidRDefault="009F09BC" w:rsidP="00AF52DB">
      <w:pPr>
        <w:pStyle w:val="Ttulo2"/>
        <w:spacing w:before="0" w:line="360" w:lineRule="auto"/>
        <w:rPr>
          <w:rFonts w:ascii="Palatino Linotype" w:hAnsi="Palatino Linotype"/>
          <w:b/>
          <w:color w:val="000000" w:themeColor="text1"/>
          <w:sz w:val="24"/>
          <w:szCs w:val="24"/>
        </w:rPr>
      </w:pPr>
      <w:bookmarkStart w:id="137" w:name="_Toc491791304"/>
      <w:bookmarkStart w:id="138" w:name="_Toc83128580"/>
      <w:r w:rsidRPr="00B01A7E">
        <w:rPr>
          <w:rFonts w:ascii="Palatino Linotype" w:hAnsi="Palatino Linotype"/>
          <w:b/>
          <w:color w:val="000000" w:themeColor="text1"/>
          <w:sz w:val="24"/>
          <w:szCs w:val="24"/>
        </w:rPr>
        <w:t>SEGUNDO. De la oportunidad y procedencia.</w:t>
      </w:r>
      <w:bookmarkEnd w:id="137"/>
      <w:bookmarkEnd w:id="138"/>
    </w:p>
    <w:p w:rsidR="009F09BC" w:rsidRPr="00B01A7E" w:rsidRDefault="009F09BC" w:rsidP="00AF52DB">
      <w:pPr>
        <w:spacing w:line="360" w:lineRule="auto"/>
        <w:rPr>
          <w:rFonts w:ascii="Palatino Linotype" w:hAnsi="Palatino Linotype"/>
          <w:color w:val="000000" w:themeColor="text1"/>
          <w:lang w:val="es-MX" w:eastAsia="en-US"/>
        </w:rPr>
      </w:pPr>
    </w:p>
    <w:p w:rsidR="009F09BC" w:rsidRPr="00B01A7E" w:rsidRDefault="00425842" w:rsidP="00AF52DB">
      <w:pPr>
        <w:pStyle w:val="Prrafodelista"/>
        <w:numPr>
          <w:ilvl w:val="0"/>
          <w:numId w:val="15"/>
        </w:numPr>
        <w:spacing w:line="360" w:lineRule="auto"/>
        <w:ind w:left="0" w:firstLine="0"/>
        <w:jc w:val="both"/>
        <w:rPr>
          <w:rFonts w:ascii="Palatino Linotype" w:hAnsi="Palatino Linotype"/>
          <w:color w:val="000000" w:themeColor="text1"/>
        </w:rPr>
      </w:pPr>
      <w:r w:rsidRPr="00B01A7E">
        <w:rPr>
          <w:rFonts w:ascii="Palatino Linotype" w:eastAsia="Calibri" w:hAnsi="Palatino Linotype" w:cs="Arial"/>
          <w:color w:val="000000" w:themeColor="text1"/>
        </w:rPr>
        <w:t>El</w:t>
      </w:r>
      <w:r w:rsidR="00AD63B4" w:rsidRPr="00B01A7E">
        <w:rPr>
          <w:rFonts w:ascii="Palatino Linotype" w:eastAsia="Calibri" w:hAnsi="Palatino Linotype" w:cs="Arial"/>
          <w:color w:val="000000" w:themeColor="text1"/>
        </w:rPr>
        <w:t xml:space="preserve"> </w:t>
      </w:r>
      <w:r w:rsidR="009F09BC" w:rsidRPr="00B01A7E">
        <w:rPr>
          <w:rFonts w:ascii="Palatino Linotype" w:eastAsia="Calibri" w:hAnsi="Palatino Linotype" w:cs="Arial"/>
          <w:color w:val="000000" w:themeColor="text1"/>
        </w:rPr>
        <w:t xml:space="preserve">medio de impugnación fue presentado a través del </w:t>
      </w:r>
      <w:r w:rsidR="009F09BC" w:rsidRPr="00B01A7E">
        <w:rPr>
          <w:rFonts w:ascii="Palatino Linotype" w:eastAsia="Calibri" w:hAnsi="Palatino Linotype" w:cs="Arial"/>
          <w:b/>
          <w:color w:val="000000" w:themeColor="text1"/>
        </w:rPr>
        <w:t>SAIMEX,</w:t>
      </w:r>
      <w:r w:rsidR="009F09BC" w:rsidRPr="00B01A7E">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que el </w:t>
      </w:r>
      <w:r w:rsidR="009F09BC" w:rsidRPr="00B01A7E">
        <w:rPr>
          <w:rFonts w:ascii="Palatino Linotype" w:eastAsia="Calibri" w:hAnsi="Palatino Linotype" w:cs="Arial"/>
          <w:b/>
          <w:color w:val="000000" w:themeColor="text1"/>
        </w:rPr>
        <w:t>SUJETO OBLIGADO</w:t>
      </w:r>
      <w:r w:rsidR="006971FE" w:rsidRPr="00B01A7E">
        <w:rPr>
          <w:rFonts w:ascii="Palatino Linotype" w:eastAsia="Calibri" w:hAnsi="Palatino Linotype" w:cs="Arial"/>
          <w:b/>
          <w:color w:val="000000" w:themeColor="text1"/>
        </w:rPr>
        <w:t>,</w:t>
      </w:r>
      <w:r w:rsidRPr="00B01A7E">
        <w:rPr>
          <w:rFonts w:ascii="Palatino Linotype" w:eastAsia="Calibri" w:hAnsi="Palatino Linotype" w:cs="Arial"/>
          <w:color w:val="000000" w:themeColor="text1"/>
        </w:rPr>
        <w:t xml:space="preserve"> entregó su</w:t>
      </w:r>
      <w:r w:rsidR="009F09BC" w:rsidRPr="00B01A7E">
        <w:rPr>
          <w:rFonts w:ascii="Palatino Linotype" w:eastAsia="Calibri" w:hAnsi="Palatino Linotype" w:cs="Arial"/>
          <w:color w:val="000000" w:themeColor="text1"/>
        </w:rPr>
        <w:t xml:space="preserve"> respuesta </w:t>
      </w:r>
      <w:r w:rsidRPr="00B01A7E">
        <w:rPr>
          <w:rFonts w:ascii="Palatino Linotype" w:eastAsia="Calibri" w:hAnsi="Palatino Linotype" w:cs="Arial"/>
          <w:color w:val="000000" w:themeColor="text1"/>
        </w:rPr>
        <w:t>e</w:t>
      </w:r>
      <w:r w:rsidR="009F09BC" w:rsidRPr="00B01A7E">
        <w:rPr>
          <w:rFonts w:ascii="Palatino Linotype" w:eastAsia="Calibri" w:hAnsi="Palatino Linotype" w:cs="Arial"/>
          <w:color w:val="000000" w:themeColor="text1"/>
        </w:rPr>
        <w:t xml:space="preserve">l </w:t>
      </w:r>
      <w:r w:rsidR="00EE25B3" w:rsidRPr="00B01A7E">
        <w:rPr>
          <w:rFonts w:ascii="Palatino Linotype" w:eastAsia="Calibri" w:hAnsi="Palatino Linotype" w:cs="Arial"/>
          <w:color w:val="000000" w:themeColor="text1"/>
        </w:rPr>
        <w:t>diez de junio</w:t>
      </w:r>
      <w:r w:rsidRPr="00B01A7E">
        <w:rPr>
          <w:rFonts w:ascii="Palatino Linotype" w:eastAsia="Calibri" w:hAnsi="Palatino Linotype" w:cs="Arial"/>
          <w:color w:val="000000" w:themeColor="text1"/>
        </w:rPr>
        <w:t xml:space="preserve"> de </w:t>
      </w:r>
      <w:r w:rsidR="00EE25B3" w:rsidRPr="00B01A7E">
        <w:rPr>
          <w:rFonts w:ascii="Palatino Linotype" w:eastAsia="Calibri" w:hAnsi="Palatino Linotype" w:cs="Arial"/>
          <w:color w:val="000000" w:themeColor="text1"/>
        </w:rPr>
        <w:t>dos mil veintidós</w:t>
      </w:r>
      <w:r w:rsidR="009F09BC" w:rsidRPr="00B01A7E">
        <w:rPr>
          <w:rFonts w:ascii="Palatino Linotype" w:eastAsia="Calibri" w:hAnsi="Palatino Linotype" w:cs="Arial"/>
          <w:color w:val="000000" w:themeColor="text1"/>
        </w:rPr>
        <w:t xml:space="preserve">, </w:t>
      </w:r>
      <w:r w:rsidR="009F09BC" w:rsidRPr="00B01A7E">
        <w:rPr>
          <w:rFonts w:ascii="Palatino Linotype" w:hAnsi="Palatino Linotype" w:cs="Arial"/>
          <w:color w:val="000000" w:themeColor="text1"/>
        </w:rPr>
        <w:t xml:space="preserve">de tal forma que </w:t>
      </w:r>
      <w:r w:rsidRPr="00B01A7E">
        <w:rPr>
          <w:rFonts w:ascii="Palatino Linotype" w:hAnsi="Palatino Linotype" w:cs="Arial"/>
          <w:color w:val="000000" w:themeColor="text1"/>
        </w:rPr>
        <w:t>e</w:t>
      </w:r>
      <w:r w:rsidR="009F09BC" w:rsidRPr="00B01A7E">
        <w:rPr>
          <w:rFonts w:ascii="Palatino Linotype" w:hAnsi="Palatino Linotype" w:cs="Arial"/>
          <w:color w:val="000000" w:themeColor="text1"/>
        </w:rPr>
        <w:t xml:space="preserve">l plazo para interponer </w:t>
      </w:r>
      <w:r w:rsidRPr="00B01A7E">
        <w:rPr>
          <w:rFonts w:ascii="Palatino Linotype" w:hAnsi="Palatino Linotype" w:cs="Arial"/>
          <w:color w:val="000000" w:themeColor="text1"/>
        </w:rPr>
        <w:t>e</w:t>
      </w:r>
      <w:r w:rsidR="009F09BC" w:rsidRPr="00B01A7E">
        <w:rPr>
          <w:rFonts w:ascii="Palatino Linotype" w:hAnsi="Palatino Linotype" w:cs="Arial"/>
          <w:color w:val="000000" w:themeColor="text1"/>
        </w:rPr>
        <w:t xml:space="preserve">l recurso de revisión </w:t>
      </w:r>
      <w:r w:rsidRPr="00B01A7E">
        <w:rPr>
          <w:rFonts w:ascii="Palatino Linotype" w:hAnsi="Palatino Linotype" w:cs="Arial"/>
          <w:color w:val="000000" w:themeColor="text1"/>
        </w:rPr>
        <w:t>transcurrió</w:t>
      </w:r>
      <w:r w:rsidR="009F09BC" w:rsidRPr="00B01A7E">
        <w:rPr>
          <w:rFonts w:ascii="Palatino Linotype" w:hAnsi="Palatino Linotype" w:cs="Arial"/>
          <w:color w:val="000000" w:themeColor="text1"/>
        </w:rPr>
        <w:t xml:space="preserve"> del día </w:t>
      </w:r>
      <w:r w:rsidR="00EE25B3" w:rsidRPr="00B01A7E">
        <w:rPr>
          <w:rFonts w:ascii="Palatino Linotype" w:hAnsi="Palatino Linotype" w:cs="Arial"/>
          <w:color w:val="000000" w:themeColor="text1"/>
        </w:rPr>
        <w:t>trece de junio</w:t>
      </w:r>
      <w:r w:rsidR="009F09BC" w:rsidRPr="00B01A7E">
        <w:rPr>
          <w:rFonts w:ascii="Palatino Linotype" w:hAnsi="Palatino Linotype" w:cs="Arial"/>
          <w:color w:val="000000" w:themeColor="text1"/>
        </w:rPr>
        <w:t xml:space="preserve"> </w:t>
      </w:r>
      <w:r w:rsidR="007A460E" w:rsidRPr="00B01A7E">
        <w:rPr>
          <w:rFonts w:ascii="Palatino Linotype" w:hAnsi="Palatino Linotype" w:cs="Arial"/>
          <w:color w:val="000000" w:themeColor="text1"/>
        </w:rPr>
        <w:t xml:space="preserve">al </w:t>
      </w:r>
      <w:r w:rsidR="00EE25B3" w:rsidRPr="00B01A7E">
        <w:rPr>
          <w:rFonts w:ascii="Palatino Linotype" w:hAnsi="Palatino Linotype" w:cs="Arial"/>
          <w:color w:val="000000" w:themeColor="text1"/>
        </w:rPr>
        <w:t>uno</w:t>
      </w:r>
      <w:r w:rsidR="00FF2E85" w:rsidRPr="00B01A7E">
        <w:rPr>
          <w:rFonts w:ascii="Palatino Linotype" w:hAnsi="Palatino Linotype" w:cs="Arial"/>
          <w:color w:val="000000" w:themeColor="text1"/>
        </w:rPr>
        <w:t xml:space="preserve"> de </w:t>
      </w:r>
      <w:r w:rsidR="00EE25B3" w:rsidRPr="00B01A7E">
        <w:rPr>
          <w:rFonts w:ascii="Palatino Linotype" w:hAnsi="Palatino Linotype" w:cs="Arial"/>
          <w:color w:val="000000" w:themeColor="text1"/>
        </w:rPr>
        <w:t>julio</w:t>
      </w:r>
      <w:r w:rsidR="0001674C" w:rsidRPr="00B01A7E">
        <w:rPr>
          <w:rFonts w:ascii="Palatino Linotype" w:hAnsi="Palatino Linotype" w:cs="Arial"/>
          <w:color w:val="000000" w:themeColor="text1"/>
        </w:rPr>
        <w:t xml:space="preserve"> de </w:t>
      </w:r>
      <w:r w:rsidR="0095509E" w:rsidRPr="00B01A7E">
        <w:rPr>
          <w:rFonts w:ascii="Palatino Linotype" w:hAnsi="Palatino Linotype" w:cs="Arial"/>
          <w:color w:val="000000" w:themeColor="text1"/>
        </w:rPr>
        <w:t>dos mil veintitrés</w:t>
      </w:r>
      <w:r w:rsidR="0001674C" w:rsidRPr="00B01A7E">
        <w:rPr>
          <w:rFonts w:ascii="Palatino Linotype" w:hAnsi="Palatino Linotype" w:cs="Arial"/>
          <w:color w:val="000000" w:themeColor="text1"/>
        </w:rPr>
        <w:t>; e</w:t>
      </w:r>
      <w:r w:rsidR="009F09BC" w:rsidRPr="00B01A7E">
        <w:rPr>
          <w:rFonts w:ascii="Palatino Linotype" w:hAnsi="Palatino Linotype" w:cs="Arial"/>
          <w:color w:val="000000" w:themeColor="text1"/>
        </w:rPr>
        <w:t xml:space="preserve">n consecuencia, el ahora </w:t>
      </w:r>
      <w:r w:rsidR="009F09BC" w:rsidRPr="00B01A7E">
        <w:rPr>
          <w:rFonts w:ascii="Palatino Linotype" w:hAnsi="Palatino Linotype" w:cs="Arial"/>
          <w:b/>
          <w:color w:val="000000" w:themeColor="text1"/>
        </w:rPr>
        <w:t>RECURRENTE</w:t>
      </w:r>
      <w:r w:rsidR="009F09BC" w:rsidRPr="00B01A7E">
        <w:rPr>
          <w:rFonts w:ascii="Palatino Linotype" w:hAnsi="Palatino Linotype" w:cs="Arial"/>
          <w:color w:val="000000" w:themeColor="text1"/>
        </w:rPr>
        <w:t xml:space="preserve"> presentó </w:t>
      </w:r>
      <w:r w:rsidR="00CA1063" w:rsidRPr="00B01A7E">
        <w:rPr>
          <w:rFonts w:ascii="Palatino Linotype" w:hAnsi="Palatino Linotype" w:cs="Arial"/>
          <w:color w:val="000000" w:themeColor="text1"/>
        </w:rPr>
        <w:t xml:space="preserve">su </w:t>
      </w:r>
      <w:r w:rsidR="00CA1063" w:rsidRPr="00B01A7E">
        <w:rPr>
          <w:rFonts w:ascii="Palatino Linotype" w:hAnsi="Palatino Linotype" w:cs="Arial"/>
          <w:color w:val="000000" w:themeColor="text1"/>
        </w:rPr>
        <w:lastRenderedPageBreak/>
        <w:t xml:space="preserve">inconformidad el día </w:t>
      </w:r>
      <w:r w:rsidR="00EE25B3" w:rsidRPr="00B01A7E">
        <w:rPr>
          <w:rFonts w:ascii="Palatino Linotype" w:hAnsi="Palatino Linotype" w:cs="Arial"/>
          <w:color w:val="000000" w:themeColor="text1"/>
        </w:rPr>
        <w:t>trece de junio</w:t>
      </w:r>
      <w:r w:rsidR="007142D6" w:rsidRPr="00B01A7E">
        <w:rPr>
          <w:rFonts w:ascii="Palatino Linotype" w:hAnsi="Palatino Linotype" w:cs="Arial"/>
          <w:color w:val="000000" w:themeColor="text1"/>
        </w:rPr>
        <w:t xml:space="preserve"> de </w:t>
      </w:r>
      <w:r w:rsidR="0095509E" w:rsidRPr="00B01A7E">
        <w:rPr>
          <w:rFonts w:ascii="Palatino Linotype" w:hAnsi="Palatino Linotype" w:cs="Arial"/>
          <w:color w:val="000000" w:themeColor="text1"/>
        </w:rPr>
        <w:t>dos mil veintitrés</w:t>
      </w:r>
      <w:r w:rsidR="009F09BC" w:rsidRPr="00B01A7E">
        <w:rPr>
          <w:rFonts w:ascii="Palatino Linotype" w:hAnsi="Palatino Linotype" w:cs="Arial"/>
          <w:color w:val="000000" w:themeColor="text1"/>
        </w:rPr>
        <w:t xml:space="preserve">; </w:t>
      </w:r>
      <w:r w:rsidR="0062406B" w:rsidRPr="00B01A7E">
        <w:rPr>
          <w:rFonts w:ascii="Palatino Linotype" w:hAnsi="Palatino Linotype" w:cs="Arial"/>
          <w:color w:val="000000" w:themeColor="text1"/>
        </w:rPr>
        <w:t xml:space="preserve">es decir </w:t>
      </w:r>
      <w:r w:rsidR="0082142B" w:rsidRPr="00B01A7E">
        <w:rPr>
          <w:rFonts w:ascii="Palatino Linotype" w:hAnsi="Palatino Linotype" w:cs="Arial"/>
          <w:color w:val="000000" w:themeColor="text1"/>
        </w:rPr>
        <w:t>dentro d</w:t>
      </w:r>
      <w:r w:rsidR="009F09BC" w:rsidRPr="00B01A7E">
        <w:rPr>
          <w:rFonts w:ascii="Palatino Linotype" w:hAnsi="Palatino Linotype" w:cs="Arial"/>
          <w:color w:val="000000" w:themeColor="text1"/>
        </w:rPr>
        <w:t>el lapso legalmente establecido para tal efecto.</w:t>
      </w:r>
    </w:p>
    <w:p w:rsidR="0074110E" w:rsidRPr="00B01A7E" w:rsidRDefault="0074110E" w:rsidP="00AF52DB">
      <w:pPr>
        <w:pStyle w:val="Prrafodelista"/>
        <w:spacing w:line="360" w:lineRule="auto"/>
        <w:rPr>
          <w:rFonts w:ascii="Palatino Linotype" w:eastAsia="Calibri" w:hAnsi="Palatino Linotype" w:cs="Arial"/>
          <w:color w:val="000000" w:themeColor="text1"/>
        </w:rPr>
      </w:pPr>
    </w:p>
    <w:p w:rsidR="009F09BC" w:rsidRPr="00B01A7E" w:rsidRDefault="009F09BC" w:rsidP="00AF52DB">
      <w:pPr>
        <w:pStyle w:val="Prrafodelista"/>
        <w:numPr>
          <w:ilvl w:val="0"/>
          <w:numId w:val="15"/>
        </w:numPr>
        <w:spacing w:line="360" w:lineRule="auto"/>
        <w:ind w:left="0" w:firstLine="0"/>
        <w:jc w:val="both"/>
        <w:rPr>
          <w:rFonts w:ascii="Palatino Linotype" w:hAnsi="Palatino Linotype"/>
          <w:color w:val="000000" w:themeColor="text1"/>
        </w:rPr>
      </w:pPr>
      <w:r w:rsidRPr="00B01A7E">
        <w:rPr>
          <w:rFonts w:ascii="Palatino Linotype" w:eastAsia="Calibri" w:hAnsi="Palatino Linotype" w:cs="Arial"/>
          <w:color w:val="000000" w:themeColor="text1"/>
        </w:rPr>
        <w:t xml:space="preserve">Asimismo, </w:t>
      </w:r>
      <w:r w:rsidR="00CF0D2B" w:rsidRPr="00B01A7E">
        <w:rPr>
          <w:rFonts w:ascii="Palatino Linotype" w:eastAsia="Calibri" w:hAnsi="Palatino Linotype" w:cs="Arial"/>
          <w:color w:val="000000" w:themeColor="text1"/>
        </w:rPr>
        <w:t>e</w:t>
      </w:r>
      <w:r w:rsidRPr="00B01A7E">
        <w:rPr>
          <w:rFonts w:ascii="Palatino Linotype" w:eastAsia="Calibri" w:hAnsi="Palatino Linotype" w:cs="Arial"/>
          <w:color w:val="000000" w:themeColor="text1"/>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8112D" w:rsidRPr="00B01A7E" w:rsidRDefault="0038112D" w:rsidP="00AF52DB">
      <w:pPr>
        <w:spacing w:line="360" w:lineRule="auto"/>
        <w:rPr>
          <w:rFonts w:ascii="Palatino Linotype" w:hAnsi="Palatino Linotype"/>
          <w:color w:val="000000" w:themeColor="text1"/>
        </w:rPr>
      </w:pPr>
    </w:p>
    <w:p w:rsidR="009F09BC" w:rsidRPr="00B01A7E" w:rsidRDefault="0038112D" w:rsidP="00AF52DB">
      <w:pPr>
        <w:pStyle w:val="Ttulo1"/>
        <w:spacing w:before="0" w:line="360" w:lineRule="auto"/>
        <w:rPr>
          <w:rFonts w:ascii="Palatino Linotype" w:hAnsi="Palatino Linotype"/>
          <w:b/>
          <w:color w:val="000000" w:themeColor="text1"/>
          <w:sz w:val="24"/>
          <w:szCs w:val="24"/>
        </w:rPr>
      </w:pPr>
      <w:bookmarkStart w:id="139" w:name="_Toc66998086"/>
      <w:bookmarkStart w:id="140" w:name="_Toc70526130"/>
      <w:r w:rsidRPr="00B01A7E">
        <w:rPr>
          <w:rFonts w:ascii="Palatino Linotype" w:hAnsi="Palatino Linotype"/>
          <w:b/>
          <w:color w:val="000000" w:themeColor="text1"/>
          <w:sz w:val="24"/>
          <w:szCs w:val="24"/>
        </w:rPr>
        <w:t xml:space="preserve">TERCERO. </w:t>
      </w:r>
      <w:bookmarkStart w:id="141" w:name="_Toc34246179"/>
      <w:bookmarkStart w:id="142" w:name="_Toc50033991"/>
      <w:bookmarkStart w:id="143" w:name="_Toc51259588"/>
      <w:bookmarkStart w:id="144" w:name="_Toc83128581"/>
      <w:bookmarkStart w:id="145" w:name="_Toc501021589"/>
      <w:bookmarkEnd w:id="139"/>
      <w:bookmarkEnd w:id="140"/>
      <w:r w:rsidR="009F09BC" w:rsidRPr="00B01A7E">
        <w:rPr>
          <w:rFonts w:ascii="Palatino Linotype" w:hAnsi="Palatino Linotype"/>
          <w:b/>
          <w:color w:val="000000" w:themeColor="text1"/>
          <w:sz w:val="24"/>
          <w:szCs w:val="24"/>
        </w:rPr>
        <w:t xml:space="preserve">Del planteamiento de la </w:t>
      </w:r>
      <w:r w:rsidR="009F09BC" w:rsidRPr="00B01A7E">
        <w:rPr>
          <w:rFonts w:ascii="Palatino Linotype" w:hAnsi="Palatino Linotype"/>
          <w:b/>
          <w:i/>
          <w:color w:val="000000" w:themeColor="text1"/>
          <w:sz w:val="24"/>
          <w:szCs w:val="24"/>
        </w:rPr>
        <w:t>Litis</w:t>
      </w:r>
      <w:r w:rsidR="009F09BC" w:rsidRPr="00B01A7E">
        <w:rPr>
          <w:rFonts w:ascii="Palatino Linotype" w:hAnsi="Palatino Linotype"/>
          <w:b/>
          <w:color w:val="000000" w:themeColor="text1"/>
          <w:sz w:val="24"/>
          <w:szCs w:val="24"/>
        </w:rPr>
        <w:t>.</w:t>
      </w:r>
      <w:bookmarkEnd w:id="141"/>
      <w:bookmarkEnd w:id="142"/>
      <w:bookmarkEnd w:id="143"/>
      <w:bookmarkEnd w:id="144"/>
      <w:bookmarkEnd w:id="145"/>
    </w:p>
    <w:p w:rsidR="009F09BC" w:rsidRPr="00B01A7E" w:rsidRDefault="009F09BC" w:rsidP="00AF52DB">
      <w:pPr>
        <w:spacing w:line="360" w:lineRule="auto"/>
        <w:rPr>
          <w:rFonts w:ascii="Palatino Linotype" w:hAnsi="Palatino Linotype"/>
          <w:color w:val="000000" w:themeColor="text1"/>
          <w:lang w:val="es-MX" w:eastAsia="en-US"/>
        </w:rPr>
      </w:pPr>
    </w:p>
    <w:p w:rsidR="009F09BC" w:rsidRPr="00B01A7E" w:rsidRDefault="009F09BC" w:rsidP="00AF52DB">
      <w:pPr>
        <w:pStyle w:val="Prrafodelista"/>
        <w:numPr>
          <w:ilvl w:val="0"/>
          <w:numId w:val="15"/>
        </w:numPr>
        <w:spacing w:line="360" w:lineRule="auto"/>
        <w:ind w:left="0" w:firstLine="0"/>
        <w:jc w:val="both"/>
        <w:rPr>
          <w:rFonts w:ascii="Palatino Linotype" w:hAnsi="Palatino Linotype" w:cs="Arial"/>
          <w:color w:val="000000" w:themeColor="text1"/>
        </w:rPr>
      </w:pPr>
      <w:r w:rsidRPr="00B01A7E">
        <w:rPr>
          <w:rFonts w:ascii="Palatino Linotype" w:hAnsi="Palatino Linotype" w:cs="Arial"/>
          <w:color w:val="000000" w:themeColor="text1"/>
        </w:rPr>
        <w:t xml:space="preserve">Se </w:t>
      </w:r>
      <w:r w:rsidRPr="00B01A7E">
        <w:rPr>
          <w:rFonts w:ascii="Palatino Linotype" w:eastAsia="Calibri" w:hAnsi="Palatino Linotype" w:cs="Arial"/>
          <w:color w:val="000000" w:themeColor="text1"/>
        </w:rPr>
        <w:t>solicitó</w:t>
      </w:r>
      <w:r w:rsidRPr="00B01A7E">
        <w:rPr>
          <w:rFonts w:ascii="Palatino Linotype" w:hAnsi="Palatino Linotype" w:cs="Arial"/>
          <w:color w:val="000000" w:themeColor="text1"/>
        </w:rPr>
        <w:t xml:space="preserve"> </w:t>
      </w:r>
      <w:r w:rsidR="00AD63B4" w:rsidRPr="00B01A7E">
        <w:rPr>
          <w:rFonts w:ascii="Palatino Linotype" w:hAnsi="Palatino Linotype" w:cs="Arial"/>
          <w:color w:val="000000" w:themeColor="text1"/>
        </w:rPr>
        <w:t xml:space="preserve">tener acceso, a la </w:t>
      </w:r>
      <w:r w:rsidRPr="00B01A7E">
        <w:rPr>
          <w:rFonts w:ascii="Palatino Linotype" w:hAnsi="Palatino Linotype" w:cs="Arial"/>
          <w:color w:val="000000" w:themeColor="text1"/>
        </w:rPr>
        <w:t>información que a continuación se desagrega:</w:t>
      </w:r>
    </w:p>
    <w:p w:rsidR="009F09BC" w:rsidRPr="00B01A7E" w:rsidRDefault="009F09BC" w:rsidP="00AF52DB">
      <w:pPr>
        <w:pStyle w:val="Prrafodelista"/>
        <w:spacing w:line="360" w:lineRule="auto"/>
        <w:ind w:left="0"/>
        <w:jc w:val="both"/>
        <w:rPr>
          <w:rFonts w:ascii="Palatino Linotype" w:hAnsi="Palatino Linotype" w:cs="Arial"/>
          <w:color w:val="000000" w:themeColor="text1"/>
        </w:rPr>
      </w:pPr>
    </w:p>
    <w:p w:rsidR="005E30A9" w:rsidRPr="00B01A7E" w:rsidRDefault="00085C62" w:rsidP="00AF52DB">
      <w:pPr>
        <w:pStyle w:val="Prrafodelista"/>
        <w:numPr>
          <w:ilvl w:val="1"/>
          <w:numId w:val="27"/>
        </w:numPr>
        <w:spacing w:line="360" w:lineRule="auto"/>
        <w:ind w:left="1134"/>
        <w:jc w:val="both"/>
        <w:rPr>
          <w:rFonts w:ascii="Palatino Linotype" w:hAnsi="Palatino Linotype" w:cs="Arial"/>
          <w:color w:val="000000" w:themeColor="text1"/>
        </w:rPr>
      </w:pPr>
      <w:r w:rsidRPr="00B01A7E">
        <w:rPr>
          <w:rFonts w:ascii="Palatino Linotype" w:hAnsi="Palatino Linotype"/>
          <w:color w:val="000000" w:themeColor="text1"/>
        </w:rPr>
        <w:t>Comprobantes de pago quincenal del Dirección General de la Comisión de Impacto Estatal, Director de Servicios al Inversionista, Director de Dictamina</w:t>
      </w:r>
      <w:r w:rsidR="00BB13B0" w:rsidRPr="00B01A7E">
        <w:rPr>
          <w:rFonts w:ascii="Palatino Linotype" w:hAnsi="Palatino Linotype"/>
          <w:color w:val="000000" w:themeColor="text1"/>
        </w:rPr>
        <w:t>ción</w:t>
      </w:r>
      <w:r w:rsidRPr="00B01A7E">
        <w:rPr>
          <w:rFonts w:ascii="Palatino Linotype" w:hAnsi="Palatino Linotype"/>
          <w:color w:val="000000" w:themeColor="text1"/>
        </w:rPr>
        <w:t xml:space="preserve"> y Director del Registro de Evaluaciones de Impacto Estatal.</w:t>
      </w:r>
    </w:p>
    <w:p w:rsidR="008C42B4" w:rsidRPr="00B01A7E" w:rsidRDefault="008C42B4" w:rsidP="00AF52DB">
      <w:pPr>
        <w:spacing w:line="360" w:lineRule="auto"/>
        <w:jc w:val="both"/>
        <w:rPr>
          <w:rFonts w:ascii="Palatino Linotype" w:hAnsi="Palatino Linotype" w:cs="Arial"/>
          <w:color w:val="000000" w:themeColor="text1"/>
        </w:rPr>
      </w:pPr>
    </w:p>
    <w:p w:rsidR="00857236" w:rsidRPr="00B01A7E" w:rsidRDefault="006971FE" w:rsidP="00AF52DB">
      <w:pPr>
        <w:numPr>
          <w:ilvl w:val="0"/>
          <w:numId w:val="15"/>
        </w:numPr>
        <w:spacing w:line="360" w:lineRule="auto"/>
        <w:ind w:left="0" w:firstLine="0"/>
        <w:contextualSpacing/>
        <w:jc w:val="both"/>
        <w:rPr>
          <w:rFonts w:ascii="Palatino Linotype" w:hAnsi="Palatino Linotype" w:cs="Arial"/>
          <w:color w:val="000000" w:themeColor="text1"/>
        </w:rPr>
      </w:pPr>
      <w:r w:rsidRPr="00B01A7E">
        <w:rPr>
          <w:rFonts w:ascii="Palatino Linotype" w:hAnsi="Palatino Linotype" w:cs="Arial"/>
          <w:color w:val="000000" w:themeColor="text1"/>
        </w:rPr>
        <w:t>En respuesta</w:t>
      </w:r>
      <w:r w:rsidR="000F1081" w:rsidRPr="00B01A7E">
        <w:rPr>
          <w:rFonts w:ascii="Palatino Linotype" w:hAnsi="Palatino Linotype" w:cs="Arial"/>
          <w:color w:val="000000" w:themeColor="text1"/>
        </w:rPr>
        <w:t xml:space="preserve"> el </w:t>
      </w:r>
      <w:r w:rsidR="000F1081" w:rsidRPr="00B01A7E">
        <w:rPr>
          <w:rFonts w:ascii="Palatino Linotype" w:hAnsi="Palatino Linotype" w:cs="Arial"/>
          <w:b/>
          <w:color w:val="000000" w:themeColor="text1"/>
        </w:rPr>
        <w:t>SUJETO OBLIGADO</w:t>
      </w:r>
      <w:r w:rsidRPr="00B01A7E">
        <w:rPr>
          <w:rFonts w:ascii="Palatino Linotype" w:hAnsi="Palatino Linotype" w:cs="Arial"/>
          <w:b/>
          <w:color w:val="000000" w:themeColor="text1"/>
        </w:rPr>
        <w:t>,</w:t>
      </w:r>
      <w:r w:rsidR="000F1081" w:rsidRPr="00B01A7E">
        <w:rPr>
          <w:rFonts w:ascii="Palatino Linotype" w:hAnsi="Palatino Linotype" w:cs="Arial"/>
          <w:b/>
          <w:color w:val="000000" w:themeColor="text1"/>
        </w:rPr>
        <w:t xml:space="preserve"> </w:t>
      </w:r>
      <w:r w:rsidR="00400C69" w:rsidRPr="00B01A7E">
        <w:rPr>
          <w:rFonts w:ascii="Palatino Linotype" w:hAnsi="Palatino Linotype" w:cs="Arial"/>
          <w:color w:val="000000" w:themeColor="text1"/>
        </w:rPr>
        <w:t>entregó un oficio del que se advierte información diversa como nombres de los servidores públicos, puesto nominal, nivel y rango, así como un hipervínculo que contiene el tabulador de sueldos del cual se puede obtener las percepciones de los servidores públicos de referencia con base en su nivel y rango</w:t>
      </w:r>
      <w:r w:rsidR="00857236" w:rsidRPr="00B01A7E">
        <w:rPr>
          <w:rFonts w:ascii="Palatino Linotype" w:hAnsi="Palatino Linotype" w:cs="Arial"/>
          <w:color w:val="000000" w:themeColor="text1"/>
        </w:rPr>
        <w:t>.</w:t>
      </w:r>
    </w:p>
    <w:p w:rsidR="00857236" w:rsidRPr="00B01A7E" w:rsidRDefault="00857236" w:rsidP="00AF52DB">
      <w:pPr>
        <w:spacing w:line="360" w:lineRule="auto"/>
        <w:contextualSpacing/>
        <w:jc w:val="both"/>
        <w:rPr>
          <w:rFonts w:ascii="Palatino Linotype" w:hAnsi="Palatino Linotype" w:cs="Arial"/>
          <w:color w:val="000000" w:themeColor="text1"/>
        </w:rPr>
      </w:pPr>
    </w:p>
    <w:p w:rsidR="009F09BC" w:rsidRPr="00B01A7E" w:rsidRDefault="00400C69" w:rsidP="00AF52DB">
      <w:pPr>
        <w:numPr>
          <w:ilvl w:val="0"/>
          <w:numId w:val="15"/>
        </w:numPr>
        <w:spacing w:line="360" w:lineRule="auto"/>
        <w:ind w:left="0" w:firstLine="0"/>
        <w:contextualSpacing/>
        <w:jc w:val="both"/>
        <w:rPr>
          <w:rFonts w:ascii="Palatino Linotype" w:hAnsi="Palatino Linotype" w:cs="Arial"/>
          <w:color w:val="000000" w:themeColor="text1"/>
        </w:rPr>
      </w:pPr>
      <w:r w:rsidRPr="00B01A7E">
        <w:rPr>
          <w:rFonts w:ascii="Palatino Linotype" w:hAnsi="Palatino Linotype" w:cs="Arial"/>
          <w:color w:val="000000" w:themeColor="text1"/>
        </w:rPr>
        <w:lastRenderedPageBreak/>
        <w:t>Inconforme</w:t>
      </w:r>
      <w:r w:rsidR="00857236" w:rsidRPr="00B01A7E">
        <w:rPr>
          <w:rFonts w:ascii="Palatino Linotype" w:hAnsi="Palatino Linotype" w:cs="Arial"/>
          <w:b/>
          <w:color w:val="000000" w:themeColor="text1"/>
        </w:rPr>
        <w:t xml:space="preserve">, </w:t>
      </w:r>
      <w:r w:rsidR="00857236" w:rsidRPr="00B01A7E">
        <w:rPr>
          <w:rFonts w:ascii="Palatino Linotype" w:hAnsi="Palatino Linotype" w:cs="Arial"/>
          <w:color w:val="000000" w:themeColor="text1"/>
        </w:rPr>
        <w:t xml:space="preserve">el particular </w:t>
      </w:r>
      <w:r w:rsidRPr="00B01A7E">
        <w:rPr>
          <w:rFonts w:ascii="Palatino Linotype" w:hAnsi="Palatino Linotype" w:cs="Arial"/>
          <w:color w:val="000000" w:themeColor="text1"/>
        </w:rPr>
        <w:t>interpuso recurso de revisión aduciendo que lo entregado no corresponde con lo solicitado</w:t>
      </w:r>
      <w:r w:rsidR="00C41E57" w:rsidRPr="00B01A7E">
        <w:rPr>
          <w:rFonts w:ascii="Palatino Linotype" w:hAnsi="Palatino Linotype" w:cs="Arial"/>
          <w:color w:val="000000" w:themeColor="text1"/>
        </w:rPr>
        <w:t>.</w:t>
      </w:r>
    </w:p>
    <w:p w:rsidR="0074110E" w:rsidRPr="00B01A7E" w:rsidRDefault="0074110E" w:rsidP="00AF52DB">
      <w:pPr>
        <w:spacing w:line="360" w:lineRule="auto"/>
        <w:contextualSpacing/>
        <w:jc w:val="both"/>
        <w:rPr>
          <w:rFonts w:ascii="Palatino Linotype" w:hAnsi="Palatino Linotype" w:cs="Arial"/>
          <w:color w:val="000000" w:themeColor="text1"/>
        </w:rPr>
      </w:pPr>
    </w:p>
    <w:p w:rsidR="009F09BC" w:rsidRPr="00B01A7E" w:rsidRDefault="009F09BC" w:rsidP="00AF52DB">
      <w:pPr>
        <w:numPr>
          <w:ilvl w:val="0"/>
          <w:numId w:val="15"/>
        </w:numPr>
        <w:spacing w:line="360" w:lineRule="auto"/>
        <w:ind w:left="0" w:firstLine="0"/>
        <w:contextualSpacing/>
        <w:jc w:val="both"/>
        <w:rPr>
          <w:rFonts w:ascii="Palatino Linotype" w:eastAsia="MS Mincho" w:hAnsi="Palatino Linotype" w:cs="Arial"/>
          <w:color w:val="000000" w:themeColor="text1"/>
        </w:rPr>
      </w:pPr>
      <w:r w:rsidRPr="00B01A7E">
        <w:rPr>
          <w:rFonts w:ascii="Palatino Linotype" w:eastAsia="MS Mincho" w:hAnsi="Palatino Linotype" w:cs="Arial"/>
          <w:color w:val="000000" w:themeColor="text1"/>
        </w:rPr>
        <w:t xml:space="preserve">En </w:t>
      </w:r>
      <w:r w:rsidRPr="00B01A7E">
        <w:rPr>
          <w:rFonts w:ascii="Palatino Linotype" w:hAnsi="Palatino Linotype" w:cs="Arial"/>
          <w:color w:val="000000" w:themeColor="text1"/>
          <w:lang w:eastAsia="es-MX"/>
        </w:rPr>
        <w:t>dichas</w:t>
      </w:r>
      <w:r w:rsidRPr="00B01A7E">
        <w:rPr>
          <w:rFonts w:ascii="Palatino Linotype" w:eastAsia="Times New Roman" w:hAnsi="Palatino Linotype" w:cs="Arial"/>
          <w:color w:val="000000" w:themeColor="text1"/>
        </w:rPr>
        <w:t xml:space="preserve"> condiciones, la </w:t>
      </w:r>
      <w:r w:rsidRPr="00B01A7E">
        <w:rPr>
          <w:rFonts w:ascii="Palatino Linotype" w:eastAsia="Times New Roman" w:hAnsi="Palatino Linotype" w:cs="Arial"/>
          <w:i/>
          <w:color w:val="000000" w:themeColor="text1"/>
        </w:rPr>
        <w:t>Litis</w:t>
      </w:r>
      <w:r w:rsidRPr="00B01A7E">
        <w:rPr>
          <w:rFonts w:ascii="Palatino Linotype" w:eastAsia="Times New Roman" w:hAnsi="Palatino Linotype" w:cs="Arial"/>
          <w:color w:val="000000" w:themeColor="text1"/>
        </w:rPr>
        <w:t xml:space="preserve"> a resolver en este recurso se circunscribe a determinar si </w:t>
      </w:r>
      <w:r w:rsidR="007142AB" w:rsidRPr="00B01A7E">
        <w:rPr>
          <w:rFonts w:ascii="Palatino Linotype" w:eastAsia="MS Mincho" w:hAnsi="Palatino Linotype" w:cs="Arial"/>
          <w:color w:val="000000" w:themeColor="text1"/>
        </w:rPr>
        <w:t>se actualiza</w:t>
      </w:r>
      <w:r w:rsidRPr="00B01A7E">
        <w:rPr>
          <w:rFonts w:ascii="Palatino Linotype" w:eastAsia="MS Mincho" w:hAnsi="Palatino Linotype" w:cs="Arial"/>
          <w:color w:val="000000" w:themeColor="text1"/>
        </w:rPr>
        <w:t xml:space="preserve"> la causal de procedencia prevista en el artículo 179, </w:t>
      </w:r>
      <w:r w:rsidRPr="00B01A7E">
        <w:rPr>
          <w:rFonts w:ascii="Palatino Linotype" w:eastAsia="MS Mincho" w:hAnsi="Palatino Linotype" w:cs="Arial"/>
          <w:b/>
          <w:color w:val="000000" w:themeColor="text1"/>
        </w:rPr>
        <w:t xml:space="preserve">fracción </w:t>
      </w:r>
      <w:r w:rsidR="00682434" w:rsidRPr="00B01A7E">
        <w:rPr>
          <w:rFonts w:ascii="Palatino Linotype" w:eastAsia="MS Mincho" w:hAnsi="Palatino Linotype" w:cs="Arial"/>
          <w:b/>
          <w:color w:val="000000" w:themeColor="text1"/>
        </w:rPr>
        <w:t>V</w:t>
      </w:r>
      <w:r w:rsidR="00C41E57" w:rsidRPr="00B01A7E">
        <w:rPr>
          <w:rFonts w:ascii="Palatino Linotype" w:eastAsia="MS Mincho" w:hAnsi="Palatino Linotype" w:cs="Arial"/>
          <w:b/>
          <w:color w:val="000000" w:themeColor="text1"/>
        </w:rPr>
        <w:t>I</w:t>
      </w:r>
      <w:r w:rsidRPr="00B01A7E">
        <w:rPr>
          <w:rFonts w:ascii="Palatino Linotype" w:eastAsia="MS Mincho" w:hAnsi="Palatino Linotype" w:cs="Arial"/>
          <w:color w:val="000000" w:themeColor="text1"/>
        </w:rPr>
        <w:t xml:space="preserve"> de la </w:t>
      </w:r>
      <w:r w:rsidRPr="00B01A7E">
        <w:rPr>
          <w:rFonts w:ascii="Palatino Linotype" w:eastAsia="MS Mincho" w:hAnsi="Palatino Linotype" w:cs="Arial"/>
          <w:b/>
          <w:color w:val="000000" w:themeColor="text1"/>
        </w:rPr>
        <w:t>Ley de Transparencia y Acceso a la Información Pública del Estado de México y Municipios</w:t>
      </w:r>
      <w:r w:rsidRPr="00B01A7E">
        <w:rPr>
          <w:rFonts w:ascii="Palatino Linotype" w:eastAsia="MS Mincho" w:hAnsi="Palatino Linotype" w:cs="Arial"/>
          <w:color w:val="000000" w:themeColor="text1"/>
        </w:rPr>
        <w:t xml:space="preserve">; </w:t>
      </w:r>
      <w:r w:rsidRPr="00B01A7E">
        <w:rPr>
          <w:rFonts w:ascii="Palatino Linotype" w:eastAsia="Times New Roman" w:hAnsi="Palatino Linotype" w:cs="Arial"/>
          <w:color w:val="000000" w:themeColor="text1"/>
          <w:lang w:val="es-ES" w:eastAsia="es-MX"/>
        </w:rPr>
        <w:t xml:space="preserve">fracción que determina </w:t>
      </w:r>
      <w:r w:rsidR="005B6702" w:rsidRPr="00B01A7E">
        <w:rPr>
          <w:rFonts w:ascii="Palatino Linotype" w:eastAsia="Times New Roman" w:hAnsi="Palatino Linotype" w:cs="Arial"/>
          <w:color w:val="000000" w:themeColor="text1"/>
          <w:lang w:val="es-ES" w:eastAsia="es-MX"/>
        </w:rPr>
        <w:t>la hipótesis jurídica</w:t>
      </w:r>
      <w:r w:rsidRPr="00B01A7E">
        <w:rPr>
          <w:rFonts w:ascii="Palatino Linotype" w:eastAsia="Times New Roman" w:hAnsi="Palatino Linotype" w:cs="Arial"/>
          <w:color w:val="000000" w:themeColor="text1"/>
          <w:lang w:val="es-ES" w:eastAsia="es-MX"/>
        </w:rPr>
        <w:t xml:space="preserve"> relativa </w:t>
      </w:r>
      <w:r w:rsidR="005B6702" w:rsidRPr="00B01A7E">
        <w:rPr>
          <w:rFonts w:ascii="Palatino Linotype" w:eastAsia="Times New Roman" w:hAnsi="Palatino Linotype" w:cs="Arial"/>
          <w:color w:val="000000" w:themeColor="text1"/>
          <w:lang w:val="es-ES" w:eastAsia="es-MX"/>
        </w:rPr>
        <w:t xml:space="preserve">a </w:t>
      </w:r>
      <w:r w:rsidR="007142AB" w:rsidRPr="00B01A7E">
        <w:rPr>
          <w:rFonts w:ascii="Palatino Linotype" w:eastAsia="Times New Roman" w:hAnsi="Palatino Linotype" w:cs="Arial"/>
          <w:color w:val="000000" w:themeColor="text1"/>
          <w:lang w:val="es-ES" w:eastAsia="es-MX"/>
        </w:rPr>
        <w:t>l</w:t>
      </w:r>
      <w:r w:rsidR="002453DA" w:rsidRPr="00B01A7E">
        <w:rPr>
          <w:rFonts w:ascii="Palatino Linotype" w:eastAsia="Times New Roman" w:hAnsi="Palatino Linotype" w:cs="Arial"/>
          <w:color w:val="000000" w:themeColor="text1"/>
          <w:lang w:val="es-ES" w:eastAsia="es-MX"/>
        </w:rPr>
        <w:t>a</w:t>
      </w:r>
      <w:r w:rsidR="00857236" w:rsidRPr="00B01A7E">
        <w:rPr>
          <w:rFonts w:ascii="Palatino Linotype" w:eastAsia="Times New Roman" w:hAnsi="Palatino Linotype" w:cs="Arial"/>
          <w:color w:val="000000" w:themeColor="text1"/>
          <w:lang w:val="es-ES" w:eastAsia="es-MX"/>
        </w:rPr>
        <w:t xml:space="preserve"> </w:t>
      </w:r>
      <w:r w:rsidR="00682434" w:rsidRPr="00B01A7E">
        <w:rPr>
          <w:rFonts w:ascii="Palatino Linotype" w:eastAsia="Times New Roman" w:hAnsi="Palatino Linotype" w:cs="Arial"/>
          <w:color w:val="000000" w:themeColor="text1"/>
          <w:lang w:val="es-ES" w:eastAsia="es-MX"/>
        </w:rPr>
        <w:t>entrega de información que no corresponda con lo solicitado</w:t>
      </w:r>
      <w:r w:rsidRPr="00B01A7E">
        <w:rPr>
          <w:rFonts w:ascii="Palatino Linotype" w:eastAsia="Times New Roman" w:hAnsi="Palatino Linotype" w:cs="Arial"/>
          <w:color w:val="000000" w:themeColor="text1"/>
          <w:lang w:val="es-ES" w:eastAsia="es-MX"/>
        </w:rPr>
        <w:t xml:space="preserve">; </w:t>
      </w:r>
      <w:r w:rsidRPr="00B01A7E">
        <w:rPr>
          <w:rFonts w:ascii="Palatino Linotype" w:eastAsia="MS Mincho" w:hAnsi="Palatino Linotype" w:cs="Arial"/>
          <w:color w:val="000000" w:themeColor="text1"/>
        </w:rPr>
        <w:t xml:space="preserve">contexto del cual se dolió </w:t>
      </w:r>
      <w:r w:rsidR="002B3C82" w:rsidRPr="00B01A7E">
        <w:rPr>
          <w:rFonts w:ascii="Palatino Linotype" w:eastAsia="MS Mincho" w:hAnsi="Palatino Linotype" w:cs="Arial"/>
          <w:b/>
          <w:color w:val="000000" w:themeColor="text1"/>
        </w:rPr>
        <w:t>EL RECURRENTE</w:t>
      </w:r>
      <w:r w:rsidRPr="00B01A7E">
        <w:rPr>
          <w:rFonts w:ascii="Palatino Linotype" w:eastAsia="MS Mincho" w:hAnsi="Palatino Linotype" w:cs="Arial"/>
          <w:b/>
          <w:color w:val="000000" w:themeColor="text1"/>
        </w:rPr>
        <w:t xml:space="preserve"> </w:t>
      </w:r>
      <w:r w:rsidRPr="00B01A7E">
        <w:rPr>
          <w:rFonts w:ascii="Palatino Linotype" w:eastAsia="MS Mincho" w:hAnsi="Palatino Linotype" w:cs="Arial"/>
          <w:color w:val="000000" w:themeColor="text1"/>
        </w:rPr>
        <w:t>al momento de interponer su inconformidad.</w:t>
      </w:r>
      <w:r w:rsidRPr="00B01A7E">
        <w:rPr>
          <w:rFonts w:ascii="Palatino Linotype" w:eastAsia="Times New Roman" w:hAnsi="Palatino Linotype" w:cs="Arial"/>
          <w:color w:val="000000" w:themeColor="text1"/>
          <w:lang w:val="es-ES" w:eastAsia="es-MX"/>
        </w:rPr>
        <w:t xml:space="preserve"> De modo tal </w:t>
      </w:r>
      <w:r w:rsidRPr="00B01A7E">
        <w:rPr>
          <w:rFonts w:ascii="Palatino Linotype" w:hAnsi="Palatino Linotype" w:cs="Arial"/>
          <w:color w:val="000000" w:themeColor="text1"/>
        </w:rPr>
        <w:t xml:space="preserve">que el presente recurso de revisión se abocara en determinar si el </w:t>
      </w:r>
      <w:r w:rsidRPr="00B01A7E">
        <w:rPr>
          <w:rFonts w:ascii="Palatino Linotype" w:hAnsi="Palatino Linotype" w:cs="Arial"/>
          <w:b/>
          <w:color w:val="000000" w:themeColor="text1"/>
        </w:rPr>
        <w:t>SUJETO</w:t>
      </w:r>
      <w:r w:rsidRPr="00B01A7E">
        <w:rPr>
          <w:rFonts w:ascii="Palatino Linotype" w:hAnsi="Palatino Linotype" w:cs="Arial"/>
          <w:color w:val="000000" w:themeColor="text1"/>
        </w:rPr>
        <w:t xml:space="preserve"> </w:t>
      </w:r>
      <w:r w:rsidRPr="00B01A7E">
        <w:rPr>
          <w:rFonts w:ascii="Palatino Linotype" w:hAnsi="Palatino Linotype" w:cs="Arial"/>
          <w:b/>
          <w:color w:val="000000" w:themeColor="text1"/>
        </w:rPr>
        <w:t>OBLIGADO</w:t>
      </w:r>
      <w:r w:rsidRPr="00B01A7E">
        <w:rPr>
          <w:rFonts w:ascii="Palatino Linotype" w:hAnsi="Palatino Linotype" w:cs="Arial"/>
          <w:color w:val="000000" w:themeColor="text1"/>
        </w:rPr>
        <w:t xml:space="preserve"> con su respuesta ciertamente </w:t>
      </w:r>
      <w:r w:rsidRPr="00B01A7E">
        <w:rPr>
          <w:rFonts w:ascii="Palatino Linotype" w:eastAsia="Times New Roman" w:hAnsi="Palatino Linotype"/>
          <w:color w:val="000000" w:themeColor="text1"/>
        </w:rPr>
        <w:t>actualiza la causal de procedencia</w:t>
      </w:r>
      <w:r w:rsidRPr="00B01A7E">
        <w:rPr>
          <w:rFonts w:ascii="Palatino Linotype" w:eastAsia="Times New Roman" w:hAnsi="Palatino Linotype"/>
          <w:b/>
          <w:color w:val="000000" w:themeColor="text1"/>
        </w:rPr>
        <w:t xml:space="preserve"> </w:t>
      </w:r>
      <w:r w:rsidRPr="00B01A7E">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rsidR="009F09BC" w:rsidRPr="00B01A7E" w:rsidRDefault="009F09BC" w:rsidP="00AF52DB">
      <w:pPr>
        <w:pStyle w:val="Prrafodelista"/>
        <w:spacing w:line="360" w:lineRule="auto"/>
        <w:rPr>
          <w:rFonts w:ascii="Palatino Linotype" w:eastAsia="MS Mincho" w:hAnsi="Palatino Linotype" w:cs="Arial"/>
          <w:color w:val="000000" w:themeColor="text1"/>
        </w:rPr>
      </w:pPr>
    </w:p>
    <w:p w:rsidR="009F09BC" w:rsidRPr="00B01A7E" w:rsidRDefault="00C111EA" w:rsidP="00AF52DB">
      <w:pPr>
        <w:pStyle w:val="Ttulo2"/>
        <w:spacing w:before="0" w:line="360" w:lineRule="auto"/>
        <w:rPr>
          <w:rFonts w:ascii="Palatino Linotype" w:hAnsi="Palatino Linotype"/>
          <w:b/>
          <w:color w:val="000000" w:themeColor="text1"/>
          <w:sz w:val="24"/>
          <w:szCs w:val="24"/>
        </w:rPr>
      </w:pPr>
      <w:bookmarkStart w:id="146" w:name="_Toc495427545"/>
      <w:bookmarkStart w:id="147" w:name="_Toc23414596"/>
      <w:bookmarkStart w:id="148" w:name="_Toc34819433"/>
      <w:bookmarkStart w:id="149" w:name="_Toc51259589"/>
      <w:bookmarkStart w:id="150" w:name="_Toc83128582"/>
      <w:r w:rsidRPr="00B01A7E">
        <w:rPr>
          <w:rFonts w:ascii="Palatino Linotype" w:hAnsi="Palatino Linotype"/>
          <w:b/>
          <w:color w:val="000000" w:themeColor="text1"/>
          <w:sz w:val="24"/>
          <w:szCs w:val="24"/>
        </w:rPr>
        <w:t>CUAR</w:t>
      </w:r>
      <w:r w:rsidR="009F09BC" w:rsidRPr="00B01A7E">
        <w:rPr>
          <w:rFonts w:ascii="Palatino Linotype" w:hAnsi="Palatino Linotype"/>
          <w:b/>
          <w:color w:val="000000" w:themeColor="text1"/>
          <w:sz w:val="24"/>
          <w:szCs w:val="24"/>
        </w:rPr>
        <w:t>TO. Del estudio y resolución del asunto.</w:t>
      </w:r>
      <w:bookmarkEnd w:id="146"/>
      <w:bookmarkEnd w:id="147"/>
      <w:bookmarkEnd w:id="148"/>
      <w:bookmarkEnd w:id="149"/>
      <w:bookmarkEnd w:id="150"/>
    </w:p>
    <w:p w:rsidR="009F09BC" w:rsidRPr="00B01A7E" w:rsidRDefault="009F09BC" w:rsidP="00AF52DB">
      <w:pPr>
        <w:spacing w:line="360" w:lineRule="auto"/>
        <w:rPr>
          <w:rFonts w:ascii="Palatino Linotype" w:hAnsi="Palatino Linotype"/>
          <w:color w:val="000000" w:themeColor="text1"/>
          <w:lang w:val="es-MX" w:eastAsia="en-US"/>
        </w:rPr>
      </w:pPr>
    </w:p>
    <w:p w:rsidR="00682434" w:rsidRPr="00B01A7E" w:rsidRDefault="005B6702" w:rsidP="00AF52DB">
      <w:pPr>
        <w:numPr>
          <w:ilvl w:val="0"/>
          <w:numId w:val="15"/>
        </w:numPr>
        <w:spacing w:line="360" w:lineRule="auto"/>
        <w:ind w:left="0" w:firstLine="0"/>
        <w:contextualSpacing/>
        <w:jc w:val="both"/>
        <w:rPr>
          <w:rFonts w:ascii="Palatino Linotype" w:eastAsia="Palatino Linotype" w:hAnsi="Palatino Linotype" w:cs="Palatino Linotype"/>
          <w:b/>
          <w:color w:val="000000" w:themeColor="text1"/>
        </w:rPr>
      </w:pPr>
      <w:r w:rsidRPr="00B01A7E">
        <w:rPr>
          <w:rFonts w:ascii="Palatino Linotype" w:hAnsi="Palatino Linotype"/>
          <w:color w:val="000000" w:themeColor="text1"/>
        </w:rPr>
        <w:t xml:space="preserve">Acotada la </w:t>
      </w:r>
      <w:r w:rsidRPr="00B01A7E">
        <w:rPr>
          <w:rFonts w:ascii="Palatino Linotype" w:hAnsi="Palatino Linotype"/>
          <w:i/>
          <w:color w:val="000000" w:themeColor="text1"/>
        </w:rPr>
        <w:t>Litis</w:t>
      </w:r>
      <w:r w:rsidRPr="00B01A7E">
        <w:rPr>
          <w:rFonts w:ascii="Palatino Linotype" w:hAnsi="Palatino Linotype"/>
          <w:color w:val="000000" w:themeColor="text1"/>
        </w:rPr>
        <w:t xml:space="preserve"> de</w:t>
      </w:r>
      <w:r w:rsidR="00621274" w:rsidRPr="00B01A7E">
        <w:rPr>
          <w:rFonts w:ascii="Palatino Linotype" w:hAnsi="Palatino Linotype"/>
          <w:color w:val="000000" w:themeColor="text1"/>
        </w:rPr>
        <w:t>l presente asunto, se considera pri</w:t>
      </w:r>
      <w:r w:rsidR="0098042F" w:rsidRPr="00B01A7E">
        <w:rPr>
          <w:rFonts w:ascii="Palatino Linotype" w:hAnsi="Palatino Linotype"/>
          <w:color w:val="000000" w:themeColor="text1"/>
        </w:rPr>
        <w:t>meramente necesario puntualizar</w:t>
      </w:r>
      <w:r w:rsidR="00AD483D" w:rsidRPr="00B01A7E">
        <w:rPr>
          <w:rFonts w:ascii="Palatino Linotype" w:eastAsia="MS Mincho" w:hAnsi="Palatino Linotype" w:cs="Arial"/>
          <w:color w:val="000000" w:themeColor="text1"/>
        </w:rPr>
        <w:t xml:space="preserve">, </w:t>
      </w:r>
      <w:r w:rsidR="00857236" w:rsidRPr="00B01A7E">
        <w:rPr>
          <w:rFonts w:ascii="Palatino Linotype" w:eastAsia="Palatino Linotype" w:hAnsi="Palatino Linotype" w:cs="Palatino Linotype"/>
          <w:color w:val="000000" w:themeColor="text1"/>
        </w:rPr>
        <w:t xml:space="preserve">que </w:t>
      </w:r>
      <w:r w:rsidR="00682434" w:rsidRPr="00B01A7E">
        <w:rPr>
          <w:rFonts w:ascii="Palatino Linotype" w:eastAsia="Palatino Linotype" w:hAnsi="Palatino Linotype" w:cs="Palatino Linotype"/>
          <w:color w:val="000000" w:themeColor="text1"/>
        </w:rPr>
        <w:t xml:space="preserve">ciertamente resultan procedentes las razones o motivos de inconformidad, en su parte tocante a que no se entrega lo solicitado, pues ciertamente se solicitaron </w:t>
      </w:r>
      <w:r w:rsidR="00553D01" w:rsidRPr="00B01A7E">
        <w:rPr>
          <w:rFonts w:ascii="Palatino Linotype" w:eastAsia="Palatino Linotype" w:hAnsi="Palatino Linotype" w:cs="Palatino Linotype"/>
          <w:color w:val="000000" w:themeColor="text1"/>
        </w:rPr>
        <w:t>comprobantes</w:t>
      </w:r>
      <w:r w:rsidR="00682434" w:rsidRPr="00B01A7E">
        <w:rPr>
          <w:rFonts w:ascii="Palatino Linotype" w:eastAsia="Palatino Linotype" w:hAnsi="Palatino Linotype" w:cs="Palatino Linotype"/>
          <w:color w:val="000000" w:themeColor="text1"/>
        </w:rPr>
        <w:t xml:space="preserve"> de pago; no así percepciones, tabulador de sueldo o </w:t>
      </w:r>
      <w:r w:rsidR="003B1B31" w:rsidRPr="00B01A7E">
        <w:rPr>
          <w:rFonts w:ascii="Palatino Linotype" w:eastAsia="Palatino Linotype" w:hAnsi="Palatino Linotype" w:cs="Palatino Linotype"/>
          <w:color w:val="000000" w:themeColor="text1"/>
        </w:rPr>
        <w:t xml:space="preserve">datos como el nombre, </w:t>
      </w:r>
      <w:r w:rsidR="00682434" w:rsidRPr="00B01A7E">
        <w:rPr>
          <w:rFonts w:ascii="Palatino Linotype" w:eastAsia="Palatino Linotype" w:hAnsi="Palatino Linotype" w:cs="Palatino Linotype"/>
          <w:color w:val="000000" w:themeColor="text1"/>
        </w:rPr>
        <w:t>nivel y rango.</w:t>
      </w:r>
    </w:p>
    <w:p w:rsidR="00682434" w:rsidRPr="00B01A7E" w:rsidRDefault="00682434" w:rsidP="00AF52DB">
      <w:pPr>
        <w:spacing w:line="360" w:lineRule="auto"/>
        <w:contextualSpacing/>
        <w:jc w:val="both"/>
        <w:rPr>
          <w:rFonts w:ascii="Palatino Linotype" w:eastAsia="Palatino Linotype" w:hAnsi="Palatino Linotype" w:cs="Palatino Linotype"/>
          <w:b/>
          <w:color w:val="000000" w:themeColor="text1"/>
        </w:rPr>
      </w:pPr>
    </w:p>
    <w:p w:rsidR="00553D01" w:rsidRPr="00B01A7E" w:rsidRDefault="009117D1" w:rsidP="00AF52DB">
      <w:pPr>
        <w:numPr>
          <w:ilvl w:val="0"/>
          <w:numId w:val="15"/>
        </w:numPr>
        <w:spacing w:line="360" w:lineRule="auto"/>
        <w:ind w:left="0" w:firstLine="0"/>
        <w:contextualSpacing/>
        <w:jc w:val="both"/>
        <w:rPr>
          <w:rFonts w:ascii="Palatino Linotype" w:eastAsia="Palatino Linotype" w:hAnsi="Palatino Linotype" w:cs="Palatino Linotype"/>
          <w:color w:val="000000" w:themeColor="text1"/>
        </w:rPr>
      </w:pPr>
      <w:r w:rsidRPr="00B01A7E">
        <w:rPr>
          <w:rFonts w:ascii="Palatino Linotype" w:eastAsia="Palatino Linotype" w:hAnsi="Palatino Linotype" w:cs="Palatino Linotype"/>
          <w:color w:val="000000" w:themeColor="text1"/>
        </w:rPr>
        <w:t xml:space="preserve">En ese sentido al corresponder el </w:t>
      </w:r>
      <w:r w:rsidRPr="00B01A7E">
        <w:rPr>
          <w:rFonts w:ascii="Palatino Linotype" w:eastAsia="Palatino Linotype" w:hAnsi="Palatino Linotype" w:cs="Palatino Linotype"/>
          <w:b/>
          <w:color w:val="000000" w:themeColor="text1"/>
        </w:rPr>
        <w:t>SUJETO OBLIGADO</w:t>
      </w:r>
      <w:r w:rsidR="006971FE" w:rsidRPr="00B01A7E">
        <w:rPr>
          <w:rFonts w:ascii="Palatino Linotype" w:eastAsia="Palatino Linotype" w:hAnsi="Palatino Linotype" w:cs="Palatino Linotype"/>
          <w:b/>
          <w:color w:val="000000" w:themeColor="text1"/>
        </w:rPr>
        <w:t>,</w:t>
      </w:r>
      <w:r w:rsidRPr="00B01A7E">
        <w:rPr>
          <w:rFonts w:ascii="Palatino Linotype" w:eastAsia="Palatino Linotype" w:hAnsi="Palatino Linotype" w:cs="Palatino Linotype"/>
          <w:b/>
          <w:color w:val="000000" w:themeColor="text1"/>
        </w:rPr>
        <w:t xml:space="preserve"> </w:t>
      </w:r>
      <w:r w:rsidRPr="00B01A7E">
        <w:rPr>
          <w:rFonts w:ascii="Palatino Linotype" w:eastAsia="Palatino Linotype" w:hAnsi="Palatino Linotype" w:cs="Palatino Linotype"/>
          <w:color w:val="000000" w:themeColor="text1"/>
        </w:rPr>
        <w:t xml:space="preserve">a una Secretaria del Poder Ejecutivo, cuyo objetivo es integrar políticas, estrategias y </w:t>
      </w:r>
      <w:r w:rsidRPr="00B01A7E">
        <w:rPr>
          <w:rFonts w:ascii="Palatino Linotype" w:hAnsi="Palatino Linotype"/>
          <w:color w:val="000000" w:themeColor="text1"/>
        </w:rPr>
        <w:t>acciones</w:t>
      </w:r>
      <w:r w:rsidRPr="00B01A7E">
        <w:rPr>
          <w:rFonts w:ascii="Palatino Linotype" w:eastAsia="Palatino Linotype" w:hAnsi="Palatino Linotype" w:cs="Palatino Linotype"/>
          <w:color w:val="000000" w:themeColor="text1"/>
        </w:rPr>
        <w:t xml:space="preserve"> para </w:t>
      </w:r>
      <w:r w:rsidRPr="00B01A7E">
        <w:rPr>
          <w:rFonts w:ascii="Palatino Linotype" w:eastAsia="Palatino Linotype" w:hAnsi="Palatino Linotype" w:cs="Palatino Linotype"/>
          <w:color w:val="000000" w:themeColor="text1"/>
        </w:rPr>
        <w:lastRenderedPageBreak/>
        <w:t xml:space="preserve">fortalecer el ordenamiento territorial, regular el desarrollo metropolitano y de vivienda y ejecutar obras de infraestructura básica, </w:t>
      </w:r>
      <w:r w:rsidR="00553D01" w:rsidRPr="00B01A7E">
        <w:rPr>
          <w:rFonts w:ascii="Palatino Linotype" w:eastAsia="Palatino Linotype" w:hAnsi="Palatino Linotype" w:cs="Palatino Linotype"/>
          <w:color w:val="000000" w:themeColor="text1"/>
        </w:rPr>
        <w:t xml:space="preserve">no detenta los recibos de pago, </w:t>
      </w:r>
      <w:r w:rsidR="00553D01" w:rsidRPr="00B01A7E">
        <w:rPr>
          <w:rFonts w:ascii="Palatino Linotype" w:eastAsia="Palatino Linotype" w:hAnsi="Palatino Linotype" w:cs="Palatino Linotype"/>
          <w:b/>
          <w:color w:val="000000" w:themeColor="text1"/>
        </w:rPr>
        <w:t xml:space="preserve">pero si lo solicitado y que textualmente correspondió a </w:t>
      </w:r>
      <w:r w:rsidR="003B1B31" w:rsidRPr="00B01A7E">
        <w:rPr>
          <w:rFonts w:ascii="Palatino Linotype" w:eastAsia="Palatino Linotype" w:hAnsi="Palatino Linotype" w:cs="Palatino Linotype"/>
          <w:b/>
          <w:color w:val="000000" w:themeColor="text1"/>
        </w:rPr>
        <w:t>comprobantes</w:t>
      </w:r>
      <w:r w:rsidR="00553D01" w:rsidRPr="00B01A7E">
        <w:rPr>
          <w:rFonts w:ascii="Palatino Linotype" w:eastAsia="Palatino Linotype" w:hAnsi="Palatino Linotype" w:cs="Palatino Linotype"/>
          <w:b/>
          <w:color w:val="000000" w:themeColor="text1"/>
        </w:rPr>
        <w:t xml:space="preserve"> de pago</w:t>
      </w:r>
      <w:r w:rsidR="00553D01" w:rsidRPr="00B01A7E">
        <w:rPr>
          <w:rFonts w:ascii="Palatino Linotype" w:eastAsia="Palatino Linotype" w:hAnsi="Palatino Linotype" w:cs="Palatino Linotype"/>
          <w:color w:val="000000" w:themeColor="text1"/>
        </w:rPr>
        <w:t>.</w:t>
      </w:r>
    </w:p>
    <w:p w:rsidR="00553D01" w:rsidRPr="00B01A7E" w:rsidRDefault="00553D01" w:rsidP="00AF52DB">
      <w:pPr>
        <w:pStyle w:val="Prrafodelista"/>
        <w:spacing w:line="360" w:lineRule="auto"/>
        <w:rPr>
          <w:rFonts w:ascii="Palatino Linotype" w:eastAsia="Palatino Linotype" w:hAnsi="Palatino Linotype" w:cs="Palatino Linotype"/>
          <w:color w:val="000000" w:themeColor="text1"/>
        </w:rPr>
      </w:pPr>
    </w:p>
    <w:p w:rsidR="009117D1" w:rsidRPr="00B01A7E" w:rsidRDefault="00553D01" w:rsidP="00AF52DB">
      <w:pPr>
        <w:numPr>
          <w:ilvl w:val="0"/>
          <w:numId w:val="15"/>
        </w:numPr>
        <w:spacing w:line="360" w:lineRule="auto"/>
        <w:ind w:left="0" w:firstLine="0"/>
        <w:contextualSpacing/>
        <w:jc w:val="both"/>
        <w:rPr>
          <w:rFonts w:ascii="Palatino Linotype" w:eastAsia="Palatino Linotype" w:hAnsi="Palatino Linotype" w:cs="Palatino Linotype"/>
          <w:color w:val="000000" w:themeColor="text1"/>
        </w:rPr>
      </w:pPr>
      <w:r w:rsidRPr="00B01A7E">
        <w:rPr>
          <w:rFonts w:ascii="Palatino Linotype" w:eastAsia="Palatino Linotype" w:hAnsi="Palatino Linotype" w:cs="Palatino Linotype"/>
          <w:color w:val="000000" w:themeColor="text1"/>
        </w:rPr>
        <w:t xml:space="preserve">En ese contexto </w:t>
      </w:r>
      <w:r w:rsidR="003B1B31" w:rsidRPr="00B01A7E">
        <w:rPr>
          <w:rFonts w:ascii="Palatino Linotype" w:eastAsia="Palatino Linotype" w:hAnsi="Palatino Linotype" w:cs="Palatino Linotype"/>
          <w:color w:val="000000" w:themeColor="text1"/>
        </w:rPr>
        <w:t xml:space="preserve">si bien es cierto </w:t>
      </w:r>
      <w:r w:rsidRPr="00B01A7E">
        <w:rPr>
          <w:rFonts w:ascii="Palatino Linotype" w:eastAsia="Palatino Linotype" w:hAnsi="Palatino Linotype" w:cs="Palatino Linotype"/>
          <w:color w:val="000000" w:themeColor="text1"/>
        </w:rPr>
        <w:t xml:space="preserve">es </w:t>
      </w:r>
      <w:r w:rsidR="009117D1" w:rsidRPr="00B01A7E">
        <w:rPr>
          <w:rFonts w:ascii="Palatino Linotype" w:eastAsia="Palatino Linotype" w:hAnsi="Palatino Linotype" w:cs="Palatino Linotype"/>
          <w:color w:val="000000" w:themeColor="text1"/>
        </w:rPr>
        <w:t>la Secretaría de Finanzas la encargada de los pagos de nómina al poder ejecutivo estatal</w:t>
      </w:r>
      <w:r w:rsidR="003B1B31" w:rsidRPr="00B01A7E">
        <w:rPr>
          <w:rFonts w:ascii="Palatino Linotype" w:eastAsia="Palatino Linotype" w:hAnsi="Palatino Linotype" w:cs="Palatino Linotype"/>
          <w:color w:val="000000" w:themeColor="text1"/>
        </w:rPr>
        <w:t>; toda vez que</w:t>
      </w:r>
      <w:r w:rsidR="009117D1" w:rsidRPr="00B01A7E">
        <w:rPr>
          <w:rFonts w:ascii="Palatino Linotype" w:eastAsia="Palatino Linotype" w:hAnsi="Palatino Linotype" w:cs="Palatino Linotype"/>
          <w:color w:val="000000" w:themeColor="text1"/>
        </w:rPr>
        <w:t xml:space="preserve"> </w:t>
      </w:r>
      <w:r w:rsidR="003B1B31" w:rsidRPr="00B01A7E">
        <w:rPr>
          <w:rFonts w:ascii="Palatino Linotype" w:eastAsia="Palatino Linotype" w:hAnsi="Palatino Linotype" w:cs="Palatino Linotype"/>
          <w:color w:val="000000" w:themeColor="text1"/>
        </w:rPr>
        <w:t>l</w:t>
      </w:r>
      <w:r w:rsidR="009117D1" w:rsidRPr="00B01A7E">
        <w:rPr>
          <w:rFonts w:ascii="Palatino Linotype" w:eastAsia="Palatino Linotype" w:hAnsi="Palatino Linotype" w:cs="Palatino Linotype"/>
          <w:color w:val="000000" w:themeColor="text1"/>
        </w:rPr>
        <w:t>a Secretaría de Finanzas es la dependencia responsable de la administración de los recursos económicos y f</w:t>
      </w:r>
      <w:r w:rsidR="003B1B31" w:rsidRPr="00B01A7E">
        <w:rPr>
          <w:rFonts w:ascii="Palatino Linotype" w:eastAsia="Palatino Linotype" w:hAnsi="Palatino Linotype" w:cs="Palatino Linotype"/>
          <w:color w:val="000000" w:themeColor="text1"/>
        </w:rPr>
        <w:t xml:space="preserve">inancieros del gobierno estatal, también lo es que el </w:t>
      </w:r>
      <w:r w:rsidR="003B1B31" w:rsidRPr="00B01A7E">
        <w:rPr>
          <w:rFonts w:ascii="Palatino Linotype" w:eastAsia="Palatino Linotype" w:hAnsi="Palatino Linotype" w:cs="Palatino Linotype"/>
          <w:b/>
          <w:color w:val="000000" w:themeColor="text1"/>
        </w:rPr>
        <w:t>SUJETO OBLIGADO</w:t>
      </w:r>
      <w:r w:rsidR="003B1B31" w:rsidRPr="00B01A7E">
        <w:rPr>
          <w:rFonts w:ascii="Palatino Linotype" w:eastAsia="Palatino Linotype" w:hAnsi="Palatino Linotype" w:cs="Palatino Linotype"/>
          <w:color w:val="000000" w:themeColor="text1"/>
        </w:rPr>
        <w:t xml:space="preserve"> genera, posee y administra comprobantes de los pagos realizados.</w:t>
      </w:r>
    </w:p>
    <w:p w:rsidR="009117D1" w:rsidRPr="00B01A7E" w:rsidRDefault="009117D1" w:rsidP="00AF52DB">
      <w:pPr>
        <w:spacing w:line="360" w:lineRule="auto"/>
        <w:ind w:left="360"/>
        <w:contextualSpacing/>
        <w:jc w:val="both"/>
        <w:rPr>
          <w:rFonts w:ascii="Palatino Linotype" w:eastAsia="Palatino Linotype" w:hAnsi="Palatino Linotype" w:cs="Palatino Linotype"/>
          <w:color w:val="000000" w:themeColor="text1"/>
        </w:rPr>
      </w:pPr>
    </w:p>
    <w:p w:rsidR="00EA5021" w:rsidRPr="00B01A7E" w:rsidRDefault="00EA5021" w:rsidP="00AF52DB">
      <w:pPr>
        <w:numPr>
          <w:ilvl w:val="0"/>
          <w:numId w:val="15"/>
        </w:numPr>
        <w:spacing w:line="360" w:lineRule="auto"/>
        <w:ind w:left="0" w:firstLine="0"/>
        <w:contextualSpacing/>
        <w:jc w:val="both"/>
        <w:rPr>
          <w:rFonts w:ascii="Palatino Linotype" w:eastAsia="Times New Roman" w:hAnsi="Palatino Linotype" w:cs="Tahoma"/>
          <w:iCs/>
          <w:lang w:val="es-ES"/>
        </w:rPr>
      </w:pPr>
      <w:r w:rsidRPr="00B01A7E">
        <w:rPr>
          <w:rFonts w:ascii="Palatino Linotype" w:eastAsia="Times New Roman" w:hAnsi="Palatino Linotype" w:cs="Tahoma"/>
          <w:iCs/>
        </w:rPr>
        <w:t xml:space="preserve">Sobre el tema es </w:t>
      </w:r>
      <w:r w:rsidRPr="00B01A7E">
        <w:rPr>
          <w:rFonts w:ascii="Palatino Linotype" w:eastAsia="Palatino Linotype" w:hAnsi="Palatino Linotype" w:cs="Palatino Linotype"/>
          <w:color w:val="000000" w:themeColor="text1"/>
        </w:rPr>
        <w:t>necesario</w:t>
      </w:r>
      <w:r w:rsidRPr="00B01A7E">
        <w:rPr>
          <w:rFonts w:ascii="Palatino Linotype" w:eastAsia="Times New Roman" w:hAnsi="Palatino Linotype" w:cs="Tahoma"/>
          <w:iCs/>
        </w:rPr>
        <w:t xml:space="preserve"> traer</w:t>
      </w:r>
      <w:r w:rsidRPr="00B01A7E">
        <w:rPr>
          <w:rFonts w:ascii="Palatino Linotype" w:eastAsia="Times New Roman" w:hAnsi="Palatino Linotype" w:cs="Tahoma"/>
          <w:bCs/>
          <w:iCs/>
        </w:rPr>
        <w:t xml:space="preserve"> a colación el artículo 147 de la Constitución Política del Estado Libre y Soberano de México, que establece que los </w:t>
      </w:r>
      <w:r w:rsidRPr="00B01A7E">
        <w:rPr>
          <w:rFonts w:ascii="Palatino Linotype" w:eastAsia="Times New Roman" w:hAnsi="Palatino Linotype" w:cs="Tahoma"/>
          <w:b/>
          <w:bCs/>
          <w:iCs/>
        </w:rPr>
        <w:t>trabajadores al servicio del Estado</w:t>
      </w:r>
      <w:r w:rsidRPr="00B01A7E">
        <w:rPr>
          <w:rFonts w:ascii="Palatino Linotype" w:eastAsia="Times New Roman" w:hAnsi="Palatino Linotype" w:cs="Tahoma"/>
          <w:bCs/>
          <w:iCs/>
        </w:rPr>
        <w:t xml:space="preserve">, como los miembros de los Ayuntamientos, recibirán una remuneración adecuada e irrenunciable por el desempeño de su empleo, cargo o comisión, que será determinada en el presupuesto de egresos que corresponda. </w:t>
      </w:r>
    </w:p>
    <w:p w:rsidR="00EA5021" w:rsidRPr="00B01A7E" w:rsidRDefault="00EA5021" w:rsidP="00AF52DB">
      <w:pPr>
        <w:spacing w:line="360" w:lineRule="auto"/>
        <w:rPr>
          <w:rFonts w:ascii="Palatino Linotype" w:eastAsia="Times New Roman" w:hAnsi="Palatino Linotype" w:cs="Tahoma"/>
          <w:bCs/>
          <w:iCs/>
        </w:rPr>
      </w:pPr>
    </w:p>
    <w:p w:rsidR="00EA5021" w:rsidRPr="00B01A7E" w:rsidRDefault="00EA5021" w:rsidP="00AF52DB">
      <w:pPr>
        <w:numPr>
          <w:ilvl w:val="0"/>
          <w:numId w:val="15"/>
        </w:numPr>
        <w:spacing w:line="360" w:lineRule="auto"/>
        <w:ind w:left="0" w:firstLine="0"/>
        <w:contextualSpacing/>
        <w:jc w:val="both"/>
        <w:rPr>
          <w:rFonts w:ascii="Palatino Linotype" w:eastAsia="Times New Roman" w:hAnsi="Palatino Linotype" w:cs="Tahoma"/>
          <w:bCs/>
          <w:iCs/>
        </w:rPr>
      </w:pPr>
      <w:r w:rsidRPr="00B01A7E">
        <w:rPr>
          <w:rFonts w:ascii="Palatino Linotype" w:eastAsia="Times New Roman" w:hAnsi="Palatino Linotype" w:cs="Tahoma"/>
          <w:bCs/>
          <w:iCs/>
        </w:rPr>
        <w:t xml:space="preserve">En orden de ideas, el artículo 3°, fracción XXXII, del Código Financiero del Estado de México y </w:t>
      </w:r>
      <w:r w:rsidRPr="00B01A7E">
        <w:rPr>
          <w:rFonts w:ascii="Palatino Linotype" w:eastAsia="Times New Roman" w:hAnsi="Palatino Linotype" w:cs="Tahoma"/>
          <w:iCs/>
        </w:rPr>
        <w:t>Municipios</w:t>
      </w:r>
      <w:r w:rsidRPr="00B01A7E">
        <w:rPr>
          <w:rFonts w:ascii="Palatino Linotype" w:eastAsia="Times New Roman" w:hAnsi="Palatino Linotype" w:cs="Tahoma"/>
          <w:bCs/>
          <w:iCs/>
        </w:rPr>
        <w:t xml:space="preserve"> establece que la remuneración consiste en los pagos hechos por concepto de sueldo, compensaciones, gratificaciones, habitación, primas, comisiones, prestaciones, en especie y cualquier otra percepción o prestación que se entregue al servidor por su trabajo.</w:t>
      </w:r>
    </w:p>
    <w:p w:rsidR="00EA5021" w:rsidRPr="00B01A7E" w:rsidRDefault="00EA5021" w:rsidP="00AF52DB">
      <w:pPr>
        <w:spacing w:line="360" w:lineRule="auto"/>
        <w:rPr>
          <w:rFonts w:ascii="Palatino Linotype" w:eastAsia="Times New Roman" w:hAnsi="Palatino Linotype" w:cs="Tahoma"/>
          <w:iCs/>
        </w:rPr>
      </w:pPr>
    </w:p>
    <w:p w:rsidR="00EA5021" w:rsidRPr="00B01A7E" w:rsidRDefault="00EA5021" w:rsidP="00AF52DB">
      <w:pPr>
        <w:numPr>
          <w:ilvl w:val="0"/>
          <w:numId w:val="15"/>
        </w:numPr>
        <w:spacing w:line="360" w:lineRule="auto"/>
        <w:ind w:left="0" w:firstLine="0"/>
        <w:contextualSpacing/>
        <w:jc w:val="both"/>
        <w:rPr>
          <w:rFonts w:ascii="Palatino Linotype" w:eastAsia="Times New Roman" w:hAnsi="Palatino Linotype" w:cs="Tahoma"/>
          <w:bCs/>
          <w:iCs/>
        </w:rPr>
      </w:pPr>
      <w:r w:rsidRPr="00B01A7E">
        <w:rPr>
          <w:rFonts w:ascii="Palatino Linotype" w:eastAsia="Times New Roman" w:hAnsi="Palatino Linotype" w:cs="Tahoma"/>
          <w:bCs/>
          <w:iCs/>
        </w:rPr>
        <w:t xml:space="preserve">Da la misma manera, el Anexo IV.5 Glosario de Términos, del Manual para la Planeación, Programación y Presupuesto de Egresos Municipal para el ejercicio </w:t>
      </w:r>
      <w:r w:rsidRPr="00B01A7E">
        <w:rPr>
          <w:rFonts w:ascii="Palatino Linotype" w:eastAsia="Times New Roman" w:hAnsi="Palatino Linotype" w:cs="Tahoma"/>
          <w:bCs/>
          <w:iCs/>
        </w:rPr>
        <w:lastRenderedPageBreak/>
        <w:t>fiscal dos mil veinte, establece que la remuneración es la percepción de un trabajador o retribución monetaria que se da en pago por su servicio o actividad desarrollada.</w:t>
      </w:r>
    </w:p>
    <w:p w:rsidR="00EA5021" w:rsidRPr="00B01A7E" w:rsidRDefault="00EA5021" w:rsidP="00AF52DB">
      <w:pPr>
        <w:spacing w:line="360" w:lineRule="auto"/>
        <w:rPr>
          <w:rFonts w:ascii="Palatino Linotype" w:eastAsia="Times New Roman" w:hAnsi="Palatino Linotype" w:cs="Tahoma"/>
          <w:bCs/>
          <w:iCs/>
        </w:rPr>
      </w:pPr>
    </w:p>
    <w:p w:rsidR="00EA5021" w:rsidRPr="00B01A7E" w:rsidRDefault="00EA5021" w:rsidP="00AF52DB">
      <w:pPr>
        <w:numPr>
          <w:ilvl w:val="0"/>
          <w:numId w:val="15"/>
        </w:numPr>
        <w:spacing w:line="360" w:lineRule="auto"/>
        <w:ind w:left="0" w:firstLine="0"/>
        <w:contextualSpacing/>
        <w:jc w:val="both"/>
        <w:rPr>
          <w:rFonts w:ascii="Palatino Linotype" w:eastAsia="Times New Roman" w:hAnsi="Palatino Linotype" w:cs="Tahoma"/>
          <w:bCs/>
          <w:iCs/>
          <w:lang w:val="es-ES"/>
        </w:rPr>
      </w:pPr>
      <w:r w:rsidRPr="00B01A7E">
        <w:rPr>
          <w:rFonts w:ascii="Palatino Linotype" w:eastAsia="Times New Roman" w:hAnsi="Palatino Linotype" w:cs="Tahoma"/>
          <w:bCs/>
          <w:iCs/>
          <w:lang w:val="es-ES"/>
        </w:rPr>
        <w:t xml:space="preserve">En ese contexto, el artículo 70, fracción VIII, de la Ley General de Transparencia y Acceso a la Información Pública y 92, fracción VIII, de la Ley de Transparencia y Acceso a la Información </w:t>
      </w:r>
      <w:r w:rsidRPr="00B01A7E">
        <w:rPr>
          <w:rFonts w:ascii="Palatino Linotype" w:eastAsia="Times New Roman" w:hAnsi="Palatino Linotype" w:cs="Tahoma"/>
          <w:bCs/>
          <w:iCs/>
        </w:rPr>
        <w:t>Pública</w:t>
      </w:r>
      <w:r w:rsidRPr="00B01A7E">
        <w:rPr>
          <w:rFonts w:ascii="Palatino Linotype" w:eastAsia="Times New Roman" w:hAnsi="Palatino Linotype" w:cs="Tahoma"/>
          <w:bCs/>
          <w:iCs/>
          <w:lang w:val="es-ES"/>
        </w:rPr>
        <w:t xml:space="preserve">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rsidR="00EA5021" w:rsidRPr="00B01A7E" w:rsidRDefault="00EA5021" w:rsidP="00AF52DB">
      <w:pPr>
        <w:pStyle w:val="Prrafodelista"/>
        <w:spacing w:line="360" w:lineRule="auto"/>
        <w:rPr>
          <w:rFonts w:ascii="Palatino Linotype" w:eastAsia="Times New Roman" w:hAnsi="Palatino Linotype" w:cs="Tahoma"/>
          <w:bCs/>
          <w:iCs/>
          <w:lang w:val="es-ES"/>
        </w:rPr>
      </w:pPr>
    </w:p>
    <w:p w:rsidR="00EA5021" w:rsidRPr="00B01A7E" w:rsidRDefault="00EA5021" w:rsidP="00AF52DB">
      <w:pPr>
        <w:numPr>
          <w:ilvl w:val="0"/>
          <w:numId w:val="15"/>
        </w:numPr>
        <w:spacing w:line="360" w:lineRule="auto"/>
        <w:ind w:left="0" w:firstLine="0"/>
        <w:contextualSpacing/>
        <w:jc w:val="both"/>
        <w:rPr>
          <w:rFonts w:ascii="Palatino Linotype" w:eastAsia="Times New Roman" w:hAnsi="Palatino Linotype" w:cs="Tahoma"/>
          <w:bCs/>
          <w:iCs/>
          <w:lang w:val="es-ES"/>
        </w:rPr>
      </w:pPr>
      <w:r w:rsidRPr="00B01A7E">
        <w:rPr>
          <w:rFonts w:ascii="Palatino Linotype" w:eastAsia="Times New Roman" w:hAnsi="Palatino Linotype" w:cs="Tahoma"/>
          <w:bCs/>
          <w:iCs/>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B01A7E">
        <w:rPr>
          <w:rFonts w:ascii="Palatino Linotype" w:eastAsia="Times New Roman" w:hAnsi="Palatino Linotype" w:cs="Tahoma"/>
          <w:b/>
          <w:bCs/>
          <w:iCs/>
        </w:rPr>
        <w:t>recibos de pago de salarios o las</w:t>
      </w:r>
      <w:r w:rsidRPr="00B01A7E">
        <w:rPr>
          <w:rFonts w:ascii="Palatino Linotype" w:eastAsia="Times New Roman" w:hAnsi="Palatino Linotype" w:cs="Tahoma"/>
          <w:bCs/>
          <w:iCs/>
        </w:rPr>
        <w:t xml:space="preserve"> </w:t>
      </w:r>
      <w:r w:rsidRPr="00B01A7E">
        <w:rPr>
          <w:rFonts w:ascii="Palatino Linotype" w:eastAsia="Times New Roman" w:hAnsi="Palatino Linotype" w:cs="Tahoma"/>
          <w:b/>
          <w:bCs/>
          <w:iCs/>
        </w:rPr>
        <w:t xml:space="preserve">constancias documentales del pago de sueldos, </w:t>
      </w:r>
      <w:r w:rsidRPr="00B01A7E">
        <w:rPr>
          <w:rFonts w:ascii="Palatino Linotype" w:eastAsia="Times New Roman" w:hAnsi="Palatino Linotype" w:cs="Tahoma"/>
          <w:bCs/>
          <w:iCs/>
        </w:rPr>
        <w:t xml:space="preserve">cuando sea por depósito o mediante información electrónica; así como los recibos o constancias de depósito o del medio de información magnética o electrónica que sean utilizadas para el pago de salarios, prima </w:t>
      </w:r>
      <w:r w:rsidRPr="00B01A7E">
        <w:rPr>
          <w:rFonts w:ascii="Palatino Linotype" w:eastAsia="Times New Roman" w:hAnsi="Palatino Linotype" w:cs="Tahoma"/>
          <w:bCs/>
          <w:iCs/>
          <w:lang w:val="es-ES"/>
        </w:rPr>
        <w:t>vacacional, aguinaldo y demás prestaciones.</w:t>
      </w:r>
    </w:p>
    <w:p w:rsidR="00EA5021" w:rsidRPr="00B01A7E" w:rsidRDefault="00EA5021" w:rsidP="00AF52DB">
      <w:pPr>
        <w:spacing w:line="360" w:lineRule="auto"/>
        <w:rPr>
          <w:rFonts w:ascii="Palatino Linotype" w:eastAsia="Times New Roman" w:hAnsi="Palatino Linotype" w:cs="Tahoma"/>
          <w:iCs/>
        </w:rPr>
      </w:pPr>
    </w:p>
    <w:p w:rsidR="00EA5021" w:rsidRPr="00B01A7E" w:rsidRDefault="00EA5021" w:rsidP="00AF52DB">
      <w:pPr>
        <w:numPr>
          <w:ilvl w:val="0"/>
          <w:numId w:val="15"/>
        </w:numPr>
        <w:spacing w:line="360" w:lineRule="auto"/>
        <w:ind w:left="0" w:firstLine="0"/>
        <w:contextualSpacing/>
        <w:jc w:val="both"/>
        <w:rPr>
          <w:rFonts w:ascii="Palatino Linotype" w:eastAsia="Times New Roman" w:hAnsi="Palatino Linotype" w:cs="Tahoma"/>
          <w:bCs/>
          <w:iCs/>
        </w:rPr>
      </w:pPr>
      <w:r w:rsidRPr="00B01A7E">
        <w:rPr>
          <w:rFonts w:ascii="Palatino Linotype" w:eastAsia="Times New Roman" w:hAnsi="Palatino Linotype" w:cs="Tahoma"/>
          <w:bCs/>
          <w:iCs/>
        </w:rPr>
        <w:t xml:space="preserve">Lo </w:t>
      </w:r>
      <w:r w:rsidRPr="00B01A7E">
        <w:rPr>
          <w:rFonts w:ascii="Palatino Linotype" w:eastAsia="Times New Roman" w:hAnsi="Palatino Linotype" w:cs="Tahoma"/>
          <w:bCs/>
          <w:iCs/>
          <w:lang w:val="es-ES"/>
        </w:rPr>
        <w:t>anterior</w:t>
      </w:r>
      <w:r w:rsidRPr="00B01A7E">
        <w:rPr>
          <w:rFonts w:ascii="Palatino Linotype" w:eastAsia="Times New Roman" w:hAnsi="Palatino Linotype" w:cs="Tahoma"/>
          <w:bCs/>
          <w:iCs/>
        </w:rPr>
        <w:t xml:space="preserve">, toma sustento en la Tesis aislada número I.6o.T.154 L (10a.), emitida por los Tribunales Colegiados de Circuito, publicada el abril de dos mil </w:t>
      </w:r>
      <w:r w:rsidRPr="00B01A7E">
        <w:rPr>
          <w:rFonts w:ascii="Palatino Linotype" w:eastAsia="Times New Roman" w:hAnsi="Palatino Linotype" w:cs="Tahoma"/>
          <w:bCs/>
          <w:iCs/>
        </w:rPr>
        <w:lastRenderedPageBreak/>
        <w:t>dieciséis, en la Gaceta del Semanario Judicial de la Federación, en su Libro 29, Tomo III, misma que señala lo siguiente:</w:t>
      </w:r>
    </w:p>
    <w:p w:rsidR="00EA5021" w:rsidRPr="00B01A7E" w:rsidRDefault="00EA5021" w:rsidP="00AF52DB">
      <w:pPr>
        <w:spacing w:line="360" w:lineRule="auto"/>
        <w:rPr>
          <w:rFonts w:ascii="Palatino Linotype" w:eastAsia="Times New Roman" w:hAnsi="Palatino Linotype" w:cs="Tahoma"/>
          <w:bCs/>
          <w:iCs/>
        </w:rPr>
      </w:pPr>
    </w:p>
    <w:p w:rsidR="00EA5021" w:rsidRPr="00B01A7E" w:rsidRDefault="00EA5021" w:rsidP="00AF52DB">
      <w:pPr>
        <w:spacing w:line="360" w:lineRule="auto"/>
        <w:ind w:left="567" w:right="567"/>
        <w:jc w:val="both"/>
        <w:rPr>
          <w:rFonts w:ascii="Palatino Linotype" w:eastAsia="Times New Roman" w:hAnsi="Palatino Linotype" w:cs="Tahoma"/>
          <w:bCs/>
          <w:i/>
          <w:iCs/>
          <w:lang w:val="es-ES"/>
        </w:rPr>
      </w:pPr>
      <w:r w:rsidRPr="00B01A7E">
        <w:rPr>
          <w:rFonts w:ascii="Palatino Linotype" w:eastAsia="Times New Roman" w:hAnsi="Palatino Linotype" w:cs="Tahoma"/>
          <w:b/>
          <w:bCs/>
          <w:i/>
          <w:iCs/>
          <w:lang w:val="es-ES"/>
        </w:rPr>
        <w:t>“RECIBOS DE PAGO</w:t>
      </w:r>
      <w:r w:rsidRPr="00B01A7E">
        <w:rPr>
          <w:rFonts w:ascii="Palatino Linotype" w:eastAsia="Times New Roman" w:hAnsi="Palatino Linotype" w:cs="Tahoma"/>
          <w:bCs/>
          <w:i/>
          <w:iCs/>
          <w:lang w:val="es-ES"/>
        </w:rPr>
        <w:t xml:space="preserve"> </w:t>
      </w:r>
      <w:r w:rsidRPr="00B01A7E">
        <w:rPr>
          <w:rFonts w:ascii="Palatino Linotype" w:eastAsia="Times New Roman" w:hAnsi="Palatino Linotype" w:cs="Tahoma"/>
          <w:b/>
          <w:bCs/>
          <w:i/>
          <w:iCs/>
          <w:lang w:val="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B01A7E">
        <w:rPr>
          <w:rFonts w:ascii="Palatino Linotype" w:eastAsia="Times New Roman" w:hAnsi="Palatino Linotype" w:cs="Tahoma"/>
          <w:bCs/>
          <w:i/>
          <w:iCs/>
          <w:lang w:val="es-E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rsidR="00EA5021" w:rsidRPr="00B01A7E" w:rsidRDefault="00EA5021" w:rsidP="00AF52DB">
      <w:pPr>
        <w:spacing w:line="360" w:lineRule="auto"/>
        <w:rPr>
          <w:rFonts w:ascii="Palatino Linotype" w:eastAsia="Times New Roman" w:hAnsi="Palatino Linotype" w:cs="Tahoma"/>
          <w:b/>
          <w:bCs/>
          <w:i/>
          <w:iCs/>
          <w:lang w:val="es-ES"/>
        </w:rPr>
      </w:pPr>
    </w:p>
    <w:p w:rsidR="003B1B31" w:rsidRPr="00B01A7E" w:rsidRDefault="00EA5021" w:rsidP="00AF52DB">
      <w:pPr>
        <w:numPr>
          <w:ilvl w:val="0"/>
          <w:numId w:val="15"/>
        </w:numPr>
        <w:spacing w:line="360" w:lineRule="auto"/>
        <w:ind w:left="0" w:firstLine="0"/>
        <w:contextualSpacing/>
        <w:jc w:val="both"/>
        <w:rPr>
          <w:rFonts w:ascii="Palatino Linotype" w:eastAsia="Times New Roman" w:hAnsi="Palatino Linotype" w:cs="Tahoma"/>
          <w:iCs/>
          <w:lang w:val="es-ES"/>
        </w:rPr>
      </w:pPr>
      <w:r w:rsidRPr="00B01A7E">
        <w:rPr>
          <w:rFonts w:ascii="Palatino Linotype" w:eastAsia="Times New Roman" w:hAnsi="Palatino Linotype" w:cs="Tahoma"/>
          <w:bCs/>
          <w:iCs/>
          <w:lang w:val="es-ES"/>
        </w:rPr>
        <w:lastRenderedPageBreak/>
        <w:t xml:space="preserve">De la tesis transcrita, se desprende que </w:t>
      </w:r>
      <w:r w:rsidRPr="00B01A7E">
        <w:rPr>
          <w:rFonts w:ascii="Palatino Linotype" w:eastAsia="Times New Roman" w:hAnsi="Palatino Linotype" w:cs="Tahoma"/>
          <w:b/>
          <w:bCs/>
          <w:iCs/>
          <w:lang w:val="es-ES"/>
        </w:rPr>
        <w:t>en materia burocrática</w:t>
      </w:r>
      <w:r w:rsidRPr="00B01A7E">
        <w:rPr>
          <w:rFonts w:ascii="Palatino Linotype" w:eastAsia="Times New Roman" w:hAnsi="Palatino Linotype" w:cs="Tahoma"/>
          <w:bCs/>
          <w:iCs/>
          <w:lang w:val="es-ES"/>
        </w:rPr>
        <w:t xml:space="preserve"> </w:t>
      </w:r>
      <w:r w:rsidRPr="00B01A7E">
        <w:rPr>
          <w:rFonts w:ascii="Palatino Linotype" w:eastAsia="Times New Roman" w:hAnsi="Palatino Linotype" w:cs="Tahoma"/>
          <w:b/>
          <w:bCs/>
          <w:iCs/>
          <w:lang w:val="es-ES"/>
        </w:rPr>
        <w:t xml:space="preserve">los recibos de pago acreditan los </w:t>
      </w:r>
      <w:r w:rsidRPr="00B01A7E">
        <w:rPr>
          <w:rFonts w:ascii="Palatino Linotype" w:eastAsia="Times New Roman" w:hAnsi="Palatino Linotype" w:cs="Tahoma"/>
          <w:bCs/>
          <w:iCs/>
        </w:rPr>
        <w:t>conceptos</w:t>
      </w:r>
      <w:r w:rsidRPr="00B01A7E">
        <w:rPr>
          <w:rFonts w:ascii="Palatino Linotype" w:eastAsia="Times New Roman" w:hAnsi="Palatino Linotype" w:cs="Tahoma"/>
          <w:b/>
          <w:bCs/>
          <w:iCs/>
          <w:lang w:val="es-ES"/>
        </w:rPr>
        <w:t xml:space="preserve"> y montos que en ellos se insertan</w:t>
      </w:r>
      <w:r w:rsidRPr="00B01A7E">
        <w:rPr>
          <w:rFonts w:ascii="Palatino Linotype" w:eastAsia="Times New Roman" w:hAnsi="Palatino Linotype" w:cs="Tahoma"/>
          <w:bCs/>
          <w:iCs/>
          <w:lang w:val="es-ES"/>
        </w:rPr>
        <w:t xml:space="preserve">, y constituyen prueba para demostrar las </w:t>
      </w:r>
      <w:r w:rsidRPr="00B01A7E">
        <w:rPr>
          <w:rFonts w:ascii="Palatino Linotype" w:eastAsia="Times New Roman" w:hAnsi="Palatino Linotype" w:cs="Tahoma"/>
          <w:bCs/>
          <w:iCs/>
        </w:rPr>
        <w:t>percepciones</w:t>
      </w:r>
      <w:r w:rsidRPr="00B01A7E">
        <w:rPr>
          <w:rFonts w:ascii="Palatino Linotype" w:eastAsia="Times New Roman" w:hAnsi="Palatino Linotype" w:cs="Tahoma"/>
          <w:bCs/>
          <w:iCs/>
          <w:lang w:val="es-ES"/>
        </w:rPr>
        <w:t xml:space="preserve"> y montos que reciben los servidores públicos. </w:t>
      </w:r>
    </w:p>
    <w:p w:rsidR="00EA5021" w:rsidRPr="00B01A7E" w:rsidRDefault="00EA5021" w:rsidP="00AF52DB">
      <w:pPr>
        <w:pStyle w:val="Prrafodelista"/>
        <w:spacing w:line="360" w:lineRule="auto"/>
        <w:rPr>
          <w:rFonts w:ascii="Palatino Linotype" w:eastAsia="Palatino Linotype" w:hAnsi="Palatino Linotype" w:cs="Palatino Linotype"/>
          <w:color w:val="000000" w:themeColor="text1"/>
        </w:rPr>
      </w:pPr>
    </w:p>
    <w:p w:rsidR="00EA5021" w:rsidRPr="00B01A7E" w:rsidRDefault="00EA5021" w:rsidP="00AF52DB">
      <w:pPr>
        <w:numPr>
          <w:ilvl w:val="0"/>
          <w:numId w:val="15"/>
        </w:numPr>
        <w:spacing w:line="360" w:lineRule="auto"/>
        <w:ind w:left="0" w:firstLine="0"/>
        <w:contextualSpacing/>
        <w:jc w:val="both"/>
        <w:rPr>
          <w:rFonts w:ascii="Palatino Linotype" w:eastAsia="Times New Roman" w:hAnsi="Palatino Linotype" w:cs="Tahoma"/>
          <w:b/>
          <w:bCs/>
          <w:iCs/>
          <w:lang w:val="es-ES"/>
        </w:rPr>
      </w:pPr>
      <w:r w:rsidRPr="00B01A7E">
        <w:rPr>
          <w:rFonts w:ascii="Palatino Linotype" w:eastAsia="Times New Roman" w:hAnsi="Palatino Linotype" w:cs="Tahoma"/>
          <w:iCs/>
          <w:lang w:val="es-ES"/>
        </w:rPr>
        <w:t xml:space="preserve">Acotado lo anterior, con el fin de determinar si el </w:t>
      </w:r>
      <w:r w:rsidRPr="00B01A7E">
        <w:rPr>
          <w:rFonts w:ascii="Palatino Linotype" w:eastAsia="Times New Roman" w:hAnsi="Palatino Linotype" w:cs="Tahoma"/>
          <w:b/>
          <w:iCs/>
          <w:lang w:val="es-ES"/>
        </w:rPr>
        <w:t>SUJETO OBLIGADO</w:t>
      </w:r>
      <w:r w:rsidR="006971FE" w:rsidRPr="00B01A7E">
        <w:rPr>
          <w:rFonts w:ascii="Palatino Linotype" w:eastAsia="Times New Roman" w:hAnsi="Palatino Linotype" w:cs="Tahoma"/>
          <w:b/>
          <w:iCs/>
          <w:lang w:val="es-ES"/>
        </w:rPr>
        <w:t>,</w:t>
      </w:r>
      <w:r w:rsidRPr="00B01A7E">
        <w:rPr>
          <w:rFonts w:ascii="Palatino Linotype" w:eastAsia="Times New Roman" w:hAnsi="Palatino Linotype" w:cs="Tahoma"/>
          <w:iCs/>
          <w:lang w:val="es-ES"/>
        </w:rPr>
        <w:t xml:space="preserve"> cumplió con el </w:t>
      </w:r>
      <w:r w:rsidRPr="00B01A7E">
        <w:rPr>
          <w:rFonts w:ascii="Palatino Linotype" w:eastAsia="Times New Roman" w:hAnsi="Palatino Linotype" w:cs="Tahoma"/>
          <w:bCs/>
          <w:iCs/>
          <w:lang w:val="es-ES"/>
        </w:rPr>
        <w:t>procedimiento</w:t>
      </w:r>
      <w:r w:rsidRPr="00B01A7E">
        <w:rPr>
          <w:rFonts w:ascii="Palatino Linotype" w:eastAsia="Times New Roman" w:hAnsi="Palatino Linotype" w:cs="Tahoma"/>
          <w:iCs/>
          <w:lang w:val="es-ES"/>
        </w:rPr>
        <w:t xml:space="preserve"> de búsqueda establecido en el artículo 162 de la Ley de Transparencia y Acceso a la </w:t>
      </w:r>
      <w:r w:rsidRPr="00B01A7E">
        <w:rPr>
          <w:rFonts w:ascii="Palatino Linotype" w:eastAsia="Times New Roman" w:hAnsi="Palatino Linotype" w:cs="Tahoma"/>
          <w:bCs/>
          <w:iCs/>
          <w:lang w:val="es-ES"/>
        </w:rPr>
        <w:t>Información</w:t>
      </w:r>
      <w:r w:rsidRPr="00B01A7E">
        <w:rPr>
          <w:rFonts w:ascii="Palatino Linotype" w:eastAsia="Times New Roman" w:hAnsi="Palatino Linotype" w:cs="Tahoma"/>
          <w:iCs/>
          <w:lang w:val="es-ES"/>
        </w:rPr>
        <w:t xml:space="preserve"> Pública, es necesario traer a colación el artículo 4</w:t>
      </w:r>
      <w:r w:rsidRPr="00B01A7E">
        <w:rPr>
          <w:rFonts w:ascii="Palatino Linotype" w:eastAsia="Times New Roman" w:hAnsi="Palatino Linotype" w:cs="Tahoma"/>
          <w:bCs/>
          <w:iCs/>
        </w:rPr>
        <w:t xml:space="preserve"> del </w:t>
      </w:r>
      <w:r w:rsidRPr="00B01A7E">
        <w:rPr>
          <w:rFonts w:ascii="Palatino Linotype" w:eastAsia="Times New Roman" w:hAnsi="Palatino Linotype" w:cs="Tahoma"/>
          <w:bCs/>
          <w:iCs/>
          <w:lang w:val="es-ES"/>
        </w:rPr>
        <w:t>REGLAMENTO</w:t>
      </w:r>
      <w:r w:rsidRPr="00B01A7E">
        <w:rPr>
          <w:rFonts w:ascii="Palatino Linotype" w:eastAsia="Times New Roman" w:hAnsi="Palatino Linotype" w:cs="Tahoma"/>
          <w:bCs/>
          <w:iCs/>
        </w:rPr>
        <w:t xml:space="preserve"> INTERIOR DE LA SECRETARÍA </w:t>
      </w:r>
      <w:r w:rsidRPr="00B01A7E">
        <w:rPr>
          <w:rFonts w:ascii="Palatino Linotype" w:eastAsia="Times New Roman" w:hAnsi="Palatino Linotype" w:cs="Tahoma"/>
          <w:bCs/>
          <w:iCs/>
          <w:lang w:val="es-ES"/>
        </w:rPr>
        <w:t>DE</w:t>
      </w:r>
      <w:r w:rsidRPr="00B01A7E">
        <w:rPr>
          <w:rFonts w:ascii="Palatino Linotype" w:eastAsia="Times New Roman" w:hAnsi="Palatino Linotype" w:cs="Tahoma"/>
          <w:bCs/>
          <w:iCs/>
        </w:rPr>
        <w:t xml:space="preserve"> DESARROLLO URBANO Y OBRA</w:t>
      </w:r>
      <w:r w:rsidR="00567F5D" w:rsidRPr="00B01A7E">
        <w:rPr>
          <w:rFonts w:ascii="Palatino Linotype" w:eastAsia="Times New Roman" w:hAnsi="Palatino Linotype" w:cs="Tahoma"/>
          <w:bCs/>
          <w:iCs/>
        </w:rPr>
        <w:t xml:space="preserve"> en concordancia a las funciones y atribuciones que se le asignan de acuerdo al </w:t>
      </w:r>
      <w:r w:rsidR="003B1B31" w:rsidRPr="00B01A7E">
        <w:rPr>
          <w:rFonts w:ascii="Palatino Linotype" w:eastAsia="Times New Roman" w:hAnsi="Palatino Linotype" w:cs="Tahoma"/>
          <w:bCs/>
          <w:iCs/>
        </w:rPr>
        <w:t>MANUAL GENERAL DE ORGANIZACIÓN DE LA SECRETARÍA DE OBRA PÚBLICA</w:t>
      </w:r>
      <w:r w:rsidRPr="00B01A7E">
        <w:rPr>
          <w:rFonts w:ascii="Palatino Linotype" w:eastAsia="Times New Roman" w:hAnsi="Palatino Linotype" w:cs="Tahoma"/>
          <w:bCs/>
          <w:iCs/>
        </w:rPr>
        <w:t xml:space="preserve">, que precisa que le Sujeto Obligado para el ejercicio de sus funciones, contará con diversas unidades administrativas, entre las cuales se encuentra la Coordinación Administrativa, encargada de establecer los lineamientos conforme a los cuales deberán realizarse los </w:t>
      </w:r>
      <w:r w:rsidRPr="00B01A7E">
        <w:rPr>
          <w:rFonts w:ascii="Palatino Linotype" w:hAnsi="Palatino Linotype"/>
        </w:rPr>
        <w:t xml:space="preserve">nombramientos, remociones y demás nombramientos del personal de la Secretaría, así como lo relativo a sus remuneraciones; de mantener un control de los movimientos de altas, bajas, </w:t>
      </w:r>
      <w:r w:rsidR="006671A8" w:rsidRPr="00B01A7E">
        <w:rPr>
          <w:rFonts w:ascii="Palatino Linotype" w:hAnsi="Palatino Linotype"/>
        </w:rPr>
        <w:t>así como llevar a cabo los procedimientos de rescisión laboral de las personas servidoras públicas de la Secretaría</w:t>
      </w:r>
      <w:r w:rsidR="006671A8" w:rsidRPr="00B01A7E">
        <w:rPr>
          <w:rFonts w:ascii="Palatino Linotype" w:hAnsi="Palatino Linotype"/>
          <w:b/>
          <w:bCs/>
        </w:rPr>
        <w:t>,</w:t>
      </w:r>
      <w:r w:rsidR="006671A8" w:rsidRPr="00B01A7E">
        <w:rPr>
          <w:rFonts w:ascii="Palatino Linotype" w:hAnsi="Palatino Linotype"/>
          <w:bCs/>
        </w:rPr>
        <w:t xml:space="preserve"> planear, organizar y controlar el aprovechamiento de los recursos humanos, coordinar los trámites que deban realizarse ante la Dirección General de Personal de la Secretaría de Finanzas, en todo lo relativo a los nombramientos, ascensos, cambios de adscripción, licencias, vacaciones, bajas, aguinaldos, gratificaciones, finiquitos, prima, </w:t>
      </w:r>
      <w:r w:rsidR="00567F5D" w:rsidRPr="00B01A7E">
        <w:rPr>
          <w:rFonts w:ascii="Palatino Linotype" w:hAnsi="Palatino Linotype"/>
          <w:bCs/>
        </w:rPr>
        <w:t xml:space="preserve">generar y tramitar las autorizaciones de pago, así como su documentación comprobatoria, de acuerdo a la normatividad </w:t>
      </w:r>
      <w:r w:rsidR="00567F5D" w:rsidRPr="00B01A7E">
        <w:rPr>
          <w:rFonts w:ascii="Palatino Linotype" w:hAnsi="Palatino Linotype"/>
          <w:bCs/>
        </w:rPr>
        <w:lastRenderedPageBreak/>
        <w:t>aplicable vigente, de las acciones de inversión, que se encomienden a l</w:t>
      </w:r>
      <w:r w:rsidR="003B1B31" w:rsidRPr="00B01A7E">
        <w:rPr>
          <w:rFonts w:ascii="Palatino Linotype" w:hAnsi="Palatino Linotype"/>
          <w:bCs/>
        </w:rPr>
        <w:t>a Coordinación Administrativa,</w:t>
      </w:r>
      <w:r w:rsidR="00567F5D" w:rsidRPr="00B01A7E">
        <w:rPr>
          <w:rFonts w:ascii="Palatino Linotype" w:hAnsi="Palatino Linotype"/>
          <w:bCs/>
        </w:rPr>
        <w:t xml:space="preserve"> </w:t>
      </w:r>
      <w:r w:rsidR="003B1B31" w:rsidRPr="00B01A7E">
        <w:rPr>
          <w:rFonts w:ascii="Palatino Linotype" w:hAnsi="Palatino Linotype"/>
          <w:bCs/>
        </w:rPr>
        <w:t>a</w:t>
      </w:r>
      <w:r w:rsidR="00567F5D" w:rsidRPr="00B01A7E">
        <w:rPr>
          <w:rFonts w:ascii="Palatino Linotype" w:hAnsi="Palatino Linotype"/>
          <w:bCs/>
        </w:rPr>
        <w:t>ctualizar los registros financieros y administrativos del seguimiento y control del trámite de las autorizaciones de pago.</w:t>
      </w:r>
    </w:p>
    <w:p w:rsidR="00EA5021" w:rsidRPr="00B01A7E" w:rsidRDefault="00EA5021" w:rsidP="00AF52DB">
      <w:pPr>
        <w:pStyle w:val="Prrafodelista"/>
        <w:spacing w:line="360" w:lineRule="auto"/>
        <w:ind w:left="360"/>
        <w:rPr>
          <w:rFonts w:ascii="Palatino Linotype" w:eastAsia="Times New Roman" w:hAnsi="Palatino Linotype" w:cs="Tahoma"/>
          <w:iCs/>
          <w:lang w:val="es-ES"/>
        </w:rPr>
      </w:pPr>
    </w:p>
    <w:p w:rsidR="00EA5021" w:rsidRPr="00B01A7E" w:rsidRDefault="00EA5021" w:rsidP="00AF52DB">
      <w:pPr>
        <w:numPr>
          <w:ilvl w:val="0"/>
          <w:numId w:val="15"/>
        </w:numPr>
        <w:spacing w:line="360" w:lineRule="auto"/>
        <w:ind w:left="0" w:firstLine="0"/>
        <w:contextualSpacing/>
        <w:jc w:val="both"/>
        <w:rPr>
          <w:rFonts w:ascii="Palatino Linotype" w:eastAsia="Times New Roman" w:hAnsi="Palatino Linotype" w:cs="Tahoma"/>
          <w:bCs/>
          <w:iCs/>
        </w:rPr>
      </w:pPr>
      <w:r w:rsidRPr="00B01A7E">
        <w:rPr>
          <w:rFonts w:ascii="Palatino Linotype" w:eastAsia="Times New Roman" w:hAnsi="Palatino Linotype" w:cs="Tahoma"/>
          <w:bCs/>
          <w:iCs/>
        </w:rPr>
        <w:t xml:space="preserve">Conforme a lo anterior, se advierte que el Ente Recurrido </w:t>
      </w:r>
      <w:r w:rsidR="00567F5D" w:rsidRPr="00B01A7E">
        <w:rPr>
          <w:rFonts w:ascii="Palatino Linotype" w:eastAsia="Times New Roman" w:hAnsi="Palatino Linotype" w:cs="Tahoma"/>
          <w:bCs/>
          <w:iCs/>
        </w:rPr>
        <w:t xml:space="preserve">no </w:t>
      </w:r>
      <w:r w:rsidRPr="00B01A7E">
        <w:rPr>
          <w:rFonts w:ascii="Palatino Linotype" w:eastAsia="Times New Roman" w:hAnsi="Palatino Linotype" w:cs="Tahoma"/>
          <w:bCs/>
          <w:iCs/>
        </w:rPr>
        <w:t xml:space="preserve">cumplió con el procedimiento de búsqueda establecido en la Ley de la materia, pues </w:t>
      </w:r>
      <w:r w:rsidR="00567F5D" w:rsidRPr="00B01A7E">
        <w:rPr>
          <w:rFonts w:ascii="Palatino Linotype" w:eastAsia="Times New Roman" w:hAnsi="Palatino Linotype" w:cs="Tahoma"/>
          <w:bCs/>
          <w:iCs/>
        </w:rPr>
        <w:t xml:space="preserve">no </w:t>
      </w:r>
      <w:r w:rsidRPr="00B01A7E">
        <w:rPr>
          <w:rFonts w:ascii="Palatino Linotype" w:eastAsia="Times New Roman" w:hAnsi="Palatino Linotype" w:cs="Tahoma"/>
          <w:bCs/>
          <w:iCs/>
        </w:rPr>
        <w:t xml:space="preserve">gestionó la solicitud de información al </w:t>
      </w:r>
      <w:r w:rsidRPr="00B01A7E">
        <w:rPr>
          <w:rFonts w:ascii="Palatino Linotype" w:eastAsia="Times New Roman" w:hAnsi="Palatino Linotype" w:cs="Tahoma"/>
          <w:iCs/>
          <w:lang w:val="es-ES"/>
        </w:rPr>
        <w:t>área</w:t>
      </w:r>
      <w:r w:rsidRPr="00B01A7E">
        <w:rPr>
          <w:rFonts w:ascii="Palatino Linotype" w:eastAsia="Times New Roman" w:hAnsi="Palatino Linotype" w:cs="Tahoma"/>
          <w:bCs/>
          <w:iCs/>
        </w:rPr>
        <w:t xml:space="preserve"> que dirige y administrativa los programas, procesos y procedimientos para la elaboración de la nómina para el pago de personal, a saber, la Coordinación Administrativa.</w:t>
      </w:r>
    </w:p>
    <w:p w:rsidR="00567F5D" w:rsidRPr="00B01A7E" w:rsidRDefault="00567F5D" w:rsidP="00AF52DB">
      <w:pPr>
        <w:pStyle w:val="Prrafodelista"/>
        <w:spacing w:line="360" w:lineRule="auto"/>
        <w:rPr>
          <w:rFonts w:ascii="Palatino Linotype" w:eastAsia="Times New Roman" w:hAnsi="Palatino Linotype" w:cs="Tahoma"/>
          <w:bCs/>
          <w:iCs/>
        </w:rPr>
      </w:pPr>
    </w:p>
    <w:p w:rsidR="00567F5D" w:rsidRPr="00B01A7E" w:rsidRDefault="00567F5D" w:rsidP="00AF52DB">
      <w:pPr>
        <w:numPr>
          <w:ilvl w:val="0"/>
          <w:numId w:val="15"/>
        </w:numPr>
        <w:spacing w:line="360" w:lineRule="auto"/>
        <w:ind w:left="0" w:firstLine="0"/>
        <w:contextualSpacing/>
        <w:jc w:val="both"/>
        <w:rPr>
          <w:rFonts w:ascii="Palatino Linotype" w:eastAsia="Times New Roman" w:hAnsi="Palatino Linotype" w:cs="Arial"/>
          <w:bCs/>
        </w:rPr>
      </w:pPr>
      <w:r w:rsidRPr="00B01A7E">
        <w:rPr>
          <w:rFonts w:ascii="Palatino Linotype" w:eastAsia="Times New Roman" w:hAnsi="Palatino Linotype" w:cs="Tahoma"/>
          <w:lang w:val="es-ES"/>
        </w:rPr>
        <w:t xml:space="preserve">Sin embargo, es necesario precisar que en el presente caso, se trata de los comprobantes de remuneraciones de los servidores públicos señalados en la solicitud de información; es decir, que dicha </w:t>
      </w:r>
      <w:r w:rsidRPr="00B01A7E">
        <w:rPr>
          <w:rFonts w:ascii="Palatino Linotype" w:eastAsia="Times New Roman" w:hAnsi="Palatino Linotype" w:cs="Tahoma"/>
          <w:bCs/>
          <w:iCs/>
        </w:rPr>
        <w:t>información</w:t>
      </w:r>
      <w:r w:rsidRPr="00B01A7E">
        <w:rPr>
          <w:rFonts w:ascii="Palatino Linotype" w:eastAsia="Times New Roman" w:hAnsi="Palatino Linotype" w:cs="Tahoma"/>
          <w:lang w:val="es-ES"/>
        </w:rPr>
        <w:t xml:space="preserve"> se busca acreditar la manera en que se ejercieron determinados recursos públicos; sobre el tema, </w:t>
      </w:r>
      <w:r w:rsidRPr="00B01A7E">
        <w:rPr>
          <w:rFonts w:ascii="Palatino Linotype" w:eastAsia="Times New Roman" w:hAnsi="Palatino Linotype" w:cs="Arial"/>
          <w:bCs/>
        </w:rPr>
        <w:t>según Arizmendi, Guillermo (2016), en la “Ley General de Transparencia y Acceso a la Información Pública Comentada” (p. 240 y 241), los recursos públicos, deber ser administrados con responsabilidad y transparencia.</w:t>
      </w:r>
    </w:p>
    <w:p w:rsidR="00567F5D" w:rsidRPr="00B01A7E" w:rsidRDefault="00567F5D" w:rsidP="00AF52DB">
      <w:pPr>
        <w:spacing w:line="360" w:lineRule="auto"/>
        <w:rPr>
          <w:rFonts w:ascii="Palatino Linotype" w:eastAsia="Times New Roman" w:hAnsi="Palatino Linotype" w:cs="Tahoma"/>
          <w:lang w:val="es-ES"/>
        </w:rPr>
      </w:pPr>
    </w:p>
    <w:p w:rsidR="00567F5D" w:rsidRPr="00B01A7E" w:rsidRDefault="00567F5D" w:rsidP="00AF52DB">
      <w:pPr>
        <w:numPr>
          <w:ilvl w:val="0"/>
          <w:numId w:val="15"/>
        </w:numPr>
        <w:spacing w:line="360" w:lineRule="auto"/>
        <w:ind w:left="0" w:firstLine="0"/>
        <w:contextualSpacing/>
        <w:jc w:val="both"/>
        <w:rPr>
          <w:rFonts w:ascii="Palatino Linotype" w:eastAsia="Times New Roman" w:hAnsi="Palatino Linotype" w:cs="Tahoma"/>
          <w:b/>
          <w:lang w:val="es-ES"/>
        </w:rPr>
      </w:pPr>
      <w:r w:rsidRPr="00B01A7E">
        <w:rPr>
          <w:rFonts w:ascii="Palatino Linotype" w:eastAsia="Times New Roman" w:hAnsi="Palatino Linotype" w:cs="Tahoma"/>
          <w:lang w:val="es-ES"/>
        </w:rPr>
        <w:t xml:space="preserve">En ese orden de ideas, según Trujillo, Humberto (2019), en el “Diccionario de Transparencia y Acceso a la Información Pública” (p. 276), </w:t>
      </w:r>
      <w:r w:rsidRPr="00B01A7E">
        <w:rPr>
          <w:rFonts w:ascii="Palatino Linotype" w:eastAsia="Times New Roman" w:hAnsi="Palatino Linotype" w:cs="Tahoma"/>
          <w:b/>
          <w:lang w:val="es-ES"/>
        </w:rPr>
        <w:t>los recursos públicos son los ingresos económicos, que obtiene el Estado y que asigna (a partir del presupuesto) al ejercicio de sus actividades, los cuales deben ser asignados de manera transparente y bajo un sistema de rendición de cuentas, para que las personas puedan monitorear, evaluar y cuestionar su gasto.</w:t>
      </w:r>
    </w:p>
    <w:p w:rsidR="00567F5D" w:rsidRPr="00B01A7E" w:rsidRDefault="00567F5D" w:rsidP="00AF52DB">
      <w:pPr>
        <w:numPr>
          <w:ilvl w:val="0"/>
          <w:numId w:val="15"/>
        </w:numPr>
        <w:spacing w:line="360" w:lineRule="auto"/>
        <w:ind w:left="0" w:firstLine="0"/>
        <w:contextualSpacing/>
        <w:jc w:val="both"/>
        <w:rPr>
          <w:rFonts w:ascii="Palatino Linotype" w:eastAsia="Times New Roman" w:hAnsi="Palatino Linotype" w:cs="Tahoma"/>
        </w:rPr>
      </w:pPr>
      <w:r w:rsidRPr="00B01A7E">
        <w:rPr>
          <w:rFonts w:ascii="Palatino Linotype" w:eastAsia="Times New Roman" w:hAnsi="Palatino Linotype" w:cs="Tahoma"/>
          <w:lang w:val="es-ES"/>
        </w:rPr>
        <w:lastRenderedPageBreak/>
        <w:t xml:space="preserve">En ese orden de ideas, los artículos 134 de la Constitución Política de los Estados Unidos Mexicanos y el 129 de la Constitución Política del Estado Libre y Soberano de México, establecen que los recursos públicos de que dispongan, entre otros, los Municipios, se administrarán con eficiencia, eficacia, economía, </w:t>
      </w:r>
      <w:r w:rsidRPr="00B01A7E">
        <w:rPr>
          <w:rFonts w:ascii="Palatino Linotype" w:eastAsia="Times New Roman" w:hAnsi="Palatino Linotype" w:cs="Tahoma"/>
          <w:b/>
          <w:lang w:val="es-ES"/>
        </w:rPr>
        <w:t xml:space="preserve">transparencia </w:t>
      </w:r>
      <w:r w:rsidRPr="00B01A7E">
        <w:rPr>
          <w:rFonts w:ascii="Palatino Linotype" w:eastAsia="Times New Roman" w:hAnsi="Palatino Linotype" w:cs="Tahoma"/>
          <w:lang w:val="es-ES"/>
        </w:rPr>
        <w:t xml:space="preserve">y honradez; sobre lo referido,  </w:t>
      </w:r>
      <w:r w:rsidRPr="00B01A7E">
        <w:rPr>
          <w:rFonts w:ascii="Palatino Linotype" w:eastAsia="Times New Roman" w:hAnsi="Palatino Linotype" w:cs="Tahoma"/>
        </w:rPr>
        <w:t>la Tesis número 1a.CXLV/2009, Novena Época, publicada en el Semanario Judicial de la Federación, Tomo XXX, de septiembre de dos mil nueve, (p. 2712), establece lo siguiente:</w:t>
      </w:r>
    </w:p>
    <w:p w:rsidR="00567F5D" w:rsidRPr="00B01A7E" w:rsidRDefault="00567F5D" w:rsidP="00AF52DB">
      <w:pPr>
        <w:spacing w:line="360" w:lineRule="auto"/>
        <w:rPr>
          <w:rFonts w:ascii="Palatino Linotype" w:eastAsia="Times New Roman" w:hAnsi="Palatino Linotype" w:cs="Tahoma"/>
          <w:lang w:val="es-ES"/>
        </w:rPr>
      </w:pPr>
    </w:p>
    <w:p w:rsidR="00567F5D" w:rsidRPr="00B01A7E" w:rsidRDefault="00567F5D" w:rsidP="00AF52DB">
      <w:pPr>
        <w:spacing w:line="360" w:lineRule="auto"/>
        <w:ind w:left="567" w:right="567"/>
        <w:jc w:val="both"/>
        <w:rPr>
          <w:rFonts w:ascii="Palatino Linotype" w:eastAsia="Times New Roman" w:hAnsi="Palatino Linotype" w:cs="Tahoma"/>
          <w:bCs/>
          <w:i/>
          <w:iCs/>
          <w:lang w:val="es-ES"/>
        </w:rPr>
      </w:pPr>
      <w:r w:rsidRPr="00B01A7E">
        <w:rPr>
          <w:rFonts w:ascii="Palatino Linotype" w:eastAsia="Times New Roman" w:hAnsi="Palatino Linotype" w:cs="Tahoma"/>
          <w:b/>
          <w:bCs/>
          <w:i/>
          <w:iCs/>
          <w:lang w:val="es-ES"/>
        </w:rPr>
        <w:t>“</w:t>
      </w:r>
      <w:r w:rsidRPr="00B01A7E">
        <w:rPr>
          <w:rFonts w:ascii="Palatino Linotype" w:eastAsia="Times New Roman" w:hAnsi="Palatino Linotype" w:cs="Tahoma"/>
          <w:b/>
          <w:bCs/>
          <w:i/>
          <w:iCs/>
        </w:rPr>
        <w:t xml:space="preserve">GASTO PÚBLICO. EL ARTÍCULO 134 DE LA CONSTITUCIÓN POLÍTICA DE LOS ESTADOS UNIDOS MEXICANOS ELEVA A RANGO CONSTITUCIONAL LOS PRINCIPIOS DE LEGALIDAD, EFICIENCIA, EFICACIA, ECONOMÍA, TRANSPARENCIA Y HONRADEZ EN ESTA MATERIA. </w:t>
      </w:r>
      <w:r w:rsidRPr="00B01A7E">
        <w:rPr>
          <w:rFonts w:ascii="Palatino Linotype" w:eastAsia="Times New Roman" w:hAnsi="Palatino Linotype" w:cs="Tahoma"/>
          <w:bCs/>
          <w:i/>
          <w:iCs/>
        </w:rPr>
        <w:t xml:space="preserve">Del citado precepto constitucional se advierte que el correcto ejercicio del gasto público se salvaguarda por los siguientes principios: 1. Legalidad, en tanto que debe estar prescrito en el Presupuesto de Egresos o, en su defecto, en una ley expedida por el Congreso de la Unión, lo cual significa la sujeción de las autoridades a un modelo normativo previamente establecido; 2. Honradez, pues implica que no debe llevarse a cabo de manera abusiva, ni para un destino diverso al programado; 3. Eficiencia, en el entendido de que las autoridades deben disponer de los medios que estimen convenientes para que el ejercicio del gasto público logre el fin para el cual se programó y destinó; 4. Eficacia, ya que es indispensable contar con la capacidad suficiente para lograr las metas estimadas; 5. Economía, en el sentido de que el gasto público debe ejercerse recta y prudentemente, lo cual implica que los </w:t>
      </w:r>
      <w:r w:rsidRPr="00B01A7E">
        <w:rPr>
          <w:rFonts w:ascii="Palatino Linotype" w:eastAsia="Times New Roman" w:hAnsi="Palatino Linotype" w:cs="Tahoma"/>
          <w:bCs/>
          <w:i/>
          <w:iCs/>
        </w:rPr>
        <w:lastRenderedPageBreak/>
        <w:t>servidores públicos siempre deben buscar las mejores condiciones de contratación para el Estado, y 6. Transparencia, para permitir hacer del conocimiento público el ejercicio del gasto estatal.</w:t>
      </w:r>
      <w:r w:rsidRPr="00B01A7E">
        <w:rPr>
          <w:rFonts w:ascii="Palatino Linotype" w:eastAsia="Times New Roman" w:hAnsi="Palatino Linotype" w:cs="Tahoma"/>
          <w:bCs/>
          <w:i/>
          <w:iCs/>
          <w:lang w:val="es-ES"/>
        </w:rPr>
        <w:t>”</w:t>
      </w:r>
    </w:p>
    <w:p w:rsidR="00567F5D" w:rsidRPr="00B01A7E" w:rsidRDefault="00567F5D" w:rsidP="00AF52DB">
      <w:pPr>
        <w:spacing w:line="360" w:lineRule="auto"/>
        <w:rPr>
          <w:rFonts w:ascii="Palatino Linotype" w:eastAsia="Times New Roman" w:hAnsi="Palatino Linotype" w:cs="Tahoma"/>
          <w:bCs/>
          <w:iCs/>
          <w:lang w:val="es-ES"/>
        </w:rPr>
      </w:pPr>
    </w:p>
    <w:p w:rsidR="00567F5D" w:rsidRPr="00B01A7E" w:rsidRDefault="00567F5D" w:rsidP="00AF52DB">
      <w:pPr>
        <w:numPr>
          <w:ilvl w:val="0"/>
          <w:numId w:val="15"/>
        </w:numPr>
        <w:spacing w:line="360" w:lineRule="auto"/>
        <w:ind w:left="0" w:firstLine="0"/>
        <w:contextualSpacing/>
        <w:jc w:val="both"/>
        <w:rPr>
          <w:rFonts w:ascii="Palatino Linotype" w:eastAsia="Times New Roman" w:hAnsi="Palatino Linotype" w:cs="Tahoma"/>
          <w:bCs/>
          <w:iCs/>
          <w:lang w:val="es-ES"/>
        </w:rPr>
      </w:pPr>
      <w:r w:rsidRPr="00B01A7E">
        <w:rPr>
          <w:rFonts w:ascii="Palatino Linotype" w:eastAsia="Times New Roman" w:hAnsi="Palatino Linotype" w:cs="Tahoma"/>
          <w:bCs/>
          <w:iCs/>
          <w:lang w:val="es-ES"/>
        </w:rPr>
        <w:t>Como se logra observar, el ejercicio de recursos públicos por parte de los tres niveles de Gobierno, que incluye a los Municipios, debe seguir el Principio de Transparencia, que implica permitir a la ciudadanía conocer en la forma en que se gasta el Estado, los recursos con los que cuenta para el cumplimiento de sus obligaciones y atribuciones.</w:t>
      </w:r>
    </w:p>
    <w:p w:rsidR="00567F5D" w:rsidRPr="00B01A7E" w:rsidRDefault="00567F5D" w:rsidP="00AF52DB">
      <w:pPr>
        <w:spacing w:line="360" w:lineRule="auto"/>
        <w:rPr>
          <w:rFonts w:ascii="Palatino Linotype" w:eastAsia="Times New Roman" w:hAnsi="Palatino Linotype" w:cs="Tahoma"/>
          <w:bCs/>
          <w:iCs/>
          <w:lang w:val="es-ES"/>
        </w:rPr>
      </w:pPr>
    </w:p>
    <w:p w:rsidR="00567F5D" w:rsidRPr="00B01A7E" w:rsidRDefault="00567F5D" w:rsidP="00AF52DB">
      <w:pPr>
        <w:numPr>
          <w:ilvl w:val="0"/>
          <w:numId w:val="15"/>
        </w:numPr>
        <w:spacing w:line="360" w:lineRule="auto"/>
        <w:ind w:left="0" w:firstLine="0"/>
        <w:contextualSpacing/>
        <w:jc w:val="both"/>
        <w:rPr>
          <w:rFonts w:ascii="Palatino Linotype" w:eastAsia="Times New Roman" w:hAnsi="Palatino Linotype" w:cs="Tahoma"/>
          <w:lang w:val="es-ES"/>
        </w:rPr>
      </w:pPr>
      <w:r w:rsidRPr="00B01A7E">
        <w:rPr>
          <w:rFonts w:ascii="Palatino Linotype" w:eastAsia="Times New Roman" w:hAnsi="Palatino Linotype" w:cs="Tahoma"/>
          <w:bCs/>
          <w:iCs/>
          <w:lang w:val="es-ES"/>
        </w:rPr>
        <w:t xml:space="preserve">Al respecto, </w:t>
      </w:r>
      <w:r w:rsidRPr="00B01A7E">
        <w:rPr>
          <w:rFonts w:ascii="Palatino Linotype" w:eastAsia="Times New Roman" w:hAnsi="Palatino Linotype" w:cs="Tahoma"/>
          <w:lang w:val="es-ES"/>
        </w:rPr>
        <w:t xml:space="preserve">según Merino, Mauricio (2019), en el “Diccionario de Transparencia y Acceso a la </w:t>
      </w:r>
      <w:r w:rsidRPr="00B01A7E">
        <w:rPr>
          <w:rFonts w:ascii="Palatino Linotype" w:eastAsia="Times New Roman" w:hAnsi="Palatino Linotype" w:cs="Tahoma"/>
          <w:bCs/>
          <w:iCs/>
          <w:lang w:val="es-ES"/>
        </w:rPr>
        <w:t>Información</w:t>
      </w:r>
      <w:r w:rsidRPr="00B01A7E">
        <w:rPr>
          <w:rFonts w:ascii="Palatino Linotype" w:eastAsia="Times New Roman" w:hAnsi="Palatino Linotype" w:cs="Tahoma"/>
          <w:lang w:val="es-ES"/>
        </w:rPr>
        <w:t xml:space="preserve"> Pública” (p. 276), </w:t>
      </w:r>
      <w:r w:rsidRPr="00B01A7E">
        <w:rPr>
          <w:rFonts w:ascii="Palatino Linotype" w:eastAsia="Times New Roman" w:hAnsi="Palatino Linotype" w:cs="Tahoma"/>
          <w:b/>
          <w:lang w:val="es-ES"/>
        </w:rPr>
        <w:t xml:space="preserve">la rendición de cuentas, </w:t>
      </w:r>
      <w:r w:rsidRPr="00B01A7E">
        <w:rPr>
          <w:rFonts w:ascii="Palatino Linotype" w:eastAsia="Times New Roman" w:hAnsi="Palatino Linotype" w:cs="Tahoma"/>
          <w:lang w:val="es-ES"/>
        </w:rPr>
        <w:t xml:space="preserve">es un ejercicio de transparencia e información pública; es un medio a través del cual los gobiernos informan al público de sus actividades, </w:t>
      </w:r>
      <w:r w:rsidRPr="00B01A7E">
        <w:rPr>
          <w:rFonts w:ascii="Palatino Linotype" w:eastAsia="Times New Roman" w:hAnsi="Palatino Linotype" w:cs="Tahoma"/>
          <w:b/>
          <w:lang w:val="es-ES"/>
        </w:rPr>
        <w:t>de los recursos que han ejercido</w:t>
      </w:r>
      <w:r w:rsidRPr="00B01A7E">
        <w:rPr>
          <w:rFonts w:ascii="Palatino Linotype" w:eastAsia="Times New Roman" w:hAnsi="Palatino Linotype" w:cs="Tahoma"/>
          <w:lang w:val="es-ES"/>
        </w:rPr>
        <w:t xml:space="preserve"> y de los resultados obtenidos.</w:t>
      </w:r>
    </w:p>
    <w:p w:rsidR="00567F5D" w:rsidRPr="00B01A7E" w:rsidRDefault="00567F5D" w:rsidP="00AF52DB">
      <w:pPr>
        <w:spacing w:line="360" w:lineRule="auto"/>
        <w:rPr>
          <w:rFonts w:ascii="Palatino Linotype" w:eastAsia="Times New Roman" w:hAnsi="Palatino Linotype" w:cs="Tahoma"/>
          <w:lang w:val="es-ES"/>
        </w:rPr>
      </w:pPr>
    </w:p>
    <w:p w:rsidR="00567F5D" w:rsidRPr="00B01A7E" w:rsidRDefault="00567F5D" w:rsidP="00AF52DB">
      <w:pPr>
        <w:numPr>
          <w:ilvl w:val="0"/>
          <w:numId w:val="15"/>
        </w:numPr>
        <w:spacing w:line="360" w:lineRule="auto"/>
        <w:ind w:left="0" w:firstLine="0"/>
        <w:contextualSpacing/>
        <w:jc w:val="both"/>
        <w:rPr>
          <w:rFonts w:ascii="Palatino Linotype" w:eastAsia="Times New Roman" w:hAnsi="Palatino Linotype" w:cs="Tahoma"/>
          <w:lang w:val="es-ES"/>
        </w:rPr>
      </w:pPr>
      <w:r w:rsidRPr="00B01A7E">
        <w:rPr>
          <w:rFonts w:ascii="Palatino Linotype" w:eastAsia="Times New Roman" w:hAnsi="Palatino Linotype" w:cs="Tahoma"/>
          <w:lang w:val="es-ES"/>
        </w:rPr>
        <w:t xml:space="preserve">Conforme a lo anterior, se logra vislumbrar que cualquier tipo de erogación de recursos por parte de </w:t>
      </w:r>
      <w:r w:rsidRPr="00B01A7E">
        <w:rPr>
          <w:rFonts w:ascii="Palatino Linotype" w:eastAsia="Times New Roman" w:hAnsi="Palatino Linotype" w:cs="Tahoma"/>
          <w:bCs/>
          <w:iCs/>
          <w:lang w:val="es-ES"/>
        </w:rPr>
        <w:t>las</w:t>
      </w:r>
      <w:r w:rsidRPr="00B01A7E">
        <w:rPr>
          <w:rFonts w:ascii="Palatino Linotype" w:eastAsia="Times New Roman" w:hAnsi="Palatino Linotype" w:cs="Tahoma"/>
          <w:lang w:val="es-ES"/>
        </w:rPr>
        <w:t xml:space="preserve"> instituciones públicas, guarda la naturaleza de pública; por lo que, las remuneraciones, sueldos y prestaciones de los servidores públicos, rinde cuentas de los recursos utilizados por la Secretaría de Desarrollo Urbano y Obra, para el pago de personal.</w:t>
      </w:r>
    </w:p>
    <w:p w:rsidR="00567F5D" w:rsidRPr="00B01A7E" w:rsidRDefault="00567F5D" w:rsidP="00AF52DB">
      <w:pPr>
        <w:spacing w:line="360" w:lineRule="auto"/>
        <w:rPr>
          <w:rFonts w:ascii="Palatino Linotype" w:eastAsia="Times New Roman" w:hAnsi="Palatino Linotype" w:cs="Tahoma"/>
          <w:lang w:val="es-ES"/>
        </w:rPr>
      </w:pPr>
    </w:p>
    <w:p w:rsidR="00567F5D" w:rsidRPr="00B01A7E" w:rsidRDefault="00567F5D" w:rsidP="00AF52DB">
      <w:pPr>
        <w:numPr>
          <w:ilvl w:val="0"/>
          <w:numId w:val="15"/>
        </w:numPr>
        <w:spacing w:line="360" w:lineRule="auto"/>
        <w:ind w:left="0" w:firstLine="0"/>
        <w:contextualSpacing/>
        <w:jc w:val="both"/>
        <w:rPr>
          <w:rFonts w:ascii="Palatino Linotype" w:eastAsia="Times New Roman" w:hAnsi="Palatino Linotype" w:cs="Tahoma"/>
        </w:rPr>
      </w:pPr>
      <w:r w:rsidRPr="00B01A7E">
        <w:rPr>
          <w:rFonts w:ascii="Palatino Linotype" w:eastAsia="Times New Roman" w:hAnsi="Palatino Linotype" w:cs="Tahoma"/>
          <w:lang w:val="es-ES"/>
        </w:rPr>
        <w:t xml:space="preserve">Así, este Instituto considera que la Secretaría de Desarrollo Urbano y Obra, debe de contar con algún documento que dé cuenta de las remuneraciones que </w:t>
      </w:r>
      <w:r w:rsidRPr="00B01A7E">
        <w:rPr>
          <w:rFonts w:ascii="Palatino Linotype" w:eastAsia="Times New Roman" w:hAnsi="Palatino Linotype" w:cs="Tahoma"/>
          <w:lang w:val="es-ES"/>
        </w:rPr>
        <w:lastRenderedPageBreak/>
        <w:t xml:space="preserve">reciben los servidores públicos de referencia; </w:t>
      </w:r>
      <w:r w:rsidRPr="00B01A7E">
        <w:rPr>
          <w:rFonts w:ascii="Palatino Linotype" w:eastAsia="Calibri" w:hAnsi="Palatino Linotype" w:cs="Tahoma"/>
          <w:bCs/>
          <w:iCs/>
        </w:rPr>
        <w:t xml:space="preserve">dicha </w:t>
      </w:r>
      <w:r w:rsidRPr="00B01A7E">
        <w:rPr>
          <w:rFonts w:ascii="Palatino Linotype" w:eastAsia="Times New Roman" w:hAnsi="Palatino Linotype" w:cs="Tahoma"/>
          <w:lang w:val="es-ES"/>
        </w:rPr>
        <w:t>situación</w:t>
      </w:r>
      <w:r w:rsidRPr="00B01A7E">
        <w:rPr>
          <w:rFonts w:ascii="Palatino Linotype" w:eastAsia="Calibri" w:hAnsi="Palatino Linotype" w:cs="Tahoma"/>
          <w:bCs/>
          <w:iCs/>
        </w:rPr>
        <w:t xml:space="preserve"> toma sustento en</w:t>
      </w:r>
      <w:r w:rsidRPr="00B01A7E">
        <w:rPr>
          <w:rFonts w:ascii="Palatino Linotype" w:eastAsia="Calibri" w:hAnsi="Palatino Linotype" w:cs="Tahoma"/>
          <w:bCs/>
        </w:rPr>
        <w:t xml:space="preserve"> el</w:t>
      </w:r>
      <w:r w:rsidRPr="00B01A7E">
        <w:rPr>
          <w:rFonts w:ascii="Palatino Linotype" w:eastAsia="Times New Roman" w:hAnsi="Palatino Linotype" w:cs="Tahoma"/>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00567F5D" w:rsidRPr="00B01A7E" w:rsidRDefault="00567F5D" w:rsidP="00AF52DB">
      <w:pPr>
        <w:tabs>
          <w:tab w:val="left" w:pos="4962"/>
        </w:tabs>
        <w:spacing w:line="360" w:lineRule="auto"/>
        <w:rPr>
          <w:rFonts w:ascii="Palatino Linotype" w:eastAsia="Times New Roman" w:hAnsi="Palatino Linotype" w:cs="Tahoma"/>
        </w:rPr>
      </w:pPr>
    </w:p>
    <w:p w:rsidR="00567F5D" w:rsidRPr="00B01A7E" w:rsidRDefault="00567F5D" w:rsidP="00AF52DB">
      <w:pPr>
        <w:numPr>
          <w:ilvl w:val="0"/>
          <w:numId w:val="15"/>
        </w:numPr>
        <w:spacing w:line="360" w:lineRule="auto"/>
        <w:ind w:left="0" w:firstLine="0"/>
        <w:contextualSpacing/>
        <w:jc w:val="both"/>
        <w:rPr>
          <w:rFonts w:ascii="Palatino Linotype" w:eastAsia="Calibri" w:hAnsi="Palatino Linotype" w:cs="Tahoma"/>
          <w:iCs/>
          <w:lang w:val="es-ES" w:eastAsia="es-ES_tradnl"/>
        </w:rPr>
      </w:pPr>
      <w:r w:rsidRPr="00B01A7E">
        <w:rPr>
          <w:rFonts w:ascii="Palatino Linotype" w:eastAsia="Times New Roman" w:hAnsi="Palatino Linotype" w:cs="Tahoma"/>
        </w:rPr>
        <w:t xml:space="preserve">De esta manera, </w:t>
      </w:r>
      <w:r w:rsidRPr="00B01A7E">
        <w:rPr>
          <w:rFonts w:ascii="Palatino Linotype" w:eastAsia="Times New Roman" w:hAnsi="Palatino Linotype" w:cs="Tahoma"/>
          <w:lang w:val="es-ES"/>
        </w:rPr>
        <w:t xml:space="preserve">el derecho de acceso a la información pública se satisface en aquellos casos en que se entregue el soporte documental en el que conste la información solicitada, sin necesidad de elaborar documentos </w:t>
      </w:r>
      <w:r w:rsidRPr="00B01A7E">
        <w:rPr>
          <w:rFonts w:ascii="Palatino Linotype" w:eastAsia="Times New Roman" w:hAnsi="Palatino Linotype" w:cs="Tahoma"/>
          <w:i/>
        </w:rPr>
        <w:t>ad hoc</w:t>
      </w:r>
      <w:r w:rsidRPr="00B01A7E">
        <w:rPr>
          <w:rFonts w:ascii="Palatino Linotype" w:eastAsia="Times New Roman" w:hAnsi="Palatino Linotype" w:cs="Tahoma"/>
        </w:rPr>
        <w:t xml:space="preserve">; lo cual, de conformidad con en el artículo 160 de la Ley de Transparencia y Acceso a la Información Pública del Estado de México y Municipios, el cual refiere que los sujetos obligados deberán entregar la información que obre en sus archivos. Además, resulta aplicable </w:t>
      </w:r>
      <w:r w:rsidRPr="00B01A7E">
        <w:rPr>
          <w:rFonts w:ascii="Palatino Linotype" w:eastAsia="Calibri" w:hAnsi="Palatino Linotype" w:cs="Tahoma"/>
          <w:iCs/>
          <w:lang w:val="es-ES" w:eastAsia="es-ES_tradnl"/>
        </w:rPr>
        <w:t xml:space="preserve">el </w:t>
      </w:r>
      <w:r w:rsidRPr="00B01A7E">
        <w:rPr>
          <w:rFonts w:ascii="Palatino Linotype" w:eastAsia="Calibri" w:hAnsi="Palatino Linotype" w:cs="Tahoma"/>
          <w:color w:val="000000"/>
        </w:rPr>
        <w:t xml:space="preserve">el </w:t>
      </w:r>
      <w:r w:rsidRPr="00B01A7E">
        <w:rPr>
          <w:rFonts w:ascii="Palatino Linotype" w:eastAsia="Times New Roman" w:hAnsi="Palatino Linotype" w:cs="Tahoma"/>
          <w:bCs/>
          <w:iCs/>
        </w:rPr>
        <w:t>Criterio de Interpretación: SO/003/2017, de la Segunda Época</w:t>
      </w:r>
      <w:r w:rsidRPr="00B01A7E">
        <w:rPr>
          <w:rFonts w:ascii="Palatino Linotype" w:eastAsia="Calibri" w:hAnsi="Palatino Linotype" w:cs="Tahoma"/>
          <w:iCs/>
          <w:lang w:val="es-ES" w:eastAsia="es-ES_tradnl"/>
        </w:rPr>
        <w:t>, emitido por el Instituto Nacional de Transparencia, Acceso a la Información y Protección de Datos Personales que a continuación se cita:</w:t>
      </w:r>
    </w:p>
    <w:p w:rsidR="00567F5D" w:rsidRPr="00B01A7E" w:rsidRDefault="00567F5D" w:rsidP="00AF52DB">
      <w:pPr>
        <w:tabs>
          <w:tab w:val="left" w:pos="4962"/>
        </w:tabs>
        <w:spacing w:line="360" w:lineRule="auto"/>
        <w:rPr>
          <w:rFonts w:ascii="Palatino Linotype" w:eastAsia="Calibri" w:hAnsi="Palatino Linotype" w:cs="Tahoma"/>
          <w:iCs/>
          <w:lang w:val="es-ES" w:eastAsia="es-ES_tradnl"/>
        </w:rPr>
      </w:pPr>
    </w:p>
    <w:p w:rsidR="00567F5D" w:rsidRPr="00B01A7E" w:rsidRDefault="00567F5D" w:rsidP="00AF52DB">
      <w:pPr>
        <w:spacing w:line="360" w:lineRule="auto"/>
        <w:ind w:left="567" w:right="567"/>
        <w:jc w:val="both"/>
        <w:rPr>
          <w:rFonts w:ascii="Palatino Linotype" w:eastAsia="Arial" w:hAnsi="Palatino Linotype" w:cs="Arial"/>
          <w:i/>
        </w:rPr>
      </w:pPr>
      <w:r w:rsidRPr="00B01A7E">
        <w:rPr>
          <w:rFonts w:ascii="Palatino Linotype" w:eastAsia="Arial" w:hAnsi="Palatino Linotype" w:cs="Arial"/>
          <w:b/>
          <w:i/>
        </w:rPr>
        <w:t xml:space="preserve">“No existe obligación de elaborar </w:t>
      </w:r>
      <w:r w:rsidRPr="00B01A7E">
        <w:rPr>
          <w:rFonts w:ascii="Palatino Linotype" w:eastAsia="Arial" w:hAnsi="Palatino Linotype" w:cs="Arial"/>
          <w:b/>
          <w:i/>
          <w:spacing w:val="-3"/>
        </w:rPr>
        <w:t>d</w:t>
      </w:r>
      <w:r w:rsidRPr="00B01A7E">
        <w:rPr>
          <w:rFonts w:ascii="Palatino Linotype" w:eastAsia="Arial" w:hAnsi="Palatino Linotype" w:cs="Arial"/>
          <w:b/>
          <w:i/>
        </w:rPr>
        <w:t>ocum</w:t>
      </w:r>
      <w:r w:rsidRPr="00B01A7E">
        <w:rPr>
          <w:rFonts w:ascii="Palatino Linotype" w:eastAsia="Arial" w:hAnsi="Palatino Linotype" w:cs="Arial"/>
          <w:b/>
          <w:i/>
          <w:spacing w:val="1"/>
        </w:rPr>
        <w:t>e</w:t>
      </w:r>
      <w:r w:rsidRPr="00B01A7E">
        <w:rPr>
          <w:rFonts w:ascii="Palatino Linotype" w:eastAsia="Arial" w:hAnsi="Palatino Linotype" w:cs="Arial"/>
          <w:b/>
          <w:i/>
        </w:rPr>
        <w:t>n</w:t>
      </w:r>
      <w:r w:rsidRPr="00B01A7E">
        <w:rPr>
          <w:rFonts w:ascii="Palatino Linotype" w:eastAsia="Arial" w:hAnsi="Palatino Linotype" w:cs="Arial"/>
          <w:b/>
          <w:i/>
          <w:spacing w:val="-1"/>
        </w:rPr>
        <w:t>t</w:t>
      </w:r>
      <w:r w:rsidRPr="00B01A7E">
        <w:rPr>
          <w:rFonts w:ascii="Palatino Linotype" w:eastAsia="Arial" w:hAnsi="Palatino Linotype" w:cs="Arial"/>
          <w:b/>
          <w:i/>
        </w:rPr>
        <w:t xml:space="preserve">os </w:t>
      </w:r>
      <w:r w:rsidRPr="00B01A7E">
        <w:rPr>
          <w:rFonts w:ascii="Palatino Linotype" w:eastAsia="Arial" w:hAnsi="Palatino Linotype" w:cs="Arial"/>
          <w:b/>
          <w:i/>
          <w:spacing w:val="-1"/>
        </w:rPr>
        <w:t xml:space="preserve">ad </w:t>
      </w:r>
      <w:r w:rsidRPr="00B01A7E">
        <w:rPr>
          <w:rFonts w:ascii="Palatino Linotype" w:eastAsia="Arial" w:hAnsi="Palatino Linotype" w:cs="Arial"/>
          <w:b/>
          <w:i/>
        </w:rPr>
        <w:t>hoc para atender las sol</w:t>
      </w:r>
      <w:r w:rsidRPr="00B01A7E">
        <w:rPr>
          <w:rFonts w:ascii="Palatino Linotype" w:eastAsia="Arial" w:hAnsi="Palatino Linotype" w:cs="Arial"/>
          <w:b/>
          <w:i/>
          <w:spacing w:val="-2"/>
        </w:rPr>
        <w:t>i</w:t>
      </w:r>
      <w:r w:rsidRPr="00B01A7E">
        <w:rPr>
          <w:rFonts w:ascii="Palatino Linotype" w:eastAsia="Arial" w:hAnsi="Palatino Linotype" w:cs="Arial"/>
          <w:b/>
          <w:i/>
          <w:spacing w:val="1"/>
        </w:rPr>
        <w:t>c</w:t>
      </w:r>
      <w:r w:rsidRPr="00B01A7E">
        <w:rPr>
          <w:rFonts w:ascii="Palatino Linotype" w:eastAsia="Arial" w:hAnsi="Palatino Linotype" w:cs="Arial"/>
          <w:b/>
          <w:i/>
        </w:rPr>
        <w:t xml:space="preserve">itudes de </w:t>
      </w:r>
      <w:r w:rsidRPr="00B01A7E">
        <w:rPr>
          <w:rFonts w:ascii="Palatino Linotype" w:eastAsia="Arial" w:hAnsi="Palatino Linotype" w:cs="Arial"/>
          <w:b/>
          <w:i/>
          <w:spacing w:val="1"/>
        </w:rPr>
        <w:t>ac</w:t>
      </w:r>
      <w:r w:rsidRPr="00B01A7E">
        <w:rPr>
          <w:rFonts w:ascii="Palatino Linotype" w:eastAsia="Arial" w:hAnsi="Palatino Linotype" w:cs="Arial"/>
          <w:b/>
          <w:i/>
          <w:spacing w:val="-1"/>
        </w:rPr>
        <w:t>c</w:t>
      </w:r>
      <w:r w:rsidRPr="00B01A7E">
        <w:rPr>
          <w:rFonts w:ascii="Palatino Linotype" w:eastAsia="Arial" w:hAnsi="Palatino Linotype" w:cs="Arial"/>
          <w:b/>
          <w:i/>
          <w:spacing w:val="1"/>
        </w:rPr>
        <w:t>es</w:t>
      </w:r>
      <w:r w:rsidRPr="00B01A7E">
        <w:rPr>
          <w:rFonts w:ascii="Palatino Linotype" w:eastAsia="Arial" w:hAnsi="Palatino Linotype" w:cs="Arial"/>
          <w:b/>
          <w:i/>
        </w:rPr>
        <w:t>o a la informa</w:t>
      </w:r>
      <w:r w:rsidRPr="00B01A7E">
        <w:rPr>
          <w:rFonts w:ascii="Palatino Linotype" w:eastAsia="Arial" w:hAnsi="Palatino Linotype" w:cs="Arial"/>
          <w:b/>
          <w:i/>
          <w:spacing w:val="1"/>
        </w:rPr>
        <w:t>c</w:t>
      </w:r>
      <w:r w:rsidRPr="00B01A7E">
        <w:rPr>
          <w:rFonts w:ascii="Palatino Linotype" w:eastAsia="Arial" w:hAnsi="Palatino Linotype" w:cs="Arial"/>
          <w:b/>
          <w:i/>
        </w:rPr>
        <w:t>ió</w:t>
      </w:r>
      <w:r w:rsidRPr="00B01A7E">
        <w:rPr>
          <w:rFonts w:ascii="Palatino Linotype" w:eastAsia="Arial" w:hAnsi="Palatino Linotype" w:cs="Arial"/>
          <w:b/>
          <w:i/>
          <w:spacing w:val="-2"/>
        </w:rPr>
        <w:t>n</w:t>
      </w:r>
      <w:r w:rsidRPr="00B01A7E">
        <w:rPr>
          <w:rFonts w:ascii="Palatino Linotype" w:eastAsia="Arial" w:hAnsi="Palatino Linotype" w:cs="Arial"/>
          <w:b/>
          <w:i/>
        </w:rPr>
        <w:t xml:space="preserve">. </w:t>
      </w:r>
      <w:r w:rsidRPr="00B01A7E">
        <w:rPr>
          <w:rFonts w:ascii="Palatino Linotype" w:eastAsia="Arial" w:hAnsi="Palatino Linotype" w:cs="Arial"/>
          <w:i/>
          <w:spacing w:val="18"/>
        </w:rPr>
        <w:t>L</w:t>
      </w:r>
      <w:r w:rsidRPr="00B01A7E">
        <w:rPr>
          <w:rFonts w:ascii="Palatino Linotype" w:eastAsia="Arial" w:hAnsi="Palatino Linotype" w:cs="Arial"/>
          <w:i/>
          <w:spacing w:val="-1"/>
        </w:rPr>
        <w:t xml:space="preserve">os </w:t>
      </w:r>
      <w:r w:rsidRPr="00B01A7E">
        <w:rPr>
          <w:rFonts w:ascii="Palatino Linotype" w:eastAsia="Arial" w:hAnsi="Palatino Linotype" w:cs="Arial"/>
          <w:i/>
          <w:spacing w:val="1"/>
        </w:rPr>
        <w:t>a</w:t>
      </w:r>
      <w:r w:rsidRPr="00B01A7E">
        <w:rPr>
          <w:rFonts w:ascii="Palatino Linotype" w:eastAsia="Arial" w:hAnsi="Palatino Linotype" w:cs="Arial"/>
          <w:i/>
        </w:rPr>
        <w:t>rt</w:t>
      </w:r>
      <w:r w:rsidRPr="00B01A7E">
        <w:rPr>
          <w:rFonts w:ascii="Palatino Linotype" w:eastAsia="Arial" w:hAnsi="Palatino Linotype" w:cs="Arial"/>
          <w:i/>
          <w:spacing w:val="-2"/>
        </w:rPr>
        <w:t>í</w:t>
      </w:r>
      <w:r w:rsidRPr="00B01A7E">
        <w:rPr>
          <w:rFonts w:ascii="Palatino Linotype" w:eastAsia="Arial" w:hAnsi="Palatino Linotype" w:cs="Arial"/>
          <w:i/>
        </w:rPr>
        <w:t>c</w:t>
      </w:r>
      <w:r w:rsidRPr="00B01A7E">
        <w:rPr>
          <w:rFonts w:ascii="Palatino Linotype" w:eastAsia="Arial" w:hAnsi="Palatino Linotype" w:cs="Arial"/>
          <w:i/>
          <w:spacing w:val="1"/>
        </w:rPr>
        <w:t>u</w:t>
      </w:r>
      <w:r w:rsidRPr="00B01A7E">
        <w:rPr>
          <w:rFonts w:ascii="Palatino Linotype" w:eastAsia="Arial" w:hAnsi="Palatino Linotype" w:cs="Arial"/>
          <w:i/>
        </w:rPr>
        <w:t>los</w:t>
      </w:r>
      <w:r w:rsidRPr="00B01A7E">
        <w:rPr>
          <w:rFonts w:ascii="Palatino Linotype" w:eastAsia="Arial" w:hAnsi="Palatino Linotype" w:cs="Arial"/>
          <w:i/>
          <w:spacing w:val="8"/>
        </w:rPr>
        <w:t xml:space="preserve"> 129 </w:t>
      </w:r>
      <w:r w:rsidRPr="00B01A7E">
        <w:rPr>
          <w:rFonts w:ascii="Palatino Linotype" w:eastAsia="Arial" w:hAnsi="Palatino Linotype" w:cs="Arial"/>
          <w:i/>
          <w:spacing w:val="1"/>
        </w:rPr>
        <w:t>d</w:t>
      </w:r>
      <w:r w:rsidRPr="00B01A7E">
        <w:rPr>
          <w:rFonts w:ascii="Palatino Linotype" w:eastAsia="Arial" w:hAnsi="Palatino Linotype" w:cs="Arial"/>
          <w:i/>
        </w:rPr>
        <w:t xml:space="preserve">e la </w:t>
      </w:r>
      <w:r w:rsidRPr="00B01A7E">
        <w:rPr>
          <w:rFonts w:ascii="Palatino Linotype" w:eastAsia="Arial" w:hAnsi="Palatino Linotype" w:cs="Arial"/>
          <w:i/>
          <w:spacing w:val="-1"/>
        </w:rPr>
        <w:t>L</w:t>
      </w:r>
      <w:r w:rsidRPr="00B01A7E">
        <w:rPr>
          <w:rFonts w:ascii="Palatino Linotype" w:eastAsia="Arial" w:hAnsi="Palatino Linotype" w:cs="Arial"/>
          <w:i/>
          <w:spacing w:val="1"/>
        </w:rPr>
        <w:t>e</w:t>
      </w:r>
      <w:r w:rsidRPr="00B01A7E">
        <w:rPr>
          <w:rFonts w:ascii="Palatino Linotype" w:eastAsia="Arial" w:hAnsi="Palatino Linotype" w:cs="Arial"/>
          <w:i/>
        </w:rPr>
        <w:t xml:space="preserve">y General </w:t>
      </w:r>
      <w:r w:rsidRPr="00B01A7E">
        <w:rPr>
          <w:rFonts w:ascii="Palatino Linotype" w:eastAsia="Arial" w:hAnsi="Palatino Linotype" w:cs="Arial"/>
          <w:i/>
          <w:spacing w:val="-1"/>
        </w:rPr>
        <w:t>d</w:t>
      </w:r>
      <w:r w:rsidRPr="00B01A7E">
        <w:rPr>
          <w:rFonts w:ascii="Palatino Linotype" w:eastAsia="Arial" w:hAnsi="Palatino Linotype" w:cs="Arial"/>
          <w:i/>
        </w:rPr>
        <w:t xml:space="preserve">e </w:t>
      </w:r>
      <w:r w:rsidRPr="00B01A7E">
        <w:rPr>
          <w:rFonts w:ascii="Palatino Linotype" w:eastAsia="Arial" w:hAnsi="Palatino Linotype" w:cs="Arial"/>
          <w:i/>
          <w:spacing w:val="2"/>
        </w:rPr>
        <w:t>T</w:t>
      </w:r>
      <w:r w:rsidRPr="00B01A7E">
        <w:rPr>
          <w:rFonts w:ascii="Palatino Linotype" w:eastAsia="Arial" w:hAnsi="Palatino Linotype" w:cs="Arial"/>
          <w:i/>
        </w:rPr>
        <w:t>r</w:t>
      </w:r>
      <w:r w:rsidRPr="00B01A7E">
        <w:rPr>
          <w:rFonts w:ascii="Palatino Linotype" w:eastAsia="Arial" w:hAnsi="Palatino Linotype" w:cs="Arial"/>
          <w:i/>
          <w:spacing w:val="-2"/>
        </w:rPr>
        <w:t>a</w:t>
      </w:r>
      <w:r w:rsidRPr="00B01A7E">
        <w:rPr>
          <w:rFonts w:ascii="Palatino Linotype" w:eastAsia="Arial" w:hAnsi="Palatino Linotype" w:cs="Arial"/>
          <w:i/>
          <w:spacing w:val="1"/>
        </w:rPr>
        <w:t>n</w:t>
      </w:r>
      <w:r w:rsidRPr="00B01A7E">
        <w:rPr>
          <w:rFonts w:ascii="Palatino Linotype" w:eastAsia="Arial" w:hAnsi="Palatino Linotype" w:cs="Arial"/>
          <w:i/>
        </w:rPr>
        <w:t>s</w:t>
      </w:r>
      <w:r w:rsidRPr="00B01A7E">
        <w:rPr>
          <w:rFonts w:ascii="Palatino Linotype" w:eastAsia="Arial" w:hAnsi="Palatino Linotype" w:cs="Arial"/>
          <w:i/>
          <w:spacing w:val="1"/>
        </w:rPr>
        <w:t>pa</w:t>
      </w:r>
      <w:r w:rsidRPr="00B01A7E">
        <w:rPr>
          <w:rFonts w:ascii="Palatino Linotype" w:eastAsia="Arial" w:hAnsi="Palatino Linotype" w:cs="Arial"/>
          <w:i/>
        </w:rPr>
        <w:t>r</w:t>
      </w:r>
      <w:r w:rsidRPr="00B01A7E">
        <w:rPr>
          <w:rFonts w:ascii="Palatino Linotype" w:eastAsia="Arial" w:hAnsi="Palatino Linotype" w:cs="Arial"/>
          <w:i/>
          <w:spacing w:val="-2"/>
        </w:rPr>
        <w:t>e</w:t>
      </w:r>
      <w:r w:rsidRPr="00B01A7E">
        <w:rPr>
          <w:rFonts w:ascii="Palatino Linotype" w:eastAsia="Arial" w:hAnsi="Palatino Linotype" w:cs="Arial"/>
          <w:i/>
          <w:spacing w:val="1"/>
        </w:rPr>
        <w:t>n</w:t>
      </w:r>
      <w:r w:rsidRPr="00B01A7E">
        <w:rPr>
          <w:rFonts w:ascii="Palatino Linotype" w:eastAsia="Arial" w:hAnsi="Palatino Linotype" w:cs="Arial"/>
          <w:i/>
        </w:rPr>
        <w:t>cia y Acc</w:t>
      </w:r>
      <w:r w:rsidRPr="00B01A7E">
        <w:rPr>
          <w:rFonts w:ascii="Palatino Linotype" w:eastAsia="Arial" w:hAnsi="Palatino Linotype" w:cs="Arial"/>
          <w:i/>
          <w:spacing w:val="1"/>
        </w:rPr>
        <w:t>e</w:t>
      </w:r>
      <w:r w:rsidRPr="00B01A7E">
        <w:rPr>
          <w:rFonts w:ascii="Palatino Linotype" w:eastAsia="Arial" w:hAnsi="Palatino Linotype" w:cs="Arial"/>
          <w:i/>
        </w:rPr>
        <w:t>so a la I</w:t>
      </w:r>
      <w:r w:rsidRPr="00B01A7E">
        <w:rPr>
          <w:rFonts w:ascii="Palatino Linotype" w:eastAsia="Arial" w:hAnsi="Palatino Linotype" w:cs="Arial"/>
          <w:i/>
          <w:spacing w:val="-1"/>
        </w:rPr>
        <w:t>n</w:t>
      </w:r>
      <w:r w:rsidRPr="00B01A7E">
        <w:rPr>
          <w:rFonts w:ascii="Palatino Linotype" w:eastAsia="Arial" w:hAnsi="Palatino Linotype" w:cs="Arial"/>
          <w:i/>
        </w:rPr>
        <w:t>f</w:t>
      </w:r>
      <w:r w:rsidRPr="00B01A7E">
        <w:rPr>
          <w:rFonts w:ascii="Palatino Linotype" w:eastAsia="Arial" w:hAnsi="Palatino Linotype" w:cs="Arial"/>
          <w:i/>
          <w:spacing w:val="1"/>
        </w:rPr>
        <w:t>o</w:t>
      </w:r>
      <w:r w:rsidRPr="00B01A7E">
        <w:rPr>
          <w:rFonts w:ascii="Palatino Linotype" w:eastAsia="Arial" w:hAnsi="Palatino Linotype" w:cs="Arial"/>
          <w:i/>
          <w:spacing w:val="-3"/>
        </w:rPr>
        <w:t>r</w:t>
      </w:r>
      <w:r w:rsidRPr="00B01A7E">
        <w:rPr>
          <w:rFonts w:ascii="Palatino Linotype" w:eastAsia="Arial" w:hAnsi="Palatino Linotype" w:cs="Arial"/>
          <w:i/>
          <w:spacing w:val="1"/>
        </w:rPr>
        <w:t>ma</w:t>
      </w:r>
      <w:r w:rsidRPr="00B01A7E">
        <w:rPr>
          <w:rFonts w:ascii="Palatino Linotype" w:eastAsia="Arial" w:hAnsi="Palatino Linotype" w:cs="Arial"/>
          <w:i/>
        </w:rPr>
        <w:t>ci</w:t>
      </w:r>
      <w:r w:rsidRPr="00B01A7E">
        <w:rPr>
          <w:rFonts w:ascii="Palatino Linotype" w:eastAsia="Arial" w:hAnsi="Palatino Linotype" w:cs="Arial"/>
          <w:i/>
          <w:spacing w:val="-2"/>
        </w:rPr>
        <w:t>ó</w:t>
      </w:r>
      <w:r w:rsidRPr="00B01A7E">
        <w:rPr>
          <w:rFonts w:ascii="Palatino Linotype" w:eastAsia="Arial" w:hAnsi="Palatino Linotype" w:cs="Arial"/>
          <w:i/>
        </w:rPr>
        <w:t xml:space="preserve">n </w:t>
      </w:r>
      <w:r w:rsidRPr="00B01A7E">
        <w:rPr>
          <w:rFonts w:ascii="Palatino Linotype" w:eastAsia="Arial" w:hAnsi="Palatino Linotype" w:cs="Arial"/>
          <w:i/>
          <w:spacing w:val="-2"/>
        </w:rPr>
        <w:t>P</w:t>
      </w:r>
      <w:r w:rsidRPr="00B01A7E">
        <w:rPr>
          <w:rFonts w:ascii="Palatino Linotype" w:eastAsia="Arial" w:hAnsi="Palatino Linotype" w:cs="Arial"/>
          <w:i/>
          <w:spacing w:val="1"/>
        </w:rPr>
        <w:t>úb</w:t>
      </w:r>
      <w:r w:rsidRPr="00B01A7E">
        <w:rPr>
          <w:rFonts w:ascii="Palatino Linotype" w:eastAsia="Arial" w:hAnsi="Palatino Linotype" w:cs="Arial"/>
          <w:i/>
        </w:rPr>
        <w:t>l</w:t>
      </w:r>
      <w:r w:rsidRPr="00B01A7E">
        <w:rPr>
          <w:rFonts w:ascii="Palatino Linotype" w:eastAsia="Arial" w:hAnsi="Palatino Linotype" w:cs="Arial"/>
          <w:i/>
          <w:spacing w:val="-1"/>
        </w:rPr>
        <w:t>i</w:t>
      </w:r>
      <w:r w:rsidRPr="00B01A7E">
        <w:rPr>
          <w:rFonts w:ascii="Palatino Linotype" w:eastAsia="Arial" w:hAnsi="Palatino Linotype" w:cs="Arial"/>
          <w:i/>
        </w:rPr>
        <w:t xml:space="preserve">ca y </w:t>
      </w:r>
      <w:r w:rsidRPr="00B01A7E">
        <w:rPr>
          <w:rFonts w:ascii="Palatino Linotype" w:eastAsia="Arial" w:hAnsi="Palatino Linotype" w:cs="Arial"/>
          <w:i/>
          <w:spacing w:val="8"/>
        </w:rPr>
        <w:t xml:space="preserve">130, párrafo cuarto, </w:t>
      </w:r>
      <w:r w:rsidRPr="00B01A7E">
        <w:rPr>
          <w:rFonts w:ascii="Palatino Linotype" w:eastAsia="Arial" w:hAnsi="Palatino Linotype" w:cs="Arial"/>
          <w:i/>
          <w:spacing w:val="1"/>
        </w:rPr>
        <w:t>d</w:t>
      </w:r>
      <w:r w:rsidRPr="00B01A7E">
        <w:rPr>
          <w:rFonts w:ascii="Palatino Linotype" w:eastAsia="Arial" w:hAnsi="Palatino Linotype" w:cs="Arial"/>
          <w:i/>
        </w:rPr>
        <w:t xml:space="preserve">e la </w:t>
      </w:r>
      <w:r w:rsidRPr="00B01A7E">
        <w:rPr>
          <w:rFonts w:ascii="Palatino Linotype" w:eastAsia="Arial" w:hAnsi="Palatino Linotype" w:cs="Arial"/>
          <w:i/>
          <w:spacing w:val="-1"/>
        </w:rPr>
        <w:t>L</w:t>
      </w:r>
      <w:r w:rsidRPr="00B01A7E">
        <w:rPr>
          <w:rFonts w:ascii="Palatino Linotype" w:eastAsia="Arial" w:hAnsi="Palatino Linotype" w:cs="Arial"/>
          <w:i/>
          <w:spacing w:val="1"/>
        </w:rPr>
        <w:t>e</w:t>
      </w:r>
      <w:r w:rsidRPr="00B01A7E">
        <w:rPr>
          <w:rFonts w:ascii="Palatino Linotype" w:eastAsia="Arial" w:hAnsi="Palatino Linotype" w:cs="Arial"/>
          <w:i/>
        </w:rPr>
        <w:t>y Fe</w:t>
      </w:r>
      <w:r w:rsidRPr="00B01A7E">
        <w:rPr>
          <w:rFonts w:ascii="Palatino Linotype" w:eastAsia="Arial" w:hAnsi="Palatino Linotype" w:cs="Arial"/>
          <w:i/>
          <w:spacing w:val="1"/>
        </w:rPr>
        <w:t>de</w:t>
      </w:r>
      <w:r w:rsidRPr="00B01A7E">
        <w:rPr>
          <w:rFonts w:ascii="Palatino Linotype" w:eastAsia="Arial" w:hAnsi="Palatino Linotype" w:cs="Arial"/>
          <w:i/>
        </w:rPr>
        <w:t xml:space="preserve">ral </w:t>
      </w:r>
      <w:r w:rsidRPr="00B01A7E">
        <w:rPr>
          <w:rFonts w:ascii="Palatino Linotype" w:eastAsia="Arial" w:hAnsi="Palatino Linotype" w:cs="Arial"/>
          <w:i/>
          <w:spacing w:val="-1"/>
        </w:rPr>
        <w:t>d</w:t>
      </w:r>
      <w:r w:rsidRPr="00B01A7E">
        <w:rPr>
          <w:rFonts w:ascii="Palatino Linotype" w:eastAsia="Arial" w:hAnsi="Palatino Linotype" w:cs="Arial"/>
          <w:i/>
        </w:rPr>
        <w:t xml:space="preserve">e </w:t>
      </w:r>
      <w:r w:rsidRPr="00B01A7E">
        <w:rPr>
          <w:rFonts w:ascii="Palatino Linotype" w:eastAsia="Arial" w:hAnsi="Palatino Linotype" w:cs="Arial"/>
          <w:i/>
          <w:spacing w:val="2"/>
        </w:rPr>
        <w:t>T</w:t>
      </w:r>
      <w:r w:rsidRPr="00B01A7E">
        <w:rPr>
          <w:rFonts w:ascii="Palatino Linotype" w:eastAsia="Arial" w:hAnsi="Palatino Linotype" w:cs="Arial"/>
          <w:i/>
        </w:rPr>
        <w:t>r</w:t>
      </w:r>
      <w:r w:rsidRPr="00B01A7E">
        <w:rPr>
          <w:rFonts w:ascii="Palatino Linotype" w:eastAsia="Arial" w:hAnsi="Palatino Linotype" w:cs="Arial"/>
          <w:i/>
          <w:spacing w:val="-2"/>
        </w:rPr>
        <w:t>a</w:t>
      </w:r>
      <w:r w:rsidRPr="00B01A7E">
        <w:rPr>
          <w:rFonts w:ascii="Palatino Linotype" w:eastAsia="Arial" w:hAnsi="Palatino Linotype" w:cs="Arial"/>
          <w:i/>
          <w:spacing w:val="1"/>
        </w:rPr>
        <w:t>n</w:t>
      </w:r>
      <w:r w:rsidRPr="00B01A7E">
        <w:rPr>
          <w:rFonts w:ascii="Palatino Linotype" w:eastAsia="Arial" w:hAnsi="Palatino Linotype" w:cs="Arial"/>
          <w:i/>
        </w:rPr>
        <w:t>s</w:t>
      </w:r>
      <w:r w:rsidRPr="00B01A7E">
        <w:rPr>
          <w:rFonts w:ascii="Palatino Linotype" w:eastAsia="Arial" w:hAnsi="Palatino Linotype" w:cs="Arial"/>
          <w:i/>
          <w:spacing w:val="1"/>
        </w:rPr>
        <w:t>pa</w:t>
      </w:r>
      <w:r w:rsidRPr="00B01A7E">
        <w:rPr>
          <w:rFonts w:ascii="Palatino Linotype" w:eastAsia="Arial" w:hAnsi="Palatino Linotype" w:cs="Arial"/>
          <w:i/>
        </w:rPr>
        <w:t>r</w:t>
      </w:r>
      <w:r w:rsidRPr="00B01A7E">
        <w:rPr>
          <w:rFonts w:ascii="Palatino Linotype" w:eastAsia="Arial" w:hAnsi="Palatino Linotype" w:cs="Arial"/>
          <w:i/>
          <w:spacing w:val="-2"/>
        </w:rPr>
        <w:t>e</w:t>
      </w:r>
      <w:r w:rsidRPr="00B01A7E">
        <w:rPr>
          <w:rFonts w:ascii="Palatino Linotype" w:eastAsia="Arial" w:hAnsi="Palatino Linotype" w:cs="Arial"/>
          <w:i/>
          <w:spacing w:val="1"/>
        </w:rPr>
        <w:t>n</w:t>
      </w:r>
      <w:r w:rsidRPr="00B01A7E">
        <w:rPr>
          <w:rFonts w:ascii="Palatino Linotype" w:eastAsia="Arial" w:hAnsi="Palatino Linotype" w:cs="Arial"/>
          <w:i/>
        </w:rPr>
        <w:t>cia y Acc</w:t>
      </w:r>
      <w:r w:rsidRPr="00B01A7E">
        <w:rPr>
          <w:rFonts w:ascii="Palatino Linotype" w:eastAsia="Arial" w:hAnsi="Palatino Linotype" w:cs="Arial"/>
          <w:i/>
          <w:spacing w:val="1"/>
        </w:rPr>
        <w:t>e</w:t>
      </w:r>
      <w:r w:rsidRPr="00B01A7E">
        <w:rPr>
          <w:rFonts w:ascii="Palatino Linotype" w:eastAsia="Arial" w:hAnsi="Palatino Linotype" w:cs="Arial"/>
          <w:i/>
        </w:rPr>
        <w:t>so a la I</w:t>
      </w:r>
      <w:r w:rsidRPr="00B01A7E">
        <w:rPr>
          <w:rFonts w:ascii="Palatino Linotype" w:eastAsia="Arial" w:hAnsi="Palatino Linotype" w:cs="Arial"/>
          <w:i/>
          <w:spacing w:val="-1"/>
        </w:rPr>
        <w:t>n</w:t>
      </w:r>
      <w:r w:rsidRPr="00B01A7E">
        <w:rPr>
          <w:rFonts w:ascii="Palatino Linotype" w:eastAsia="Arial" w:hAnsi="Palatino Linotype" w:cs="Arial"/>
          <w:i/>
        </w:rPr>
        <w:t>f</w:t>
      </w:r>
      <w:r w:rsidRPr="00B01A7E">
        <w:rPr>
          <w:rFonts w:ascii="Palatino Linotype" w:eastAsia="Arial" w:hAnsi="Palatino Linotype" w:cs="Arial"/>
          <w:i/>
          <w:spacing w:val="1"/>
        </w:rPr>
        <w:t>o</w:t>
      </w:r>
      <w:r w:rsidRPr="00B01A7E">
        <w:rPr>
          <w:rFonts w:ascii="Palatino Linotype" w:eastAsia="Arial" w:hAnsi="Palatino Linotype" w:cs="Arial"/>
          <w:i/>
          <w:spacing w:val="-3"/>
        </w:rPr>
        <w:t>r</w:t>
      </w:r>
      <w:r w:rsidRPr="00B01A7E">
        <w:rPr>
          <w:rFonts w:ascii="Palatino Linotype" w:eastAsia="Arial" w:hAnsi="Palatino Linotype" w:cs="Arial"/>
          <w:i/>
          <w:spacing w:val="1"/>
        </w:rPr>
        <w:t>ma</w:t>
      </w:r>
      <w:r w:rsidRPr="00B01A7E">
        <w:rPr>
          <w:rFonts w:ascii="Palatino Linotype" w:eastAsia="Arial" w:hAnsi="Palatino Linotype" w:cs="Arial"/>
          <w:i/>
        </w:rPr>
        <w:t>ci</w:t>
      </w:r>
      <w:r w:rsidRPr="00B01A7E">
        <w:rPr>
          <w:rFonts w:ascii="Palatino Linotype" w:eastAsia="Arial" w:hAnsi="Palatino Linotype" w:cs="Arial"/>
          <w:i/>
          <w:spacing w:val="-2"/>
        </w:rPr>
        <w:t>ó</w:t>
      </w:r>
      <w:r w:rsidRPr="00B01A7E">
        <w:rPr>
          <w:rFonts w:ascii="Palatino Linotype" w:eastAsia="Arial" w:hAnsi="Palatino Linotype" w:cs="Arial"/>
          <w:i/>
        </w:rPr>
        <w:t xml:space="preserve">n </w:t>
      </w:r>
      <w:r w:rsidRPr="00B01A7E">
        <w:rPr>
          <w:rFonts w:ascii="Palatino Linotype" w:eastAsia="Arial" w:hAnsi="Palatino Linotype" w:cs="Arial"/>
          <w:i/>
          <w:spacing w:val="-2"/>
        </w:rPr>
        <w:t>P</w:t>
      </w:r>
      <w:r w:rsidRPr="00B01A7E">
        <w:rPr>
          <w:rFonts w:ascii="Palatino Linotype" w:eastAsia="Arial" w:hAnsi="Palatino Linotype" w:cs="Arial"/>
          <w:i/>
          <w:spacing w:val="1"/>
        </w:rPr>
        <w:t>úb</w:t>
      </w:r>
      <w:r w:rsidRPr="00B01A7E">
        <w:rPr>
          <w:rFonts w:ascii="Palatino Linotype" w:eastAsia="Arial" w:hAnsi="Palatino Linotype" w:cs="Arial"/>
          <w:i/>
        </w:rPr>
        <w:t>l</w:t>
      </w:r>
      <w:r w:rsidRPr="00B01A7E">
        <w:rPr>
          <w:rFonts w:ascii="Palatino Linotype" w:eastAsia="Arial" w:hAnsi="Palatino Linotype" w:cs="Arial"/>
          <w:i/>
          <w:spacing w:val="-1"/>
        </w:rPr>
        <w:t>i</w:t>
      </w:r>
      <w:r w:rsidRPr="00B01A7E">
        <w:rPr>
          <w:rFonts w:ascii="Palatino Linotype" w:eastAsia="Arial" w:hAnsi="Palatino Linotype" w:cs="Arial"/>
          <w:i/>
        </w:rPr>
        <w:t xml:space="preserve">ca, </w:t>
      </w:r>
      <w:r w:rsidRPr="00B01A7E">
        <w:rPr>
          <w:rFonts w:ascii="Palatino Linotype" w:eastAsia="Arial" w:hAnsi="Palatino Linotype" w:cs="Arial"/>
          <w:i/>
          <w:spacing w:val="-1"/>
        </w:rPr>
        <w:t>señalan q</w:t>
      </w:r>
      <w:r w:rsidRPr="00B01A7E">
        <w:rPr>
          <w:rFonts w:ascii="Palatino Linotype" w:eastAsia="Arial" w:hAnsi="Palatino Linotype" w:cs="Arial"/>
          <w:i/>
          <w:spacing w:val="1"/>
        </w:rPr>
        <w:t>u</w:t>
      </w:r>
      <w:r w:rsidRPr="00B01A7E">
        <w:rPr>
          <w:rFonts w:ascii="Palatino Linotype" w:eastAsia="Arial" w:hAnsi="Palatino Linotype" w:cs="Arial"/>
          <w:i/>
        </w:rPr>
        <w:t xml:space="preserve">e los sujetos obligados deberán otorgar acceso a los documentos que se encuentren en sus archivos o que estén obligados a documentar, de acuerdo con sus facultades, competencias o funciones, conforme a las características físicas de la </w:t>
      </w:r>
      <w:r w:rsidRPr="00B01A7E">
        <w:rPr>
          <w:rFonts w:ascii="Palatino Linotype" w:eastAsia="Arial" w:hAnsi="Palatino Linotype" w:cs="Arial"/>
          <w:i/>
        </w:rPr>
        <w:lastRenderedPageBreak/>
        <w:t>información o del lugar donde se encuentre. Por lo anterior, los sujetos obligados deben garantizar el derecho de acceso a la información del particular, proporcionando la información con la que cuentan en el formato en que la misma obre en sus archivos;</w:t>
      </w:r>
      <w:r w:rsidRPr="00B01A7E">
        <w:rPr>
          <w:rFonts w:ascii="Palatino Linotype" w:eastAsia="Arial" w:hAnsi="Palatino Linotype" w:cs="Arial"/>
          <w:i/>
          <w:spacing w:val="-1"/>
        </w:rPr>
        <w:t xml:space="preserve"> sin necesidad de</w:t>
      </w:r>
      <w:r w:rsidRPr="00B01A7E">
        <w:rPr>
          <w:rFonts w:ascii="Palatino Linotype" w:eastAsia="Arial" w:hAnsi="Palatino Linotype" w:cs="Arial"/>
          <w:i/>
          <w:spacing w:val="1"/>
        </w:rPr>
        <w:t xml:space="preserve"> e</w:t>
      </w:r>
      <w:r w:rsidRPr="00B01A7E">
        <w:rPr>
          <w:rFonts w:ascii="Palatino Linotype" w:eastAsia="Arial" w:hAnsi="Palatino Linotype" w:cs="Arial"/>
          <w:i/>
        </w:rPr>
        <w:t>la</w:t>
      </w:r>
      <w:r w:rsidRPr="00B01A7E">
        <w:rPr>
          <w:rFonts w:ascii="Palatino Linotype" w:eastAsia="Arial" w:hAnsi="Palatino Linotype" w:cs="Arial"/>
          <w:i/>
          <w:spacing w:val="1"/>
        </w:rPr>
        <w:t>bo</w:t>
      </w:r>
      <w:r w:rsidRPr="00B01A7E">
        <w:rPr>
          <w:rFonts w:ascii="Palatino Linotype" w:eastAsia="Arial" w:hAnsi="Palatino Linotype" w:cs="Arial"/>
          <w:i/>
        </w:rPr>
        <w:t xml:space="preserve">rar </w:t>
      </w:r>
      <w:r w:rsidRPr="00B01A7E">
        <w:rPr>
          <w:rFonts w:ascii="Palatino Linotype" w:eastAsia="Arial" w:hAnsi="Palatino Linotype" w:cs="Arial"/>
          <w:i/>
          <w:spacing w:val="1"/>
        </w:rPr>
        <w:t>do</w:t>
      </w:r>
      <w:r w:rsidRPr="00B01A7E">
        <w:rPr>
          <w:rFonts w:ascii="Palatino Linotype" w:eastAsia="Arial" w:hAnsi="Palatino Linotype" w:cs="Arial"/>
          <w:i/>
          <w:spacing w:val="-2"/>
        </w:rPr>
        <w:t>c</w:t>
      </w:r>
      <w:r w:rsidRPr="00B01A7E">
        <w:rPr>
          <w:rFonts w:ascii="Palatino Linotype" w:eastAsia="Arial" w:hAnsi="Palatino Linotype" w:cs="Arial"/>
          <w:i/>
          <w:spacing w:val="1"/>
        </w:rPr>
        <w:t>u</w:t>
      </w:r>
      <w:r w:rsidRPr="00B01A7E">
        <w:rPr>
          <w:rFonts w:ascii="Palatino Linotype" w:eastAsia="Arial" w:hAnsi="Palatino Linotype" w:cs="Arial"/>
          <w:i/>
          <w:spacing w:val="-1"/>
        </w:rPr>
        <w:t>m</w:t>
      </w:r>
      <w:r w:rsidRPr="00B01A7E">
        <w:rPr>
          <w:rFonts w:ascii="Palatino Linotype" w:eastAsia="Arial" w:hAnsi="Palatino Linotype" w:cs="Arial"/>
          <w:i/>
          <w:spacing w:val="1"/>
        </w:rPr>
        <w:t>en</w:t>
      </w:r>
      <w:r w:rsidRPr="00B01A7E">
        <w:rPr>
          <w:rFonts w:ascii="Palatino Linotype" w:eastAsia="Arial" w:hAnsi="Palatino Linotype" w:cs="Arial"/>
          <w:i/>
          <w:spacing w:val="-2"/>
        </w:rPr>
        <w:t>t</w:t>
      </w:r>
      <w:r w:rsidRPr="00B01A7E">
        <w:rPr>
          <w:rFonts w:ascii="Palatino Linotype" w:eastAsia="Arial" w:hAnsi="Palatino Linotype" w:cs="Arial"/>
          <w:i/>
          <w:spacing w:val="1"/>
        </w:rPr>
        <w:t>o</w:t>
      </w:r>
      <w:r w:rsidRPr="00B01A7E">
        <w:rPr>
          <w:rFonts w:ascii="Palatino Linotype" w:eastAsia="Arial" w:hAnsi="Palatino Linotype" w:cs="Arial"/>
          <w:i/>
        </w:rPr>
        <w:t xml:space="preserve">s </w:t>
      </w:r>
      <w:r w:rsidRPr="00B01A7E">
        <w:rPr>
          <w:rFonts w:ascii="Palatino Linotype" w:eastAsia="Arial" w:hAnsi="Palatino Linotype" w:cs="Arial"/>
          <w:i/>
          <w:spacing w:val="1"/>
        </w:rPr>
        <w:t>a</w:t>
      </w:r>
      <w:r w:rsidRPr="00B01A7E">
        <w:rPr>
          <w:rFonts w:ascii="Palatino Linotype" w:eastAsia="Arial" w:hAnsi="Palatino Linotype" w:cs="Arial"/>
          <w:i/>
        </w:rPr>
        <w:t>d</w:t>
      </w:r>
      <w:r w:rsidRPr="00B01A7E">
        <w:rPr>
          <w:rFonts w:ascii="Palatino Linotype" w:eastAsia="Arial" w:hAnsi="Palatino Linotype" w:cs="Arial"/>
          <w:i/>
          <w:spacing w:val="1"/>
        </w:rPr>
        <w:t xml:space="preserve"> ho</w:t>
      </w:r>
      <w:r w:rsidRPr="00B01A7E">
        <w:rPr>
          <w:rFonts w:ascii="Palatino Linotype" w:eastAsia="Arial" w:hAnsi="Palatino Linotype" w:cs="Arial"/>
          <w:i/>
        </w:rPr>
        <w:t xml:space="preserve">c </w:t>
      </w:r>
      <w:r w:rsidRPr="00B01A7E">
        <w:rPr>
          <w:rFonts w:ascii="Palatino Linotype" w:eastAsia="Arial" w:hAnsi="Palatino Linotype" w:cs="Arial"/>
          <w:i/>
          <w:spacing w:val="1"/>
        </w:rPr>
        <w:t>pa</w:t>
      </w:r>
      <w:r w:rsidRPr="00B01A7E">
        <w:rPr>
          <w:rFonts w:ascii="Palatino Linotype" w:eastAsia="Arial" w:hAnsi="Palatino Linotype" w:cs="Arial"/>
          <w:i/>
        </w:rPr>
        <w:t xml:space="preserve">ra </w:t>
      </w:r>
      <w:r w:rsidRPr="00B01A7E">
        <w:rPr>
          <w:rFonts w:ascii="Palatino Linotype" w:eastAsia="Arial" w:hAnsi="Palatino Linotype" w:cs="Arial"/>
          <w:i/>
          <w:spacing w:val="1"/>
        </w:rPr>
        <w:t>a</w:t>
      </w:r>
      <w:r w:rsidRPr="00B01A7E">
        <w:rPr>
          <w:rFonts w:ascii="Palatino Linotype" w:eastAsia="Arial" w:hAnsi="Palatino Linotype" w:cs="Arial"/>
          <w:i/>
        </w:rPr>
        <w:t>t</w:t>
      </w:r>
      <w:r w:rsidRPr="00B01A7E">
        <w:rPr>
          <w:rFonts w:ascii="Palatino Linotype" w:eastAsia="Arial" w:hAnsi="Palatino Linotype" w:cs="Arial"/>
          <w:i/>
          <w:spacing w:val="-1"/>
        </w:rPr>
        <w:t>e</w:t>
      </w:r>
      <w:r w:rsidRPr="00B01A7E">
        <w:rPr>
          <w:rFonts w:ascii="Palatino Linotype" w:eastAsia="Arial" w:hAnsi="Palatino Linotype" w:cs="Arial"/>
          <w:i/>
          <w:spacing w:val="1"/>
        </w:rPr>
        <w:t>n</w:t>
      </w:r>
      <w:r w:rsidRPr="00B01A7E">
        <w:rPr>
          <w:rFonts w:ascii="Palatino Linotype" w:eastAsia="Arial" w:hAnsi="Palatino Linotype" w:cs="Arial"/>
          <w:i/>
          <w:spacing w:val="-1"/>
        </w:rPr>
        <w:t>d</w:t>
      </w:r>
      <w:r w:rsidRPr="00B01A7E">
        <w:rPr>
          <w:rFonts w:ascii="Palatino Linotype" w:eastAsia="Arial" w:hAnsi="Palatino Linotype" w:cs="Arial"/>
          <w:i/>
          <w:spacing w:val="1"/>
        </w:rPr>
        <w:t>e</w:t>
      </w:r>
      <w:r w:rsidRPr="00B01A7E">
        <w:rPr>
          <w:rFonts w:ascii="Palatino Linotype" w:eastAsia="Arial" w:hAnsi="Palatino Linotype" w:cs="Arial"/>
          <w:i/>
        </w:rPr>
        <w:t>r l</w:t>
      </w:r>
      <w:r w:rsidRPr="00B01A7E">
        <w:rPr>
          <w:rFonts w:ascii="Palatino Linotype" w:eastAsia="Arial" w:hAnsi="Palatino Linotype" w:cs="Arial"/>
          <w:i/>
          <w:spacing w:val="-2"/>
        </w:rPr>
        <w:t>a</w:t>
      </w:r>
      <w:r w:rsidRPr="00B01A7E">
        <w:rPr>
          <w:rFonts w:ascii="Palatino Linotype" w:eastAsia="Arial" w:hAnsi="Palatino Linotype" w:cs="Arial"/>
          <w:i/>
        </w:rPr>
        <w:t>s s</w:t>
      </w:r>
      <w:r w:rsidRPr="00B01A7E">
        <w:rPr>
          <w:rFonts w:ascii="Palatino Linotype" w:eastAsia="Arial" w:hAnsi="Palatino Linotype" w:cs="Arial"/>
          <w:i/>
          <w:spacing w:val="1"/>
        </w:rPr>
        <w:t>o</w:t>
      </w:r>
      <w:r w:rsidRPr="00B01A7E">
        <w:rPr>
          <w:rFonts w:ascii="Palatino Linotype" w:eastAsia="Arial" w:hAnsi="Palatino Linotype" w:cs="Arial"/>
          <w:i/>
        </w:rPr>
        <w:t>l</w:t>
      </w:r>
      <w:r w:rsidRPr="00B01A7E">
        <w:rPr>
          <w:rFonts w:ascii="Palatino Linotype" w:eastAsia="Arial" w:hAnsi="Palatino Linotype" w:cs="Arial"/>
          <w:i/>
          <w:spacing w:val="-1"/>
        </w:rPr>
        <w:t>i</w:t>
      </w:r>
      <w:r w:rsidRPr="00B01A7E">
        <w:rPr>
          <w:rFonts w:ascii="Palatino Linotype" w:eastAsia="Arial" w:hAnsi="Palatino Linotype" w:cs="Arial"/>
          <w:i/>
        </w:rPr>
        <w:t>cit</w:t>
      </w:r>
      <w:r w:rsidRPr="00B01A7E">
        <w:rPr>
          <w:rFonts w:ascii="Palatino Linotype" w:eastAsia="Arial" w:hAnsi="Palatino Linotype" w:cs="Arial"/>
          <w:i/>
          <w:spacing w:val="1"/>
        </w:rPr>
        <w:t>ude</w:t>
      </w:r>
      <w:r w:rsidRPr="00B01A7E">
        <w:rPr>
          <w:rFonts w:ascii="Palatino Linotype" w:eastAsia="Arial" w:hAnsi="Palatino Linotype" w:cs="Arial"/>
          <w:i/>
        </w:rPr>
        <w:t xml:space="preserve">s </w:t>
      </w:r>
      <w:r w:rsidRPr="00B01A7E">
        <w:rPr>
          <w:rFonts w:ascii="Palatino Linotype" w:eastAsia="Arial" w:hAnsi="Palatino Linotype" w:cs="Arial"/>
          <w:i/>
          <w:spacing w:val="-1"/>
        </w:rPr>
        <w:t>d</w:t>
      </w:r>
      <w:r w:rsidRPr="00B01A7E">
        <w:rPr>
          <w:rFonts w:ascii="Palatino Linotype" w:eastAsia="Arial" w:hAnsi="Palatino Linotype" w:cs="Arial"/>
          <w:i/>
        </w:rPr>
        <w:t>e i</w:t>
      </w:r>
      <w:r w:rsidRPr="00B01A7E">
        <w:rPr>
          <w:rFonts w:ascii="Palatino Linotype" w:eastAsia="Arial" w:hAnsi="Palatino Linotype" w:cs="Arial"/>
          <w:i/>
          <w:spacing w:val="-2"/>
        </w:rPr>
        <w:t>n</w:t>
      </w:r>
      <w:r w:rsidRPr="00B01A7E">
        <w:rPr>
          <w:rFonts w:ascii="Palatino Linotype" w:eastAsia="Arial" w:hAnsi="Palatino Linotype" w:cs="Arial"/>
          <w:i/>
        </w:rPr>
        <w:t>f</w:t>
      </w:r>
      <w:r w:rsidRPr="00B01A7E">
        <w:rPr>
          <w:rFonts w:ascii="Palatino Linotype" w:eastAsia="Arial" w:hAnsi="Palatino Linotype" w:cs="Arial"/>
          <w:i/>
          <w:spacing w:val="1"/>
        </w:rPr>
        <w:t>o</w:t>
      </w:r>
      <w:r w:rsidRPr="00B01A7E">
        <w:rPr>
          <w:rFonts w:ascii="Palatino Linotype" w:eastAsia="Arial" w:hAnsi="Palatino Linotype" w:cs="Arial"/>
          <w:i/>
        </w:rPr>
        <w:t>r</w:t>
      </w:r>
      <w:r w:rsidRPr="00B01A7E">
        <w:rPr>
          <w:rFonts w:ascii="Palatino Linotype" w:eastAsia="Arial" w:hAnsi="Palatino Linotype" w:cs="Arial"/>
          <w:i/>
          <w:spacing w:val="-1"/>
        </w:rPr>
        <w:t>m</w:t>
      </w:r>
      <w:r w:rsidRPr="00B01A7E">
        <w:rPr>
          <w:rFonts w:ascii="Palatino Linotype" w:eastAsia="Arial" w:hAnsi="Palatino Linotype" w:cs="Arial"/>
          <w:i/>
          <w:spacing w:val="1"/>
        </w:rPr>
        <w:t>a</w:t>
      </w:r>
      <w:r w:rsidRPr="00B01A7E">
        <w:rPr>
          <w:rFonts w:ascii="Palatino Linotype" w:eastAsia="Arial" w:hAnsi="Palatino Linotype" w:cs="Arial"/>
          <w:i/>
        </w:rPr>
        <w:t>ció</w:t>
      </w:r>
      <w:r w:rsidRPr="00B01A7E">
        <w:rPr>
          <w:rFonts w:ascii="Palatino Linotype" w:eastAsia="Arial" w:hAnsi="Palatino Linotype" w:cs="Arial"/>
          <w:i/>
          <w:spacing w:val="1"/>
        </w:rPr>
        <w:t>n</w:t>
      </w:r>
      <w:r w:rsidRPr="00B01A7E">
        <w:rPr>
          <w:rFonts w:ascii="Palatino Linotype" w:eastAsia="Arial" w:hAnsi="Palatino Linotype" w:cs="Arial"/>
          <w:i/>
        </w:rPr>
        <w:t>.”</w:t>
      </w:r>
    </w:p>
    <w:p w:rsidR="00567F5D" w:rsidRPr="00B01A7E" w:rsidRDefault="00567F5D" w:rsidP="00AF52DB">
      <w:pPr>
        <w:spacing w:line="360" w:lineRule="auto"/>
        <w:rPr>
          <w:rFonts w:ascii="Palatino Linotype" w:eastAsia="Times New Roman" w:hAnsi="Palatino Linotype" w:cs="Tahoma"/>
          <w:lang w:val="es-ES"/>
        </w:rPr>
      </w:pPr>
    </w:p>
    <w:p w:rsidR="00567F5D" w:rsidRPr="00B01A7E" w:rsidRDefault="00567F5D" w:rsidP="00AF52DB">
      <w:pPr>
        <w:numPr>
          <w:ilvl w:val="0"/>
          <w:numId w:val="15"/>
        </w:numPr>
        <w:spacing w:line="360" w:lineRule="auto"/>
        <w:ind w:left="0" w:firstLine="0"/>
        <w:contextualSpacing/>
        <w:jc w:val="both"/>
        <w:rPr>
          <w:rFonts w:ascii="Palatino Linotype" w:eastAsia="Times New Roman" w:hAnsi="Palatino Linotype" w:cs="Tahoma"/>
          <w:bCs/>
          <w:iCs/>
        </w:rPr>
      </w:pPr>
      <w:r w:rsidRPr="00B01A7E">
        <w:rPr>
          <w:rFonts w:ascii="Palatino Linotype" w:eastAsia="Times New Roman" w:hAnsi="Palatino Linotype" w:cs="Tahoma"/>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p>
    <w:p w:rsidR="00567F5D" w:rsidRPr="00B01A7E" w:rsidRDefault="00567F5D" w:rsidP="00AF52DB">
      <w:pPr>
        <w:spacing w:line="360" w:lineRule="auto"/>
        <w:contextualSpacing/>
        <w:jc w:val="both"/>
        <w:rPr>
          <w:rFonts w:ascii="Palatino Linotype" w:eastAsia="Times New Roman" w:hAnsi="Palatino Linotype" w:cs="Tahoma"/>
          <w:bCs/>
          <w:iCs/>
        </w:rPr>
      </w:pPr>
    </w:p>
    <w:p w:rsidR="00567F5D" w:rsidRPr="00B01A7E" w:rsidRDefault="00567F5D" w:rsidP="00AF52DB">
      <w:pPr>
        <w:numPr>
          <w:ilvl w:val="0"/>
          <w:numId w:val="15"/>
        </w:numPr>
        <w:spacing w:line="360" w:lineRule="auto"/>
        <w:ind w:left="0" w:firstLine="0"/>
        <w:contextualSpacing/>
        <w:jc w:val="both"/>
        <w:rPr>
          <w:rFonts w:ascii="Palatino Linotype" w:eastAsia="Times New Roman" w:hAnsi="Palatino Linotype" w:cs="Tahoma"/>
          <w:bCs/>
        </w:rPr>
      </w:pPr>
      <w:r w:rsidRPr="00B01A7E">
        <w:rPr>
          <w:rFonts w:ascii="Palatino Linotype" w:eastAsia="Times New Roman" w:hAnsi="Palatino Linotype" w:cs="Tahoma"/>
          <w:bCs/>
        </w:rPr>
        <w:t xml:space="preserve">Como se </w:t>
      </w:r>
      <w:r w:rsidRPr="00B01A7E">
        <w:rPr>
          <w:rFonts w:ascii="Palatino Linotype" w:eastAsia="Times New Roman" w:hAnsi="Palatino Linotype" w:cs="Tahoma"/>
          <w:lang w:val="es-ES"/>
        </w:rPr>
        <w:t>observa</w:t>
      </w:r>
      <w:r w:rsidRPr="00B01A7E">
        <w:rPr>
          <w:rFonts w:ascii="Palatino Linotype" w:eastAsia="Times New Roman" w:hAnsi="Palatino Linotype" w:cs="Tahoma"/>
          <w:bCs/>
        </w:rPr>
        <w:t xml:space="preserve">, el Sujeto Obligado debe </w:t>
      </w:r>
      <w:r w:rsidRPr="00B01A7E">
        <w:rPr>
          <w:rFonts w:ascii="Palatino Linotype" w:eastAsia="Times New Roman" w:hAnsi="Palatino Linotype" w:cs="Tahoma"/>
        </w:rPr>
        <w:t xml:space="preserve">generar documentos que den cuenta de lo solicitado, por lo que, </w:t>
      </w:r>
      <w:r w:rsidRPr="00B01A7E">
        <w:rPr>
          <w:rFonts w:ascii="Palatino Linotype" w:eastAsia="Times New Roman" w:hAnsi="Palatino Linotype" w:cs="Tahoma"/>
          <w:bCs/>
        </w:rPr>
        <w:t>deberá realizar una búsqueda exhaustiva y razonable, en todos los archivos de las unidades administrativa competentes, entre las cuales, se encuentra la Coordinación Administrativa, a efecto de proporcionar aquellos donde conste el pago de remuneraciones de los servidores públicos señalados en la solicitud, para dar cumplimiento a los artículos 12, 160 y 162 de la Ley de Transparencia y Acceso a la Información Pública del Estado de México y Municipios.</w:t>
      </w:r>
    </w:p>
    <w:p w:rsidR="00EA5021" w:rsidRPr="00B01A7E" w:rsidRDefault="00EA5021" w:rsidP="00AF52DB">
      <w:pPr>
        <w:spacing w:line="360" w:lineRule="auto"/>
        <w:contextualSpacing/>
        <w:jc w:val="both"/>
        <w:rPr>
          <w:rFonts w:ascii="Palatino Linotype" w:eastAsia="Palatino Linotype" w:hAnsi="Palatino Linotype" w:cs="Palatino Linotype"/>
          <w:color w:val="000000" w:themeColor="text1"/>
        </w:rPr>
      </w:pPr>
    </w:p>
    <w:p w:rsidR="00857236" w:rsidRPr="00B01A7E" w:rsidRDefault="00567F5D" w:rsidP="00AF52DB">
      <w:pPr>
        <w:numPr>
          <w:ilvl w:val="0"/>
          <w:numId w:val="15"/>
        </w:numPr>
        <w:spacing w:line="360" w:lineRule="auto"/>
        <w:ind w:left="0" w:firstLine="0"/>
        <w:contextualSpacing/>
        <w:jc w:val="both"/>
        <w:rPr>
          <w:rFonts w:ascii="Palatino Linotype" w:eastAsia="Palatino Linotype" w:hAnsi="Palatino Linotype" w:cs="Palatino Linotype"/>
          <w:color w:val="000000" w:themeColor="text1"/>
        </w:rPr>
      </w:pPr>
      <w:r w:rsidRPr="00B01A7E">
        <w:rPr>
          <w:rFonts w:ascii="Palatino Linotype" w:eastAsia="Palatino Linotype" w:hAnsi="Palatino Linotype" w:cs="Palatino Linotype"/>
          <w:color w:val="000000" w:themeColor="text1"/>
        </w:rPr>
        <w:t xml:space="preserve">Con lo anterior, se estima quedara colmado el derecho del ahora </w:t>
      </w:r>
      <w:r w:rsidRPr="00B01A7E">
        <w:rPr>
          <w:rFonts w:ascii="Palatino Linotype" w:eastAsia="Palatino Linotype" w:hAnsi="Palatino Linotype" w:cs="Palatino Linotype"/>
          <w:b/>
          <w:color w:val="000000" w:themeColor="text1"/>
        </w:rPr>
        <w:t>RECURRENTE</w:t>
      </w:r>
      <w:r w:rsidR="00857236" w:rsidRPr="00B01A7E">
        <w:rPr>
          <w:rFonts w:ascii="Palatino Linotype" w:eastAsia="Palatino Linotype" w:hAnsi="Palatino Linotype" w:cs="Palatino Linotype"/>
          <w:color w:val="000000" w:themeColor="text1"/>
        </w:rPr>
        <w:t xml:space="preserve">, </w:t>
      </w:r>
      <w:r w:rsidRPr="00B01A7E">
        <w:rPr>
          <w:rFonts w:ascii="Palatino Linotype" w:eastAsia="Palatino Linotype" w:hAnsi="Palatino Linotype" w:cs="Palatino Linotype"/>
          <w:color w:val="000000" w:themeColor="text1"/>
        </w:rPr>
        <w:t xml:space="preserve">toda vez que </w:t>
      </w:r>
      <w:r w:rsidR="00857236" w:rsidRPr="00B01A7E">
        <w:rPr>
          <w:rFonts w:ascii="Palatino Linotype" w:eastAsia="Palatino Linotype" w:hAnsi="Palatino Linotype" w:cs="Palatino Linotype"/>
          <w:color w:val="000000" w:themeColor="text1"/>
        </w:rPr>
        <w:t xml:space="preserve">el derecho de acceso a la información pública, consiste en que la información solicitada conste en un documento en cualquiera de sus formas, a saber: expedientes, reportes, estudios, actas, resoluciones, oficios, </w:t>
      </w:r>
      <w:r w:rsidR="00857236" w:rsidRPr="00B01A7E">
        <w:rPr>
          <w:rFonts w:ascii="Palatino Linotype" w:eastAsia="Palatino Linotype" w:hAnsi="Palatino Linotype" w:cs="Palatino Linotype"/>
          <w:color w:val="000000" w:themeColor="text1"/>
        </w:rPr>
        <w:lastRenderedPageBreak/>
        <w:t xml:space="preserve">correspondencia, acuerdos, directivas, directrices, circulares, contratos, convenios, instructivos, notas, memorandos, estadísticas o bien, </w:t>
      </w:r>
      <w:r w:rsidR="00857236" w:rsidRPr="00B01A7E">
        <w:rPr>
          <w:rFonts w:ascii="Palatino Linotype" w:eastAsia="Palatino Linotype" w:hAnsi="Palatino Linotype" w:cs="Palatino Linotype"/>
          <w:b/>
          <w:color w:val="000000" w:themeColor="text1"/>
        </w:rPr>
        <w:t>cualquier otro registro que documente el ejercicio de las facultades, funciones y competencias de los Sujetos Obligados</w:t>
      </w:r>
      <w:r w:rsidR="00857236" w:rsidRPr="00B01A7E">
        <w:rPr>
          <w:rFonts w:ascii="Palatino Linotype" w:eastAsia="Palatino Linotype" w:hAnsi="Palatino Linotype" w:cs="Palatino Linotype"/>
          <w:color w:val="000000" w:themeColor="text1"/>
        </w:rPr>
        <w:t xml:space="preserve">; los que, podrán estar en cualquier medio, sea escrito, impreso, sonoro, visual, electrónico, informático u holográfico de conformidad con el artículo 3, fracción XI de la Ley de la materia, el cual señala lo siguiente: </w:t>
      </w:r>
    </w:p>
    <w:p w:rsidR="00AD6BD8" w:rsidRPr="00B01A7E" w:rsidRDefault="00AD6BD8" w:rsidP="00AF52DB">
      <w:pPr>
        <w:pStyle w:val="Prrafodelista"/>
        <w:spacing w:line="360" w:lineRule="auto"/>
        <w:rPr>
          <w:rFonts w:ascii="Palatino Linotype" w:eastAsia="Palatino Linotype" w:hAnsi="Palatino Linotype" w:cs="Palatino Linotype"/>
          <w:color w:val="000000" w:themeColor="text1"/>
        </w:rPr>
      </w:pPr>
    </w:p>
    <w:p w:rsidR="00857236" w:rsidRPr="00B01A7E" w:rsidRDefault="00857236" w:rsidP="00AF52DB">
      <w:pPr>
        <w:spacing w:line="360" w:lineRule="auto"/>
        <w:ind w:left="425" w:right="476"/>
        <w:jc w:val="both"/>
        <w:rPr>
          <w:rFonts w:ascii="Palatino Linotype" w:eastAsia="Palatino Linotype" w:hAnsi="Palatino Linotype" w:cs="Palatino Linotype"/>
          <w:i/>
          <w:color w:val="000000" w:themeColor="text1"/>
        </w:rPr>
      </w:pPr>
      <w:r w:rsidRPr="00B01A7E">
        <w:rPr>
          <w:rFonts w:ascii="Palatino Linotype" w:eastAsia="Palatino Linotype" w:hAnsi="Palatino Linotype" w:cs="Palatino Linotype"/>
          <w:i/>
          <w:color w:val="000000" w:themeColor="text1"/>
        </w:rPr>
        <w:t>“</w:t>
      </w:r>
      <w:r w:rsidRPr="00B01A7E">
        <w:rPr>
          <w:rFonts w:ascii="Palatino Linotype" w:eastAsia="Palatino Linotype" w:hAnsi="Palatino Linotype" w:cs="Palatino Linotype"/>
          <w:b/>
          <w:i/>
          <w:color w:val="000000" w:themeColor="text1"/>
        </w:rPr>
        <w:t xml:space="preserve">Artículo 3. </w:t>
      </w:r>
      <w:r w:rsidRPr="00B01A7E">
        <w:rPr>
          <w:rFonts w:ascii="Palatino Linotype" w:eastAsia="Palatino Linotype" w:hAnsi="Palatino Linotype" w:cs="Palatino Linotype"/>
          <w:i/>
          <w:color w:val="000000" w:themeColor="text1"/>
        </w:rPr>
        <w:t>Para los efectos de la presente Ley se entenderá por:</w:t>
      </w:r>
    </w:p>
    <w:p w:rsidR="00857236" w:rsidRPr="00B01A7E" w:rsidRDefault="00857236" w:rsidP="00AF52DB">
      <w:pPr>
        <w:spacing w:line="360" w:lineRule="auto"/>
        <w:ind w:left="425" w:right="476"/>
        <w:jc w:val="both"/>
        <w:rPr>
          <w:rFonts w:ascii="Palatino Linotype" w:eastAsia="Palatino Linotype" w:hAnsi="Palatino Linotype" w:cs="Palatino Linotype"/>
          <w:i/>
          <w:color w:val="000000" w:themeColor="text1"/>
        </w:rPr>
      </w:pPr>
      <w:r w:rsidRPr="00B01A7E">
        <w:rPr>
          <w:rFonts w:ascii="Palatino Linotype" w:eastAsia="Palatino Linotype" w:hAnsi="Palatino Linotype" w:cs="Palatino Linotype"/>
          <w:i/>
          <w:color w:val="000000" w:themeColor="text1"/>
        </w:rPr>
        <w:t>…</w:t>
      </w:r>
    </w:p>
    <w:p w:rsidR="00857236" w:rsidRPr="00B01A7E" w:rsidRDefault="00857236" w:rsidP="00AF52DB">
      <w:pPr>
        <w:spacing w:line="360" w:lineRule="auto"/>
        <w:ind w:left="425" w:right="476"/>
        <w:jc w:val="both"/>
        <w:rPr>
          <w:rFonts w:ascii="Palatino Linotype" w:eastAsia="Palatino Linotype" w:hAnsi="Palatino Linotype" w:cs="Palatino Linotype"/>
          <w:i/>
          <w:color w:val="000000" w:themeColor="text1"/>
        </w:rPr>
      </w:pPr>
      <w:r w:rsidRPr="00B01A7E">
        <w:rPr>
          <w:rFonts w:ascii="Palatino Linotype" w:eastAsia="Palatino Linotype" w:hAnsi="Palatino Linotype" w:cs="Palatino Linotype"/>
          <w:b/>
          <w:i/>
          <w:color w:val="000000" w:themeColor="text1"/>
        </w:rPr>
        <w:t>XI. Documento:</w:t>
      </w:r>
      <w:r w:rsidRPr="00B01A7E">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B01A7E">
        <w:rPr>
          <w:rFonts w:ascii="Palatino Linotype" w:eastAsia="Palatino Linotype" w:hAnsi="Palatino Linotype" w:cs="Palatino Linotype"/>
          <w:b/>
          <w:i/>
          <w:color w:val="000000" w:themeColor="text1"/>
        </w:rPr>
        <w:t>…</w:t>
      </w:r>
      <w:r w:rsidRPr="00B01A7E">
        <w:rPr>
          <w:rFonts w:ascii="Palatino Linotype" w:eastAsia="Palatino Linotype" w:hAnsi="Palatino Linotype" w:cs="Palatino Linotype"/>
          <w:i/>
          <w:color w:val="000000" w:themeColor="text1"/>
        </w:rPr>
        <w:t>”</w:t>
      </w:r>
    </w:p>
    <w:p w:rsidR="00E8479A" w:rsidRPr="00B01A7E" w:rsidRDefault="00E8479A" w:rsidP="00AF52DB">
      <w:pPr>
        <w:spacing w:line="360" w:lineRule="auto"/>
        <w:ind w:left="425" w:right="476"/>
        <w:jc w:val="both"/>
        <w:rPr>
          <w:rFonts w:ascii="Palatino Linotype" w:eastAsia="Palatino Linotype" w:hAnsi="Palatino Linotype" w:cs="Palatino Linotype"/>
          <w:i/>
          <w:color w:val="000000" w:themeColor="text1"/>
        </w:rPr>
      </w:pPr>
    </w:p>
    <w:p w:rsidR="00857236" w:rsidRPr="00B01A7E" w:rsidRDefault="00857236" w:rsidP="00AF52DB">
      <w:pPr>
        <w:numPr>
          <w:ilvl w:val="0"/>
          <w:numId w:val="15"/>
        </w:numPr>
        <w:spacing w:line="360" w:lineRule="auto"/>
        <w:ind w:left="0" w:firstLine="0"/>
        <w:contextualSpacing/>
        <w:jc w:val="both"/>
        <w:rPr>
          <w:rFonts w:ascii="Palatino Linotype" w:eastAsia="Palatino Linotype" w:hAnsi="Palatino Linotype" w:cs="Palatino Linotype"/>
          <w:color w:val="000000" w:themeColor="text1"/>
        </w:rPr>
      </w:pPr>
      <w:r w:rsidRPr="00B01A7E">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AF52DB" w:rsidRPr="00B01A7E" w:rsidRDefault="00AF52DB" w:rsidP="00AF52DB">
      <w:pPr>
        <w:spacing w:line="360" w:lineRule="auto"/>
        <w:contextualSpacing/>
        <w:jc w:val="both"/>
        <w:rPr>
          <w:rFonts w:ascii="Palatino Linotype" w:eastAsia="Palatino Linotype" w:hAnsi="Palatino Linotype" w:cs="Palatino Linotype"/>
          <w:color w:val="000000" w:themeColor="text1"/>
        </w:rPr>
      </w:pPr>
    </w:p>
    <w:p w:rsidR="00857236" w:rsidRPr="00B01A7E" w:rsidRDefault="00857236" w:rsidP="00AF52DB">
      <w:pPr>
        <w:spacing w:line="360" w:lineRule="auto"/>
        <w:ind w:left="567" w:right="474"/>
        <w:jc w:val="both"/>
        <w:rPr>
          <w:rFonts w:ascii="Palatino Linotype" w:eastAsia="Palatino Linotype" w:hAnsi="Palatino Linotype" w:cs="Palatino Linotype"/>
          <w:b/>
          <w:i/>
          <w:color w:val="000000" w:themeColor="text1"/>
        </w:rPr>
      </w:pPr>
      <w:r w:rsidRPr="00B01A7E">
        <w:rPr>
          <w:rFonts w:ascii="Palatino Linotype" w:eastAsia="Palatino Linotype" w:hAnsi="Palatino Linotype" w:cs="Palatino Linotype"/>
          <w:b/>
          <w:color w:val="000000" w:themeColor="text1"/>
        </w:rPr>
        <w:lastRenderedPageBreak/>
        <w:t>“</w:t>
      </w:r>
      <w:r w:rsidRPr="00B01A7E">
        <w:rPr>
          <w:rFonts w:ascii="Palatino Linotype" w:eastAsia="Palatino Linotype" w:hAnsi="Palatino Linotype" w:cs="Palatino Linotype"/>
          <w:b/>
          <w:i/>
          <w:color w:val="000000" w:themeColor="text1"/>
        </w:rPr>
        <w:t>CRITERIO 0002-11</w:t>
      </w:r>
    </w:p>
    <w:p w:rsidR="00857236" w:rsidRPr="00B01A7E" w:rsidRDefault="00857236" w:rsidP="00AF52DB">
      <w:pPr>
        <w:spacing w:line="360" w:lineRule="auto"/>
        <w:ind w:left="567" w:right="474"/>
        <w:jc w:val="both"/>
        <w:rPr>
          <w:rFonts w:ascii="Palatino Linotype" w:eastAsia="Palatino Linotype" w:hAnsi="Palatino Linotype" w:cs="Palatino Linotype"/>
          <w:i/>
          <w:color w:val="000000" w:themeColor="text1"/>
        </w:rPr>
      </w:pPr>
      <w:r w:rsidRPr="00B01A7E">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B01A7E">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57236" w:rsidRPr="00B01A7E" w:rsidRDefault="00857236" w:rsidP="00AF52DB">
      <w:pPr>
        <w:spacing w:line="360" w:lineRule="auto"/>
        <w:ind w:left="567" w:right="474"/>
        <w:jc w:val="both"/>
        <w:rPr>
          <w:rFonts w:ascii="Palatino Linotype" w:eastAsia="Palatino Linotype" w:hAnsi="Palatino Linotype" w:cs="Palatino Linotype"/>
          <w:i/>
          <w:color w:val="000000" w:themeColor="text1"/>
        </w:rPr>
      </w:pPr>
      <w:r w:rsidRPr="00B01A7E">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857236" w:rsidRPr="00B01A7E" w:rsidRDefault="00857236" w:rsidP="00AF52DB">
      <w:pPr>
        <w:spacing w:line="360" w:lineRule="auto"/>
        <w:ind w:left="567" w:right="474"/>
        <w:jc w:val="both"/>
        <w:rPr>
          <w:rFonts w:ascii="Palatino Linotype" w:eastAsia="Palatino Linotype" w:hAnsi="Palatino Linotype" w:cs="Palatino Linotype"/>
          <w:b/>
          <w:i/>
          <w:color w:val="000000" w:themeColor="text1"/>
        </w:rPr>
      </w:pPr>
      <w:r w:rsidRPr="00B01A7E">
        <w:rPr>
          <w:rFonts w:ascii="Palatino Linotype" w:eastAsia="Palatino Linotype" w:hAnsi="Palatino Linotype" w:cs="Palatino Linotype"/>
          <w:b/>
          <w:i/>
          <w:color w:val="000000" w:themeColor="text1"/>
        </w:rPr>
        <w:t>1) Que se trate de información registrada en cualquier soporte documental, que en ejercicio de las atribuciones conferidas, sea generada por los Sujetos Obligados;</w:t>
      </w:r>
    </w:p>
    <w:p w:rsidR="00857236" w:rsidRPr="00B01A7E" w:rsidRDefault="00857236" w:rsidP="00AF52DB">
      <w:pPr>
        <w:spacing w:line="360" w:lineRule="auto"/>
        <w:ind w:left="567" w:right="474"/>
        <w:jc w:val="both"/>
        <w:rPr>
          <w:rFonts w:ascii="Palatino Linotype" w:eastAsia="Palatino Linotype" w:hAnsi="Palatino Linotype" w:cs="Palatino Linotype"/>
          <w:i/>
          <w:color w:val="000000" w:themeColor="text1"/>
        </w:rPr>
      </w:pPr>
      <w:r w:rsidRPr="00B01A7E">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857236" w:rsidRPr="00B01A7E" w:rsidRDefault="00857236" w:rsidP="00AF52DB">
      <w:pPr>
        <w:spacing w:line="360" w:lineRule="auto"/>
        <w:ind w:left="567" w:right="474"/>
        <w:jc w:val="both"/>
        <w:rPr>
          <w:rFonts w:ascii="Palatino Linotype" w:eastAsia="Palatino Linotype" w:hAnsi="Palatino Linotype" w:cs="Palatino Linotype"/>
          <w:i/>
          <w:color w:val="000000" w:themeColor="text1"/>
        </w:rPr>
      </w:pPr>
      <w:r w:rsidRPr="00B01A7E">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AD6BD8" w:rsidRPr="00B01A7E" w:rsidRDefault="00AD6BD8" w:rsidP="00AF52DB">
      <w:pPr>
        <w:spacing w:line="360" w:lineRule="auto"/>
        <w:ind w:left="567" w:right="474"/>
        <w:jc w:val="both"/>
        <w:rPr>
          <w:rFonts w:ascii="Palatino Linotype" w:eastAsia="Palatino Linotype" w:hAnsi="Palatino Linotype" w:cs="Palatino Linotype"/>
          <w:i/>
          <w:color w:val="000000" w:themeColor="text1"/>
        </w:rPr>
      </w:pPr>
    </w:p>
    <w:p w:rsidR="003B1B31" w:rsidRPr="00B01A7E" w:rsidRDefault="003B1B31" w:rsidP="00AF52DB">
      <w:pPr>
        <w:numPr>
          <w:ilvl w:val="0"/>
          <w:numId w:val="15"/>
        </w:numPr>
        <w:spacing w:line="360" w:lineRule="auto"/>
        <w:ind w:left="0" w:firstLine="0"/>
        <w:contextualSpacing/>
        <w:jc w:val="both"/>
        <w:rPr>
          <w:rFonts w:ascii="Palatino Linotype" w:eastAsia="Palatino Linotype" w:hAnsi="Palatino Linotype" w:cs="Palatino Linotype"/>
        </w:rPr>
      </w:pPr>
      <w:r w:rsidRPr="00B01A7E">
        <w:rPr>
          <w:rFonts w:ascii="Palatino Linotype" w:eastAsia="Palatino Linotype" w:hAnsi="Palatino Linotype" w:cs="Palatino Linotype"/>
        </w:rPr>
        <w:t xml:space="preserve">Por </w:t>
      </w:r>
      <w:r w:rsidRPr="00B01A7E">
        <w:rPr>
          <w:rFonts w:ascii="Palatino Linotype" w:eastAsia="Palatino Linotype" w:hAnsi="Palatino Linotype" w:cs="Palatino Linotype"/>
          <w:color w:val="000000" w:themeColor="text1"/>
        </w:rPr>
        <w:t>otra</w:t>
      </w:r>
      <w:r w:rsidRPr="00B01A7E">
        <w:rPr>
          <w:rFonts w:ascii="Palatino Linotype" w:eastAsia="Palatino Linotype" w:hAnsi="Palatino Linotype" w:cs="Palatino Linotype"/>
        </w:rPr>
        <w:t xml:space="preserve"> parte, conviene mencionar que la Ley de Transparencia vigente en el Estado de México refiere: </w:t>
      </w:r>
    </w:p>
    <w:p w:rsidR="003B1B31" w:rsidRPr="00B01A7E" w:rsidRDefault="003B1B31" w:rsidP="00AF52DB">
      <w:pPr>
        <w:spacing w:line="360" w:lineRule="auto"/>
        <w:ind w:left="851" w:right="616"/>
        <w:jc w:val="both"/>
        <w:rPr>
          <w:rFonts w:ascii="Palatino Linotype" w:eastAsia="Palatino Linotype" w:hAnsi="Palatino Linotype" w:cs="Palatino Linotype"/>
          <w:b/>
          <w:i/>
        </w:rPr>
      </w:pPr>
    </w:p>
    <w:p w:rsidR="003B1B31" w:rsidRPr="00B01A7E" w:rsidRDefault="003B1B31" w:rsidP="00AF52DB">
      <w:pPr>
        <w:spacing w:line="360" w:lineRule="auto"/>
        <w:ind w:left="851" w:right="616"/>
        <w:jc w:val="both"/>
        <w:rPr>
          <w:rFonts w:ascii="Palatino Linotype" w:eastAsia="Palatino Linotype" w:hAnsi="Palatino Linotype" w:cs="Palatino Linotype"/>
          <w:i/>
        </w:rPr>
      </w:pPr>
      <w:r w:rsidRPr="00B01A7E">
        <w:rPr>
          <w:rFonts w:ascii="Palatino Linotype" w:eastAsia="Palatino Linotype" w:hAnsi="Palatino Linotype" w:cs="Palatino Linotype"/>
          <w:b/>
          <w:i/>
        </w:rPr>
        <w:lastRenderedPageBreak/>
        <w:t>Artículo 18.</w:t>
      </w:r>
      <w:r w:rsidRPr="00B01A7E">
        <w:rPr>
          <w:rFonts w:ascii="Palatino Linotype" w:eastAsia="Palatino Linotype" w:hAnsi="Palatino Linotype" w:cs="Palatino Linotype"/>
          <w:i/>
        </w:rPr>
        <w:t xml:space="preserve"> </w:t>
      </w:r>
      <w:r w:rsidRPr="00B01A7E">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B01A7E">
        <w:rPr>
          <w:rFonts w:ascii="Palatino Linotype" w:eastAsia="Palatino Linotype" w:hAnsi="Palatino Linotype" w:cs="Palatino Linotype"/>
          <w:i/>
        </w:rPr>
        <w:t xml:space="preserve"> y reutilización de la información que generen.</w:t>
      </w:r>
    </w:p>
    <w:p w:rsidR="003B1B31" w:rsidRPr="00B01A7E" w:rsidRDefault="003B1B31" w:rsidP="00AF52DB">
      <w:pPr>
        <w:spacing w:line="360" w:lineRule="auto"/>
        <w:ind w:left="851" w:right="616"/>
        <w:jc w:val="both"/>
        <w:rPr>
          <w:rFonts w:ascii="Palatino Linotype" w:eastAsia="Palatino Linotype" w:hAnsi="Palatino Linotype" w:cs="Palatino Linotype"/>
          <w:b/>
          <w:i/>
        </w:rPr>
      </w:pPr>
    </w:p>
    <w:p w:rsidR="003B1B31" w:rsidRPr="00B01A7E" w:rsidRDefault="003B1B31" w:rsidP="00AF52DB">
      <w:pPr>
        <w:spacing w:line="360" w:lineRule="auto"/>
        <w:ind w:left="851" w:right="616"/>
        <w:jc w:val="both"/>
        <w:rPr>
          <w:rFonts w:ascii="Palatino Linotype" w:eastAsia="Palatino Linotype" w:hAnsi="Palatino Linotype" w:cs="Palatino Linotype"/>
          <w:i/>
        </w:rPr>
      </w:pPr>
      <w:r w:rsidRPr="00B01A7E">
        <w:rPr>
          <w:rFonts w:ascii="Palatino Linotype" w:eastAsia="Palatino Linotype" w:hAnsi="Palatino Linotype" w:cs="Palatino Linotype"/>
          <w:b/>
          <w:i/>
        </w:rPr>
        <w:t xml:space="preserve">Artículo 19. </w:t>
      </w:r>
      <w:r w:rsidRPr="00B01A7E">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B01A7E">
        <w:rPr>
          <w:rFonts w:ascii="Palatino Linotype" w:eastAsia="Palatino Linotype" w:hAnsi="Palatino Linotype" w:cs="Palatino Linotype"/>
          <w:i/>
        </w:rPr>
        <w:t>.</w:t>
      </w:r>
    </w:p>
    <w:p w:rsidR="003B1B31" w:rsidRPr="00B01A7E" w:rsidRDefault="003B1B31" w:rsidP="00AF52DB">
      <w:pPr>
        <w:spacing w:line="360" w:lineRule="auto"/>
        <w:ind w:left="851" w:right="616"/>
        <w:jc w:val="both"/>
        <w:rPr>
          <w:rFonts w:ascii="Palatino Linotype" w:eastAsia="Palatino Linotype" w:hAnsi="Palatino Linotype" w:cs="Palatino Linotype"/>
          <w:i/>
        </w:rPr>
      </w:pPr>
    </w:p>
    <w:p w:rsidR="003B1B31" w:rsidRPr="00B01A7E" w:rsidRDefault="003B1B31" w:rsidP="00AF52DB">
      <w:pPr>
        <w:spacing w:line="360" w:lineRule="auto"/>
        <w:ind w:left="851" w:right="616"/>
        <w:jc w:val="both"/>
        <w:rPr>
          <w:rFonts w:ascii="Palatino Linotype" w:eastAsia="Palatino Linotype" w:hAnsi="Palatino Linotype" w:cs="Palatino Linotype"/>
          <w:i/>
        </w:rPr>
      </w:pPr>
      <w:r w:rsidRPr="00B01A7E">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rsidR="003B1B31" w:rsidRPr="00B01A7E" w:rsidRDefault="003B1B31" w:rsidP="00AF52DB">
      <w:pPr>
        <w:spacing w:line="360" w:lineRule="auto"/>
        <w:ind w:left="851" w:right="616"/>
        <w:jc w:val="both"/>
        <w:rPr>
          <w:rFonts w:ascii="Palatino Linotype" w:eastAsia="Palatino Linotype" w:hAnsi="Palatino Linotype" w:cs="Palatino Linotype"/>
          <w:i/>
        </w:rPr>
      </w:pPr>
    </w:p>
    <w:p w:rsidR="003B1B31" w:rsidRPr="00B01A7E" w:rsidRDefault="003B1B31" w:rsidP="00AF52DB">
      <w:pPr>
        <w:spacing w:line="360" w:lineRule="auto"/>
        <w:ind w:left="851" w:right="616"/>
        <w:jc w:val="both"/>
        <w:rPr>
          <w:rFonts w:ascii="Palatino Linotype" w:eastAsia="Palatino Linotype" w:hAnsi="Palatino Linotype" w:cs="Palatino Linotype"/>
          <w:i/>
        </w:rPr>
      </w:pPr>
      <w:r w:rsidRPr="00B01A7E">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3B1B31" w:rsidRPr="00B01A7E" w:rsidRDefault="003B1B31" w:rsidP="00AF52DB">
      <w:pPr>
        <w:spacing w:line="360" w:lineRule="auto"/>
        <w:ind w:left="851" w:right="616"/>
        <w:jc w:val="both"/>
        <w:rPr>
          <w:rFonts w:ascii="Palatino Linotype" w:eastAsia="Palatino Linotype" w:hAnsi="Palatino Linotype" w:cs="Palatino Linotype"/>
          <w:b/>
          <w:i/>
        </w:rPr>
      </w:pPr>
      <w:r w:rsidRPr="00B01A7E">
        <w:rPr>
          <w:rFonts w:ascii="Palatino Linotype" w:eastAsia="Palatino Linotype" w:hAnsi="Palatino Linotype" w:cs="Palatino Linotype"/>
          <w:b/>
          <w:i/>
        </w:rPr>
        <w:t xml:space="preserve">Énfasis añadido </w:t>
      </w:r>
    </w:p>
    <w:p w:rsidR="003B1B31" w:rsidRPr="00B01A7E" w:rsidRDefault="003B1B31" w:rsidP="00AF52DB">
      <w:pPr>
        <w:spacing w:line="360" w:lineRule="auto"/>
        <w:jc w:val="both"/>
        <w:rPr>
          <w:rFonts w:ascii="Palatino Linotype" w:eastAsia="Palatino Linotype" w:hAnsi="Palatino Linotype" w:cs="Palatino Linotype"/>
        </w:rPr>
      </w:pPr>
    </w:p>
    <w:p w:rsidR="003B1B31" w:rsidRPr="00B01A7E" w:rsidRDefault="003B1B31" w:rsidP="00AF52DB">
      <w:pPr>
        <w:numPr>
          <w:ilvl w:val="0"/>
          <w:numId w:val="15"/>
        </w:numPr>
        <w:spacing w:line="360" w:lineRule="auto"/>
        <w:ind w:left="0" w:firstLine="0"/>
        <w:contextualSpacing/>
        <w:jc w:val="both"/>
        <w:rPr>
          <w:rFonts w:ascii="Palatino Linotype" w:eastAsia="Palatino Linotype" w:hAnsi="Palatino Linotype" w:cs="Palatino Linotype"/>
        </w:rPr>
      </w:pPr>
      <w:r w:rsidRPr="00B01A7E">
        <w:rPr>
          <w:rFonts w:ascii="Palatino Linotype" w:eastAsia="Palatino Linotype" w:hAnsi="Palatino Linotype" w:cs="Palatino Linotype"/>
        </w:rPr>
        <w:t xml:space="preserve">De los dispositivos legales en comento, se aprecia que </w:t>
      </w:r>
      <w:r w:rsidRPr="00B01A7E">
        <w:rPr>
          <w:rFonts w:ascii="Palatino Linotype" w:eastAsia="Palatino Linotype" w:hAnsi="Palatino Linotype" w:cs="Palatino Linotype"/>
          <w:b/>
        </w:rPr>
        <w:t>todo acto de autoridad en el ejercicio de sus funciones y atribuciones debe estar documentado</w:t>
      </w:r>
      <w:r w:rsidRPr="00B01A7E">
        <w:rPr>
          <w:rFonts w:ascii="Palatino Linotype" w:eastAsia="Palatino Linotype" w:hAnsi="Palatino Linotype" w:cs="Palatino Linotype"/>
        </w:rPr>
        <w:t xml:space="preserve">, por lo que para dar atención a una solicitud de información </w:t>
      </w:r>
      <w:r w:rsidRPr="00B01A7E">
        <w:rPr>
          <w:rFonts w:ascii="Palatino Linotype" w:eastAsia="Palatino Linotype" w:hAnsi="Palatino Linotype" w:cs="Palatino Linotype"/>
          <w:b/>
        </w:rPr>
        <w:t>EL SUJETO OBLIGADO</w:t>
      </w:r>
      <w:r w:rsidR="006971FE" w:rsidRPr="00B01A7E">
        <w:rPr>
          <w:rFonts w:ascii="Palatino Linotype" w:eastAsia="Palatino Linotype" w:hAnsi="Palatino Linotype" w:cs="Palatino Linotype"/>
          <w:b/>
        </w:rPr>
        <w:t>,</w:t>
      </w:r>
      <w:r w:rsidRPr="00B01A7E">
        <w:rPr>
          <w:rFonts w:ascii="Palatino Linotype" w:eastAsia="Palatino Linotype" w:hAnsi="Palatino Linotype" w:cs="Palatino Linotype"/>
        </w:rPr>
        <w:t xml:space="preserve"> debe entregar el soporte documental en donde conste la información requerida, debiendo contemplar que no se trate de información reservada o confidencial, por lo que debe </w:t>
      </w:r>
      <w:r w:rsidRPr="00B01A7E">
        <w:rPr>
          <w:rFonts w:ascii="Palatino Linotype" w:eastAsia="Palatino Linotype" w:hAnsi="Palatino Linotype" w:cs="Palatino Linotype"/>
        </w:rPr>
        <w:lastRenderedPageBreak/>
        <w:t>cuidar dicha información a través del acuerdo clasificatorio del Comité de Transparencia y la versión pública que emita cada Sujeto Obligado; como así se establece en la Ley de Transparencia y Acceso a la Información Pública del Estado de México y Municipios.</w:t>
      </w:r>
    </w:p>
    <w:p w:rsidR="003B1B31" w:rsidRPr="00B01A7E" w:rsidRDefault="003B1B31" w:rsidP="00AF52DB">
      <w:pPr>
        <w:spacing w:line="360" w:lineRule="auto"/>
        <w:jc w:val="both"/>
        <w:rPr>
          <w:rFonts w:ascii="Palatino Linotype" w:eastAsia="Palatino Linotype" w:hAnsi="Palatino Linotype" w:cs="Palatino Linotype"/>
        </w:rPr>
      </w:pPr>
    </w:p>
    <w:p w:rsidR="003B1B31" w:rsidRPr="00B01A7E" w:rsidRDefault="003B1B31" w:rsidP="00AF52DB">
      <w:pPr>
        <w:numPr>
          <w:ilvl w:val="0"/>
          <w:numId w:val="15"/>
        </w:numPr>
        <w:spacing w:line="360" w:lineRule="auto"/>
        <w:ind w:left="0" w:firstLine="0"/>
        <w:contextualSpacing/>
        <w:jc w:val="both"/>
        <w:rPr>
          <w:rFonts w:ascii="Palatino Linotype" w:eastAsia="Palatino Linotype" w:hAnsi="Palatino Linotype" w:cs="Palatino Linotype"/>
        </w:rPr>
      </w:pPr>
      <w:r w:rsidRPr="00B01A7E">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anteriormente citado. </w:t>
      </w:r>
    </w:p>
    <w:p w:rsidR="003B1B31" w:rsidRPr="00B01A7E" w:rsidRDefault="003B1B31" w:rsidP="00AF52DB">
      <w:pPr>
        <w:spacing w:line="360" w:lineRule="auto"/>
        <w:ind w:left="851" w:right="899"/>
        <w:jc w:val="both"/>
        <w:rPr>
          <w:rFonts w:ascii="Palatino Linotype" w:eastAsia="Palatino Linotype" w:hAnsi="Palatino Linotype" w:cs="Palatino Linotype"/>
          <w:i/>
        </w:rPr>
      </w:pPr>
    </w:p>
    <w:p w:rsidR="003B1B31" w:rsidRPr="00B01A7E" w:rsidRDefault="003B1B31" w:rsidP="00AF52DB">
      <w:pPr>
        <w:numPr>
          <w:ilvl w:val="0"/>
          <w:numId w:val="15"/>
        </w:numPr>
        <w:spacing w:line="360" w:lineRule="auto"/>
        <w:ind w:left="0" w:firstLine="0"/>
        <w:contextualSpacing/>
        <w:jc w:val="both"/>
        <w:rPr>
          <w:rFonts w:ascii="Palatino Linotype" w:eastAsia="Palatino Linotype" w:hAnsi="Palatino Linotype" w:cs="Palatino Linotype"/>
        </w:rPr>
      </w:pPr>
      <w:r w:rsidRPr="00B01A7E">
        <w:rPr>
          <w:rFonts w:ascii="Palatino Linotype" w:eastAsia="Palatino Linotype" w:hAnsi="Palatino Linotype" w:cs="Palatino Linotype"/>
        </w:rPr>
        <w:t xml:space="preserve">De ahí que </w:t>
      </w:r>
      <w:r w:rsidRPr="00B01A7E">
        <w:rPr>
          <w:rFonts w:ascii="Palatino Linotype" w:eastAsia="Palatino Linotype" w:hAnsi="Palatino Linotype" w:cs="Palatino Linotype"/>
          <w:b/>
        </w:rPr>
        <w:t>EL SUJETO OBLIGADO</w:t>
      </w:r>
      <w:r w:rsidR="006971FE" w:rsidRPr="00B01A7E">
        <w:rPr>
          <w:rFonts w:ascii="Palatino Linotype" w:eastAsia="Palatino Linotype" w:hAnsi="Palatino Linotype" w:cs="Palatino Linotype"/>
          <w:b/>
        </w:rPr>
        <w:t>,</w:t>
      </w:r>
      <w:r w:rsidRPr="00B01A7E">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como </w:t>
      </w:r>
      <w:r w:rsidRPr="00B01A7E">
        <w:rPr>
          <w:rFonts w:ascii="Palatino Linotype" w:eastAsia="Palatino Linotype" w:hAnsi="Palatino Linotype" w:cs="Palatino Linotype"/>
        </w:rPr>
        <w:lastRenderedPageBreak/>
        <w:t>pudiera tratarse de aquella relacionada con las obligaciones de transparencia señaladas en los artículos 92 y 100 de la Ley de la Materia.</w:t>
      </w:r>
    </w:p>
    <w:p w:rsidR="00AF52DB" w:rsidRPr="00B01A7E" w:rsidRDefault="00AF52DB" w:rsidP="00AF52DB">
      <w:pPr>
        <w:pStyle w:val="Prrafodelista"/>
        <w:rPr>
          <w:rFonts w:ascii="Palatino Linotype" w:eastAsia="Palatino Linotype" w:hAnsi="Palatino Linotype" w:cs="Palatino Linotype"/>
        </w:rPr>
      </w:pPr>
    </w:p>
    <w:p w:rsidR="00C111EA" w:rsidRPr="00B01A7E" w:rsidRDefault="00C111EA" w:rsidP="00AF52DB">
      <w:pPr>
        <w:pStyle w:val="m-698976158124685028gmail-msolistparagraph"/>
        <w:numPr>
          <w:ilvl w:val="0"/>
          <w:numId w:val="15"/>
        </w:numPr>
        <w:shd w:val="clear" w:color="auto" w:fill="FFFFFF"/>
        <w:spacing w:before="0" w:beforeAutospacing="0" w:after="0" w:afterAutospacing="0" w:line="360" w:lineRule="auto"/>
        <w:ind w:left="0" w:firstLine="0"/>
        <w:jc w:val="both"/>
        <w:rPr>
          <w:rFonts w:ascii="Palatino Linotype" w:eastAsia="Calibri" w:hAnsi="Palatino Linotype" w:cs="Arial"/>
          <w:color w:val="000000" w:themeColor="text1"/>
        </w:rPr>
      </w:pPr>
      <w:r w:rsidRPr="00B01A7E">
        <w:rPr>
          <w:rFonts w:ascii="Palatino Linotype" w:hAnsi="Palatino Linotype"/>
          <w:color w:val="000000" w:themeColor="text1"/>
        </w:rPr>
        <w:t>Es por lo anterior el Sujeto Obligado</w:t>
      </w:r>
      <w:r w:rsidR="006971FE" w:rsidRPr="00B01A7E">
        <w:rPr>
          <w:rFonts w:ascii="Palatino Linotype" w:hAnsi="Palatino Linotype"/>
          <w:color w:val="000000" w:themeColor="text1"/>
        </w:rPr>
        <w:t>,</w:t>
      </w:r>
      <w:r w:rsidRPr="00B01A7E">
        <w:rPr>
          <w:rFonts w:ascii="Palatino Linotype" w:hAnsi="Palatino Linotype"/>
          <w:color w:val="000000" w:themeColor="text1"/>
        </w:rPr>
        <w:t xml:space="preserve"> debe realizar una búsqueda exhaustiva y razonable a efecto de localizar y entregar la información al recurrente y, de ser el caso de que contengan datos personales susceptibles de clasificarse como confidenciales, el Sujeto Obligado deberá estar a lo dispuesto en el Considerando Quinto.</w:t>
      </w:r>
    </w:p>
    <w:p w:rsidR="00AF52DB" w:rsidRPr="00B01A7E" w:rsidRDefault="00AF52DB" w:rsidP="00AF52DB">
      <w:pPr>
        <w:pStyle w:val="Prrafodelista"/>
        <w:rPr>
          <w:rFonts w:ascii="Palatino Linotype" w:eastAsia="Calibri" w:hAnsi="Palatino Linotype" w:cs="Arial"/>
          <w:color w:val="000000" w:themeColor="text1"/>
        </w:rPr>
      </w:pPr>
    </w:p>
    <w:p w:rsidR="00BB13B0" w:rsidRPr="00B01A7E" w:rsidRDefault="00BB13B0" w:rsidP="00AF52DB">
      <w:pPr>
        <w:pStyle w:val="m-698976158124685028gmail-msolistparagraph"/>
        <w:numPr>
          <w:ilvl w:val="0"/>
          <w:numId w:val="15"/>
        </w:numPr>
        <w:shd w:val="clear" w:color="auto" w:fill="FFFFFF"/>
        <w:spacing w:before="0" w:beforeAutospacing="0" w:after="0" w:afterAutospacing="0" w:line="360" w:lineRule="auto"/>
        <w:ind w:left="0" w:firstLine="0"/>
        <w:jc w:val="both"/>
        <w:rPr>
          <w:rFonts w:ascii="Palatino Linotype" w:eastAsia="Calibri" w:hAnsi="Palatino Linotype" w:cs="Tahoma"/>
          <w:bCs/>
          <w:lang w:val="es-ES_tradnl" w:eastAsia="en-US"/>
        </w:rPr>
      </w:pPr>
      <w:r w:rsidRPr="00B01A7E">
        <w:rPr>
          <w:rFonts w:ascii="Palatino Linotype" w:hAnsi="Palatino Linotype"/>
          <w:color w:val="000000" w:themeColor="text1"/>
        </w:rPr>
        <w:t xml:space="preserve">Respecto al lapso temporal del cual deberá entregarse los comprobantes, es de señalar que el particular no estableció ninguna temporalidad al respecto, </w:t>
      </w:r>
      <w:r w:rsidRPr="00B01A7E">
        <w:rPr>
          <w:rFonts w:ascii="Palatino Linotype" w:eastAsia="Calibri" w:hAnsi="Palatino Linotype" w:cs="Tahoma"/>
          <w:bCs/>
          <w:lang w:val="es-ES_tradnl" w:eastAsia="en-US"/>
        </w:rPr>
        <w:t>Razón por la cual es</w:t>
      </w:r>
      <w:r w:rsidR="00871CFE" w:rsidRPr="00B01A7E">
        <w:rPr>
          <w:rFonts w:ascii="Palatino Linotype" w:eastAsia="Calibri" w:hAnsi="Palatino Linotype" w:cs="Tahoma"/>
          <w:bCs/>
          <w:lang w:val="es-ES_tradnl" w:eastAsia="en-US"/>
        </w:rPr>
        <w:t xml:space="preserve"> necesario traer a colación el C</w:t>
      </w:r>
      <w:r w:rsidRPr="00B01A7E">
        <w:rPr>
          <w:rFonts w:ascii="Palatino Linotype" w:eastAsia="Calibri" w:hAnsi="Palatino Linotype" w:cs="Tahoma"/>
          <w:bCs/>
          <w:lang w:val="es-ES_tradnl" w:eastAsia="en-US"/>
        </w:rPr>
        <w:t>riterio orientador 03/19 del Instituto Nacional de Transparencia, Acceso a la Información y Protección de Datos Personales –INAI, el cual a la letra precisa:</w:t>
      </w:r>
    </w:p>
    <w:p w:rsidR="00AF52DB" w:rsidRPr="00B01A7E" w:rsidRDefault="00AF52DB" w:rsidP="00AF52DB">
      <w:pPr>
        <w:pStyle w:val="Prrafodelista"/>
        <w:rPr>
          <w:rFonts w:ascii="Palatino Linotype" w:eastAsia="Calibri" w:hAnsi="Palatino Linotype" w:cs="Tahoma"/>
          <w:bCs/>
          <w:lang w:eastAsia="en-US"/>
        </w:rPr>
      </w:pPr>
    </w:p>
    <w:p w:rsidR="00BB13B0" w:rsidRPr="00B01A7E" w:rsidRDefault="00BB13B0" w:rsidP="00AF52DB">
      <w:pPr>
        <w:spacing w:line="360" w:lineRule="auto"/>
        <w:ind w:left="567" w:right="618"/>
        <w:contextualSpacing/>
        <w:jc w:val="both"/>
        <w:rPr>
          <w:rFonts w:ascii="Palatino Linotype" w:eastAsia="Calibri" w:hAnsi="Palatino Linotype" w:cs="Tahoma"/>
          <w:b/>
          <w:bCs/>
          <w:i/>
          <w:lang w:eastAsia="en-US"/>
        </w:rPr>
      </w:pPr>
      <w:r w:rsidRPr="00B01A7E">
        <w:rPr>
          <w:rFonts w:ascii="Palatino Linotype" w:eastAsia="Calibri" w:hAnsi="Palatino Linotype" w:cs="Tahoma"/>
          <w:b/>
          <w:bCs/>
          <w:i/>
          <w:lang w:eastAsia="en-US"/>
        </w:rPr>
        <w:t>“Periodo de búsqueda de la información.</w:t>
      </w:r>
      <w:r w:rsidRPr="00B01A7E">
        <w:rPr>
          <w:rFonts w:ascii="Palatino Linotype" w:eastAsia="Calibri" w:hAnsi="Palatino Linotype" w:cs="Tahoma"/>
          <w:bCs/>
          <w:i/>
          <w:lang w:eastAsia="en-US"/>
        </w:rPr>
        <w:t xml:space="preserve"> En el supuesto de que el particular no haya señalado el periodo respecto del cual requiere la información, o bien, de la solicitud presentada no se adviertan elementos que permitan identificarlo, </w:t>
      </w:r>
      <w:r w:rsidRPr="00B01A7E">
        <w:rPr>
          <w:rFonts w:ascii="Palatino Linotype" w:eastAsia="Calibri" w:hAnsi="Palatino Linotype" w:cs="Tahoma"/>
          <w:b/>
          <w:bCs/>
          <w:i/>
          <w:lang w:eastAsia="en-US"/>
        </w:rPr>
        <w:t>deberá considerarse, para efectos de la búsqueda de la información, que el requerimiento se refiere al año inmediato anterior, contado a partir de la fecha en que se presentó la solicitud. “</w:t>
      </w:r>
    </w:p>
    <w:p w:rsidR="00BB13B0" w:rsidRPr="00B01A7E" w:rsidRDefault="00BB13B0" w:rsidP="00AF52DB">
      <w:pPr>
        <w:spacing w:line="360" w:lineRule="auto"/>
        <w:ind w:left="567"/>
        <w:contextualSpacing/>
        <w:jc w:val="both"/>
        <w:rPr>
          <w:rFonts w:ascii="Palatino Linotype" w:eastAsia="Calibri" w:hAnsi="Palatino Linotype" w:cs="Tahoma"/>
          <w:bCs/>
          <w:lang w:eastAsia="en-US"/>
        </w:rPr>
      </w:pPr>
      <w:r w:rsidRPr="00B01A7E">
        <w:rPr>
          <w:rFonts w:ascii="Palatino Linotype" w:eastAsia="Calibri" w:hAnsi="Palatino Linotype" w:cs="Tahoma"/>
          <w:bCs/>
          <w:lang w:eastAsia="en-US"/>
        </w:rPr>
        <w:t>(Énfasis añadido)</w:t>
      </w:r>
    </w:p>
    <w:p w:rsidR="00AF52DB" w:rsidRPr="00B01A7E" w:rsidRDefault="00AF52DB" w:rsidP="00AF52DB">
      <w:pPr>
        <w:spacing w:line="360" w:lineRule="auto"/>
        <w:contextualSpacing/>
        <w:jc w:val="both"/>
        <w:rPr>
          <w:rFonts w:ascii="Palatino Linotype" w:eastAsia="Calibri" w:hAnsi="Palatino Linotype" w:cs="Tahoma"/>
          <w:bCs/>
          <w:lang w:eastAsia="en-US"/>
        </w:rPr>
      </w:pPr>
    </w:p>
    <w:p w:rsidR="00BB13B0" w:rsidRPr="00B01A7E" w:rsidRDefault="00BB13B0" w:rsidP="00AF52DB">
      <w:pPr>
        <w:pStyle w:val="m-698976158124685028gmail-msolistparagraph"/>
        <w:numPr>
          <w:ilvl w:val="0"/>
          <w:numId w:val="15"/>
        </w:numPr>
        <w:shd w:val="clear" w:color="auto" w:fill="FFFFFF"/>
        <w:spacing w:before="0" w:beforeAutospacing="0" w:after="0" w:afterAutospacing="0" w:line="360" w:lineRule="auto"/>
        <w:ind w:left="0" w:firstLine="0"/>
        <w:jc w:val="both"/>
        <w:rPr>
          <w:rFonts w:ascii="Palatino Linotype" w:eastAsia="Calibri" w:hAnsi="Palatino Linotype" w:cs="Tahoma"/>
          <w:b/>
          <w:bCs/>
          <w:lang w:eastAsia="en-US"/>
        </w:rPr>
      </w:pPr>
      <w:r w:rsidRPr="00B01A7E">
        <w:rPr>
          <w:rFonts w:ascii="Palatino Linotype" w:eastAsia="Calibri" w:hAnsi="Palatino Linotype" w:cs="Tahoma"/>
          <w:bCs/>
          <w:lang w:val="es-ES_tradnl" w:eastAsia="en-US"/>
        </w:rPr>
        <w:t xml:space="preserve">Derivado del análisis al Criterio citado, se entiende que el Recurrente al no precisar la </w:t>
      </w:r>
      <w:r w:rsidRPr="00B01A7E">
        <w:rPr>
          <w:rFonts w:ascii="Palatino Linotype" w:hAnsi="Palatino Linotype"/>
          <w:color w:val="000000" w:themeColor="text1"/>
        </w:rPr>
        <w:t>temporalidad</w:t>
      </w:r>
      <w:r w:rsidRPr="00B01A7E">
        <w:rPr>
          <w:rFonts w:ascii="Palatino Linotype" w:eastAsia="Calibri" w:hAnsi="Palatino Linotype" w:cs="Tahoma"/>
          <w:bCs/>
          <w:lang w:val="es-ES_tradnl" w:eastAsia="en-US"/>
        </w:rPr>
        <w:t xml:space="preserve"> en su solitud, esta habrá de comprender el periodo </w:t>
      </w:r>
      <w:r w:rsidRPr="00B01A7E">
        <w:rPr>
          <w:rFonts w:ascii="Palatino Linotype" w:eastAsia="Calibri" w:hAnsi="Palatino Linotype" w:cs="Tahoma"/>
          <w:bCs/>
          <w:lang w:val="es-ES_tradnl" w:eastAsia="en-US"/>
        </w:rPr>
        <w:lastRenderedPageBreak/>
        <w:t xml:space="preserve">comprendido </w:t>
      </w:r>
      <w:r w:rsidR="00871CFE" w:rsidRPr="00B01A7E">
        <w:rPr>
          <w:rFonts w:ascii="Palatino Linotype" w:eastAsia="Calibri" w:hAnsi="Palatino Linotype" w:cs="Tahoma"/>
          <w:bCs/>
          <w:lang w:val="es-ES_tradnl" w:eastAsia="en-US"/>
        </w:rPr>
        <w:t xml:space="preserve">de un año anterior, debiendo ser </w:t>
      </w:r>
      <w:r w:rsidRPr="00B01A7E">
        <w:rPr>
          <w:rFonts w:ascii="Palatino Linotype" w:eastAsia="Calibri" w:hAnsi="Palatino Linotype" w:cs="Tahoma"/>
          <w:bCs/>
          <w:lang w:val="es-ES_tradnl" w:eastAsia="en-US"/>
        </w:rPr>
        <w:t xml:space="preserve">del </w:t>
      </w:r>
      <w:r w:rsidRPr="00B01A7E">
        <w:rPr>
          <w:rFonts w:ascii="Palatino Linotype" w:hAnsi="Palatino Linotype"/>
          <w:color w:val="000000" w:themeColor="text1"/>
        </w:rPr>
        <w:t>dos</w:t>
      </w:r>
      <w:r w:rsidRPr="00B01A7E">
        <w:rPr>
          <w:rFonts w:ascii="Palatino Linotype" w:eastAsia="Calibri" w:hAnsi="Palatino Linotype" w:cs="Tahoma"/>
          <w:b/>
          <w:bCs/>
          <w:lang w:val="es-ES_tradnl" w:eastAsia="en-US"/>
        </w:rPr>
        <w:t xml:space="preserve"> </w:t>
      </w:r>
      <w:r w:rsidRPr="00B01A7E">
        <w:rPr>
          <w:rFonts w:ascii="Palatino Linotype" w:eastAsia="Calibri" w:hAnsi="Palatino Linotype" w:cs="Tahoma"/>
          <w:bCs/>
          <w:lang w:val="es-ES_tradnl" w:eastAsia="en-US"/>
        </w:rPr>
        <w:t xml:space="preserve">de junio de dos mil veintiuno al </w:t>
      </w:r>
      <w:r w:rsidRPr="00B01A7E">
        <w:rPr>
          <w:rFonts w:ascii="Palatino Linotype" w:eastAsia="Calibri" w:hAnsi="Palatino Linotype" w:cs="Tahoma"/>
          <w:bCs/>
          <w:lang w:eastAsia="en-US"/>
        </w:rPr>
        <w:t xml:space="preserve">dos de junio de dos mil veintidós, toda vez que esta última, fue la fecha en que se interpuso la solicitud de </w:t>
      </w:r>
      <w:r w:rsidR="00871CFE" w:rsidRPr="00B01A7E">
        <w:rPr>
          <w:rFonts w:ascii="Palatino Linotype" w:eastAsia="Calibri" w:hAnsi="Palatino Linotype" w:cs="Tahoma"/>
          <w:bCs/>
          <w:lang w:eastAsia="en-US"/>
        </w:rPr>
        <w:t>información 00240/SEDUO/IP/2022; no obstante al corresponder lo solicitado a pagos realizados de manera quincenal lo apto es ordenar a partir de la última quincena generada, poseída y administrada de la fecha de solicitud; es decir de la última quincena del mes de mayo de 2022; es decir del 31 de mayo de 2021 al 31 de mayo de 2022.</w:t>
      </w:r>
    </w:p>
    <w:p w:rsidR="003B1B31" w:rsidRPr="00B01A7E" w:rsidRDefault="003B1B31" w:rsidP="00AF52DB">
      <w:pPr>
        <w:pStyle w:val="m-698976158124685028gmail-msolistparagraph"/>
        <w:shd w:val="clear" w:color="auto" w:fill="FFFFFF"/>
        <w:spacing w:before="0" w:beforeAutospacing="0" w:after="0" w:afterAutospacing="0" w:line="360" w:lineRule="auto"/>
        <w:jc w:val="both"/>
        <w:rPr>
          <w:rFonts w:ascii="Palatino Linotype" w:eastAsia="Calibri" w:hAnsi="Palatino Linotype" w:cs="Arial"/>
          <w:color w:val="000000" w:themeColor="text1"/>
        </w:rPr>
      </w:pPr>
    </w:p>
    <w:p w:rsidR="00C111EA" w:rsidRPr="00B01A7E" w:rsidRDefault="00C111EA" w:rsidP="00AF52DB">
      <w:pPr>
        <w:pStyle w:val="Ttulo1"/>
        <w:spacing w:before="0" w:line="360" w:lineRule="auto"/>
        <w:rPr>
          <w:rFonts w:ascii="Palatino Linotype" w:eastAsia="Calibri" w:hAnsi="Palatino Linotype"/>
          <w:b/>
          <w:color w:val="000000" w:themeColor="text1"/>
          <w:sz w:val="24"/>
          <w:szCs w:val="24"/>
        </w:rPr>
      </w:pPr>
      <w:bookmarkStart w:id="151" w:name="_Toc82537187"/>
      <w:bookmarkStart w:id="152" w:name="_Toc89360023"/>
      <w:r w:rsidRPr="00B01A7E">
        <w:rPr>
          <w:rFonts w:ascii="Palatino Linotype" w:eastAsia="Calibri" w:hAnsi="Palatino Linotype"/>
          <w:b/>
          <w:color w:val="000000" w:themeColor="text1"/>
          <w:sz w:val="24"/>
          <w:szCs w:val="24"/>
        </w:rPr>
        <w:t>QUINTO. VERSIÓN PÚBLICA.</w:t>
      </w:r>
      <w:bookmarkEnd w:id="151"/>
      <w:bookmarkEnd w:id="152"/>
    </w:p>
    <w:p w:rsidR="00C111EA" w:rsidRPr="00B01A7E" w:rsidRDefault="00C111EA" w:rsidP="00AF52DB">
      <w:pPr>
        <w:spacing w:line="360" w:lineRule="auto"/>
        <w:rPr>
          <w:rFonts w:ascii="Palatino Linotype" w:eastAsia="Calibri" w:hAnsi="Palatino Linotype"/>
          <w:color w:val="000000" w:themeColor="text1"/>
        </w:rPr>
      </w:pPr>
    </w:p>
    <w:p w:rsidR="00C111EA" w:rsidRPr="00B01A7E" w:rsidRDefault="00C111EA" w:rsidP="00AF52DB">
      <w:pPr>
        <w:pStyle w:val="Ttulo1"/>
        <w:spacing w:before="0" w:line="360" w:lineRule="auto"/>
        <w:ind w:left="360"/>
        <w:rPr>
          <w:rFonts w:ascii="Palatino Linotype" w:hAnsi="Palatino Linotype"/>
          <w:b/>
          <w:color w:val="000000" w:themeColor="text1"/>
          <w:sz w:val="24"/>
          <w:szCs w:val="24"/>
        </w:rPr>
      </w:pPr>
      <w:bookmarkStart w:id="153" w:name="_Toc48135362"/>
      <w:bookmarkStart w:id="154" w:name="_Toc82017070"/>
      <w:bookmarkStart w:id="155" w:name="_Toc82537188"/>
      <w:bookmarkStart w:id="156" w:name="_Toc89360024"/>
      <w:r w:rsidRPr="00B01A7E">
        <w:rPr>
          <w:rFonts w:ascii="Palatino Linotype" w:hAnsi="Palatino Linotype" w:cs="Times New Roman"/>
          <w:color w:val="000000" w:themeColor="text1"/>
          <w:sz w:val="24"/>
          <w:szCs w:val="24"/>
          <w:lang w:eastAsia="es-ES_tradnl"/>
        </w:rPr>
        <w:t>A. Nociones generales.</w:t>
      </w:r>
      <w:bookmarkEnd w:id="153"/>
      <w:bookmarkEnd w:id="154"/>
      <w:bookmarkEnd w:id="155"/>
      <w:bookmarkEnd w:id="156"/>
      <w:r w:rsidRPr="00B01A7E">
        <w:rPr>
          <w:rFonts w:ascii="Palatino Linotype" w:hAnsi="Palatino Linotype" w:cs="Times New Roman"/>
          <w:color w:val="000000" w:themeColor="text1"/>
          <w:sz w:val="24"/>
          <w:szCs w:val="24"/>
          <w:lang w:eastAsia="es-ES_tradnl"/>
        </w:rPr>
        <w:t xml:space="preserve"> </w:t>
      </w:r>
    </w:p>
    <w:p w:rsidR="00C111EA" w:rsidRPr="00B01A7E" w:rsidRDefault="00C111EA" w:rsidP="00AF52DB">
      <w:pPr>
        <w:pStyle w:val="Prrafodelista"/>
        <w:numPr>
          <w:ilvl w:val="0"/>
          <w:numId w:val="15"/>
        </w:numPr>
        <w:spacing w:line="360" w:lineRule="auto"/>
        <w:ind w:left="0" w:right="49" w:firstLine="0"/>
        <w:jc w:val="both"/>
        <w:rPr>
          <w:rFonts w:ascii="Palatino Linotype" w:hAnsi="Palatino Linotype" w:cs="Arial"/>
          <w:color w:val="000000" w:themeColor="text1"/>
        </w:rPr>
      </w:pPr>
      <w:r w:rsidRPr="00B01A7E">
        <w:rPr>
          <w:rFonts w:ascii="Palatino Linotype" w:hAnsi="Palatino Linotype" w:cs="Arial"/>
          <w:color w:val="000000" w:themeColor="text1"/>
        </w:rPr>
        <w:t>Debe destacarse que, debido a la naturaleza de la información solicitada</w:t>
      </w:r>
      <w:r w:rsidRPr="00B01A7E">
        <w:rPr>
          <w:rFonts w:ascii="Palatino Linotype" w:hAnsi="Palatino Linotype" w:cs="Arial"/>
          <w:b/>
          <w:color w:val="000000" w:themeColor="text1"/>
        </w:rPr>
        <w:t xml:space="preserve">, </w:t>
      </w:r>
      <w:r w:rsidRPr="00B01A7E">
        <w:rPr>
          <w:rFonts w:ascii="Palatino Linotype" w:hAnsi="Palatino Linotype" w:cs="Arial"/>
          <w:color w:val="000000" w:themeColor="text1"/>
        </w:rPr>
        <w:t>eventualmente pudiera obrar datos perso</w:t>
      </w:r>
      <w:r w:rsidR="006971FE" w:rsidRPr="00B01A7E">
        <w:rPr>
          <w:rFonts w:ascii="Palatino Linotype" w:hAnsi="Palatino Linotype" w:cs="Arial"/>
          <w:color w:val="000000" w:themeColor="text1"/>
        </w:rPr>
        <w:t>nales susceptibles de protegers</w:t>
      </w:r>
      <w:r w:rsidRPr="00B01A7E">
        <w:rPr>
          <w:rFonts w:ascii="Palatino Linotype" w:hAnsi="Palatino Linotype" w:cs="Arial"/>
          <w:color w:val="000000" w:themeColor="text1"/>
        </w:rPr>
        <w:t xml:space="preserve">, el </w:t>
      </w:r>
      <w:r w:rsidR="00283025" w:rsidRPr="00B01A7E">
        <w:rPr>
          <w:rFonts w:ascii="Palatino Linotype" w:hAnsi="Palatino Linotype" w:cs="Arial"/>
          <w:b/>
          <w:bCs/>
          <w:color w:val="000000" w:themeColor="text1"/>
        </w:rPr>
        <w:t>SUJETO OBLIGADO</w:t>
      </w:r>
      <w:r w:rsidR="006971FE" w:rsidRPr="00B01A7E">
        <w:rPr>
          <w:rFonts w:ascii="Palatino Linotype" w:hAnsi="Palatino Linotype" w:cs="Arial"/>
          <w:b/>
          <w:bCs/>
          <w:color w:val="000000" w:themeColor="text1"/>
        </w:rPr>
        <w:t>,</w:t>
      </w:r>
      <w:r w:rsidRPr="00B01A7E">
        <w:rPr>
          <w:rFonts w:ascii="Palatino Linotype" w:hAnsi="Palatino Linotype" w:cs="Arial"/>
          <w:b/>
          <w:bCs/>
          <w:color w:val="000000" w:themeColor="text1"/>
        </w:rPr>
        <w:t xml:space="preserve"> </w:t>
      </w:r>
      <w:r w:rsidRPr="00B01A7E">
        <w:rPr>
          <w:rFonts w:ascii="Palatino Linotype" w:hAnsi="Palatino Linotype" w:cs="Arial"/>
          <w:color w:val="000000" w:themeColor="text1"/>
        </w:rPr>
        <w:t xml:space="preserve">deberá de hacer la adecuada versión pública, protegiendo los datos que no son susceptibles de ser proporcionados. </w:t>
      </w:r>
    </w:p>
    <w:p w:rsidR="00C111EA" w:rsidRPr="00B01A7E" w:rsidRDefault="00C111EA" w:rsidP="00AF52DB">
      <w:pPr>
        <w:pStyle w:val="Prrafodelista"/>
        <w:tabs>
          <w:tab w:val="left" w:pos="0"/>
        </w:tabs>
        <w:spacing w:line="360" w:lineRule="auto"/>
        <w:ind w:left="0" w:right="49"/>
        <w:jc w:val="both"/>
        <w:rPr>
          <w:rFonts w:ascii="Palatino Linotype" w:eastAsia="MS Mincho" w:hAnsi="Palatino Linotype"/>
          <w:color w:val="000000" w:themeColor="text1"/>
          <w:lang w:val="es-ES"/>
        </w:rPr>
      </w:pPr>
    </w:p>
    <w:p w:rsidR="00C111EA" w:rsidRPr="00B01A7E" w:rsidRDefault="00C111EA" w:rsidP="00AF52DB">
      <w:pPr>
        <w:numPr>
          <w:ilvl w:val="0"/>
          <w:numId w:val="15"/>
        </w:numPr>
        <w:spacing w:line="360" w:lineRule="auto"/>
        <w:ind w:left="0" w:right="49" w:firstLine="0"/>
        <w:contextualSpacing/>
        <w:jc w:val="both"/>
        <w:rPr>
          <w:rFonts w:ascii="Palatino Linotype" w:hAnsi="Palatino Linotype" w:cs="Arial"/>
          <w:color w:val="000000" w:themeColor="text1"/>
        </w:rPr>
      </w:pPr>
      <w:r w:rsidRPr="00B01A7E">
        <w:rPr>
          <w:rFonts w:ascii="Palatino Linotype" w:hAnsi="Palatino Linotype" w:cs="Arial"/>
          <w:color w:val="000000" w:themeColor="text1"/>
        </w:rPr>
        <w:t xml:space="preserve">No pasa desapercibido para este Órgano Garante que los </w:t>
      </w:r>
      <w:r w:rsidRPr="00B01A7E">
        <w:rPr>
          <w:rFonts w:ascii="Palatino Linotype" w:hAnsi="Palatino Linotype" w:cs="Arial"/>
          <w:b/>
          <w:bCs/>
          <w:color w:val="000000" w:themeColor="text1"/>
        </w:rPr>
        <w:t xml:space="preserve">Sujetos Obligados </w:t>
      </w:r>
      <w:r w:rsidRPr="00B01A7E">
        <w:rPr>
          <w:rFonts w:ascii="Palatino Linotype" w:hAnsi="Palatino Linotype" w:cs="Arial"/>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C111EA" w:rsidRPr="00B01A7E" w:rsidRDefault="00C111EA" w:rsidP="00AF52DB">
      <w:pPr>
        <w:spacing w:line="360" w:lineRule="auto"/>
        <w:ind w:right="49"/>
        <w:contextualSpacing/>
        <w:jc w:val="both"/>
        <w:rPr>
          <w:rFonts w:ascii="Palatino Linotype" w:hAnsi="Palatino Linotype" w:cs="Arial"/>
          <w:color w:val="000000" w:themeColor="text1"/>
        </w:rPr>
      </w:pPr>
    </w:p>
    <w:tbl>
      <w:tblPr>
        <w:tblStyle w:val="Tablanormal1"/>
        <w:tblW w:w="0" w:type="auto"/>
        <w:tblLook w:val="04A0" w:firstRow="1" w:lastRow="0" w:firstColumn="1" w:lastColumn="0" w:noHBand="0" w:noVBand="1"/>
      </w:tblPr>
      <w:tblGrid>
        <w:gridCol w:w="1838"/>
        <w:gridCol w:w="6990"/>
      </w:tblGrid>
      <w:tr w:rsidR="00C111EA" w:rsidRPr="00B01A7E" w:rsidTr="008B0E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C111EA" w:rsidRPr="00B01A7E" w:rsidRDefault="00C111EA" w:rsidP="00AF52DB">
            <w:pPr>
              <w:spacing w:line="360" w:lineRule="auto"/>
              <w:rPr>
                <w:rFonts w:ascii="Palatino Linotype" w:hAnsi="Palatino Linotype"/>
                <w:bCs w:val="0"/>
                <w:color w:val="000000" w:themeColor="text1"/>
              </w:rPr>
            </w:pPr>
            <w:r w:rsidRPr="00B01A7E">
              <w:rPr>
                <w:rFonts w:ascii="Palatino Linotype" w:hAnsi="Palatino Linotype" w:cstheme="majorBidi"/>
                <w:bCs w:val="0"/>
                <w:color w:val="000000" w:themeColor="text1"/>
              </w:rPr>
              <w:lastRenderedPageBreak/>
              <w:t>a) Requisitos previos.</w:t>
            </w:r>
          </w:p>
        </w:tc>
        <w:tc>
          <w:tcPr>
            <w:tcW w:w="6990" w:type="dxa"/>
            <w:hideMark/>
          </w:tcPr>
          <w:p w:rsidR="00C111EA" w:rsidRPr="00B01A7E" w:rsidRDefault="00C111EA" w:rsidP="00AF52DB">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themeColor="text1"/>
              </w:rPr>
            </w:pPr>
            <w:r w:rsidRPr="00B01A7E">
              <w:rPr>
                <w:rFonts w:ascii="Palatino Linotype" w:hAnsi="Palatino Linotype" w:cs="Arial"/>
                <w:b w:val="0"/>
                <w:bCs w:val="0"/>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C111EA" w:rsidRPr="00B01A7E" w:rsidRDefault="00C111EA" w:rsidP="00AF52DB">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themeColor="text1"/>
              </w:rPr>
            </w:pPr>
            <w:r w:rsidRPr="00B01A7E">
              <w:rPr>
                <w:rFonts w:ascii="Palatino Linotype" w:hAnsi="Palatino Linotype" w:cs="Arial"/>
                <w:b w:val="0"/>
                <w:bCs w:val="0"/>
                <w:color w:val="000000" w:themeColor="text1"/>
              </w:rPr>
              <w:t>Al hacerlo tienen que precisar de qué información se trata, señalando el supuesto de clasificación (confidencialidad o reserva).</w:t>
            </w:r>
          </w:p>
          <w:p w:rsidR="00C111EA" w:rsidRPr="00B01A7E" w:rsidRDefault="00C111EA" w:rsidP="00AF52DB">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themeColor="text1"/>
              </w:rPr>
            </w:pPr>
            <w:r w:rsidRPr="00B01A7E">
              <w:rPr>
                <w:rFonts w:ascii="Palatino Linotype" w:hAnsi="Palatino Linotype" w:cs="Arial"/>
                <w:b w:val="0"/>
                <w:bCs w:val="0"/>
                <w:color w:val="000000" w:themeColor="text1"/>
              </w:rPr>
              <w:t>Además, se debe señalar el procedimiento, de los tres que establecen los artículos 132 y 106 de la Ley Estatal y General, respectivamente.</w:t>
            </w:r>
          </w:p>
          <w:p w:rsidR="00C111EA" w:rsidRPr="00B01A7E" w:rsidRDefault="00C111EA" w:rsidP="00AF52DB">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themeColor="text1"/>
              </w:rPr>
            </w:pPr>
            <w:r w:rsidRPr="00B01A7E">
              <w:rPr>
                <w:rFonts w:ascii="Palatino Linotype" w:hAnsi="Palatino Linotype" w:cs="Arial"/>
                <w:b w:val="0"/>
                <w:bCs w:val="0"/>
                <w:color w:val="000000" w:themeColor="text1"/>
              </w:rPr>
              <w:t xml:space="preserve">El último de estos requisitos previos consiste en que no se pueden emitir acuerdos de carácter general ni particular, esto es, </w:t>
            </w:r>
            <w:r w:rsidRPr="00B01A7E">
              <w:rPr>
                <w:rFonts w:ascii="Palatino Linotype" w:hAnsi="Palatino Linotype" w:cs="Arial"/>
                <w:b w:val="0"/>
                <w:bCs w:val="0"/>
                <w:color w:val="000000" w:themeColor="text1"/>
                <w:u w:val="single"/>
              </w:rPr>
              <w:t>no se puede hacer un acuerdo para clasificar de manera general todos los documentos de un expediente o área, sin</w:t>
            </w:r>
            <w:r w:rsidRPr="00B01A7E">
              <w:rPr>
                <w:rFonts w:ascii="Palatino Linotype" w:hAnsi="Palatino Linotype" w:cs="Arial"/>
                <w:b w:val="0"/>
                <w:bCs w:val="0"/>
                <w:color w:val="000000" w:themeColor="text1"/>
              </w:rPr>
              <w:t xml:space="preserve"> individualizar su análisis y tampoco se puede hacer un acuerdo por cada dato que se vaya a clasificar dentro de un documento con diez datos, por ejemplo, susceptibles de ser clasificados.</w:t>
            </w:r>
          </w:p>
          <w:p w:rsidR="00BB13B0" w:rsidRPr="00B01A7E" w:rsidRDefault="00BB13B0" w:rsidP="00AF52DB">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r>
      <w:tr w:rsidR="00C111EA" w:rsidRPr="00B01A7E" w:rsidTr="008B0E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C111EA" w:rsidRPr="00B01A7E" w:rsidRDefault="00C111EA" w:rsidP="00AF52DB">
            <w:pPr>
              <w:spacing w:line="360" w:lineRule="auto"/>
              <w:rPr>
                <w:rFonts w:ascii="Palatino Linotype" w:hAnsi="Palatino Linotype"/>
                <w:bCs w:val="0"/>
                <w:color w:val="000000" w:themeColor="text1"/>
              </w:rPr>
            </w:pPr>
            <w:r w:rsidRPr="00B01A7E">
              <w:rPr>
                <w:rFonts w:ascii="Palatino Linotype" w:hAnsi="Palatino Linotype" w:cstheme="majorBidi"/>
                <w:bCs w:val="0"/>
                <w:color w:val="000000" w:themeColor="text1"/>
              </w:rPr>
              <w:t>b) Supuestos de clasificación.</w:t>
            </w:r>
          </w:p>
        </w:tc>
        <w:tc>
          <w:tcPr>
            <w:tcW w:w="6990" w:type="dxa"/>
            <w:hideMark/>
          </w:tcPr>
          <w:p w:rsidR="00C111EA" w:rsidRPr="00B01A7E" w:rsidRDefault="00C111EA" w:rsidP="00AF52D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B01A7E">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C111EA" w:rsidRPr="00B01A7E" w:rsidRDefault="00C111EA" w:rsidP="00AF52D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B01A7E">
              <w:rPr>
                <w:rFonts w:ascii="Palatino Linotype" w:hAnsi="Palatino Linotype" w:cs="Arial"/>
                <w:color w:val="000000" w:themeColor="text1"/>
              </w:rPr>
              <w:t xml:space="preserve">Los artículos 116 y 143 de la Ley Estatal y de la Ley General, respectivamente, señalan los supuestos para que la información </w:t>
            </w:r>
            <w:r w:rsidRPr="00B01A7E">
              <w:rPr>
                <w:rFonts w:ascii="Palatino Linotype" w:hAnsi="Palatino Linotype" w:cs="Arial"/>
                <w:color w:val="000000" w:themeColor="text1"/>
              </w:rPr>
              <w:lastRenderedPageBreak/>
              <w:t>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C111EA" w:rsidRPr="00B01A7E" w:rsidRDefault="00C111EA" w:rsidP="00AF52DB">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B01A7E">
              <w:rPr>
                <w:rFonts w:ascii="Palatino Linotype" w:hAnsi="Palatino Linotype" w:cs="Arial"/>
                <w:color w:val="000000" w:themeColor="text1"/>
              </w:rPr>
              <w:t xml:space="preserve">El </w:t>
            </w:r>
            <w:r w:rsidRPr="00B01A7E">
              <w:rPr>
                <w:rFonts w:ascii="Palatino Linotype" w:hAnsi="Palatino Linotype" w:cs="Arial"/>
                <w:b/>
                <w:color w:val="000000" w:themeColor="text1"/>
              </w:rPr>
              <w:t>Sujeto Obligado</w:t>
            </w:r>
            <w:r w:rsidRPr="00B01A7E">
              <w:rPr>
                <w:rFonts w:ascii="Palatino Linotype" w:hAnsi="Palatino Linotype" w:cs="Arial"/>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BB13B0" w:rsidRPr="00B01A7E" w:rsidRDefault="00BB13B0" w:rsidP="00AF52DB">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tc>
      </w:tr>
      <w:tr w:rsidR="00C111EA" w:rsidRPr="00B01A7E" w:rsidTr="008B0EEE">
        <w:tc>
          <w:tcPr>
            <w:cnfStyle w:val="001000000000" w:firstRow="0" w:lastRow="0" w:firstColumn="1" w:lastColumn="0" w:oddVBand="0" w:evenVBand="0" w:oddHBand="0" w:evenHBand="0" w:firstRowFirstColumn="0" w:firstRowLastColumn="0" w:lastRowFirstColumn="0" w:lastRowLastColumn="0"/>
            <w:tcW w:w="1838" w:type="dxa"/>
            <w:hideMark/>
          </w:tcPr>
          <w:p w:rsidR="00C111EA" w:rsidRPr="00B01A7E" w:rsidRDefault="00C111EA" w:rsidP="00AF52DB">
            <w:pPr>
              <w:spacing w:line="360" w:lineRule="auto"/>
              <w:rPr>
                <w:rFonts w:ascii="Palatino Linotype" w:hAnsi="Palatino Linotype"/>
                <w:bCs w:val="0"/>
                <w:color w:val="000000" w:themeColor="text1"/>
              </w:rPr>
            </w:pPr>
            <w:r w:rsidRPr="00B01A7E">
              <w:rPr>
                <w:rFonts w:ascii="Palatino Linotype" w:hAnsi="Palatino Linotype" w:cstheme="majorBidi"/>
                <w:bCs w:val="0"/>
                <w:color w:val="000000" w:themeColor="text1"/>
              </w:rPr>
              <w:lastRenderedPageBreak/>
              <w:t>c) Formalidades para emitir el acuerdo de clasificación.</w:t>
            </w:r>
          </w:p>
        </w:tc>
        <w:tc>
          <w:tcPr>
            <w:tcW w:w="6990" w:type="dxa"/>
            <w:hideMark/>
          </w:tcPr>
          <w:p w:rsidR="00C111EA" w:rsidRPr="00B01A7E" w:rsidRDefault="00C111EA" w:rsidP="00AF52D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B01A7E">
              <w:rPr>
                <w:rFonts w:ascii="Palatino Linotype" w:hAnsi="Palatino Linotype" w:cs="Arial"/>
                <w:color w:val="000000" w:themeColor="text1"/>
              </w:rPr>
              <w:t xml:space="preserve">El Comité de Transparencia, según lo dispuesto en los artículos cuenta con las facultades para aprobar, modificar o revocar la clasificación de la información que haya propuesto. </w:t>
            </w:r>
          </w:p>
          <w:p w:rsidR="00C111EA" w:rsidRPr="00B01A7E" w:rsidRDefault="00C111EA" w:rsidP="00AF52D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B01A7E">
              <w:rPr>
                <w:rFonts w:ascii="Palatino Linotype" w:hAnsi="Palatino Linotype" w:cs="Arial"/>
                <w:color w:val="000000" w:themeColor="text1"/>
              </w:rPr>
              <w:t xml:space="preserve">Es necesario que </w:t>
            </w:r>
            <w:r w:rsidRPr="00B01A7E">
              <w:rPr>
                <w:rFonts w:ascii="Palatino Linotype" w:hAnsi="Palatino Linotype" w:cs="Arial"/>
                <w:b/>
                <w:color w:val="000000" w:themeColor="text1"/>
                <w:u w:val="single"/>
              </w:rPr>
              <w:t>el acto reúna con los requisitos elementales</w:t>
            </w:r>
            <w:r w:rsidRPr="00B01A7E">
              <w:rPr>
                <w:rFonts w:ascii="Palatino Linotype" w:hAnsi="Palatino Linotype" w:cs="Arial"/>
                <w:color w:val="000000" w:themeColor="text1"/>
              </w:rPr>
              <w:t>, entre ellos, que la autoridad que va a emitir el acto de autoridad sea la legalmente facultada para ello.</w:t>
            </w:r>
          </w:p>
          <w:p w:rsidR="00C111EA" w:rsidRPr="00B01A7E" w:rsidRDefault="00C111EA" w:rsidP="00AF52DB">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B01A7E">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w:t>
            </w:r>
            <w:r w:rsidRPr="00B01A7E">
              <w:rPr>
                <w:rFonts w:ascii="Palatino Linotype" w:hAnsi="Palatino Linotype" w:cs="Arial"/>
                <w:color w:val="000000" w:themeColor="text1"/>
              </w:rPr>
              <w:lastRenderedPageBreak/>
              <w:t>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BB13B0" w:rsidRPr="00B01A7E" w:rsidRDefault="00BB13B0" w:rsidP="00AF52DB">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r>
      <w:tr w:rsidR="00C111EA" w:rsidRPr="00B01A7E" w:rsidTr="008B0E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C111EA" w:rsidRPr="00B01A7E" w:rsidRDefault="00C111EA" w:rsidP="00AF52DB">
            <w:pPr>
              <w:spacing w:line="360" w:lineRule="auto"/>
              <w:rPr>
                <w:rFonts w:ascii="Palatino Linotype" w:hAnsi="Palatino Linotype"/>
                <w:b w:val="0"/>
                <w:color w:val="000000" w:themeColor="text1"/>
              </w:rPr>
            </w:pPr>
          </w:p>
          <w:p w:rsidR="00C111EA" w:rsidRPr="00B01A7E" w:rsidRDefault="00C111EA" w:rsidP="00AF52DB">
            <w:pPr>
              <w:spacing w:line="360" w:lineRule="auto"/>
              <w:jc w:val="both"/>
              <w:rPr>
                <w:rFonts w:ascii="Palatino Linotype" w:hAnsi="Palatino Linotype"/>
                <w:bCs w:val="0"/>
                <w:color w:val="000000" w:themeColor="text1"/>
              </w:rPr>
            </w:pPr>
            <w:r w:rsidRPr="00B01A7E">
              <w:rPr>
                <w:rFonts w:ascii="Palatino Linotype" w:hAnsi="Palatino Linotype" w:cs="Arial"/>
                <w:bCs w:val="0"/>
                <w:color w:val="000000" w:themeColor="text1"/>
              </w:rPr>
              <w:t xml:space="preserve">d) Requisitos de fondo del acuerdo de clasificación. </w:t>
            </w:r>
          </w:p>
        </w:tc>
        <w:tc>
          <w:tcPr>
            <w:tcW w:w="6990" w:type="dxa"/>
            <w:hideMark/>
          </w:tcPr>
          <w:p w:rsidR="00C111EA" w:rsidRPr="00B01A7E" w:rsidRDefault="00C111EA" w:rsidP="00AF52D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B01A7E">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01A7E">
              <w:rPr>
                <w:rFonts w:ascii="Palatino Linotype" w:hAnsi="Palatino Linotype" w:cs="Arial"/>
                <w:b/>
                <w:color w:val="000000" w:themeColor="text1"/>
              </w:rPr>
              <w:t>Sujetos Obligados</w:t>
            </w:r>
            <w:r w:rsidRPr="00B01A7E">
              <w:rPr>
                <w:rFonts w:ascii="Palatino Linotype" w:hAnsi="Palatino Linotype" w:cs="Arial"/>
                <w:color w:val="000000" w:themeColor="text1"/>
              </w:rPr>
              <w:t xml:space="preserve">, por lo que deberán fundar y motivar debidamente la clasificación. </w:t>
            </w:r>
          </w:p>
          <w:p w:rsidR="00C111EA" w:rsidRPr="00B01A7E" w:rsidRDefault="00C111EA" w:rsidP="00AF52D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B01A7E">
              <w:rPr>
                <w:rFonts w:ascii="Palatino Linotype" w:hAnsi="Palatino Linotype" w:cs="Arial"/>
                <w:color w:val="000000" w:themeColor="text1"/>
              </w:rPr>
              <w:t xml:space="preserve">De lo anterior, se desprende que para una correcta </w:t>
            </w:r>
            <w:r w:rsidRPr="00B01A7E">
              <w:rPr>
                <w:rFonts w:ascii="Palatino Linotype" w:hAnsi="Palatino Linotype" w:cs="Arial"/>
                <w:b/>
                <w:color w:val="000000" w:themeColor="text1"/>
              </w:rPr>
              <w:t>clasificación total o parcial</w:t>
            </w:r>
            <w:r w:rsidRPr="00B01A7E">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111EA" w:rsidRPr="00B01A7E" w:rsidRDefault="00C111EA" w:rsidP="00AF52D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B01A7E">
              <w:rPr>
                <w:rFonts w:ascii="Palatino Linotype" w:hAnsi="Palatino Linotype" w:cs="Arial"/>
                <w:color w:val="000000" w:themeColor="text1"/>
              </w:rPr>
              <w:t xml:space="preserve">Así, en un acto de autoridad se cumple con la debida fundamentación cuando se cita el precepto legal aplicable al caso concreto y la debida motivación cuando se expresan las </w:t>
            </w:r>
            <w:r w:rsidRPr="00B01A7E">
              <w:rPr>
                <w:rFonts w:ascii="Palatino Linotype" w:hAnsi="Palatino Linotype" w:cs="Arial"/>
                <w:color w:val="000000" w:themeColor="text1"/>
              </w:rPr>
              <w:lastRenderedPageBreak/>
              <w:t>razones, motivos o circunstancias que tomó en cuenta la autoridad para adecuar el hecho a los fundamentos de derecho. De este modo, la persona que se sienta afectada pueda impugnar la decisión, permitiéndole una real y auténtica defensa.</w:t>
            </w:r>
          </w:p>
          <w:p w:rsidR="00C111EA" w:rsidRPr="00B01A7E" w:rsidRDefault="00C111EA" w:rsidP="00AF52D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B01A7E">
              <w:rPr>
                <w:rFonts w:ascii="Palatino Linotype" w:hAnsi="Palatino Linotype" w:cs="Arial"/>
                <w:color w:val="000000" w:themeColor="text1"/>
              </w:rPr>
              <w:t>En ese mismo sentido, el numeral trigésimo tercero</w:t>
            </w:r>
            <w:r w:rsidR="001B29E3" w:rsidRPr="00B01A7E">
              <w:rPr>
                <w:rFonts w:ascii="Palatino Linotype" w:hAnsi="Palatino Linotype" w:cs="Arial"/>
                <w:color w:val="000000" w:themeColor="text1"/>
              </w:rPr>
              <w:t xml:space="preserve"> fracción II</w:t>
            </w:r>
            <w:r w:rsidRPr="00B01A7E">
              <w:rPr>
                <w:rFonts w:ascii="Palatino Linotype" w:hAnsi="Palatino Linotype" w:cs="Arial"/>
                <w:color w:val="000000" w:themeColor="text1"/>
              </w:rPr>
              <w:t xml:space="preserve"> de los Lineamientos Generales, precisa que para motivar la clasificación se deben acreditar las circunstancias de tiempo, modo y lugar.</w:t>
            </w:r>
          </w:p>
          <w:p w:rsidR="00C111EA" w:rsidRPr="00B01A7E" w:rsidRDefault="00C111EA" w:rsidP="00AF52D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lang w:val="es-ES"/>
              </w:rPr>
            </w:pPr>
            <w:r w:rsidRPr="00B01A7E">
              <w:rPr>
                <w:rFonts w:ascii="Palatino Linotype" w:hAnsi="Palatino Linotype" w:cs="Arial"/>
                <w:color w:val="000000" w:themeColor="text1"/>
              </w:rPr>
              <w:t xml:space="preserve">Ahora bien, </w:t>
            </w:r>
            <w:r w:rsidRPr="00B01A7E">
              <w:rPr>
                <w:rFonts w:ascii="Palatino Linotype" w:hAnsi="Palatino Linotype" w:cs="Arial"/>
                <w:b/>
                <w:color w:val="000000" w:themeColor="text1"/>
                <w:u w:val="single"/>
              </w:rPr>
              <w:t>para cada caso además de fundar y motivar</w:t>
            </w:r>
            <w:r w:rsidRPr="00B01A7E">
              <w:rPr>
                <w:rFonts w:ascii="Palatino Linotype" w:hAnsi="Palatino Linotype" w:cs="Arial"/>
                <w:color w:val="000000" w:themeColor="text1"/>
              </w:rPr>
              <w:t xml:space="preserve">, se debe identificar con claridad que datos contenidos en las documentales que son susceptibles de suprimirse, por ejemplo; </w:t>
            </w:r>
            <w:r w:rsidRPr="00B01A7E">
              <w:rPr>
                <w:rFonts w:ascii="Palatino Linotype" w:hAnsi="Palatino Linotype" w:cs="Arial"/>
                <w:color w:val="000000" w:themeColor="text1"/>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rsidR="00BB13B0" w:rsidRPr="00B01A7E" w:rsidRDefault="00BB13B0" w:rsidP="00AF52D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p>
        </w:tc>
      </w:tr>
      <w:tr w:rsidR="00C111EA" w:rsidRPr="00B01A7E" w:rsidTr="008B0EEE">
        <w:tc>
          <w:tcPr>
            <w:cnfStyle w:val="001000000000" w:firstRow="0" w:lastRow="0" w:firstColumn="1" w:lastColumn="0" w:oddVBand="0" w:evenVBand="0" w:oddHBand="0" w:evenHBand="0" w:firstRowFirstColumn="0" w:firstRowLastColumn="0" w:lastRowFirstColumn="0" w:lastRowLastColumn="0"/>
            <w:tcW w:w="1838" w:type="dxa"/>
          </w:tcPr>
          <w:p w:rsidR="00C111EA" w:rsidRPr="00B01A7E" w:rsidRDefault="00C111EA" w:rsidP="00AF52DB">
            <w:pPr>
              <w:spacing w:line="360" w:lineRule="auto"/>
              <w:ind w:right="49"/>
              <w:jc w:val="both"/>
              <w:rPr>
                <w:rFonts w:ascii="Palatino Linotype" w:hAnsi="Palatino Linotype" w:cs="Arial"/>
                <w:bCs w:val="0"/>
                <w:color w:val="000000" w:themeColor="text1"/>
              </w:rPr>
            </w:pPr>
            <w:r w:rsidRPr="00B01A7E">
              <w:rPr>
                <w:rFonts w:ascii="Palatino Linotype" w:eastAsia="MS Gothic" w:hAnsi="Palatino Linotype" w:cs="Times New Roman"/>
                <w:b w:val="0"/>
                <w:color w:val="000000" w:themeColor="text1"/>
              </w:rPr>
              <w:lastRenderedPageBreak/>
              <w:t>e</w:t>
            </w:r>
            <w:r w:rsidRPr="00B01A7E">
              <w:rPr>
                <w:rFonts w:ascii="Palatino Linotype" w:eastAsia="MS Gothic" w:hAnsi="Palatino Linotype" w:cs="Times New Roman"/>
                <w:bCs w:val="0"/>
                <w:color w:val="000000" w:themeColor="text1"/>
              </w:rPr>
              <w:t xml:space="preserve">) Condiciones especiales de la clasificación de la </w:t>
            </w:r>
            <w:r w:rsidRPr="00B01A7E">
              <w:rPr>
                <w:rFonts w:ascii="Palatino Linotype" w:eastAsia="MS Gothic" w:hAnsi="Palatino Linotype" w:cs="Times New Roman"/>
                <w:bCs w:val="0"/>
                <w:color w:val="000000" w:themeColor="text1"/>
              </w:rPr>
              <w:lastRenderedPageBreak/>
              <w:t xml:space="preserve">información como confidencial. </w:t>
            </w:r>
          </w:p>
        </w:tc>
        <w:tc>
          <w:tcPr>
            <w:tcW w:w="6990" w:type="dxa"/>
            <w:hideMark/>
          </w:tcPr>
          <w:p w:rsidR="00C111EA" w:rsidRPr="00B01A7E" w:rsidRDefault="00C111EA" w:rsidP="00AF52D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B01A7E">
              <w:rPr>
                <w:rFonts w:ascii="Palatino Linotype" w:hAnsi="Palatino Linotype" w:cs="Arial"/>
                <w:color w:val="000000" w:themeColor="text1"/>
              </w:rPr>
              <w:lastRenderedPageBreak/>
              <w:t xml:space="preserve">Los artículos 148 y 120 de la Ley Estatal y de la Ley General, respectivamente, establecen que aun tratándose de datos personales, se podrán proporcionar, incluso sin solicitar el consentimiento de su titular. </w:t>
            </w:r>
          </w:p>
          <w:p w:rsidR="00C111EA" w:rsidRPr="00B01A7E" w:rsidRDefault="00C111EA" w:rsidP="00AF52D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B01A7E">
              <w:rPr>
                <w:rFonts w:ascii="Palatino Linotype" w:hAnsi="Palatino Linotype" w:cs="Arial"/>
                <w:color w:val="000000" w:themeColor="text1"/>
              </w:rPr>
              <w:t xml:space="preserve">En el caso de lo señalado en la fracción IV, será el Instituto quien deba aplicar la prueba de interés público, considerando también </w:t>
            </w:r>
            <w:r w:rsidRPr="00B01A7E">
              <w:rPr>
                <w:rFonts w:ascii="Palatino Linotype" w:hAnsi="Palatino Linotype" w:cs="Arial"/>
                <w:color w:val="000000" w:themeColor="text1"/>
              </w:rPr>
              <w:lastRenderedPageBreak/>
              <w:t xml:space="preserve">que como recientemente ha discutido la Suprema Corte de Justicia de la Nación, los servidores públicos nos encontramos sujetos a un régimen menor de protección. </w:t>
            </w:r>
          </w:p>
          <w:p w:rsidR="00C111EA" w:rsidRPr="00B01A7E" w:rsidRDefault="00C111EA" w:rsidP="00AF52DB">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B01A7E">
              <w:rPr>
                <w:rFonts w:ascii="Palatino Linotype" w:hAnsi="Palatino Linotype" w:cs="Arial"/>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rsidR="00BB13B0" w:rsidRPr="00B01A7E" w:rsidRDefault="00BB13B0" w:rsidP="00AF52DB">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r>
    </w:tbl>
    <w:p w:rsidR="00C111EA" w:rsidRPr="00B01A7E" w:rsidRDefault="00C111EA" w:rsidP="00AF52DB">
      <w:pPr>
        <w:spacing w:line="360" w:lineRule="auto"/>
        <w:ind w:right="49"/>
        <w:contextualSpacing/>
        <w:jc w:val="both"/>
        <w:rPr>
          <w:rFonts w:ascii="Palatino Linotype" w:hAnsi="Palatino Linotype" w:cs="Arial"/>
          <w:color w:val="000000" w:themeColor="text1"/>
        </w:rPr>
      </w:pPr>
    </w:p>
    <w:p w:rsidR="00C111EA" w:rsidRPr="00B01A7E" w:rsidRDefault="00C111EA" w:rsidP="00AF52DB">
      <w:pPr>
        <w:pStyle w:val="Prrafodelista"/>
        <w:numPr>
          <w:ilvl w:val="0"/>
          <w:numId w:val="15"/>
        </w:numPr>
        <w:shd w:val="clear" w:color="auto" w:fill="FFFFFF"/>
        <w:spacing w:line="360" w:lineRule="auto"/>
        <w:ind w:left="0" w:firstLine="0"/>
        <w:jc w:val="both"/>
        <w:rPr>
          <w:rFonts w:ascii="Palatino Linotype" w:hAnsi="Palatino Linotype" w:cs="Arial"/>
          <w:color w:val="000000" w:themeColor="text1"/>
        </w:rPr>
      </w:pPr>
      <w:r w:rsidRPr="00B01A7E">
        <w:rPr>
          <w:rFonts w:ascii="Palatino Linotype" w:hAnsi="Palatino Linotype" w:cs="Arial"/>
          <w:color w:val="000000" w:themeColor="text1"/>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C111EA" w:rsidRPr="00B01A7E" w:rsidRDefault="00C111EA" w:rsidP="00AF52DB">
      <w:pPr>
        <w:pStyle w:val="Prrafodelista"/>
        <w:spacing w:line="360" w:lineRule="auto"/>
        <w:rPr>
          <w:rFonts w:ascii="Palatino Linotype" w:eastAsia="Calibri" w:hAnsi="Palatino Linotype" w:cs="Arial"/>
          <w:color w:val="000000" w:themeColor="text1"/>
        </w:rPr>
      </w:pPr>
    </w:p>
    <w:p w:rsidR="00C111EA" w:rsidRPr="00B01A7E" w:rsidRDefault="00C111EA" w:rsidP="00AF52DB">
      <w:pPr>
        <w:pStyle w:val="Prrafodelista"/>
        <w:numPr>
          <w:ilvl w:val="0"/>
          <w:numId w:val="15"/>
        </w:numPr>
        <w:spacing w:line="360" w:lineRule="auto"/>
        <w:ind w:left="0" w:firstLine="0"/>
        <w:jc w:val="both"/>
        <w:rPr>
          <w:rFonts w:ascii="Palatino Linotype" w:hAnsi="Palatino Linotype" w:cs="Arial"/>
          <w:color w:val="000000" w:themeColor="text1"/>
        </w:rPr>
      </w:pPr>
      <w:r w:rsidRPr="00B01A7E">
        <w:rPr>
          <w:rFonts w:ascii="Palatino Linotype" w:eastAsia="Times New Roman" w:hAnsi="Palatino Linotype" w:cs="Arial"/>
          <w:color w:val="000000" w:themeColor="text1"/>
          <w:lang w:eastAsia="es-MX"/>
        </w:rPr>
        <w:t xml:space="preserve">Por lo anteriormente expuesto y fundado, este </w:t>
      </w:r>
      <w:r w:rsidRPr="00B01A7E">
        <w:rPr>
          <w:rFonts w:ascii="Palatino Linotype" w:eastAsia="Times New Roman" w:hAnsi="Palatino Linotype" w:cs="Arial"/>
          <w:b/>
          <w:bCs/>
          <w:color w:val="000000" w:themeColor="text1"/>
          <w:lang w:eastAsia="es-MX"/>
        </w:rPr>
        <w:t>ÓRGANO GARANTE</w:t>
      </w:r>
      <w:r w:rsidRPr="00B01A7E">
        <w:rPr>
          <w:rFonts w:ascii="Palatino Linotype" w:eastAsia="Times New Roman" w:hAnsi="Palatino Linotype" w:cs="Arial"/>
          <w:color w:val="000000" w:themeColor="text1"/>
          <w:lang w:eastAsia="es-MX"/>
        </w:rPr>
        <w:t xml:space="preserve"> emite los siguientes:</w:t>
      </w:r>
    </w:p>
    <w:p w:rsidR="0038112D" w:rsidRPr="00B01A7E" w:rsidRDefault="0038112D" w:rsidP="00AF52DB">
      <w:pPr>
        <w:pStyle w:val="Ttulo1"/>
        <w:spacing w:before="0" w:line="360" w:lineRule="auto"/>
        <w:jc w:val="center"/>
        <w:rPr>
          <w:rFonts w:ascii="Palatino Linotype" w:eastAsia="Calibri" w:hAnsi="Palatino Linotype"/>
          <w:b/>
          <w:color w:val="000000" w:themeColor="text1"/>
          <w:sz w:val="24"/>
          <w:szCs w:val="24"/>
          <w:lang w:val="es-ES"/>
        </w:rPr>
      </w:pPr>
      <w:bookmarkStart w:id="157" w:name="_Toc504500693"/>
      <w:bookmarkStart w:id="158" w:name="_Toc534742545"/>
      <w:bookmarkStart w:id="159" w:name="_Toc2248738"/>
      <w:bookmarkStart w:id="160" w:name="_Toc34819440"/>
      <w:bookmarkStart w:id="161" w:name="_Toc51259595"/>
      <w:bookmarkStart w:id="162" w:name="_Toc83128595"/>
    </w:p>
    <w:p w:rsidR="009F09BC" w:rsidRPr="00B01A7E" w:rsidRDefault="009F09BC" w:rsidP="00AF52DB">
      <w:pPr>
        <w:pStyle w:val="Ttulo1"/>
        <w:spacing w:before="0" w:line="360" w:lineRule="auto"/>
        <w:jc w:val="center"/>
        <w:rPr>
          <w:rFonts w:ascii="Palatino Linotype" w:eastAsia="Calibri" w:hAnsi="Palatino Linotype"/>
          <w:b/>
          <w:color w:val="000000" w:themeColor="text1"/>
          <w:sz w:val="24"/>
          <w:szCs w:val="24"/>
          <w:lang w:val="es-ES"/>
        </w:rPr>
      </w:pPr>
      <w:r w:rsidRPr="00B01A7E">
        <w:rPr>
          <w:rFonts w:ascii="Palatino Linotype" w:eastAsia="Calibri" w:hAnsi="Palatino Linotype"/>
          <w:b/>
          <w:color w:val="000000" w:themeColor="text1"/>
          <w:sz w:val="24"/>
          <w:szCs w:val="24"/>
          <w:lang w:val="es-ES"/>
        </w:rPr>
        <w:t>R E S O L U T I V O S</w:t>
      </w:r>
      <w:bookmarkEnd w:id="157"/>
      <w:bookmarkEnd w:id="158"/>
      <w:bookmarkEnd w:id="159"/>
      <w:bookmarkEnd w:id="160"/>
      <w:bookmarkEnd w:id="161"/>
      <w:bookmarkEnd w:id="162"/>
    </w:p>
    <w:p w:rsidR="00CE7B83" w:rsidRPr="00B01A7E" w:rsidRDefault="00CE7B83" w:rsidP="00AF52DB">
      <w:pPr>
        <w:spacing w:line="360" w:lineRule="auto"/>
        <w:rPr>
          <w:rFonts w:ascii="Palatino Linotype" w:hAnsi="Palatino Linotype"/>
          <w:color w:val="000000" w:themeColor="text1"/>
          <w:lang w:val="es-ES"/>
        </w:rPr>
      </w:pPr>
    </w:p>
    <w:p w:rsidR="00283025" w:rsidRPr="00B01A7E" w:rsidRDefault="00283025" w:rsidP="00AF52DB">
      <w:pPr>
        <w:spacing w:line="360" w:lineRule="auto"/>
        <w:jc w:val="both"/>
        <w:rPr>
          <w:rFonts w:ascii="Palatino Linotype" w:hAnsi="Palatino Linotype"/>
          <w:lang w:val="es-ES"/>
        </w:rPr>
      </w:pPr>
      <w:r w:rsidRPr="00B01A7E">
        <w:rPr>
          <w:rFonts w:ascii="Palatino Linotype" w:eastAsia="Times New Roman" w:hAnsi="Palatino Linotype" w:cs="Arial"/>
          <w:b/>
        </w:rPr>
        <w:t xml:space="preserve">PRIMERO. </w:t>
      </w:r>
      <w:r w:rsidRPr="00B01A7E">
        <w:rPr>
          <w:rFonts w:ascii="Palatino Linotype" w:hAnsi="Palatino Linotype" w:cs="Arial"/>
          <w:bCs/>
        </w:rPr>
        <w:t xml:space="preserve">Resultan fundadas las razones o motivos de inconformidad hechos valer en </w:t>
      </w:r>
      <w:r w:rsidR="00D0302A" w:rsidRPr="00B01A7E">
        <w:rPr>
          <w:rFonts w:ascii="Palatino Linotype" w:hAnsi="Palatino Linotype" w:cs="Arial"/>
          <w:bCs/>
        </w:rPr>
        <w:t>e</w:t>
      </w:r>
      <w:r w:rsidRPr="00B01A7E">
        <w:rPr>
          <w:rFonts w:ascii="Palatino Linotype" w:hAnsi="Palatino Linotype" w:cs="Arial"/>
          <w:bCs/>
        </w:rPr>
        <w:t>l</w:t>
      </w:r>
      <w:r w:rsidR="00D0302A" w:rsidRPr="00B01A7E">
        <w:rPr>
          <w:rFonts w:ascii="Palatino Linotype" w:hAnsi="Palatino Linotype" w:cs="Arial"/>
          <w:bCs/>
        </w:rPr>
        <w:t xml:space="preserve"> Recurso</w:t>
      </w:r>
      <w:r w:rsidRPr="00B01A7E">
        <w:rPr>
          <w:rFonts w:ascii="Palatino Linotype" w:hAnsi="Palatino Linotype" w:cs="Arial"/>
          <w:bCs/>
        </w:rPr>
        <w:t xml:space="preserve"> de </w:t>
      </w:r>
      <w:r w:rsidR="00D0302A" w:rsidRPr="00B01A7E">
        <w:rPr>
          <w:rFonts w:ascii="Palatino Linotype" w:hAnsi="Palatino Linotype" w:cs="Arial"/>
          <w:bCs/>
        </w:rPr>
        <w:t>R</w:t>
      </w:r>
      <w:r w:rsidRPr="00B01A7E">
        <w:rPr>
          <w:rFonts w:ascii="Palatino Linotype" w:hAnsi="Palatino Linotype" w:cs="Arial"/>
          <w:bCs/>
        </w:rPr>
        <w:t xml:space="preserve">evisión </w:t>
      </w:r>
      <w:r w:rsidR="00675B3A" w:rsidRPr="00B01A7E">
        <w:rPr>
          <w:rFonts w:ascii="Palatino Linotype" w:hAnsi="Palatino Linotype" w:cs="Arial"/>
          <w:b/>
          <w:bCs/>
          <w:lang w:eastAsia="es-MX"/>
        </w:rPr>
        <w:t>11293/INFOEM/IP/RR/2022</w:t>
      </w:r>
      <w:r w:rsidR="00D0302A" w:rsidRPr="00B01A7E">
        <w:rPr>
          <w:rFonts w:ascii="Palatino Linotype" w:hAnsi="Palatino Linotype" w:cs="Arial"/>
          <w:b/>
          <w:bCs/>
          <w:lang w:eastAsia="es-MX"/>
        </w:rPr>
        <w:t xml:space="preserve"> </w:t>
      </w:r>
      <w:r w:rsidRPr="00B01A7E">
        <w:rPr>
          <w:rFonts w:ascii="Palatino Linotype" w:hAnsi="Palatino Linotype"/>
          <w:lang w:val="es-ES"/>
        </w:rPr>
        <w:t xml:space="preserve">en términos de los Considerandos </w:t>
      </w:r>
      <w:r w:rsidRPr="00B01A7E">
        <w:rPr>
          <w:rFonts w:ascii="Palatino Linotype" w:hAnsi="Palatino Linotype"/>
          <w:b/>
          <w:bCs/>
          <w:lang w:val="es-ES"/>
        </w:rPr>
        <w:t>CUARTO y QUINTO</w:t>
      </w:r>
      <w:r w:rsidRPr="00B01A7E">
        <w:rPr>
          <w:rFonts w:ascii="Palatino Linotype" w:hAnsi="Palatino Linotype"/>
          <w:lang w:val="es-ES"/>
        </w:rPr>
        <w:t xml:space="preserve"> de la presente resolución.</w:t>
      </w:r>
    </w:p>
    <w:p w:rsidR="00AF52DB" w:rsidRPr="00B01A7E" w:rsidRDefault="00AF52DB" w:rsidP="00AF52DB">
      <w:pPr>
        <w:spacing w:line="360" w:lineRule="auto"/>
        <w:jc w:val="both"/>
        <w:rPr>
          <w:rFonts w:ascii="Palatino Linotype" w:hAnsi="Palatino Linotype" w:cs="Arial"/>
          <w:bCs/>
        </w:rPr>
      </w:pPr>
    </w:p>
    <w:p w:rsidR="00283025" w:rsidRPr="00B01A7E" w:rsidRDefault="00283025" w:rsidP="00AF52DB">
      <w:pPr>
        <w:spacing w:line="360" w:lineRule="auto"/>
        <w:jc w:val="both"/>
        <w:rPr>
          <w:rFonts w:ascii="Palatino Linotype" w:eastAsia="Times New Roman" w:hAnsi="Palatino Linotype" w:cs="Arial"/>
          <w:lang w:val="es-ES"/>
        </w:rPr>
      </w:pPr>
      <w:r w:rsidRPr="00B01A7E">
        <w:rPr>
          <w:rFonts w:ascii="Palatino Linotype" w:hAnsi="Palatino Linotype"/>
          <w:b/>
        </w:rPr>
        <w:lastRenderedPageBreak/>
        <w:t>SEGUNDO.</w:t>
      </w:r>
      <w:r w:rsidRPr="00B01A7E">
        <w:rPr>
          <w:rStyle w:val="Ttulo2Car"/>
          <w:rFonts w:ascii="Palatino Linotype" w:hAnsi="Palatino Linotype"/>
          <w:b/>
          <w:sz w:val="24"/>
          <w:szCs w:val="24"/>
        </w:rPr>
        <w:t xml:space="preserve"> </w:t>
      </w:r>
      <w:r w:rsidRPr="00B01A7E">
        <w:rPr>
          <w:rFonts w:ascii="Palatino Linotype" w:eastAsia="Calibri" w:hAnsi="Palatino Linotype" w:cs="Arial"/>
          <w:lang w:val="es-ES"/>
        </w:rPr>
        <w:t xml:space="preserve">Se </w:t>
      </w:r>
      <w:r w:rsidRPr="00B01A7E">
        <w:rPr>
          <w:rFonts w:ascii="Palatino Linotype" w:eastAsia="Calibri" w:hAnsi="Palatino Linotype" w:cs="Arial"/>
          <w:b/>
          <w:lang w:val="es-ES"/>
        </w:rPr>
        <w:t xml:space="preserve">REVOCA </w:t>
      </w:r>
      <w:r w:rsidRPr="00B01A7E">
        <w:rPr>
          <w:rFonts w:ascii="Palatino Linotype" w:eastAsia="Calibri" w:hAnsi="Palatino Linotype" w:cs="Arial"/>
          <w:lang w:val="es-ES"/>
        </w:rPr>
        <w:t>la respuesta emitida por la</w:t>
      </w:r>
      <w:r w:rsidRPr="00B01A7E">
        <w:rPr>
          <w:rFonts w:ascii="Palatino Linotype" w:eastAsia="Calibri" w:hAnsi="Palatino Linotype" w:cs="Arial"/>
          <w:b/>
          <w:lang w:val="es-ES"/>
        </w:rPr>
        <w:t xml:space="preserve"> </w:t>
      </w:r>
      <w:r w:rsidR="00166B4F" w:rsidRPr="00B01A7E">
        <w:rPr>
          <w:rFonts w:ascii="Palatino Linotype" w:hAnsi="Palatino Linotype"/>
          <w:b/>
          <w:bCs/>
        </w:rPr>
        <w:t>Secretaría de Desarrollo Urbano y Obra</w:t>
      </w:r>
      <w:r w:rsidRPr="00B01A7E">
        <w:rPr>
          <w:rFonts w:ascii="Palatino Linotype" w:eastAsia="Calibri" w:hAnsi="Palatino Linotype" w:cs="Arial"/>
          <w:lang w:val="es-ES"/>
        </w:rPr>
        <w:t xml:space="preserve"> y se</w:t>
      </w:r>
      <w:r w:rsidRPr="00B01A7E">
        <w:rPr>
          <w:rFonts w:ascii="Palatino Linotype" w:eastAsia="Calibri" w:hAnsi="Palatino Linotype" w:cs="Arial"/>
          <w:b/>
          <w:lang w:val="es-ES"/>
        </w:rPr>
        <w:t xml:space="preserve"> ORDENA</w:t>
      </w:r>
      <w:r w:rsidRPr="00B01A7E">
        <w:rPr>
          <w:rFonts w:ascii="Palatino Linotype" w:eastAsia="Calibri" w:hAnsi="Palatino Linotype" w:cs="Arial"/>
          <w:lang w:val="es-ES"/>
        </w:rPr>
        <w:t xml:space="preserve"> entregar, vía </w:t>
      </w:r>
      <w:r w:rsidRPr="00B01A7E">
        <w:rPr>
          <w:rFonts w:ascii="Palatino Linotype" w:eastAsia="Times New Roman" w:hAnsi="Palatino Linotype" w:cs="Arial"/>
          <w:b/>
          <w:lang w:val="es-ES"/>
        </w:rPr>
        <w:t>Sistema de Acceso a la Información Mexiquense (SAIMEX)</w:t>
      </w:r>
      <w:r w:rsidRPr="00B01A7E">
        <w:rPr>
          <w:rFonts w:ascii="Palatino Linotype" w:eastAsia="Times New Roman" w:hAnsi="Palatino Linotype" w:cs="Arial"/>
          <w:bCs/>
          <w:lang w:val="es-ES"/>
        </w:rPr>
        <w:t xml:space="preserve">, </w:t>
      </w:r>
      <w:r w:rsidR="00AF52DB" w:rsidRPr="00B01A7E">
        <w:rPr>
          <w:rFonts w:ascii="Palatino Linotype" w:eastAsia="Times New Roman" w:hAnsi="Palatino Linotype" w:cs="Arial"/>
          <w:bCs/>
          <w:lang w:val="es-ES"/>
        </w:rPr>
        <w:t xml:space="preserve">previa búsqueda exhaustiva y razonable, </w:t>
      </w:r>
      <w:r w:rsidR="00BB13B0" w:rsidRPr="00B01A7E">
        <w:rPr>
          <w:rFonts w:ascii="Palatino Linotype" w:eastAsia="Times New Roman" w:hAnsi="Palatino Linotype" w:cs="Arial"/>
          <w:bCs/>
          <w:lang w:val="es-ES"/>
        </w:rPr>
        <w:t xml:space="preserve">de ser el caso </w:t>
      </w:r>
      <w:r w:rsidRPr="00B01A7E">
        <w:rPr>
          <w:rFonts w:ascii="Palatino Linotype" w:eastAsia="Times New Roman" w:hAnsi="Palatino Linotype" w:cs="Arial"/>
          <w:bCs/>
          <w:lang w:val="es-ES"/>
        </w:rPr>
        <w:t>en versión pública,</w:t>
      </w:r>
      <w:r w:rsidRPr="00B01A7E">
        <w:rPr>
          <w:rFonts w:ascii="Palatino Linotype" w:eastAsia="Times New Roman" w:hAnsi="Palatino Linotype" w:cs="Arial"/>
          <w:b/>
          <w:bCs/>
          <w:lang w:val="es-ES"/>
        </w:rPr>
        <w:t xml:space="preserve"> </w:t>
      </w:r>
      <w:r w:rsidR="003B1B31" w:rsidRPr="00B01A7E">
        <w:rPr>
          <w:rFonts w:ascii="Palatino Linotype" w:eastAsia="Times New Roman" w:hAnsi="Palatino Linotype" w:cs="Arial"/>
          <w:bCs/>
          <w:lang w:val="es-ES"/>
        </w:rPr>
        <w:t>la siguiente información</w:t>
      </w:r>
      <w:r w:rsidRPr="00B01A7E">
        <w:rPr>
          <w:rFonts w:ascii="Palatino Linotype" w:eastAsia="Times New Roman" w:hAnsi="Palatino Linotype" w:cs="Arial"/>
          <w:lang w:val="es-ES"/>
        </w:rPr>
        <w:t>:</w:t>
      </w:r>
    </w:p>
    <w:p w:rsidR="00283025" w:rsidRPr="00B01A7E" w:rsidRDefault="00283025" w:rsidP="00AF52DB">
      <w:pPr>
        <w:pStyle w:val="Prrafodelista"/>
        <w:spacing w:line="360" w:lineRule="auto"/>
        <w:rPr>
          <w:rFonts w:ascii="Palatino Linotype" w:hAnsi="Palatino Linotype" w:cs="Arial"/>
          <w:b/>
        </w:rPr>
      </w:pPr>
    </w:p>
    <w:p w:rsidR="00283025" w:rsidRPr="00B01A7E" w:rsidRDefault="00BB13B0" w:rsidP="00AF52DB">
      <w:pPr>
        <w:pStyle w:val="Prrafodelista"/>
        <w:numPr>
          <w:ilvl w:val="0"/>
          <w:numId w:val="47"/>
        </w:numPr>
        <w:spacing w:line="360" w:lineRule="auto"/>
        <w:ind w:left="851"/>
        <w:jc w:val="both"/>
        <w:rPr>
          <w:rFonts w:ascii="Palatino Linotype" w:hAnsi="Palatino Linotype" w:cs="Arial"/>
          <w:b/>
        </w:rPr>
      </w:pPr>
      <w:r w:rsidRPr="00B01A7E">
        <w:rPr>
          <w:rFonts w:ascii="Palatino Linotype" w:hAnsi="Palatino Linotype" w:cs="Arial"/>
          <w:b/>
        </w:rPr>
        <w:t xml:space="preserve">Comprobantes de pago de remuneraciones quincenales del Director General de la Comisión de Impacto Estatal, Director de Servicios al Inversionista, Director de Dictaminación y Director del Registro de Evaluaciones de Impacto Estatal, en funciones del </w:t>
      </w:r>
      <w:r w:rsidR="00871CFE" w:rsidRPr="00B01A7E">
        <w:rPr>
          <w:rFonts w:ascii="Palatino Linotype" w:hAnsi="Palatino Linotype" w:cs="Arial"/>
          <w:b/>
        </w:rPr>
        <w:t>31</w:t>
      </w:r>
      <w:r w:rsidRPr="00B01A7E">
        <w:rPr>
          <w:rFonts w:ascii="Palatino Linotype" w:hAnsi="Palatino Linotype" w:cs="Arial"/>
          <w:b/>
        </w:rPr>
        <w:t xml:space="preserve"> de </w:t>
      </w:r>
      <w:r w:rsidR="00871CFE" w:rsidRPr="00B01A7E">
        <w:rPr>
          <w:rFonts w:ascii="Palatino Linotype" w:hAnsi="Palatino Linotype" w:cs="Arial"/>
          <w:b/>
        </w:rPr>
        <w:t>mayo de 2021 al 31 de may</w:t>
      </w:r>
      <w:r w:rsidRPr="00B01A7E">
        <w:rPr>
          <w:rFonts w:ascii="Palatino Linotype" w:hAnsi="Palatino Linotype" w:cs="Arial"/>
          <w:b/>
        </w:rPr>
        <w:t>o de 2022.</w:t>
      </w:r>
    </w:p>
    <w:p w:rsidR="00AF52DB" w:rsidRPr="00B01A7E" w:rsidRDefault="00AF52DB" w:rsidP="00AF52DB">
      <w:pPr>
        <w:pStyle w:val="Prrafodelista"/>
        <w:spacing w:line="360" w:lineRule="auto"/>
        <w:ind w:left="851"/>
        <w:jc w:val="both"/>
        <w:rPr>
          <w:rFonts w:ascii="Palatino Linotype" w:hAnsi="Palatino Linotype" w:cs="Arial"/>
          <w:b/>
        </w:rPr>
      </w:pPr>
    </w:p>
    <w:p w:rsidR="00BB13B0" w:rsidRPr="00B01A7E" w:rsidRDefault="00283025" w:rsidP="00AF52DB">
      <w:pPr>
        <w:spacing w:line="360" w:lineRule="auto"/>
        <w:jc w:val="both"/>
        <w:rPr>
          <w:rFonts w:ascii="Palatino Linotype" w:eastAsia="Calibri" w:hAnsi="Palatino Linotype" w:cs="Arial"/>
          <w:b/>
        </w:rPr>
      </w:pPr>
      <w:r w:rsidRPr="00B01A7E">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B01A7E">
        <w:rPr>
          <w:rFonts w:ascii="Palatino Linotype" w:eastAsia="Calibri" w:hAnsi="Palatino Linotype" w:cs="Arial"/>
          <w:b/>
        </w:rPr>
        <w:t>EL RECURRENTE.</w:t>
      </w:r>
    </w:p>
    <w:p w:rsidR="00AF52DB" w:rsidRPr="00B01A7E" w:rsidRDefault="00AF52DB" w:rsidP="00AF52DB">
      <w:pPr>
        <w:spacing w:line="360" w:lineRule="auto"/>
        <w:jc w:val="both"/>
        <w:rPr>
          <w:rFonts w:ascii="Palatino Linotype" w:eastAsia="Calibri" w:hAnsi="Palatino Linotype" w:cs="Arial"/>
          <w:b/>
        </w:rPr>
      </w:pPr>
    </w:p>
    <w:p w:rsidR="00283025" w:rsidRPr="00B01A7E" w:rsidRDefault="00283025" w:rsidP="00AF52DB">
      <w:pPr>
        <w:tabs>
          <w:tab w:val="left" w:pos="8080"/>
        </w:tabs>
        <w:spacing w:line="360" w:lineRule="auto"/>
        <w:ind w:right="49"/>
        <w:contextualSpacing/>
        <w:jc w:val="both"/>
        <w:rPr>
          <w:rFonts w:ascii="Palatino Linotype" w:hAnsi="Palatino Linotype"/>
        </w:rPr>
      </w:pPr>
      <w:r w:rsidRPr="00B01A7E">
        <w:rPr>
          <w:rFonts w:ascii="Palatino Linotype" w:eastAsia="Palatino Linotype" w:hAnsi="Palatino Linotype" w:cs="Palatino Linotype"/>
          <w:b/>
        </w:rPr>
        <w:t xml:space="preserve">TERCERO. </w:t>
      </w:r>
      <w:r w:rsidR="00D0302A" w:rsidRPr="00B01A7E">
        <w:rPr>
          <w:rFonts w:ascii="Palatino Linotype" w:hAnsi="Palatino Linotype"/>
          <w:b/>
        </w:rPr>
        <w:t xml:space="preserve">Notifíquese </w:t>
      </w:r>
      <w:r w:rsidR="00D0302A" w:rsidRPr="00B01A7E">
        <w:rPr>
          <w:rFonts w:ascii="Palatino Linotype" w:hAnsi="Palatino Linotype"/>
        </w:rPr>
        <w:t>la presente resolución al Titular de la Unidad de Transparencia del Sujeto Obligado,</w:t>
      </w:r>
      <w:r w:rsidR="00383401" w:rsidRPr="00B01A7E">
        <w:rPr>
          <w:rFonts w:ascii="Palatino Linotype" w:hAnsi="Palatino Linotype"/>
        </w:rPr>
        <w:t xml:space="preserve"> vía SAIMEX</w:t>
      </w:r>
      <w:r w:rsidR="00D0302A" w:rsidRPr="00B01A7E">
        <w:rPr>
          <w:rFonts w:ascii="Palatino Linotype" w:hAnsi="Palatino Linotype"/>
        </w:rPr>
        <w:t xml:space="preserve"> para que conforme al artículo 186 último párrafo, 189 segundo párrafo y 194 de la Ley de Transparencia y Acceso a la Información Pública del Estado de México y Municipios; dé cumplimiento a lo </w:t>
      </w:r>
      <w:r w:rsidR="00D0302A" w:rsidRPr="00B01A7E">
        <w:rPr>
          <w:rFonts w:ascii="Palatino Linotype" w:hAnsi="Palatino Linotype"/>
          <w:b/>
        </w:rPr>
        <w:t>ordenado dentro del plazo de diez días hábiles,</w:t>
      </w:r>
      <w:r w:rsidR="00D0302A" w:rsidRPr="00B01A7E">
        <w:rPr>
          <w:rFonts w:ascii="Palatino Linotype" w:hAnsi="Palatino Linotype"/>
        </w:rPr>
        <w:t xml:space="preserve"> e informe a este Instituto en un plazo de tres días hábiles siguientes sobre el cumplimiento dado a la presente y, se </w:t>
      </w:r>
      <w:r w:rsidR="00D0302A" w:rsidRPr="00B01A7E">
        <w:rPr>
          <w:rFonts w:ascii="Palatino Linotype" w:hAnsi="Palatino Linotype"/>
        </w:rPr>
        <w:lastRenderedPageBreak/>
        <w:t>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B29E3" w:rsidRPr="00B01A7E" w:rsidRDefault="001B29E3" w:rsidP="00AF52DB">
      <w:pPr>
        <w:tabs>
          <w:tab w:val="left" w:pos="8080"/>
        </w:tabs>
        <w:spacing w:line="360" w:lineRule="auto"/>
        <w:ind w:right="49"/>
        <w:contextualSpacing/>
        <w:jc w:val="both"/>
        <w:rPr>
          <w:rFonts w:ascii="Palatino Linotype" w:hAnsi="Palatino Linotype"/>
          <w:color w:val="222222"/>
          <w:shd w:val="clear" w:color="auto" w:fill="FFFFFF"/>
        </w:rPr>
      </w:pPr>
    </w:p>
    <w:p w:rsidR="00283025" w:rsidRPr="00B01A7E" w:rsidRDefault="00283025" w:rsidP="00AF52DB">
      <w:pPr>
        <w:spacing w:line="360" w:lineRule="auto"/>
        <w:jc w:val="both"/>
        <w:rPr>
          <w:rFonts w:ascii="Palatino Linotype" w:eastAsia="Calibri" w:hAnsi="Palatino Linotype" w:cs="Arial"/>
          <w:bCs/>
        </w:rPr>
      </w:pPr>
      <w:r w:rsidRPr="00B01A7E">
        <w:rPr>
          <w:rFonts w:ascii="Palatino Linotype" w:hAnsi="Palatino Linotype" w:cs="Arial"/>
          <w:b/>
        </w:rPr>
        <w:t xml:space="preserve">CUARTO. </w:t>
      </w:r>
      <w:r w:rsidRPr="00B01A7E">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283025" w:rsidRPr="00B01A7E" w:rsidRDefault="00283025" w:rsidP="00AF52DB">
      <w:pPr>
        <w:shd w:val="clear" w:color="auto" w:fill="FFFFFF"/>
        <w:spacing w:line="360" w:lineRule="auto"/>
        <w:jc w:val="both"/>
        <w:rPr>
          <w:rFonts w:ascii="Palatino Linotype" w:eastAsia="Times New Roman" w:hAnsi="Palatino Linotype" w:cs="Arial"/>
          <w:b/>
        </w:rPr>
      </w:pPr>
    </w:p>
    <w:p w:rsidR="00283025" w:rsidRPr="00B01A7E" w:rsidRDefault="00283025" w:rsidP="00AF52DB">
      <w:pPr>
        <w:shd w:val="clear" w:color="auto" w:fill="FFFFFF"/>
        <w:spacing w:line="360" w:lineRule="auto"/>
        <w:jc w:val="both"/>
        <w:rPr>
          <w:rFonts w:ascii="Palatino Linotype" w:hAnsi="Palatino Linotype"/>
        </w:rPr>
      </w:pPr>
      <w:r w:rsidRPr="00B01A7E">
        <w:rPr>
          <w:rFonts w:ascii="Palatino Linotype" w:eastAsia="Times New Roman" w:hAnsi="Palatino Linotype" w:cs="Arial"/>
          <w:b/>
        </w:rPr>
        <w:t xml:space="preserve">QUINTO. </w:t>
      </w:r>
      <w:r w:rsidRPr="00B01A7E">
        <w:rPr>
          <w:rFonts w:ascii="Palatino Linotype" w:eastAsia="Times New Roman" w:hAnsi="Palatino Linotype" w:cs="Times New Roman"/>
          <w:b/>
          <w:bCs/>
          <w:color w:val="222222"/>
          <w:lang w:val="es-ES"/>
        </w:rPr>
        <w:t>Notifíquese al Recurrente</w:t>
      </w:r>
      <w:r w:rsidRPr="00B01A7E">
        <w:rPr>
          <w:rFonts w:ascii="Palatino Linotype" w:hAnsi="Palatino Linotype"/>
        </w:rPr>
        <w:t xml:space="preserve"> la presente resolución vía </w:t>
      </w:r>
      <w:r w:rsidR="00383401" w:rsidRPr="00B01A7E">
        <w:rPr>
          <w:rFonts w:ascii="Palatino Linotype" w:hAnsi="Palatino Linotype"/>
        </w:rPr>
        <w:t>SAIMEX</w:t>
      </w:r>
      <w:r w:rsidRPr="00B01A7E">
        <w:rPr>
          <w:rFonts w:ascii="Palatino Linotype" w:hAnsi="Palatino Linotype"/>
        </w:rPr>
        <w:t>.</w:t>
      </w:r>
    </w:p>
    <w:p w:rsidR="00283025" w:rsidRPr="00B01A7E" w:rsidRDefault="00283025" w:rsidP="00AF52DB">
      <w:pPr>
        <w:shd w:val="clear" w:color="auto" w:fill="FFFFFF"/>
        <w:spacing w:line="360" w:lineRule="auto"/>
        <w:jc w:val="both"/>
        <w:rPr>
          <w:rFonts w:ascii="Palatino Linotype" w:hAnsi="Palatino Linotype"/>
        </w:rPr>
      </w:pPr>
    </w:p>
    <w:p w:rsidR="009F09BC" w:rsidRPr="00B01A7E" w:rsidRDefault="00283025" w:rsidP="00AF52DB">
      <w:pPr>
        <w:shd w:val="clear" w:color="auto" w:fill="FFFFFF"/>
        <w:spacing w:line="360" w:lineRule="auto"/>
        <w:jc w:val="both"/>
        <w:rPr>
          <w:rFonts w:ascii="Palatino Linotype" w:eastAsia="Times New Roman" w:hAnsi="Palatino Linotype" w:cs="Times New Roman"/>
          <w:color w:val="000000" w:themeColor="text1"/>
          <w:lang w:val="es-ES" w:eastAsia="es-MX"/>
        </w:rPr>
      </w:pPr>
      <w:r w:rsidRPr="00B01A7E">
        <w:rPr>
          <w:rFonts w:ascii="Palatino Linotype" w:hAnsi="Palatino Linotype"/>
          <w:b/>
        </w:rPr>
        <w:t>SEXTO.</w:t>
      </w:r>
      <w:r w:rsidRPr="00B01A7E">
        <w:rPr>
          <w:rFonts w:ascii="Palatino Linotype" w:eastAsia="Times New Roman" w:hAnsi="Palatino Linotype" w:cs="Times New Roman"/>
          <w:color w:val="222222"/>
          <w:lang w:val="es-ES" w:eastAsia="es-MX"/>
        </w:rPr>
        <w:t xml:space="preserve"> Se hace del conocimiento del </w:t>
      </w:r>
      <w:r w:rsidRPr="00B01A7E">
        <w:rPr>
          <w:rFonts w:ascii="Palatino Linotype" w:eastAsia="Times New Roman" w:hAnsi="Palatino Linotype" w:cs="Times New Roman"/>
          <w:b/>
          <w:bCs/>
          <w:color w:val="222222"/>
          <w:lang w:val="es-ES" w:eastAsia="es-MX"/>
        </w:rPr>
        <w:t>RECURRENTE</w:t>
      </w:r>
      <w:r w:rsidRPr="00B01A7E">
        <w:rPr>
          <w:rFonts w:ascii="Palatino Linotype" w:eastAsia="Times New Roman" w:hAnsi="Palatino Linotype" w:cs="Times New Roman"/>
          <w:color w:val="222222"/>
          <w:lang w:eastAsia="es-MX"/>
        </w:rPr>
        <w:t xml:space="preserve"> que,</w:t>
      </w:r>
      <w:r w:rsidRPr="00B01A7E">
        <w:rPr>
          <w:rFonts w:ascii="Palatino Linotype" w:eastAsia="Times New Roman" w:hAnsi="Palatino Linotype" w:cs="Arial"/>
          <w:b/>
          <w:lang w:val="es-ES"/>
        </w:rPr>
        <w:t xml:space="preserve"> </w:t>
      </w:r>
      <w:r w:rsidRPr="00B01A7E">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w:t>
      </w:r>
      <w:r w:rsidRPr="00B01A7E">
        <w:rPr>
          <w:rFonts w:ascii="Palatino Linotype" w:hAnsi="Palatino Linotype"/>
          <w:color w:val="000000"/>
          <w:shd w:val="clear" w:color="auto" w:fill="FFFFFF"/>
        </w:rPr>
        <w:t xml:space="preserve">en caso de que considere que la resolución le cause algún perjuicio podrá impugnarla vía </w:t>
      </w:r>
      <w:r w:rsidRPr="00B01A7E">
        <w:rPr>
          <w:rFonts w:ascii="Palatino Linotype" w:hAnsi="Palatino Linotype"/>
          <w:color w:val="222222"/>
          <w:shd w:val="clear" w:color="auto" w:fill="FFFFFF"/>
          <w:lang w:val="es-ES"/>
        </w:rPr>
        <w:t>juicio de amparo en los términos de las leyes aplicables.</w:t>
      </w:r>
    </w:p>
    <w:p w:rsidR="00053FB7" w:rsidRPr="00B01A7E" w:rsidRDefault="00053FB7" w:rsidP="00AF52DB">
      <w:pPr>
        <w:shd w:val="clear" w:color="auto" w:fill="FFFFFF"/>
        <w:spacing w:line="360" w:lineRule="auto"/>
        <w:jc w:val="both"/>
        <w:rPr>
          <w:rFonts w:ascii="Palatino Linotype" w:eastAsia="Times New Roman" w:hAnsi="Palatino Linotype" w:cs="Times New Roman"/>
          <w:color w:val="000000" w:themeColor="text1"/>
          <w:lang w:val="es-ES" w:eastAsia="es-MX"/>
        </w:rPr>
      </w:pPr>
    </w:p>
    <w:p w:rsidR="006971FE" w:rsidRPr="006971FE" w:rsidRDefault="006971FE" w:rsidP="006971FE">
      <w:pPr>
        <w:spacing w:before="240" w:after="240" w:line="360" w:lineRule="auto"/>
        <w:ind w:firstLine="1"/>
        <w:jc w:val="both"/>
        <w:rPr>
          <w:rFonts w:ascii="Palatino Linotype" w:hAnsi="Palatino Linotype"/>
          <w:smallCaps/>
        </w:rPr>
      </w:pPr>
      <w:bookmarkStart w:id="163" w:name="_Hlk129792997"/>
      <w:r w:rsidRPr="00B01A7E">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B01A7E">
        <w:rPr>
          <w:rStyle w:val="Referenciasutil"/>
          <w:rFonts w:ascii="Palatino Linotype" w:hAnsi="Palatino Linotype"/>
          <w:color w:val="auto"/>
        </w:rPr>
        <w:lastRenderedPageBreak/>
        <w:t>GUSTAVO PARRA NORIEGA Y GUADALUPE RAMÍREZ PEÑA; EN LA VIGÉSIMA QUINTA SESIÓN ORDINARIA CELEBRADA EL CINCO (05) DE JULIO DE DOS MIL VEINTITRÉS, ANTE EL SECRETARIO TÉCNICO DEL PLENO ALEXIS TAPIA RAMÍREZ.</w:t>
      </w:r>
      <w:bookmarkStart w:id="164" w:name="_GoBack"/>
      <w:bookmarkEnd w:id="164"/>
      <w:r w:rsidRPr="006971FE">
        <w:rPr>
          <w:rStyle w:val="Referenciasutil"/>
          <w:rFonts w:ascii="Palatino Linotype" w:hAnsi="Palatino Linotype"/>
          <w:color w:val="auto"/>
        </w:rPr>
        <w:t xml:space="preserve"> </w:t>
      </w:r>
      <w:bookmarkEnd w:id="163"/>
    </w:p>
    <w:p w:rsidR="009F09BC" w:rsidRPr="00AF52DB" w:rsidRDefault="009F09BC" w:rsidP="00AF52DB">
      <w:pPr>
        <w:spacing w:line="360" w:lineRule="auto"/>
        <w:jc w:val="both"/>
        <w:rPr>
          <w:rFonts w:ascii="Palatino Linotype" w:hAnsi="Palatino Linotype"/>
          <w:color w:val="000000" w:themeColor="text1"/>
        </w:rPr>
      </w:pPr>
    </w:p>
    <w:p w:rsidR="009F09BC" w:rsidRPr="00AF52DB" w:rsidRDefault="009F09BC" w:rsidP="00AF52DB">
      <w:pPr>
        <w:spacing w:line="360" w:lineRule="auto"/>
        <w:jc w:val="both"/>
        <w:rPr>
          <w:rFonts w:ascii="Palatino Linotype" w:hAnsi="Palatino Linotype"/>
          <w:color w:val="000000" w:themeColor="text1"/>
        </w:rPr>
      </w:pPr>
    </w:p>
    <w:p w:rsidR="009F09BC" w:rsidRPr="00AF52DB" w:rsidRDefault="009F09BC" w:rsidP="00AF52DB">
      <w:pPr>
        <w:spacing w:line="360" w:lineRule="auto"/>
        <w:jc w:val="both"/>
        <w:rPr>
          <w:rFonts w:ascii="Palatino Linotype" w:hAnsi="Palatino Linotype"/>
          <w:color w:val="000000" w:themeColor="text1"/>
        </w:rPr>
      </w:pPr>
    </w:p>
    <w:p w:rsidR="009F09BC" w:rsidRPr="00AF52DB" w:rsidRDefault="009F09BC" w:rsidP="00AF52DB">
      <w:pPr>
        <w:spacing w:line="360" w:lineRule="auto"/>
        <w:jc w:val="both"/>
        <w:rPr>
          <w:rFonts w:ascii="Palatino Linotype" w:hAnsi="Palatino Linotype"/>
          <w:color w:val="000000" w:themeColor="text1"/>
        </w:rPr>
      </w:pPr>
    </w:p>
    <w:p w:rsidR="009F09BC" w:rsidRPr="00AF52DB" w:rsidRDefault="009F09BC" w:rsidP="00AF52DB">
      <w:pPr>
        <w:spacing w:line="360" w:lineRule="auto"/>
        <w:jc w:val="both"/>
        <w:rPr>
          <w:rFonts w:ascii="Palatino Linotype" w:hAnsi="Palatino Linotype"/>
          <w:color w:val="000000" w:themeColor="text1"/>
        </w:rPr>
      </w:pPr>
    </w:p>
    <w:p w:rsidR="009F09BC" w:rsidRPr="00AF52DB" w:rsidRDefault="009F09BC" w:rsidP="00AF52DB">
      <w:pPr>
        <w:spacing w:line="360" w:lineRule="auto"/>
        <w:jc w:val="both"/>
        <w:rPr>
          <w:rFonts w:ascii="Palatino Linotype" w:hAnsi="Palatino Linotype"/>
          <w:color w:val="000000" w:themeColor="text1"/>
        </w:rPr>
      </w:pPr>
    </w:p>
    <w:p w:rsidR="009F09BC" w:rsidRPr="00AF52DB" w:rsidRDefault="009F09BC" w:rsidP="00AF52DB">
      <w:pPr>
        <w:spacing w:line="360" w:lineRule="auto"/>
        <w:jc w:val="both"/>
        <w:rPr>
          <w:rFonts w:ascii="Palatino Linotype" w:hAnsi="Palatino Linotype"/>
          <w:color w:val="000000" w:themeColor="text1"/>
        </w:rPr>
      </w:pPr>
    </w:p>
    <w:p w:rsidR="009F09BC" w:rsidRPr="00AF52DB" w:rsidRDefault="009F09BC" w:rsidP="00AF52DB">
      <w:pPr>
        <w:spacing w:line="360" w:lineRule="auto"/>
        <w:jc w:val="both"/>
        <w:rPr>
          <w:rFonts w:ascii="Palatino Linotype" w:hAnsi="Palatino Linotype"/>
          <w:color w:val="000000" w:themeColor="text1"/>
        </w:rPr>
      </w:pPr>
    </w:p>
    <w:p w:rsidR="009F09BC" w:rsidRPr="00AF52DB" w:rsidRDefault="009F09BC" w:rsidP="00AF52DB">
      <w:pPr>
        <w:spacing w:line="360" w:lineRule="auto"/>
        <w:jc w:val="both"/>
        <w:rPr>
          <w:rFonts w:ascii="Palatino Linotype" w:hAnsi="Palatino Linotype"/>
          <w:color w:val="000000" w:themeColor="text1"/>
        </w:rPr>
      </w:pPr>
    </w:p>
    <w:p w:rsidR="009F09BC" w:rsidRPr="00AF52DB" w:rsidRDefault="009F09BC" w:rsidP="00AF52DB">
      <w:pPr>
        <w:spacing w:line="360" w:lineRule="auto"/>
        <w:rPr>
          <w:rFonts w:ascii="Palatino Linotype" w:hAnsi="Palatino Linotype"/>
          <w:color w:val="000000" w:themeColor="text1"/>
        </w:rPr>
      </w:pPr>
    </w:p>
    <w:p w:rsidR="009F09BC" w:rsidRPr="00AF52DB" w:rsidRDefault="009F09BC" w:rsidP="00AF52DB">
      <w:pPr>
        <w:spacing w:line="360" w:lineRule="auto"/>
        <w:rPr>
          <w:rFonts w:ascii="Palatino Linotype" w:hAnsi="Palatino Linotype"/>
          <w:color w:val="000000" w:themeColor="text1"/>
        </w:rPr>
      </w:pPr>
    </w:p>
    <w:p w:rsidR="009F09BC" w:rsidRPr="00AF52DB" w:rsidRDefault="009F09BC" w:rsidP="00AF52DB">
      <w:pPr>
        <w:spacing w:line="360" w:lineRule="auto"/>
        <w:rPr>
          <w:rFonts w:ascii="Palatino Linotype" w:hAnsi="Palatino Linotype"/>
          <w:color w:val="000000" w:themeColor="text1"/>
        </w:rPr>
      </w:pPr>
    </w:p>
    <w:p w:rsidR="009F09BC" w:rsidRPr="00AF52DB" w:rsidRDefault="009F09BC" w:rsidP="00AF52DB">
      <w:pPr>
        <w:spacing w:line="360" w:lineRule="auto"/>
        <w:rPr>
          <w:rFonts w:ascii="Palatino Linotype" w:hAnsi="Palatino Linotype"/>
          <w:color w:val="000000" w:themeColor="text1"/>
        </w:rPr>
      </w:pPr>
    </w:p>
    <w:p w:rsidR="009F09BC" w:rsidRPr="00AF52DB" w:rsidRDefault="009F09BC" w:rsidP="00AF52DB">
      <w:pPr>
        <w:spacing w:line="360" w:lineRule="auto"/>
        <w:rPr>
          <w:rFonts w:ascii="Palatino Linotype" w:hAnsi="Palatino Linotype"/>
          <w:color w:val="000000" w:themeColor="text1"/>
        </w:rPr>
      </w:pPr>
    </w:p>
    <w:p w:rsidR="009F09BC" w:rsidRPr="00AF52DB" w:rsidRDefault="009F09BC" w:rsidP="00AF52DB">
      <w:pPr>
        <w:spacing w:line="360" w:lineRule="auto"/>
        <w:rPr>
          <w:rFonts w:ascii="Palatino Linotype" w:hAnsi="Palatino Linotype"/>
          <w:color w:val="000000" w:themeColor="text1"/>
        </w:rPr>
      </w:pPr>
    </w:p>
    <w:p w:rsidR="009F09BC" w:rsidRPr="00AF52DB" w:rsidRDefault="009F09BC" w:rsidP="00AF52DB">
      <w:pPr>
        <w:spacing w:line="360" w:lineRule="auto"/>
        <w:rPr>
          <w:rFonts w:ascii="Palatino Linotype" w:hAnsi="Palatino Linotype"/>
          <w:color w:val="000000" w:themeColor="text1"/>
        </w:rPr>
      </w:pPr>
    </w:p>
    <w:p w:rsidR="009F09BC" w:rsidRPr="00AF52DB" w:rsidRDefault="009F09BC" w:rsidP="00AF52DB">
      <w:pPr>
        <w:tabs>
          <w:tab w:val="left" w:pos="3374"/>
        </w:tabs>
        <w:spacing w:line="360" w:lineRule="auto"/>
        <w:rPr>
          <w:rFonts w:ascii="Palatino Linotype" w:hAnsi="Palatino Linotype"/>
          <w:color w:val="000000" w:themeColor="text1"/>
        </w:rPr>
      </w:pPr>
      <w:r w:rsidRPr="00AF52DB">
        <w:rPr>
          <w:rFonts w:ascii="Palatino Linotype" w:hAnsi="Palatino Linotype"/>
          <w:color w:val="000000" w:themeColor="text1"/>
        </w:rPr>
        <w:tab/>
      </w:r>
    </w:p>
    <w:p w:rsidR="0074110E" w:rsidRPr="00AF52DB" w:rsidRDefault="0074110E" w:rsidP="00AF52DB">
      <w:pPr>
        <w:tabs>
          <w:tab w:val="left" w:pos="3374"/>
        </w:tabs>
        <w:spacing w:line="360" w:lineRule="auto"/>
        <w:rPr>
          <w:rFonts w:ascii="Palatino Linotype" w:hAnsi="Palatino Linotype"/>
          <w:color w:val="000000" w:themeColor="text1"/>
        </w:rPr>
      </w:pPr>
    </w:p>
    <w:p w:rsidR="0074110E" w:rsidRPr="00AF52DB" w:rsidRDefault="0074110E" w:rsidP="00AF52DB">
      <w:pPr>
        <w:tabs>
          <w:tab w:val="left" w:pos="3374"/>
        </w:tabs>
        <w:spacing w:line="360" w:lineRule="auto"/>
        <w:rPr>
          <w:rFonts w:ascii="Palatino Linotype" w:hAnsi="Palatino Linotype"/>
          <w:color w:val="000000" w:themeColor="text1"/>
        </w:rPr>
      </w:pPr>
    </w:p>
    <w:p w:rsidR="0074110E" w:rsidRPr="00AF52DB" w:rsidRDefault="0074110E" w:rsidP="00AF52DB">
      <w:pPr>
        <w:tabs>
          <w:tab w:val="left" w:pos="3374"/>
        </w:tabs>
        <w:spacing w:line="360" w:lineRule="auto"/>
        <w:rPr>
          <w:rFonts w:ascii="Palatino Linotype" w:hAnsi="Palatino Linotype"/>
          <w:color w:val="000000" w:themeColor="text1"/>
        </w:rPr>
      </w:pPr>
    </w:p>
    <w:p w:rsidR="0074110E" w:rsidRPr="00AF52DB" w:rsidRDefault="0074110E" w:rsidP="00AF52DB">
      <w:pPr>
        <w:tabs>
          <w:tab w:val="left" w:pos="3374"/>
        </w:tabs>
        <w:spacing w:line="360" w:lineRule="auto"/>
        <w:rPr>
          <w:rFonts w:ascii="Palatino Linotype" w:hAnsi="Palatino Linotype"/>
          <w:color w:val="000000" w:themeColor="text1"/>
        </w:rPr>
      </w:pPr>
    </w:p>
    <w:p w:rsidR="0074110E" w:rsidRPr="00AF52DB" w:rsidRDefault="0074110E" w:rsidP="00AF52DB">
      <w:pPr>
        <w:tabs>
          <w:tab w:val="left" w:pos="3374"/>
        </w:tabs>
        <w:spacing w:line="360" w:lineRule="auto"/>
        <w:rPr>
          <w:rFonts w:ascii="Palatino Linotype" w:hAnsi="Palatino Linotype"/>
          <w:color w:val="000000" w:themeColor="text1"/>
        </w:rPr>
      </w:pPr>
    </w:p>
    <w:p w:rsidR="0074110E" w:rsidRPr="00AF52DB" w:rsidRDefault="0074110E" w:rsidP="00AF52DB">
      <w:pPr>
        <w:tabs>
          <w:tab w:val="left" w:pos="3374"/>
        </w:tabs>
        <w:spacing w:line="360" w:lineRule="auto"/>
        <w:rPr>
          <w:rFonts w:ascii="Palatino Linotype" w:hAnsi="Palatino Linotype"/>
          <w:color w:val="000000" w:themeColor="text1"/>
        </w:rPr>
      </w:pPr>
    </w:p>
    <w:p w:rsidR="0074110E" w:rsidRPr="00AF52DB" w:rsidRDefault="0074110E" w:rsidP="00AF52DB">
      <w:pPr>
        <w:tabs>
          <w:tab w:val="left" w:pos="3374"/>
        </w:tabs>
        <w:spacing w:line="360" w:lineRule="auto"/>
        <w:rPr>
          <w:rFonts w:ascii="Palatino Linotype" w:hAnsi="Palatino Linotype"/>
          <w:color w:val="000000" w:themeColor="text1"/>
        </w:rPr>
      </w:pPr>
    </w:p>
    <w:p w:rsidR="0074110E" w:rsidRPr="00AF52DB" w:rsidRDefault="0074110E" w:rsidP="00AF52DB">
      <w:pPr>
        <w:tabs>
          <w:tab w:val="left" w:pos="3374"/>
        </w:tabs>
        <w:spacing w:line="360" w:lineRule="auto"/>
        <w:rPr>
          <w:rFonts w:ascii="Palatino Linotype" w:hAnsi="Palatino Linotype"/>
          <w:color w:val="000000" w:themeColor="text1"/>
        </w:rPr>
      </w:pPr>
    </w:p>
    <w:p w:rsidR="00053FB7" w:rsidRPr="00AF52DB" w:rsidRDefault="00053FB7" w:rsidP="00AF52DB">
      <w:pPr>
        <w:tabs>
          <w:tab w:val="left" w:pos="3374"/>
        </w:tabs>
        <w:spacing w:line="360" w:lineRule="auto"/>
        <w:rPr>
          <w:rFonts w:ascii="Palatino Linotype" w:hAnsi="Palatino Linotype"/>
          <w:color w:val="000000" w:themeColor="text1"/>
        </w:rPr>
      </w:pPr>
    </w:p>
    <w:p w:rsidR="00053FB7" w:rsidRPr="00AF52DB" w:rsidRDefault="00053FB7" w:rsidP="00AF52DB">
      <w:pPr>
        <w:tabs>
          <w:tab w:val="left" w:pos="3374"/>
        </w:tabs>
        <w:spacing w:line="360" w:lineRule="auto"/>
        <w:rPr>
          <w:rFonts w:ascii="Palatino Linotype" w:hAnsi="Palatino Linotype"/>
          <w:color w:val="000000" w:themeColor="text1"/>
        </w:rPr>
      </w:pPr>
    </w:p>
    <w:p w:rsidR="00053FB7" w:rsidRPr="00AF52DB" w:rsidRDefault="00053FB7" w:rsidP="00AF52DB">
      <w:pPr>
        <w:tabs>
          <w:tab w:val="left" w:pos="3374"/>
        </w:tabs>
        <w:spacing w:line="360" w:lineRule="auto"/>
        <w:rPr>
          <w:rFonts w:ascii="Palatino Linotype" w:hAnsi="Palatino Linotype"/>
          <w:color w:val="000000" w:themeColor="text1"/>
        </w:rPr>
      </w:pPr>
    </w:p>
    <w:p w:rsidR="00053FB7" w:rsidRPr="00AF52DB" w:rsidRDefault="00053FB7" w:rsidP="00AF52DB">
      <w:pPr>
        <w:tabs>
          <w:tab w:val="left" w:pos="3374"/>
        </w:tabs>
        <w:spacing w:line="360" w:lineRule="auto"/>
        <w:rPr>
          <w:rFonts w:ascii="Palatino Linotype" w:hAnsi="Palatino Linotype"/>
          <w:color w:val="000000" w:themeColor="text1"/>
        </w:rPr>
      </w:pPr>
    </w:p>
    <w:p w:rsidR="00053FB7" w:rsidRPr="00AF52DB" w:rsidRDefault="00053FB7" w:rsidP="00AF52DB">
      <w:pPr>
        <w:tabs>
          <w:tab w:val="left" w:pos="3374"/>
        </w:tabs>
        <w:spacing w:line="360" w:lineRule="auto"/>
        <w:rPr>
          <w:rFonts w:ascii="Palatino Linotype" w:hAnsi="Palatino Linotype"/>
          <w:color w:val="000000" w:themeColor="text1"/>
        </w:rPr>
      </w:pPr>
    </w:p>
    <w:p w:rsidR="00053FB7" w:rsidRPr="00AF52DB" w:rsidRDefault="00053FB7" w:rsidP="00AF52DB">
      <w:pPr>
        <w:tabs>
          <w:tab w:val="left" w:pos="3374"/>
        </w:tabs>
        <w:spacing w:line="360" w:lineRule="auto"/>
        <w:rPr>
          <w:rFonts w:ascii="Palatino Linotype" w:hAnsi="Palatino Linotype"/>
          <w:color w:val="000000" w:themeColor="text1"/>
        </w:rPr>
      </w:pPr>
    </w:p>
    <w:p w:rsidR="00053FB7" w:rsidRPr="00AF52DB" w:rsidRDefault="00053FB7" w:rsidP="00AF52DB">
      <w:pPr>
        <w:tabs>
          <w:tab w:val="left" w:pos="3374"/>
        </w:tabs>
        <w:spacing w:line="360" w:lineRule="auto"/>
        <w:rPr>
          <w:rFonts w:ascii="Palatino Linotype" w:hAnsi="Palatino Linotype"/>
          <w:color w:val="000000" w:themeColor="text1"/>
        </w:rPr>
      </w:pPr>
    </w:p>
    <w:p w:rsidR="00053FB7" w:rsidRPr="00AF52DB" w:rsidRDefault="00053FB7" w:rsidP="00AF52DB">
      <w:pPr>
        <w:tabs>
          <w:tab w:val="left" w:pos="3374"/>
        </w:tabs>
        <w:spacing w:line="360" w:lineRule="auto"/>
        <w:rPr>
          <w:rFonts w:ascii="Palatino Linotype" w:hAnsi="Palatino Linotype"/>
          <w:color w:val="000000" w:themeColor="text1"/>
        </w:rPr>
      </w:pPr>
    </w:p>
    <w:p w:rsidR="00053FB7" w:rsidRPr="00AF52DB" w:rsidRDefault="00053FB7" w:rsidP="00AF52DB">
      <w:pPr>
        <w:tabs>
          <w:tab w:val="left" w:pos="3374"/>
        </w:tabs>
        <w:spacing w:line="360" w:lineRule="auto"/>
        <w:rPr>
          <w:rFonts w:ascii="Palatino Linotype" w:hAnsi="Palatino Linotype"/>
          <w:color w:val="000000" w:themeColor="text1"/>
        </w:rPr>
      </w:pPr>
    </w:p>
    <w:p w:rsidR="00053FB7" w:rsidRPr="00AF52DB" w:rsidRDefault="00053FB7" w:rsidP="00AF52DB">
      <w:pPr>
        <w:tabs>
          <w:tab w:val="left" w:pos="3374"/>
        </w:tabs>
        <w:spacing w:line="360" w:lineRule="auto"/>
        <w:rPr>
          <w:rFonts w:ascii="Palatino Linotype" w:hAnsi="Palatino Linotype"/>
          <w:color w:val="000000" w:themeColor="text1"/>
        </w:rPr>
      </w:pPr>
    </w:p>
    <w:p w:rsidR="00053FB7" w:rsidRPr="00AF52DB" w:rsidRDefault="00053FB7" w:rsidP="00AF52DB">
      <w:pPr>
        <w:tabs>
          <w:tab w:val="left" w:pos="3374"/>
        </w:tabs>
        <w:spacing w:line="360" w:lineRule="auto"/>
        <w:rPr>
          <w:rFonts w:ascii="Palatino Linotype" w:hAnsi="Palatino Linotype"/>
          <w:color w:val="000000" w:themeColor="text1"/>
        </w:rPr>
      </w:pPr>
    </w:p>
    <w:sectPr w:rsidR="00053FB7" w:rsidRPr="00AF52DB" w:rsidSect="00E61C13">
      <w:headerReference w:type="even" r:id="rId11"/>
      <w:headerReference w:type="default" r:id="rId12"/>
      <w:footerReference w:type="default" r:id="rId13"/>
      <w:headerReference w:type="first" r:id="rId14"/>
      <w:footerReference w:type="first" r:id="rId15"/>
      <w:pgSz w:w="12240" w:h="15840"/>
      <w:pgMar w:top="2268"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68A" w:rsidRDefault="0090368A" w:rsidP="003B7751">
      <w:r>
        <w:separator/>
      </w:r>
    </w:p>
  </w:endnote>
  <w:endnote w:type="continuationSeparator" w:id="0">
    <w:p w:rsidR="0090368A" w:rsidRDefault="0090368A"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Courier New"/>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7F0225" w:rsidRPr="002D6DD8" w:rsidRDefault="007F022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01A7E">
              <w:rPr>
                <w:rFonts w:ascii="Palatino Linotype" w:hAnsi="Palatino Linotype"/>
                <w:bCs/>
                <w:noProof/>
                <w:sz w:val="20"/>
              </w:rPr>
              <w:t>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01A7E">
              <w:rPr>
                <w:rFonts w:ascii="Palatino Linotype" w:hAnsi="Palatino Linotype"/>
                <w:bCs/>
                <w:noProof/>
                <w:sz w:val="20"/>
              </w:rPr>
              <w:t>35</w:t>
            </w:r>
            <w:r>
              <w:rPr>
                <w:rFonts w:ascii="Palatino Linotype" w:hAnsi="Palatino Linotype"/>
                <w:bCs/>
                <w:noProof/>
                <w:sz w:val="20"/>
              </w:rPr>
              <w:fldChar w:fldCharType="end"/>
            </w:r>
          </w:p>
        </w:sdtContent>
      </w:sdt>
    </w:sdtContent>
  </w:sdt>
  <w:p w:rsidR="007F0225" w:rsidRDefault="007F022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225" w:rsidRPr="000B69FA" w:rsidRDefault="007F022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01A7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01A7E">
      <w:rPr>
        <w:rFonts w:ascii="Palatino Linotype" w:hAnsi="Palatino Linotype"/>
        <w:bCs/>
        <w:noProof/>
        <w:sz w:val="20"/>
      </w:rPr>
      <w:t>35</w:t>
    </w:r>
    <w:r>
      <w:rPr>
        <w:rFonts w:ascii="Palatino Linotype" w:hAnsi="Palatino Linotype"/>
        <w:bCs/>
        <w:noProof/>
        <w:sz w:val="20"/>
      </w:rPr>
      <w:fldChar w:fldCharType="end"/>
    </w:r>
  </w:p>
  <w:p w:rsidR="007F0225" w:rsidRDefault="007F02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68A" w:rsidRDefault="0090368A" w:rsidP="003B7751">
      <w:r>
        <w:separator/>
      </w:r>
    </w:p>
  </w:footnote>
  <w:footnote w:type="continuationSeparator" w:id="0">
    <w:p w:rsidR="0090368A" w:rsidRDefault="0090368A" w:rsidP="003B7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225" w:rsidRDefault="0090368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7F0225" w:rsidTr="006A04B6">
      <w:trPr>
        <w:trHeight w:val="227"/>
      </w:trPr>
      <w:tc>
        <w:tcPr>
          <w:tcW w:w="2976" w:type="dxa"/>
          <w:vAlign w:val="center"/>
          <w:hideMark/>
        </w:tcPr>
        <w:p w:rsidR="007F0225" w:rsidRPr="00674A46" w:rsidRDefault="007F022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7F0225" w:rsidRPr="00485ED8" w:rsidRDefault="009117D1" w:rsidP="00CE391A">
          <w:pPr>
            <w:pStyle w:val="Encabezado"/>
            <w:rPr>
              <w:rFonts w:ascii="Palatino Linotype" w:hAnsi="Palatino Linotype"/>
              <w:b/>
              <w:sz w:val="22"/>
              <w:szCs w:val="22"/>
            </w:rPr>
          </w:pPr>
          <w:r>
            <w:rPr>
              <w:rFonts w:ascii="Palatino Linotype" w:hAnsi="Palatino Linotype" w:cs="Arial"/>
              <w:b/>
              <w:bCs/>
              <w:sz w:val="22"/>
              <w:szCs w:val="22"/>
              <w:lang w:eastAsia="es-MX"/>
            </w:rPr>
            <w:t>11293</w:t>
          </w:r>
          <w:r w:rsidR="007F0225" w:rsidRPr="00485ED8">
            <w:rPr>
              <w:rFonts w:ascii="Palatino Linotype" w:hAnsi="Palatino Linotype" w:cs="Arial"/>
              <w:b/>
              <w:bCs/>
              <w:sz w:val="22"/>
              <w:szCs w:val="22"/>
              <w:lang w:eastAsia="es-MX"/>
            </w:rPr>
            <w:t>/INFOEM/IP/RR/202</w:t>
          </w:r>
          <w:r w:rsidR="006971FE">
            <w:rPr>
              <w:rFonts w:ascii="Palatino Linotype" w:hAnsi="Palatino Linotype" w:cs="Arial"/>
              <w:b/>
              <w:bCs/>
              <w:sz w:val="22"/>
              <w:szCs w:val="22"/>
              <w:lang w:eastAsia="es-MX"/>
            </w:rPr>
            <w:t>2</w:t>
          </w:r>
        </w:p>
      </w:tc>
    </w:tr>
    <w:tr w:rsidR="007F0225" w:rsidTr="006A04B6">
      <w:trPr>
        <w:trHeight w:val="242"/>
      </w:trPr>
      <w:tc>
        <w:tcPr>
          <w:tcW w:w="2976" w:type="dxa"/>
          <w:vAlign w:val="center"/>
          <w:hideMark/>
        </w:tcPr>
        <w:p w:rsidR="007F0225" w:rsidRPr="00674A46" w:rsidRDefault="007F022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7F0225" w:rsidRPr="00485ED8" w:rsidRDefault="009117D1" w:rsidP="0038112D">
          <w:pPr>
            <w:pStyle w:val="Encabezado"/>
            <w:jc w:val="both"/>
            <w:rPr>
              <w:rFonts w:ascii="Palatino Linotype" w:hAnsi="Palatino Linotype"/>
              <w:b/>
              <w:sz w:val="22"/>
              <w:szCs w:val="22"/>
            </w:rPr>
          </w:pPr>
          <w:r w:rsidRPr="009117D1">
            <w:rPr>
              <w:rFonts w:ascii="Palatino Linotype" w:hAnsi="Palatino Linotype"/>
              <w:b/>
              <w:bCs/>
              <w:color w:val="000000"/>
              <w:sz w:val="22"/>
              <w:szCs w:val="22"/>
            </w:rPr>
            <w:t>Secretaría de Desarrollo Urbano y Obra</w:t>
          </w:r>
        </w:p>
      </w:tc>
    </w:tr>
    <w:tr w:rsidR="007F0225" w:rsidTr="006A04B6">
      <w:trPr>
        <w:trHeight w:val="342"/>
      </w:trPr>
      <w:tc>
        <w:tcPr>
          <w:tcW w:w="2976" w:type="dxa"/>
          <w:vAlign w:val="center"/>
          <w:hideMark/>
        </w:tcPr>
        <w:p w:rsidR="007F0225" w:rsidRPr="00674A46" w:rsidRDefault="00D0705B" w:rsidP="009F09BC">
          <w:pPr>
            <w:ind w:right="34"/>
            <w:jc w:val="right"/>
            <w:rPr>
              <w:rFonts w:ascii="Palatino Linotype" w:hAnsi="Palatino Linotype"/>
              <w:b/>
              <w:sz w:val="22"/>
              <w:szCs w:val="22"/>
            </w:rPr>
          </w:pPr>
          <w:r>
            <w:rPr>
              <w:rFonts w:ascii="Palatino Linotype" w:hAnsi="Palatino Linotype"/>
              <w:b/>
              <w:sz w:val="22"/>
              <w:szCs w:val="22"/>
            </w:rPr>
            <w:t>Comisionada</w:t>
          </w:r>
          <w:r w:rsidR="007F0225" w:rsidRPr="00674A46">
            <w:rPr>
              <w:rFonts w:ascii="Palatino Linotype" w:hAnsi="Palatino Linotype"/>
              <w:b/>
              <w:sz w:val="22"/>
              <w:szCs w:val="22"/>
            </w:rPr>
            <w:t xml:space="preserve"> Ponente:</w:t>
          </w:r>
        </w:p>
      </w:tc>
      <w:tc>
        <w:tcPr>
          <w:tcW w:w="3543" w:type="dxa"/>
          <w:vAlign w:val="center"/>
          <w:hideMark/>
        </w:tcPr>
        <w:p w:rsidR="007F0225" w:rsidRPr="00485ED8" w:rsidRDefault="007F0225"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7F0225" w:rsidRPr="00AE046A" w:rsidRDefault="0090368A"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7F0225" w:rsidTr="006A04B6">
      <w:trPr>
        <w:trHeight w:val="227"/>
      </w:trPr>
      <w:tc>
        <w:tcPr>
          <w:tcW w:w="2977" w:type="dxa"/>
          <w:vAlign w:val="center"/>
          <w:hideMark/>
        </w:tcPr>
        <w:p w:rsidR="007F0225" w:rsidRPr="00674A46" w:rsidRDefault="007F0225"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7F0225" w:rsidRPr="00485ED8" w:rsidRDefault="00675B3A" w:rsidP="00DF7F47">
          <w:pPr>
            <w:pStyle w:val="Encabezado"/>
            <w:rPr>
              <w:rFonts w:ascii="Palatino Linotype" w:hAnsi="Palatino Linotype"/>
              <w:b/>
              <w:sz w:val="22"/>
              <w:szCs w:val="22"/>
            </w:rPr>
          </w:pPr>
          <w:r w:rsidRPr="00675B3A">
            <w:rPr>
              <w:rFonts w:ascii="Palatino Linotype" w:hAnsi="Palatino Linotype" w:cs="Arial"/>
              <w:b/>
              <w:bCs/>
              <w:sz w:val="22"/>
              <w:szCs w:val="22"/>
              <w:lang w:eastAsia="es-MX"/>
            </w:rPr>
            <w:t>11293/INFOEM/IP/RR/2022</w:t>
          </w:r>
        </w:p>
      </w:tc>
    </w:tr>
    <w:tr w:rsidR="007F0225" w:rsidTr="00652937">
      <w:trPr>
        <w:trHeight w:val="242"/>
      </w:trPr>
      <w:tc>
        <w:tcPr>
          <w:tcW w:w="2977" w:type="dxa"/>
          <w:vAlign w:val="center"/>
          <w:hideMark/>
        </w:tcPr>
        <w:p w:rsidR="007F0225" w:rsidRPr="00674A46" w:rsidRDefault="007F0225"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tcPr>
        <w:p w:rsidR="007F0225" w:rsidRPr="00B75F20" w:rsidRDefault="00B01A7E" w:rsidP="009F09BC">
          <w:pPr>
            <w:pStyle w:val="Encabezado"/>
            <w:tabs>
              <w:tab w:val="left" w:pos="521"/>
            </w:tabs>
            <w:rPr>
              <w:rFonts w:ascii="Palatino Linotype" w:hAnsi="Palatino Linotype"/>
              <w:b/>
              <w:sz w:val="22"/>
              <w:szCs w:val="22"/>
            </w:rPr>
          </w:pPr>
          <w:r>
            <w:rPr>
              <w:rFonts w:ascii="Palatino Linotype" w:hAnsi="Palatino Linotype"/>
              <w:b/>
              <w:color w:val="000000" w:themeColor="text1"/>
              <w:sz w:val="22"/>
              <w:szCs w:val="22"/>
            </w:rPr>
            <w:t xml:space="preserve">XXX </w:t>
          </w:r>
          <w:proofErr w:type="spellStart"/>
          <w:r>
            <w:rPr>
              <w:rFonts w:ascii="Palatino Linotype" w:hAnsi="Palatino Linotype"/>
              <w:b/>
              <w:color w:val="000000" w:themeColor="text1"/>
              <w:sz w:val="22"/>
              <w:szCs w:val="22"/>
            </w:rPr>
            <w:t>XXX</w:t>
          </w:r>
          <w:proofErr w:type="spellEnd"/>
          <w:r>
            <w:rPr>
              <w:rFonts w:ascii="Palatino Linotype" w:hAnsi="Palatino Linotype"/>
              <w:b/>
              <w:color w:val="000000" w:themeColor="text1"/>
              <w:sz w:val="22"/>
              <w:szCs w:val="22"/>
            </w:rPr>
            <w:t xml:space="preserve"> </w:t>
          </w:r>
          <w:proofErr w:type="spellStart"/>
          <w:r>
            <w:rPr>
              <w:rFonts w:ascii="Palatino Linotype" w:hAnsi="Palatino Linotype"/>
              <w:b/>
              <w:color w:val="000000" w:themeColor="text1"/>
              <w:sz w:val="22"/>
              <w:szCs w:val="22"/>
            </w:rPr>
            <w:t>XXX</w:t>
          </w:r>
          <w:proofErr w:type="spellEnd"/>
        </w:p>
      </w:tc>
    </w:tr>
    <w:tr w:rsidR="007F0225" w:rsidTr="006A04B6">
      <w:trPr>
        <w:trHeight w:val="342"/>
      </w:trPr>
      <w:tc>
        <w:tcPr>
          <w:tcW w:w="2977" w:type="dxa"/>
          <w:vAlign w:val="center"/>
        </w:tcPr>
        <w:p w:rsidR="007F0225" w:rsidRPr="00674A46" w:rsidRDefault="007F0225"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7F0225" w:rsidRPr="00674A46" w:rsidRDefault="00675B3A" w:rsidP="009F09BC">
          <w:pPr>
            <w:pStyle w:val="Encabezado"/>
            <w:jc w:val="both"/>
            <w:rPr>
              <w:rFonts w:ascii="Palatino Linotype" w:hAnsi="Palatino Linotype"/>
              <w:b/>
              <w:sz w:val="22"/>
              <w:szCs w:val="22"/>
            </w:rPr>
          </w:pPr>
          <w:r w:rsidRPr="00675B3A">
            <w:rPr>
              <w:rFonts w:ascii="Palatino Linotype" w:hAnsi="Palatino Linotype"/>
              <w:b/>
              <w:bCs/>
              <w:color w:val="000000"/>
              <w:sz w:val="22"/>
              <w:szCs w:val="22"/>
            </w:rPr>
            <w:t>Secretaría de Desarrollo Urbano y Obra</w:t>
          </w:r>
        </w:p>
      </w:tc>
    </w:tr>
    <w:tr w:rsidR="007F0225" w:rsidTr="006A04B6">
      <w:trPr>
        <w:trHeight w:val="342"/>
      </w:trPr>
      <w:tc>
        <w:tcPr>
          <w:tcW w:w="2977" w:type="dxa"/>
          <w:vAlign w:val="center"/>
        </w:tcPr>
        <w:p w:rsidR="007F0225" w:rsidRPr="00674A46" w:rsidRDefault="007F0225"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7F0225" w:rsidRPr="00674A46" w:rsidRDefault="007F0225"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7F0225" w:rsidRPr="00C222C0" w:rsidRDefault="0090368A">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44252B"/>
    <w:multiLevelType w:val="hybridMultilevel"/>
    <w:tmpl w:val="17F8D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3B275B"/>
    <w:multiLevelType w:val="hybridMultilevel"/>
    <w:tmpl w:val="EB1C4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72E3B6C"/>
    <w:multiLevelType w:val="hybridMultilevel"/>
    <w:tmpl w:val="BD4A37F8"/>
    <w:lvl w:ilvl="0" w:tplc="9A00807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5">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C6C32E7"/>
    <w:multiLevelType w:val="hybridMultilevel"/>
    <w:tmpl w:val="49849A6A"/>
    <w:lvl w:ilvl="0" w:tplc="492EF486">
      <w:start w:val="1"/>
      <w:numFmt w:val="upperRoman"/>
      <w:lvlText w:val="%1."/>
      <w:lvlJc w:val="left"/>
      <w:pPr>
        <w:ind w:left="1287" w:hanging="720"/>
      </w:pPr>
      <w:rPr>
        <w:rFonts w:hint="default"/>
        <w:sz w:val="24"/>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E414F49"/>
    <w:multiLevelType w:val="hybridMultilevel"/>
    <w:tmpl w:val="C652DB9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8">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76D0C70"/>
    <w:multiLevelType w:val="hybridMultilevel"/>
    <w:tmpl w:val="F642D73A"/>
    <w:lvl w:ilvl="0" w:tplc="7F1E13DA">
      <w:start w:val="1"/>
      <w:numFmt w:val="upperLetter"/>
      <w:lvlText w:val="%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nsid w:val="6ABA291F"/>
    <w:multiLevelType w:val="hybridMultilevel"/>
    <w:tmpl w:val="AB321F48"/>
    <w:lvl w:ilvl="0" w:tplc="CD32B67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nsid w:val="6E616099"/>
    <w:multiLevelType w:val="hybridMultilevel"/>
    <w:tmpl w:val="C1C6450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9">
    <w:nsid w:val="6F7A6891"/>
    <w:multiLevelType w:val="hybridMultilevel"/>
    <w:tmpl w:val="40880BE2"/>
    <w:lvl w:ilvl="0" w:tplc="1DC0C272">
      <w:start w:val="14"/>
      <w:numFmt w:val="decimal"/>
      <w:lvlText w:val="%1."/>
      <w:lvlJc w:val="left"/>
      <w:pPr>
        <w:ind w:left="720" w:hanging="360"/>
      </w:pPr>
      <w:rPr>
        <w:rFonts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9672D26"/>
    <w:multiLevelType w:val="hybridMultilevel"/>
    <w:tmpl w:val="537626FA"/>
    <w:lvl w:ilvl="0" w:tplc="380EDD9C">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6">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7">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
  </w:num>
  <w:num w:numId="8">
    <w:abstractNumId w:val="0"/>
  </w:num>
  <w:num w:numId="9">
    <w:abstractNumId w:val="36"/>
  </w:num>
  <w:num w:numId="10">
    <w:abstractNumId w:val="21"/>
  </w:num>
  <w:num w:numId="11">
    <w:abstractNumId w:val="15"/>
  </w:num>
  <w:num w:numId="12">
    <w:abstractNumId w:val="27"/>
  </w:num>
  <w:num w:numId="13">
    <w:abstractNumId w:val="40"/>
  </w:num>
  <w:num w:numId="14">
    <w:abstractNumId w:val="5"/>
  </w:num>
  <w:num w:numId="15">
    <w:abstractNumId w:val="18"/>
  </w:num>
  <w:num w:numId="16">
    <w:abstractNumId w:val="32"/>
  </w:num>
  <w:num w:numId="17">
    <w:abstractNumId w:val="10"/>
  </w:num>
  <w:num w:numId="18">
    <w:abstractNumId w:val="29"/>
  </w:num>
  <w:num w:numId="19">
    <w:abstractNumId w:val="41"/>
  </w:num>
  <w:num w:numId="20">
    <w:abstractNumId w:val="19"/>
  </w:num>
  <w:num w:numId="21">
    <w:abstractNumId w:val="25"/>
  </w:num>
  <w:num w:numId="22">
    <w:abstractNumId w:val="16"/>
  </w:num>
  <w:num w:numId="23">
    <w:abstractNumId w:val="46"/>
  </w:num>
  <w:num w:numId="24">
    <w:abstractNumId w:val="8"/>
  </w:num>
  <w:num w:numId="25">
    <w:abstractNumId w:val="33"/>
  </w:num>
  <w:num w:numId="26">
    <w:abstractNumId w:val="24"/>
  </w:num>
  <w:num w:numId="27">
    <w:abstractNumId w:val="6"/>
  </w:num>
  <w:num w:numId="28">
    <w:abstractNumId w:val="34"/>
  </w:num>
  <w:num w:numId="29">
    <w:abstractNumId w:val="31"/>
  </w:num>
  <w:num w:numId="30">
    <w:abstractNumId w:val="28"/>
  </w:num>
  <w:num w:numId="31">
    <w:abstractNumId w:val="43"/>
  </w:num>
  <w:num w:numId="32">
    <w:abstractNumId w:val="20"/>
  </w:num>
  <w:num w:numId="33">
    <w:abstractNumId w:val="9"/>
  </w:num>
  <w:num w:numId="34">
    <w:abstractNumId w:val="14"/>
  </w:num>
  <w:num w:numId="35">
    <w:abstractNumId w:val="7"/>
  </w:num>
  <w:num w:numId="36">
    <w:abstractNumId w:val="42"/>
  </w:num>
  <w:num w:numId="37">
    <w:abstractNumId w:val="30"/>
  </w:num>
  <w:num w:numId="38">
    <w:abstractNumId w:val="22"/>
  </w:num>
  <w:num w:numId="39">
    <w:abstractNumId w:val="1"/>
  </w:num>
  <w:num w:numId="40">
    <w:abstractNumId w:val="2"/>
  </w:num>
  <w:num w:numId="41">
    <w:abstractNumId w:val="44"/>
  </w:num>
  <w:num w:numId="42">
    <w:abstractNumId w:val="38"/>
  </w:num>
  <w:num w:numId="43">
    <w:abstractNumId w:val="47"/>
  </w:num>
  <w:num w:numId="44">
    <w:abstractNumId w:val="39"/>
  </w:num>
  <w:num w:numId="45">
    <w:abstractNumId w:val="35"/>
  </w:num>
  <w:num w:numId="46">
    <w:abstractNumId w:val="26"/>
  </w:num>
  <w:num w:numId="47">
    <w:abstractNumId w:val="11"/>
  </w:num>
  <w:num w:numId="48">
    <w:abstractNumId w:val="37"/>
  </w:num>
  <w:num w:numId="49">
    <w:abstractNumId w:val="45"/>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8F3"/>
    <w:rsid w:val="00010C43"/>
    <w:rsid w:val="0001674C"/>
    <w:rsid w:val="00020780"/>
    <w:rsid w:val="00025C53"/>
    <w:rsid w:val="00030FBC"/>
    <w:rsid w:val="00036137"/>
    <w:rsid w:val="000373F6"/>
    <w:rsid w:val="00044DFD"/>
    <w:rsid w:val="00051287"/>
    <w:rsid w:val="00053FB7"/>
    <w:rsid w:val="0007639B"/>
    <w:rsid w:val="000803F7"/>
    <w:rsid w:val="0008243D"/>
    <w:rsid w:val="00085C62"/>
    <w:rsid w:val="000C5F9A"/>
    <w:rsid w:val="000E1A02"/>
    <w:rsid w:val="000E4891"/>
    <w:rsid w:val="000F1081"/>
    <w:rsid w:val="00114502"/>
    <w:rsid w:val="00124FD1"/>
    <w:rsid w:val="00132F23"/>
    <w:rsid w:val="001352F5"/>
    <w:rsid w:val="00166B4F"/>
    <w:rsid w:val="00170D82"/>
    <w:rsid w:val="00173F2B"/>
    <w:rsid w:val="001A18E7"/>
    <w:rsid w:val="001B29E3"/>
    <w:rsid w:val="001C4290"/>
    <w:rsid w:val="001D23C1"/>
    <w:rsid w:val="001D373F"/>
    <w:rsid w:val="001D5404"/>
    <w:rsid w:val="001D630C"/>
    <w:rsid w:val="001E755B"/>
    <w:rsid w:val="001F0C0B"/>
    <w:rsid w:val="00216E80"/>
    <w:rsid w:val="00220982"/>
    <w:rsid w:val="00223C06"/>
    <w:rsid w:val="00237FA4"/>
    <w:rsid w:val="002453DA"/>
    <w:rsid w:val="00264C9A"/>
    <w:rsid w:val="002650A0"/>
    <w:rsid w:val="00272CA2"/>
    <w:rsid w:val="00277FAC"/>
    <w:rsid w:val="00283025"/>
    <w:rsid w:val="002901F4"/>
    <w:rsid w:val="00291500"/>
    <w:rsid w:val="002A3B71"/>
    <w:rsid w:val="002B3C82"/>
    <w:rsid w:val="002C02DA"/>
    <w:rsid w:val="002C0D3C"/>
    <w:rsid w:val="002C3821"/>
    <w:rsid w:val="002C4997"/>
    <w:rsid w:val="002D294C"/>
    <w:rsid w:val="0030094A"/>
    <w:rsid w:val="00312281"/>
    <w:rsid w:val="00323FFD"/>
    <w:rsid w:val="00341A52"/>
    <w:rsid w:val="003437D9"/>
    <w:rsid w:val="00353F1D"/>
    <w:rsid w:val="0037157C"/>
    <w:rsid w:val="0038112D"/>
    <w:rsid w:val="003833B3"/>
    <w:rsid w:val="00383401"/>
    <w:rsid w:val="00387A99"/>
    <w:rsid w:val="003933C4"/>
    <w:rsid w:val="003A15C8"/>
    <w:rsid w:val="003A3F35"/>
    <w:rsid w:val="003B1B31"/>
    <w:rsid w:val="003B4FF6"/>
    <w:rsid w:val="003B7751"/>
    <w:rsid w:val="003C13F1"/>
    <w:rsid w:val="003D15C4"/>
    <w:rsid w:val="003E66D2"/>
    <w:rsid w:val="00400C69"/>
    <w:rsid w:val="00403D64"/>
    <w:rsid w:val="00407FDA"/>
    <w:rsid w:val="004118FA"/>
    <w:rsid w:val="004124EA"/>
    <w:rsid w:val="00425842"/>
    <w:rsid w:val="00437672"/>
    <w:rsid w:val="00456CFF"/>
    <w:rsid w:val="004868CE"/>
    <w:rsid w:val="004C3C82"/>
    <w:rsid w:val="004E4EE6"/>
    <w:rsid w:val="004E6CE4"/>
    <w:rsid w:val="004F34D1"/>
    <w:rsid w:val="005007A3"/>
    <w:rsid w:val="0050702D"/>
    <w:rsid w:val="0051715A"/>
    <w:rsid w:val="00521DE8"/>
    <w:rsid w:val="005331D8"/>
    <w:rsid w:val="005347A7"/>
    <w:rsid w:val="00541549"/>
    <w:rsid w:val="005432D0"/>
    <w:rsid w:val="00546076"/>
    <w:rsid w:val="00547ACE"/>
    <w:rsid w:val="005507B0"/>
    <w:rsid w:val="00553D01"/>
    <w:rsid w:val="00554A21"/>
    <w:rsid w:val="00556E0A"/>
    <w:rsid w:val="00560A6B"/>
    <w:rsid w:val="00563F2E"/>
    <w:rsid w:val="00567F5D"/>
    <w:rsid w:val="0057514F"/>
    <w:rsid w:val="00575E75"/>
    <w:rsid w:val="00583A39"/>
    <w:rsid w:val="005B076D"/>
    <w:rsid w:val="005B6702"/>
    <w:rsid w:val="005B7EB1"/>
    <w:rsid w:val="005C5021"/>
    <w:rsid w:val="005D2F1C"/>
    <w:rsid w:val="005D4C57"/>
    <w:rsid w:val="005E30A9"/>
    <w:rsid w:val="00621274"/>
    <w:rsid w:val="0062406B"/>
    <w:rsid w:val="00647F7C"/>
    <w:rsid w:val="00652937"/>
    <w:rsid w:val="00657639"/>
    <w:rsid w:val="006671A8"/>
    <w:rsid w:val="006672E1"/>
    <w:rsid w:val="00675B3A"/>
    <w:rsid w:val="00680C93"/>
    <w:rsid w:val="00682434"/>
    <w:rsid w:val="0069346C"/>
    <w:rsid w:val="006971FE"/>
    <w:rsid w:val="006A04B6"/>
    <w:rsid w:val="006A2F81"/>
    <w:rsid w:val="006A6390"/>
    <w:rsid w:val="006D0568"/>
    <w:rsid w:val="006D15D0"/>
    <w:rsid w:val="006D6CC1"/>
    <w:rsid w:val="006E7397"/>
    <w:rsid w:val="006E7C94"/>
    <w:rsid w:val="006F4C2D"/>
    <w:rsid w:val="00711062"/>
    <w:rsid w:val="007142AB"/>
    <w:rsid w:val="007142D6"/>
    <w:rsid w:val="00716BCA"/>
    <w:rsid w:val="00720371"/>
    <w:rsid w:val="0074110E"/>
    <w:rsid w:val="00742823"/>
    <w:rsid w:val="00775EB2"/>
    <w:rsid w:val="00782A12"/>
    <w:rsid w:val="007851DB"/>
    <w:rsid w:val="007943A3"/>
    <w:rsid w:val="007A33A8"/>
    <w:rsid w:val="007A460E"/>
    <w:rsid w:val="007A6A1A"/>
    <w:rsid w:val="007F0225"/>
    <w:rsid w:val="00804DAA"/>
    <w:rsid w:val="0082142B"/>
    <w:rsid w:val="008227A9"/>
    <w:rsid w:val="008468BF"/>
    <w:rsid w:val="008526F4"/>
    <w:rsid w:val="008563C8"/>
    <w:rsid w:val="00857236"/>
    <w:rsid w:val="008573BF"/>
    <w:rsid w:val="00865A34"/>
    <w:rsid w:val="0086792A"/>
    <w:rsid w:val="00871CFE"/>
    <w:rsid w:val="00873EB6"/>
    <w:rsid w:val="00875788"/>
    <w:rsid w:val="008A699B"/>
    <w:rsid w:val="008B0637"/>
    <w:rsid w:val="008C1ED7"/>
    <w:rsid w:val="008C42B4"/>
    <w:rsid w:val="008D2378"/>
    <w:rsid w:val="008E330F"/>
    <w:rsid w:val="008E6574"/>
    <w:rsid w:val="008F5B26"/>
    <w:rsid w:val="008F6998"/>
    <w:rsid w:val="008F6D18"/>
    <w:rsid w:val="0090368A"/>
    <w:rsid w:val="009117D1"/>
    <w:rsid w:val="00911A75"/>
    <w:rsid w:val="009126F1"/>
    <w:rsid w:val="009212C5"/>
    <w:rsid w:val="009335F9"/>
    <w:rsid w:val="00944C5D"/>
    <w:rsid w:val="00945135"/>
    <w:rsid w:val="0095509E"/>
    <w:rsid w:val="00955B91"/>
    <w:rsid w:val="0098042F"/>
    <w:rsid w:val="009972BB"/>
    <w:rsid w:val="009A2251"/>
    <w:rsid w:val="009D5A32"/>
    <w:rsid w:val="009E2CC3"/>
    <w:rsid w:val="009E5782"/>
    <w:rsid w:val="009E68D3"/>
    <w:rsid w:val="009F09BC"/>
    <w:rsid w:val="00A23E82"/>
    <w:rsid w:val="00A305ED"/>
    <w:rsid w:val="00A626EB"/>
    <w:rsid w:val="00A76452"/>
    <w:rsid w:val="00AD316E"/>
    <w:rsid w:val="00AD483D"/>
    <w:rsid w:val="00AD63B4"/>
    <w:rsid w:val="00AD6BD8"/>
    <w:rsid w:val="00AF4BBC"/>
    <w:rsid w:val="00AF52DB"/>
    <w:rsid w:val="00B00A9E"/>
    <w:rsid w:val="00B01A7E"/>
    <w:rsid w:val="00B07BF8"/>
    <w:rsid w:val="00B11CDD"/>
    <w:rsid w:val="00B204A9"/>
    <w:rsid w:val="00B530E8"/>
    <w:rsid w:val="00B8010B"/>
    <w:rsid w:val="00B86242"/>
    <w:rsid w:val="00BA4537"/>
    <w:rsid w:val="00BA7065"/>
    <w:rsid w:val="00BB13B0"/>
    <w:rsid w:val="00BE0A62"/>
    <w:rsid w:val="00BE2A9D"/>
    <w:rsid w:val="00BF3FB5"/>
    <w:rsid w:val="00C03BA3"/>
    <w:rsid w:val="00C0715F"/>
    <w:rsid w:val="00C07B6E"/>
    <w:rsid w:val="00C105CC"/>
    <w:rsid w:val="00C111EA"/>
    <w:rsid w:val="00C14F2A"/>
    <w:rsid w:val="00C21FAE"/>
    <w:rsid w:val="00C242A7"/>
    <w:rsid w:val="00C36548"/>
    <w:rsid w:val="00C41B2B"/>
    <w:rsid w:val="00C41E57"/>
    <w:rsid w:val="00C47C3D"/>
    <w:rsid w:val="00C47D9C"/>
    <w:rsid w:val="00C54D99"/>
    <w:rsid w:val="00C85E64"/>
    <w:rsid w:val="00C87396"/>
    <w:rsid w:val="00C90814"/>
    <w:rsid w:val="00C91F0F"/>
    <w:rsid w:val="00CA1063"/>
    <w:rsid w:val="00CB757D"/>
    <w:rsid w:val="00CC5B2F"/>
    <w:rsid w:val="00CE391A"/>
    <w:rsid w:val="00CE7B83"/>
    <w:rsid w:val="00CF0D2B"/>
    <w:rsid w:val="00D021A5"/>
    <w:rsid w:val="00D0302A"/>
    <w:rsid w:val="00D0705B"/>
    <w:rsid w:val="00D16FC7"/>
    <w:rsid w:val="00D30C5D"/>
    <w:rsid w:val="00D31FC8"/>
    <w:rsid w:val="00D41237"/>
    <w:rsid w:val="00D47231"/>
    <w:rsid w:val="00D6224B"/>
    <w:rsid w:val="00D6651B"/>
    <w:rsid w:val="00D81329"/>
    <w:rsid w:val="00D84DEA"/>
    <w:rsid w:val="00D92B79"/>
    <w:rsid w:val="00D96104"/>
    <w:rsid w:val="00DA6D37"/>
    <w:rsid w:val="00DB753F"/>
    <w:rsid w:val="00DE2F5A"/>
    <w:rsid w:val="00DE5BF3"/>
    <w:rsid w:val="00DF03A5"/>
    <w:rsid w:val="00DF7F47"/>
    <w:rsid w:val="00E118BA"/>
    <w:rsid w:val="00E17429"/>
    <w:rsid w:val="00E56172"/>
    <w:rsid w:val="00E5636B"/>
    <w:rsid w:val="00E566C9"/>
    <w:rsid w:val="00E61C13"/>
    <w:rsid w:val="00E61DA9"/>
    <w:rsid w:val="00E8479A"/>
    <w:rsid w:val="00E92E04"/>
    <w:rsid w:val="00E960AB"/>
    <w:rsid w:val="00EA5021"/>
    <w:rsid w:val="00ED1D6B"/>
    <w:rsid w:val="00ED3A35"/>
    <w:rsid w:val="00ED6E75"/>
    <w:rsid w:val="00EE25B3"/>
    <w:rsid w:val="00F24A04"/>
    <w:rsid w:val="00F31427"/>
    <w:rsid w:val="00F35B0C"/>
    <w:rsid w:val="00F42ADB"/>
    <w:rsid w:val="00F474CE"/>
    <w:rsid w:val="00F52E40"/>
    <w:rsid w:val="00F55C6C"/>
    <w:rsid w:val="00F72588"/>
    <w:rsid w:val="00F7371C"/>
    <w:rsid w:val="00F76376"/>
    <w:rsid w:val="00F91B65"/>
    <w:rsid w:val="00F946B5"/>
    <w:rsid w:val="00FA32CE"/>
    <w:rsid w:val="00FB6D42"/>
    <w:rsid w:val="00FD2FA4"/>
    <w:rsid w:val="00FE3FBE"/>
    <w:rsid w:val="00FE6761"/>
    <w:rsid w:val="00FF2E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styleId="Tablanormal1">
    <w:name w:val="Plain Table 1"/>
    <w:basedOn w:val="Tablanormal"/>
    <w:uiPriority w:val="41"/>
    <w:rsid w:val="00BA706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erenciasutil">
    <w:name w:val="Subtle Reference"/>
    <w:basedOn w:val="Fuentedeprrafopredeter"/>
    <w:uiPriority w:val="31"/>
    <w:qFormat/>
    <w:rsid w:val="006971FE"/>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267234">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83261-8D7B-4966-B040-C9EC3BEBE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35</Pages>
  <Words>6828</Words>
  <Characters>37554</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5</cp:revision>
  <dcterms:created xsi:type="dcterms:W3CDTF">2023-07-05T00:12:00Z</dcterms:created>
  <dcterms:modified xsi:type="dcterms:W3CDTF">2023-07-10T19:01:00Z</dcterms:modified>
</cp:coreProperties>
</file>