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Resolución del Pleno del Instituto de Transparencia, Acceso a la Información Pública y Protección de Datos Personales del Estado de México y Municipios, con domicilio en Metepec, Estado de México, a veintinueve de marzo de dos mil veintitrés. </w:t>
      </w:r>
    </w:p>
    <w:p w:rsidR="00000000" w:rsidDel="00000000" w:rsidP="00000000" w:rsidRDefault="00000000" w:rsidRPr="00000000" w14:paraId="00000002">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VISTO</w:t>
      </w:r>
      <w:r w:rsidDel="00000000" w:rsidR="00000000" w:rsidRPr="00000000">
        <w:rPr>
          <w:rFonts w:ascii="Palatino Linotype" w:cs="Palatino Linotype" w:eastAsia="Palatino Linotype" w:hAnsi="Palatino Linotype"/>
          <w:rtl w:val="0"/>
        </w:rPr>
        <w:t xml:space="preserve"> el expediente formado con motivo del recurso de revisión </w:t>
      </w:r>
      <w:r w:rsidDel="00000000" w:rsidR="00000000" w:rsidRPr="00000000">
        <w:rPr>
          <w:rFonts w:ascii="Palatino Linotype" w:cs="Palatino Linotype" w:eastAsia="Palatino Linotype" w:hAnsi="Palatino Linotype"/>
          <w:b w:val="1"/>
          <w:rtl w:val="0"/>
        </w:rPr>
        <w:t xml:space="preserve">14079/INFOEM/IP/RR/2022</w:t>
      </w:r>
      <w:r w:rsidDel="00000000" w:rsidR="00000000" w:rsidRPr="00000000">
        <w:rPr>
          <w:rFonts w:ascii="Palatino Linotype" w:cs="Palatino Linotype" w:eastAsia="Palatino Linotype" w:hAnsi="Palatino Linotype"/>
          <w:rtl w:val="0"/>
        </w:rPr>
        <w:t xml:space="preserve">, interpuesto por </w:t>
      </w:r>
      <w:r w:rsidDel="00000000" w:rsidR="00000000" w:rsidRPr="00000000">
        <w:rPr>
          <w:rFonts w:ascii="Palatino Linotype" w:cs="Palatino Linotype" w:eastAsia="Palatino Linotype" w:hAnsi="Palatino Linotype"/>
          <w:b w:val="1"/>
          <w:rtl w:val="0"/>
        </w:rPr>
        <w:t xml:space="preserve">un particular que no proporcionó nombre o seudónimo</w:t>
      </w:r>
      <w:r w:rsidDel="00000000" w:rsidR="00000000" w:rsidRPr="00000000">
        <w:rPr>
          <w:rFonts w:ascii="Palatino Linotype" w:cs="Palatino Linotype" w:eastAsia="Palatino Linotype" w:hAnsi="Palatino Linotype"/>
          <w:rtl w:val="0"/>
        </w:rPr>
        <w:t xml:space="preserve">, en lo sucesivo</w:t>
      </w:r>
      <w:r w:rsidDel="00000000" w:rsidR="00000000" w:rsidRPr="00000000">
        <w:rPr>
          <w:rFonts w:ascii="Palatino Linotype" w:cs="Palatino Linotype" w:eastAsia="Palatino Linotype" w:hAnsi="Palatino Linotype"/>
          <w:b w:val="1"/>
          <w:rtl w:val="0"/>
        </w:rPr>
        <w:t xml:space="preserve"> </w:t>
      </w:r>
      <w:r w:rsidDel="00000000" w:rsidR="00000000" w:rsidRPr="00000000">
        <w:rPr>
          <w:rFonts w:ascii="Palatino Linotype" w:cs="Palatino Linotype" w:eastAsia="Palatino Linotype" w:hAnsi="Palatino Linotype"/>
          <w:rtl w:val="0"/>
        </w:rPr>
        <w:t xml:space="preserve">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en contra de la respuesta a su solicitud por parte de la </w:t>
      </w:r>
      <w:r w:rsidDel="00000000" w:rsidR="00000000" w:rsidRPr="00000000">
        <w:rPr>
          <w:rFonts w:ascii="Palatino Linotype" w:cs="Palatino Linotype" w:eastAsia="Palatino Linotype" w:hAnsi="Palatino Linotype"/>
          <w:b w:val="1"/>
          <w:rtl w:val="0"/>
        </w:rPr>
        <w:t xml:space="preserve">Ayuntamiento de Valle de Chalco Solidaridad, </w:t>
      </w:r>
      <w:r w:rsidDel="00000000" w:rsidR="00000000" w:rsidRPr="00000000">
        <w:rPr>
          <w:rFonts w:ascii="Palatino Linotype" w:cs="Palatino Linotype" w:eastAsia="Palatino Linotype" w:hAnsi="Palatino Linotype"/>
          <w:rtl w:val="0"/>
        </w:rPr>
        <w:t xml:space="preserve">en lo sucesivo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se procede a dictar la presente resolución con base en los siguientes: </w:t>
      </w:r>
    </w:p>
    <w:p w:rsidR="00000000" w:rsidDel="00000000" w:rsidP="00000000" w:rsidRDefault="00000000" w:rsidRPr="00000000" w14:paraId="00000003">
      <w:pPr>
        <w:spacing w:after="240" w:before="240" w:line="36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I. A N T E C E D E N T E S</w:t>
      </w:r>
    </w:p>
    <w:p w:rsidR="00000000" w:rsidDel="00000000" w:rsidP="00000000" w:rsidRDefault="00000000" w:rsidRPr="00000000" w14:paraId="00000004">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1. Solicitud de acceso a la información.</w:t>
      </w:r>
      <w:r w:rsidDel="00000000" w:rsidR="00000000" w:rsidRPr="00000000">
        <w:rPr>
          <w:rFonts w:ascii="Palatino Linotype" w:cs="Palatino Linotype" w:eastAsia="Palatino Linotype" w:hAnsi="Palatino Linotype"/>
          <w:rtl w:val="0"/>
        </w:rPr>
        <w:t xml:space="preserve"> Con fecha </w:t>
      </w:r>
      <w:r w:rsidDel="00000000" w:rsidR="00000000" w:rsidRPr="00000000">
        <w:rPr>
          <w:rFonts w:ascii="Palatino Linotype" w:cs="Palatino Linotype" w:eastAsia="Palatino Linotype" w:hAnsi="Palatino Linotype"/>
          <w:b w:val="1"/>
          <w:rtl w:val="0"/>
        </w:rPr>
        <w:t xml:space="preserve">uno de agosto de dos mil veintidós,</w:t>
      </w:r>
      <w:r w:rsidDel="00000000" w:rsidR="00000000" w:rsidRPr="00000000">
        <w:rPr>
          <w:rFonts w:ascii="Palatino Linotype" w:cs="Palatino Linotype" w:eastAsia="Palatino Linotype" w:hAnsi="Palatino Linotype"/>
          <w:rtl w:val="0"/>
        </w:rPr>
        <w:t xml:space="preserve"> la parte </w:t>
      </w:r>
      <w:r w:rsidDel="00000000" w:rsidR="00000000" w:rsidRPr="00000000">
        <w:rPr>
          <w:rFonts w:ascii="Palatino Linotype" w:cs="Palatino Linotype" w:eastAsia="Palatino Linotype" w:hAnsi="Palatino Linotype"/>
          <w:b w:val="1"/>
          <w:rtl w:val="0"/>
        </w:rPr>
        <w:t xml:space="preserve">Recurrente </w:t>
      </w:r>
      <w:r w:rsidDel="00000000" w:rsidR="00000000" w:rsidRPr="00000000">
        <w:rPr>
          <w:rFonts w:ascii="Palatino Linotype" w:cs="Palatino Linotype" w:eastAsia="Palatino Linotype" w:hAnsi="Palatino Linotype"/>
          <w:rtl w:val="0"/>
        </w:rPr>
        <w:t xml:space="preserve">presentó, a través del Sistema de Acceso a la Información Mexiquense, en lo subsecuente el </w:t>
      </w:r>
      <w:r w:rsidDel="00000000" w:rsidR="00000000" w:rsidRPr="00000000">
        <w:rPr>
          <w:rFonts w:ascii="Palatino Linotype" w:cs="Palatino Linotype" w:eastAsia="Palatino Linotype" w:hAnsi="Palatino Linotype"/>
          <w:b w:val="1"/>
          <w:rtl w:val="0"/>
        </w:rPr>
        <w:t xml:space="preserve">SAIMEX,</w:t>
      </w:r>
      <w:r w:rsidDel="00000000" w:rsidR="00000000" w:rsidRPr="00000000">
        <w:rPr>
          <w:rFonts w:ascii="Palatino Linotype" w:cs="Palatino Linotype" w:eastAsia="Palatino Linotype" w:hAnsi="Palatino Linotype"/>
          <w:rtl w:val="0"/>
        </w:rPr>
        <w:t xml:space="preserve"> ante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la solicitud de acceso a la información pública, a la que se le asignó el número</w:t>
      </w:r>
      <w:r w:rsidDel="00000000" w:rsidR="00000000" w:rsidRPr="00000000">
        <w:rPr>
          <w:rFonts w:ascii="Palatino Linotype" w:cs="Palatino Linotype" w:eastAsia="Palatino Linotype" w:hAnsi="Palatino Linotype"/>
          <w:b w:val="1"/>
          <w:rtl w:val="0"/>
        </w:rPr>
        <w:t xml:space="preserve"> 00301/VACHASO/IP/2022, </w:t>
      </w:r>
      <w:r w:rsidDel="00000000" w:rsidR="00000000" w:rsidRPr="00000000">
        <w:rPr>
          <w:rFonts w:ascii="Palatino Linotype" w:cs="Palatino Linotype" w:eastAsia="Palatino Linotype" w:hAnsi="Palatino Linotype"/>
          <w:rtl w:val="0"/>
        </w:rPr>
        <w:t xml:space="preserve">mediante la cual requirió la información siguiente: </w:t>
      </w:r>
    </w:p>
    <w:p w:rsidR="00000000" w:rsidDel="00000000" w:rsidP="00000000" w:rsidRDefault="00000000" w:rsidRPr="00000000" w14:paraId="00000005">
      <w:pPr>
        <w:spacing w:after="240" w:before="240" w:lineRule="auto"/>
        <w:ind w:left="850.3937007874017" w:right="902" w:firstLine="0"/>
        <w:jc w:val="both"/>
        <w:rPr>
          <w:rFonts w:ascii="Palatino Linotype" w:cs="Palatino Linotype" w:eastAsia="Palatino Linotype" w:hAnsi="Palatino Linotype"/>
          <w:b w:val="1"/>
          <w:i w:val="1"/>
          <w:sz w:val="22"/>
          <w:szCs w:val="22"/>
        </w:rPr>
      </w:pPr>
      <w:bookmarkStart w:colFirst="0" w:colLast="0" w:name="_heading=h.gjdgxs" w:id="0"/>
      <w:bookmarkEnd w:id="0"/>
      <w:r w:rsidDel="00000000" w:rsidR="00000000" w:rsidRPr="00000000">
        <w:rPr>
          <w:rFonts w:ascii="Palatino Linotype" w:cs="Palatino Linotype" w:eastAsia="Palatino Linotype" w:hAnsi="Palatino Linotype"/>
          <w:i w:val="1"/>
          <w:sz w:val="22"/>
          <w:szCs w:val="22"/>
          <w:rtl w:val="0"/>
        </w:rPr>
        <w:t xml:space="preserve">“Al municipio de Valle de Chalco Solidaridad, en un periodo comprendido entre enero de 2022 a junio de 2022, requiero la versión pública de los dos últimos expedientes completos respecto del documento identificado como CERTIFICADO DE APORTACIÓN DE MEJORAS (ver anexo para pronta referencia-es un ejemplo-).” (sic)</w:t>
      </w:r>
      <w:r w:rsidDel="00000000" w:rsidR="00000000" w:rsidRPr="00000000">
        <w:rPr>
          <w:rtl w:val="0"/>
        </w:rPr>
      </w:r>
    </w:p>
    <w:p w:rsidR="00000000" w:rsidDel="00000000" w:rsidP="00000000" w:rsidRDefault="00000000" w:rsidRPr="00000000" w14:paraId="00000006">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adjuntó la Cédula de información del Municipio de Tultitlan de la Dirección de Tesorería, del trámite Certificado de Aportaciones de Mejoras.</w:t>
      </w:r>
    </w:p>
    <w:p w:rsidR="00000000" w:rsidDel="00000000" w:rsidP="00000000" w:rsidRDefault="00000000" w:rsidRPr="00000000" w14:paraId="00000007">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Modalidad de Entrega:</w:t>
      </w:r>
      <w:r w:rsidDel="00000000" w:rsidR="00000000" w:rsidRPr="00000000">
        <w:rPr>
          <w:rFonts w:ascii="Palatino Linotype" w:cs="Palatino Linotype" w:eastAsia="Palatino Linotype" w:hAnsi="Palatino Linotype"/>
          <w:rtl w:val="0"/>
        </w:rPr>
        <w:t xml:space="preserve"> a través del </w:t>
      </w:r>
      <w:r w:rsidDel="00000000" w:rsidR="00000000" w:rsidRPr="00000000">
        <w:rPr>
          <w:rFonts w:ascii="Palatino Linotype" w:cs="Palatino Linotype" w:eastAsia="Palatino Linotype" w:hAnsi="Palatino Linotype"/>
          <w:b w:val="1"/>
          <w:rtl w:val="0"/>
        </w:rPr>
        <w:t xml:space="preserve">SAIMEX</w:t>
      </w:r>
      <w:r w:rsidDel="00000000" w:rsidR="00000000" w:rsidRPr="00000000">
        <w:rPr>
          <w:rFonts w:ascii="Palatino Linotype" w:cs="Palatino Linotype" w:eastAsia="Palatino Linotype" w:hAnsi="Palatino Linotype"/>
          <w:rtl w:val="0"/>
        </w:rPr>
        <w:t xml:space="preserve">.</w:t>
      </w:r>
    </w:p>
    <w:p w:rsidR="00000000" w:rsidDel="00000000" w:rsidP="00000000" w:rsidRDefault="00000000" w:rsidRPr="00000000" w14:paraId="00000008">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2. Solicitud de Aclaración. </w:t>
      </w:r>
      <w:r w:rsidDel="00000000" w:rsidR="00000000" w:rsidRPr="00000000">
        <w:rPr>
          <w:rFonts w:ascii="Palatino Linotype" w:cs="Palatino Linotype" w:eastAsia="Palatino Linotype" w:hAnsi="Palatino Linotype"/>
          <w:rtl w:val="0"/>
        </w:rPr>
        <w:t xml:space="preserve">Con fecha </w:t>
      </w:r>
      <w:r w:rsidDel="00000000" w:rsidR="00000000" w:rsidRPr="00000000">
        <w:rPr>
          <w:rFonts w:ascii="Palatino Linotype" w:cs="Palatino Linotype" w:eastAsia="Palatino Linotype" w:hAnsi="Palatino Linotype"/>
          <w:b w:val="1"/>
          <w:rtl w:val="0"/>
        </w:rPr>
        <w:t xml:space="preserve">dos de agosto de dos mil veintidós</w:t>
      </w:r>
      <w:r w:rsidDel="00000000" w:rsidR="00000000" w:rsidRPr="00000000">
        <w:rPr>
          <w:rFonts w:ascii="Palatino Linotype" w:cs="Palatino Linotype" w:eastAsia="Palatino Linotype" w:hAnsi="Palatino Linotype"/>
          <w:rtl w:val="0"/>
        </w:rPr>
        <w:t xml:space="preserv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requirió a la parte </w:t>
      </w:r>
      <w:r w:rsidDel="00000000" w:rsidR="00000000" w:rsidRPr="00000000">
        <w:rPr>
          <w:rFonts w:ascii="Palatino Linotype" w:cs="Palatino Linotype" w:eastAsia="Palatino Linotype" w:hAnsi="Palatino Linotype"/>
          <w:b w:val="1"/>
          <w:rtl w:val="0"/>
        </w:rPr>
        <w:t xml:space="preserve">Recurrente </w:t>
      </w:r>
      <w:r w:rsidDel="00000000" w:rsidR="00000000" w:rsidRPr="00000000">
        <w:rPr>
          <w:rFonts w:ascii="Palatino Linotype" w:cs="Palatino Linotype" w:eastAsia="Palatino Linotype" w:hAnsi="Palatino Linotype"/>
          <w:rtl w:val="0"/>
        </w:rPr>
        <w:t xml:space="preserve">aclarara la solicitud de información pública planteadas, en los siguientes términos:</w:t>
      </w:r>
    </w:p>
    <w:p w:rsidR="00000000" w:rsidDel="00000000" w:rsidP="00000000" w:rsidRDefault="00000000" w:rsidRPr="00000000" w14:paraId="00000009">
      <w:pPr>
        <w:spacing w:after="240" w:before="24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“Con fundamento en el articulo 159 de la Ley de Transparencia y Acceso a la Información Pública del Estado de México y Municipios, se le requiere para que dentro del plazo de diez días hábiles realice lo siguiente:</w:t>
      </w:r>
    </w:p>
    <w:p w:rsidR="00000000" w:rsidDel="00000000" w:rsidP="00000000" w:rsidRDefault="00000000" w:rsidRPr="00000000" w14:paraId="0000000A">
      <w:pPr>
        <w:spacing w:after="240" w:before="24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Estimado solicitante de informacion Por medio de la presente le solicito sea tan amable de ser mas especifico con respecto a su solicitud, la informacion que anexa corresponde a una cedula de tramite y servicio de aportaciones de mejoras. por lo que me es incomprensible su requerimiento.</w:t>
      </w:r>
    </w:p>
    <w:p w:rsidR="00000000" w:rsidDel="00000000" w:rsidP="00000000" w:rsidRDefault="00000000" w:rsidRPr="00000000" w14:paraId="0000000B">
      <w:pPr>
        <w:spacing w:after="240" w:before="240" w:lineRule="auto"/>
        <w:ind w:left="851" w:right="902"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i w:val="1"/>
          <w:sz w:val="22"/>
          <w:szCs w:val="22"/>
          <w:rtl w:val="0"/>
        </w:rPr>
        <w:t xml:space="preserve">En caso de que no se desahogue el requerimiento señalado dentro del plazo citado se tendrá por no presentada la solicitud de información, quedando a salvo sus derechos para volver a presentar la solicitud, lo anterior con fundamento en el artículo 159 de la Ley invocada.” (sic)</w:t>
      </w:r>
      <w:r w:rsidDel="00000000" w:rsidR="00000000" w:rsidRPr="00000000">
        <w:rPr>
          <w:rtl w:val="0"/>
        </w:rPr>
      </w:r>
    </w:p>
    <w:p w:rsidR="00000000" w:rsidDel="00000000" w:rsidP="00000000" w:rsidRDefault="00000000" w:rsidRPr="00000000" w14:paraId="0000000C">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3. Aclaración. </w:t>
      </w:r>
      <w:r w:rsidDel="00000000" w:rsidR="00000000" w:rsidRPr="00000000">
        <w:rPr>
          <w:rFonts w:ascii="Palatino Linotype" w:cs="Palatino Linotype" w:eastAsia="Palatino Linotype" w:hAnsi="Palatino Linotype"/>
          <w:rtl w:val="0"/>
        </w:rPr>
        <w:t xml:space="preserve">De las constancias que obran en el expediente en el que se actúa, se advierte que en fecha </w:t>
      </w:r>
      <w:r w:rsidDel="00000000" w:rsidR="00000000" w:rsidRPr="00000000">
        <w:rPr>
          <w:rFonts w:ascii="Palatino Linotype" w:cs="Palatino Linotype" w:eastAsia="Palatino Linotype" w:hAnsi="Palatino Linotype"/>
          <w:b w:val="1"/>
          <w:rtl w:val="0"/>
        </w:rPr>
        <w:t xml:space="preserve">tres de agosto de dos mil veintidós,</w:t>
      </w:r>
      <w:r w:rsidDel="00000000" w:rsidR="00000000" w:rsidRPr="00000000">
        <w:rPr>
          <w:rFonts w:ascii="Palatino Linotype" w:cs="Palatino Linotype" w:eastAsia="Palatino Linotype" w:hAnsi="Palatino Linotype"/>
          <w:rtl w:val="0"/>
        </w:rPr>
        <w:t xml:space="preserve"> la persona solicitante desahogó dicho requerimiento en los siguientes términos:</w:t>
      </w:r>
    </w:p>
    <w:p w:rsidR="00000000" w:rsidDel="00000000" w:rsidP="00000000" w:rsidRDefault="00000000" w:rsidRPr="00000000" w14:paraId="0000000D">
      <w:pPr>
        <w:spacing w:after="240" w:before="240" w:lineRule="auto"/>
        <w:ind w:left="851" w:right="902"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i w:val="1"/>
          <w:sz w:val="22"/>
          <w:szCs w:val="22"/>
          <w:rtl w:val="0"/>
        </w:rPr>
        <w:t xml:space="preserve">“...En materia de información pública cuando el sujeto obligado previene al solicitante en cuanto al requerimiento de información formulado la finalidad consiste en que el recurrente aporte mayores elementos que permitan la búsqueda de la información etc. Para el caso contrario, el sujeto obligado que invoco la aclaración que nos ocupa demuestra dos cosas, que no entiende ni conoce de la materia o bien, no sabe leer con atención; consecuencia de ello y ante una prevención y/o aclaración ociosa por parte de dicho sujeto obligado, desahogo la presente en los siguientes términos: "Al municipio de Valle de Chalco Solidaridad, en un periodo comprendido entre enero de 2022 a junio de 2022, requiero la versión pública de los dos últimos expedientes completos respecto del documento identificado como CERTIFICADO DE APORTACIÓN DE MEJORAS (ver anexo para pronta referencia-es un ejemplo-)." (Cit.), es decir, requiero la versión pública de los dos últimos expedientes completos relacionados con el certificado de aportación de mejoras que obra en sus archivos tanto físicos como digitales en un periodo comprendido entre enero de 2022 a junio del mismo año. Se sugiere preste atención a la ley de transparencia para documentarse y vislumbrar que es una versión pública y a su vez la elaboración de la misma en términos de los lineamientos para la elaboración de versiones públicas; asimismo, el certificado de aportación de mejoras que expide el municipio de valle de Chalco obra en sus archivos ya sea de manera física o digital por lo que deben realizar una búsqueda exhaustiva y razonable de la información y finalmente se hace de su conocimiento que el archivo adjunto es unicamente para pronta referencia...” (sic)</w:t>
      </w:r>
      <w:r w:rsidDel="00000000" w:rsidR="00000000" w:rsidRPr="00000000">
        <w:rPr>
          <w:rtl w:val="0"/>
        </w:rPr>
      </w:r>
    </w:p>
    <w:p w:rsidR="00000000" w:rsidDel="00000000" w:rsidP="00000000" w:rsidRDefault="00000000" w:rsidRPr="00000000" w14:paraId="0000000E">
      <w:pPr>
        <w:spacing w:after="240" w:before="240"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4. Respuesta. </w:t>
      </w:r>
      <w:r w:rsidDel="00000000" w:rsidR="00000000" w:rsidRPr="00000000">
        <w:rPr>
          <w:rFonts w:ascii="Palatino Linotype" w:cs="Palatino Linotype" w:eastAsia="Palatino Linotype" w:hAnsi="Palatino Linotype"/>
          <w:rtl w:val="0"/>
        </w:rPr>
        <w:t xml:space="preserve">Con fecha</w:t>
      </w:r>
      <w:r w:rsidDel="00000000" w:rsidR="00000000" w:rsidRPr="00000000">
        <w:rPr>
          <w:rFonts w:ascii="Palatino Linotype" w:cs="Palatino Linotype" w:eastAsia="Palatino Linotype" w:hAnsi="Palatino Linotype"/>
          <w:b w:val="1"/>
          <w:rtl w:val="0"/>
        </w:rPr>
        <w:t xml:space="preserve"> veinticuatro de agosto de dos mil veintidós</w:t>
      </w:r>
      <w:r w:rsidDel="00000000" w:rsidR="00000000" w:rsidRPr="00000000">
        <w:rPr>
          <w:rFonts w:ascii="Palatino Linotype" w:cs="Palatino Linotype" w:eastAsia="Palatino Linotype" w:hAnsi="Palatino Linotype"/>
          <w:rtl w:val="0"/>
        </w:rPr>
        <w:t xml:space="preserve">,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envió su respuesta a la solicitud de acceso a la información a través de SAIMEX, sustancialmente en los términos siguientes:   </w:t>
      </w:r>
      <w:r w:rsidDel="00000000" w:rsidR="00000000" w:rsidRPr="00000000">
        <w:rPr>
          <w:rtl w:val="0"/>
        </w:rPr>
      </w:r>
    </w:p>
    <w:p w:rsidR="00000000" w:rsidDel="00000000" w:rsidP="00000000" w:rsidRDefault="00000000" w:rsidRPr="00000000" w14:paraId="0000000F">
      <w:pPr>
        <w:spacing w:after="240" w:before="24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“…le contestamos que:</w:t>
      </w:r>
    </w:p>
    <w:p w:rsidR="00000000" w:rsidDel="00000000" w:rsidP="00000000" w:rsidRDefault="00000000" w:rsidRPr="00000000" w14:paraId="00000010">
      <w:pPr>
        <w:spacing w:after="240" w:before="24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CERTIFICADO DE MEJORAS EN VERSION PUBLICA...” (sic)</w:t>
      </w:r>
    </w:p>
    <w:p w:rsidR="00000000" w:rsidDel="00000000" w:rsidP="00000000" w:rsidRDefault="00000000" w:rsidRPr="00000000" w14:paraId="00000011">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adjuntó los siguientes archivos:</w:t>
      </w:r>
    </w:p>
    <w:p w:rsidR="00000000" w:rsidDel="00000000" w:rsidP="00000000" w:rsidRDefault="00000000" w:rsidRPr="00000000" w14:paraId="00000012">
      <w:pPr>
        <w:spacing w:after="240" w:before="240" w:line="360" w:lineRule="auto"/>
        <w:ind w:right="49"/>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 “00301VACHASO.pdf”, </w:t>
      </w:r>
      <w:r w:rsidDel="00000000" w:rsidR="00000000" w:rsidRPr="00000000">
        <w:rPr>
          <w:rFonts w:ascii="Palatino Linotype" w:cs="Palatino Linotype" w:eastAsia="Palatino Linotype" w:hAnsi="Palatino Linotype"/>
          <w:rtl w:val="0"/>
        </w:rPr>
        <w:t xml:space="preserve">que contiene el acuse de la solicitud de información </w:t>
      </w:r>
      <w:r w:rsidDel="00000000" w:rsidR="00000000" w:rsidRPr="00000000">
        <w:rPr>
          <w:rFonts w:ascii="Palatino Linotype" w:cs="Palatino Linotype" w:eastAsia="Palatino Linotype" w:hAnsi="Palatino Linotype"/>
          <w:i w:val="1"/>
          <w:rtl w:val="0"/>
        </w:rPr>
        <w:t xml:space="preserve">00301/VACHASO/IP/2022.</w:t>
      </w:r>
    </w:p>
    <w:p w:rsidR="00000000" w:rsidDel="00000000" w:rsidP="00000000" w:rsidRDefault="00000000" w:rsidRPr="00000000" w14:paraId="00000013">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i w:val="1"/>
          <w:rtl w:val="0"/>
        </w:rPr>
        <w:t xml:space="preserve">“301-1.pdf”, </w:t>
      </w:r>
      <w:r w:rsidDel="00000000" w:rsidR="00000000" w:rsidRPr="00000000">
        <w:rPr>
          <w:rFonts w:ascii="Palatino Linotype" w:cs="Palatino Linotype" w:eastAsia="Palatino Linotype" w:hAnsi="Palatino Linotype"/>
          <w:rtl w:val="0"/>
        </w:rPr>
        <w:t xml:space="preserve">que contiene el oficio número MVCHS/TM/DGRAL/ET/08/0456/2022, de fecha veintitrés de agosto de dos mil veintidós, signado por el Tesorero Municipal, mediante el cual, con apoyo del Jefe de Departamento de Predial, manifiesta remitir los Certificados de Aportaciones de Mejoras en versión pública, aprobada en la Vigésima Sesión Extraordinaria del Comité Municipal de Transparencia celebrada el diecinueve de agosto de dos mil veintidós.</w:t>
      </w:r>
    </w:p>
    <w:p w:rsidR="00000000" w:rsidDel="00000000" w:rsidP="00000000" w:rsidRDefault="00000000" w:rsidRPr="00000000" w14:paraId="00000014">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i w:val="1"/>
          <w:rtl w:val="0"/>
        </w:rPr>
        <w:t xml:space="preserve">APORTACION 378_redacted TESTADO_redacted OK.pdf</w:t>
      </w:r>
      <w:r w:rsidDel="00000000" w:rsidR="00000000" w:rsidRPr="00000000">
        <w:rPr>
          <w:rFonts w:ascii="Palatino Linotype" w:cs="Palatino Linotype" w:eastAsia="Palatino Linotype" w:hAnsi="Palatino Linotype"/>
          <w:rtl w:val="0"/>
        </w:rPr>
        <w:t xml:space="preserve">”, que contiene, en versión pública, el expediente relacionado con la Certificación de no Adeudo por Aportaciones de Mejoras con número de folio 0378, expedido en fecha veintinueve de junio de dos mil veintidós, mismo que consta de sesenta y un fojas.</w:t>
      </w:r>
    </w:p>
    <w:p w:rsidR="00000000" w:rsidDel="00000000" w:rsidP="00000000" w:rsidRDefault="00000000" w:rsidRPr="00000000" w14:paraId="00000015">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i w:val="1"/>
          <w:rtl w:val="0"/>
        </w:rPr>
        <w:t xml:space="preserve">“APORTACION 379_redactedTESTADO_redacted OK.pdf”, </w:t>
      </w:r>
      <w:r w:rsidDel="00000000" w:rsidR="00000000" w:rsidRPr="00000000">
        <w:rPr>
          <w:rFonts w:ascii="Palatino Linotype" w:cs="Palatino Linotype" w:eastAsia="Palatino Linotype" w:hAnsi="Palatino Linotype"/>
          <w:rtl w:val="0"/>
        </w:rPr>
        <w:t xml:space="preserve">que contiene, en versión pública, el expediente relacionado con la Certificación de no Adeudo por Aportaciones de Mejoras con número de folio 0379, expedido en fecha veintinueve de junio de dos mil veintidós, mismo que consta de noventa y nueve fojas.</w:t>
      </w:r>
    </w:p>
    <w:p w:rsidR="00000000" w:rsidDel="00000000" w:rsidP="00000000" w:rsidRDefault="00000000" w:rsidRPr="00000000" w14:paraId="00000016">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i w:val="1"/>
          <w:rtl w:val="0"/>
        </w:rPr>
        <w:t xml:space="preserve">CTM-VACHASO-A-00141-2022.pdf</w:t>
      </w:r>
      <w:r w:rsidDel="00000000" w:rsidR="00000000" w:rsidRPr="00000000">
        <w:rPr>
          <w:rFonts w:ascii="Palatino Linotype" w:cs="Palatino Linotype" w:eastAsia="Palatino Linotype" w:hAnsi="Palatino Linotype"/>
          <w:rtl w:val="0"/>
        </w:rPr>
        <w:t xml:space="preserve">”, que contiene el Acuerdo número CTM/VACHASO/A/00141/2022, tomado en la Vigésima Sesión Extraordinaria celebrada el diecinueve de agosto de dos mil veintidós, mediante el cual el Comité de Transparencia confirma, por unanimidad de votos, la propuesta de proyecto de clasificación parcial presentado por el Tesorero Municipal, para dar contestación a la solicitud de información, respecto del nombre, firma, domicilio y clave catastral contenido en el soporte documental requerido, al corresponder con datos personales susceptibles de ser clasificados como confidenciales.  </w:t>
      </w:r>
    </w:p>
    <w:p w:rsidR="00000000" w:rsidDel="00000000" w:rsidP="00000000" w:rsidRDefault="00000000" w:rsidRPr="00000000" w14:paraId="00000017">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i w:val="1"/>
          <w:rtl w:val="0"/>
        </w:rPr>
        <w:t xml:space="preserve">ACTA DE LA DECIMO NOVENA SESION EXTRAORDINARIA.pdf” </w:t>
      </w:r>
      <w:r w:rsidDel="00000000" w:rsidR="00000000" w:rsidRPr="00000000">
        <w:rPr>
          <w:rFonts w:ascii="Palatino Linotype" w:cs="Palatino Linotype" w:eastAsia="Palatino Linotype" w:hAnsi="Palatino Linotype"/>
          <w:rtl w:val="0"/>
        </w:rPr>
        <w:t xml:space="preserve">que contiene el Acta de la Décimo Novena Sesión Extraordinaria del Comité de Transparencia, mediante la cual se sometió a consideración de los integrantes del Comité la aprobación de diversos acuerdos relacionados con Proyectos de Declaratoria de Inexistencia, sin advertir que dicha información guarde relación con la solicitud presentada por la persona solicitante.</w:t>
      </w:r>
    </w:p>
    <w:p w:rsidR="00000000" w:rsidDel="00000000" w:rsidP="00000000" w:rsidRDefault="00000000" w:rsidRPr="00000000" w14:paraId="00000018">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 se observa a continuación:</w:t>
      </w:r>
    </w:p>
    <w:p w:rsidR="00000000" w:rsidDel="00000000" w:rsidP="00000000" w:rsidRDefault="00000000" w:rsidRPr="00000000" w14:paraId="00000019">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5. Interposición del recurso de revisión. </w:t>
      </w:r>
      <w:r w:rsidDel="00000000" w:rsidR="00000000" w:rsidRPr="00000000">
        <w:rPr>
          <w:rFonts w:ascii="Palatino Linotype" w:cs="Palatino Linotype" w:eastAsia="Palatino Linotype" w:hAnsi="Palatino Linotype"/>
          <w:rtl w:val="0"/>
        </w:rPr>
        <w:t xml:space="preserve">Inconforme con los términos de la respuesta emitida por parte del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el </w:t>
      </w:r>
      <w:r w:rsidDel="00000000" w:rsidR="00000000" w:rsidRPr="00000000">
        <w:rPr>
          <w:rFonts w:ascii="Palatino Linotype" w:cs="Palatino Linotype" w:eastAsia="Palatino Linotype" w:hAnsi="Palatino Linotype"/>
          <w:b w:val="1"/>
          <w:rtl w:val="0"/>
        </w:rPr>
        <w:t xml:space="preserve">treinta y uno de agosto de dos mil veintidós,</w:t>
      </w:r>
      <w:r w:rsidDel="00000000" w:rsidR="00000000" w:rsidRPr="00000000">
        <w:rPr>
          <w:rFonts w:ascii="Palatino Linotype" w:cs="Palatino Linotype" w:eastAsia="Palatino Linotype" w:hAnsi="Palatino Linotype"/>
          <w:rtl w:val="0"/>
        </w:rPr>
        <w:t xml:space="preserve">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interpuso el recurso de revisión a través de </w:t>
      </w:r>
      <w:r w:rsidDel="00000000" w:rsidR="00000000" w:rsidRPr="00000000">
        <w:rPr>
          <w:rFonts w:ascii="Palatino Linotype" w:cs="Palatino Linotype" w:eastAsia="Palatino Linotype" w:hAnsi="Palatino Linotype"/>
          <w:b w:val="1"/>
          <w:rtl w:val="0"/>
        </w:rPr>
        <w:t xml:space="preserve">SAIMEX, </w:t>
      </w:r>
      <w:r w:rsidDel="00000000" w:rsidR="00000000" w:rsidRPr="00000000">
        <w:rPr>
          <w:rFonts w:ascii="Palatino Linotype" w:cs="Palatino Linotype" w:eastAsia="Palatino Linotype" w:hAnsi="Palatino Linotype"/>
          <w:rtl w:val="0"/>
        </w:rPr>
        <w:t xml:space="preserve">en donde se manifestó de la siguiente manera:</w:t>
      </w:r>
    </w:p>
    <w:p w:rsidR="00000000" w:rsidDel="00000000" w:rsidP="00000000" w:rsidRDefault="00000000" w:rsidRPr="00000000" w14:paraId="0000001A">
      <w:pPr>
        <w:tabs>
          <w:tab w:val="left" w:leader="none" w:pos="2745"/>
        </w:tabs>
        <w:spacing w:after="240" w:before="240"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Acto impugnado: </w:t>
      </w:r>
    </w:p>
    <w:p w:rsidR="00000000" w:rsidDel="00000000" w:rsidP="00000000" w:rsidRDefault="00000000" w:rsidRPr="00000000" w14:paraId="0000001B">
      <w:pPr>
        <w:tabs>
          <w:tab w:val="left" w:leader="none" w:pos="2745"/>
        </w:tabs>
        <w:spacing w:after="240" w:before="240" w:lineRule="auto"/>
        <w:ind w:left="851"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“La entrega de la información incompleta y parcial, o bien, no corresponden algunos de los documentos con lo solicitado toda vez que, el contenido no es legible o bien, fue alterado a propósito para no poder ser leído.” (sic)</w:t>
      </w:r>
    </w:p>
    <w:p w:rsidR="00000000" w:rsidDel="00000000" w:rsidP="00000000" w:rsidRDefault="00000000" w:rsidRPr="00000000" w14:paraId="0000001C">
      <w:pPr>
        <w:spacing w:line="360" w:lineRule="auto"/>
        <w:jc w:val="both"/>
        <w:rPr>
          <w:rFonts w:ascii="Palatino Linotype" w:cs="Palatino Linotype" w:eastAsia="Palatino Linotype" w:hAnsi="Palatino Linotype"/>
        </w:rPr>
      </w:pPr>
      <w:bookmarkStart w:colFirst="0" w:colLast="0" w:name="_heading=h.30j0zll" w:id="1"/>
      <w:bookmarkEnd w:id="1"/>
      <w:r w:rsidDel="00000000" w:rsidR="00000000" w:rsidRPr="00000000">
        <w:rPr>
          <w:rFonts w:ascii="Palatino Linotype" w:cs="Palatino Linotype" w:eastAsia="Palatino Linotype" w:hAnsi="Palatino Linotype"/>
          <w:b w:val="1"/>
          <w:rtl w:val="0"/>
        </w:rPr>
        <w:t xml:space="preserve">Y Razones o motivos de inconformidad</w:t>
      </w:r>
      <w:r w:rsidDel="00000000" w:rsidR="00000000" w:rsidRPr="00000000">
        <w:rPr>
          <w:rFonts w:ascii="Palatino Linotype" w:cs="Palatino Linotype" w:eastAsia="Palatino Linotype" w:hAnsi="Palatino Linotype"/>
          <w:rtl w:val="0"/>
        </w:rPr>
        <w:t xml:space="preserve">: </w:t>
      </w:r>
    </w:p>
    <w:p w:rsidR="00000000" w:rsidDel="00000000" w:rsidP="00000000" w:rsidRDefault="00000000" w:rsidRPr="00000000" w14:paraId="0000001D">
      <w:pPr>
        <w:tabs>
          <w:tab w:val="left" w:leader="none" w:pos="2745"/>
        </w:tabs>
        <w:spacing w:after="240" w:before="240" w:lineRule="auto"/>
        <w:ind w:left="851"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“La entrega de la información incompleta y parcial, o bien, no corresponden algunos de los documentos con lo solicitado toda vez que, el contenido no es legible o bien, fue alterado a propósito para no poder ser leído.” (sic)</w:t>
      </w:r>
    </w:p>
    <w:p w:rsidR="00000000" w:rsidDel="00000000" w:rsidP="00000000" w:rsidRDefault="00000000" w:rsidRPr="00000000" w14:paraId="0000001E">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Anexos: </w:t>
      </w:r>
      <w:r w:rsidDel="00000000" w:rsidR="00000000" w:rsidRPr="00000000">
        <w:rPr>
          <w:rFonts w:ascii="Palatino Linotype" w:cs="Palatino Linotype" w:eastAsia="Palatino Linotype" w:hAnsi="Palatino Linotype"/>
          <w:rtl w:val="0"/>
        </w:rPr>
        <w:t xml:space="preserve">La parte </w:t>
      </w:r>
      <w:r w:rsidDel="00000000" w:rsidR="00000000" w:rsidRPr="00000000">
        <w:rPr>
          <w:rFonts w:ascii="Palatino Linotype" w:cs="Palatino Linotype" w:eastAsia="Palatino Linotype" w:hAnsi="Palatino Linotype"/>
          <w:b w:val="1"/>
          <w:rtl w:val="0"/>
        </w:rPr>
        <w:t xml:space="preserve">Recurrente </w:t>
      </w:r>
      <w:r w:rsidDel="00000000" w:rsidR="00000000" w:rsidRPr="00000000">
        <w:rPr>
          <w:rFonts w:ascii="Palatino Linotype" w:cs="Palatino Linotype" w:eastAsia="Palatino Linotype" w:hAnsi="Palatino Linotype"/>
          <w:rtl w:val="0"/>
        </w:rPr>
        <w:t xml:space="preserve">no adjuntó archivos. </w:t>
      </w:r>
    </w:p>
    <w:p w:rsidR="00000000" w:rsidDel="00000000" w:rsidP="00000000" w:rsidRDefault="00000000" w:rsidRPr="00000000" w14:paraId="0000001F">
      <w:pPr>
        <w:spacing w:after="240" w:before="240"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6. Turno. </w:t>
      </w:r>
      <w:r w:rsidDel="00000000" w:rsidR="00000000" w:rsidRPr="00000000">
        <w:rPr>
          <w:rFonts w:ascii="Palatino Linotype" w:cs="Palatino Linotype" w:eastAsia="Palatino Linotype" w:hAnsi="Palatino Linotype"/>
          <w:rtl w:val="0"/>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Del="00000000" w:rsidR="00000000" w:rsidRPr="00000000">
        <w:rPr>
          <w:rFonts w:ascii="Palatino Linotype" w:cs="Palatino Linotype" w:eastAsia="Palatino Linotype" w:hAnsi="Palatino Linotype"/>
          <w:b w:val="1"/>
          <w:rtl w:val="0"/>
        </w:rPr>
        <w:t xml:space="preserve">Guadalupe Ramírez Peña, </w:t>
      </w:r>
      <w:r w:rsidDel="00000000" w:rsidR="00000000" w:rsidRPr="00000000">
        <w:rPr>
          <w:rFonts w:ascii="Palatino Linotype" w:cs="Palatino Linotype" w:eastAsia="Palatino Linotype" w:hAnsi="Palatino Linotype"/>
          <w:rtl w:val="0"/>
        </w:rPr>
        <w:t xml:space="preserve">a efecto de que analizara sobre su admisión o su desechamiento.</w:t>
      </w:r>
    </w:p>
    <w:p w:rsidR="00000000" w:rsidDel="00000000" w:rsidP="00000000" w:rsidRDefault="00000000" w:rsidRPr="00000000" w14:paraId="00000020">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7. Admisión del Recurso de revisión.</w:t>
      </w:r>
      <w:r w:rsidDel="00000000" w:rsidR="00000000" w:rsidRPr="00000000">
        <w:rPr>
          <w:rFonts w:ascii="Palatino Linotype" w:cs="Palatino Linotype" w:eastAsia="Palatino Linotype" w:hAnsi="Palatino Linotype"/>
          <w:rtl w:val="0"/>
        </w:rPr>
        <w:t xml:space="preserve"> Con fecha</w:t>
      </w:r>
      <w:r w:rsidDel="00000000" w:rsidR="00000000" w:rsidRPr="00000000">
        <w:rPr>
          <w:rFonts w:ascii="Palatino Linotype" w:cs="Palatino Linotype" w:eastAsia="Palatino Linotype" w:hAnsi="Palatino Linotype"/>
          <w:b w:val="1"/>
          <w:rtl w:val="0"/>
        </w:rPr>
        <w:t xml:space="preserve"> cinco de septiembre de dos mil veintidós, </w:t>
      </w:r>
      <w:r w:rsidDel="00000000" w:rsidR="00000000" w:rsidRPr="00000000">
        <w:rPr>
          <w:rFonts w:ascii="Palatino Linotype" w:cs="Palatino Linotype" w:eastAsia="Palatino Linotype" w:hAnsi="Palatino Linotype"/>
          <w:rtl w:val="0"/>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presentara su informe justificado.</w:t>
      </w:r>
    </w:p>
    <w:p w:rsidR="00000000" w:rsidDel="00000000" w:rsidP="00000000" w:rsidRDefault="00000000" w:rsidRPr="00000000" w14:paraId="00000021">
      <w:pPr>
        <w:spacing w:after="240" w:before="240" w:line="360" w:lineRule="auto"/>
        <w:jc w:val="both"/>
        <w:rPr>
          <w:rFonts w:ascii="Palatino Linotype" w:cs="Palatino Linotype" w:eastAsia="Palatino Linotype" w:hAnsi="Palatino Linotype"/>
        </w:rPr>
      </w:pPr>
      <w:bookmarkStart w:colFirst="0" w:colLast="0" w:name="_heading=h.2s8eyo1" w:id="2"/>
      <w:bookmarkEnd w:id="2"/>
      <w:r w:rsidDel="00000000" w:rsidR="00000000" w:rsidRPr="00000000">
        <w:rPr>
          <w:rFonts w:ascii="Palatino Linotype" w:cs="Palatino Linotype" w:eastAsia="Palatino Linotype" w:hAnsi="Palatino Linotype"/>
          <w:b w:val="1"/>
          <w:rtl w:val="0"/>
        </w:rPr>
        <w:t xml:space="preserve">8. Manifestaciones</w:t>
      </w:r>
      <w:r w:rsidDel="00000000" w:rsidR="00000000" w:rsidRPr="00000000">
        <w:rPr>
          <w:rFonts w:ascii="Palatino Linotype" w:cs="Palatino Linotype" w:eastAsia="Palatino Linotype" w:hAnsi="Palatino Linotype"/>
          <w:rtl w:val="0"/>
        </w:rPr>
        <w:t xml:space="preserve">. De las constancias que obran en el expediente electrónico del SAIMEX se desprende que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no rindió su informe justificado, del mismo modo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omitió realizar manifestaciones, como se observa a continuación:</w:t>
      </w:r>
    </w:p>
    <w:p w:rsidR="00000000" w:rsidDel="00000000" w:rsidP="00000000" w:rsidRDefault="00000000" w:rsidRPr="00000000" w14:paraId="00000022">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0" distT="0" distL="0" distR="0">
            <wp:extent cx="5608955" cy="1635760"/>
            <wp:effectExtent b="0" l="0" r="0" t="0"/>
            <wp:docPr id="73"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5608955" cy="1635760"/>
                    </a:xfrm>
                    <a:prstGeom prst="rect"/>
                    <a:ln/>
                  </pic:spPr>
                </pic:pic>
              </a:graphicData>
            </a:graphic>
          </wp:inline>
        </w:drawing>
      </w:r>
      <w:r w:rsidDel="00000000" w:rsidR="00000000" w:rsidRPr="00000000">
        <w:rPr>
          <w:rtl w:val="0"/>
        </w:rPr>
      </w:r>
    </w:p>
    <w:p w:rsidR="00000000" w:rsidDel="00000000" w:rsidP="00000000" w:rsidRDefault="00000000" w:rsidRPr="00000000" w14:paraId="00000023">
      <w:pPr>
        <w:spacing w:after="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9. Cierre de instrucción. </w:t>
      </w:r>
      <w:r w:rsidDel="00000000" w:rsidR="00000000" w:rsidRPr="00000000">
        <w:rPr>
          <w:rFonts w:ascii="Palatino Linotype" w:cs="Palatino Linotype" w:eastAsia="Palatino Linotype" w:hAnsi="Palatino Linotype"/>
          <w:rtl w:val="0"/>
        </w:rPr>
        <w:t xml:space="preserve">Una vez transcurrido el periodo otorgado a las partes para realizar sus manifestaciones y no habiendo documentos que integrar al expediente, con fecha </w:t>
      </w:r>
      <w:r w:rsidDel="00000000" w:rsidR="00000000" w:rsidRPr="00000000">
        <w:rPr>
          <w:rFonts w:ascii="Palatino Linotype" w:cs="Palatino Linotype" w:eastAsia="Palatino Linotype" w:hAnsi="Palatino Linotype"/>
          <w:b w:val="1"/>
          <w:rtl w:val="0"/>
        </w:rPr>
        <w:t xml:space="preserve">veintitrés de septiembre de dos mil veintidós</w:t>
      </w:r>
      <w:r w:rsidDel="00000000" w:rsidR="00000000" w:rsidRPr="00000000">
        <w:rPr>
          <w:rFonts w:ascii="Palatino Linotype" w:cs="Palatino Linotype" w:eastAsia="Palatino Linotype" w:hAnsi="Palatino Linotype"/>
          <w:rtl w:val="0"/>
        </w:rPr>
        <w:t xml:space="preserve">, la Comisionada Ponente determinó el cierre de instrucción en términos de la fracción VI del artículo 185 de la Ley de Transparencia y Acceso a la Información Pública del Estado de México y Municipios.</w:t>
      </w:r>
    </w:p>
    <w:p w:rsidR="00000000" w:rsidDel="00000000" w:rsidP="00000000" w:rsidRDefault="00000000" w:rsidRPr="00000000" w14:paraId="00000024">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10. Ampliación del término para resolver</w:t>
      </w:r>
      <w:r w:rsidDel="00000000" w:rsidR="00000000" w:rsidRPr="00000000">
        <w:rPr>
          <w:rFonts w:ascii="Palatino Linotype" w:cs="Palatino Linotype" w:eastAsia="Palatino Linotype" w:hAnsi="Palatino Linotype"/>
          <w:rtl w:val="0"/>
        </w:rPr>
        <w:t xml:space="preserve">. En fecha </w:t>
      </w:r>
      <w:r w:rsidDel="00000000" w:rsidR="00000000" w:rsidRPr="00000000">
        <w:rPr>
          <w:rFonts w:ascii="Palatino Linotype" w:cs="Palatino Linotype" w:eastAsia="Palatino Linotype" w:hAnsi="Palatino Linotype"/>
          <w:b w:val="1"/>
          <w:rtl w:val="0"/>
        </w:rPr>
        <w:t xml:space="preserve">ocho de noviembre de dos mil veintidós</w:t>
      </w:r>
      <w:r w:rsidDel="00000000" w:rsidR="00000000" w:rsidRPr="00000000">
        <w:rPr>
          <w:rFonts w:ascii="Palatino Linotype" w:cs="Palatino Linotype" w:eastAsia="Palatino Linotype" w:hAnsi="Palatino Linotype"/>
          <w:rtl w:val="0"/>
        </w:rPr>
        <w:t xml:space="preserve">, se amplió el término para resolver el recurso de revisión en términos del artículo 181 párrafo tercero de la Ley de Transparencia y Acceso a la Información Pública del Estado de México y Municipios.</w:t>
      </w:r>
    </w:p>
    <w:p w:rsidR="00000000" w:rsidDel="00000000" w:rsidP="00000000" w:rsidRDefault="00000000" w:rsidRPr="00000000" w14:paraId="00000025">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Este organismo garante no pasa por alto justificar, que el plazo para emitir la resolución en el presente asunto encuentra justificación en el alto número de recursos de revisión recibidos en el año dos mil veintidós, que, en comparación con los recibidos en el año dos mil veintiuno, se incrementó aproximadamente un 300%, circunstancia atípica que ha rebasado las capacidades técnicas y humanas del personal encargado de la proyección de las resoluciones a dichos medios de impugnación.</w:t>
      </w:r>
    </w:p>
    <w:p w:rsidR="00000000" w:rsidDel="00000000" w:rsidP="00000000" w:rsidRDefault="00000000" w:rsidRPr="00000000" w14:paraId="00000026">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rsidR="00000000" w:rsidDel="00000000" w:rsidP="00000000" w:rsidRDefault="00000000" w:rsidRPr="00000000" w14:paraId="00000027">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00000000" w:rsidDel="00000000" w:rsidP="00000000" w:rsidRDefault="00000000" w:rsidRPr="00000000" w14:paraId="00000028">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rsidR="00000000" w:rsidDel="00000000" w:rsidP="00000000" w:rsidRDefault="00000000" w:rsidRPr="00000000" w14:paraId="00000029">
      <w:pPr>
        <w:spacing w:after="240" w:before="240" w:line="360" w:lineRule="auto"/>
        <w:jc w:val="both"/>
        <w:rPr>
          <w:rFonts w:ascii="Palatino Linotype" w:cs="Palatino Linotype" w:eastAsia="Palatino Linotype" w:hAnsi="Palatino Linotype"/>
          <w:strike w:val="1"/>
        </w:rPr>
      </w:pPr>
      <w:r w:rsidDel="00000000" w:rsidR="00000000" w:rsidRPr="00000000">
        <w:rPr>
          <w:rFonts w:ascii="Palatino Linotype" w:cs="Palatino Linotype" w:eastAsia="Palatino Linotype" w:hAnsi="Palatino Linotype"/>
          <w:rtl w:val="0"/>
        </w:rPr>
        <w:t xml:space="preserve">Por ello, excepcionalmente, si un asunto es resuelto con posterioridad a los plazos señalados por la norma debe analizarse la razonabilidad del tiempo necesario para su resolución atentos a los siguientes criterios: </w:t>
      </w:r>
      <w:r w:rsidDel="00000000" w:rsidR="00000000" w:rsidRPr="00000000">
        <w:rPr>
          <w:rtl w:val="0"/>
        </w:rPr>
      </w:r>
    </w:p>
    <w:p w:rsidR="00000000" w:rsidDel="00000000" w:rsidP="00000000" w:rsidRDefault="00000000" w:rsidRPr="00000000" w14:paraId="0000002A">
      <w:pPr>
        <w:numPr>
          <w:ilvl w:val="0"/>
          <w:numId w:val="2"/>
        </w:numPr>
        <w:tabs>
          <w:tab w:val="left" w:leader="none" w:pos="993"/>
        </w:tabs>
        <w:spacing w:after="240" w:before="240" w:line="360" w:lineRule="auto"/>
        <w:ind w:left="567"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Complejidad del Asunto: La complejidad de la prueba, la pluralidad de sujetos procesales, el tiempo transcurrido, las características y contexto del recurso. </w:t>
      </w:r>
    </w:p>
    <w:p w:rsidR="00000000" w:rsidDel="00000000" w:rsidP="00000000" w:rsidRDefault="00000000" w:rsidRPr="00000000" w14:paraId="0000002B">
      <w:pPr>
        <w:numPr>
          <w:ilvl w:val="0"/>
          <w:numId w:val="2"/>
        </w:numPr>
        <w:tabs>
          <w:tab w:val="left" w:leader="none" w:pos="993"/>
        </w:tabs>
        <w:spacing w:after="240" w:before="240" w:line="360" w:lineRule="auto"/>
        <w:ind w:left="567"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Actividad Procesal del interesado. Acciones u omisiones del interesado.</w:t>
      </w:r>
    </w:p>
    <w:p w:rsidR="00000000" w:rsidDel="00000000" w:rsidP="00000000" w:rsidRDefault="00000000" w:rsidRPr="00000000" w14:paraId="0000002C">
      <w:pPr>
        <w:numPr>
          <w:ilvl w:val="0"/>
          <w:numId w:val="2"/>
        </w:numPr>
        <w:tabs>
          <w:tab w:val="left" w:leader="none" w:pos="993"/>
        </w:tabs>
        <w:spacing w:after="240" w:before="240" w:line="360" w:lineRule="auto"/>
        <w:ind w:left="567"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Conducta de la Autoridad: Las Acciones u omisiones realizadas en el procedimiento. Así como si la autoridad actuó con la debida diligencia.</w:t>
      </w:r>
    </w:p>
    <w:p w:rsidR="00000000" w:rsidDel="00000000" w:rsidP="00000000" w:rsidRDefault="00000000" w:rsidRPr="00000000" w14:paraId="0000002D">
      <w:pPr>
        <w:numPr>
          <w:ilvl w:val="0"/>
          <w:numId w:val="2"/>
        </w:numPr>
        <w:tabs>
          <w:tab w:val="left" w:leader="none" w:pos="993"/>
        </w:tabs>
        <w:spacing w:after="240" w:before="240" w:line="360" w:lineRule="auto"/>
        <w:ind w:left="567"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La afectación generada en la situación jurídica de la persona involucrada en el proceso: Violación a sus derechos humanos.</w:t>
      </w:r>
    </w:p>
    <w:p w:rsidR="00000000" w:rsidDel="00000000" w:rsidP="00000000" w:rsidRDefault="00000000" w:rsidRPr="00000000" w14:paraId="0000002E">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rsidR="00000000" w:rsidDel="00000000" w:rsidP="00000000" w:rsidRDefault="00000000" w:rsidRPr="00000000" w14:paraId="0000002F">
      <w:pPr>
        <w:spacing w:after="240" w:before="240"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rtl w:val="0"/>
        </w:rPr>
        <w:t xml:space="preserve">Argumento que encuentra sustento en la jurisprudencia P./J. 32/92 emitida por el Pleno de la Suprema Corte de Justicia de la Nación de rubro </w:t>
      </w:r>
      <w:r w:rsidDel="00000000" w:rsidR="00000000" w:rsidRPr="00000000">
        <w:rPr>
          <w:rFonts w:ascii="Palatino Linotype" w:cs="Palatino Linotype" w:eastAsia="Palatino Linotype" w:hAnsi="Palatino Linotype"/>
          <w:i w:val="1"/>
          <w:rtl w:val="0"/>
        </w:rPr>
        <w:t xml:space="preserve">“TÉRMINOS PROCESALES. PARA DETERMINAR SI UN FUNCIONARIO JUDICIAL ACTUÓ INDEBIDAMENTE POR NO RESPETARLOS SE DEBE ATENDER AL PRESUPUESTO QUE CONSIDERÓ EL LEGISLADOR AL FIJARLOS Y LAS CARACTERÍSTICAS DEL CASO.”</w:t>
      </w:r>
      <w:r w:rsidDel="00000000" w:rsidR="00000000" w:rsidRPr="00000000">
        <w:rPr>
          <w:rFonts w:ascii="Palatino Linotype" w:cs="Palatino Linotype" w:eastAsia="Palatino Linotype" w:hAnsi="Palatino Linotype"/>
          <w:rtl w:val="0"/>
        </w:rPr>
        <w:t xml:space="preserve">, visible en la Gaceta del Seminario Judicial de la Federación con el registro digital 205635.</w:t>
      </w:r>
      <w:r w:rsidDel="00000000" w:rsidR="00000000" w:rsidRPr="00000000">
        <w:rPr>
          <w:rtl w:val="0"/>
        </w:rPr>
      </w:r>
    </w:p>
    <w:p w:rsidR="00000000" w:rsidDel="00000000" w:rsidP="00000000" w:rsidRDefault="00000000" w:rsidRPr="00000000" w14:paraId="00000030">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rsidR="00000000" w:rsidDel="00000000" w:rsidP="00000000" w:rsidRDefault="00000000" w:rsidRPr="00000000" w14:paraId="00000031">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Al respecto, también son de considerar los criterios sostenidos por el Cuarto Tribunal Colegiado en Materia Administrativa del Primer Circuito, cuyos rubros y datos de identificación son los siguientes:</w:t>
      </w:r>
    </w:p>
    <w:p w:rsidR="00000000" w:rsidDel="00000000" w:rsidP="00000000" w:rsidRDefault="00000000" w:rsidRPr="00000000" w14:paraId="00000032">
      <w:pPr>
        <w:spacing w:after="240" w:before="240" w:lineRule="auto"/>
        <w:ind w:left="851"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“PLAZO RAZONABLE PARA RESOLVER. DIMENSIÓN Y EFECTOS DE ESTE CONCEPTO CUANDO SE ADUCE EXCESIVA CARGA DE TRABAJO</w:t>
      </w: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sz w:val="22"/>
          <w:szCs w:val="22"/>
          <w:rtl w:val="0"/>
        </w:rPr>
        <w:t xml:space="preserve"> consultable en el Seminario Judicial de la Federación y su gaceta, con el registro digital 2002351.</w:t>
      </w:r>
    </w:p>
    <w:p w:rsidR="00000000" w:rsidDel="00000000" w:rsidP="00000000" w:rsidRDefault="00000000" w:rsidRPr="00000000" w14:paraId="00000033">
      <w:pPr>
        <w:spacing w:after="240" w:before="240" w:lineRule="auto"/>
        <w:ind w:left="851"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i w:val="1"/>
          <w:sz w:val="22"/>
          <w:szCs w:val="22"/>
          <w:rtl w:val="0"/>
        </w:rPr>
        <w:t xml:space="preserve">“PLAZO RAZONABLE PARA RESOLVER. CONCEPTO Y ELEMENTOS QUE LO INTEGRAN A LA LUZ DEL DERECHO INTERNACIONAL DE LOS DERECHOS HUMANOS.”</w:t>
      </w:r>
      <w:r w:rsidDel="00000000" w:rsidR="00000000" w:rsidRPr="00000000">
        <w:rPr>
          <w:rFonts w:ascii="Palatino Linotype" w:cs="Palatino Linotype" w:eastAsia="Palatino Linotype" w:hAnsi="Palatino Linotype"/>
          <w:sz w:val="22"/>
          <w:szCs w:val="22"/>
          <w:rtl w:val="0"/>
        </w:rPr>
        <w:t xml:space="preserve">, visible en el Seminario Judicial de la Federación y su gaceta, con el registro digital 2002350.</w:t>
      </w:r>
    </w:p>
    <w:p w:rsidR="00000000" w:rsidDel="00000000" w:rsidP="00000000" w:rsidRDefault="00000000" w:rsidRPr="00000000" w14:paraId="00000034">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ello, este organismo garante comprometido con la tutela de los derechos humanos confiados, señala que este exceso del plazo legal para resolver el presente asunto, resulta de carácter excepcional.</w:t>
      </w:r>
    </w:p>
    <w:p w:rsidR="00000000" w:rsidDel="00000000" w:rsidP="00000000" w:rsidRDefault="00000000" w:rsidRPr="00000000" w14:paraId="00000035">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razón de que fue debidamente sustanciado el expediente electrónico y no existe diligencia pendiente de desahogo, se emite la Resolución que conforme a Derecho proceda, de acuerdo con los siguientes: </w:t>
      </w:r>
    </w:p>
    <w:p w:rsidR="00000000" w:rsidDel="00000000" w:rsidP="00000000" w:rsidRDefault="00000000" w:rsidRPr="00000000" w14:paraId="00000036">
      <w:pPr>
        <w:widowControl w:val="0"/>
        <w:spacing w:after="240" w:before="240" w:line="36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II. C O N S I D E R A N D O S</w:t>
      </w:r>
    </w:p>
    <w:p w:rsidR="00000000" w:rsidDel="00000000" w:rsidP="00000000" w:rsidRDefault="00000000" w:rsidRPr="00000000" w14:paraId="00000037">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Primero. Competencia.</w:t>
      </w:r>
      <w:r w:rsidDel="00000000" w:rsidR="00000000" w:rsidRPr="00000000">
        <w:rPr>
          <w:rFonts w:ascii="Palatino Linotype" w:cs="Palatino Linotype" w:eastAsia="Palatino Linotype" w:hAnsi="Palatino Linotype"/>
          <w:rtl w:val="0"/>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rsidR="00000000" w:rsidDel="00000000" w:rsidP="00000000" w:rsidRDefault="00000000" w:rsidRPr="00000000" w14:paraId="00000038">
      <w:pPr>
        <w:spacing w:after="240" w:before="240" w:line="360" w:lineRule="auto"/>
        <w:jc w:val="both"/>
        <w:rPr>
          <w:rFonts w:ascii="Palatino Linotype" w:cs="Palatino Linotype" w:eastAsia="Palatino Linotype" w:hAnsi="Palatino Linotype"/>
        </w:rPr>
      </w:pPr>
      <w:bookmarkStart w:colFirst="0" w:colLast="0" w:name="_heading=h.tyjcwt" w:id="3"/>
      <w:bookmarkEnd w:id="3"/>
      <w:r w:rsidDel="00000000" w:rsidR="00000000" w:rsidRPr="00000000">
        <w:rPr>
          <w:rFonts w:ascii="Palatino Linotype" w:cs="Palatino Linotype" w:eastAsia="Palatino Linotype" w:hAnsi="Palatino Linotype"/>
          <w:b w:val="1"/>
          <w:rtl w:val="0"/>
        </w:rPr>
        <w:t xml:space="preserve">Segundo. Oportunidad y Procedibilidad del Recurso de Revisión</w:t>
      </w:r>
      <w:r w:rsidDel="00000000" w:rsidR="00000000" w:rsidRPr="00000000">
        <w:rPr>
          <w:rFonts w:ascii="Palatino Linotype" w:cs="Palatino Linotype" w:eastAsia="Palatino Linotype" w:hAnsi="Palatino Linotype"/>
          <w:rtl w:val="0"/>
        </w:rPr>
        <w:t xml:space="preserve">.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rsidR="00000000" w:rsidDel="00000000" w:rsidP="00000000" w:rsidRDefault="00000000" w:rsidRPr="00000000" w14:paraId="00000039">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El recurso de revisión fue interpuesto dentro del plazo de quince días hábiles, previsto en el artículo 178 de la Ley de Transparencia y Acceso a la Información Pública del Estado de México y Municipios, toda vez que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remitió la respuesta a la solicitud de información el día </w:t>
      </w:r>
      <w:r w:rsidDel="00000000" w:rsidR="00000000" w:rsidRPr="00000000">
        <w:rPr>
          <w:rFonts w:ascii="Palatino Linotype" w:cs="Palatino Linotype" w:eastAsia="Palatino Linotype" w:hAnsi="Palatino Linotype"/>
          <w:b w:val="1"/>
          <w:rtl w:val="0"/>
        </w:rPr>
        <w:t xml:space="preserve">veinticuatro de agosto de dos mil veintidós</w:t>
      </w:r>
      <w:r w:rsidDel="00000000" w:rsidR="00000000" w:rsidRPr="00000000">
        <w:rPr>
          <w:rFonts w:ascii="Palatino Linotype" w:cs="Palatino Linotype" w:eastAsia="Palatino Linotype" w:hAnsi="Palatino Linotype"/>
          <w:rtl w:val="0"/>
        </w:rPr>
        <w:t xml:space="preserve">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se tuvo por presentado el día </w:t>
      </w:r>
      <w:r w:rsidDel="00000000" w:rsidR="00000000" w:rsidRPr="00000000">
        <w:rPr>
          <w:rFonts w:ascii="Palatino Linotype" w:cs="Palatino Linotype" w:eastAsia="Palatino Linotype" w:hAnsi="Palatino Linotype"/>
          <w:b w:val="1"/>
          <w:rtl w:val="0"/>
        </w:rPr>
        <w:t xml:space="preserve">treinta y uno de agosto de dos mil veintidós</w:t>
      </w:r>
      <w:r w:rsidDel="00000000" w:rsidR="00000000" w:rsidRPr="00000000">
        <w:rPr>
          <w:rFonts w:ascii="Palatino Linotype" w:cs="Palatino Linotype" w:eastAsia="Palatino Linotype" w:hAnsi="Palatino Linotype"/>
          <w:rtl w:val="0"/>
        </w:rPr>
        <w:t xml:space="preserve">, esto es, al quinto día hábil en que tuvo conocimiento de la respuesta impugnada.</w:t>
      </w:r>
    </w:p>
    <w:p w:rsidR="00000000" w:rsidDel="00000000" w:rsidP="00000000" w:rsidRDefault="00000000" w:rsidRPr="00000000" w14:paraId="0000003A">
      <w:pPr>
        <w:spacing w:after="240" w:before="240" w:line="360" w:lineRule="auto"/>
        <w:jc w:val="both"/>
        <w:rPr>
          <w:rFonts w:ascii="Palatino Linotype" w:cs="Palatino Linotype" w:eastAsia="Palatino Linotype" w:hAnsi="Palatino Linotype"/>
        </w:rPr>
      </w:pPr>
      <w:bookmarkStart w:colFirst="0" w:colLast="0" w:name="_heading=h.3znysh7" w:id="4"/>
      <w:bookmarkEnd w:id="4"/>
      <w:r w:rsidDel="00000000" w:rsidR="00000000" w:rsidRPr="00000000">
        <w:rPr>
          <w:rFonts w:ascii="Palatino Linotype" w:cs="Palatino Linotype" w:eastAsia="Palatino Linotype" w:hAnsi="Palatino Linotype"/>
          <w:rtl w:val="0"/>
        </w:rPr>
        <w:t xml:space="preserve">En este sentido, se concluye que el presente recurso de revisión se encuentra dentro de los márgenes temporales previstos las disposiciones legales referidas.</w:t>
      </w:r>
    </w:p>
    <w:p w:rsidR="00000000" w:rsidDel="00000000" w:rsidP="00000000" w:rsidRDefault="00000000" w:rsidRPr="00000000" w14:paraId="0000003B">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Al mismo tiempo, por cuanto hace a la procedibilidad del recurso de revisión, una vez realizado el análisis de los formatos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rsidR="00000000" w:rsidDel="00000000" w:rsidP="00000000" w:rsidRDefault="00000000" w:rsidRPr="00000000" w14:paraId="0000003C">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 efecto de sustentar lo anterior, es de suma importancia mencionar que si bien la persona solicitante </w:t>
      </w:r>
      <w:r w:rsidDel="00000000" w:rsidR="00000000" w:rsidRPr="00000000">
        <w:rPr>
          <w:rFonts w:ascii="Palatino Linotype" w:cs="Palatino Linotype" w:eastAsia="Palatino Linotype" w:hAnsi="Palatino Linotype"/>
          <w:b w:val="1"/>
          <w:rtl w:val="0"/>
        </w:rPr>
        <w:t xml:space="preserve">no proporcionó nombre o seudónimo </w:t>
      </w:r>
      <w:r w:rsidDel="00000000" w:rsidR="00000000" w:rsidRPr="00000000">
        <w:rPr>
          <w:rFonts w:ascii="Palatino Linotype" w:cs="Palatino Linotype" w:eastAsia="Palatino Linotype" w:hAnsi="Palatino Linotype"/>
          <w:rtl w:val="0"/>
        </w:rPr>
        <w:t xml:space="preserve">como se advierte en el detalle de seguimiento del SAIMEX, sin embargo, el no proporcionar un nombre completo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rsidR="00000000" w:rsidDel="00000000" w:rsidP="00000000" w:rsidRDefault="00000000" w:rsidRPr="00000000" w14:paraId="0000003D">
      <w:pPr>
        <w:spacing w:after="120" w:before="120" w:lineRule="auto"/>
        <w:ind w:left="851" w:right="902"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Las solicitudes anónimas</w:t>
      </w:r>
      <w:r w:rsidDel="00000000" w:rsidR="00000000" w:rsidRPr="00000000">
        <w:rPr>
          <w:rFonts w:ascii="Palatino Linotype" w:cs="Palatino Linotype" w:eastAsia="Palatino Linotype" w:hAnsi="Palatino Linotype"/>
          <w:i w:val="1"/>
          <w:sz w:val="22"/>
          <w:szCs w:val="22"/>
          <w:rtl w:val="0"/>
        </w:rPr>
        <w:t xml:space="preserve">, con nombre incompleto o seudónimo </w:t>
      </w:r>
      <w:r w:rsidDel="00000000" w:rsidR="00000000" w:rsidRPr="00000000">
        <w:rPr>
          <w:rFonts w:ascii="Palatino Linotype" w:cs="Palatino Linotype" w:eastAsia="Palatino Linotype" w:hAnsi="Palatino Linotype"/>
          <w:b w:val="1"/>
          <w:i w:val="1"/>
          <w:sz w:val="22"/>
          <w:szCs w:val="22"/>
          <w:rtl w:val="0"/>
        </w:rPr>
        <w:t xml:space="preserve">serán procedentes para su trámite por parte del sujeto obligado ante quien se presente</w:t>
      </w:r>
      <w:r w:rsidDel="00000000" w:rsidR="00000000" w:rsidRPr="00000000">
        <w:rPr>
          <w:rFonts w:ascii="Palatino Linotype" w:cs="Palatino Linotype" w:eastAsia="Palatino Linotype" w:hAnsi="Palatino Linotype"/>
          <w:i w:val="1"/>
          <w:sz w:val="22"/>
          <w:szCs w:val="22"/>
          <w:rtl w:val="0"/>
        </w:rPr>
        <w:t xml:space="preserve">. No podrá requerirse información adicional con motivo del nombre proporcionado por el solicitante."</w:t>
      </w:r>
      <w:r w:rsidDel="00000000" w:rsidR="00000000" w:rsidRPr="00000000">
        <w:rPr>
          <w:rtl w:val="0"/>
        </w:rPr>
      </w:r>
    </w:p>
    <w:p w:rsidR="00000000" w:rsidDel="00000000" w:rsidP="00000000" w:rsidRDefault="00000000" w:rsidRPr="00000000" w14:paraId="0000003E">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el mismo tenor, el propio artículo 180 de la Ley de Transparencia local citado, en su último párrafo establece que cuando el recurso se interponga de manera electrónica, no será indispensable que contenga determinados requisitos, entre ellos, el nombre de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por lo que, en el presente caso, al haber sido presentado el recurso de revisión vía SAIMEX, dicho requisito resulta innecesario.</w:t>
      </w:r>
    </w:p>
    <w:p w:rsidR="00000000" w:rsidDel="00000000" w:rsidP="00000000" w:rsidRDefault="00000000" w:rsidRPr="00000000" w14:paraId="0000003F">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Finalmente, se advierte que resulta procedente la interposición del recurso, según lo manifestado por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en sus motivos de inconformidad, de acuerdo al artículo 179, fracción V del ordenamiento legal citado, que a la letra dice: </w:t>
      </w:r>
    </w:p>
    <w:p w:rsidR="00000000" w:rsidDel="00000000" w:rsidP="00000000" w:rsidRDefault="00000000" w:rsidRPr="00000000" w14:paraId="00000040">
      <w:pPr>
        <w:spacing w:after="120" w:before="120" w:lineRule="auto"/>
        <w:ind w:left="993"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179.</w:t>
      </w:r>
      <w:r w:rsidDel="00000000" w:rsidR="00000000" w:rsidRPr="00000000">
        <w:rPr>
          <w:rFonts w:ascii="Palatino Linotype" w:cs="Palatino Linotype" w:eastAsia="Palatino Linotype" w:hAnsi="Palatino Linotype"/>
          <w:i w:val="1"/>
          <w:sz w:val="22"/>
          <w:szCs w:val="22"/>
          <w:rtl w:val="0"/>
        </w:rPr>
        <w:t xml:space="preserve"> El recurso de revisión es un medio de protección que la Ley otorga a los particulares, para hacer valer su derecho de acceso a la información pública, y procederá en contra de las siguientes causas:</w:t>
      </w:r>
    </w:p>
    <w:p w:rsidR="00000000" w:rsidDel="00000000" w:rsidP="00000000" w:rsidRDefault="00000000" w:rsidRPr="00000000" w14:paraId="00000041">
      <w:pPr>
        <w:spacing w:after="120" w:before="120" w:lineRule="auto"/>
        <w:ind w:left="1134" w:firstLine="0"/>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w:t>
      </w:r>
    </w:p>
    <w:p w:rsidR="00000000" w:rsidDel="00000000" w:rsidP="00000000" w:rsidRDefault="00000000" w:rsidRPr="00000000" w14:paraId="00000042">
      <w:pPr>
        <w:spacing w:after="120" w:before="120" w:lineRule="auto"/>
        <w:ind w:left="1134" w:firstLine="0"/>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w:t>
      </w:r>
      <w:r w:rsidDel="00000000" w:rsidR="00000000" w:rsidRPr="00000000">
        <w:rPr>
          <w:rFonts w:ascii="Palatino Linotype" w:cs="Palatino Linotype" w:eastAsia="Palatino Linotype" w:hAnsi="Palatino Linotype"/>
          <w:i w:val="1"/>
          <w:sz w:val="22"/>
          <w:szCs w:val="22"/>
          <w:rtl w:val="0"/>
        </w:rPr>
        <w:t xml:space="preserve"> La entrega de información incompleta;”</w:t>
      </w:r>
    </w:p>
    <w:p w:rsidR="00000000" w:rsidDel="00000000" w:rsidP="00000000" w:rsidRDefault="00000000" w:rsidRPr="00000000" w14:paraId="00000043">
      <w:pPr>
        <w:spacing w:after="280" w:before="28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Tercero. Materia de la revisión. </w:t>
      </w:r>
      <w:r w:rsidDel="00000000" w:rsidR="00000000" w:rsidRPr="00000000">
        <w:rPr>
          <w:rFonts w:ascii="Palatino Linotype" w:cs="Palatino Linotype" w:eastAsia="Palatino Linotype" w:hAnsi="Palatino Linotype"/>
          <w:rtl w:val="0"/>
        </w:rPr>
        <w:t xml:space="preserve">De las constancias que integran el expediente electrónico se advierte que el tema sobre el que este Instituto se pronunciará será: </w:t>
      </w:r>
      <w:r w:rsidDel="00000000" w:rsidR="00000000" w:rsidRPr="00000000">
        <w:rPr>
          <w:rFonts w:ascii="Palatino Linotype" w:cs="Palatino Linotype" w:eastAsia="Palatino Linotype" w:hAnsi="Palatino Linotype"/>
          <w:b w:val="1"/>
          <w:rtl w:val="0"/>
        </w:rPr>
        <w:t xml:space="preserve">verificar si la respuesta como informe justificado otorgados por el Sujeto Obligado es adecuada y suficiente para satisfacer el derecho de acceso a la información pública </w:t>
      </w:r>
      <w:r w:rsidDel="00000000" w:rsidR="00000000" w:rsidRPr="00000000">
        <w:rPr>
          <w:rFonts w:ascii="Palatino Linotype" w:cs="Palatino Linotype" w:eastAsia="Palatino Linotype" w:hAnsi="Palatino Linotype"/>
          <w:rtl w:val="0"/>
        </w:rPr>
        <w:t xml:space="preserve">de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o en su defecto, en caso de ser procedente, ordenar la entrega de información.</w:t>
      </w:r>
    </w:p>
    <w:p w:rsidR="00000000" w:rsidDel="00000000" w:rsidP="00000000" w:rsidRDefault="00000000" w:rsidRPr="00000000" w14:paraId="00000044">
      <w:pPr>
        <w:spacing w:after="240" w:before="240" w:line="360" w:lineRule="auto"/>
        <w:jc w:val="both"/>
        <w:rPr>
          <w:rFonts w:ascii="Palatino Linotype" w:cs="Palatino Linotype" w:eastAsia="Palatino Linotype" w:hAnsi="Palatino Linotype"/>
        </w:rPr>
      </w:pPr>
      <w:bookmarkStart w:colFirst="0" w:colLast="0" w:name="_heading=h.2et92p0" w:id="5"/>
      <w:bookmarkEnd w:id="5"/>
      <w:r w:rsidDel="00000000" w:rsidR="00000000" w:rsidRPr="00000000">
        <w:rPr>
          <w:rFonts w:ascii="Palatino Linotype" w:cs="Palatino Linotype" w:eastAsia="Palatino Linotype" w:hAnsi="Palatino Linotype"/>
          <w:b w:val="1"/>
          <w:rtl w:val="0"/>
        </w:rPr>
        <w:t xml:space="preserve">Cuarto. Estudio del asunto. </w:t>
      </w:r>
      <w:r w:rsidDel="00000000" w:rsidR="00000000" w:rsidRPr="00000000">
        <w:rPr>
          <w:rFonts w:ascii="Palatino Linotype" w:cs="Palatino Linotype" w:eastAsia="Palatino Linotype" w:hAnsi="Palatino Linotype"/>
          <w:rtl w:val="0"/>
        </w:rPr>
        <w:t xml:space="preserve">Es conveniente analizar si la respuesta del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cumple con los requisitos y procedimientos del derecho de acceso a la información pública, en atención a que en la Ley de Transparencia y Acceso a la Información Pública del Estado de México y Municipios en su artículo 4, que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rsidR="00000000" w:rsidDel="00000000" w:rsidP="00000000" w:rsidRDefault="00000000" w:rsidRPr="00000000" w14:paraId="00000045">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4</w:t>
      </w:r>
      <w:r w:rsidDel="00000000" w:rsidR="00000000" w:rsidRPr="00000000">
        <w:rPr>
          <w:rFonts w:ascii="Palatino Linotype" w:cs="Palatino Linotype" w:eastAsia="Palatino Linotype" w:hAnsi="Palatino Linotype"/>
          <w:i w:val="1"/>
          <w:sz w:val="22"/>
          <w:szCs w:val="22"/>
          <w:rtl w:val="0"/>
        </w:rPr>
        <w:t xml:space="preserve">. El derecho humano de acceso a la información pública es la prerrogativa de las personas para buscar, difundir, investigar, recabar, recibir y solicitar información pública, sin necesidad de acreditar personalidad ni interés jurídico. </w:t>
      </w:r>
    </w:p>
    <w:p w:rsidR="00000000" w:rsidDel="00000000" w:rsidP="00000000" w:rsidRDefault="00000000" w:rsidRPr="00000000" w14:paraId="00000046">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Toda la información generada, obtenida, adquirida, transformada, administrada o en posesión de los sujetos obligados es pública y accesible de manera permanente a cualquier persona</w:t>
      </w:r>
      <w:r w:rsidDel="00000000" w:rsidR="00000000" w:rsidRPr="00000000">
        <w:rPr>
          <w:rFonts w:ascii="Palatino Linotype" w:cs="Palatino Linotype" w:eastAsia="Palatino Linotype" w:hAnsi="Palatino Linotype"/>
          <w:i w:val="1"/>
          <w:sz w:val="22"/>
          <w:szCs w:val="22"/>
          <w:rtl w:val="0"/>
        </w:rPr>
        <w:t xml:space="preserve">,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rsidR="00000000" w:rsidDel="00000000" w:rsidP="00000000" w:rsidRDefault="00000000" w:rsidRPr="00000000" w14:paraId="00000047">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Los sujetos obligados deben poner en práctica, políticas y programas de acceso a la información que se apeguen a criterios de publicidad, veracidad, oportunidad, precisión y suficiencia en beneficio de los solicitantes</w:t>
      </w:r>
      <w:r w:rsidDel="00000000" w:rsidR="00000000" w:rsidRPr="00000000">
        <w:rPr>
          <w:rFonts w:ascii="Palatino Linotype" w:cs="Palatino Linotype" w:eastAsia="Palatino Linotype" w:hAnsi="Palatino Linotype"/>
          <w:i w:val="1"/>
          <w:sz w:val="22"/>
          <w:szCs w:val="22"/>
          <w:rtl w:val="0"/>
        </w:rPr>
        <w:t xml:space="preserve">.” (Sic)</w:t>
      </w:r>
    </w:p>
    <w:p w:rsidR="00000000" w:rsidDel="00000000" w:rsidP="00000000" w:rsidRDefault="00000000" w:rsidRPr="00000000" w14:paraId="00000048">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rsidR="00000000" w:rsidDel="00000000" w:rsidP="00000000" w:rsidRDefault="00000000" w:rsidRPr="00000000" w14:paraId="00000049">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12.-</w:t>
      </w:r>
      <w:r w:rsidDel="00000000" w:rsidR="00000000" w:rsidRPr="00000000">
        <w:rPr>
          <w:rFonts w:ascii="Palatino Linotype" w:cs="Palatino Linotype" w:eastAsia="Palatino Linotype" w:hAnsi="Palatino Linotype"/>
          <w:i w:val="1"/>
          <w:sz w:val="22"/>
          <w:szCs w:val="22"/>
          <w:rtl w:val="0"/>
        </w:rPr>
        <w:t xml:space="preserve"> Quienes generen, recopilen, administren, manejen, procesen, archiven o conserven información pública serán responsables de la misma en los términos de las disposiciones jurídicas aplicables. </w:t>
      </w:r>
    </w:p>
    <w:p w:rsidR="00000000" w:rsidDel="00000000" w:rsidP="00000000" w:rsidRDefault="00000000" w:rsidRPr="00000000" w14:paraId="0000004A">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Los sujetos obligados sólo proporcionarán la información pública que se les requiera y que obre en sus archivos y en el estado en que ésta se encuentre</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La obligación de proporcionar información no comprende el procesamiento de la misma, ni el presentarla conforme al interés del solicitante; no estarán obligados a generarla, resumirla, efectuar cálculos o practicar investigaciones.” </w:t>
      </w:r>
      <w:r w:rsidDel="00000000" w:rsidR="00000000" w:rsidRPr="00000000">
        <w:rPr>
          <w:rFonts w:ascii="Palatino Linotype" w:cs="Palatino Linotype" w:eastAsia="Palatino Linotype" w:hAnsi="Palatino Linotype"/>
          <w:i w:val="1"/>
          <w:sz w:val="22"/>
          <w:szCs w:val="22"/>
          <w:rtl w:val="0"/>
        </w:rPr>
        <w:t xml:space="preserve">(Sic)</w:t>
      </w:r>
    </w:p>
    <w:p w:rsidR="00000000" w:rsidDel="00000000" w:rsidP="00000000" w:rsidRDefault="00000000" w:rsidRPr="00000000" w14:paraId="0000004B">
      <w:pPr>
        <w:spacing w:line="360" w:lineRule="auto"/>
        <w:ind w:right="-93"/>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sólo se concretarán a proporcionar la información solicitada que tengan en su poder en el estado que se encuentran, sin necesidad de concretarse al interés o términos específicos del solicitante.</w:t>
      </w:r>
    </w:p>
    <w:p w:rsidR="00000000" w:rsidDel="00000000" w:rsidP="00000000" w:rsidRDefault="00000000" w:rsidRPr="00000000" w14:paraId="0000004C">
      <w:pPr>
        <w:spacing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rtl w:val="0"/>
        </w:rPr>
        <w:t xml:space="preserve">Sirve de apoyo a lo anterior, el criterio 03-17, expuesto por el Instituto Nacional de Transparencia, Acceso a la Información y Protección de Datos Personales, que dice:</w:t>
      </w:r>
      <w:r w:rsidDel="00000000" w:rsidR="00000000" w:rsidRPr="00000000">
        <w:rPr>
          <w:rFonts w:ascii="Palatino Linotype" w:cs="Palatino Linotype" w:eastAsia="Palatino Linotype" w:hAnsi="Palatino Linotype"/>
          <w:b w:val="1"/>
          <w:rtl w:val="0"/>
        </w:rPr>
        <w:t xml:space="preserve"> </w:t>
      </w:r>
    </w:p>
    <w:p w:rsidR="00000000" w:rsidDel="00000000" w:rsidP="00000000" w:rsidRDefault="00000000" w:rsidRPr="00000000" w14:paraId="0000004D">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No existe obligación de elaborar documentos ad hoc para atender las solicitudes de acceso a la información.</w:t>
      </w:r>
      <w:r w:rsidDel="00000000" w:rsidR="00000000" w:rsidRPr="00000000">
        <w:rPr>
          <w:rFonts w:ascii="Palatino Linotype" w:cs="Palatino Linotype" w:eastAsia="Palatino Linotype" w:hAnsi="Palatino Linotype"/>
          <w:i w:val="1"/>
          <w:sz w:val="22"/>
          <w:szCs w:val="22"/>
          <w:rtl w:val="0"/>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(sic)</w:t>
      </w:r>
    </w:p>
    <w:p w:rsidR="00000000" w:rsidDel="00000000" w:rsidP="00000000" w:rsidRDefault="00000000" w:rsidRPr="00000000" w14:paraId="0000004E">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rsidR="00000000" w:rsidDel="00000000" w:rsidP="00000000" w:rsidRDefault="00000000" w:rsidRPr="00000000" w14:paraId="0000004F">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rsidR="00000000" w:rsidDel="00000000" w:rsidP="00000000" w:rsidRDefault="00000000" w:rsidRPr="00000000" w14:paraId="00000050">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rsidR="00000000" w:rsidDel="00000000" w:rsidP="00000000" w:rsidRDefault="00000000" w:rsidRPr="00000000" w14:paraId="00000051">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3. </w:t>
      </w:r>
      <w:r w:rsidDel="00000000" w:rsidR="00000000" w:rsidRPr="00000000">
        <w:rPr>
          <w:rFonts w:ascii="Palatino Linotype" w:cs="Palatino Linotype" w:eastAsia="Palatino Linotype" w:hAnsi="Palatino Linotype"/>
          <w:i w:val="1"/>
          <w:sz w:val="22"/>
          <w:szCs w:val="22"/>
          <w:rtl w:val="0"/>
        </w:rPr>
        <w:t xml:space="preserve">Para los efectos de la presente Ley se entenderá por:</w:t>
      </w:r>
    </w:p>
    <w:p w:rsidR="00000000" w:rsidDel="00000000" w:rsidP="00000000" w:rsidRDefault="00000000" w:rsidRPr="00000000" w14:paraId="00000052">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53">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XI. Documento:</w:t>
      </w:r>
      <w:r w:rsidDel="00000000" w:rsidR="00000000" w:rsidRPr="00000000">
        <w:rPr>
          <w:rFonts w:ascii="Palatino Linotype" w:cs="Palatino Linotype" w:eastAsia="Palatino Linotype" w:hAnsi="Palatino Linotype"/>
          <w:i w:val="1"/>
          <w:sz w:val="22"/>
          <w:szCs w:val="22"/>
          <w:rtl w:val="0"/>
        </w:rPr>
        <w:t xml:space="preserve"> Los expedientes, reportes, estudios, actas</w:t>
      </w:r>
      <w:r w:rsidDel="00000000" w:rsidR="00000000" w:rsidRPr="00000000">
        <w:rPr>
          <w:rFonts w:ascii="Palatino Linotype" w:cs="Palatino Linotype" w:eastAsia="Palatino Linotype" w:hAnsi="Palatino Linotype"/>
          <w:b w:val="1"/>
          <w:i w:val="1"/>
          <w:sz w:val="22"/>
          <w:szCs w:val="22"/>
          <w:rtl w:val="0"/>
        </w:rPr>
        <w:t xml:space="preserve">,</w:t>
      </w:r>
      <w:r w:rsidDel="00000000" w:rsidR="00000000" w:rsidRPr="00000000">
        <w:rPr>
          <w:rFonts w:ascii="Palatino Linotype" w:cs="Palatino Linotype" w:eastAsia="Palatino Linotype" w:hAnsi="Palatino Linotype"/>
          <w:i w:val="1"/>
          <w:sz w:val="22"/>
          <w:szCs w:val="22"/>
          <w:rtl w:val="0"/>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rsidR="00000000" w:rsidDel="00000000" w:rsidP="00000000" w:rsidRDefault="00000000" w:rsidRPr="00000000" w14:paraId="00000054">
      <w:pPr>
        <w:ind w:left="851" w:right="899" w:firstLine="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55">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rsidR="00000000" w:rsidDel="00000000" w:rsidP="00000000" w:rsidRDefault="00000000" w:rsidRPr="00000000" w14:paraId="00000056">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INFORMACIÓN PÚBLICA, CONCEPTO DE, EN MATERIA DE TRANSPARENCIA. INTERPRETACIÓN SISTEMÁTICA DE LOS ARTÍCULOS 2°, FRACCIÓN V, XV, Y XVI, 3°, 4°, 11 Y 41.</w:t>
      </w:r>
      <w:r w:rsidDel="00000000" w:rsidR="00000000" w:rsidRPr="00000000">
        <w:rPr>
          <w:rFonts w:ascii="Palatino Linotype" w:cs="Palatino Linotype" w:eastAsia="Palatino Linotype" w:hAnsi="Palatino Linotype"/>
          <w:i w:val="1"/>
          <w:sz w:val="22"/>
          <w:szCs w:val="22"/>
          <w:rtl w:val="0"/>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000000" w:rsidDel="00000000" w:rsidP="00000000" w:rsidRDefault="00000000" w:rsidRPr="00000000" w14:paraId="00000057">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consecuencia el acceso a la información se refiere a que se cumplan cualquiera de los siguientes tres supuestos:</w:t>
      </w:r>
    </w:p>
    <w:p w:rsidR="00000000" w:rsidDel="00000000" w:rsidP="00000000" w:rsidRDefault="00000000" w:rsidRPr="00000000" w14:paraId="00000058">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1) Que se trate de información registrada en cualquier soporte documental, que en ejercicio de las atribuciones conferidas, sea generada por los Sujetos Obligados;</w:t>
      </w:r>
    </w:p>
    <w:p w:rsidR="00000000" w:rsidDel="00000000" w:rsidP="00000000" w:rsidRDefault="00000000" w:rsidRPr="00000000" w14:paraId="00000059">
      <w:pPr>
        <w:spacing w:after="120" w:before="120" w:lineRule="auto"/>
        <w:ind w:left="1134" w:right="902"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2) Que se trate de información registrada en cualquier soporte documental, que en ejercicio de las atribuciones conferidas, sea administrada por los Sujetos Obligados, y</w:t>
      </w:r>
    </w:p>
    <w:p w:rsidR="00000000" w:rsidDel="00000000" w:rsidP="00000000" w:rsidRDefault="00000000" w:rsidRPr="00000000" w14:paraId="0000005A">
      <w:pPr>
        <w:spacing w:after="120" w:before="120" w:lineRule="auto"/>
        <w:ind w:left="1134" w:right="902"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3) Que se trate de información registrada en cualquier soporte documental, que en ejercicio de las atribuciones conferidas, se encuentre en posesión de los Sujetos Obligados.” (Sic)</w:t>
      </w:r>
    </w:p>
    <w:p w:rsidR="00000000" w:rsidDel="00000000" w:rsidP="00000000" w:rsidRDefault="00000000" w:rsidRPr="00000000" w14:paraId="0000005B">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Ahora bien, del análisis de la solicitud de información motivo del recurso de revisión que ahora se resuelve, se advierte que la persona solicitante requirió al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lo siguiente:</w:t>
      </w:r>
    </w:p>
    <w:p w:rsidR="00000000" w:rsidDel="00000000" w:rsidP="00000000" w:rsidRDefault="00000000" w:rsidRPr="00000000" w14:paraId="0000005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240" w:before="240" w:line="360" w:lineRule="auto"/>
        <w:ind w:left="720" w:right="0" w:hanging="36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Los dos últimos expedientes completos respecto del documento identificado como certificado de aportación de mejoras, en versión pública, del periodo comprendido entre enero a junio de 2022.</w:t>
      </w:r>
    </w:p>
    <w:p w:rsidR="00000000" w:rsidDel="00000000" w:rsidP="00000000" w:rsidRDefault="00000000" w:rsidRPr="00000000" w14:paraId="0000005D">
      <w:pPr>
        <w:tabs>
          <w:tab w:val="left" w:leader="none" w:pos="709"/>
        </w:tabs>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Cabe señalar que, en ejercicio de la facultad conferida en el artículo 159 primer párrafo de la Ley de Transparencia y Acceso a la Información Pública del Estado de México,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a través de la Titular de la Unidad de Transparencia, requirió a la persona solicitante al siguiente día hábil posterior a la presentación de la solicitud, a efecto de que, dentro de los diez días hábiles siguientes, fuera más específico con respecto a la solicitud, señalando que la información que anexó corresponde a una cédula de trámite y servicio de aportaciones de mejoras, manifestando que a su parecer el requerimiento era incomprensible.</w:t>
      </w:r>
    </w:p>
    <w:p w:rsidR="00000000" w:rsidDel="00000000" w:rsidP="00000000" w:rsidRDefault="00000000" w:rsidRPr="00000000" w14:paraId="0000005E">
      <w:pPr>
        <w:spacing w:after="240" w:before="240" w:line="372"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este sentido, se menciona que efectivamente, la Ley de la Materia confiere a los Sujetos Obligados la potestad de que, por una sola vez, requieran a los solicitantes para que proporcionen datos adicionales que les permitan localizar la información a la que desean acceder, dentro de los cinco días posteriores a la recepción de la solicitud.</w:t>
      </w:r>
    </w:p>
    <w:p w:rsidR="00000000" w:rsidDel="00000000" w:rsidP="00000000" w:rsidRDefault="00000000" w:rsidRPr="00000000" w14:paraId="0000005F">
      <w:pPr>
        <w:spacing w:after="240" w:before="240" w:line="372"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Asimismo, para aplicar dicha facultad, debe actualizarse el supuesto jurídico que consiste en que los términos de la solicitud sean vagos, que los datos proporcionados sean insuficientes o incompletos, impidiendo a los Sujetos Obligados tener certeza de que información deben ubicar y entregar.</w:t>
      </w:r>
    </w:p>
    <w:p w:rsidR="00000000" w:rsidDel="00000000" w:rsidP="00000000" w:rsidRDefault="00000000" w:rsidRPr="00000000" w14:paraId="00000060">
      <w:pPr>
        <w:spacing w:after="240" w:before="240" w:line="372"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Así, es que a consideración de este Organismo Garante el </w:t>
      </w:r>
      <w:r w:rsidDel="00000000" w:rsidR="00000000" w:rsidRPr="00000000">
        <w:rPr>
          <w:rFonts w:ascii="Palatino Linotype" w:cs="Palatino Linotype" w:eastAsia="Palatino Linotype" w:hAnsi="Palatino Linotype"/>
          <w:b w:val="1"/>
          <w:rtl w:val="0"/>
        </w:rPr>
        <w:t xml:space="preserve">Sujeto Obligado hizo un uso excesivo del requerimiento de aclaración</w:t>
      </w:r>
      <w:r w:rsidDel="00000000" w:rsidR="00000000" w:rsidRPr="00000000">
        <w:rPr>
          <w:rFonts w:ascii="Palatino Linotype" w:cs="Palatino Linotype" w:eastAsia="Palatino Linotype" w:hAnsi="Palatino Linotype"/>
          <w:rtl w:val="0"/>
        </w:rPr>
        <w:t xml:space="preserve">, pues si bien el requerimiento se encuentra dentro del plazo legal establecido, no pasa inadvertido que los términos de la solicitud son claros y permiten identificar plenamente la información que es del interés de la persona solicitante, por lo que la aclaración pretendida no era necesaria.</w:t>
      </w:r>
    </w:p>
    <w:p w:rsidR="00000000" w:rsidDel="00000000" w:rsidP="00000000" w:rsidRDefault="00000000" w:rsidRPr="00000000" w14:paraId="00000061">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No obstante, una vez desahogado el requerimiento por parte de la persona solicitante, donde manifestó en lo medular “</w:t>
      </w:r>
      <w:r w:rsidDel="00000000" w:rsidR="00000000" w:rsidRPr="00000000">
        <w:rPr>
          <w:rFonts w:ascii="Palatino Linotype" w:cs="Palatino Linotype" w:eastAsia="Palatino Linotype" w:hAnsi="Palatino Linotype"/>
          <w:i w:val="1"/>
          <w:rtl w:val="0"/>
        </w:rPr>
        <w:t xml:space="preserve">...requiero la versión pública de los dos últimos expedientes completos relacionados con el certificado de aportación de mejoras que obra en sus archivos tanto físicos como digitales en un periodo comprendido entre enero de 2022 a junio del mismo año.</w:t>
      </w:r>
      <w:r w:rsidDel="00000000" w:rsidR="00000000" w:rsidRPr="00000000">
        <w:rPr>
          <w:rFonts w:ascii="Palatino Linotype" w:cs="Palatino Linotype" w:eastAsia="Palatino Linotype" w:hAnsi="Palatino Linotype"/>
          <w:rtl w:val="0"/>
        </w:rPr>
        <w:t xml:space="preserve">..” (sic), precisando además, que el archivo que adjuntó a la solicitud era únicamente para referencia;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remitió dos expedientes, en versión pública, relacionados con  la expedición de la Certificación de no adeudo por aportaciones de mejoras, de fecha veintinueve de junio de dos mil veintidós.</w:t>
      </w:r>
    </w:p>
    <w:p w:rsidR="00000000" w:rsidDel="00000000" w:rsidP="00000000" w:rsidRDefault="00000000" w:rsidRPr="00000000" w14:paraId="00000062">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 Sin embargo, al no estar conforme con los términos de la respuesta emitida, la persona solicitante presentó el recurso de revisión que nos ocupa, en el que señaló como motivo de inconformidad que la información se entregó incompleta y de forma parcial, o, en su defecto que algunos documentos no corresponden con lo solicitado toda vez que el contenido no es legible o fue alterado a propósito para no poder ser leído.</w:t>
      </w:r>
    </w:p>
    <w:p w:rsidR="00000000" w:rsidDel="00000000" w:rsidP="00000000" w:rsidRDefault="00000000" w:rsidRPr="00000000" w14:paraId="00000063">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Admitido el presente recurso de revisión, en términos del artículo 185 fracción II</w:t>
      </w:r>
      <w:r w:rsidDel="00000000" w:rsidR="00000000" w:rsidRPr="00000000">
        <w:rPr>
          <w:rFonts w:ascii="Palatino Linotype" w:cs="Palatino Linotype" w:eastAsia="Palatino Linotype" w:hAnsi="Palatino Linotype"/>
          <w:vertAlign w:val="superscript"/>
        </w:rPr>
        <w:footnoteReference w:customMarkFollows="0" w:id="0"/>
      </w:r>
      <w:r w:rsidDel="00000000" w:rsidR="00000000" w:rsidRPr="00000000">
        <w:rPr>
          <w:rFonts w:ascii="Palatino Linotype" w:cs="Palatino Linotype" w:eastAsia="Palatino Linotype" w:hAnsi="Palatino Linotype"/>
          <w:rtl w:val="0"/>
        </w:rPr>
        <w:t xml:space="preserve"> de la Ley de Transparencia y Acceso a la Información Pública del Estado de México y Municipios, se integró el expediente y se puso a disposición de las partes para que, en un plazo máximo de siete días hábiles, manifestaran lo que a su derecho resultara conveniente, siendo omisas ambas partes en ejercer dicha prerrogativa.</w:t>
      </w:r>
    </w:p>
    <w:p w:rsidR="00000000" w:rsidDel="00000000" w:rsidP="00000000" w:rsidRDefault="00000000" w:rsidRPr="00000000" w14:paraId="00000064">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Acotado lo anterior, atendiendo a la materia de la solicitud de información, es oportuno analizar la naturaleza de la información solicitada, con la finalidad de determinar si es susceptible de entrega, en los términos requeridos.</w:t>
      </w:r>
    </w:p>
    <w:p w:rsidR="00000000" w:rsidDel="00000000" w:rsidP="00000000" w:rsidRDefault="00000000" w:rsidRPr="00000000" w14:paraId="00000065">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este tenor, sobre el certificado de aportación de mejoras, es oportuno mencionar que es un documento que acredita que el inmueble de interés del solicitante se encuentra regularizado respecto a sus obligaciones impositivas conforme a los lineamientos establecidos en el Manual Catastral y en términos de los que establece el Código Financiero del Estado de México y Municipios.</w:t>
      </w:r>
    </w:p>
    <w:p w:rsidR="00000000" w:rsidDel="00000000" w:rsidP="00000000" w:rsidRDefault="00000000" w:rsidRPr="00000000" w14:paraId="00000066">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Mientras que el artículo 9, fracción III del Condigo Financiero del Estado de México, establece lo siguiente:</w:t>
      </w:r>
    </w:p>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851" w:right="902"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w:t>
      </w: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Artículo 9</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Las contribuciones se clasifican en impuestos, derechos, contribuciones o aportaciones de mejoras, y aportaciones y cuotas de seguridad social, las que se definen de la manera siguiente:</w:t>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1134" w:right="902"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1134" w:right="902"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III. Contribuciones o Aportaciones de Mejoras</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Son las establecidas en este Código, a cargo de las personas físicas y jurídicas colectivas, que con independencia de la utilidad general, obtengan un beneficio diferencial particular derivado de la realización de obras públicas o de acciones de beneficio social; las que efectúen las personas a favor del Estado para la realización de obras de impacto vial regional, que directa o indirectamente las beneficien, así como las derivadas de Servicios Ambientales o de Movilidad Sustentable.” (Sic)</w:t>
      </w:r>
    </w:p>
    <w:p w:rsidR="00000000" w:rsidDel="00000000" w:rsidP="00000000" w:rsidRDefault="00000000" w:rsidRPr="00000000" w14:paraId="0000006A">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Luego entonces podemos decir que las aportaciones de mejoras son contribuciones que debe pagar el interesado por beneficios en su inmueble con motivos de la realización de obras públicas o acciones en beneficio de la sociedad o el Estado por los beneficios en los inmuebles del Estado derivados de las acciones que efectúen los particulares.</w:t>
      </w:r>
    </w:p>
    <w:p w:rsidR="00000000" w:rsidDel="00000000" w:rsidP="00000000" w:rsidRDefault="00000000" w:rsidRPr="00000000" w14:paraId="0000006B">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Contribuciones que son definidas por el diccionario de la Real Academia Española como:</w:t>
      </w:r>
    </w:p>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900"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“Cuota o cantidad que se paga para algún fin, y principalmente la que se impone para las cargas del Estado.” (Sic)</w:t>
      </w:r>
    </w:p>
    <w:p w:rsidR="00000000" w:rsidDel="00000000" w:rsidP="00000000" w:rsidRDefault="00000000" w:rsidRPr="00000000" w14:paraId="0000006D">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 Lo que se robustece con lo señalado por el artículo 202 al 204 del Código Financiero del Estado de México, que señalan:</w:t>
      </w:r>
    </w:p>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851" w:right="902"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w:t>
      </w: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Artículo 202</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Están obligadas al pago de aportaciones de mejoras, las personas físicas o jurídicas colectivas, propietarias o poseedoras de bienes inmuebles ubicados dentro del área de beneficio, que obtengan beneficios diferenciales particulares derivados de la ejecución de la obra pública o acción de beneficio social, realizadas por el Estado, los Municipios o los organismos públicos descentralizados, a quien para efectos de este Título se les denominará beneficiario. </w:t>
      </w:r>
    </w:p>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851" w:right="902"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Se entiende por área de beneficio, la circunscripción territorial técnicamente determinada, hasta cuyos límites las obras públicas o acciones realizadas por el Estado, los municipios o los organismos públicos descentralizados, produzcan un beneficio a los aportadores o a sus inmuebles. </w:t>
      </w:r>
    </w:p>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851" w:right="902"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Artículo 203</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Mediante aportaciones podrán realizarse obras públicas o acciones de beneficio social, como son: </w:t>
      </w:r>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1134" w:right="902"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I</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Introducción, ampliación y rehabilitación de sistemas de agua potable y drenaje. </w:t>
      </w:r>
    </w:p>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1134" w:right="902"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II.</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Construcción, ampliación y rehabilitación de sistemas para el saneamiento del agua. </w:t>
      </w:r>
    </w:p>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1134" w:right="902"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III</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Urbanizaciones: </w:t>
      </w:r>
    </w:p>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1418" w:right="902"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A)</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Guarniciones y banquetas. </w:t>
      </w:r>
    </w:p>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1418" w:right="902"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B).</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Construcción, pavimentación, repavimentación o mantenimiento de calles, vialidades o caminos rurales. </w:t>
      </w:r>
    </w:p>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1134" w:right="902"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IV</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Construcción o reparación de edificios públicos: </w:t>
      </w:r>
    </w:p>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1418" w:right="902"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A).</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Escuelas </w:t>
      </w:r>
    </w:p>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1418" w:right="902"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B).</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Clínicas y dispensarios médicos. </w:t>
      </w:r>
    </w:p>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1418" w:right="902"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C)</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Centros recreativos comunitarios. </w:t>
      </w:r>
    </w:p>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1418" w:right="902"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D)</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Áreas o instalaciones deportivas. </w:t>
      </w:r>
    </w:p>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1418" w:right="902"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E).</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Mercados. </w:t>
      </w:r>
    </w:p>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1418" w:right="902"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F)</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Módulos de vigilancia. </w:t>
      </w:r>
    </w:p>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1134" w:right="902"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V</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Adquisición o expropiación de inmuebles para la ejecución de obras públicas o establecimiento de parques ecológicos. </w:t>
      </w:r>
    </w:p>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1134" w:right="902"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VI</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Adquisición de equipo para la prestación de servicios públicos. </w:t>
      </w:r>
    </w:p>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1134" w:right="902"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VII.</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En general, cualquier obra pública o acción de beneficio social. </w:t>
      </w:r>
    </w:p>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851" w:right="902"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Artículo 204</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Las obras públicas o acciones de beneficio social cuyos costos se recuperen a través de aportaciones, podrán realizarse: </w:t>
      </w:r>
    </w:p>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1134" w:right="902"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I.</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A iniciativa del Gobernador, de los ayuntamientos, o de los Organismos Públicos Descentralizados. </w:t>
      </w:r>
    </w:p>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1134" w:right="902"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II</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A solicitud de cualquier grupo de ciudadanos que representen los derechos de propiedad o posesión de más del 50% de los inmuebles que integren el área de beneficio.” (Sic)</w:t>
      </w:r>
    </w:p>
    <w:p w:rsidR="00000000" w:rsidDel="00000000" w:rsidP="00000000" w:rsidRDefault="00000000" w:rsidRPr="00000000" w14:paraId="00000083">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todo lo anterior, podemos concluir que el certificado de aportación de mejoras es el documento que acredita que el inmueble ya sea de una persona física, jurídico colectiva o del Estado, ha pagado sus contribuciones por los beneficios obtenidos en sus inmuebles por la realización de una obra pública o acciones en beneficio de la sociedad, ejecutada por el estado o por particulares, respectivamente.</w:t>
      </w:r>
    </w:p>
    <w:p w:rsidR="00000000" w:rsidDel="00000000" w:rsidP="00000000" w:rsidRDefault="00000000" w:rsidRPr="00000000" w14:paraId="00000084">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Siguiendo con el análisis, el Código Financiero del Estado de México y Municipios, establece en su artículo 9, fracción I, la clasificación de las contribuciones entre las que se encuentran los impuestos, los cuales deben pagar las personas físicas y jurídico colectivas, que se encuentren en la situación jurídica o de hecho prevista por el citado ordenamiento.</w:t>
      </w:r>
    </w:p>
    <w:p w:rsidR="00000000" w:rsidDel="00000000" w:rsidP="00000000" w:rsidRDefault="00000000" w:rsidRPr="00000000" w14:paraId="00000085">
      <w:pPr>
        <w:spacing w:after="280" w:before="280" w:line="360" w:lineRule="auto"/>
        <w:ind w:right="-9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Así tenemos, que dicho ordenamiento establece que dentro de los impuestos se encuentra el que deriva de las Contribuciones o Aportaciones de Mejoras, mismo que está regulado en la Sección Sexta denominada “TITULO SEXTO DE LAS APORTACIONES DE MEJORAS”, y que, en específico el artículo 202 del mismo ordenamiento, prevé que están obligadas al pago de este impuesto las personas físicas y jurídicas colectivas, propietarias o poseedoras de bienes inmuebles ubicados dentro del área de beneficio, que obtengan beneficios diferenciales particulares derivados de la ejecución de la obra pública o acción de beneficio social, realizadas por el Estado, los Municipios o los organismos públicos descentralizados, a quien para efectos del Título citado, se les denomina beneficiario. </w:t>
      </w:r>
    </w:p>
    <w:p w:rsidR="00000000" w:rsidDel="00000000" w:rsidP="00000000" w:rsidRDefault="00000000" w:rsidRPr="00000000" w14:paraId="00000086">
      <w:pPr>
        <w:spacing w:after="280" w:before="280" w:line="360" w:lineRule="auto"/>
        <w:ind w:right="-9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Ahora bien, para la obtención del certificado de aportación de mejoras, las personas físicas, las jurídico colectivas y las instituciones públicas, deben presentar los requisitos que se señalan en la Cédula de Registro del Trámite o Servicio del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disponible en la Ventanilla Electrónica Única del Gobierno del Estado de México, en la siguiente dirección electrónica: </w:t>
      </w:r>
      <w:hyperlink r:id="rId9">
        <w:r w:rsidDel="00000000" w:rsidR="00000000" w:rsidRPr="00000000">
          <w:rPr>
            <w:rFonts w:ascii="Palatino Linotype" w:cs="Palatino Linotype" w:eastAsia="Palatino Linotype" w:hAnsi="Palatino Linotype"/>
            <w:color w:val="000000"/>
            <w:u w:val="single"/>
            <w:rtl w:val="0"/>
          </w:rPr>
          <w:t xml:space="preserve">https://sistemas2.edomex.gob.mx/TramitesyServicios/Tramite?tram=8566&amp;cont=0</w:t>
        </w:r>
      </w:hyperlink>
      <w:r w:rsidDel="00000000" w:rsidR="00000000" w:rsidRPr="00000000">
        <w:rPr>
          <w:rFonts w:ascii="Palatino Linotype" w:cs="Palatino Linotype" w:eastAsia="Palatino Linotype" w:hAnsi="Palatino Linotype"/>
          <w:rtl w:val="0"/>
        </w:rPr>
        <w:t xml:space="preserve"> .</w:t>
      </w:r>
    </w:p>
    <w:p w:rsidR="00000000" w:rsidDel="00000000" w:rsidP="00000000" w:rsidRDefault="00000000" w:rsidRPr="00000000" w14:paraId="00000087">
      <w:pPr>
        <w:spacing w:after="280" w:before="280" w:line="360" w:lineRule="auto"/>
        <w:ind w:right="-9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Dichos requisitos son los siguientes:</w:t>
      </w:r>
    </w:p>
    <w:p w:rsidR="00000000" w:rsidDel="00000000" w:rsidP="00000000" w:rsidRDefault="00000000" w:rsidRPr="00000000" w14:paraId="00000088">
      <w:pPr>
        <w:spacing w:after="280" w:before="280" w:line="360" w:lineRule="auto"/>
        <w:ind w:right="-9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0" distT="0" distL="0" distR="0">
            <wp:extent cx="5608955" cy="2640330"/>
            <wp:effectExtent b="0" l="0" r="0" t="0"/>
            <wp:docPr id="75"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5608955" cy="2640330"/>
                    </a:xfrm>
                    <a:prstGeom prst="rect"/>
                    <a:ln/>
                  </pic:spPr>
                </pic:pic>
              </a:graphicData>
            </a:graphic>
          </wp:inline>
        </w:drawing>
      </w:r>
      <w:r w:rsidDel="00000000" w:rsidR="00000000" w:rsidRPr="00000000">
        <w:rPr>
          <w:rtl w:val="0"/>
        </w:rPr>
      </w:r>
    </w:p>
    <w:p w:rsidR="00000000" w:rsidDel="00000000" w:rsidP="00000000" w:rsidRDefault="00000000" w:rsidRPr="00000000" w14:paraId="00000089">
      <w:pPr>
        <w:spacing w:after="280" w:before="280" w:line="360" w:lineRule="auto"/>
        <w:ind w:right="-9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0" distT="0" distL="0" distR="0">
            <wp:extent cx="5608955" cy="2620645"/>
            <wp:effectExtent b="0" l="0" r="0" t="0"/>
            <wp:docPr id="74" name="image7.png"/>
            <a:graphic>
              <a:graphicData uri="http://schemas.openxmlformats.org/drawingml/2006/picture">
                <pic:pic>
                  <pic:nvPicPr>
                    <pic:cNvPr id="0" name="image7.png"/>
                    <pic:cNvPicPr preferRelativeResize="0"/>
                  </pic:nvPicPr>
                  <pic:blipFill>
                    <a:blip r:embed="rId11"/>
                    <a:srcRect b="0" l="0" r="0" t="0"/>
                    <a:stretch>
                      <a:fillRect/>
                    </a:stretch>
                  </pic:blipFill>
                  <pic:spPr>
                    <a:xfrm>
                      <a:off x="0" y="0"/>
                      <a:ext cx="5608955" cy="2620645"/>
                    </a:xfrm>
                    <a:prstGeom prst="rect"/>
                    <a:ln/>
                  </pic:spPr>
                </pic:pic>
              </a:graphicData>
            </a:graphic>
          </wp:inline>
        </w:drawing>
      </w:r>
      <w:r w:rsidDel="00000000" w:rsidR="00000000" w:rsidRPr="00000000">
        <w:rPr>
          <w:rtl w:val="0"/>
        </w:rPr>
      </w:r>
    </w:p>
    <w:p w:rsidR="00000000" w:rsidDel="00000000" w:rsidP="00000000" w:rsidRDefault="00000000" w:rsidRPr="00000000" w14:paraId="0000008A">
      <w:pPr>
        <w:spacing w:after="280" w:before="280" w:line="360" w:lineRule="auto"/>
        <w:ind w:right="-9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0" distT="0" distL="0" distR="0">
            <wp:extent cx="5608955" cy="2247265"/>
            <wp:effectExtent b="0" l="0" r="0" t="0"/>
            <wp:docPr id="77" name="image6.png"/>
            <a:graphic>
              <a:graphicData uri="http://schemas.openxmlformats.org/drawingml/2006/picture">
                <pic:pic>
                  <pic:nvPicPr>
                    <pic:cNvPr id="0" name="image6.png"/>
                    <pic:cNvPicPr preferRelativeResize="0"/>
                  </pic:nvPicPr>
                  <pic:blipFill>
                    <a:blip r:embed="rId12"/>
                    <a:srcRect b="0" l="0" r="0" t="0"/>
                    <a:stretch>
                      <a:fillRect/>
                    </a:stretch>
                  </pic:blipFill>
                  <pic:spPr>
                    <a:xfrm>
                      <a:off x="0" y="0"/>
                      <a:ext cx="5608955" cy="2247265"/>
                    </a:xfrm>
                    <a:prstGeom prst="rect"/>
                    <a:ln/>
                  </pic:spPr>
                </pic:pic>
              </a:graphicData>
            </a:graphic>
          </wp:inline>
        </w:drawing>
      </w:r>
      <w:r w:rsidDel="00000000" w:rsidR="00000000" w:rsidRPr="00000000">
        <w:rPr>
          <w:rtl w:val="0"/>
        </w:rPr>
      </w:r>
    </w:p>
    <w:p w:rsidR="00000000" w:rsidDel="00000000" w:rsidP="00000000" w:rsidRDefault="00000000" w:rsidRPr="00000000" w14:paraId="0000008B">
      <w:pPr>
        <w:pBdr>
          <w:top w:space="0" w:sz="0" w:val="nil"/>
          <w:left w:space="0" w:sz="0" w:val="nil"/>
          <w:bottom w:space="0" w:sz="0" w:val="nil"/>
          <w:right w:space="0" w:sz="0" w:val="nil"/>
          <w:between w:space="0" w:sz="0" w:val="nil"/>
        </w:pBdr>
        <w:spacing w:after="280" w:before="280" w:line="360" w:lineRule="auto"/>
        <w:ind w:right="2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Como se aprecia en las imágenes insertas, los particulares, las personas jurídico colectivas y las instituciones públicas que obtenga un beneficio en su inmueble por acciones del estado o particulares, respectivamente; deben cubrir el pago del impuesto, y, adicionalmente debe acompañar este monto con soportes documentales que consisten en la solicitud; el documento que acredite el interés jurídico (contrato privado, escritura, excepto las instituciones públicas); en caso de particulares, Carta poder en caso de no ser propietario, en caso de personas jurídico colectivas, poder notarial en caso de no ser propietario, en caso de instituciones públicas la acreditación legal del representante de la institución pública y persona autorizada mediante carta poder o representación legal; Identificación oficial; Recibo de pago de impuesto predial del año fiscal corriente; y Certificado de clave y valor catastral; mismos que conformarán el expediente que obrará en los archivos de la unidad competente al interior de la administración pública municipal, que en este caso es la Tesorería Municipal, como se desprende del artículo 95 fracción II de la Ley Orgánica Municipal del Estado de México, que señala: </w:t>
      </w:r>
    </w:p>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851" w:right="902"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w:t>
      </w: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Artículo 95</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Son atribuciones del tesorero municipal: </w:t>
      </w:r>
    </w:p>
    <w:p w:rsidR="00000000" w:rsidDel="00000000" w:rsidP="00000000" w:rsidRDefault="00000000" w:rsidRPr="00000000" w14:paraId="0000008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1134" w:right="902"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8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1134" w:right="902"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III</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Determinar, liquidar, </w:t>
      </w: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recaudar</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fiscalizar y administrar </w:t>
      </w: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las contribuciones en los términos de los ordenamientos jurídicos aplicables y, en su caso, aplicar el procedimiento administrativo de ejecución en términos de las disposiciones aplicables” </w:t>
      </w:r>
      <w:r w:rsidDel="00000000" w:rsidR="00000000" w:rsidRPr="00000000">
        <w:rPr>
          <w:rtl w:val="0"/>
        </w:rPr>
      </w:r>
    </w:p>
    <w:p w:rsidR="00000000" w:rsidDel="00000000" w:rsidP="00000000" w:rsidRDefault="00000000" w:rsidRPr="00000000" w14:paraId="0000008F">
      <w:pPr>
        <w:spacing w:after="280" w:before="280" w:line="360" w:lineRule="auto"/>
        <w:ind w:right="-12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Asimismo, en la Cédula de Registro del Trámite o Servicio del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se vislumbra que el trámite del Certificado de no adeudo por Aportación de Mejoras debe realizarse ante la Tesorería Municipal, como se observa a continuación:</w:t>
      </w:r>
    </w:p>
    <w:p w:rsidR="00000000" w:rsidDel="00000000" w:rsidP="00000000" w:rsidRDefault="00000000" w:rsidRPr="00000000" w14:paraId="00000090">
      <w:pPr>
        <w:spacing w:after="280" w:before="280" w:line="360" w:lineRule="auto"/>
        <w:ind w:right="-121"/>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0" distT="0" distL="0" distR="0">
            <wp:extent cx="5040000" cy="1186539"/>
            <wp:effectExtent b="0" l="0" r="0" t="0"/>
            <wp:docPr id="76" name="image5.png"/>
            <a:graphic>
              <a:graphicData uri="http://schemas.openxmlformats.org/drawingml/2006/picture">
                <pic:pic>
                  <pic:nvPicPr>
                    <pic:cNvPr id="0" name="image5.png"/>
                    <pic:cNvPicPr preferRelativeResize="0"/>
                  </pic:nvPicPr>
                  <pic:blipFill>
                    <a:blip r:embed="rId13"/>
                    <a:srcRect b="32035" l="0" r="0" t="0"/>
                    <a:stretch>
                      <a:fillRect/>
                    </a:stretch>
                  </pic:blipFill>
                  <pic:spPr>
                    <a:xfrm>
                      <a:off x="0" y="0"/>
                      <a:ext cx="5040000" cy="1186539"/>
                    </a:xfrm>
                    <a:prstGeom prst="rect"/>
                    <a:ln/>
                  </pic:spPr>
                </pic:pic>
              </a:graphicData>
            </a:graphic>
          </wp:inline>
        </w:drawing>
      </w:r>
      <w:r w:rsidDel="00000000" w:rsidR="00000000" w:rsidRPr="00000000">
        <w:rPr>
          <w:rtl w:val="0"/>
        </w:rPr>
      </w:r>
    </w:p>
    <w:p w:rsidR="00000000" w:rsidDel="00000000" w:rsidP="00000000" w:rsidRDefault="00000000" w:rsidRPr="00000000" w14:paraId="00000091">
      <w:pPr>
        <w:spacing w:after="280" w:before="280" w:line="360" w:lineRule="auto"/>
        <w:ind w:right="2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Siguiendo con el análisis del caso que nos ocupa, es imprescindible mencionar que, </w:t>
      </w:r>
      <w:r w:rsidDel="00000000" w:rsidR="00000000" w:rsidRPr="00000000">
        <w:rPr>
          <w:rFonts w:ascii="Palatino Linotype" w:cs="Palatino Linotype" w:eastAsia="Palatino Linotype" w:hAnsi="Palatino Linotype"/>
          <w:b w:val="1"/>
          <w:rtl w:val="0"/>
        </w:rPr>
        <w:t xml:space="preserve">en el caso de las personas físicas y jurídico colectivas</w:t>
      </w:r>
      <w:r w:rsidDel="00000000" w:rsidR="00000000" w:rsidRPr="00000000">
        <w:rPr>
          <w:rFonts w:ascii="Palatino Linotype" w:cs="Palatino Linotype" w:eastAsia="Palatino Linotype" w:hAnsi="Palatino Linotype"/>
          <w:rtl w:val="0"/>
        </w:rPr>
        <w:t xml:space="preserve">, el certificado de no adeudo por aportación de mejoras, es un documento solicitado en ejercicio de un derecho personal que les asiste respecto de su patrimonio, independientemente del hecho que de que estas se desempeñen en el servicio público o no, toda vez que los fines de dicho certificado atiende a intereses meramente personales, esto es, no se vinculan con el ejercicio de funciones públicas por parte de los interesados, asimismo, su publicidad tampoco abona a la transparencia o a la rendición de cuentas, por parte del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por el contrario, al integrarse por documentos privados que contienen prácticamente en su totalidad diversos datos personales de los solicitantes, de manera enunciativa, más no limitativa, nombre completo, edad, estado civil, domicilio particular, ocupación, fotografía, así como información de su patrimonio, su publicidad afectaría la esfera más íntima de privacidad de estos, causando una afectación directa a su derecho humano a la protección de sus datos personales.</w:t>
      </w:r>
    </w:p>
    <w:p w:rsidR="00000000" w:rsidDel="00000000" w:rsidP="00000000" w:rsidRDefault="00000000" w:rsidRPr="00000000" w14:paraId="00000092">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tal sentido, se colige que los expedientes integrados por la Tesorería Municipal con motivo de la expedición del certificado de no adeudo por aportación de mejoras, solicitado por personas físicas o jurídico colectivas, en cumplimiento de sus atribuciones, no pueden considerarse de carácter público, ya que se vinculan con la esfera más íntima de privacidad de los interesados, actualizándose el supuesto de clasificación como información totalmente confidencial en términos de los artículos 3, fracción  IX  y 143 fracción I de la Ley de Transparencia del Estado de México y Municipios, y 4, fracción XI de la Ley de Protección de Datos Personales del Estado de México, que son del tenor literal siguiente:</w:t>
      </w:r>
    </w:p>
    <w:p w:rsidR="00000000" w:rsidDel="00000000" w:rsidP="00000000" w:rsidRDefault="00000000" w:rsidRPr="00000000" w14:paraId="00000093">
      <w:pPr>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3</w:t>
      </w:r>
      <w:r w:rsidDel="00000000" w:rsidR="00000000" w:rsidRPr="00000000">
        <w:rPr>
          <w:rFonts w:ascii="Palatino Linotype" w:cs="Palatino Linotype" w:eastAsia="Palatino Linotype" w:hAnsi="Palatino Linotype"/>
          <w:i w:val="1"/>
          <w:sz w:val="22"/>
          <w:szCs w:val="22"/>
          <w:rtl w:val="0"/>
        </w:rPr>
        <w:t xml:space="preserve">. Para los efectos de la presente Ley se entenderá por:</w:t>
      </w:r>
    </w:p>
    <w:p w:rsidR="00000000" w:rsidDel="00000000" w:rsidP="00000000" w:rsidRDefault="00000000" w:rsidRPr="00000000" w14:paraId="00000094">
      <w:pPr>
        <w:ind w:left="993"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95">
      <w:pPr>
        <w:ind w:left="993"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IX. Datos personales:</w:t>
      </w:r>
      <w:r w:rsidDel="00000000" w:rsidR="00000000" w:rsidRPr="00000000">
        <w:rPr>
          <w:rFonts w:ascii="Palatino Linotype" w:cs="Palatino Linotype" w:eastAsia="Palatino Linotype" w:hAnsi="Palatino Linotype"/>
          <w:i w:val="1"/>
          <w:sz w:val="22"/>
          <w:szCs w:val="22"/>
          <w:rtl w:val="0"/>
        </w:rPr>
        <w:t xml:space="preserve"> La información concerniente a una persona, identificada o identificable según lo dispuesto por la Ley de Protección de Datos Personales del Estado de México; </w:t>
      </w:r>
    </w:p>
    <w:p w:rsidR="00000000" w:rsidDel="00000000" w:rsidP="00000000" w:rsidRDefault="00000000" w:rsidRPr="00000000" w14:paraId="00000096">
      <w:pPr>
        <w:ind w:left="851" w:right="902"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w:t>
      </w:r>
    </w:p>
    <w:p w:rsidR="00000000" w:rsidDel="00000000" w:rsidP="00000000" w:rsidRDefault="00000000" w:rsidRPr="00000000" w14:paraId="00000097">
      <w:pPr>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143</w:t>
      </w:r>
      <w:r w:rsidDel="00000000" w:rsidR="00000000" w:rsidRPr="00000000">
        <w:rPr>
          <w:rFonts w:ascii="Palatino Linotype" w:cs="Palatino Linotype" w:eastAsia="Palatino Linotype" w:hAnsi="Palatino Linotype"/>
          <w:i w:val="1"/>
          <w:sz w:val="22"/>
          <w:szCs w:val="22"/>
          <w:rtl w:val="0"/>
        </w:rPr>
        <w:t xml:space="preserve">. Para los efectos de esta Ley se considera información confidencial, la clasificada como tal, de manera permanente, por su naturaleza, cuando:</w:t>
      </w:r>
    </w:p>
    <w:p w:rsidR="00000000" w:rsidDel="00000000" w:rsidP="00000000" w:rsidRDefault="00000000" w:rsidRPr="00000000" w14:paraId="00000098">
      <w:pPr>
        <w:ind w:left="993"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w:t>
      </w:r>
      <w:r w:rsidDel="00000000" w:rsidR="00000000" w:rsidRPr="00000000">
        <w:rPr>
          <w:rFonts w:ascii="Palatino Linotype" w:cs="Palatino Linotype" w:eastAsia="Palatino Linotype" w:hAnsi="Palatino Linotype"/>
          <w:i w:val="1"/>
          <w:sz w:val="22"/>
          <w:szCs w:val="22"/>
          <w:rtl w:val="0"/>
        </w:rPr>
        <w:t xml:space="preserve"> Se refiera a la información privada y los datos personales concernientes a una persona física o jurídico colectiva identificada o identificable;</w:t>
      </w:r>
    </w:p>
    <w:p w:rsidR="00000000" w:rsidDel="00000000" w:rsidP="00000000" w:rsidRDefault="00000000" w:rsidRPr="00000000" w14:paraId="00000099">
      <w:pPr>
        <w:ind w:left="992"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4</w:t>
      </w:r>
      <w:r w:rsidDel="00000000" w:rsidR="00000000" w:rsidRPr="00000000">
        <w:rPr>
          <w:rFonts w:ascii="Palatino Linotype" w:cs="Palatino Linotype" w:eastAsia="Palatino Linotype" w:hAnsi="Palatino Linotype"/>
          <w:i w:val="1"/>
          <w:sz w:val="22"/>
          <w:szCs w:val="22"/>
          <w:rtl w:val="0"/>
        </w:rPr>
        <w:t xml:space="preserve">. Para los efectos de esta Ley se entenderá por:</w:t>
      </w:r>
    </w:p>
    <w:p w:rsidR="00000000" w:rsidDel="00000000" w:rsidP="00000000" w:rsidRDefault="00000000" w:rsidRPr="00000000" w14:paraId="0000009A">
      <w:pPr>
        <w:ind w:left="992"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w:t>
      </w:r>
      <w:r w:rsidDel="00000000" w:rsidR="00000000" w:rsidRPr="00000000">
        <w:rPr>
          <w:rtl w:val="0"/>
        </w:rPr>
      </w:r>
    </w:p>
    <w:p w:rsidR="00000000" w:rsidDel="00000000" w:rsidP="00000000" w:rsidRDefault="00000000" w:rsidRPr="00000000" w14:paraId="0000009B">
      <w:pPr>
        <w:ind w:left="992"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XI. Datos personales</w:t>
      </w:r>
      <w:r w:rsidDel="00000000" w:rsidR="00000000" w:rsidRPr="00000000">
        <w:rPr>
          <w:rFonts w:ascii="Palatino Linotype" w:cs="Palatino Linotype" w:eastAsia="Palatino Linotype" w:hAnsi="Palatino Linotype"/>
          <w:i w:val="1"/>
          <w:sz w:val="22"/>
          <w:szCs w:val="22"/>
          <w:rtl w:val="0"/>
        </w:rPr>
        <w:t xml:space="preserve">: a la información concerniente a una persona física o jurídica colectiva identificada o identificable, establecida en cualquier formato o modalidad, y que esté almacenada en los sistemas y bases de datos, se considerará que una persona es identificable cuando su identidad pueda determinarse directa o indirectamente a través de cualquier documento informativo físico o electrónico.”</w:t>
      </w:r>
    </w:p>
    <w:p w:rsidR="00000000" w:rsidDel="00000000" w:rsidP="00000000" w:rsidRDefault="00000000" w:rsidRPr="00000000" w14:paraId="0000009C">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360" w:lineRule="auto"/>
        <w:ind w:left="0" w:right="-91"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Sin embargo, en el caso que nos ocupa, no escapa de la óptica de este Organismo Garante que en atención a la solicitud de información que dio origen al recurso de revisión que ahora se resuelve, el área competente, es decir la Tesorería Municipal, proporcionó en versión pública, dos expedientes relacionados con la expedición de la Certificación de no Adeudo por Aportaciones de Mejoras, integrados dentro del plazo fijado por la persona solicitante, advirtiéndose de la revisión efectuada que los mismos corresponden con una persona jurídico colectiva, y que, si bien se pretendió clasificar de manera parcial el soporte documental correspondiente, por cuanto hace a los datos relativos al nombre, firma, domicilio particular y clave catastral, asimismo, que la parte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Recurrente </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se inconformó respecto de dicha información señalando que se le entregó incompleta, que algunos de los documentos no correspondían con lo solicitado, ya que el contenido de dichos expedientes no era legible o bien fue alterado con la finalidad, a su parecer, de que no pudiera ser leído.</w:t>
      </w:r>
    </w:p>
    <w:p w:rsidR="00000000" w:rsidDel="00000000" w:rsidP="00000000" w:rsidRDefault="00000000" w:rsidRPr="00000000" w14:paraId="0000009D">
      <w:pPr>
        <w:pBdr>
          <w:top w:space="0" w:sz="0" w:val="nil"/>
          <w:left w:space="0" w:sz="0" w:val="nil"/>
          <w:bottom w:space="0" w:sz="0" w:val="nil"/>
          <w:right w:space="0" w:sz="0" w:val="nil"/>
          <w:between w:space="0" w:sz="0" w:val="nil"/>
        </w:pBdr>
        <w:spacing w:after="280" w:before="28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Siendo importante señalar que, como la parte </w:t>
      </w:r>
      <w:r w:rsidDel="00000000" w:rsidR="00000000" w:rsidRPr="00000000">
        <w:rPr>
          <w:rFonts w:ascii="Palatino Linotype" w:cs="Palatino Linotype" w:eastAsia="Palatino Linotype" w:hAnsi="Palatino Linotype"/>
          <w:b w:val="1"/>
          <w:rtl w:val="0"/>
        </w:rPr>
        <w:t xml:space="preserve">Recurrente </w:t>
      </w:r>
      <w:r w:rsidDel="00000000" w:rsidR="00000000" w:rsidRPr="00000000">
        <w:rPr>
          <w:rFonts w:ascii="Palatino Linotype" w:cs="Palatino Linotype" w:eastAsia="Palatino Linotype" w:hAnsi="Palatino Linotype"/>
          <w:rtl w:val="0"/>
        </w:rPr>
        <w:t xml:space="preserve">refirió en su recurso de revisión, de la revisión efectuada por este Organismo Garante se advirtió que algunos caracteres en los documentos remitidos fueron cambiados derivado de un error en la lectura de códigos al momento de realizar la digitalización, traduciéndose en documentos ilegibles, como se muestra a continuación a manera de ejemplo:</w:t>
      </w:r>
    </w:p>
    <w:p w:rsidR="00000000" w:rsidDel="00000000" w:rsidP="00000000" w:rsidRDefault="00000000" w:rsidRPr="00000000" w14:paraId="0000009E">
      <w:pPr>
        <w:pBdr>
          <w:top w:space="0" w:sz="0" w:val="nil"/>
          <w:left w:space="0" w:sz="0" w:val="nil"/>
          <w:bottom w:space="0" w:sz="0" w:val="nil"/>
          <w:right w:space="0" w:sz="0" w:val="nil"/>
          <w:between w:space="0" w:sz="0" w:val="nil"/>
        </w:pBdr>
        <w:spacing w:after="280" w:before="28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0" distT="0" distL="0" distR="0">
            <wp:extent cx="5609590" cy="1052712"/>
            <wp:effectExtent b="0" l="0" r="0" t="0"/>
            <wp:docPr id="78" name="image3.png"/>
            <a:graphic>
              <a:graphicData uri="http://schemas.openxmlformats.org/drawingml/2006/picture">
                <pic:pic>
                  <pic:nvPicPr>
                    <pic:cNvPr id="0" name="image3.png"/>
                    <pic:cNvPicPr preferRelativeResize="0"/>
                  </pic:nvPicPr>
                  <pic:blipFill>
                    <a:blip r:embed="rId14"/>
                    <a:srcRect b="17970" l="0" r="0" t="0"/>
                    <a:stretch>
                      <a:fillRect/>
                    </a:stretch>
                  </pic:blipFill>
                  <pic:spPr>
                    <a:xfrm>
                      <a:off x="0" y="0"/>
                      <a:ext cx="5609590" cy="1052712"/>
                    </a:xfrm>
                    <a:prstGeom prst="rect"/>
                    <a:ln/>
                  </pic:spPr>
                </pic:pic>
              </a:graphicData>
            </a:graphic>
          </wp:inline>
        </w:drawing>
      </w:r>
      <w:r w:rsidDel="00000000" w:rsidR="00000000" w:rsidRPr="00000000">
        <w:rPr>
          <w:rtl w:val="0"/>
        </w:rPr>
      </w:r>
    </w:p>
    <w:p w:rsidR="00000000" w:rsidDel="00000000" w:rsidP="00000000" w:rsidRDefault="00000000" w:rsidRPr="00000000" w14:paraId="0000009F">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Sin embargo, lo cierto es que no debieron entregarse dichos expedientes conforme al estudio previamente realizado, toda vez que la </w:t>
      </w:r>
      <w:r w:rsidDel="00000000" w:rsidR="00000000" w:rsidRPr="00000000">
        <w:rPr>
          <w:rFonts w:ascii="Palatino Linotype" w:cs="Palatino Linotype" w:eastAsia="Palatino Linotype" w:hAnsi="Palatino Linotype"/>
          <w:i w:val="1"/>
          <w:rtl w:val="0"/>
        </w:rPr>
        <w:t xml:space="preserve">solicitud</w:t>
      </w:r>
      <w:r w:rsidDel="00000000" w:rsidR="00000000" w:rsidRPr="00000000">
        <w:rPr>
          <w:rFonts w:ascii="Palatino Linotype" w:cs="Palatino Linotype" w:eastAsia="Palatino Linotype" w:hAnsi="Palatino Linotype"/>
          <w:rtl w:val="0"/>
        </w:rPr>
        <w:t xml:space="preserve">, el </w:t>
      </w:r>
      <w:r w:rsidDel="00000000" w:rsidR="00000000" w:rsidRPr="00000000">
        <w:rPr>
          <w:rFonts w:ascii="Palatino Linotype" w:cs="Palatino Linotype" w:eastAsia="Palatino Linotype" w:hAnsi="Palatino Linotype"/>
          <w:i w:val="1"/>
          <w:rtl w:val="0"/>
        </w:rPr>
        <w:t xml:space="preserve">documento que acredite el interés jurídico</w:t>
      </w:r>
      <w:r w:rsidDel="00000000" w:rsidR="00000000" w:rsidRPr="00000000">
        <w:rPr>
          <w:rFonts w:ascii="Palatino Linotype" w:cs="Palatino Linotype" w:eastAsia="Palatino Linotype" w:hAnsi="Palatino Linotype"/>
          <w:rtl w:val="0"/>
        </w:rPr>
        <w:t xml:space="preserve">, la </w:t>
      </w:r>
      <w:r w:rsidDel="00000000" w:rsidR="00000000" w:rsidRPr="00000000">
        <w:rPr>
          <w:rFonts w:ascii="Palatino Linotype" w:cs="Palatino Linotype" w:eastAsia="Palatino Linotype" w:hAnsi="Palatino Linotype"/>
          <w:i w:val="1"/>
          <w:rtl w:val="0"/>
        </w:rPr>
        <w:t xml:space="preserve">carta poder o poder notarial</w:t>
      </w:r>
      <w:r w:rsidDel="00000000" w:rsidR="00000000" w:rsidRPr="00000000">
        <w:rPr>
          <w:rFonts w:ascii="Palatino Linotype" w:cs="Palatino Linotype" w:eastAsia="Palatino Linotype" w:hAnsi="Palatino Linotype"/>
          <w:rtl w:val="0"/>
        </w:rPr>
        <w:t xml:space="preserve">, el </w:t>
      </w:r>
      <w:r w:rsidDel="00000000" w:rsidR="00000000" w:rsidRPr="00000000">
        <w:rPr>
          <w:rFonts w:ascii="Palatino Linotype" w:cs="Palatino Linotype" w:eastAsia="Palatino Linotype" w:hAnsi="Palatino Linotype"/>
          <w:i w:val="1"/>
          <w:rtl w:val="0"/>
        </w:rPr>
        <w:t xml:space="preserve">recibo de pago del impuesto predial</w:t>
      </w:r>
      <w:r w:rsidDel="00000000" w:rsidR="00000000" w:rsidRPr="00000000">
        <w:rPr>
          <w:rFonts w:ascii="Palatino Linotype" w:cs="Palatino Linotype" w:eastAsia="Palatino Linotype" w:hAnsi="Palatino Linotype"/>
          <w:rtl w:val="0"/>
        </w:rPr>
        <w:t xml:space="preserve">, el c</w:t>
      </w:r>
      <w:r w:rsidDel="00000000" w:rsidR="00000000" w:rsidRPr="00000000">
        <w:rPr>
          <w:rFonts w:ascii="Palatino Linotype" w:cs="Palatino Linotype" w:eastAsia="Palatino Linotype" w:hAnsi="Palatino Linotype"/>
          <w:i w:val="1"/>
          <w:rtl w:val="0"/>
        </w:rPr>
        <w:t xml:space="preserve">ertificado de clave y valor catastral</w:t>
      </w:r>
      <w:r w:rsidDel="00000000" w:rsidR="00000000" w:rsidRPr="00000000">
        <w:rPr>
          <w:rFonts w:ascii="Palatino Linotype" w:cs="Palatino Linotype" w:eastAsia="Palatino Linotype" w:hAnsi="Palatino Linotype"/>
          <w:rtl w:val="0"/>
        </w:rPr>
        <w:t xml:space="preserve"> y la </w:t>
      </w:r>
      <w:r w:rsidDel="00000000" w:rsidR="00000000" w:rsidRPr="00000000">
        <w:rPr>
          <w:rFonts w:ascii="Palatino Linotype" w:cs="Palatino Linotype" w:eastAsia="Palatino Linotype" w:hAnsi="Palatino Linotype"/>
          <w:i w:val="1"/>
          <w:rtl w:val="0"/>
        </w:rPr>
        <w:t xml:space="preserve">identificación oficial</w:t>
      </w:r>
      <w:r w:rsidDel="00000000" w:rsidR="00000000" w:rsidRPr="00000000">
        <w:rPr>
          <w:rFonts w:ascii="Palatino Linotype" w:cs="Palatino Linotype" w:eastAsia="Palatino Linotype" w:hAnsi="Palatino Linotype"/>
          <w:rtl w:val="0"/>
        </w:rPr>
        <w:t xml:space="preserve">, son documentos que están repletos de datos personales relacionados con la esfera de privacidad más íntima de personas físicas identificadas o identificables, que no son susceptibles de entregarse, aún en versión pública, pues el contenido de dichos documentos estaría testado en su mayoría, dejándose observar únicamente lo correspondiente al formato principal o básico del documento, lo cual aludiría a un formato cuya información resulta irrelevante, por lo que, se insiste, debió considerarse como información confidencial en su totalidad.</w:t>
      </w:r>
    </w:p>
    <w:p w:rsidR="00000000" w:rsidDel="00000000" w:rsidP="00000000" w:rsidRDefault="00000000" w:rsidRPr="00000000" w14:paraId="000000A0">
      <w:pPr>
        <w:pBdr>
          <w:top w:space="0" w:sz="0" w:val="nil"/>
          <w:left w:space="0" w:sz="0" w:val="nil"/>
          <w:bottom w:space="0" w:sz="0" w:val="nil"/>
          <w:right w:space="0" w:sz="0" w:val="nil"/>
          <w:between w:space="0" w:sz="0" w:val="nil"/>
        </w:pBdr>
        <w:spacing w:after="280" w:before="28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lo hasta aquí expuesto, es de señalar que el motivo de inconformidad aducido por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deviene fundado ya que como se señaló, los documentos remitidos son ilegibles en algunas partes, sin embargo, el mismo es inoperante por las razones ya expuestas, siendo imposible ordenar nuevamente la entrega de los expedientes relacionados con la Certificación de no Adeudo por Aportaciones de Mejoras, toda vez que dicha información, se insiste, se relaciona con la esfera más íntima de privacidad de las personas en el ejercicio de un derecho subjetivo que les asiste, encontrándose repleta de datos personales que no son susceptibles del conocimiento público.</w:t>
      </w:r>
    </w:p>
    <w:p w:rsidR="00000000" w:rsidDel="00000000" w:rsidP="00000000" w:rsidRDefault="00000000" w:rsidRPr="00000000" w14:paraId="000000A1">
      <w:pPr>
        <w:spacing w:after="240" w:before="240"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este tenor, para tener por atendido el derecho de acceso a la información de la persona solicitante, se estima necesario ordenar la entrega del acuerdo mediante el cual se clasifiquen los dos últimos expedientes generados al treinta de junio de dos mil veintidós con motivo de la expedición de Certificado de no adeudo por Aportación de Mejoras, que fueron remitidos en respuesta.</w:t>
      </w:r>
    </w:p>
    <w:p w:rsidR="00000000" w:rsidDel="00000000" w:rsidP="00000000" w:rsidRDefault="00000000" w:rsidRPr="00000000" w14:paraId="000000A2">
      <w:pPr>
        <w:spacing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Debiendo emitir el acuerdo en términos de los artículos 122, 132  y 143 fracción I  de la  Ley de Transparencia y Acceso a la Información Pública del Estado de México y Municipios, mediante el cual del Comité de Transparencia apruebe la clasificación de la información como confidencial en su totalidad, bajo la premisa de que el derecho de acceso a la información pública tiene como limitante el respeto a la intimidad y a la vida privada de las personas.</w:t>
      </w:r>
    </w:p>
    <w:p w:rsidR="00000000" w:rsidDel="00000000" w:rsidP="00000000" w:rsidRDefault="00000000" w:rsidRPr="00000000" w14:paraId="000000A3">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Acuerdo que necesariamente debe contener un razonamiento lógico, acorde a lo previsto  en los ordenamientos jurídicos en la Materia, que permita conocer al particular las condiciones y circunstancias que determinaron negar el acceso a la información; a través de la adecuada fundamentación y motivación, en el entendido de que, todo acto que la autoridad pronuncie en el ejercicio de sus atribuciones, debe expresar los fundamentos legales que le dieron origen y las razones por las que se deben aplicar al caso concreto.</w:t>
      </w:r>
    </w:p>
    <w:p w:rsidR="00000000" w:rsidDel="00000000" w:rsidP="00000000" w:rsidRDefault="00000000" w:rsidRPr="00000000" w14:paraId="000000A4">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 decir, el acuerdo debe contener un razonamiento lógico con el que se demuestre que la información solicitada por la </w:t>
      </w:r>
      <w:r w:rsidDel="00000000" w:rsidR="00000000" w:rsidRPr="00000000">
        <w:rPr>
          <w:rFonts w:ascii="Palatino Linotype" w:cs="Palatino Linotype" w:eastAsia="Palatino Linotype" w:hAnsi="Palatino Linotype"/>
          <w:b w:val="1"/>
          <w:rtl w:val="0"/>
        </w:rPr>
        <w:t xml:space="preserve">parte Recurrente</w:t>
      </w:r>
      <w:r w:rsidDel="00000000" w:rsidR="00000000" w:rsidRPr="00000000">
        <w:rPr>
          <w:rFonts w:ascii="Palatino Linotype" w:cs="Palatino Linotype" w:eastAsia="Palatino Linotype" w:hAnsi="Palatino Linotype"/>
          <w:rtl w:val="0"/>
        </w:rPr>
        <w:t xml:space="preserve"> se encuentra en alguna de las hipótesis que contempla la misma ley; toda vez que de acuerdo a la referida Ley la carga de la prueba para justificar toda negativa de acceso a la información por actualizarse cualquiera de los supuestos previstos en la Ley, corresponde a los Sujetos Obligados fundando y motivando debidamente la clasificación</w:t>
      </w:r>
      <w:r w:rsidDel="00000000" w:rsidR="00000000" w:rsidRPr="00000000">
        <w:rPr>
          <w:rFonts w:ascii="Palatino Linotype" w:cs="Palatino Linotype" w:eastAsia="Palatino Linotype" w:hAnsi="Palatino Linotype"/>
          <w:vertAlign w:val="superscript"/>
        </w:rPr>
        <w:footnoteReference w:customMarkFollows="0" w:id="1"/>
      </w:r>
      <w:r w:rsidDel="00000000" w:rsidR="00000000" w:rsidRPr="00000000">
        <w:rPr>
          <w:rFonts w:ascii="Palatino Linotype" w:cs="Palatino Linotype" w:eastAsia="Palatino Linotype" w:hAnsi="Palatino Linotype"/>
          <w:rtl w:val="0"/>
        </w:rPr>
        <w:t xml:space="preserve">.</w:t>
      </w:r>
    </w:p>
    <w:p w:rsidR="00000000" w:rsidDel="00000000" w:rsidP="00000000" w:rsidRDefault="00000000" w:rsidRPr="00000000" w14:paraId="000000A5">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Respecto de la fundamentación y motivación, debe recordarse que la primera de ellas consiste en la expresión de los dispositivos jurídicos en los que se sustenten los supuestos propios del asunto; y por motivación el señalamiento de las causas inmediatas, las razones específicas y los motivos particulares que se tomaron en consideración para llegar a la determinación obtenida, debiendo existir además una correspondencia lógica entre ambos supuestos.</w:t>
      </w:r>
    </w:p>
    <w:p w:rsidR="00000000" w:rsidDel="00000000" w:rsidP="00000000" w:rsidRDefault="00000000" w:rsidRPr="00000000" w14:paraId="000000A6">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Sirven de sustento a lo anterior las tesis jurisprudenciales número I.4º.A. J/43 y VI. 2º. J/43, publicadas en el Semanario Judicial de la Federación y su Gaceta, bajo el número de registro 175,082 y 203,143, respectivamente, cuyo texto y sentido literal es el siguiente:</w:t>
      </w:r>
    </w:p>
    <w:p w:rsidR="00000000" w:rsidDel="00000000" w:rsidP="00000000" w:rsidRDefault="00000000" w:rsidRPr="00000000" w14:paraId="000000A7">
      <w:pPr>
        <w:spacing w:after="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FUNDAMENTACIÓN Y MOTIVACIÓN. EL ASPECTO FORMAL DE LA GARANTÍA Y SU FINALIDAD SE TRADUCEN EN EXPLICAR, JUSTIFICAR, POSIBILITAR LA DEFENSA Y COMUNICAR LA DECISIÓN. </w:t>
      </w:r>
      <w:r w:rsidDel="00000000" w:rsidR="00000000" w:rsidRPr="00000000">
        <w:rPr>
          <w:rFonts w:ascii="Palatino Linotype" w:cs="Palatino Linotype" w:eastAsia="Palatino Linotype" w:hAnsi="Palatino Linotype"/>
          <w:i w:val="1"/>
          <w:sz w:val="22"/>
          <w:szCs w:val="22"/>
          <w:rtl w:val="0"/>
        </w:rPr>
        <w:t xml:space="preserve">El contenido formal de la garantía de legalidad prevista en el artículo 16 constitucional relativa a la fundamentación y motivación tiene como propósito primordial y ratio que el justiciable </w:t>
      </w:r>
      <w:r w:rsidDel="00000000" w:rsidR="00000000" w:rsidRPr="00000000">
        <w:rPr>
          <w:rFonts w:ascii="Palatino Linotype" w:cs="Palatino Linotype" w:eastAsia="Palatino Linotype" w:hAnsi="Palatino Linotype"/>
          <w:i w:val="1"/>
          <w:sz w:val="22"/>
          <w:szCs w:val="22"/>
          <w:u w:val="single"/>
          <w:rtl w:val="0"/>
        </w:rPr>
        <w:t xml:space="preserve">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w:t>
      </w:r>
      <w:r w:rsidDel="00000000" w:rsidR="00000000" w:rsidRPr="00000000">
        <w:rPr>
          <w:rFonts w:ascii="Palatino Linotype" w:cs="Palatino Linotype" w:eastAsia="Palatino Linotype" w:hAnsi="Palatino Linotype"/>
          <w:i w:val="1"/>
          <w:sz w:val="22"/>
          <w:szCs w:val="22"/>
          <w:rtl w:val="0"/>
        </w:rPr>
        <w:t xml:space="preserve">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w:t>
      </w:r>
      <w:r w:rsidDel="00000000" w:rsidR="00000000" w:rsidRPr="00000000">
        <w:rPr>
          <w:rFonts w:ascii="Palatino Linotype" w:cs="Palatino Linotype" w:eastAsia="Palatino Linotype" w:hAnsi="Palatino Linotype"/>
          <w:i w:val="1"/>
          <w:sz w:val="22"/>
          <w:szCs w:val="22"/>
          <w:u w:val="single"/>
          <w:rtl w:val="0"/>
        </w:rPr>
        <w:t xml:space="preserve">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w:t>
      </w:r>
      <w:r w:rsidDel="00000000" w:rsidR="00000000" w:rsidRPr="00000000">
        <w:rPr>
          <w:rFonts w:ascii="Palatino Linotype" w:cs="Palatino Linotype" w:eastAsia="Palatino Linotype" w:hAnsi="Palatino Linotype"/>
          <w:i w:val="1"/>
          <w:sz w:val="22"/>
          <w:szCs w:val="22"/>
          <w:rtl w:val="0"/>
        </w:rPr>
        <w:t xml:space="preserve"> del que se deduzca la relación de pertenencia lógica de los hechos al derecho invocado, que es la subsunción.”</w:t>
      </w:r>
    </w:p>
    <w:p w:rsidR="00000000" w:rsidDel="00000000" w:rsidP="00000000" w:rsidRDefault="00000000" w:rsidRPr="00000000" w14:paraId="000000A8">
      <w:pPr>
        <w:spacing w:after="120" w:lineRule="auto"/>
        <w:ind w:left="851" w:right="902"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FUNDAMENTACION Y MOTIVACION. </w:t>
      </w:r>
      <w:r w:rsidDel="00000000" w:rsidR="00000000" w:rsidRPr="00000000">
        <w:rPr>
          <w:rFonts w:ascii="Palatino Linotype" w:cs="Palatino Linotype" w:eastAsia="Palatino Linotype" w:hAnsi="Palatino Linotype"/>
          <w:i w:val="1"/>
          <w:sz w:val="22"/>
          <w:szCs w:val="22"/>
          <w:rtl w:val="0"/>
        </w:rPr>
        <w:t xml:space="preserve">La debida fundamentación y motivación legal, deben entenderse, por lo primero</w:t>
      </w:r>
      <w:r w:rsidDel="00000000" w:rsidR="00000000" w:rsidRPr="00000000">
        <w:rPr>
          <w:rFonts w:ascii="Palatino Linotype" w:cs="Palatino Linotype" w:eastAsia="Palatino Linotype" w:hAnsi="Palatino Linotype"/>
          <w:b w:val="1"/>
          <w:i w:val="1"/>
          <w:sz w:val="22"/>
          <w:szCs w:val="22"/>
          <w:rtl w:val="0"/>
        </w:rPr>
        <w:t xml:space="preserve">, </w:t>
      </w:r>
      <w:r w:rsidDel="00000000" w:rsidR="00000000" w:rsidRPr="00000000">
        <w:rPr>
          <w:rFonts w:ascii="Palatino Linotype" w:cs="Palatino Linotype" w:eastAsia="Palatino Linotype" w:hAnsi="Palatino Linotype"/>
          <w:i w:val="1"/>
          <w:sz w:val="22"/>
          <w:szCs w:val="22"/>
          <w:u w:val="single"/>
          <w:rtl w:val="0"/>
        </w:rPr>
        <w:t xml:space="preserve">la cita del precepto legal aplicable al caso, y por lo segundo, las razones, motivos o circunstancias especiales que llevaron a la autoridad a concluir que el caso particular encuadra en el supuesto previsto por la norma</w:t>
      </w:r>
      <w:r w:rsidDel="00000000" w:rsidR="00000000" w:rsidRPr="00000000">
        <w:rPr>
          <w:rFonts w:ascii="Palatino Linotype" w:cs="Palatino Linotype" w:eastAsia="Palatino Linotype" w:hAnsi="Palatino Linotype"/>
          <w:i w:val="1"/>
          <w:sz w:val="22"/>
          <w:szCs w:val="22"/>
          <w:rtl w:val="0"/>
        </w:rPr>
        <w:t xml:space="preserve"> legal invocada como fundamento.”</w:t>
      </w:r>
      <w:r w:rsidDel="00000000" w:rsidR="00000000" w:rsidRPr="00000000">
        <w:rPr>
          <w:rtl w:val="0"/>
        </w:rPr>
      </w:r>
    </w:p>
    <w:p w:rsidR="00000000" w:rsidDel="00000000" w:rsidP="00000000" w:rsidRDefault="00000000" w:rsidRPr="00000000" w14:paraId="000000A9">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Finalmente, es imprescindible mencionar que si bien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pretendió hacer entrega de la información en versión pública, de la revisión efectuada por este Organismo Garante se advirtió que se dejaron datos personales visibles, de manera enunciativa, más no limitativa, nombres de los gestores que tramitaron el Certificado de no adeudo por Aportación de Mejoras; en el instrumento notarial de compra venta: nombre de los anteriores propietarios del inmueble; fecha de nacimiento, ocupación, estado civil de las partes, número de folio de credenciales de elector, medidas y colindancias del terreno y superficie de construcción,  clave catastral anterior, valor catastral, entre otros; y, en virtud de que dichos datos ya obran en poder de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se le insta de la manera más atenta para que no haga un mal manejo de los mismos, pues con su divulgación, difusión o retransmisión afectaría indudablemente a la esfera privada de los particulares.</w:t>
      </w:r>
    </w:p>
    <w:p w:rsidR="00000000" w:rsidDel="00000000" w:rsidP="00000000" w:rsidRDefault="00000000" w:rsidRPr="00000000" w14:paraId="000000AA">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Al mismo tiempo, al considerar este Organismo Garante que podía actualizarse alguna de las causas de responsabilidad administrativa para los servidores públicos, previstas en el artículo 165 de la Ley de Protección de Datos Personales en Posesión de Sujetos Obligados del Estado de México y Municipios, al haberse expuesto datos cuya naturaleza es de carácter confidencial, con fundamento en los artículos 190 y 223 de la Ley Adjetiva, resulta procedente dar vista al Titular de la Dirección General de Protección de Datos Personales de este Órgano, para que en ejercicio de sus atribuciones contenidas en el numeral 24, fracciones V, XI, XII y XIII del Reglamento Interior del Instituto de Transparencia, Acceso a la Información Pública y Protección de Datos Personales del estado de México y Municipios, investigue y sanciones las posibles omisiones en las que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pudo haber incurrido por el incumplimiento a las obligaciones previstas en la Ley de Protección de Datos Personales en Posesión de Sujetos Obligados del Estado de México y Municipios y, las demás disposiciones jurídicas aplicables en la materia; en caso de acreditarse las mismas, lo deberá hacer del conocimiento del Órgano de Control Interno del Sujeto Obligado para que este determine lo que conforme derecho corresponda, cuyo resultado deberá ser informado a este Instituto.</w:t>
      </w:r>
    </w:p>
    <w:p w:rsidR="00000000" w:rsidDel="00000000" w:rsidP="00000000" w:rsidRDefault="00000000" w:rsidRPr="00000000" w14:paraId="000000AB">
      <w:pPr>
        <w:spacing w:after="240" w:before="240"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lo hasta aquí expuesto, se concluye que los motivos de inconformidad de la parte </w:t>
      </w:r>
      <w:r w:rsidDel="00000000" w:rsidR="00000000" w:rsidRPr="00000000">
        <w:rPr>
          <w:rFonts w:ascii="Palatino Linotype" w:cs="Palatino Linotype" w:eastAsia="Palatino Linotype" w:hAnsi="Palatino Linotype"/>
          <w:b w:val="1"/>
          <w:rtl w:val="0"/>
        </w:rPr>
        <w:t xml:space="preserve">Recurrente </w:t>
      </w:r>
      <w:r w:rsidDel="00000000" w:rsidR="00000000" w:rsidRPr="00000000">
        <w:rPr>
          <w:rFonts w:ascii="Palatino Linotype" w:cs="Palatino Linotype" w:eastAsia="Palatino Linotype" w:hAnsi="Palatino Linotype"/>
          <w:rtl w:val="0"/>
        </w:rPr>
        <w:t xml:space="preserve">devienen parcialmente fundados, siendo procedente </w:t>
      </w:r>
      <w:r w:rsidDel="00000000" w:rsidR="00000000" w:rsidRPr="00000000">
        <w:rPr>
          <w:rFonts w:ascii="Palatino Linotype" w:cs="Palatino Linotype" w:eastAsia="Palatino Linotype" w:hAnsi="Palatino Linotype"/>
          <w:i w:val="1"/>
          <w:rtl w:val="0"/>
        </w:rPr>
        <w:t xml:space="preserve">Revocar</w:t>
      </w:r>
      <w:r w:rsidDel="00000000" w:rsidR="00000000" w:rsidRPr="00000000">
        <w:rPr>
          <w:rFonts w:ascii="Palatino Linotype" w:cs="Palatino Linotype" w:eastAsia="Palatino Linotype" w:hAnsi="Palatino Linotype"/>
          <w:rtl w:val="0"/>
        </w:rPr>
        <w:t xml:space="preserve"> la respuesta proporcionada por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en términos del artículo 186 fracción III de la Ley de Transparencia y Acceso a la Información Pública del Estado de México y Municipios.</w:t>
      </w:r>
    </w:p>
    <w:p w:rsidR="00000000" w:rsidDel="00000000" w:rsidP="00000000" w:rsidRDefault="00000000" w:rsidRPr="00000000" w14:paraId="000000AC">
      <w:pPr>
        <w:pBdr>
          <w:top w:space="0" w:sz="0" w:val="nil"/>
          <w:left w:space="0" w:sz="0" w:val="nil"/>
          <w:bottom w:space="0" w:sz="0" w:val="nil"/>
          <w:right w:space="0" w:sz="0" w:val="nil"/>
          <w:between w:space="0" w:sz="0" w:val="nil"/>
        </w:pBd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Así, con fundamento en lo prescrito en los artículos 5 párrafos trigésimo, trigésimo primero y trigésimo segundo de la Constitución Política del Estado Libre y Soberano de México; 2, fracción II; 29, 36 fracciones I y II; 176, 178, 181, 185 y 186 fracción II de la Ley de Transparencia y Acceso a la Información Pública del Estado de México y Municipios, este Pleno:</w:t>
      </w:r>
    </w:p>
    <w:p w:rsidR="00000000" w:rsidDel="00000000" w:rsidP="00000000" w:rsidRDefault="00000000" w:rsidRPr="00000000" w14:paraId="000000AD">
      <w:pPr>
        <w:pBdr>
          <w:top w:space="0" w:sz="0" w:val="nil"/>
          <w:left w:space="0" w:sz="0" w:val="nil"/>
          <w:bottom w:space="0" w:sz="0" w:val="nil"/>
          <w:right w:space="0" w:sz="0" w:val="nil"/>
          <w:between w:space="0" w:sz="0" w:val="nil"/>
        </w:pBdr>
        <w:spacing w:after="240" w:before="240" w:line="36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III. R E S U E L V E</w:t>
      </w:r>
    </w:p>
    <w:p w:rsidR="00000000" w:rsidDel="00000000" w:rsidP="00000000" w:rsidRDefault="00000000" w:rsidRPr="00000000" w14:paraId="000000AE">
      <w:pPr>
        <w:spacing w:after="240" w:before="240" w:line="360" w:lineRule="auto"/>
        <w:jc w:val="both"/>
        <w:rPr>
          <w:rFonts w:ascii="Palatino Linotype" w:cs="Palatino Linotype" w:eastAsia="Palatino Linotype" w:hAnsi="Palatino Linotype"/>
          <w:b w:val="1"/>
        </w:rPr>
      </w:pPr>
      <w:bookmarkStart w:colFirst="0" w:colLast="0" w:name="_heading=h.1fob9te" w:id="6"/>
      <w:bookmarkEnd w:id="6"/>
      <w:r w:rsidDel="00000000" w:rsidR="00000000" w:rsidRPr="00000000">
        <w:rPr>
          <w:rFonts w:ascii="Palatino Linotype" w:cs="Palatino Linotype" w:eastAsia="Palatino Linotype" w:hAnsi="Palatino Linotype"/>
          <w:b w:val="1"/>
          <w:rtl w:val="0"/>
        </w:rPr>
        <w:t xml:space="preserve">Primero. </w:t>
      </w:r>
      <w:r w:rsidDel="00000000" w:rsidR="00000000" w:rsidRPr="00000000">
        <w:rPr>
          <w:rFonts w:ascii="Palatino Linotype" w:cs="Palatino Linotype" w:eastAsia="Palatino Linotype" w:hAnsi="Palatino Linotype"/>
          <w:rtl w:val="0"/>
        </w:rPr>
        <w:t xml:space="preserve">Resultan</w:t>
      </w:r>
      <w:r w:rsidDel="00000000" w:rsidR="00000000" w:rsidRPr="00000000">
        <w:rPr>
          <w:rFonts w:ascii="Palatino Linotype" w:cs="Palatino Linotype" w:eastAsia="Palatino Linotype" w:hAnsi="Palatino Linotype"/>
          <w:b w:val="1"/>
          <w:rtl w:val="0"/>
        </w:rPr>
        <w:t xml:space="preserve"> parcialmente fundados</w:t>
      </w:r>
      <w:r w:rsidDel="00000000" w:rsidR="00000000" w:rsidRPr="00000000">
        <w:rPr>
          <w:rFonts w:ascii="Palatino Linotype" w:cs="Palatino Linotype" w:eastAsia="Palatino Linotype" w:hAnsi="Palatino Linotype"/>
          <w:rtl w:val="0"/>
        </w:rPr>
        <w:t xml:space="preserve"> los motivos de inconformidad hechos valer por la parte </w:t>
      </w:r>
      <w:r w:rsidDel="00000000" w:rsidR="00000000" w:rsidRPr="00000000">
        <w:rPr>
          <w:rFonts w:ascii="Palatino Linotype" w:cs="Palatino Linotype" w:eastAsia="Palatino Linotype" w:hAnsi="Palatino Linotype"/>
          <w:b w:val="1"/>
          <w:rtl w:val="0"/>
        </w:rPr>
        <w:t xml:space="preserve">Recurrente </w:t>
      </w:r>
      <w:r w:rsidDel="00000000" w:rsidR="00000000" w:rsidRPr="00000000">
        <w:rPr>
          <w:rFonts w:ascii="Palatino Linotype" w:cs="Palatino Linotype" w:eastAsia="Palatino Linotype" w:hAnsi="Palatino Linotype"/>
          <w:rtl w:val="0"/>
        </w:rPr>
        <w:t xml:space="preserve">en el recurso de revisión </w:t>
      </w:r>
      <w:r w:rsidDel="00000000" w:rsidR="00000000" w:rsidRPr="00000000">
        <w:rPr>
          <w:rFonts w:ascii="Palatino Linotype" w:cs="Palatino Linotype" w:eastAsia="Palatino Linotype" w:hAnsi="Palatino Linotype"/>
          <w:b w:val="1"/>
          <w:rtl w:val="0"/>
        </w:rPr>
        <w:t xml:space="preserve">14079/INFOEM/IP/RR/2022, </w:t>
      </w:r>
      <w:r w:rsidDel="00000000" w:rsidR="00000000" w:rsidRPr="00000000">
        <w:rPr>
          <w:rFonts w:ascii="Palatino Linotype" w:cs="Palatino Linotype" w:eastAsia="Palatino Linotype" w:hAnsi="Palatino Linotype"/>
          <w:rtl w:val="0"/>
        </w:rPr>
        <w:t xml:space="preserve">por lo que, en términos del Considerando </w:t>
      </w:r>
      <w:r w:rsidDel="00000000" w:rsidR="00000000" w:rsidRPr="00000000">
        <w:rPr>
          <w:rFonts w:ascii="Palatino Linotype" w:cs="Palatino Linotype" w:eastAsia="Palatino Linotype" w:hAnsi="Palatino Linotype"/>
          <w:b w:val="1"/>
          <w:rtl w:val="0"/>
        </w:rPr>
        <w:t xml:space="preserve">Cuarto</w:t>
      </w:r>
      <w:r w:rsidDel="00000000" w:rsidR="00000000" w:rsidRPr="00000000">
        <w:rPr>
          <w:rFonts w:ascii="Palatino Linotype" w:cs="Palatino Linotype" w:eastAsia="Palatino Linotype" w:hAnsi="Palatino Linotype"/>
          <w:rtl w:val="0"/>
        </w:rPr>
        <w:t xml:space="preserve"> de la presente resolución, se</w:t>
      </w:r>
      <w:r w:rsidDel="00000000" w:rsidR="00000000" w:rsidRPr="00000000">
        <w:rPr>
          <w:rFonts w:ascii="Palatino Linotype" w:cs="Palatino Linotype" w:eastAsia="Palatino Linotype" w:hAnsi="Palatino Linotype"/>
          <w:b w:val="1"/>
          <w:rtl w:val="0"/>
        </w:rPr>
        <w:t xml:space="preserve"> Revoca </w:t>
      </w:r>
      <w:r w:rsidDel="00000000" w:rsidR="00000000" w:rsidRPr="00000000">
        <w:rPr>
          <w:rFonts w:ascii="Palatino Linotype" w:cs="Palatino Linotype" w:eastAsia="Palatino Linotype" w:hAnsi="Palatino Linotype"/>
          <w:rtl w:val="0"/>
        </w:rPr>
        <w:t xml:space="preserve">la respuesta</w:t>
      </w:r>
      <w:r w:rsidDel="00000000" w:rsidR="00000000" w:rsidRPr="00000000">
        <w:rPr>
          <w:rFonts w:ascii="Palatino Linotype" w:cs="Palatino Linotype" w:eastAsia="Palatino Linotype" w:hAnsi="Palatino Linotype"/>
          <w:b w:val="1"/>
          <w:rtl w:val="0"/>
        </w:rPr>
        <w:t xml:space="preserve"> </w:t>
      </w:r>
      <w:r w:rsidDel="00000000" w:rsidR="00000000" w:rsidRPr="00000000">
        <w:rPr>
          <w:rFonts w:ascii="Palatino Linotype" w:cs="Palatino Linotype" w:eastAsia="Palatino Linotype" w:hAnsi="Palatino Linotype"/>
          <w:rtl w:val="0"/>
        </w:rPr>
        <w:t xml:space="preserve">del </w:t>
      </w:r>
      <w:r w:rsidDel="00000000" w:rsidR="00000000" w:rsidRPr="00000000">
        <w:rPr>
          <w:rFonts w:ascii="Palatino Linotype" w:cs="Palatino Linotype" w:eastAsia="Palatino Linotype" w:hAnsi="Palatino Linotype"/>
          <w:b w:val="1"/>
          <w:rtl w:val="0"/>
        </w:rPr>
        <w:t xml:space="preserve">Sujeto Obligado.</w:t>
      </w:r>
    </w:p>
    <w:p w:rsidR="00000000" w:rsidDel="00000000" w:rsidP="00000000" w:rsidRDefault="00000000" w:rsidRPr="00000000" w14:paraId="000000AF">
      <w:pPr>
        <w:spacing w:after="240" w:before="240" w:line="360" w:lineRule="auto"/>
        <w:jc w:val="both"/>
        <w:rPr>
          <w:rFonts w:ascii="Palatino Linotype" w:cs="Palatino Linotype" w:eastAsia="Palatino Linotype" w:hAnsi="Palatino Linotype"/>
        </w:rPr>
      </w:pPr>
      <w:bookmarkStart w:colFirst="0" w:colLast="0" w:name="_heading=h.4d34og8" w:id="7"/>
      <w:bookmarkEnd w:id="7"/>
      <w:r w:rsidDel="00000000" w:rsidR="00000000" w:rsidRPr="00000000">
        <w:rPr>
          <w:rFonts w:ascii="Palatino Linotype" w:cs="Palatino Linotype" w:eastAsia="Palatino Linotype" w:hAnsi="Palatino Linotype"/>
          <w:b w:val="1"/>
          <w:rtl w:val="0"/>
        </w:rPr>
        <w:t xml:space="preserve">Segundo. </w:t>
      </w:r>
      <w:r w:rsidDel="00000000" w:rsidR="00000000" w:rsidRPr="00000000">
        <w:rPr>
          <w:rFonts w:ascii="Palatino Linotype" w:cs="Palatino Linotype" w:eastAsia="Palatino Linotype" w:hAnsi="Palatino Linotype"/>
          <w:rtl w:val="0"/>
        </w:rPr>
        <w:t xml:space="preserve">Se </w:t>
      </w:r>
      <w:r w:rsidDel="00000000" w:rsidR="00000000" w:rsidRPr="00000000">
        <w:rPr>
          <w:rFonts w:ascii="Palatino Linotype" w:cs="Palatino Linotype" w:eastAsia="Palatino Linotype" w:hAnsi="Palatino Linotype"/>
          <w:b w:val="1"/>
          <w:rtl w:val="0"/>
        </w:rPr>
        <w:t xml:space="preserve">Ordena</w:t>
      </w:r>
      <w:r w:rsidDel="00000000" w:rsidR="00000000" w:rsidRPr="00000000">
        <w:rPr>
          <w:rFonts w:ascii="Palatino Linotype" w:cs="Palatino Linotype" w:eastAsia="Palatino Linotype" w:hAnsi="Palatino Linotype"/>
          <w:rtl w:val="0"/>
        </w:rPr>
        <w:t xml:space="preserve"> al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en términos del Considerando </w:t>
      </w:r>
      <w:r w:rsidDel="00000000" w:rsidR="00000000" w:rsidRPr="00000000">
        <w:rPr>
          <w:rFonts w:ascii="Palatino Linotype" w:cs="Palatino Linotype" w:eastAsia="Palatino Linotype" w:hAnsi="Palatino Linotype"/>
          <w:b w:val="1"/>
          <w:rtl w:val="0"/>
        </w:rPr>
        <w:t xml:space="preserve">Cuarto </w:t>
      </w:r>
      <w:r w:rsidDel="00000000" w:rsidR="00000000" w:rsidRPr="00000000">
        <w:rPr>
          <w:rFonts w:ascii="Palatino Linotype" w:cs="Palatino Linotype" w:eastAsia="Palatino Linotype" w:hAnsi="Palatino Linotype"/>
          <w:rtl w:val="0"/>
        </w:rPr>
        <w:t xml:space="preserve">de esta resolución, haga entrega, vía SAIMEX, de lo siguiente:</w:t>
      </w:r>
    </w:p>
    <w:p w:rsidR="00000000" w:rsidDel="00000000" w:rsidP="00000000" w:rsidRDefault="00000000" w:rsidRPr="00000000" w14:paraId="000000B0">
      <w:pPr>
        <w:numPr>
          <w:ilvl w:val="0"/>
          <w:numId w:val="1"/>
        </w:numPr>
        <w:pBdr>
          <w:top w:space="0" w:sz="0" w:val="nil"/>
          <w:left w:space="0" w:sz="0" w:val="nil"/>
          <w:bottom w:space="0" w:sz="0" w:val="nil"/>
          <w:right w:space="0" w:sz="0" w:val="nil"/>
          <w:between w:space="0" w:sz="0" w:val="nil"/>
        </w:pBdr>
        <w:spacing w:after="240" w:before="240" w:line="360" w:lineRule="auto"/>
        <w:ind w:left="720" w:right="51" w:hanging="360"/>
        <w:jc w:val="both"/>
        <w:rPr>
          <w:rFonts w:ascii="Palatino Linotype" w:cs="Palatino Linotype" w:eastAsia="Palatino Linotype" w:hAnsi="Palatino Linotype"/>
        </w:rPr>
      </w:pPr>
      <w:bookmarkStart w:colFirst="0" w:colLast="0" w:name="_heading=h.kelgs2428oa6" w:id="8"/>
      <w:bookmarkEnd w:id="8"/>
      <w:r w:rsidDel="00000000" w:rsidR="00000000" w:rsidRPr="00000000">
        <w:rPr>
          <w:rFonts w:ascii="Palatino Linotype" w:cs="Palatino Linotype" w:eastAsia="Palatino Linotype" w:hAnsi="Palatino Linotype"/>
          <w:rtl w:val="0"/>
        </w:rPr>
        <w:t xml:space="preserve">Acuerdo del Comité de Transparencia en términos de los artículos 49 fracción VIII, 122, 143 fracciones I y II y 149 de la Ley de Transparencia y Acceso a la Información Pública del Estado de México y Municipios vigente, en el que se funden y motiven las razones que justifiquen la clasificación de los expedientes generados con motivo de la expedición de Certificado de no adeudo por Aportación de Mejoras que fueron remitidos en respuesta, como totalmente confidenciales.</w:t>
      </w:r>
    </w:p>
    <w:p w:rsidR="00000000" w:rsidDel="00000000" w:rsidP="00000000" w:rsidRDefault="00000000" w:rsidRPr="00000000" w14:paraId="000000B1">
      <w:pPr>
        <w:pBdr>
          <w:top w:space="0" w:sz="0" w:val="nil"/>
          <w:left w:space="0" w:sz="0" w:val="nil"/>
          <w:bottom w:space="0" w:sz="0" w:val="nil"/>
          <w:right w:space="0" w:sz="0" w:val="nil"/>
          <w:between w:space="0" w:sz="0" w:val="nil"/>
        </w:pBdr>
        <w:spacing w:after="240" w:before="240" w:line="360" w:lineRule="auto"/>
        <w:ind w:right="51"/>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Tercero. Notifíquese, </w:t>
      </w:r>
      <w:r w:rsidDel="00000000" w:rsidR="00000000" w:rsidRPr="00000000">
        <w:rPr>
          <w:rFonts w:ascii="Palatino Linotype" w:cs="Palatino Linotype" w:eastAsia="Palatino Linotype" w:hAnsi="Palatino Linotype"/>
          <w:rtl w:val="0"/>
        </w:rPr>
        <w:t xml:space="preserve">vía</w:t>
      </w:r>
      <w:r w:rsidDel="00000000" w:rsidR="00000000" w:rsidRPr="00000000">
        <w:rPr>
          <w:rFonts w:ascii="Palatino Linotype" w:cs="Palatino Linotype" w:eastAsia="Palatino Linotype" w:hAnsi="Palatino Linotype"/>
          <w:b w:val="1"/>
          <w:rtl w:val="0"/>
        </w:rPr>
        <w:t xml:space="preserve"> SAIMEX, </w:t>
      </w:r>
      <w:r w:rsidDel="00000000" w:rsidR="00000000" w:rsidRPr="00000000">
        <w:rPr>
          <w:rFonts w:ascii="Palatino Linotype" w:cs="Palatino Linotype" w:eastAsia="Palatino Linotype" w:hAnsi="Palatino Linotype"/>
          <w:rtl w:val="0"/>
        </w:rPr>
        <w:t xml:space="preserve">al Responsable de la Unidad de Transparencia del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la presente resolución, para que conforme a los artículo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misma</w:t>
      </w:r>
      <w:r w:rsidDel="00000000" w:rsidR="00000000" w:rsidRPr="00000000">
        <w:rPr>
          <w:rFonts w:ascii="Palatino Linotype" w:cs="Palatino Linotype" w:eastAsia="Palatino Linotype" w:hAnsi="Palatino Linotype"/>
          <w:b w:val="1"/>
          <w:rtl w:val="0"/>
        </w:rPr>
        <w:t xml:space="preserve">.</w:t>
      </w:r>
    </w:p>
    <w:p w:rsidR="00000000" w:rsidDel="00000000" w:rsidP="00000000" w:rsidRDefault="00000000" w:rsidRPr="00000000" w14:paraId="000000B2">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conformidad con el artículo 198 de la Ley de Transparencia y Acceso a la Información Pública del Estado de México y Municipios, de considerarlo procedente,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de manera fundada y motivada, podrá solicitar una ampliación de plazo para el cumplimiento de la presente resolución.</w:t>
      </w:r>
    </w:p>
    <w:p w:rsidR="00000000" w:rsidDel="00000000" w:rsidP="00000000" w:rsidRDefault="00000000" w:rsidRPr="00000000" w14:paraId="000000B3">
      <w:pPr>
        <w:spacing w:after="240" w:before="240" w:line="360" w:lineRule="auto"/>
        <w:jc w:val="both"/>
        <w:rPr>
          <w:rFonts w:ascii="Palatino Linotype" w:cs="Palatino Linotype" w:eastAsia="Palatino Linotype" w:hAnsi="Palatino Linotype"/>
        </w:rPr>
      </w:pPr>
      <w:bookmarkStart w:colFirst="0" w:colLast="0" w:name="_heading=h.3dy6vkm" w:id="9"/>
      <w:bookmarkEnd w:id="9"/>
      <w:r w:rsidDel="00000000" w:rsidR="00000000" w:rsidRPr="00000000">
        <w:rPr>
          <w:rFonts w:ascii="Palatino Linotype" w:cs="Palatino Linotype" w:eastAsia="Palatino Linotype" w:hAnsi="Palatino Linotype"/>
          <w:b w:val="1"/>
          <w:rtl w:val="0"/>
        </w:rPr>
        <w:t xml:space="preserve">Cuarto. Notifíquese, </w:t>
      </w:r>
      <w:r w:rsidDel="00000000" w:rsidR="00000000" w:rsidRPr="00000000">
        <w:rPr>
          <w:rFonts w:ascii="Palatino Linotype" w:cs="Palatino Linotype" w:eastAsia="Palatino Linotype" w:hAnsi="Palatino Linotype"/>
          <w:rtl w:val="0"/>
        </w:rPr>
        <w:t xml:space="preserve">vía </w:t>
      </w:r>
      <w:r w:rsidDel="00000000" w:rsidR="00000000" w:rsidRPr="00000000">
        <w:rPr>
          <w:rFonts w:ascii="Palatino Linotype" w:cs="Palatino Linotype" w:eastAsia="Palatino Linotype" w:hAnsi="Palatino Linotype"/>
          <w:b w:val="1"/>
          <w:rtl w:val="0"/>
        </w:rPr>
        <w:t xml:space="preserve">SAIMEX</w:t>
      </w:r>
      <w:r w:rsidDel="00000000" w:rsidR="00000000" w:rsidRPr="00000000">
        <w:rPr>
          <w:rFonts w:ascii="Palatino Linotype" w:cs="Palatino Linotype" w:eastAsia="Palatino Linotype" w:hAnsi="Palatino Linotype"/>
          <w:rtl w:val="0"/>
        </w:rPr>
        <w:t xml:space="preserve">, a la parte </w:t>
      </w:r>
      <w:r w:rsidDel="00000000" w:rsidR="00000000" w:rsidRPr="00000000">
        <w:rPr>
          <w:rFonts w:ascii="Palatino Linotype" w:cs="Palatino Linotype" w:eastAsia="Palatino Linotype" w:hAnsi="Palatino Linotype"/>
          <w:b w:val="1"/>
          <w:rtl w:val="0"/>
        </w:rPr>
        <w:t xml:space="preserve">Recurrente </w:t>
      </w:r>
      <w:r w:rsidDel="00000000" w:rsidR="00000000" w:rsidRPr="00000000">
        <w:rPr>
          <w:rFonts w:ascii="Palatino Linotype" w:cs="Palatino Linotype" w:eastAsia="Palatino Linotype" w:hAnsi="Palatino Linotype"/>
          <w:rtl w:val="0"/>
        </w:rPr>
        <w:t xml:space="preserve">la presente resolución, así como, que de conformidad con lo establecido en los artículos 159 y 160 de la Ley General de Transparencia y Acceso a la Información Pública, y en el artículo 196 de la Ley de Transparencia y Acceso a la Información Pública del Estado de México y Municipios, podrá impugnarla vía recurso de inconformidad ante el Instituto Nacional de Transparencia, Acceso a la Información y Protección de Datos Personales, o bien, vía Juicio de Amparo en los términos de las leyes aplicables.</w:t>
      </w:r>
    </w:p>
    <w:p w:rsidR="00000000" w:rsidDel="00000000" w:rsidP="00000000" w:rsidRDefault="00000000" w:rsidRPr="00000000" w14:paraId="000000B4">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Quinto.</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rtl w:val="0"/>
        </w:rPr>
        <w:t xml:space="preserve">Gírese</w:t>
      </w:r>
      <w:r w:rsidDel="00000000" w:rsidR="00000000" w:rsidRPr="00000000">
        <w:rPr>
          <w:rFonts w:ascii="Palatino Linotype" w:cs="Palatino Linotype" w:eastAsia="Palatino Linotype" w:hAnsi="Palatino Linotype"/>
          <w:rtl w:val="0"/>
        </w:rPr>
        <w:t xml:space="preserve"> oficio al Titular de la Dirección General de Protección de Datos Personales de este Instituto con fundamento en el artículo 82 fracción XXVII de la Ley de Protección de Datos Personales en Posesión de Sujetos Obligados del Estado de México y Municipios, para que actúe en razón de su competencia, en términos de lo expuesto en el Considerando </w:t>
      </w:r>
      <w:r w:rsidDel="00000000" w:rsidR="00000000" w:rsidRPr="00000000">
        <w:rPr>
          <w:rFonts w:ascii="Palatino Linotype" w:cs="Palatino Linotype" w:eastAsia="Palatino Linotype" w:hAnsi="Palatino Linotype"/>
          <w:b w:val="1"/>
          <w:rtl w:val="0"/>
        </w:rPr>
        <w:t xml:space="preserve">Cuarto</w:t>
      </w:r>
      <w:r w:rsidDel="00000000" w:rsidR="00000000" w:rsidRPr="00000000">
        <w:rPr>
          <w:rFonts w:ascii="Palatino Linotype" w:cs="Palatino Linotype" w:eastAsia="Palatino Linotype" w:hAnsi="Palatino Linotype"/>
          <w:rtl w:val="0"/>
        </w:rPr>
        <w:t xml:space="preserve"> de la presente resolución.</w:t>
      </w:r>
    </w:p>
    <w:p w:rsidR="00000000" w:rsidDel="00000000" w:rsidP="00000000" w:rsidRDefault="00000000" w:rsidRPr="00000000" w14:paraId="000000B5">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DÉCIMO SEGUNDA SESIÓN ORDINARIA, CELEBRADA EL VEINTINUEVE DE MARZO DE MARZO DE DOS MIL VEINTITRÉS, ANTE EL SECRETARIO TÉCNICO DEL PLENO ALEXIS TAPIA RAMÍREZ.</w:t>
      </w:r>
    </w:p>
    <w:p w:rsidR="00000000" w:rsidDel="00000000" w:rsidP="00000000" w:rsidRDefault="00000000" w:rsidRPr="00000000" w14:paraId="000000B6">
      <w:pPr>
        <w:spacing w:line="360" w:lineRule="auto"/>
        <w:jc w:val="both"/>
        <w:rPr>
          <w:rFonts w:ascii="Palatino Linotype" w:cs="Palatino Linotype" w:eastAsia="Palatino Linotype" w:hAnsi="Palatino Linotyp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101601</wp:posOffset>
                </wp:positionH>
                <wp:positionV relativeFrom="paragraph">
                  <wp:posOffset>25400</wp:posOffset>
                </wp:positionV>
                <wp:extent cx="5530850" cy="2044700"/>
                <wp:effectExtent b="0" l="0" r="0" t="0"/>
                <wp:wrapNone/>
                <wp:docPr id="70" name=""/>
                <a:graphic>
                  <a:graphicData uri="http://schemas.microsoft.com/office/word/2010/wordprocessingShape">
                    <wps:wsp>
                      <wps:cNvCnPr/>
                      <wps:spPr>
                        <a:xfrm>
                          <a:off x="2593275" y="2770350"/>
                          <a:ext cx="5505450" cy="2019300"/>
                        </a:xfrm>
                        <a:prstGeom prst="straightConnector1">
                          <a:avLst/>
                        </a:prstGeom>
                        <a:noFill/>
                        <a:ln cap="flat" cmpd="sng" w="25400">
                          <a:solidFill>
                            <a:schemeClr val="dk1"/>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101601</wp:posOffset>
                </wp:positionH>
                <wp:positionV relativeFrom="paragraph">
                  <wp:posOffset>25400</wp:posOffset>
                </wp:positionV>
                <wp:extent cx="5530850" cy="2044700"/>
                <wp:effectExtent b="0" l="0" r="0" t="0"/>
                <wp:wrapNone/>
                <wp:docPr id="70" name="image8.png"/>
                <a:graphic>
                  <a:graphicData uri="http://schemas.openxmlformats.org/drawingml/2006/picture">
                    <pic:pic>
                      <pic:nvPicPr>
                        <pic:cNvPr id="0" name="image8.png"/>
                        <pic:cNvPicPr preferRelativeResize="0"/>
                      </pic:nvPicPr>
                      <pic:blipFill>
                        <a:blip r:embed="rId15"/>
                        <a:srcRect/>
                        <a:stretch>
                          <a:fillRect/>
                        </a:stretch>
                      </pic:blipFill>
                      <pic:spPr>
                        <a:xfrm>
                          <a:off x="0" y="0"/>
                          <a:ext cx="5530850" cy="2044700"/>
                        </a:xfrm>
                        <a:prstGeom prst="rect"/>
                        <a:ln/>
                      </pic:spPr>
                    </pic:pic>
                  </a:graphicData>
                </a:graphic>
              </wp:anchor>
            </w:drawing>
          </mc:Fallback>
        </mc:AlternateContent>
      </w:r>
    </w:p>
    <w:p w:rsidR="00000000" w:rsidDel="00000000" w:rsidP="00000000" w:rsidRDefault="00000000" w:rsidRPr="00000000" w14:paraId="000000B7">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B8">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B9">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BA">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BB">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BC">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BD">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BE">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BF">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C0">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C1">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C2">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C3">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C4">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C5">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C6">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C7">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C8">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C9">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CA">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CB">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CC">
      <w:pPr>
        <w:spacing w:line="360" w:lineRule="auto"/>
        <w:jc w:val="both"/>
        <w:rPr>
          <w:rFonts w:ascii="Palatino Linotype" w:cs="Palatino Linotype" w:eastAsia="Palatino Linotype" w:hAnsi="Palatino Linotype"/>
        </w:rPr>
      </w:pPr>
      <w:r w:rsidDel="00000000" w:rsidR="00000000" w:rsidRPr="00000000">
        <w:rPr>
          <w:rtl w:val="0"/>
        </w:rPr>
      </w:r>
    </w:p>
    <w:sectPr>
      <w:headerReference r:id="rId16" w:type="default"/>
      <w:headerReference r:id="rId17" w:type="first"/>
      <w:footerReference r:id="rId18" w:type="default"/>
      <w:footerReference r:id="rId19" w:type="first"/>
      <w:pgSz w:h="15840" w:w="12240" w:orient="portrait"/>
      <w:pgMar w:bottom="1701" w:top="1985" w:left="1701" w:right="1701" w:header="709" w:footer="709"/>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Cambria"/>
  <w:font w:name="Georgia"/>
  <w:font w:name="Courier New"/>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5">
    <w:pPr>
      <w:pBdr>
        <w:top w:space="0" w:sz="0" w:val="nil"/>
        <w:left w:space="0" w:sz="0" w:val="nil"/>
        <w:bottom w:space="0" w:sz="0" w:val="nil"/>
        <w:right w:space="0" w:sz="0" w:val="nil"/>
        <w:between w:space="0" w:sz="0" w:val="nil"/>
      </w:pBdr>
      <w:tabs>
        <w:tab w:val="center" w:leader="none" w:pos="4252"/>
        <w:tab w:val="right" w:leader="none" w:pos="8504"/>
      </w:tabs>
      <w:jc w:val="right"/>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b w:val="1"/>
        <w:color w:val="000000"/>
        <w:sz w:val="20"/>
        <w:szCs w:val="20"/>
        <w:rtl w:val="0"/>
      </w:rPr>
      <w:t xml:space="preserve">Página </w:t>
    </w:r>
    <w:r w:rsidDel="00000000" w:rsidR="00000000" w:rsidRPr="00000000">
      <w:rPr>
        <w:rFonts w:ascii="Palatino Linotype" w:cs="Palatino Linotype" w:eastAsia="Palatino Linotype" w:hAnsi="Palatino Linotype"/>
        <w:b w:val="1"/>
        <w:color w:val="000000"/>
        <w:sz w:val="20"/>
        <w:szCs w:val="20"/>
      </w:rPr>
      <w:fldChar w:fldCharType="begin"/>
      <w:instrText xml:space="preserve">PAGE</w:instrText>
      <w:fldChar w:fldCharType="separate"/>
      <w:fldChar w:fldCharType="end"/>
    </w:r>
    <w:r w:rsidDel="00000000" w:rsidR="00000000" w:rsidRPr="00000000">
      <w:rPr>
        <w:rFonts w:ascii="Palatino Linotype" w:cs="Palatino Linotype" w:eastAsia="Palatino Linotype" w:hAnsi="Palatino Linotype"/>
        <w:color w:val="000000"/>
        <w:sz w:val="20"/>
        <w:szCs w:val="20"/>
        <w:rtl w:val="0"/>
      </w:rPr>
      <w:t xml:space="preserve"> de </w:t>
    </w:r>
    <w:r w:rsidDel="00000000" w:rsidR="00000000" w:rsidRPr="00000000">
      <w:rPr>
        <w:rFonts w:ascii="Palatino Linotype" w:cs="Palatino Linotype" w:eastAsia="Palatino Linotype" w:hAnsi="Palatino Linotype"/>
        <w:b w:val="1"/>
        <w:color w:val="000000"/>
        <w:sz w:val="20"/>
        <w:szCs w:val="20"/>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0E6">
    <w:pPr>
      <w:pBdr>
        <w:top w:space="0" w:sz="0" w:val="nil"/>
        <w:left w:space="0" w:sz="0" w:val="nil"/>
        <w:bottom w:space="0" w:sz="0" w:val="nil"/>
        <w:right w:space="0" w:sz="0" w:val="nil"/>
        <w:between w:space="0" w:sz="0" w:val="nil"/>
      </w:pBdr>
      <w:tabs>
        <w:tab w:val="center" w:leader="none" w:pos="4252"/>
        <w:tab w:val="right" w:leader="none" w:pos="8504"/>
      </w:tabs>
      <w:rPr>
        <w:rFonts w:ascii="Cambria" w:cs="Cambria" w:eastAsia="Cambria" w:hAnsi="Cambria"/>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7">
    <w:pPr>
      <w:pBdr>
        <w:top w:space="0" w:sz="0" w:val="nil"/>
        <w:left w:space="0" w:sz="0" w:val="nil"/>
        <w:bottom w:space="0" w:sz="0" w:val="nil"/>
        <w:right w:space="0" w:sz="0" w:val="nil"/>
        <w:between w:space="0" w:sz="0" w:val="nil"/>
      </w:pBdr>
      <w:tabs>
        <w:tab w:val="center" w:leader="none" w:pos="4252"/>
        <w:tab w:val="right" w:leader="none" w:pos="8504"/>
      </w:tabs>
      <w:jc w:val="right"/>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b w:val="1"/>
        <w:color w:val="000000"/>
        <w:sz w:val="20"/>
        <w:szCs w:val="20"/>
        <w:rtl w:val="0"/>
      </w:rPr>
      <w:t xml:space="preserve">Página </w:t>
    </w:r>
    <w:r w:rsidDel="00000000" w:rsidR="00000000" w:rsidRPr="00000000">
      <w:rPr>
        <w:rFonts w:ascii="Palatino Linotype" w:cs="Palatino Linotype" w:eastAsia="Palatino Linotype" w:hAnsi="Palatino Linotype"/>
        <w:b w:val="1"/>
        <w:color w:val="000000"/>
        <w:sz w:val="20"/>
        <w:szCs w:val="20"/>
      </w:rPr>
      <w:fldChar w:fldCharType="begin"/>
      <w:instrText xml:space="preserve">PAGE</w:instrText>
      <w:fldChar w:fldCharType="separate"/>
      <w:fldChar w:fldCharType="end"/>
    </w:r>
    <w:r w:rsidDel="00000000" w:rsidR="00000000" w:rsidRPr="00000000">
      <w:rPr>
        <w:rFonts w:ascii="Palatino Linotype" w:cs="Palatino Linotype" w:eastAsia="Palatino Linotype" w:hAnsi="Palatino Linotype"/>
        <w:color w:val="000000"/>
        <w:sz w:val="20"/>
        <w:szCs w:val="20"/>
        <w:rtl w:val="0"/>
      </w:rPr>
      <w:t xml:space="preserve"> de </w:t>
    </w:r>
    <w:r w:rsidDel="00000000" w:rsidR="00000000" w:rsidRPr="00000000">
      <w:rPr>
        <w:rFonts w:ascii="Palatino Linotype" w:cs="Palatino Linotype" w:eastAsia="Palatino Linotype" w:hAnsi="Palatino Linotype"/>
        <w:b w:val="1"/>
        <w:color w:val="000000"/>
        <w:sz w:val="20"/>
        <w:szCs w:val="20"/>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0E8">
    <w:pPr>
      <w:pBdr>
        <w:top w:space="0" w:sz="0" w:val="nil"/>
        <w:left w:space="0" w:sz="0" w:val="nil"/>
        <w:bottom w:space="0" w:sz="0" w:val="nil"/>
        <w:right w:space="0" w:sz="0" w:val="nil"/>
        <w:between w:space="0" w:sz="0" w:val="nil"/>
      </w:pBdr>
      <w:tabs>
        <w:tab w:val="center" w:leader="none" w:pos="4252"/>
        <w:tab w:val="right" w:leader="none" w:pos="8504"/>
      </w:tabs>
      <w:ind w:firstLine="708"/>
      <w:rPr>
        <w:rFonts w:ascii="Cambria" w:cs="Cambria" w:eastAsia="Cambria" w:hAnsi="Cambria"/>
        <w:color w:val="000000"/>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0CD">
      <w:pPr>
        <w:ind w:left="720" w:hanging="720"/>
        <w:jc w:val="both"/>
        <w:rPr>
          <w:rFonts w:ascii="Palatino Linotype" w:cs="Palatino Linotype" w:eastAsia="Palatino Linotype" w:hAnsi="Palatino Linotype"/>
          <w:color w:val="000000"/>
          <w:sz w:val="16"/>
          <w:szCs w:val="16"/>
        </w:rPr>
      </w:pPr>
      <w:r w:rsidDel="00000000" w:rsidR="00000000" w:rsidRPr="00000000">
        <w:rPr>
          <w:rStyle w:val="FootnoteReference"/>
          <w:vertAlign w:val="superscript"/>
        </w:rPr>
        <w:footnoteRef/>
      </w:r>
      <w:r w:rsidDel="00000000" w:rsidR="00000000" w:rsidRPr="00000000">
        <w:rPr>
          <w:rFonts w:ascii="Palatino Linotype" w:cs="Palatino Linotype" w:eastAsia="Palatino Linotype" w:hAnsi="Palatino Linotype"/>
          <w:color w:val="000000"/>
          <w:sz w:val="16"/>
          <w:szCs w:val="16"/>
          <w:rtl w:val="0"/>
        </w:rPr>
        <w:t xml:space="preserve"> “</w:t>
      </w:r>
      <w:r w:rsidDel="00000000" w:rsidR="00000000" w:rsidRPr="00000000">
        <w:rPr>
          <w:rFonts w:ascii="Palatino Linotype" w:cs="Palatino Linotype" w:eastAsia="Palatino Linotype" w:hAnsi="Palatino Linotype"/>
          <w:b w:val="1"/>
          <w:color w:val="000000"/>
          <w:sz w:val="16"/>
          <w:szCs w:val="16"/>
          <w:rtl w:val="0"/>
        </w:rPr>
        <w:t xml:space="preserve">Artículo 185.</w:t>
      </w:r>
      <w:r w:rsidDel="00000000" w:rsidR="00000000" w:rsidRPr="00000000">
        <w:rPr>
          <w:rFonts w:ascii="Palatino Linotype" w:cs="Palatino Linotype" w:eastAsia="Palatino Linotype" w:hAnsi="Palatino Linotype"/>
          <w:color w:val="000000"/>
          <w:sz w:val="16"/>
          <w:szCs w:val="16"/>
          <w:rtl w:val="0"/>
        </w:rPr>
        <w:t xml:space="preserve"> El Instituto resolverá el recurso de revisión conforme a lo siguiente: (…)</w:t>
      </w:r>
    </w:p>
    <w:p w:rsidR="00000000" w:rsidDel="00000000" w:rsidP="00000000" w:rsidRDefault="00000000" w:rsidRPr="00000000" w14:paraId="000000CE">
      <w:pPr>
        <w:jc w:val="both"/>
        <w:rPr>
          <w:rFonts w:ascii="Palatino Linotype" w:cs="Palatino Linotype" w:eastAsia="Palatino Linotype" w:hAnsi="Palatino Linotype"/>
          <w:color w:val="000000"/>
          <w:sz w:val="16"/>
          <w:szCs w:val="16"/>
        </w:rPr>
      </w:pPr>
      <w:r w:rsidDel="00000000" w:rsidR="00000000" w:rsidRPr="00000000">
        <w:rPr>
          <w:rFonts w:ascii="Palatino Linotype" w:cs="Palatino Linotype" w:eastAsia="Palatino Linotype" w:hAnsi="Palatino Linotype"/>
          <w:color w:val="000000"/>
          <w:sz w:val="16"/>
          <w:szCs w:val="16"/>
          <w:rtl w:val="0"/>
        </w:rPr>
        <w:t xml:space="preserve">II. Admitido el recurso de revisión, la o el Comisionado ponente deberá integrar un expediente y ponerlo a disposición de las partes, para que, en un plazo máximo de siete días hábiles, manifiesten lo que a su derecho convenga;”</w:t>
      </w:r>
    </w:p>
  </w:footnote>
  <w:footnote w:id="1">
    <w:p w:rsidR="00000000" w:rsidDel="00000000" w:rsidP="00000000" w:rsidRDefault="00000000" w:rsidRPr="00000000" w14:paraId="000000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alatino Linotype" w:cs="Palatino Linotype" w:eastAsia="Palatino Linotype" w:hAnsi="Palatino Linotype"/>
          <w:b w:val="0"/>
          <w:i w:val="0"/>
          <w:smallCaps w:val="0"/>
          <w:strike w:val="0"/>
          <w:color w:val="000000"/>
          <w:sz w:val="16"/>
          <w:szCs w:val="16"/>
          <w:u w:val="none"/>
          <w:shd w:fill="auto" w:val="clear"/>
          <w:vertAlign w:val="baseline"/>
        </w:rPr>
      </w:pPr>
      <w:r w:rsidDel="00000000" w:rsidR="00000000" w:rsidRPr="00000000">
        <w:rPr>
          <w:rStyle w:val="FootnoteReference"/>
          <w:vertAlign w:val="superscript"/>
        </w:rPr>
        <w:footnoteRef/>
      </w:r>
      <w:r w:rsidDel="00000000" w:rsidR="00000000" w:rsidRPr="00000000">
        <w:rPr>
          <w:rFonts w:ascii="Palatino Linotype" w:cs="Palatino Linotype" w:eastAsia="Palatino Linotype" w:hAnsi="Palatino Linotype"/>
          <w:b w:val="0"/>
          <w:i w:val="0"/>
          <w:smallCaps w:val="0"/>
          <w:strike w:val="0"/>
          <w:color w:val="000000"/>
          <w:sz w:val="16"/>
          <w:szCs w:val="16"/>
          <w:u w:val="none"/>
          <w:shd w:fill="auto" w:val="clear"/>
          <w:vertAlign w:val="baseline"/>
          <w:rtl w:val="0"/>
        </w:rPr>
        <w:t xml:space="preserve"> Ley de Transparencia y Acceso a la Información</w:t>
      </w:r>
      <w:r w:rsidDel="00000000" w:rsidR="00000000" w:rsidRPr="00000000">
        <w:rPr>
          <w:rFonts w:ascii="Palatino Linotype" w:cs="Palatino Linotype" w:eastAsia="Palatino Linotype" w:hAnsi="Palatino Linotype"/>
          <w:b w:val="0"/>
          <w:i w:val="0"/>
          <w:smallCaps w:val="0"/>
          <w:strike w:val="0"/>
          <w:color w:val="c00000"/>
          <w:sz w:val="16"/>
          <w:szCs w:val="16"/>
          <w:u w:val="none"/>
          <w:shd w:fill="auto" w:val="clear"/>
          <w:vertAlign w:val="baseline"/>
          <w:rtl w:val="0"/>
        </w:rPr>
        <w:t xml:space="preserve"> </w:t>
      </w:r>
      <w:r w:rsidDel="00000000" w:rsidR="00000000" w:rsidRPr="00000000">
        <w:rPr>
          <w:rFonts w:ascii="Palatino Linotype" w:cs="Palatino Linotype" w:eastAsia="Palatino Linotype" w:hAnsi="Palatino Linotype"/>
          <w:b w:val="0"/>
          <w:i w:val="0"/>
          <w:smallCaps w:val="0"/>
          <w:strike w:val="0"/>
          <w:color w:val="000000"/>
          <w:sz w:val="16"/>
          <w:szCs w:val="16"/>
          <w:u w:val="none"/>
          <w:shd w:fill="auto" w:val="clear"/>
          <w:vertAlign w:val="baseline"/>
          <w:rtl w:val="0"/>
        </w:rPr>
        <w:t xml:space="preserve">Pública</w:t>
      </w:r>
      <w:r w:rsidDel="00000000" w:rsidR="00000000" w:rsidRPr="00000000">
        <w:rPr>
          <w:rFonts w:ascii="Palatino Linotype" w:cs="Palatino Linotype" w:eastAsia="Palatino Linotype" w:hAnsi="Palatino Linotype"/>
          <w:b w:val="0"/>
          <w:i w:val="0"/>
          <w:smallCaps w:val="0"/>
          <w:strike w:val="0"/>
          <w:color w:val="c00000"/>
          <w:sz w:val="16"/>
          <w:szCs w:val="16"/>
          <w:u w:val="none"/>
          <w:shd w:fill="auto" w:val="clear"/>
          <w:vertAlign w:val="baseline"/>
          <w:rtl w:val="0"/>
        </w:rPr>
        <w:t xml:space="preserve"> </w:t>
      </w:r>
      <w:r w:rsidDel="00000000" w:rsidR="00000000" w:rsidRPr="00000000">
        <w:rPr>
          <w:rFonts w:ascii="Palatino Linotype" w:cs="Palatino Linotype" w:eastAsia="Palatino Linotype" w:hAnsi="Palatino Linotype"/>
          <w:b w:val="0"/>
          <w:i w:val="0"/>
          <w:smallCaps w:val="0"/>
          <w:strike w:val="0"/>
          <w:color w:val="000000"/>
          <w:sz w:val="16"/>
          <w:szCs w:val="16"/>
          <w:u w:val="none"/>
          <w:shd w:fill="auto" w:val="clear"/>
          <w:vertAlign w:val="baseline"/>
          <w:rtl w:val="0"/>
        </w:rPr>
        <w:t xml:space="preserve">del Estado de México y Municipios.</w:t>
      </w:r>
    </w:p>
    <w:p w:rsidR="00000000" w:rsidDel="00000000" w:rsidP="00000000" w:rsidRDefault="00000000" w:rsidRPr="00000000" w14:paraId="000000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alatino Linotype" w:cs="Palatino Linotype" w:eastAsia="Palatino Linotype" w:hAnsi="Palatino Linotype"/>
          <w:b w:val="0"/>
          <w:i w:val="0"/>
          <w:smallCaps w:val="0"/>
          <w:strike w:val="0"/>
          <w:color w:val="000000"/>
          <w:sz w:val="16"/>
          <w:szCs w:val="16"/>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16"/>
          <w:szCs w:val="16"/>
          <w:u w:val="none"/>
          <w:shd w:fill="auto" w:val="clear"/>
          <w:vertAlign w:val="baseline"/>
          <w:rtl w:val="0"/>
        </w:rPr>
        <w:t xml:space="preserve">“Artículo 131. La carga de la prueba para justificar toda negativa de acceso a la información, por actualizarse cualquiera de los supuestos de clasificación previstos en esta Ley corresponderá a los sujetos obligados; en tal caso deberá fundar y motivar debidamente la clasificación de la información, de conformidad con lo previsto en la presente Ley.”</w:t>
      </w:r>
    </w:p>
    <w:p w:rsidR="00000000" w:rsidDel="00000000" w:rsidP="00000000" w:rsidRDefault="00000000" w:rsidRPr="00000000" w14:paraId="000000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alatino Linotype" w:cs="Palatino Linotype" w:eastAsia="Palatino Linotype" w:hAnsi="Palatino Linotype"/>
          <w:b w:val="0"/>
          <w:i w:val="0"/>
          <w:smallCaps w:val="0"/>
          <w:strike w:val="0"/>
          <w:color w:val="000000"/>
          <w:sz w:val="16"/>
          <w:szCs w:val="16"/>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16"/>
          <w:szCs w:val="16"/>
          <w:u w:val="none"/>
          <w:shd w:fill="auto" w:val="clear"/>
          <w:vertAlign w:val="baseline"/>
          <w:rtl w:val="0"/>
        </w:rPr>
        <w:t xml:space="preserve">“Artículo 149. El acuerdo que clasifique la información como confidencial deberá contener un razonamiento lógico en el que demuestre que la información se encuentra en alguna o algunas de las hipótesis previstas en la presente Ley.”</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2">
    <w:pPr>
      <w:widowControl w:val="0"/>
      <w:pBdr>
        <w:top w:space="0" w:sz="0" w:val="nil"/>
        <w:left w:space="0" w:sz="0" w:val="nil"/>
        <w:bottom w:space="0" w:sz="0" w:val="nil"/>
        <w:right w:space="0" w:sz="0" w:val="nil"/>
        <w:between w:space="0" w:sz="0" w:val="nil"/>
      </w:pBdr>
      <w:spacing w:line="276" w:lineRule="auto"/>
      <w:rPr>
        <w:rFonts w:ascii="Palatino Linotype" w:cs="Palatino Linotype" w:eastAsia="Palatino Linotype" w:hAnsi="Palatino Linotype"/>
        <w:color w:val="000000"/>
        <w:sz w:val="16"/>
        <w:szCs w:val="16"/>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-1080133</wp:posOffset>
          </wp:positionH>
          <wp:positionV relativeFrom="paragraph">
            <wp:posOffset>-309961</wp:posOffset>
          </wp:positionV>
          <wp:extent cx="7809865" cy="10165715"/>
          <wp:effectExtent b="0" l="0" r="0" t="0"/>
          <wp:wrapNone/>
          <wp:docPr id="72"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809865" cy="10165715"/>
                  </a:xfrm>
                  <a:prstGeom prst="rect"/>
                  <a:ln/>
                </pic:spPr>
              </pic:pic>
            </a:graphicData>
          </a:graphic>
        </wp:anchor>
      </w:drawing>
    </w:r>
  </w:p>
  <w:tbl>
    <w:tblPr>
      <w:tblStyle w:val="Table1"/>
      <w:tblW w:w="6095.0" w:type="dxa"/>
      <w:jc w:val="left"/>
      <w:tblInd w:w="2972.0" w:type="dxa"/>
      <w:tblLayout w:type="fixed"/>
      <w:tblLook w:val="0400"/>
    </w:tblPr>
    <w:tblGrid>
      <w:gridCol w:w="2552"/>
      <w:gridCol w:w="3543"/>
      <w:tblGridChange w:id="0">
        <w:tblGrid>
          <w:gridCol w:w="2552"/>
          <w:gridCol w:w="3543"/>
        </w:tblGrid>
      </w:tblGridChange>
    </w:tblGrid>
    <w:tr>
      <w:trPr>
        <w:cantSplit w:val="0"/>
        <w:tblHeader w:val="0"/>
      </w:trPr>
      <w:tc>
        <w:tcPr>
          <w:shd w:fill="auto" w:val="clear"/>
          <w:vAlign w:val="center"/>
        </w:tcPr>
        <w:p w:rsidR="00000000" w:rsidDel="00000000" w:rsidP="00000000" w:rsidRDefault="00000000" w:rsidRPr="00000000" w14:paraId="000000D3">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Recurso de Revisión:</w:t>
          </w:r>
        </w:p>
      </w:tc>
      <w:tc>
        <w:tcPr>
          <w:shd w:fill="auto" w:val="clear"/>
          <w:vAlign w:val="center"/>
        </w:tcPr>
        <w:p w:rsidR="00000000" w:rsidDel="00000000" w:rsidP="00000000" w:rsidRDefault="00000000" w:rsidRPr="00000000" w14:paraId="000000D4">
          <w:pPr>
            <w:tabs>
              <w:tab w:val="left" w:leader="none" w:pos="3153"/>
            </w:tabs>
            <w:ind w:left="-45" w:firstLine="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14079/INFOEM/IP/RR/2022</w:t>
          </w:r>
        </w:p>
      </w:tc>
    </w:tr>
    <w:tr>
      <w:trPr>
        <w:cantSplit w:val="0"/>
        <w:trHeight w:val="130" w:hRule="atLeast"/>
        <w:tblHeader w:val="0"/>
      </w:trPr>
      <w:tc>
        <w:tcPr>
          <w:shd w:fill="auto" w:val="clear"/>
          <w:vAlign w:val="center"/>
        </w:tcPr>
        <w:p w:rsidR="00000000" w:rsidDel="00000000" w:rsidP="00000000" w:rsidRDefault="00000000" w:rsidRPr="00000000" w14:paraId="000000D5">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Recurrente:</w:t>
          </w:r>
        </w:p>
      </w:tc>
      <w:tc>
        <w:tcPr>
          <w:shd w:fill="auto" w:val="clear"/>
          <w:vAlign w:val="center"/>
        </w:tcPr>
        <w:p w:rsidR="00000000" w:rsidDel="00000000" w:rsidP="00000000" w:rsidRDefault="00000000" w:rsidRPr="00000000" w14:paraId="000000D6">
          <w:pPr>
            <w:ind w:left="-45" w:firstLine="0"/>
            <w:jc w:val="both"/>
            <w:rPr>
              <w:rFonts w:ascii="Palatino Linotype" w:cs="Palatino Linotype" w:eastAsia="Palatino Linotype" w:hAnsi="Palatino Linotype"/>
              <w:b w:val="1"/>
              <w:sz w:val="22"/>
              <w:szCs w:val="22"/>
            </w:rPr>
          </w:pPr>
          <w:r w:rsidDel="00000000" w:rsidR="00000000" w:rsidRPr="00000000">
            <w:rPr>
              <w:rtl w:val="0"/>
            </w:rPr>
          </w:r>
        </w:p>
      </w:tc>
    </w:tr>
    <w:tr>
      <w:trPr>
        <w:cantSplit w:val="0"/>
        <w:trHeight w:val="228" w:hRule="atLeast"/>
        <w:tblHeader w:val="0"/>
      </w:trPr>
      <w:tc>
        <w:tcPr>
          <w:shd w:fill="auto" w:val="clear"/>
          <w:vAlign w:val="center"/>
        </w:tcPr>
        <w:p w:rsidR="00000000" w:rsidDel="00000000" w:rsidP="00000000" w:rsidRDefault="00000000" w:rsidRPr="00000000" w14:paraId="000000D7">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Sujeto obligado:</w:t>
          </w:r>
        </w:p>
      </w:tc>
      <w:tc>
        <w:tcPr>
          <w:shd w:fill="auto" w:val="clear"/>
          <w:vAlign w:val="center"/>
        </w:tcPr>
        <w:p w:rsidR="00000000" w:rsidDel="00000000" w:rsidP="00000000" w:rsidRDefault="00000000" w:rsidRPr="00000000" w14:paraId="000000D8">
          <w:pPr>
            <w:ind w:left="-45" w:right="176" w:firstLine="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Ayuntamiento de Valle de Chalco Solidaridad</w:t>
          </w:r>
        </w:p>
      </w:tc>
    </w:tr>
    <w:tr>
      <w:trPr>
        <w:cantSplit w:val="0"/>
        <w:tblHeader w:val="0"/>
      </w:trPr>
      <w:tc>
        <w:tcPr>
          <w:shd w:fill="auto" w:val="clear"/>
          <w:vAlign w:val="center"/>
        </w:tcPr>
        <w:p w:rsidR="00000000" w:rsidDel="00000000" w:rsidP="00000000" w:rsidRDefault="00000000" w:rsidRPr="00000000" w14:paraId="000000D9">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Comisionada ponente:</w:t>
          </w:r>
        </w:p>
      </w:tc>
      <w:tc>
        <w:tcPr>
          <w:shd w:fill="auto" w:val="clear"/>
          <w:vAlign w:val="center"/>
        </w:tcPr>
        <w:p w:rsidR="00000000" w:rsidDel="00000000" w:rsidP="00000000" w:rsidRDefault="00000000" w:rsidRPr="00000000" w14:paraId="000000DA">
          <w:pPr>
            <w:ind w:left="-45" w:right="-533" w:firstLine="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Guadalupe Ramírez Peña</w:t>
          </w:r>
        </w:p>
      </w:tc>
    </w:tr>
  </w:tbl>
  <w:p w:rsidR="00000000" w:rsidDel="00000000" w:rsidP="00000000" w:rsidRDefault="00000000" w:rsidRPr="00000000" w14:paraId="000000DB">
    <w:pPr>
      <w:pBdr>
        <w:top w:space="0" w:sz="0" w:val="nil"/>
        <w:left w:space="0" w:sz="0" w:val="nil"/>
        <w:bottom w:space="0" w:sz="0" w:val="nil"/>
        <w:right w:space="0" w:sz="0" w:val="nil"/>
        <w:between w:space="0" w:sz="0" w:val="nil"/>
      </w:pBdr>
      <w:tabs>
        <w:tab w:val="center" w:leader="none" w:pos="4252"/>
        <w:tab w:val="right" w:leader="none" w:pos="8504"/>
      </w:tabs>
      <w:rPr>
        <w:rFonts w:ascii="Cambria" w:cs="Cambria" w:eastAsia="Cambria" w:hAnsi="Cambria"/>
        <w:color w:val="000000"/>
      </w:rPr>
    </w:pPr>
    <w:r w:rsidDel="00000000" w:rsidR="00000000" w:rsidRPr="00000000">
      <w:rPr>
        <w:rtl w:val="0"/>
      </w:rPr>
    </w:r>
  </w:p>
  <w:p w:rsidR="00000000" w:rsidDel="00000000" w:rsidP="00000000" w:rsidRDefault="00000000" w:rsidRPr="00000000" w14:paraId="000000DC">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D">
    <w:pPr>
      <w:rPr>
        <w:rFonts w:ascii="Cambria" w:cs="Cambria" w:eastAsia="Cambria" w:hAnsi="Cambria"/>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-1080125</wp:posOffset>
          </wp:positionH>
          <wp:positionV relativeFrom="paragraph">
            <wp:posOffset>-488305</wp:posOffset>
          </wp:positionV>
          <wp:extent cx="7809865" cy="10165715"/>
          <wp:effectExtent b="0" l="0" r="0" t="0"/>
          <wp:wrapNone/>
          <wp:docPr id="7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809865" cy="10165715"/>
                  </a:xfrm>
                  <a:prstGeom prst="rect"/>
                  <a:ln/>
                </pic:spPr>
              </pic:pic>
            </a:graphicData>
          </a:graphic>
        </wp:anchor>
      </w:drawing>
    </w:r>
  </w:p>
  <w:tbl>
    <w:tblPr>
      <w:tblStyle w:val="Table2"/>
      <w:tblW w:w="6095.0" w:type="dxa"/>
      <w:jc w:val="left"/>
      <w:tblInd w:w="3119.0" w:type="dxa"/>
      <w:tblLayout w:type="fixed"/>
      <w:tblLook w:val="0400"/>
    </w:tblPr>
    <w:tblGrid>
      <w:gridCol w:w="2410"/>
      <w:gridCol w:w="3685"/>
      <w:tblGridChange w:id="0">
        <w:tblGrid>
          <w:gridCol w:w="2410"/>
          <w:gridCol w:w="3685"/>
        </w:tblGrid>
      </w:tblGridChange>
    </w:tblGrid>
    <w:tr>
      <w:trPr>
        <w:cantSplit w:val="0"/>
        <w:tblHeader w:val="0"/>
      </w:trPr>
      <w:tc>
        <w:tcPr>
          <w:shd w:fill="auto" w:val="clear"/>
        </w:tcPr>
        <w:p w:rsidR="00000000" w:rsidDel="00000000" w:rsidP="00000000" w:rsidRDefault="00000000" w:rsidRPr="00000000" w14:paraId="000000DE">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Recurso de Revisión:</w:t>
          </w:r>
        </w:p>
      </w:tc>
      <w:tc>
        <w:tcPr>
          <w:shd w:fill="auto" w:val="clear"/>
          <w:vAlign w:val="center"/>
        </w:tcPr>
        <w:p w:rsidR="00000000" w:rsidDel="00000000" w:rsidP="00000000" w:rsidRDefault="00000000" w:rsidRPr="00000000" w14:paraId="000000DF">
          <w:pPr>
            <w:ind w:right="175"/>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14079/INFOEM/IP/RR/2022</w:t>
          </w:r>
        </w:p>
      </w:tc>
    </w:tr>
    <w:tr>
      <w:trPr>
        <w:cantSplit w:val="0"/>
        <w:trHeight w:val="228" w:hRule="atLeast"/>
        <w:tblHeader w:val="0"/>
      </w:trPr>
      <w:tc>
        <w:tcPr>
          <w:shd w:fill="auto" w:val="clear"/>
          <w:vAlign w:val="center"/>
        </w:tcPr>
        <w:p w:rsidR="00000000" w:rsidDel="00000000" w:rsidP="00000000" w:rsidRDefault="00000000" w:rsidRPr="00000000" w14:paraId="000000E0">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Sujeto Obligado:</w:t>
          </w:r>
        </w:p>
      </w:tc>
      <w:tc>
        <w:tcPr>
          <w:shd w:fill="auto" w:val="clear"/>
          <w:vAlign w:val="center"/>
        </w:tcPr>
        <w:p w:rsidR="00000000" w:rsidDel="00000000" w:rsidP="00000000" w:rsidRDefault="00000000" w:rsidRPr="00000000" w14:paraId="000000E1">
          <w:pPr>
            <w:ind w:left="-45" w:right="176" w:firstLine="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Ayuntamiento de Valle de Chalco Solidaridad</w:t>
          </w:r>
        </w:p>
      </w:tc>
    </w:tr>
    <w:tr>
      <w:trPr>
        <w:cantSplit w:val="0"/>
        <w:tblHeader w:val="0"/>
      </w:trPr>
      <w:tc>
        <w:tcPr>
          <w:shd w:fill="auto" w:val="clear"/>
          <w:vAlign w:val="center"/>
        </w:tcPr>
        <w:p w:rsidR="00000000" w:rsidDel="00000000" w:rsidP="00000000" w:rsidRDefault="00000000" w:rsidRPr="00000000" w14:paraId="000000E2">
          <w:pPr>
            <w:ind w:right="-108"/>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Comisionada ponente:</w:t>
          </w:r>
        </w:p>
      </w:tc>
      <w:tc>
        <w:tcPr>
          <w:shd w:fill="auto" w:val="clear"/>
          <w:vAlign w:val="center"/>
        </w:tcPr>
        <w:p w:rsidR="00000000" w:rsidDel="00000000" w:rsidP="00000000" w:rsidRDefault="00000000" w:rsidRPr="00000000" w14:paraId="000000E3">
          <w:pPr>
            <w:ind w:right="175"/>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Guadalupe Ramírez Peña</w:t>
          </w:r>
        </w:p>
      </w:tc>
    </w:tr>
  </w:tbl>
  <w:p w:rsidR="00000000" w:rsidDel="00000000" w:rsidP="00000000" w:rsidRDefault="00000000" w:rsidRPr="00000000" w14:paraId="000000E4">
    <w:pPr>
      <w:rPr>
        <w:rFonts w:ascii="Cambria" w:cs="Cambria" w:eastAsia="Cambria" w:hAnsi="Cambria"/>
        <w:color w:val="000000"/>
      </w:rPr>
    </w:pPr>
    <w:r w:rsidDel="00000000" w:rsidR="00000000" w:rsidRPr="00000000">
      <w:rPr>
        <w:rFonts w:ascii="Cambria" w:cs="Cambria" w:eastAsia="Cambria" w:hAnsi="Cambria"/>
        <w:color w:val="000000"/>
        <w:rtl w:val="0"/>
      </w:rPr>
      <w:tab/>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lowerLetter"/>
      <w:lvlText w:val="%1)"/>
      <w:lvlJc w:val="left"/>
      <w:pPr>
        <w:ind w:left="927" w:hanging="360"/>
      </w:pPr>
      <w:rPr/>
    </w:lvl>
    <w:lvl w:ilvl="1">
      <w:start w:val="1"/>
      <w:numFmt w:val="lowerLetter"/>
      <w:lvlText w:val="%2."/>
      <w:lvlJc w:val="left"/>
      <w:pPr>
        <w:ind w:left="1647" w:hanging="360"/>
      </w:pPr>
      <w:rPr/>
    </w:lvl>
    <w:lvl w:ilvl="2">
      <w:start w:val="1"/>
      <w:numFmt w:val="lowerRoman"/>
      <w:lvlText w:val="%3."/>
      <w:lvlJc w:val="right"/>
      <w:pPr>
        <w:ind w:left="2367" w:hanging="180"/>
      </w:pPr>
      <w:rPr/>
    </w:lvl>
    <w:lvl w:ilvl="3">
      <w:start w:val="1"/>
      <w:numFmt w:val="decimal"/>
      <w:lvlText w:val="%4."/>
      <w:lvlJc w:val="left"/>
      <w:pPr>
        <w:ind w:left="3087" w:hanging="360"/>
      </w:pPr>
      <w:rPr/>
    </w:lvl>
    <w:lvl w:ilvl="4">
      <w:start w:val="1"/>
      <w:numFmt w:val="lowerLetter"/>
      <w:lvlText w:val="%5."/>
      <w:lvlJc w:val="left"/>
      <w:pPr>
        <w:ind w:left="3807" w:hanging="360"/>
      </w:pPr>
      <w:rPr/>
    </w:lvl>
    <w:lvl w:ilvl="5">
      <w:start w:val="1"/>
      <w:numFmt w:val="lowerRoman"/>
      <w:lvlText w:val="%6."/>
      <w:lvlJc w:val="right"/>
      <w:pPr>
        <w:ind w:left="4527" w:hanging="180"/>
      </w:pPr>
      <w:rPr/>
    </w:lvl>
    <w:lvl w:ilvl="6">
      <w:start w:val="1"/>
      <w:numFmt w:val="decimal"/>
      <w:lvlText w:val="%7."/>
      <w:lvlJc w:val="left"/>
      <w:pPr>
        <w:ind w:left="5247" w:hanging="360"/>
      </w:pPr>
      <w:rPr/>
    </w:lvl>
    <w:lvl w:ilvl="7">
      <w:start w:val="1"/>
      <w:numFmt w:val="lowerLetter"/>
      <w:lvlText w:val="%8."/>
      <w:lvlJc w:val="left"/>
      <w:pPr>
        <w:ind w:left="5967" w:hanging="360"/>
      </w:pPr>
      <w:rPr/>
    </w:lvl>
    <w:lvl w:ilvl="8">
      <w:start w:val="1"/>
      <w:numFmt w:val="lowerRoman"/>
      <w:lvlText w:val="%9."/>
      <w:lvlJc w:val="right"/>
      <w:pPr>
        <w:ind w:left="6687" w:hanging="180"/>
      </w:pPr>
      <w:rPr/>
    </w:lvl>
  </w:abstractNum>
  <w:abstractNum w:abstractNumId="3">
    <w:lvl w:ilvl="0">
      <w:start w:val="1"/>
      <w:numFmt w:val="decimal"/>
      <w:lvlText w:val="%1."/>
      <w:lvlJc w:val="left"/>
      <w:pPr>
        <w:ind w:left="720" w:hanging="360"/>
      </w:pPr>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s-MX"/>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240" w:lineRule="auto"/>
    </w:pPr>
    <w:rPr>
      <w:rFonts w:ascii="Calibri" w:cs="Calibri" w:eastAsia="Calibri" w:hAnsi="Calibri"/>
      <w:color w:val="366091"/>
      <w:sz w:val="32"/>
      <w:szCs w:val="32"/>
    </w:rPr>
  </w:style>
  <w:style w:type="paragraph" w:styleId="Heading2">
    <w:name w:val="heading 2"/>
    <w:basedOn w:val="Normal"/>
    <w:next w:val="Normal"/>
    <w:pPr>
      <w:keepNext w:val="1"/>
      <w:keepLines w:val="1"/>
      <w:spacing w:before="40" w:lineRule="auto"/>
    </w:pPr>
    <w:rPr>
      <w:rFonts w:ascii="Calibri" w:cs="Calibri" w:eastAsia="Calibri" w:hAnsi="Calibri"/>
      <w:color w:val="366091"/>
      <w:sz w:val="26"/>
      <w:szCs w:val="26"/>
    </w:rPr>
  </w:style>
  <w:style w:type="paragraph" w:styleId="Heading3">
    <w:name w:val="heading 3"/>
    <w:basedOn w:val="Normal"/>
    <w:next w:val="Normal"/>
    <w:pPr>
      <w:keepNext w:val="1"/>
      <w:spacing w:after="60" w:before="240" w:lineRule="auto"/>
      <w:ind w:left="2160" w:hanging="720"/>
    </w:pPr>
    <w:rPr>
      <w:rFonts w:ascii="Calibri" w:cs="Calibri" w:eastAsia="Calibri" w:hAnsi="Calibri"/>
      <w:b w:val="1"/>
      <w:sz w:val="26"/>
      <w:szCs w:val="26"/>
    </w:rPr>
  </w:style>
  <w:style w:type="paragraph" w:styleId="Heading4">
    <w:name w:val="heading 4"/>
    <w:basedOn w:val="Normal"/>
    <w:next w:val="Normal"/>
    <w:pPr>
      <w:keepNext w:val="1"/>
      <w:spacing w:after="60" w:before="240" w:lineRule="auto"/>
      <w:ind w:left="2880" w:hanging="720"/>
    </w:pPr>
    <w:rPr>
      <w:rFonts w:ascii="Cambria" w:cs="Cambria" w:eastAsia="Cambria" w:hAnsi="Cambria"/>
      <w:b w:val="1"/>
      <w:sz w:val="28"/>
      <w:szCs w:val="28"/>
    </w:rPr>
  </w:style>
  <w:style w:type="paragraph" w:styleId="Heading5">
    <w:name w:val="heading 5"/>
    <w:basedOn w:val="Normal"/>
    <w:next w:val="Normal"/>
    <w:pPr>
      <w:spacing w:after="60" w:before="240" w:lineRule="auto"/>
      <w:ind w:left="3600" w:hanging="720"/>
    </w:pPr>
    <w:rPr>
      <w:rFonts w:ascii="Cambria" w:cs="Cambria" w:eastAsia="Cambria" w:hAnsi="Cambria"/>
      <w:b w:val="1"/>
      <w:i w:val="1"/>
      <w:sz w:val="26"/>
      <w:szCs w:val="26"/>
    </w:rPr>
  </w:style>
  <w:style w:type="paragraph" w:styleId="Heading6">
    <w:name w:val="heading 6"/>
    <w:basedOn w:val="Normal"/>
    <w:next w:val="Normal"/>
    <w:pPr>
      <w:spacing w:after="60" w:before="240" w:lineRule="auto"/>
      <w:ind w:left="4320" w:hanging="720"/>
    </w:pPr>
    <w:rPr>
      <w:b w:val="1"/>
      <w:sz w:val="22"/>
      <w:szCs w:val="22"/>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164BF3"/>
  </w:style>
  <w:style w:type="paragraph" w:styleId="Ttulo1">
    <w:name w:val="heading 1"/>
    <w:basedOn w:val="Normal"/>
    <w:next w:val="Normal"/>
    <w:link w:val="Ttulo1Car"/>
    <w:uiPriority w:val="9"/>
    <w:qFormat w:val="1"/>
    <w:rsid w:val="00603D72"/>
    <w:pPr>
      <w:keepNext w:val="1"/>
      <w:keepLines w:val="1"/>
      <w:spacing w:before="240"/>
      <w:outlineLvl w:val="0"/>
    </w:pPr>
    <w:rPr>
      <w:rFonts w:asciiTheme="majorHAnsi" w:cstheme="majorBidi" w:eastAsiaTheme="majorEastAsia" w:hAnsiTheme="majorHAnsi"/>
      <w:color w:val="365f91" w:themeColor="accent1" w:themeShade="0000BF"/>
      <w:sz w:val="32"/>
      <w:szCs w:val="32"/>
    </w:rPr>
  </w:style>
  <w:style w:type="paragraph" w:styleId="Ttulo2">
    <w:name w:val="heading 2"/>
    <w:basedOn w:val="Normal"/>
    <w:next w:val="Normal"/>
    <w:link w:val="Ttulo2Car"/>
    <w:uiPriority w:val="9"/>
    <w:semiHidden w:val="1"/>
    <w:unhideWhenUsed w:val="1"/>
    <w:qFormat w:val="1"/>
    <w:rsid w:val="00603D72"/>
    <w:pPr>
      <w:keepNext w:val="1"/>
      <w:keepLines w:val="1"/>
      <w:spacing w:before="40"/>
      <w:outlineLvl w:val="1"/>
    </w:pPr>
    <w:rPr>
      <w:rFonts w:asciiTheme="majorHAnsi" w:cstheme="majorBidi" w:eastAsiaTheme="majorEastAsia" w:hAnsiTheme="majorHAnsi"/>
      <w:color w:val="365f91" w:themeColor="accent1" w:themeShade="0000BF"/>
      <w:sz w:val="26"/>
      <w:szCs w:val="26"/>
    </w:rPr>
  </w:style>
  <w:style w:type="paragraph" w:styleId="Ttulo3">
    <w:name w:val="heading 3"/>
    <w:basedOn w:val="Normal"/>
    <w:next w:val="Normal"/>
    <w:link w:val="Ttulo3Car"/>
    <w:uiPriority w:val="9"/>
    <w:semiHidden w:val="1"/>
    <w:unhideWhenUsed w:val="1"/>
    <w:qFormat w:val="1"/>
    <w:rsid w:val="003B73CD"/>
    <w:pPr>
      <w:keepNext w:val="1"/>
      <w:tabs>
        <w:tab w:val="num" w:pos="2160"/>
      </w:tabs>
      <w:spacing w:after="60" w:before="240"/>
      <w:ind w:left="2160" w:hanging="720"/>
      <w:outlineLvl w:val="2"/>
    </w:pPr>
    <w:rPr>
      <w:rFonts w:asciiTheme="majorHAnsi" w:cstheme="majorBidi" w:eastAsiaTheme="majorEastAsia" w:hAnsiTheme="majorHAnsi"/>
      <w:b w:val="1"/>
      <w:bCs w:val="1"/>
      <w:sz w:val="26"/>
      <w:szCs w:val="26"/>
      <w:lang w:eastAsia="en-US" w:val="en-US"/>
    </w:rPr>
  </w:style>
  <w:style w:type="paragraph" w:styleId="Ttulo4">
    <w:name w:val="heading 4"/>
    <w:basedOn w:val="Normal"/>
    <w:next w:val="Normal"/>
    <w:link w:val="Ttulo4Car"/>
    <w:uiPriority w:val="9"/>
    <w:semiHidden w:val="1"/>
    <w:unhideWhenUsed w:val="1"/>
    <w:qFormat w:val="1"/>
    <w:rsid w:val="003B73CD"/>
    <w:pPr>
      <w:keepNext w:val="1"/>
      <w:tabs>
        <w:tab w:val="num" w:pos="2880"/>
      </w:tabs>
      <w:spacing w:after="60" w:before="240"/>
      <w:ind w:left="2880" w:hanging="720"/>
      <w:outlineLvl w:val="3"/>
    </w:pPr>
    <w:rPr>
      <w:rFonts w:asciiTheme="minorHAnsi" w:cstheme="minorBidi" w:eastAsiaTheme="minorEastAsia" w:hAnsiTheme="minorHAnsi"/>
      <w:b w:val="1"/>
      <w:bCs w:val="1"/>
      <w:sz w:val="28"/>
      <w:szCs w:val="28"/>
      <w:lang w:eastAsia="en-US" w:val="en-US"/>
    </w:rPr>
  </w:style>
  <w:style w:type="paragraph" w:styleId="Ttulo5">
    <w:name w:val="heading 5"/>
    <w:basedOn w:val="Normal"/>
    <w:next w:val="Normal"/>
    <w:link w:val="Ttulo5Car"/>
    <w:uiPriority w:val="9"/>
    <w:semiHidden w:val="1"/>
    <w:unhideWhenUsed w:val="1"/>
    <w:qFormat w:val="1"/>
    <w:rsid w:val="003B73CD"/>
    <w:pPr>
      <w:tabs>
        <w:tab w:val="num" w:pos="3600"/>
      </w:tabs>
      <w:spacing w:after="60" w:before="240"/>
      <w:ind w:left="3600" w:hanging="720"/>
      <w:outlineLvl w:val="4"/>
    </w:pPr>
    <w:rPr>
      <w:rFonts w:asciiTheme="minorHAnsi" w:cstheme="minorBidi" w:eastAsiaTheme="minorEastAsia" w:hAnsiTheme="minorHAnsi"/>
      <w:b w:val="1"/>
      <w:bCs w:val="1"/>
      <w:i w:val="1"/>
      <w:iCs w:val="1"/>
      <w:sz w:val="26"/>
      <w:szCs w:val="26"/>
      <w:lang w:eastAsia="en-US" w:val="en-US"/>
    </w:rPr>
  </w:style>
  <w:style w:type="paragraph" w:styleId="Ttulo6">
    <w:name w:val="heading 6"/>
    <w:basedOn w:val="Normal"/>
    <w:next w:val="Normal"/>
    <w:link w:val="Ttulo6Car"/>
    <w:uiPriority w:val="9"/>
    <w:semiHidden w:val="1"/>
    <w:unhideWhenUsed w:val="1"/>
    <w:qFormat w:val="1"/>
    <w:rsid w:val="003B73CD"/>
    <w:pPr>
      <w:tabs>
        <w:tab w:val="num" w:pos="4320"/>
      </w:tabs>
      <w:spacing w:after="60" w:before="240"/>
      <w:ind w:left="4320" w:hanging="720"/>
      <w:outlineLvl w:val="5"/>
    </w:pPr>
    <w:rPr>
      <w:b w:val="1"/>
      <w:bCs w:val="1"/>
      <w:sz w:val="22"/>
      <w:szCs w:val="22"/>
      <w:lang w:eastAsia="en-US" w:val="en-US"/>
    </w:rPr>
  </w:style>
  <w:style w:type="paragraph" w:styleId="Ttulo7">
    <w:name w:val="heading 7"/>
    <w:basedOn w:val="Normal"/>
    <w:next w:val="Normal"/>
    <w:link w:val="Ttulo7Car"/>
    <w:uiPriority w:val="9"/>
    <w:semiHidden w:val="1"/>
    <w:unhideWhenUsed w:val="1"/>
    <w:qFormat w:val="1"/>
    <w:rsid w:val="003B73CD"/>
    <w:pPr>
      <w:tabs>
        <w:tab w:val="num" w:pos="5040"/>
      </w:tabs>
      <w:spacing w:after="60" w:before="240"/>
      <w:ind w:left="5040" w:hanging="720"/>
      <w:outlineLvl w:val="6"/>
    </w:pPr>
    <w:rPr>
      <w:rFonts w:asciiTheme="minorHAnsi" w:cstheme="minorBidi" w:eastAsiaTheme="minorEastAsia" w:hAnsiTheme="minorHAnsi"/>
      <w:lang w:eastAsia="en-US" w:val="en-US"/>
    </w:rPr>
  </w:style>
  <w:style w:type="paragraph" w:styleId="Ttulo8">
    <w:name w:val="heading 8"/>
    <w:basedOn w:val="Normal"/>
    <w:next w:val="Normal"/>
    <w:link w:val="Ttulo8Car"/>
    <w:uiPriority w:val="9"/>
    <w:semiHidden w:val="1"/>
    <w:unhideWhenUsed w:val="1"/>
    <w:qFormat w:val="1"/>
    <w:rsid w:val="003B73CD"/>
    <w:pPr>
      <w:tabs>
        <w:tab w:val="num" w:pos="5760"/>
      </w:tabs>
      <w:spacing w:after="60" w:before="240"/>
      <w:ind w:left="5760" w:hanging="720"/>
      <w:outlineLvl w:val="7"/>
    </w:pPr>
    <w:rPr>
      <w:rFonts w:asciiTheme="minorHAnsi" w:cstheme="minorBidi" w:eastAsiaTheme="minorEastAsia" w:hAnsiTheme="minorHAnsi"/>
      <w:i w:val="1"/>
      <w:iCs w:val="1"/>
      <w:lang w:eastAsia="en-US" w:val="en-US"/>
    </w:rPr>
  </w:style>
  <w:style w:type="paragraph" w:styleId="Ttulo9">
    <w:name w:val="heading 9"/>
    <w:basedOn w:val="Normal"/>
    <w:next w:val="Normal"/>
    <w:link w:val="Ttulo9Car"/>
    <w:uiPriority w:val="9"/>
    <w:semiHidden w:val="1"/>
    <w:unhideWhenUsed w:val="1"/>
    <w:qFormat w:val="1"/>
    <w:rsid w:val="003B73CD"/>
    <w:pPr>
      <w:tabs>
        <w:tab w:val="num" w:pos="6480"/>
      </w:tabs>
      <w:spacing w:after="60" w:before="240"/>
      <w:ind w:left="6480" w:hanging="720"/>
      <w:outlineLvl w:val="8"/>
    </w:pPr>
    <w:rPr>
      <w:rFonts w:asciiTheme="majorHAnsi" w:cstheme="majorBidi" w:eastAsiaTheme="majorEastAsia" w:hAnsiTheme="majorHAnsi"/>
      <w:sz w:val="22"/>
      <w:szCs w:val="22"/>
      <w:lang w:eastAsia="en-US" w:val="en-US"/>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uiPriority w:val="10"/>
    <w:qFormat w:val="1"/>
    <w:pPr>
      <w:keepNext w:val="1"/>
      <w:keepLines w:val="1"/>
      <w:spacing w:after="120" w:before="480"/>
    </w:pPr>
    <w:rPr>
      <w:b w:val="1"/>
      <w:sz w:val="72"/>
      <w:szCs w:val="72"/>
    </w:rPr>
  </w:style>
  <w:style w:type="table" w:styleId="TableNormal0" w:customStyle="1">
    <w:name w:val="Table Normal"/>
    <w:tblPr>
      <w:tblCellMar>
        <w:top w:w="0.0" w:type="dxa"/>
        <w:left w:w="0.0" w:type="dxa"/>
        <w:bottom w:w="0.0" w:type="dxa"/>
        <w:right w:w="0.0" w:type="dxa"/>
      </w:tblCellMar>
    </w:tblPr>
  </w:style>
  <w:style w:type="table" w:styleId="TableNormal7" w:customStyle="1">
    <w:name w:val="Table Normal7"/>
    <w:tblPr>
      <w:tblCellMar>
        <w:top w:w="0.0" w:type="dxa"/>
        <w:left w:w="0.0" w:type="dxa"/>
        <w:bottom w:w="0.0" w:type="dxa"/>
        <w:right w:w="0.0" w:type="dxa"/>
      </w:tblCellMar>
    </w:tblPr>
  </w:style>
  <w:style w:type="table" w:styleId="TableNormal6" w:customStyle="1">
    <w:name w:val="Table Normal6"/>
    <w:tblPr>
      <w:tblCellMar>
        <w:top w:w="0.0" w:type="dxa"/>
        <w:left w:w="0.0" w:type="dxa"/>
        <w:bottom w:w="0.0" w:type="dxa"/>
        <w:right w:w="0.0" w:type="dxa"/>
      </w:tblCellMar>
    </w:tblPr>
  </w:style>
  <w:style w:type="table" w:styleId="TableNormal5" w:customStyle="1">
    <w:name w:val="Table Normal5"/>
    <w:tblPr>
      <w:tblCellMar>
        <w:top w:w="0.0" w:type="dxa"/>
        <w:left w:w="0.0" w:type="dxa"/>
        <w:bottom w:w="0.0" w:type="dxa"/>
        <w:right w:w="0.0" w:type="dxa"/>
      </w:tblCellMar>
    </w:tblPr>
  </w:style>
  <w:style w:type="table" w:styleId="TableNormal4" w:customStyle="1">
    <w:name w:val="Table Normal4"/>
    <w:tblPr>
      <w:tblCellMar>
        <w:top w:w="0.0" w:type="dxa"/>
        <w:left w:w="0.0" w:type="dxa"/>
        <w:bottom w:w="0.0" w:type="dxa"/>
        <w:right w:w="0.0" w:type="dxa"/>
      </w:tblCellMar>
    </w:tblPr>
  </w:style>
  <w:style w:type="table" w:styleId="TableNormal3" w:customStyle="1">
    <w:name w:val="Table Normal3"/>
    <w:tblPr>
      <w:tblCellMar>
        <w:top w:w="0.0" w:type="dxa"/>
        <w:left w:w="0.0" w:type="dxa"/>
        <w:bottom w:w="0.0" w:type="dxa"/>
        <w:right w:w="0.0" w:type="dxa"/>
      </w:tblCellMar>
    </w:tblPr>
  </w:style>
  <w:style w:type="table" w:styleId="TableNormal2" w:customStyle="1">
    <w:name w:val="Table Normal2"/>
    <w:tblPr>
      <w:tblCellMar>
        <w:top w:w="0.0" w:type="dxa"/>
        <w:left w:w="0.0" w:type="dxa"/>
        <w:bottom w:w="0.0" w:type="dxa"/>
        <w:right w:w="0.0" w:type="dxa"/>
      </w:tblCellMar>
    </w:tblPr>
  </w:style>
  <w:style w:type="table" w:styleId="TableNormal1" w:customStyle="1">
    <w:name w:val="Table Normal1"/>
    <w:tblPr>
      <w:tblCellMar>
        <w:top w:w="0.0" w:type="dxa"/>
        <w:left w:w="0.0" w:type="dxa"/>
        <w:bottom w:w="0.0" w:type="dxa"/>
        <w:right w:w="0.0" w:type="dxa"/>
      </w:tblCellMar>
    </w:tblPr>
  </w:style>
  <w:style w:type="paragraph" w:styleId="Encabezado">
    <w:name w:val="header"/>
    <w:basedOn w:val="Normal"/>
    <w:link w:val="EncabezadoCar"/>
    <w:uiPriority w:val="99"/>
    <w:unhideWhenUsed w:val="1"/>
    <w:rsid w:val="00C80F8C"/>
    <w:pPr>
      <w:tabs>
        <w:tab w:val="center" w:pos="4252"/>
        <w:tab w:val="right" w:pos="8504"/>
      </w:tabs>
    </w:pPr>
    <w:rPr>
      <w:rFonts w:asciiTheme="minorHAnsi" w:cstheme="minorBidi" w:eastAsiaTheme="minorEastAsia" w:hAnsiTheme="minorHAnsi"/>
      <w:lang w:val="es-ES_tradnl"/>
    </w:rPr>
  </w:style>
  <w:style w:type="character" w:styleId="EncabezadoCar" w:customStyle="1">
    <w:name w:val="Encabezado Car"/>
    <w:basedOn w:val="Fuentedeprrafopredeter"/>
    <w:link w:val="Encabezado"/>
    <w:uiPriority w:val="99"/>
    <w:rsid w:val="00C80F8C"/>
  </w:style>
  <w:style w:type="paragraph" w:styleId="Piedepgina">
    <w:name w:val="footer"/>
    <w:basedOn w:val="Normal"/>
    <w:link w:val="PiedepginaCar"/>
    <w:uiPriority w:val="99"/>
    <w:unhideWhenUsed w:val="1"/>
    <w:rsid w:val="00C80F8C"/>
    <w:pPr>
      <w:tabs>
        <w:tab w:val="center" w:pos="4252"/>
        <w:tab w:val="right" w:pos="8504"/>
      </w:tabs>
    </w:pPr>
    <w:rPr>
      <w:rFonts w:asciiTheme="minorHAnsi" w:cstheme="minorBidi" w:eastAsiaTheme="minorEastAsia" w:hAnsiTheme="minorHAnsi"/>
      <w:lang w:val="es-ES_tradnl"/>
    </w:rPr>
  </w:style>
  <w:style w:type="character" w:styleId="PiedepginaCar" w:customStyle="1">
    <w:name w:val="Pie de página Car"/>
    <w:basedOn w:val="Fuentedeprrafopredeter"/>
    <w:link w:val="Piedepgina"/>
    <w:uiPriority w:val="99"/>
    <w:rsid w:val="00C80F8C"/>
  </w:style>
  <w:style w:type="paragraph" w:styleId="Textodeglobo">
    <w:name w:val="Balloon Text"/>
    <w:basedOn w:val="Normal"/>
    <w:link w:val="TextodegloboCar"/>
    <w:uiPriority w:val="99"/>
    <w:semiHidden w:val="1"/>
    <w:unhideWhenUsed w:val="1"/>
    <w:rsid w:val="00C80F8C"/>
    <w:rPr>
      <w:rFonts w:ascii="Lucida Grande" w:cs="Lucida Grande" w:hAnsi="Lucida Grande" w:eastAsiaTheme="minorEastAsia"/>
      <w:sz w:val="18"/>
      <w:szCs w:val="18"/>
      <w:lang w:val="es-ES_tradnl"/>
    </w:rPr>
  </w:style>
  <w:style w:type="character" w:styleId="TextodegloboCar" w:customStyle="1">
    <w:name w:val="Texto de globo Car"/>
    <w:basedOn w:val="Fuentedeprrafopredeter"/>
    <w:link w:val="Textodeglobo"/>
    <w:uiPriority w:val="99"/>
    <w:semiHidden w:val="1"/>
    <w:rsid w:val="00C80F8C"/>
    <w:rPr>
      <w:rFonts w:ascii="Lucida Grande" w:cs="Lucida Grande" w:hAnsi="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val="1"/>
    <w:rsid w:val="0070703E"/>
    <w:pPr>
      <w:ind w:left="720"/>
      <w:contextualSpacing w:val="1"/>
    </w:pPr>
  </w:style>
  <w:style w:type="character" w:styleId="Hipervnculo">
    <w:name w:val="Hyperlink"/>
    <w:basedOn w:val="Fuentedeprrafopredeter"/>
    <w:uiPriority w:val="99"/>
    <w:unhideWhenUsed w:val="1"/>
    <w:rsid w:val="00FD7589"/>
    <w:rPr>
      <w:color w:val="0000ff"/>
      <w:u w:val="single"/>
    </w:rPr>
  </w:style>
  <w:style w:type="character" w:styleId="apple-converted-space" w:customStyle="1">
    <w:name w:val="apple-converted-space"/>
    <w:basedOn w:val="Fuentedeprrafopredeter"/>
    <w:rsid w:val="00FD7589"/>
  </w:style>
  <w:style w:type="paragraph" w:styleId="Listavistosa-nfasis11" w:customStyle="1">
    <w:name w:val="Lista vistosa - Énfasis 11"/>
    <w:basedOn w:val="Normal"/>
    <w:link w:val="Listavistosa-nfasis1Car"/>
    <w:uiPriority w:val="34"/>
    <w:qFormat w:val="1"/>
    <w:rsid w:val="000D2D89"/>
    <w:pPr>
      <w:ind w:left="708"/>
    </w:pPr>
  </w:style>
  <w:style w:type="character" w:styleId="Listavistosa-nfasis1Car" w:customStyle="1">
    <w:name w:val="Lista vistosa - Énfasis 1 Car"/>
    <w:link w:val="Listavistosa-nfasis11"/>
    <w:uiPriority w:val="34"/>
    <w:locked w:val="1"/>
    <w:rsid w:val="000D2D89"/>
    <w:rPr>
      <w:rFonts w:ascii="Times New Roman" w:cs="Times New Roman" w:eastAsia="Times New Roman" w:hAnsi="Times New Roman"/>
      <w:lang w:val="es-ES"/>
    </w:rPr>
  </w:style>
  <w:style w:type="paragraph" w:styleId="Texto" w:customStyle="1">
    <w:name w:val="Texto"/>
    <w:basedOn w:val="Normal"/>
    <w:link w:val="TextoCar"/>
    <w:rsid w:val="000470FE"/>
    <w:pPr>
      <w:spacing w:after="101" w:line="216" w:lineRule="exact"/>
      <w:ind w:firstLine="288"/>
      <w:jc w:val="both"/>
    </w:pPr>
    <w:rPr>
      <w:rFonts w:ascii="Arial" w:cs="Arial" w:hAnsi="Arial"/>
      <w:sz w:val="18"/>
      <w:szCs w:val="18"/>
    </w:rPr>
  </w:style>
  <w:style w:type="paragraph" w:styleId="NormalWeb">
    <w:name w:val="Normal (Web)"/>
    <w:basedOn w:val="Normal"/>
    <w:uiPriority w:val="99"/>
    <w:rsid w:val="000470FE"/>
    <w:pPr>
      <w:spacing w:after="100" w:afterAutospacing="1" w:before="100" w:beforeAutospacing="1"/>
    </w:pPr>
  </w:style>
  <w:style w:type="character" w:styleId="apple-style-span" w:customStyle="1">
    <w:name w:val="apple-style-span"/>
    <w:rsid w:val="008846E7"/>
  </w:style>
  <w:style w:type="character" w:styleId="PrrafodelistaCar" w:customStyle="1">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val="1"/>
    <w:locked w:val="1"/>
    <w:rsid w:val="007E1FF4"/>
    <w:rPr>
      <w:rFonts w:ascii="Times New Roman" w:cs="Times New Roman" w:eastAsia="Times New Roman" w:hAnsi="Times New Roman"/>
      <w:lang w:val="es-ES"/>
    </w:rPr>
  </w:style>
  <w:style w:type="character" w:styleId="Textoennegrita">
    <w:name w:val="Strong"/>
    <w:uiPriority w:val="22"/>
    <w:qFormat w:val="1"/>
    <w:rsid w:val="003D1B5F"/>
    <w:rPr>
      <w:b w:val="1"/>
      <w:bCs w:val="1"/>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val="1"/>
    <w:qFormat w:val="1"/>
    <w:rsid w:val="002944C8"/>
    <w:rPr>
      <w:rFonts w:asciiTheme="minorHAnsi" w:cstheme="minorBidi" w:eastAsiaTheme="minorHAnsi" w:hAnsiTheme="minorHAnsi"/>
      <w:sz w:val="20"/>
      <w:szCs w:val="20"/>
      <w:lang w:eastAsia="en-US"/>
    </w:rPr>
  </w:style>
  <w:style w:type="character" w:styleId="TextonotapieCar" w:customStyle="1">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eastAsia="en-US" w:val="es-MX"/>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val="1"/>
    <w:qFormat w:val="1"/>
    <w:rsid w:val="002944C8"/>
    <w:rPr>
      <w:vertAlign w:val="superscript"/>
    </w:rPr>
  </w:style>
  <w:style w:type="paragraph" w:styleId="Sinespaciado">
    <w:name w:val="No Spacing"/>
    <w:aliases w:val="Francesa,INAI"/>
    <w:link w:val="SinespaciadoCar"/>
    <w:uiPriority w:val="1"/>
    <w:qFormat w:val="1"/>
    <w:rsid w:val="002944C8"/>
  </w:style>
  <w:style w:type="paragraph" w:styleId="Textoindependiente2">
    <w:name w:val="Body Text 2"/>
    <w:basedOn w:val="Normal"/>
    <w:link w:val="Textoindependiente2Car"/>
    <w:uiPriority w:val="99"/>
    <w:unhideWhenUsed w:val="1"/>
    <w:rsid w:val="002944C8"/>
    <w:pPr>
      <w:spacing w:after="120" w:line="480" w:lineRule="auto"/>
    </w:pPr>
  </w:style>
  <w:style w:type="character" w:styleId="Textoindependiente2Car" w:customStyle="1">
    <w:name w:val="Texto independiente 2 Car"/>
    <w:basedOn w:val="Fuentedeprrafopredeter"/>
    <w:link w:val="Textoindependiente2"/>
    <w:uiPriority w:val="99"/>
    <w:rsid w:val="002944C8"/>
    <w:rPr>
      <w:rFonts w:ascii="Times New Roman" w:cs="Times New Roman" w:eastAsia="Times New Roman" w:hAnsi="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styleId="TextosinformatoCar" w:customStyle="1">
    <w:name w:val="Texto sin formato Car"/>
    <w:basedOn w:val="Fuentedeprrafopredeter"/>
    <w:link w:val="Textosinformato"/>
    <w:rsid w:val="002944C8"/>
    <w:rPr>
      <w:rFonts w:ascii="Courier New" w:cs="Times New Roman" w:eastAsia="Times New Roman" w:hAnsi="Courier New"/>
      <w:sz w:val="20"/>
      <w:szCs w:val="20"/>
      <w:lang w:val="es-ES"/>
    </w:rPr>
  </w:style>
  <w:style w:type="paragraph" w:styleId="Standard" w:customStyle="1">
    <w:name w:val="Standard"/>
    <w:rsid w:val="002944C8"/>
    <w:pPr>
      <w:widowControl w:val="0"/>
      <w:suppressAutoHyphens w:val="1"/>
      <w:autoSpaceDN w:val="0"/>
      <w:textAlignment w:val="baseline"/>
    </w:pPr>
    <w:rPr>
      <w:rFonts w:ascii="Liberation Serif" w:cs="Lohit Hindi" w:eastAsia="DejaVu Sans" w:hAnsi="Liberation Serif"/>
      <w:kern w:val="3"/>
      <w:lang w:bidi="hi-IN" w:eastAsia="zh-CN"/>
    </w:rPr>
  </w:style>
  <w:style w:type="character" w:styleId="negritas1" w:customStyle="1">
    <w:name w:val="negritas1"/>
    <w:rsid w:val="002944C8"/>
    <w:rPr>
      <w:rFonts w:ascii="Arial" w:cs="Arial" w:hAnsi="Arial" w:hint="default"/>
      <w:b w:val="1"/>
      <w:bCs w:val="1"/>
      <w:sz w:val="18"/>
      <w:szCs w:val="18"/>
    </w:rPr>
  </w:style>
  <w:style w:type="paragraph" w:styleId="Pa2" w:customStyle="1">
    <w:name w:val="Pa2"/>
    <w:basedOn w:val="Normal"/>
    <w:next w:val="Normal"/>
    <w:uiPriority w:val="99"/>
    <w:rsid w:val="002944C8"/>
    <w:pPr>
      <w:autoSpaceDE w:val="0"/>
      <w:autoSpaceDN w:val="0"/>
      <w:adjustRightInd w:val="0"/>
      <w:spacing w:line="240" w:lineRule="atLeast"/>
    </w:pPr>
    <w:rPr>
      <w:rFonts w:ascii="Helvetica" w:hAnsi="Helvetica"/>
      <w:lang w:eastAsia="es-ES_tradnl" w:val="es-ES_tradnl"/>
    </w:rPr>
  </w:style>
  <w:style w:type="paragraph" w:styleId="Default" w:customStyle="1">
    <w:name w:val="Default"/>
    <w:rsid w:val="002944C8"/>
    <w:pPr>
      <w:autoSpaceDE w:val="0"/>
      <w:autoSpaceDN w:val="0"/>
      <w:adjustRightInd w:val="0"/>
    </w:pPr>
    <w:rPr>
      <w:rFonts w:ascii="Arial" w:cs="Arial" w:hAnsi="Arial" w:eastAsiaTheme="minorHAnsi"/>
      <w:color w:val="000000"/>
      <w:lang w:eastAsia="en-US"/>
    </w:rPr>
  </w:style>
  <w:style w:type="character" w:styleId="f" w:customStyle="1">
    <w:name w:val="f"/>
    <w:basedOn w:val="Fuentedeprrafopredeter"/>
    <w:rsid w:val="002944C8"/>
  </w:style>
  <w:style w:type="paragraph" w:styleId="q" w:customStyle="1">
    <w:name w:val="q"/>
    <w:basedOn w:val="Normal"/>
    <w:rsid w:val="002944C8"/>
    <w:pPr>
      <w:spacing w:after="100" w:afterAutospacing="1" w:before="100" w:beforeAutospacing="1"/>
    </w:pPr>
  </w:style>
  <w:style w:type="character" w:styleId="d" w:customStyle="1">
    <w:name w:val="d"/>
    <w:basedOn w:val="Fuentedeprrafopredeter"/>
    <w:rsid w:val="002944C8"/>
  </w:style>
  <w:style w:type="character" w:styleId="b" w:customStyle="1">
    <w:name w:val="b"/>
    <w:basedOn w:val="Fuentedeprrafopredeter"/>
    <w:rsid w:val="002944C8"/>
  </w:style>
  <w:style w:type="character" w:styleId="k" w:customStyle="1">
    <w:name w:val="k"/>
    <w:basedOn w:val="Fuentedeprrafopredeter"/>
    <w:rsid w:val="002944C8"/>
  </w:style>
  <w:style w:type="character" w:styleId="h" w:customStyle="1">
    <w:name w:val="h"/>
    <w:basedOn w:val="Fuentedeprrafopredeter"/>
    <w:rsid w:val="002944C8"/>
  </w:style>
  <w:style w:type="character" w:styleId="Hipervnculovisitado">
    <w:name w:val="FollowedHyperlink"/>
    <w:basedOn w:val="Fuentedeprrafopredeter"/>
    <w:uiPriority w:val="99"/>
    <w:semiHidden w:val="1"/>
    <w:unhideWhenUsed w:val="1"/>
    <w:rsid w:val="002944C8"/>
    <w:rPr>
      <w:color w:val="800080" w:themeColor="followedHyperlink"/>
      <w:u w:val="single"/>
    </w:rPr>
  </w:style>
  <w:style w:type="character" w:styleId="CitaHTML">
    <w:name w:val="HTML Cite"/>
    <w:uiPriority w:val="99"/>
    <w:semiHidden w:val="1"/>
    <w:unhideWhenUsed w:val="1"/>
    <w:rsid w:val="00B85C7C"/>
    <w:rPr>
      <w:i w:val="1"/>
      <w:iCs w:val="1"/>
    </w:rPr>
  </w:style>
  <w:style w:type="character" w:styleId="SinespaciadoCar" w:customStyle="1">
    <w:name w:val="Sin espaciado Car"/>
    <w:aliases w:val="Francesa Car,INAI Car"/>
    <w:link w:val="Sinespaciado"/>
    <w:uiPriority w:val="1"/>
    <w:locked w:val="1"/>
    <w:rsid w:val="00270539"/>
    <w:rPr>
      <w:rFonts w:ascii="Times New Roman" w:cs="Times New Roman" w:eastAsia="Times New Roman" w:hAnsi="Times New Roman"/>
      <w:lang w:val="es-MX"/>
    </w:rPr>
  </w:style>
  <w:style w:type="character" w:styleId="medium" w:customStyle="1">
    <w:name w:val="medium"/>
    <w:basedOn w:val="Fuentedeprrafopredeter"/>
    <w:rsid w:val="00354DB7"/>
  </w:style>
  <w:style w:type="table" w:styleId="Tablaconcuadrcula">
    <w:name w:val="Table Grid"/>
    <w:basedOn w:val="Tablanormal"/>
    <w:uiPriority w:val="59"/>
    <w:rsid w:val="00BB3AE1"/>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numeroconsecutivo" w:customStyle="1">
    <w:name w:val="numeroconsecutivo"/>
    <w:basedOn w:val="Fuentedeprrafopredeter"/>
    <w:rsid w:val="00615060"/>
  </w:style>
  <w:style w:type="character" w:styleId="titulorubrolgt" w:customStyle="1">
    <w:name w:val="titulorubrolgt"/>
    <w:basedOn w:val="Fuentedeprrafopredeter"/>
    <w:rsid w:val="00615060"/>
  </w:style>
  <w:style w:type="character" w:styleId="ctr" w:customStyle="1">
    <w:name w:val="ctr"/>
    <w:basedOn w:val="Fuentedeprrafopredeter"/>
    <w:rsid w:val="00615060"/>
  </w:style>
  <w:style w:type="paragraph" w:styleId="Textonotaalfinal">
    <w:name w:val="endnote text"/>
    <w:basedOn w:val="Normal"/>
    <w:link w:val="TextonotaalfinalCar"/>
    <w:uiPriority w:val="99"/>
    <w:semiHidden w:val="1"/>
    <w:unhideWhenUsed w:val="1"/>
    <w:rsid w:val="00D25E88"/>
    <w:rPr>
      <w:sz w:val="20"/>
      <w:szCs w:val="20"/>
    </w:rPr>
  </w:style>
  <w:style w:type="character" w:styleId="TextonotaalfinalCar" w:customStyle="1">
    <w:name w:val="Texto nota al final Car"/>
    <w:basedOn w:val="Fuentedeprrafopredeter"/>
    <w:link w:val="Textonotaalfinal"/>
    <w:uiPriority w:val="99"/>
    <w:semiHidden w:val="1"/>
    <w:rsid w:val="00D25E88"/>
    <w:rPr>
      <w:rFonts w:ascii="Times New Roman" w:cs="Times New Roman" w:eastAsia="Times New Roman" w:hAnsi="Times New Roman"/>
      <w:sz w:val="20"/>
      <w:szCs w:val="20"/>
      <w:lang w:val="es-ES"/>
    </w:rPr>
  </w:style>
  <w:style w:type="character" w:styleId="Refdenotaalfinal">
    <w:name w:val="endnote reference"/>
    <w:basedOn w:val="Fuentedeprrafopredeter"/>
    <w:uiPriority w:val="99"/>
    <w:semiHidden w:val="1"/>
    <w:unhideWhenUsed w:val="1"/>
    <w:rsid w:val="00D25E88"/>
    <w:rPr>
      <w:vertAlign w:val="superscript"/>
    </w:rPr>
  </w:style>
  <w:style w:type="character" w:styleId="A1" w:customStyle="1">
    <w:name w:val="A1"/>
    <w:uiPriority w:val="99"/>
    <w:rsid w:val="00EC4ECD"/>
    <w:rPr>
      <w:rFonts w:ascii="Myriad Pro" w:cs="Myriad Pro" w:hAnsi="Myriad Pro" w:hint="default"/>
      <w:color w:val="000000"/>
      <w:sz w:val="22"/>
      <w:szCs w:val="22"/>
    </w:rPr>
  </w:style>
  <w:style w:type="paragraph" w:styleId="Pa9" w:customStyle="1">
    <w:name w:val="Pa9"/>
    <w:basedOn w:val="Normal"/>
    <w:next w:val="Normal"/>
    <w:uiPriority w:val="99"/>
    <w:rsid w:val="00EC4ECD"/>
    <w:pPr>
      <w:autoSpaceDE w:val="0"/>
      <w:autoSpaceDN w:val="0"/>
      <w:adjustRightInd w:val="0"/>
      <w:spacing w:line="241" w:lineRule="atLeast"/>
    </w:pPr>
    <w:rPr>
      <w:rFonts w:ascii="Myriad Pro" w:hAnsi="Myriad Pro" w:cstheme="minorBidi" w:eastAsiaTheme="minorHAnsi"/>
      <w:lang w:eastAsia="en-US"/>
    </w:rPr>
  </w:style>
  <w:style w:type="paragraph" w:styleId="Pa5" w:customStyle="1">
    <w:name w:val="Pa5"/>
    <w:basedOn w:val="Normal"/>
    <w:next w:val="Normal"/>
    <w:uiPriority w:val="99"/>
    <w:rsid w:val="00EC4ECD"/>
    <w:pPr>
      <w:autoSpaceDE w:val="0"/>
      <w:autoSpaceDN w:val="0"/>
      <w:adjustRightInd w:val="0"/>
      <w:spacing w:line="201" w:lineRule="atLeast"/>
    </w:pPr>
    <w:rPr>
      <w:rFonts w:ascii="Myriad Pro" w:hAnsi="Myriad Pro" w:cstheme="minorBidi" w:eastAsiaTheme="minorHAnsi"/>
      <w:lang w:eastAsia="en-US"/>
    </w:rPr>
  </w:style>
  <w:style w:type="paragraph" w:styleId="m5127500252372250437gmail-paragraph" w:customStyle="1">
    <w:name w:val="m_5127500252372250437gmail-paragraph"/>
    <w:basedOn w:val="Normal"/>
    <w:rsid w:val="00980B7E"/>
    <w:pPr>
      <w:spacing w:after="100" w:afterAutospacing="1" w:before="100" w:beforeAutospacing="1"/>
    </w:pPr>
  </w:style>
  <w:style w:type="character" w:styleId="nombrefraccder" w:customStyle="1">
    <w:name w:val="nombrefraccder"/>
    <w:basedOn w:val="Fuentedeprrafopredeter"/>
    <w:rsid w:val="009B4A68"/>
  </w:style>
  <w:style w:type="character" w:styleId="numberfraccder" w:customStyle="1">
    <w:name w:val="numberfraccder"/>
    <w:basedOn w:val="Fuentedeprrafopredeter"/>
    <w:rsid w:val="009B4A68"/>
  </w:style>
  <w:style w:type="character" w:styleId="TextoCar" w:customStyle="1">
    <w:name w:val="Texto Car"/>
    <w:link w:val="Texto"/>
    <w:locked w:val="1"/>
    <w:rsid w:val="002B0963"/>
    <w:rPr>
      <w:rFonts w:ascii="Arial" w:cs="Arial" w:eastAsia="Times New Roman" w:hAnsi="Arial"/>
      <w:sz w:val="18"/>
      <w:szCs w:val="18"/>
      <w:lang w:val="es-MX"/>
    </w:rPr>
  </w:style>
  <w:style w:type="character" w:styleId="nfasis">
    <w:name w:val="Emphasis"/>
    <w:basedOn w:val="Fuentedeprrafopredeter"/>
    <w:uiPriority w:val="20"/>
    <w:qFormat w:val="1"/>
    <w:rsid w:val="00C536F2"/>
    <w:rPr>
      <w:i w:val="1"/>
      <w:iCs w:val="1"/>
    </w:rPr>
  </w:style>
  <w:style w:type="character" w:styleId="normaltextrun" w:customStyle="1">
    <w:name w:val="normaltextrun"/>
    <w:basedOn w:val="Fuentedeprrafopredeter"/>
    <w:rsid w:val="0011437B"/>
  </w:style>
  <w:style w:type="character" w:styleId="m5127500252372250437gmail-normaltextrun" w:customStyle="1">
    <w:name w:val="m_5127500252372250437gmail-normaltextrun"/>
    <w:basedOn w:val="Fuentedeprrafopredeter"/>
    <w:rsid w:val="0011437B"/>
  </w:style>
  <w:style w:type="paragraph" w:styleId="m-60081275284358516gmail-msolistparagraph" w:customStyle="1">
    <w:name w:val="m_-60081275284358516gmail-msolistparagraph"/>
    <w:basedOn w:val="Normal"/>
    <w:rsid w:val="00207C90"/>
    <w:pPr>
      <w:spacing w:after="100" w:afterAutospacing="1" w:before="100" w:beforeAutospacing="1"/>
    </w:pPr>
  </w:style>
  <w:style w:type="paragraph" w:styleId="ANOTACION" w:customStyle="1">
    <w:name w:val="ANOTACION"/>
    <w:basedOn w:val="Normal"/>
    <w:link w:val="ANOTACIONCar"/>
    <w:rsid w:val="001B5A73"/>
    <w:pPr>
      <w:spacing w:after="101" w:before="101" w:line="216" w:lineRule="atLeast"/>
      <w:jc w:val="center"/>
    </w:pPr>
    <w:rPr>
      <w:b w:val="1"/>
      <w:sz w:val="18"/>
      <w:szCs w:val="20"/>
      <w:lang w:val="es-ES_tradnl"/>
    </w:rPr>
  </w:style>
  <w:style w:type="character" w:styleId="ANOTACIONCar" w:customStyle="1">
    <w:name w:val="ANOTACION Car"/>
    <w:link w:val="ANOTACION"/>
    <w:locked w:val="1"/>
    <w:rsid w:val="001B5A73"/>
    <w:rPr>
      <w:rFonts w:ascii="Times New Roman" w:cs="Times New Roman" w:eastAsia="Times New Roman" w:hAnsi="Times New Roman"/>
      <w:b w:val="1"/>
      <w:sz w:val="18"/>
      <w:szCs w:val="20"/>
    </w:rPr>
  </w:style>
  <w:style w:type="paragraph" w:styleId="j" w:customStyle="1">
    <w:name w:val="j"/>
    <w:basedOn w:val="Normal"/>
    <w:rsid w:val="007B00BD"/>
    <w:pPr>
      <w:spacing w:after="100" w:afterAutospacing="1" w:before="100" w:beforeAutospacing="1"/>
    </w:pPr>
  </w:style>
  <w:style w:type="character" w:styleId="nacep" w:customStyle="1">
    <w:name w:val="n_acep"/>
    <w:basedOn w:val="Fuentedeprrafopredeter"/>
    <w:rsid w:val="007B00BD"/>
  </w:style>
  <w:style w:type="paragraph" w:styleId="k5" w:customStyle="1">
    <w:name w:val="k5"/>
    <w:basedOn w:val="Normal"/>
    <w:rsid w:val="007B00BD"/>
    <w:pPr>
      <w:spacing w:after="100" w:afterAutospacing="1" w:before="100" w:beforeAutospacing="1"/>
    </w:pPr>
  </w:style>
  <w:style w:type="paragraph" w:styleId="m" w:customStyle="1">
    <w:name w:val="m"/>
    <w:basedOn w:val="Normal"/>
    <w:rsid w:val="007B00BD"/>
    <w:pPr>
      <w:spacing w:after="100" w:afterAutospacing="1" w:before="100" w:beforeAutospacing="1"/>
    </w:pPr>
  </w:style>
  <w:style w:type="character" w:styleId="Refdecomentario">
    <w:name w:val="annotation reference"/>
    <w:basedOn w:val="Fuentedeprrafopredeter"/>
    <w:uiPriority w:val="99"/>
    <w:semiHidden w:val="1"/>
    <w:unhideWhenUsed w:val="1"/>
    <w:rsid w:val="003219FE"/>
    <w:rPr>
      <w:sz w:val="16"/>
      <w:szCs w:val="16"/>
    </w:rPr>
  </w:style>
  <w:style w:type="paragraph" w:styleId="Textocomentario">
    <w:name w:val="annotation text"/>
    <w:basedOn w:val="Normal"/>
    <w:link w:val="TextocomentarioCar"/>
    <w:uiPriority w:val="99"/>
    <w:semiHidden w:val="1"/>
    <w:unhideWhenUsed w:val="1"/>
    <w:rsid w:val="003219FE"/>
    <w:rPr>
      <w:sz w:val="20"/>
      <w:szCs w:val="20"/>
    </w:rPr>
  </w:style>
  <w:style w:type="character" w:styleId="TextocomentarioCar" w:customStyle="1">
    <w:name w:val="Texto comentario Car"/>
    <w:basedOn w:val="Fuentedeprrafopredeter"/>
    <w:link w:val="Textocomentario"/>
    <w:uiPriority w:val="99"/>
    <w:semiHidden w:val="1"/>
    <w:rsid w:val="003219FE"/>
    <w:rPr>
      <w:rFonts w:ascii="Times New Roman" w:cs="Times New Roman" w:eastAsia="Times New Roman" w:hAnsi="Times New Roman"/>
      <w:sz w:val="20"/>
      <w:szCs w:val="20"/>
      <w:lang w:val="es-ES"/>
    </w:rPr>
  </w:style>
  <w:style w:type="paragraph" w:styleId="Asuntodelcomentario">
    <w:name w:val="annotation subject"/>
    <w:basedOn w:val="Textocomentario"/>
    <w:next w:val="Textocomentario"/>
    <w:link w:val="AsuntodelcomentarioCar"/>
    <w:uiPriority w:val="99"/>
    <w:semiHidden w:val="1"/>
    <w:unhideWhenUsed w:val="1"/>
    <w:rsid w:val="003219FE"/>
    <w:rPr>
      <w:b w:val="1"/>
      <w:bCs w:val="1"/>
    </w:rPr>
  </w:style>
  <w:style w:type="character" w:styleId="AsuntodelcomentarioCar" w:customStyle="1">
    <w:name w:val="Asunto del comentario Car"/>
    <w:basedOn w:val="TextocomentarioCar"/>
    <w:link w:val="Asuntodelcomentario"/>
    <w:uiPriority w:val="99"/>
    <w:semiHidden w:val="1"/>
    <w:rsid w:val="003219FE"/>
    <w:rPr>
      <w:rFonts w:ascii="Times New Roman" w:cs="Times New Roman" w:eastAsia="Times New Roman" w:hAnsi="Times New Roman"/>
      <w:b w:val="1"/>
      <w:bCs w:val="1"/>
      <w:sz w:val="20"/>
      <w:szCs w:val="20"/>
      <w:lang w:val="es-ES"/>
    </w:rPr>
  </w:style>
  <w:style w:type="paragraph" w:styleId="FAFunotente1" w:customStyle="1">
    <w:name w:val="FA Fu?notente1"/>
    <w:basedOn w:val="Normal"/>
    <w:next w:val="Textonotapie"/>
    <w:uiPriority w:val="99"/>
    <w:unhideWhenUsed w:val="1"/>
    <w:rsid w:val="00A403D3"/>
    <w:rPr>
      <w:rFonts w:eastAsia="Cambria" w:asciiTheme="minorHAnsi" w:cstheme="minorBidi" w:hAnsiTheme="minorHAnsi"/>
      <w:sz w:val="20"/>
      <w:szCs w:val="20"/>
      <w:lang w:eastAsia="en-US"/>
    </w:rPr>
  </w:style>
  <w:style w:type="character" w:styleId="Ttulo1Car" w:customStyle="1">
    <w:name w:val="Título 1 Car"/>
    <w:basedOn w:val="Fuentedeprrafopredeter"/>
    <w:link w:val="Ttulo1"/>
    <w:uiPriority w:val="9"/>
    <w:rsid w:val="00603D72"/>
    <w:rPr>
      <w:rFonts w:asciiTheme="majorHAnsi" w:cstheme="majorBidi" w:eastAsiaTheme="majorEastAsia" w:hAnsiTheme="majorHAnsi"/>
      <w:color w:val="365f91" w:themeColor="accent1" w:themeShade="0000BF"/>
      <w:sz w:val="32"/>
      <w:szCs w:val="32"/>
      <w:lang w:val="es-ES"/>
    </w:rPr>
  </w:style>
  <w:style w:type="character" w:styleId="Ttulo2Car" w:customStyle="1">
    <w:name w:val="Título 2 Car"/>
    <w:basedOn w:val="Fuentedeprrafopredeter"/>
    <w:link w:val="Ttulo2"/>
    <w:uiPriority w:val="9"/>
    <w:rsid w:val="00603D72"/>
    <w:rPr>
      <w:rFonts w:asciiTheme="majorHAnsi" w:cstheme="majorBidi" w:eastAsiaTheme="majorEastAsia" w:hAnsiTheme="majorHAnsi"/>
      <w:color w:val="365f91" w:themeColor="accent1" w:themeShade="0000BF"/>
      <w:sz w:val="26"/>
      <w:szCs w:val="26"/>
      <w:lang w:val="es-ES"/>
    </w:rPr>
  </w:style>
  <w:style w:type="paragraph" w:styleId="Lista">
    <w:name w:val="List"/>
    <w:basedOn w:val="Normal"/>
    <w:uiPriority w:val="99"/>
    <w:unhideWhenUsed w:val="1"/>
    <w:rsid w:val="00603D72"/>
    <w:pPr>
      <w:ind w:left="283" w:hanging="283"/>
      <w:contextualSpacing w:val="1"/>
    </w:pPr>
  </w:style>
  <w:style w:type="paragraph" w:styleId="Lista2">
    <w:name w:val="List 2"/>
    <w:basedOn w:val="Normal"/>
    <w:uiPriority w:val="99"/>
    <w:unhideWhenUsed w:val="1"/>
    <w:rsid w:val="00603D72"/>
    <w:pPr>
      <w:ind w:left="566" w:hanging="283"/>
      <w:contextualSpacing w:val="1"/>
    </w:pPr>
  </w:style>
  <w:style w:type="paragraph" w:styleId="Lista3">
    <w:name w:val="List 3"/>
    <w:basedOn w:val="Normal"/>
    <w:uiPriority w:val="99"/>
    <w:unhideWhenUsed w:val="1"/>
    <w:rsid w:val="00603D72"/>
    <w:pPr>
      <w:ind w:left="849" w:hanging="283"/>
      <w:contextualSpacing w:val="1"/>
    </w:pPr>
  </w:style>
  <w:style w:type="paragraph" w:styleId="Listaconvietas3">
    <w:name w:val="List Bullet 3"/>
    <w:basedOn w:val="Normal"/>
    <w:uiPriority w:val="99"/>
    <w:unhideWhenUsed w:val="1"/>
    <w:rsid w:val="00603D72"/>
    <w:pPr>
      <w:numPr>
        <w:numId w:val="2"/>
      </w:numPr>
      <w:contextualSpacing w:val="1"/>
    </w:pPr>
  </w:style>
  <w:style w:type="paragraph" w:styleId="Continuarlista">
    <w:name w:val="List Continue"/>
    <w:basedOn w:val="Normal"/>
    <w:uiPriority w:val="99"/>
    <w:unhideWhenUsed w:val="1"/>
    <w:rsid w:val="00603D72"/>
    <w:pPr>
      <w:spacing w:after="120"/>
      <w:ind w:left="283"/>
      <w:contextualSpacing w:val="1"/>
    </w:pPr>
  </w:style>
  <w:style w:type="paragraph" w:styleId="Continuarlista2">
    <w:name w:val="List Continue 2"/>
    <w:basedOn w:val="Normal"/>
    <w:uiPriority w:val="99"/>
    <w:unhideWhenUsed w:val="1"/>
    <w:rsid w:val="00603D72"/>
    <w:pPr>
      <w:spacing w:after="120"/>
      <w:ind w:left="566"/>
      <w:contextualSpacing w:val="1"/>
    </w:pPr>
  </w:style>
  <w:style w:type="paragraph" w:styleId="Textoindependiente">
    <w:name w:val="Body Text"/>
    <w:basedOn w:val="Normal"/>
    <w:link w:val="TextoindependienteCar"/>
    <w:uiPriority w:val="99"/>
    <w:unhideWhenUsed w:val="1"/>
    <w:rsid w:val="00603D72"/>
    <w:pPr>
      <w:spacing w:after="120"/>
    </w:pPr>
  </w:style>
  <w:style w:type="character" w:styleId="TextoindependienteCar" w:customStyle="1">
    <w:name w:val="Texto independiente Car"/>
    <w:basedOn w:val="Fuentedeprrafopredeter"/>
    <w:link w:val="Textoindependiente"/>
    <w:uiPriority w:val="99"/>
    <w:rsid w:val="00603D72"/>
    <w:rPr>
      <w:rFonts w:ascii="Times New Roman" w:cs="Times New Roman" w:eastAsia="Times New Roman" w:hAnsi="Times New Roman"/>
      <w:lang w:val="es-ES"/>
    </w:rPr>
  </w:style>
  <w:style w:type="paragraph" w:styleId="Sangradetextonormal">
    <w:name w:val="Body Text Indent"/>
    <w:basedOn w:val="Normal"/>
    <w:link w:val="SangradetextonormalCar"/>
    <w:uiPriority w:val="99"/>
    <w:semiHidden w:val="1"/>
    <w:unhideWhenUsed w:val="1"/>
    <w:rsid w:val="00603D72"/>
    <w:pPr>
      <w:spacing w:after="120"/>
      <w:ind w:left="283"/>
    </w:pPr>
  </w:style>
  <w:style w:type="character" w:styleId="SangradetextonormalCar" w:customStyle="1">
    <w:name w:val="Sangría de texto normal Car"/>
    <w:basedOn w:val="Fuentedeprrafopredeter"/>
    <w:link w:val="Sangradetextonormal"/>
    <w:uiPriority w:val="99"/>
    <w:semiHidden w:val="1"/>
    <w:rsid w:val="00603D72"/>
    <w:rPr>
      <w:rFonts w:ascii="Times New Roman" w:cs="Times New Roman" w:eastAsia="Times New Roman" w:hAnsi="Times New Roman"/>
      <w:lang w:val="es-ES"/>
    </w:rPr>
  </w:style>
  <w:style w:type="paragraph" w:styleId="Textoindependienteprimerasangra2">
    <w:name w:val="Body Text First Indent 2"/>
    <w:basedOn w:val="Sangradetextonormal"/>
    <w:link w:val="Textoindependienteprimerasangra2Car"/>
    <w:uiPriority w:val="99"/>
    <w:unhideWhenUsed w:val="1"/>
    <w:rsid w:val="00603D72"/>
    <w:pPr>
      <w:spacing w:after="0"/>
      <w:ind w:left="360" w:firstLine="360"/>
    </w:pPr>
  </w:style>
  <w:style w:type="character" w:styleId="Textoindependienteprimerasangra2Car" w:customStyle="1">
    <w:name w:val="Texto independiente primera sangría 2 Car"/>
    <w:basedOn w:val="SangradetextonormalCar"/>
    <w:link w:val="Textoindependienteprimerasangra2"/>
    <w:uiPriority w:val="99"/>
    <w:rsid w:val="00603D72"/>
    <w:rPr>
      <w:rFonts w:ascii="Times New Roman" w:cs="Times New Roman" w:eastAsia="Times New Roman" w:hAnsi="Times New Roman"/>
      <w:lang w:val="es-ES"/>
    </w:rPr>
  </w:style>
  <w:style w:type="paragraph" w:styleId="paragraph" w:customStyle="1">
    <w:name w:val="paragraph"/>
    <w:basedOn w:val="Normal"/>
    <w:rsid w:val="00E34821"/>
    <w:pPr>
      <w:spacing w:after="100" w:afterAutospacing="1" w:before="100" w:beforeAutospacing="1"/>
    </w:pPr>
  </w:style>
  <w:style w:type="paragraph" w:styleId="n2" w:customStyle="1">
    <w:name w:val="n2"/>
    <w:basedOn w:val="Normal"/>
    <w:rsid w:val="009D307C"/>
    <w:pPr>
      <w:spacing w:after="100" w:afterAutospacing="1" w:before="100" w:beforeAutospacing="1"/>
    </w:pPr>
  </w:style>
  <w:style w:type="character" w:styleId="u" w:customStyle="1">
    <w:name w:val="u"/>
    <w:basedOn w:val="Fuentedeprrafopredeter"/>
    <w:rsid w:val="009D307C"/>
  </w:style>
  <w:style w:type="paragraph" w:styleId="j1" w:customStyle="1">
    <w:name w:val="j1"/>
    <w:basedOn w:val="Normal"/>
    <w:rsid w:val="009D307C"/>
    <w:pPr>
      <w:spacing w:after="100" w:afterAutospacing="1" w:before="100" w:beforeAutospacing="1"/>
    </w:pPr>
  </w:style>
  <w:style w:type="paragraph" w:styleId="j2" w:customStyle="1">
    <w:name w:val="j2"/>
    <w:basedOn w:val="Normal"/>
    <w:rsid w:val="009D307C"/>
    <w:pPr>
      <w:spacing w:after="100" w:afterAutospacing="1" w:before="100" w:beforeAutospacing="1"/>
    </w:pPr>
  </w:style>
  <w:style w:type="table" w:styleId="Tabladelista1clara-nfasis1">
    <w:name w:val="List Table 1 Light Accent 1"/>
    <w:basedOn w:val="Tablanormal"/>
    <w:uiPriority w:val="46"/>
    <w:rsid w:val="00A01B91"/>
    <w:tblPr>
      <w:tblStyleRowBandSize w:val="1"/>
      <w:tblStyleColBandSize w:val="1"/>
    </w:tblPr>
    <w:tblStylePr w:type="firstRow">
      <w:rPr>
        <w:b w:val="1"/>
        <w:bCs w:val="1"/>
      </w:rPr>
      <w:tblPr/>
      <w:tcPr>
        <w:tcBorders>
          <w:bottom w:color="95b3d7" w:space="0" w:sz="4" w:themeColor="accent1" w:themeTint="000099" w:val="single"/>
        </w:tcBorders>
      </w:tcPr>
    </w:tblStylePr>
    <w:tblStylePr w:type="lastRow">
      <w:rPr>
        <w:b w:val="1"/>
        <w:bCs w:val="1"/>
      </w:rPr>
      <w:tblPr/>
      <w:tcPr>
        <w:tcBorders>
          <w:top w:color="95b3d7" w:space="0" w:sz="4" w:themeColor="accent1" w:themeTint="000099" w:val="single"/>
        </w:tcBorders>
      </w:tcPr>
    </w:tblStylePr>
    <w:tblStylePr w:type="firstCol">
      <w:rPr>
        <w:b w:val="1"/>
        <w:bCs w:val="1"/>
      </w:rPr>
    </w:tblStylePr>
    <w:tblStylePr w:type="lastCol">
      <w:rPr>
        <w:b w:val="1"/>
        <w:bCs w:val="1"/>
      </w:rPr>
    </w:tblStylePr>
    <w:tblStylePr w:type="band1Vert">
      <w:tblPr/>
      <w:tcPr>
        <w:shd w:color="auto" w:fill="dbe5f1" w:themeFill="accent1" w:themeFillTint="000033" w:val="clear"/>
      </w:tcPr>
    </w:tblStylePr>
    <w:tblStylePr w:type="band1Horz">
      <w:tblPr/>
      <w:tcPr>
        <w:shd w:color="auto" w:fill="dbe5f1" w:themeFill="accent1" w:themeFillTint="000033" w:val="clear"/>
      </w:tcPr>
    </w:tblStylePr>
  </w:style>
  <w:style w:type="character" w:styleId="Mencinsinresolver1" w:customStyle="1">
    <w:name w:val="Mención sin resolver1"/>
    <w:basedOn w:val="Fuentedeprrafopredeter"/>
    <w:uiPriority w:val="99"/>
    <w:semiHidden w:val="1"/>
    <w:unhideWhenUsed w:val="1"/>
    <w:rsid w:val="00457753"/>
    <w:rPr>
      <w:color w:val="605e5c"/>
      <w:shd w:color="auto" w:fill="e1dfdd" w:val="clear"/>
    </w:rPr>
  </w:style>
  <w:style w:type="character" w:styleId="Mencinsinresolver2" w:customStyle="1">
    <w:name w:val="Mención sin resolver2"/>
    <w:basedOn w:val="Fuentedeprrafopredeter"/>
    <w:uiPriority w:val="99"/>
    <w:semiHidden w:val="1"/>
    <w:unhideWhenUsed w:val="1"/>
    <w:rsid w:val="00CE48D4"/>
    <w:rPr>
      <w:color w:val="605e5c"/>
      <w:shd w:color="auto" w:fill="e1dfdd" w:val="clear"/>
    </w:rPr>
  </w:style>
  <w:style w:type="table" w:styleId="Tabladelista1clara-nfasis11" w:customStyle="1">
    <w:name w:val="Tabla de lista 1 clara - Énfasis 11"/>
    <w:basedOn w:val="Tablanormal"/>
    <w:uiPriority w:val="46"/>
    <w:rsid w:val="008F79FD"/>
    <w:rPr>
      <w:rFonts w:eastAsia="MS Mincho"/>
    </w:rPr>
    <w:tblPr>
      <w:tblStyleRowBandSize w:val="1"/>
      <w:tblStyleColBandSize w:val="1"/>
    </w:tblPr>
    <w:tblStylePr w:type="firstRow">
      <w:rPr>
        <w:b w:val="1"/>
        <w:bCs w:val="1"/>
      </w:rPr>
      <w:tblPr/>
      <w:tcPr>
        <w:tcBorders>
          <w:bottom w:color="95b3d7" w:space="0" w:sz="4" w:val="single"/>
        </w:tcBorders>
      </w:tcPr>
    </w:tblStylePr>
    <w:tblStylePr w:type="lastRow">
      <w:rPr>
        <w:b w:val="1"/>
        <w:bCs w:val="1"/>
      </w:rPr>
      <w:tblPr/>
      <w:tcPr>
        <w:tcBorders>
          <w:top w:color="95b3d7" w:space="0" w:sz="4" w:val="single"/>
        </w:tcBorders>
      </w:tcPr>
    </w:tblStylePr>
    <w:tblStylePr w:type="firstCol">
      <w:rPr>
        <w:b w:val="1"/>
        <w:bCs w:val="1"/>
      </w:rPr>
    </w:tblStylePr>
    <w:tblStylePr w:type="lastCol">
      <w:rPr>
        <w:b w:val="1"/>
        <w:bCs w:val="1"/>
      </w:rPr>
    </w:tblStylePr>
    <w:tblStylePr w:type="band1Vert">
      <w:tblPr/>
      <w:tcPr>
        <w:shd w:color="auto" w:fill="dbe5f1" w:val="clear"/>
      </w:tcPr>
    </w:tblStylePr>
    <w:tblStylePr w:type="band1Horz">
      <w:tblPr/>
      <w:tcPr>
        <w:shd w:color="auto" w:fill="dbe5f1" w:val="clear"/>
      </w:tcPr>
    </w:tblStylePr>
  </w:style>
  <w:style w:type="character" w:styleId="Ttulo3Car" w:customStyle="1">
    <w:name w:val="Título 3 Car"/>
    <w:basedOn w:val="Fuentedeprrafopredeter"/>
    <w:link w:val="Ttulo3"/>
    <w:uiPriority w:val="9"/>
    <w:semiHidden w:val="1"/>
    <w:rsid w:val="003B73CD"/>
    <w:rPr>
      <w:rFonts w:asciiTheme="majorHAnsi" w:cstheme="majorBidi" w:eastAsiaTheme="majorEastAsia" w:hAnsiTheme="majorHAnsi"/>
      <w:b w:val="1"/>
      <w:bCs w:val="1"/>
      <w:sz w:val="26"/>
      <w:szCs w:val="26"/>
      <w:lang w:eastAsia="en-US" w:val="en-US"/>
    </w:rPr>
  </w:style>
  <w:style w:type="character" w:styleId="Ttulo4Car" w:customStyle="1">
    <w:name w:val="Título 4 Car"/>
    <w:basedOn w:val="Fuentedeprrafopredeter"/>
    <w:link w:val="Ttulo4"/>
    <w:uiPriority w:val="9"/>
    <w:semiHidden w:val="1"/>
    <w:rsid w:val="003B73CD"/>
    <w:rPr>
      <w:b w:val="1"/>
      <w:bCs w:val="1"/>
      <w:sz w:val="28"/>
      <w:szCs w:val="28"/>
      <w:lang w:eastAsia="en-US" w:val="en-US"/>
    </w:rPr>
  </w:style>
  <w:style w:type="character" w:styleId="Ttulo5Car" w:customStyle="1">
    <w:name w:val="Título 5 Car"/>
    <w:basedOn w:val="Fuentedeprrafopredeter"/>
    <w:link w:val="Ttulo5"/>
    <w:uiPriority w:val="9"/>
    <w:semiHidden w:val="1"/>
    <w:rsid w:val="003B73CD"/>
    <w:rPr>
      <w:b w:val="1"/>
      <w:bCs w:val="1"/>
      <w:i w:val="1"/>
      <w:iCs w:val="1"/>
      <w:sz w:val="26"/>
      <w:szCs w:val="26"/>
      <w:lang w:eastAsia="en-US" w:val="en-US"/>
    </w:rPr>
  </w:style>
  <w:style w:type="character" w:styleId="Ttulo6Car" w:customStyle="1">
    <w:name w:val="Título 6 Car"/>
    <w:basedOn w:val="Fuentedeprrafopredeter"/>
    <w:link w:val="Ttulo6"/>
    <w:semiHidden w:val="1"/>
    <w:rsid w:val="003B73CD"/>
    <w:rPr>
      <w:rFonts w:ascii="Times New Roman" w:cs="Times New Roman" w:eastAsia="Times New Roman" w:hAnsi="Times New Roman"/>
      <w:b w:val="1"/>
      <w:bCs w:val="1"/>
      <w:sz w:val="22"/>
      <w:szCs w:val="22"/>
      <w:lang w:eastAsia="en-US" w:val="en-US"/>
    </w:rPr>
  </w:style>
  <w:style w:type="character" w:styleId="Ttulo7Car" w:customStyle="1">
    <w:name w:val="Título 7 Car"/>
    <w:basedOn w:val="Fuentedeprrafopredeter"/>
    <w:link w:val="Ttulo7"/>
    <w:uiPriority w:val="9"/>
    <w:semiHidden w:val="1"/>
    <w:rsid w:val="003B73CD"/>
    <w:rPr>
      <w:lang w:eastAsia="en-US" w:val="en-US"/>
    </w:rPr>
  </w:style>
  <w:style w:type="character" w:styleId="Ttulo8Car" w:customStyle="1">
    <w:name w:val="Título 8 Car"/>
    <w:basedOn w:val="Fuentedeprrafopredeter"/>
    <w:link w:val="Ttulo8"/>
    <w:uiPriority w:val="9"/>
    <w:semiHidden w:val="1"/>
    <w:rsid w:val="003B73CD"/>
    <w:rPr>
      <w:i w:val="1"/>
      <w:iCs w:val="1"/>
      <w:lang w:eastAsia="en-US" w:val="en-US"/>
    </w:rPr>
  </w:style>
  <w:style w:type="character" w:styleId="Ttulo9Car" w:customStyle="1">
    <w:name w:val="Título 9 Car"/>
    <w:basedOn w:val="Fuentedeprrafopredeter"/>
    <w:link w:val="Ttulo9"/>
    <w:uiPriority w:val="9"/>
    <w:semiHidden w:val="1"/>
    <w:rsid w:val="003B73CD"/>
    <w:rPr>
      <w:rFonts w:asciiTheme="majorHAnsi" w:cstheme="majorBidi" w:eastAsiaTheme="majorEastAsia" w:hAnsiTheme="majorHAnsi"/>
      <w:sz w:val="22"/>
      <w:szCs w:val="22"/>
      <w:lang w:eastAsia="en-US" w:val="en-US"/>
    </w:rPr>
  </w:style>
  <w:style w:type="paragraph" w:styleId="Subttulo">
    <w:name w:val="Subtitle"/>
    <w:basedOn w:val="Normal"/>
    <w:next w:val="Normal"/>
    <w:pPr>
      <w:keepNext w:val="1"/>
      <w:keepLines w:val="1"/>
      <w:spacing w:after="80" w:before="360"/>
    </w:pPr>
    <w:rPr>
      <w:rFonts w:ascii="Georgia" w:cs="Georgia" w:eastAsia="Georgia" w:hAnsi="Georgia"/>
      <w:i w:val="1"/>
      <w:color w:val="666666"/>
      <w:sz w:val="48"/>
      <w:szCs w:val="48"/>
    </w:rPr>
  </w:style>
  <w:style w:type="table" w:styleId="5" w:customStyle="1">
    <w:name w:val="5"/>
    <w:basedOn w:val="TableNormal1"/>
    <w:tblPr>
      <w:tblStyleRowBandSize w:val="1"/>
      <w:tblStyleColBandSize w:val="1"/>
      <w:tblCellMar>
        <w:left w:w="108.0" w:type="dxa"/>
        <w:right w:w="108.0" w:type="dxa"/>
      </w:tblCellMar>
    </w:tblPr>
    <w:tblStylePr w:type="firstRow">
      <w:rPr>
        <w:b w:val="1"/>
      </w:rPr>
      <w:tblPr/>
      <w:tcPr>
        <w:tcBorders>
          <w:bottom w:color="95b3d7" w:space="0" w:sz="4" w:val="single"/>
        </w:tcBorders>
      </w:tcPr>
    </w:tblStylePr>
    <w:tblStylePr w:type="lastRow">
      <w:rPr>
        <w:b w:val="1"/>
      </w:rPr>
      <w:tblPr/>
      <w:tcPr>
        <w:tcBorders>
          <w:top w:color="95b3d7" w:space="0" w:sz="4" w:val="single"/>
        </w:tcBorders>
      </w:tcPr>
    </w:tblStylePr>
    <w:tblStylePr w:type="firstCol">
      <w:rPr>
        <w:b w:val="1"/>
      </w:rPr>
    </w:tblStylePr>
    <w:tblStylePr w:type="lastCol">
      <w:rPr>
        <w:b w:val="1"/>
      </w:rPr>
    </w:tblStylePr>
    <w:tblStylePr w:type="band1Vert">
      <w:tblPr/>
      <w:tcPr>
        <w:shd w:color="auto" w:fill="dbe5f1" w:val="clear"/>
      </w:tcPr>
    </w:tblStylePr>
    <w:tblStylePr w:type="band1Horz">
      <w:tblPr/>
      <w:tcPr>
        <w:shd w:color="auto" w:fill="dbe5f1" w:val="clear"/>
      </w:tcPr>
    </w:tblStylePr>
  </w:style>
  <w:style w:type="table" w:styleId="4" w:customStyle="1">
    <w:name w:val="4"/>
    <w:basedOn w:val="TableNormal1"/>
    <w:tblPr>
      <w:tblStyleRowBandSize w:val="1"/>
      <w:tblStyleColBandSize w:val="1"/>
      <w:tblCellMar>
        <w:left w:w="115.0" w:type="dxa"/>
        <w:right w:w="115.0" w:type="dxa"/>
      </w:tblCellMar>
    </w:tblPr>
  </w:style>
  <w:style w:type="table" w:styleId="3" w:customStyle="1">
    <w:name w:val="3"/>
    <w:basedOn w:val="TableNormal1"/>
    <w:tblPr>
      <w:tblStyleRowBandSize w:val="1"/>
      <w:tblStyleColBandSize w:val="1"/>
      <w:tblCellMar>
        <w:left w:w="115.0" w:type="dxa"/>
        <w:right w:w="115.0" w:type="dxa"/>
      </w:tblCellMar>
    </w:tblPr>
  </w:style>
  <w:style w:type="character" w:styleId="Mencinsinresolver3" w:customStyle="1">
    <w:name w:val="Mención sin resolver3"/>
    <w:basedOn w:val="Fuentedeprrafopredeter"/>
    <w:uiPriority w:val="99"/>
    <w:semiHidden w:val="1"/>
    <w:unhideWhenUsed w:val="1"/>
    <w:rsid w:val="0094565C"/>
    <w:rPr>
      <w:color w:val="605e5c"/>
      <w:shd w:color="auto" w:fill="e1dfdd" w:val="clear"/>
    </w:rPr>
  </w:style>
  <w:style w:type="table" w:styleId="2" w:customStyle="1">
    <w:name w:val="2"/>
    <w:basedOn w:val="TableNormal1"/>
    <w:tblPr>
      <w:tblStyleRowBandSize w:val="1"/>
      <w:tblStyleColBandSize w:val="1"/>
      <w:tblCellMar>
        <w:left w:w="115.0" w:type="dxa"/>
        <w:right w:w="115.0" w:type="dxa"/>
      </w:tblCellMar>
    </w:tblPr>
  </w:style>
  <w:style w:type="table" w:styleId="1" w:customStyle="1">
    <w:name w:val="1"/>
    <w:basedOn w:val="TableNormal1"/>
    <w:tblPr>
      <w:tblStyleRowBandSize w:val="1"/>
      <w:tblStyleColBandSize w:val="1"/>
      <w:tblCellMar>
        <w:left w:w="115.0" w:type="dxa"/>
        <w:right w:w="115.0" w:type="dxa"/>
      </w:tblCellMar>
    </w:tblPr>
  </w:style>
  <w:style w:type="table" w:styleId="9" w:customStyle="1">
    <w:name w:val="9"/>
    <w:basedOn w:val="TableNormal2"/>
    <w:tblPr>
      <w:tblStyleRowBandSize w:val="1"/>
      <w:tblStyleColBandSize w:val="1"/>
      <w:tblCellMar>
        <w:left w:w="115.0" w:type="dxa"/>
        <w:right w:w="115.0" w:type="dxa"/>
      </w:tblCellMar>
    </w:tblPr>
  </w:style>
  <w:style w:type="table" w:styleId="8" w:customStyle="1">
    <w:name w:val="8"/>
    <w:basedOn w:val="TableNormal2"/>
    <w:tblPr>
      <w:tblStyleRowBandSize w:val="1"/>
      <w:tblStyleColBandSize w:val="1"/>
      <w:tblCellMar>
        <w:left w:w="115.0" w:type="dxa"/>
        <w:right w:w="115.0" w:type="dxa"/>
      </w:tblCellMar>
    </w:tblPr>
  </w:style>
  <w:style w:type="table" w:styleId="7" w:customStyle="1">
    <w:name w:val="7"/>
    <w:basedOn w:val="TableNormal3"/>
    <w:tblPr>
      <w:tblStyleRowBandSize w:val="1"/>
      <w:tblStyleColBandSize w:val="1"/>
      <w:tblCellMar>
        <w:left w:w="115.0" w:type="dxa"/>
        <w:right w:w="115.0" w:type="dxa"/>
      </w:tblCellMar>
    </w:tblPr>
  </w:style>
  <w:style w:type="table" w:styleId="6" w:customStyle="1">
    <w:name w:val="6"/>
    <w:basedOn w:val="TableNormal3"/>
    <w:tblPr>
      <w:tblStyleRowBandSize w:val="1"/>
      <w:tblStyleColBandSize w:val="1"/>
      <w:tblCellMar>
        <w:left w:w="115.0" w:type="dxa"/>
        <w:right w:w="115.0" w:type="dxa"/>
      </w:tblCellMar>
    </w:tblPr>
  </w:style>
  <w:style w:type="table" w:styleId="17" w:customStyle="1">
    <w:name w:val="17"/>
    <w:basedOn w:val="TableNormal4"/>
    <w:tblPr>
      <w:tblStyleRowBandSize w:val="1"/>
      <w:tblStyleColBandSize w:val="1"/>
      <w:tblCellMar>
        <w:left w:w="115.0" w:type="dxa"/>
        <w:right w:w="115.0" w:type="dxa"/>
      </w:tblCellMar>
    </w:tblPr>
  </w:style>
  <w:style w:type="table" w:styleId="16" w:customStyle="1">
    <w:name w:val="16"/>
    <w:basedOn w:val="TableNormal4"/>
    <w:tblPr>
      <w:tblStyleRowBandSize w:val="1"/>
      <w:tblStyleColBandSize w:val="1"/>
      <w:tblCellMar>
        <w:left w:w="115.0" w:type="dxa"/>
        <w:right w:w="115.0" w:type="dxa"/>
      </w:tblCellMar>
    </w:tblPr>
  </w:style>
  <w:style w:type="table" w:styleId="15" w:customStyle="1">
    <w:name w:val="15"/>
    <w:basedOn w:val="TableNormal5"/>
    <w:tblPr>
      <w:tblStyleRowBandSize w:val="1"/>
      <w:tblStyleColBandSize w:val="1"/>
      <w:tblCellMar>
        <w:left w:w="115.0" w:type="dxa"/>
        <w:right w:w="115.0" w:type="dxa"/>
      </w:tblCellMar>
    </w:tblPr>
  </w:style>
  <w:style w:type="table" w:styleId="14" w:customStyle="1">
    <w:name w:val="14"/>
    <w:basedOn w:val="TableNormal5"/>
    <w:tblPr>
      <w:tblStyleRowBandSize w:val="1"/>
      <w:tblStyleColBandSize w:val="1"/>
      <w:tblCellMar>
        <w:left w:w="115.0" w:type="dxa"/>
        <w:right w:w="115.0" w:type="dxa"/>
      </w:tblCellMar>
    </w:tblPr>
  </w:style>
  <w:style w:type="table" w:styleId="13" w:customStyle="1">
    <w:name w:val="13"/>
    <w:basedOn w:val="TableNormal6"/>
    <w:tblPr>
      <w:tblStyleRowBandSize w:val="1"/>
      <w:tblStyleColBandSize w:val="1"/>
      <w:tblCellMar>
        <w:left w:w="115.0" w:type="dxa"/>
        <w:right w:w="115.0" w:type="dxa"/>
      </w:tblCellMar>
    </w:tblPr>
  </w:style>
  <w:style w:type="table" w:styleId="12" w:customStyle="1">
    <w:name w:val="12"/>
    <w:basedOn w:val="TableNormal6"/>
    <w:tblPr>
      <w:tblStyleRowBandSize w:val="1"/>
      <w:tblStyleColBandSize w:val="1"/>
      <w:tblCellMar>
        <w:left w:w="115.0" w:type="dxa"/>
        <w:right w:w="115.0" w:type="dxa"/>
      </w:tblCellMar>
    </w:tblPr>
  </w:style>
  <w:style w:type="table" w:styleId="11" w:customStyle="1">
    <w:name w:val="11"/>
    <w:basedOn w:val="TableNormal7"/>
    <w:tblPr>
      <w:tblStyleRowBandSize w:val="1"/>
      <w:tblStyleColBandSize w:val="1"/>
      <w:tblCellMar>
        <w:left w:w="115.0" w:type="dxa"/>
        <w:right w:w="115.0" w:type="dxa"/>
      </w:tblCellMar>
    </w:tblPr>
  </w:style>
  <w:style w:type="table" w:styleId="10" w:customStyle="1">
    <w:name w:val="10"/>
    <w:basedOn w:val="TableNormal7"/>
    <w:tblPr>
      <w:tblStyleRowBandSize w:val="1"/>
      <w:tblStyleColBandSize w:val="1"/>
      <w:tblCellMar>
        <w:left w:w="115.0" w:type="dxa"/>
        <w:right w:w="115.0" w:type="dxa"/>
      </w:tblCellMar>
    </w:tblPr>
  </w:style>
  <w:style w:type="table" w:styleId="a" w:customStyle="1">
    <w:basedOn w:val="TableNormal0"/>
    <w:tblPr>
      <w:tblStyleRowBandSize w:val="1"/>
      <w:tblStyleColBandSize w:val="1"/>
      <w:tblCellMar>
        <w:left w:w="108.0" w:type="dxa"/>
        <w:right w:w="108.0" w:type="dxa"/>
      </w:tblCellMar>
    </w:tblPr>
    <w:tblStylePr w:type="firstRow">
      <w:rPr>
        <w:b w:val="1"/>
      </w:rPr>
      <w:tblPr/>
      <w:tcPr>
        <w:tcBorders>
          <w:bottom w:color="95b3d7" w:space="0" w:sz="4" w:val="single"/>
        </w:tcBorders>
      </w:tcPr>
    </w:tblStylePr>
    <w:tblStylePr w:type="lastRow">
      <w:rPr>
        <w:b w:val="1"/>
      </w:rPr>
      <w:tblPr/>
      <w:tcPr>
        <w:tcBorders>
          <w:top w:color="95b3d7" w:space="0" w:sz="4" w:val="single"/>
        </w:tcBorders>
      </w:tcPr>
    </w:tblStylePr>
    <w:tblStylePr w:type="firstCol">
      <w:rPr>
        <w:b w:val="1"/>
      </w:rPr>
    </w:tblStylePr>
    <w:tblStylePr w:type="lastCol">
      <w:rPr>
        <w:b w:val="1"/>
      </w:rPr>
    </w:tblStylePr>
    <w:tblStylePr w:type="band1Vert">
      <w:tblPr/>
      <w:tcPr>
        <w:shd w:color="auto" w:fill="dbe5f1" w:val="clear"/>
      </w:tcPr>
    </w:tblStylePr>
    <w:tblStylePr w:type="band1Horz">
      <w:tblPr/>
      <w:tcPr>
        <w:shd w:color="auto" w:fill="dbe5f1" w:val="clear"/>
      </w:tcPr>
    </w:tblStylePr>
  </w:style>
  <w:style w:type="table" w:styleId="a0" w:customStyle="1">
    <w:basedOn w:val="TableNormal0"/>
    <w:tblPr>
      <w:tblStyleRowBandSize w:val="1"/>
      <w:tblStyleColBandSize w:val="1"/>
      <w:tblCellMar>
        <w:left w:w="115.0" w:type="dxa"/>
        <w:right w:w="115.0" w:type="dxa"/>
      </w:tblCellMar>
    </w:tblPr>
  </w:style>
  <w:style w:type="table" w:styleId="a2" w:customStyle="1">
    <w:basedOn w:val="TableNormal0"/>
    <w:tblPr>
      <w:tblStyleRowBandSize w:val="1"/>
      <w:tblStyleColBandSize w:val="1"/>
      <w:tblCellMar>
        <w:left w:w="115.0" w:type="dxa"/>
        <w:right w:w="115.0" w:type="dxa"/>
      </w:tblCellMar>
    </w:tblPr>
  </w:style>
  <w:style w:type="character" w:styleId="Mencinsinresolver4" w:customStyle="1">
    <w:name w:val="Mención sin resolver4"/>
    <w:basedOn w:val="Fuentedeprrafopredeter"/>
    <w:uiPriority w:val="99"/>
    <w:semiHidden w:val="1"/>
    <w:unhideWhenUsed w:val="1"/>
    <w:rsid w:val="005F43DF"/>
    <w:rPr>
      <w:color w:val="605e5c"/>
      <w:shd w:color="auto" w:fill="e1dfdd" w:val="clear"/>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7.png"/><Relationship Id="rId10" Type="http://schemas.openxmlformats.org/officeDocument/2006/relationships/image" Target="media/image2.png"/><Relationship Id="rId13" Type="http://schemas.openxmlformats.org/officeDocument/2006/relationships/image" Target="media/image5.png"/><Relationship Id="rId12" Type="http://schemas.openxmlformats.org/officeDocument/2006/relationships/image" Target="media/image6.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s://sistemas2.edomex.gob.mx/TramitesyServicios/Tramite?tram=8566&amp;cont=0" TargetMode="External"/><Relationship Id="rId15" Type="http://schemas.openxmlformats.org/officeDocument/2006/relationships/image" Target="media/image8.png"/><Relationship Id="rId14" Type="http://schemas.openxmlformats.org/officeDocument/2006/relationships/image" Target="media/image3.png"/><Relationship Id="rId17" Type="http://schemas.openxmlformats.org/officeDocument/2006/relationships/header" Target="header1.xml"/><Relationship Id="rId16" Type="http://schemas.openxmlformats.org/officeDocument/2006/relationships/header" Target="header2.xml"/><Relationship Id="rId5" Type="http://schemas.openxmlformats.org/officeDocument/2006/relationships/numbering" Target="numbering.xml"/><Relationship Id="rId19" Type="http://schemas.openxmlformats.org/officeDocument/2006/relationships/footer" Target="footer1.xml"/><Relationship Id="rId6" Type="http://schemas.openxmlformats.org/officeDocument/2006/relationships/styles" Target="styles.xml"/><Relationship Id="rId18" Type="http://schemas.openxmlformats.org/officeDocument/2006/relationships/footer" Target="footer2.xml"/><Relationship Id="rId7" Type="http://schemas.openxmlformats.org/officeDocument/2006/relationships/customXml" Target="../customXML/item1.xml"/><Relationship Id="rId8" Type="http://schemas.openxmlformats.org/officeDocument/2006/relationships/image" Target="media/image4.png"/></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iRHjXziuwvFgl0rBjxjUpEeA2HJQ==">AMUW2mWAlMK/jcbjA/aGLqYUoKP+J/Q0WUHsN3cMIBLBxtdxlTA0gYpczWAoncLg5Hvfsezyuf/04hUmPN19MGp2Ob/h77H2e4WDYV7N7roloN6uwRwfde7NIwkiM6X0+u4saCaGpGLF0+4V4UsW4wehrJ9XjEOuu/fPu0K8JDTO1pgVMt1d23/XOhRIPUNOpuOQw/9VN55B6RZ0gE9GN1G3oFEWtxjEnBOw1zKnuleJCls8IPZsmpbZXufjcOvT6z2XoOv3JuY2</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2023-04-10T22:38:00Z</dcterms:created>
  <dc:creator>iMac</dc:creator>
</cp:coreProperties>
</file>