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9E7171">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E70EB2" w:rsidRPr="009E7171">
        <w:rPr>
          <w:rFonts w:ascii="Palatino Linotype" w:eastAsia="Palatino Linotype" w:hAnsi="Palatino Linotype" w:cs="Palatino Linotype"/>
          <w:color w:val="000000"/>
          <w:sz w:val="24"/>
          <w:szCs w:val="24"/>
        </w:rPr>
        <w:t xml:space="preserve">veintidós de febrero </w:t>
      </w:r>
      <w:r w:rsidRPr="009E7171">
        <w:rPr>
          <w:rFonts w:ascii="Palatino Linotype" w:eastAsia="Palatino Linotype" w:hAnsi="Palatino Linotype" w:cs="Palatino Linotype"/>
          <w:color w:val="000000"/>
          <w:sz w:val="24"/>
          <w:szCs w:val="24"/>
        </w:rPr>
        <w:t>de dos mil veintitrés.</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9E7171">
        <w:rPr>
          <w:rFonts w:ascii="Palatino Linotype" w:eastAsia="Palatino Linotype" w:hAnsi="Palatino Linotype" w:cs="Palatino Linotype"/>
          <w:b/>
          <w:color w:val="000000"/>
          <w:sz w:val="24"/>
          <w:szCs w:val="24"/>
        </w:rPr>
        <w:t>VISTO</w:t>
      </w:r>
      <w:r w:rsidRPr="009E7171">
        <w:rPr>
          <w:rFonts w:ascii="Palatino Linotype" w:eastAsia="Palatino Linotype" w:hAnsi="Palatino Linotype" w:cs="Palatino Linotype"/>
          <w:color w:val="000000"/>
          <w:sz w:val="24"/>
          <w:szCs w:val="24"/>
        </w:rPr>
        <w:t xml:space="preserve"> el expediente electrónico formado con motivo del recurso de revisión número </w:t>
      </w:r>
      <w:r w:rsidRPr="009E7171">
        <w:rPr>
          <w:rFonts w:ascii="Palatino Linotype" w:eastAsia="Palatino Linotype" w:hAnsi="Palatino Linotype" w:cs="Palatino Linotype"/>
          <w:b/>
          <w:color w:val="000000"/>
          <w:sz w:val="24"/>
          <w:szCs w:val="24"/>
        </w:rPr>
        <w:t>016225/INFOEM/IP/RR/2022</w:t>
      </w:r>
      <w:r w:rsidRPr="009E7171">
        <w:rPr>
          <w:rFonts w:ascii="Palatino Linotype" w:eastAsia="Palatino Linotype" w:hAnsi="Palatino Linotype" w:cs="Palatino Linotype"/>
          <w:color w:val="000000"/>
          <w:sz w:val="24"/>
          <w:szCs w:val="24"/>
        </w:rPr>
        <w:t xml:space="preserve">, interpuesto por una persona de manera anónima, en lo sucesivo el </w:t>
      </w:r>
      <w:r w:rsidRPr="009E7171">
        <w:rPr>
          <w:rFonts w:ascii="Palatino Linotype" w:eastAsia="Palatino Linotype" w:hAnsi="Palatino Linotype" w:cs="Palatino Linotype"/>
          <w:b/>
          <w:color w:val="000000"/>
          <w:sz w:val="24"/>
          <w:szCs w:val="24"/>
        </w:rPr>
        <w:t>Recurrente</w:t>
      </w:r>
      <w:r w:rsidRPr="009E7171">
        <w:rPr>
          <w:rFonts w:ascii="Palatino Linotype" w:eastAsia="Palatino Linotype" w:hAnsi="Palatino Linotype" w:cs="Palatino Linotype"/>
          <w:color w:val="000000"/>
          <w:sz w:val="24"/>
          <w:szCs w:val="24"/>
        </w:rPr>
        <w:t xml:space="preserve">, en contra de la respuesta del </w:t>
      </w:r>
      <w:r w:rsidRPr="009E7171">
        <w:rPr>
          <w:rFonts w:ascii="Palatino Linotype" w:hAnsi="Palatino Linotype" w:cs="Arial"/>
          <w:b/>
          <w:sz w:val="24"/>
          <w:szCs w:val="24"/>
        </w:rPr>
        <w:t>Ayuntamiento de Zinacantepec</w:t>
      </w:r>
      <w:r w:rsidRPr="009E7171">
        <w:rPr>
          <w:rFonts w:ascii="Palatino Linotype" w:eastAsia="Palatino Linotype" w:hAnsi="Palatino Linotype" w:cs="Palatino Linotype"/>
          <w:color w:val="000000"/>
          <w:sz w:val="24"/>
          <w:szCs w:val="24"/>
        </w:rPr>
        <w:t>, en lo subsecuente</w:t>
      </w:r>
      <w:r w:rsidRPr="009E7171">
        <w:rPr>
          <w:rFonts w:ascii="Palatino Linotype" w:eastAsia="Palatino Linotype" w:hAnsi="Palatino Linotype" w:cs="Palatino Linotype"/>
          <w:b/>
          <w:color w:val="000000"/>
          <w:sz w:val="24"/>
          <w:szCs w:val="24"/>
        </w:rPr>
        <w:t xml:space="preserve"> </w:t>
      </w:r>
      <w:r w:rsidRPr="009E7171">
        <w:rPr>
          <w:rFonts w:ascii="Palatino Linotype" w:eastAsia="Palatino Linotype" w:hAnsi="Palatino Linotype" w:cs="Palatino Linotype"/>
          <w:color w:val="000000"/>
          <w:sz w:val="24"/>
          <w:szCs w:val="24"/>
        </w:rPr>
        <w:t>el</w:t>
      </w:r>
      <w:r w:rsidRPr="009E7171">
        <w:rPr>
          <w:rFonts w:ascii="Palatino Linotype" w:eastAsia="Palatino Linotype" w:hAnsi="Palatino Linotype" w:cs="Palatino Linotype"/>
          <w:b/>
          <w:color w:val="000000"/>
          <w:sz w:val="24"/>
          <w:szCs w:val="24"/>
        </w:rPr>
        <w:t xml:space="preserve"> Sujeto Obligado, </w:t>
      </w:r>
      <w:r w:rsidRPr="009E7171">
        <w:rPr>
          <w:rFonts w:ascii="Palatino Linotype" w:eastAsia="Palatino Linotype" w:hAnsi="Palatino Linotype" w:cs="Palatino Linotype"/>
          <w:color w:val="000000"/>
          <w:sz w:val="24"/>
          <w:szCs w:val="24"/>
        </w:rPr>
        <w:t>se procede a dictar la presente resolución.</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A5F75" w:rsidRPr="009E7171" w:rsidRDefault="001A5F75" w:rsidP="001A5F7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E7171">
        <w:rPr>
          <w:rFonts w:ascii="Palatino Linotype" w:eastAsia="Palatino Linotype" w:hAnsi="Palatino Linotype" w:cs="Palatino Linotype"/>
          <w:b/>
          <w:color w:val="000000"/>
          <w:sz w:val="28"/>
          <w:szCs w:val="28"/>
        </w:rPr>
        <w:t>A N T E C E D E N T E S</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9E7171">
        <w:rPr>
          <w:rFonts w:ascii="Palatino Linotype" w:eastAsia="Palatino Linotype" w:hAnsi="Palatino Linotype" w:cs="Palatino Linotype"/>
          <w:b/>
          <w:color w:val="000000"/>
          <w:sz w:val="28"/>
          <w:szCs w:val="26"/>
        </w:rPr>
        <w:t>PRIMERO</w:t>
      </w:r>
      <w:r w:rsidRPr="009E7171">
        <w:rPr>
          <w:rFonts w:ascii="Palatino Linotype" w:eastAsia="Palatino Linotype" w:hAnsi="Palatino Linotype" w:cs="Palatino Linotype"/>
          <w:b/>
          <w:color w:val="000000"/>
          <w:sz w:val="26"/>
          <w:szCs w:val="26"/>
        </w:rPr>
        <w:t>.</w:t>
      </w:r>
      <w:r w:rsidRPr="009E7171">
        <w:rPr>
          <w:rFonts w:ascii="Palatino Linotype" w:eastAsia="Palatino Linotype" w:hAnsi="Palatino Linotype" w:cs="Palatino Linotype"/>
          <w:color w:val="000000"/>
          <w:sz w:val="26"/>
          <w:szCs w:val="26"/>
        </w:rPr>
        <w:t xml:space="preserve"> </w:t>
      </w:r>
      <w:r w:rsidRPr="009E7171">
        <w:rPr>
          <w:rFonts w:ascii="Palatino Linotype" w:eastAsia="Palatino Linotype" w:hAnsi="Palatino Linotype" w:cs="Palatino Linotype"/>
          <w:b/>
          <w:color w:val="000000"/>
          <w:sz w:val="26"/>
          <w:szCs w:val="26"/>
        </w:rPr>
        <w:t>De la Solicitud de Información.</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9E7171">
        <w:rPr>
          <w:rFonts w:ascii="Palatino Linotype" w:eastAsia="Palatino Linotype" w:hAnsi="Palatino Linotype" w:cs="Palatino Linotype"/>
          <w:color w:val="000000"/>
          <w:sz w:val="24"/>
          <w:szCs w:val="24"/>
        </w:rPr>
        <w:t xml:space="preserve">Con fecha cinco de octubre de dos mil veintidós, el Recurrente presentó mediante el </w:t>
      </w:r>
      <w:bookmarkStart w:id="0" w:name="_GoBack"/>
      <w:bookmarkEnd w:id="0"/>
      <w:r w:rsidRPr="009E7171">
        <w:rPr>
          <w:rFonts w:ascii="Palatino Linotype" w:eastAsia="Palatino Linotype" w:hAnsi="Palatino Linotype" w:cs="Palatino Linotype"/>
          <w:color w:val="000000"/>
          <w:sz w:val="24"/>
          <w:szCs w:val="24"/>
        </w:rPr>
        <w:t>Sistema de Acceso a la Información Mexiquense (SAIMEX), solicitud de información registrada con el número de expediente</w:t>
      </w:r>
      <w:r w:rsidRPr="009E7171">
        <w:rPr>
          <w:rFonts w:ascii="Palatino Linotype" w:eastAsia="Palatino Linotype" w:hAnsi="Palatino Linotype" w:cs="Palatino Linotype"/>
          <w:b/>
          <w:color w:val="000000"/>
          <w:sz w:val="24"/>
          <w:szCs w:val="24"/>
        </w:rPr>
        <w:t xml:space="preserve"> </w:t>
      </w:r>
      <w:r w:rsidRPr="009E7171">
        <w:rPr>
          <w:rFonts w:ascii="Palatino Linotype" w:eastAsia="Palatino Linotype" w:hAnsi="Palatino Linotype" w:cs="Palatino Linotype"/>
          <w:b/>
          <w:bCs/>
          <w:color w:val="000000"/>
          <w:sz w:val="24"/>
          <w:szCs w:val="24"/>
        </w:rPr>
        <w:t>00945/ZINACANT/IP/2022</w:t>
      </w:r>
      <w:r w:rsidRPr="009E7171">
        <w:rPr>
          <w:rFonts w:ascii="Palatino Linotype" w:eastAsia="Palatino Linotype" w:hAnsi="Palatino Linotype" w:cs="Palatino Linotype"/>
          <w:color w:val="000000"/>
          <w:sz w:val="24"/>
          <w:szCs w:val="24"/>
        </w:rPr>
        <w:t>,</w:t>
      </w:r>
      <w:r w:rsidRPr="009E7171">
        <w:rPr>
          <w:rFonts w:ascii="Palatino Linotype" w:eastAsia="Palatino Linotype" w:hAnsi="Palatino Linotype" w:cs="Palatino Linotype"/>
          <w:b/>
          <w:color w:val="000000"/>
          <w:sz w:val="24"/>
          <w:szCs w:val="24"/>
        </w:rPr>
        <w:t xml:space="preserve"> </w:t>
      </w:r>
      <w:r w:rsidRPr="009E7171">
        <w:rPr>
          <w:rFonts w:ascii="Palatino Linotype" w:eastAsia="Palatino Linotype" w:hAnsi="Palatino Linotype" w:cs="Palatino Linotype"/>
          <w:color w:val="000000"/>
          <w:sz w:val="24"/>
          <w:szCs w:val="24"/>
        </w:rPr>
        <w:t>mediante la cual solicitó información en el tenor siguiente:</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A5F75" w:rsidRPr="009E7171" w:rsidRDefault="001A5F75" w:rsidP="001A5F7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9E7171">
        <w:rPr>
          <w:rFonts w:ascii="Palatino Linotype" w:eastAsia="Palatino Linotype" w:hAnsi="Palatino Linotype" w:cs="Palatino Linotype"/>
          <w:i/>
          <w:color w:val="000000"/>
        </w:rPr>
        <w:t>“se requiere las solicitudes para visto bueno para la ubicación de bases, sitio o lanzaderas de transporte público individual denominado taxi” (Sic)</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9E7171">
        <w:rPr>
          <w:rFonts w:ascii="Palatino Linotype" w:eastAsia="Palatino Linotype" w:hAnsi="Palatino Linotype" w:cs="Palatino Linotype"/>
          <w:color w:val="000000"/>
          <w:sz w:val="24"/>
          <w:szCs w:val="24"/>
        </w:rPr>
        <w:t xml:space="preserve">Modalidad de entrega: </w:t>
      </w:r>
      <w:r w:rsidRPr="009E7171">
        <w:rPr>
          <w:rFonts w:ascii="Palatino Linotype" w:eastAsia="Palatino Linotype" w:hAnsi="Palatino Linotype" w:cs="Palatino Linotype"/>
          <w:b/>
          <w:color w:val="000000"/>
          <w:sz w:val="24"/>
          <w:szCs w:val="24"/>
        </w:rPr>
        <w:t>A través del SAIMEX</w:t>
      </w:r>
      <w:r w:rsidRPr="009E7171">
        <w:rPr>
          <w:rFonts w:ascii="Palatino Linotype" w:eastAsia="Palatino Linotype" w:hAnsi="Palatino Linotype" w:cs="Palatino Linotype"/>
          <w:color w:val="000000"/>
          <w:sz w:val="24"/>
          <w:szCs w:val="24"/>
        </w:rPr>
        <w:t>.</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9E7171">
        <w:rPr>
          <w:rFonts w:ascii="Palatino Linotype" w:eastAsia="Palatino Linotype" w:hAnsi="Palatino Linotype" w:cs="Palatino Linotype"/>
          <w:b/>
          <w:color w:val="000000"/>
          <w:sz w:val="28"/>
          <w:szCs w:val="26"/>
        </w:rPr>
        <w:lastRenderedPageBreak/>
        <w:t>SEGUNDO</w:t>
      </w:r>
      <w:r w:rsidRPr="009E7171">
        <w:rPr>
          <w:rFonts w:ascii="Palatino Linotype" w:eastAsia="Palatino Linotype" w:hAnsi="Palatino Linotype" w:cs="Palatino Linotype"/>
          <w:b/>
          <w:color w:val="000000"/>
          <w:sz w:val="26"/>
          <w:szCs w:val="26"/>
        </w:rPr>
        <w:t>. De la solicitud de aclaración a la solicitud de información y desahogo de la misma.</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9E7171">
        <w:rPr>
          <w:rFonts w:ascii="Palatino Linotype" w:eastAsia="Palatino Linotype" w:hAnsi="Palatino Linotype" w:cs="Palatino Linotype"/>
          <w:color w:val="000000"/>
          <w:sz w:val="24"/>
          <w:szCs w:val="24"/>
        </w:rPr>
        <w:t xml:space="preserve">Derivado del ingreso de la solicitud de información, en fecha doce de octubre de dos mil veintidós, el </w:t>
      </w:r>
      <w:r w:rsidRPr="009E7171">
        <w:rPr>
          <w:rFonts w:ascii="Palatino Linotype" w:eastAsia="Palatino Linotype" w:hAnsi="Palatino Linotype" w:cs="Palatino Linotype"/>
          <w:b/>
          <w:color w:val="000000"/>
          <w:sz w:val="24"/>
          <w:szCs w:val="24"/>
        </w:rPr>
        <w:t>Sujeto Obligado</w:t>
      </w:r>
      <w:r w:rsidRPr="009E7171">
        <w:rPr>
          <w:rFonts w:ascii="Palatino Linotype" w:eastAsia="Palatino Linotype" w:hAnsi="Palatino Linotype" w:cs="Palatino Linotype"/>
          <w:color w:val="000000"/>
          <w:sz w:val="24"/>
          <w:szCs w:val="24"/>
        </w:rPr>
        <w:t xml:space="preserve"> consideró no contar con los elementos suficientes para atender la solicitud de información, por lo que requirió al entonces Solicitante, aclare su solicitud, en los términos siguientes:</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A5F75" w:rsidRPr="009E7171" w:rsidRDefault="001A5F75" w:rsidP="001A5F75">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9E7171">
        <w:rPr>
          <w:rFonts w:ascii="Palatino Linotype" w:eastAsia="Palatino Linotype" w:hAnsi="Palatino Linotype" w:cs="Palatino Linotype"/>
          <w:i/>
          <w:color w:val="000000"/>
          <w:szCs w:val="24"/>
        </w:rPr>
        <w:t xml:space="preserve">“Con fundamento en el </w:t>
      </w:r>
      <w:proofErr w:type="spellStart"/>
      <w:r w:rsidRPr="009E7171">
        <w:rPr>
          <w:rFonts w:ascii="Palatino Linotype" w:eastAsia="Palatino Linotype" w:hAnsi="Palatino Linotype" w:cs="Palatino Linotype"/>
          <w:i/>
          <w:color w:val="000000"/>
          <w:szCs w:val="24"/>
        </w:rPr>
        <w:t>articulo</w:t>
      </w:r>
      <w:proofErr w:type="spellEnd"/>
      <w:r w:rsidRPr="009E7171">
        <w:rPr>
          <w:rFonts w:ascii="Palatino Linotype" w:eastAsia="Palatino Linotype" w:hAnsi="Palatino Linotype" w:cs="Palatino Linotype"/>
          <w:i/>
          <w:color w:val="000000"/>
          <w:szCs w:val="24"/>
        </w:rPr>
        <w:t xml:space="preserve"> 159 de la Ley de Transparencia y Acceso a la Información Pública del Estado de México y Municipios, se le requiere para que dentro del plazo de diez días hábiles realice lo siguiente:</w:t>
      </w:r>
    </w:p>
    <w:p w:rsidR="001A5F75" w:rsidRPr="009E7171" w:rsidRDefault="001A5F75" w:rsidP="001A5F75">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1A5F75" w:rsidRPr="009E7171" w:rsidRDefault="001A5F75" w:rsidP="001A5F75">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9E7171">
        <w:rPr>
          <w:rFonts w:ascii="Palatino Linotype" w:eastAsia="Palatino Linotype" w:hAnsi="Palatino Linotype" w:cs="Palatino Linotype"/>
          <w:i/>
          <w:color w:val="000000"/>
          <w:szCs w:val="24"/>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1A5F75" w:rsidRPr="009E7171" w:rsidRDefault="001A5F75" w:rsidP="001A5F75">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1A5F75" w:rsidRPr="009E7171" w:rsidRDefault="001A5F75" w:rsidP="001A5F75">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9E7171">
        <w:rPr>
          <w:rFonts w:ascii="Palatino Linotype" w:eastAsia="Palatino Linotype" w:hAnsi="Palatino Linotype" w:cs="Palatino Linotype"/>
          <w:i/>
          <w:color w:val="000000"/>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9E7171">
        <w:rPr>
          <w:rFonts w:ascii="Palatino Linotype" w:eastAsia="Palatino Linotype" w:hAnsi="Palatino Linotype" w:cs="Palatino Linotype"/>
          <w:color w:val="000000"/>
          <w:sz w:val="24"/>
          <w:szCs w:val="24"/>
        </w:rPr>
        <w:t xml:space="preserve">El </w:t>
      </w:r>
      <w:r w:rsidRPr="009E7171">
        <w:rPr>
          <w:rFonts w:ascii="Palatino Linotype" w:eastAsia="Palatino Linotype" w:hAnsi="Palatino Linotype" w:cs="Palatino Linotype"/>
          <w:b/>
          <w:color w:val="000000"/>
          <w:sz w:val="24"/>
          <w:szCs w:val="24"/>
        </w:rPr>
        <w:t>Solicitante</w:t>
      </w:r>
      <w:r w:rsidRPr="009E7171">
        <w:rPr>
          <w:rFonts w:ascii="Palatino Linotype" w:eastAsia="Palatino Linotype" w:hAnsi="Palatino Linotype" w:cs="Palatino Linotype"/>
          <w:color w:val="000000"/>
          <w:sz w:val="24"/>
          <w:szCs w:val="24"/>
        </w:rPr>
        <w:t xml:space="preserve"> estando dentro del término otorgado por el </w:t>
      </w:r>
      <w:r w:rsidRPr="009E7171">
        <w:rPr>
          <w:rFonts w:ascii="Palatino Linotype" w:eastAsia="Palatino Linotype" w:hAnsi="Palatino Linotype" w:cs="Palatino Linotype"/>
          <w:b/>
          <w:color w:val="000000"/>
          <w:sz w:val="24"/>
          <w:szCs w:val="24"/>
        </w:rPr>
        <w:t>Sujeto Obligado</w:t>
      </w:r>
      <w:r w:rsidRPr="009E7171">
        <w:rPr>
          <w:rFonts w:ascii="Palatino Linotype" w:eastAsia="Palatino Linotype" w:hAnsi="Palatino Linotype" w:cs="Palatino Linotype"/>
          <w:color w:val="000000"/>
          <w:sz w:val="24"/>
          <w:szCs w:val="24"/>
        </w:rPr>
        <w:t xml:space="preserve">, desahogo la solicitud de aclaración, manifestando </w:t>
      </w:r>
      <w:r w:rsidRPr="009E7171">
        <w:rPr>
          <w:rFonts w:ascii="Palatino Linotype" w:eastAsia="Palatino Linotype" w:hAnsi="Palatino Linotype" w:cs="Palatino Linotype"/>
          <w:i/>
          <w:color w:val="000000"/>
          <w:sz w:val="24"/>
          <w:szCs w:val="24"/>
        </w:rPr>
        <w:t>“NO ENTIENDO QUE REQUIERE ACLARAR, LA SOLICITUD ES MUY ESPECÍFICA”</w:t>
      </w:r>
      <w:r w:rsidRPr="009E7171">
        <w:rPr>
          <w:rFonts w:ascii="Palatino Linotype" w:eastAsia="Palatino Linotype" w:hAnsi="Palatino Linotype" w:cs="Palatino Linotype"/>
          <w:color w:val="000000"/>
          <w:sz w:val="24"/>
          <w:szCs w:val="24"/>
        </w:rPr>
        <w:t>.</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9E7171">
        <w:rPr>
          <w:rFonts w:ascii="Palatino Linotype" w:eastAsia="Palatino Linotype" w:hAnsi="Palatino Linotype" w:cs="Palatino Linotype"/>
          <w:b/>
          <w:color w:val="000000"/>
          <w:sz w:val="28"/>
          <w:szCs w:val="24"/>
        </w:rPr>
        <w:lastRenderedPageBreak/>
        <w:t>TERCERO</w:t>
      </w:r>
      <w:r w:rsidRPr="009E7171">
        <w:rPr>
          <w:rFonts w:ascii="Palatino Linotype" w:eastAsia="Palatino Linotype" w:hAnsi="Palatino Linotype" w:cs="Palatino Linotype"/>
          <w:b/>
          <w:color w:val="000000"/>
          <w:sz w:val="24"/>
          <w:szCs w:val="24"/>
        </w:rPr>
        <w:t xml:space="preserve">. </w:t>
      </w:r>
      <w:r w:rsidRPr="009E7171">
        <w:rPr>
          <w:rFonts w:ascii="Palatino Linotype" w:eastAsia="Palatino Linotype" w:hAnsi="Palatino Linotype" w:cs="Palatino Linotype"/>
          <w:b/>
          <w:color w:val="000000"/>
          <w:sz w:val="26"/>
          <w:szCs w:val="26"/>
        </w:rPr>
        <w:t>De la respuesta a la solicitud de información.</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9E7171">
        <w:rPr>
          <w:rFonts w:ascii="Palatino Linotype" w:eastAsia="Palatino Linotype" w:hAnsi="Palatino Linotype" w:cs="Palatino Linotype"/>
          <w:color w:val="000000"/>
          <w:sz w:val="24"/>
          <w:szCs w:val="24"/>
        </w:rPr>
        <w:t xml:space="preserve">De conformidad con las constancias que obran en el expediente electrónico, se observa que el día siete de noviembre de dos mil veintidós, el </w:t>
      </w:r>
      <w:r w:rsidRPr="009E7171">
        <w:rPr>
          <w:rFonts w:ascii="Palatino Linotype" w:eastAsia="Palatino Linotype" w:hAnsi="Palatino Linotype" w:cs="Palatino Linotype"/>
          <w:b/>
          <w:color w:val="000000"/>
          <w:sz w:val="24"/>
          <w:szCs w:val="24"/>
        </w:rPr>
        <w:t>Sujeto Obligado</w:t>
      </w:r>
      <w:r w:rsidRPr="009E7171">
        <w:rPr>
          <w:rFonts w:ascii="Palatino Linotype" w:eastAsia="Palatino Linotype" w:hAnsi="Palatino Linotype" w:cs="Palatino Linotype"/>
          <w:color w:val="000000"/>
          <w:sz w:val="24"/>
          <w:szCs w:val="24"/>
        </w:rPr>
        <w:t xml:space="preserve"> dio respuesta a la solicitud de información manifestando lo siguiente:</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A5F75" w:rsidRPr="009E7171" w:rsidRDefault="001A5F75" w:rsidP="001A5F7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9E7171">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A5F75" w:rsidRPr="009E7171" w:rsidRDefault="001A5F75" w:rsidP="001A5F7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rsidR="001A5F75" w:rsidRPr="009E7171" w:rsidRDefault="001A5F75" w:rsidP="001A5F7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9E7171">
        <w:rPr>
          <w:rFonts w:ascii="Palatino Linotype" w:eastAsia="Palatino Linotype" w:hAnsi="Palatino Linotype" w:cs="Palatino Linotype"/>
          <w:i/>
          <w:color w:val="000000"/>
        </w:rPr>
        <w:t>Se adjunta la respuesta a la solicitud interpuesta a través de esta plataforma digital.” (Sic)</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9E7171">
        <w:rPr>
          <w:rFonts w:ascii="Palatino Linotype" w:eastAsia="Palatino Linotype" w:hAnsi="Palatino Linotype" w:cs="Palatino Linotype"/>
          <w:color w:val="000000"/>
          <w:sz w:val="24"/>
          <w:szCs w:val="24"/>
        </w:rPr>
        <w:t xml:space="preserve">A su respuesta se anexó el documento denominado </w:t>
      </w:r>
      <w:r w:rsidRPr="009E7171">
        <w:rPr>
          <w:rFonts w:ascii="Palatino Linotype" w:eastAsia="Palatino Linotype" w:hAnsi="Palatino Linotype" w:cs="Palatino Linotype"/>
          <w:b/>
          <w:color w:val="000000"/>
          <w:sz w:val="24"/>
          <w:szCs w:val="24"/>
        </w:rPr>
        <w:t>“</w:t>
      </w:r>
      <w:r w:rsidRPr="009E7171">
        <w:rPr>
          <w:rFonts w:ascii="Palatino Linotype" w:eastAsia="Palatino Linotype" w:hAnsi="Palatino Linotype" w:cs="Palatino Linotype"/>
          <w:b/>
          <w:i/>
          <w:color w:val="000000"/>
          <w:sz w:val="24"/>
          <w:szCs w:val="24"/>
        </w:rPr>
        <w:t>respuesta de solicitud 945-22.pdf</w:t>
      </w:r>
      <w:r w:rsidRPr="009E7171">
        <w:rPr>
          <w:rFonts w:ascii="Palatino Linotype" w:eastAsia="Palatino Linotype" w:hAnsi="Palatino Linotype" w:cs="Palatino Linotype"/>
          <w:b/>
          <w:color w:val="000000"/>
          <w:sz w:val="24"/>
          <w:szCs w:val="24"/>
        </w:rPr>
        <w:t>”</w:t>
      </w:r>
      <w:r w:rsidRPr="009E7171">
        <w:rPr>
          <w:rFonts w:ascii="Palatino Linotype" w:eastAsia="Palatino Linotype" w:hAnsi="Palatino Linotype" w:cs="Palatino Linotype"/>
          <w:color w:val="000000"/>
          <w:sz w:val="24"/>
          <w:szCs w:val="24"/>
        </w:rPr>
        <w:t>, el cual no se reproduce por ser del conocimiento de ambas partes; no obstante, se hará referencia de su contenido en el estudio correspondiente.</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9E7171">
        <w:rPr>
          <w:rFonts w:ascii="Palatino Linotype" w:eastAsia="Palatino Linotype" w:hAnsi="Palatino Linotype" w:cs="Palatino Linotype"/>
          <w:b/>
          <w:color w:val="000000"/>
          <w:sz w:val="28"/>
          <w:szCs w:val="26"/>
        </w:rPr>
        <w:t>CUARTO</w:t>
      </w:r>
      <w:r w:rsidRPr="009E7171">
        <w:rPr>
          <w:rFonts w:ascii="Palatino Linotype" w:eastAsia="Palatino Linotype" w:hAnsi="Palatino Linotype" w:cs="Palatino Linotype"/>
          <w:b/>
          <w:color w:val="000000"/>
          <w:sz w:val="26"/>
          <w:szCs w:val="26"/>
        </w:rPr>
        <w:t>. Del recurso de revisión.</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9E7171">
        <w:rPr>
          <w:rFonts w:ascii="Palatino Linotype" w:eastAsia="Palatino Linotype" w:hAnsi="Palatino Linotype" w:cs="Palatino Linotype"/>
          <w:color w:val="000000"/>
          <w:sz w:val="24"/>
          <w:szCs w:val="24"/>
        </w:rPr>
        <w:t xml:space="preserve">Inconforme con la respuesta emitida por el Sujeto Obligado, el Recurrente interpuso el presente recurso de revisión el día siete de noviembre de dos mil veintidós, el cual se registró con el expediente número </w:t>
      </w:r>
      <w:r w:rsidRPr="009E7171">
        <w:rPr>
          <w:rFonts w:ascii="Palatino Linotype" w:eastAsia="Palatino Linotype" w:hAnsi="Palatino Linotype" w:cs="Palatino Linotype"/>
          <w:b/>
          <w:color w:val="000000"/>
          <w:sz w:val="24"/>
          <w:szCs w:val="24"/>
        </w:rPr>
        <w:t>016225/INFOEM/IP/RR/2022</w:t>
      </w:r>
      <w:r w:rsidRPr="009E7171">
        <w:rPr>
          <w:rFonts w:ascii="Palatino Linotype" w:eastAsia="Palatino Linotype" w:hAnsi="Palatino Linotype" w:cs="Palatino Linotype"/>
          <w:color w:val="000000"/>
          <w:sz w:val="24"/>
          <w:szCs w:val="24"/>
        </w:rPr>
        <w:t>, en el cual manifestó lo siguiente:</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A5F75" w:rsidRPr="009E7171" w:rsidRDefault="001A5F75" w:rsidP="001A5F75">
      <w:pPr>
        <w:spacing w:after="0" w:line="360" w:lineRule="auto"/>
        <w:contextualSpacing/>
        <w:jc w:val="both"/>
        <w:rPr>
          <w:rFonts w:ascii="Palatino Linotype" w:eastAsia="Palatino Linotype" w:hAnsi="Palatino Linotype" w:cs="Palatino Linotype"/>
        </w:rPr>
      </w:pPr>
      <w:r w:rsidRPr="009E7171">
        <w:rPr>
          <w:rFonts w:ascii="Palatino Linotype" w:eastAsia="Palatino Linotype" w:hAnsi="Palatino Linotype" w:cs="Palatino Linotype"/>
          <w:b/>
        </w:rPr>
        <w:t xml:space="preserve">Acto Impugnado: </w:t>
      </w:r>
    </w:p>
    <w:p w:rsidR="001A5F75" w:rsidRPr="009E7171" w:rsidRDefault="001A5F75" w:rsidP="001A5F75">
      <w:pPr>
        <w:spacing w:after="0" w:line="360" w:lineRule="auto"/>
        <w:contextualSpacing/>
        <w:jc w:val="both"/>
        <w:rPr>
          <w:rFonts w:ascii="Palatino Linotype" w:eastAsia="Palatino Linotype" w:hAnsi="Palatino Linotype" w:cs="Palatino Linotype"/>
        </w:rPr>
      </w:pPr>
    </w:p>
    <w:p w:rsidR="001A5F75" w:rsidRPr="009E7171" w:rsidRDefault="001A5F75" w:rsidP="001A5F75">
      <w:pPr>
        <w:spacing w:after="0"/>
        <w:ind w:left="567" w:right="616"/>
        <w:contextualSpacing/>
        <w:jc w:val="both"/>
        <w:rPr>
          <w:rFonts w:ascii="Palatino Linotype" w:eastAsia="Palatino Linotype" w:hAnsi="Palatino Linotype" w:cs="Palatino Linotype"/>
          <w:b/>
        </w:rPr>
      </w:pPr>
      <w:r w:rsidRPr="009E7171">
        <w:rPr>
          <w:rFonts w:ascii="Palatino Linotype" w:eastAsia="Palatino Linotype" w:hAnsi="Palatino Linotype" w:cs="Palatino Linotype"/>
          <w:i/>
        </w:rPr>
        <w:t>“NO ENTREGA INFORMACIÓN"(Sic)</w:t>
      </w:r>
    </w:p>
    <w:p w:rsidR="001A5F75" w:rsidRPr="009E7171" w:rsidRDefault="001A5F75" w:rsidP="001A5F75">
      <w:pPr>
        <w:spacing w:after="0" w:line="360" w:lineRule="auto"/>
        <w:contextualSpacing/>
        <w:jc w:val="both"/>
        <w:rPr>
          <w:rFonts w:ascii="Palatino Linotype" w:eastAsia="Palatino Linotype" w:hAnsi="Palatino Linotype" w:cs="Palatino Linotype"/>
          <w:iCs/>
          <w:sz w:val="24"/>
          <w:szCs w:val="24"/>
        </w:rPr>
      </w:pPr>
    </w:p>
    <w:p w:rsidR="001A5F75" w:rsidRPr="009E7171" w:rsidRDefault="001A5F75" w:rsidP="001A5F75">
      <w:pPr>
        <w:spacing w:after="0" w:line="360" w:lineRule="auto"/>
        <w:contextualSpacing/>
        <w:jc w:val="both"/>
        <w:rPr>
          <w:rFonts w:ascii="Palatino Linotype" w:eastAsia="Palatino Linotype" w:hAnsi="Palatino Linotype" w:cs="Palatino Linotype"/>
        </w:rPr>
      </w:pPr>
      <w:r w:rsidRPr="009E7171">
        <w:rPr>
          <w:rFonts w:ascii="Palatino Linotype" w:eastAsia="Palatino Linotype" w:hAnsi="Palatino Linotype" w:cs="Palatino Linotype"/>
          <w:b/>
        </w:rPr>
        <w:lastRenderedPageBreak/>
        <w:t>Razones o Motivos de Inconformidad</w:t>
      </w:r>
      <w:r w:rsidRPr="009E7171">
        <w:rPr>
          <w:rFonts w:ascii="Palatino Linotype" w:eastAsia="Palatino Linotype" w:hAnsi="Palatino Linotype" w:cs="Palatino Linotype"/>
        </w:rPr>
        <w:t>:</w:t>
      </w:r>
    </w:p>
    <w:p w:rsidR="001A5F75" w:rsidRPr="009E7171" w:rsidRDefault="001A5F75" w:rsidP="001A5F75">
      <w:pPr>
        <w:spacing w:after="0" w:line="360" w:lineRule="auto"/>
        <w:contextualSpacing/>
        <w:jc w:val="both"/>
        <w:rPr>
          <w:rFonts w:ascii="Palatino Linotype" w:eastAsia="Palatino Linotype" w:hAnsi="Palatino Linotype" w:cs="Palatino Linotype"/>
        </w:rPr>
      </w:pPr>
    </w:p>
    <w:p w:rsidR="001A5F75" w:rsidRPr="009E7171" w:rsidRDefault="001A5F75" w:rsidP="001A5F75">
      <w:pPr>
        <w:spacing w:after="0"/>
        <w:ind w:left="567" w:right="616"/>
        <w:contextualSpacing/>
        <w:jc w:val="both"/>
        <w:rPr>
          <w:rFonts w:ascii="Palatino Linotype" w:eastAsia="Palatino Linotype" w:hAnsi="Palatino Linotype" w:cs="Palatino Linotype"/>
        </w:rPr>
      </w:pPr>
      <w:r w:rsidRPr="009E7171">
        <w:rPr>
          <w:rFonts w:ascii="Palatino Linotype" w:eastAsia="Palatino Linotype" w:hAnsi="Palatino Linotype" w:cs="Palatino Linotype"/>
          <w:i/>
        </w:rPr>
        <w:t>“NO ENTREGA INFORMACIÓN” (Sic)</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9E7171">
        <w:rPr>
          <w:rFonts w:ascii="Palatino Linotype" w:eastAsia="Palatino Linotype" w:hAnsi="Palatino Linotype" w:cs="Palatino Linotype"/>
          <w:color w:val="000000"/>
          <w:sz w:val="24"/>
          <w:szCs w:val="24"/>
        </w:rPr>
        <w:t xml:space="preserve">Medio de impugnación que le fue turnado al </w:t>
      </w:r>
      <w:r w:rsidRPr="009E7171">
        <w:rPr>
          <w:rFonts w:ascii="Palatino Linotype" w:eastAsia="Palatino Linotype" w:hAnsi="Palatino Linotype" w:cs="Palatino Linotype"/>
          <w:b/>
          <w:color w:val="000000"/>
          <w:sz w:val="24"/>
          <w:szCs w:val="24"/>
        </w:rPr>
        <w:t>Comisionado José Martínez Vilchis</w:t>
      </w:r>
      <w:r w:rsidRPr="009E7171">
        <w:rPr>
          <w:rFonts w:ascii="Palatino Linotype" w:eastAsia="Palatino Linotype" w:hAnsi="Palatino Linotype" w:cs="Palatino Linotype"/>
          <w:color w:val="000000"/>
          <w:sz w:val="24"/>
          <w:szCs w:val="24"/>
        </w:rPr>
        <w:t xml:space="preserve">, por medio del sistema electrónico en términos del numeral 185 fracción I de la Ley de Transparencia y Acceso a la información Pública del Estado de México y Municipios, al cual recayó acuerdo de admisión de fecha diez de noviembre de dos mil veintidós, </w:t>
      </w:r>
      <w:r w:rsidRPr="009E7171">
        <w:rPr>
          <w:rFonts w:ascii="Palatino Linotype" w:eastAsia="Palatino Linotype" w:hAnsi="Palatino Linotype" w:cs="Palatino Linotype"/>
          <w:sz w:val="24"/>
          <w:szCs w:val="24"/>
        </w:rPr>
        <w:t>otorgándose</w:t>
      </w:r>
      <w:r w:rsidRPr="009E7171">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9E7171">
        <w:rPr>
          <w:rFonts w:ascii="Palatino Linotype" w:eastAsia="Palatino Linotype" w:hAnsi="Palatino Linotype" w:cs="Palatino Linotype"/>
          <w:b/>
          <w:color w:val="000000"/>
          <w:sz w:val="28"/>
          <w:szCs w:val="26"/>
        </w:rPr>
        <w:t>QUINTO</w:t>
      </w:r>
      <w:r w:rsidRPr="009E7171">
        <w:rPr>
          <w:rFonts w:ascii="Palatino Linotype" w:eastAsia="Palatino Linotype" w:hAnsi="Palatino Linotype" w:cs="Palatino Linotype"/>
          <w:b/>
          <w:color w:val="000000"/>
          <w:sz w:val="26"/>
          <w:szCs w:val="26"/>
        </w:rPr>
        <w:t>. De la etapa de instrucción.</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hAnsi="Palatino Linotype" w:cs="Arial"/>
          <w:sz w:val="24"/>
          <w:szCs w:val="24"/>
        </w:rPr>
      </w:pPr>
      <w:r w:rsidRPr="009E7171">
        <w:rPr>
          <w:rFonts w:ascii="Palatino Linotype" w:hAnsi="Palatino Linotype" w:cs="Arial"/>
          <w:sz w:val="24"/>
          <w:szCs w:val="24"/>
        </w:rPr>
        <w:t xml:space="preserve">Una vez abierta la etapa de instrucción, se advierte que, tanto el </w:t>
      </w:r>
      <w:r w:rsidRPr="009E7171">
        <w:rPr>
          <w:rFonts w:ascii="Palatino Linotype" w:hAnsi="Palatino Linotype" w:cs="Arial"/>
          <w:b/>
          <w:sz w:val="24"/>
          <w:szCs w:val="24"/>
        </w:rPr>
        <w:t>Sujeto Obligado</w:t>
      </w:r>
      <w:r w:rsidRPr="009E7171">
        <w:rPr>
          <w:rFonts w:ascii="Palatino Linotype" w:hAnsi="Palatino Linotype" w:cs="Arial"/>
          <w:sz w:val="24"/>
          <w:szCs w:val="24"/>
        </w:rPr>
        <w:t xml:space="preserve"> como la </w:t>
      </w:r>
      <w:r w:rsidRPr="009E7171">
        <w:rPr>
          <w:rFonts w:ascii="Palatino Linotype" w:hAnsi="Palatino Linotype" w:cs="Arial"/>
          <w:b/>
          <w:sz w:val="24"/>
          <w:szCs w:val="24"/>
        </w:rPr>
        <w:t>Recurrente</w:t>
      </w:r>
      <w:r w:rsidRPr="009E7171">
        <w:rPr>
          <w:rFonts w:ascii="Palatino Linotype" w:hAnsi="Palatino Linotype" w:cs="Arial"/>
          <w:sz w:val="24"/>
          <w:szCs w:val="24"/>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Pr="009E7171">
        <w:rPr>
          <w:rFonts w:ascii="Palatino Linotype" w:hAnsi="Palatino Linotype" w:cs="Arial"/>
          <w:b/>
          <w:sz w:val="24"/>
          <w:szCs w:val="24"/>
        </w:rPr>
        <w:t>Recurrente</w:t>
      </w:r>
      <w:r w:rsidRPr="009E7171">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hAnsi="Palatino Linotype" w:cs="Arial"/>
          <w:sz w:val="24"/>
          <w:szCs w:val="24"/>
        </w:rPr>
      </w:pP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9E7171">
        <w:rPr>
          <w:rFonts w:ascii="Palatino Linotype" w:eastAsia="Palatino Linotype" w:hAnsi="Palatino Linotype" w:cs="Palatino Linotype"/>
          <w:color w:val="000000"/>
          <w:sz w:val="24"/>
          <w:szCs w:val="24"/>
        </w:rPr>
        <w:t xml:space="preserve">Así, una vez transcurrido el término legal, se decretó el cierre de instrucción en fecha diecisiete de noviembre de dos mil veintidós, en términos del artículo 185 fracción VI </w:t>
      </w:r>
      <w:r w:rsidRPr="009E7171">
        <w:rPr>
          <w:rFonts w:ascii="Palatino Linotype" w:eastAsia="Palatino Linotype" w:hAnsi="Palatino Linotype" w:cs="Palatino Linotype"/>
          <w:color w:val="000000"/>
          <w:sz w:val="24"/>
          <w:szCs w:val="24"/>
        </w:rPr>
        <w:lastRenderedPageBreak/>
        <w:t>de la Ley de Transparencia y Acceso a la Información Pública del Estado de México y Municipios, iniciando el término legal para dictar resolución definitiva del asunto.</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A5F75" w:rsidRPr="009E7171" w:rsidRDefault="001A5F75" w:rsidP="001A5F75">
      <w:pPr>
        <w:spacing w:after="0" w:line="360" w:lineRule="auto"/>
        <w:rPr>
          <w:rFonts w:ascii="Palatino Linotype" w:eastAsiaTheme="minorHAnsi" w:hAnsi="Palatino Linotype" w:cstheme="minorBidi"/>
          <w:b/>
          <w:sz w:val="26"/>
          <w:szCs w:val="26"/>
          <w:lang w:eastAsia="en-US"/>
        </w:rPr>
      </w:pPr>
      <w:r w:rsidRPr="009E7171">
        <w:rPr>
          <w:rFonts w:ascii="Palatino Linotype" w:eastAsiaTheme="minorHAnsi" w:hAnsi="Palatino Linotype" w:cstheme="minorBidi"/>
          <w:b/>
          <w:sz w:val="28"/>
          <w:szCs w:val="26"/>
          <w:lang w:eastAsia="en-US"/>
        </w:rPr>
        <w:t>SÉPTIMO</w:t>
      </w:r>
      <w:r w:rsidRPr="009E7171">
        <w:rPr>
          <w:rFonts w:ascii="Palatino Linotype" w:eastAsiaTheme="minorHAnsi" w:hAnsi="Palatino Linotype" w:cstheme="minorBidi"/>
          <w:b/>
          <w:sz w:val="26"/>
          <w:szCs w:val="26"/>
          <w:lang w:eastAsia="en-US"/>
        </w:rPr>
        <w:t>. De la ampliación del término para resolver.</w:t>
      </w:r>
    </w:p>
    <w:p w:rsidR="001A5F75" w:rsidRPr="009E7171" w:rsidRDefault="001A5F75" w:rsidP="001A5F75">
      <w:pPr>
        <w:spacing w:after="0" w:line="360" w:lineRule="auto"/>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De las constancias que integran el expediente electrónico , se advierte que ha transcurrido el término de Ley, para la emisión de la resolución en el presente recurso de revisión, por lo que en fecha diez de diciembre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1A5F75" w:rsidRPr="009E7171" w:rsidRDefault="001A5F75" w:rsidP="001A5F75">
      <w:pPr>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t xml:space="preserve"> </w:t>
      </w: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9E7171">
        <w:rPr>
          <w:rFonts w:ascii="Palatino Linotype" w:eastAsia="Times New Roman" w:hAnsi="Palatino Linotype" w:cs="Arial"/>
          <w:sz w:val="24"/>
          <w:szCs w:val="24"/>
          <w:lang w:val="es-ES" w:eastAsia="es-ES"/>
        </w:rPr>
        <w:lastRenderedPageBreak/>
        <w:t>razonabilidad de asuntos conforme a los parámetros establecidos por diversos órganos jurisdiccionales federales, aplicables también en procedimientos análogos, como el que nos ocupa.</w:t>
      </w: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t xml:space="preserve"> </w:t>
      </w: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t xml:space="preserve"> </w:t>
      </w: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t>Por ello, excepcionalmente, si un asunto es resuelto con posterioridad a los plazos señalados por la norma debe analizarse la razonabilidad del tiempo necesario para su resolución, atentos a los siguientes criterios:</w:t>
      </w: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p>
    <w:p w:rsidR="001A5F75" w:rsidRPr="009E7171" w:rsidRDefault="001A5F75" w:rsidP="001A5F75">
      <w:pPr>
        <w:spacing w:after="0" w:line="360" w:lineRule="auto"/>
        <w:ind w:left="993" w:right="49" w:hanging="426"/>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b/>
          <w:sz w:val="24"/>
          <w:szCs w:val="24"/>
          <w:lang w:val="es-ES" w:eastAsia="es-ES"/>
        </w:rPr>
        <w:t xml:space="preserve">a) </w:t>
      </w:r>
      <w:r w:rsidRPr="009E7171">
        <w:rPr>
          <w:rFonts w:ascii="Palatino Linotype" w:eastAsia="Times New Roman" w:hAnsi="Palatino Linotype" w:cs="Arial"/>
          <w:b/>
          <w:sz w:val="24"/>
          <w:szCs w:val="24"/>
          <w:lang w:val="es-ES" w:eastAsia="es-ES"/>
        </w:rPr>
        <w:tab/>
        <w:t>Complejidad del asunto:</w:t>
      </w:r>
      <w:r w:rsidRPr="009E7171">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1A5F75" w:rsidRPr="009E7171" w:rsidRDefault="001A5F75" w:rsidP="001A5F75">
      <w:pPr>
        <w:spacing w:after="0" w:line="360" w:lineRule="auto"/>
        <w:ind w:left="993" w:right="49" w:hanging="426"/>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b/>
          <w:sz w:val="24"/>
          <w:szCs w:val="24"/>
          <w:lang w:val="es-ES" w:eastAsia="es-ES"/>
        </w:rPr>
        <w:t xml:space="preserve">b) </w:t>
      </w:r>
      <w:r w:rsidRPr="009E7171">
        <w:rPr>
          <w:rFonts w:ascii="Palatino Linotype" w:eastAsia="Times New Roman" w:hAnsi="Palatino Linotype" w:cs="Arial"/>
          <w:b/>
          <w:sz w:val="24"/>
          <w:szCs w:val="24"/>
          <w:lang w:val="es-ES" w:eastAsia="es-ES"/>
        </w:rPr>
        <w:tab/>
        <w:t>Actividad Procesal del interesado:</w:t>
      </w:r>
      <w:r w:rsidRPr="009E7171">
        <w:rPr>
          <w:rFonts w:ascii="Palatino Linotype" w:eastAsia="Times New Roman" w:hAnsi="Palatino Linotype" w:cs="Arial"/>
          <w:sz w:val="24"/>
          <w:szCs w:val="24"/>
          <w:lang w:val="es-ES" w:eastAsia="es-ES"/>
        </w:rPr>
        <w:t xml:space="preserve"> Acciones u omisiones del interesado.</w:t>
      </w:r>
    </w:p>
    <w:p w:rsidR="001A5F75" w:rsidRPr="009E7171" w:rsidRDefault="001A5F75" w:rsidP="001A5F75">
      <w:pPr>
        <w:spacing w:after="0" w:line="360" w:lineRule="auto"/>
        <w:ind w:left="993" w:right="49" w:hanging="426"/>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b/>
          <w:sz w:val="24"/>
          <w:szCs w:val="24"/>
          <w:lang w:val="es-ES" w:eastAsia="es-ES"/>
        </w:rPr>
        <w:lastRenderedPageBreak/>
        <w:t xml:space="preserve">c) </w:t>
      </w:r>
      <w:r w:rsidRPr="009E7171">
        <w:rPr>
          <w:rFonts w:ascii="Palatino Linotype" w:eastAsia="Times New Roman" w:hAnsi="Palatino Linotype" w:cs="Arial"/>
          <w:b/>
          <w:sz w:val="24"/>
          <w:szCs w:val="24"/>
          <w:lang w:val="es-ES" w:eastAsia="es-ES"/>
        </w:rPr>
        <w:tab/>
        <w:t>Conducta de la Autoridad:</w:t>
      </w:r>
      <w:r w:rsidRPr="009E7171">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1A5F75" w:rsidRPr="009E7171" w:rsidRDefault="001A5F75" w:rsidP="001A5F75">
      <w:pPr>
        <w:spacing w:after="0" w:line="360" w:lineRule="auto"/>
        <w:ind w:left="993" w:right="49" w:hanging="426"/>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b/>
          <w:sz w:val="24"/>
          <w:szCs w:val="24"/>
          <w:lang w:val="es-ES" w:eastAsia="es-ES"/>
        </w:rPr>
        <w:t xml:space="preserve">d) </w:t>
      </w:r>
      <w:r w:rsidRPr="009E7171">
        <w:rPr>
          <w:rFonts w:ascii="Palatino Linotype" w:eastAsia="Times New Roman" w:hAnsi="Palatino Linotype" w:cs="Arial"/>
          <w:b/>
          <w:sz w:val="24"/>
          <w:szCs w:val="24"/>
          <w:lang w:val="es-ES" w:eastAsia="es-ES"/>
        </w:rPr>
        <w:tab/>
        <w:t>La afectación generada en la situación jurídica de la persona involucrada en el proceso:</w:t>
      </w:r>
      <w:r w:rsidRPr="009E7171">
        <w:rPr>
          <w:rFonts w:ascii="Palatino Linotype" w:eastAsia="Times New Roman" w:hAnsi="Palatino Linotype" w:cs="Arial"/>
          <w:sz w:val="24"/>
          <w:szCs w:val="24"/>
          <w:lang w:val="es-ES" w:eastAsia="es-ES"/>
        </w:rPr>
        <w:t xml:space="preserve"> Violación a sus derechos humanos.</w:t>
      </w: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t>Argumento que encuentra sustento en la jurisprudencia P</w:t>
      </w:r>
      <w:proofErr w:type="gramStart"/>
      <w:r w:rsidRPr="009E7171">
        <w:rPr>
          <w:rFonts w:ascii="Palatino Linotype" w:eastAsia="Times New Roman" w:hAnsi="Palatino Linotype" w:cs="Arial"/>
          <w:sz w:val="24"/>
          <w:szCs w:val="24"/>
          <w:lang w:val="es-ES" w:eastAsia="es-ES"/>
        </w:rPr>
        <w:t>./</w:t>
      </w:r>
      <w:proofErr w:type="gramEnd"/>
      <w:r w:rsidRPr="009E7171">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9E7171">
        <w:rPr>
          <w:rFonts w:ascii="Palatino Linotype" w:eastAsia="Times New Roman" w:hAnsi="Palatino Linotype" w:cs="Arial"/>
          <w:sz w:val="24"/>
          <w:szCs w:val="24"/>
          <w:lang w:val="es-ES" w:eastAsia="es-ES"/>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t xml:space="preserve"> </w:t>
      </w: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t xml:space="preserve"> </w:t>
      </w: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p>
    <w:p w:rsidR="001A5F75" w:rsidRPr="009E7171" w:rsidRDefault="001A5F75" w:rsidP="001A5F75">
      <w:pPr>
        <w:spacing w:after="0" w:line="360" w:lineRule="auto"/>
        <w:ind w:right="49"/>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1A5F75" w:rsidRPr="009E7171" w:rsidRDefault="001A5F75" w:rsidP="001A5F7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E7171">
        <w:rPr>
          <w:rFonts w:ascii="Palatino Linotype" w:eastAsia="Palatino Linotype" w:hAnsi="Palatino Linotype" w:cs="Palatino Linotype"/>
          <w:b/>
          <w:color w:val="000000"/>
          <w:sz w:val="28"/>
          <w:szCs w:val="28"/>
        </w:rPr>
        <w:lastRenderedPageBreak/>
        <w:t>C O N S I D E R A N D O</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A5F75" w:rsidRPr="009E7171" w:rsidRDefault="001A5F75" w:rsidP="001A5F75">
      <w:pPr>
        <w:spacing w:after="0" w:line="360" w:lineRule="auto"/>
        <w:jc w:val="both"/>
        <w:rPr>
          <w:rFonts w:ascii="Palatino Linotype" w:eastAsiaTheme="minorHAnsi" w:hAnsi="Palatino Linotype" w:cs="Arial"/>
          <w:sz w:val="28"/>
          <w:szCs w:val="28"/>
          <w:lang w:eastAsia="en-US"/>
        </w:rPr>
      </w:pPr>
      <w:r w:rsidRPr="009E7171">
        <w:rPr>
          <w:rFonts w:ascii="Palatino Linotype" w:eastAsiaTheme="minorHAnsi" w:hAnsi="Palatino Linotype" w:cs="Arial"/>
          <w:b/>
          <w:sz w:val="28"/>
          <w:szCs w:val="28"/>
          <w:lang w:eastAsia="en-US"/>
        </w:rPr>
        <w:t xml:space="preserve">PRIMERO. </w:t>
      </w:r>
      <w:r w:rsidRPr="009E7171">
        <w:rPr>
          <w:rFonts w:ascii="Palatino Linotype" w:eastAsiaTheme="minorHAnsi" w:hAnsi="Palatino Linotype" w:cs="Arial"/>
          <w:b/>
          <w:sz w:val="26"/>
          <w:szCs w:val="26"/>
          <w:lang w:eastAsia="en-US"/>
        </w:rPr>
        <w:t>De la competencia</w:t>
      </w:r>
      <w:r w:rsidRPr="009E7171">
        <w:rPr>
          <w:rFonts w:ascii="Palatino Linotype" w:eastAsiaTheme="minorHAnsi" w:hAnsi="Palatino Linotype" w:cs="Arial"/>
          <w:sz w:val="26"/>
          <w:szCs w:val="26"/>
          <w:lang w:eastAsia="en-US"/>
        </w:rPr>
        <w:t>.</w:t>
      </w:r>
    </w:p>
    <w:p w:rsidR="001A5F75" w:rsidRPr="009E7171" w:rsidRDefault="001A5F75" w:rsidP="001A5F75">
      <w:pPr>
        <w:spacing w:after="0" w:line="360" w:lineRule="auto"/>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9E7171">
        <w:rPr>
          <w:rFonts w:ascii="Palatino Linotype" w:eastAsiaTheme="minorHAnsi" w:hAnsi="Palatino Linotype" w:cs="Arial"/>
          <w:b/>
          <w:sz w:val="24"/>
          <w:szCs w:val="24"/>
          <w:lang w:eastAsia="en-US"/>
        </w:rPr>
        <w:t>Recurrente</w:t>
      </w:r>
      <w:r w:rsidRPr="009E7171">
        <w:rPr>
          <w:rFonts w:ascii="Palatino Linotype" w:eastAsiaTheme="minorHAnsi" w:hAnsi="Palatino Linotype" w:cs="Arial"/>
          <w:sz w:val="24"/>
          <w:szCs w:val="24"/>
          <w:lang w:eastAsia="en-US"/>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1A5F75" w:rsidRPr="009E7171" w:rsidRDefault="001A5F75" w:rsidP="001A5F75">
      <w:pPr>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9E7171">
        <w:rPr>
          <w:rFonts w:ascii="Palatino Linotype" w:eastAsiaTheme="minorHAnsi" w:hAnsi="Palatino Linotype" w:cs="Arial"/>
          <w:b/>
          <w:sz w:val="28"/>
          <w:szCs w:val="28"/>
          <w:lang w:eastAsia="en-US"/>
        </w:rPr>
        <w:t>SEGUNDO. Del alcance del recurso de revisión.</w:t>
      </w:r>
      <w:r w:rsidRPr="009E7171">
        <w:rPr>
          <w:rFonts w:ascii="Palatino Linotype" w:eastAsiaTheme="minorHAnsi" w:hAnsi="Palatino Linotype" w:cs="Arial"/>
          <w:bCs/>
          <w:sz w:val="28"/>
          <w:szCs w:val="28"/>
          <w:lang w:eastAsia="en-US"/>
        </w:rPr>
        <w:t xml:space="preserve"> </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9E7171">
        <w:rPr>
          <w:rFonts w:ascii="Palatino Linotype" w:eastAsiaTheme="minorHAnsi" w:hAnsi="Palatino Linotype" w:cs="Arial"/>
          <w:bCs/>
          <w:sz w:val="24"/>
          <w:szCs w:val="24"/>
          <w:lang w:eastAsia="en-US"/>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w:t>
      </w:r>
      <w:r w:rsidRPr="009E7171">
        <w:rPr>
          <w:rFonts w:ascii="Palatino Linotype" w:eastAsiaTheme="minorHAnsi" w:hAnsi="Palatino Linotype" w:cs="Arial"/>
          <w:bCs/>
          <w:sz w:val="24"/>
          <w:szCs w:val="24"/>
          <w:lang w:eastAsia="en-US"/>
        </w:rPr>
        <w:lastRenderedPageBreak/>
        <w:t>poner en riesgo el diverso derecho de la salud de todos los partícipes en los procesos que conllevan.</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 xml:space="preserve">Así mismo, esta Ponencia considera importante abordar el análisis de los requisitos de </w:t>
      </w:r>
      <w:proofErr w:type="spellStart"/>
      <w:r w:rsidRPr="009E7171">
        <w:rPr>
          <w:rFonts w:ascii="Palatino Linotype" w:eastAsiaTheme="minorHAnsi" w:hAnsi="Palatino Linotype" w:cs="Arial"/>
          <w:sz w:val="24"/>
          <w:szCs w:val="24"/>
          <w:lang w:eastAsia="en-US"/>
        </w:rPr>
        <w:t>procedibilidad</w:t>
      </w:r>
      <w:proofErr w:type="spellEnd"/>
      <w:r w:rsidRPr="009E7171">
        <w:rPr>
          <w:rFonts w:ascii="Palatino Linotype" w:eastAsiaTheme="minorHAnsi" w:hAnsi="Palatino Linotype" w:cs="Arial"/>
          <w:sz w:val="24"/>
          <w:szCs w:val="24"/>
          <w:lang w:eastAsia="en-US"/>
        </w:rPr>
        <w:t xml:space="preserve"> de los recursos de revisión, así el artículo 180 de la Ley de Transparencia y Acceso a la Información Pública del Estado de México y Municipios, que establece lo siguiente:</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i/>
          <w:szCs w:val="24"/>
          <w:lang w:eastAsia="en-US"/>
        </w:rPr>
        <w:t>“</w:t>
      </w:r>
      <w:r w:rsidRPr="009E7171">
        <w:rPr>
          <w:rFonts w:ascii="Palatino Linotype" w:eastAsiaTheme="minorHAnsi" w:hAnsi="Palatino Linotype" w:cs="Arial"/>
          <w:b/>
          <w:i/>
          <w:szCs w:val="24"/>
          <w:lang w:eastAsia="en-US"/>
        </w:rPr>
        <w:t>Artículo 180</w:t>
      </w:r>
      <w:r w:rsidRPr="009E7171">
        <w:rPr>
          <w:rFonts w:ascii="Palatino Linotype" w:eastAsiaTheme="minorHAnsi" w:hAnsi="Palatino Linotype" w:cs="Arial"/>
          <w:i/>
          <w:szCs w:val="24"/>
          <w:lang w:eastAsia="en-US"/>
        </w:rPr>
        <w:t xml:space="preserve">. El recurso de revisión contendrá: </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b/>
          <w:i/>
          <w:szCs w:val="24"/>
          <w:lang w:eastAsia="en-US"/>
        </w:rPr>
        <w:t>I</w:t>
      </w:r>
      <w:r w:rsidRPr="009E7171">
        <w:rPr>
          <w:rFonts w:ascii="Palatino Linotype" w:eastAsiaTheme="minorHAnsi" w:hAnsi="Palatino Linotype" w:cs="Arial"/>
          <w:i/>
          <w:szCs w:val="24"/>
          <w:lang w:eastAsia="en-US"/>
        </w:rPr>
        <w:t xml:space="preserve">. El Sujeto Obligado ante la cual se presentó la solicitud; </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b/>
          <w:i/>
          <w:szCs w:val="24"/>
          <w:lang w:eastAsia="en-US"/>
        </w:rPr>
        <w:t>II</w:t>
      </w:r>
      <w:r w:rsidRPr="009E7171">
        <w:rPr>
          <w:rFonts w:ascii="Palatino Linotype" w:eastAsiaTheme="minorHAnsi" w:hAnsi="Palatino Linotype" w:cs="Arial"/>
          <w:i/>
          <w:szCs w:val="24"/>
          <w:lang w:eastAsia="en-US"/>
        </w:rPr>
        <w:t xml:space="preserve">. </w:t>
      </w:r>
      <w:r w:rsidRPr="009E7171">
        <w:rPr>
          <w:rFonts w:ascii="Palatino Linotype" w:eastAsiaTheme="minorHAnsi" w:hAnsi="Palatino Linotype" w:cs="Arial"/>
          <w:i/>
          <w:szCs w:val="24"/>
          <w:u w:val="single"/>
          <w:lang w:eastAsia="en-US"/>
        </w:rPr>
        <w:t>El nombre del solicitante</w:t>
      </w:r>
      <w:r w:rsidRPr="009E7171">
        <w:rPr>
          <w:rFonts w:ascii="Palatino Linotype" w:eastAsiaTheme="minorHAnsi" w:hAnsi="Palatino Linotype" w:cs="Arial"/>
          <w:i/>
          <w:szCs w:val="24"/>
          <w:lang w:eastAsia="en-US"/>
        </w:rPr>
        <w:t xml:space="preserve"> que recurre o de su representante y, en su caso, del tercero interesado, así como la dirección o medio que señale para recibir notificaciones; </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b/>
          <w:i/>
          <w:szCs w:val="24"/>
          <w:lang w:eastAsia="en-US"/>
        </w:rPr>
        <w:t>III</w:t>
      </w:r>
      <w:r w:rsidRPr="009E7171">
        <w:rPr>
          <w:rFonts w:ascii="Palatino Linotype" w:eastAsiaTheme="minorHAnsi" w:hAnsi="Palatino Linotype" w:cs="Arial"/>
          <w:i/>
          <w:szCs w:val="24"/>
          <w:lang w:eastAsia="en-US"/>
        </w:rPr>
        <w:t xml:space="preserve">. El número de folio de respuesta de la solicitud de acceso; </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b/>
          <w:i/>
          <w:szCs w:val="24"/>
          <w:lang w:eastAsia="en-US"/>
        </w:rPr>
        <w:t>IV</w:t>
      </w:r>
      <w:r w:rsidRPr="009E7171">
        <w:rPr>
          <w:rFonts w:ascii="Palatino Linotype" w:eastAsiaTheme="minorHAnsi" w:hAnsi="Palatino Linotype" w:cs="Arial"/>
          <w:i/>
          <w:szCs w:val="24"/>
          <w:lang w:eastAsia="en-US"/>
        </w:rPr>
        <w:t xml:space="preserve">. La fecha en que fue notificada la respuesta al solicitante o tuvo conocimiento del acto reclamado, o de presentación de la solicitud, en caso de falta de respuesta; </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b/>
          <w:i/>
          <w:szCs w:val="24"/>
          <w:lang w:eastAsia="en-US"/>
        </w:rPr>
        <w:t>V</w:t>
      </w:r>
      <w:r w:rsidRPr="009E7171">
        <w:rPr>
          <w:rFonts w:ascii="Palatino Linotype" w:eastAsiaTheme="minorHAnsi" w:hAnsi="Palatino Linotype" w:cs="Arial"/>
          <w:i/>
          <w:szCs w:val="24"/>
          <w:lang w:eastAsia="en-US"/>
        </w:rPr>
        <w:t xml:space="preserve">. El acto que se recurre; </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b/>
          <w:i/>
          <w:szCs w:val="24"/>
          <w:lang w:eastAsia="en-US"/>
        </w:rPr>
        <w:t>VI</w:t>
      </w:r>
      <w:r w:rsidRPr="009E7171">
        <w:rPr>
          <w:rFonts w:ascii="Palatino Linotype" w:eastAsiaTheme="minorHAnsi" w:hAnsi="Palatino Linotype" w:cs="Arial"/>
          <w:i/>
          <w:szCs w:val="24"/>
          <w:lang w:eastAsia="en-US"/>
        </w:rPr>
        <w:t xml:space="preserve">. Las razones o motivos de inconformidad; </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b/>
          <w:i/>
          <w:szCs w:val="24"/>
          <w:lang w:eastAsia="en-US"/>
        </w:rPr>
        <w:t>VII</w:t>
      </w:r>
      <w:r w:rsidRPr="009E7171">
        <w:rPr>
          <w:rFonts w:ascii="Palatino Linotype" w:eastAsiaTheme="minorHAnsi" w:hAnsi="Palatino Linotype" w:cs="Arial"/>
          <w:i/>
          <w:szCs w:val="24"/>
          <w:lang w:eastAsia="en-US"/>
        </w:rPr>
        <w:t xml:space="preserve">. La copia de la respuesta que se impugna y, en su caso, de la notificación correspondiente, en el caso de respuesta de la solicitud; y </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b/>
          <w:i/>
          <w:szCs w:val="24"/>
          <w:lang w:eastAsia="en-US"/>
        </w:rPr>
        <w:t>VIII</w:t>
      </w:r>
      <w:r w:rsidRPr="009E7171">
        <w:rPr>
          <w:rFonts w:ascii="Palatino Linotype" w:eastAsiaTheme="minorHAnsi" w:hAnsi="Palatino Linotype" w:cs="Arial"/>
          <w:i/>
          <w:szCs w:val="24"/>
          <w:lang w:eastAsia="en-US"/>
        </w:rPr>
        <w:t xml:space="preserve">. Firma del Recurrente, en su caso, cuando se presente por escrito, requisito sin el cual se dará trámite al recurso. </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i/>
          <w:szCs w:val="24"/>
          <w:lang w:eastAsia="en-US"/>
        </w:rPr>
        <w:lastRenderedPageBreak/>
        <w:t xml:space="preserve">Adicionalmente, se podrán anexar las pruebas y demás elementos que considere procedentes someter a juicio del Instituto. </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i/>
          <w:szCs w:val="24"/>
          <w:lang w:eastAsia="en-US"/>
        </w:rPr>
        <w:t xml:space="preserve">En ningún caso será necesario que el particular ratifique el recurso de revisión interpuesto. </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szCs w:val="24"/>
          <w:lang w:eastAsia="en-US"/>
        </w:rPr>
      </w:pPr>
      <w:r w:rsidRPr="009E7171">
        <w:rPr>
          <w:rFonts w:ascii="Palatino Linotype" w:eastAsiaTheme="minorHAnsi" w:hAnsi="Palatino Linotype" w:cs="Arial"/>
          <w:i/>
          <w:szCs w:val="24"/>
          <w:u w:val="single"/>
          <w:lang w:eastAsia="en-US"/>
        </w:rPr>
        <w:t>En caso de que el recurso se interponga de manera electrónica no será indispensable que contengan los requisitos establecidos en las fracciones II, IV, VII y VIII.”</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szCs w:val="24"/>
          <w:lang w:eastAsia="en-US"/>
        </w:rPr>
      </w:pPr>
    </w:p>
    <w:p w:rsidR="001A5F75" w:rsidRPr="009E7171" w:rsidRDefault="001A5F75" w:rsidP="001A5F75">
      <w:pPr>
        <w:autoSpaceDE w:val="0"/>
        <w:autoSpaceDN w:val="0"/>
        <w:adjustRightInd w:val="0"/>
        <w:spacing w:after="0" w:line="240" w:lineRule="auto"/>
        <w:ind w:left="567" w:right="567"/>
        <w:jc w:val="right"/>
        <w:rPr>
          <w:rFonts w:ascii="Palatino Linotype" w:eastAsiaTheme="minorHAnsi" w:hAnsi="Palatino Linotype" w:cs="Arial"/>
          <w:szCs w:val="24"/>
          <w:lang w:eastAsia="en-US"/>
        </w:rPr>
      </w:pPr>
      <w:r w:rsidRPr="009E7171">
        <w:rPr>
          <w:rFonts w:ascii="Palatino Linotype" w:eastAsiaTheme="minorHAnsi" w:hAnsi="Palatino Linotype" w:cs="Arial"/>
          <w:szCs w:val="24"/>
          <w:lang w:eastAsia="en-US"/>
        </w:rPr>
        <w:t>(Énfasis añadido)</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E7171">
        <w:rPr>
          <w:rFonts w:ascii="Palatino Linotype" w:eastAsiaTheme="minorHAnsi" w:hAnsi="Palatino Linotype" w:cs="Arial"/>
          <w:b/>
          <w:sz w:val="24"/>
          <w:szCs w:val="24"/>
          <w:lang w:eastAsia="en-US"/>
        </w:rPr>
        <w:t>Recurrente</w:t>
      </w:r>
      <w:r w:rsidRPr="009E7171">
        <w:rPr>
          <w:rFonts w:ascii="Palatino Linotype" w:eastAsiaTheme="minorHAnsi" w:hAnsi="Palatino Linotype" w:cs="Arial"/>
          <w:sz w:val="24"/>
          <w:szCs w:val="24"/>
          <w:lang w:eastAsia="en-US"/>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E7171">
        <w:rPr>
          <w:rFonts w:ascii="Palatino Linotype" w:eastAsiaTheme="minorHAnsi" w:hAnsi="Palatino Linotype" w:cs="Arial"/>
          <w:i/>
          <w:sz w:val="24"/>
          <w:szCs w:val="24"/>
          <w:lang w:eastAsia="en-US"/>
        </w:rPr>
        <w:t>sine qua non</w:t>
      </w:r>
      <w:r w:rsidRPr="009E7171">
        <w:rPr>
          <w:rFonts w:ascii="Palatino Linotype" w:eastAsiaTheme="minorHAnsi" w:hAnsi="Palatino Linotype" w:cs="Arial"/>
          <w:sz w:val="24"/>
          <w:szCs w:val="24"/>
          <w:lang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autoSpaceDE w:val="0"/>
        <w:autoSpaceDN w:val="0"/>
        <w:adjustRightInd w:val="0"/>
        <w:spacing w:after="0" w:line="240" w:lineRule="auto"/>
        <w:jc w:val="center"/>
        <w:rPr>
          <w:rFonts w:ascii="Palatino Linotype" w:eastAsiaTheme="minorHAnsi" w:hAnsi="Palatino Linotype" w:cs="Arial"/>
          <w:b/>
          <w:i/>
          <w:lang w:eastAsia="en-US"/>
        </w:rPr>
      </w:pPr>
      <w:r w:rsidRPr="009E7171">
        <w:rPr>
          <w:rFonts w:ascii="Palatino Linotype" w:eastAsiaTheme="minorHAnsi" w:hAnsi="Palatino Linotype" w:cs="Arial"/>
          <w:b/>
          <w:i/>
          <w:lang w:eastAsia="en-US"/>
        </w:rPr>
        <w:t>Constitución Política de los Estados Unidos Mexicanos</w:t>
      </w:r>
    </w:p>
    <w:p w:rsidR="001A5F75" w:rsidRPr="009E7171" w:rsidRDefault="001A5F75" w:rsidP="001A5F75">
      <w:pPr>
        <w:autoSpaceDE w:val="0"/>
        <w:autoSpaceDN w:val="0"/>
        <w:adjustRightInd w:val="0"/>
        <w:spacing w:after="0" w:line="240" w:lineRule="auto"/>
        <w:jc w:val="both"/>
        <w:rPr>
          <w:rFonts w:ascii="Palatino Linotype" w:eastAsiaTheme="minorHAnsi" w:hAnsi="Palatino Linotype" w:cs="Arial"/>
          <w:lang w:eastAsia="en-US"/>
        </w:rPr>
      </w:pP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lang w:eastAsia="en-US"/>
        </w:rPr>
      </w:pPr>
      <w:r w:rsidRPr="009E7171">
        <w:rPr>
          <w:rFonts w:ascii="Palatino Linotype" w:eastAsiaTheme="minorHAnsi" w:hAnsi="Palatino Linotype" w:cs="Arial"/>
          <w:i/>
          <w:lang w:eastAsia="en-US"/>
        </w:rPr>
        <w:t>“</w:t>
      </w:r>
      <w:r w:rsidRPr="009E7171">
        <w:rPr>
          <w:rFonts w:ascii="Palatino Linotype" w:eastAsiaTheme="minorHAnsi" w:hAnsi="Palatino Linotype" w:cs="Arial"/>
          <w:b/>
          <w:i/>
          <w:lang w:eastAsia="en-US"/>
        </w:rPr>
        <w:t>Artículo 6o</w:t>
      </w:r>
      <w:r w:rsidRPr="009E7171">
        <w:rPr>
          <w:rFonts w:ascii="Palatino Linotype" w:eastAsiaTheme="minorHAnsi" w:hAnsi="Palatino Linotype" w:cs="Arial"/>
          <w:i/>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i/>
          <w:szCs w:val="24"/>
          <w:lang w:eastAsia="en-US"/>
        </w:rPr>
        <w:t>Toda persona tiene derecho al libre acceso a información plural y oportuna, así como a buscar, recibir y difundir información e ideas de toda índole por cualquier medio de expresión.</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i/>
          <w:szCs w:val="24"/>
          <w:lang w:eastAsia="en-US"/>
        </w:rPr>
        <w:t>Para efectos de lo dispuesto en el presente artículo se observará lo siguiente:</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b/>
          <w:i/>
          <w:szCs w:val="24"/>
          <w:lang w:eastAsia="en-US"/>
        </w:rPr>
        <w:t>A</w:t>
      </w:r>
      <w:r w:rsidRPr="009E7171">
        <w:rPr>
          <w:rFonts w:ascii="Palatino Linotype" w:eastAsiaTheme="minorHAnsi" w:hAnsi="Palatino Linotype" w:cs="Arial"/>
          <w:i/>
          <w:szCs w:val="24"/>
          <w:lang w:eastAsia="en-US"/>
        </w:rPr>
        <w:t>. Para el ejercicio del derecho de acceso a la información, la Federación, los Estados y el Distrito Federal, en el ámbito de sus respectivas competencias, se regirán por los siguientes principios y bases:</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b/>
          <w:i/>
          <w:szCs w:val="24"/>
          <w:lang w:eastAsia="en-US"/>
        </w:rPr>
        <w:t>I</w:t>
      </w:r>
      <w:r w:rsidRPr="009E7171">
        <w:rPr>
          <w:rFonts w:ascii="Palatino Linotype" w:eastAsiaTheme="minorHAnsi" w:hAnsi="Palatino Linotype" w:cs="Arial"/>
          <w:i/>
          <w:szCs w:val="24"/>
          <w:lang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i/>
          <w:szCs w:val="24"/>
          <w:lang w:eastAsia="en-US"/>
        </w:rPr>
        <w:lastRenderedPageBreak/>
        <w:t>…</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b/>
          <w:i/>
          <w:szCs w:val="24"/>
          <w:lang w:eastAsia="en-US"/>
        </w:rPr>
        <w:t>III.</w:t>
      </w:r>
      <w:r w:rsidRPr="009E7171">
        <w:rPr>
          <w:rFonts w:ascii="Palatino Linotype" w:eastAsiaTheme="minorHAnsi" w:hAnsi="Palatino Linotype" w:cs="Arial"/>
          <w:i/>
          <w:szCs w:val="24"/>
          <w:lang w:eastAsia="en-US"/>
        </w:rPr>
        <w:t xml:space="preserve"> Toda persona, sin necesidad de acreditar interés alguno o justificar su utilización, tendrá acceso gratuito a la información pública, a sus datos personales o a la rectificación de éstos.</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i/>
          <w:szCs w:val="24"/>
          <w:lang w:eastAsia="en-US"/>
        </w:rPr>
        <w:t>…</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b/>
          <w:i/>
          <w:szCs w:val="24"/>
          <w:lang w:eastAsia="en-US"/>
        </w:rPr>
        <w:t>V</w:t>
      </w:r>
      <w:r w:rsidRPr="009E7171">
        <w:rPr>
          <w:rFonts w:ascii="Palatino Linotype" w:eastAsiaTheme="minorHAnsi" w:hAnsi="Palatino Linotype" w:cs="Arial"/>
          <w:i/>
          <w:szCs w:val="24"/>
          <w:lang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b/>
          <w:i/>
          <w:szCs w:val="24"/>
          <w:lang w:eastAsia="en-US"/>
        </w:rPr>
        <w:t>VI.</w:t>
      </w:r>
      <w:r w:rsidRPr="009E7171">
        <w:rPr>
          <w:rFonts w:ascii="Palatino Linotype" w:eastAsiaTheme="minorHAnsi" w:hAnsi="Palatino Linotype" w:cs="Arial"/>
          <w:i/>
          <w:szCs w:val="24"/>
          <w:lang w:eastAsia="en-US"/>
        </w:rPr>
        <w:t xml:space="preserve"> Las leyes determinarán la manera en que los sujetos obligados deberán hacer pública la información relativa a los recursos públicos que entreguen a personas físicas o morales.”</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i/>
          <w:szCs w:val="24"/>
          <w:lang w:eastAsia="en-US"/>
        </w:rPr>
        <w:t>…</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i/>
          <w:szCs w:val="24"/>
          <w:lang w:eastAsia="en-US"/>
        </w:rPr>
        <w:t>La ley establecerá aquella información que se considere reservada o confidencial.</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p>
    <w:p w:rsidR="001A5F75" w:rsidRPr="009E7171" w:rsidRDefault="001A5F75" w:rsidP="001A5F75">
      <w:pPr>
        <w:autoSpaceDE w:val="0"/>
        <w:autoSpaceDN w:val="0"/>
        <w:adjustRightInd w:val="0"/>
        <w:spacing w:after="0" w:line="240" w:lineRule="auto"/>
        <w:ind w:left="567" w:right="567"/>
        <w:jc w:val="center"/>
        <w:rPr>
          <w:rFonts w:ascii="Palatino Linotype" w:eastAsiaTheme="minorHAnsi" w:hAnsi="Palatino Linotype" w:cs="Arial"/>
          <w:b/>
          <w:i/>
          <w:szCs w:val="24"/>
          <w:lang w:eastAsia="en-US"/>
        </w:rPr>
      </w:pPr>
      <w:r w:rsidRPr="009E7171">
        <w:rPr>
          <w:rFonts w:ascii="Palatino Linotype" w:eastAsiaTheme="minorHAnsi" w:hAnsi="Palatino Linotype" w:cs="Arial"/>
          <w:b/>
          <w:i/>
          <w:szCs w:val="24"/>
          <w:lang w:eastAsia="en-US"/>
        </w:rPr>
        <w:t>Constitución Política del Estado Libre y Soberano de México</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i/>
          <w:szCs w:val="24"/>
          <w:lang w:eastAsia="en-US"/>
        </w:rPr>
        <w:t>“</w:t>
      </w:r>
      <w:r w:rsidRPr="009E7171">
        <w:rPr>
          <w:rFonts w:ascii="Palatino Linotype" w:eastAsiaTheme="minorHAnsi" w:hAnsi="Palatino Linotype" w:cs="Arial"/>
          <w:b/>
          <w:i/>
          <w:szCs w:val="24"/>
          <w:lang w:eastAsia="en-US"/>
        </w:rPr>
        <w:t>Artículo 5</w:t>
      </w:r>
      <w:r w:rsidRPr="009E7171">
        <w:rPr>
          <w:rFonts w:ascii="Palatino Linotype" w:eastAsiaTheme="minorHAnsi" w:hAnsi="Palatino Linotype" w:cs="Arial"/>
          <w:i/>
          <w:szCs w:val="24"/>
          <w:lang w:eastAsia="en-US"/>
        </w:rPr>
        <w:t xml:space="preserve">. … </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i/>
          <w:szCs w:val="24"/>
          <w:lang w:eastAsia="en-US"/>
        </w:rPr>
        <w:t>…</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i/>
          <w:szCs w:val="24"/>
          <w:lang w:eastAsia="en-US"/>
        </w:rPr>
        <w:t>El derecho a la información será garantizado por el Estado. La ley establecerá las previsiones que permitan asegurar la protección, el respeto y la difusión de este derecho.</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i/>
          <w:szCs w:val="24"/>
          <w:lang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i/>
          <w:szCs w:val="24"/>
          <w:lang w:eastAsia="en-US"/>
        </w:rPr>
        <w:t>Este derecho se regirá por los principios y bases siguientes:</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b/>
          <w:i/>
          <w:szCs w:val="24"/>
          <w:lang w:eastAsia="en-US"/>
        </w:rPr>
        <w:t>I</w:t>
      </w:r>
      <w:r w:rsidRPr="009E7171">
        <w:rPr>
          <w:rFonts w:ascii="Palatino Linotype" w:eastAsiaTheme="minorHAnsi" w:hAnsi="Palatino Linotype" w:cs="Arial"/>
          <w:i/>
          <w:szCs w:val="24"/>
          <w:lang w:eastAsia="en-US"/>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9E7171">
        <w:rPr>
          <w:rFonts w:ascii="Palatino Linotype" w:eastAsiaTheme="minorHAnsi" w:hAnsi="Palatino Linotype" w:cs="Arial"/>
          <w:i/>
          <w:szCs w:val="24"/>
          <w:lang w:eastAsia="en-US"/>
        </w:rPr>
        <w:lastRenderedPageBreak/>
        <w:t>competencias o funciones, la ley determinará los supuestos específicos bajo los cuales procederá la declaración de inexistencia de la información.</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i/>
          <w:szCs w:val="24"/>
          <w:lang w:eastAsia="en-US"/>
        </w:rPr>
        <w:t>…</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b/>
          <w:i/>
          <w:szCs w:val="24"/>
          <w:lang w:eastAsia="en-US"/>
        </w:rPr>
        <w:t>III</w:t>
      </w:r>
      <w:r w:rsidRPr="009E7171">
        <w:rPr>
          <w:rFonts w:ascii="Palatino Linotype" w:eastAsiaTheme="minorHAnsi" w:hAnsi="Palatino Linotype" w:cs="Arial"/>
          <w:i/>
          <w:szCs w:val="24"/>
          <w:lang w:eastAsia="en-US"/>
        </w:rPr>
        <w:t>. Toda persona, sin necesidad de acreditar interés alguno o justificar su utilización, tendrá acceso gratuito a la información pública, a sus datos personales o a la rectificación de éstos.”</w:t>
      </w:r>
    </w:p>
    <w:p w:rsidR="001A5F75" w:rsidRPr="009E7171" w:rsidRDefault="001A5F75" w:rsidP="001A5F75">
      <w:pPr>
        <w:autoSpaceDE w:val="0"/>
        <w:autoSpaceDN w:val="0"/>
        <w:adjustRightInd w:val="0"/>
        <w:spacing w:after="0" w:line="240" w:lineRule="auto"/>
        <w:ind w:left="567" w:right="567"/>
        <w:jc w:val="right"/>
        <w:rPr>
          <w:rFonts w:ascii="Palatino Linotype" w:eastAsiaTheme="minorHAnsi" w:hAnsi="Palatino Linotype" w:cs="Arial"/>
          <w:szCs w:val="24"/>
          <w:lang w:eastAsia="en-US"/>
        </w:rPr>
      </w:pPr>
      <w:r w:rsidRPr="009E7171">
        <w:rPr>
          <w:rFonts w:ascii="Palatino Linotype" w:eastAsiaTheme="minorHAnsi" w:hAnsi="Palatino Linotype" w:cs="Arial"/>
          <w:szCs w:val="24"/>
          <w:lang w:eastAsia="en-US"/>
        </w:rPr>
        <w:t>(Énfasis añadido)</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Por otra parte, del contenido del artículo 1 de la Constitución Política de los Estados Unidos Mexicanos, se destaca lo siguiente:</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A5F75" w:rsidRPr="009E7171" w:rsidRDefault="001A5F75" w:rsidP="00E70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i/>
          <w:szCs w:val="24"/>
          <w:lang w:eastAsia="en-US"/>
        </w:rPr>
        <w:t>“</w:t>
      </w:r>
      <w:r w:rsidRPr="009E7171">
        <w:rPr>
          <w:rFonts w:ascii="Palatino Linotype" w:eastAsiaTheme="minorHAnsi" w:hAnsi="Palatino Linotype" w:cs="Arial"/>
          <w:b/>
          <w:i/>
          <w:szCs w:val="24"/>
          <w:lang w:eastAsia="en-US"/>
        </w:rPr>
        <w:t>Artículo 1o.</w:t>
      </w:r>
      <w:r w:rsidRPr="009E7171">
        <w:rPr>
          <w:rFonts w:ascii="Palatino Linotype" w:eastAsiaTheme="minorHAnsi" w:hAnsi="Palatino Linotype" w:cs="Arial"/>
          <w:i/>
          <w:szCs w:val="24"/>
          <w:lang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A5F75" w:rsidRPr="009E7171" w:rsidRDefault="001A5F75" w:rsidP="00E70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i/>
          <w:szCs w:val="24"/>
          <w:lang w:eastAsia="en-US"/>
        </w:rPr>
        <w:t>Las normas relativas a los derechos humanos se interpretarán de conformidad con esta Constitución y con los tratados internacionales de la materia favoreciendo en todo tiempo a las personas la protección más amplia.</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i/>
          <w:szCs w:val="24"/>
          <w:lang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9E7171">
        <w:rPr>
          <w:rFonts w:ascii="Palatino Linotype" w:eastAsiaTheme="minorHAnsi" w:hAnsi="Palatino Linotype" w:cs="Arial"/>
          <w:sz w:val="24"/>
          <w:szCs w:val="24"/>
          <w:lang w:eastAsia="en-US"/>
        </w:rPr>
        <w:lastRenderedPageBreak/>
        <w:t>o no contener un nombre que identifique al solicitante o que permita tener certeza sobre su identidad.</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9E7171">
        <w:rPr>
          <w:rFonts w:ascii="Palatino Linotype" w:eastAsiaTheme="minorHAnsi" w:hAnsi="Palatino Linotype" w:cs="Arial"/>
          <w:i/>
          <w:szCs w:val="24"/>
          <w:lang w:eastAsia="en-US"/>
        </w:rPr>
        <w:t>“</w:t>
      </w:r>
      <w:r w:rsidRPr="009E7171">
        <w:rPr>
          <w:rFonts w:ascii="Palatino Linotype" w:eastAsiaTheme="minorHAnsi" w:hAnsi="Palatino Linotype" w:cs="Arial"/>
          <w:b/>
          <w:i/>
          <w:szCs w:val="24"/>
          <w:lang w:eastAsia="en-US"/>
        </w:rPr>
        <w:t>Acceso a información gubernamental. No debe condicionarse a que el solicitante acredite su personalidad, demuestre interés alguno o justifique su utilización.</w:t>
      </w:r>
      <w:r w:rsidRPr="009E7171">
        <w:rPr>
          <w:rFonts w:ascii="Palatino Linotype" w:eastAsiaTheme="minorHAnsi" w:hAnsi="Palatino Linotype" w:cs="Arial"/>
          <w:i/>
          <w:szCs w:val="24"/>
          <w:lang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9E7171">
        <w:rPr>
          <w:rFonts w:ascii="Palatino Linotype" w:eastAsiaTheme="minorHAnsi" w:hAnsi="Palatino Linotype" w:cs="Arial"/>
          <w:i/>
          <w:sz w:val="20"/>
          <w:szCs w:val="24"/>
          <w:lang w:eastAsia="en-US"/>
        </w:rPr>
        <w:t>Resoluciones</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9E7171">
        <w:rPr>
          <w:rFonts w:ascii="Palatino Linotype" w:eastAsiaTheme="minorHAnsi" w:hAnsi="Palatino Linotype" w:cs="Arial"/>
          <w:i/>
          <w:sz w:val="20"/>
          <w:szCs w:val="24"/>
          <w:lang w:eastAsia="en-US"/>
        </w:rPr>
        <w:t>• RDA 5275/13. Interpuesto en contra de la Secretaría de la Defensa Nacional. Comisionado Ponente Ángel Trinidad Zaldívar.</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9E7171">
        <w:rPr>
          <w:rFonts w:ascii="Palatino Linotype" w:eastAsiaTheme="minorHAnsi" w:hAnsi="Palatino Linotype" w:cs="Arial"/>
          <w:i/>
          <w:sz w:val="20"/>
          <w:szCs w:val="24"/>
          <w:lang w:eastAsia="en-US"/>
        </w:rPr>
        <w:t xml:space="preserve">• RDA 2937/13. Interpuesto en contra de LICONSA, S.A. de C.V. Comisionado. Ponente Gerardo </w:t>
      </w:r>
      <w:proofErr w:type="spellStart"/>
      <w:r w:rsidRPr="009E7171">
        <w:rPr>
          <w:rFonts w:ascii="Palatino Linotype" w:eastAsiaTheme="minorHAnsi" w:hAnsi="Palatino Linotype" w:cs="Arial"/>
          <w:i/>
          <w:sz w:val="20"/>
          <w:szCs w:val="24"/>
          <w:lang w:eastAsia="en-US"/>
        </w:rPr>
        <w:t>Laveaga</w:t>
      </w:r>
      <w:proofErr w:type="spellEnd"/>
      <w:r w:rsidRPr="009E7171">
        <w:rPr>
          <w:rFonts w:ascii="Palatino Linotype" w:eastAsiaTheme="minorHAnsi" w:hAnsi="Palatino Linotype" w:cs="Arial"/>
          <w:i/>
          <w:sz w:val="20"/>
          <w:szCs w:val="24"/>
          <w:lang w:eastAsia="en-US"/>
        </w:rPr>
        <w:t xml:space="preserve"> Rendón.</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9E7171">
        <w:rPr>
          <w:rFonts w:ascii="Palatino Linotype" w:eastAsiaTheme="minorHAnsi" w:hAnsi="Palatino Linotype" w:cs="Arial"/>
          <w:i/>
          <w:sz w:val="20"/>
          <w:szCs w:val="24"/>
          <w:lang w:eastAsia="en-US"/>
        </w:rPr>
        <w:t xml:space="preserve">• RDA 3609/12. Interpuesto en contra de la Secretaría de Educación Pública. Comisionada Ponente Sigrid </w:t>
      </w:r>
      <w:proofErr w:type="spellStart"/>
      <w:r w:rsidRPr="009E7171">
        <w:rPr>
          <w:rFonts w:ascii="Palatino Linotype" w:eastAsiaTheme="minorHAnsi" w:hAnsi="Palatino Linotype" w:cs="Arial"/>
          <w:i/>
          <w:sz w:val="20"/>
          <w:szCs w:val="24"/>
          <w:lang w:eastAsia="en-US"/>
        </w:rPr>
        <w:t>Arzt</w:t>
      </w:r>
      <w:proofErr w:type="spellEnd"/>
      <w:r w:rsidRPr="009E7171">
        <w:rPr>
          <w:rFonts w:ascii="Palatino Linotype" w:eastAsiaTheme="minorHAnsi" w:hAnsi="Palatino Linotype" w:cs="Arial"/>
          <w:i/>
          <w:sz w:val="20"/>
          <w:szCs w:val="24"/>
          <w:lang w:eastAsia="en-US"/>
        </w:rPr>
        <w:t xml:space="preserve"> Colunga.</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9E7171">
        <w:rPr>
          <w:rFonts w:ascii="Palatino Linotype" w:eastAsiaTheme="minorHAnsi" w:hAnsi="Palatino Linotype" w:cs="Arial"/>
          <w:i/>
          <w:sz w:val="20"/>
          <w:szCs w:val="24"/>
          <w:lang w:eastAsia="en-US"/>
        </w:rPr>
        <w:t>• RDA 3361/12. Interpuesto en contra del Servicio de Administración Tributaria. Comisionada Ponente María Elena Pérez-Jaén Zermeño.</w:t>
      </w:r>
    </w:p>
    <w:p w:rsidR="001A5F75" w:rsidRPr="009E7171" w:rsidRDefault="001A5F75" w:rsidP="001A5F75">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9E7171">
        <w:rPr>
          <w:rFonts w:ascii="Palatino Linotype" w:eastAsiaTheme="minorHAnsi" w:hAnsi="Palatino Linotype" w:cs="Arial"/>
          <w:i/>
          <w:sz w:val="20"/>
          <w:szCs w:val="24"/>
          <w:lang w:eastAsia="en-US"/>
        </w:rPr>
        <w:t xml:space="preserve">• RDA 0563/12. Interpuesto en contra de la Secretaría de la Función Pública. Comisionada Ponente Jacqueline </w:t>
      </w:r>
      <w:proofErr w:type="spellStart"/>
      <w:r w:rsidRPr="009E7171">
        <w:rPr>
          <w:rFonts w:ascii="Palatino Linotype" w:eastAsiaTheme="minorHAnsi" w:hAnsi="Palatino Linotype" w:cs="Arial"/>
          <w:i/>
          <w:sz w:val="20"/>
          <w:szCs w:val="24"/>
          <w:lang w:eastAsia="en-US"/>
        </w:rPr>
        <w:t>Peschard</w:t>
      </w:r>
      <w:proofErr w:type="spellEnd"/>
      <w:r w:rsidRPr="009E7171">
        <w:rPr>
          <w:rFonts w:ascii="Palatino Linotype" w:eastAsiaTheme="minorHAnsi" w:hAnsi="Palatino Linotype" w:cs="Arial"/>
          <w:i/>
          <w:sz w:val="20"/>
          <w:szCs w:val="24"/>
          <w:lang w:eastAsia="en-US"/>
        </w:rPr>
        <w:t xml:space="preserve"> Mariscal.”</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lastRenderedPageBreak/>
        <w:t xml:space="preserve">En ese orden de ideas, se estima que el requerimiento relativo al nombre como presupuesto de </w:t>
      </w:r>
      <w:proofErr w:type="spellStart"/>
      <w:r w:rsidRPr="009E7171">
        <w:rPr>
          <w:rFonts w:ascii="Palatino Linotype" w:eastAsiaTheme="minorHAnsi" w:hAnsi="Palatino Linotype" w:cs="Arial"/>
          <w:sz w:val="24"/>
          <w:szCs w:val="24"/>
          <w:lang w:eastAsia="en-US"/>
        </w:rPr>
        <w:t>procedibilidad</w:t>
      </w:r>
      <w:proofErr w:type="spellEnd"/>
      <w:r w:rsidRPr="009E7171">
        <w:rPr>
          <w:rFonts w:ascii="Palatino Linotype" w:eastAsiaTheme="minorHAnsi" w:hAnsi="Palatino Linotype" w:cs="Arial"/>
          <w:sz w:val="24"/>
          <w:szCs w:val="24"/>
          <w:lang w:eastAsia="en-US"/>
        </w:rPr>
        <w:t xml:space="preserve"> podría limitar el ejercicio del derecho de acceso a la información pública, debido a que el hecho de solicitar la identificación del </w:t>
      </w:r>
      <w:r w:rsidRPr="009E7171">
        <w:rPr>
          <w:rFonts w:ascii="Palatino Linotype" w:eastAsiaTheme="minorHAnsi" w:hAnsi="Palatino Linotype" w:cs="Arial"/>
          <w:b/>
          <w:sz w:val="24"/>
          <w:szCs w:val="24"/>
          <w:lang w:eastAsia="en-US"/>
        </w:rPr>
        <w:t>Recurrente</w:t>
      </w:r>
      <w:r w:rsidRPr="009E7171">
        <w:rPr>
          <w:rFonts w:ascii="Palatino Linotype" w:eastAsiaTheme="minorHAnsi" w:hAnsi="Palatino Linotype" w:cs="Arial"/>
          <w:sz w:val="24"/>
          <w:szCs w:val="24"/>
          <w:lang w:eastAsia="en-US"/>
        </w:rPr>
        <w:t xml:space="preserve"> a través de dicho dato personal, en ciertos extremos se equipara a una exigencia acerca de su interés o justificación de su utilización, lo que materialmente haría nugatorio un derecho fundamental.</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 xml:space="preserve">En consecuencia, dado lo expuesto y fundado con anterioridad, se estima que el requisito relativo al nombre del Recurrente no constituye un presupuesto indispensable de </w:t>
      </w:r>
      <w:proofErr w:type="spellStart"/>
      <w:r w:rsidRPr="009E7171">
        <w:rPr>
          <w:rFonts w:ascii="Palatino Linotype" w:eastAsiaTheme="minorHAnsi" w:hAnsi="Palatino Linotype" w:cs="Arial"/>
          <w:sz w:val="24"/>
          <w:szCs w:val="24"/>
          <w:lang w:eastAsia="en-US"/>
        </w:rPr>
        <w:t>procedibilidad</w:t>
      </w:r>
      <w:proofErr w:type="spellEnd"/>
      <w:r w:rsidRPr="009E7171">
        <w:rPr>
          <w:rFonts w:ascii="Palatino Linotype" w:eastAsiaTheme="minorHAnsi" w:hAnsi="Palatino Linotype" w:cs="Arial"/>
          <w:sz w:val="24"/>
          <w:szCs w:val="24"/>
          <w:lang w:eastAsia="en-U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w:t>
      </w:r>
      <w:r w:rsidRPr="009E7171">
        <w:rPr>
          <w:rFonts w:ascii="Palatino Linotype" w:eastAsiaTheme="minorHAnsi" w:hAnsi="Palatino Linotype" w:cs="Arial"/>
          <w:sz w:val="24"/>
          <w:szCs w:val="24"/>
          <w:lang w:eastAsia="en-US"/>
        </w:rPr>
        <w:lastRenderedPageBreak/>
        <w:t>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9E7171">
        <w:rPr>
          <w:rFonts w:ascii="Palatino Linotype" w:eastAsiaTheme="minorHAnsi" w:hAnsi="Palatino Linotype" w:cs="Arial"/>
          <w:b/>
          <w:sz w:val="28"/>
          <w:szCs w:val="28"/>
          <w:lang w:eastAsia="en-US"/>
        </w:rPr>
        <w:t xml:space="preserve">TERCERO. Del estudio de las causas de improcedencia. </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 xml:space="preserve">El estudio de las causas de improcedencia que se hagan valer por las partes o que se advierta de oficio por este </w:t>
      </w:r>
      <w:proofErr w:type="spellStart"/>
      <w:r w:rsidRPr="009E7171">
        <w:rPr>
          <w:rFonts w:ascii="Palatino Linotype" w:eastAsiaTheme="minorHAnsi" w:hAnsi="Palatino Linotype" w:cs="Arial"/>
          <w:sz w:val="24"/>
          <w:szCs w:val="24"/>
          <w:lang w:eastAsia="en-US"/>
        </w:rPr>
        <w:t>Resolutor</w:t>
      </w:r>
      <w:proofErr w:type="spellEnd"/>
      <w:r w:rsidRPr="009E7171">
        <w:rPr>
          <w:rFonts w:ascii="Palatino Linotype" w:eastAsiaTheme="minorHAnsi" w:hAnsi="Palatino Linotype" w:cs="Arial"/>
          <w:sz w:val="24"/>
          <w:szCs w:val="24"/>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admitidos los recursos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1A5F75" w:rsidRPr="009E7171" w:rsidRDefault="001A5F75" w:rsidP="00E70EB2">
      <w:pPr>
        <w:spacing w:after="0" w:line="240" w:lineRule="auto"/>
        <w:ind w:left="567" w:right="567"/>
        <w:jc w:val="both"/>
        <w:rPr>
          <w:rFonts w:ascii="Palatino Linotype" w:eastAsiaTheme="minorHAnsi" w:hAnsi="Palatino Linotype" w:cs="Arial"/>
          <w:lang w:eastAsia="en-US"/>
        </w:rPr>
      </w:pPr>
      <w:r w:rsidRPr="009E7171">
        <w:rPr>
          <w:rFonts w:ascii="Palatino Linotype" w:eastAsiaTheme="minorHAnsi" w:hAnsi="Palatino Linotype" w:cstheme="minorBidi"/>
          <w:b/>
          <w:bCs/>
          <w:i/>
          <w:lang w:eastAsia="en-US"/>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9E7171">
        <w:rPr>
          <w:rFonts w:ascii="Palatino Linotype" w:eastAsiaTheme="minorHAnsi" w:hAnsi="Palatino Linotype" w:cstheme="minorBidi"/>
          <w:i/>
          <w:lang w:eastAsia="en-US"/>
        </w:rPr>
        <w:t xml:space="preserve">Del examen de compatibilidad de los artículos </w:t>
      </w:r>
      <w:hyperlink r:id="rId7" w:history="1">
        <w:r w:rsidRPr="009E7171">
          <w:rPr>
            <w:rFonts w:ascii="Palatino Linotype" w:hAnsi="Palatino Linotype" w:cstheme="minorBidi"/>
            <w:i/>
            <w:color w:val="0563C1" w:themeColor="hyperlink"/>
            <w:u w:val="single"/>
            <w:lang w:eastAsia="en-US"/>
          </w:rPr>
          <w:t>73 y 74 de la Ley de Amparo</w:t>
        </w:r>
      </w:hyperlink>
      <w:r w:rsidRPr="009E7171">
        <w:rPr>
          <w:rFonts w:ascii="Palatino Linotype" w:hAnsi="Palatino Linotype" w:cstheme="minorBidi"/>
          <w:i/>
          <w:color w:val="0563C1" w:themeColor="hyperlink"/>
          <w:u w:val="single"/>
          <w:lang w:eastAsia="en-US"/>
        </w:rPr>
        <w:t xml:space="preserve"> </w:t>
      </w:r>
      <w:r w:rsidRPr="009E7171">
        <w:rPr>
          <w:rFonts w:ascii="Palatino Linotype" w:eastAsiaTheme="minorHAnsi" w:hAnsi="Palatino Linotype" w:cstheme="minorBidi"/>
          <w:i/>
          <w:lang w:eastAsia="en-US"/>
        </w:rPr>
        <w:t xml:space="preserve">con el artículo </w:t>
      </w:r>
      <w:hyperlink r:id="rId8" w:history="1">
        <w:r w:rsidRPr="009E7171">
          <w:rPr>
            <w:rFonts w:ascii="Palatino Linotype" w:hAnsi="Palatino Linotype" w:cstheme="minorBidi"/>
            <w:i/>
            <w:color w:val="0563C1" w:themeColor="hyperlink"/>
            <w:u w:val="single"/>
            <w:lang w:eastAsia="en-US"/>
          </w:rPr>
          <w:t>25.1 de la Convención Americana sobre Derechos Humanos</w:t>
        </w:r>
      </w:hyperlink>
      <w:r w:rsidRPr="009E7171">
        <w:rPr>
          <w:rFonts w:ascii="Palatino Linotype" w:eastAsiaTheme="minorHAnsi" w:hAnsi="Palatino Linotype" w:cstheme="minorBidi"/>
          <w:i/>
          <w:lang w:eastAsia="en-US"/>
        </w:rPr>
        <w:t xml:space="preserve"> </w:t>
      </w:r>
      <w:r w:rsidRPr="009E7171">
        <w:rPr>
          <w:rFonts w:ascii="Palatino Linotype" w:eastAsiaTheme="minorHAnsi" w:hAnsi="Palatino Linotype" w:cstheme="minorBidi"/>
          <w:b/>
          <w:i/>
          <w:u w:val="single"/>
          <w:lang w:eastAsia="en-US"/>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E7171">
        <w:rPr>
          <w:rFonts w:ascii="Palatino Linotype" w:eastAsiaTheme="minorHAnsi" w:hAnsi="Palatino Linotype" w:cstheme="minorBidi"/>
          <w:i/>
          <w:lang w:eastAsia="en-US"/>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E7171">
        <w:rPr>
          <w:rFonts w:ascii="Palatino Linotype" w:eastAsiaTheme="minorHAnsi" w:hAnsi="Palatino Linotype" w:cstheme="minorBidi"/>
          <w:i/>
          <w:lang w:eastAsia="en-US"/>
        </w:rPr>
        <w:t>concesoria</w:t>
      </w:r>
      <w:proofErr w:type="spellEnd"/>
      <w:r w:rsidRPr="009E7171">
        <w:rPr>
          <w:rFonts w:ascii="Palatino Linotype" w:eastAsiaTheme="minorHAnsi" w:hAnsi="Palatino Linotype" w:cstheme="minorBidi"/>
          <w:i/>
          <w:lang w:eastAsia="en-US"/>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A5F75" w:rsidRPr="009E7171" w:rsidRDefault="001A5F75" w:rsidP="001A5F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Por lo que una vez que se analizó el expediente en estudio se cae en la cuenta de que no se actualiza ninguna de las casuales a continuación transcritas:</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7171">
        <w:rPr>
          <w:rFonts w:ascii="Palatino Linotype" w:eastAsia="Times New Roman" w:hAnsi="Palatino Linotype" w:cs="Arial"/>
          <w:i/>
          <w:lang w:val="es-ES" w:eastAsia="es-ES"/>
        </w:rPr>
        <w:t>“</w:t>
      </w:r>
      <w:r w:rsidRPr="009E7171">
        <w:rPr>
          <w:rFonts w:ascii="Palatino Linotype" w:eastAsia="Times New Roman" w:hAnsi="Palatino Linotype" w:cs="Arial"/>
          <w:b/>
          <w:i/>
          <w:lang w:val="es-ES" w:eastAsia="es-ES"/>
        </w:rPr>
        <w:t>Artículo 191</w:t>
      </w:r>
      <w:r w:rsidRPr="009E7171">
        <w:rPr>
          <w:rFonts w:ascii="Palatino Linotype" w:eastAsia="Times New Roman" w:hAnsi="Palatino Linotype" w:cs="Arial"/>
          <w:i/>
          <w:lang w:val="es-ES" w:eastAsia="es-ES"/>
        </w:rPr>
        <w:t xml:space="preserve">. El recurso será desechado por improcedente cuando:  </w:t>
      </w:r>
    </w:p>
    <w:p w:rsidR="001A5F75" w:rsidRPr="009E7171" w:rsidRDefault="001A5F75" w:rsidP="001A5F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7171">
        <w:rPr>
          <w:rFonts w:ascii="Palatino Linotype" w:eastAsia="Times New Roman" w:hAnsi="Palatino Linotype" w:cs="Arial"/>
          <w:b/>
          <w:i/>
          <w:lang w:val="es-ES" w:eastAsia="es-ES"/>
        </w:rPr>
        <w:t>I</w:t>
      </w:r>
      <w:r w:rsidRPr="009E7171">
        <w:rPr>
          <w:rFonts w:ascii="Palatino Linotype" w:eastAsia="Times New Roman" w:hAnsi="Palatino Linotype" w:cs="Arial"/>
          <w:i/>
          <w:lang w:val="es-ES" w:eastAsia="es-ES"/>
        </w:rPr>
        <w:t xml:space="preserve">. Sea extemporáneo por haber transcurrido el plazo establecido en la presente Ley, a partir de la respuesta;  </w:t>
      </w:r>
    </w:p>
    <w:p w:rsidR="001A5F75" w:rsidRPr="009E7171" w:rsidRDefault="001A5F75" w:rsidP="001A5F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7171">
        <w:rPr>
          <w:rFonts w:ascii="Palatino Linotype" w:eastAsia="Times New Roman" w:hAnsi="Palatino Linotype" w:cs="Arial"/>
          <w:b/>
          <w:i/>
          <w:lang w:val="es-ES" w:eastAsia="es-ES"/>
        </w:rPr>
        <w:t>II</w:t>
      </w:r>
      <w:r w:rsidRPr="009E7171">
        <w:rPr>
          <w:rFonts w:ascii="Palatino Linotype" w:eastAsia="Times New Roman" w:hAnsi="Palatino Linotype" w:cs="Arial"/>
          <w:i/>
          <w:lang w:val="es-ES" w:eastAsia="es-ES"/>
        </w:rPr>
        <w:t xml:space="preserve">. Se esté tramitando ante el Poder Judicial de la Federación algún recurso o medio de defensa interpuesto por la Recurrente;  </w:t>
      </w:r>
    </w:p>
    <w:p w:rsidR="001A5F75" w:rsidRPr="009E7171" w:rsidRDefault="001A5F75" w:rsidP="001A5F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7171">
        <w:rPr>
          <w:rFonts w:ascii="Palatino Linotype" w:eastAsia="Times New Roman" w:hAnsi="Palatino Linotype" w:cs="Arial"/>
          <w:b/>
          <w:i/>
          <w:lang w:val="es-ES" w:eastAsia="es-ES"/>
        </w:rPr>
        <w:t>III</w:t>
      </w:r>
      <w:r w:rsidRPr="009E7171">
        <w:rPr>
          <w:rFonts w:ascii="Palatino Linotype" w:eastAsia="Times New Roman" w:hAnsi="Palatino Linotype" w:cs="Arial"/>
          <w:i/>
          <w:lang w:val="es-ES" w:eastAsia="es-ES"/>
        </w:rPr>
        <w:t xml:space="preserve">. No actualice alguno de los supuestos previstos en la presente Ley;  </w:t>
      </w:r>
    </w:p>
    <w:p w:rsidR="001A5F75" w:rsidRPr="009E7171" w:rsidRDefault="001A5F75" w:rsidP="001A5F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7171">
        <w:rPr>
          <w:rFonts w:ascii="Palatino Linotype" w:eastAsia="Times New Roman" w:hAnsi="Palatino Linotype" w:cs="Arial"/>
          <w:b/>
          <w:i/>
          <w:lang w:val="es-ES" w:eastAsia="es-ES"/>
        </w:rPr>
        <w:t>IV</w:t>
      </w:r>
      <w:r w:rsidRPr="009E7171">
        <w:rPr>
          <w:rFonts w:ascii="Palatino Linotype" w:eastAsia="Times New Roman" w:hAnsi="Palatino Linotype" w:cs="Arial"/>
          <w:i/>
          <w:lang w:val="es-ES" w:eastAsia="es-ES"/>
        </w:rPr>
        <w:t xml:space="preserve">. No se haya desahogado la prevención en los términos establecidos en la presente Ley;  </w:t>
      </w:r>
    </w:p>
    <w:p w:rsidR="001A5F75" w:rsidRPr="009E7171" w:rsidRDefault="001A5F75" w:rsidP="001A5F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7171">
        <w:rPr>
          <w:rFonts w:ascii="Palatino Linotype" w:eastAsia="Times New Roman" w:hAnsi="Palatino Linotype" w:cs="Arial"/>
          <w:b/>
          <w:i/>
          <w:lang w:val="es-ES" w:eastAsia="es-ES"/>
        </w:rPr>
        <w:t>V</w:t>
      </w:r>
      <w:r w:rsidRPr="009E7171">
        <w:rPr>
          <w:rFonts w:ascii="Palatino Linotype" w:eastAsia="Times New Roman" w:hAnsi="Palatino Linotype" w:cs="Arial"/>
          <w:i/>
          <w:lang w:val="es-ES" w:eastAsia="es-ES"/>
        </w:rPr>
        <w:t xml:space="preserve">. Se impugne la veracidad de la información proporcionada;  </w:t>
      </w:r>
    </w:p>
    <w:p w:rsidR="001A5F75" w:rsidRPr="009E7171" w:rsidRDefault="001A5F75" w:rsidP="001A5F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7171">
        <w:rPr>
          <w:rFonts w:ascii="Palatino Linotype" w:eastAsia="Times New Roman" w:hAnsi="Palatino Linotype" w:cs="Arial"/>
          <w:b/>
          <w:i/>
          <w:lang w:val="es-ES" w:eastAsia="es-ES"/>
        </w:rPr>
        <w:t>VI</w:t>
      </w:r>
      <w:r w:rsidRPr="009E7171">
        <w:rPr>
          <w:rFonts w:ascii="Palatino Linotype" w:eastAsia="Times New Roman" w:hAnsi="Palatino Linotype" w:cs="Arial"/>
          <w:i/>
          <w:lang w:val="es-ES" w:eastAsia="es-ES"/>
        </w:rPr>
        <w:t xml:space="preserve">. Se trate de una consulta, o trámite en específico; y  </w:t>
      </w:r>
    </w:p>
    <w:p w:rsidR="001A5F75" w:rsidRPr="009E7171" w:rsidRDefault="001A5F75" w:rsidP="001A5F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7171">
        <w:rPr>
          <w:rFonts w:ascii="Palatino Linotype" w:eastAsia="Times New Roman" w:hAnsi="Palatino Linotype" w:cs="Arial"/>
          <w:b/>
          <w:i/>
          <w:lang w:val="es-ES" w:eastAsia="es-ES"/>
        </w:rPr>
        <w:lastRenderedPageBreak/>
        <w:t>VII</w:t>
      </w:r>
      <w:r w:rsidRPr="009E7171">
        <w:rPr>
          <w:rFonts w:ascii="Palatino Linotype" w:eastAsia="Times New Roman" w:hAnsi="Palatino Linotype" w:cs="Arial"/>
          <w:i/>
          <w:lang w:val="es-ES" w:eastAsia="es-ES"/>
        </w:rPr>
        <w:t>. La Recurrente amplíe su solicitud en el recurso de revisión, únicamente respecto de los nuevos contenidos.”</w:t>
      </w: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A5F75" w:rsidRPr="009E7171" w:rsidRDefault="001A5F75" w:rsidP="001A5F75">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 xml:space="preserve">Ya que no fue interpuesto de forma extemporánea, no se está tramitando ante el Poder Judicial Federal, no son una consulta, o trámite en específico, ni tampoco se advierte que </w:t>
      </w:r>
      <w:r w:rsidRPr="009E7171">
        <w:rPr>
          <w:rFonts w:ascii="Palatino Linotype" w:eastAsiaTheme="minorHAnsi" w:hAnsi="Palatino Linotype" w:cs="Arial"/>
          <w:b/>
          <w:sz w:val="24"/>
          <w:szCs w:val="24"/>
          <w:lang w:eastAsia="en-US"/>
        </w:rPr>
        <w:t>la Recurrente</w:t>
      </w:r>
      <w:r w:rsidRPr="009E7171">
        <w:rPr>
          <w:rFonts w:ascii="Palatino Linotype" w:eastAsiaTheme="minorHAnsi" w:hAnsi="Palatino Linotype" w:cs="Arial"/>
          <w:sz w:val="24"/>
          <w:szCs w:val="24"/>
          <w:lang w:eastAsia="en-US"/>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1A5F75" w:rsidRPr="009E7171" w:rsidRDefault="001A5F75" w:rsidP="001A5F75">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1A5F75" w:rsidRPr="009E7171" w:rsidRDefault="001A5F75" w:rsidP="001A5F7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9E7171">
        <w:rPr>
          <w:rFonts w:ascii="Palatino Linotype" w:eastAsia="Times New Roman" w:hAnsi="Palatino Linotype" w:cs="Arial"/>
          <w:b/>
          <w:sz w:val="28"/>
          <w:szCs w:val="28"/>
          <w:lang w:val="es-ES" w:eastAsia="es-ES"/>
        </w:rPr>
        <w:t xml:space="preserve">CUARTO. </w:t>
      </w:r>
      <w:r w:rsidRPr="009E7171">
        <w:rPr>
          <w:rFonts w:ascii="Palatino Linotype" w:eastAsia="Times New Roman" w:hAnsi="Palatino Linotype" w:cs="Arial"/>
          <w:b/>
          <w:sz w:val="26"/>
          <w:szCs w:val="26"/>
          <w:lang w:val="es-ES" w:eastAsia="es-ES"/>
        </w:rPr>
        <w:t>Estudio y resolución de los recursos de revisión.</w:t>
      </w:r>
    </w:p>
    <w:p w:rsidR="001A5F75" w:rsidRPr="009E7171" w:rsidRDefault="001A5F75" w:rsidP="001A5F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t>Se procede al análisis de los recursos, así como al contenido íntegro de las actuaciones que obran en los expedientes electrónicos,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A5F75" w:rsidRPr="009E7171" w:rsidRDefault="001A5F75" w:rsidP="001A5F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A5F75" w:rsidRPr="009E7171" w:rsidRDefault="001A5F75" w:rsidP="001A5F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t xml:space="preserve">De conformidad tanto de la solicitud de información como de la aclaración a esta, se puede apreciar que el </w:t>
      </w:r>
      <w:r w:rsidRPr="009E7171">
        <w:rPr>
          <w:rFonts w:ascii="Palatino Linotype" w:eastAsia="Times New Roman" w:hAnsi="Palatino Linotype" w:cs="Arial"/>
          <w:b/>
          <w:sz w:val="24"/>
          <w:szCs w:val="24"/>
          <w:lang w:val="es-ES" w:eastAsia="es-ES"/>
        </w:rPr>
        <w:t>Recurrente</w:t>
      </w:r>
      <w:r w:rsidRPr="009E7171">
        <w:rPr>
          <w:rFonts w:ascii="Palatino Linotype" w:eastAsia="Times New Roman" w:hAnsi="Palatino Linotype" w:cs="Arial"/>
          <w:sz w:val="24"/>
          <w:szCs w:val="24"/>
          <w:lang w:val="es-ES" w:eastAsia="es-ES"/>
        </w:rPr>
        <w:t xml:space="preserve"> peticiona objetivamente lo siguiente:</w:t>
      </w:r>
    </w:p>
    <w:p w:rsidR="001A5F75" w:rsidRPr="009E7171" w:rsidRDefault="001A5F75" w:rsidP="001A5F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A5F75" w:rsidRPr="009E7171" w:rsidRDefault="001A5F75" w:rsidP="001A5F75">
      <w:pPr>
        <w:numPr>
          <w:ilvl w:val="0"/>
          <w:numId w:val="1"/>
        </w:numPr>
        <w:spacing w:after="0" w:line="360" w:lineRule="auto"/>
        <w:jc w:val="both"/>
        <w:rPr>
          <w:rFonts w:ascii="Palatino Linotype" w:eastAsia="Times New Roman" w:hAnsi="Palatino Linotype" w:cs="Arial"/>
          <w:sz w:val="24"/>
          <w:szCs w:val="24"/>
          <w:lang w:val="es-ES" w:eastAsia="es-ES"/>
        </w:rPr>
      </w:pPr>
      <w:r w:rsidRPr="009E7171">
        <w:rPr>
          <w:rFonts w:ascii="Palatino Linotype" w:eastAsia="Times New Roman" w:hAnsi="Palatino Linotype" w:cs="Arial"/>
          <w:sz w:val="24"/>
          <w:szCs w:val="24"/>
          <w:lang w:val="es-ES" w:eastAsia="es-ES"/>
        </w:rPr>
        <w:lastRenderedPageBreak/>
        <w:t>las solicitudes para visto bueno para la ubicación de bases, sitio o lanzaderas de transporte público individual denominado taxi.</w:t>
      </w:r>
    </w:p>
    <w:p w:rsidR="001A5F75" w:rsidRPr="009E7171" w:rsidRDefault="001A5F75" w:rsidP="001A5F75">
      <w:pPr>
        <w:spacing w:after="0" w:line="360" w:lineRule="auto"/>
        <w:jc w:val="both"/>
        <w:rPr>
          <w:rFonts w:ascii="Palatino Linotype" w:eastAsiaTheme="minorHAnsi" w:hAnsi="Palatino Linotype" w:cs="Arial"/>
          <w:sz w:val="24"/>
          <w:lang w:val="es-ES_tradnl" w:eastAsia="en-US"/>
        </w:rPr>
      </w:pPr>
    </w:p>
    <w:p w:rsidR="001A5F75" w:rsidRPr="009E7171" w:rsidRDefault="001A5F75" w:rsidP="001A5F75">
      <w:pPr>
        <w:spacing w:after="0" w:line="360" w:lineRule="auto"/>
        <w:jc w:val="both"/>
        <w:rPr>
          <w:rFonts w:ascii="Palatino Linotype" w:eastAsia="Times New Roman" w:hAnsi="Palatino Linotype" w:cs="Times New Roman"/>
          <w:sz w:val="24"/>
          <w:szCs w:val="24"/>
          <w:lang w:val="es-ES_tradnl" w:eastAsia="es-ES"/>
        </w:rPr>
      </w:pPr>
      <w:r w:rsidRPr="009E7171">
        <w:rPr>
          <w:rFonts w:ascii="Palatino Linotype" w:eastAsiaTheme="minorHAnsi" w:hAnsi="Palatino Linotype" w:cs="Arial"/>
          <w:sz w:val="24"/>
          <w:lang w:eastAsia="en-US"/>
        </w:rPr>
        <w:t xml:space="preserve">En primer lugar, de la redacción de la solicitud, se observa que la </w:t>
      </w:r>
      <w:r w:rsidRPr="009E7171">
        <w:rPr>
          <w:rFonts w:ascii="Palatino Linotype" w:eastAsiaTheme="minorHAnsi" w:hAnsi="Palatino Linotype" w:cs="Arial"/>
          <w:b/>
          <w:sz w:val="24"/>
          <w:lang w:eastAsia="en-US"/>
        </w:rPr>
        <w:t>Recurrente</w:t>
      </w:r>
      <w:r w:rsidRPr="009E7171">
        <w:rPr>
          <w:rFonts w:ascii="Palatino Linotype" w:eastAsiaTheme="minorHAnsi" w:hAnsi="Palatino Linotype" w:cs="Arial"/>
          <w:sz w:val="24"/>
          <w:lang w:eastAsia="en-US"/>
        </w:rPr>
        <w:t xml:space="preserve"> no señalo temporalidad de la información peticionada, </w:t>
      </w:r>
      <w:r w:rsidRPr="009E7171">
        <w:rPr>
          <w:rFonts w:ascii="Palatino Linotype" w:eastAsia="Times New Roman" w:hAnsi="Palatino Linotype" w:cs="Times New Roman"/>
          <w:sz w:val="24"/>
          <w:szCs w:val="24"/>
          <w:lang w:val="es-ES_tradnl" w:eastAsia="es-ES"/>
        </w:rPr>
        <w:t xml:space="preserve">en este sentido, resulta oportuno traer a colación el criterio relevante 03/19 emitido por el Órgano Garante Nacional, cuyo contenido dispone a la literalidad lo siguiente: </w:t>
      </w:r>
    </w:p>
    <w:p w:rsidR="001A5F75" w:rsidRPr="009E7171" w:rsidRDefault="001A5F75" w:rsidP="001A5F75">
      <w:pPr>
        <w:spacing w:after="0" w:line="360" w:lineRule="auto"/>
        <w:jc w:val="both"/>
        <w:rPr>
          <w:rFonts w:ascii="Palatino Linotype" w:eastAsia="Times New Roman" w:hAnsi="Palatino Linotype" w:cs="Times New Roman"/>
          <w:sz w:val="24"/>
          <w:szCs w:val="24"/>
          <w:lang w:val="es-ES_tradnl" w:eastAsia="es-ES"/>
        </w:rPr>
      </w:pPr>
    </w:p>
    <w:p w:rsidR="001A5F75" w:rsidRPr="009E7171" w:rsidRDefault="001A5F75" w:rsidP="001A5F75">
      <w:pPr>
        <w:spacing w:after="0" w:line="240" w:lineRule="auto"/>
        <w:ind w:left="567" w:right="616"/>
        <w:jc w:val="both"/>
        <w:rPr>
          <w:rFonts w:ascii="Palatino Linotype" w:eastAsia="Times New Roman" w:hAnsi="Palatino Linotype" w:cs="Times New Roman"/>
          <w:i/>
          <w:szCs w:val="24"/>
          <w:lang w:val="es-ES_tradnl" w:eastAsia="es-ES"/>
        </w:rPr>
      </w:pPr>
      <w:r w:rsidRPr="009E7171">
        <w:rPr>
          <w:rFonts w:ascii="Palatino Linotype" w:eastAsia="Times New Roman" w:hAnsi="Palatino Linotype" w:cs="Times New Roman"/>
          <w:i/>
          <w:szCs w:val="24"/>
          <w:lang w:val="es-ES_tradnl" w:eastAsia="es-ES"/>
        </w:rPr>
        <w:t>“</w:t>
      </w:r>
      <w:r w:rsidRPr="009E7171">
        <w:rPr>
          <w:rFonts w:ascii="Palatino Linotype" w:eastAsia="Times New Roman" w:hAnsi="Palatino Linotype" w:cs="Times New Roman"/>
          <w:b/>
          <w:i/>
          <w:szCs w:val="24"/>
          <w:lang w:val="es-ES_tradnl" w:eastAsia="es-ES"/>
        </w:rPr>
        <w:t>Periodo de búsqueda de la información.</w:t>
      </w:r>
      <w:r w:rsidRPr="009E7171">
        <w:rPr>
          <w:rFonts w:ascii="Palatino Linotype" w:eastAsia="Times New Roman" w:hAnsi="Palatino Linotype" w:cs="Times New Roman"/>
          <w:i/>
          <w:szCs w:val="24"/>
          <w:lang w:val="es-ES_tradnl" w:eastAsia="es-ES"/>
        </w:rPr>
        <w:t xml:space="preserve"> </w:t>
      </w:r>
    </w:p>
    <w:p w:rsidR="001A5F75" w:rsidRPr="009E7171" w:rsidRDefault="001A5F75" w:rsidP="001A5F75">
      <w:pPr>
        <w:spacing w:after="0" w:line="240" w:lineRule="auto"/>
        <w:ind w:left="567" w:right="616"/>
        <w:jc w:val="both"/>
        <w:rPr>
          <w:rFonts w:ascii="Palatino Linotype" w:eastAsia="Times New Roman" w:hAnsi="Palatino Linotype" w:cs="Times New Roman"/>
          <w:i/>
          <w:szCs w:val="24"/>
          <w:lang w:val="es-ES_tradnl" w:eastAsia="es-ES"/>
        </w:rPr>
      </w:pPr>
      <w:r w:rsidRPr="009E7171">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9E7171">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rsidR="001A5F75" w:rsidRPr="009E7171" w:rsidRDefault="001A5F75" w:rsidP="001A5F75">
      <w:pPr>
        <w:spacing w:after="0" w:line="240" w:lineRule="auto"/>
        <w:ind w:left="567" w:right="616"/>
        <w:jc w:val="both"/>
        <w:rPr>
          <w:rFonts w:ascii="Palatino Linotype" w:eastAsia="Times New Roman" w:hAnsi="Palatino Linotype" w:cs="Times New Roman"/>
          <w:b/>
          <w:i/>
          <w:sz w:val="20"/>
          <w:szCs w:val="24"/>
          <w:lang w:val="es-ES_tradnl" w:eastAsia="es-ES"/>
        </w:rPr>
      </w:pPr>
      <w:r w:rsidRPr="009E7171">
        <w:rPr>
          <w:rFonts w:ascii="Palatino Linotype" w:eastAsia="Times New Roman" w:hAnsi="Palatino Linotype" w:cs="Times New Roman"/>
          <w:i/>
          <w:szCs w:val="24"/>
          <w:lang w:val="es-ES_tradnl" w:eastAsia="es-ES"/>
        </w:rPr>
        <w:t>´</w:t>
      </w:r>
      <w:r w:rsidRPr="009E7171">
        <w:rPr>
          <w:rFonts w:ascii="Palatino Linotype" w:eastAsia="Times New Roman" w:hAnsi="Palatino Linotype" w:cs="Times New Roman"/>
          <w:b/>
          <w:i/>
          <w:sz w:val="20"/>
          <w:szCs w:val="24"/>
          <w:lang w:val="es-ES_tradnl" w:eastAsia="es-ES"/>
        </w:rPr>
        <w:t>Resoluciones</w:t>
      </w:r>
    </w:p>
    <w:p w:rsidR="001A5F75" w:rsidRPr="009E7171" w:rsidRDefault="001A5F75" w:rsidP="001A5F75">
      <w:pPr>
        <w:spacing w:after="0" w:line="240" w:lineRule="auto"/>
        <w:ind w:left="567" w:right="616"/>
        <w:jc w:val="both"/>
        <w:rPr>
          <w:rFonts w:ascii="Palatino Linotype" w:eastAsia="Times New Roman" w:hAnsi="Palatino Linotype" w:cs="Times New Roman"/>
          <w:i/>
          <w:sz w:val="20"/>
          <w:szCs w:val="24"/>
          <w:lang w:val="es-ES_tradnl" w:eastAsia="es-ES"/>
        </w:rPr>
      </w:pPr>
      <w:r w:rsidRPr="009E7171">
        <w:rPr>
          <w:rFonts w:ascii="Palatino Linotype" w:eastAsia="Times New Roman" w:hAnsi="Palatino Linotype" w:cs="Times New Roman"/>
          <w:b/>
          <w:i/>
          <w:sz w:val="20"/>
          <w:szCs w:val="24"/>
          <w:lang w:val="es-ES_tradnl" w:eastAsia="es-ES"/>
        </w:rPr>
        <w:t>RRA 0022/17.</w:t>
      </w:r>
      <w:r w:rsidRPr="009E7171">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rsidR="001A5F75" w:rsidRPr="009E7171" w:rsidRDefault="001A5F75" w:rsidP="001A5F75">
      <w:pPr>
        <w:spacing w:after="0" w:line="240" w:lineRule="auto"/>
        <w:ind w:left="567" w:right="616"/>
        <w:jc w:val="both"/>
        <w:rPr>
          <w:rFonts w:ascii="Palatino Linotype" w:eastAsia="Times New Roman" w:hAnsi="Palatino Linotype" w:cs="Times New Roman"/>
          <w:i/>
          <w:sz w:val="20"/>
          <w:szCs w:val="24"/>
          <w:lang w:val="es-ES_tradnl" w:eastAsia="es-ES"/>
        </w:rPr>
      </w:pPr>
      <w:r w:rsidRPr="009E7171">
        <w:rPr>
          <w:rFonts w:ascii="Palatino Linotype" w:eastAsia="Times New Roman" w:hAnsi="Palatino Linotype" w:cs="Times New Roman"/>
          <w:i/>
          <w:sz w:val="20"/>
          <w:szCs w:val="24"/>
          <w:lang w:val="es-ES_tradnl" w:eastAsia="es-ES"/>
        </w:rPr>
        <w:t>http://consultas.ifai.org.mx/descargar.php?r=./pdf/resoluciones/2017/&amp;a=RRA%2022.pdf</w:t>
      </w:r>
    </w:p>
    <w:p w:rsidR="001A5F75" w:rsidRPr="009E7171" w:rsidRDefault="001A5F75" w:rsidP="001A5F75">
      <w:pPr>
        <w:spacing w:after="0" w:line="240" w:lineRule="auto"/>
        <w:ind w:left="567" w:right="616"/>
        <w:jc w:val="both"/>
        <w:rPr>
          <w:rFonts w:ascii="Palatino Linotype" w:eastAsia="Times New Roman" w:hAnsi="Palatino Linotype" w:cs="Times New Roman"/>
          <w:i/>
          <w:sz w:val="20"/>
          <w:szCs w:val="24"/>
          <w:lang w:val="es-ES_tradnl" w:eastAsia="es-ES"/>
        </w:rPr>
      </w:pPr>
      <w:r w:rsidRPr="009E7171">
        <w:rPr>
          <w:rFonts w:ascii="Palatino Linotype" w:eastAsia="Times New Roman" w:hAnsi="Palatino Linotype" w:cs="Times New Roman"/>
          <w:b/>
          <w:i/>
          <w:sz w:val="20"/>
          <w:szCs w:val="24"/>
          <w:lang w:val="es-ES_tradnl" w:eastAsia="es-ES"/>
        </w:rPr>
        <w:t xml:space="preserve">RRA 2536/17. </w:t>
      </w:r>
      <w:r w:rsidRPr="009E7171">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rsidR="001A5F75" w:rsidRPr="009E7171" w:rsidRDefault="001A5F75" w:rsidP="001A5F75">
      <w:pPr>
        <w:spacing w:after="0" w:line="240" w:lineRule="auto"/>
        <w:ind w:left="567" w:right="616"/>
        <w:jc w:val="both"/>
        <w:rPr>
          <w:rFonts w:ascii="Palatino Linotype" w:eastAsia="Times New Roman" w:hAnsi="Palatino Linotype" w:cs="Times New Roman"/>
          <w:i/>
          <w:sz w:val="20"/>
          <w:szCs w:val="24"/>
          <w:lang w:val="es-ES_tradnl" w:eastAsia="es-ES"/>
        </w:rPr>
      </w:pPr>
      <w:r w:rsidRPr="009E7171">
        <w:rPr>
          <w:rFonts w:ascii="Palatino Linotype" w:eastAsia="Times New Roman" w:hAnsi="Palatino Linotype" w:cs="Times New Roman"/>
          <w:i/>
          <w:sz w:val="20"/>
          <w:szCs w:val="24"/>
          <w:lang w:val="es-ES_tradnl" w:eastAsia="es-ES"/>
        </w:rPr>
        <w:t xml:space="preserve">http://consultas.ifai.org.mx/descargar.php?r=./pdf/resoluciones/2017/&amp;a=RRA%202536.pdf </w:t>
      </w:r>
    </w:p>
    <w:p w:rsidR="001A5F75" w:rsidRPr="009E7171" w:rsidRDefault="001A5F75" w:rsidP="001A5F75">
      <w:pPr>
        <w:spacing w:after="0" w:line="240" w:lineRule="auto"/>
        <w:ind w:left="567" w:right="616"/>
        <w:jc w:val="both"/>
        <w:rPr>
          <w:rFonts w:ascii="Palatino Linotype" w:eastAsia="Times New Roman" w:hAnsi="Palatino Linotype" w:cs="Times New Roman"/>
          <w:i/>
          <w:sz w:val="20"/>
          <w:szCs w:val="24"/>
          <w:lang w:val="es-ES_tradnl" w:eastAsia="es-ES"/>
        </w:rPr>
      </w:pPr>
      <w:r w:rsidRPr="009E7171">
        <w:rPr>
          <w:rFonts w:ascii="Palatino Linotype" w:eastAsia="Times New Roman" w:hAnsi="Palatino Linotype" w:cs="Times New Roman"/>
          <w:b/>
          <w:i/>
          <w:sz w:val="20"/>
          <w:szCs w:val="24"/>
          <w:lang w:val="es-ES_tradnl" w:eastAsia="es-ES"/>
        </w:rPr>
        <w:t>RRA 3482/17.</w:t>
      </w:r>
      <w:r w:rsidRPr="009E7171">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rsidR="001A5F75" w:rsidRPr="009E7171" w:rsidRDefault="004C14F4" w:rsidP="001A5F75">
      <w:pPr>
        <w:spacing w:after="0" w:line="240" w:lineRule="auto"/>
        <w:ind w:left="567" w:right="616"/>
        <w:jc w:val="both"/>
        <w:rPr>
          <w:rFonts w:ascii="Palatino Linotype" w:eastAsia="Times New Roman" w:hAnsi="Palatino Linotype" w:cs="Times New Roman"/>
          <w:sz w:val="20"/>
          <w:szCs w:val="24"/>
          <w:lang w:val="es-ES_tradnl" w:eastAsia="es-ES"/>
        </w:rPr>
      </w:pPr>
      <w:hyperlink r:id="rId9" w:history="1">
        <w:r w:rsidR="001A5F75" w:rsidRPr="009E7171">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1A5F75" w:rsidRPr="009E7171">
        <w:rPr>
          <w:rFonts w:ascii="Palatino Linotype" w:eastAsia="Times New Roman" w:hAnsi="Palatino Linotype" w:cs="Times New Roman"/>
          <w:i/>
          <w:sz w:val="20"/>
          <w:szCs w:val="24"/>
          <w:lang w:val="es-ES_tradnl" w:eastAsia="es-ES"/>
        </w:rPr>
        <w:t>”</w:t>
      </w:r>
    </w:p>
    <w:p w:rsidR="001A5F75" w:rsidRPr="009E7171" w:rsidRDefault="001A5F75" w:rsidP="001A5F75">
      <w:pPr>
        <w:spacing w:after="0" w:line="240" w:lineRule="auto"/>
        <w:ind w:left="567" w:right="616"/>
        <w:jc w:val="both"/>
        <w:rPr>
          <w:rFonts w:ascii="Palatino Linotype" w:eastAsia="Times New Roman" w:hAnsi="Palatino Linotype" w:cs="Times New Roman"/>
          <w:sz w:val="20"/>
          <w:szCs w:val="24"/>
          <w:lang w:val="es-ES_tradnl" w:eastAsia="es-ES"/>
        </w:rPr>
      </w:pPr>
    </w:p>
    <w:p w:rsidR="001A5F75" w:rsidRPr="009E7171" w:rsidRDefault="001A5F75" w:rsidP="001A5F75">
      <w:pPr>
        <w:spacing w:after="0" w:line="240" w:lineRule="auto"/>
        <w:ind w:left="567" w:right="616"/>
        <w:jc w:val="right"/>
        <w:rPr>
          <w:rFonts w:ascii="Palatino Linotype" w:eastAsia="Times New Roman" w:hAnsi="Palatino Linotype" w:cs="Times New Roman"/>
          <w:sz w:val="20"/>
          <w:szCs w:val="24"/>
          <w:lang w:val="es-ES_tradnl" w:eastAsia="es-ES"/>
        </w:rPr>
      </w:pPr>
      <w:r w:rsidRPr="009E7171">
        <w:rPr>
          <w:rFonts w:ascii="Palatino Linotype" w:eastAsia="Times New Roman" w:hAnsi="Palatino Linotype" w:cs="Times New Roman"/>
          <w:sz w:val="20"/>
          <w:szCs w:val="24"/>
          <w:lang w:val="es-ES_tradnl" w:eastAsia="es-ES"/>
        </w:rPr>
        <w:t>(Énfasis añadido)</w:t>
      </w:r>
    </w:p>
    <w:p w:rsidR="001A5F75" w:rsidRPr="009E7171" w:rsidRDefault="001A5F75" w:rsidP="001A5F75">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rsidR="001A5F75" w:rsidRPr="009E7171" w:rsidRDefault="001A5F75" w:rsidP="001A5F75">
      <w:pPr>
        <w:spacing w:after="0" w:line="360" w:lineRule="auto"/>
        <w:jc w:val="both"/>
        <w:rPr>
          <w:rFonts w:ascii="Palatino Linotype" w:eastAsiaTheme="minorHAnsi" w:hAnsi="Palatino Linotype" w:cs="Arial"/>
          <w:sz w:val="24"/>
          <w:lang w:val="es-ES_tradnl" w:eastAsia="en-US"/>
        </w:rPr>
      </w:pPr>
      <w:r w:rsidRPr="009E7171">
        <w:rPr>
          <w:rFonts w:ascii="Palatino Linotype" w:eastAsiaTheme="minorHAnsi" w:hAnsi="Palatino Linotype" w:cs="Arial"/>
          <w:sz w:val="24"/>
          <w:lang w:val="es-ES_tradnl" w:eastAsia="en-US"/>
        </w:rPr>
        <w:t xml:space="preserve">Criterio que establece en los supuestos que no se establezca </w:t>
      </w:r>
      <w:r w:rsidRPr="009E7171">
        <w:rPr>
          <w:rFonts w:ascii="Palatino Linotype" w:eastAsiaTheme="minorHAnsi" w:hAnsi="Palatino Linotype" w:cs="Arial"/>
          <w:b/>
          <w:sz w:val="24"/>
          <w:lang w:val="es-ES_tradnl" w:eastAsia="en-US"/>
        </w:rPr>
        <w:t>periodo de la información</w:t>
      </w:r>
      <w:r w:rsidRPr="009E7171">
        <w:rPr>
          <w:rFonts w:ascii="Palatino Linotype" w:eastAsiaTheme="minorHAnsi" w:hAnsi="Palatino Linotype" w:cs="Arial"/>
          <w:sz w:val="24"/>
          <w:lang w:val="es-ES_tradnl" w:eastAsia="en-US"/>
        </w:rPr>
        <w:t xml:space="preserve"> peticionada, se deberá establecer el año inmediato anterior, contado a partir de la fecha </w:t>
      </w:r>
      <w:r w:rsidRPr="009E7171">
        <w:rPr>
          <w:rFonts w:ascii="Palatino Linotype" w:eastAsiaTheme="minorHAnsi" w:hAnsi="Palatino Linotype" w:cs="Arial"/>
          <w:sz w:val="24"/>
          <w:lang w:val="es-ES_tradnl" w:eastAsia="en-US"/>
        </w:rPr>
        <w:lastRenderedPageBreak/>
        <w:t xml:space="preserve">de ingreso de la solicitud, lo que en el caso particular, </w:t>
      </w:r>
      <w:r w:rsidRPr="009E7171">
        <w:rPr>
          <w:rFonts w:ascii="Palatino Linotype" w:eastAsiaTheme="minorHAnsi" w:hAnsi="Palatino Linotype" w:cs="Arial"/>
          <w:b/>
          <w:sz w:val="24"/>
          <w:lang w:val="es-ES_tradnl" w:eastAsia="en-US"/>
        </w:rPr>
        <w:t xml:space="preserve">corresponde del cinco de octubre </w:t>
      </w:r>
      <w:r w:rsidR="00AC6DE0" w:rsidRPr="009E7171">
        <w:rPr>
          <w:rFonts w:ascii="Palatino Linotype" w:eastAsiaTheme="minorHAnsi" w:hAnsi="Palatino Linotype" w:cs="Arial"/>
          <w:b/>
          <w:sz w:val="24"/>
          <w:lang w:val="es-ES_tradnl" w:eastAsia="en-US"/>
        </w:rPr>
        <w:t>d</w:t>
      </w:r>
      <w:r w:rsidRPr="009E7171">
        <w:rPr>
          <w:rFonts w:ascii="Palatino Linotype" w:eastAsiaTheme="minorHAnsi" w:hAnsi="Palatino Linotype" w:cs="Arial"/>
          <w:b/>
          <w:sz w:val="24"/>
          <w:lang w:val="es-ES_tradnl" w:eastAsia="en-US"/>
        </w:rPr>
        <w:t xml:space="preserve">e dos mil veintiuno al </w:t>
      </w:r>
      <w:r w:rsidR="00AC6DE0" w:rsidRPr="009E7171">
        <w:rPr>
          <w:rFonts w:ascii="Palatino Linotype" w:eastAsiaTheme="minorHAnsi" w:hAnsi="Palatino Linotype" w:cs="Arial"/>
          <w:b/>
          <w:sz w:val="24"/>
          <w:lang w:val="es-ES_tradnl" w:eastAsia="en-US"/>
        </w:rPr>
        <w:t xml:space="preserve">cinco de octubre </w:t>
      </w:r>
      <w:r w:rsidRPr="009E7171">
        <w:rPr>
          <w:rFonts w:ascii="Palatino Linotype" w:eastAsiaTheme="minorHAnsi" w:hAnsi="Palatino Linotype" w:cs="Arial"/>
          <w:b/>
          <w:sz w:val="24"/>
          <w:lang w:val="es-ES_tradnl" w:eastAsia="en-US"/>
        </w:rPr>
        <w:t>de dos mil veintidós.</w:t>
      </w:r>
    </w:p>
    <w:p w:rsidR="001A5F75" w:rsidRPr="009E7171" w:rsidRDefault="001A5F75" w:rsidP="001A5F75">
      <w:pPr>
        <w:spacing w:after="0" w:line="360" w:lineRule="auto"/>
        <w:jc w:val="both"/>
        <w:rPr>
          <w:rFonts w:ascii="Palatino Linotype" w:eastAsiaTheme="minorHAnsi" w:hAnsi="Palatino Linotype" w:cs="Arial"/>
          <w:sz w:val="24"/>
          <w:lang w:val="es-ES_tradnl" w:eastAsia="en-US"/>
        </w:rPr>
      </w:pPr>
    </w:p>
    <w:p w:rsidR="001A5F75" w:rsidRPr="009E7171" w:rsidRDefault="001A5F75" w:rsidP="00AC6DE0">
      <w:pPr>
        <w:spacing w:after="0" w:line="360" w:lineRule="auto"/>
        <w:jc w:val="both"/>
        <w:rPr>
          <w:rFonts w:ascii="Palatino Linotype" w:eastAsia="Palatino Linotype" w:hAnsi="Palatino Linotype" w:cs="Palatino Linotype"/>
          <w:color w:val="000000"/>
          <w:sz w:val="24"/>
          <w:lang w:val="es-ES_tradnl"/>
        </w:rPr>
      </w:pPr>
      <w:r w:rsidRPr="009E7171">
        <w:rPr>
          <w:rFonts w:ascii="Palatino Linotype" w:eastAsiaTheme="minorHAnsi" w:hAnsi="Palatino Linotype" w:cs="Arial"/>
          <w:sz w:val="24"/>
          <w:lang w:val="es-ES_tradnl" w:eastAsia="en-US"/>
        </w:rPr>
        <w:t>De conformidad con las constancias que obran en e</w:t>
      </w:r>
      <w:r w:rsidR="00AC6DE0" w:rsidRPr="009E7171">
        <w:rPr>
          <w:rFonts w:ascii="Palatino Linotype" w:eastAsiaTheme="minorHAnsi" w:hAnsi="Palatino Linotype" w:cs="Arial"/>
          <w:sz w:val="24"/>
          <w:lang w:val="es-ES_tradnl" w:eastAsia="en-US"/>
        </w:rPr>
        <w:t xml:space="preserve">l expediente electrónico </w:t>
      </w:r>
      <w:r w:rsidRPr="009E7171">
        <w:rPr>
          <w:rFonts w:ascii="Palatino Linotype" w:eastAsiaTheme="minorHAnsi" w:hAnsi="Palatino Linotype" w:cs="Arial"/>
          <w:sz w:val="24"/>
          <w:lang w:val="es-ES_tradnl" w:eastAsia="en-US"/>
        </w:rPr>
        <w:t>se observa que</w:t>
      </w:r>
      <w:r w:rsidR="00AC6DE0" w:rsidRPr="009E7171">
        <w:rPr>
          <w:rFonts w:ascii="Palatino Linotype" w:eastAsiaTheme="minorHAnsi" w:hAnsi="Palatino Linotype" w:cs="Arial"/>
          <w:sz w:val="24"/>
          <w:lang w:val="es-ES_tradnl" w:eastAsia="en-US"/>
        </w:rPr>
        <w:t xml:space="preserve">, </w:t>
      </w:r>
      <w:r w:rsidRPr="009E7171">
        <w:rPr>
          <w:rFonts w:ascii="Palatino Linotype" w:eastAsiaTheme="minorHAnsi" w:hAnsi="Palatino Linotype" w:cs="Arial"/>
          <w:sz w:val="24"/>
          <w:lang w:val="es-ES_tradnl" w:eastAsia="en-US"/>
        </w:rPr>
        <w:t>e</w:t>
      </w:r>
      <w:r w:rsidRPr="009E7171">
        <w:rPr>
          <w:rFonts w:ascii="Palatino Linotype" w:eastAsiaTheme="minorHAnsi" w:hAnsi="Palatino Linotype" w:cs="Arial"/>
          <w:sz w:val="24"/>
          <w:lang w:eastAsia="en-US"/>
        </w:rPr>
        <w:t xml:space="preserve">l </w:t>
      </w:r>
      <w:r w:rsidRPr="009E7171">
        <w:rPr>
          <w:rFonts w:ascii="Palatino Linotype" w:eastAsiaTheme="minorHAnsi" w:hAnsi="Palatino Linotype" w:cs="Arial"/>
          <w:b/>
          <w:sz w:val="24"/>
          <w:lang w:eastAsia="en-US"/>
        </w:rPr>
        <w:t>Sujeto Obligado</w:t>
      </w:r>
      <w:r w:rsidRPr="009E7171">
        <w:rPr>
          <w:rFonts w:ascii="Palatino Linotype" w:eastAsiaTheme="minorHAnsi" w:hAnsi="Palatino Linotype" w:cs="Arial"/>
          <w:sz w:val="24"/>
          <w:lang w:eastAsia="en-US"/>
        </w:rPr>
        <w:t xml:space="preserve"> dio respuesta por medio del sistema SAIMEX</w:t>
      </w:r>
      <w:r w:rsidRPr="009E7171">
        <w:rPr>
          <w:rFonts w:ascii="Palatino Linotype" w:eastAsiaTheme="minorHAnsi" w:hAnsi="Palatino Linotype" w:cs="Arial"/>
          <w:sz w:val="24"/>
          <w:szCs w:val="24"/>
          <w:lang w:eastAsia="en-US"/>
        </w:rPr>
        <w:t>, adjuntando el documento electrónico “</w:t>
      </w:r>
      <w:r w:rsidRPr="009E7171">
        <w:rPr>
          <w:rFonts w:ascii="Palatino Linotype" w:eastAsia="Palatino Linotype" w:hAnsi="Palatino Linotype" w:cs="Palatino Linotype"/>
          <w:b/>
          <w:i/>
          <w:color w:val="000000"/>
          <w:sz w:val="24"/>
          <w:szCs w:val="24"/>
        </w:rPr>
        <w:t>respuesta de solicitud 94</w:t>
      </w:r>
      <w:r w:rsidR="00AC6DE0" w:rsidRPr="009E7171">
        <w:rPr>
          <w:rFonts w:ascii="Palatino Linotype" w:eastAsia="Palatino Linotype" w:hAnsi="Palatino Linotype" w:cs="Palatino Linotype"/>
          <w:b/>
          <w:i/>
          <w:color w:val="000000"/>
          <w:sz w:val="24"/>
          <w:szCs w:val="24"/>
        </w:rPr>
        <w:t>5</w:t>
      </w:r>
      <w:r w:rsidRPr="009E7171">
        <w:rPr>
          <w:rFonts w:ascii="Palatino Linotype" w:eastAsia="Palatino Linotype" w:hAnsi="Palatino Linotype" w:cs="Palatino Linotype"/>
          <w:b/>
          <w:i/>
          <w:color w:val="000000"/>
          <w:sz w:val="24"/>
          <w:szCs w:val="24"/>
        </w:rPr>
        <w:t>-22.pdf</w:t>
      </w:r>
      <w:r w:rsidRPr="009E7171">
        <w:rPr>
          <w:rFonts w:ascii="Palatino Linotype" w:eastAsiaTheme="minorHAnsi" w:hAnsi="Palatino Linotype" w:cs="Arial"/>
          <w:sz w:val="24"/>
          <w:szCs w:val="24"/>
          <w:lang w:eastAsia="en-US"/>
        </w:rPr>
        <w:t xml:space="preserve">”, </w:t>
      </w:r>
      <w:r w:rsidR="00AC6DE0" w:rsidRPr="009E7171">
        <w:rPr>
          <w:rFonts w:ascii="Palatino Linotype" w:eastAsiaTheme="minorHAnsi" w:hAnsi="Palatino Linotype" w:cs="Arial"/>
          <w:sz w:val="24"/>
          <w:szCs w:val="24"/>
          <w:lang w:eastAsia="en-US"/>
        </w:rPr>
        <w:t xml:space="preserve">consistente en el </w:t>
      </w:r>
      <w:r w:rsidR="00AC6DE0" w:rsidRPr="009E7171">
        <w:rPr>
          <w:rFonts w:ascii="Palatino Linotype" w:eastAsia="Palatino Linotype" w:hAnsi="Palatino Linotype" w:cs="Palatino Linotype"/>
          <w:color w:val="000000"/>
          <w:sz w:val="24"/>
          <w:szCs w:val="24"/>
          <w:lang w:val="es-ES_tradnl"/>
        </w:rPr>
        <w:t>oficio</w:t>
      </w:r>
      <w:r w:rsidRPr="009E7171">
        <w:rPr>
          <w:rFonts w:ascii="Palatino Linotype" w:eastAsia="Palatino Linotype" w:hAnsi="Palatino Linotype" w:cs="Palatino Linotype"/>
          <w:color w:val="000000"/>
          <w:sz w:val="24"/>
          <w:lang w:val="es-ES_tradnl"/>
        </w:rPr>
        <w:t xml:space="preserve"> sin número ni fecha de emisión, mediante el cual el Titular de la Unidad de Transparencia del Sujeto Obligado, informa al </w:t>
      </w:r>
      <w:r w:rsidRPr="009E7171">
        <w:rPr>
          <w:rFonts w:ascii="Palatino Linotype" w:eastAsia="Palatino Linotype" w:hAnsi="Palatino Linotype" w:cs="Palatino Linotype"/>
          <w:b/>
          <w:color w:val="000000"/>
          <w:sz w:val="24"/>
          <w:lang w:val="es-ES_tradnl"/>
        </w:rPr>
        <w:t>Recurrente</w:t>
      </w:r>
      <w:r w:rsidRPr="009E7171">
        <w:rPr>
          <w:rFonts w:ascii="Palatino Linotype" w:eastAsia="Palatino Linotype" w:hAnsi="Palatino Linotype" w:cs="Palatino Linotype"/>
          <w:color w:val="000000"/>
          <w:sz w:val="24"/>
          <w:lang w:val="es-ES_tradnl"/>
        </w:rPr>
        <w:t>, objetivamente lo siguiente:</w:t>
      </w:r>
    </w:p>
    <w:p w:rsidR="00EB4032" w:rsidRPr="009E7171" w:rsidRDefault="00EB4032" w:rsidP="00AC6DE0">
      <w:pPr>
        <w:spacing w:after="0" w:line="360" w:lineRule="auto"/>
        <w:jc w:val="both"/>
        <w:rPr>
          <w:rFonts w:ascii="Palatino Linotype" w:eastAsia="Palatino Linotype" w:hAnsi="Palatino Linotype" w:cs="Palatino Linotype"/>
          <w:color w:val="000000"/>
          <w:sz w:val="24"/>
        </w:rPr>
      </w:pPr>
    </w:p>
    <w:p w:rsidR="00CD3F3E" w:rsidRPr="009E7171" w:rsidRDefault="001A5F75" w:rsidP="00CD3F3E">
      <w:pPr>
        <w:pStyle w:val="Prrafodelista"/>
        <w:pBdr>
          <w:top w:val="nil"/>
          <w:left w:val="nil"/>
          <w:bottom w:val="nil"/>
          <w:right w:val="nil"/>
          <w:between w:val="nil"/>
        </w:pBdr>
        <w:ind w:left="720" w:right="616"/>
        <w:contextualSpacing/>
        <w:jc w:val="both"/>
        <w:rPr>
          <w:rFonts w:ascii="Palatino Linotype" w:eastAsia="Palatino Linotype" w:hAnsi="Palatino Linotype" w:cs="Palatino Linotype"/>
          <w:i/>
          <w:color w:val="000000"/>
          <w:sz w:val="22"/>
          <w:lang w:val="es-ES_tradnl"/>
        </w:rPr>
      </w:pPr>
      <w:r w:rsidRPr="009E7171">
        <w:rPr>
          <w:rFonts w:ascii="Palatino Linotype" w:eastAsia="Palatino Linotype" w:hAnsi="Palatino Linotype" w:cs="Palatino Linotype"/>
          <w:i/>
          <w:color w:val="000000"/>
          <w:sz w:val="22"/>
          <w:lang w:val="es-ES_tradnl"/>
        </w:rPr>
        <w:t>“</w:t>
      </w:r>
      <w:r w:rsidR="00CD3F3E" w:rsidRPr="009E7171">
        <w:rPr>
          <w:rFonts w:ascii="Palatino Linotype" w:eastAsia="Palatino Linotype" w:hAnsi="Palatino Linotype" w:cs="Palatino Linotype"/>
          <w:i/>
          <w:color w:val="000000"/>
          <w:sz w:val="22"/>
          <w:lang w:val="es-ES_tradnl"/>
        </w:rPr>
        <w:t xml:space="preserve">Una vez efectuado el análisis de la presente solicitud este Sujeto Obligado la turno </w:t>
      </w:r>
      <w:proofErr w:type="spellStart"/>
      <w:r w:rsidR="00CD3F3E" w:rsidRPr="009E7171">
        <w:rPr>
          <w:rFonts w:ascii="Palatino Linotype" w:eastAsia="Palatino Linotype" w:hAnsi="Palatino Linotype" w:cs="Palatino Linotype"/>
          <w:i/>
          <w:color w:val="000000"/>
          <w:sz w:val="22"/>
          <w:lang w:val="es-ES_tradnl"/>
        </w:rPr>
        <w:t>al</w:t>
      </w:r>
      <w:proofErr w:type="spellEnd"/>
      <w:r w:rsidR="00CD3F3E" w:rsidRPr="009E7171">
        <w:rPr>
          <w:rFonts w:ascii="Palatino Linotype" w:eastAsia="Palatino Linotype" w:hAnsi="Palatino Linotype" w:cs="Palatino Linotype"/>
          <w:i/>
          <w:color w:val="000000"/>
          <w:sz w:val="22"/>
          <w:lang w:val="es-ES_tradnl"/>
        </w:rPr>
        <w:t xml:space="preserve"> la </w:t>
      </w:r>
      <w:proofErr w:type="spellStart"/>
      <w:r w:rsidR="00CD3F3E" w:rsidRPr="009E7171">
        <w:rPr>
          <w:rFonts w:ascii="Palatino Linotype" w:eastAsia="Palatino Linotype" w:hAnsi="Palatino Linotype" w:cs="Palatino Linotype"/>
          <w:i/>
          <w:color w:val="000000"/>
          <w:sz w:val="22"/>
          <w:lang w:val="es-ES_tradnl"/>
        </w:rPr>
        <w:t>Direccion</w:t>
      </w:r>
      <w:proofErr w:type="spellEnd"/>
      <w:r w:rsidR="00CD3F3E" w:rsidRPr="009E7171">
        <w:rPr>
          <w:rFonts w:ascii="Palatino Linotype" w:eastAsia="Palatino Linotype" w:hAnsi="Palatino Linotype" w:cs="Palatino Linotype"/>
          <w:i/>
          <w:color w:val="000000"/>
          <w:sz w:val="22"/>
          <w:lang w:val="es-ES_tradnl"/>
        </w:rPr>
        <w:t xml:space="preserve"> de Desarrollo Metropolitano y Movilidad del municipio de Zinacantepec, por tal motivo le informo al solicitante que </w:t>
      </w:r>
      <w:r w:rsidR="00CD3F3E" w:rsidRPr="009E7171">
        <w:rPr>
          <w:rFonts w:ascii="Palatino Linotype" w:eastAsia="Palatino Linotype" w:hAnsi="Palatino Linotype" w:cs="Palatino Linotype"/>
          <w:i/>
          <w:color w:val="000000"/>
          <w:sz w:val="22"/>
          <w:u w:val="single"/>
          <w:lang w:val="es-ES_tradnl"/>
        </w:rPr>
        <w:t>desde el inicio de la presente administración 2022-2024, no se han recibido solicitudes para el visto bueno</w:t>
      </w:r>
      <w:r w:rsidR="00CD3F3E" w:rsidRPr="009E7171">
        <w:rPr>
          <w:rFonts w:ascii="Palatino Linotype" w:eastAsia="Palatino Linotype" w:hAnsi="Palatino Linotype" w:cs="Palatino Linotype"/>
          <w:i/>
          <w:color w:val="000000"/>
          <w:sz w:val="22"/>
          <w:lang w:val="es-ES_tradnl"/>
        </w:rPr>
        <w:t xml:space="preserve"> para la ubicación de bases, sitio o lanzaderas de transporte público en su modalidad de taxi.” (</w:t>
      </w:r>
      <w:proofErr w:type="gramStart"/>
      <w:r w:rsidR="00CD3F3E" w:rsidRPr="009E7171">
        <w:rPr>
          <w:rFonts w:ascii="Palatino Linotype" w:eastAsia="Palatino Linotype" w:hAnsi="Palatino Linotype" w:cs="Palatino Linotype"/>
          <w:i/>
          <w:color w:val="000000"/>
          <w:sz w:val="22"/>
          <w:lang w:val="es-ES_tradnl"/>
        </w:rPr>
        <w:t>sic</w:t>
      </w:r>
      <w:proofErr w:type="gramEnd"/>
      <w:r w:rsidR="00CD3F3E" w:rsidRPr="009E7171">
        <w:rPr>
          <w:rFonts w:ascii="Palatino Linotype" w:eastAsia="Palatino Linotype" w:hAnsi="Palatino Linotype" w:cs="Palatino Linotype"/>
          <w:i/>
          <w:color w:val="000000"/>
          <w:sz w:val="22"/>
          <w:lang w:val="es-ES_tradnl"/>
        </w:rPr>
        <w:t>)</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rPr>
      </w:pPr>
    </w:p>
    <w:p w:rsidR="00CD3F3E" w:rsidRPr="009E7171" w:rsidRDefault="00CD3F3E" w:rsidP="00CD3F3E">
      <w:pPr>
        <w:spacing w:after="0" w:line="360" w:lineRule="auto"/>
        <w:jc w:val="both"/>
        <w:rPr>
          <w:rFonts w:ascii="Palatino Linotype" w:hAnsi="Palatino Linotype" w:cs="Times New Roman"/>
          <w:sz w:val="24"/>
          <w:szCs w:val="24"/>
          <w:lang w:val="es-ES_tradnl" w:eastAsia="es-ES"/>
        </w:rPr>
      </w:pPr>
      <w:r w:rsidRPr="009E7171">
        <w:rPr>
          <w:rFonts w:ascii="Palatino Linotype" w:hAnsi="Palatino Linotype" w:cs="Times New Roman"/>
          <w:sz w:val="24"/>
          <w:szCs w:val="24"/>
          <w:lang w:val="es-ES_tradnl" w:eastAsia="es-ES"/>
        </w:rPr>
        <w:t xml:space="preserve">Atentos a lo manifestado por el </w:t>
      </w:r>
      <w:r w:rsidRPr="009E7171">
        <w:rPr>
          <w:rFonts w:ascii="Palatino Linotype" w:hAnsi="Palatino Linotype" w:cs="Times New Roman"/>
          <w:b/>
          <w:sz w:val="24"/>
          <w:szCs w:val="24"/>
          <w:lang w:val="es-ES_tradnl" w:eastAsia="es-ES"/>
        </w:rPr>
        <w:t>Sujeto Obligado</w:t>
      </w:r>
      <w:r w:rsidRPr="009E7171">
        <w:rPr>
          <w:rFonts w:ascii="Palatino Linotype" w:hAnsi="Palatino Linotype" w:cs="Times New Roman"/>
          <w:sz w:val="24"/>
          <w:szCs w:val="24"/>
          <w:lang w:val="es-ES_tradnl" w:eastAsia="es-ES"/>
        </w:rPr>
        <w:t xml:space="preserve">, en primer lugar podemos concluir que se obvia el estudio del marco normativo que rige su actuar, ello atendiendo que, el estudio de la fuente obligacional se realiza con la finalidad de determinar si éste se encuentra obligado a generarla, poseerla o administrarla, pero en los casos en que de la respuesta, acepta o bien otorga indicios de que cuenta con ella, seria ocioso delimitar las norma jurídica que determine si la dependencia, cuenta con ella o no. </w:t>
      </w:r>
    </w:p>
    <w:p w:rsidR="00CD3F3E" w:rsidRPr="009E7171" w:rsidRDefault="00CD3F3E"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rPr>
      </w:pPr>
    </w:p>
    <w:p w:rsidR="00CD3F3E" w:rsidRPr="009E7171" w:rsidRDefault="00CD3F3E"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rPr>
      </w:pPr>
      <w:r w:rsidRPr="009E7171">
        <w:rPr>
          <w:rFonts w:ascii="Palatino Linotype" w:eastAsia="Palatino Linotype" w:hAnsi="Palatino Linotype" w:cs="Palatino Linotype"/>
          <w:color w:val="000000"/>
          <w:sz w:val="24"/>
          <w:lang w:val="es-ES_tradnl"/>
        </w:rPr>
        <w:t xml:space="preserve">Ello es así, al reconocer que dentro de su estructura orgánica, se encuentra la Dirección de Desarrollo Metropolitano y Movilidad, quien cuenta con atribuciones para el otorgamiento de vistos buenos para la ubicación de bases, sitio o lanzaderas de </w:t>
      </w:r>
      <w:r w:rsidRPr="009E7171">
        <w:rPr>
          <w:rFonts w:ascii="Palatino Linotype" w:eastAsia="Palatino Linotype" w:hAnsi="Palatino Linotype" w:cs="Palatino Linotype"/>
          <w:color w:val="000000"/>
          <w:sz w:val="24"/>
          <w:lang w:val="es-ES_tradnl"/>
        </w:rPr>
        <w:lastRenderedPageBreak/>
        <w:t>transporte público individual denominado taxi, sin embargo, en el periodo del uno de enero al siete de noviembre de dos mil veintidós, no han recibido solicitudes para el otorgamiento de vistos buenos.</w:t>
      </w:r>
    </w:p>
    <w:p w:rsidR="00CD3F3E" w:rsidRPr="009E7171" w:rsidRDefault="00CD3F3E"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rPr>
      </w:pPr>
    </w:p>
    <w:p w:rsidR="00CD3F3E" w:rsidRPr="009E7171" w:rsidRDefault="00CD3F3E" w:rsidP="00CD3F3E">
      <w:pPr>
        <w:spacing w:line="360" w:lineRule="auto"/>
        <w:jc w:val="both"/>
        <w:rPr>
          <w:rFonts w:ascii="Palatino Linotype" w:eastAsiaTheme="minorHAnsi" w:hAnsi="Palatino Linotype" w:cstheme="minorBidi"/>
          <w:sz w:val="24"/>
          <w:szCs w:val="24"/>
        </w:rPr>
      </w:pPr>
      <w:r w:rsidRPr="009E7171">
        <w:rPr>
          <w:rFonts w:ascii="Palatino Linotype" w:eastAsiaTheme="minorHAnsi" w:hAnsi="Palatino Linotype" w:cs="Arial"/>
          <w:sz w:val="24"/>
          <w:szCs w:val="24"/>
          <w:lang w:val="es-ES" w:eastAsia="en-US"/>
        </w:rPr>
        <w:t xml:space="preserve">En esa virtud, atendiendo que la información peticionada está sujeta a la condicionante que exista solicitud para generar y otorgar vistos buenos, consecuentemente, al no existir el acto generador, </w:t>
      </w:r>
      <w:r w:rsidRPr="009E7171">
        <w:rPr>
          <w:rFonts w:ascii="Palatino Linotype" w:eastAsiaTheme="minorHAnsi" w:hAnsi="Palatino Linotype" w:cstheme="minorBidi"/>
          <w:sz w:val="24"/>
          <w:szCs w:val="24"/>
        </w:rPr>
        <w:t>el soporte documental peticionado no puede obrar en los archivos de dicha autoridad, ya que no puede probarse por ser lógica y materialmente imposible.</w:t>
      </w:r>
    </w:p>
    <w:p w:rsidR="00CD3F3E" w:rsidRPr="009E7171" w:rsidRDefault="00CD3F3E" w:rsidP="00CD3F3E">
      <w:pPr>
        <w:spacing w:after="0" w:line="360" w:lineRule="auto"/>
        <w:jc w:val="both"/>
        <w:rPr>
          <w:rFonts w:ascii="Palatino Linotype" w:eastAsiaTheme="minorHAnsi" w:hAnsi="Palatino Linotype" w:cstheme="minorBidi"/>
          <w:sz w:val="24"/>
          <w:szCs w:val="24"/>
        </w:rPr>
      </w:pPr>
    </w:p>
    <w:p w:rsidR="00CD3F3E" w:rsidRPr="009E7171" w:rsidRDefault="00CD3F3E" w:rsidP="00CD3F3E">
      <w:pPr>
        <w:spacing w:after="0" w:line="360" w:lineRule="auto"/>
        <w:jc w:val="both"/>
        <w:rPr>
          <w:rFonts w:ascii="Palatino Linotype" w:eastAsiaTheme="minorHAnsi" w:hAnsi="Palatino Linotype" w:cstheme="minorBidi"/>
          <w:sz w:val="24"/>
          <w:szCs w:val="24"/>
        </w:rPr>
      </w:pPr>
      <w:r w:rsidRPr="009E7171">
        <w:rPr>
          <w:rFonts w:ascii="Palatino Linotype" w:eastAsiaTheme="minorHAnsi" w:hAnsi="Palatino Linotype" w:cstheme="minorBidi"/>
          <w:sz w:val="24"/>
          <w:szCs w:val="24"/>
        </w:rPr>
        <w:t xml:space="preserve">De lo anterior, se coligue que el </w:t>
      </w:r>
      <w:r w:rsidRPr="009E7171">
        <w:rPr>
          <w:rFonts w:ascii="Palatino Linotype" w:eastAsiaTheme="minorHAnsi" w:hAnsi="Palatino Linotype" w:cstheme="minorBidi"/>
          <w:b/>
          <w:sz w:val="24"/>
          <w:szCs w:val="24"/>
        </w:rPr>
        <w:t>Sujeto Obligado</w:t>
      </w:r>
      <w:r w:rsidRPr="009E7171">
        <w:rPr>
          <w:rFonts w:ascii="Palatino Linotype" w:eastAsiaTheme="minorHAnsi" w:hAnsi="Palatino Linotype" w:cstheme="minorBidi"/>
          <w:sz w:val="24"/>
          <w:szCs w:val="24"/>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Sirve de sustento la Tesis Aislada 267287, emanada por el Máximo Juzgador de la Nación, la cual refiere lo siguiente:</w:t>
      </w:r>
    </w:p>
    <w:p w:rsidR="00CD3F3E" w:rsidRPr="009E7171" w:rsidRDefault="00CD3F3E" w:rsidP="00CD3F3E">
      <w:pPr>
        <w:spacing w:after="0" w:line="360" w:lineRule="auto"/>
        <w:jc w:val="both"/>
        <w:rPr>
          <w:rFonts w:ascii="Palatino Linotype" w:eastAsiaTheme="minorHAnsi" w:hAnsi="Palatino Linotype" w:cstheme="minorBidi"/>
          <w:sz w:val="24"/>
          <w:szCs w:val="24"/>
        </w:rPr>
      </w:pPr>
    </w:p>
    <w:p w:rsidR="00CD3F3E" w:rsidRPr="009E7171" w:rsidRDefault="00CD3F3E" w:rsidP="00EB4032">
      <w:pPr>
        <w:spacing w:after="0" w:line="240" w:lineRule="auto"/>
        <w:ind w:left="567" w:right="567"/>
        <w:jc w:val="both"/>
        <w:rPr>
          <w:rFonts w:ascii="Palatino Linotype" w:eastAsiaTheme="minorHAnsi" w:hAnsi="Palatino Linotype" w:cstheme="minorBidi"/>
          <w:szCs w:val="24"/>
        </w:rPr>
      </w:pPr>
      <w:r w:rsidRPr="009E7171">
        <w:rPr>
          <w:rFonts w:ascii="Palatino Linotype" w:eastAsiaTheme="minorHAnsi" w:hAnsi="Palatino Linotype" w:cstheme="minorBidi"/>
          <w:b/>
          <w:bCs/>
          <w:i/>
          <w:iCs/>
          <w:szCs w:val="24"/>
        </w:rPr>
        <w:t>HECHOS NEGATIVOS, NO SON SUSCEPTIBLES DE DEMOSTRACIÓN. ”</w:t>
      </w:r>
      <w:r w:rsidRPr="009E7171">
        <w:rPr>
          <w:rFonts w:ascii="Palatino Linotype" w:eastAsiaTheme="minorHAnsi" w:hAnsi="Palatino Linotype" w:cstheme="minorBidi"/>
          <w:i/>
          <w:iCs/>
          <w:szCs w:val="24"/>
        </w:rPr>
        <w:t xml:space="preserve"> Tratándose de un hecho negativo, el Juez no tiene por qué invocar prueba alguna de la que se desprenda, ya que es bien sabido que esta clase de hechos no son susceptibles de demostración.</w:t>
      </w:r>
    </w:p>
    <w:p w:rsidR="00CD3F3E" w:rsidRPr="009E7171" w:rsidRDefault="00CD3F3E" w:rsidP="00EB4032">
      <w:pPr>
        <w:spacing w:after="0" w:line="240" w:lineRule="auto"/>
        <w:ind w:left="567" w:right="567"/>
        <w:jc w:val="both"/>
        <w:rPr>
          <w:rFonts w:ascii="Palatino Linotype" w:eastAsiaTheme="minorHAnsi" w:hAnsi="Palatino Linotype" w:cstheme="minorBidi"/>
          <w:i/>
          <w:iCs/>
          <w:szCs w:val="24"/>
        </w:rPr>
      </w:pPr>
      <w:r w:rsidRPr="009E7171">
        <w:rPr>
          <w:rFonts w:ascii="Palatino Linotype" w:eastAsiaTheme="minorHAnsi" w:hAnsi="Palatino Linotype" w:cstheme="minorBidi"/>
          <w:i/>
          <w:iCs/>
          <w:szCs w:val="24"/>
        </w:rPr>
        <w:t>Amparo en revisión 2022/61. José García Florín (Menor). 9 de octubre de 1961. Cinco votos. Ponente: José Rivera Pérez Campos.”</w:t>
      </w:r>
    </w:p>
    <w:p w:rsidR="00CD3F3E" w:rsidRPr="009E7171" w:rsidRDefault="00CD3F3E" w:rsidP="00CD3F3E">
      <w:pPr>
        <w:spacing w:after="0" w:line="360" w:lineRule="auto"/>
        <w:jc w:val="both"/>
        <w:rPr>
          <w:rFonts w:ascii="Palatino Linotype" w:eastAsiaTheme="minorHAnsi" w:hAnsi="Palatino Linotype" w:cstheme="minorBidi"/>
          <w:sz w:val="24"/>
          <w:szCs w:val="24"/>
        </w:rPr>
      </w:pPr>
    </w:p>
    <w:p w:rsidR="00CD3F3E" w:rsidRPr="009E7171" w:rsidRDefault="00CD3F3E" w:rsidP="00CD3F3E">
      <w:pPr>
        <w:spacing w:after="0" w:line="360" w:lineRule="auto"/>
        <w:jc w:val="both"/>
        <w:rPr>
          <w:rFonts w:ascii="Palatino Linotype" w:eastAsiaTheme="minorHAnsi" w:hAnsi="Palatino Linotype" w:cstheme="minorBidi"/>
          <w:sz w:val="24"/>
          <w:szCs w:val="24"/>
        </w:rPr>
      </w:pPr>
      <w:r w:rsidRPr="009E7171">
        <w:rPr>
          <w:rFonts w:ascii="Palatino Linotype" w:eastAsiaTheme="minorHAnsi" w:hAnsi="Palatino Linotype" w:cstheme="minorBidi"/>
          <w:sz w:val="24"/>
          <w:szCs w:val="24"/>
        </w:rPr>
        <w:lastRenderedPageBreak/>
        <w:t xml:space="preserve">De igual forma viene a colación el </w:t>
      </w:r>
      <w:r w:rsidRPr="009E7171">
        <w:rPr>
          <w:rFonts w:ascii="Palatino Linotype" w:eastAsiaTheme="minorHAnsi" w:hAnsi="Palatino Linotype" w:cstheme="minorBidi"/>
          <w:b/>
          <w:sz w:val="24"/>
          <w:szCs w:val="24"/>
        </w:rPr>
        <w:t>Criterio 7/2017</w:t>
      </w:r>
      <w:r w:rsidRPr="009E7171">
        <w:rPr>
          <w:rFonts w:ascii="Palatino Linotype" w:eastAsiaTheme="minorHAnsi" w:hAnsi="Palatino Linotype" w:cstheme="minorBidi"/>
          <w:sz w:val="24"/>
          <w:szCs w:val="24"/>
        </w:rPr>
        <w:t>, emitido por el Instituto Nacional de Transparencia, Acceso a la Información y Protección de Datos Personales, cuyo texto se transcribe a continuación:</w:t>
      </w:r>
    </w:p>
    <w:p w:rsidR="00CD3F3E" w:rsidRPr="009E7171" w:rsidRDefault="00CD3F3E" w:rsidP="00CD3F3E">
      <w:pPr>
        <w:spacing w:after="0" w:line="360" w:lineRule="auto"/>
        <w:jc w:val="both"/>
        <w:rPr>
          <w:rFonts w:ascii="Palatino Linotype" w:eastAsiaTheme="minorHAnsi" w:hAnsi="Palatino Linotype" w:cstheme="minorBidi"/>
          <w:sz w:val="24"/>
          <w:szCs w:val="24"/>
        </w:rPr>
      </w:pPr>
    </w:p>
    <w:p w:rsidR="00CD3F3E" w:rsidRPr="009E7171" w:rsidRDefault="00CD3F3E" w:rsidP="00EB4032">
      <w:pPr>
        <w:spacing w:after="0" w:line="240" w:lineRule="auto"/>
        <w:ind w:left="567" w:right="567"/>
        <w:jc w:val="both"/>
        <w:rPr>
          <w:rFonts w:ascii="Palatino Linotype" w:eastAsiaTheme="minorHAnsi" w:hAnsi="Palatino Linotype" w:cstheme="minorBidi"/>
          <w:i/>
          <w:szCs w:val="24"/>
          <w:lang w:val="es-ES"/>
        </w:rPr>
      </w:pPr>
      <w:r w:rsidRPr="009E7171">
        <w:rPr>
          <w:rFonts w:ascii="Palatino Linotype" w:eastAsiaTheme="minorHAnsi" w:hAnsi="Palatino Linotype" w:cstheme="minorBidi"/>
          <w:b/>
          <w:i/>
          <w:szCs w:val="24"/>
          <w:lang w:val="es-ES"/>
        </w:rPr>
        <w:t>“Casos en los que no es necesario que el Comité de Transparencia confirme formalmente la inexistencia de la información.</w:t>
      </w:r>
      <w:r w:rsidRPr="009E7171">
        <w:rPr>
          <w:rFonts w:ascii="Palatino Linotype" w:eastAsiaTheme="minorHAnsi" w:hAnsi="Palatino Linotype" w:cstheme="minorBidi"/>
          <w:i/>
          <w:szCs w:val="24"/>
          <w:lang w:val="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CD3F3E" w:rsidRPr="009E7171" w:rsidRDefault="00CD3F3E" w:rsidP="00CD3F3E">
      <w:pPr>
        <w:spacing w:after="0" w:line="360" w:lineRule="auto"/>
        <w:jc w:val="both"/>
        <w:rPr>
          <w:rFonts w:ascii="Palatino Linotype" w:eastAsiaTheme="minorHAnsi" w:hAnsi="Palatino Linotype" w:cstheme="minorBidi"/>
          <w:sz w:val="24"/>
          <w:szCs w:val="24"/>
        </w:rPr>
      </w:pPr>
    </w:p>
    <w:p w:rsidR="00E70EB2" w:rsidRPr="009E7171" w:rsidRDefault="00CD3F3E" w:rsidP="00CD3F3E">
      <w:pPr>
        <w:pBdr>
          <w:top w:val="nil"/>
          <w:left w:val="nil"/>
          <w:bottom w:val="nil"/>
          <w:right w:val="nil"/>
          <w:between w:val="nil"/>
        </w:pBdr>
        <w:spacing w:after="0" w:line="360" w:lineRule="auto"/>
        <w:contextualSpacing/>
        <w:jc w:val="both"/>
        <w:rPr>
          <w:rFonts w:ascii="Palatino Linotype" w:hAnsi="Palatino Linotype" w:cstheme="minorBidi"/>
          <w:sz w:val="24"/>
          <w:lang w:val="es-ES_tradnl" w:eastAsia="en-US"/>
        </w:rPr>
      </w:pPr>
      <w:r w:rsidRPr="009E7171">
        <w:rPr>
          <w:rFonts w:ascii="Palatino Linotype" w:hAnsi="Palatino Linotype" w:cstheme="minorBidi"/>
          <w:sz w:val="24"/>
          <w:lang w:val="es-ES_tradnl" w:eastAsia="en-US"/>
        </w:rPr>
        <w:t xml:space="preserve">Ahora bien, no pasa a la óptica de este </w:t>
      </w:r>
      <w:r w:rsidR="00460437" w:rsidRPr="009E7171">
        <w:rPr>
          <w:rFonts w:ascii="Palatino Linotype" w:hAnsi="Palatino Linotype" w:cstheme="minorBidi"/>
          <w:sz w:val="24"/>
          <w:lang w:val="es-ES_tradnl" w:eastAsia="en-US"/>
        </w:rPr>
        <w:t xml:space="preserve">Órgano </w:t>
      </w:r>
      <w:r w:rsidRPr="009E7171">
        <w:rPr>
          <w:rFonts w:ascii="Palatino Linotype" w:hAnsi="Palatino Linotype" w:cstheme="minorBidi"/>
          <w:sz w:val="24"/>
          <w:lang w:val="es-ES_tradnl" w:eastAsia="en-US"/>
        </w:rPr>
        <w:t xml:space="preserve">Garante que el </w:t>
      </w:r>
      <w:r w:rsidRPr="009E7171">
        <w:rPr>
          <w:rFonts w:ascii="Palatino Linotype" w:hAnsi="Palatino Linotype" w:cstheme="minorBidi"/>
          <w:b/>
          <w:sz w:val="24"/>
          <w:lang w:val="es-ES_tradnl" w:eastAsia="en-US"/>
        </w:rPr>
        <w:t>Sujeto Obligado</w:t>
      </w:r>
      <w:r w:rsidRPr="009E7171">
        <w:rPr>
          <w:rFonts w:ascii="Palatino Linotype" w:hAnsi="Palatino Linotype" w:cstheme="minorBidi"/>
          <w:sz w:val="24"/>
          <w:lang w:val="es-ES_tradnl" w:eastAsia="en-US"/>
        </w:rPr>
        <w:t xml:space="preserve"> no se </w:t>
      </w:r>
      <w:r w:rsidR="00460437" w:rsidRPr="009E7171">
        <w:rPr>
          <w:rFonts w:ascii="Palatino Linotype" w:hAnsi="Palatino Linotype" w:cstheme="minorBidi"/>
          <w:sz w:val="24"/>
          <w:lang w:val="es-ES_tradnl" w:eastAsia="en-US"/>
        </w:rPr>
        <w:t>pronunció respecto de la información que en su caso haya sido generada en el periodo del cinco de octubre al treinta y uno de diciembre de dos mil veinti</w:t>
      </w:r>
      <w:r w:rsidR="00E70EB2" w:rsidRPr="009E7171">
        <w:rPr>
          <w:rFonts w:ascii="Palatino Linotype" w:hAnsi="Palatino Linotype" w:cstheme="minorBidi"/>
          <w:sz w:val="24"/>
          <w:lang w:val="es-ES_tradnl" w:eastAsia="en-US"/>
        </w:rPr>
        <w:t>uno</w:t>
      </w:r>
      <w:r w:rsidR="00460437" w:rsidRPr="009E7171">
        <w:rPr>
          <w:rFonts w:ascii="Palatino Linotype" w:hAnsi="Palatino Linotype" w:cstheme="minorBidi"/>
          <w:sz w:val="24"/>
          <w:lang w:val="es-ES_tradnl" w:eastAsia="en-US"/>
        </w:rPr>
        <w:t xml:space="preserve">. Circunstancia que genera una vulneración al derecho de acceso a la información del </w:t>
      </w:r>
      <w:r w:rsidR="00460437" w:rsidRPr="009E7171">
        <w:rPr>
          <w:rFonts w:ascii="Palatino Linotype" w:hAnsi="Palatino Linotype" w:cstheme="minorBidi"/>
          <w:b/>
          <w:sz w:val="24"/>
          <w:lang w:val="es-ES_tradnl" w:eastAsia="en-US"/>
        </w:rPr>
        <w:t>Recurrente</w:t>
      </w:r>
      <w:r w:rsidR="00460437" w:rsidRPr="009E7171">
        <w:rPr>
          <w:rFonts w:ascii="Palatino Linotype" w:hAnsi="Palatino Linotype" w:cstheme="minorBidi"/>
          <w:sz w:val="24"/>
          <w:lang w:val="es-ES_tradnl" w:eastAsia="en-US"/>
        </w:rPr>
        <w:t xml:space="preserve">, al quedar en estado de incertidumbre, respecto si existen </w:t>
      </w:r>
      <w:r w:rsidR="00E70EB2" w:rsidRPr="009E7171">
        <w:rPr>
          <w:rFonts w:ascii="Palatino Linotype" w:hAnsi="Palatino Linotype" w:cstheme="minorBidi"/>
          <w:sz w:val="24"/>
          <w:lang w:val="es-ES_tradnl" w:eastAsia="en-US"/>
        </w:rPr>
        <w:t xml:space="preserve">solicitudes para el otorgamiento de </w:t>
      </w:r>
      <w:r w:rsidR="00460437" w:rsidRPr="009E7171">
        <w:rPr>
          <w:rFonts w:ascii="Palatino Linotype" w:hAnsi="Palatino Linotype" w:cstheme="minorBidi"/>
          <w:sz w:val="24"/>
          <w:lang w:val="es-ES_tradnl" w:eastAsia="en-US"/>
        </w:rPr>
        <w:t xml:space="preserve">vistos buenos otorgados en la temporalidad señalada. </w:t>
      </w:r>
    </w:p>
    <w:p w:rsidR="00E70EB2" w:rsidRPr="009E7171" w:rsidRDefault="00E70EB2" w:rsidP="00CD3F3E">
      <w:pPr>
        <w:pBdr>
          <w:top w:val="nil"/>
          <w:left w:val="nil"/>
          <w:bottom w:val="nil"/>
          <w:right w:val="nil"/>
          <w:between w:val="nil"/>
        </w:pBdr>
        <w:spacing w:after="0" w:line="360" w:lineRule="auto"/>
        <w:contextualSpacing/>
        <w:jc w:val="both"/>
        <w:rPr>
          <w:rFonts w:ascii="Palatino Linotype" w:hAnsi="Palatino Linotype" w:cstheme="minorBidi"/>
          <w:sz w:val="24"/>
          <w:lang w:val="es-ES_tradnl" w:eastAsia="en-US"/>
        </w:rPr>
      </w:pPr>
    </w:p>
    <w:p w:rsidR="00CD3F3E" w:rsidRPr="009E7171" w:rsidRDefault="00460437" w:rsidP="00CD3F3E">
      <w:pPr>
        <w:pBdr>
          <w:top w:val="nil"/>
          <w:left w:val="nil"/>
          <w:bottom w:val="nil"/>
          <w:right w:val="nil"/>
          <w:between w:val="nil"/>
        </w:pBdr>
        <w:spacing w:after="0" w:line="360" w:lineRule="auto"/>
        <w:contextualSpacing/>
        <w:jc w:val="both"/>
        <w:rPr>
          <w:rFonts w:ascii="Palatino Linotype" w:hAnsi="Palatino Linotype" w:cstheme="minorBidi"/>
          <w:sz w:val="24"/>
          <w:lang w:val="es-ES_tradnl" w:eastAsia="en-US"/>
        </w:rPr>
      </w:pPr>
      <w:r w:rsidRPr="009E7171">
        <w:rPr>
          <w:rFonts w:ascii="Palatino Linotype" w:hAnsi="Palatino Linotype" w:cstheme="minorBidi"/>
          <w:sz w:val="24"/>
          <w:lang w:val="es-ES_tradnl" w:eastAsia="en-US"/>
        </w:rPr>
        <w:t xml:space="preserve">Siendo la consecuencia lógica jurídica, el ordenar al sujeto obligado haga una búsqueda de la información, debiendo en su caso hacer entrega de la información debiendo tutelar la protección de los datos de carácter sensible y confidencial, en términos de la </w:t>
      </w:r>
      <w:r w:rsidRPr="009E7171">
        <w:rPr>
          <w:rFonts w:ascii="Palatino Linotype" w:hAnsi="Palatino Linotype" w:cstheme="minorBidi"/>
          <w:sz w:val="24"/>
          <w:lang w:val="es-ES_tradnl" w:eastAsia="en-US"/>
        </w:rPr>
        <w:lastRenderedPageBreak/>
        <w:t>Ley de Protección de Datos Personales en Posesión de Sujetos Obligados del Estado de México y Municipios.</w:t>
      </w:r>
    </w:p>
    <w:p w:rsidR="00E70EB2" w:rsidRPr="009E7171" w:rsidRDefault="00E70EB2" w:rsidP="00CD3F3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rPr>
      </w:pPr>
    </w:p>
    <w:p w:rsidR="00460437" w:rsidRPr="009E7171" w:rsidRDefault="00460437" w:rsidP="00460437">
      <w:pPr>
        <w:numPr>
          <w:ilvl w:val="0"/>
          <w:numId w:val="4"/>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9E7171">
        <w:rPr>
          <w:rFonts w:ascii="Palatino Linotype" w:eastAsia="Times New Roman" w:hAnsi="Palatino Linotype" w:cs="Arial"/>
          <w:b/>
          <w:i/>
          <w:sz w:val="28"/>
          <w:szCs w:val="24"/>
          <w:lang w:val="es-ES" w:eastAsia="es-ES"/>
        </w:rPr>
        <w:t>De la versión pública</w:t>
      </w: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70EB2" w:rsidRPr="009E7171" w:rsidRDefault="00E70EB2" w:rsidP="00460437">
      <w:pPr>
        <w:tabs>
          <w:tab w:val="left" w:pos="8647"/>
        </w:tabs>
        <w:spacing w:after="0" w:line="360" w:lineRule="auto"/>
        <w:ind w:right="51"/>
        <w:jc w:val="both"/>
        <w:rPr>
          <w:rFonts w:ascii="Palatino Linotype" w:eastAsiaTheme="minorHAnsi" w:hAnsi="Palatino Linotype" w:cs="Arial"/>
          <w:sz w:val="24"/>
          <w:szCs w:val="24"/>
          <w:lang w:eastAsia="en-US"/>
        </w:rPr>
      </w:pP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9E7171">
        <w:rPr>
          <w:rFonts w:ascii="Palatino Linotype" w:eastAsiaTheme="minorHAnsi" w:hAnsi="Palatino Linotype" w:cs="Arial"/>
          <w:b/>
          <w:sz w:val="24"/>
          <w:szCs w:val="24"/>
          <w:lang w:eastAsia="en-US"/>
        </w:rPr>
        <w:t>Registro Federal de Contribuyentes</w:t>
      </w:r>
      <w:r w:rsidRPr="009E7171">
        <w:rPr>
          <w:rFonts w:ascii="Palatino Linotype" w:eastAsiaTheme="minorHAnsi" w:hAnsi="Palatino Linotype" w:cs="Arial"/>
          <w:sz w:val="24"/>
          <w:szCs w:val="24"/>
          <w:lang w:eastAsia="en-US"/>
        </w:rPr>
        <w:t xml:space="preserve"> (RFC), la </w:t>
      </w:r>
      <w:r w:rsidRPr="009E7171">
        <w:rPr>
          <w:rFonts w:ascii="Palatino Linotype" w:eastAsiaTheme="minorHAnsi" w:hAnsi="Palatino Linotype" w:cs="Arial"/>
          <w:b/>
          <w:sz w:val="24"/>
          <w:szCs w:val="24"/>
          <w:lang w:eastAsia="en-US"/>
        </w:rPr>
        <w:t>Clave Única de Registro de Población</w:t>
      </w:r>
      <w:r w:rsidRPr="009E7171">
        <w:rPr>
          <w:rFonts w:ascii="Palatino Linotype" w:eastAsiaTheme="minorHAnsi" w:hAnsi="Palatino Linotype" w:cs="Arial"/>
          <w:sz w:val="24"/>
          <w:szCs w:val="24"/>
          <w:lang w:eastAsia="en-US"/>
        </w:rPr>
        <w:t xml:space="preserve"> (CURP).</w:t>
      </w: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Lo anterior, es compartido por el entonces Instituto Federal de Acceso a la Información Protección de Datos (IFAI) a través del Criterio 09/2009, el cual es del tenor literal siguiente:</w:t>
      </w: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p>
    <w:p w:rsidR="00460437" w:rsidRPr="009E7171" w:rsidRDefault="00460437" w:rsidP="00E70EB2">
      <w:pPr>
        <w:tabs>
          <w:tab w:val="left" w:pos="8647"/>
        </w:tabs>
        <w:spacing w:after="0" w:line="240" w:lineRule="auto"/>
        <w:ind w:left="567" w:right="567"/>
        <w:jc w:val="both"/>
        <w:rPr>
          <w:rFonts w:ascii="Palatino Linotype" w:eastAsiaTheme="minorHAnsi" w:hAnsi="Palatino Linotype" w:cs="Arial"/>
          <w:bCs/>
          <w:i/>
          <w:lang w:eastAsia="en-US"/>
        </w:rPr>
      </w:pPr>
      <w:r w:rsidRPr="009E7171">
        <w:rPr>
          <w:rFonts w:ascii="Palatino Linotype" w:eastAsiaTheme="minorHAnsi" w:hAnsi="Palatino Linotype" w:cs="Arial"/>
          <w:b/>
          <w:bCs/>
          <w:i/>
          <w:lang w:eastAsia="en-US"/>
        </w:rPr>
        <w:lastRenderedPageBreak/>
        <w:t xml:space="preserve">“Registro Federal de Contribuyentes (RFC) de las personas físicas es un dato personal confidencial. </w:t>
      </w:r>
      <w:r w:rsidRPr="009E7171">
        <w:rPr>
          <w:rFonts w:ascii="Palatino Linotype" w:eastAsiaTheme="minorHAnsi" w:hAnsi="Palatino Linotype" w:cs="Arial"/>
          <w:i/>
          <w:lang w:eastAsia="en-US"/>
        </w:rPr>
        <w:t>De conformidad con lo establecido en el artículo 18,</w:t>
      </w:r>
      <w:r w:rsidRPr="009E7171">
        <w:rPr>
          <w:rFonts w:ascii="Palatino Linotype" w:eastAsiaTheme="minorHAnsi" w:hAnsi="Palatino Linotype" w:cs="Arial"/>
          <w:b/>
          <w:bCs/>
          <w:i/>
          <w:lang w:eastAsia="en-US"/>
        </w:rPr>
        <w:t xml:space="preserve"> </w:t>
      </w:r>
      <w:r w:rsidRPr="009E7171">
        <w:rPr>
          <w:rFonts w:ascii="Palatino Linotype" w:eastAsiaTheme="minorHAnsi" w:hAnsi="Palatino Linotype" w:cs="Arial"/>
          <w:i/>
          <w:lang w:eastAsia="en-US"/>
        </w:rPr>
        <w:t>fracción II de la Ley Federal de Transparencia y Acceso a la Información Pública</w:t>
      </w:r>
      <w:r w:rsidRPr="009E7171">
        <w:rPr>
          <w:rFonts w:ascii="Palatino Linotype" w:eastAsiaTheme="minorHAnsi" w:hAnsi="Palatino Linotype" w:cs="Arial"/>
          <w:b/>
          <w:bCs/>
          <w:i/>
          <w:lang w:eastAsia="en-US"/>
        </w:rPr>
        <w:t xml:space="preserve"> </w:t>
      </w:r>
      <w:r w:rsidRPr="009E7171">
        <w:rPr>
          <w:rFonts w:ascii="Palatino Linotype" w:eastAsiaTheme="minorHAnsi" w:hAnsi="Palatino Linotype" w:cs="Arial"/>
          <w:i/>
          <w:lang w:eastAsia="en-US"/>
        </w:rPr>
        <w:t xml:space="preserve">Gubernamental </w:t>
      </w:r>
      <w:r w:rsidRPr="009E7171">
        <w:rPr>
          <w:rFonts w:ascii="Palatino Linotype" w:eastAsiaTheme="minorHAnsi" w:hAnsi="Palatino Linotype" w:cs="Arial"/>
          <w:i/>
          <w:u w:val="single"/>
          <w:lang w:eastAsia="en-US"/>
        </w:rPr>
        <w:t>se considera información confidencial los datos personales que</w:t>
      </w:r>
      <w:r w:rsidRPr="009E7171">
        <w:rPr>
          <w:rFonts w:ascii="Palatino Linotype" w:eastAsiaTheme="minorHAnsi" w:hAnsi="Palatino Linotype" w:cs="Arial"/>
          <w:bCs/>
          <w:i/>
          <w:u w:val="single"/>
          <w:lang w:eastAsia="en-US"/>
        </w:rPr>
        <w:t xml:space="preserve"> </w:t>
      </w:r>
      <w:r w:rsidRPr="009E7171">
        <w:rPr>
          <w:rFonts w:ascii="Palatino Linotype" w:eastAsiaTheme="minorHAnsi" w:hAnsi="Palatino Linotype" w:cs="Arial"/>
          <w:i/>
          <w:u w:val="single"/>
          <w:lang w:eastAsia="en-US"/>
        </w:rPr>
        <w:t>requieren el consentimiento de los individuos para su difusión, distribución o</w:t>
      </w:r>
      <w:r w:rsidRPr="009E7171">
        <w:rPr>
          <w:rFonts w:ascii="Palatino Linotype" w:eastAsiaTheme="minorHAnsi" w:hAnsi="Palatino Linotype" w:cs="Arial"/>
          <w:bCs/>
          <w:i/>
          <w:u w:val="single"/>
          <w:lang w:eastAsia="en-US"/>
        </w:rPr>
        <w:t xml:space="preserve"> </w:t>
      </w:r>
      <w:r w:rsidRPr="009E7171">
        <w:rPr>
          <w:rFonts w:ascii="Palatino Linotype" w:eastAsiaTheme="minorHAnsi" w:hAnsi="Palatino Linotype" w:cs="Arial"/>
          <w:i/>
          <w:u w:val="single"/>
          <w:lang w:eastAsia="en-US"/>
        </w:rPr>
        <w:t>comercialización en los términos de esta Ley. Por su parte, según dispone el</w:t>
      </w:r>
      <w:r w:rsidRPr="009E7171">
        <w:rPr>
          <w:rFonts w:ascii="Palatino Linotype" w:eastAsiaTheme="minorHAnsi" w:hAnsi="Palatino Linotype" w:cs="Arial"/>
          <w:bCs/>
          <w:i/>
          <w:u w:val="single"/>
          <w:lang w:eastAsia="en-US"/>
        </w:rPr>
        <w:t xml:space="preserve"> </w:t>
      </w:r>
      <w:r w:rsidRPr="009E7171">
        <w:rPr>
          <w:rFonts w:ascii="Palatino Linotype" w:eastAsiaTheme="minorHAnsi" w:hAnsi="Palatino Linotype" w:cs="Arial"/>
          <w:i/>
          <w:u w:val="single"/>
          <w:lang w:eastAsia="en-US"/>
        </w:rPr>
        <w:t>artículo 3, fracción II de la Ley Federal de Transparencia y Acceso a la Información</w:t>
      </w:r>
      <w:r w:rsidRPr="009E7171">
        <w:rPr>
          <w:rFonts w:ascii="Palatino Linotype" w:eastAsiaTheme="minorHAnsi" w:hAnsi="Palatino Linotype" w:cs="Arial"/>
          <w:bCs/>
          <w:i/>
          <w:u w:val="single"/>
          <w:lang w:eastAsia="en-US"/>
        </w:rPr>
        <w:t xml:space="preserve"> </w:t>
      </w:r>
      <w:r w:rsidRPr="009E7171">
        <w:rPr>
          <w:rFonts w:ascii="Palatino Linotype" w:eastAsiaTheme="minorHAnsi" w:hAnsi="Palatino Linotype" w:cs="Arial"/>
          <w:i/>
          <w:u w:val="single"/>
          <w:lang w:eastAsia="en-US"/>
        </w:rPr>
        <w:t>Pública Gubernamental, dato personal es toda aquella información concerniente a</w:t>
      </w:r>
      <w:r w:rsidRPr="009E7171">
        <w:rPr>
          <w:rFonts w:ascii="Palatino Linotype" w:eastAsiaTheme="minorHAnsi" w:hAnsi="Palatino Linotype" w:cs="Arial"/>
          <w:bCs/>
          <w:i/>
          <w:u w:val="single"/>
          <w:lang w:eastAsia="en-US"/>
        </w:rPr>
        <w:t xml:space="preserve"> </w:t>
      </w:r>
      <w:r w:rsidRPr="009E7171">
        <w:rPr>
          <w:rFonts w:ascii="Palatino Linotype" w:eastAsiaTheme="minorHAnsi" w:hAnsi="Palatino Linotype" w:cs="Arial"/>
          <w:i/>
          <w:u w:val="single"/>
          <w:lang w:eastAsia="en-US"/>
        </w:rPr>
        <w:t>una persona física identificada o identificable</w:t>
      </w:r>
      <w:r w:rsidRPr="009E7171">
        <w:rPr>
          <w:rFonts w:ascii="Palatino Linotype" w:eastAsiaTheme="minorHAnsi" w:hAnsi="Palatino Linotype" w:cs="Arial"/>
          <w:i/>
          <w:lang w:eastAsia="en-US"/>
        </w:rPr>
        <w:t xml:space="preserve">. Para </w:t>
      </w:r>
      <w:r w:rsidRPr="009E7171">
        <w:rPr>
          <w:rFonts w:ascii="Palatino Linotype" w:eastAsiaTheme="minorHAnsi" w:hAnsi="Palatino Linotype" w:cs="Arial"/>
          <w:i/>
          <w:u w:val="single"/>
          <w:lang w:eastAsia="en-US"/>
        </w:rPr>
        <w:t>obtener el RFC es necesario</w:t>
      </w:r>
      <w:r w:rsidRPr="009E7171">
        <w:rPr>
          <w:rFonts w:ascii="Palatino Linotype" w:eastAsiaTheme="minorHAnsi" w:hAnsi="Palatino Linotype" w:cs="Arial"/>
          <w:b/>
          <w:bCs/>
          <w:i/>
          <w:u w:val="single"/>
          <w:lang w:eastAsia="en-US"/>
        </w:rPr>
        <w:t xml:space="preserve"> </w:t>
      </w:r>
      <w:r w:rsidRPr="009E7171">
        <w:rPr>
          <w:rFonts w:ascii="Palatino Linotype" w:eastAsiaTheme="minorHAnsi" w:hAnsi="Palatino Linotype" w:cs="Arial"/>
          <w:i/>
          <w:u w:val="single"/>
          <w:lang w:eastAsia="en-US"/>
        </w:rPr>
        <w:t>acreditar previamente mediante documentos oficiales (pasaporte, acta de</w:t>
      </w:r>
      <w:r w:rsidRPr="009E7171">
        <w:rPr>
          <w:rFonts w:ascii="Palatino Linotype" w:eastAsiaTheme="minorHAnsi" w:hAnsi="Palatino Linotype" w:cs="Arial"/>
          <w:b/>
          <w:bCs/>
          <w:i/>
          <w:u w:val="single"/>
          <w:lang w:eastAsia="en-US"/>
        </w:rPr>
        <w:t xml:space="preserve"> </w:t>
      </w:r>
      <w:r w:rsidRPr="009E7171">
        <w:rPr>
          <w:rFonts w:ascii="Palatino Linotype" w:eastAsiaTheme="minorHAnsi" w:hAnsi="Palatino Linotype" w:cs="Arial"/>
          <w:i/>
          <w:u w:val="single"/>
          <w:lang w:eastAsia="en-US"/>
        </w:rPr>
        <w:t>nacimiento, etc.) la identidad de la persona, su fecha y lugar de nacimiento, entre</w:t>
      </w:r>
      <w:r w:rsidRPr="009E7171">
        <w:rPr>
          <w:rFonts w:ascii="Palatino Linotype" w:eastAsiaTheme="minorHAnsi" w:hAnsi="Palatino Linotype" w:cs="Arial"/>
          <w:b/>
          <w:bCs/>
          <w:i/>
          <w:u w:val="single"/>
          <w:lang w:eastAsia="en-US"/>
        </w:rPr>
        <w:t xml:space="preserve"> </w:t>
      </w:r>
      <w:r w:rsidRPr="009E7171">
        <w:rPr>
          <w:rFonts w:ascii="Palatino Linotype" w:eastAsiaTheme="minorHAnsi" w:hAnsi="Palatino Linotype" w:cs="Arial"/>
          <w:i/>
          <w:u w:val="single"/>
          <w:lang w:eastAsia="en-US"/>
        </w:rPr>
        <w:t xml:space="preserve">otros. </w:t>
      </w:r>
      <w:r w:rsidRPr="009E7171">
        <w:rPr>
          <w:rFonts w:ascii="Palatino Linotype" w:eastAsiaTheme="minorHAnsi" w:hAnsi="Palatino Linotype" w:cs="Arial"/>
          <w:i/>
          <w:lang w:eastAsia="en-US"/>
        </w:rPr>
        <w:t>De acuerdo con la legislación tributaria, las personas físicas tramitan su</w:t>
      </w:r>
      <w:r w:rsidRPr="009E7171">
        <w:rPr>
          <w:rFonts w:ascii="Palatino Linotype" w:eastAsiaTheme="minorHAnsi" w:hAnsi="Palatino Linotype" w:cs="Arial"/>
          <w:b/>
          <w:bCs/>
          <w:i/>
          <w:lang w:eastAsia="en-US"/>
        </w:rPr>
        <w:t xml:space="preserve"> </w:t>
      </w:r>
      <w:r w:rsidRPr="009E7171">
        <w:rPr>
          <w:rFonts w:ascii="Palatino Linotype" w:eastAsiaTheme="minorHAnsi" w:hAnsi="Palatino Linotype" w:cs="Arial"/>
          <w:i/>
          <w:lang w:eastAsia="en-US"/>
        </w:rPr>
        <w:t>inscripción en el Registro Federal de Contribuyentes con el único propósito de</w:t>
      </w:r>
      <w:r w:rsidRPr="009E7171">
        <w:rPr>
          <w:rFonts w:ascii="Palatino Linotype" w:eastAsiaTheme="minorHAnsi" w:hAnsi="Palatino Linotype" w:cs="Arial"/>
          <w:b/>
          <w:bCs/>
          <w:i/>
          <w:lang w:eastAsia="en-US"/>
        </w:rPr>
        <w:t xml:space="preserve"> </w:t>
      </w:r>
      <w:r w:rsidRPr="009E7171">
        <w:rPr>
          <w:rFonts w:ascii="Palatino Linotype" w:eastAsiaTheme="minorHAnsi" w:hAnsi="Palatino Linotype" w:cs="Arial"/>
          <w:i/>
          <w:lang w:eastAsia="en-US"/>
        </w:rPr>
        <w:t>realizar mediante esa clave de identificación, operaciones o actividades de</w:t>
      </w:r>
      <w:r w:rsidRPr="009E7171">
        <w:rPr>
          <w:rFonts w:ascii="Palatino Linotype" w:eastAsiaTheme="minorHAnsi" w:hAnsi="Palatino Linotype" w:cs="Arial"/>
          <w:b/>
          <w:bCs/>
          <w:i/>
          <w:lang w:eastAsia="en-US"/>
        </w:rPr>
        <w:t xml:space="preserve"> </w:t>
      </w:r>
      <w:r w:rsidRPr="009E7171">
        <w:rPr>
          <w:rFonts w:ascii="Palatino Linotype" w:eastAsiaTheme="minorHAnsi" w:hAnsi="Palatino Linotype" w:cs="Arial"/>
          <w:i/>
          <w:lang w:eastAsia="en-US"/>
        </w:rPr>
        <w:t>naturaleza tributaria. En este sentido, el artículo 79 del Código Fiscal de la</w:t>
      </w:r>
      <w:r w:rsidRPr="009E7171">
        <w:rPr>
          <w:rFonts w:ascii="Palatino Linotype" w:eastAsiaTheme="minorHAnsi" w:hAnsi="Palatino Linotype" w:cs="Arial"/>
          <w:b/>
          <w:bCs/>
          <w:i/>
          <w:lang w:eastAsia="en-US"/>
        </w:rPr>
        <w:t xml:space="preserve"> </w:t>
      </w:r>
      <w:r w:rsidRPr="009E7171">
        <w:rPr>
          <w:rFonts w:ascii="Palatino Linotype" w:eastAsiaTheme="minorHAnsi" w:hAnsi="Palatino Linotype" w:cs="Arial"/>
          <w:i/>
          <w:lang w:eastAsia="en-US"/>
        </w:rPr>
        <w:t>Federación prevé que la utilización de una clave de registro no asignada por la</w:t>
      </w:r>
      <w:r w:rsidRPr="009E7171">
        <w:rPr>
          <w:rFonts w:ascii="Palatino Linotype" w:eastAsiaTheme="minorHAnsi" w:hAnsi="Palatino Linotype" w:cs="Arial"/>
          <w:b/>
          <w:bCs/>
          <w:i/>
          <w:lang w:eastAsia="en-US"/>
        </w:rPr>
        <w:t xml:space="preserve"> </w:t>
      </w:r>
      <w:r w:rsidRPr="009E7171">
        <w:rPr>
          <w:rFonts w:ascii="Palatino Linotype" w:eastAsiaTheme="minorHAnsi" w:hAnsi="Palatino Linotype" w:cs="Arial"/>
          <w:i/>
          <w:lang w:eastAsia="en-US"/>
        </w:rPr>
        <w:t>autoridad constituye como una infracción en materia fiscal. De acuerdo con lo</w:t>
      </w:r>
      <w:r w:rsidRPr="009E7171">
        <w:rPr>
          <w:rFonts w:ascii="Palatino Linotype" w:eastAsiaTheme="minorHAnsi" w:hAnsi="Palatino Linotype" w:cs="Arial"/>
          <w:b/>
          <w:bCs/>
          <w:i/>
          <w:lang w:eastAsia="en-US"/>
        </w:rPr>
        <w:t xml:space="preserve"> </w:t>
      </w:r>
      <w:r w:rsidRPr="009E7171">
        <w:rPr>
          <w:rFonts w:ascii="Palatino Linotype" w:eastAsiaTheme="minorHAnsi" w:hAnsi="Palatino Linotype" w:cs="Arial"/>
          <w:i/>
          <w:lang w:eastAsia="en-US"/>
        </w:rPr>
        <w:t>antes apuntado, el RFC vinculado al nombre de su titular, permite identificar la</w:t>
      </w:r>
      <w:r w:rsidRPr="009E7171">
        <w:rPr>
          <w:rFonts w:ascii="Palatino Linotype" w:eastAsiaTheme="minorHAnsi" w:hAnsi="Palatino Linotype" w:cs="Arial"/>
          <w:b/>
          <w:bCs/>
          <w:i/>
          <w:lang w:eastAsia="en-US"/>
        </w:rPr>
        <w:t xml:space="preserve"> </w:t>
      </w:r>
      <w:r w:rsidRPr="009E7171">
        <w:rPr>
          <w:rFonts w:ascii="Palatino Linotype" w:eastAsiaTheme="minorHAnsi" w:hAnsi="Palatino Linotype" w:cs="Arial"/>
          <w:i/>
          <w:lang w:eastAsia="en-US"/>
        </w:rPr>
        <w:t xml:space="preserve">edad de la persona, así como su </w:t>
      </w:r>
      <w:proofErr w:type="spellStart"/>
      <w:r w:rsidRPr="009E7171">
        <w:rPr>
          <w:rFonts w:ascii="Palatino Linotype" w:eastAsiaTheme="minorHAnsi" w:hAnsi="Palatino Linotype" w:cs="Arial"/>
          <w:i/>
          <w:lang w:eastAsia="en-US"/>
        </w:rPr>
        <w:t>homoclave</w:t>
      </w:r>
      <w:proofErr w:type="spellEnd"/>
      <w:r w:rsidRPr="009E7171">
        <w:rPr>
          <w:rFonts w:ascii="Palatino Linotype" w:eastAsiaTheme="minorHAnsi" w:hAnsi="Palatino Linotype" w:cs="Arial"/>
          <w:i/>
          <w:lang w:eastAsia="en-US"/>
        </w:rPr>
        <w:t>, siendo esta última única e irrepetible,</w:t>
      </w:r>
      <w:r w:rsidRPr="009E7171">
        <w:rPr>
          <w:rFonts w:ascii="Palatino Linotype" w:eastAsiaTheme="minorHAnsi" w:hAnsi="Palatino Linotype" w:cs="Arial"/>
          <w:b/>
          <w:bCs/>
          <w:i/>
          <w:lang w:eastAsia="en-US"/>
        </w:rPr>
        <w:t xml:space="preserve"> </w:t>
      </w:r>
      <w:r w:rsidRPr="009E7171">
        <w:rPr>
          <w:rFonts w:ascii="Palatino Linotype" w:eastAsiaTheme="minorHAnsi" w:hAnsi="Palatino Linotype" w:cs="Arial"/>
          <w:i/>
          <w:lang w:eastAsia="en-US"/>
        </w:rPr>
        <w:t>por lo que es posible concluir que el RFC constituye un dato personal y, por tanto,</w:t>
      </w:r>
      <w:r w:rsidRPr="009E7171">
        <w:rPr>
          <w:rFonts w:ascii="Palatino Linotype" w:eastAsiaTheme="minorHAnsi" w:hAnsi="Palatino Linotype" w:cs="Arial"/>
          <w:b/>
          <w:bCs/>
          <w:i/>
          <w:lang w:eastAsia="en-US"/>
        </w:rPr>
        <w:t xml:space="preserve"> </w:t>
      </w:r>
      <w:r w:rsidRPr="009E7171">
        <w:rPr>
          <w:rFonts w:ascii="Palatino Linotype" w:eastAsiaTheme="minorHAnsi" w:hAnsi="Palatino Linotype" w:cs="Arial"/>
          <w:i/>
          <w:lang w:eastAsia="en-US"/>
        </w:rPr>
        <w:t>información confidencial, de conformidad con los previsto en el artículo 18,</w:t>
      </w:r>
      <w:r w:rsidRPr="009E7171">
        <w:rPr>
          <w:rFonts w:ascii="Palatino Linotype" w:eastAsiaTheme="minorHAnsi" w:hAnsi="Palatino Linotype" w:cs="Arial"/>
          <w:b/>
          <w:bCs/>
          <w:i/>
          <w:lang w:eastAsia="en-US"/>
        </w:rPr>
        <w:t xml:space="preserve"> </w:t>
      </w:r>
      <w:r w:rsidRPr="009E7171">
        <w:rPr>
          <w:rFonts w:ascii="Palatino Linotype" w:eastAsiaTheme="minorHAnsi" w:hAnsi="Palatino Linotype" w:cs="Arial"/>
          <w:i/>
          <w:lang w:eastAsia="en-US"/>
        </w:rPr>
        <w:t>fracción II de la Ley Federal de Transparencia y Acceso a la Información Pública</w:t>
      </w:r>
      <w:r w:rsidRPr="009E7171">
        <w:rPr>
          <w:rFonts w:ascii="Palatino Linotype" w:eastAsiaTheme="minorHAnsi" w:hAnsi="Palatino Linotype" w:cs="Arial"/>
          <w:b/>
          <w:bCs/>
          <w:i/>
          <w:lang w:eastAsia="en-US"/>
        </w:rPr>
        <w:t xml:space="preserve"> </w:t>
      </w:r>
      <w:r w:rsidRPr="009E7171">
        <w:rPr>
          <w:rFonts w:ascii="Palatino Linotype" w:eastAsiaTheme="minorHAnsi" w:hAnsi="Palatino Linotype" w:cs="Arial"/>
          <w:i/>
          <w:lang w:eastAsia="en-US"/>
        </w:rPr>
        <w:t>Gubernamental</w:t>
      </w:r>
      <w:r w:rsidRPr="009E7171">
        <w:rPr>
          <w:rFonts w:ascii="Palatino Linotype" w:eastAsiaTheme="minorHAnsi" w:hAnsi="Palatino Linotype" w:cs="Arial"/>
          <w:bCs/>
          <w:i/>
          <w:lang w:eastAsia="en-US"/>
        </w:rPr>
        <w:t xml:space="preserve">…” </w:t>
      </w:r>
    </w:p>
    <w:p w:rsidR="00460437" w:rsidRPr="009E7171" w:rsidRDefault="00460437" w:rsidP="00460437">
      <w:pPr>
        <w:tabs>
          <w:tab w:val="left" w:pos="8647"/>
        </w:tabs>
        <w:spacing w:after="0" w:line="240" w:lineRule="auto"/>
        <w:ind w:left="567" w:right="567"/>
        <w:jc w:val="both"/>
        <w:rPr>
          <w:rFonts w:ascii="Palatino Linotype" w:eastAsiaTheme="minorHAnsi" w:hAnsi="Palatino Linotype" w:cs="Arial"/>
          <w:bCs/>
          <w:lang w:eastAsia="en-US"/>
        </w:rPr>
      </w:pPr>
    </w:p>
    <w:p w:rsidR="00460437" w:rsidRPr="009E7171" w:rsidRDefault="00460437" w:rsidP="00EB4032">
      <w:pPr>
        <w:tabs>
          <w:tab w:val="left" w:pos="8647"/>
        </w:tabs>
        <w:spacing w:after="0" w:line="240" w:lineRule="auto"/>
        <w:ind w:left="567" w:right="567"/>
        <w:jc w:val="right"/>
        <w:rPr>
          <w:rFonts w:ascii="Palatino Linotype" w:eastAsiaTheme="minorHAnsi" w:hAnsi="Palatino Linotype" w:cs="Arial"/>
          <w:lang w:eastAsia="en-US"/>
        </w:rPr>
      </w:pPr>
      <w:r w:rsidRPr="009E7171">
        <w:rPr>
          <w:rFonts w:ascii="Palatino Linotype" w:eastAsiaTheme="minorHAnsi" w:hAnsi="Palatino Linotype" w:cs="Arial"/>
          <w:lang w:eastAsia="en-US"/>
        </w:rPr>
        <w:t>(Énfasis añadido)</w:t>
      </w: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 xml:space="preserve">Así, el RFC se vincula al nombre de su titular y permite identificar la edad de la persona, su fecha de nacimiento, así como su </w:t>
      </w:r>
      <w:proofErr w:type="spellStart"/>
      <w:r w:rsidRPr="009E7171">
        <w:rPr>
          <w:rFonts w:ascii="Palatino Linotype" w:eastAsiaTheme="minorHAnsi" w:hAnsi="Palatino Linotype" w:cs="Arial"/>
          <w:sz w:val="24"/>
          <w:szCs w:val="24"/>
          <w:lang w:eastAsia="en-US"/>
        </w:rPr>
        <w:t>homoclave</w:t>
      </w:r>
      <w:proofErr w:type="spellEnd"/>
      <w:r w:rsidRPr="009E7171">
        <w:rPr>
          <w:rFonts w:ascii="Palatino Linotype" w:eastAsiaTheme="minorHAnsi" w:hAnsi="Palatino Linotype" w:cs="Arial"/>
          <w:sz w:val="24"/>
          <w:szCs w:val="24"/>
          <w:lang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lastRenderedPageBreak/>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9E7171">
        <w:rPr>
          <w:rFonts w:ascii="Palatino Linotype" w:eastAsiaTheme="minorHAnsi" w:hAnsi="Palatino Linotype" w:cs="Arial"/>
          <w:b/>
          <w:bCs/>
          <w:sz w:val="24"/>
          <w:szCs w:val="24"/>
          <w:lang w:eastAsia="en-US"/>
        </w:rPr>
        <w:t xml:space="preserve">Instituto Federal de Acceso a la Información y Protección de Datos (IFAI), conforme al </w:t>
      </w:r>
      <w:r w:rsidRPr="009E7171">
        <w:rPr>
          <w:rFonts w:ascii="Palatino Linotype" w:eastAsiaTheme="minorHAnsi" w:hAnsi="Palatino Linotype" w:cs="Arial"/>
          <w:sz w:val="24"/>
          <w:szCs w:val="24"/>
          <w:lang w:eastAsia="en-US"/>
        </w:rPr>
        <w:t xml:space="preserve">criterio número 0003-10, el cual refiere: </w:t>
      </w: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p>
    <w:p w:rsidR="00460437" w:rsidRPr="009E7171" w:rsidRDefault="00460437" w:rsidP="00E70EB2">
      <w:pPr>
        <w:tabs>
          <w:tab w:val="left" w:pos="8505"/>
        </w:tabs>
        <w:spacing w:after="0" w:line="240" w:lineRule="auto"/>
        <w:ind w:left="567" w:right="567"/>
        <w:jc w:val="both"/>
        <w:rPr>
          <w:rFonts w:ascii="Palatino Linotype" w:eastAsiaTheme="minorHAnsi" w:hAnsi="Palatino Linotype" w:cs="Arial"/>
          <w:i/>
          <w:lang w:eastAsia="en-US"/>
        </w:rPr>
      </w:pPr>
      <w:r w:rsidRPr="009E7171">
        <w:rPr>
          <w:rFonts w:ascii="Palatino Linotype" w:eastAsiaTheme="minorHAnsi" w:hAnsi="Palatino Linotype" w:cs="Arial"/>
          <w:b/>
          <w:bCs/>
          <w:i/>
          <w:lang w:eastAsia="en-US"/>
        </w:rPr>
        <w:t xml:space="preserve">“Clave Única de Registro de Población (CURP) es un dato personal confidencial. </w:t>
      </w:r>
      <w:r w:rsidRPr="009E7171">
        <w:rPr>
          <w:rFonts w:ascii="Palatino Linotype" w:eastAsiaTheme="minorHAnsi" w:hAnsi="Palatino Linotype" w:cs="Arial"/>
          <w:i/>
          <w:lang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9E7171">
        <w:rPr>
          <w:rFonts w:ascii="Palatino Linotype" w:eastAsiaTheme="minorHAnsi" w:hAnsi="Palatino Linotype" w:cs="Arial"/>
          <w:b/>
          <w:bCs/>
          <w:i/>
          <w:lang w:eastAsia="en-US"/>
        </w:rPr>
        <w:t>..</w:t>
      </w:r>
      <w:r w:rsidRPr="009E7171">
        <w:rPr>
          <w:rFonts w:ascii="Palatino Linotype" w:eastAsiaTheme="minorHAnsi" w:hAnsi="Palatino Linotype" w:cs="Arial"/>
          <w:i/>
          <w:lang w:eastAsia="en-US"/>
        </w:rPr>
        <w:t>.” (Sic)</w:t>
      </w:r>
    </w:p>
    <w:p w:rsidR="00460437" w:rsidRPr="009E7171" w:rsidRDefault="00460437" w:rsidP="0046043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p>
    <w:p w:rsidR="00460437" w:rsidRPr="009E7171" w:rsidRDefault="00460437" w:rsidP="00E70EB2">
      <w:pPr>
        <w:tabs>
          <w:tab w:val="left" w:pos="8505"/>
        </w:tabs>
        <w:spacing w:after="0" w:line="240" w:lineRule="auto"/>
        <w:ind w:left="567" w:right="567"/>
        <w:jc w:val="both"/>
        <w:rPr>
          <w:rFonts w:ascii="Palatino Linotype" w:eastAsiaTheme="minorHAnsi" w:hAnsi="Palatino Linotype" w:cs="Arial"/>
          <w:bCs/>
          <w:i/>
          <w:lang w:eastAsia="en-US"/>
        </w:rPr>
      </w:pPr>
      <w:r w:rsidRPr="009E7171">
        <w:rPr>
          <w:rFonts w:ascii="Palatino Linotype" w:eastAsiaTheme="minorHAnsi" w:hAnsi="Palatino Linotype" w:cs="Arial"/>
          <w:bCs/>
          <w:i/>
          <w:lang w:eastAsia="en-US"/>
        </w:rPr>
        <w:t>“</w:t>
      </w:r>
      <w:r w:rsidRPr="009E7171">
        <w:rPr>
          <w:rFonts w:ascii="Palatino Linotype" w:eastAsiaTheme="minorHAnsi" w:hAnsi="Palatino Linotype" w:cs="Arial"/>
          <w:b/>
          <w:bCs/>
          <w:i/>
          <w:lang w:eastAsia="en-US"/>
        </w:rPr>
        <w:t>Cuarto</w:t>
      </w:r>
      <w:r w:rsidRPr="009E7171">
        <w:rPr>
          <w:rFonts w:ascii="Palatino Linotype" w:eastAsiaTheme="minorHAnsi" w:hAnsi="Palatino Linotype" w:cs="Arial"/>
          <w:bCs/>
          <w:i/>
          <w:lang w:eastAsia="en-US"/>
        </w:rPr>
        <w:t xml:space="preserve">. </w:t>
      </w:r>
      <w:r w:rsidRPr="009E7171">
        <w:rPr>
          <w:rFonts w:ascii="Palatino Linotype" w:eastAsiaTheme="minorHAnsi" w:hAnsi="Palatino Linotype" w:cs="Arial"/>
          <w:b/>
          <w:bCs/>
          <w:i/>
          <w:u w:val="single"/>
          <w:lang w:eastAsia="en-US"/>
        </w:rPr>
        <w:t>Para clasificar la información como reservada o confidencial,</w:t>
      </w:r>
      <w:r w:rsidRPr="009E7171">
        <w:rPr>
          <w:rFonts w:ascii="Palatino Linotype" w:eastAsiaTheme="minorHAnsi" w:hAnsi="Palatino Linotype" w:cs="Arial"/>
          <w:bCs/>
          <w:i/>
          <w:lang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9E7171">
        <w:rPr>
          <w:rFonts w:ascii="Palatino Linotype" w:eastAsiaTheme="minorHAnsi" w:hAnsi="Palatino Linotype" w:cs="Arial"/>
          <w:bCs/>
          <w:i/>
          <w:lang w:eastAsia="en-US"/>
        </w:rPr>
        <w:lastRenderedPageBreak/>
        <w:t>de sus respectivas competencias, en tanto estas últimas no contravengan lo dispuesto en la Ley General.</w:t>
      </w:r>
    </w:p>
    <w:p w:rsidR="00460437" w:rsidRPr="009E7171" w:rsidRDefault="00460437" w:rsidP="00460437">
      <w:pPr>
        <w:tabs>
          <w:tab w:val="left" w:pos="8647"/>
        </w:tabs>
        <w:spacing w:after="0" w:line="240" w:lineRule="auto"/>
        <w:ind w:left="567" w:right="567"/>
        <w:jc w:val="both"/>
        <w:rPr>
          <w:rFonts w:ascii="Palatino Linotype" w:eastAsiaTheme="minorHAnsi" w:hAnsi="Palatino Linotype" w:cs="Arial"/>
          <w:bCs/>
          <w:i/>
          <w:lang w:eastAsia="en-US"/>
        </w:rPr>
      </w:pPr>
      <w:r w:rsidRPr="009E7171">
        <w:rPr>
          <w:rFonts w:ascii="Palatino Linotype" w:eastAsiaTheme="minorHAnsi" w:hAnsi="Palatino Linotype" w:cs="Arial"/>
          <w:bCs/>
          <w:i/>
          <w:lang w:eastAsia="en-US"/>
        </w:rPr>
        <w:t>Los sujetos obligados deberán aplicar, de manera estricta, las excepciones al derecho de acceso a la información y sólo podrán invocarlas cuando acrediten su procedencia.</w:t>
      </w:r>
    </w:p>
    <w:p w:rsidR="00460437" w:rsidRPr="009E7171" w:rsidRDefault="00460437" w:rsidP="00460437">
      <w:pPr>
        <w:tabs>
          <w:tab w:val="left" w:pos="8647"/>
        </w:tabs>
        <w:spacing w:after="0" w:line="240" w:lineRule="auto"/>
        <w:ind w:left="567" w:right="567"/>
        <w:jc w:val="both"/>
        <w:rPr>
          <w:rFonts w:ascii="Palatino Linotype" w:eastAsiaTheme="minorHAnsi" w:hAnsi="Palatino Linotype" w:cs="Arial"/>
          <w:bCs/>
          <w:i/>
          <w:lang w:eastAsia="en-US"/>
        </w:rPr>
      </w:pPr>
      <w:r w:rsidRPr="009E7171">
        <w:rPr>
          <w:rFonts w:ascii="Palatino Linotype" w:eastAsiaTheme="minorHAnsi" w:hAnsi="Palatino Linotype" w:cs="Arial"/>
          <w:bCs/>
          <w:i/>
          <w:lang w:eastAsia="en-US"/>
        </w:rPr>
        <w:t>…</w:t>
      </w:r>
    </w:p>
    <w:p w:rsidR="00460437" w:rsidRPr="009E7171" w:rsidRDefault="00460437" w:rsidP="00E70EB2">
      <w:pPr>
        <w:tabs>
          <w:tab w:val="left" w:pos="8647"/>
        </w:tabs>
        <w:spacing w:after="0" w:line="240" w:lineRule="auto"/>
        <w:ind w:left="567" w:right="567"/>
        <w:jc w:val="both"/>
        <w:rPr>
          <w:rFonts w:ascii="Palatino Linotype" w:eastAsiaTheme="minorHAnsi" w:hAnsi="Palatino Linotype" w:cs="Arial"/>
          <w:bCs/>
          <w:i/>
          <w:lang w:eastAsia="en-US"/>
        </w:rPr>
      </w:pPr>
      <w:r w:rsidRPr="009E7171">
        <w:rPr>
          <w:rFonts w:ascii="Palatino Linotype" w:eastAsiaTheme="minorHAnsi" w:hAnsi="Palatino Linotype" w:cs="Arial"/>
          <w:b/>
          <w:bCs/>
          <w:i/>
          <w:lang w:eastAsia="en-US"/>
        </w:rPr>
        <w:t>Quinto</w:t>
      </w:r>
      <w:r w:rsidRPr="009E7171">
        <w:rPr>
          <w:rFonts w:ascii="Palatino Linotype" w:eastAsiaTheme="minorHAnsi" w:hAnsi="Palatino Linotype" w:cs="Arial"/>
          <w:bCs/>
          <w:i/>
          <w:lang w:eastAsia="en-US"/>
        </w:rPr>
        <w:t xml:space="preserve">. </w:t>
      </w:r>
      <w:r w:rsidRPr="009E7171">
        <w:rPr>
          <w:rFonts w:ascii="Palatino Linotype" w:eastAsiaTheme="minorHAnsi" w:hAnsi="Palatino Linotype" w:cs="Arial"/>
          <w:b/>
          <w:bCs/>
          <w:i/>
          <w:lang w:eastAsia="en-US"/>
        </w:rPr>
        <w:t xml:space="preserve">La carga de la prueba para justificar toda negativa de acceso a la información, </w:t>
      </w:r>
      <w:r w:rsidRPr="009E7171">
        <w:rPr>
          <w:rFonts w:ascii="Palatino Linotype" w:eastAsiaTheme="minorHAnsi" w:hAnsi="Palatino Linotype" w:cs="Arial"/>
          <w:bCs/>
          <w:i/>
          <w:lang w:eastAsia="en-US"/>
        </w:rPr>
        <w:t>por actualizarse cualquiera de los supuestos de clasificación previstos en la Ley General, la Ley Federal y leyes estatales, corresponderá</w:t>
      </w:r>
      <w:r w:rsidRPr="009E7171">
        <w:rPr>
          <w:rFonts w:ascii="Palatino Linotype" w:eastAsiaTheme="minorHAnsi" w:hAnsi="Palatino Linotype" w:cs="Arial"/>
          <w:b/>
          <w:bCs/>
          <w:i/>
          <w:lang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9E7171">
        <w:rPr>
          <w:rFonts w:ascii="Palatino Linotype" w:eastAsiaTheme="minorHAnsi" w:hAnsi="Palatino Linotype" w:cs="Arial"/>
          <w:bCs/>
          <w:i/>
          <w:lang w:eastAsia="en-US"/>
        </w:rPr>
        <w:t>, observando lo dispuesto en la Ley General y las demás disposiciones aplicables en la materia.</w:t>
      </w:r>
    </w:p>
    <w:p w:rsidR="00460437" w:rsidRPr="009E7171" w:rsidRDefault="00460437" w:rsidP="00E70EB2">
      <w:pPr>
        <w:tabs>
          <w:tab w:val="left" w:pos="8647"/>
        </w:tabs>
        <w:spacing w:after="0" w:line="240" w:lineRule="auto"/>
        <w:ind w:left="567" w:right="567"/>
        <w:jc w:val="both"/>
        <w:rPr>
          <w:rFonts w:ascii="Palatino Linotype" w:eastAsiaTheme="minorHAnsi" w:hAnsi="Palatino Linotype" w:cs="Arial"/>
          <w:bCs/>
          <w:i/>
          <w:lang w:eastAsia="en-US"/>
        </w:rPr>
      </w:pPr>
    </w:p>
    <w:p w:rsidR="00460437" w:rsidRPr="009E7171" w:rsidRDefault="00460437" w:rsidP="00E70EB2">
      <w:pPr>
        <w:tabs>
          <w:tab w:val="left" w:pos="8647"/>
        </w:tabs>
        <w:spacing w:after="0" w:line="240" w:lineRule="auto"/>
        <w:ind w:left="567" w:right="567"/>
        <w:jc w:val="both"/>
        <w:rPr>
          <w:rFonts w:ascii="Palatino Linotype" w:eastAsiaTheme="minorHAnsi" w:hAnsi="Palatino Linotype" w:cs="Arial"/>
          <w:bCs/>
          <w:i/>
          <w:lang w:eastAsia="en-US"/>
        </w:rPr>
      </w:pPr>
      <w:r w:rsidRPr="009E7171">
        <w:rPr>
          <w:rFonts w:ascii="Palatino Linotype" w:eastAsiaTheme="minorHAnsi" w:hAnsi="Palatino Linotype" w:cs="Arial"/>
          <w:b/>
          <w:bCs/>
          <w:i/>
          <w:lang w:eastAsia="en-US"/>
        </w:rPr>
        <w:t>Octavo</w:t>
      </w:r>
      <w:r w:rsidRPr="009E7171">
        <w:rPr>
          <w:rFonts w:ascii="Palatino Linotype" w:eastAsiaTheme="minorHAnsi" w:hAnsi="Palatino Linotype" w:cs="Arial"/>
          <w:bCs/>
          <w:i/>
          <w:lang w:eastAsia="en-US"/>
        </w:rPr>
        <w:t xml:space="preserve">. </w:t>
      </w:r>
      <w:r w:rsidRPr="009E7171">
        <w:rPr>
          <w:rFonts w:ascii="Palatino Linotype" w:eastAsiaTheme="minorHAnsi" w:hAnsi="Palatino Linotype" w:cs="Arial"/>
          <w:bCs/>
          <w:i/>
          <w:u w:val="single"/>
          <w:lang w:eastAsia="en-US"/>
        </w:rPr>
        <w:t>Para fundar la clasificación de la información se debe señalar el artículo, fracción, inciso, párrafo o numeral de la ley o tratado internacional</w:t>
      </w:r>
      <w:r w:rsidRPr="009E7171">
        <w:rPr>
          <w:rFonts w:ascii="Palatino Linotype" w:eastAsiaTheme="minorHAnsi" w:hAnsi="Palatino Linotype" w:cs="Arial"/>
          <w:bCs/>
          <w:i/>
          <w:lang w:eastAsia="en-US"/>
        </w:rPr>
        <w:t xml:space="preserve"> suscrito por el Estado mexicano que expresamente le otorga el carácter de reservada o confidencial.</w:t>
      </w:r>
    </w:p>
    <w:p w:rsidR="00460437" w:rsidRPr="009E7171" w:rsidRDefault="00460437" w:rsidP="00E70EB2">
      <w:pPr>
        <w:tabs>
          <w:tab w:val="left" w:pos="8647"/>
        </w:tabs>
        <w:spacing w:after="0" w:line="240" w:lineRule="auto"/>
        <w:ind w:left="567" w:right="567"/>
        <w:jc w:val="both"/>
        <w:rPr>
          <w:rFonts w:ascii="Palatino Linotype" w:eastAsiaTheme="minorHAnsi" w:hAnsi="Palatino Linotype" w:cs="Arial"/>
          <w:bCs/>
          <w:i/>
          <w:lang w:eastAsia="en-US"/>
        </w:rPr>
      </w:pPr>
      <w:r w:rsidRPr="009E7171">
        <w:rPr>
          <w:rFonts w:ascii="Palatino Linotype" w:eastAsiaTheme="minorHAnsi" w:hAnsi="Palatino Linotype" w:cs="Arial"/>
          <w:bCs/>
          <w:i/>
          <w:lang w:eastAsia="en-US"/>
        </w:rPr>
        <w:t>Para motivar la clasificación se deberán señalar las razones o circunstancias especiales que lo llevaron a concluir que el caso particular se ajusta al supuesto previsto por la norma legal invocada como fundamento.</w:t>
      </w:r>
    </w:p>
    <w:p w:rsidR="00460437" w:rsidRPr="009E7171" w:rsidRDefault="00460437" w:rsidP="00460437">
      <w:pPr>
        <w:tabs>
          <w:tab w:val="left" w:pos="8647"/>
        </w:tabs>
        <w:spacing w:after="0" w:line="240" w:lineRule="auto"/>
        <w:ind w:left="567" w:right="567"/>
        <w:jc w:val="both"/>
        <w:rPr>
          <w:rFonts w:ascii="Palatino Linotype" w:eastAsiaTheme="minorHAnsi" w:hAnsi="Palatino Linotype" w:cs="Arial"/>
          <w:bCs/>
          <w:i/>
          <w:lang w:eastAsia="en-US"/>
        </w:rPr>
      </w:pPr>
      <w:r w:rsidRPr="009E7171">
        <w:rPr>
          <w:rFonts w:ascii="Palatino Linotype" w:eastAsiaTheme="minorHAnsi" w:hAnsi="Palatino Linotype" w:cs="Arial"/>
          <w:bCs/>
          <w:i/>
          <w:lang w:eastAsia="en-US"/>
        </w:rPr>
        <w:t>…</w:t>
      </w:r>
    </w:p>
    <w:p w:rsidR="00460437" w:rsidRPr="009E7171" w:rsidRDefault="00460437" w:rsidP="00460437">
      <w:pPr>
        <w:tabs>
          <w:tab w:val="left" w:pos="8647"/>
        </w:tabs>
        <w:spacing w:after="0" w:line="240" w:lineRule="auto"/>
        <w:ind w:left="567" w:right="567"/>
        <w:jc w:val="both"/>
        <w:rPr>
          <w:rFonts w:ascii="Palatino Linotype" w:eastAsiaTheme="minorHAnsi" w:hAnsi="Palatino Linotype" w:cs="Arial"/>
          <w:b/>
          <w:bCs/>
          <w:i/>
          <w:lang w:eastAsia="en-US"/>
        </w:rPr>
      </w:pPr>
      <w:r w:rsidRPr="009E7171">
        <w:rPr>
          <w:rFonts w:ascii="Palatino Linotype" w:eastAsiaTheme="minorHAnsi" w:hAnsi="Palatino Linotype" w:cs="Arial"/>
          <w:b/>
          <w:bCs/>
          <w:i/>
          <w:lang w:eastAsia="en-US"/>
        </w:rPr>
        <w:t>DE LA INFORMACIÓN CONFIDENCIAL</w:t>
      </w:r>
    </w:p>
    <w:p w:rsidR="00460437" w:rsidRPr="009E7171" w:rsidRDefault="00460437" w:rsidP="00460437">
      <w:pPr>
        <w:tabs>
          <w:tab w:val="left" w:pos="8647"/>
        </w:tabs>
        <w:spacing w:after="0" w:line="240" w:lineRule="auto"/>
        <w:ind w:left="567" w:right="567"/>
        <w:jc w:val="both"/>
        <w:rPr>
          <w:rFonts w:ascii="Palatino Linotype" w:eastAsiaTheme="minorHAnsi" w:hAnsi="Palatino Linotype" w:cs="Arial"/>
          <w:bCs/>
          <w:i/>
          <w:lang w:eastAsia="en-US"/>
        </w:rPr>
      </w:pPr>
      <w:r w:rsidRPr="009E7171">
        <w:rPr>
          <w:rFonts w:ascii="Palatino Linotype" w:eastAsiaTheme="minorHAnsi" w:hAnsi="Palatino Linotype" w:cs="Arial"/>
          <w:b/>
          <w:bCs/>
          <w:i/>
          <w:lang w:eastAsia="en-US"/>
        </w:rPr>
        <w:t xml:space="preserve">Trigésimo octavo. </w:t>
      </w:r>
      <w:r w:rsidRPr="009E7171">
        <w:rPr>
          <w:rFonts w:ascii="Palatino Linotype" w:eastAsiaTheme="minorHAnsi" w:hAnsi="Palatino Linotype" w:cs="Arial"/>
          <w:bCs/>
          <w:i/>
          <w:lang w:eastAsia="en-US"/>
        </w:rPr>
        <w:t>Se considera información confidencial:</w:t>
      </w:r>
    </w:p>
    <w:p w:rsidR="00460437" w:rsidRPr="009E7171" w:rsidRDefault="00460437" w:rsidP="00460437">
      <w:pPr>
        <w:tabs>
          <w:tab w:val="left" w:pos="8647"/>
        </w:tabs>
        <w:spacing w:after="0" w:line="240" w:lineRule="auto"/>
        <w:ind w:left="567" w:right="567"/>
        <w:jc w:val="both"/>
        <w:rPr>
          <w:rFonts w:ascii="Palatino Linotype" w:eastAsiaTheme="minorHAnsi" w:hAnsi="Palatino Linotype" w:cs="Arial"/>
          <w:b/>
          <w:bCs/>
          <w:i/>
          <w:lang w:eastAsia="en-US"/>
        </w:rPr>
      </w:pPr>
      <w:r w:rsidRPr="009E7171">
        <w:rPr>
          <w:rFonts w:ascii="Palatino Linotype" w:eastAsiaTheme="minorHAnsi" w:hAnsi="Palatino Linotype" w:cs="Arial"/>
          <w:bCs/>
          <w:i/>
          <w:lang w:eastAsia="en-US"/>
        </w:rPr>
        <w:t xml:space="preserve">I. </w:t>
      </w:r>
      <w:r w:rsidRPr="009E7171">
        <w:rPr>
          <w:rFonts w:ascii="Palatino Linotype" w:eastAsiaTheme="minorHAnsi" w:hAnsi="Palatino Linotype" w:cs="Arial"/>
          <w:b/>
          <w:bCs/>
          <w:i/>
          <w:u w:val="single"/>
          <w:lang w:eastAsia="en-US"/>
        </w:rPr>
        <w:t>Los datos personales en los términos de la norma aplicable</w:t>
      </w:r>
      <w:r w:rsidRPr="009E7171">
        <w:rPr>
          <w:rFonts w:ascii="Palatino Linotype" w:eastAsiaTheme="minorHAnsi" w:hAnsi="Palatino Linotype" w:cs="Arial"/>
          <w:b/>
          <w:bCs/>
          <w:i/>
          <w:lang w:eastAsia="en-US"/>
        </w:rPr>
        <w:t>;</w:t>
      </w:r>
    </w:p>
    <w:p w:rsidR="00460437" w:rsidRPr="009E7171" w:rsidRDefault="00460437" w:rsidP="00E70EB2">
      <w:pPr>
        <w:tabs>
          <w:tab w:val="left" w:pos="8647"/>
        </w:tabs>
        <w:spacing w:after="0" w:line="240" w:lineRule="auto"/>
        <w:ind w:left="567" w:right="567"/>
        <w:jc w:val="both"/>
        <w:rPr>
          <w:rFonts w:ascii="Palatino Linotype" w:eastAsiaTheme="minorHAnsi" w:hAnsi="Palatino Linotype" w:cs="Arial"/>
          <w:bCs/>
          <w:i/>
          <w:lang w:eastAsia="en-US"/>
        </w:rPr>
      </w:pPr>
      <w:r w:rsidRPr="009E7171">
        <w:rPr>
          <w:rFonts w:ascii="Palatino Linotype" w:eastAsiaTheme="minorHAnsi" w:hAnsi="Palatino Linotype" w:cs="Arial"/>
          <w:bCs/>
          <w:i/>
          <w:lang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460437" w:rsidRPr="009E7171" w:rsidRDefault="00460437" w:rsidP="00E70EB2">
      <w:pPr>
        <w:tabs>
          <w:tab w:val="left" w:pos="8647"/>
        </w:tabs>
        <w:spacing w:after="0" w:line="240" w:lineRule="auto"/>
        <w:ind w:left="567" w:right="567"/>
        <w:jc w:val="both"/>
        <w:rPr>
          <w:rFonts w:ascii="Palatino Linotype" w:eastAsiaTheme="minorHAnsi" w:hAnsi="Palatino Linotype" w:cs="Arial"/>
          <w:bCs/>
          <w:i/>
          <w:lang w:eastAsia="en-US"/>
        </w:rPr>
      </w:pPr>
      <w:proofErr w:type="gramStart"/>
      <w:r w:rsidRPr="009E7171">
        <w:rPr>
          <w:rFonts w:ascii="Palatino Linotype" w:eastAsiaTheme="minorHAnsi" w:hAnsi="Palatino Linotype" w:cs="Arial"/>
          <w:bCs/>
          <w:i/>
          <w:lang w:eastAsia="en-US"/>
        </w:rPr>
        <w:t>III …</w:t>
      </w:r>
      <w:proofErr w:type="gramEnd"/>
    </w:p>
    <w:p w:rsidR="00460437" w:rsidRPr="009E7171" w:rsidRDefault="00460437" w:rsidP="00E70EB2">
      <w:pPr>
        <w:tabs>
          <w:tab w:val="left" w:pos="8647"/>
        </w:tabs>
        <w:spacing w:after="0" w:line="240" w:lineRule="auto"/>
        <w:ind w:left="567" w:right="567"/>
        <w:jc w:val="both"/>
        <w:rPr>
          <w:rFonts w:ascii="Palatino Linotype" w:eastAsiaTheme="minorHAnsi" w:hAnsi="Palatino Linotype" w:cs="Arial"/>
          <w:bCs/>
          <w:i/>
          <w:lang w:eastAsia="en-US"/>
        </w:rPr>
      </w:pPr>
      <w:r w:rsidRPr="009E7171">
        <w:rPr>
          <w:rFonts w:ascii="Palatino Linotype" w:eastAsiaTheme="minorHAnsi" w:hAnsi="Palatino Linotype" w:cs="Arial"/>
          <w:bCs/>
          <w:i/>
          <w:lang w:eastAsia="en-US"/>
        </w:rPr>
        <w:t>La información confidencial no estará sujeta a temporalidad alguna y sólo podrán tener acceso a ella los titulares de la misma, sus representantes y los servidores públicos facultados para ello.”</w:t>
      </w:r>
    </w:p>
    <w:p w:rsidR="00460437" w:rsidRPr="009E7171" w:rsidRDefault="00460437" w:rsidP="00460437">
      <w:pPr>
        <w:tabs>
          <w:tab w:val="left" w:pos="8647"/>
        </w:tabs>
        <w:spacing w:after="0" w:line="240" w:lineRule="auto"/>
        <w:ind w:left="567" w:right="567"/>
        <w:jc w:val="right"/>
        <w:rPr>
          <w:rFonts w:ascii="Palatino Linotype" w:eastAsiaTheme="minorHAnsi" w:hAnsi="Palatino Linotype" w:cs="Arial"/>
          <w:bCs/>
          <w:lang w:eastAsia="en-US"/>
        </w:rPr>
      </w:pPr>
      <w:r w:rsidRPr="009E7171">
        <w:rPr>
          <w:rFonts w:ascii="Palatino Linotype" w:eastAsiaTheme="minorHAnsi" w:hAnsi="Palatino Linotype" w:cs="Arial"/>
          <w:bCs/>
          <w:lang w:eastAsia="en-US"/>
        </w:rPr>
        <w:t>(Énfasis añadido)</w:t>
      </w: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r w:rsidRPr="009E7171">
        <w:rPr>
          <w:rFonts w:ascii="Palatino Linotype" w:eastAsiaTheme="minorHAnsi" w:hAnsi="Palatino Linotype" w:cs="Arial"/>
          <w:sz w:val="24"/>
          <w:szCs w:val="24"/>
          <w:lang w:eastAsia="en-US"/>
        </w:rPr>
        <w:t xml:space="preserve">Así, como ha quedado apuntado, el derecho de acceso a la información pública puede ser restringido cuando se trate de información clasificada como reservada, </w:t>
      </w:r>
      <w:r w:rsidRPr="009E7171">
        <w:rPr>
          <w:rFonts w:ascii="Palatino Linotype" w:eastAsiaTheme="minorHAnsi" w:hAnsi="Palatino Linotype" w:cs="Arial"/>
          <w:sz w:val="24"/>
          <w:szCs w:val="24"/>
          <w:lang w:eastAsia="en-US"/>
        </w:rPr>
        <w:lastRenderedPageBreak/>
        <w:t>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60437" w:rsidRPr="009E7171" w:rsidRDefault="00460437" w:rsidP="00460437">
      <w:pPr>
        <w:tabs>
          <w:tab w:val="left" w:pos="8647"/>
        </w:tabs>
        <w:spacing w:after="0" w:line="360" w:lineRule="auto"/>
        <w:ind w:right="51"/>
        <w:jc w:val="both"/>
        <w:rPr>
          <w:rFonts w:ascii="Palatino Linotype" w:eastAsiaTheme="minorHAnsi" w:hAnsi="Palatino Linotype" w:cs="Arial"/>
          <w:sz w:val="24"/>
          <w:szCs w:val="24"/>
          <w:lang w:eastAsia="en-US"/>
        </w:rPr>
      </w:pPr>
    </w:p>
    <w:p w:rsidR="00460437" w:rsidRPr="009E7171" w:rsidRDefault="00460437" w:rsidP="00460437">
      <w:pPr>
        <w:autoSpaceDE w:val="0"/>
        <w:autoSpaceDN w:val="0"/>
        <w:adjustRightInd w:val="0"/>
        <w:spacing w:after="0" w:line="360" w:lineRule="auto"/>
        <w:contextualSpacing/>
        <w:jc w:val="both"/>
        <w:rPr>
          <w:rFonts w:ascii="Palatino Linotype" w:eastAsiaTheme="minorHAnsi" w:hAnsi="Palatino Linotype" w:cs="Arial"/>
          <w:sz w:val="24"/>
          <w:lang w:val="es-ES" w:eastAsia="en-US"/>
        </w:rPr>
      </w:pPr>
      <w:r w:rsidRPr="009E7171">
        <w:rPr>
          <w:rFonts w:ascii="Palatino Linotype" w:eastAsia="Times New Roman" w:hAnsi="Palatino Linotype" w:cs="Arial"/>
          <w:sz w:val="24"/>
          <w:szCs w:val="24"/>
          <w:lang w:val="es-ES" w:eastAsia="es-ES"/>
        </w:rPr>
        <w:t xml:space="preserve">Entonces, el </w:t>
      </w:r>
      <w:r w:rsidRPr="009E7171">
        <w:rPr>
          <w:rFonts w:ascii="Palatino Linotype" w:eastAsia="Times New Roman" w:hAnsi="Palatino Linotype" w:cs="Arial"/>
          <w:b/>
          <w:sz w:val="24"/>
          <w:szCs w:val="24"/>
          <w:lang w:val="es-ES" w:eastAsia="es-ES"/>
        </w:rPr>
        <w:t>Sujeto Obligado</w:t>
      </w:r>
      <w:r w:rsidRPr="009E7171">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9E7171">
        <w:rPr>
          <w:rFonts w:ascii="Palatino Linotype" w:eastAsia="Times New Roman" w:hAnsi="Palatino Linotype" w:cs="Arial"/>
          <w:i/>
          <w:iCs/>
          <w:sz w:val="24"/>
          <w:szCs w:val="24"/>
          <w:lang w:val="es-ES" w:eastAsia="es-ES"/>
        </w:rPr>
        <w:t>.</w:t>
      </w:r>
    </w:p>
    <w:p w:rsidR="00460437" w:rsidRPr="009E7171" w:rsidRDefault="00460437" w:rsidP="00460437">
      <w:pPr>
        <w:spacing w:after="0" w:line="360" w:lineRule="auto"/>
        <w:jc w:val="both"/>
        <w:rPr>
          <w:rFonts w:ascii="Palatino Linotype" w:eastAsiaTheme="minorHAnsi" w:hAnsi="Palatino Linotype" w:cs="Arial"/>
          <w:sz w:val="24"/>
          <w:szCs w:val="24"/>
          <w:lang w:val="es-ES" w:eastAsia="en-US"/>
        </w:rPr>
      </w:pPr>
    </w:p>
    <w:p w:rsidR="001A5F75" w:rsidRPr="009E7171" w:rsidRDefault="001A5F75" w:rsidP="001A5F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E7171">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parcialmente fundados en el recurso de revisión que es materia de esta resolución; por ello </w:t>
      </w:r>
      <w:r w:rsidRPr="009E7171">
        <w:rPr>
          <w:rFonts w:ascii="Palatino Linotype" w:eastAsia="Palatino Linotype" w:hAnsi="Palatino Linotype" w:cs="Palatino Linotype"/>
          <w:b/>
          <w:color w:val="000000"/>
          <w:sz w:val="24"/>
          <w:szCs w:val="24"/>
        </w:rPr>
        <w:t xml:space="preserve">con fundamento en la segunda hipótesis de la fracción III del artículo 186 </w:t>
      </w:r>
      <w:r w:rsidRPr="009E7171">
        <w:rPr>
          <w:rFonts w:ascii="Palatino Linotype" w:eastAsia="Palatino Linotype" w:hAnsi="Palatino Linotype" w:cs="Palatino Linotype"/>
          <w:color w:val="000000"/>
          <w:sz w:val="24"/>
          <w:szCs w:val="24"/>
        </w:rPr>
        <w:t xml:space="preserve">de la Ley de Transparencia y </w:t>
      </w:r>
      <w:r w:rsidRPr="009E7171">
        <w:rPr>
          <w:rFonts w:ascii="Palatino Linotype" w:eastAsia="Palatino Linotype" w:hAnsi="Palatino Linotype" w:cs="Palatino Linotype"/>
          <w:color w:val="000000"/>
          <w:sz w:val="24"/>
          <w:szCs w:val="24"/>
        </w:rPr>
        <w:lastRenderedPageBreak/>
        <w:t xml:space="preserve">Acceso a la Información Pública del Estado de México y Municipios, se </w:t>
      </w:r>
      <w:r w:rsidRPr="009E7171">
        <w:rPr>
          <w:rFonts w:ascii="Palatino Linotype" w:eastAsia="Palatino Linotype" w:hAnsi="Palatino Linotype" w:cs="Palatino Linotype"/>
          <w:b/>
          <w:color w:val="000000"/>
          <w:sz w:val="24"/>
          <w:szCs w:val="24"/>
        </w:rPr>
        <w:t xml:space="preserve">MODIFICA </w:t>
      </w:r>
      <w:r w:rsidRPr="009E7171">
        <w:rPr>
          <w:rFonts w:ascii="Palatino Linotype" w:eastAsia="Palatino Linotype" w:hAnsi="Palatino Linotype" w:cs="Palatino Linotype"/>
          <w:color w:val="000000"/>
          <w:sz w:val="24"/>
          <w:szCs w:val="24"/>
        </w:rPr>
        <w:t>la respuesta a la solicitud de información número</w:t>
      </w:r>
      <w:r w:rsidRPr="009E7171">
        <w:rPr>
          <w:rFonts w:ascii="Palatino Linotype" w:eastAsia="Palatino Linotype" w:hAnsi="Palatino Linotype" w:cs="Palatino Linotype"/>
          <w:b/>
          <w:color w:val="000000"/>
          <w:sz w:val="24"/>
          <w:szCs w:val="24"/>
        </w:rPr>
        <w:t xml:space="preserve"> </w:t>
      </w:r>
      <w:r w:rsidRPr="009E7171">
        <w:rPr>
          <w:rFonts w:ascii="Palatino Linotype" w:eastAsia="Palatino Linotype" w:hAnsi="Palatino Linotype" w:cs="Palatino Linotype"/>
          <w:b/>
          <w:bCs/>
          <w:color w:val="000000"/>
          <w:sz w:val="24"/>
          <w:szCs w:val="24"/>
        </w:rPr>
        <w:t>0094</w:t>
      </w:r>
      <w:r w:rsidR="004579D3" w:rsidRPr="009E7171">
        <w:rPr>
          <w:rFonts w:ascii="Palatino Linotype" w:eastAsia="Palatino Linotype" w:hAnsi="Palatino Linotype" w:cs="Palatino Linotype"/>
          <w:b/>
          <w:bCs/>
          <w:color w:val="000000"/>
          <w:sz w:val="24"/>
          <w:szCs w:val="24"/>
        </w:rPr>
        <w:t>5</w:t>
      </w:r>
      <w:r w:rsidRPr="009E7171">
        <w:rPr>
          <w:rFonts w:ascii="Palatino Linotype" w:eastAsia="Palatino Linotype" w:hAnsi="Palatino Linotype" w:cs="Palatino Linotype"/>
          <w:b/>
          <w:bCs/>
          <w:color w:val="000000"/>
          <w:sz w:val="24"/>
          <w:szCs w:val="24"/>
        </w:rPr>
        <w:t>/ZINACANT/IP/2022</w:t>
      </w:r>
      <w:r w:rsidRPr="009E7171">
        <w:rPr>
          <w:rFonts w:ascii="Palatino Linotype" w:eastAsia="Palatino Linotype" w:hAnsi="Palatino Linotype" w:cs="Palatino Linotype"/>
          <w:color w:val="000000"/>
          <w:sz w:val="24"/>
          <w:szCs w:val="24"/>
        </w:rPr>
        <w:t>,</w:t>
      </w:r>
      <w:r w:rsidRPr="009E7171">
        <w:rPr>
          <w:rFonts w:ascii="Palatino Linotype" w:eastAsia="Palatino Linotype" w:hAnsi="Palatino Linotype" w:cs="Palatino Linotype"/>
          <w:b/>
          <w:color w:val="000000"/>
          <w:sz w:val="24"/>
          <w:szCs w:val="24"/>
        </w:rPr>
        <w:t xml:space="preserve"> </w:t>
      </w:r>
      <w:r w:rsidRPr="009E7171">
        <w:rPr>
          <w:rFonts w:ascii="Palatino Linotype" w:eastAsia="Palatino Linotype" w:hAnsi="Palatino Linotype" w:cs="Palatino Linotype"/>
          <w:color w:val="000000"/>
          <w:sz w:val="24"/>
          <w:szCs w:val="24"/>
        </w:rPr>
        <w:t>que ha sido materia del presente estudio.</w:t>
      </w:r>
    </w:p>
    <w:p w:rsidR="00E70EB2" w:rsidRPr="009E7171" w:rsidRDefault="00E70EB2" w:rsidP="001A5F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A5F75" w:rsidRPr="009E7171" w:rsidRDefault="001A5F75" w:rsidP="001A5F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E7171">
        <w:rPr>
          <w:rFonts w:ascii="Palatino Linotype" w:eastAsia="Palatino Linotype" w:hAnsi="Palatino Linotype" w:cs="Palatino Linotype"/>
          <w:color w:val="000000"/>
          <w:sz w:val="24"/>
          <w:szCs w:val="24"/>
        </w:rPr>
        <w:t>Por lo antes expuesto y fundado es de resolverse y,</w:t>
      </w:r>
    </w:p>
    <w:p w:rsidR="001A5F75" w:rsidRPr="009E7171" w:rsidRDefault="001A5F75" w:rsidP="001A5F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rsidR="001A5F75" w:rsidRPr="009E7171" w:rsidRDefault="001A5F75" w:rsidP="001A5F7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9E7171">
        <w:rPr>
          <w:rFonts w:ascii="Palatino Linotype" w:eastAsia="Palatino Linotype" w:hAnsi="Palatino Linotype" w:cs="Palatino Linotype"/>
          <w:b/>
          <w:color w:val="000000"/>
          <w:sz w:val="28"/>
          <w:szCs w:val="28"/>
        </w:rPr>
        <w:t>S E    R E S U E L V E</w:t>
      </w:r>
    </w:p>
    <w:p w:rsidR="001A5F75" w:rsidRPr="009E7171" w:rsidRDefault="001A5F75" w:rsidP="001A5F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rPr>
      </w:pPr>
    </w:p>
    <w:p w:rsidR="001A5F75" w:rsidRPr="009E7171" w:rsidRDefault="001A5F75" w:rsidP="001A5F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E7171">
        <w:rPr>
          <w:rFonts w:ascii="Palatino Linotype" w:eastAsia="Palatino Linotype" w:hAnsi="Palatino Linotype" w:cs="Palatino Linotype"/>
          <w:b/>
          <w:color w:val="000000"/>
          <w:sz w:val="26"/>
          <w:szCs w:val="26"/>
        </w:rPr>
        <w:t>PRIMERO</w:t>
      </w:r>
      <w:r w:rsidRPr="009E7171">
        <w:rPr>
          <w:rFonts w:ascii="Palatino Linotype" w:eastAsia="Palatino Linotype" w:hAnsi="Palatino Linotype" w:cs="Palatino Linotype"/>
          <w:b/>
          <w:color w:val="000000"/>
          <w:sz w:val="24"/>
          <w:szCs w:val="24"/>
        </w:rPr>
        <w:t>.</w:t>
      </w:r>
      <w:r w:rsidRPr="009E7171">
        <w:rPr>
          <w:rFonts w:ascii="Palatino Linotype" w:eastAsia="Palatino Linotype" w:hAnsi="Palatino Linotype" w:cs="Palatino Linotype"/>
          <w:color w:val="000000"/>
          <w:sz w:val="24"/>
          <w:szCs w:val="24"/>
        </w:rPr>
        <w:t xml:space="preserve"> Se </w:t>
      </w:r>
      <w:r w:rsidRPr="009E7171">
        <w:rPr>
          <w:rFonts w:ascii="Palatino Linotype" w:eastAsia="Palatino Linotype" w:hAnsi="Palatino Linotype" w:cs="Palatino Linotype"/>
          <w:b/>
          <w:color w:val="000000"/>
          <w:sz w:val="24"/>
          <w:szCs w:val="24"/>
        </w:rPr>
        <w:t>MODIFICA</w:t>
      </w:r>
      <w:r w:rsidRPr="009E7171">
        <w:rPr>
          <w:rFonts w:ascii="Palatino Linotype" w:eastAsia="Palatino Linotype" w:hAnsi="Palatino Linotype" w:cs="Palatino Linotype"/>
          <w:color w:val="000000"/>
          <w:sz w:val="24"/>
          <w:szCs w:val="24"/>
        </w:rPr>
        <w:t xml:space="preserve"> la respuesta entregada por el Sujeto Obligado</w:t>
      </w:r>
      <w:r w:rsidRPr="009E7171">
        <w:rPr>
          <w:rFonts w:ascii="Palatino Linotype" w:eastAsia="Palatino Linotype" w:hAnsi="Palatino Linotype" w:cs="Palatino Linotype"/>
          <w:b/>
          <w:color w:val="000000"/>
          <w:sz w:val="24"/>
          <w:szCs w:val="24"/>
        </w:rPr>
        <w:t xml:space="preserve"> </w:t>
      </w:r>
      <w:r w:rsidRPr="009E7171">
        <w:rPr>
          <w:rFonts w:ascii="Palatino Linotype" w:eastAsia="Palatino Linotype" w:hAnsi="Palatino Linotype" w:cs="Palatino Linotype"/>
          <w:color w:val="000000"/>
          <w:sz w:val="24"/>
          <w:szCs w:val="24"/>
        </w:rPr>
        <w:t xml:space="preserve">a la solicitud de información número </w:t>
      </w:r>
      <w:r w:rsidRPr="009E7171">
        <w:rPr>
          <w:rFonts w:ascii="Palatino Linotype" w:eastAsia="Palatino Linotype" w:hAnsi="Palatino Linotype" w:cs="Palatino Linotype"/>
          <w:b/>
          <w:bCs/>
          <w:color w:val="000000"/>
          <w:sz w:val="24"/>
          <w:szCs w:val="24"/>
        </w:rPr>
        <w:t>0094</w:t>
      </w:r>
      <w:r w:rsidR="001B19CF" w:rsidRPr="009E7171">
        <w:rPr>
          <w:rFonts w:ascii="Palatino Linotype" w:eastAsia="Palatino Linotype" w:hAnsi="Palatino Linotype" w:cs="Palatino Linotype"/>
          <w:b/>
          <w:bCs/>
          <w:color w:val="000000"/>
          <w:sz w:val="24"/>
          <w:szCs w:val="24"/>
        </w:rPr>
        <w:t>5</w:t>
      </w:r>
      <w:r w:rsidRPr="009E7171">
        <w:rPr>
          <w:rFonts w:ascii="Palatino Linotype" w:eastAsia="Palatino Linotype" w:hAnsi="Palatino Linotype" w:cs="Palatino Linotype"/>
          <w:b/>
          <w:bCs/>
          <w:color w:val="000000"/>
          <w:sz w:val="24"/>
          <w:szCs w:val="24"/>
        </w:rPr>
        <w:t>/ZINACANT/IP/2022</w:t>
      </w:r>
      <w:r w:rsidRPr="009E7171">
        <w:rPr>
          <w:rFonts w:ascii="Palatino Linotype" w:eastAsia="Palatino Linotype" w:hAnsi="Palatino Linotype" w:cs="Palatino Linotype"/>
          <w:color w:val="000000"/>
          <w:sz w:val="24"/>
          <w:szCs w:val="24"/>
        </w:rPr>
        <w:t>, por resultar parcialmente fundados los motivos de inconformidad argüidos por el Recurrente, en términos del</w:t>
      </w:r>
      <w:r w:rsidRPr="009E7171">
        <w:rPr>
          <w:rFonts w:ascii="Palatino Linotype" w:eastAsia="Palatino Linotype" w:hAnsi="Palatino Linotype" w:cs="Palatino Linotype"/>
          <w:b/>
          <w:color w:val="000000"/>
          <w:sz w:val="24"/>
          <w:szCs w:val="24"/>
        </w:rPr>
        <w:t xml:space="preserve"> Considerando CUARTO </w:t>
      </w:r>
      <w:r w:rsidRPr="009E7171">
        <w:rPr>
          <w:rFonts w:ascii="Palatino Linotype" w:eastAsia="Palatino Linotype" w:hAnsi="Palatino Linotype" w:cs="Palatino Linotype"/>
          <w:color w:val="000000"/>
          <w:sz w:val="24"/>
          <w:szCs w:val="24"/>
        </w:rPr>
        <w:t xml:space="preserve">de la presente resolución. </w:t>
      </w:r>
    </w:p>
    <w:p w:rsidR="00FB3D0F" w:rsidRPr="009E7171" w:rsidRDefault="00FB3D0F" w:rsidP="001A5F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A5F75" w:rsidRPr="009E7171" w:rsidRDefault="001A5F75" w:rsidP="001A5F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E7171">
        <w:rPr>
          <w:rFonts w:ascii="Palatino Linotype" w:eastAsia="Palatino Linotype" w:hAnsi="Palatino Linotype" w:cs="Palatino Linotype"/>
          <w:b/>
          <w:color w:val="000000"/>
          <w:sz w:val="26"/>
          <w:szCs w:val="26"/>
        </w:rPr>
        <w:t>SEGUNDO</w:t>
      </w:r>
      <w:r w:rsidRPr="009E7171">
        <w:rPr>
          <w:rFonts w:ascii="Palatino Linotype" w:eastAsia="Palatino Linotype" w:hAnsi="Palatino Linotype" w:cs="Palatino Linotype"/>
          <w:b/>
          <w:color w:val="000000"/>
          <w:sz w:val="24"/>
          <w:szCs w:val="24"/>
        </w:rPr>
        <w:t>.</w:t>
      </w:r>
      <w:r w:rsidRPr="009E7171">
        <w:rPr>
          <w:rFonts w:ascii="Palatino Linotype" w:eastAsia="Palatino Linotype" w:hAnsi="Palatino Linotype" w:cs="Palatino Linotype"/>
          <w:color w:val="000000"/>
          <w:sz w:val="24"/>
          <w:szCs w:val="24"/>
        </w:rPr>
        <w:t xml:space="preserve"> Se </w:t>
      </w:r>
      <w:r w:rsidRPr="009E7171">
        <w:rPr>
          <w:rFonts w:ascii="Palatino Linotype" w:eastAsia="Palatino Linotype" w:hAnsi="Palatino Linotype" w:cs="Palatino Linotype"/>
          <w:b/>
          <w:color w:val="000000"/>
          <w:sz w:val="24"/>
          <w:szCs w:val="24"/>
        </w:rPr>
        <w:t>ORDENA</w:t>
      </w:r>
      <w:r w:rsidRPr="009E7171">
        <w:rPr>
          <w:rFonts w:ascii="Palatino Linotype" w:eastAsia="Palatino Linotype" w:hAnsi="Palatino Linotype" w:cs="Palatino Linotype"/>
          <w:color w:val="000000"/>
          <w:sz w:val="24"/>
          <w:szCs w:val="24"/>
        </w:rPr>
        <w:t xml:space="preserve"> al </w:t>
      </w:r>
      <w:r w:rsidRPr="009E7171">
        <w:rPr>
          <w:rFonts w:ascii="Palatino Linotype" w:eastAsia="Palatino Linotype" w:hAnsi="Palatino Linotype" w:cs="Palatino Linotype"/>
          <w:b/>
          <w:color w:val="000000"/>
          <w:sz w:val="24"/>
          <w:szCs w:val="24"/>
        </w:rPr>
        <w:t>Sujeto Obligado</w:t>
      </w:r>
      <w:r w:rsidRPr="009E7171">
        <w:rPr>
          <w:rFonts w:ascii="Palatino Linotype" w:eastAsia="Palatino Linotype" w:hAnsi="Palatino Linotype" w:cs="Palatino Linotype"/>
          <w:color w:val="000000"/>
          <w:sz w:val="24"/>
          <w:szCs w:val="24"/>
        </w:rPr>
        <w:t xml:space="preserve"> que haga entrega al </w:t>
      </w:r>
      <w:r w:rsidRPr="009E7171">
        <w:rPr>
          <w:rFonts w:ascii="Palatino Linotype" w:eastAsia="Palatino Linotype" w:hAnsi="Palatino Linotype" w:cs="Palatino Linotype"/>
          <w:b/>
          <w:color w:val="000000"/>
          <w:sz w:val="24"/>
          <w:szCs w:val="24"/>
        </w:rPr>
        <w:t>Recurrente</w:t>
      </w:r>
      <w:r w:rsidRPr="009E7171">
        <w:rPr>
          <w:rFonts w:ascii="Palatino Linotype" w:eastAsia="Palatino Linotype" w:hAnsi="Palatino Linotype" w:cs="Palatino Linotype"/>
          <w:color w:val="000000"/>
          <w:sz w:val="24"/>
          <w:szCs w:val="24"/>
        </w:rPr>
        <w:t xml:space="preserve"> mediante el Sistema de Acceso a la Información Mexiquense (SAIMEX),</w:t>
      </w:r>
      <w:r w:rsidR="00460437" w:rsidRPr="009E7171">
        <w:rPr>
          <w:rFonts w:ascii="Palatino Linotype" w:eastAsia="Palatino Linotype" w:hAnsi="Palatino Linotype" w:cs="Palatino Linotype"/>
          <w:color w:val="000000"/>
          <w:sz w:val="24"/>
          <w:szCs w:val="24"/>
        </w:rPr>
        <w:t xml:space="preserve"> en su caso en versión pública, </w:t>
      </w:r>
      <w:r w:rsidRPr="009E7171">
        <w:rPr>
          <w:rFonts w:ascii="Palatino Linotype" w:eastAsia="Palatino Linotype" w:hAnsi="Palatino Linotype" w:cs="Palatino Linotype"/>
          <w:color w:val="000000"/>
          <w:sz w:val="24"/>
          <w:szCs w:val="24"/>
        </w:rPr>
        <w:t>en términos del Considerando</w:t>
      </w:r>
      <w:r w:rsidRPr="009E7171">
        <w:rPr>
          <w:rFonts w:ascii="Palatino Linotype" w:eastAsia="Palatino Linotype" w:hAnsi="Palatino Linotype" w:cs="Palatino Linotype"/>
          <w:b/>
          <w:color w:val="000000"/>
          <w:sz w:val="24"/>
          <w:szCs w:val="24"/>
        </w:rPr>
        <w:t xml:space="preserve"> CUARTO</w:t>
      </w:r>
      <w:r w:rsidRPr="009E7171">
        <w:rPr>
          <w:rFonts w:ascii="Palatino Linotype" w:eastAsia="Palatino Linotype" w:hAnsi="Palatino Linotype" w:cs="Palatino Linotype"/>
          <w:color w:val="000000"/>
          <w:sz w:val="24"/>
          <w:szCs w:val="24"/>
        </w:rPr>
        <w:t xml:space="preserve">, de lo siguiente: </w:t>
      </w:r>
    </w:p>
    <w:p w:rsidR="001A5F75" w:rsidRPr="009E7171" w:rsidRDefault="001A5F75" w:rsidP="001A5F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A5F75" w:rsidRPr="009E7171" w:rsidRDefault="00460437" w:rsidP="00460437">
      <w:pPr>
        <w:pStyle w:val="Prrafodelista"/>
        <w:numPr>
          <w:ilvl w:val="0"/>
          <w:numId w:val="3"/>
        </w:numPr>
        <w:spacing w:line="360" w:lineRule="auto"/>
        <w:jc w:val="both"/>
        <w:rPr>
          <w:rFonts w:ascii="Palatino Linotype" w:eastAsia="Calibri" w:hAnsi="Palatino Linotype"/>
        </w:rPr>
      </w:pPr>
      <w:r w:rsidRPr="009E7171">
        <w:rPr>
          <w:rFonts w:ascii="Palatino Linotype" w:eastAsia="Calibri" w:hAnsi="Palatino Linotype"/>
        </w:rPr>
        <w:t>Las solicitudes para visto bueno para la ubicación de bases, sitio o lanzaderas de transporte público individual denominado taxi, del periodo del cinco de octubre al treinta y uno de diciembre de dos mil veintiuno.</w:t>
      </w:r>
    </w:p>
    <w:p w:rsidR="001A5F75" w:rsidRPr="009E7171" w:rsidRDefault="001A5F75" w:rsidP="001A5F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rsidR="00460437" w:rsidRPr="009E7171" w:rsidRDefault="00460437" w:rsidP="00460437">
      <w:pPr>
        <w:spacing w:after="0" w:line="360" w:lineRule="auto"/>
        <w:jc w:val="both"/>
        <w:rPr>
          <w:rFonts w:ascii="Palatino Linotype" w:eastAsia="Times New Roman" w:hAnsi="Palatino Linotype" w:cs="Tahoma"/>
          <w:sz w:val="24"/>
          <w:szCs w:val="24"/>
          <w:lang w:eastAsia="es-ES"/>
        </w:rPr>
      </w:pPr>
      <w:r w:rsidRPr="009E7171">
        <w:rPr>
          <w:rFonts w:ascii="Palatino Linotype" w:eastAsia="Times New Roman" w:hAnsi="Palatino Linotype" w:cs="Tahoma"/>
          <w:sz w:val="24"/>
          <w:szCs w:val="24"/>
          <w:lang w:eastAsia="es-ES"/>
        </w:rPr>
        <w:t xml:space="preserve">De ser procedente la versión pública deberá emitir el acuerdo del Comité de Transparencia en términos de los artículos 49, fracción VIII y 132 fracción II de la Ley </w:t>
      </w:r>
      <w:r w:rsidRPr="009E7171">
        <w:rPr>
          <w:rFonts w:ascii="Palatino Linotype" w:eastAsia="Times New Roman" w:hAnsi="Palatino Linotype" w:cs="Tahoma"/>
          <w:sz w:val="24"/>
          <w:szCs w:val="24"/>
          <w:lang w:eastAsia="es-ES"/>
        </w:rPr>
        <w:lastRenderedPageBreak/>
        <w:t>de Transparencia y Acceso a la Información Pública del Estado de México y Municipios, en el que funde y motive las razones sobre los datos que se supriman o eliminen y se ponga a disposición del recurrente.</w:t>
      </w:r>
    </w:p>
    <w:p w:rsidR="00460437" w:rsidRPr="009E7171" w:rsidRDefault="00460437" w:rsidP="00460437">
      <w:pPr>
        <w:spacing w:after="0" w:line="360" w:lineRule="auto"/>
        <w:jc w:val="both"/>
        <w:rPr>
          <w:rFonts w:ascii="Palatino Linotype" w:eastAsia="Times New Roman" w:hAnsi="Palatino Linotype" w:cs="Tahoma"/>
          <w:sz w:val="24"/>
          <w:szCs w:val="24"/>
          <w:lang w:eastAsia="es-ES"/>
        </w:rPr>
      </w:pPr>
    </w:p>
    <w:p w:rsidR="00460437" w:rsidRPr="009E7171" w:rsidRDefault="00460437" w:rsidP="00460437">
      <w:pPr>
        <w:spacing w:after="0" w:line="360" w:lineRule="auto"/>
        <w:jc w:val="both"/>
        <w:rPr>
          <w:rFonts w:ascii="Palatino Linotype" w:eastAsia="Times New Roman" w:hAnsi="Palatino Linotype" w:cs="Tahoma"/>
          <w:sz w:val="24"/>
          <w:szCs w:val="24"/>
          <w:lang w:eastAsia="es-ES"/>
        </w:rPr>
      </w:pPr>
      <w:r w:rsidRPr="009E7171">
        <w:rPr>
          <w:rFonts w:ascii="Palatino Linotype" w:eastAsia="Times New Roman" w:hAnsi="Palatino Linotype" w:cs="Tahoma"/>
          <w:sz w:val="24"/>
          <w:szCs w:val="24"/>
          <w:lang w:eastAsia="es-ES"/>
        </w:rPr>
        <w:t xml:space="preserve">En el supuesto que una vez agotada la búsqueda exhaustiva y razonable, se acredite no contar con información, bastara que lo haga del conocimiento del </w:t>
      </w:r>
      <w:r w:rsidRPr="009E7171">
        <w:rPr>
          <w:rFonts w:ascii="Palatino Linotype" w:eastAsia="Times New Roman" w:hAnsi="Palatino Linotype" w:cs="Tahoma"/>
          <w:b/>
          <w:sz w:val="24"/>
          <w:szCs w:val="24"/>
          <w:lang w:eastAsia="es-ES"/>
        </w:rPr>
        <w:t>Recurrente</w:t>
      </w:r>
      <w:r w:rsidRPr="009E7171">
        <w:rPr>
          <w:rFonts w:ascii="Palatino Linotype" w:eastAsia="Times New Roman" w:hAnsi="Palatino Linotype" w:cs="Tahoma"/>
          <w:sz w:val="24"/>
          <w:szCs w:val="24"/>
          <w:lang w:eastAsia="es-ES"/>
        </w:rPr>
        <w:t xml:space="preserve">, en términos del artículo 19 de la Ley de Transparencia Local. </w:t>
      </w:r>
    </w:p>
    <w:p w:rsidR="00460437" w:rsidRPr="009E7171" w:rsidRDefault="00460437" w:rsidP="001A5F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A5F75" w:rsidRPr="009E7171" w:rsidRDefault="001A5F75" w:rsidP="001A5F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E7171">
        <w:rPr>
          <w:rFonts w:ascii="Palatino Linotype" w:eastAsia="Palatino Linotype" w:hAnsi="Palatino Linotype" w:cs="Palatino Linotype"/>
          <w:b/>
          <w:color w:val="000000"/>
          <w:sz w:val="26"/>
          <w:szCs w:val="26"/>
        </w:rPr>
        <w:t>TERCERO</w:t>
      </w:r>
      <w:r w:rsidRPr="009E7171">
        <w:rPr>
          <w:rFonts w:ascii="Palatino Linotype" w:eastAsia="Palatino Linotype" w:hAnsi="Palatino Linotype" w:cs="Palatino Linotype"/>
          <w:b/>
          <w:color w:val="000000"/>
          <w:sz w:val="24"/>
          <w:szCs w:val="24"/>
        </w:rPr>
        <w:t>. NOTIFÍQUESE</w:t>
      </w:r>
      <w:r w:rsidRPr="009E7171">
        <w:rPr>
          <w:rFonts w:ascii="Palatino Linotype" w:eastAsia="Palatino Linotype" w:hAnsi="Palatino Linotype" w:cs="Palatino Linotype"/>
          <w:b/>
          <w:i/>
          <w:color w:val="000000"/>
          <w:sz w:val="24"/>
          <w:szCs w:val="24"/>
        </w:rPr>
        <w:t xml:space="preserve"> </w:t>
      </w:r>
      <w:r w:rsidRPr="009E7171">
        <w:rPr>
          <w:rFonts w:ascii="Palatino Linotype" w:eastAsia="Palatino Linotype" w:hAnsi="Palatino Linotype" w:cs="Palatino Linotype"/>
          <w:color w:val="000000"/>
          <w:sz w:val="24"/>
          <w:szCs w:val="24"/>
        </w:rPr>
        <w:t>al Titular de la Unidad de Transparencia del</w:t>
      </w:r>
      <w:r w:rsidRPr="009E7171">
        <w:rPr>
          <w:rFonts w:ascii="Palatino Linotype" w:eastAsia="Palatino Linotype" w:hAnsi="Palatino Linotype" w:cs="Palatino Linotype"/>
          <w:b/>
          <w:color w:val="000000"/>
          <w:sz w:val="24"/>
          <w:szCs w:val="24"/>
        </w:rPr>
        <w:t xml:space="preserve"> </w:t>
      </w:r>
      <w:r w:rsidRPr="009E7171">
        <w:rPr>
          <w:rFonts w:ascii="Palatino Linotype" w:eastAsia="Palatino Linotype" w:hAnsi="Palatino Linotype" w:cs="Palatino Linotype"/>
          <w:color w:val="000000"/>
          <w:sz w:val="24"/>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A5F75" w:rsidRPr="009E7171" w:rsidRDefault="001A5F75" w:rsidP="001A5F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A5F75" w:rsidRPr="009E7171" w:rsidRDefault="001A5F75" w:rsidP="001A5F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E7171">
        <w:rPr>
          <w:rFonts w:ascii="Palatino Linotype" w:eastAsia="Palatino Linotype" w:hAnsi="Palatino Linotype" w:cs="Palatino Linotype"/>
          <w:b/>
          <w:color w:val="000000"/>
          <w:sz w:val="26"/>
          <w:szCs w:val="26"/>
        </w:rPr>
        <w:t>CUARTO</w:t>
      </w:r>
      <w:r w:rsidRPr="009E7171">
        <w:rPr>
          <w:rFonts w:ascii="Palatino Linotype" w:eastAsia="Palatino Linotype" w:hAnsi="Palatino Linotype" w:cs="Palatino Linotype"/>
          <w:b/>
          <w:color w:val="000000"/>
          <w:sz w:val="24"/>
          <w:szCs w:val="24"/>
        </w:rPr>
        <w:t xml:space="preserve">. </w:t>
      </w:r>
      <w:r w:rsidRPr="009E7171">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A5F75" w:rsidRPr="009E7171" w:rsidRDefault="001A5F75" w:rsidP="001A5F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E70EB2" w:rsidRPr="009E7171" w:rsidRDefault="00E70EB2" w:rsidP="00E70EB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9E7171">
        <w:rPr>
          <w:rFonts w:ascii="Palatino Linotype" w:eastAsiaTheme="minorHAnsi" w:hAnsi="Palatino Linotype" w:cstheme="minorBidi"/>
          <w:b/>
          <w:sz w:val="28"/>
          <w:szCs w:val="28"/>
          <w:lang w:eastAsia="en-US"/>
        </w:rPr>
        <w:lastRenderedPageBreak/>
        <w:t>QUINTO</w:t>
      </w:r>
      <w:r w:rsidRPr="009E7171">
        <w:rPr>
          <w:rFonts w:ascii="Palatino Linotype" w:eastAsiaTheme="minorHAnsi" w:hAnsi="Palatino Linotype" w:cstheme="minorBidi"/>
          <w:b/>
          <w:sz w:val="24"/>
          <w:szCs w:val="24"/>
          <w:lang w:eastAsia="en-US"/>
        </w:rPr>
        <w:t xml:space="preserve">. </w:t>
      </w:r>
      <w:r w:rsidRPr="009E7171">
        <w:rPr>
          <w:rFonts w:ascii="Palatino Linotype" w:eastAsiaTheme="minorHAnsi" w:hAnsi="Palatino Linotype" w:cs="Arial"/>
          <w:b/>
          <w:sz w:val="24"/>
          <w:szCs w:val="24"/>
          <w:lang w:eastAsia="en-US"/>
        </w:rPr>
        <w:t>NOTIFÍQUESE</w:t>
      </w:r>
      <w:r w:rsidRPr="009E7171">
        <w:rPr>
          <w:rFonts w:ascii="Palatino Linotype" w:eastAsiaTheme="minorHAnsi" w:hAnsi="Palatino Linotype" w:cs="Arial"/>
          <w:sz w:val="24"/>
          <w:szCs w:val="24"/>
          <w:lang w:eastAsia="en-US"/>
        </w:rPr>
        <w:t xml:space="preserve"> a través del Sistema de Acceso a la Información Mexiquense (SAIMEX), al </w:t>
      </w:r>
      <w:r w:rsidRPr="009E7171">
        <w:rPr>
          <w:rFonts w:ascii="Palatino Linotype" w:eastAsiaTheme="minorHAnsi" w:hAnsi="Palatino Linotype" w:cs="Arial"/>
          <w:b/>
          <w:sz w:val="24"/>
          <w:szCs w:val="24"/>
          <w:lang w:eastAsia="en-US"/>
        </w:rPr>
        <w:t>Recurrente</w:t>
      </w:r>
      <w:r w:rsidRPr="009E7171">
        <w:rPr>
          <w:rFonts w:ascii="Palatino Linotype" w:eastAsiaTheme="minorHAnsi" w:hAnsi="Palatino Linotype" w:cs="Arial"/>
          <w:sz w:val="24"/>
          <w:szCs w:val="24"/>
          <w:lang w:eastAsia="en-U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A5F75" w:rsidRPr="009E7171" w:rsidRDefault="001A5F75" w:rsidP="001A5F75">
      <w:pPr>
        <w:spacing w:after="0" w:line="360" w:lineRule="auto"/>
        <w:contextualSpacing/>
        <w:jc w:val="both"/>
        <w:rPr>
          <w:rFonts w:ascii="Palatino Linotype" w:eastAsia="Palatino Linotype" w:hAnsi="Palatino Linotype" w:cs="Palatino Linotype"/>
          <w:sz w:val="24"/>
          <w:szCs w:val="24"/>
        </w:rPr>
      </w:pPr>
    </w:p>
    <w:p w:rsidR="001A5F75" w:rsidRPr="009E7171" w:rsidRDefault="001A5F75" w:rsidP="001A5F75">
      <w:pPr>
        <w:spacing w:after="0" w:line="360" w:lineRule="auto"/>
        <w:contextualSpacing/>
        <w:jc w:val="both"/>
        <w:rPr>
          <w:rFonts w:ascii="Palatino Linotype" w:eastAsia="Palatino Linotype" w:hAnsi="Palatino Linotype" w:cs="Palatino Linotype"/>
          <w:sz w:val="24"/>
          <w:szCs w:val="24"/>
        </w:rPr>
      </w:pP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9E7171">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70EB2" w:rsidRPr="009E7171">
        <w:rPr>
          <w:rFonts w:ascii="Palatino Linotype" w:eastAsia="Palatino Linotype" w:hAnsi="Palatino Linotype" w:cs="Palatino Linotype"/>
          <w:color w:val="000000"/>
          <w:sz w:val="24"/>
          <w:szCs w:val="24"/>
        </w:rPr>
        <w:t>SÉPTIMA</w:t>
      </w:r>
      <w:r w:rsidRPr="009E7171">
        <w:rPr>
          <w:rFonts w:ascii="Palatino Linotype" w:eastAsia="Palatino Linotype" w:hAnsi="Palatino Linotype" w:cs="Palatino Linotype"/>
          <w:color w:val="000000"/>
          <w:sz w:val="24"/>
          <w:szCs w:val="24"/>
        </w:rPr>
        <w:t xml:space="preserve"> SESIÓN ORDINARIA CELEBRADA EL </w:t>
      </w:r>
      <w:r w:rsidR="00E70EB2" w:rsidRPr="009E7171">
        <w:rPr>
          <w:rFonts w:ascii="Palatino Linotype" w:eastAsia="Palatino Linotype" w:hAnsi="Palatino Linotype" w:cs="Palatino Linotype"/>
          <w:color w:val="000000"/>
          <w:sz w:val="24"/>
          <w:szCs w:val="24"/>
        </w:rPr>
        <w:t xml:space="preserve">VEINTIDÓS DE FEBRERO </w:t>
      </w:r>
      <w:r w:rsidRPr="009E7171">
        <w:rPr>
          <w:rFonts w:ascii="Palatino Linotype" w:eastAsia="Palatino Linotype" w:hAnsi="Palatino Linotype" w:cs="Palatino Linotype"/>
          <w:color w:val="000000"/>
          <w:sz w:val="24"/>
          <w:szCs w:val="24"/>
        </w:rPr>
        <w:t>DE DOS MIL VEINTITRÉS, ANTE EL SECRETARIO TÉCNICO DEL PLENO, ALEXIS TAPIA RAMÍREZ.--------------------------------------------------------------------------------------------------------------------------------------------------------------------------------------------------------------------- ------------------------------------------------------------------------------------------------------------------</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9E7171">
        <w:rPr>
          <w:rFonts w:ascii="Palatino Linotype" w:eastAsia="Palatino Linotype" w:hAnsi="Palatino Linotype" w:cs="Palatino Linotype"/>
          <w:color w:val="000000"/>
          <w:sz w:val="24"/>
          <w:szCs w:val="24"/>
        </w:rPr>
        <w:t>------------------------------------------------------------------------------------------------------------------</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9E7171">
        <w:rPr>
          <w:rFonts w:ascii="Palatino Linotype" w:eastAsia="Palatino Linotype" w:hAnsi="Palatino Linotype" w:cs="Palatino Linotype"/>
          <w:color w:val="000000"/>
          <w:sz w:val="24"/>
          <w:szCs w:val="24"/>
        </w:rPr>
        <w:t>------------------------------------------------------------------------------------------------------------------</w:t>
      </w:r>
    </w:p>
    <w:p w:rsidR="001A5F75" w:rsidRPr="009E7171"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9E7171">
        <w:rPr>
          <w:rFonts w:ascii="Palatino Linotype" w:eastAsia="Palatino Linotype" w:hAnsi="Palatino Linotype" w:cs="Palatino Linotype"/>
          <w:color w:val="000000"/>
          <w:sz w:val="24"/>
          <w:szCs w:val="24"/>
        </w:rPr>
        <w:t>------------------------------------------------------------------------------------------------------------------</w:t>
      </w:r>
    </w:p>
    <w:p w:rsidR="001A5F75" w:rsidRDefault="00E70EB2" w:rsidP="001A5F75">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9E7171">
        <w:rPr>
          <w:rFonts w:ascii="Palatino Linotype" w:eastAsia="Palatino Linotype" w:hAnsi="Palatino Linotype" w:cs="Palatino Linotype"/>
          <w:color w:val="000000"/>
          <w:sz w:val="20"/>
          <w:szCs w:val="20"/>
        </w:rPr>
        <w:t>JMV/CCR/</w:t>
      </w:r>
    </w:p>
    <w:p w:rsidR="001A5F75"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1A5F75"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1A5F75"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1A5F75"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1A5F75"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1A5F75"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1A5F75"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1A5F75"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1A5F75" w:rsidRDefault="001A5F75" w:rsidP="001A5F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1A5F75" w:rsidRDefault="001A5F75" w:rsidP="001A5F75">
      <w:pPr>
        <w:spacing w:after="0"/>
      </w:pPr>
    </w:p>
    <w:p w:rsidR="001A5F75" w:rsidRDefault="001A5F75" w:rsidP="001A5F75"/>
    <w:p w:rsidR="001A5F75" w:rsidRDefault="001A5F75" w:rsidP="001A5F75"/>
    <w:p w:rsidR="004849CE" w:rsidRDefault="004C14F4"/>
    <w:sectPr w:rsidR="004849CE" w:rsidSect="00280AAA">
      <w:headerReference w:type="even" r:id="rId10"/>
      <w:headerReference w:type="default" r:id="rId11"/>
      <w:footerReference w:type="default" r:id="rId12"/>
      <w:headerReference w:type="first" r:id="rId13"/>
      <w:footerReference w:type="first" r:id="rId14"/>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A5D" w:rsidRDefault="00205A5D" w:rsidP="001A5F75">
      <w:pPr>
        <w:spacing w:after="0" w:line="240" w:lineRule="auto"/>
      </w:pPr>
      <w:r>
        <w:separator/>
      </w:r>
    </w:p>
  </w:endnote>
  <w:endnote w:type="continuationSeparator" w:id="0">
    <w:p w:rsidR="00205A5D" w:rsidRDefault="00205A5D" w:rsidP="001A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AAA" w:rsidRDefault="00D81E7E" w:rsidP="00280AA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C14F4">
      <w:rPr>
        <w:rFonts w:ascii="Palatino Linotype" w:hAnsi="Palatino Linotype"/>
        <w:b/>
        <w:bCs/>
        <w:noProof/>
        <w:sz w:val="20"/>
      </w:rPr>
      <w:t>32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C14F4">
      <w:rPr>
        <w:rFonts w:ascii="Palatino Linotype" w:hAnsi="Palatino Linotype"/>
        <w:b/>
        <w:bCs/>
        <w:noProof/>
        <w:sz w:val="20"/>
      </w:rPr>
      <w:t>33</w:t>
    </w:r>
    <w:r w:rsidRPr="00713DD5">
      <w:rPr>
        <w:rFonts w:ascii="Palatino Linotype" w:hAnsi="Palatino Linotype"/>
        <w:b/>
        <w:bCs/>
        <w:sz w:val="20"/>
      </w:rPr>
      <w:fldChar w:fldCharType="end"/>
    </w:r>
  </w:p>
  <w:p w:rsidR="00280AAA" w:rsidRPr="000B69FA" w:rsidRDefault="004C14F4" w:rsidP="00280AAA">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AAA" w:rsidRDefault="00D81E7E" w:rsidP="00280AA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C14F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C14F4">
      <w:rPr>
        <w:rFonts w:ascii="Palatino Linotype" w:hAnsi="Palatino Linotype"/>
        <w:b/>
        <w:bCs/>
        <w:noProof/>
        <w:sz w:val="20"/>
      </w:rPr>
      <w:t>33</w:t>
    </w:r>
    <w:r w:rsidRPr="00713DD5">
      <w:rPr>
        <w:rFonts w:ascii="Palatino Linotype" w:hAnsi="Palatino Linotype"/>
        <w:b/>
        <w:bCs/>
        <w:sz w:val="20"/>
      </w:rPr>
      <w:fldChar w:fldCharType="end"/>
    </w:r>
  </w:p>
  <w:p w:rsidR="00280AAA" w:rsidRPr="000B69FA" w:rsidRDefault="004C14F4" w:rsidP="00280AAA">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A5D" w:rsidRDefault="00205A5D" w:rsidP="001A5F75">
      <w:pPr>
        <w:spacing w:after="0" w:line="240" w:lineRule="auto"/>
      </w:pPr>
      <w:r>
        <w:separator/>
      </w:r>
    </w:p>
  </w:footnote>
  <w:footnote w:type="continuationSeparator" w:id="0">
    <w:p w:rsidR="00205A5D" w:rsidRDefault="00205A5D" w:rsidP="001A5F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AAA" w:rsidRDefault="004C14F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280AAA" w:rsidRPr="00B17577" w:rsidTr="00280AAA">
      <w:trPr>
        <w:trHeight w:val="227"/>
      </w:trPr>
      <w:tc>
        <w:tcPr>
          <w:tcW w:w="5103" w:type="dxa"/>
          <w:hideMark/>
        </w:tcPr>
        <w:p w:rsidR="00280AAA" w:rsidRPr="00B86205" w:rsidRDefault="00D81E7E" w:rsidP="00280AAA">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280AAA" w:rsidRPr="00096248" w:rsidRDefault="00D81E7E" w:rsidP="001A5F75">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w:t>
          </w:r>
          <w:r w:rsidR="001A5F75">
            <w:rPr>
              <w:rFonts w:ascii="Palatino Linotype" w:hAnsi="Palatino Linotype" w:cs="Arial"/>
              <w:b/>
              <w:bCs/>
              <w:sz w:val="24"/>
              <w:szCs w:val="24"/>
            </w:rPr>
            <w:t>6225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280AAA" w:rsidTr="00280AAA">
      <w:trPr>
        <w:trHeight w:val="242"/>
      </w:trPr>
      <w:tc>
        <w:tcPr>
          <w:tcW w:w="5103" w:type="dxa"/>
          <w:hideMark/>
        </w:tcPr>
        <w:p w:rsidR="00280AAA" w:rsidRPr="00B86205" w:rsidRDefault="00D81E7E" w:rsidP="00280AAA">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280AAA" w:rsidRPr="00B86205" w:rsidRDefault="00D81E7E" w:rsidP="00280AAA">
          <w:pPr>
            <w:spacing w:line="276" w:lineRule="auto"/>
            <w:ind w:left="-70" w:right="71"/>
            <w:jc w:val="right"/>
            <w:rPr>
              <w:rFonts w:ascii="Palatino Linotype" w:hAnsi="Palatino Linotype" w:cs="Arial"/>
              <w:b/>
              <w:sz w:val="24"/>
              <w:szCs w:val="24"/>
            </w:rPr>
          </w:pPr>
          <w:r w:rsidRPr="00BD0943">
            <w:rPr>
              <w:rFonts w:ascii="Palatino Linotype" w:hAnsi="Palatino Linotype" w:cs="Arial"/>
              <w:b/>
              <w:sz w:val="24"/>
              <w:szCs w:val="24"/>
            </w:rPr>
            <w:t>Ayuntamiento de Zinacantepec</w:t>
          </w:r>
        </w:p>
      </w:tc>
    </w:tr>
    <w:tr w:rsidR="00280AAA" w:rsidRPr="00F63239" w:rsidTr="00280AAA">
      <w:trPr>
        <w:trHeight w:val="342"/>
      </w:trPr>
      <w:tc>
        <w:tcPr>
          <w:tcW w:w="5103" w:type="dxa"/>
          <w:hideMark/>
        </w:tcPr>
        <w:p w:rsidR="00280AAA" w:rsidRPr="00B86205" w:rsidRDefault="00D81E7E" w:rsidP="00280AAA">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280AAA" w:rsidRPr="00B86205" w:rsidRDefault="00D81E7E" w:rsidP="00280AAA">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280AAA" w:rsidRDefault="004C14F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05pt;margin-top:-144.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280AAA" w:rsidTr="00280AAA">
      <w:trPr>
        <w:trHeight w:val="227"/>
      </w:trPr>
      <w:tc>
        <w:tcPr>
          <w:tcW w:w="5103" w:type="dxa"/>
          <w:hideMark/>
        </w:tcPr>
        <w:p w:rsidR="00280AAA" w:rsidRPr="00B86205" w:rsidRDefault="00D81E7E" w:rsidP="00280AAA">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280AAA" w:rsidRPr="00096248" w:rsidRDefault="00D81E7E" w:rsidP="001A5F75">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w:t>
          </w:r>
          <w:r w:rsidR="001A5F75">
            <w:rPr>
              <w:rFonts w:ascii="Palatino Linotype" w:hAnsi="Palatino Linotype" w:cs="Arial"/>
              <w:b/>
              <w:bCs/>
              <w:sz w:val="24"/>
              <w:szCs w:val="24"/>
            </w:rPr>
            <w:t>6225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280AAA" w:rsidRPr="001F57CD" w:rsidTr="00280AAA">
      <w:trPr>
        <w:trHeight w:val="196"/>
      </w:trPr>
      <w:tc>
        <w:tcPr>
          <w:tcW w:w="5103" w:type="dxa"/>
          <w:hideMark/>
        </w:tcPr>
        <w:p w:rsidR="00280AAA" w:rsidRPr="00B86205" w:rsidRDefault="00D81E7E" w:rsidP="00280AAA">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rsidR="00280AAA" w:rsidRPr="00663A37" w:rsidRDefault="004C14F4" w:rsidP="00280AAA">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w:t>
          </w:r>
          <w:proofErr w:type="spellEnd"/>
        </w:p>
      </w:tc>
    </w:tr>
    <w:tr w:rsidR="00280AAA" w:rsidTr="00280AAA">
      <w:trPr>
        <w:trHeight w:val="242"/>
      </w:trPr>
      <w:tc>
        <w:tcPr>
          <w:tcW w:w="5103" w:type="dxa"/>
          <w:hideMark/>
        </w:tcPr>
        <w:p w:rsidR="00280AAA" w:rsidRPr="00B86205" w:rsidRDefault="00D81E7E" w:rsidP="00280AAA">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280AAA" w:rsidRPr="00B86205" w:rsidRDefault="00D81E7E" w:rsidP="00280AAA">
          <w:pPr>
            <w:spacing w:line="276" w:lineRule="auto"/>
            <w:ind w:left="-70" w:right="68"/>
            <w:jc w:val="right"/>
            <w:rPr>
              <w:rFonts w:ascii="Palatino Linotype" w:hAnsi="Palatino Linotype" w:cs="Arial"/>
              <w:b/>
              <w:sz w:val="24"/>
              <w:szCs w:val="24"/>
            </w:rPr>
          </w:pPr>
          <w:r w:rsidRPr="00BD0943">
            <w:rPr>
              <w:rFonts w:ascii="Palatino Linotype" w:hAnsi="Palatino Linotype" w:cs="Arial"/>
              <w:b/>
              <w:sz w:val="24"/>
              <w:szCs w:val="24"/>
            </w:rPr>
            <w:t>Ayuntamiento de Zinacantepec</w:t>
          </w:r>
        </w:p>
      </w:tc>
    </w:tr>
    <w:tr w:rsidR="00280AAA" w:rsidTr="00280AAA">
      <w:trPr>
        <w:trHeight w:val="342"/>
      </w:trPr>
      <w:tc>
        <w:tcPr>
          <w:tcW w:w="5103" w:type="dxa"/>
          <w:hideMark/>
        </w:tcPr>
        <w:p w:rsidR="00280AAA" w:rsidRPr="00B86205" w:rsidRDefault="00D81E7E" w:rsidP="00280AAA">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280AAA" w:rsidRPr="00B86205" w:rsidRDefault="00D81E7E" w:rsidP="00280AAA">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280AAA" w:rsidRDefault="004C14F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 style="position:absolute;margin-left:-80.8pt;margin-top:-162.9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967E8"/>
    <w:multiLevelType w:val="multilevel"/>
    <w:tmpl w:val="866A286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F75"/>
    <w:rsid w:val="001A5F75"/>
    <w:rsid w:val="001B19CF"/>
    <w:rsid w:val="00205A5D"/>
    <w:rsid w:val="00296583"/>
    <w:rsid w:val="00334773"/>
    <w:rsid w:val="004579D3"/>
    <w:rsid w:val="00460437"/>
    <w:rsid w:val="004B64DC"/>
    <w:rsid w:val="004C14F4"/>
    <w:rsid w:val="004E7922"/>
    <w:rsid w:val="007E2BAA"/>
    <w:rsid w:val="00830B55"/>
    <w:rsid w:val="009D3512"/>
    <w:rsid w:val="009E7171"/>
    <w:rsid w:val="00AC6DE0"/>
    <w:rsid w:val="00B02D80"/>
    <w:rsid w:val="00C467F2"/>
    <w:rsid w:val="00CC3A7B"/>
    <w:rsid w:val="00CD3F3E"/>
    <w:rsid w:val="00D81E7E"/>
    <w:rsid w:val="00E70EB2"/>
    <w:rsid w:val="00E87C3A"/>
    <w:rsid w:val="00EB4032"/>
    <w:rsid w:val="00FB3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44A71B0-6DE1-4406-8BD9-D613120A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F75"/>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F75"/>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A5F7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A5F75"/>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A5F7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A5F7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5F7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A5F7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A5F75"/>
    <w:rPr>
      <w:rFonts w:ascii="Calibri" w:eastAsia="Calibri" w:hAnsi="Calibri" w:cs="Calibri"/>
      <w:sz w:val="20"/>
      <w:szCs w:val="20"/>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1A5F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33</Pages>
  <Words>8245</Words>
  <Characters>45348</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Juan Carlos Miranda Araiza</cp:lastModifiedBy>
  <cp:revision>8</cp:revision>
  <dcterms:created xsi:type="dcterms:W3CDTF">2023-01-02T22:24:00Z</dcterms:created>
  <dcterms:modified xsi:type="dcterms:W3CDTF">2023-03-07T23:03:00Z</dcterms:modified>
</cp:coreProperties>
</file>