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4857FD" w:rsidR="00E35DF9" w:rsidP="00147516" w:rsidRDefault="00E35DF9" w14:paraId="5A385774" w14:textId="3065F88A">
      <w:pPr>
        <w:spacing w:line="360" w:lineRule="auto"/>
        <w:contextualSpacing/>
        <w:jc w:val="both"/>
        <w:rPr>
          <w:rFonts w:ascii="Palatino Linotype" w:hAnsi="Palatino Linotype" w:cs="Tahoma"/>
          <w:bCs/>
          <w:sz w:val="22"/>
          <w:szCs w:val="22"/>
        </w:rPr>
      </w:pPr>
      <w:bookmarkStart w:name="_Hlk76457302" w:id="0"/>
      <w:r w:rsidRPr="004857FD">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Pr="004857FD" w:rsidR="00D82DF3">
        <w:rPr>
          <w:rFonts w:ascii="Palatino Linotype" w:hAnsi="Palatino Linotype" w:cs="Tahoma"/>
          <w:bCs/>
          <w:sz w:val="22"/>
          <w:szCs w:val="22"/>
        </w:rPr>
        <w:t>veintinueve</w:t>
      </w:r>
      <w:r w:rsidRPr="004857FD" w:rsidR="00815DA9">
        <w:rPr>
          <w:rFonts w:ascii="Palatino Linotype" w:hAnsi="Palatino Linotype" w:cs="Tahoma"/>
          <w:bCs/>
          <w:sz w:val="22"/>
          <w:szCs w:val="22"/>
        </w:rPr>
        <w:t xml:space="preserve"> de marzo</w:t>
      </w:r>
      <w:r w:rsidRPr="004857FD" w:rsidR="008453FA">
        <w:rPr>
          <w:rFonts w:ascii="Palatino Linotype" w:hAnsi="Palatino Linotype" w:cs="Tahoma"/>
          <w:bCs/>
          <w:sz w:val="22"/>
          <w:szCs w:val="22"/>
        </w:rPr>
        <w:t xml:space="preserve"> de dos mil veintitrés</w:t>
      </w:r>
      <w:r w:rsidRPr="004857FD">
        <w:rPr>
          <w:rFonts w:ascii="Palatino Linotype" w:hAnsi="Palatino Linotype" w:cs="Tahoma"/>
          <w:bCs/>
          <w:sz w:val="22"/>
          <w:szCs w:val="22"/>
        </w:rPr>
        <w:t>.</w:t>
      </w:r>
    </w:p>
    <w:p w:rsidRPr="004857FD" w:rsidR="00E35DF9" w:rsidP="00147516" w:rsidRDefault="00E35DF9" w14:paraId="3E7FDF13" w14:textId="77777777">
      <w:pPr>
        <w:spacing w:line="360" w:lineRule="auto"/>
        <w:contextualSpacing/>
        <w:rPr>
          <w:rFonts w:ascii="Palatino Linotype" w:hAnsi="Palatino Linotype" w:cs="Tahoma"/>
          <w:bCs/>
          <w:sz w:val="22"/>
          <w:szCs w:val="22"/>
        </w:rPr>
      </w:pPr>
    </w:p>
    <w:p w:rsidRPr="004857FD" w:rsidR="00E35DF9" w:rsidP="0D888D6B" w:rsidRDefault="00E35DF9" w14:paraId="4A9D9EE3" w14:textId="32E79D65">
      <w:pPr>
        <w:spacing w:line="360" w:lineRule="auto"/>
        <w:contextualSpacing/>
        <w:jc w:val="both"/>
        <w:rPr>
          <w:rFonts w:ascii="Palatino Linotype" w:hAnsi="Palatino Linotype" w:cs="Tahoma"/>
          <w:sz w:val="22"/>
          <w:szCs w:val="22"/>
        </w:rPr>
      </w:pPr>
      <w:r w:rsidRPr="0D888D6B" w:rsidR="0D888D6B">
        <w:rPr>
          <w:rFonts w:ascii="Palatino Linotype" w:hAnsi="Palatino Linotype" w:cs="Tahoma"/>
          <w:b w:val="1"/>
          <w:bCs w:val="1"/>
          <w:color w:val="0D0D0D" w:themeColor="text1" w:themeTint="F2" w:themeShade="FF"/>
          <w:sz w:val="22"/>
          <w:szCs w:val="22"/>
        </w:rPr>
        <w:t xml:space="preserve">VISTO </w:t>
      </w:r>
      <w:r w:rsidRPr="0D888D6B" w:rsidR="0D888D6B">
        <w:rPr>
          <w:rFonts w:ascii="Palatino Linotype" w:hAnsi="Palatino Linotype" w:cs="Tahoma"/>
          <w:color w:val="0D0D0D" w:themeColor="text1" w:themeTint="F2" w:themeShade="FF"/>
          <w:sz w:val="22"/>
          <w:szCs w:val="22"/>
        </w:rPr>
        <w:t xml:space="preserve">el expediente conformado con motivo del Recurso de Revisión </w:t>
      </w:r>
      <w:r w:rsidRPr="0D888D6B" w:rsidR="0D888D6B">
        <w:rPr>
          <w:rFonts w:ascii="Palatino Linotype" w:hAnsi="Palatino Linotype" w:cs="Tahoma"/>
          <w:b w:val="1"/>
          <w:bCs w:val="1"/>
          <w:color w:val="0D0D0D" w:themeColor="text1" w:themeTint="F2" w:themeShade="FF"/>
          <w:sz w:val="22"/>
          <w:szCs w:val="22"/>
        </w:rPr>
        <w:t>15071/INFOEM/IP/RR/2022,</w:t>
      </w:r>
      <w:r w:rsidRPr="0D888D6B" w:rsidR="0D888D6B">
        <w:rPr>
          <w:rFonts w:ascii="Palatino Linotype" w:hAnsi="Palatino Linotype" w:cs="Tahoma"/>
          <w:color w:val="0D0D0D" w:themeColor="text1" w:themeTint="F2" w:themeShade="FF"/>
          <w:sz w:val="22"/>
          <w:szCs w:val="22"/>
        </w:rPr>
        <w:t xml:space="preserve"> interpuesto por </w:t>
      </w:r>
      <w:r w:rsidRPr="0D888D6B" w:rsidR="0D888D6B">
        <w:rPr>
          <w:rFonts w:ascii="Palatino Linotype" w:hAnsi="Palatino Linotype" w:cs="Tahoma"/>
          <w:color w:val="0D0D0D" w:themeColor="text1" w:themeTint="F2" w:themeShade="FF"/>
          <w:sz w:val="22"/>
          <w:szCs w:val="22"/>
          <w:highlight w:val="black"/>
        </w:rPr>
        <w:t>XXXXXXXXXXXXXXXXXXXXXX</w:t>
      </w:r>
      <w:r w:rsidRPr="0D888D6B" w:rsidR="0D888D6B">
        <w:rPr>
          <w:rFonts w:ascii="Palatino Linotype" w:hAnsi="Palatino Linotype" w:cs="Tahoma"/>
          <w:b w:val="1"/>
          <w:bCs w:val="1"/>
          <w:color w:val="0D0D0D" w:themeColor="text1" w:themeTint="F2" w:themeShade="FF"/>
          <w:sz w:val="22"/>
          <w:szCs w:val="22"/>
        </w:rPr>
        <w:t xml:space="preserve"> </w:t>
      </w:r>
      <w:r w:rsidRPr="0D888D6B" w:rsidR="0D888D6B">
        <w:rPr>
          <w:rFonts w:ascii="Palatino Linotype" w:hAnsi="Palatino Linotype" w:cs="Tahoma"/>
          <w:color w:val="0D0D0D" w:themeColor="text1" w:themeTint="F2" w:themeShade="FF"/>
          <w:sz w:val="22"/>
          <w:szCs w:val="22"/>
        </w:rPr>
        <w:t>en lo sucesivo Recurrente o Particular, en contra de la respuesta del Sujeto Obligado</w:t>
      </w:r>
      <w:r w:rsidRPr="0D888D6B" w:rsidR="0D888D6B">
        <w:rPr>
          <w:rFonts w:ascii="Palatino Linotype" w:hAnsi="Palatino Linotype"/>
          <w:sz w:val="22"/>
          <w:szCs w:val="22"/>
        </w:rPr>
        <w:t xml:space="preserve"> </w:t>
      </w:r>
      <w:r w:rsidRPr="0D888D6B" w:rsidR="0D888D6B">
        <w:rPr>
          <w:rFonts w:ascii="Palatino Linotype" w:hAnsi="Palatino Linotype" w:eastAsia="Calibri" w:cs="Tahoma"/>
          <w:b w:val="1"/>
          <w:bCs w:val="1"/>
          <w:sz w:val="22"/>
          <w:szCs w:val="22"/>
          <w:lang w:eastAsia="en-US"/>
        </w:rPr>
        <w:t>Comisión de Derechos Humanos del Estado de México</w:t>
      </w:r>
      <w:r w:rsidRPr="0D888D6B" w:rsidR="0D888D6B">
        <w:rPr>
          <w:rFonts w:ascii="Palatino Linotype" w:hAnsi="Palatino Linotype" w:cs="Tahoma"/>
          <w:b w:val="1"/>
          <w:bCs w:val="1"/>
          <w:color w:val="0D0D0D" w:themeColor="text1" w:themeTint="F2" w:themeShade="FF"/>
          <w:sz w:val="22"/>
          <w:szCs w:val="22"/>
        </w:rPr>
        <w:t xml:space="preserve">, </w:t>
      </w:r>
      <w:r w:rsidRPr="0D888D6B" w:rsidR="0D888D6B">
        <w:rPr>
          <w:rFonts w:ascii="Palatino Linotype" w:hAnsi="Palatino Linotype" w:cs="Tahoma"/>
          <w:color w:val="0D0D0D" w:themeColor="text1" w:themeTint="F2" w:themeShade="FF"/>
          <w:sz w:val="22"/>
          <w:szCs w:val="22"/>
        </w:rPr>
        <w:t>se emite la presente Resolución, con base en los Antecedentes y C</w:t>
      </w:r>
      <w:r w:rsidRPr="0D888D6B" w:rsidR="0D888D6B">
        <w:rPr>
          <w:rFonts w:ascii="Palatino Linotype" w:hAnsi="Palatino Linotype" w:cs="Tahoma"/>
          <w:sz w:val="22"/>
          <w:szCs w:val="22"/>
        </w:rPr>
        <w:t>onsiderandos que a continuación se exponen:</w:t>
      </w:r>
    </w:p>
    <w:p w:rsidRPr="004857FD" w:rsidR="00E35DF9" w:rsidP="00147516" w:rsidRDefault="00E35DF9" w14:paraId="1BE55324" w14:textId="77777777">
      <w:pPr>
        <w:spacing w:line="360" w:lineRule="auto"/>
        <w:contextualSpacing/>
        <w:jc w:val="both"/>
        <w:rPr>
          <w:rFonts w:ascii="Palatino Linotype" w:hAnsi="Palatino Linotype" w:cs="Tahoma"/>
          <w:b/>
          <w:color w:val="0D0D0D" w:themeColor="text1" w:themeTint="F2"/>
          <w:sz w:val="18"/>
          <w:szCs w:val="22"/>
        </w:rPr>
      </w:pPr>
    </w:p>
    <w:p w:rsidRPr="004857FD" w:rsidR="00E35DF9" w:rsidP="00147516" w:rsidRDefault="00E35DF9" w14:paraId="47B35C67" w14:textId="77777777">
      <w:pPr>
        <w:tabs>
          <w:tab w:val="center" w:pos="4522"/>
          <w:tab w:val="left" w:pos="7245"/>
        </w:tabs>
        <w:spacing w:line="360" w:lineRule="auto"/>
        <w:contextualSpacing/>
        <w:jc w:val="center"/>
        <w:rPr>
          <w:rFonts w:ascii="Palatino Linotype" w:hAnsi="Palatino Linotype" w:cs="Tahoma"/>
          <w:b/>
          <w:sz w:val="22"/>
          <w:szCs w:val="22"/>
        </w:rPr>
      </w:pPr>
      <w:r w:rsidRPr="004857FD">
        <w:rPr>
          <w:rFonts w:ascii="Palatino Linotype" w:hAnsi="Palatino Linotype" w:cs="Tahoma"/>
          <w:b/>
          <w:sz w:val="22"/>
          <w:szCs w:val="22"/>
        </w:rPr>
        <w:t>A N T E C E D E N T E S</w:t>
      </w:r>
    </w:p>
    <w:p w:rsidRPr="004857FD" w:rsidR="00E35DF9" w:rsidP="00147516" w:rsidRDefault="00E35DF9" w14:paraId="46ECAA78" w14:textId="77777777">
      <w:pPr>
        <w:tabs>
          <w:tab w:val="center" w:pos="4522"/>
          <w:tab w:val="left" w:pos="7245"/>
        </w:tabs>
        <w:spacing w:line="360" w:lineRule="auto"/>
        <w:contextualSpacing/>
        <w:jc w:val="center"/>
        <w:rPr>
          <w:rFonts w:ascii="Palatino Linotype" w:hAnsi="Palatino Linotype" w:cs="Tahoma"/>
          <w:b/>
          <w:sz w:val="22"/>
          <w:szCs w:val="22"/>
        </w:rPr>
      </w:pPr>
    </w:p>
    <w:p w:rsidRPr="004857FD" w:rsidR="00E35DF9" w:rsidP="00147516" w:rsidRDefault="00E35DF9" w14:paraId="00548947" w14:textId="77777777">
      <w:pPr>
        <w:pStyle w:val="Prrafodelista"/>
        <w:tabs>
          <w:tab w:val="left" w:pos="567"/>
        </w:tabs>
        <w:spacing w:line="360" w:lineRule="auto"/>
        <w:ind w:left="0"/>
        <w:jc w:val="both"/>
        <w:rPr>
          <w:rFonts w:ascii="Palatino Linotype" w:hAnsi="Palatino Linotype" w:cs="Tahoma"/>
          <w:b/>
          <w:szCs w:val="22"/>
        </w:rPr>
      </w:pPr>
      <w:r w:rsidRPr="004857FD">
        <w:rPr>
          <w:rFonts w:ascii="Palatino Linotype" w:hAnsi="Palatino Linotype" w:cs="Tahoma"/>
          <w:b/>
          <w:szCs w:val="22"/>
        </w:rPr>
        <w:t xml:space="preserve">I. Presentación de la solicitud de información. </w:t>
      </w:r>
    </w:p>
    <w:p w:rsidRPr="004857FD" w:rsidR="00E35DF9" w:rsidP="00147516" w:rsidRDefault="00E35DF9" w14:paraId="46230770" w14:textId="77777777">
      <w:pPr>
        <w:pStyle w:val="Prrafodelista"/>
        <w:tabs>
          <w:tab w:val="left" w:pos="567"/>
        </w:tabs>
        <w:spacing w:line="360" w:lineRule="auto"/>
        <w:ind w:left="0"/>
        <w:jc w:val="both"/>
        <w:rPr>
          <w:rFonts w:ascii="Palatino Linotype" w:hAnsi="Palatino Linotype" w:cs="Tahoma"/>
          <w:b/>
          <w:sz w:val="18"/>
          <w:szCs w:val="22"/>
        </w:rPr>
      </w:pPr>
    </w:p>
    <w:p w:rsidRPr="004857FD" w:rsidR="00E35DF9" w:rsidP="00147516" w:rsidRDefault="00E35DF9" w14:paraId="48E138B1" w14:textId="0C063BBC">
      <w:pPr>
        <w:tabs>
          <w:tab w:val="left" w:pos="567"/>
        </w:tabs>
        <w:spacing w:line="360" w:lineRule="auto"/>
        <w:contextualSpacing/>
        <w:jc w:val="both"/>
        <w:rPr>
          <w:rFonts w:ascii="Palatino Linotype" w:hAnsi="Palatino Linotype" w:cs="Tahoma"/>
          <w:sz w:val="22"/>
          <w:szCs w:val="22"/>
        </w:rPr>
      </w:pPr>
      <w:r w:rsidRPr="004857FD">
        <w:rPr>
          <w:rFonts w:ascii="Palatino Linotype" w:hAnsi="Palatino Linotype" w:cs="Tahoma"/>
          <w:sz w:val="22"/>
          <w:szCs w:val="22"/>
        </w:rPr>
        <w:t xml:space="preserve">Con fecha </w:t>
      </w:r>
      <w:r w:rsidRPr="004857FD" w:rsidR="00D82DF3">
        <w:rPr>
          <w:rFonts w:ascii="Palatino Linotype" w:hAnsi="Palatino Linotype" w:cs="Tahoma"/>
          <w:sz w:val="22"/>
          <w:szCs w:val="22"/>
        </w:rPr>
        <w:t xml:space="preserve">primero de septiembre </w:t>
      </w:r>
      <w:r w:rsidRPr="004857FD" w:rsidR="008436E1">
        <w:rPr>
          <w:rFonts w:ascii="Palatino Linotype" w:hAnsi="Palatino Linotype" w:cs="Tahoma"/>
          <w:sz w:val="22"/>
          <w:szCs w:val="22"/>
        </w:rPr>
        <w:t>de dos mil veintidós</w:t>
      </w:r>
      <w:r w:rsidRPr="004857FD">
        <w:rPr>
          <w:rFonts w:ascii="Palatino Linotype" w:hAnsi="Palatino Linotype" w:cs="Tahoma"/>
          <w:sz w:val="22"/>
          <w:szCs w:val="22"/>
        </w:rPr>
        <w:t>, el Particular presentó solicitud de acceso a la i</w:t>
      </w:r>
      <w:r w:rsidRPr="004857FD" w:rsidR="009D6672">
        <w:rPr>
          <w:rFonts w:ascii="Palatino Linotype" w:hAnsi="Palatino Linotype" w:cs="Tahoma"/>
          <w:sz w:val="22"/>
          <w:szCs w:val="22"/>
        </w:rPr>
        <w:t>nformación pública, a través del Sistema de Acceso a la Información Mexiquense (SAIMEX)</w:t>
      </w:r>
      <w:r w:rsidRPr="004857FD">
        <w:rPr>
          <w:rFonts w:ascii="Palatino Linotype" w:hAnsi="Palatino Linotype" w:cs="Tahoma"/>
          <w:sz w:val="22"/>
          <w:szCs w:val="22"/>
        </w:rPr>
        <w:t xml:space="preserve">, ante </w:t>
      </w:r>
      <w:r w:rsidRPr="004857FD" w:rsidR="0084052B">
        <w:rPr>
          <w:rFonts w:ascii="Palatino Linotype" w:hAnsi="Palatino Linotype" w:cs="Tahoma"/>
          <w:sz w:val="22"/>
          <w:szCs w:val="22"/>
        </w:rPr>
        <w:t>l</w:t>
      </w:r>
      <w:r w:rsidRPr="004857FD" w:rsidR="00815DA9">
        <w:rPr>
          <w:rFonts w:ascii="Palatino Linotype" w:hAnsi="Palatino Linotype" w:cs="Tahoma"/>
          <w:sz w:val="22"/>
          <w:szCs w:val="22"/>
        </w:rPr>
        <w:t>a</w:t>
      </w:r>
      <w:r w:rsidRPr="004857FD">
        <w:rPr>
          <w:rFonts w:ascii="Palatino Linotype" w:hAnsi="Palatino Linotype" w:cs="Tahoma"/>
          <w:sz w:val="22"/>
          <w:szCs w:val="22"/>
        </w:rPr>
        <w:t xml:space="preserve"> </w:t>
      </w:r>
      <w:r w:rsidRPr="004857FD" w:rsidR="00F926D5">
        <w:rPr>
          <w:rFonts w:ascii="Palatino Linotype" w:hAnsi="Palatino Linotype" w:cs="Tahoma"/>
          <w:b/>
          <w:bCs/>
          <w:sz w:val="22"/>
          <w:szCs w:val="22"/>
        </w:rPr>
        <w:t>Comisión de Derechos Humanos del Estado de México</w:t>
      </w:r>
      <w:r w:rsidRPr="004857FD">
        <w:rPr>
          <w:rFonts w:ascii="Palatino Linotype" w:hAnsi="Palatino Linotype" w:cs="Tahoma"/>
          <w:sz w:val="22"/>
          <w:szCs w:val="22"/>
        </w:rPr>
        <w:t xml:space="preserve">, </w:t>
      </w:r>
      <w:r w:rsidRPr="004857FD" w:rsidR="003A12F1">
        <w:rPr>
          <w:rFonts w:ascii="Palatino Linotype" w:hAnsi="Palatino Linotype" w:cs="Tahoma"/>
          <w:sz w:val="22"/>
          <w:szCs w:val="22"/>
        </w:rPr>
        <w:t xml:space="preserve">misma que fue registrada con el número de folio </w:t>
      </w:r>
      <w:bookmarkStart w:name="_Hlk129024994" w:id="1"/>
      <w:r w:rsidRPr="004857FD" w:rsidR="00F926D5">
        <w:rPr>
          <w:rFonts w:ascii="Palatino Linotype" w:hAnsi="Palatino Linotype" w:cs="Tahoma"/>
          <w:b/>
          <w:bCs/>
          <w:sz w:val="22"/>
          <w:szCs w:val="22"/>
        </w:rPr>
        <w:t>0020</w:t>
      </w:r>
      <w:r w:rsidRPr="004857FD" w:rsidR="00D82DF3">
        <w:rPr>
          <w:rFonts w:ascii="Palatino Linotype" w:hAnsi="Palatino Linotype" w:cs="Tahoma"/>
          <w:b/>
          <w:bCs/>
          <w:sz w:val="22"/>
          <w:szCs w:val="22"/>
        </w:rPr>
        <w:t>8</w:t>
      </w:r>
      <w:r w:rsidRPr="004857FD" w:rsidR="00F926D5">
        <w:rPr>
          <w:rFonts w:ascii="Palatino Linotype" w:hAnsi="Palatino Linotype" w:cs="Tahoma"/>
          <w:b/>
          <w:bCs/>
          <w:sz w:val="22"/>
          <w:szCs w:val="22"/>
        </w:rPr>
        <w:t>/CODHEM/IP/2022</w:t>
      </w:r>
      <w:bookmarkEnd w:id="1"/>
      <w:r w:rsidRPr="004857FD" w:rsidR="003A12F1">
        <w:rPr>
          <w:rFonts w:ascii="Palatino Linotype" w:hAnsi="Palatino Linotype" w:cs="Tahoma"/>
          <w:b/>
          <w:bCs/>
          <w:sz w:val="22"/>
          <w:szCs w:val="22"/>
        </w:rPr>
        <w:t xml:space="preserve">, </w:t>
      </w:r>
      <w:r w:rsidRPr="004857FD">
        <w:rPr>
          <w:rFonts w:ascii="Palatino Linotype" w:hAnsi="Palatino Linotype" w:cs="Tahoma"/>
          <w:sz w:val="22"/>
          <w:szCs w:val="22"/>
        </w:rPr>
        <w:t xml:space="preserve">mediante </w:t>
      </w:r>
      <w:r w:rsidRPr="004857FD" w:rsidR="0074594A">
        <w:rPr>
          <w:rFonts w:ascii="Palatino Linotype" w:hAnsi="Palatino Linotype" w:cs="Tahoma"/>
          <w:sz w:val="22"/>
          <w:szCs w:val="22"/>
        </w:rPr>
        <w:t>l</w:t>
      </w:r>
      <w:r w:rsidRPr="004857FD" w:rsidR="00B50512">
        <w:rPr>
          <w:rFonts w:ascii="Palatino Linotype" w:hAnsi="Palatino Linotype" w:cs="Tahoma"/>
          <w:sz w:val="22"/>
          <w:szCs w:val="22"/>
        </w:rPr>
        <w:t>a</w:t>
      </w:r>
      <w:r w:rsidRPr="004857FD">
        <w:rPr>
          <w:rFonts w:ascii="Palatino Linotype" w:hAnsi="Palatino Linotype" w:cs="Tahoma"/>
          <w:sz w:val="22"/>
          <w:szCs w:val="22"/>
        </w:rPr>
        <w:t xml:space="preserve"> cual requirió lo siguiente: </w:t>
      </w:r>
    </w:p>
    <w:p w:rsidRPr="004857FD" w:rsidR="00D807FB" w:rsidP="00147516" w:rsidRDefault="00D807FB" w14:paraId="0348C0D6" w14:textId="77777777">
      <w:pPr>
        <w:tabs>
          <w:tab w:val="left" w:pos="567"/>
        </w:tabs>
        <w:spacing w:line="360" w:lineRule="auto"/>
        <w:contextualSpacing/>
        <w:jc w:val="both"/>
        <w:rPr>
          <w:rFonts w:ascii="Palatino Linotype" w:hAnsi="Palatino Linotype" w:cs="Tahoma"/>
          <w:sz w:val="22"/>
        </w:rPr>
      </w:pPr>
    </w:p>
    <w:p w:rsidRPr="004857FD" w:rsidR="00D807FB" w:rsidP="00147516" w:rsidRDefault="00D807FB" w14:paraId="191A7FC0" w14:textId="77777777">
      <w:pPr>
        <w:tabs>
          <w:tab w:val="left" w:pos="567"/>
        </w:tabs>
        <w:spacing w:line="360" w:lineRule="auto"/>
        <w:ind w:left="567" w:right="539"/>
        <w:contextualSpacing/>
        <w:jc w:val="both"/>
        <w:rPr>
          <w:rFonts w:ascii="Palatino Linotype" w:hAnsi="Palatino Linotype" w:cs="Tahoma"/>
          <w:b/>
          <w:bCs/>
          <w:sz w:val="22"/>
          <w:szCs w:val="22"/>
        </w:rPr>
      </w:pPr>
      <w:r w:rsidRPr="004857FD">
        <w:rPr>
          <w:rFonts w:ascii="Palatino Linotype" w:hAnsi="Palatino Linotype" w:cs="Tahoma"/>
          <w:b/>
          <w:bCs/>
        </w:rPr>
        <w:t>DESCRIPCIÓN CLARA Y PRECISA DE LA INFORMACIÓN SOLICITADA</w:t>
      </w:r>
      <w:r w:rsidRPr="004857FD">
        <w:rPr>
          <w:rFonts w:ascii="Palatino Linotype" w:hAnsi="Palatino Linotype" w:cs="Tahoma"/>
          <w:b/>
          <w:bCs/>
          <w:sz w:val="22"/>
          <w:szCs w:val="22"/>
        </w:rPr>
        <w:t>:</w:t>
      </w:r>
    </w:p>
    <w:p w:rsidRPr="004857FD" w:rsidR="000F2B83" w:rsidP="0D888D6B" w:rsidRDefault="009D6672" w14:paraId="28A3B076" w14:textId="35D5997A">
      <w:pPr>
        <w:pStyle w:val="Prrafodelista"/>
        <w:tabs>
          <w:tab w:val="left" w:pos="567"/>
        </w:tabs>
        <w:spacing w:line="360" w:lineRule="auto"/>
        <w:ind w:left="567" w:right="539"/>
        <w:jc w:val="both"/>
        <w:rPr>
          <w:rFonts w:ascii="Palatino Linotype" w:hAnsi="Palatino Linotype"/>
          <w:i w:val="1"/>
          <w:iCs w:val="1"/>
          <w:color w:val="000000"/>
          <w:sz w:val="20"/>
          <w:szCs w:val="20"/>
        </w:rPr>
      </w:pPr>
      <w:r w:rsidRPr="0D888D6B" w:rsidR="0D888D6B">
        <w:rPr>
          <w:rFonts w:ascii="Palatino Linotype" w:hAnsi="Palatino Linotype"/>
          <w:i w:val="1"/>
          <w:iCs w:val="1"/>
          <w:color w:val="000000" w:themeColor="text1" w:themeTint="FF" w:themeShade="FF"/>
          <w:sz w:val="20"/>
          <w:szCs w:val="20"/>
        </w:rPr>
        <w:t xml:space="preserve">“El seguimiento de todas las recomendaciones y observaciones del Comité de Ética y la Unidad de Ética de 2020 a la fecha, Investigación del conflicto de intereses entre </w:t>
      </w:r>
      <w:r w:rsidRPr="0D888D6B" w:rsidR="0D888D6B">
        <w:rPr>
          <w:rFonts w:ascii="Palatino Linotype" w:hAnsi="Palatino Linotype"/>
          <w:i w:val="1"/>
          <w:iCs w:val="1"/>
          <w:color w:val="000000" w:themeColor="text1" w:themeTint="FF" w:themeShade="FF"/>
          <w:sz w:val="20"/>
          <w:szCs w:val="20"/>
          <w:highlight w:val="black"/>
        </w:rPr>
        <w:t>XXXXXXXXXXXXXXXXXXXXX</w:t>
      </w:r>
      <w:r w:rsidRPr="0D888D6B" w:rsidR="0D888D6B">
        <w:rPr>
          <w:rFonts w:ascii="Palatino Linotype" w:hAnsi="Palatino Linotype"/>
          <w:i w:val="1"/>
          <w:iCs w:val="1"/>
          <w:color w:val="000000" w:themeColor="text1" w:themeTint="FF" w:themeShade="FF"/>
          <w:sz w:val="20"/>
          <w:szCs w:val="20"/>
        </w:rPr>
        <w:t xml:space="preserve"> y el secretario particular de l</w:t>
      </w:r>
      <w:r w:rsidRPr="0D888D6B" w:rsidR="0D888D6B">
        <w:rPr>
          <w:rFonts w:ascii="Palatino Linotype" w:hAnsi="Palatino Linotype"/>
          <w:i w:val="1"/>
          <w:iCs w:val="1"/>
          <w:color w:val="000000" w:themeColor="text1" w:themeTint="FF" w:themeShade="FF"/>
          <w:sz w:val="20"/>
          <w:szCs w:val="20"/>
        </w:rPr>
        <w:t xml:space="preserve">a </w:t>
      </w:r>
      <w:r w:rsidRPr="0D888D6B" w:rsidR="0D888D6B">
        <w:rPr>
          <w:rFonts w:ascii="Palatino Linotype" w:hAnsi="Palatino Linotype"/>
          <w:i w:val="1"/>
          <w:iCs w:val="1"/>
          <w:color w:val="000000" w:themeColor="text1" w:themeTint="FF" w:themeShade="FF"/>
          <w:sz w:val="20"/>
          <w:szCs w:val="20"/>
        </w:rPr>
        <w:t>codh</w:t>
      </w:r>
      <w:r w:rsidRPr="0D888D6B" w:rsidR="0D888D6B">
        <w:rPr>
          <w:rFonts w:ascii="Palatino Linotype" w:hAnsi="Palatino Linotype"/>
          <w:i w:val="1"/>
          <w:iCs w:val="1"/>
          <w:color w:val="000000" w:themeColor="text1" w:themeTint="FF" w:themeShade="FF"/>
          <w:sz w:val="20"/>
          <w:szCs w:val="20"/>
        </w:rPr>
        <w:t>em</w:t>
      </w:r>
      <w:r w:rsidRPr="0D888D6B" w:rsidR="0D888D6B">
        <w:rPr>
          <w:rFonts w:ascii="Palatino Linotype" w:hAnsi="Palatino Linotype"/>
          <w:i w:val="1"/>
          <w:iCs w:val="1"/>
          <w:color w:val="000000" w:themeColor="text1" w:themeTint="FF" w:themeShade="FF"/>
          <w:sz w:val="20"/>
          <w:szCs w:val="20"/>
        </w:rPr>
        <w:t>, sirva como referencia la factura emitida por el ciudadano co</w:t>
      </w:r>
      <w:r w:rsidRPr="0D888D6B" w:rsidR="0D888D6B">
        <w:rPr>
          <w:rFonts w:ascii="Palatino Linotype" w:hAnsi="Palatino Linotype"/>
          <w:i w:val="1"/>
          <w:iCs w:val="1"/>
          <w:color w:val="000000" w:themeColor="text1" w:themeTint="FF" w:themeShade="FF"/>
          <w:sz w:val="20"/>
          <w:szCs w:val="20"/>
        </w:rPr>
        <w:t xml:space="preserve">n </w:t>
      </w:r>
      <w:r w:rsidRPr="0D888D6B" w:rsidR="0D888D6B">
        <w:rPr>
          <w:rFonts w:ascii="Palatino Linotype" w:hAnsi="Palatino Linotype"/>
          <w:i w:val="1"/>
          <w:iCs w:val="1"/>
          <w:color w:val="000000" w:themeColor="text1" w:themeTint="FF" w:themeShade="FF"/>
          <w:sz w:val="20"/>
          <w:szCs w:val="20"/>
        </w:rPr>
        <w:t>r.f</w:t>
      </w:r>
      <w:r w:rsidRPr="0D888D6B" w:rsidR="0D888D6B">
        <w:rPr>
          <w:rFonts w:ascii="Palatino Linotype" w:hAnsi="Palatino Linotype"/>
          <w:i w:val="1"/>
          <w:iCs w:val="1"/>
          <w:color w:val="000000" w:themeColor="text1" w:themeTint="FF" w:themeShade="FF"/>
          <w:sz w:val="20"/>
          <w:szCs w:val="20"/>
        </w:rPr>
        <w:t>.c</w:t>
      </w:r>
      <w:r w:rsidRPr="0D888D6B" w:rsidR="0D888D6B">
        <w:rPr>
          <w:rFonts w:ascii="Palatino Linotype" w:hAnsi="Palatino Linotype"/>
          <w:i w:val="1"/>
          <w:iCs w:val="1"/>
          <w:color w:val="000000" w:themeColor="text1" w:themeTint="FF" w:themeShade="FF"/>
          <w:sz w:val="20"/>
          <w:szCs w:val="20"/>
        </w:rPr>
        <w:t>. SEGF870505570 con folio fiscal 73e229cc-d694-4a9d-b51d-4729e541a7cd emitida el 2022-05-04 a nombre de la comisión de derechos humanos del estado d</w:t>
      </w:r>
      <w:r w:rsidRPr="0D888D6B" w:rsidR="0D888D6B">
        <w:rPr>
          <w:rFonts w:ascii="Palatino Linotype" w:hAnsi="Palatino Linotype"/>
          <w:i w:val="1"/>
          <w:iCs w:val="1"/>
          <w:color w:val="000000" w:themeColor="text1" w:themeTint="FF" w:themeShade="FF"/>
          <w:sz w:val="20"/>
          <w:szCs w:val="20"/>
        </w:rPr>
        <w:t xml:space="preserve">e </w:t>
      </w:r>
      <w:r w:rsidRPr="0D888D6B" w:rsidR="0D888D6B">
        <w:rPr>
          <w:rFonts w:ascii="Palatino Linotype" w:hAnsi="Palatino Linotype"/>
          <w:i w:val="1"/>
          <w:iCs w:val="1"/>
          <w:color w:val="000000" w:themeColor="text1" w:themeTint="FF" w:themeShade="FF"/>
          <w:sz w:val="20"/>
          <w:szCs w:val="20"/>
        </w:rPr>
        <w:t>mexi</w:t>
      </w:r>
      <w:r w:rsidRPr="0D888D6B" w:rsidR="0D888D6B">
        <w:rPr>
          <w:rFonts w:ascii="Palatino Linotype" w:hAnsi="Palatino Linotype"/>
          <w:i w:val="1"/>
          <w:iCs w:val="1"/>
          <w:color w:val="000000" w:themeColor="text1" w:themeTint="FF" w:themeShade="FF"/>
          <w:sz w:val="20"/>
          <w:szCs w:val="20"/>
        </w:rPr>
        <w:t>co</w:t>
      </w:r>
      <w:r w:rsidRPr="0D888D6B" w:rsidR="0D888D6B">
        <w:rPr>
          <w:rFonts w:ascii="Palatino Linotype" w:hAnsi="Palatino Linotype"/>
          <w:i w:val="1"/>
          <w:iCs w:val="1"/>
          <w:color w:val="000000" w:themeColor="text1" w:themeTint="FF" w:themeShade="FF"/>
          <w:sz w:val="20"/>
          <w:szCs w:val="20"/>
        </w:rPr>
        <w:t xml:space="preserve"> por un importe total de 75,400.00</w:t>
      </w:r>
      <w:r w:rsidRPr="0D888D6B" w:rsidR="0D888D6B">
        <w:rPr>
          <w:rFonts w:ascii="Palatino Linotype" w:hAnsi="Palatino Linotype"/>
          <w:i w:val="1"/>
          <w:iCs w:val="1"/>
          <w:color w:val="000000" w:themeColor="text1" w:themeTint="FF" w:themeShade="FF"/>
          <w:sz w:val="20"/>
          <w:szCs w:val="20"/>
        </w:rPr>
        <w:t xml:space="preserve">. </w:t>
      </w:r>
      <w:r w:rsidRPr="0D888D6B" w:rsidR="0D888D6B">
        <w:rPr>
          <w:rFonts w:ascii="Palatino Linotype" w:hAnsi="Palatino Linotype"/>
          <w:i w:val="1"/>
          <w:iCs w:val="1"/>
          <w:color w:val="000000" w:themeColor="text1" w:themeTint="FF" w:themeShade="FF"/>
          <w:sz w:val="20"/>
          <w:szCs w:val="20"/>
        </w:rPr>
        <w:t>Padr</w:t>
      </w:r>
      <w:r w:rsidRPr="0D888D6B" w:rsidR="0D888D6B">
        <w:rPr>
          <w:rFonts w:ascii="Palatino Linotype" w:hAnsi="Palatino Linotype"/>
          <w:i w:val="1"/>
          <w:iCs w:val="1"/>
          <w:color w:val="000000" w:themeColor="text1" w:themeTint="FF" w:themeShade="FF"/>
          <w:sz w:val="20"/>
          <w:szCs w:val="20"/>
        </w:rPr>
        <w:t>on</w:t>
      </w:r>
      <w:r w:rsidRPr="0D888D6B" w:rsidR="0D888D6B">
        <w:rPr>
          <w:rFonts w:ascii="Palatino Linotype" w:hAnsi="Palatino Linotype"/>
          <w:i w:val="1"/>
          <w:iCs w:val="1"/>
          <w:color w:val="000000" w:themeColor="text1" w:themeTint="FF" w:themeShade="FF"/>
          <w:sz w:val="20"/>
          <w:szCs w:val="20"/>
        </w:rPr>
        <w:t xml:space="preserve"> de proveedores de la comisión de derechos humanos del estado d</w:t>
      </w:r>
      <w:r w:rsidRPr="0D888D6B" w:rsidR="0D888D6B">
        <w:rPr>
          <w:rFonts w:ascii="Palatino Linotype" w:hAnsi="Palatino Linotype"/>
          <w:i w:val="1"/>
          <w:iCs w:val="1"/>
          <w:color w:val="000000" w:themeColor="text1" w:themeTint="FF" w:themeShade="FF"/>
          <w:sz w:val="20"/>
          <w:szCs w:val="20"/>
        </w:rPr>
        <w:t xml:space="preserve">e </w:t>
      </w:r>
      <w:r w:rsidRPr="0D888D6B" w:rsidR="0D888D6B">
        <w:rPr>
          <w:rFonts w:ascii="Palatino Linotype" w:hAnsi="Palatino Linotype"/>
          <w:i w:val="1"/>
          <w:iCs w:val="1"/>
          <w:color w:val="000000" w:themeColor="text1" w:themeTint="FF" w:themeShade="FF"/>
          <w:sz w:val="20"/>
          <w:szCs w:val="20"/>
        </w:rPr>
        <w:t>mexi</w:t>
      </w:r>
      <w:r w:rsidRPr="0D888D6B" w:rsidR="0D888D6B">
        <w:rPr>
          <w:rFonts w:ascii="Palatino Linotype" w:hAnsi="Palatino Linotype"/>
          <w:i w:val="1"/>
          <w:iCs w:val="1"/>
          <w:color w:val="000000" w:themeColor="text1" w:themeTint="FF" w:themeShade="FF"/>
          <w:sz w:val="20"/>
          <w:szCs w:val="20"/>
        </w:rPr>
        <w:t>co</w:t>
      </w:r>
      <w:r w:rsidRPr="0D888D6B" w:rsidR="0D888D6B">
        <w:rPr>
          <w:rFonts w:ascii="Palatino Linotype" w:hAnsi="Palatino Linotype"/>
          <w:i w:val="1"/>
          <w:iCs w:val="1"/>
          <w:color w:val="000000" w:themeColor="text1" w:themeTint="FF" w:themeShade="FF"/>
          <w:sz w:val="20"/>
          <w:szCs w:val="20"/>
        </w:rPr>
        <w:t xml:space="preserve"> a la fecha y los contratos realizados entre las partes Agenda de los servidores públicos de noviembre de 2021 a la fecha" (Sic)</w:t>
      </w:r>
    </w:p>
    <w:p w:rsidRPr="004857FD" w:rsidR="007E4927" w:rsidP="00147516" w:rsidRDefault="007E4927" w14:paraId="2AB562D4" w14:textId="77777777">
      <w:pPr>
        <w:pStyle w:val="Prrafodelista"/>
        <w:tabs>
          <w:tab w:val="left" w:pos="567"/>
        </w:tabs>
        <w:spacing w:line="360" w:lineRule="auto"/>
        <w:ind w:left="567" w:right="539"/>
        <w:jc w:val="both"/>
        <w:rPr>
          <w:rFonts w:ascii="Palatino Linotype" w:hAnsi="Palatino Linotype"/>
          <w:i/>
          <w:iCs/>
          <w:color w:val="000000"/>
          <w:sz w:val="20"/>
          <w:szCs w:val="20"/>
        </w:rPr>
      </w:pPr>
    </w:p>
    <w:p w:rsidRPr="004857FD" w:rsidR="00E35DF9" w:rsidP="00147516" w:rsidRDefault="00E35DF9" w14:paraId="0B9D2F31" w14:textId="77777777">
      <w:pPr>
        <w:pStyle w:val="Prrafodelista"/>
        <w:tabs>
          <w:tab w:val="left" w:pos="567"/>
        </w:tabs>
        <w:spacing w:line="360" w:lineRule="auto"/>
        <w:ind w:left="567" w:right="539"/>
        <w:jc w:val="both"/>
        <w:rPr>
          <w:rFonts w:ascii="Palatino Linotype" w:hAnsi="Palatino Linotype" w:cs="Tahoma"/>
          <w:b/>
          <w:sz w:val="20"/>
          <w:szCs w:val="22"/>
        </w:rPr>
      </w:pPr>
      <w:r w:rsidRPr="004857FD">
        <w:rPr>
          <w:rFonts w:ascii="Palatino Linotype" w:hAnsi="Palatino Linotype" w:cs="Tahoma"/>
          <w:b/>
          <w:sz w:val="20"/>
          <w:szCs w:val="22"/>
        </w:rPr>
        <w:t>MODALIDAD DE ENTREGA</w:t>
      </w:r>
    </w:p>
    <w:p w:rsidRPr="004857FD" w:rsidR="00E35DF9" w:rsidP="00147516" w:rsidRDefault="007E4927" w14:paraId="28282BEA" w14:textId="77777777">
      <w:pPr>
        <w:pStyle w:val="Prrafodelista"/>
        <w:tabs>
          <w:tab w:val="left" w:pos="567"/>
        </w:tabs>
        <w:spacing w:line="360" w:lineRule="auto"/>
        <w:ind w:left="567" w:right="539"/>
        <w:jc w:val="both"/>
        <w:rPr>
          <w:rFonts w:ascii="Palatino Linotype" w:hAnsi="Palatino Linotype" w:cs="Tahoma"/>
          <w:i/>
          <w:sz w:val="20"/>
          <w:szCs w:val="22"/>
        </w:rPr>
      </w:pPr>
      <w:r w:rsidRPr="004857FD">
        <w:rPr>
          <w:rFonts w:ascii="Palatino Linotype" w:hAnsi="Palatino Linotype" w:cs="Tahoma"/>
          <w:i/>
          <w:sz w:val="20"/>
          <w:szCs w:val="22"/>
        </w:rPr>
        <w:t>“</w:t>
      </w:r>
      <w:r w:rsidRPr="004857FD" w:rsidR="009D6672">
        <w:rPr>
          <w:rFonts w:ascii="Palatino Linotype" w:hAnsi="Palatino Linotype" w:cs="Tahoma"/>
          <w:i/>
          <w:sz w:val="20"/>
          <w:szCs w:val="22"/>
        </w:rPr>
        <w:t>A través del SAIMEX</w:t>
      </w:r>
      <w:r w:rsidRPr="004857FD">
        <w:rPr>
          <w:rFonts w:ascii="Palatino Linotype" w:hAnsi="Palatino Linotype" w:cs="Tahoma"/>
          <w:i/>
          <w:sz w:val="20"/>
          <w:szCs w:val="22"/>
        </w:rPr>
        <w:t>”</w:t>
      </w:r>
    </w:p>
    <w:p w:rsidRPr="004857FD" w:rsidR="00750C77" w:rsidP="00147516" w:rsidRDefault="00750C77" w14:paraId="17634FE5" w14:textId="0F7E014F">
      <w:pPr>
        <w:pStyle w:val="Prrafodelista"/>
        <w:tabs>
          <w:tab w:val="left" w:pos="567"/>
        </w:tabs>
        <w:spacing w:line="360" w:lineRule="auto"/>
        <w:ind w:left="0"/>
        <w:jc w:val="both"/>
        <w:rPr>
          <w:rFonts w:ascii="Palatino Linotype" w:hAnsi="Palatino Linotype" w:cs="Tahoma"/>
          <w:szCs w:val="20"/>
        </w:rPr>
      </w:pPr>
    </w:p>
    <w:p w:rsidRPr="004857FD" w:rsidR="00681D84" w:rsidP="00147516" w:rsidRDefault="003C4EA1" w14:paraId="57FCB4D2" w14:textId="35F8A827">
      <w:pPr>
        <w:pStyle w:val="Prrafodelista"/>
        <w:tabs>
          <w:tab w:val="left" w:pos="567"/>
        </w:tabs>
        <w:spacing w:line="360" w:lineRule="auto"/>
        <w:ind w:left="0"/>
        <w:contextualSpacing w:val="0"/>
        <w:jc w:val="both"/>
        <w:rPr>
          <w:rFonts w:ascii="Palatino Linotype" w:hAnsi="Palatino Linotype" w:cs="Tahoma"/>
          <w:b/>
          <w:szCs w:val="22"/>
        </w:rPr>
      </w:pPr>
      <w:r w:rsidRPr="004857FD">
        <w:rPr>
          <w:rFonts w:ascii="Palatino Linotype" w:hAnsi="Palatino Linotype" w:cs="Tahoma"/>
          <w:b/>
        </w:rPr>
        <w:t xml:space="preserve">II. </w:t>
      </w:r>
      <w:r w:rsidRPr="004857FD" w:rsidR="00681D84">
        <w:rPr>
          <w:rFonts w:ascii="Palatino Linotype" w:hAnsi="Palatino Linotype" w:cs="Tahoma"/>
          <w:b/>
          <w:szCs w:val="22"/>
        </w:rPr>
        <w:t>Respuesta del Sujeto Obligado.</w:t>
      </w:r>
    </w:p>
    <w:p w:rsidRPr="004857FD" w:rsidR="00E0128F" w:rsidP="00147516" w:rsidRDefault="00E0128F" w14:paraId="14B1B1B6" w14:textId="77777777">
      <w:pPr>
        <w:pStyle w:val="Prrafodelista"/>
        <w:tabs>
          <w:tab w:val="left" w:pos="567"/>
        </w:tabs>
        <w:spacing w:line="360" w:lineRule="auto"/>
        <w:ind w:left="0"/>
        <w:jc w:val="both"/>
        <w:rPr>
          <w:rFonts w:ascii="Palatino Linotype" w:hAnsi="Palatino Linotype" w:cs="Tahoma"/>
          <w:b/>
          <w:sz w:val="20"/>
          <w:szCs w:val="22"/>
        </w:rPr>
      </w:pPr>
    </w:p>
    <w:p w:rsidRPr="004857FD" w:rsidR="003C4EA1" w:rsidP="00147516" w:rsidRDefault="00681D84" w14:paraId="53102A3C" w14:textId="792064AA">
      <w:pPr>
        <w:autoSpaceDE w:val="0"/>
        <w:autoSpaceDN w:val="0"/>
        <w:adjustRightInd w:val="0"/>
        <w:spacing w:line="360" w:lineRule="auto"/>
        <w:contextualSpacing/>
        <w:jc w:val="both"/>
        <w:rPr>
          <w:rFonts w:ascii="Palatino Linotype" w:hAnsi="Palatino Linotype" w:cs="Tahoma"/>
          <w:sz w:val="22"/>
          <w:szCs w:val="22"/>
        </w:rPr>
      </w:pPr>
      <w:r w:rsidRPr="004857FD">
        <w:rPr>
          <w:rFonts w:ascii="Palatino Linotype" w:hAnsi="Palatino Linotype" w:cs="Tahoma"/>
          <w:sz w:val="22"/>
          <w:szCs w:val="22"/>
        </w:rPr>
        <w:t xml:space="preserve">Con fecha </w:t>
      </w:r>
      <w:r w:rsidRPr="004857FD" w:rsidR="00D82DF3">
        <w:rPr>
          <w:rFonts w:ascii="Palatino Linotype" w:hAnsi="Palatino Linotype" w:cs="Tahoma"/>
          <w:sz w:val="22"/>
          <w:szCs w:val="22"/>
        </w:rPr>
        <w:t xml:space="preserve">veintitrés </w:t>
      </w:r>
      <w:r w:rsidRPr="004857FD" w:rsidR="003C4EA1">
        <w:rPr>
          <w:rFonts w:ascii="Palatino Linotype" w:hAnsi="Palatino Linotype" w:cs="Tahoma"/>
          <w:sz w:val="22"/>
          <w:szCs w:val="22"/>
        </w:rPr>
        <w:t xml:space="preserve">de septiembre </w:t>
      </w:r>
      <w:r w:rsidRPr="004857FD" w:rsidR="00B71F2C">
        <w:rPr>
          <w:rFonts w:ascii="Palatino Linotype" w:hAnsi="Palatino Linotype" w:cs="Tahoma"/>
          <w:sz w:val="22"/>
          <w:szCs w:val="22"/>
        </w:rPr>
        <w:t>de dos mil veintidós</w:t>
      </w:r>
      <w:r w:rsidRPr="004857FD">
        <w:rPr>
          <w:rFonts w:ascii="Palatino Linotype" w:hAnsi="Palatino Linotype" w:cs="Tahoma"/>
          <w:sz w:val="22"/>
          <w:szCs w:val="22"/>
        </w:rPr>
        <w:t xml:space="preserve">, </w:t>
      </w:r>
      <w:r w:rsidRPr="004857FD" w:rsidR="00D74B06">
        <w:rPr>
          <w:rFonts w:ascii="Palatino Linotype" w:hAnsi="Palatino Linotype" w:cs="Tahoma"/>
          <w:sz w:val="22"/>
          <w:szCs w:val="22"/>
        </w:rPr>
        <w:t xml:space="preserve">el Sujeto Obligado </w:t>
      </w:r>
      <w:r w:rsidRPr="004857FD" w:rsidR="008453FA">
        <w:rPr>
          <w:rFonts w:ascii="Palatino Linotype" w:hAnsi="Palatino Linotype" w:cs="Tahoma"/>
          <w:sz w:val="22"/>
          <w:szCs w:val="22"/>
        </w:rPr>
        <w:t>otorgó respuesta a través del Sistema de Acceso a la Información Mexiquense (SAIMEX) en</w:t>
      </w:r>
      <w:r w:rsidRPr="004857FD" w:rsidR="00815DA9">
        <w:rPr>
          <w:rFonts w:ascii="Palatino Linotype" w:hAnsi="Palatino Linotype" w:cs="Tahoma"/>
          <w:sz w:val="22"/>
          <w:szCs w:val="22"/>
        </w:rPr>
        <w:t xml:space="preserve"> la que adjuntó</w:t>
      </w:r>
      <w:r w:rsidRPr="004857FD" w:rsidR="003C4EA1">
        <w:rPr>
          <w:rFonts w:ascii="Palatino Linotype" w:hAnsi="Palatino Linotype" w:cs="Tahoma"/>
          <w:sz w:val="22"/>
          <w:szCs w:val="22"/>
        </w:rPr>
        <w:t xml:space="preserve"> los siguientes archivos:</w:t>
      </w:r>
    </w:p>
    <w:p w:rsidRPr="004857FD" w:rsidR="00900E64" w:rsidP="00147516" w:rsidRDefault="00900E64" w14:paraId="259A5D04" w14:textId="77777777">
      <w:pPr>
        <w:autoSpaceDE w:val="0"/>
        <w:autoSpaceDN w:val="0"/>
        <w:adjustRightInd w:val="0"/>
        <w:spacing w:line="360" w:lineRule="auto"/>
        <w:contextualSpacing/>
        <w:jc w:val="both"/>
        <w:rPr>
          <w:rFonts w:ascii="Palatino Linotype" w:hAnsi="Palatino Linotype" w:cs="Tahoma"/>
          <w:sz w:val="22"/>
          <w:szCs w:val="22"/>
        </w:rPr>
      </w:pPr>
    </w:p>
    <w:p w:rsidRPr="004857FD" w:rsidR="00D82DF3" w:rsidP="00D82DF3" w:rsidRDefault="00D82DF3" w14:paraId="3BFB80AE" w14:textId="189244DB">
      <w:pPr>
        <w:pStyle w:val="Prrafodelista"/>
        <w:numPr>
          <w:ilvl w:val="0"/>
          <w:numId w:val="33"/>
        </w:numPr>
        <w:autoSpaceDE w:val="0"/>
        <w:autoSpaceDN w:val="0"/>
        <w:adjustRightInd w:val="0"/>
        <w:spacing w:line="360" w:lineRule="auto"/>
        <w:jc w:val="both"/>
        <w:rPr>
          <w:rFonts w:ascii="Palatino Linotype" w:hAnsi="Palatino Linotype" w:cs="Tahoma"/>
          <w:szCs w:val="22"/>
        </w:rPr>
      </w:pPr>
      <w:r w:rsidRPr="004857FD">
        <w:rPr>
          <w:rFonts w:ascii="Palatino Linotype" w:hAnsi="Palatino Linotype" w:cs="Tahoma"/>
          <w:b/>
          <w:i/>
          <w:szCs w:val="22"/>
        </w:rPr>
        <w:t xml:space="preserve">20220923153027374.pdf; </w:t>
      </w:r>
      <w:r w:rsidRPr="004857FD">
        <w:rPr>
          <w:rFonts w:ascii="Palatino Linotype" w:hAnsi="Palatino Linotype" w:cs="Tahoma"/>
          <w:szCs w:val="22"/>
        </w:rPr>
        <w:t>El archivo contiene un oficio suscrito por la Titular de la Unidad de Transparencia por medio del cual hace llegar al Particular las respuesta proporcionadas por los servidores públicos habilitados.</w:t>
      </w:r>
    </w:p>
    <w:p w:rsidRPr="004857FD" w:rsidR="00D82DF3" w:rsidP="00D82DF3" w:rsidRDefault="00D82DF3" w14:paraId="39DBFCE3" w14:textId="77777777">
      <w:pPr>
        <w:pStyle w:val="Prrafodelista"/>
        <w:autoSpaceDE w:val="0"/>
        <w:autoSpaceDN w:val="0"/>
        <w:adjustRightInd w:val="0"/>
        <w:spacing w:line="360" w:lineRule="auto"/>
        <w:jc w:val="both"/>
        <w:rPr>
          <w:rFonts w:ascii="Palatino Linotype" w:hAnsi="Palatino Linotype" w:cs="Tahoma"/>
          <w:szCs w:val="22"/>
        </w:rPr>
      </w:pPr>
    </w:p>
    <w:p w:rsidRPr="004857FD" w:rsidR="00D82DF3" w:rsidP="00D82DF3" w:rsidRDefault="00D82DF3" w14:paraId="3A845560" w14:textId="38638C0F">
      <w:pPr>
        <w:pStyle w:val="Prrafodelista"/>
        <w:numPr>
          <w:ilvl w:val="0"/>
          <w:numId w:val="33"/>
        </w:numPr>
        <w:autoSpaceDE w:val="0"/>
        <w:autoSpaceDN w:val="0"/>
        <w:adjustRightInd w:val="0"/>
        <w:spacing w:line="360" w:lineRule="auto"/>
        <w:jc w:val="both"/>
        <w:rPr>
          <w:rFonts w:ascii="Palatino Linotype" w:hAnsi="Palatino Linotype" w:cs="Tahoma"/>
          <w:szCs w:val="22"/>
        </w:rPr>
      </w:pPr>
      <w:r w:rsidRPr="004857FD">
        <w:rPr>
          <w:rFonts w:ascii="Palatino Linotype" w:hAnsi="Palatino Linotype" w:cs="Tahoma"/>
          <w:b/>
          <w:i/>
          <w:szCs w:val="22"/>
        </w:rPr>
        <w:t xml:space="preserve">finanzas 208.pdf; </w:t>
      </w:r>
      <w:r w:rsidRPr="004857FD">
        <w:rPr>
          <w:rFonts w:ascii="Palatino Linotype" w:hAnsi="Palatino Linotype" w:cs="Tahoma"/>
          <w:szCs w:val="22"/>
        </w:rPr>
        <w:t>El archivo corresponde a un oficio suscrito por la Directora de Recursos Materiales y Servicios en el que manifestó lo siguiente:</w:t>
      </w:r>
    </w:p>
    <w:p w:rsidRPr="004857FD" w:rsidR="00D82DF3" w:rsidP="00D82DF3" w:rsidRDefault="00D82DF3" w14:paraId="5E00DAD6" w14:textId="1C7AA252">
      <w:pPr>
        <w:autoSpaceDE w:val="0"/>
        <w:autoSpaceDN w:val="0"/>
        <w:adjustRightInd w:val="0"/>
        <w:spacing w:line="360" w:lineRule="auto"/>
        <w:ind w:left="567" w:right="539"/>
        <w:contextualSpacing/>
        <w:jc w:val="both"/>
        <w:rPr>
          <w:rFonts w:ascii="Palatino Linotype" w:hAnsi="Palatino Linotype" w:cs="Tahoma"/>
          <w:i/>
          <w:szCs w:val="22"/>
        </w:rPr>
      </w:pPr>
      <w:r w:rsidRPr="004857FD">
        <w:rPr>
          <w:rFonts w:ascii="Palatino Linotype" w:hAnsi="Palatino Linotype" w:cs="Tahoma"/>
          <w:i/>
          <w:szCs w:val="22"/>
        </w:rPr>
        <w:t>“…</w:t>
      </w:r>
    </w:p>
    <w:p w:rsidRPr="004857FD" w:rsidR="00D82DF3" w:rsidP="00D82DF3" w:rsidRDefault="00D82DF3" w14:paraId="27B1F563" w14:textId="5958D468">
      <w:pPr>
        <w:autoSpaceDE w:val="0"/>
        <w:autoSpaceDN w:val="0"/>
        <w:adjustRightInd w:val="0"/>
        <w:spacing w:line="360" w:lineRule="auto"/>
        <w:ind w:left="567" w:right="539"/>
        <w:contextualSpacing/>
        <w:jc w:val="both"/>
        <w:rPr>
          <w:rFonts w:ascii="Palatino Linotype" w:hAnsi="Palatino Linotype" w:cs="Tahoma"/>
          <w:i/>
          <w:szCs w:val="22"/>
        </w:rPr>
      </w:pPr>
      <w:r w:rsidRPr="004857FD">
        <w:rPr>
          <w:rFonts w:ascii="Palatino Linotype" w:hAnsi="Palatino Linotype" w:cs="Tahoma"/>
          <w:i/>
          <w:szCs w:val="22"/>
        </w:rPr>
        <w:t>En lo relativo al Padrón de proveedores la información correspondiente puede ser consultada en el siguiente link:</w:t>
      </w:r>
    </w:p>
    <w:p w:rsidRPr="004857FD" w:rsidR="00D82DF3" w:rsidP="00D82DF3" w:rsidRDefault="00D82DF3" w14:paraId="4EC43612" w14:textId="77777777">
      <w:pPr>
        <w:autoSpaceDE w:val="0"/>
        <w:autoSpaceDN w:val="0"/>
        <w:adjustRightInd w:val="0"/>
        <w:spacing w:line="360" w:lineRule="auto"/>
        <w:ind w:left="567" w:right="539"/>
        <w:contextualSpacing/>
        <w:jc w:val="both"/>
        <w:rPr>
          <w:rFonts w:ascii="Palatino Linotype" w:hAnsi="Palatino Linotype" w:cs="Tahoma"/>
          <w:i/>
          <w:szCs w:val="22"/>
        </w:rPr>
      </w:pPr>
    </w:p>
    <w:p w:rsidRPr="004857FD" w:rsidR="00D82DF3" w:rsidP="00D82DF3" w:rsidRDefault="004857FD" w14:paraId="585B3C96" w14:textId="0E5610F5">
      <w:pPr>
        <w:autoSpaceDE w:val="0"/>
        <w:autoSpaceDN w:val="0"/>
        <w:adjustRightInd w:val="0"/>
        <w:spacing w:line="360" w:lineRule="auto"/>
        <w:ind w:left="567" w:right="539"/>
        <w:contextualSpacing/>
        <w:jc w:val="both"/>
        <w:rPr>
          <w:rFonts w:ascii="Palatino Linotype" w:hAnsi="Palatino Linotype" w:cs="Tahoma"/>
          <w:i/>
          <w:szCs w:val="22"/>
        </w:rPr>
      </w:pPr>
      <w:hyperlink w:history="1" r:id="rId8">
        <w:r w:rsidRPr="004857FD" w:rsidR="00564106">
          <w:rPr>
            <w:rStyle w:val="Hipervnculo"/>
            <w:rFonts w:ascii="Palatino Linotype" w:hAnsi="Palatino Linotype" w:cs="Tahoma"/>
            <w:i/>
            <w:szCs w:val="22"/>
          </w:rPr>
          <w:t>https://ipomex.org.mx/ipo3/lgt/indice/CODHEM/art_92_xxxvi.web?token=03ANYolgsbPYqy9bDi7d1TuXZW-WUynMPw0Y0ZblNCXzXHB7-K5qnqQJUbc63qQzd2utx5oD6WgbxcHwHA9S-EBozpd7EJknMvmFVcDl98TpPVjhAy0dzHli70FZDt4hwX9ljVm7FMOfiwbvkFhNLV0wFHVgkdZkijUVoK0WjoZVIKJ0YGURZg-KPWp6FOBFXoMeK46cXxHj_65AVF4KCVEbdHcqqtGiA9jVNVts6xrvvleyi6KdCxsvMjFl_H9</w:t>
        </w:r>
        <w:r w:rsidRPr="004857FD" w:rsidR="00564106">
          <w:rPr>
            <w:rStyle w:val="Hipervnculo"/>
            <w:rFonts w:ascii="Palatino Linotype" w:hAnsi="Palatino Linotype" w:cs="Tahoma"/>
            <w:i/>
            <w:szCs w:val="22"/>
          </w:rPr>
          <w:lastRenderedPageBreak/>
          <w:t>M46UWJzuaF3tnP2XWzhCToDvUGXzwf4rlZLD-afcHSkzVU3ajxP0x_MKxON8UPDFqKEEakYKgCSXjCQ_FDgLzKyM6x3NueBaLYIDgIA9QqAHXglbZinmyJP6pBQIJ5xLyLMuJgdNfjaQxpg2AB8os%PoWM6FDeG0BiM8wVxmlJ-hpcG5EmKn7OReCc/NA9d5ZSi2-93tBgeH2WBT4Z2oSVRR-RE18vf2mdy7XV92BI1FxGJW1XxQYLgOlGkjGNaqiEKxHipGL63</w:t>
        </w:r>
      </w:hyperlink>
      <w:r w:rsidRPr="004857FD" w:rsidR="00564106">
        <w:rPr>
          <w:rFonts w:ascii="Palatino Linotype" w:hAnsi="Palatino Linotype" w:cs="Tahoma"/>
          <w:i/>
          <w:szCs w:val="22"/>
        </w:rPr>
        <w:t xml:space="preserve"> </w:t>
      </w:r>
    </w:p>
    <w:p w:rsidRPr="004857FD" w:rsidR="00D82DF3" w:rsidP="00D82DF3" w:rsidRDefault="00D82DF3" w14:paraId="3F301D7C" w14:textId="77777777">
      <w:pPr>
        <w:autoSpaceDE w:val="0"/>
        <w:autoSpaceDN w:val="0"/>
        <w:adjustRightInd w:val="0"/>
        <w:spacing w:line="360" w:lineRule="auto"/>
        <w:ind w:left="567" w:right="539"/>
        <w:contextualSpacing/>
        <w:jc w:val="both"/>
        <w:rPr>
          <w:rFonts w:ascii="Palatino Linotype" w:hAnsi="Palatino Linotype" w:cs="Tahoma"/>
          <w:i/>
          <w:szCs w:val="22"/>
        </w:rPr>
      </w:pPr>
    </w:p>
    <w:p w:rsidRPr="004857FD" w:rsidR="00D82DF3" w:rsidP="00D82DF3" w:rsidRDefault="00564106" w14:paraId="33E7F377" w14:textId="4A672938">
      <w:pPr>
        <w:autoSpaceDE w:val="0"/>
        <w:autoSpaceDN w:val="0"/>
        <w:adjustRightInd w:val="0"/>
        <w:spacing w:line="360" w:lineRule="auto"/>
        <w:ind w:left="567" w:right="539"/>
        <w:contextualSpacing/>
        <w:jc w:val="both"/>
        <w:rPr>
          <w:rFonts w:ascii="Palatino Linotype" w:hAnsi="Palatino Linotype" w:cs="Tahoma"/>
          <w:i/>
          <w:szCs w:val="22"/>
        </w:rPr>
      </w:pPr>
      <w:r w:rsidRPr="004857FD">
        <w:rPr>
          <w:rFonts w:ascii="Palatino Linotype" w:hAnsi="Palatino Linotype" w:cs="Tahoma"/>
          <w:i/>
          <w:szCs w:val="22"/>
        </w:rPr>
        <w:t>En atención al siguiente punto:</w:t>
      </w:r>
    </w:p>
    <w:p w:rsidRPr="004857FD" w:rsidR="00564106" w:rsidP="00D82DF3" w:rsidRDefault="00564106" w14:paraId="72A5268D" w14:textId="4FFF39B5">
      <w:pPr>
        <w:autoSpaceDE w:val="0"/>
        <w:autoSpaceDN w:val="0"/>
        <w:adjustRightInd w:val="0"/>
        <w:spacing w:line="360" w:lineRule="auto"/>
        <w:ind w:left="567" w:right="539"/>
        <w:contextualSpacing/>
        <w:jc w:val="both"/>
        <w:rPr>
          <w:rFonts w:ascii="Palatino Linotype" w:hAnsi="Palatino Linotype" w:cs="Tahoma"/>
          <w:b/>
          <w:i/>
          <w:szCs w:val="22"/>
        </w:rPr>
      </w:pPr>
      <w:r w:rsidRPr="004857FD">
        <w:rPr>
          <w:rFonts w:ascii="Palatino Linotype" w:hAnsi="Palatino Linotype" w:cs="Tahoma"/>
          <w:i/>
          <w:szCs w:val="22"/>
        </w:rPr>
        <w:t>“</w:t>
      </w:r>
      <w:r w:rsidRPr="004857FD">
        <w:rPr>
          <w:rFonts w:ascii="Palatino Linotype" w:hAnsi="Palatino Linotype" w:cs="Tahoma"/>
          <w:b/>
          <w:i/>
          <w:szCs w:val="22"/>
        </w:rPr>
        <w:t>y los contratos realizados entre las partes”</w:t>
      </w:r>
    </w:p>
    <w:p w:rsidRPr="004857FD" w:rsidR="00564106" w:rsidP="00D82DF3" w:rsidRDefault="00564106" w14:paraId="0D55B231" w14:textId="77777777">
      <w:pPr>
        <w:autoSpaceDE w:val="0"/>
        <w:autoSpaceDN w:val="0"/>
        <w:adjustRightInd w:val="0"/>
        <w:spacing w:line="360" w:lineRule="auto"/>
        <w:ind w:left="567" w:right="539"/>
        <w:contextualSpacing/>
        <w:jc w:val="both"/>
        <w:rPr>
          <w:rFonts w:ascii="Palatino Linotype" w:hAnsi="Palatino Linotype" w:cs="Tahoma"/>
          <w:b/>
          <w:i/>
          <w:szCs w:val="22"/>
        </w:rPr>
      </w:pPr>
    </w:p>
    <w:p w:rsidRPr="004857FD" w:rsidR="00564106" w:rsidP="00D82DF3" w:rsidRDefault="00564106" w14:paraId="2BA1C8AF" w14:textId="7FE89C80">
      <w:pPr>
        <w:autoSpaceDE w:val="0"/>
        <w:autoSpaceDN w:val="0"/>
        <w:adjustRightInd w:val="0"/>
        <w:spacing w:line="360" w:lineRule="auto"/>
        <w:ind w:left="567" w:right="539"/>
        <w:contextualSpacing/>
        <w:jc w:val="both"/>
        <w:rPr>
          <w:rFonts w:ascii="Palatino Linotype" w:hAnsi="Palatino Linotype" w:cs="Tahoma"/>
          <w:i/>
          <w:szCs w:val="22"/>
        </w:rPr>
      </w:pPr>
      <w:r w:rsidRPr="004857FD">
        <w:rPr>
          <w:rFonts w:ascii="Palatino Linotype" w:hAnsi="Palatino Linotype" w:cs="Tahoma"/>
          <w:i/>
          <w:szCs w:val="22"/>
        </w:rPr>
        <w:t>Se puede consultar en las siguientes ligas:</w:t>
      </w:r>
    </w:p>
    <w:p w:rsidRPr="004857FD" w:rsidR="00564106" w:rsidP="00D82DF3" w:rsidRDefault="004857FD" w14:paraId="19C8D443" w14:textId="0EC77D62">
      <w:pPr>
        <w:autoSpaceDE w:val="0"/>
        <w:autoSpaceDN w:val="0"/>
        <w:adjustRightInd w:val="0"/>
        <w:spacing w:line="360" w:lineRule="auto"/>
        <w:ind w:left="567" w:right="539"/>
        <w:contextualSpacing/>
        <w:jc w:val="both"/>
        <w:rPr>
          <w:rFonts w:ascii="Palatino Linotype" w:hAnsi="Palatino Linotype" w:cs="Tahoma"/>
          <w:i/>
          <w:szCs w:val="22"/>
        </w:rPr>
      </w:pPr>
      <w:hyperlink w:history="1" r:id="rId9">
        <w:r w:rsidRPr="004857FD" w:rsidR="00902B2D">
          <w:rPr>
            <w:rStyle w:val="Hipervnculo"/>
            <w:rFonts w:ascii="Palatino Linotype" w:hAnsi="Palatino Linotype" w:cs="Tahoma"/>
            <w:i/>
            <w:szCs w:val="22"/>
          </w:rPr>
          <w:t>https://ipomex.org.mx/ipo3/lgt/indice/CODHEM/art_92_xxix_a.web?token=03Allukzi4gGUMcC7jM5tWOk_Nd-3OodTfVzZ3YKGmRtH0Gf2To9dEggPnB7rTWc7Htmlli03CMQRjPF2p&amp;-MsrwiqGdlTTVJbe55m35T-cZT_Lhjejwya6tel-HY4FCLnrxKlg9pbH80NgM6FW7l5_87nJr9dY-Jm0Ke_34Lf1ut8nNUNF3E9DXAXpH12Ad382Cz9pcxGaFhpR56gJYO30KF91_FOW-gsVHVRnA8eZkEBXcv-DHz_ke9OtjRWqEwi4mdyO54vExPNm02pfp2AR23awVO1TOC6H0ggA4IJ81N-W6SCz9R9hWoSiA-y46XceiNus0aezRqRJvXWgb_LBkBDBy6Jnn8UHxj2A_KpmP2X8PofVJJicMG6FwPoUlgLAjKsadNe_eQwuAsLj6cl5Upxv8H8ZHhGuEwnEFcD4WQ1bm6oU_PXI5HJJTj08Cc13UstdiNg41kv4TLdVcvfLDBtUxrV8GXWMbEtrhyzas-1kuhMKtCkloXS2LdjjaXwmsAjSVS7pV8RTmBaHm04eMTXr3reyw</w:t>
        </w:r>
      </w:hyperlink>
      <w:r w:rsidRPr="004857FD" w:rsidR="00902B2D">
        <w:rPr>
          <w:rFonts w:ascii="Palatino Linotype" w:hAnsi="Palatino Linotype" w:cs="Tahoma"/>
          <w:i/>
          <w:szCs w:val="22"/>
        </w:rPr>
        <w:t xml:space="preserve"> </w:t>
      </w:r>
    </w:p>
    <w:p w:rsidRPr="004857FD" w:rsidR="00902B2D" w:rsidP="00D82DF3" w:rsidRDefault="00902B2D" w14:paraId="07C9F8C2" w14:textId="77777777">
      <w:pPr>
        <w:autoSpaceDE w:val="0"/>
        <w:autoSpaceDN w:val="0"/>
        <w:adjustRightInd w:val="0"/>
        <w:spacing w:line="360" w:lineRule="auto"/>
        <w:ind w:left="567" w:right="539"/>
        <w:contextualSpacing/>
        <w:jc w:val="both"/>
        <w:rPr>
          <w:rFonts w:ascii="Palatino Linotype" w:hAnsi="Palatino Linotype" w:cs="Tahoma"/>
          <w:i/>
          <w:szCs w:val="22"/>
        </w:rPr>
      </w:pPr>
    </w:p>
    <w:p w:rsidRPr="004857FD" w:rsidR="00902B2D" w:rsidP="00D82DF3" w:rsidRDefault="004857FD" w14:paraId="6A58E90A" w14:textId="4320DA03">
      <w:pPr>
        <w:autoSpaceDE w:val="0"/>
        <w:autoSpaceDN w:val="0"/>
        <w:adjustRightInd w:val="0"/>
        <w:spacing w:line="360" w:lineRule="auto"/>
        <w:ind w:left="567" w:right="539"/>
        <w:contextualSpacing/>
        <w:jc w:val="both"/>
        <w:rPr>
          <w:rFonts w:ascii="Palatino Linotype" w:hAnsi="Palatino Linotype" w:cs="Tahoma"/>
          <w:i/>
          <w:szCs w:val="22"/>
        </w:rPr>
      </w:pPr>
      <w:hyperlink w:history="1" r:id="rId10">
        <w:r w:rsidRPr="004857FD" w:rsidR="00902B2D">
          <w:rPr>
            <w:rStyle w:val="Hipervnculo"/>
            <w:rFonts w:ascii="Palatino Linotype" w:hAnsi="Palatino Linotype" w:cs="Tahoma"/>
            <w:i/>
            <w:szCs w:val="22"/>
          </w:rPr>
          <w:t>https://ipomex.org.mx/ipo3/lgt/indice/CODHEM/art_92_xxix_b.web?token=03AFY_a8XV5XPCsncoE1cgT_0uzOTe0tV7iWJlBoGEW-AghAOnc7_Ge8SsR9XSn2R1z7JFrvvZ60nvg_M5Upra0KZ99f5jhG4dKmXVxb8xKIQR9WuajzpAc16hOkxHupEKsiB6BM9dvgGCj2cn2EHAHoxBUKUu5utAjc_iTBaekJCotn_pfmlmh22KY7a1mlslMd7UICfMjKvx62NunxZSKjNwjP5NYHpckluL2tBuyAkPA4wK5WI7NKqqJLsYOSHAXdYmfIXQTlY3-PMeW-A62PdcX_GeD_g4eg-EKtQTLq7zkBl3Y9fdt-tUd3hYzHmMTJFh6yNGOsXobHh4DJbNzaOGC9jXu7obp5do1XHafkaVcYtzWvRHYOHUsNuCqcAkVu1UC-ltjXdEQEGcvTVuNfa8m4dnIhYu82TRZz3ayVDCvYGz2BY--</w:t>
        </w:r>
        <w:r w:rsidRPr="004857FD" w:rsidR="00902B2D">
          <w:rPr>
            <w:rStyle w:val="Hipervnculo"/>
            <w:rFonts w:ascii="Palatino Linotype" w:hAnsi="Palatino Linotype" w:cs="Tahoma"/>
            <w:i/>
            <w:szCs w:val="22"/>
          </w:rPr>
          <w:lastRenderedPageBreak/>
          <w:t>SfQCBoYLzd8pIkJ69-GZ4ePQYkricrAjbnJBjTCP1YcH4yyDtalUTx6EvtQukLQhn_4DuC7T24c57_VU5n85xAR</w:t>
        </w:r>
      </w:hyperlink>
      <w:r w:rsidRPr="004857FD" w:rsidR="00902B2D">
        <w:rPr>
          <w:rFonts w:ascii="Palatino Linotype" w:hAnsi="Palatino Linotype" w:cs="Tahoma"/>
          <w:i/>
          <w:szCs w:val="22"/>
        </w:rPr>
        <w:t xml:space="preserve"> </w:t>
      </w:r>
    </w:p>
    <w:p w:rsidRPr="004857FD" w:rsidR="00902B2D" w:rsidP="00D82DF3" w:rsidRDefault="00902B2D" w14:paraId="5E58873F" w14:textId="77777777">
      <w:pPr>
        <w:autoSpaceDE w:val="0"/>
        <w:autoSpaceDN w:val="0"/>
        <w:adjustRightInd w:val="0"/>
        <w:spacing w:line="360" w:lineRule="auto"/>
        <w:ind w:left="567" w:right="539"/>
        <w:contextualSpacing/>
        <w:jc w:val="both"/>
        <w:rPr>
          <w:rFonts w:ascii="Palatino Linotype" w:hAnsi="Palatino Linotype" w:cs="Tahoma"/>
          <w:i/>
          <w:szCs w:val="22"/>
        </w:rPr>
      </w:pPr>
    </w:p>
    <w:p w:rsidRPr="004857FD" w:rsidR="00902B2D" w:rsidP="0D888D6B" w:rsidRDefault="003D2878" w14:paraId="054953C8" w14:textId="2D900AE7">
      <w:pPr>
        <w:autoSpaceDE w:val="0"/>
        <w:autoSpaceDN w:val="0"/>
        <w:adjustRightInd w:val="0"/>
        <w:spacing w:line="360" w:lineRule="auto"/>
        <w:ind w:left="567" w:right="539"/>
        <w:contextualSpacing/>
        <w:jc w:val="both"/>
        <w:rPr>
          <w:rFonts w:ascii="Palatino Linotype" w:hAnsi="Palatino Linotype" w:cs="Tahoma"/>
          <w:i w:val="1"/>
          <w:iCs w:val="1"/>
        </w:rPr>
      </w:pPr>
      <w:r w:rsidRPr="0D888D6B" w:rsidR="0D888D6B">
        <w:rPr>
          <w:rFonts w:ascii="Palatino Linotype" w:hAnsi="Palatino Linotype" w:cs="Tahoma"/>
          <w:i w:val="1"/>
          <w:iCs w:val="1"/>
        </w:rPr>
        <w:t xml:space="preserve">O bien, si se refiere a los contratos realizados entre la CODHEM y </w:t>
      </w:r>
      <w:r w:rsidRPr="0D888D6B" w:rsidR="0D888D6B">
        <w:rPr>
          <w:rFonts w:ascii="Palatino Linotype" w:hAnsi="Palatino Linotype" w:cs="Tahoma"/>
          <w:i w:val="1"/>
          <w:iCs w:val="1"/>
          <w:highlight w:val="black"/>
        </w:rPr>
        <w:t>XXXXXXXXXXXXXXXXXX</w:t>
      </w:r>
      <w:r w:rsidRPr="0D888D6B" w:rsidR="0D888D6B">
        <w:rPr>
          <w:rFonts w:ascii="Palatino Linotype" w:hAnsi="Palatino Linotype" w:cs="Tahoma"/>
          <w:i w:val="1"/>
          <w:iCs w:val="1"/>
        </w:rPr>
        <w:t xml:space="preserve"> no se tiene contrato alguno.</w:t>
      </w:r>
    </w:p>
    <w:p w:rsidRPr="004857FD" w:rsidR="00D82DF3" w:rsidP="00902B2D" w:rsidRDefault="00902B2D" w14:paraId="0F6FA3D4" w14:textId="4FD835D6">
      <w:pPr>
        <w:autoSpaceDE w:val="0"/>
        <w:autoSpaceDN w:val="0"/>
        <w:adjustRightInd w:val="0"/>
        <w:spacing w:line="360" w:lineRule="auto"/>
        <w:ind w:left="567" w:right="539"/>
        <w:contextualSpacing/>
        <w:jc w:val="both"/>
        <w:rPr>
          <w:rFonts w:ascii="Palatino Linotype" w:hAnsi="Palatino Linotype" w:cs="Tahoma"/>
          <w:sz w:val="22"/>
          <w:szCs w:val="22"/>
        </w:rPr>
      </w:pPr>
      <w:r w:rsidRPr="004857FD">
        <w:rPr>
          <w:rFonts w:ascii="Palatino Linotype" w:hAnsi="Palatino Linotype" w:cs="Tahoma"/>
          <w:i/>
          <w:szCs w:val="22"/>
        </w:rPr>
        <w:t>…”</w:t>
      </w:r>
    </w:p>
    <w:p w:rsidRPr="004857FD" w:rsidR="00D82DF3" w:rsidP="00D82DF3" w:rsidRDefault="00D82DF3" w14:paraId="61D83734" w14:textId="77777777">
      <w:pPr>
        <w:autoSpaceDE w:val="0"/>
        <w:autoSpaceDN w:val="0"/>
        <w:adjustRightInd w:val="0"/>
        <w:spacing w:line="360" w:lineRule="auto"/>
        <w:contextualSpacing/>
        <w:jc w:val="both"/>
        <w:rPr>
          <w:rFonts w:ascii="Palatino Linotype" w:hAnsi="Palatino Linotype" w:cs="Tahoma"/>
          <w:sz w:val="22"/>
          <w:szCs w:val="22"/>
        </w:rPr>
      </w:pPr>
    </w:p>
    <w:p w:rsidRPr="004857FD" w:rsidR="00D82DF3" w:rsidP="009E794F" w:rsidRDefault="00D82DF3" w14:paraId="01CC0644" w14:textId="77BB9F76">
      <w:pPr>
        <w:pStyle w:val="Prrafodelista"/>
        <w:numPr>
          <w:ilvl w:val="0"/>
          <w:numId w:val="34"/>
        </w:numPr>
        <w:autoSpaceDE w:val="0"/>
        <w:autoSpaceDN w:val="0"/>
        <w:adjustRightInd w:val="0"/>
        <w:spacing w:line="360" w:lineRule="auto"/>
        <w:jc w:val="both"/>
        <w:rPr>
          <w:rFonts w:ascii="Palatino Linotype" w:hAnsi="Palatino Linotype" w:cs="Tahoma"/>
          <w:szCs w:val="22"/>
        </w:rPr>
      </w:pPr>
      <w:r w:rsidRPr="004857FD">
        <w:rPr>
          <w:rFonts w:ascii="Palatino Linotype" w:hAnsi="Palatino Linotype" w:cs="Tahoma"/>
          <w:b/>
          <w:i/>
          <w:szCs w:val="22"/>
        </w:rPr>
        <w:t>RESPUESTA 00208 (3).pdf</w:t>
      </w:r>
      <w:r w:rsidRPr="004857FD" w:rsidR="00C204FC">
        <w:rPr>
          <w:rFonts w:ascii="Palatino Linotype" w:hAnsi="Palatino Linotype" w:cs="Tahoma"/>
          <w:b/>
          <w:i/>
          <w:szCs w:val="22"/>
        </w:rPr>
        <w:t xml:space="preserve">; </w:t>
      </w:r>
      <w:r w:rsidRPr="004857FD" w:rsidR="00C204FC">
        <w:rPr>
          <w:rFonts w:ascii="Palatino Linotype" w:hAnsi="Palatino Linotype" w:cs="Tahoma"/>
          <w:szCs w:val="22"/>
        </w:rPr>
        <w:t>E</w:t>
      </w:r>
      <w:r w:rsidRPr="004857FD" w:rsidR="009E794F">
        <w:rPr>
          <w:rFonts w:ascii="Palatino Linotype" w:hAnsi="Palatino Linotype" w:cs="Tahoma"/>
          <w:szCs w:val="22"/>
        </w:rPr>
        <w:t>l archivo contiene un oficio dirigido a la Titular de la Unidad de Transparencia en el que se le informó lo siguiente:</w:t>
      </w:r>
    </w:p>
    <w:p w:rsidRPr="004857FD" w:rsidR="009E794F" w:rsidP="009E794F" w:rsidRDefault="009E794F" w14:paraId="73E17BBB" w14:textId="4232980D">
      <w:pPr>
        <w:autoSpaceDE w:val="0"/>
        <w:autoSpaceDN w:val="0"/>
        <w:adjustRightInd w:val="0"/>
        <w:spacing w:line="360" w:lineRule="auto"/>
        <w:ind w:left="567" w:right="539"/>
        <w:contextualSpacing/>
        <w:jc w:val="both"/>
        <w:rPr>
          <w:rFonts w:ascii="Palatino Linotype" w:hAnsi="Palatino Linotype" w:cs="Tahoma"/>
          <w:i/>
          <w:szCs w:val="22"/>
        </w:rPr>
      </w:pPr>
      <w:r w:rsidRPr="004857FD">
        <w:rPr>
          <w:rFonts w:ascii="Palatino Linotype" w:hAnsi="Palatino Linotype" w:cs="Tahoma"/>
          <w:i/>
          <w:szCs w:val="22"/>
        </w:rPr>
        <w:t>“…</w:t>
      </w:r>
    </w:p>
    <w:p w:rsidRPr="004857FD" w:rsidR="009E794F" w:rsidP="009E794F" w:rsidRDefault="009E794F" w14:paraId="2C54BD88" w14:textId="3E81E136">
      <w:pPr>
        <w:autoSpaceDE w:val="0"/>
        <w:autoSpaceDN w:val="0"/>
        <w:adjustRightInd w:val="0"/>
        <w:spacing w:line="360" w:lineRule="auto"/>
        <w:ind w:left="567" w:right="539"/>
        <w:contextualSpacing/>
        <w:jc w:val="both"/>
        <w:rPr>
          <w:rFonts w:ascii="Palatino Linotype" w:hAnsi="Palatino Linotype" w:cs="Tahoma"/>
          <w:i/>
          <w:szCs w:val="22"/>
        </w:rPr>
      </w:pPr>
      <w:r w:rsidRPr="004857FD">
        <w:rPr>
          <w:rFonts w:ascii="Palatino Linotype" w:hAnsi="Palatino Linotype" w:cs="Tahoma"/>
          <w:i/>
          <w:szCs w:val="22"/>
        </w:rPr>
        <w:t>En lo concerniente a “…Agenda de los servidores públicos de noviembre de 2021 a la fecha…” se señala que la Agenda de reuniones correspondiente a este Organismo Público Autónomo se reporta en la siguiente liga, en la cual podrá consultar:</w:t>
      </w:r>
    </w:p>
    <w:p w:rsidRPr="004857FD" w:rsidR="009E794F" w:rsidP="009E794F" w:rsidRDefault="009E794F" w14:paraId="17A998F4" w14:textId="3D64616D">
      <w:pPr>
        <w:autoSpaceDE w:val="0"/>
        <w:autoSpaceDN w:val="0"/>
        <w:adjustRightInd w:val="0"/>
        <w:spacing w:line="360" w:lineRule="auto"/>
        <w:ind w:left="567" w:right="539"/>
        <w:contextualSpacing/>
        <w:jc w:val="both"/>
        <w:rPr>
          <w:rFonts w:ascii="Palatino Linotype" w:hAnsi="Palatino Linotype" w:cs="Tahoma"/>
          <w:i/>
          <w:szCs w:val="22"/>
        </w:rPr>
      </w:pPr>
      <w:r w:rsidRPr="004857FD">
        <w:rPr>
          <w:rFonts w:ascii="Palatino Linotype" w:hAnsi="Palatino Linotype" w:cs="Tahoma"/>
          <w:i/>
          <w:szCs w:val="22"/>
        </w:rPr>
        <w:t>…”</w:t>
      </w:r>
    </w:p>
    <w:p w:rsidRPr="004857FD" w:rsidR="00C204FC" w:rsidP="00D82DF3" w:rsidRDefault="00C204FC" w14:paraId="541E5056" w14:textId="77777777">
      <w:pPr>
        <w:autoSpaceDE w:val="0"/>
        <w:autoSpaceDN w:val="0"/>
        <w:adjustRightInd w:val="0"/>
        <w:spacing w:line="360" w:lineRule="auto"/>
        <w:contextualSpacing/>
        <w:jc w:val="both"/>
        <w:rPr>
          <w:rFonts w:ascii="Palatino Linotype" w:hAnsi="Palatino Linotype" w:cs="Tahoma"/>
          <w:b/>
          <w:i/>
          <w:sz w:val="22"/>
          <w:szCs w:val="22"/>
        </w:rPr>
      </w:pPr>
    </w:p>
    <w:p w:rsidRPr="004857FD" w:rsidR="00D82DF3" w:rsidP="009E794F" w:rsidRDefault="00D82DF3" w14:paraId="0B190FA3" w14:textId="416F1073">
      <w:pPr>
        <w:pStyle w:val="Prrafodelista"/>
        <w:numPr>
          <w:ilvl w:val="0"/>
          <w:numId w:val="34"/>
        </w:numPr>
        <w:autoSpaceDE w:val="0"/>
        <w:autoSpaceDN w:val="0"/>
        <w:adjustRightInd w:val="0"/>
        <w:spacing w:line="360" w:lineRule="auto"/>
        <w:jc w:val="both"/>
        <w:rPr>
          <w:rFonts w:ascii="Palatino Linotype" w:hAnsi="Palatino Linotype" w:cs="Tahoma"/>
          <w:szCs w:val="22"/>
        </w:rPr>
      </w:pPr>
      <w:r w:rsidRPr="004857FD">
        <w:rPr>
          <w:rFonts w:ascii="Palatino Linotype" w:hAnsi="Palatino Linotype" w:cs="Tahoma"/>
          <w:b/>
          <w:i/>
          <w:szCs w:val="22"/>
        </w:rPr>
        <w:t>Respuesta a Solicitud de Información 00208-CODHEM-IP-2022 (6).pdf</w:t>
      </w:r>
      <w:r w:rsidRPr="004857FD" w:rsidR="009E794F">
        <w:rPr>
          <w:rFonts w:ascii="Palatino Linotype" w:hAnsi="Palatino Linotype" w:cs="Tahoma"/>
          <w:b/>
          <w:i/>
          <w:szCs w:val="22"/>
        </w:rPr>
        <w:t xml:space="preserve">: </w:t>
      </w:r>
      <w:r w:rsidRPr="004857FD" w:rsidR="009E794F">
        <w:rPr>
          <w:rFonts w:ascii="Palatino Linotype" w:hAnsi="Palatino Linotype" w:cs="Tahoma"/>
          <w:szCs w:val="22"/>
        </w:rPr>
        <w:t>El archivo</w:t>
      </w:r>
      <w:r w:rsidRPr="004857FD" w:rsidR="009E794F">
        <w:rPr>
          <w:rFonts w:ascii="Palatino Linotype" w:hAnsi="Palatino Linotype" w:cs="Tahoma"/>
          <w:b/>
          <w:szCs w:val="22"/>
        </w:rPr>
        <w:t xml:space="preserve"> </w:t>
      </w:r>
      <w:r w:rsidRPr="004857FD" w:rsidR="009E794F">
        <w:rPr>
          <w:rFonts w:ascii="Palatino Linotype" w:hAnsi="Palatino Linotype" w:cs="Tahoma"/>
          <w:szCs w:val="22"/>
        </w:rPr>
        <w:t>corresponde a un oficio suscrito por la Servidora Pública Habilitada de la Unidad de Ética y prevención de la corrupción en el que en su parte medular señaló lo siguiente.</w:t>
      </w:r>
    </w:p>
    <w:p w:rsidRPr="004857FD" w:rsidR="009E794F" w:rsidP="00D82DF3" w:rsidRDefault="009E794F" w14:paraId="5CD6D44E" w14:textId="77777777">
      <w:pPr>
        <w:autoSpaceDE w:val="0"/>
        <w:autoSpaceDN w:val="0"/>
        <w:adjustRightInd w:val="0"/>
        <w:spacing w:line="360" w:lineRule="auto"/>
        <w:contextualSpacing/>
        <w:jc w:val="both"/>
        <w:rPr>
          <w:rFonts w:ascii="Palatino Linotype" w:hAnsi="Palatino Linotype" w:cs="Tahoma"/>
          <w:sz w:val="22"/>
          <w:szCs w:val="22"/>
        </w:rPr>
      </w:pPr>
    </w:p>
    <w:p w:rsidRPr="004857FD" w:rsidR="009E794F" w:rsidP="009E794F" w:rsidRDefault="009E794F" w14:paraId="5EE674A8" w14:textId="36B92965">
      <w:pPr>
        <w:autoSpaceDE w:val="0"/>
        <w:autoSpaceDN w:val="0"/>
        <w:adjustRightInd w:val="0"/>
        <w:spacing w:line="360" w:lineRule="auto"/>
        <w:ind w:left="567" w:right="539"/>
        <w:contextualSpacing/>
        <w:jc w:val="both"/>
        <w:rPr>
          <w:rFonts w:ascii="Palatino Linotype" w:hAnsi="Palatino Linotype" w:cs="Tahoma"/>
          <w:i/>
          <w:szCs w:val="22"/>
        </w:rPr>
      </w:pPr>
      <w:r w:rsidRPr="004857FD">
        <w:rPr>
          <w:rFonts w:ascii="Palatino Linotype" w:hAnsi="Palatino Linotype" w:cs="Tahoma"/>
          <w:i/>
          <w:szCs w:val="22"/>
        </w:rPr>
        <w:t>“…</w:t>
      </w:r>
    </w:p>
    <w:p w:rsidRPr="004857FD" w:rsidR="009E794F" w:rsidP="009E794F" w:rsidRDefault="009E794F" w14:paraId="7875EB6B" w14:textId="5A12365B">
      <w:pPr>
        <w:autoSpaceDE w:val="0"/>
        <w:autoSpaceDN w:val="0"/>
        <w:adjustRightInd w:val="0"/>
        <w:spacing w:line="360" w:lineRule="auto"/>
        <w:ind w:left="567" w:right="539"/>
        <w:contextualSpacing/>
        <w:jc w:val="both"/>
        <w:rPr>
          <w:rFonts w:ascii="Palatino Linotype" w:hAnsi="Palatino Linotype" w:cs="Tahoma"/>
          <w:i/>
          <w:szCs w:val="22"/>
        </w:rPr>
      </w:pPr>
      <w:r w:rsidRPr="004857FD">
        <w:rPr>
          <w:rFonts w:ascii="Palatino Linotype" w:hAnsi="Palatino Linotype" w:cs="Tahoma"/>
          <w:i/>
          <w:szCs w:val="22"/>
        </w:rPr>
        <w:t>Al respecto, se informa que a la fecha que se reporta la Unidad de Ética y Prevención de la Corrupción y el Comité y de Ética y de Prevención de Conflicto de Intereses, no han emitido observaciones.</w:t>
      </w:r>
    </w:p>
    <w:p w:rsidRPr="004857FD" w:rsidR="009E794F" w:rsidP="009E794F" w:rsidRDefault="009E794F" w14:paraId="7669F613" w14:textId="77777777">
      <w:pPr>
        <w:autoSpaceDE w:val="0"/>
        <w:autoSpaceDN w:val="0"/>
        <w:adjustRightInd w:val="0"/>
        <w:spacing w:line="360" w:lineRule="auto"/>
        <w:ind w:left="567" w:right="539"/>
        <w:contextualSpacing/>
        <w:jc w:val="both"/>
        <w:rPr>
          <w:rFonts w:ascii="Palatino Linotype" w:hAnsi="Palatino Linotype" w:cs="Tahoma"/>
          <w:i/>
          <w:szCs w:val="22"/>
        </w:rPr>
      </w:pPr>
    </w:p>
    <w:p w:rsidRPr="004857FD" w:rsidR="009E794F" w:rsidP="009E794F" w:rsidRDefault="009E794F" w14:paraId="07BC30C8" w14:textId="09EAD334">
      <w:pPr>
        <w:autoSpaceDE w:val="0"/>
        <w:autoSpaceDN w:val="0"/>
        <w:adjustRightInd w:val="0"/>
        <w:spacing w:line="360" w:lineRule="auto"/>
        <w:ind w:left="567" w:right="539"/>
        <w:contextualSpacing/>
        <w:jc w:val="both"/>
        <w:rPr>
          <w:rFonts w:ascii="Palatino Linotype" w:hAnsi="Palatino Linotype" w:cs="Tahoma"/>
          <w:i/>
          <w:szCs w:val="22"/>
        </w:rPr>
      </w:pPr>
      <w:r w:rsidRPr="004857FD">
        <w:rPr>
          <w:rFonts w:ascii="Palatino Linotype" w:hAnsi="Palatino Linotype" w:cs="Tahoma"/>
          <w:i/>
          <w:szCs w:val="22"/>
        </w:rPr>
        <w:t>Por otra parte, se informa que a las recomendaciones emitidas por la Unidad de Ética y de Prevención de la Corrupción, se les ha dado seguimiento y cumplimiento a través de los cursos-talleres específicos dirigidos a las áreas administrativas que corresponda.</w:t>
      </w:r>
    </w:p>
    <w:p w:rsidRPr="004857FD" w:rsidR="009E794F" w:rsidP="009E794F" w:rsidRDefault="009E794F" w14:paraId="6C440E70" w14:textId="77777777">
      <w:pPr>
        <w:autoSpaceDE w:val="0"/>
        <w:autoSpaceDN w:val="0"/>
        <w:adjustRightInd w:val="0"/>
        <w:spacing w:line="360" w:lineRule="auto"/>
        <w:ind w:left="567" w:right="539"/>
        <w:contextualSpacing/>
        <w:jc w:val="both"/>
        <w:rPr>
          <w:rFonts w:ascii="Palatino Linotype" w:hAnsi="Palatino Linotype" w:cs="Tahoma"/>
          <w:i/>
          <w:szCs w:val="22"/>
        </w:rPr>
      </w:pPr>
    </w:p>
    <w:p w:rsidRPr="004857FD" w:rsidR="009E794F" w:rsidP="009E794F" w:rsidRDefault="009E794F" w14:paraId="10B536C1" w14:textId="7E24A1C6">
      <w:pPr>
        <w:autoSpaceDE w:val="0"/>
        <w:autoSpaceDN w:val="0"/>
        <w:adjustRightInd w:val="0"/>
        <w:spacing w:line="360" w:lineRule="auto"/>
        <w:ind w:left="567" w:right="539"/>
        <w:contextualSpacing/>
        <w:jc w:val="both"/>
        <w:rPr>
          <w:rFonts w:ascii="Palatino Linotype" w:hAnsi="Palatino Linotype" w:cs="Tahoma"/>
          <w:i/>
          <w:szCs w:val="22"/>
        </w:rPr>
      </w:pPr>
      <w:r w:rsidRPr="004857FD">
        <w:rPr>
          <w:rFonts w:ascii="Palatino Linotype" w:hAnsi="Palatino Linotype" w:cs="Tahoma"/>
          <w:i/>
          <w:szCs w:val="22"/>
        </w:rPr>
        <w:t xml:space="preserve">Finalmente se informa que, en lo que respecta al Comité de Ética y de Prevención de Conflicto de Intereses, las recomendaciones que ha formulado derivaron de la presentación de denuncias en las </w:t>
      </w:r>
      <w:r w:rsidRPr="004857FD">
        <w:rPr>
          <w:rFonts w:ascii="Palatino Linotype" w:hAnsi="Palatino Linotype" w:cs="Tahoma"/>
          <w:i/>
          <w:szCs w:val="22"/>
        </w:rPr>
        <w:lastRenderedPageBreak/>
        <w:t>que se realizaron propuestas de medidas preventivas, mismas que consistieron en un pronunciamiento imparcial no vinculatorio, con las que se concluyeron los expedientes de denuncia, de conformidad con lo establecido en el artículo 23 del Protocolo de actuación para la recepción y trámite de las denuncias, sugerencias y reconocimientos presentadas ante el Comité de Ética y de Prevención de Conflicto de Intereses de la Comisión de Derechos Humanos del Estado de México.</w:t>
      </w:r>
    </w:p>
    <w:p w:rsidRPr="004857FD" w:rsidR="009E794F" w:rsidP="009E794F" w:rsidRDefault="009E794F" w14:paraId="29495A94" w14:textId="61F76743">
      <w:pPr>
        <w:autoSpaceDE w:val="0"/>
        <w:autoSpaceDN w:val="0"/>
        <w:adjustRightInd w:val="0"/>
        <w:spacing w:line="360" w:lineRule="auto"/>
        <w:ind w:left="567" w:right="539"/>
        <w:contextualSpacing/>
        <w:jc w:val="both"/>
        <w:rPr>
          <w:rFonts w:ascii="Palatino Linotype" w:hAnsi="Palatino Linotype" w:cs="Tahoma"/>
          <w:i/>
          <w:szCs w:val="22"/>
        </w:rPr>
      </w:pPr>
      <w:r w:rsidRPr="004857FD">
        <w:rPr>
          <w:rFonts w:ascii="Palatino Linotype" w:hAnsi="Palatino Linotype" w:cs="Tahoma"/>
          <w:i/>
          <w:szCs w:val="22"/>
        </w:rPr>
        <w:t>…”</w:t>
      </w:r>
    </w:p>
    <w:p w:rsidRPr="004857FD" w:rsidR="009E794F" w:rsidP="00D82DF3" w:rsidRDefault="009E794F" w14:paraId="389BADF2" w14:textId="77777777">
      <w:pPr>
        <w:autoSpaceDE w:val="0"/>
        <w:autoSpaceDN w:val="0"/>
        <w:adjustRightInd w:val="0"/>
        <w:spacing w:line="360" w:lineRule="auto"/>
        <w:contextualSpacing/>
        <w:jc w:val="both"/>
        <w:rPr>
          <w:rFonts w:ascii="Palatino Linotype" w:hAnsi="Palatino Linotype" w:cs="Tahoma"/>
          <w:sz w:val="22"/>
          <w:szCs w:val="22"/>
        </w:rPr>
      </w:pPr>
    </w:p>
    <w:p w:rsidRPr="004857FD" w:rsidR="003C4EA1" w:rsidP="00D82DF3" w:rsidRDefault="00D82DF3" w14:paraId="2B5E2326" w14:textId="2C2D10C2">
      <w:pPr>
        <w:autoSpaceDE w:val="0"/>
        <w:autoSpaceDN w:val="0"/>
        <w:adjustRightInd w:val="0"/>
        <w:spacing w:line="360" w:lineRule="auto"/>
        <w:contextualSpacing/>
        <w:jc w:val="both"/>
        <w:rPr>
          <w:rFonts w:ascii="Palatino Linotype" w:hAnsi="Palatino Linotype" w:cs="Tahoma"/>
          <w:sz w:val="22"/>
          <w:szCs w:val="22"/>
        </w:rPr>
      </w:pPr>
      <w:r w:rsidRPr="004857FD">
        <w:rPr>
          <w:rFonts w:ascii="Palatino Linotype" w:hAnsi="Palatino Linotype" w:cs="Tahoma"/>
          <w:b/>
          <w:i/>
          <w:sz w:val="22"/>
          <w:szCs w:val="22"/>
        </w:rPr>
        <w:t>00208-CODHEM-IP-2022 (5).pdf</w:t>
      </w:r>
      <w:r w:rsidRPr="004857FD" w:rsidR="009E794F">
        <w:rPr>
          <w:rFonts w:ascii="Palatino Linotype" w:hAnsi="Palatino Linotype" w:cs="Tahoma"/>
          <w:b/>
          <w:i/>
          <w:sz w:val="22"/>
          <w:szCs w:val="22"/>
        </w:rPr>
        <w:t xml:space="preserve">: </w:t>
      </w:r>
      <w:r w:rsidRPr="004857FD" w:rsidR="009E794F">
        <w:rPr>
          <w:rFonts w:ascii="Palatino Linotype" w:hAnsi="Palatino Linotype" w:cs="Tahoma"/>
          <w:sz w:val="22"/>
          <w:szCs w:val="22"/>
        </w:rPr>
        <w:t>El archivo</w:t>
      </w:r>
      <w:r w:rsidRPr="004857FD" w:rsidR="009E794F">
        <w:rPr>
          <w:rFonts w:ascii="Palatino Linotype" w:hAnsi="Palatino Linotype" w:cs="Tahoma"/>
          <w:i/>
          <w:sz w:val="22"/>
          <w:szCs w:val="22"/>
        </w:rPr>
        <w:t xml:space="preserve"> </w:t>
      </w:r>
      <w:r w:rsidRPr="004857FD" w:rsidR="009E794F">
        <w:rPr>
          <w:rFonts w:ascii="Palatino Linotype" w:hAnsi="Palatino Linotype" w:cs="Tahoma"/>
          <w:sz w:val="22"/>
          <w:szCs w:val="22"/>
        </w:rPr>
        <w:t xml:space="preserve">contiene un oficio suscrito por el Titular del Órgano Interno de Control del Sujeto Obligado </w:t>
      </w:r>
      <w:r w:rsidRPr="004857FD" w:rsidR="008465A2">
        <w:rPr>
          <w:rFonts w:ascii="Palatino Linotype" w:hAnsi="Palatino Linotype" w:cs="Tahoma"/>
          <w:sz w:val="22"/>
          <w:szCs w:val="22"/>
        </w:rPr>
        <w:t>en el que manifestó o siguiente.</w:t>
      </w:r>
    </w:p>
    <w:p w:rsidRPr="004857FD" w:rsidR="008465A2" w:rsidP="00D82DF3" w:rsidRDefault="008465A2" w14:paraId="57E8A7EF" w14:textId="77777777">
      <w:pPr>
        <w:autoSpaceDE w:val="0"/>
        <w:autoSpaceDN w:val="0"/>
        <w:adjustRightInd w:val="0"/>
        <w:spacing w:line="360" w:lineRule="auto"/>
        <w:contextualSpacing/>
        <w:jc w:val="both"/>
        <w:rPr>
          <w:rFonts w:ascii="Palatino Linotype" w:hAnsi="Palatino Linotype" w:cs="Tahoma"/>
          <w:sz w:val="22"/>
          <w:szCs w:val="22"/>
        </w:rPr>
      </w:pPr>
    </w:p>
    <w:p w:rsidRPr="004857FD" w:rsidR="008465A2" w:rsidP="008465A2" w:rsidRDefault="008465A2" w14:paraId="137F6447" w14:textId="0E441EEB">
      <w:pPr>
        <w:autoSpaceDE w:val="0"/>
        <w:autoSpaceDN w:val="0"/>
        <w:adjustRightInd w:val="0"/>
        <w:spacing w:line="360" w:lineRule="auto"/>
        <w:ind w:left="567" w:right="539"/>
        <w:contextualSpacing/>
        <w:jc w:val="both"/>
        <w:rPr>
          <w:rFonts w:ascii="Palatino Linotype" w:hAnsi="Palatino Linotype" w:cs="Tahoma"/>
          <w:i/>
          <w:szCs w:val="22"/>
        </w:rPr>
      </w:pPr>
      <w:r w:rsidRPr="004857FD">
        <w:rPr>
          <w:rFonts w:ascii="Palatino Linotype" w:hAnsi="Palatino Linotype" w:cs="Tahoma"/>
          <w:i/>
          <w:szCs w:val="22"/>
        </w:rPr>
        <w:t>“…</w:t>
      </w:r>
    </w:p>
    <w:p w:rsidRPr="004857FD" w:rsidR="008465A2" w:rsidP="008465A2" w:rsidRDefault="008465A2" w14:paraId="6662D989" w14:textId="3DC0C42E">
      <w:pPr>
        <w:autoSpaceDE w:val="0"/>
        <w:autoSpaceDN w:val="0"/>
        <w:adjustRightInd w:val="0"/>
        <w:spacing w:line="360" w:lineRule="auto"/>
        <w:ind w:left="567" w:right="539"/>
        <w:contextualSpacing/>
        <w:jc w:val="both"/>
        <w:rPr>
          <w:rFonts w:ascii="Palatino Linotype" w:hAnsi="Palatino Linotype" w:cs="Tahoma"/>
          <w:i/>
          <w:szCs w:val="22"/>
        </w:rPr>
      </w:pPr>
      <w:r w:rsidRPr="004857FD">
        <w:rPr>
          <w:rFonts w:ascii="Palatino Linotype" w:hAnsi="Palatino Linotype" w:cs="Tahoma"/>
          <w:i/>
          <w:szCs w:val="22"/>
        </w:rPr>
        <w:t>Al respecto, comunico a usted que en este Órgano Interno de Control no existe información respecto a los datos contenidos en la solicitud de mérito.</w:t>
      </w:r>
    </w:p>
    <w:p w:rsidRPr="004857FD" w:rsidR="008465A2" w:rsidP="008465A2" w:rsidRDefault="008465A2" w14:paraId="151E12B7" w14:textId="0C62673C">
      <w:pPr>
        <w:autoSpaceDE w:val="0"/>
        <w:autoSpaceDN w:val="0"/>
        <w:adjustRightInd w:val="0"/>
        <w:spacing w:line="360" w:lineRule="auto"/>
        <w:ind w:left="567" w:right="539"/>
        <w:contextualSpacing/>
        <w:jc w:val="both"/>
        <w:rPr>
          <w:rFonts w:ascii="Palatino Linotype" w:hAnsi="Palatino Linotype" w:cs="Tahoma"/>
          <w:i/>
          <w:szCs w:val="22"/>
        </w:rPr>
      </w:pPr>
      <w:r w:rsidRPr="004857FD">
        <w:rPr>
          <w:rFonts w:ascii="Palatino Linotype" w:hAnsi="Palatino Linotype" w:cs="Tahoma"/>
          <w:i/>
          <w:szCs w:val="22"/>
        </w:rPr>
        <w:t>…”</w:t>
      </w:r>
    </w:p>
    <w:p w:rsidRPr="004857FD" w:rsidR="00D82DF3" w:rsidP="00D82DF3" w:rsidRDefault="00D82DF3" w14:paraId="5FE7CFB3" w14:textId="77777777">
      <w:pPr>
        <w:autoSpaceDE w:val="0"/>
        <w:autoSpaceDN w:val="0"/>
        <w:adjustRightInd w:val="0"/>
        <w:spacing w:line="360" w:lineRule="auto"/>
        <w:contextualSpacing/>
        <w:jc w:val="both"/>
        <w:rPr>
          <w:rFonts w:ascii="Palatino Linotype" w:hAnsi="Palatino Linotype" w:cs="Tahoma"/>
          <w:sz w:val="22"/>
          <w:szCs w:val="22"/>
        </w:rPr>
      </w:pPr>
    </w:p>
    <w:bookmarkEnd w:id="0"/>
    <w:p w:rsidRPr="004857FD" w:rsidR="001A412B" w:rsidP="00147516" w:rsidRDefault="007812D1" w14:paraId="63779A36" w14:textId="5D6A3B49">
      <w:pPr>
        <w:autoSpaceDE w:val="0"/>
        <w:autoSpaceDN w:val="0"/>
        <w:adjustRightInd w:val="0"/>
        <w:spacing w:line="360" w:lineRule="auto"/>
        <w:contextualSpacing/>
        <w:jc w:val="both"/>
        <w:rPr>
          <w:rFonts w:ascii="Palatino Linotype" w:hAnsi="Palatino Linotype" w:cs="Tahoma"/>
          <w:b/>
          <w:sz w:val="22"/>
          <w:szCs w:val="22"/>
        </w:rPr>
      </w:pPr>
      <w:r w:rsidRPr="004857FD">
        <w:rPr>
          <w:rFonts w:ascii="Palatino Linotype" w:hAnsi="Palatino Linotype" w:cs="Tahoma"/>
          <w:b/>
          <w:sz w:val="22"/>
          <w:szCs w:val="22"/>
        </w:rPr>
        <w:t>I</w:t>
      </w:r>
      <w:r w:rsidRPr="004857FD" w:rsidR="00EF01EA">
        <w:rPr>
          <w:rFonts w:ascii="Palatino Linotype" w:hAnsi="Palatino Linotype" w:cs="Tahoma"/>
          <w:b/>
          <w:sz w:val="22"/>
          <w:szCs w:val="22"/>
        </w:rPr>
        <w:t>II</w:t>
      </w:r>
      <w:r w:rsidRPr="004857FD" w:rsidR="009A7587">
        <w:rPr>
          <w:rFonts w:ascii="Palatino Linotype" w:hAnsi="Palatino Linotype" w:cs="Tahoma"/>
          <w:b/>
          <w:sz w:val="22"/>
          <w:szCs w:val="22"/>
        </w:rPr>
        <w:t xml:space="preserve">. Interposición del Recurso de Revisión. </w:t>
      </w:r>
    </w:p>
    <w:p w:rsidRPr="004857FD" w:rsidR="00F87649" w:rsidP="00147516" w:rsidRDefault="00F87649" w14:paraId="7E63F1B0" w14:textId="77777777">
      <w:pPr>
        <w:autoSpaceDE w:val="0"/>
        <w:autoSpaceDN w:val="0"/>
        <w:adjustRightInd w:val="0"/>
        <w:spacing w:line="360" w:lineRule="auto"/>
        <w:contextualSpacing/>
        <w:jc w:val="both"/>
        <w:rPr>
          <w:rFonts w:ascii="Palatino Linotype" w:hAnsi="Palatino Linotype" w:cs="Tahoma"/>
          <w:b/>
          <w:sz w:val="18"/>
          <w:szCs w:val="22"/>
        </w:rPr>
      </w:pPr>
    </w:p>
    <w:p w:rsidRPr="004857FD" w:rsidR="009A7587" w:rsidP="00147516" w:rsidRDefault="009A7587" w14:paraId="5B3BF89A" w14:textId="5E4D53CF">
      <w:pPr>
        <w:tabs>
          <w:tab w:val="left" w:pos="3122"/>
        </w:tabs>
        <w:spacing w:line="360" w:lineRule="auto"/>
        <w:contextualSpacing/>
        <w:jc w:val="both"/>
        <w:rPr>
          <w:rFonts w:ascii="Palatino Linotype" w:hAnsi="Palatino Linotype" w:cs="Tahoma"/>
          <w:sz w:val="22"/>
          <w:szCs w:val="22"/>
        </w:rPr>
      </w:pPr>
      <w:r w:rsidRPr="004857FD">
        <w:rPr>
          <w:rFonts w:ascii="Palatino Linotype" w:hAnsi="Palatino Linotype" w:cs="Tahoma"/>
          <w:sz w:val="22"/>
          <w:szCs w:val="22"/>
        </w:rPr>
        <w:t>Con fecha</w:t>
      </w:r>
      <w:r w:rsidRPr="004857FD" w:rsidR="00E13C8C">
        <w:rPr>
          <w:rFonts w:ascii="Palatino Linotype" w:hAnsi="Palatino Linotype" w:cs="Tahoma"/>
          <w:sz w:val="22"/>
          <w:szCs w:val="22"/>
        </w:rPr>
        <w:t xml:space="preserve"> </w:t>
      </w:r>
      <w:r w:rsidRPr="004857FD" w:rsidR="00EF01EA">
        <w:rPr>
          <w:rFonts w:ascii="Palatino Linotype" w:hAnsi="Palatino Linotype" w:cs="Tahoma"/>
          <w:sz w:val="22"/>
          <w:szCs w:val="22"/>
        </w:rPr>
        <w:t xml:space="preserve">veintiséis </w:t>
      </w:r>
      <w:r w:rsidRPr="004857FD" w:rsidR="000D552A">
        <w:rPr>
          <w:rFonts w:ascii="Palatino Linotype" w:hAnsi="Palatino Linotype" w:cs="Tahoma"/>
          <w:sz w:val="22"/>
          <w:szCs w:val="22"/>
        </w:rPr>
        <w:t>de septiembre</w:t>
      </w:r>
      <w:r w:rsidRPr="004857FD" w:rsidR="001D1C9C">
        <w:rPr>
          <w:rFonts w:ascii="Palatino Linotype" w:hAnsi="Palatino Linotype" w:cs="Tahoma"/>
          <w:sz w:val="22"/>
          <w:szCs w:val="22"/>
        </w:rPr>
        <w:t xml:space="preserve"> </w:t>
      </w:r>
      <w:r w:rsidRPr="004857FD" w:rsidR="00B267E1">
        <w:rPr>
          <w:rFonts w:ascii="Palatino Linotype" w:hAnsi="Palatino Linotype" w:cs="Tahoma"/>
          <w:sz w:val="22"/>
          <w:szCs w:val="22"/>
        </w:rPr>
        <w:t>de dos mil veintidós</w:t>
      </w:r>
      <w:r w:rsidRPr="004857FD">
        <w:rPr>
          <w:rFonts w:ascii="Palatino Linotype" w:hAnsi="Palatino Linotype" w:cs="Tahoma"/>
          <w:sz w:val="22"/>
          <w:szCs w:val="22"/>
        </w:rPr>
        <w:t xml:space="preserve">, a través del </w:t>
      </w:r>
      <w:r w:rsidRPr="004857FD">
        <w:rPr>
          <w:rFonts w:ascii="Palatino Linotype" w:hAnsi="Palatino Linotype" w:cs="Tahoma"/>
          <w:sz w:val="22"/>
          <w:szCs w:val="22"/>
          <w:lang w:val="es-ES"/>
        </w:rPr>
        <w:t>Sistema de Acceso a la Información Mexiquense (SAIMEX)</w:t>
      </w:r>
      <w:r w:rsidRPr="004857FD" w:rsidR="00A048C7">
        <w:rPr>
          <w:rFonts w:ascii="Palatino Linotype" w:hAnsi="Palatino Linotype" w:cs="Tahoma"/>
          <w:sz w:val="22"/>
          <w:szCs w:val="22"/>
        </w:rPr>
        <w:t>, se interpus</w:t>
      </w:r>
      <w:r w:rsidRPr="004857FD" w:rsidR="003C3E71">
        <w:rPr>
          <w:rFonts w:ascii="Palatino Linotype" w:hAnsi="Palatino Linotype" w:cs="Tahoma"/>
          <w:sz w:val="22"/>
          <w:szCs w:val="22"/>
        </w:rPr>
        <w:t>o</w:t>
      </w:r>
      <w:r w:rsidRPr="004857FD" w:rsidR="00A048C7">
        <w:rPr>
          <w:rFonts w:ascii="Palatino Linotype" w:hAnsi="Palatino Linotype" w:cs="Tahoma"/>
          <w:sz w:val="22"/>
          <w:szCs w:val="22"/>
        </w:rPr>
        <w:t xml:space="preserve"> </w:t>
      </w:r>
      <w:r w:rsidRPr="004857FD" w:rsidR="003C3E71">
        <w:rPr>
          <w:rFonts w:ascii="Palatino Linotype" w:hAnsi="Palatino Linotype" w:cs="Tahoma"/>
          <w:sz w:val="22"/>
          <w:szCs w:val="22"/>
        </w:rPr>
        <w:t>el</w:t>
      </w:r>
      <w:r w:rsidRPr="004857FD">
        <w:rPr>
          <w:rFonts w:ascii="Palatino Linotype" w:hAnsi="Palatino Linotype" w:cs="Tahoma"/>
          <w:sz w:val="22"/>
          <w:szCs w:val="22"/>
        </w:rPr>
        <w:t xml:space="preserve"> presente Recurso de Revisión por</w:t>
      </w:r>
      <w:r w:rsidRPr="004857FD" w:rsidR="008E6658">
        <w:rPr>
          <w:rFonts w:ascii="Palatino Linotype" w:hAnsi="Palatino Linotype" w:cs="Tahoma"/>
          <w:sz w:val="22"/>
          <w:szCs w:val="22"/>
        </w:rPr>
        <w:t xml:space="preserve"> </w:t>
      </w:r>
      <w:r w:rsidRPr="004857FD" w:rsidR="0035716C">
        <w:rPr>
          <w:rFonts w:ascii="Palatino Linotype" w:hAnsi="Palatino Linotype" w:cs="Tahoma"/>
          <w:sz w:val="22"/>
          <w:szCs w:val="22"/>
        </w:rPr>
        <w:t xml:space="preserve">el </w:t>
      </w:r>
      <w:r w:rsidRPr="004857FD">
        <w:rPr>
          <w:rFonts w:ascii="Palatino Linotype" w:hAnsi="Palatino Linotype" w:cs="Tahoma"/>
          <w:sz w:val="22"/>
          <w:szCs w:val="22"/>
        </w:rPr>
        <w:t xml:space="preserve">Recurrente, en contra de </w:t>
      </w:r>
      <w:r w:rsidRPr="004857FD" w:rsidR="00655265">
        <w:rPr>
          <w:rFonts w:ascii="Palatino Linotype" w:hAnsi="Palatino Linotype" w:cs="Tahoma"/>
          <w:sz w:val="22"/>
          <w:szCs w:val="22"/>
        </w:rPr>
        <w:t>la respuesta emitida</w:t>
      </w:r>
      <w:r w:rsidRPr="004857FD">
        <w:rPr>
          <w:rFonts w:ascii="Palatino Linotype" w:hAnsi="Palatino Linotype" w:cs="Tahoma"/>
          <w:sz w:val="22"/>
          <w:szCs w:val="22"/>
        </w:rPr>
        <w:t xml:space="preserve"> por el Sujeto Obligado a </w:t>
      </w:r>
      <w:r w:rsidRPr="004857FD" w:rsidR="00655265">
        <w:rPr>
          <w:rFonts w:ascii="Palatino Linotype" w:hAnsi="Palatino Linotype" w:cs="Tahoma"/>
          <w:sz w:val="22"/>
          <w:szCs w:val="22"/>
        </w:rPr>
        <w:t>la solicitud</w:t>
      </w:r>
      <w:r w:rsidRPr="004857FD">
        <w:rPr>
          <w:rFonts w:ascii="Palatino Linotype" w:hAnsi="Palatino Linotype" w:cs="Tahoma"/>
          <w:sz w:val="22"/>
          <w:szCs w:val="22"/>
        </w:rPr>
        <w:t xml:space="preserve"> de información, en los siguientes términos:</w:t>
      </w:r>
    </w:p>
    <w:p w:rsidRPr="004857FD" w:rsidR="00AB6595" w:rsidP="00147516" w:rsidRDefault="00AB6595" w14:paraId="26BD1BF7" w14:textId="77777777">
      <w:pPr>
        <w:tabs>
          <w:tab w:val="left" w:pos="3122"/>
        </w:tabs>
        <w:spacing w:line="360" w:lineRule="auto"/>
        <w:contextualSpacing/>
        <w:jc w:val="both"/>
        <w:rPr>
          <w:rFonts w:ascii="Palatino Linotype" w:hAnsi="Palatino Linotype" w:cs="Tahoma"/>
          <w:sz w:val="22"/>
          <w:szCs w:val="22"/>
        </w:rPr>
      </w:pPr>
    </w:p>
    <w:p w:rsidRPr="004857FD" w:rsidR="00D5699B" w:rsidP="00147516" w:rsidRDefault="00D5699B" w14:paraId="3FE69B69" w14:textId="77777777">
      <w:pPr>
        <w:spacing w:line="360" w:lineRule="auto"/>
        <w:ind w:left="567" w:right="539"/>
        <w:contextualSpacing/>
        <w:jc w:val="both"/>
        <w:rPr>
          <w:rFonts w:ascii="Palatino Linotype" w:hAnsi="Palatino Linotype" w:cs="Tahoma"/>
          <w:b/>
          <w:bCs/>
          <w:szCs w:val="22"/>
        </w:rPr>
      </w:pPr>
      <w:r w:rsidRPr="004857FD">
        <w:rPr>
          <w:rFonts w:ascii="Palatino Linotype" w:hAnsi="Palatino Linotype" w:cs="Tahoma"/>
          <w:b/>
          <w:bCs/>
          <w:szCs w:val="22"/>
        </w:rPr>
        <w:t>ACTO IMPUGNADO:</w:t>
      </w:r>
    </w:p>
    <w:p w:rsidRPr="004857FD" w:rsidR="003D1770" w:rsidP="00147516" w:rsidRDefault="007E4927" w14:paraId="0CE4EC54" w14:textId="41505E21">
      <w:pPr>
        <w:spacing w:line="360" w:lineRule="auto"/>
        <w:ind w:left="567" w:right="539"/>
        <w:contextualSpacing/>
        <w:jc w:val="both"/>
        <w:rPr>
          <w:rFonts w:ascii="Palatino Linotype" w:hAnsi="Palatino Linotype" w:cs="Tahoma"/>
          <w:bCs/>
          <w:szCs w:val="22"/>
        </w:rPr>
      </w:pPr>
      <w:r w:rsidRPr="004857FD">
        <w:rPr>
          <w:rFonts w:ascii="Palatino Linotype" w:hAnsi="Palatino Linotype" w:cs="Tahoma"/>
          <w:bCs/>
          <w:i/>
          <w:szCs w:val="22"/>
        </w:rPr>
        <w:t>“</w:t>
      </w:r>
      <w:r w:rsidRPr="004857FD" w:rsidR="00EF01EA">
        <w:rPr>
          <w:rFonts w:ascii="Palatino Linotype" w:hAnsi="Palatino Linotype" w:cs="Tahoma"/>
          <w:bCs/>
          <w:i/>
          <w:szCs w:val="22"/>
        </w:rPr>
        <w:t>Información incompleta dada en la respuesta.</w:t>
      </w:r>
      <w:r w:rsidRPr="004857FD" w:rsidR="00E55401">
        <w:rPr>
          <w:rFonts w:ascii="Palatino Linotype" w:hAnsi="Palatino Linotype" w:cs="Tahoma"/>
          <w:bCs/>
          <w:i/>
          <w:szCs w:val="22"/>
        </w:rPr>
        <w:t>"</w:t>
      </w:r>
      <w:r w:rsidRPr="004857FD" w:rsidR="00253937">
        <w:rPr>
          <w:rFonts w:ascii="Palatino Linotype" w:hAnsi="Palatino Linotype" w:cs="Tahoma"/>
          <w:bCs/>
          <w:i/>
          <w:szCs w:val="22"/>
        </w:rPr>
        <w:t xml:space="preserve"> (Sic)</w:t>
      </w:r>
    </w:p>
    <w:p w:rsidRPr="004857FD" w:rsidR="007E4927" w:rsidP="00147516" w:rsidRDefault="007E4927" w14:paraId="454B1C8B" w14:textId="77777777">
      <w:pPr>
        <w:spacing w:line="360" w:lineRule="auto"/>
        <w:ind w:left="567" w:right="539"/>
        <w:contextualSpacing/>
        <w:jc w:val="both"/>
        <w:rPr>
          <w:rFonts w:ascii="Palatino Linotype" w:hAnsi="Palatino Linotype" w:cs="Tahoma"/>
          <w:bCs/>
          <w:i/>
          <w:szCs w:val="22"/>
        </w:rPr>
      </w:pPr>
    </w:p>
    <w:p w:rsidRPr="004857FD" w:rsidR="00D5699B" w:rsidP="00147516" w:rsidRDefault="00D5699B" w14:paraId="6D92EC04" w14:textId="77777777">
      <w:pPr>
        <w:spacing w:line="360" w:lineRule="auto"/>
        <w:ind w:left="567" w:right="539"/>
        <w:contextualSpacing/>
        <w:jc w:val="both"/>
        <w:rPr>
          <w:rFonts w:ascii="Palatino Linotype" w:hAnsi="Palatino Linotype" w:cs="Tahoma"/>
          <w:b/>
          <w:szCs w:val="22"/>
        </w:rPr>
      </w:pPr>
      <w:r w:rsidRPr="004857FD">
        <w:rPr>
          <w:rFonts w:ascii="Palatino Linotype" w:hAnsi="Palatino Linotype" w:cs="Tahoma"/>
          <w:b/>
          <w:szCs w:val="22"/>
        </w:rPr>
        <w:t>RAZONES O MOTIVOS DE LA INCONFORMIDAD.</w:t>
      </w:r>
    </w:p>
    <w:p w:rsidRPr="004857FD" w:rsidR="00D5699B" w:rsidP="00147516" w:rsidRDefault="007E4927" w14:paraId="38754865" w14:textId="12119E53">
      <w:pPr>
        <w:spacing w:line="360" w:lineRule="auto"/>
        <w:ind w:left="567" w:right="539"/>
        <w:contextualSpacing/>
        <w:jc w:val="both"/>
        <w:rPr>
          <w:rFonts w:ascii="Palatino Linotype" w:hAnsi="Palatino Linotype" w:cs="Tahoma"/>
          <w:i/>
          <w:iCs/>
        </w:rPr>
      </w:pPr>
      <w:r w:rsidRPr="004857FD">
        <w:rPr>
          <w:rFonts w:ascii="Palatino Linotype" w:hAnsi="Palatino Linotype" w:cs="Tahoma"/>
          <w:i/>
          <w:iCs/>
        </w:rPr>
        <w:t>“</w:t>
      </w:r>
      <w:r w:rsidRPr="004857FD" w:rsidR="00EF01EA">
        <w:rPr>
          <w:rFonts w:ascii="Palatino Linotype" w:hAnsi="Palatino Linotype" w:cs="Tahoma"/>
          <w:i/>
          <w:iCs/>
        </w:rPr>
        <w:t xml:space="preserve">Con respecto a lo mencionan por la unida de ética, se me informa que se ha dado seguimiento a las recomendaciones que ellos emiten; sin embargo, no se me anexa documentación probatoria de lo que mencionan, por lo que queda en dicho. Con respecto al padron de proveedores de mi solicitud, se me </w:t>
      </w:r>
      <w:r w:rsidRPr="004857FD" w:rsidR="00EF01EA">
        <w:rPr>
          <w:rFonts w:ascii="Palatino Linotype" w:hAnsi="Palatino Linotype" w:cs="Tahoma"/>
          <w:i/>
          <w:iCs/>
        </w:rPr>
        <w:lastRenderedPageBreak/>
        <w:t>refiere a una liga en la cual se encuentran menos de 5 proveedores en los ejercicios solicitados; sin embargo, en su propia información refieren que se realizaron más de 8 procedimientos de adquisición, los cuales no son reflejados en el padron de proveedores que se informa que se encuentran en la liga anexada.</w:t>
      </w:r>
      <w:r w:rsidRPr="004857FD" w:rsidR="00DF3BE8">
        <w:rPr>
          <w:rFonts w:ascii="Palatino Linotype" w:hAnsi="Palatino Linotype" w:cs="Tahoma"/>
          <w:i/>
          <w:iCs/>
        </w:rPr>
        <w:t>”</w:t>
      </w:r>
      <w:r w:rsidRPr="004857FD" w:rsidR="000C2529">
        <w:rPr>
          <w:rFonts w:ascii="Palatino Linotype" w:hAnsi="Palatino Linotype" w:cs="Tahoma"/>
          <w:i/>
          <w:iCs/>
        </w:rPr>
        <w:t xml:space="preserve"> </w:t>
      </w:r>
      <w:r w:rsidRPr="004857FD" w:rsidR="00040101">
        <w:rPr>
          <w:rFonts w:ascii="Palatino Linotype" w:hAnsi="Palatino Linotype" w:cs="Tahoma"/>
          <w:i/>
          <w:iCs/>
        </w:rPr>
        <w:t>(Sic)</w:t>
      </w:r>
    </w:p>
    <w:p w:rsidRPr="004857FD" w:rsidR="007E4927" w:rsidP="00147516" w:rsidRDefault="007E4927" w14:paraId="066716BF" w14:textId="77777777">
      <w:pPr>
        <w:spacing w:line="360" w:lineRule="auto"/>
        <w:contextualSpacing/>
        <w:jc w:val="both"/>
        <w:rPr>
          <w:rFonts w:ascii="Palatino Linotype" w:hAnsi="Palatino Linotype" w:cs="Tahoma"/>
          <w:b/>
          <w:sz w:val="22"/>
          <w:szCs w:val="22"/>
        </w:rPr>
      </w:pPr>
    </w:p>
    <w:p w:rsidRPr="004857FD" w:rsidR="009A7587" w:rsidP="00147516" w:rsidRDefault="00EF01EA" w14:paraId="3BE05EE0" w14:textId="48F3982A">
      <w:pPr>
        <w:spacing w:line="360" w:lineRule="auto"/>
        <w:contextualSpacing/>
        <w:jc w:val="both"/>
        <w:rPr>
          <w:rFonts w:ascii="Palatino Linotype" w:hAnsi="Palatino Linotype" w:eastAsia="Batang" w:cs="Tahoma"/>
          <w:b/>
          <w:bCs/>
          <w:sz w:val="22"/>
          <w:szCs w:val="22"/>
        </w:rPr>
      </w:pPr>
      <w:r w:rsidRPr="004857FD">
        <w:rPr>
          <w:rFonts w:ascii="Palatino Linotype" w:hAnsi="Palatino Linotype" w:cs="Tahoma"/>
          <w:b/>
          <w:sz w:val="22"/>
          <w:szCs w:val="22"/>
        </w:rPr>
        <w:t>I</w:t>
      </w:r>
      <w:r w:rsidRPr="004857FD" w:rsidR="00FF1049">
        <w:rPr>
          <w:rFonts w:ascii="Palatino Linotype" w:hAnsi="Palatino Linotype" w:cs="Tahoma"/>
          <w:b/>
          <w:sz w:val="22"/>
          <w:szCs w:val="22"/>
        </w:rPr>
        <w:t>V</w:t>
      </w:r>
      <w:r w:rsidRPr="004857FD" w:rsidR="009A7587">
        <w:rPr>
          <w:rFonts w:ascii="Palatino Linotype" w:hAnsi="Palatino Linotype" w:cs="Tahoma"/>
          <w:b/>
          <w:sz w:val="22"/>
          <w:szCs w:val="22"/>
        </w:rPr>
        <w:t xml:space="preserve">. </w:t>
      </w:r>
      <w:r w:rsidRPr="004857FD" w:rsidR="009A7587">
        <w:rPr>
          <w:rFonts w:ascii="Palatino Linotype" w:hAnsi="Palatino Linotype" w:eastAsia="Batang" w:cs="Tahoma"/>
          <w:b/>
          <w:bCs/>
          <w:sz w:val="22"/>
          <w:szCs w:val="22"/>
        </w:rPr>
        <w:t xml:space="preserve">Trámite del </w:t>
      </w:r>
      <w:r w:rsidRPr="004857FD" w:rsidR="009A7587">
        <w:rPr>
          <w:rFonts w:ascii="Palatino Linotype" w:hAnsi="Palatino Linotype" w:cs="Tahoma"/>
          <w:b/>
          <w:sz w:val="22"/>
          <w:szCs w:val="22"/>
        </w:rPr>
        <w:t xml:space="preserve">Recurso de Revisión </w:t>
      </w:r>
      <w:r w:rsidRPr="004857FD" w:rsidR="009A7587">
        <w:rPr>
          <w:rFonts w:ascii="Palatino Linotype" w:hAnsi="Palatino Linotype" w:eastAsia="Batang" w:cs="Tahoma"/>
          <w:b/>
          <w:bCs/>
          <w:sz w:val="22"/>
          <w:szCs w:val="22"/>
        </w:rPr>
        <w:t>ante el Instituto.</w:t>
      </w:r>
    </w:p>
    <w:p w:rsidRPr="004857FD" w:rsidR="007E4927" w:rsidP="00147516" w:rsidRDefault="007E4927" w14:paraId="29A487C6" w14:textId="77777777">
      <w:pPr>
        <w:spacing w:line="360" w:lineRule="auto"/>
        <w:contextualSpacing/>
        <w:jc w:val="both"/>
        <w:rPr>
          <w:rFonts w:ascii="Palatino Linotype" w:hAnsi="Palatino Linotype" w:eastAsia="Batang" w:cs="Tahoma"/>
          <w:b/>
          <w:bCs/>
          <w:sz w:val="22"/>
          <w:szCs w:val="22"/>
        </w:rPr>
      </w:pPr>
    </w:p>
    <w:p w:rsidRPr="004857FD" w:rsidR="00C950E3" w:rsidP="00147516" w:rsidRDefault="009A7587" w14:paraId="27F98CF3" w14:textId="038042C6">
      <w:pPr>
        <w:spacing w:line="360" w:lineRule="auto"/>
        <w:contextualSpacing/>
        <w:jc w:val="both"/>
        <w:rPr>
          <w:rFonts w:ascii="Palatino Linotype" w:hAnsi="Palatino Linotype" w:eastAsia="Batang" w:cs="Tahoma"/>
          <w:bCs/>
          <w:sz w:val="22"/>
          <w:szCs w:val="22"/>
        </w:rPr>
      </w:pPr>
      <w:r w:rsidRPr="004857FD">
        <w:rPr>
          <w:rFonts w:ascii="Palatino Linotype" w:hAnsi="Palatino Linotype" w:eastAsia="Batang" w:cs="Tahoma"/>
          <w:b/>
          <w:bCs/>
          <w:sz w:val="22"/>
          <w:szCs w:val="22"/>
        </w:rPr>
        <w:t xml:space="preserve">a) Turno del </w:t>
      </w:r>
      <w:r w:rsidRPr="004857FD">
        <w:rPr>
          <w:rFonts w:ascii="Palatino Linotype" w:hAnsi="Palatino Linotype" w:cs="Tahoma"/>
          <w:b/>
          <w:sz w:val="22"/>
          <w:szCs w:val="22"/>
        </w:rPr>
        <w:t>Recurso de Revisión</w:t>
      </w:r>
      <w:r w:rsidRPr="004857FD">
        <w:rPr>
          <w:rFonts w:ascii="Palatino Linotype" w:hAnsi="Palatino Linotype" w:eastAsia="Batang" w:cs="Tahoma"/>
          <w:b/>
          <w:bCs/>
          <w:sz w:val="22"/>
          <w:szCs w:val="22"/>
        </w:rPr>
        <w:t xml:space="preserve">. </w:t>
      </w:r>
      <w:r w:rsidRPr="004857FD" w:rsidR="00A06844">
        <w:rPr>
          <w:rFonts w:ascii="Palatino Linotype" w:hAnsi="Palatino Linotype" w:eastAsia="Batang" w:cs="Tahoma"/>
          <w:bCs/>
          <w:sz w:val="22"/>
          <w:szCs w:val="22"/>
        </w:rPr>
        <w:t xml:space="preserve">El </w:t>
      </w:r>
      <w:r w:rsidRPr="004857FD" w:rsidR="00EF01EA">
        <w:rPr>
          <w:rFonts w:ascii="Palatino Linotype" w:hAnsi="Palatino Linotype" w:eastAsia="Batang" w:cs="Tahoma"/>
          <w:bCs/>
          <w:sz w:val="22"/>
          <w:szCs w:val="22"/>
        </w:rPr>
        <w:t xml:space="preserve">veintiséis </w:t>
      </w:r>
      <w:r w:rsidRPr="004857FD" w:rsidR="000D552A">
        <w:rPr>
          <w:rFonts w:ascii="Palatino Linotype" w:hAnsi="Palatino Linotype" w:eastAsia="Batang" w:cs="Tahoma"/>
          <w:bCs/>
          <w:sz w:val="22"/>
          <w:szCs w:val="22"/>
        </w:rPr>
        <w:t>de septiembre</w:t>
      </w:r>
      <w:r w:rsidRPr="004857FD" w:rsidR="00916E90">
        <w:rPr>
          <w:rFonts w:ascii="Palatino Linotype" w:hAnsi="Palatino Linotype" w:eastAsia="Batang" w:cs="Tahoma"/>
          <w:bCs/>
          <w:sz w:val="22"/>
          <w:szCs w:val="22"/>
        </w:rPr>
        <w:t xml:space="preserve"> </w:t>
      </w:r>
      <w:r w:rsidRPr="004857FD" w:rsidR="00B267E1">
        <w:rPr>
          <w:rFonts w:ascii="Palatino Linotype" w:hAnsi="Palatino Linotype" w:eastAsia="Batang" w:cs="Tahoma"/>
          <w:bCs/>
          <w:sz w:val="22"/>
          <w:szCs w:val="22"/>
        </w:rPr>
        <w:t>de dos mil veintidós</w:t>
      </w:r>
      <w:r w:rsidRPr="004857FD" w:rsidR="00A06844">
        <w:rPr>
          <w:rFonts w:ascii="Palatino Linotype" w:hAnsi="Palatino Linotype" w:eastAsia="Batang" w:cs="Tahoma"/>
          <w:bCs/>
          <w:sz w:val="22"/>
          <w:szCs w:val="22"/>
        </w:rPr>
        <w:t xml:space="preserve">, </w:t>
      </w:r>
      <w:r w:rsidRPr="004857FD" w:rsidR="00D5699B">
        <w:rPr>
          <w:rFonts w:ascii="Palatino Linotype" w:hAnsi="Palatino Linotype" w:eastAsia="Batang" w:cs="Tahoma"/>
          <w:bCs/>
          <w:sz w:val="22"/>
          <w:szCs w:val="22"/>
        </w:rPr>
        <w:t xml:space="preserve">el Sistema de Acceso a la Información Mexiquense (SAIMEX), asignó el número de expediente </w:t>
      </w:r>
      <w:r w:rsidRPr="004857FD" w:rsidR="000D552A">
        <w:rPr>
          <w:rFonts w:ascii="Palatino Linotype" w:hAnsi="Palatino Linotype" w:eastAsia="Batang" w:cs="Tahoma"/>
          <w:b/>
          <w:bCs/>
          <w:sz w:val="22"/>
          <w:szCs w:val="22"/>
        </w:rPr>
        <w:t>150</w:t>
      </w:r>
      <w:r w:rsidRPr="004857FD" w:rsidR="00EF01EA">
        <w:rPr>
          <w:rFonts w:ascii="Palatino Linotype" w:hAnsi="Palatino Linotype" w:eastAsia="Batang" w:cs="Tahoma"/>
          <w:b/>
          <w:bCs/>
          <w:sz w:val="22"/>
          <w:szCs w:val="22"/>
        </w:rPr>
        <w:t>7</w:t>
      </w:r>
      <w:r w:rsidRPr="004857FD" w:rsidR="000D552A">
        <w:rPr>
          <w:rFonts w:ascii="Palatino Linotype" w:hAnsi="Palatino Linotype" w:eastAsia="Batang" w:cs="Tahoma"/>
          <w:b/>
          <w:bCs/>
          <w:sz w:val="22"/>
          <w:szCs w:val="22"/>
        </w:rPr>
        <w:t>1</w:t>
      </w:r>
      <w:r w:rsidRPr="004857FD" w:rsidR="00D5699B">
        <w:rPr>
          <w:rFonts w:ascii="Palatino Linotype" w:hAnsi="Palatino Linotype" w:eastAsia="Batang" w:cs="Tahoma"/>
          <w:b/>
          <w:bCs/>
          <w:sz w:val="22"/>
          <w:szCs w:val="22"/>
        </w:rPr>
        <w:t>/INFOEM/IP/RR/202</w:t>
      </w:r>
      <w:r w:rsidRPr="004857FD" w:rsidR="00B267E1">
        <w:rPr>
          <w:rFonts w:ascii="Palatino Linotype" w:hAnsi="Palatino Linotype" w:eastAsia="Batang" w:cs="Tahoma"/>
          <w:b/>
          <w:bCs/>
          <w:sz w:val="22"/>
          <w:szCs w:val="22"/>
        </w:rPr>
        <w:t>2</w:t>
      </w:r>
      <w:r w:rsidRPr="004857FD" w:rsidR="00D5699B">
        <w:rPr>
          <w:rFonts w:ascii="Palatino Linotype" w:hAnsi="Palatino Linotype" w:eastAsia="Batang" w:cs="Tahoma"/>
          <w:bCs/>
          <w:sz w:val="22"/>
          <w:szCs w:val="22"/>
        </w:rPr>
        <w:t xml:space="preserve">, al medio de impugnación que nos ocupa, con base en el sistema aprobado por el Pleno de este Órgano Garante y lo turnó al </w:t>
      </w:r>
      <w:r w:rsidRPr="004857FD" w:rsidR="00D5699B">
        <w:rPr>
          <w:rFonts w:ascii="Palatino Linotype" w:hAnsi="Palatino Linotype" w:eastAsia="Batang" w:cs="Tahoma"/>
          <w:b/>
          <w:bCs/>
          <w:sz w:val="22"/>
          <w:szCs w:val="22"/>
        </w:rPr>
        <w:t>Comisionado Ponente Luis Gustavo Parra Noriega</w:t>
      </w:r>
      <w:r w:rsidRPr="004857FD" w:rsidR="00D5699B">
        <w:rPr>
          <w:rFonts w:ascii="Palatino Linotype" w:hAnsi="Palatino Linotype" w:eastAsia="Batang" w:cs="Tahoma"/>
          <w:bCs/>
          <w:sz w:val="22"/>
          <w:szCs w:val="22"/>
        </w:rPr>
        <w:t>, para los efectos del artículo 185, fracción I de la Ley de Transparencia y Acceso a la Información Pública del Estado de México y Municipios.</w:t>
      </w:r>
    </w:p>
    <w:p w:rsidRPr="004857FD" w:rsidR="00D5699B" w:rsidP="00147516" w:rsidRDefault="00D5699B" w14:paraId="2BA10DD6" w14:textId="77777777">
      <w:pPr>
        <w:spacing w:line="360" w:lineRule="auto"/>
        <w:contextualSpacing/>
        <w:jc w:val="both"/>
        <w:rPr>
          <w:rFonts w:ascii="Palatino Linotype" w:hAnsi="Palatino Linotype" w:eastAsia="Batang" w:cs="Tahoma"/>
          <w:b/>
          <w:bCs/>
          <w:sz w:val="22"/>
          <w:szCs w:val="22"/>
        </w:rPr>
      </w:pPr>
    </w:p>
    <w:p w:rsidRPr="004857FD" w:rsidR="00253937" w:rsidP="00147516" w:rsidRDefault="009A7587" w14:paraId="5C9C9020" w14:textId="3EE96382">
      <w:pPr>
        <w:spacing w:line="360" w:lineRule="auto"/>
        <w:contextualSpacing/>
        <w:jc w:val="both"/>
        <w:rPr>
          <w:rFonts w:ascii="Palatino Linotype" w:hAnsi="Palatino Linotype" w:cs="Tahoma"/>
          <w:bCs/>
          <w:sz w:val="22"/>
          <w:szCs w:val="22"/>
          <w:lang w:val="es-ES_tradnl"/>
        </w:rPr>
      </w:pPr>
      <w:r w:rsidRPr="004857FD">
        <w:rPr>
          <w:rFonts w:ascii="Palatino Linotype" w:hAnsi="Palatino Linotype" w:eastAsia="Batang" w:cs="Tahoma"/>
          <w:b/>
          <w:bCs/>
          <w:sz w:val="22"/>
          <w:szCs w:val="22"/>
        </w:rPr>
        <w:t xml:space="preserve">b) Admisión del </w:t>
      </w:r>
      <w:r w:rsidRPr="004857FD">
        <w:rPr>
          <w:rFonts w:ascii="Palatino Linotype" w:hAnsi="Palatino Linotype" w:cs="Tahoma"/>
          <w:b/>
          <w:sz w:val="22"/>
          <w:szCs w:val="22"/>
        </w:rPr>
        <w:t>Recurso de Revisión</w:t>
      </w:r>
      <w:r w:rsidRPr="004857FD">
        <w:rPr>
          <w:rFonts w:ascii="Palatino Linotype" w:hAnsi="Palatino Linotype" w:eastAsia="Batang" w:cs="Tahoma"/>
          <w:b/>
          <w:bCs/>
          <w:sz w:val="22"/>
          <w:szCs w:val="22"/>
          <w:lang w:val="es-ES_tradnl"/>
        </w:rPr>
        <w:t xml:space="preserve">. </w:t>
      </w:r>
      <w:r w:rsidRPr="004857FD">
        <w:rPr>
          <w:rFonts w:ascii="Palatino Linotype" w:hAnsi="Palatino Linotype" w:cs="Tahoma"/>
          <w:bCs/>
          <w:sz w:val="22"/>
          <w:szCs w:val="22"/>
        </w:rPr>
        <w:t>El</w:t>
      </w:r>
      <w:r w:rsidRPr="004857FD" w:rsidR="00EB3A2C">
        <w:rPr>
          <w:rFonts w:ascii="Palatino Linotype" w:hAnsi="Palatino Linotype" w:cs="Tahoma"/>
          <w:bCs/>
          <w:sz w:val="22"/>
          <w:szCs w:val="22"/>
        </w:rPr>
        <w:t xml:space="preserve"> </w:t>
      </w:r>
      <w:r w:rsidRPr="004857FD" w:rsidR="00EF01EA">
        <w:rPr>
          <w:rFonts w:ascii="Palatino Linotype" w:hAnsi="Palatino Linotype" w:cs="Tahoma"/>
          <w:bCs/>
          <w:sz w:val="22"/>
          <w:szCs w:val="22"/>
        </w:rPr>
        <w:t xml:space="preserve">tres de octubre </w:t>
      </w:r>
      <w:r w:rsidRPr="004857FD" w:rsidR="00B267E1">
        <w:rPr>
          <w:rFonts w:ascii="Palatino Linotype" w:hAnsi="Palatino Linotype" w:cs="Tahoma"/>
          <w:bCs/>
          <w:sz w:val="22"/>
          <w:szCs w:val="22"/>
        </w:rPr>
        <w:t>de dos mil veintidós</w:t>
      </w:r>
      <w:r w:rsidRPr="004857FD">
        <w:rPr>
          <w:rFonts w:ascii="Palatino Linotype" w:hAnsi="Palatino Linotype" w:cs="Tahoma"/>
          <w:bCs/>
          <w:sz w:val="22"/>
          <w:szCs w:val="22"/>
        </w:rPr>
        <w:t xml:space="preserve">, </w:t>
      </w:r>
      <w:r w:rsidRPr="004857FD" w:rsidR="001F787A">
        <w:rPr>
          <w:rFonts w:ascii="Palatino Linotype" w:hAnsi="Palatino Linotype" w:cs="Tahoma"/>
          <w:bCs/>
          <w:sz w:val="22"/>
          <w:szCs w:val="22"/>
        </w:rPr>
        <w:t xml:space="preserve">se acordó la admisión del </w:t>
      </w:r>
      <w:r w:rsidRPr="004857FD" w:rsidR="001F787A">
        <w:rPr>
          <w:rFonts w:ascii="Palatino Linotype" w:hAnsi="Palatino Linotype" w:cs="Tahoma"/>
          <w:bCs/>
          <w:sz w:val="22"/>
          <w:szCs w:val="22"/>
          <w:lang w:val="es-ES_tradnl"/>
        </w:rPr>
        <w:t xml:space="preserve">Recurso de Revisión interpuesto por el Recurrente en contra del </w:t>
      </w:r>
      <w:r w:rsidRPr="004857FD" w:rsidR="001F787A">
        <w:rPr>
          <w:rFonts w:ascii="Palatino Linotype" w:hAnsi="Palatino Linotype" w:cs="Tahoma"/>
          <w:b/>
          <w:bCs/>
          <w:sz w:val="22"/>
          <w:szCs w:val="22"/>
          <w:lang w:val="es-ES_tradnl"/>
        </w:rPr>
        <w:t>Sujeto Obligado</w:t>
      </w:r>
      <w:r w:rsidRPr="004857FD" w:rsidR="001F787A">
        <w:rPr>
          <w:rFonts w:ascii="Palatino Linotype" w:hAnsi="Palatino Linotype" w:cs="Tahoma"/>
          <w:bCs/>
          <w:sz w:val="22"/>
          <w:szCs w:val="22"/>
          <w:lang w:val="es-ES_tradnl"/>
        </w:rPr>
        <w:t>, en términos del artículo 185, fracciones I, II y IV de la Ley de Transparencia y Acceso a la Información Pública del Estado de México y Municipios, el cual fue notificad</w:t>
      </w:r>
      <w:r w:rsidRPr="004857FD" w:rsidR="000C6179">
        <w:rPr>
          <w:rFonts w:ascii="Palatino Linotype" w:hAnsi="Palatino Linotype" w:cs="Tahoma"/>
          <w:bCs/>
          <w:sz w:val="22"/>
          <w:szCs w:val="22"/>
          <w:lang w:val="es-ES_tradnl"/>
        </w:rPr>
        <w:t>o a las partes el mismo día</w:t>
      </w:r>
      <w:r w:rsidRPr="004857FD" w:rsidR="001F787A">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p>
    <w:p w:rsidRPr="004857FD" w:rsidR="00253937" w:rsidP="00147516" w:rsidRDefault="00253937" w14:paraId="7D51FD1A" w14:textId="77777777">
      <w:pPr>
        <w:spacing w:line="360" w:lineRule="auto"/>
        <w:contextualSpacing/>
        <w:jc w:val="both"/>
        <w:rPr>
          <w:rFonts w:ascii="Palatino Linotype" w:hAnsi="Palatino Linotype" w:cs="Tahoma"/>
          <w:bCs/>
          <w:sz w:val="22"/>
          <w:szCs w:val="22"/>
          <w:lang w:val="es-ES_tradnl"/>
        </w:rPr>
      </w:pPr>
    </w:p>
    <w:p w:rsidRPr="004857FD" w:rsidR="00815DA9" w:rsidP="001D1C9C" w:rsidRDefault="001D1C9C" w14:paraId="4D67DAB6" w14:textId="330598B5">
      <w:pPr>
        <w:spacing w:line="360" w:lineRule="auto"/>
        <w:jc w:val="both"/>
        <w:rPr>
          <w:rFonts w:ascii="Palatino Linotype" w:hAnsi="Palatino Linotype" w:eastAsia="Batang" w:cs="Tahoma"/>
          <w:bCs/>
          <w:sz w:val="22"/>
          <w:szCs w:val="22"/>
          <w:lang w:val="es-ES_tradnl"/>
        </w:rPr>
      </w:pPr>
      <w:r w:rsidRPr="004857FD">
        <w:rPr>
          <w:rFonts w:ascii="Palatino Linotype" w:hAnsi="Palatino Linotype" w:eastAsia="Batang" w:cs="Tahoma"/>
          <w:b/>
          <w:bCs/>
          <w:sz w:val="22"/>
          <w:szCs w:val="22"/>
          <w:lang w:val="es-ES_tradnl"/>
        </w:rPr>
        <w:t xml:space="preserve">c) Informe Justificado. </w:t>
      </w:r>
      <w:r w:rsidRPr="004857FD">
        <w:rPr>
          <w:rFonts w:ascii="Palatino Linotype" w:hAnsi="Palatino Linotype" w:eastAsia="Batang" w:cs="Tahoma"/>
          <w:bCs/>
          <w:sz w:val="22"/>
          <w:szCs w:val="22"/>
          <w:lang w:val="es-ES_tradnl"/>
        </w:rPr>
        <w:t xml:space="preserve">El </w:t>
      </w:r>
      <w:r w:rsidRPr="004857FD" w:rsidR="00EF01EA">
        <w:rPr>
          <w:rFonts w:ascii="Palatino Linotype" w:hAnsi="Palatino Linotype" w:eastAsia="Batang" w:cs="Tahoma"/>
          <w:bCs/>
          <w:sz w:val="22"/>
          <w:szCs w:val="22"/>
          <w:lang w:val="es-ES_tradnl"/>
        </w:rPr>
        <w:t>once</w:t>
      </w:r>
      <w:r w:rsidRPr="004857FD" w:rsidR="000D552A">
        <w:rPr>
          <w:rFonts w:ascii="Palatino Linotype" w:hAnsi="Palatino Linotype" w:eastAsia="Batang" w:cs="Tahoma"/>
          <w:bCs/>
          <w:sz w:val="22"/>
          <w:szCs w:val="22"/>
          <w:lang w:val="es-ES_tradnl"/>
        </w:rPr>
        <w:t xml:space="preserve"> de octubre</w:t>
      </w:r>
      <w:r w:rsidRPr="004857FD" w:rsidR="00815DA9">
        <w:rPr>
          <w:rFonts w:ascii="Palatino Linotype" w:hAnsi="Palatino Linotype" w:eastAsia="Batang" w:cs="Tahoma"/>
          <w:bCs/>
          <w:sz w:val="22"/>
          <w:szCs w:val="22"/>
          <w:lang w:val="es-ES_tradnl"/>
        </w:rPr>
        <w:t xml:space="preserve"> de dos mil veinti</w:t>
      </w:r>
      <w:r w:rsidRPr="004857FD" w:rsidR="000D552A">
        <w:rPr>
          <w:rFonts w:ascii="Palatino Linotype" w:hAnsi="Palatino Linotype" w:eastAsia="Batang" w:cs="Tahoma"/>
          <w:bCs/>
          <w:sz w:val="22"/>
          <w:szCs w:val="22"/>
          <w:lang w:val="es-ES_tradnl"/>
        </w:rPr>
        <w:t>dós</w:t>
      </w:r>
      <w:r w:rsidRPr="004857FD">
        <w:rPr>
          <w:rFonts w:ascii="Palatino Linotype" w:hAnsi="Palatino Linotype" w:eastAsia="Batang" w:cs="Tahoma"/>
          <w:bCs/>
          <w:sz w:val="22"/>
          <w:szCs w:val="22"/>
          <w:lang w:val="es-ES_tradnl"/>
        </w:rPr>
        <w:t xml:space="preserve">, a través del Sistema de Acceso a la Información Mexiquense (SAIMEX), se recibió en este Instituto el informe justificado por parte del Sujeto Obligado en el </w:t>
      </w:r>
      <w:r w:rsidRPr="004857FD" w:rsidR="00815DA9">
        <w:rPr>
          <w:rFonts w:ascii="Palatino Linotype" w:hAnsi="Palatino Linotype" w:eastAsia="Batang" w:cs="Tahoma"/>
          <w:bCs/>
          <w:sz w:val="22"/>
          <w:szCs w:val="22"/>
          <w:lang w:val="es-ES_tradnl"/>
        </w:rPr>
        <w:t>que señaló lo siguiente:</w:t>
      </w:r>
    </w:p>
    <w:p w:rsidRPr="004857FD" w:rsidR="00815DA9" w:rsidP="001D1C9C" w:rsidRDefault="00815DA9" w14:paraId="243E5328" w14:textId="77777777">
      <w:pPr>
        <w:spacing w:line="360" w:lineRule="auto"/>
        <w:jc w:val="both"/>
        <w:rPr>
          <w:rFonts w:ascii="Palatino Linotype" w:hAnsi="Palatino Linotype" w:eastAsia="Batang" w:cs="Tahoma"/>
          <w:bCs/>
          <w:sz w:val="22"/>
          <w:szCs w:val="22"/>
          <w:lang w:val="es-ES_tradnl"/>
        </w:rPr>
      </w:pPr>
    </w:p>
    <w:p w:rsidRPr="004857FD" w:rsidR="00382EE8" w:rsidP="001D1C9C" w:rsidRDefault="001D1C9C" w14:paraId="1F6CE086" w14:textId="45146941">
      <w:pPr>
        <w:spacing w:line="360" w:lineRule="auto"/>
        <w:ind w:left="567" w:right="539"/>
        <w:jc w:val="both"/>
        <w:rPr>
          <w:rFonts w:ascii="Palatino Linotype" w:hAnsi="Palatino Linotype" w:eastAsia="Batang" w:cs="Tahoma"/>
          <w:bCs/>
          <w:i/>
          <w:iCs/>
          <w:szCs w:val="22"/>
          <w:lang w:val="es-ES_tradnl"/>
        </w:rPr>
      </w:pPr>
      <w:r w:rsidRPr="004857FD">
        <w:rPr>
          <w:rFonts w:ascii="Palatino Linotype" w:hAnsi="Palatino Linotype" w:eastAsia="Batang" w:cs="Tahoma"/>
          <w:bCs/>
          <w:i/>
          <w:iCs/>
          <w:szCs w:val="22"/>
          <w:lang w:val="es-ES_tradnl"/>
        </w:rPr>
        <w:lastRenderedPageBreak/>
        <w:t>“</w:t>
      </w:r>
      <w:r w:rsidRPr="004857FD" w:rsidR="00E95147">
        <w:rPr>
          <w:rFonts w:ascii="Palatino Linotype" w:hAnsi="Palatino Linotype" w:eastAsia="Batang" w:cs="Tahoma"/>
          <w:bCs/>
          <w:i/>
          <w:iCs/>
          <w:szCs w:val="22"/>
          <w:lang w:val="es-ES_tradnl"/>
        </w:rPr>
        <w:t>…</w:t>
      </w:r>
      <w:r w:rsidRPr="004857FD" w:rsidR="00265F4E">
        <w:rPr>
          <w:rFonts w:ascii="Palatino Linotype" w:hAnsi="Palatino Linotype" w:eastAsia="Batang" w:cs="Tahoma"/>
          <w:bCs/>
          <w:i/>
          <w:iCs/>
          <w:szCs w:val="22"/>
          <w:lang w:val="es-ES_tradnl"/>
        </w:rPr>
        <w:t xml:space="preserve"> del seguimiento a las recomendaciones y observaciones del Comité de Ética y la Unidad de Ética de 2020 a la fecha, por lo que la solicitud fue cumplida en los términos solicitados por parte de la persona solicitante.</w:t>
      </w:r>
    </w:p>
    <w:p w:rsidRPr="004857FD" w:rsidR="00265F4E" w:rsidP="001D1C9C" w:rsidRDefault="00265F4E" w14:paraId="450DFFA0" w14:textId="1062EE16">
      <w:pPr>
        <w:spacing w:line="360" w:lineRule="auto"/>
        <w:ind w:left="567" w:right="539"/>
        <w:jc w:val="both"/>
        <w:rPr>
          <w:rFonts w:ascii="Palatino Linotype" w:hAnsi="Palatino Linotype" w:eastAsia="Batang" w:cs="Tahoma"/>
          <w:bCs/>
          <w:i/>
          <w:iCs/>
          <w:szCs w:val="22"/>
          <w:lang w:val="es-ES_tradnl"/>
        </w:rPr>
      </w:pPr>
      <w:r w:rsidRPr="004857FD">
        <w:rPr>
          <w:rFonts w:ascii="Palatino Linotype" w:hAnsi="Palatino Linotype" w:eastAsia="Batang" w:cs="Tahoma"/>
          <w:bCs/>
          <w:i/>
          <w:iCs/>
          <w:szCs w:val="22"/>
          <w:lang w:val="es-ES_tradnl"/>
        </w:rPr>
        <w:t>…</w:t>
      </w:r>
    </w:p>
    <w:p w:rsidRPr="004857FD" w:rsidR="00265F4E" w:rsidP="001D1C9C" w:rsidRDefault="00265F4E" w14:paraId="3E547611" w14:textId="3EDC9E66">
      <w:pPr>
        <w:spacing w:line="360" w:lineRule="auto"/>
        <w:ind w:left="567" w:right="539"/>
        <w:jc w:val="both"/>
        <w:rPr>
          <w:rFonts w:ascii="Palatino Linotype" w:hAnsi="Palatino Linotype" w:eastAsia="Batang" w:cs="Tahoma"/>
          <w:bCs/>
          <w:i/>
          <w:iCs/>
          <w:szCs w:val="22"/>
          <w:lang w:val="es-ES_tradnl"/>
        </w:rPr>
      </w:pPr>
      <w:r w:rsidRPr="004857FD">
        <w:rPr>
          <w:rFonts w:ascii="Palatino Linotype" w:hAnsi="Palatino Linotype" w:eastAsia="Batang" w:cs="Tahoma"/>
          <w:bCs/>
          <w:i/>
          <w:iCs/>
          <w:szCs w:val="22"/>
          <w:lang w:val="es-ES_tradnl"/>
        </w:rPr>
        <w:t>Aunado a lo anterior, resulta importante señalar las documentales exigidas por el solicitante, es información que no fue requerida en la solicitud inicial, sino hasta la interposición del recurso, por lo que constituye una petición adicional o plus petitio, motivo por el cual los nuevos contenidos no podrán constituir materia del procedimiento a sustanciarse, tal como lo prevé el criterio emitido por el instituto Nacional de transparencia, acceso a la Información Pública y Protección de Datos Personales, número 01/17, que a la letra dice:</w:t>
      </w:r>
    </w:p>
    <w:p w:rsidRPr="004857FD" w:rsidR="00265F4E" w:rsidP="001D1C9C" w:rsidRDefault="00265F4E" w14:paraId="30B59110" w14:textId="14E8F62D">
      <w:pPr>
        <w:spacing w:line="360" w:lineRule="auto"/>
        <w:ind w:left="567" w:right="539"/>
        <w:jc w:val="both"/>
        <w:rPr>
          <w:rFonts w:ascii="Palatino Linotype" w:hAnsi="Palatino Linotype" w:eastAsia="Batang" w:cs="Tahoma"/>
          <w:bCs/>
          <w:i/>
          <w:iCs/>
          <w:szCs w:val="22"/>
          <w:lang w:val="es-ES_tradnl"/>
        </w:rPr>
      </w:pPr>
      <w:r w:rsidRPr="004857FD">
        <w:rPr>
          <w:rFonts w:ascii="Palatino Linotype" w:hAnsi="Palatino Linotype" w:eastAsia="Batang" w:cs="Tahoma"/>
          <w:bCs/>
          <w:i/>
          <w:iCs/>
          <w:szCs w:val="22"/>
          <w:lang w:val="es-ES_tradnl"/>
        </w:rPr>
        <w:t>…</w:t>
      </w:r>
    </w:p>
    <w:p w:rsidRPr="004857FD" w:rsidR="00265F4E" w:rsidP="001D1C9C" w:rsidRDefault="00265F4E" w14:paraId="4838E7E0" w14:textId="1B2A36B1">
      <w:pPr>
        <w:spacing w:line="360" w:lineRule="auto"/>
        <w:ind w:left="567" w:right="539"/>
        <w:jc w:val="both"/>
        <w:rPr>
          <w:rFonts w:ascii="Palatino Linotype" w:hAnsi="Palatino Linotype" w:eastAsia="Batang" w:cs="Tahoma"/>
          <w:b/>
          <w:bCs/>
          <w:i/>
          <w:iCs/>
          <w:szCs w:val="22"/>
          <w:u w:val="single"/>
          <w:lang w:val="es-ES_tradnl"/>
        </w:rPr>
      </w:pPr>
      <w:r w:rsidRPr="004857FD">
        <w:rPr>
          <w:rFonts w:ascii="Palatino Linotype" w:hAnsi="Palatino Linotype" w:eastAsia="Batang" w:cs="Tahoma"/>
          <w:b/>
          <w:bCs/>
          <w:i/>
          <w:iCs/>
          <w:szCs w:val="22"/>
          <w:u w:val="single"/>
          <w:lang w:val="es-ES_tradnl"/>
        </w:rPr>
        <w:t>DIRECCIÓN DE RECURSOS MATERIALES Y SERVICIOS</w:t>
      </w:r>
    </w:p>
    <w:p w:rsidRPr="004857FD" w:rsidR="00265F4E" w:rsidP="001D1C9C" w:rsidRDefault="00265F4E" w14:paraId="1378C4FF" w14:textId="1146DD23">
      <w:pPr>
        <w:spacing w:line="360" w:lineRule="auto"/>
        <w:ind w:left="567" w:right="539"/>
        <w:jc w:val="both"/>
        <w:rPr>
          <w:rFonts w:ascii="Palatino Linotype" w:hAnsi="Palatino Linotype" w:eastAsia="Batang" w:cs="Tahoma"/>
          <w:b/>
          <w:bCs/>
          <w:i/>
          <w:iCs/>
          <w:szCs w:val="22"/>
          <w:lang w:val="es-ES_tradnl"/>
        </w:rPr>
      </w:pPr>
      <w:r w:rsidRPr="004857FD">
        <w:rPr>
          <w:rFonts w:ascii="Palatino Linotype" w:hAnsi="Palatino Linotype" w:eastAsia="Batang" w:cs="Tahoma"/>
          <w:b/>
          <w:bCs/>
          <w:i/>
          <w:iCs/>
          <w:szCs w:val="22"/>
          <w:lang w:val="es-ES_tradnl"/>
        </w:rPr>
        <w:t>…</w:t>
      </w:r>
    </w:p>
    <w:p w:rsidRPr="004857FD" w:rsidR="00265F4E" w:rsidP="001D1C9C" w:rsidRDefault="00265F4E" w14:paraId="669E3F3C" w14:textId="77777777">
      <w:pPr>
        <w:spacing w:line="360" w:lineRule="auto"/>
        <w:ind w:left="567" w:right="539"/>
        <w:jc w:val="both"/>
        <w:rPr>
          <w:rFonts w:ascii="Palatino Linotype" w:hAnsi="Palatino Linotype" w:eastAsia="Batang" w:cs="Tahoma"/>
          <w:b/>
          <w:bCs/>
          <w:i/>
          <w:iCs/>
          <w:szCs w:val="22"/>
          <w:u w:val="single"/>
          <w:lang w:val="es-ES_tradnl"/>
        </w:rPr>
      </w:pPr>
    </w:p>
    <w:p w:rsidRPr="004857FD" w:rsidR="00265F4E" w:rsidP="001D1C9C" w:rsidRDefault="00265F4E" w14:paraId="3D80E5CA" w14:textId="1B52CE43">
      <w:pPr>
        <w:spacing w:line="360" w:lineRule="auto"/>
        <w:ind w:left="567" w:right="539"/>
        <w:jc w:val="both"/>
        <w:rPr>
          <w:rFonts w:ascii="Palatino Linotype" w:hAnsi="Palatino Linotype" w:eastAsia="Batang" w:cs="Tahoma"/>
          <w:bCs/>
          <w:i/>
          <w:iCs/>
          <w:szCs w:val="22"/>
          <w:lang w:val="es-ES_tradnl"/>
        </w:rPr>
      </w:pPr>
      <w:r w:rsidRPr="004857FD">
        <w:rPr>
          <w:rFonts w:ascii="Palatino Linotype" w:hAnsi="Palatino Linotype" w:eastAsia="Batang" w:cs="Tahoma"/>
          <w:bCs/>
          <w:i/>
          <w:iCs/>
          <w:szCs w:val="22"/>
          <w:lang w:val="es-ES_tradnl"/>
        </w:rPr>
        <w:t>Primeramente, es menester precisar que resulta de explorado que el número de procedimientos adquisitivas realizados en un determinado momento correspondiente a un ejercicio fiscal, no debe estar obligadamente relacionado con el número de proveedores que forman parte del Padrón de Proveedores de esta Comisión, tal y como se puede observar en el marco jurídico de aplicación al ejercicio de los recursos públicos asignados a esta Defensoría de Habitantes, de ahí que el aseverar que “… en su propia información refieren que se realizaron más de 8 procedimientos de adquisición, los cuales no son reflejados en el padrón de proveedores que se informa que se encuentran en la liga anexada.”(Sic).</w:t>
      </w:r>
    </w:p>
    <w:p w:rsidRPr="004857FD" w:rsidR="00265F4E" w:rsidP="001D1C9C" w:rsidRDefault="00265F4E" w14:paraId="7FAFEE38" w14:textId="77777777">
      <w:pPr>
        <w:spacing w:line="360" w:lineRule="auto"/>
        <w:ind w:left="567" w:right="539"/>
        <w:jc w:val="both"/>
        <w:rPr>
          <w:rFonts w:ascii="Palatino Linotype" w:hAnsi="Palatino Linotype" w:eastAsia="Batang" w:cs="Tahoma"/>
          <w:bCs/>
          <w:i/>
          <w:iCs/>
          <w:szCs w:val="22"/>
          <w:lang w:val="es-ES_tradnl"/>
        </w:rPr>
      </w:pPr>
    </w:p>
    <w:p w:rsidRPr="004857FD" w:rsidR="00265F4E" w:rsidP="001D1C9C" w:rsidRDefault="00265F4E" w14:paraId="52BF93D1" w14:textId="7E8ACB85">
      <w:pPr>
        <w:spacing w:line="360" w:lineRule="auto"/>
        <w:ind w:left="567" w:right="539"/>
        <w:jc w:val="both"/>
        <w:rPr>
          <w:rFonts w:ascii="Palatino Linotype" w:hAnsi="Palatino Linotype" w:eastAsia="Batang" w:cs="Tahoma"/>
          <w:bCs/>
          <w:i/>
          <w:iCs/>
          <w:szCs w:val="22"/>
          <w:lang w:val="es-ES_tradnl"/>
        </w:rPr>
      </w:pPr>
      <w:r w:rsidRPr="004857FD">
        <w:rPr>
          <w:rFonts w:ascii="Palatino Linotype" w:hAnsi="Palatino Linotype" w:eastAsia="Batang" w:cs="Tahoma"/>
          <w:bCs/>
          <w:i/>
          <w:iCs/>
          <w:szCs w:val="22"/>
          <w:lang w:val="es-ES_tradnl"/>
        </w:rPr>
        <w:t xml:space="preserve">Es de mencionar que el ahorra recurrente pone en dicho lo señalado por esta Dirección de Recursos Materiales y Servicios, cuestionando la veracidad de la información que </w:t>
      </w:r>
      <w:r w:rsidRPr="004857FD" w:rsidR="00787007">
        <w:rPr>
          <w:rFonts w:ascii="Palatino Linotype" w:hAnsi="Palatino Linotype" w:eastAsia="Batang" w:cs="Tahoma"/>
          <w:bCs/>
          <w:i/>
          <w:iCs/>
          <w:szCs w:val="22"/>
          <w:lang w:val="es-ES_tradnl"/>
        </w:rPr>
        <w:t>l</w:t>
      </w:r>
      <w:r w:rsidRPr="004857FD">
        <w:rPr>
          <w:rFonts w:ascii="Palatino Linotype" w:hAnsi="Palatino Linotype" w:eastAsia="Batang" w:cs="Tahoma"/>
          <w:bCs/>
          <w:i/>
          <w:iCs/>
          <w:szCs w:val="22"/>
          <w:lang w:val="es-ES_tradnl"/>
        </w:rPr>
        <w:t>e fue entregada, siendo que ni el máximo Órgano Garante se encuentra facultado para dudar de la veracidad de las respuestas esgrimidas por los sujetos obligados, pue son existe precepto legal alguno en la Ley de la Materia que se permita que, vía recurso de revisión, se pronuncie al respecto.</w:t>
      </w:r>
    </w:p>
    <w:p w:rsidRPr="004857FD" w:rsidR="001D1C9C" w:rsidP="001D1C9C" w:rsidRDefault="00265F4E" w14:paraId="5ABA6B7E" w14:textId="604CB3A3">
      <w:pPr>
        <w:spacing w:line="360" w:lineRule="auto"/>
        <w:ind w:left="567" w:right="539"/>
        <w:jc w:val="both"/>
        <w:rPr>
          <w:rFonts w:ascii="Palatino Linotype" w:hAnsi="Palatino Linotype" w:eastAsia="Batang" w:cs="Tahoma"/>
          <w:bCs/>
          <w:i/>
          <w:iCs/>
          <w:szCs w:val="22"/>
          <w:lang w:val="es-ES_tradnl"/>
        </w:rPr>
      </w:pPr>
      <w:r w:rsidRPr="004857FD">
        <w:rPr>
          <w:rFonts w:ascii="Palatino Linotype" w:hAnsi="Palatino Linotype" w:eastAsia="Batang" w:cs="Tahoma"/>
          <w:bCs/>
          <w:i/>
          <w:iCs/>
          <w:szCs w:val="22"/>
          <w:lang w:val="es-ES_tradnl"/>
        </w:rPr>
        <w:t>…</w:t>
      </w:r>
      <w:r w:rsidRPr="004857FD" w:rsidR="00787007">
        <w:rPr>
          <w:rFonts w:ascii="Palatino Linotype" w:hAnsi="Palatino Linotype" w:eastAsia="Batang" w:cs="Tahoma"/>
          <w:bCs/>
          <w:i/>
          <w:iCs/>
          <w:szCs w:val="22"/>
          <w:lang w:val="es-ES_tradnl"/>
        </w:rPr>
        <w:t>”</w:t>
      </w:r>
    </w:p>
    <w:p w:rsidRPr="004857FD" w:rsidR="001D1C9C" w:rsidP="001D1C9C" w:rsidRDefault="001D1C9C" w14:paraId="3CBAA361" w14:textId="77777777">
      <w:pPr>
        <w:spacing w:line="360" w:lineRule="auto"/>
        <w:jc w:val="both"/>
        <w:rPr>
          <w:rFonts w:ascii="Palatino Linotype" w:hAnsi="Palatino Linotype" w:cs="Tahoma"/>
          <w:sz w:val="22"/>
          <w:szCs w:val="22"/>
        </w:rPr>
      </w:pPr>
    </w:p>
    <w:p w:rsidRPr="004857FD" w:rsidR="001D1C9C" w:rsidP="001D1C9C" w:rsidRDefault="001D1C9C" w14:paraId="5F1A9B93" w14:textId="37EA0B8D">
      <w:pPr>
        <w:spacing w:line="360" w:lineRule="auto"/>
        <w:jc w:val="both"/>
        <w:rPr>
          <w:rFonts w:ascii="Palatino Linotype" w:hAnsi="Palatino Linotype" w:cs="Tahoma"/>
          <w:sz w:val="22"/>
          <w:szCs w:val="22"/>
        </w:rPr>
      </w:pPr>
      <w:r w:rsidRPr="004857FD">
        <w:rPr>
          <w:rFonts w:ascii="Palatino Linotype" w:hAnsi="Palatino Linotype" w:cs="Tahoma"/>
          <w:b/>
          <w:sz w:val="22"/>
          <w:szCs w:val="22"/>
        </w:rPr>
        <w:t>d). Vista del Informe Justificado</w:t>
      </w:r>
      <w:r w:rsidRPr="004857FD">
        <w:rPr>
          <w:rFonts w:ascii="Palatino Linotype" w:hAnsi="Palatino Linotype" w:cs="Tahoma"/>
          <w:sz w:val="22"/>
          <w:szCs w:val="22"/>
        </w:rPr>
        <w:t xml:space="preserve">. El </w:t>
      </w:r>
      <w:r w:rsidRPr="004857FD" w:rsidR="00787007">
        <w:rPr>
          <w:rFonts w:ascii="Palatino Linotype" w:hAnsi="Palatino Linotype" w:cs="Tahoma"/>
          <w:sz w:val="22"/>
          <w:szCs w:val="22"/>
        </w:rPr>
        <w:t xml:space="preserve">quince de marzo </w:t>
      </w:r>
      <w:r w:rsidRPr="004857FD" w:rsidR="00E95147">
        <w:rPr>
          <w:rFonts w:ascii="Palatino Linotype" w:hAnsi="Palatino Linotype" w:cs="Tahoma"/>
          <w:sz w:val="22"/>
          <w:szCs w:val="22"/>
        </w:rPr>
        <w:t>de dos mil veinti</w:t>
      </w:r>
      <w:r w:rsidRPr="004857FD" w:rsidR="00787007">
        <w:rPr>
          <w:rFonts w:ascii="Palatino Linotype" w:hAnsi="Palatino Linotype" w:cs="Tahoma"/>
          <w:sz w:val="22"/>
          <w:szCs w:val="22"/>
        </w:rPr>
        <w:t>trés</w:t>
      </w:r>
      <w:r w:rsidRPr="004857FD">
        <w:rPr>
          <w:rFonts w:ascii="Palatino Linotype" w:hAnsi="Palatino Linotype" w:cs="Tahoma"/>
          <w:sz w:val="22"/>
          <w:szCs w:val="22"/>
        </w:rPr>
        <w:t xml:space="preserve">, se dictó acuerdo mediante el cual se puso a la vista del Particular, el Informe Justificado, el cual le fue notificado, en esa misma fecha, a través del Sistema de Acceso a la Información Mexiquense (SAIMEX). </w:t>
      </w:r>
      <w:r w:rsidRPr="004857FD" w:rsidR="00787007">
        <w:rPr>
          <w:rFonts w:ascii="Palatino Linotype" w:hAnsi="Palatino Linotype" w:cs="Tahoma"/>
          <w:sz w:val="22"/>
          <w:szCs w:val="22"/>
        </w:rPr>
        <w:t>No obstante, el Particular fue omiso en realizar manifestación alguna que a su derecho asistiera.</w:t>
      </w:r>
    </w:p>
    <w:p w:rsidRPr="004857FD" w:rsidR="006127B0" w:rsidP="001D1C9C" w:rsidRDefault="006127B0" w14:paraId="1ACF405B" w14:textId="77777777">
      <w:pPr>
        <w:spacing w:line="360" w:lineRule="auto"/>
        <w:jc w:val="both"/>
        <w:rPr>
          <w:rFonts w:ascii="Palatino Linotype" w:hAnsi="Palatino Linotype" w:cs="Tahoma"/>
          <w:sz w:val="22"/>
          <w:szCs w:val="22"/>
        </w:rPr>
      </w:pPr>
    </w:p>
    <w:p w:rsidRPr="004857FD" w:rsidR="00A80EE1" w:rsidP="00A80EE1" w:rsidRDefault="00382EE8" w14:paraId="768B3110" w14:textId="6C9BAF99">
      <w:pPr>
        <w:spacing w:line="360" w:lineRule="auto"/>
        <w:jc w:val="both"/>
        <w:rPr>
          <w:rFonts w:ascii="Palatino Linotype" w:hAnsi="Palatino Linotype" w:cs="Tahoma"/>
          <w:sz w:val="22"/>
          <w:szCs w:val="24"/>
          <w:lang w:val="es-ES"/>
        </w:rPr>
      </w:pPr>
      <w:r w:rsidRPr="004857FD">
        <w:rPr>
          <w:rFonts w:ascii="Palatino Linotype" w:hAnsi="Palatino Linotype" w:cs="Tahoma"/>
          <w:b/>
          <w:sz w:val="22"/>
          <w:szCs w:val="24"/>
        </w:rPr>
        <w:t>e</w:t>
      </w:r>
      <w:r w:rsidRPr="004857FD" w:rsidR="00A80EE1">
        <w:rPr>
          <w:rFonts w:ascii="Palatino Linotype" w:hAnsi="Palatino Linotype" w:cs="Tahoma"/>
          <w:b/>
          <w:sz w:val="22"/>
          <w:szCs w:val="24"/>
        </w:rPr>
        <w:t xml:space="preserve">) </w:t>
      </w:r>
      <w:r w:rsidRPr="004857FD" w:rsidR="00A80EE1">
        <w:rPr>
          <w:rFonts w:ascii="Palatino Linotype" w:hAnsi="Palatino Linotype" w:cs="Tahoma"/>
          <w:b/>
          <w:bCs/>
          <w:sz w:val="22"/>
          <w:szCs w:val="24"/>
          <w:lang w:val="es-ES"/>
        </w:rPr>
        <w:t xml:space="preserve">Ampliación del plazo para resolver: </w:t>
      </w:r>
      <w:r w:rsidRPr="004857FD" w:rsidR="00A80EE1">
        <w:rPr>
          <w:rFonts w:ascii="Palatino Linotype" w:hAnsi="Palatino Linotype" w:cs="Tahoma"/>
          <w:sz w:val="22"/>
          <w:szCs w:val="24"/>
          <w:lang w:val="es-ES"/>
        </w:rPr>
        <w:t xml:space="preserve">El </w:t>
      </w:r>
      <w:r w:rsidRPr="004857FD" w:rsidR="00787007">
        <w:rPr>
          <w:rFonts w:ascii="Palatino Linotype" w:hAnsi="Palatino Linotype" w:cs="Tahoma"/>
          <w:sz w:val="22"/>
          <w:szCs w:val="24"/>
          <w:lang w:val="es-ES"/>
        </w:rPr>
        <w:t>catorce</w:t>
      </w:r>
      <w:r w:rsidRPr="004857FD">
        <w:rPr>
          <w:rFonts w:ascii="Palatino Linotype" w:hAnsi="Palatino Linotype" w:cs="Tahoma"/>
          <w:sz w:val="22"/>
          <w:szCs w:val="24"/>
          <w:lang w:val="es-ES"/>
        </w:rPr>
        <w:t xml:space="preserve"> de noviembre</w:t>
      </w:r>
      <w:r w:rsidRPr="004857FD" w:rsidR="00A80EE1">
        <w:rPr>
          <w:rFonts w:ascii="Palatino Linotype" w:hAnsi="Palatino Linotype" w:cs="Tahoma"/>
          <w:sz w:val="22"/>
          <w:szCs w:val="24"/>
          <w:lang w:val="es-ES"/>
        </w:rPr>
        <w:t xml:space="preserve"> del </w:t>
      </w:r>
      <w:r w:rsidRPr="004857FD">
        <w:rPr>
          <w:rFonts w:ascii="Palatino Linotype" w:hAnsi="Palatino Linotype" w:cs="Tahoma"/>
          <w:sz w:val="22"/>
          <w:szCs w:val="24"/>
          <w:lang w:val="es-ES"/>
        </w:rPr>
        <w:t>dos mil veintidós</w:t>
      </w:r>
      <w:r w:rsidRPr="004857FD" w:rsidR="00A80EE1">
        <w:rPr>
          <w:rFonts w:ascii="Palatino Linotype" w:hAnsi="Palatino Linotype" w:cs="Tahoma"/>
          <w:sz w:val="22"/>
          <w:szCs w:val="24"/>
          <w:lang w:val="es-ES"/>
        </w:rPr>
        <w:t>,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mismo día de su emisión.</w:t>
      </w:r>
    </w:p>
    <w:p w:rsidRPr="004857FD" w:rsidR="00A80EE1" w:rsidP="00A80EE1" w:rsidRDefault="00A80EE1" w14:paraId="54E62347" w14:textId="77777777">
      <w:pPr>
        <w:spacing w:line="360" w:lineRule="auto"/>
        <w:jc w:val="both"/>
        <w:rPr>
          <w:rFonts w:ascii="Palatino Linotype" w:hAnsi="Palatino Linotype" w:eastAsia="Batang" w:cs="Tahoma"/>
          <w:b/>
          <w:bCs/>
          <w:sz w:val="22"/>
          <w:szCs w:val="22"/>
          <w:lang w:val="es-ES_tradnl"/>
        </w:rPr>
      </w:pPr>
    </w:p>
    <w:p w:rsidRPr="004857FD" w:rsidR="00A80EE1" w:rsidP="00A80EE1" w:rsidRDefault="00A80EE1" w14:paraId="1BE44D5C" w14:textId="77777777">
      <w:pPr>
        <w:spacing w:line="360" w:lineRule="auto"/>
        <w:jc w:val="both"/>
        <w:rPr>
          <w:rFonts w:ascii="Palatino Linotype" w:hAnsi="Palatino Linotype" w:eastAsia="Batang" w:cs="Tahoma"/>
          <w:bCs/>
          <w:sz w:val="22"/>
          <w:szCs w:val="22"/>
          <w:lang w:val="es-ES_tradnl"/>
        </w:rPr>
      </w:pPr>
      <w:r w:rsidRPr="004857FD">
        <w:rPr>
          <w:rFonts w:ascii="Palatino Linotype" w:hAnsi="Palatino Linotype" w:eastAsia="Batang" w:cs="Tahoma"/>
          <w:bCs/>
          <w:sz w:val="22"/>
          <w:szCs w:val="22"/>
          <w:lang w:val="es-ES_tradn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4857FD" w:rsidR="00A80EE1" w:rsidP="00A80EE1" w:rsidRDefault="00A80EE1" w14:paraId="207891D9" w14:textId="77777777">
      <w:pPr>
        <w:spacing w:line="360" w:lineRule="auto"/>
        <w:jc w:val="both"/>
        <w:rPr>
          <w:rFonts w:ascii="Palatino Linotype" w:hAnsi="Palatino Linotype" w:eastAsia="Batang" w:cs="Tahoma"/>
          <w:bCs/>
          <w:sz w:val="22"/>
          <w:szCs w:val="22"/>
          <w:lang w:val="es-ES_tradnl"/>
        </w:rPr>
      </w:pPr>
      <w:r w:rsidRPr="004857FD">
        <w:rPr>
          <w:rFonts w:ascii="Palatino Linotype" w:hAnsi="Palatino Linotype" w:eastAsia="Batang" w:cs="Tahoma"/>
          <w:bCs/>
          <w:sz w:val="22"/>
          <w:szCs w:val="22"/>
          <w:lang w:val="es-ES_tradnl"/>
        </w:rPr>
        <w:t xml:space="preserve"> </w:t>
      </w:r>
    </w:p>
    <w:p w:rsidRPr="004857FD" w:rsidR="00A80EE1" w:rsidP="00A80EE1" w:rsidRDefault="00A80EE1" w14:paraId="4C7FF9FD" w14:textId="77777777">
      <w:pPr>
        <w:spacing w:line="360" w:lineRule="auto"/>
        <w:jc w:val="both"/>
        <w:rPr>
          <w:rFonts w:ascii="Palatino Linotype" w:hAnsi="Palatino Linotype" w:eastAsia="Batang" w:cs="Tahoma"/>
          <w:bCs/>
          <w:sz w:val="22"/>
          <w:szCs w:val="22"/>
          <w:lang w:val="es-ES_tradnl"/>
        </w:rPr>
      </w:pPr>
      <w:r w:rsidRPr="004857FD">
        <w:rPr>
          <w:rFonts w:ascii="Palatino Linotype" w:hAnsi="Palatino Linotype" w:eastAsia="Batang" w:cs="Tahoma"/>
          <w:bCs/>
          <w:sz w:val="22"/>
          <w:szCs w:val="22"/>
          <w:lang w:val="es-ES_tradn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4857FD" w:rsidR="00A80EE1" w:rsidP="00A80EE1" w:rsidRDefault="00A80EE1" w14:paraId="64A635AD" w14:textId="77777777">
      <w:pPr>
        <w:spacing w:line="360" w:lineRule="auto"/>
        <w:jc w:val="both"/>
        <w:rPr>
          <w:rFonts w:ascii="Palatino Linotype" w:hAnsi="Palatino Linotype" w:eastAsia="Batang" w:cs="Tahoma"/>
          <w:bCs/>
          <w:sz w:val="22"/>
          <w:szCs w:val="22"/>
          <w:lang w:val="es-ES_tradnl"/>
        </w:rPr>
      </w:pPr>
      <w:r w:rsidRPr="004857FD">
        <w:rPr>
          <w:rFonts w:ascii="Palatino Linotype" w:hAnsi="Palatino Linotype" w:eastAsia="Batang" w:cs="Tahoma"/>
          <w:bCs/>
          <w:sz w:val="22"/>
          <w:szCs w:val="22"/>
          <w:lang w:val="es-ES_tradnl"/>
        </w:rPr>
        <w:t xml:space="preserve"> </w:t>
      </w:r>
    </w:p>
    <w:p w:rsidRPr="004857FD" w:rsidR="00A80EE1" w:rsidP="00A80EE1" w:rsidRDefault="00A80EE1" w14:paraId="576614B9" w14:textId="77777777">
      <w:pPr>
        <w:spacing w:line="360" w:lineRule="auto"/>
        <w:jc w:val="both"/>
        <w:rPr>
          <w:rFonts w:ascii="Palatino Linotype" w:hAnsi="Palatino Linotype" w:eastAsia="Batang" w:cs="Tahoma"/>
          <w:bCs/>
          <w:sz w:val="22"/>
          <w:szCs w:val="22"/>
          <w:lang w:val="es-ES_tradnl"/>
        </w:rPr>
      </w:pPr>
      <w:r w:rsidRPr="004857FD">
        <w:rPr>
          <w:rFonts w:ascii="Palatino Linotype" w:hAnsi="Palatino Linotype" w:eastAsia="Batang" w:cs="Tahoma"/>
          <w:bCs/>
          <w:sz w:val="22"/>
          <w:szCs w:val="22"/>
          <w:lang w:val="es-ES_tradnl"/>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4857FD" w:rsidR="00A80EE1" w:rsidP="00A80EE1" w:rsidRDefault="00A80EE1" w14:paraId="0235E61C" w14:textId="77777777">
      <w:pPr>
        <w:spacing w:line="360" w:lineRule="auto"/>
        <w:jc w:val="both"/>
        <w:rPr>
          <w:rFonts w:ascii="Palatino Linotype" w:hAnsi="Palatino Linotype" w:eastAsia="Batang" w:cs="Tahoma"/>
          <w:bCs/>
          <w:sz w:val="22"/>
          <w:szCs w:val="22"/>
          <w:lang w:val="es-ES_tradnl"/>
        </w:rPr>
      </w:pPr>
      <w:r w:rsidRPr="004857FD">
        <w:rPr>
          <w:rFonts w:ascii="Palatino Linotype" w:hAnsi="Palatino Linotype" w:eastAsia="Batang" w:cs="Tahoma"/>
          <w:bCs/>
          <w:sz w:val="22"/>
          <w:szCs w:val="22"/>
          <w:lang w:val="es-ES_tradnl"/>
        </w:rPr>
        <w:t xml:space="preserve"> </w:t>
      </w:r>
    </w:p>
    <w:p w:rsidRPr="004857FD" w:rsidR="00A80EE1" w:rsidP="00A80EE1" w:rsidRDefault="00A80EE1" w14:paraId="68C97F09" w14:textId="77777777">
      <w:pPr>
        <w:spacing w:line="360" w:lineRule="auto"/>
        <w:jc w:val="both"/>
        <w:rPr>
          <w:rFonts w:ascii="Palatino Linotype" w:hAnsi="Palatino Linotype" w:eastAsia="Batang" w:cs="Tahoma"/>
          <w:bCs/>
          <w:sz w:val="22"/>
          <w:szCs w:val="22"/>
          <w:lang w:val="es-ES_tradnl"/>
        </w:rPr>
      </w:pPr>
      <w:r w:rsidRPr="004857FD">
        <w:rPr>
          <w:rFonts w:ascii="Palatino Linotype" w:hAnsi="Palatino Linotype" w:eastAsia="Batang" w:cs="Tahoma"/>
          <w:bCs/>
          <w:sz w:val="22"/>
          <w:szCs w:val="22"/>
          <w:lang w:val="es-ES_tradn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4857FD" w:rsidR="00A80EE1" w:rsidP="00A80EE1" w:rsidRDefault="00A80EE1" w14:paraId="151B6553" w14:textId="77777777">
      <w:pPr>
        <w:spacing w:line="360" w:lineRule="auto"/>
        <w:jc w:val="both"/>
        <w:rPr>
          <w:rFonts w:ascii="Palatino Linotype" w:hAnsi="Palatino Linotype" w:eastAsia="Batang" w:cs="Tahoma"/>
          <w:bCs/>
          <w:sz w:val="22"/>
          <w:szCs w:val="22"/>
          <w:lang w:val="es-ES_tradnl"/>
        </w:rPr>
      </w:pPr>
      <w:r w:rsidRPr="004857FD">
        <w:rPr>
          <w:rFonts w:ascii="Palatino Linotype" w:hAnsi="Palatino Linotype" w:eastAsia="Batang" w:cs="Tahoma"/>
          <w:bCs/>
          <w:sz w:val="22"/>
          <w:szCs w:val="22"/>
          <w:lang w:val="es-ES_tradnl"/>
        </w:rPr>
        <w:t xml:space="preserve"> </w:t>
      </w:r>
    </w:p>
    <w:p w:rsidRPr="004857FD" w:rsidR="00A80EE1" w:rsidP="00A80EE1" w:rsidRDefault="00A80EE1" w14:paraId="570ADE98" w14:textId="77777777">
      <w:pPr>
        <w:spacing w:line="360" w:lineRule="auto"/>
        <w:jc w:val="both"/>
        <w:rPr>
          <w:rFonts w:ascii="Palatino Linotype" w:hAnsi="Palatino Linotype" w:eastAsia="Batang" w:cs="Tahoma"/>
          <w:bCs/>
          <w:sz w:val="22"/>
          <w:szCs w:val="22"/>
          <w:lang w:val="es-ES_tradnl"/>
        </w:rPr>
      </w:pPr>
      <w:r w:rsidRPr="004857FD">
        <w:rPr>
          <w:rFonts w:ascii="Palatino Linotype" w:hAnsi="Palatino Linotype" w:eastAsia="Batang" w:cs="Tahoma"/>
          <w:bCs/>
          <w:sz w:val="22"/>
          <w:szCs w:val="22"/>
          <w:lang w:val="es-ES_tradnl"/>
        </w:rPr>
        <w:t xml:space="preserve">Por ello, excepcionalmente, si un asunto es resuelto con posterioridad a los plazos señalados por la norma debe analizarse la razonabilidad del tiempo necesario para su resolución, atentos a los siguientes criterios:  </w:t>
      </w:r>
    </w:p>
    <w:p w:rsidRPr="004857FD" w:rsidR="00A80EE1" w:rsidP="00A80EE1" w:rsidRDefault="00A80EE1" w14:paraId="570A44F5" w14:textId="77777777">
      <w:pPr>
        <w:spacing w:line="360" w:lineRule="auto"/>
        <w:jc w:val="both"/>
        <w:rPr>
          <w:rFonts w:ascii="Palatino Linotype" w:hAnsi="Palatino Linotype" w:eastAsia="Batang" w:cs="Tahoma"/>
          <w:bCs/>
          <w:sz w:val="22"/>
          <w:szCs w:val="22"/>
          <w:lang w:val="es-ES_tradnl"/>
        </w:rPr>
      </w:pPr>
      <w:r w:rsidRPr="004857FD">
        <w:rPr>
          <w:rFonts w:ascii="Palatino Linotype" w:hAnsi="Palatino Linotype" w:eastAsia="Batang" w:cs="Tahoma"/>
          <w:bCs/>
          <w:sz w:val="22"/>
          <w:szCs w:val="22"/>
          <w:lang w:val="es-ES_tradnl"/>
        </w:rPr>
        <w:t xml:space="preserve"> </w:t>
      </w:r>
    </w:p>
    <w:p w:rsidRPr="004857FD" w:rsidR="00A80EE1" w:rsidP="00A80EE1" w:rsidRDefault="00A80EE1" w14:paraId="40045FBE" w14:textId="77777777">
      <w:pPr>
        <w:spacing w:line="360" w:lineRule="auto"/>
        <w:jc w:val="both"/>
        <w:rPr>
          <w:rFonts w:ascii="Palatino Linotype" w:hAnsi="Palatino Linotype" w:eastAsia="Batang" w:cs="Tahoma"/>
          <w:bCs/>
          <w:sz w:val="22"/>
          <w:szCs w:val="22"/>
          <w:lang w:val="es-ES_tradnl"/>
        </w:rPr>
      </w:pPr>
      <w:r w:rsidRPr="004857FD">
        <w:rPr>
          <w:rFonts w:ascii="Palatino Linotype" w:hAnsi="Palatino Linotype" w:eastAsia="Batang" w:cs="Tahoma"/>
          <w:bCs/>
          <w:sz w:val="22"/>
          <w:szCs w:val="22"/>
          <w:lang w:val="es-ES_tradnl"/>
        </w:rPr>
        <w:t>a) Complejidad del asunto: La complejidad de la prueba, la pluralidad de sujetos procesales, el tiempo transcurrido, las características y contexto del recurso.</w:t>
      </w:r>
    </w:p>
    <w:p w:rsidRPr="004857FD" w:rsidR="00A80EE1" w:rsidP="00A80EE1" w:rsidRDefault="00A80EE1" w14:paraId="02D9D5B7" w14:textId="77777777">
      <w:pPr>
        <w:spacing w:line="360" w:lineRule="auto"/>
        <w:jc w:val="both"/>
        <w:rPr>
          <w:rFonts w:ascii="Palatino Linotype" w:hAnsi="Palatino Linotype" w:eastAsia="Batang" w:cs="Tahoma"/>
          <w:bCs/>
          <w:sz w:val="22"/>
          <w:szCs w:val="22"/>
          <w:lang w:val="es-ES_tradnl"/>
        </w:rPr>
      </w:pPr>
      <w:r w:rsidRPr="004857FD">
        <w:rPr>
          <w:rFonts w:ascii="Palatino Linotype" w:hAnsi="Palatino Linotype" w:eastAsia="Batang" w:cs="Tahoma"/>
          <w:bCs/>
          <w:sz w:val="22"/>
          <w:szCs w:val="22"/>
          <w:lang w:val="es-ES_tradnl"/>
        </w:rPr>
        <w:t>b) Actividad Procesal del interesado: Acciones u omisiones del interesado.</w:t>
      </w:r>
    </w:p>
    <w:p w:rsidRPr="004857FD" w:rsidR="00A80EE1" w:rsidP="00A80EE1" w:rsidRDefault="00A80EE1" w14:paraId="79E89136" w14:textId="77777777">
      <w:pPr>
        <w:spacing w:line="360" w:lineRule="auto"/>
        <w:jc w:val="both"/>
        <w:rPr>
          <w:rFonts w:ascii="Palatino Linotype" w:hAnsi="Palatino Linotype" w:eastAsia="Batang" w:cs="Tahoma"/>
          <w:bCs/>
          <w:sz w:val="22"/>
          <w:szCs w:val="22"/>
          <w:lang w:val="es-ES_tradnl"/>
        </w:rPr>
      </w:pPr>
      <w:r w:rsidRPr="004857FD">
        <w:rPr>
          <w:rFonts w:ascii="Palatino Linotype" w:hAnsi="Palatino Linotype" w:eastAsia="Batang" w:cs="Tahoma"/>
          <w:bCs/>
          <w:sz w:val="22"/>
          <w:szCs w:val="22"/>
          <w:lang w:val="es-ES_tradnl"/>
        </w:rPr>
        <w:t>c) Conducta de la Autoridad: Las Acciones u omisiones realizadas en el procedimiento. Así como si la autoridad actuó con la debida diligencia.</w:t>
      </w:r>
    </w:p>
    <w:p w:rsidRPr="004857FD" w:rsidR="00A80EE1" w:rsidP="00A80EE1" w:rsidRDefault="00A80EE1" w14:paraId="6A17CC9D" w14:textId="77777777">
      <w:pPr>
        <w:spacing w:line="360" w:lineRule="auto"/>
        <w:jc w:val="both"/>
        <w:rPr>
          <w:rFonts w:ascii="Palatino Linotype" w:hAnsi="Palatino Linotype" w:eastAsia="Batang" w:cs="Tahoma"/>
          <w:bCs/>
          <w:sz w:val="22"/>
          <w:szCs w:val="22"/>
          <w:lang w:val="es-ES_tradnl"/>
        </w:rPr>
      </w:pPr>
      <w:r w:rsidRPr="004857FD">
        <w:rPr>
          <w:rFonts w:ascii="Palatino Linotype" w:hAnsi="Palatino Linotype" w:eastAsia="Batang" w:cs="Tahoma"/>
          <w:bCs/>
          <w:sz w:val="22"/>
          <w:szCs w:val="22"/>
          <w:lang w:val="es-ES_tradnl"/>
        </w:rPr>
        <w:t>d) La afectación generada en la situación jurídica de la persona involucrada en el proceso: Violación a sus derechos humanos.</w:t>
      </w:r>
    </w:p>
    <w:p w:rsidRPr="004857FD" w:rsidR="00A80EE1" w:rsidP="00A80EE1" w:rsidRDefault="00A80EE1" w14:paraId="2E118784" w14:textId="77777777">
      <w:pPr>
        <w:spacing w:line="360" w:lineRule="auto"/>
        <w:jc w:val="both"/>
        <w:rPr>
          <w:rFonts w:ascii="Palatino Linotype" w:hAnsi="Palatino Linotype" w:eastAsia="Batang" w:cs="Tahoma"/>
          <w:bCs/>
          <w:sz w:val="22"/>
          <w:szCs w:val="22"/>
          <w:lang w:val="es-ES_tradnl"/>
        </w:rPr>
      </w:pPr>
    </w:p>
    <w:p w:rsidRPr="004857FD" w:rsidR="00A80EE1" w:rsidP="00A80EE1" w:rsidRDefault="00A80EE1" w14:paraId="71889CAE" w14:textId="77777777">
      <w:pPr>
        <w:spacing w:line="360" w:lineRule="auto"/>
        <w:jc w:val="both"/>
        <w:rPr>
          <w:rFonts w:ascii="Palatino Linotype" w:hAnsi="Palatino Linotype" w:eastAsia="Batang" w:cs="Tahoma"/>
          <w:bCs/>
          <w:sz w:val="22"/>
          <w:szCs w:val="22"/>
          <w:lang w:val="es-ES_tradnl"/>
        </w:rPr>
      </w:pPr>
      <w:r w:rsidRPr="004857FD">
        <w:rPr>
          <w:rFonts w:ascii="Palatino Linotype" w:hAnsi="Palatino Linotype" w:eastAsia="Batang" w:cs="Tahoma"/>
          <w:bCs/>
          <w:sz w:val="22"/>
          <w:szCs w:val="22"/>
          <w:lang w:val="es-ES_tradn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4857FD" w:rsidR="00A80EE1" w:rsidP="00A80EE1" w:rsidRDefault="00A80EE1" w14:paraId="20EFB53A" w14:textId="77777777">
      <w:pPr>
        <w:spacing w:line="360" w:lineRule="auto"/>
        <w:jc w:val="both"/>
        <w:rPr>
          <w:rFonts w:ascii="Palatino Linotype" w:hAnsi="Palatino Linotype" w:eastAsia="Batang" w:cs="Tahoma"/>
          <w:bCs/>
          <w:sz w:val="22"/>
          <w:szCs w:val="22"/>
          <w:lang w:val="es-ES_tradnl"/>
        </w:rPr>
      </w:pPr>
      <w:r w:rsidRPr="004857FD">
        <w:rPr>
          <w:rFonts w:ascii="Palatino Linotype" w:hAnsi="Palatino Linotype" w:eastAsia="Batang" w:cs="Tahoma"/>
          <w:bCs/>
          <w:sz w:val="22"/>
          <w:szCs w:val="22"/>
          <w:lang w:val="es-ES_tradnl"/>
        </w:rPr>
        <w:t xml:space="preserve"> </w:t>
      </w:r>
    </w:p>
    <w:p w:rsidRPr="004857FD" w:rsidR="00A80EE1" w:rsidP="00A80EE1" w:rsidRDefault="00A80EE1" w14:paraId="270828D8" w14:textId="77777777">
      <w:pPr>
        <w:spacing w:line="360" w:lineRule="auto"/>
        <w:jc w:val="both"/>
        <w:rPr>
          <w:rFonts w:ascii="Palatino Linotype" w:hAnsi="Palatino Linotype" w:eastAsia="Batang" w:cs="Tahoma"/>
          <w:bCs/>
          <w:sz w:val="22"/>
          <w:szCs w:val="22"/>
          <w:lang w:val="es-ES_tradnl"/>
        </w:rPr>
      </w:pPr>
      <w:r w:rsidRPr="004857FD">
        <w:rPr>
          <w:rFonts w:ascii="Palatino Linotype" w:hAnsi="Palatino Linotype" w:eastAsia="Batang" w:cs="Tahoma"/>
          <w:bCs/>
          <w:sz w:val="22"/>
          <w:szCs w:val="22"/>
          <w:lang w:val="es-ES_tradnl"/>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Pr="004857FD" w:rsidR="003D2878" w:rsidP="00A80EE1" w:rsidRDefault="003D2878" w14:paraId="7DEDE9F7" w14:textId="77777777">
      <w:pPr>
        <w:spacing w:line="360" w:lineRule="auto"/>
        <w:jc w:val="both"/>
        <w:rPr>
          <w:rFonts w:ascii="Palatino Linotype" w:hAnsi="Palatino Linotype" w:eastAsia="Batang" w:cs="Tahoma"/>
          <w:bCs/>
          <w:sz w:val="22"/>
          <w:szCs w:val="22"/>
          <w:lang w:val="es-ES_tradnl"/>
        </w:rPr>
      </w:pPr>
    </w:p>
    <w:p w:rsidRPr="004857FD" w:rsidR="00A80EE1" w:rsidP="00A80EE1" w:rsidRDefault="00A80EE1" w14:paraId="328096FC" w14:textId="7375814A">
      <w:pPr>
        <w:spacing w:line="360" w:lineRule="auto"/>
        <w:jc w:val="both"/>
        <w:rPr>
          <w:rFonts w:ascii="Palatino Linotype" w:hAnsi="Palatino Linotype" w:eastAsia="Batang" w:cs="Tahoma"/>
          <w:bCs/>
          <w:sz w:val="22"/>
          <w:szCs w:val="22"/>
          <w:lang w:val="es-ES_tradnl"/>
        </w:rPr>
      </w:pPr>
      <w:r w:rsidRPr="004857FD">
        <w:rPr>
          <w:rFonts w:ascii="Palatino Linotype" w:hAnsi="Palatino Linotype" w:eastAsia="Batang" w:cs="Tahoma"/>
          <w:bCs/>
          <w:sz w:val="22"/>
          <w:szCs w:val="22"/>
          <w:lang w:val="es-ES_tradn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4857FD" w:rsidR="00A80EE1" w:rsidP="00A80EE1" w:rsidRDefault="00A80EE1" w14:paraId="0A2D2056" w14:textId="77777777">
      <w:pPr>
        <w:spacing w:line="360" w:lineRule="auto"/>
        <w:jc w:val="both"/>
        <w:rPr>
          <w:rFonts w:ascii="Palatino Linotype" w:hAnsi="Palatino Linotype" w:eastAsia="Batang" w:cs="Tahoma"/>
          <w:bCs/>
          <w:sz w:val="22"/>
          <w:szCs w:val="22"/>
          <w:lang w:val="es-ES_tradnl"/>
        </w:rPr>
      </w:pPr>
    </w:p>
    <w:p w:rsidRPr="004857FD" w:rsidR="00A80EE1" w:rsidP="00A80EE1" w:rsidRDefault="00A80EE1" w14:paraId="003E2E1B" w14:textId="77777777">
      <w:pPr>
        <w:spacing w:line="360" w:lineRule="auto"/>
        <w:jc w:val="both"/>
        <w:rPr>
          <w:rFonts w:ascii="Palatino Linotype" w:hAnsi="Palatino Linotype" w:eastAsia="Batang" w:cs="Tahoma"/>
          <w:bCs/>
          <w:sz w:val="22"/>
          <w:szCs w:val="22"/>
          <w:lang w:val="es-ES_tradnl"/>
        </w:rPr>
      </w:pPr>
      <w:r w:rsidRPr="004857FD">
        <w:rPr>
          <w:rFonts w:ascii="Palatino Linotype" w:hAnsi="Palatino Linotype" w:eastAsia="Batang" w:cs="Tahoma"/>
          <w:bCs/>
          <w:sz w:val="22"/>
          <w:szCs w:val="22"/>
          <w:lang w:val="es-ES_tradnl"/>
        </w:rPr>
        <w:t>Al respecto, también son de considerar los criterios sostenidos por el Cuarto Tribunal Colegiado en Materia Administrativa del Primer Circuito, cuyos rubros y datos de identificación son los siguientes:</w:t>
      </w:r>
    </w:p>
    <w:p w:rsidRPr="004857FD" w:rsidR="00A80EE1" w:rsidP="00A80EE1" w:rsidRDefault="00A80EE1" w14:paraId="6C7B7163" w14:textId="77777777">
      <w:pPr>
        <w:spacing w:line="360" w:lineRule="auto"/>
        <w:jc w:val="both"/>
        <w:rPr>
          <w:rFonts w:ascii="Palatino Linotype" w:hAnsi="Palatino Linotype" w:eastAsia="Batang" w:cs="Tahoma"/>
          <w:bCs/>
          <w:sz w:val="22"/>
          <w:szCs w:val="22"/>
          <w:lang w:val="es-ES_tradnl"/>
        </w:rPr>
      </w:pPr>
    </w:p>
    <w:p w:rsidRPr="004857FD" w:rsidR="00A80EE1" w:rsidP="00A80EE1" w:rsidRDefault="00A80EE1" w14:paraId="56B9C9EB" w14:textId="77777777">
      <w:pPr>
        <w:spacing w:line="360" w:lineRule="auto"/>
        <w:jc w:val="both"/>
        <w:rPr>
          <w:rFonts w:ascii="Palatino Linotype" w:hAnsi="Palatino Linotype" w:eastAsia="Batang" w:cs="Tahoma"/>
          <w:bCs/>
          <w:sz w:val="22"/>
          <w:szCs w:val="22"/>
          <w:lang w:val="es-ES_tradnl"/>
        </w:rPr>
      </w:pPr>
      <w:r w:rsidRPr="004857FD">
        <w:rPr>
          <w:rFonts w:ascii="Palatino Linotype" w:hAnsi="Palatino Linotype" w:eastAsia="Batang" w:cs="Tahoma"/>
          <w:bCs/>
          <w:sz w:val="22"/>
          <w:szCs w:val="22"/>
          <w:lang w:val="es-ES_tradnl"/>
        </w:rPr>
        <w:t>“PLAZO RAZONABLE PARA RESOLVER. DIMENSIÓN Y EFECTOS DE ESTE CONCEPTO CUANDO SE ADUCE EXCESIVA CARGA DE TRABAJO.” consultable en el Seminario Judicial de la Federación y su gaceta, con el registro digital 2002351.</w:t>
      </w:r>
    </w:p>
    <w:p w:rsidRPr="004857FD" w:rsidR="00A80EE1" w:rsidP="00A80EE1" w:rsidRDefault="00A80EE1" w14:paraId="30841443" w14:textId="77777777">
      <w:pPr>
        <w:spacing w:line="360" w:lineRule="auto"/>
        <w:jc w:val="both"/>
        <w:rPr>
          <w:rFonts w:ascii="Palatino Linotype" w:hAnsi="Palatino Linotype" w:eastAsia="Batang" w:cs="Tahoma"/>
          <w:bCs/>
          <w:sz w:val="22"/>
          <w:szCs w:val="22"/>
          <w:lang w:val="es-ES_tradnl"/>
        </w:rPr>
      </w:pPr>
    </w:p>
    <w:p w:rsidRPr="004857FD" w:rsidR="00A80EE1" w:rsidP="00A80EE1" w:rsidRDefault="00A80EE1" w14:paraId="560A2AA7" w14:textId="77777777">
      <w:pPr>
        <w:spacing w:line="360" w:lineRule="auto"/>
        <w:jc w:val="both"/>
        <w:rPr>
          <w:rFonts w:ascii="Palatino Linotype" w:hAnsi="Palatino Linotype" w:eastAsia="Batang" w:cs="Tahoma"/>
          <w:bCs/>
          <w:sz w:val="22"/>
          <w:szCs w:val="22"/>
          <w:lang w:val="es-ES_tradnl"/>
        </w:rPr>
      </w:pPr>
      <w:r w:rsidRPr="004857FD">
        <w:rPr>
          <w:rFonts w:ascii="Palatino Linotype" w:hAnsi="Palatino Linotype" w:eastAsia="Batang" w:cs="Tahoma"/>
          <w:bCs/>
          <w:sz w:val="22"/>
          <w:szCs w:val="22"/>
          <w:lang w:val="es-ES_tradnl"/>
        </w:rPr>
        <w:t xml:space="preserve">“PLAZO RAZONABLE PARA RESOLVER. CONCEPTO Y ELEMENTOS QUE LO INTEGRAN A LA LUZ DEL DERECHO INTERNACIONAL DE LOS DERECHOS </w:t>
      </w:r>
      <w:r w:rsidRPr="004857FD">
        <w:rPr>
          <w:rFonts w:ascii="Palatino Linotype" w:hAnsi="Palatino Linotype" w:eastAsia="Batang" w:cs="Tahoma"/>
          <w:bCs/>
          <w:sz w:val="22"/>
          <w:szCs w:val="22"/>
          <w:lang w:val="es-ES_tradnl"/>
        </w:rPr>
        <w:lastRenderedPageBreak/>
        <w:t>HUMANOS.”, visible en el Seminario Judicial de la Federación y su gaceta, con el registro digital 2002350.</w:t>
      </w:r>
    </w:p>
    <w:p w:rsidRPr="004857FD" w:rsidR="00A80EE1" w:rsidP="00A80EE1" w:rsidRDefault="00A80EE1" w14:paraId="5F131A1D" w14:textId="77777777">
      <w:pPr>
        <w:spacing w:line="360" w:lineRule="auto"/>
        <w:jc w:val="both"/>
        <w:rPr>
          <w:rFonts w:ascii="Palatino Linotype" w:hAnsi="Palatino Linotype" w:eastAsia="Batang" w:cs="Tahoma"/>
          <w:bCs/>
          <w:sz w:val="22"/>
          <w:szCs w:val="22"/>
          <w:lang w:val="es-ES_tradnl"/>
        </w:rPr>
      </w:pPr>
    </w:p>
    <w:p w:rsidRPr="004857FD" w:rsidR="00A80EE1" w:rsidP="00A80EE1" w:rsidRDefault="00A80EE1" w14:paraId="7ADDB561" w14:textId="77777777">
      <w:pPr>
        <w:spacing w:line="360" w:lineRule="auto"/>
        <w:jc w:val="both"/>
        <w:rPr>
          <w:rFonts w:ascii="Palatino Linotype" w:hAnsi="Palatino Linotype" w:eastAsia="Batang" w:cs="Tahoma"/>
          <w:bCs/>
          <w:sz w:val="22"/>
          <w:szCs w:val="22"/>
          <w:lang w:val="es-ES_tradnl"/>
        </w:rPr>
      </w:pPr>
      <w:r w:rsidRPr="004857FD">
        <w:rPr>
          <w:rFonts w:ascii="Palatino Linotype" w:hAnsi="Palatino Linotype" w:eastAsia="Batang" w:cs="Tahoma"/>
          <w:bCs/>
          <w:sz w:val="22"/>
          <w:szCs w:val="22"/>
          <w:lang w:val="es-ES_tradnl"/>
        </w:rPr>
        <w:t>Por ello, este organismo garante comprometido con la tutela de los derechos humanos confiados, señala que este exceso del plazo legal para resolver el presente asunto, resulta de carácter excepcional.</w:t>
      </w:r>
    </w:p>
    <w:p w:rsidRPr="004857FD" w:rsidR="00A80EE1" w:rsidP="001D1C9C" w:rsidRDefault="00A80EE1" w14:paraId="26844B31" w14:textId="77777777">
      <w:pPr>
        <w:spacing w:line="360" w:lineRule="auto"/>
        <w:jc w:val="both"/>
        <w:rPr>
          <w:rFonts w:ascii="Palatino Linotype" w:hAnsi="Palatino Linotype" w:cs="Tahoma"/>
          <w:b/>
          <w:bCs/>
          <w:sz w:val="22"/>
          <w:szCs w:val="22"/>
        </w:rPr>
      </w:pPr>
    </w:p>
    <w:p w:rsidRPr="004857FD" w:rsidR="00ED5DF5" w:rsidP="00147516" w:rsidRDefault="00382EE8" w14:paraId="3C456181" w14:textId="2C9EBA69">
      <w:pPr>
        <w:spacing w:line="360" w:lineRule="auto"/>
        <w:jc w:val="both"/>
        <w:rPr>
          <w:rFonts w:ascii="Palatino Linotype" w:hAnsi="Palatino Linotype" w:cs="Tahoma"/>
          <w:sz w:val="22"/>
          <w:szCs w:val="22"/>
        </w:rPr>
      </w:pPr>
      <w:r w:rsidRPr="004857FD">
        <w:rPr>
          <w:rFonts w:ascii="Palatino Linotype" w:hAnsi="Palatino Linotype" w:eastAsia="Batang" w:cs="Tahoma"/>
          <w:b/>
          <w:bCs/>
          <w:sz w:val="22"/>
          <w:szCs w:val="22"/>
          <w:lang w:val="es-ES_tradnl"/>
        </w:rPr>
        <w:t>f</w:t>
      </w:r>
      <w:r w:rsidRPr="004857FD" w:rsidR="00C3485C">
        <w:rPr>
          <w:rFonts w:ascii="Palatino Linotype" w:hAnsi="Palatino Linotype" w:eastAsia="Batang" w:cs="Tahoma"/>
          <w:b/>
          <w:bCs/>
          <w:sz w:val="22"/>
          <w:szCs w:val="22"/>
          <w:lang w:val="es-ES_tradnl"/>
        </w:rPr>
        <w:t xml:space="preserve">) </w:t>
      </w:r>
      <w:r w:rsidRPr="004857FD" w:rsidR="00ED5DF5">
        <w:rPr>
          <w:rFonts w:ascii="Palatino Linotype" w:hAnsi="Palatino Linotype" w:cs="Tahoma"/>
          <w:b/>
          <w:bCs/>
          <w:sz w:val="22"/>
          <w:szCs w:val="22"/>
        </w:rPr>
        <w:t xml:space="preserve">Cierre de instrucción. </w:t>
      </w:r>
      <w:r w:rsidRPr="004857FD" w:rsidR="00ED5DF5">
        <w:rPr>
          <w:rFonts w:ascii="Palatino Linotype" w:hAnsi="Palatino Linotype" w:cs="Tahoma"/>
          <w:sz w:val="22"/>
          <w:szCs w:val="22"/>
        </w:rPr>
        <w:t>El</w:t>
      </w:r>
      <w:r w:rsidRPr="004857FD" w:rsidR="000F437A">
        <w:rPr>
          <w:rFonts w:ascii="Palatino Linotype" w:hAnsi="Palatino Linotype" w:cs="Tahoma"/>
          <w:sz w:val="22"/>
          <w:szCs w:val="22"/>
        </w:rPr>
        <w:t xml:space="preserve"> </w:t>
      </w:r>
      <w:r w:rsidRPr="004857FD" w:rsidR="00787007">
        <w:rPr>
          <w:rFonts w:ascii="Palatino Linotype" w:hAnsi="Palatino Linotype" w:cs="Tahoma"/>
          <w:sz w:val="22"/>
          <w:szCs w:val="22"/>
        </w:rPr>
        <w:t xml:space="preserve">veinticuatro </w:t>
      </w:r>
      <w:r w:rsidRPr="004857FD" w:rsidR="00815DA9">
        <w:rPr>
          <w:rFonts w:ascii="Palatino Linotype" w:hAnsi="Palatino Linotype" w:cs="Tahoma"/>
          <w:sz w:val="22"/>
          <w:szCs w:val="22"/>
        </w:rPr>
        <w:t>de marzo</w:t>
      </w:r>
      <w:r w:rsidRPr="004857FD" w:rsidR="00E95147">
        <w:rPr>
          <w:rFonts w:ascii="Palatino Linotype" w:hAnsi="Palatino Linotype" w:cs="Tahoma"/>
          <w:sz w:val="22"/>
          <w:szCs w:val="22"/>
        </w:rPr>
        <w:t xml:space="preserve"> de dos mil veintitrés</w:t>
      </w:r>
      <w:r w:rsidRPr="004857FD" w:rsidR="00ED5DF5">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Pr="004857FD" w:rsidR="000F437A">
        <w:rPr>
          <w:rFonts w:ascii="Palatino Linotype" w:hAnsi="Palatino Linotype" w:cs="Tahoma"/>
          <w:sz w:val="22"/>
          <w:szCs w:val="22"/>
        </w:rPr>
        <w:t>el mismo día</w:t>
      </w:r>
      <w:r w:rsidRPr="004857FD" w:rsidR="00ED5DF5">
        <w:rPr>
          <w:rFonts w:ascii="Palatino Linotype" w:hAnsi="Palatino Linotype" w:cs="Tahoma"/>
          <w:sz w:val="22"/>
          <w:szCs w:val="22"/>
        </w:rPr>
        <w:t xml:space="preserve">, a través del </w:t>
      </w:r>
      <w:r w:rsidRPr="004857FD" w:rsidR="00ED5DF5">
        <w:rPr>
          <w:rFonts w:ascii="Palatino Linotype" w:hAnsi="Palatino Linotype" w:cs="Tahoma"/>
          <w:sz w:val="22"/>
          <w:szCs w:val="22"/>
          <w:lang w:val="es-ES"/>
        </w:rPr>
        <w:t>Sistema de Acceso a la Información Mexiquense (SAIMEX)</w:t>
      </w:r>
      <w:r w:rsidRPr="004857FD" w:rsidR="00ED5DF5">
        <w:rPr>
          <w:rFonts w:ascii="Palatino Linotype" w:hAnsi="Palatino Linotype" w:cs="Tahoma"/>
          <w:sz w:val="22"/>
          <w:szCs w:val="22"/>
        </w:rPr>
        <w:t>.</w:t>
      </w:r>
    </w:p>
    <w:p w:rsidRPr="004857FD" w:rsidR="00CE5228" w:rsidP="00147516" w:rsidRDefault="00CE5228" w14:paraId="4CBA6F60" w14:textId="77777777">
      <w:pPr>
        <w:spacing w:line="360" w:lineRule="auto"/>
        <w:contextualSpacing/>
        <w:jc w:val="both"/>
        <w:rPr>
          <w:rFonts w:ascii="Palatino Linotype" w:hAnsi="Palatino Linotype" w:cs="Tahoma"/>
          <w:color w:val="000000"/>
          <w:sz w:val="22"/>
          <w:szCs w:val="22"/>
        </w:rPr>
      </w:pPr>
    </w:p>
    <w:p w:rsidRPr="004857FD" w:rsidR="004F2D88" w:rsidP="00147516" w:rsidRDefault="004F2D88" w14:paraId="274F83BA" w14:textId="77777777">
      <w:pPr>
        <w:spacing w:line="360" w:lineRule="auto"/>
        <w:contextualSpacing/>
        <w:jc w:val="both"/>
        <w:rPr>
          <w:rFonts w:ascii="Palatino Linotype" w:hAnsi="Palatino Linotype" w:cs="Tahoma"/>
          <w:color w:val="000000"/>
          <w:sz w:val="22"/>
          <w:szCs w:val="22"/>
        </w:rPr>
      </w:pPr>
      <w:r w:rsidRPr="004857FD">
        <w:rPr>
          <w:rFonts w:ascii="Palatino Linotype" w:hAnsi="Palatino Linotype" w:cs="Tahoma"/>
          <w:color w:val="000000"/>
          <w:sz w:val="22"/>
          <w:szCs w:val="22"/>
        </w:rPr>
        <w:t xml:space="preserve">En </w:t>
      </w:r>
      <w:r w:rsidRPr="004857FD" w:rsidR="00367F82">
        <w:rPr>
          <w:rFonts w:ascii="Palatino Linotype" w:hAnsi="Palatino Linotype" w:cs="Tahoma"/>
          <w:color w:val="000000"/>
          <w:sz w:val="22"/>
          <w:szCs w:val="22"/>
        </w:rPr>
        <w:t>razón de que fue debidamente su</w:t>
      </w:r>
      <w:r w:rsidRPr="004857FD">
        <w:rPr>
          <w:rFonts w:ascii="Palatino Linotype" w:hAnsi="Palatino Linotype" w:cs="Tahoma"/>
          <w:color w:val="000000"/>
          <w:sz w:val="22"/>
          <w:szCs w:val="22"/>
        </w:rPr>
        <w:t xml:space="preserve">stanciado el expediente </w:t>
      </w:r>
      <w:r w:rsidRPr="004857FD" w:rsidR="00367F82">
        <w:rPr>
          <w:rFonts w:ascii="Palatino Linotype" w:hAnsi="Palatino Linotype" w:cs="Tahoma"/>
          <w:color w:val="000000"/>
          <w:sz w:val="22"/>
          <w:szCs w:val="22"/>
        </w:rPr>
        <w:t xml:space="preserve">electrónico </w:t>
      </w:r>
      <w:r w:rsidRPr="004857FD">
        <w:rPr>
          <w:rFonts w:ascii="Palatino Linotype" w:hAnsi="Palatino Linotype" w:cs="Tahoma"/>
          <w:color w:val="000000"/>
          <w:sz w:val="22"/>
          <w:szCs w:val="22"/>
        </w:rPr>
        <w:t>y no exist</w:t>
      </w:r>
      <w:r w:rsidRPr="004857FD" w:rsidR="00367F82">
        <w:rPr>
          <w:rFonts w:ascii="Palatino Linotype" w:hAnsi="Palatino Linotype" w:cs="Tahoma"/>
          <w:color w:val="000000"/>
          <w:sz w:val="22"/>
          <w:szCs w:val="22"/>
        </w:rPr>
        <w:t>e</w:t>
      </w:r>
      <w:r w:rsidRPr="004857FD">
        <w:rPr>
          <w:rFonts w:ascii="Palatino Linotype" w:hAnsi="Palatino Linotype" w:cs="Tahoma"/>
          <w:color w:val="000000"/>
          <w:sz w:val="22"/>
          <w:szCs w:val="22"/>
        </w:rPr>
        <w:t xml:space="preserve"> dilige</w:t>
      </w:r>
      <w:r w:rsidRPr="004857FD" w:rsidR="00367F82">
        <w:rPr>
          <w:rFonts w:ascii="Palatino Linotype" w:hAnsi="Palatino Linotype" w:cs="Tahoma"/>
          <w:color w:val="000000"/>
          <w:sz w:val="22"/>
          <w:szCs w:val="22"/>
        </w:rPr>
        <w:t xml:space="preserve">ncia pendiente de desahogo, se </w:t>
      </w:r>
      <w:r w:rsidRPr="004857FD">
        <w:rPr>
          <w:rFonts w:ascii="Palatino Linotype" w:hAnsi="Palatino Linotype" w:cs="Tahoma"/>
          <w:color w:val="000000"/>
          <w:sz w:val="22"/>
          <w:szCs w:val="22"/>
        </w:rPr>
        <w:t>emit</w:t>
      </w:r>
      <w:r w:rsidRPr="004857FD" w:rsidR="00367F82">
        <w:rPr>
          <w:rFonts w:ascii="Palatino Linotype" w:hAnsi="Palatino Linotype" w:cs="Tahoma"/>
          <w:color w:val="000000"/>
          <w:sz w:val="22"/>
          <w:szCs w:val="22"/>
        </w:rPr>
        <w:t>e</w:t>
      </w:r>
      <w:r w:rsidRPr="004857FD">
        <w:rPr>
          <w:rFonts w:ascii="Palatino Linotype" w:hAnsi="Palatino Linotype" w:cs="Tahoma"/>
          <w:color w:val="000000"/>
          <w:sz w:val="22"/>
          <w:szCs w:val="22"/>
        </w:rPr>
        <w:t xml:space="preserve"> la resolución que conforme a Derecho proceda, de acuerdo a l</w:t>
      </w:r>
      <w:r w:rsidRPr="004857FD" w:rsidR="009A620E">
        <w:rPr>
          <w:rFonts w:ascii="Palatino Linotype" w:hAnsi="Palatino Linotype" w:cs="Tahoma"/>
          <w:color w:val="000000"/>
          <w:sz w:val="22"/>
          <w:szCs w:val="22"/>
        </w:rPr>
        <w:t>o</w:t>
      </w:r>
      <w:r w:rsidRPr="004857FD">
        <w:rPr>
          <w:rFonts w:ascii="Palatino Linotype" w:hAnsi="Palatino Linotype" w:cs="Tahoma"/>
          <w:color w:val="000000"/>
          <w:sz w:val="22"/>
          <w:szCs w:val="22"/>
        </w:rPr>
        <w:t xml:space="preserve">s siguientes: </w:t>
      </w:r>
    </w:p>
    <w:p w:rsidRPr="004857FD" w:rsidR="001C0C73" w:rsidP="00147516" w:rsidRDefault="001C0C73" w14:paraId="307D45D9" w14:textId="77777777">
      <w:pPr>
        <w:spacing w:line="360" w:lineRule="auto"/>
        <w:contextualSpacing/>
        <w:jc w:val="both"/>
        <w:rPr>
          <w:rFonts w:ascii="Palatino Linotype" w:hAnsi="Palatino Linotype" w:cs="Tahoma"/>
          <w:color w:val="000000"/>
          <w:sz w:val="22"/>
          <w:szCs w:val="22"/>
        </w:rPr>
      </w:pPr>
    </w:p>
    <w:p w:rsidRPr="004857FD" w:rsidR="00EA4E4A" w:rsidP="00147516" w:rsidRDefault="00EA4E4A" w14:paraId="50ED500D" w14:textId="77777777">
      <w:pPr>
        <w:spacing w:line="360" w:lineRule="auto"/>
        <w:contextualSpacing/>
        <w:jc w:val="center"/>
        <w:rPr>
          <w:rFonts w:ascii="Palatino Linotype" w:hAnsi="Palatino Linotype" w:cs="Tahoma"/>
          <w:b/>
          <w:sz w:val="22"/>
          <w:szCs w:val="22"/>
        </w:rPr>
      </w:pPr>
      <w:r w:rsidRPr="004857FD">
        <w:rPr>
          <w:rFonts w:ascii="Palatino Linotype" w:hAnsi="Palatino Linotype" w:cs="Tahoma"/>
          <w:b/>
          <w:sz w:val="22"/>
          <w:szCs w:val="22"/>
        </w:rPr>
        <w:t>C O N S I D E R A N D O S</w:t>
      </w:r>
    </w:p>
    <w:p w:rsidRPr="004857FD" w:rsidR="00EA4E4A" w:rsidP="00147516" w:rsidRDefault="00EA4E4A" w14:paraId="3B24E1BB" w14:textId="77777777">
      <w:pPr>
        <w:spacing w:line="360" w:lineRule="auto"/>
        <w:contextualSpacing/>
        <w:jc w:val="center"/>
        <w:rPr>
          <w:rFonts w:ascii="Palatino Linotype" w:hAnsi="Palatino Linotype" w:cs="Tahoma"/>
          <w:b/>
          <w:sz w:val="22"/>
          <w:szCs w:val="22"/>
        </w:rPr>
      </w:pPr>
    </w:p>
    <w:p w:rsidRPr="004857FD" w:rsidR="00EA4E4A" w:rsidP="00147516" w:rsidRDefault="00EA4E4A" w14:paraId="10F4A910" w14:textId="77777777">
      <w:pPr>
        <w:autoSpaceDE w:val="0"/>
        <w:autoSpaceDN w:val="0"/>
        <w:adjustRightInd w:val="0"/>
        <w:spacing w:line="360" w:lineRule="auto"/>
        <w:contextualSpacing/>
        <w:jc w:val="both"/>
        <w:rPr>
          <w:rFonts w:ascii="Palatino Linotype" w:hAnsi="Palatino Linotype" w:cs="Tahoma"/>
          <w:b/>
          <w:sz w:val="22"/>
          <w:szCs w:val="22"/>
        </w:rPr>
      </w:pPr>
      <w:r w:rsidRPr="004857FD">
        <w:rPr>
          <w:rFonts w:ascii="Palatino Linotype" w:hAnsi="Palatino Linotype" w:eastAsia="Calibri" w:cs="Tahoma"/>
          <w:b/>
          <w:color w:val="000000"/>
          <w:sz w:val="22"/>
          <w:szCs w:val="22"/>
          <w:lang w:eastAsia="es-MX"/>
        </w:rPr>
        <w:t>PRIMERO</w:t>
      </w:r>
      <w:r w:rsidRPr="004857FD">
        <w:rPr>
          <w:rFonts w:ascii="Palatino Linotype" w:hAnsi="Palatino Linotype" w:eastAsia="Calibri" w:cs="Tahoma"/>
          <w:color w:val="000000"/>
          <w:sz w:val="22"/>
          <w:szCs w:val="22"/>
          <w:lang w:eastAsia="es-MX"/>
        </w:rPr>
        <w:t xml:space="preserve">. </w:t>
      </w:r>
      <w:r w:rsidRPr="004857FD">
        <w:rPr>
          <w:rFonts w:ascii="Palatino Linotype" w:hAnsi="Palatino Linotype" w:cs="Tahoma"/>
          <w:b/>
          <w:sz w:val="22"/>
          <w:szCs w:val="22"/>
        </w:rPr>
        <w:t>Competencia.</w:t>
      </w:r>
    </w:p>
    <w:p w:rsidRPr="004857FD" w:rsidR="00EA4E4A" w:rsidP="00147516" w:rsidRDefault="00EA4E4A" w14:paraId="15069465" w14:textId="77777777">
      <w:pPr>
        <w:autoSpaceDE w:val="0"/>
        <w:autoSpaceDN w:val="0"/>
        <w:adjustRightInd w:val="0"/>
        <w:spacing w:line="360" w:lineRule="auto"/>
        <w:contextualSpacing/>
        <w:jc w:val="both"/>
        <w:rPr>
          <w:rFonts w:ascii="Palatino Linotype" w:hAnsi="Palatino Linotype" w:cs="Tahoma"/>
          <w:b/>
          <w:sz w:val="22"/>
          <w:szCs w:val="22"/>
        </w:rPr>
      </w:pPr>
    </w:p>
    <w:p w:rsidRPr="004857FD" w:rsidR="00CE0B4C" w:rsidP="00147516" w:rsidRDefault="00CE0B4C" w14:paraId="3877A868" w14:textId="77777777">
      <w:pPr>
        <w:spacing w:line="360" w:lineRule="auto"/>
        <w:jc w:val="both"/>
        <w:rPr>
          <w:rFonts w:ascii="Palatino Linotype" w:hAnsi="Palatino Linotype" w:cs="Tahoma"/>
          <w:sz w:val="22"/>
          <w:szCs w:val="22"/>
          <w:shd w:val="clear" w:color="auto" w:fill="FFFFFF"/>
        </w:rPr>
      </w:pPr>
      <w:r w:rsidRPr="004857FD">
        <w:rPr>
          <w:rFonts w:ascii="Palatino Linotype" w:hAnsi="Palatino Linotype" w:eastAsia="Calibri" w:cs="Tahoma"/>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w:t>
      </w:r>
      <w:r w:rsidRPr="004857FD">
        <w:rPr>
          <w:rFonts w:ascii="Palatino Linotype" w:hAnsi="Palatino Linotype" w:eastAsia="Calibri" w:cs="Tahoma"/>
          <w:color w:val="000000"/>
          <w:sz w:val="22"/>
          <w:szCs w:val="22"/>
          <w:lang w:eastAsia="es-MX"/>
        </w:rPr>
        <w:lastRenderedPageBreak/>
        <w:t>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4857FD">
        <w:rPr>
          <w:rFonts w:eastAsia="Calibri"/>
          <w:color w:val="000000"/>
          <w:lang w:eastAsia="es-MX"/>
        </w:rPr>
        <w:t xml:space="preserve"> 7°, </w:t>
      </w:r>
      <w:r w:rsidRPr="004857FD">
        <w:rPr>
          <w:rFonts w:ascii="Palatino Linotype" w:hAnsi="Palatino Linotype" w:eastAsia="Calibri" w:cs="Tahoma"/>
          <w:color w:val="000000"/>
          <w:sz w:val="22"/>
          <w:szCs w:val="22"/>
          <w:lang w:eastAsia="es-MX"/>
        </w:rPr>
        <w:t>9°, fracciones I y XXIV y 11 del Reglamento Interior del Instituto de Transparencia, Acceso a la Información</w:t>
      </w:r>
      <w:r w:rsidRPr="004857FD">
        <w:rPr>
          <w:rFonts w:ascii="Palatino Linotype" w:hAnsi="Palatino Linotype" w:cs="Tahoma"/>
          <w:sz w:val="22"/>
          <w:szCs w:val="22"/>
          <w:shd w:val="clear" w:color="auto" w:fill="FFFFFF"/>
        </w:rPr>
        <w:t xml:space="preserve"> Pública y Protección de Datos Personales del Estado de México y Municipios.</w:t>
      </w:r>
    </w:p>
    <w:p w:rsidRPr="004857FD" w:rsidR="003D2878" w:rsidP="00147516" w:rsidRDefault="003D2878" w14:paraId="2B35B320" w14:textId="77777777">
      <w:pPr>
        <w:autoSpaceDE w:val="0"/>
        <w:autoSpaceDN w:val="0"/>
        <w:adjustRightInd w:val="0"/>
        <w:spacing w:line="360" w:lineRule="auto"/>
        <w:jc w:val="both"/>
        <w:rPr>
          <w:rFonts w:ascii="Palatino Linotype" w:hAnsi="Palatino Linotype" w:eastAsia="Calibri" w:cs="Tahoma"/>
          <w:b/>
          <w:color w:val="000000"/>
          <w:sz w:val="22"/>
          <w:szCs w:val="22"/>
          <w:lang w:eastAsia="es-MX"/>
        </w:rPr>
      </w:pPr>
    </w:p>
    <w:p w:rsidRPr="004857FD" w:rsidR="00CE0B4C" w:rsidP="00147516" w:rsidRDefault="00CE0B4C" w14:paraId="2DE5EEDD"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4857FD">
        <w:rPr>
          <w:rFonts w:ascii="Palatino Linotype" w:hAnsi="Palatino Linotype" w:eastAsia="Calibri" w:cs="Tahoma"/>
          <w:b/>
          <w:color w:val="000000"/>
          <w:sz w:val="22"/>
          <w:szCs w:val="22"/>
          <w:lang w:eastAsia="es-MX"/>
        </w:rPr>
        <w:t>SEGUNDO</w:t>
      </w:r>
      <w:r w:rsidRPr="004857FD">
        <w:rPr>
          <w:rFonts w:ascii="Palatino Linotype" w:hAnsi="Palatino Linotype" w:eastAsia="Calibri" w:cs="Tahoma"/>
          <w:color w:val="000000"/>
          <w:sz w:val="22"/>
          <w:szCs w:val="22"/>
          <w:lang w:eastAsia="es-MX"/>
        </w:rPr>
        <w:t xml:space="preserve">. </w:t>
      </w:r>
      <w:r w:rsidRPr="004857FD">
        <w:rPr>
          <w:rFonts w:ascii="Palatino Linotype" w:hAnsi="Palatino Linotype" w:eastAsia="Calibri" w:cs="Tahoma"/>
          <w:b/>
          <w:color w:val="000000"/>
          <w:sz w:val="22"/>
          <w:szCs w:val="22"/>
          <w:lang w:eastAsia="es-MX"/>
        </w:rPr>
        <w:t>Causales de improcedencia y sobreseimiento.</w:t>
      </w:r>
      <w:r w:rsidRPr="004857FD">
        <w:rPr>
          <w:rFonts w:ascii="Palatino Linotype" w:hAnsi="Palatino Linotype" w:eastAsia="Calibri" w:cs="Tahoma"/>
          <w:color w:val="000000"/>
          <w:sz w:val="22"/>
          <w:szCs w:val="22"/>
          <w:lang w:eastAsia="es-MX"/>
        </w:rPr>
        <w:t xml:space="preserve"> </w:t>
      </w:r>
    </w:p>
    <w:p w:rsidRPr="004857FD" w:rsidR="00566562" w:rsidP="00147516" w:rsidRDefault="00566562" w14:paraId="69095CF7"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4857FD" w:rsidR="00CE0B4C" w:rsidP="00147516" w:rsidRDefault="00CE0B4C" w14:paraId="274050EA"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4857FD">
        <w:rPr>
          <w:rFonts w:ascii="Palatino Linotype" w:hAnsi="Palatino Linotype" w:eastAsia="Calibri"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4857FD" w:rsidR="00CE0B4C" w:rsidP="00147516" w:rsidRDefault="00CE0B4C" w14:paraId="696CEB09"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4857FD" w:rsidR="00CE0B4C" w:rsidP="00147516" w:rsidRDefault="00CE0B4C" w14:paraId="1281A3CB"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4857FD">
        <w:rPr>
          <w:rFonts w:ascii="Palatino Linotype" w:hAnsi="Palatino Linotype" w:eastAsia="Calibri"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4857FD" w:rsidR="00CE0B4C" w:rsidP="00147516" w:rsidRDefault="00CE0B4C" w14:paraId="12756F53" w14:textId="77777777">
      <w:pPr>
        <w:spacing w:line="360" w:lineRule="auto"/>
        <w:jc w:val="both"/>
        <w:rPr>
          <w:rFonts w:ascii="Palatino Linotype" w:hAnsi="Palatino Linotype" w:eastAsia="Calibri" w:cs="Tahoma"/>
          <w:b/>
          <w:sz w:val="22"/>
          <w:szCs w:val="22"/>
          <w:lang w:eastAsia="es-ES_tradnl"/>
        </w:rPr>
      </w:pPr>
    </w:p>
    <w:p w:rsidRPr="004857FD" w:rsidR="00CE0B4C" w:rsidP="00147516" w:rsidRDefault="00CE0B4C" w14:paraId="3E3C8F0E" w14:textId="77777777">
      <w:pPr>
        <w:spacing w:line="360" w:lineRule="auto"/>
        <w:jc w:val="both"/>
        <w:rPr>
          <w:rFonts w:ascii="Palatino Linotype" w:hAnsi="Palatino Linotype" w:eastAsia="Calibri" w:cs="Tahoma"/>
          <w:b/>
          <w:sz w:val="22"/>
          <w:szCs w:val="22"/>
          <w:lang w:eastAsia="es-ES_tradnl"/>
        </w:rPr>
      </w:pPr>
      <w:r w:rsidRPr="004857FD">
        <w:rPr>
          <w:rFonts w:ascii="Palatino Linotype" w:hAnsi="Palatino Linotype" w:eastAsia="Calibri" w:cs="Tahoma"/>
          <w:b/>
          <w:sz w:val="22"/>
          <w:szCs w:val="22"/>
          <w:lang w:eastAsia="es-ES_tradnl"/>
        </w:rPr>
        <w:lastRenderedPageBreak/>
        <w:t>Causales de sobreseimiento.</w:t>
      </w:r>
    </w:p>
    <w:p w:rsidRPr="004857FD" w:rsidR="00CE0B4C" w:rsidP="00147516" w:rsidRDefault="00CE0B4C" w14:paraId="3448E600" w14:textId="77777777">
      <w:pPr>
        <w:spacing w:line="360" w:lineRule="auto"/>
        <w:jc w:val="both"/>
        <w:rPr>
          <w:rFonts w:ascii="Palatino Linotype" w:hAnsi="Palatino Linotype" w:eastAsia="Calibri" w:cs="Tahoma"/>
          <w:sz w:val="22"/>
          <w:szCs w:val="22"/>
          <w:lang w:eastAsia="es-ES_tradnl"/>
        </w:rPr>
      </w:pPr>
    </w:p>
    <w:p w:rsidRPr="004857FD" w:rsidR="00CE0B4C" w:rsidP="00147516" w:rsidRDefault="00CE0B4C" w14:paraId="6BAC66A3" w14:textId="77777777">
      <w:pPr>
        <w:spacing w:line="360" w:lineRule="auto"/>
        <w:jc w:val="both"/>
        <w:rPr>
          <w:rFonts w:ascii="Palatino Linotype" w:hAnsi="Palatino Linotype" w:eastAsia="Calibri" w:cs="Tahoma"/>
          <w:sz w:val="22"/>
          <w:szCs w:val="22"/>
          <w:lang w:eastAsia="es-ES_tradnl"/>
        </w:rPr>
      </w:pPr>
      <w:r w:rsidRPr="004857FD">
        <w:rPr>
          <w:rFonts w:ascii="Palatino Linotype" w:hAnsi="Palatino Linotype" w:eastAsia="Calibri" w:cs="Tahoma"/>
          <w:sz w:val="22"/>
          <w:szCs w:val="22"/>
          <w:lang w:eastAsia="es-ES_tradnl"/>
        </w:rPr>
        <w:t>Por lo que hace a las causales de sobreseimiento, del análisis realizado por este Instituto, se advierte que</w:t>
      </w:r>
      <w:r w:rsidRPr="004857FD">
        <w:rPr>
          <w:rFonts w:ascii="Palatino Linotype" w:hAnsi="Palatino Linotype" w:eastAsia="Calibri" w:cs="Tahoma"/>
          <w:b/>
          <w:sz w:val="22"/>
          <w:szCs w:val="22"/>
          <w:lang w:eastAsia="es-ES_tradnl"/>
        </w:rPr>
        <w:t xml:space="preserve"> no se actualiza ninguna de las previstas por el artículo 192 de la Ley de Transparencia y Acceso a la Información Pública del Estado de México y Municipios; </w:t>
      </w:r>
      <w:r w:rsidRPr="004857FD">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4857FD">
        <w:rPr>
          <w:rFonts w:ascii="Palatino Linotype" w:hAnsi="Palatino Linotype" w:eastAsia="Calibri" w:cs="Tahoma"/>
          <w:bCs/>
          <w:sz w:val="22"/>
          <w:szCs w:val="22"/>
          <w:lang w:eastAsia="es-ES_tradnl"/>
        </w:rPr>
        <w:t xml:space="preserve">Por tales motivos, </w:t>
      </w:r>
      <w:r w:rsidRPr="004857FD">
        <w:rPr>
          <w:rFonts w:ascii="Palatino Linotype" w:hAnsi="Palatino Linotype" w:eastAsia="Calibri" w:cs="Tahoma"/>
          <w:sz w:val="22"/>
          <w:szCs w:val="22"/>
          <w:lang w:eastAsia="es-ES_tradnl"/>
        </w:rPr>
        <w:t xml:space="preserve">se considera procedente entrar al fondo del presente asunto. </w:t>
      </w:r>
    </w:p>
    <w:p w:rsidRPr="004857FD" w:rsidR="00566562" w:rsidP="00147516" w:rsidRDefault="00566562" w14:paraId="4FEA76D9" w14:textId="77777777">
      <w:pPr>
        <w:spacing w:line="360" w:lineRule="auto"/>
        <w:jc w:val="both"/>
        <w:rPr>
          <w:rFonts w:ascii="Palatino Linotype" w:hAnsi="Palatino Linotype" w:eastAsia="Calibri" w:cs="Tahoma"/>
          <w:sz w:val="22"/>
          <w:szCs w:val="22"/>
          <w:lang w:eastAsia="es-ES_tradnl"/>
        </w:rPr>
      </w:pPr>
    </w:p>
    <w:p w:rsidRPr="004857FD" w:rsidR="00CE0B4C" w:rsidP="00147516" w:rsidRDefault="00CE0B4C" w14:paraId="70DE3194" w14:textId="77777777">
      <w:pPr>
        <w:tabs>
          <w:tab w:val="left" w:pos="4962"/>
        </w:tabs>
        <w:spacing w:line="360" w:lineRule="auto"/>
        <w:jc w:val="both"/>
        <w:rPr>
          <w:rFonts w:ascii="Palatino Linotype" w:hAnsi="Palatino Linotype" w:eastAsia="Calibri" w:cs="Tahoma"/>
          <w:b/>
          <w:iCs/>
          <w:sz w:val="22"/>
          <w:szCs w:val="22"/>
          <w:lang w:val="es-ES" w:eastAsia="es-ES_tradnl"/>
        </w:rPr>
      </w:pPr>
      <w:r w:rsidRPr="004857FD">
        <w:rPr>
          <w:rFonts w:ascii="Palatino Linotype" w:hAnsi="Palatino Linotype" w:eastAsia="Calibri" w:cs="Tahoma"/>
          <w:b/>
          <w:iCs/>
          <w:sz w:val="22"/>
          <w:szCs w:val="22"/>
          <w:lang w:val="es-ES" w:eastAsia="es-ES_tradnl"/>
        </w:rPr>
        <w:t xml:space="preserve">TERCERO. Determinación de la Controversia. </w:t>
      </w:r>
    </w:p>
    <w:p w:rsidRPr="004857FD" w:rsidR="00CE0B4C" w:rsidP="00147516" w:rsidRDefault="00CE0B4C" w14:paraId="1720F74D"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Pr="004857FD" w:rsidR="00E6508C" w:rsidP="004E0AA4" w:rsidRDefault="00CE0B4C" w14:paraId="66BBF440" w14:textId="49D8785A">
      <w:pPr>
        <w:tabs>
          <w:tab w:val="left" w:pos="4962"/>
        </w:tabs>
        <w:spacing w:line="360" w:lineRule="auto"/>
        <w:jc w:val="both"/>
        <w:rPr>
          <w:rFonts w:ascii="Palatino Linotype" w:hAnsi="Palatino Linotype" w:eastAsia="Calibri" w:cs="Tahoma"/>
          <w:iCs/>
          <w:sz w:val="22"/>
          <w:szCs w:val="22"/>
          <w:lang w:val="es-ES" w:eastAsia="es-ES_tradnl"/>
        </w:rPr>
      </w:pPr>
      <w:r w:rsidRPr="004857FD">
        <w:rPr>
          <w:rFonts w:ascii="Palatino Linotype" w:hAnsi="Palatino Linotype" w:eastAsia="Calibri" w:cs="Tahoma"/>
          <w:iCs/>
          <w:sz w:val="22"/>
          <w:szCs w:val="22"/>
          <w:lang w:val="es-ES" w:eastAsia="es-ES_tradnl"/>
        </w:rPr>
        <w:t xml:space="preserve">Una vez realizado el estudio de las constancias que integran el expediente en que se actúa, se desprende que el </w:t>
      </w:r>
      <w:r w:rsidRPr="004857FD" w:rsidR="00F805F6">
        <w:rPr>
          <w:rFonts w:ascii="Palatino Linotype" w:hAnsi="Palatino Linotype" w:eastAsia="Calibri" w:cs="Tahoma"/>
          <w:iCs/>
          <w:sz w:val="22"/>
          <w:szCs w:val="22"/>
          <w:lang w:val="es-ES" w:eastAsia="es-ES_tradnl"/>
        </w:rPr>
        <w:t xml:space="preserve">Particular </w:t>
      </w:r>
      <w:r w:rsidRPr="004857FD">
        <w:rPr>
          <w:rFonts w:ascii="Palatino Linotype" w:hAnsi="Palatino Linotype" w:eastAsia="Calibri" w:cs="Tahoma"/>
          <w:iCs/>
          <w:sz w:val="22"/>
          <w:szCs w:val="22"/>
          <w:lang w:val="es-ES" w:eastAsia="es-ES_tradnl"/>
        </w:rPr>
        <w:t>solicitó a</w:t>
      </w:r>
      <w:r w:rsidRPr="004857FD" w:rsidR="00E6508C">
        <w:rPr>
          <w:rFonts w:ascii="Palatino Linotype" w:hAnsi="Palatino Linotype" w:eastAsia="Calibri" w:cs="Tahoma"/>
          <w:iCs/>
          <w:sz w:val="22"/>
          <w:szCs w:val="22"/>
          <w:lang w:val="es-ES" w:eastAsia="es-ES_tradnl"/>
        </w:rPr>
        <w:t xml:space="preserve"> </w:t>
      </w:r>
      <w:r w:rsidRPr="004857FD" w:rsidR="00005668">
        <w:rPr>
          <w:rFonts w:ascii="Palatino Linotype" w:hAnsi="Palatino Linotype" w:eastAsia="Calibri" w:cs="Tahoma"/>
          <w:iCs/>
          <w:sz w:val="22"/>
          <w:szCs w:val="22"/>
          <w:lang w:val="es-ES" w:eastAsia="es-ES_tradnl"/>
        </w:rPr>
        <w:t>l</w:t>
      </w:r>
      <w:r w:rsidRPr="004857FD" w:rsidR="00E6508C">
        <w:rPr>
          <w:rFonts w:ascii="Palatino Linotype" w:hAnsi="Palatino Linotype" w:eastAsia="Calibri" w:cs="Tahoma"/>
          <w:iCs/>
          <w:sz w:val="22"/>
          <w:szCs w:val="22"/>
          <w:lang w:val="es-ES" w:eastAsia="es-ES_tradnl"/>
        </w:rPr>
        <w:t>a</w:t>
      </w:r>
      <w:r w:rsidRPr="004857FD" w:rsidR="00F805F6">
        <w:rPr>
          <w:rFonts w:ascii="Palatino Linotype" w:hAnsi="Palatino Linotype" w:eastAsia="Calibri" w:cs="Tahoma"/>
          <w:iCs/>
          <w:sz w:val="22"/>
          <w:szCs w:val="22"/>
          <w:lang w:val="es-ES" w:eastAsia="es-ES_tradnl"/>
        </w:rPr>
        <w:t xml:space="preserve"> </w:t>
      </w:r>
      <w:r w:rsidRPr="004857FD" w:rsidR="00F926D5">
        <w:rPr>
          <w:rFonts w:ascii="Palatino Linotype" w:hAnsi="Palatino Linotype" w:eastAsia="Calibri" w:cs="Tahoma"/>
          <w:iCs/>
          <w:sz w:val="22"/>
          <w:szCs w:val="22"/>
          <w:lang w:val="es-ES" w:eastAsia="es-ES_tradnl"/>
        </w:rPr>
        <w:t>Comisión de Derechos Humanos del Estado de México</w:t>
      </w:r>
      <w:r w:rsidRPr="004857FD">
        <w:rPr>
          <w:rFonts w:ascii="Palatino Linotype" w:hAnsi="Palatino Linotype" w:eastAsia="Calibri" w:cs="Tahoma"/>
          <w:iCs/>
          <w:sz w:val="22"/>
          <w:szCs w:val="22"/>
          <w:lang w:val="es-ES" w:eastAsia="es-ES_tradnl"/>
        </w:rPr>
        <w:t>,</w:t>
      </w:r>
      <w:r w:rsidRPr="004857FD" w:rsidR="000C471D">
        <w:rPr>
          <w:rFonts w:ascii="Palatino Linotype" w:hAnsi="Palatino Linotype" w:eastAsia="Calibri" w:cs="Tahoma"/>
          <w:iCs/>
          <w:sz w:val="22"/>
          <w:szCs w:val="22"/>
          <w:lang w:val="es-ES" w:eastAsia="es-ES_tradnl"/>
        </w:rPr>
        <w:t xml:space="preserve"> </w:t>
      </w:r>
      <w:r w:rsidRPr="004857FD" w:rsidR="00E6508C">
        <w:rPr>
          <w:rFonts w:ascii="Palatino Linotype" w:hAnsi="Palatino Linotype" w:eastAsia="Calibri" w:cs="Tahoma"/>
          <w:iCs/>
          <w:sz w:val="22"/>
          <w:szCs w:val="22"/>
          <w:lang w:val="es-ES" w:eastAsia="es-ES_tradnl"/>
        </w:rPr>
        <w:t>lo siguiente:</w:t>
      </w:r>
    </w:p>
    <w:p w:rsidRPr="004857FD" w:rsidR="003D2878" w:rsidP="003D2878" w:rsidRDefault="003D2878" w14:paraId="1511EF0F" w14:textId="3796F238">
      <w:pPr>
        <w:pStyle w:val="Prrafodelista"/>
        <w:numPr>
          <w:ilvl w:val="0"/>
          <w:numId w:val="35"/>
        </w:numPr>
        <w:tabs>
          <w:tab w:val="left" w:pos="4962"/>
        </w:tabs>
        <w:spacing w:line="360" w:lineRule="auto"/>
        <w:jc w:val="both"/>
        <w:rPr>
          <w:rFonts w:ascii="Palatino Linotype" w:hAnsi="Palatino Linotype" w:eastAsia="Calibri" w:cs="Tahoma"/>
          <w:iCs/>
          <w:szCs w:val="22"/>
          <w:lang w:val="es-ES" w:eastAsia="es-ES_tradnl"/>
        </w:rPr>
      </w:pPr>
      <w:r w:rsidRPr="004857FD">
        <w:rPr>
          <w:rFonts w:ascii="Palatino Linotype" w:hAnsi="Palatino Linotype" w:eastAsia="Calibri" w:cs="Tahoma"/>
          <w:iCs/>
          <w:szCs w:val="22"/>
          <w:lang w:val="es-ES" w:eastAsia="es-ES_tradnl"/>
        </w:rPr>
        <w:t>El seguimiento de todas las recomendaciones y observaciones del Comité de Ética y la Unidad de Ética de dos mil veinte al primero de septiembre de dos mil veintidós.</w:t>
      </w:r>
    </w:p>
    <w:p w:rsidRPr="004857FD" w:rsidR="003D2878" w:rsidP="003D2878" w:rsidRDefault="003D2878" w14:paraId="36689E30" w14:textId="77777777">
      <w:pPr>
        <w:pStyle w:val="Prrafodelista"/>
        <w:numPr>
          <w:ilvl w:val="0"/>
          <w:numId w:val="35"/>
        </w:numPr>
        <w:tabs>
          <w:tab w:val="left" w:pos="4962"/>
        </w:tabs>
        <w:spacing w:line="360" w:lineRule="auto"/>
        <w:jc w:val="both"/>
        <w:rPr>
          <w:rFonts w:ascii="Palatino Linotype" w:hAnsi="Palatino Linotype" w:eastAsia="Calibri" w:cs="Tahoma"/>
          <w:iCs/>
          <w:szCs w:val="22"/>
          <w:lang w:val="es-ES" w:eastAsia="es-ES_tradnl"/>
        </w:rPr>
      </w:pPr>
      <w:r w:rsidRPr="004857FD">
        <w:rPr>
          <w:rFonts w:ascii="Palatino Linotype" w:hAnsi="Palatino Linotype" w:eastAsia="Calibri" w:cs="Tahoma"/>
          <w:iCs/>
          <w:szCs w:val="22"/>
          <w:lang w:val="es-ES" w:eastAsia="es-ES_tradnl"/>
        </w:rPr>
        <w:t xml:space="preserve">Investigación de un conflicto de intereses entre una persona y el secretario particular de la CODHEM. </w:t>
      </w:r>
    </w:p>
    <w:p w:rsidRPr="004857FD" w:rsidR="003D2878" w:rsidP="003D2878" w:rsidRDefault="003D2878" w14:paraId="4EA09C2E" w14:textId="77777777">
      <w:pPr>
        <w:pStyle w:val="Prrafodelista"/>
        <w:numPr>
          <w:ilvl w:val="0"/>
          <w:numId w:val="35"/>
        </w:numPr>
        <w:tabs>
          <w:tab w:val="left" w:pos="4962"/>
        </w:tabs>
        <w:spacing w:line="360" w:lineRule="auto"/>
        <w:jc w:val="both"/>
        <w:rPr>
          <w:rFonts w:ascii="Palatino Linotype" w:hAnsi="Palatino Linotype" w:eastAsia="Calibri" w:cs="Tahoma"/>
          <w:iCs/>
          <w:szCs w:val="22"/>
          <w:lang w:val="es-ES" w:eastAsia="es-ES_tradnl"/>
        </w:rPr>
      </w:pPr>
      <w:r w:rsidRPr="004857FD">
        <w:rPr>
          <w:rFonts w:ascii="Palatino Linotype" w:hAnsi="Palatino Linotype" w:eastAsia="Calibri" w:cs="Tahoma"/>
          <w:iCs/>
          <w:szCs w:val="22"/>
          <w:lang w:val="es-ES" w:eastAsia="es-ES_tradnl"/>
        </w:rPr>
        <w:t xml:space="preserve">Padrón de proveedores </w:t>
      </w:r>
    </w:p>
    <w:p w:rsidRPr="004857FD" w:rsidR="003D2878" w:rsidP="003D2878" w:rsidRDefault="003D2878" w14:paraId="2C31EE20" w14:textId="77777777">
      <w:pPr>
        <w:pStyle w:val="Prrafodelista"/>
        <w:numPr>
          <w:ilvl w:val="0"/>
          <w:numId w:val="35"/>
        </w:numPr>
        <w:tabs>
          <w:tab w:val="left" w:pos="4962"/>
        </w:tabs>
        <w:spacing w:line="360" w:lineRule="auto"/>
        <w:jc w:val="both"/>
        <w:rPr>
          <w:rFonts w:ascii="Palatino Linotype" w:hAnsi="Palatino Linotype" w:eastAsia="Calibri" w:cs="Tahoma"/>
          <w:iCs/>
          <w:szCs w:val="22"/>
          <w:lang w:val="es-ES" w:eastAsia="es-ES_tradnl"/>
        </w:rPr>
      </w:pPr>
      <w:r w:rsidRPr="004857FD">
        <w:rPr>
          <w:rFonts w:ascii="Palatino Linotype" w:hAnsi="Palatino Linotype" w:eastAsia="Calibri" w:cs="Tahoma"/>
          <w:iCs/>
          <w:szCs w:val="22"/>
          <w:lang w:val="es-ES" w:eastAsia="es-ES_tradnl"/>
        </w:rPr>
        <w:t xml:space="preserve">Contratos realizados entre las partes </w:t>
      </w:r>
    </w:p>
    <w:p w:rsidRPr="004857FD" w:rsidR="00180213" w:rsidP="003D2878" w:rsidRDefault="003D2878" w14:paraId="108DF1E9" w14:textId="0D210002">
      <w:pPr>
        <w:pStyle w:val="Prrafodelista"/>
        <w:numPr>
          <w:ilvl w:val="0"/>
          <w:numId w:val="35"/>
        </w:numPr>
        <w:tabs>
          <w:tab w:val="left" w:pos="4962"/>
        </w:tabs>
        <w:spacing w:line="360" w:lineRule="auto"/>
        <w:jc w:val="both"/>
        <w:rPr>
          <w:rFonts w:ascii="Palatino Linotype" w:hAnsi="Palatino Linotype" w:eastAsia="Calibri" w:cs="Tahoma"/>
          <w:iCs/>
          <w:szCs w:val="22"/>
          <w:lang w:val="es-ES" w:eastAsia="es-ES_tradnl"/>
        </w:rPr>
      </w:pPr>
      <w:r w:rsidRPr="004857FD">
        <w:rPr>
          <w:rFonts w:ascii="Palatino Linotype" w:hAnsi="Palatino Linotype" w:eastAsia="Calibri" w:cs="Tahoma"/>
          <w:iCs/>
          <w:szCs w:val="22"/>
          <w:lang w:val="es-ES" w:eastAsia="es-ES_tradnl"/>
        </w:rPr>
        <w:t>Agenda de los servidores públicos de noviembre de dos mil veintiuno al primero de septiembre de dos mil veintidós</w:t>
      </w:r>
    </w:p>
    <w:p w:rsidRPr="004857FD" w:rsidR="003D2878" w:rsidP="004E0AA4" w:rsidRDefault="003D2878" w14:paraId="2B6AC487"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4857FD" w:rsidR="00A511BB" w:rsidP="00A511BB" w:rsidRDefault="00993BF4" w14:paraId="3D714CEC" w14:textId="1E7206C6">
      <w:pPr>
        <w:tabs>
          <w:tab w:val="left" w:pos="4962"/>
        </w:tabs>
        <w:spacing w:line="360" w:lineRule="auto"/>
        <w:jc w:val="both"/>
        <w:rPr>
          <w:rFonts w:ascii="Palatino Linotype" w:hAnsi="Palatino Linotype" w:eastAsia="Calibri" w:cs="Tahoma"/>
          <w:iCs/>
          <w:sz w:val="22"/>
          <w:szCs w:val="22"/>
          <w:lang w:val="es-ES" w:eastAsia="es-ES_tradnl"/>
        </w:rPr>
      </w:pPr>
      <w:r w:rsidRPr="004857FD">
        <w:rPr>
          <w:rFonts w:ascii="Palatino Linotype" w:hAnsi="Palatino Linotype" w:eastAsia="Calibri" w:cs="Tahoma"/>
          <w:iCs/>
          <w:sz w:val="22"/>
          <w:szCs w:val="22"/>
          <w:lang w:val="es-ES" w:eastAsia="es-ES_tradnl"/>
        </w:rPr>
        <w:t>E</w:t>
      </w:r>
      <w:r w:rsidRPr="004857FD" w:rsidR="0044640B">
        <w:rPr>
          <w:rFonts w:ascii="Palatino Linotype" w:hAnsi="Palatino Linotype" w:eastAsia="Calibri" w:cs="Tahoma"/>
          <w:iCs/>
          <w:sz w:val="22"/>
          <w:szCs w:val="22"/>
          <w:lang w:val="es-ES" w:eastAsia="es-ES_tradnl"/>
        </w:rPr>
        <w:t>n respuesta</w:t>
      </w:r>
      <w:r w:rsidRPr="004857FD" w:rsidR="007F34CB">
        <w:rPr>
          <w:rFonts w:ascii="Palatino Linotype" w:hAnsi="Palatino Linotype" w:eastAsia="Calibri" w:cs="Tahoma"/>
          <w:iCs/>
          <w:sz w:val="22"/>
          <w:szCs w:val="22"/>
          <w:lang w:val="es-ES" w:eastAsia="es-ES_tradnl"/>
        </w:rPr>
        <w:t>,</w:t>
      </w:r>
      <w:r w:rsidRPr="004857FD" w:rsidR="0044640B">
        <w:rPr>
          <w:rFonts w:ascii="Palatino Linotype" w:hAnsi="Palatino Linotype" w:eastAsia="Calibri" w:cs="Tahoma"/>
          <w:iCs/>
          <w:sz w:val="22"/>
          <w:szCs w:val="22"/>
          <w:lang w:val="es-ES" w:eastAsia="es-ES_tradnl"/>
        </w:rPr>
        <w:t xml:space="preserve"> el Sujeto Obligado</w:t>
      </w:r>
      <w:r w:rsidRPr="004857FD" w:rsidR="0066371D">
        <w:rPr>
          <w:rFonts w:ascii="Palatino Linotype" w:hAnsi="Palatino Linotype" w:eastAsia="Calibri" w:cs="Tahoma"/>
          <w:iCs/>
          <w:sz w:val="22"/>
          <w:szCs w:val="22"/>
          <w:lang w:val="es-ES" w:eastAsia="es-ES_tradnl"/>
        </w:rPr>
        <w:t xml:space="preserve"> </w:t>
      </w:r>
      <w:r w:rsidRPr="004857FD" w:rsidR="001326B3">
        <w:rPr>
          <w:rFonts w:ascii="Palatino Linotype" w:hAnsi="Palatino Linotype" w:eastAsia="Calibri" w:cs="Tahoma"/>
          <w:iCs/>
          <w:sz w:val="22"/>
          <w:szCs w:val="22"/>
          <w:lang w:val="es-ES" w:eastAsia="es-ES_tradnl"/>
        </w:rPr>
        <w:t>proporcionó</w:t>
      </w:r>
      <w:r w:rsidRPr="004857FD" w:rsidR="00180213">
        <w:rPr>
          <w:rFonts w:ascii="Palatino Linotype" w:hAnsi="Palatino Linotype" w:eastAsia="Calibri" w:cs="Tahoma"/>
          <w:iCs/>
          <w:sz w:val="22"/>
          <w:szCs w:val="22"/>
          <w:lang w:val="es-ES" w:eastAsia="es-ES_tradnl"/>
        </w:rPr>
        <w:t xml:space="preserve"> diversa</w:t>
      </w:r>
      <w:r w:rsidRPr="004857FD" w:rsidR="003D2878">
        <w:rPr>
          <w:rFonts w:ascii="Palatino Linotype" w:hAnsi="Palatino Linotype" w:eastAsia="Calibri" w:cs="Tahoma"/>
          <w:iCs/>
          <w:sz w:val="22"/>
          <w:szCs w:val="22"/>
          <w:lang w:val="es-ES" w:eastAsia="es-ES_tradnl"/>
        </w:rPr>
        <w:t xml:space="preserve">s ligas electrónicas para dar atención a los puntos 3, 4 y 5, por lo que hace al punto uno señaló que no ha emitido observaciones y de </w:t>
      </w:r>
      <w:r w:rsidRPr="004857FD" w:rsidR="003D2878">
        <w:rPr>
          <w:rFonts w:ascii="Palatino Linotype" w:hAnsi="Palatino Linotype" w:eastAsia="Calibri" w:cs="Tahoma"/>
          <w:iCs/>
          <w:sz w:val="22"/>
          <w:szCs w:val="22"/>
          <w:lang w:val="es-ES" w:eastAsia="es-ES_tradnl"/>
        </w:rPr>
        <w:lastRenderedPageBreak/>
        <w:t>las recomendaciones señaló que les ha dado seguimiento</w:t>
      </w:r>
      <w:r w:rsidRPr="004857FD" w:rsidR="00180213">
        <w:rPr>
          <w:rFonts w:ascii="Palatino Linotype" w:hAnsi="Palatino Linotype" w:eastAsia="Calibri" w:cs="Tahoma"/>
          <w:iCs/>
          <w:sz w:val="22"/>
          <w:szCs w:val="22"/>
          <w:lang w:val="es-ES" w:eastAsia="es-ES_tradnl"/>
        </w:rPr>
        <w:t xml:space="preserve"> </w:t>
      </w:r>
      <w:r w:rsidRPr="004857FD" w:rsidR="003D2878">
        <w:rPr>
          <w:rFonts w:ascii="Palatino Linotype" w:hAnsi="Palatino Linotype" w:eastAsia="Calibri" w:cs="Tahoma"/>
          <w:iCs/>
          <w:sz w:val="22"/>
          <w:szCs w:val="22"/>
          <w:lang w:val="es-ES" w:eastAsia="es-ES_tradnl"/>
        </w:rPr>
        <w:t>y cumplimiento a través de los cursos-talleres específicos dirigidos a las áreas administrativas que corresponda</w:t>
      </w:r>
      <w:r w:rsidRPr="004857FD" w:rsidR="00E6508C">
        <w:rPr>
          <w:rFonts w:ascii="Palatino Linotype" w:hAnsi="Palatino Linotype" w:eastAsia="Calibri" w:cs="Tahoma"/>
          <w:iCs/>
          <w:sz w:val="22"/>
          <w:szCs w:val="22"/>
          <w:lang w:val="es-ES" w:eastAsia="es-ES_tradnl"/>
        </w:rPr>
        <w:t>,</w:t>
      </w:r>
      <w:r w:rsidRPr="004857FD" w:rsidR="005638D9">
        <w:rPr>
          <w:rFonts w:ascii="Palatino Linotype" w:hAnsi="Palatino Linotype" w:eastAsia="Calibri" w:cs="Tahoma"/>
          <w:iCs/>
          <w:sz w:val="22"/>
          <w:szCs w:val="22"/>
          <w:lang w:val="es-ES" w:eastAsia="es-ES_tradnl"/>
        </w:rPr>
        <w:t xml:space="preserve"> razón por la cual el Particular </w:t>
      </w:r>
      <w:r w:rsidRPr="004857FD" w:rsidR="00002CF8">
        <w:rPr>
          <w:rFonts w:ascii="Palatino Linotype" w:hAnsi="Palatino Linotype" w:eastAsia="Calibri" w:cs="Tahoma"/>
          <w:iCs/>
          <w:sz w:val="22"/>
          <w:szCs w:val="22"/>
          <w:lang w:val="es-ES" w:eastAsia="es-ES_tradnl"/>
        </w:rPr>
        <w:t>se inconformó</w:t>
      </w:r>
      <w:r w:rsidRPr="004857FD" w:rsidR="004B2FD6">
        <w:rPr>
          <w:rFonts w:ascii="Palatino Linotype" w:hAnsi="Palatino Linotype" w:eastAsia="Calibri" w:cs="Tahoma"/>
          <w:iCs/>
          <w:sz w:val="22"/>
          <w:szCs w:val="22"/>
          <w:lang w:val="es-ES" w:eastAsia="es-ES_tradnl"/>
        </w:rPr>
        <w:t xml:space="preserve"> </w:t>
      </w:r>
      <w:r w:rsidRPr="004857FD" w:rsidR="00E6508C">
        <w:rPr>
          <w:rFonts w:ascii="Palatino Linotype" w:hAnsi="Palatino Linotype" w:eastAsia="Calibri" w:cs="Tahoma"/>
          <w:iCs/>
          <w:sz w:val="22"/>
          <w:szCs w:val="22"/>
          <w:lang w:val="es-ES" w:eastAsia="es-ES_tradnl"/>
        </w:rPr>
        <w:t>por la entrega de información incompleta</w:t>
      </w:r>
      <w:r w:rsidRPr="004857FD" w:rsidR="00E63111">
        <w:rPr>
          <w:rFonts w:ascii="Palatino Linotype" w:hAnsi="Palatino Linotype" w:eastAsia="Calibri" w:cs="Tahoma"/>
          <w:iCs/>
          <w:sz w:val="22"/>
          <w:szCs w:val="22"/>
          <w:lang w:val="es-ES" w:eastAsia="es-ES_tradnl"/>
        </w:rPr>
        <w:t xml:space="preserve">, </w:t>
      </w:r>
      <w:r w:rsidRPr="004857FD" w:rsidR="00A511BB">
        <w:rPr>
          <w:rFonts w:ascii="Palatino Linotype" w:hAnsi="Palatino Linotype" w:eastAsia="Calibri" w:cs="Tahoma"/>
          <w:bCs/>
          <w:sz w:val="22"/>
          <w:szCs w:val="22"/>
          <w:lang w:val="es-ES_tradnl" w:eastAsia="en-US"/>
        </w:rPr>
        <w:t xml:space="preserve">por lo que </w:t>
      </w:r>
      <w:r w:rsidRPr="004857FD" w:rsidR="00A511BB">
        <w:rPr>
          <w:rFonts w:ascii="Palatino Linotype" w:hAnsi="Palatino Linotype" w:eastAsia="Calibri" w:cs="Tahoma"/>
          <w:color w:val="000000"/>
          <w:sz w:val="22"/>
          <w:szCs w:val="22"/>
        </w:rPr>
        <w:t xml:space="preserve">en el asunto que nos ocupa se actualiza la causal de procedencia señalada en el </w:t>
      </w:r>
      <w:r w:rsidRPr="004857FD" w:rsidR="00A511BB">
        <w:rPr>
          <w:rFonts w:ascii="Palatino Linotype" w:hAnsi="Palatino Linotype" w:eastAsia="Calibri" w:cs="Tahoma"/>
          <w:sz w:val="22"/>
          <w:szCs w:val="22"/>
        </w:rPr>
        <w:t xml:space="preserve">artículo 179, </w:t>
      </w:r>
      <w:r w:rsidRPr="004857FD" w:rsidR="005638D9">
        <w:rPr>
          <w:rFonts w:ascii="Palatino Linotype" w:hAnsi="Palatino Linotype" w:eastAsia="Calibri" w:cs="Tahoma"/>
          <w:sz w:val="22"/>
          <w:szCs w:val="22"/>
        </w:rPr>
        <w:t xml:space="preserve">fracción </w:t>
      </w:r>
      <w:r w:rsidRPr="004857FD" w:rsidR="00E6508C">
        <w:rPr>
          <w:rFonts w:ascii="Palatino Linotype" w:hAnsi="Palatino Linotype" w:eastAsia="Calibri" w:cs="Tahoma"/>
          <w:sz w:val="22"/>
          <w:szCs w:val="22"/>
        </w:rPr>
        <w:t>V</w:t>
      </w:r>
      <w:r w:rsidRPr="004857FD" w:rsidR="00E52703">
        <w:rPr>
          <w:rFonts w:ascii="Palatino Linotype" w:hAnsi="Palatino Linotype" w:eastAsia="Calibri" w:cs="Tahoma"/>
          <w:sz w:val="22"/>
          <w:szCs w:val="22"/>
        </w:rPr>
        <w:t>,</w:t>
      </w:r>
      <w:r w:rsidRPr="004857FD" w:rsidR="00A511BB">
        <w:rPr>
          <w:rFonts w:ascii="Palatino Linotype" w:hAnsi="Palatino Linotype" w:eastAsia="Calibri" w:cs="Tahoma"/>
          <w:sz w:val="22"/>
          <w:szCs w:val="22"/>
        </w:rPr>
        <w:t xml:space="preserve"> de la Ley de la materia</w:t>
      </w:r>
      <w:r w:rsidRPr="004857FD" w:rsidR="00A511BB">
        <w:rPr>
          <w:rFonts w:ascii="Palatino Linotype" w:hAnsi="Palatino Linotype" w:eastAsia="Calibri" w:cs="Tahoma"/>
          <w:bCs/>
          <w:sz w:val="22"/>
          <w:szCs w:val="22"/>
        </w:rPr>
        <w:t>.</w:t>
      </w:r>
    </w:p>
    <w:p w:rsidRPr="004857FD" w:rsidR="00CE0B4C" w:rsidP="00147516" w:rsidRDefault="00CE0B4C" w14:paraId="3EA0C8B6"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Pr="004857FD" w:rsidR="00CE0B4C" w:rsidP="00147516" w:rsidRDefault="00CE0B4C" w14:paraId="3940B2D4" w14:textId="77777777">
      <w:pPr>
        <w:tabs>
          <w:tab w:val="left" w:pos="4962"/>
        </w:tabs>
        <w:spacing w:line="360" w:lineRule="auto"/>
        <w:jc w:val="both"/>
        <w:rPr>
          <w:rFonts w:ascii="Palatino Linotype" w:hAnsi="Palatino Linotype" w:eastAsia="Calibri" w:cs="Tahoma"/>
          <w:iCs/>
          <w:sz w:val="22"/>
          <w:szCs w:val="22"/>
          <w:lang w:eastAsia="es-ES_tradnl"/>
        </w:rPr>
      </w:pPr>
      <w:r w:rsidRPr="004857FD">
        <w:rPr>
          <w:rFonts w:ascii="Palatino Linotype" w:hAnsi="Palatino Linotype" w:eastAsia="Calibri"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rsidRPr="004857FD" w:rsidR="00CE0B4C" w:rsidP="00147516" w:rsidRDefault="00CE0B4C" w14:paraId="02193826" w14:textId="77777777">
      <w:pPr>
        <w:tabs>
          <w:tab w:val="left" w:pos="4962"/>
        </w:tabs>
        <w:spacing w:line="360" w:lineRule="auto"/>
        <w:jc w:val="both"/>
        <w:rPr>
          <w:rFonts w:ascii="Palatino Linotype" w:hAnsi="Palatino Linotype" w:eastAsia="Calibri" w:cs="Tahoma"/>
          <w:iCs/>
          <w:sz w:val="22"/>
          <w:szCs w:val="22"/>
          <w:lang w:eastAsia="es-ES_tradnl"/>
        </w:rPr>
      </w:pPr>
    </w:p>
    <w:p w:rsidRPr="004857FD" w:rsidR="00CE0B4C" w:rsidP="00147516" w:rsidRDefault="00CE0B4C" w14:paraId="1C8BC813" w14:textId="77777777">
      <w:pPr>
        <w:spacing w:line="360" w:lineRule="auto"/>
        <w:ind w:right="-93"/>
        <w:jc w:val="both"/>
        <w:rPr>
          <w:rFonts w:ascii="Palatino Linotype" w:hAnsi="Palatino Linotype" w:cs="Tahoma"/>
          <w:b/>
          <w:sz w:val="22"/>
          <w:szCs w:val="22"/>
        </w:rPr>
      </w:pPr>
      <w:r w:rsidRPr="004857FD">
        <w:rPr>
          <w:rFonts w:ascii="Palatino Linotype" w:hAnsi="Palatino Linotype" w:cs="Tahoma"/>
          <w:b/>
          <w:sz w:val="22"/>
          <w:szCs w:val="22"/>
          <w:lang w:val="es-ES"/>
        </w:rPr>
        <w:t xml:space="preserve">CUARTO. </w:t>
      </w:r>
      <w:r w:rsidRPr="004857FD">
        <w:rPr>
          <w:rFonts w:ascii="Palatino Linotype" w:hAnsi="Palatino Linotype" w:cs="Tahoma"/>
          <w:b/>
          <w:sz w:val="22"/>
          <w:szCs w:val="22"/>
        </w:rPr>
        <w:t>Marco normativo aplicable en materia de transparencia y acceso a la información pública.</w:t>
      </w:r>
    </w:p>
    <w:p w:rsidRPr="004857FD" w:rsidR="00CE0B4C" w:rsidP="00147516" w:rsidRDefault="00CE0B4C" w14:paraId="39873235" w14:textId="77777777">
      <w:pPr>
        <w:spacing w:line="360" w:lineRule="auto"/>
        <w:contextualSpacing/>
        <w:jc w:val="both"/>
        <w:rPr>
          <w:rFonts w:ascii="Palatino Linotype" w:hAnsi="Palatino Linotype" w:cs="Tahoma"/>
          <w:sz w:val="22"/>
          <w:szCs w:val="22"/>
        </w:rPr>
      </w:pPr>
    </w:p>
    <w:p w:rsidRPr="004857FD" w:rsidR="00CE0B4C" w:rsidP="00147516" w:rsidRDefault="00CE0B4C" w14:paraId="129DF9AB" w14:textId="77777777">
      <w:pPr>
        <w:widowControl w:val="0"/>
        <w:spacing w:line="360" w:lineRule="auto"/>
        <w:contextualSpacing/>
        <w:jc w:val="both"/>
        <w:rPr>
          <w:rFonts w:ascii="Palatino Linotype" w:hAnsi="Palatino Linotype" w:cs="Tahoma"/>
          <w:sz w:val="22"/>
          <w:szCs w:val="22"/>
        </w:rPr>
      </w:pPr>
      <w:r w:rsidRPr="004857FD">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r w:rsidRPr="004857FD" w:rsidR="005A1884">
        <w:rPr>
          <w:rFonts w:ascii="Palatino Linotype" w:hAnsi="Palatino Linotype" w:cs="Tahoma"/>
          <w:sz w:val="22"/>
          <w:szCs w:val="22"/>
        </w:rPr>
        <w:t>autoridad</w:t>
      </w:r>
      <w:r w:rsidRPr="004857FD">
        <w:rPr>
          <w:rFonts w:ascii="Palatino Linotype" w:hAnsi="Palatino Linotype" w:cs="Tahoma"/>
          <w:sz w:val="22"/>
          <w:szCs w:val="22"/>
        </w:rPr>
        <w:t xml:space="preserve"> es pública y sólo podrá ser reservada temporalmente por razones de interés público.</w:t>
      </w:r>
    </w:p>
    <w:p w:rsidRPr="004857FD" w:rsidR="00CE0B4C" w:rsidP="00147516" w:rsidRDefault="00CE0B4C" w14:paraId="517FC380" w14:textId="77777777">
      <w:pPr>
        <w:spacing w:line="360" w:lineRule="auto"/>
        <w:contextualSpacing/>
        <w:jc w:val="both"/>
        <w:rPr>
          <w:rFonts w:ascii="Palatino Linotype" w:hAnsi="Palatino Linotype" w:cs="Tahoma"/>
          <w:sz w:val="22"/>
          <w:szCs w:val="22"/>
        </w:rPr>
      </w:pPr>
    </w:p>
    <w:p w:rsidRPr="004857FD" w:rsidR="00CE0B4C" w:rsidP="00147516" w:rsidRDefault="00CE0B4C" w14:paraId="2D7BF00D" w14:textId="77777777">
      <w:pPr>
        <w:spacing w:line="360" w:lineRule="auto"/>
        <w:jc w:val="both"/>
        <w:rPr>
          <w:rFonts w:ascii="Palatino Linotype" w:hAnsi="Palatino Linotype" w:cs="Tahoma"/>
          <w:sz w:val="22"/>
          <w:szCs w:val="22"/>
        </w:rPr>
      </w:pPr>
      <w:r w:rsidRPr="004857FD">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4857FD" w:rsidR="00CE0B4C" w:rsidP="00147516" w:rsidRDefault="00CE0B4C" w14:paraId="06B4E171" w14:textId="77777777">
      <w:pPr>
        <w:spacing w:line="360" w:lineRule="auto"/>
        <w:jc w:val="both"/>
        <w:rPr>
          <w:rFonts w:ascii="Palatino Linotype" w:hAnsi="Palatino Linotype" w:cs="Tahoma"/>
          <w:sz w:val="22"/>
          <w:szCs w:val="22"/>
        </w:rPr>
      </w:pPr>
    </w:p>
    <w:p w:rsidRPr="004857FD" w:rsidR="00CE0B4C" w:rsidP="00147516" w:rsidRDefault="00CE0B4C" w14:paraId="643960CC" w14:textId="77777777">
      <w:pPr>
        <w:spacing w:line="360" w:lineRule="auto"/>
        <w:jc w:val="both"/>
        <w:rPr>
          <w:rFonts w:ascii="Palatino Linotype" w:hAnsi="Palatino Linotype" w:cs="Tahoma"/>
          <w:sz w:val="22"/>
          <w:szCs w:val="22"/>
        </w:rPr>
      </w:pPr>
      <w:r w:rsidRPr="004857FD">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w:t>
      </w:r>
      <w:r w:rsidRPr="004857FD">
        <w:rPr>
          <w:rFonts w:ascii="Palatino Linotype" w:hAnsi="Palatino Linotype" w:cs="Tahoma"/>
          <w:sz w:val="22"/>
          <w:szCs w:val="22"/>
        </w:rPr>
        <w:lastRenderedPageBreak/>
        <w:t>Plataforma Nacional de Transparencia, establecen los formatos para dar cumplimiento a las Obligaciones de Transparencia, así como los plazos de actualización.</w:t>
      </w:r>
    </w:p>
    <w:p w:rsidRPr="004857FD" w:rsidR="00CE0B4C" w:rsidP="00147516" w:rsidRDefault="00CE0B4C" w14:paraId="08436D85" w14:textId="77777777">
      <w:pPr>
        <w:spacing w:line="360" w:lineRule="auto"/>
        <w:jc w:val="both"/>
        <w:rPr>
          <w:rFonts w:ascii="Palatino Linotype" w:hAnsi="Palatino Linotype" w:cs="Tahoma"/>
          <w:sz w:val="22"/>
          <w:szCs w:val="22"/>
        </w:rPr>
      </w:pPr>
    </w:p>
    <w:p w:rsidRPr="004857FD" w:rsidR="00CE0B4C" w:rsidP="00147516" w:rsidRDefault="00CE0B4C" w14:paraId="1DCD4103" w14:textId="77777777">
      <w:pPr>
        <w:spacing w:line="360" w:lineRule="auto"/>
        <w:jc w:val="both"/>
        <w:rPr>
          <w:rFonts w:ascii="Palatino Linotype" w:hAnsi="Palatino Linotype" w:cs="Tahoma"/>
          <w:sz w:val="22"/>
          <w:szCs w:val="22"/>
        </w:rPr>
      </w:pPr>
      <w:r w:rsidRPr="004857FD">
        <w:rPr>
          <w:rFonts w:ascii="Palatino Linotype" w:hAnsi="Palatino Linotype" w:cs="Tahoma"/>
          <w:sz w:val="22"/>
          <w:szCs w:val="22"/>
        </w:rPr>
        <w:t>En materia local, el artículo 5°, fracción I</w:t>
      </w:r>
      <w:r w:rsidRPr="004857FD" w:rsidR="00002CF8">
        <w:rPr>
          <w:rFonts w:ascii="Palatino Linotype" w:hAnsi="Palatino Linotype" w:cs="Tahoma"/>
          <w:sz w:val="22"/>
          <w:szCs w:val="22"/>
        </w:rPr>
        <w:t>,</w:t>
      </w:r>
      <w:r w:rsidRPr="004857FD">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4857FD" w:rsidR="00CE0B4C" w:rsidP="00147516" w:rsidRDefault="00CE0B4C" w14:paraId="6643E4AF" w14:textId="77777777">
      <w:pPr>
        <w:spacing w:line="360" w:lineRule="auto"/>
        <w:jc w:val="both"/>
        <w:rPr>
          <w:rFonts w:ascii="Palatino Linotype" w:hAnsi="Palatino Linotype" w:cs="Tahoma"/>
          <w:sz w:val="22"/>
          <w:szCs w:val="22"/>
        </w:rPr>
      </w:pPr>
    </w:p>
    <w:p w:rsidRPr="004857FD" w:rsidR="00CE0B4C" w:rsidP="00147516" w:rsidRDefault="00CE0B4C" w14:paraId="55A8EA2F" w14:textId="77777777">
      <w:pPr>
        <w:spacing w:line="360" w:lineRule="auto"/>
        <w:jc w:val="both"/>
        <w:rPr>
          <w:rFonts w:ascii="Palatino Linotype" w:hAnsi="Palatino Linotype" w:cs="Tahoma"/>
          <w:sz w:val="22"/>
          <w:szCs w:val="22"/>
        </w:rPr>
      </w:pPr>
      <w:r w:rsidRPr="004857FD">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4857FD" w:rsidR="00CE0B4C" w:rsidP="00147516" w:rsidRDefault="00CE0B4C" w14:paraId="4C2CFA65" w14:textId="77777777">
      <w:pPr>
        <w:spacing w:line="360" w:lineRule="auto"/>
        <w:jc w:val="both"/>
        <w:rPr>
          <w:rFonts w:ascii="Palatino Linotype" w:hAnsi="Palatino Linotype" w:cs="Tahoma"/>
          <w:sz w:val="22"/>
          <w:szCs w:val="22"/>
        </w:rPr>
      </w:pPr>
    </w:p>
    <w:p w:rsidRPr="004857FD" w:rsidR="00CE0B4C" w:rsidP="00147516" w:rsidRDefault="00CE0B4C" w14:paraId="748ECF0D" w14:textId="77777777">
      <w:pPr>
        <w:spacing w:line="360" w:lineRule="auto"/>
        <w:jc w:val="both"/>
        <w:rPr>
          <w:rFonts w:ascii="Palatino Linotype" w:hAnsi="Palatino Linotype" w:cs="Tahoma"/>
          <w:sz w:val="22"/>
          <w:szCs w:val="22"/>
        </w:rPr>
      </w:pPr>
      <w:r w:rsidRPr="004857FD">
        <w:rPr>
          <w:rFonts w:ascii="Palatino Linotype" w:hAnsi="Palatino Linotype" w:cs="Tahoma"/>
          <w:sz w:val="22"/>
          <w:szCs w:val="22"/>
        </w:rPr>
        <w:t>El artículo 12, que, quienes generen, recopilen, administren, manejen, procesen, archiven o conserven información pública serán responsables de la misma.</w:t>
      </w:r>
    </w:p>
    <w:p w:rsidRPr="004857FD" w:rsidR="00EF5683" w:rsidP="00147516" w:rsidRDefault="00EF5683" w14:paraId="25AA282D" w14:textId="77777777">
      <w:pPr>
        <w:spacing w:line="360" w:lineRule="auto"/>
        <w:jc w:val="both"/>
        <w:rPr>
          <w:rFonts w:ascii="Palatino Linotype" w:hAnsi="Palatino Linotype" w:cs="Tahoma"/>
          <w:sz w:val="22"/>
          <w:szCs w:val="22"/>
        </w:rPr>
      </w:pPr>
    </w:p>
    <w:p w:rsidRPr="004857FD" w:rsidR="00CE0B4C" w:rsidP="00147516" w:rsidRDefault="00CE0B4C" w14:paraId="0BD402F8" w14:textId="77777777">
      <w:pPr>
        <w:spacing w:line="360" w:lineRule="auto"/>
        <w:jc w:val="both"/>
        <w:rPr>
          <w:rFonts w:ascii="Palatino Linotype" w:hAnsi="Palatino Linotype" w:cs="Tahoma"/>
          <w:sz w:val="22"/>
          <w:szCs w:val="22"/>
        </w:rPr>
      </w:pPr>
      <w:r w:rsidRPr="004857FD">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4857FD" w:rsidR="00CE0B4C" w:rsidP="00147516" w:rsidRDefault="00CE0B4C" w14:paraId="5F82958B" w14:textId="77777777">
      <w:pPr>
        <w:spacing w:line="360" w:lineRule="auto"/>
        <w:jc w:val="both"/>
        <w:rPr>
          <w:rFonts w:ascii="Palatino Linotype" w:hAnsi="Palatino Linotype" w:cs="Tahoma"/>
          <w:sz w:val="22"/>
          <w:szCs w:val="22"/>
        </w:rPr>
      </w:pPr>
    </w:p>
    <w:p w:rsidRPr="004857FD" w:rsidR="00CE0B4C" w:rsidP="00147516" w:rsidRDefault="00CE0B4C" w14:paraId="2FAFF134" w14:textId="77777777">
      <w:pPr>
        <w:spacing w:line="360" w:lineRule="auto"/>
        <w:jc w:val="both"/>
        <w:rPr>
          <w:rFonts w:ascii="Palatino Linotype" w:hAnsi="Palatino Linotype" w:cs="Tahoma"/>
          <w:sz w:val="22"/>
          <w:szCs w:val="22"/>
        </w:rPr>
      </w:pPr>
      <w:r w:rsidRPr="004857FD">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4857FD" w:rsidR="00CE0B4C" w:rsidP="00147516" w:rsidRDefault="00CE0B4C" w14:paraId="0BC52D76" w14:textId="77777777">
      <w:pPr>
        <w:spacing w:line="360" w:lineRule="auto"/>
        <w:ind w:right="-93"/>
        <w:jc w:val="both"/>
        <w:rPr>
          <w:rFonts w:ascii="Palatino Linotype" w:hAnsi="Palatino Linotype" w:cs="Tahoma"/>
          <w:b/>
          <w:sz w:val="22"/>
          <w:szCs w:val="22"/>
          <w:lang w:val="es-ES"/>
        </w:rPr>
      </w:pPr>
    </w:p>
    <w:p w:rsidRPr="004857FD" w:rsidR="00CE0B4C" w:rsidP="00147516" w:rsidRDefault="00CE0B4C" w14:paraId="266DCBFB" w14:textId="77777777">
      <w:pPr>
        <w:spacing w:line="360" w:lineRule="auto"/>
        <w:ind w:right="-93"/>
        <w:jc w:val="both"/>
        <w:rPr>
          <w:rFonts w:ascii="Palatino Linotype" w:hAnsi="Palatino Linotype" w:cs="Tahoma"/>
          <w:b/>
          <w:sz w:val="22"/>
          <w:szCs w:val="22"/>
          <w:lang w:val="es-ES"/>
        </w:rPr>
      </w:pPr>
      <w:r w:rsidRPr="004857FD">
        <w:rPr>
          <w:rFonts w:ascii="Palatino Linotype" w:hAnsi="Palatino Linotype" w:cs="Tahoma"/>
          <w:b/>
          <w:sz w:val="22"/>
          <w:szCs w:val="22"/>
          <w:lang w:val="es-ES"/>
        </w:rPr>
        <w:t>QUINTO. Estudio de Fondo.</w:t>
      </w:r>
    </w:p>
    <w:p w:rsidRPr="004857FD" w:rsidR="00040101" w:rsidP="00147516" w:rsidRDefault="00040101" w14:paraId="5D3713EE" w14:textId="77777777">
      <w:pPr>
        <w:spacing w:line="360" w:lineRule="auto"/>
        <w:ind w:right="-93"/>
        <w:jc w:val="both"/>
        <w:rPr>
          <w:rFonts w:ascii="Palatino Linotype" w:hAnsi="Palatino Linotype" w:cs="Tahoma"/>
          <w:b/>
          <w:sz w:val="22"/>
          <w:szCs w:val="22"/>
          <w:lang w:val="es-ES"/>
        </w:rPr>
      </w:pPr>
    </w:p>
    <w:p w:rsidRPr="004857FD" w:rsidR="00CE0B4C" w:rsidP="00147516" w:rsidRDefault="00CE0B4C" w14:paraId="250470B2" w14:textId="77777777">
      <w:pPr>
        <w:spacing w:line="360" w:lineRule="auto"/>
        <w:jc w:val="both"/>
        <w:rPr>
          <w:rFonts w:ascii="Palatino Linotype" w:hAnsi="Palatino Linotype" w:cs="Tahoma"/>
          <w:sz w:val="22"/>
          <w:szCs w:val="22"/>
        </w:rPr>
      </w:pPr>
      <w:r w:rsidRPr="004857FD">
        <w:rPr>
          <w:rFonts w:ascii="Palatino Linotype" w:hAnsi="Palatino Linotype" w:cs="Tahoma"/>
          <w:sz w:val="22"/>
          <w:szCs w:val="22"/>
        </w:rPr>
        <w:lastRenderedPageBreak/>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rsidRPr="004857FD" w:rsidR="00CE0B4C" w:rsidP="00147516" w:rsidRDefault="00CE0B4C" w14:paraId="36643155" w14:textId="77777777">
      <w:pPr>
        <w:spacing w:line="360" w:lineRule="auto"/>
        <w:jc w:val="both"/>
        <w:rPr>
          <w:rFonts w:ascii="Palatino Linotype" w:hAnsi="Palatino Linotype" w:cs="Tahoma"/>
          <w:sz w:val="22"/>
          <w:szCs w:val="22"/>
        </w:rPr>
      </w:pPr>
    </w:p>
    <w:p w:rsidRPr="004857FD" w:rsidR="00CE0B4C" w:rsidP="00147516" w:rsidRDefault="00CE0B4C" w14:paraId="3CC56D76" w14:textId="77777777">
      <w:pPr>
        <w:spacing w:line="360" w:lineRule="auto"/>
        <w:ind w:right="-93"/>
        <w:jc w:val="both"/>
        <w:rPr>
          <w:rFonts w:ascii="Palatino Linotype" w:hAnsi="Palatino Linotype" w:eastAsia="Calibri" w:cs="Tahoma"/>
          <w:bCs/>
          <w:sz w:val="22"/>
          <w:szCs w:val="22"/>
          <w:lang w:eastAsia="en-US"/>
        </w:rPr>
      </w:pPr>
      <w:r w:rsidRPr="004857FD">
        <w:rPr>
          <w:rFonts w:ascii="Palatino Linotype" w:hAnsi="Palatino Linotype" w:eastAsia="Calibri"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Pr="004857FD" w:rsidR="00CE0B4C" w:rsidP="00147516" w:rsidRDefault="00CE0B4C" w14:paraId="7D050AB3" w14:textId="77777777">
      <w:pPr>
        <w:spacing w:line="360" w:lineRule="auto"/>
        <w:ind w:right="-93"/>
        <w:jc w:val="both"/>
        <w:rPr>
          <w:rFonts w:ascii="Palatino Linotype" w:hAnsi="Palatino Linotype" w:eastAsia="Calibri" w:cs="Tahoma"/>
          <w:bCs/>
          <w:sz w:val="22"/>
          <w:szCs w:val="22"/>
          <w:lang w:eastAsia="en-US"/>
        </w:rPr>
      </w:pPr>
    </w:p>
    <w:p w:rsidRPr="004857FD" w:rsidR="00CE0B4C" w:rsidP="00147516" w:rsidRDefault="00CE0B4C" w14:paraId="45787621" w14:textId="77777777">
      <w:pPr>
        <w:spacing w:line="360" w:lineRule="auto"/>
        <w:ind w:right="-93"/>
        <w:jc w:val="both"/>
        <w:rPr>
          <w:rFonts w:ascii="Palatino Linotype" w:hAnsi="Palatino Linotype" w:eastAsia="Calibri" w:cs="Tahoma"/>
          <w:bCs/>
          <w:sz w:val="22"/>
          <w:szCs w:val="22"/>
          <w:lang w:eastAsia="en-US"/>
        </w:rPr>
      </w:pPr>
      <w:r w:rsidRPr="004857FD">
        <w:rPr>
          <w:rFonts w:ascii="Palatino Linotype" w:hAnsi="Palatino Linotype" w:eastAsia="Calibri"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rsidRPr="004857FD" w:rsidR="00CE0B4C" w:rsidP="00147516" w:rsidRDefault="00CE0B4C" w14:paraId="3958A8A1" w14:textId="77777777">
      <w:pPr>
        <w:spacing w:line="360" w:lineRule="auto"/>
        <w:ind w:right="-93"/>
        <w:jc w:val="both"/>
        <w:rPr>
          <w:rFonts w:ascii="Palatino Linotype" w:hAnsi="Palatino Linotype" w:eastAsia="Calibri" w:cs="Tahoma"/>
          <w:bCs/>
          <w:sz w:val="22"/>
          <w:szCs w:val="22"/>
          <w:lang w:eastAsia="en-US"/>
        </w:rPr>
      </w:pPr>
    </w:p>
    <w:p w:rsidRPr="004857FD" w:rsidR="00CE0B4C" w:rsidP="00147516" w:rsidRDefault="00CE0B4C" w14:paraId="1949FDC2" w14:textId="77777777">
      <w:pPr>
        <w:spacing w:line="360" w:lineRule="auto"/>
        <w:ind w:right="-93"/>
        <w:jc w:val="both"/>
        <w:rPr>
          <w:rFonts w:ascii="Palatino Linotype" w:hAnsi="Palatino Linotype" w:eastAsia="Calibri" w:cs="Tahoma"/>
          <w:bCs/>
          <w:sz w:val="22"/>
          <w:szCs w:val="22"/>
          <w:lang w:eastAsia="en-US"/>
        </w:rPr>
      </w:pPr>
      <w:r w:rsidRPr="004857FD">
        <w:rPr>
          <w:rFonts w:ascii="Palatino Linotype" w:hAnsi="Palatino Linotype" w:eastAsia="Calibri"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4857FD">
        <w:rPr>
          <w:rFonts w:ascii="Palatino Linotype" w:hAnsi="Palatino Linotype" w:eastAsia="Calibri" w:cs="Tahoma"/>
          <w:bCs/>
          <w:i/>
          <w:sz w:val="22"/>
          <w:szCs w:val="22"/>
          <w:lang w:eastAsia="en-US"/>
        </w:rPr>
        <w:t>ad hoc</w:t>
      </w:r>
      <w:r w:rsidRPr="004857FD">
        <w:rPr>
          <w:rFonts w:ascii="Palatino Linotype" w:hAnsi="Palatino Linotype" w:eastAsia="Calibri"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rsidRPr="004857FD" w:rsidR="00CE0B4C" w:rsidP="00147516" w:rsidRDefault="00CE0B4C" w14:paraId="4698CA14" w14:textId="77777777">
      <w:pPr>
        <w:spacing w:line="360" w:lineRule="auto"/>
        <w:ind w:right="-93"/>
        <w:jc w:val="both"/>
        <w:rPr>
          <w:rFonts w:ascii="Palatino Linotype" w:hAnsi="Palatino Linotype" w:eastAsia="Calibri" w:cs="Tahoma"/>
          <w:bCs/>
          <w:sz w:val="22"/>
          <w:szCs w:val="22"/>
          <w:lang w:eastAsia="en-US"/>
        </w:rPr>
      </w:pPr>
    </w:p>
    <w:p w:rsidRPr="004857FD" w:rsidR="00CE0B4C" w:rsidP="00147516" w:rsidRDefault="00CE0B4C" w14:paraId="6E8D297E" w14:textId="77777777">
      <w:pPr>
        <w:spacing w:line="360" w:lineRule="auto"/>
        <w:ind w:right="-93"/>
        <w:jc w:val="both"/>
        <w:rPr>
          <w:rFonts w:ascii="Palatino Linotype" w:hAnsi="Palatino Linotype" w:eastAsia="Calibri" w:cs="Tahoma"/>
          <w:bCs/>
          <w:sz w:val="22"/>
          <w:szCs w:val="22"/>
          <w:lang w:eastAsia="en-US"/>
        </w:rPr>
      </w:pPr>
      <w:r w:rsidRPr="004857FD">
        <w:rPr>
          <w:rFonts w:ascii="Palatino Linotype" w:hAnsi="Palatino Linotype" w:eastAsia="Calibri" w:cs="Tahoma"/>
          <w:bCs/>
          <w:sz w:val="22"/>
          <w:szCs w:val="22"/>
          <w:lang w:eastAsia="en-US"/>
        </w:rPr>
        <w:lastRenderedPageBreak/>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Pr="004857FD" w:rsidR="002649C4" w:rsidP="002649C4" w:rsidRDefault="002649C4" w14:paraId="387DCADF" w14:textId="77777777">
      <w:pPr>
        <w:spacing w:line="360" w:lineRule="auto"/>
        <w:jc w:val="both"/>
        <w:rPr>
          <w:rFonts w:ascii="Palatino Linotype" w:hAnsi="Palatino Linotype" w:eastAsia="Calibri" w:cs="Tahoma"/>
          <w:iCs/>
          <w:sz w:val="22"/>
          <w:szCs w:val="22"/>
          <w:lang w:val="es-ES" w:eastAsia="es-ES_tradnl"/>
        </w:rPr>
      </w:pPr>
    </w:p>
    <w:p w:rsidRPr="004857FD" w:rsidR="001A4BEA" w:rsidP="001A4BEA" w:rsidRDefault="001A4BEA" w14:paraId="2E859808" w14:textId="77777777">
      <w:pPr>
        <w:spacing w:line="360" w:lineRule="auto"/>
        <w:jc w:val="both"/>
        <w:rPr>
          <w:rFonts w:ascii="Palatino Linotype" w:hAnsi="Palatino Linotype" w:eastAsia="Calibri" w:cs="Tahoma"/>
          <w:iCs/>
          <w:sz w:val="22"/>
          <w:szCs w:val="22"/>
          <w:lang w:eastAsia="es-ES_tradnl"/>
        </w:rPr>
      </w:pPr>
      <w:r w:rsidRPr="004857FD">
        <w:rPr>
          <w:rFonts w:ascii="Palatino Linotype" w:hAnsi="Palatino Linotype" w:eastAsia="Calibri" w:cs="Tahoma"/>
          <w:bCs/>
          <w:color w:val="000000"/>
          <w:sz w:val="22"/>
          <w:szCs w:val="22"/>
          <w:lang w:eastAsia="es-ES_tradnl"/>
        </w:rPr>
        <w:t xml:space="preserve">Así, con la finalidad de verificar si el acto descrito deja sin materia el presente Recurso de Revisión, </w:t>
      </w:r>
      <w:r w:rsidRPr="004857FD">
        <w:rPr>
          <w:rFonts w:ascii="Palatino Linotype" w:hAnsi="Palatino Linotype" w:cs="Tahoma"/>
          <w:sz w:val="22"/>
          <w:szCs w:val="22"/>
        </w:rPr>
        <w:t xml:space="preserve">se realizará la relatoría de las actuaciones efectuadas por las partes durante el procedimiento de acceso a la información pública </w:t>
      </w:r>
      <w:r w:rsidRPr="004857FD">
        <w:rPr>
          <w:rFonts w:ascii="Palatino Linotype" w:hAnsi="Palatino Linotype" w:eastAsia="Calibri" w:cs="Tahoma"/>
          <w:iCs/>
          <w:sz w:val="22"/>
          <w:szCs w:val="22"/>
          <w:lang w:eastAsia="es-ES_tradnl"/>
        </w:rPr>
        <w:t xml:space="preserve">con el propósito de dar claridad en el tratamiento del tema en estudio. </w:t>
      </w:r>
    </w:p>
    <w:p w:rsidRPr="004857FD" w:rsidR="001A4BEA" w:rsidP="001A4BEA" w:rsidRDefault="001A4BEA" w14:paraId="56262F51" w14:textId="77777777">
      <w:pPr>
        <w:tabs>
          <w:tab w:val="left" w:pos="4962"/>
        </w:tabs>
        <w:spacing w:line="360" w:lineRule="auto"/>
        <w:jc w:val="both"/>
        <w:rPr>
          <w:rFonts w:ascii="Palatino Linotype" w:hAnsi="Palatino Linotype" w:eastAsia="Calibri" w:cs="Tahoma"/>
          <w:iCs/>
          <w:sz w:val="22"/>
          <w:szCs w:val="22"/>
          <w:lang w:eastAsia="es-ES_tradnl"/>
        </w:rPr>
      </w:pPr>
    </w:p>
    <w:p w:rsidRPr="004857FD" w:rsidR="001A4BEA" w:rsidP="001A4BEA" w:rsidRDefault="001A4BEA" w14:paraId="11F20A0D" w14:textId="77777777">
      <w:pPr>
        <w:tabs>
          <w:tab w:val="left" w:pos="4962"/>
        </w:tabs>
        <w:spacing w:line="360" w:lineRule="auto"/>
        <w:jc w:val="both"/>
        <w:rPr>
          <w:rFonts w:ascii="Palatino Linotype" w:hAnsi="Palatino Linotype" w:eastAsia="Calibri" w:cs="Tahoma"/>
          <w:iCs/>
          <w:sz w:val="22"/>
          <w:szCs w:val="22"/>
          <w:lang w:eastAsia="es-ES_tradnl"/>
        </w:rPr>
      </w:pPr>
      <w:r w:rsidRPr="004857FD">
        <w:rPr>
          <w:rFonts w:ascii="Palatino Linotype" w:hAnsi="Palatino Linotype" w:eastAsia="Calibri" w:cs="Tahoma"/>
          <w:iCs/>
          <w:sz w:val="22"/>
          <w:szCs w:val="22"/>
          <w:lang w:eastAsia="es-ES_tradnl"/>
        </w:rPr>
        <w:t>Previamente es de precisar que el contenido de la solicitud, fue ceñida a lo siguiente</w:t>
      </w:r>
    </w:p>
    <w:tbl>
      <w:tblPr>
        <w:tblStyle w:val="Tablaconcuadrcula"/>
        <w:tblW w:w="0" w:type="auto"/>
        <w:tblLook w:val="04A0" w:firstRow="1" w:lastRow="0" w:firstColumn="1" w:lastColumn="0" w:noHBand="0" w:noVBand="1"/>
      </w:tblPr>
      <w:tblGrid>
        <w:gridCol w:w="2454"/>
        <w:gridCol w:w="2459"/>
        <w:gridCol w:w="2318"/>
        <w:gridCol w:w="1803"/>
      </w:tblGrid>
      <w:tr w:rsidRPr="004857FD" w:rsidR="001A4BEA" w:rsidTr="009A7BC4" w14:paraId="177742BA" w14:textId="77777777">
        <w:tc>
          <w:tcPr>
            <w:tcW w:w="2470" w:type="dxa"/>
            <w:shd w:val="clear" w:color="auto" w:fill="AEAAAA" w:themeFill="background2" w:themeFillShade="BF"/>
          </w:tcPr>
          <w:p w:rsidRPr="004857FD" w:rsidR="001A4BEA" w:rsidP="004176D7" w:rsidRDefault="001A4BEA" w14:paraId="0D783D1D" w14:textId="77777777">
            <w:pPr>
              <w:spacing w:line="360" w:lineRule="auto"/>
              <w:jc w:val="center"/>
              <w:rPr>
                <w:rFonts w:ascii="Palatino Linotype" w:hAnsi="Palatino Linotype" w:eastAsia="Calibri" w:cs="Tahoma"/>
                <w:b/>
                <w:iCs/>
                <w:szCs w:val="22"/>
                <w:lang w:eastAsia="es-ES_tradnl"/>
              </w:rPr>
            </w:pPr>
            <w:r w:rsidRPr="004857FD">
              <w:rPr>
                <w:rFonts w:ascii="Palatino Linotype" w:hAnsi="Palatino Linotype" w:eastAsia="Calibri" w:cs="Tahoma"/>
                <w:b/>
                <w:iCs/>
                <w:szCs w:val="22"/>
                <w:lang w:eastAsia="es-ES_tradnl"/>
              </w:rPr>
              <w:t>Solicitud</w:t>
            </w:r>
          </w:p>
        </w:tc>
        <w:tc>
          <w:tcPr>
            <w:tcW w:w="2474" w:type="dxa"/>
            <w:shd w:val="clear" w:color="auto" w:fill="AEAAAA" w:themeFill="background2" w:themeFillShade="BF"/>
          </w:tcPr>
          <w:p w:rsidRPr="004857FD" w:rsidR="001A4BEA" w:rsidP="004176D7" w:rsidRDefault="001A4BEA" w14:paraId="58CD3157" w14:textId="77777777">
            <w:pPr>
              <w:spacing w:line="360" w:lineRule="auto"/>
              <w:jc w:val="center"/>
              <w:rPr>
                <w:rFonts w:ascii="Palatino Linotype" w:hAnsi="Palatino Linotype" w:eastAsia="Calibri" w:cs="Tahoma"/>
                <w:iCs/>
                <w:szCs w:val="22"/>
                <w:lang w:eastAsia="es-ES_tradnl"/>
              </w:rPr>
            </w:pPr>
            <w:r w:rsidRPr="004857FD">
              <w:rPr>
                <w:rFonts w:ascii="Palatino Linotype" w:hAnsi="Palatino Linotype" w:eastAsia="Calibri" w:cs="Tahoma"/>
                <w:b/>
                <w:iCs/>
                <w:szCs w:val="22"/>
                <w:lang w:eastAsia="es-ES_tradnl"/>
              </w:rPr>
              <w:t>Respuesta</w:t>
            </w:r>
          </w:p>
        </w:tc>
        <w:tc>
          <w:tcPr>
            <w:tcW w:w="2337" w:type="dxa"/>
            <w:shd w:val="clear" w:color="auto" w:fill="AEAAAA" w:themeFill="background2" w:themeFillShade="BF"/>
          </w:tcPr>
          <w:p w:rsidRPr="004857FD" w:rsidR="001A4BEA" w:rsidP="004176D7" w:rsidRDefault="001A4BEA" w14:paraId="52EAAC19" w14:textId="77777777">
            <w:pPr>
              <w:spacing w:line="360" w:lineRule="auto"/>
              <w:jc w:val="center"/>
              <w:rPr>
                <w:rFonts w:ascii="Palatino Linotype" w:hAnsi="Palatino Linotype" w:eastAsia="Calibri" w:cs="Tahoma"/>
                <w:b/>
                <w:iCs/>
                <w:szCs w:val="22"/>
                <w:lang w:eastAsia="es-ES_tradnl"/>
              </w:rPr>
            </w:pPr>
            <w:r w:rsidRPr="004857FD">
              <w:rPr>
                <w:rFonts w:ascii="Palatino Linotype" w:hAnsi="Palatino Linotype" w:eastAsia="Calibri" w:cs="Tahoma"/>
                <w:b/>
                <w:iCs/>
                <w:szCs w:val="22"/>
                <w:lang w:eastAsia="es-ES_tradnl"/>
              </w:rPr>
              <w:t>Informe Justificado</w:t>
            </w:r>
          </w:p>
        </w:tc>
        <w:tc>
          <w:tcPr>
            <w:tcW w:w="1753" w:type="dxa"/>
            <w:shd w:val="clear" w:color="auto" w:fill="AEAAAA" w:themeFill="background2" w:themeFillShade="BF"/>
          </w:tcPr>
          <w:p w:rsidRPr="004857FD" w:rsidR="001A4BEA" w:rsidP="004176D7" w:rsidRDefault="008A720E" w14:paraId="0FD91E97" w14:textId="02DC7BDC">
            <w:pPr>
              <w:spacing w:line="360" w:lineRule="auto"/>
              <w:jc w:val="center"/>
              <w:rPr>
                <w:rFonts w:ascii="Palatino Linotype" w:hAnsi="Palatino Linotype" w:eastAsia="Calibri" w:cs="Tahoma"/>
                <w:b/>
                <w:iCs/>
                <w:szCs w:val="22"/>
                <w:lang w:eastAsia="es-ES_tradnl"/>
              </w:rPr>
            </w:pPr>
            <w:r w:rsidRPr="004857FD">
              <w:rPr>
                <w:rFonts w:ascii="Palatino Linotype" w:hAnsi="Palatino Linotype" w:eastAsia="Calibri" w:cs="Tahoma"/>
                <w:b/>
                <w:iCs/>
                <w:szCs w:val="22"/>
                <w:lang w:eastAsia="es-ES_tradnl"/>
              </w:rPr>
              <w:t>Acto impugnado</w:t>
            </w:r>
          </w:p>
        </w:tc>
      </w:tr>
      <w:tr w:rsidRPr="004857FD" w:rsidR="001A4BEA" w:rsidTr="009A7BC4" w14:paraId="0D16A74C" w14:textId="77777777">
        <w:tc>
          <w:tcPr>
            <w:tcW w:w="2470" w:type="dxa"/>
          </w:tcPr>
          <w:p w:rsidRPr="004857FD" w:rsidR="001A4BEA" w:rsidP="004176D7" w:rsidRDefault="00900E64" w14:paraId="55479211" w14:textId="1CE5CFEE">
            <w:pPr>
              <w:spacing w:line="360" w:lineRule="auto"/>
              <w:jc w:val="both"/>
              <w:rPr>
                <w:rFonts w:ascii="Palatino Linotype" w:hAnsi="Palatino Linotype" w:eastAsia="Calibri" w:cs="Tahoma"/>
                <w:iCs/>
                <w:szCs w:val="22"/>
                <w:lang w:eastAsia="es-ES_tradnl"/>
              </w:rPr>
            </w:pPr>
            <w:r w:rsidRPr="004857FD">
              <w:rPr>
                <w:rFonts w:ascii="Palatino Linotype" w:hAnsi="Palatino Linotype" w:eastAsia="Calibri" w:cs="Tahoma"/>
                <w:iCs/>
                <w:szCs w:val="22"/>
                <w:lang w:eastAsia="es-ES_tradnl"/>
              </w:rPr>
              <w:t>1. El seguimiento de todas las recomendaciones y observaciones del Comité de Ética y la Unidad de Ética de dos mil veinte al primero de septiembre de dos mil veintidós.</w:t>
            </w:r>
          </w:p>
        </w:tc>
        <w:tc>
          <w:tcPr>
            <w:tcW w:w="2474" w:type="dxa"/>
          </w:tcPr>
          <w:p w:rsidRPr="004857FD" w:rsidR="001A4BEA" w:rsidP="004F77A2" w:rsidRDefault="004F77A2" w14:paraId="35BB6E5E" w14:textId="5585D547">
            <w:pPr>
              <w:spacing w:line="360" w:lineRule="auto"/>
              <w:jc w:val="both"/>
              <w:rPr>
                <w:rFonts w:ascii="Palatino Linotype" w:hAnsi="Palatino Linotype" w:eastAsia="Calibri" w:cs="Tahoma"/>
                <w:iCs/>
                <w:szCs w:val="22"/>
                <w:lang w:eastAsia="es-ES_tradnl"/>
              </w:rPr>
            </w:pPr>
            <w:r w:rsidRPr="004857FD">
              <w:rPr>
                <w:rFonts w:ascii="Palatino Linotype" w:hAnsi="Palatino Linotype" w:eastAsia="Calibri" w:cs="Tahoma"/>
                <w:iCs/>
                <w:szCs w:val="22"/>
                <w:lang w:eastAsia="es-ES_tradnl"/>
              </w:rPr>
              <w:t>Señaló que la Unidad de Ética y Prevención de la Corrupción y el Comité y de Ética y de Prevención de Conflicto de Intereses, no han emitido observaciones y sobre las recomendaciones, se les ha dado seguimiento y cumplimiento a través de los cursos-talleres específicos dirigidos a las áreas administrativas que corresponda.</w:t>
            </w:r>
          </w:p>
        </w:tc>
        <w:tc>
          <w:tcPr>
            <w:tcW w:w="2337" w:type="dxa"/>
          </w:tcPr>
          <w:p w:rsidRPr="004857FD" w:rsidR="009A7BC4" w:rsidP="004176D7" w:rsidRDefault="009A7BC4" w14:paraId="1F484AD8" w14:textId="77777777">
            <w:pPr>
              <w:spacing w:line="360" w:lineRule="auto"/>
              <w:jc w:val="both"/>
              <w:rPr>
                <w:rFonts w:ascii="Palatino Linotype" w:hAnsi="Palatino Linotype" w:eastAsia="Calibri" w:cs="Tahoma"/>
                <w:bCs/>
                <w:i/>
                <w:iCs/>
                <w:szCs w:val="22"/>
                <w:lang w:val="es-ES_tradnl" w:eastAsia="es-ES_tradnl"/>
              </w:rPr>
            </w:pPr>
            <w:r w:rsidRPr="004857FD">
              <w:rPr>
                <w:rFonts w:ascii="Palatino Linotype" w:hAnsi="Palatino Linotype" w:eastAsia="Calibri" w:cs="Tahoma"/>
                <w:bCs/>
                <w:i/>
                <w:iCs/>
                <w:szCs w:val="22"/>
                <w:lang w:val="es-ES_tradnl" w:eastAsia="es-ES_tradnl"/>
              </w:rPr>
              <w:t>“…</w:t>
            </w:r>
          </w:p>
          <w:p w:rsidRPr="004857FD" w:rsidR="009A7BC4" w:rsidP="009A7BC4" w:rsidRDefault="009A7BC4" w14:paraId="7285DDF8" w14:textId="09581DC1">
            <w:pPr>
              <w:spacing w:line="360" w:lineRule="auto"/>
              <w:jc w:val="both"/>
              <w:rPr>
                <w:rFonts w:ascii="Palatino Linotype" w:hAnsi="Palatino Linotype" w:eastAsia="Calibri" w:cs="Tahoma"/>
                <w:iCs/>
                <w:szCs w:val="22"/>
                <w:lang w:eastAsia="es-ES_tradnl"/>
              </w:rPr>
            </w:pPr>
            <w:r w:rsidRPr="004857FD">
              <w:rPr>
                <w:rFonts w:ascii="Palatino Linotype" w:hAnsi="Palatino Linotype" w:eastAsia="Calibri" w:cs="Tahoma"/>
                <w:bCs/>
                <w:i/>
                <w:iCs/>
                <w:szCs w:val="22"/>
                <w:lang w:val="es-ES_tradnl" w:eastAsia="es-ES_tradnl"/>
              </w:rPr>
              <w:t>Aunado a lo anterior, resulta importante señalar las documentales exigidas por el solicitante, es información que no fue requerida en la solicitud inicial, sino hasta la interposición del recurso, por lo que constituye una petición adicional o plus petitio …”</w:t>
            </w:r>
          </w:p>
        </w:tc>
        <w:tc>
          <w:tcPr>
            <w:tcW w:w="1753" w:type="dxa"/>
          </w:tcPr>
          <w:p w:rsidRPr="004857FD" w:rsidR="001A4BEA" w:rsidP="00970063" w:rsidRDefault="003B6F7C" w14:paraId="14A15A6C" w14:textId="39E3180B">
            <w:pPr>
              <w:spacing w:line="360" w:lineRule="auto"/>
              <w:jc w:val="both"/>
              <w:rPr>
                <w:rFonts w:ascii="Palatino Linotype" w:hAnsi="Palatino Linotype" w:eastAsia="Calibri" w:cs="Tahoma"/>
                <w:iCs/>
                <w:szCs w:val="22"/>
                <w:lang w:eastAsia="es-ES_tradnl"/>
              </w:rPr>
            </w:pPr>
            <w:r w:rsidRPr="004857FD">
              <w:rPr>
                <w:rFonts w:ascii="Palatino Linotype" w:hAnsi="Palatino Linotype" w:eastAsia="Calibri" w:cs="Tahoma"/>
                <w:iCs/>
                <w:szCs w:val="22"/>
                <w:lang w:eastAsia="es-ES_tradnl"/>
              </w:rPr>
              <w:t xml:space="preserve">El Particular se inconformó debido a que no se le proporcionó los documentos que dieran cuenta que se están </w:t>
            </w:r>
            <w:r w:rsidRPr="004857FD" w:rsidR="00970063">
              <w:rPr>
                <w:rFonts w:ascii="Palatino Linotype" w:hAnsi="Palatino Linotype" w:eastAsia="Calibri" w:cs="Tahoma"/>
                <w:iCs/>
                <w:szCs w:val="22"/>
                <w:lang w:eastAsia="es-ES_tradnl"/>
              </w:rPr>
              <w:t>realizando las recomendaciones, realizadas por la Unidad de Ética y de Prevención de la Corrupción</w:t>
            </w:r>
          </w:p>
        </w:tc>
      </w:tr>
      <w:tr w:rsidRPr="004857FD" w:rsidR="004F77A2" w:rsidTr="009A7BC4" w14:paraId="7D3E1A4A" w14:textId="77777777">
        <w:tc>
          <w:tcPr>
            <w:tcW w:w="2470" w:type="dxa"/>
          </w:tcPr>
          <w:p w:rsidRPr="004857FD" w:rsidR="004F77A2" w:rsidP="004F77A2" w:rsidRDefault="004F77A2" w14:paraId="391CBBB8" w14:textId="7393C92E">
            <w:pPr>
              <w:spacing w:line="360" w:lineRule="auto"/>
              <w:jc w:val="both"/>
              <w:rPr>
                <w:rFonts w:ascii="Palatino Linotype" w:hAnsi="Palatino Linotype" w:eastAsia="Calibri" w:cs="Tahoma"/>
                <w:iCs/>
                <w:szCs w:val="22"/>
                <w:lang w:eastAsia="es-ES_tradnl"/>
              </w:rPr>
            </w:pPr>
            <w:r w:rsidRPr="004857FD">
              <w:rPr>
                <w:rFonts w:ascii="Palatino Linotype" w:hAnsi="Palatino Linotype" w:eastAsia="Calibri" w:cs="Tahoma"/>
                <w:iCs/>
                <w:szCs w:val="22"/>
                <w:lang w:eastAsia="es-ES_tradnl"/>
              </w:rPr>
              <w:lastRenderedPageBreak/>
              <w:t>2. Investigación de un conflicto de intereses entre una persona y el secretario particular de la CODHEM.</w:t>
            </w:r>
          </w:p>
        </w:tc>
        <w:tc>
          <w:tcPr>
            <w:tcW w:w="2474" w:type="dxa"/>
          </w:tcPr>
          <w:p w:rsidRPr="004857FD" w:rsidR="004F77A2" w:rsidP="004F77A2" w:rsidRDefault="004F77A2" w14:paraId="1E5A42A9" w14:textId="3AE1C31D">
            <w:pPr>
              <w:spacing w:line="360" w:lineRule="auto"/>
              <w:jc w:val="both"/>
              <w:rPr>
                <w:rFonts w:ascii="Palatino Linotype" w:hAnsi="Palatino Linotype" w:eastAsia="Calibri" w:cs="Tahoma"/>
                <w:iCs/>
                <w:szCs w:val="22"/>
                <w:lang w:eastAsia="es-ES_tradnl"/>
              </w:rPr>
            </w:pPr>
          </w:p>
        </w:tc>
        <w:tc>
          <w:tcPr>
            <w:tcW w:w="2337" w:type="dxa"/>
          </w:tcPr>
          <w:p w:rsidRPr="004857FD" w:rsidR="004F77A2" w:rsidP="004F77A2" w:rsidRDefault="004F77A2" w14:paraId="07BC0572" w14:textId="525C52CF">
            <w:pPr>
              <w:spacing w:line="360" w:lineRule="auto"/>
              <w:jc w:val="both"/>
              <w:rPr>
                <w:rFonts w:ascii="Palatino Linotype" w:hAnsi="Palatino Linotype" w:eastAsia="Calibri" w:cs="Tahoma"/>
                <w:iCs/>
                <w:szCs w:val="22"/>
                <w:lang w:eastAsia="es-ES_tradnl"/>
              </w:rPr>
            </w:pPr>
          </w:p>
        </w:tc>
        <w:tc>
          <w:tcPr>
            <w:tcW w:w="1753" w:type="dxa"/>
          </w:tcPr>
          <w:p w:rsidRPr="004857FD" w:rsidR="004F77A2" w:rsidP="004F77A2" w:rsidRDefault="004F77A2" w14:paraId="532994CB" w14:textId="49921D61">
            <w:pPr>
              <w:spacing w:line="360" w:lineRule="auto"/>
              <w:jc w:val="both"/>
              <w:rPr>
                <w:rFonts w:ascii="Palatino Linotype" w:hAnsi="Palatino Linotype" w:eastAsia="Calibri" w:cs="Tahoma"/>
                <w:iCs/>
                <w:szCs w:val="22"/>
                <w:lang w:eastAsia="es-ES_tradnl"/>
              </w:rPr>
            </w:pPr>
            <w:r w:rsidRPr="004857FD">
              <w:rPr>
                <w:rFonts w:ascii="Palatino Linotype" w:hAnsi="Palatino Linotype" w:eastAsia="Calibri" w:cs="Tahoma"/>
                <w:iCs/>
                <w:szCs w:val="22"/>
                <w:lang w:eastAsia="es-ES_tradnl"/>
              </w:rPr>
              <w:t xml:space="preserve">El Particular no se inconformó sobre el presente punto. </w:t>
            </w:r>
          </w:p>
        </w:tc>
      </w:tr>
      <w:tr w:rsidRPr="004857FD" w:rsidR="008A720E" w:rsidTr="009A7BC4" w14:paraId="0D299537" w14:textId="77777777">
        <w:tc>
          <w:tcPr>
            <w:tcW w:w="2470" w:type="dxa"/>
          </w:tcPr>
          <w:p w:rsidRPr="004857FD" w:rsidR="008A720E" w:rsidP="00900E64" w:rsidRDefault="00900E64" w14:paraId="52839453" w14:textId="0570DC60">
            <w:pPr>
              <w:spacing w:line="360" w:lineRule="auto"/>
              <w:jc w:val="both"/>
              <w:rPr>
                <w:rFonts w:ascii="Palatino Linotype" w:hAnsi="Palatino Linotype" w:eastAsia="Calibri" w:cs="Tahoma"/>
                <w:iCs/>
                <w:szCs w:val="22"/>
                <w:lang w:eastAsia="es-ES_tradnl"/>
              </w:rPr>
            </w:pPr>
            <w:r w:rsidRPr="004857FD">
              <w:rPr>
                <w:rFonts w:ascii="Palatino Linotype" w:hAnsi="Palatino Linotype" w:eastAsia="Calibri" w:cs="Tahoma"/>
                <w:iCs/>
                <w:szCs w:val="22"/>
                <w:lang w:eastAsia="es-ES_tradnl"/>
              </w:rPr>
              <w:t>3. Padrón de proveedores</w:t>
            </w:r>
          </w:p>
        </w:tc>
        <w:tc>
          <w:tcPr>
            <w:tcW w:w="2474" w:type="dxa"/>
          </w:tcPr>
          <w:p w:rsidRPr="004857FD" w:rsidR="008A720E" w:rsidP="008A720E" w:rsidRDefault="004F77A2" w14:paraId="1CDE0F58" w14:textId="7BF8237C">
            <w:pPr>
              <w:spacing w:line="360" w:lineRule="auto"/>
              <w:jc w:val="both"/>
              <w:rPr>
                <w:rFonts w:ascii="Palatino Linotype" w:hAnsi="Palatino Linotype" w:eastAsia="Calibri" w:cs="Tahoma"/>
                <w:iCs/>
                <w:szCs w:val="22"/>
                <w:lang w:eastAsia="es-ES_tradnl"/>
              </w:rPr>
            </w:pPr>
            <w:r w:rsidRPr="004857FD">
              <w:rPr>
                <w:rFonts w:ascii="Palatino Linotype" w:hAnsi="Palatino Linotype" w:eastAsia="Calibri" w:cs="Tahoma"/>
                <w:iCs/>
                <w:szCs w:val="22"/>
                <w:lang w:eastAsia="es-ES_tradnl"/>
              </w:rPr>
              <w:t>Proporcionó una liga electrónica.</w:t>
            </w:r>
          </w:p>
        </w:tc>
        <w:tc>
          <w:tcPr>
            <w:tcW w:w="2337" w:type="dxa"/>
          </w:tcPr>
          <w:p w:rsidRPr="004857FD" w:rsidR="008A720E" w:rsidP="008A720E" w:rsidRDefault="004F77A2" w14:paraId="0DFF589F" w14:textId="6B1E6B43">
            <w:pPr>
              <w:spacing w:line="360" w:lineRule="auto"/>
              <w:jc w:val="both"/>
              <w:rPr>
                <w:rFonts w:ascii="Palatino Linotype" w:hAnsi="Palatino Linotype" w:eastAsia="Calibri" w:cs="Tahoma"/>
                <w:iCs/>
                <w:szCs w:val="22"/>
                <w:lang w:eastAsia="es-ES_tradnl"/>
              </w:rPr>
            </w:pPr>
            <w:r w:rsidRPr="004857FD">
              <w:rPr>
                <w:rFonts w:ascii="Palatino Linotype" w:hAnsi="Palatino Linotype" w:eastAsia="Calibri" w:cs="Tahoma"/>
                <w:bCs/>
                <w:i/>
                <w:iCs/>
                <w:szCs w:val="22"/>
                <w:lang w:val="es-ES_tradnl" w:eastAsia="es-ES_tradnl"/>
              </w:rPr>
              <w:t>“…es menester precisar que resulta de explorado que el número de procedimientos adquisitivas realizados en un determinado momento correspondiente a un ejercicio fiscal, no debe estar obligadamente relacionado con el número de proveedores que forman parte del Padrón de Proveedores de esta Comisión…”</w:t>
            </w:r>
          </w:p>
        </w:tc>
        <w:tc>
          <w:tcPr>
            <w:tcW w:w="1753" w:type="dxa"/>
          </w:tcPr>
          <w:p w:rsidRPr="004857FD" w:rsidR="008A720E" w:rsidP="008A720E" w:rsidRDefault="009A7BC4" w14:paraId="17F78157" w14:textId="4FEDAD3F">
            <w:pPr>
              <w:spacing w:line="360" w:lineRule="auto"/>
              <w:jc w:val="both"/>
              <w:rPr>
                <w:rFonts w:ascii="Palatino Linotype" w:hAnsi="Palatino Linotype" w:eastAsia="Calibri" w:cs="Tahoma"/>
                <w:iCs/>
                <w:szCs w:val="22"/>
                <w:lang w:eastAsia="es-ES_tradnl"/>
              </w:rPr>
            </w:pPr>
            <w:r w:rsidRPr="004857FD">
              <w:rPr>
                <w:rFonts w:ascii="Palatino Linotype" w:hAnsi="Palatino Linotype" w:eastAsia="Calibri" w:cs="Tahoma"/>
                <w:iCs/>
                <w:szCs w:val="22"/>
                <w:lang w:eastAsia="es-ES_tradnl"/>
              </w:rPr>
              <w:t>El Particular se inconformó por no coincidir los proveedores con los procedimientos de adquisición.</w:t>
            </w:r>
          </w:p>
        </w:tc>
      </w:tr>
      <w:tr w:rsidRPr="004857FD" w:rsidR="009A7BC4" w:rsidTr="009A7BC4" w14:paraId="47560987" w14:textId="77777777">
        <w:tc>
          <w:tcPr>
            <w:tcW w:w="2470" w:type="dxa"/>
          </w:tcPr>
          <w:p w:rsidRPr="004857FD" w:rsidR="009A7BC4" w:rsidP="009A7BC4" w:rsidRDefault="009A7BC4" w14:paraId="0F4E11B6" w14:textId="17BB6C61">
            <w:pPr>
              <w:spacing w:line="360" w:lineRule="auto"/>
              <w:jc w:val="both"/>
              <w:rPr>
                <w:rFonts w:ascii="Palatino Linotype" w:hAnsi="Palatino Linotype" w:eastAsia="Calibri" w:cs="Tahoma"/>
                <w:iCs/>
                <w:szCs w:val="22"/>
                <w:lang w:eastAsia="es-ES_tradnl"/>
              </w:rPr>
            </w:pPr>
            <w:r w:rsidRPr="004857FD">
              <w:rPr>
                <w:rFonts w:ascii="Palatino Linotype" w:hAnsi="Palatino Linotype" w:eastAsia="Calibri" w:cs="Tahoma"/>
                <w:iCs/>
                <w:szCs w:val="22"/>
                <w:lang w:eastAsia="es-ES_tradnl"/>
              </w:rPr>
              <w:t>4. Contratos realizados entre las partes</w:t>
            </w:r>
          </w:p>
        </w:tc>
        <w:tc>
          <w:tcPr>
            <w:tcW w:w="2474" w:type="dxa"/>
          </w:tcPr>
          <w:p w:rsidRPr="004857FD" w:rsidR="009A7BC4" w:rsidP="009A7BC4" w:rsidRDefault="009A7BC4" w14:paraId="410A2578" w14:textId="12967260">
            <w:pPr>
              <w:spacing w:line="360" w:lineRule="auto"/>
              <w:jc w:val="both"/>
              <w:rPr>
                <w:rFonts w:ascii="Palatino Linotype" w:hAnsi="Palatino Linotype" w:eastAsia="Calibri" w:cs="Tahoma"/>
                <w:iCs/>
                <w:szCs w:val="22"/>
                <w:lang w:eastAsia="es-ES_tradnl"/>
              </w:rPr>
            </w:pPr>
            <w:r w:rsidRPr="004857FD">
              <w:rPr>
                <w:rFonts w:ascii="Palatino Linotype" w:hAnsi="Palatino Linotype" w:eastAsia="Calibri" w:cs="Tahoma"/>
                <w:iCs/>
                <w:szCs w:val="22"/>
                <w:lang w:eastAsia="es-ES_tradnl"/>
              </w:rPr>
              <w:t>Proporcionó una liga electrónica.</w:t>
            </w:r>
          </w:p>
        </w:tc>
        <w:tc>
          <w:tcPr>
            <w:tcW w:w="2337" w:type="dxa"/>
          </w:tcPr>
          <w:p w:rsidRPr="004857FD" w:rsidR="009A7BC4" w:rsidP="009A7BC4" w:rsidRDefault="009A7BC4" w14:paraId="3D4C48D5" w14:textId="30AE8EBD">
            <w:pPr>
              <w:spacing w:line="360" w:lineRule="auto"/>
              <w:jc w:val="both"/>
              <w:rPr>
                <w:rFonts w:ascii="Palatino Linotype" w:hAnsi="Palatino Linotype" w:eastAsia="Calibri" w:cs="Tahoma"/>
                <w:iCs/>
                <w:szCs w:val="22"/>
                <w:lang w:eastAsia="es-ES_tradnl"/>
              </w:rPr>
            </w:pPr>
          </w:p>
        </w:tc>
        <w:tc>
          <w:tcPr>
            <w:tcW w:w="1753" w:type="dxa"/>
          </w:tcPr>
          <w:p w:rsidRPr="004857FD" w:rsidR="009A7BC4" w:rsidP="009A7BC4" w:rsidRDefault="009A7BC4" w14:paraId="3292DDDC" w14:textId="56534EE6">
            <w:pPr>
              <w:spacing w:line="360" w:lineRule="auto"/>
              <w:jc w:val="both"/>
              <w:rPr>
                <w:rFonts w:ascii="Palatino Linotype" w:hAnsi="Palatino Linotype" w:eastAsia="Calibri" w:cs="Tahoma"/>
                <w:bCs/>
                <w:iCs/>
                <w:szCs w:val="22"/>
                <w:lang w:eastAsia="es-ES_tradnl"/>
              </w:rPr>
            </w:pPr>
            <w:r w:rsidRPr="004857FD">
              <w:rPr>
                <w:rFonts w:ascii="Palatino Linotype" w:hAnsi="Palatino Linotype" w:eastAsia="Calibri" w:cs="Tahoma"/>
                <w:iCs/>
                <w:szCs w:val="22"/>
                <w:lang w:eastAsia="es-ES_tradnl"/>
              </w:rPr>
              <w:t xml:space="preserve">El Particular no se inconformó de lo manifestado. </w:t>
            </w:r>
          </w:p>
        </w:tc>
      </w:tr>
      <w:tr w:rsidRPr="004857FD" w:rsidR="00873BE8" w:rsidTr="009A7BC4" w14:paraId="7CD49331" w14:textId="77777777">
        <w:tc>
          <w:tcPr>
            <w:tcW w:w="2470" w:type="dxa"/>
          </w:tcPr>
          <w:p w:rsidRPr="004857FD" w:rsidR="00873BE8" w:rsidP="00873BE8" w:rsidRDefault="00873BE8" w14:paraId="0843F818" w14:textId="765E6F3B">
            <w:pPr>
              <w:spacing w:line="360" w:lineRule="auto"/>
              <w:jc w:val="both"/>
              <w:rPr>
                <w:rFonts w:ascii="Palatino Linotype" w:hAnsi="Palatino Linotype" w:eastAsia="Calibri" w:cs="Tahoma"/>
                <w:iCs/>
                <w:szCs w:val="22"/>
                <w:lang w:eastAsia="es-ES_tradnl"/>
              </w:rPr>
            </w:pPr>
            <w:r w:rsidRPr="004857FD">
              <w:rPr>
                <w:rFonts w:ascii="Palatino Linotype" w:hAnsi="Palatino Linotype" w:eastAsia="Calibri" w:cs="Tahoma"/>
                <w:iCs/>
                <w:szCs w:val="22"/>
                <w:lang w:eastAsia="es-ES_tradnl"/>
              </w:rPr>
              <w:t>5. Agenda de los servidores públicos de noviembre de dos mil veintiuno al primero de septiembre de dos mil veintidós</w:t>
            </w:r>
          </w:p>
        </w:tc>
        <w:tc>
          <w:tcPr>
            <w:tcW w:w="2474" w:type="dxa"/>
          </w:tcPr>
          <w:p w:rsidRPr="004857FD" w:rsidR="00873BE8" w:rsidP="00873BE8" w:rsidRDefault="00873BE8" w14:paraId="32915F40" w14:textId="4D832892">
            <w:pPr>
              <w:spacing w:line="360" w:lineRule="auto"/>
              <w:jc w:val="both"/>
              <w:rPr>
                <w:rFonts w:ascii="Palatino Linotype" w:hAnsi="Palatino Linotype" w:eastAsia="Calibri" w:cs="Tahoma"/>
                <w:iCs/>
                <w:szCs w:val="22"/>
                <w:lang w:eastAsia="es-ES_tradnl"/>
              </w:rPr>
            </w:pPr>
            <w:r w:rsidRPr="004857FD">
              <w:rPr>
                <w:rFonts w:ascii="Palatino Linotype" w:hAnsi="Palatino Linotype" w:eastAsia="Calibri" w:cs="Tahoma"/>
                <w:iCs/>
                <w:szCs w:val="22"/>
                <w:lang w:eastAsia="es-ES_tradnl"/>
              </w:rPr>
              <w:t>Señaló que la Agenda de reuniones se reporta en una liga electrónica.</w:t>
            </w:r>
          </w:p>
        </w:tc>
        <w:tc>
          <w:tcPr>
            <w:tcW w:w="2337" w:type="dxa"/>
          </w:tcPr>
          <w:p w:rsidRPr="004857FD" w:rsidR="00873BE8" w:rsidP="00873BE8" w:rsidRDefault="00873BE8" w14:paraId="0DFFEC60" w14:textId="3BB84ECB">
            <w:pPr>
              <w:spacing w:line="360" w:lineRule="auto"/>
              <w:jc w:val="both"/>
              <w:rPr>
                <w:rFonts w:ascii="Palatino Linotype" w:hAnsi="Palatino Linotype" w:eastAsia="Calibri" w:cs="Tahoma"/>
                <w:iCs/>
                <w:szCs w:val="22"/>
                <w:lang w:eastAsia="es-ES_tradnl"/>
              </w:rPr>
            </w:pPr>
          </w:p>
        </w:tc>
        <w:tc>
          <w:tcPr>
            <w:tcW w:w="1753" w:type="dxa"/>
          </w:tcPr>
          <w:p w:rsidRPr="004857FD" w:rsidR="00873BE8" w:rsidP="00873BE8" w:rsidRDefault="00873BE8" w14:paraId="2E1BD559" w14:textId="76F3B1EF">
            <w:pPr>
              <w:spacing w:line="360" w:lineRule="auto"/>
              <w:jc w:val="both"/>
              <w:rPr>
                <w:rFonts w:ascii="Palatino Linotype" w:hAnsi="Palatino Linotype" w:eastAsia="Calibri" w:cs="Tahoma"/>
                <w:bCs/>
                <w:iCs/>
                <w:szCs w:val="22"/>
                <w:lang w:eastAsia="es-ES_tradnl"/>
              </w:rPr>
            </w:pPr>
            <w:r w:rsidRPr="004857FD">
              <w:rPr>
                <w:rFonts w:ascii="Palatino Linotype" w:hAnsi="Palatino Linotype" w:eastAsia="Calibri" w:cs="Tahoma"/>
                <w:iCs/>
                <w:szCs w:val="22"/>
                <w:lang w:eastAsia="es-ES_tradnl"/>
              </w:rPr>
              <w:t xml:space="preserve">El Particular no se inconformó de lo manifestado. </w:t>
            </w:r>
          </w:p>
        </w:tc>
      </w:tr>
    </w:tbl>
    <w:p w:rsidRPr="004857FD" w:rsidR="001A4BEA" w:rsidP="001A4BEA" w:rsidRDefault="001A4BEA" w14:paraId="4AB85A42" w14:textId="77777777">
      <w:pPr>
        <w:tabs>
          <w:tab w:val="left" w:pos="4962"/>
        </w:tabs>
        <w:spacing w:line="360" w:lineRule="auto"/>
        <w:jc w:val="both"/>
        <w:rPr>
          <w:rFonts w:ascii="Palatino Linotype" w:hAnsi="Palatino Linotype" w:eastAsia="Calibri" w:cs="Tahoma"/>
          <w:iCs/>
          <w:sz w:val="22"/>
          <w:szCs w:val="22"/>
          <w:lang w:eastAsia="es-ES_tradnl"/>
        </w:rPr>
      </w:pPr>
    </w:p>
    <w:p w:rsidRPr="004857FD" w:rsidR="001A4BEA" w:rsidP="001A4BEA" w:rsidRDefault="00BA1A9B" w14:paraId="1D6B6421" w14:textId="3C27AD6F">
      <w:pPr>
        <w:tabs>
          <w:tab w:val="left" w:pos="4962"/>
        </w:tabs>
        <w:spacing w:line="360" w:lineRule="auto"/>
        <w:jc w:val="both"/>
        <w:rPr>
          <w:rFonts w:ascii="Palatino Linotype" w:hAnsi="Palatino Linotype" w:eastAsia="Calibri" w:cs="Tahoma"/>
          <w:iCs/>
          <w:sz w:val="22"/>
          <w:szCs w:val="22"/>
          <w:lang w:eastAsia="es-ES_tradnl"/>
        </w:rPr>
      </w:pPr>
      <w:r w:rsidRPr="004857FD">
        <w:rPr>
          <w:rFonts w:ascii="Palatino Linotype" w:hAnsi="Palatino Linotype" w:cs="Tahoma"/>
          <w:sz w:val="22"/>
          <w:szCs w:val="22"/>
          <w:lang w:val="es-ES"/>
        </w:rPr>
        <w:lastRenderedPageBreak/>
        <w:t xml:space="preserve">Derivado de </w:t>
      </w:r>
      <w:r w:rsidRPr="004857FD" w:rsidR="001A4BEA">
        <w:rPr>
          <w:rFonts w:ascii="Palatino Linotype" w:hAnsi="Palatino Linotype" w:cs="Tahoma"/>
          <w:sz w:val="22"/>
          <w:szCs w:val="22"/>
          <w:lang w:val="es-ES"/>
        </w:rPr>
        <w:t xml:space="preserve">lo anterior, </w:t>
      </w:r>
      <w:r w:rsidRPr="004857FD">
        <w:rPr>
          <w:rFonts w:ascii="Palatino Linotype" w:hAnsi="Palatino Linotype" w:cs="Tahoma"/>
          <w:sz w:val="22"/>
          <w:szCs w:val="22"/>
          <w:lang w:val="es-ES"/>
        </w:rPr>
        <w:t xml:space="preserve">se advierte que el Particular se da por satisfecho </w:t>
      </w:r>
      <w:r w:rsidRPr="004857FD" w:rsidR="00970063">
        <w:rPr>
          <w:rFonts w:ascii="Palatino Linotype" w:hAnsi="Palatino Linotype" w:cs="Tahoma"/>
          <w:sz w:val="22"/>
          <w:szCs w:val="22"/>
          <w:lang w:val="es-ES"/>
        </w:rPr>
        <w:t>sobre lo manifestado en el punto 1 relacionado con las observaciones del</w:t>
      </w:r>
      <w:r w:rsidRPr="004857FD" w:rsidR="00970063">
        <w:t xml:space="preserve"> </w:t>
      </w:r>
      <w:r w:rsidRPr="004857FD" w:rsidR="00970063">
        <w:rPr>
          <w:rFonts w:ascii="Palatino Linotype" w:hAnsi="Palatino Linotype" w:cs="Tahoma"/>
          <w:sz w:val="22"/>
          <w:szCs w:val="22"/>
          <w:lang w:val="es-ES"/>
        </w:rPr>
        <w:t>Comité de Ética y la Unidad de Ética y recomendaciones realizadas por el Comité de Ética y de prevención de Conflicto, así como</w:t>
      </w:r>
      <w:r w:rsidRPr="004857FD">
        <w:rPr>
          <w:rFonts w:ascii="Palatino Linotype" w:hAnsi="Palatino Linotype" w:cs="Tahoma"/>
          <w:sz w:val="22"/>
          <w:szCs w:val="22"/>
          <w:lang w:val="es-ES"/>
        </w:rPr>
        <w:t xml:space="preserve"> del punto </w:t>
      </w:r>
      <w:r w:rsidRPr="004857FD" w:rsidR="00970063">
        <w:rPr>
          <w:rFonts w:ascii="Palatino Linotype" w:hAnsi="Palatino Linotype" w:cs="Tahoma"/>
          <w:sz w:val="22"/>
          <w:szCs w:val="22"/>
          <w:lang w:val="es-ES"/>
        </w:rPr>
        <w:t>2,</w:t>
      </w:r>
      <w:r w:rsidRPr="004857FD">
        <w:rPr>
          <w:rFonts w:ascii="Palatino Linotype" w:hAnsi="Palatino Linotype" w:cs="Tahoma"/>
          <w:sz w:val="22"/>
          <w:szCs w:val="22"/>
          <w:lang w:val="es-ES"/>
        </w:rPr>
        <w:t xml:space="preserve"> punto</w:t>
      </w:r>
      <w:r w:rsidRPr="004857FD" w:rsidR="00970063">
        <w:rPr>
          <w:rFonts w:ascii="Palatino Linotype" w:hAnsi="Palatino Linotype" w:cs="Tahoma"/>
          <w:sz w:val="22"/>
          <w:szCs w:val="22"/>
          <w:lang w:val="es-ES"/>
        </w:rPr>
        <w:t xml:space="preserve"> 4 ya que solo señaló que los proveedores no coincidían con los procesos de adquisición y punto 5 </w:t>
      </w:r>
      <w:r w:rsidRPr="004857FD" w:rsidR="001A4BEA">
        <w:rPr>
          <w:rFonts w:ascii="Palatino Linotype" w:hAnsi="Palatino Linotype" w:eastAsia="Calibri" w:cs="Tahoma"/>
          <w:iCs/>
          <w:sz w:val="22"/>
          <w:szCs w:val="22"/>
          <w:lang w:eastAsia="es-ES_tradnl"/>
        </w:rPr>
        <w:t>así sobre lo manifestado por l</w:t>
      </w:r>
      <w:r w:rsidRPr="004857FD">
        <w:rPr>
          <w:rFonts w:ascii="Palatino Linotype" w:hAnsi="Palatino Linotype" w:eastAsia="Calibri" w:cs="Tahoma"/>
          <w:iCs/>
          <w:sz w:val="22"/>
          <w:szCs w:val="22"/>
          <w:lang w:eastAsia="es-ES_tradnl"/>
        </w:rPr>
        <w:t>a</w:t>
      </w:r>
      <w:r w:rsidRPr="004857FD" w:rsidR="001A4BEA">
        <w:rPr>
          <w:rFonts w:ascii="Palatino Linotype" w:hAnsi="Palatino Linotype" w:eastAsia="Calibri" w:cs="Tahoma"/>
          <w:iCs/>
          <w:sz w:val="22"/>
          <w:szCs w:val="22"/>
          <w:lang w:eastAsia="es-ES_tradnl"/>
        </w:rPr>
        <w:t xml:space="preserve"> </w:t>
      </w:r>
      <w:r w:rsidRPr="004857FD">
        <w:rPr>
          <w:rFonts w:ascii="Palatino Linotype" w:hAnsi="Palatino Linotype" w:eastAsia="Calibri" w:cs="Tahoma"/>
          <w:iCs/>
          <w:sz w:val="22"/>
          <w:szCs w:val="22"/>
          <w:lang w:eastAsia="es-ES_tradnl"/>
        </w:rPr>
        <w:t xml:space="preserve">Comisión de Derechos Humanos del Estado de México </w:t>
      </w:r>
      <w:r w:rsidRPr="004857FD" w:rsidR="001A4BEA">
        <w:rPr>
          <w:rFonts w:ascii="Palatino Linotype" w:hAnsi="Palatino Linotype" w:eastAsia="Calibri" w:cs="Tahoma"/>
          <w:iCs/>
          <w:sz w:val="22"/>
          <w:szCs w:val="22"/>
          <w:lang w:eastAsia="es-ES_tradnl"/>
        </w:rPr>
        <w:t>no se hará pronunciamiento alguno; lo anterior de conformidad con lo dispuesto en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los actos que se hayan consentido tácitamente, entendiéndose por éstos cuando el recurso no se haya promovido en el plazo señalado para el efecto.</w:t>
      </w:r>
    </w:p>
    <w:p w:rsidRPr="004857FD" w:rsidR="001A4BEA" w:rsidP="001A4BEA" w:rsidRDefault="001A4BEA" w14:paraId="3BED0AC6" w14:textId="77777777">
      <w:pPr>
        <w:spacing w:line="360" w:lineRule="auto"/>
        <w:jc w:val="both"/>
        <w:rPr>
          <w:rFonts w:ascii="Palatino Linotype" w:hAnsi="Palatino Linotype" w:eastAsia="Calibri" w:cs="Tahoma"/>
          <w:iCs/>
          <w:sz w:val="22"/>
          <w:szCs w:val="22"/>
          <w:lang w:eastAsia="es-ES_tradnl"/>
        </w:rPr>
      </w:pPr>
    </w:p>
    <w:p w:rsidRPr="004857FD" w:rsidR="001A4BEA" w:rsidP="001A4BEA" w:rsidRDefault="001A4BEA" w14:paraId="0FC31E08" w14:textId="77777777">
      <w:pPr>
        <w:spacing w:line="360" w:lineRule="auto"/>
        <w:jc w:val="both"/>
        <w:rPr>
          <w:rFonts w:ascii="Palatino Linotype" w:hAnsi="Palatino Linotype" w:eastAsia="Calibri" w:cs="Tahoma"/>
          <w:iCs/>
          <w:sz w:val="22"/>
          <w:szCs w:val="22"/>
          <w:lang w:eastAsia="es-ES_tradnl"/>
        </w:rPr>
      </w:pPr>
      <w:r w:rsidRPr="004857FD">
        <w:rPr>
          <w:rFonts w:ascii="Palatino Linotype" w:hAnsi="Palatino Linotype" w:eastAsia="Calibri" w:cs="Tahoma"/>
          <w:iCs/>
          <w:sz w:val="22"/>
          <w:szCs w:val="22"/>
          <w:lang w:eastAsia="es-ES_tradnl"/>
        </w:rPr>
        <w:t xml:space="preserve">De la misma manera resulta aplicable el criterio sostenido por el Poder Judicial de la Federación de rubro </w:t>
      </w:r>
      <w:r w:rsidRPr="004857FD">
        <w:rPr>
          <w:rFonts w:ascii="Palatino Linotype" w:hAnsi="Palatino Linotype" w:eastAsia="Calibri" w:cs="Tahoma"/>
          <w:b/>
          <w:iCs/>
          <w:sz w:val="22"/>
          <w:szCs w:val="22"/>
          <w:lang w:eastAsia="es-ES_tradnl"/>
        </w:rPr>
        <w:t>ACTOS CONSENTIDOS TÁCITAMENTE</w:t>
      </w:r>
      <w:r w:rsidRPr="004857FD">
        <w:rPr>
          <w:rFonts w:ascii="Palatino Linotype" w:hAnsi="Palatino Linotype" w:eastAsia="Calibri" w:cs="Tahoma"/>
          <w:iCs/>
          <w:sz w:val="22"/>
          <w:szCs w:val="22"/>
          <w:lang w:eastAsia="es-ES_tradnl"/>
        </w:rPr>
        <w:t>, Tesis VI.2o. J/21, emitida en la novena época, por el Segundo Tribunal Colegiado del Sexto Circuito, publicada en la Gaceta del Semanario Judicial de la Federación en agosto de 1995, página 291 y número de registro 204707, del que se desprende que cuando no se reclaman los actos de autoridad en la vía y plazos establecidos en la Ley, se presume que el particular está conforme con los mismos.</w:t>
      </w:r>
    </w:p>
    <w:p w:rsidRPr="004857FD" w:rsidR="001A4BEA" w:rsidP="001A4BEA" w:rsidRDefault="001A4BEA" w14:paraId="4B63D30D" w14:textId="77777777">
      <w:pPr>
        <w:spacing w:line="360" w:lineRule="auto"/>
        <w:jc w:val="both"/>
        <w:rPr>
          <w:rFonts w:ascii="Palatino Linotype" w:hAnsi="Palatino Linotype" w:eastAsia="Calibri" w:cs="Tahoma"/>
          <w:iCs/>
          <w:sz w:val="22"/>
          <w:szCs w:val="22"/>
          <w:lang w:eastAsia="es-ES_tradnl"/>
        </w:rPr>
      </w:pPr>
    </w:p>
    <w:p w:rsidRPr="004857FD" w:rsidR="001A4BEA" w:rsidP="001A4BEA" w:rsidRDefault="001A4BEA" w14:paraId="4FA471C3" w14:textId="77777777">
      <w:pPr>
        <w:spacing w:line="360" w:lineRule="auto"/>
        <w:jc w:val="both"/>
        <w:rPr>
          <w:rFonts w:ascii="Palatino Linotype" w:hAnsi="Palatino Linotype" w:eastAsia="Calibri" w:cs="Tahoma"/>
          <w:iCs/>
          <w:sz w:val="22"/>
          <w:szCs w:val="22"/>
          <w:lang w:eastAsia="es-ES_tradnl"/>
        </w:rPr>
      </w:pPr>
      <w:r w:rsidRPr="004857FD">
        <w:rPr>
          <w:rFonts w:ascii="Palatino Linotype" w:hAnsi="Palatino Linotype" w:eastAsia="Calibri" w:cs="Tahoma"/>
          <w:iCs/>
          <w:sz w:val="22"/>
          <w:szCs w:val="22"/>
          <w:lang w:eastAsia="es-ES_tradnl"/>
        </w:rPr>
        <w:t>En ese sentido, en el caso de que el Particular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quedaron firmes. Por lo que se realizará un análisis de los puntos controvertidos:</w:t>
      </w:r>
    </w:p>
    <w:p w:rsidRPr="004857FD" w:rsidR="000B45D4" w:rsidP="002649C4" w:rsidRDefault="000B45D4" w14:paraId="4952BB59" w14:textId="77777777">
      <w:pPr>
        <w:spacing w:line="360" w:lineRule="auto"/>
        <w:jc w:val="both"/>
        <w:rPr>
          <w:rFonts w:ascii="Palatino Linotype" w:hAnsi="Palatino Linotype" w:eastAsia="Calibri" w:cs="Tahoma"/>
          <w:iCs/>
          <w:sz w:val="22"/>
          <w:szCs w:val="22"/>
          <w:lang w:val="es-ES" w:eastAsia="es-ES_tradnl"/>
        </w:rPr>
      </w:pPr>
    </w:p>
    <w:p w:rsidRPr="004857FD" w:rsidR="00BA1A9B" w:rsidP="00970063" w:rsidRDefault="00970063" w14:paraId="39B44F37" w14:textId="46CCF3E7">
      <w:pPr>
        <w:pStyle w:val="Prrafodelista"/>
        <w:numPr>
          <w:ilvl w:val="0"/>
          <w:numId w:val="36"/>
        </w:numPr>
        <w:spacing w:line="360" w:lineRule="auto"/>
        <w:jc w:val="both"/>
        <w:rPr>
          <w:rFonts w:ascii="Palatino Linotype" w:hAnsi="Palatino Linotype" w:eastAsia="Calibri" w:cs="Tahoma"/>
          <w:iCs/>
          <w:szCs w:val="22"/>
          <w:lang w:eastAsia="es-ES_tradnl"/>
        </w:rPr>
      </w:pPr>
      <w:r w:rsidRPr="004857FD">
        <w:rPr>
          <w:rFonts w:ascii="Palatino Linotype" w:hAnsi="Palatino Linotype" w:eastAsia="Calibri" w:cs="Tahoma"/>
          <w:b/>
          <w:bCs/>
          <w:iCs/>
          <w:szCs w:val="22"/>
          <w:lang w:val="es-ES" w:eastAsia="es-ES_tradnl"/>
        </w:rPr>
        <w:t xml:space="preserve"> El seguimiento de todas las recomendaciones de la Unidad de Ética de dos mil veinte al primero de septiembre de dos mil veintidós.</w:t>
      </w:r>
    </w:p>
    <w:p w:rsidRPr="004857FD" w:rsidR="001326B3" w:rsidP="001326B3" w:rsidRDefault="001326B3" w14:paraId="177AACCE" w14:textId="77777777">
      <w:pPr>
        <w:pStyle w:val="Prrafodelista"/>
        <w:spacing w:line="360" w:lineRule="auto"/>
        <w:jc w:val="both"/>
        <w:rPr>
          <w:rFonts w:ascii="Palatino Linotype" w:hAnsi="Palatino Linotype" w:eastAsia="Calibri" w:cs="Tahoma"/>
          <w:iCs/>
          <w:szCs w:val="22"/>
          <w:lang w:eastAsia="es-ES_tradnl"/>
        </w:rPr>
      </w:pPr>
    </w:p>
    <w:p w:rsidRPr="004857FD" w:rsidR="00FB7B1A" w:rsidP="00D452E9" w:rsidRDefault="00391CC3" w14:paraId="3F0F3F3D" w14:textId="70167AF5">
      <w:pPr>
        <w:tabs>
          <w:tab w:val="left" w:pos="4962"/>
        </w:tabs>
        <w:spacing w:line="360" w:lineRule="auto"/>
        <w:jc w:val="both"/>
        <w:rPr>
          <w:rFonts w:ascii="Palatino Linotype" w:hAnsi="Palatino Linotype" w:eastAsia="Calibri" w:cs="Tahoma"/>
          <w:iCs/>
          <w:sz w:val="22"/>
          <w:szCs w:val="22"/>
          <w:lang w:eastAsia="es-ES_tradnl"/>
        </w:rPr>
      </w:pPr>
      <w:r w:rsidRPr="004857FD">
        <w:rPr>
          <w:rFonts w:ascii="Palatino Linotype" w:hAnsi="Palatino Linotype" w:eastAsia="Calibri" w:cs="Tahoma"/>
          <w:iCs/>
          <w:sz w:val="22"/>
          <w:szCs w:val="22"/>
          <w:lang w:eastAsia="es-ES_tradnl"/>
        </w:rPr>
        <w:t xml:space="preserve">En respuesta al presente punto, el Sujeto Obligado señaló que </w:t>
      </w:r>
      <w:r w:rsidRPr="004857FD" w:rsidR="00FB7B1A">
        <w:rPr>
          <w:rFonts w:ascii="Palatino Linotype" w:hAnsi="Palatino Linotype" w:eastAsia="Calibri" w:cs="Tahoma"/>
          <w:iCs/>
          <w:sz w:val="22"/>
          <w:szCs w:val="22"/>
          <w:lang w:eastAsia="es-ES_tradnl"/>
        </w:rPr>
        <w:t>las recomendaciones emitidas por la Unidad de Ética y de Prevención de la Corrupción, se les ha dado seguimiento y cumplimiento a través de los cursos-talleres específicos dirigidos a las áreas administrativas que corresponda.</w:t>
      </w:r>
    </w:p>
    <w:p w:rsidRPr="004857FD" w:rsidR="00FB7B1A" w:rsidP="00D452E9" w:rsidRDefault="00FB7B1A" w14:paraId="29780CA8" w14:textId="77777777">
      <w:pPr>
        <w:tabs>
          <w:tab w:val="left" w:pos="4962"/>
        </w:tabs>
        <w:spacing w:line="360" w:lineRule="auto"/>
        <w:jc w:val="both"/>
        <w:rPr>
          <w:rFonts w:ascii="Palatino Linotype" w:hAnsi="Palatino Linotype" w:eastAsia="Calibri" w:cs="Tahoma"/>
          <w:iCs/>
          <w:sz w:val="22"/>
          <w:szCs w:val="22"/>
          <w:lang w:eastAsia="es-ES_tradnl"/>
        </w:rPr>
      </w:pPr>
    </w:p>
    <w:p w:rsidRPr="004857FD" w:rsidR="00FB7B1A" w:rsidP="00D452E9" w:rsidRDefault="00FB7B1A" w14:paraId="7D8A420C" w14:textId="3D9D60DA">
      <w:pPr>
        <w:tabs>
          <w:tab w:val="left" w:pos="4962"/>
        </w:tabs>
        <w:spacing w:line="360" w:lineRule="auto"/>
        <w:jc w:val="both"/>
        <w:rPr>
          <w:rFonts w:ascii="Palatino Linotype" w:hAnsi="Palatino Linotype" w:eastAsia="Calibri" w:cs="Tahoma"/>
          <w:iCs/>
          <w:sz w:val="22"/>
          <w:szCs w:val="22"/>
          <w:lang w:eastAsia="es-ES_tradnl"/>
        </w:rPr>
      </w:pPr>
      <w:r w:rsidRPr="004857FD">
        <w:rPr>
          <w:rFonts w:ascii="Palatino Linotype" w:hAnsi="Palatino Linotype" w:eastAsia="Calibri" w:cs="Tahoma"/>
          <w:iCs/>
          <w:sz w:val="22"/>
          <w:szCs w:val="22"/>
          <w:lang w:eastAsia="es-ES_tradnl"/>
        </w:rPr>
        <w:t>Derivado de lo anterior, se trae a colación el Reglamento Interno de la Comisión de Derechos Humanos del Estado de México el cual establece las Atribuciones de la Unidad de Ética y Prevención de la corrupción como se muestra a continuación:</w:t>
      </w:r>
    </w:p>
    <w:p w:rsidRPr="004857FD" w:rsidR="00FB7B1A" w:rsidP="00D452E9" w:rsidRDefault="00FB7B1A" w14:paraId="599960E9" w14:textId="77777777">
      <w:pPr>
        <w:tabs>
          <w:tab w:val="left" w:pos="4962"/>
        </w:tabs>
        <w:spacing w:line="360" w:lineRule="auto"/>
        <w:jc w:val="both"/>
        <w:rPr>
          <w:rFonts w:ascii="Palatino Linotype" w:hAnsi="Palatino Linotype" w:eastAsia="Calibri" w:cs="Tahoma"/>
          <w:iCs/>
          <w:sz w:val="22"/>
          <w:szCs w:val="22"/>
          <w:lang w:eastAsia="es-ES_tradnl"/>
        </w:rPr>
      </w:pPr>
    </w:p>
    <w:p w:rsidRPr="004857FD" w:rsidR="00FB7B1A" w:rsidP="00FB7B1A" w:rsidRDefault="00FB7B1A" w14:paraId="1A718F26"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4857FD">
        <w:rPr>
          <w:rFonts w:ascii="Palatino Linotype" w:hAnsi="Palatino Linotype" w:eastAsia="Calibri" w:cs="Tahoma"/>
          <w:b/>
          <w:i/>
          <w:iCs/>
          <w:szCs w:val="22"/>
          <w:lang w:eastAsia="es-ES_tradnl"/>
        </w:rPr>
        <w:t>Artículo 25 Quinquies</w:t>
      </w:r>
      <w:r w:rsidRPr="004857FD">
        <w:rPr>
          <w:rFonts w:ascii="Palatino Linotype" w:hAnsi="Palatino Linotype" w:eastAsia="Calibri" w:cs="Tahoma"/>
          <w:i/>
          <w:iCs/>
          <w:szCs w:val="22"/>
          <w:lang w:eastAsia="es-ES_tradnl"/>
        </w:rPr>
        <w:t xml:space="preserve">. Corresponde a la Unidad de Ética y Prevención de la Corrupción, a través de su titular, ejercer las atribuciones siguientes: </w:t>
      </w:r>
    </w:p>
    <w:p w:rsidRPr="004857FD" w:rsidR="00FB7B1A" w:rsidP="00FB7B1A" w:rsidRDefault="00FB7B1A" w14:paraId="6C27C30D" w14:textId="118D6911">
      <w:pPr>
        <w:tabs>
          <w:tab w:val="left" w:pos="4962"/>
        </w:tabs>
        <w:spacing w:line="360" w:lineRule="auto"/>
        <w:ind w:left="567" w:right="539"/>
        <w:jc w:val="both"/>
        <w:rPr>
          <w:rFonts w:ascii="Palatino Linotype" w:hAnsi="Palatino Linotype" w:eastAsia="Calibri" w:cs="Tahoma"/>
          <w:i/>
          <w:iCs/>
          <w:szCs w:val="22"/>
          <w:lang w:eastAsia="es-ES_tradnl"/>
        </w:rPr>
      </w:pPr>
      <w:r w:rsidRPr="004857FD">
        <w:rPr>
          <w:rFonts w:ascii="Palatino Linotype" w:hAnsi="Palatino Linotype" w:eastAsia="Calibri" w:cs="Tahoma"/>
          <w:i/>
          <w:iCs/>
          <w:szCs w:val="22"/>
          <w:lang w:eastAsia="es-ES_tradnl"/>
        </w:rPr>
        <w:t>I. Formular y proponer a la persona titular de la Unidad Jurídica y Consultiva los proyectos de lineamientos, políticas, programas, acciones y demás instrumentos de carácter general que coadyuven al cumplimiento e implementación de la política anticorrupción que aprueben los Comités Coordinadores del Sistema Nacional y Estatal Anticorrupción, en la Administración Pública Estatal;</w:t>
      </w:r>
    </w:p>
    <w:p w:rsidRPr="004857FD" w:rsidR="00FB7B1A" w:rsidP="00FB7B1A" w:rsidRDefault="00FB7B1A" w14:paraId="53D4724B" w14:textId="5E101457">
      <w:pPr>
        <w:tabs>
          <w:tab w:val="left" w:pos="4962"/>
        </w:tabs>
        <w:spacing w:line="360" w:lineRule="auto"/>
        <w:ind w:left="567" w:right="539"/>
        <w:jc w:val="both"/>
        <w:rPr>
          <w:rFonts w:ascii="Palatino Linotype" w:hAnsi="Palatino Linotype" w:eastAsia="Calibri" w:cs="Tahoma"/>
          <w:i/>
          <w:iCs/>
          <w:szCs w:val="22"/>
          <w:lang w:eastAsia="es-ES_tradnl"/>
        </w:rPr>
      </w:pPr>
      <w:r w:rsidRPr="004857FD">
        <w:rPr>
          <w:rFonts w:ascii="Palatino Linotype" w:hAnsi="Palatino Linotype" w:eastAsia="Calibri" w:cs="Tahoma"/>
          <w:i/>
          <w:iCs/>
          <w:szCs w:val="22"/>
          <w:lang w:eastAsia="es-ES_tradnl"/>
        </w:rPr>
        <w:t>II…</w:t>
      </w:r>
    </w:p>
    <w:p w:rsidRPr="004857FD" w:rsidR="00FB7B1A" w:rsidP="00FB7B1A" w:rsidRDefault="00FB7B1A" w14:paraId="478336AE" w14:textId="60A717B6">
      <w:pPr>
        <w:tabs>
          <w:tab w:val="left" w:pos="4962"/>
        </w:tabs>
        <w:spacing w:line="360" w:lineRule="auto"/>
        <w:ind w:left="567" w:right="539"/>
        <w:jc w:val="both"/>
        <w:rPr>
          <w:rFonts w:ascii="Palatino Linotype" w:hAnsi="Palatino Linotype" w:eastAsia="Calibri" w:cs="Tahoma"/>
          <w:i/>
          <w:iCs/>
          <w:szCs w:val="22"/>
          <w:lang w:eastAsia="es-ES_tradnl"/>
        </w:rPr>
      </w:pPr>
      <w:r w:rsidRPr="004857FD">
        <w:rPr>
          <w:rFonts w:ascii="Palatino Linotype" w:hAnsi="Palatino Linotype" w:eastAsia="Calibri" w:cs="Tahoma"/>
          <w:i/>
          <w:iCs/>
          <w:szCs w:val="22"/>
          <w:lang w:eastAsia="es-ES_tradnl"/>
        </w:rPr>
        <w:t>III. Requerir información y documentación a las unidades administrativas de la Comisión, con el objeto de generar diagnósticos en materia anticorrupción;</w:t>
      </w:r>
    </w:p>
    <w:p w:rsidRPr="004857FD" w:rsidR="00FB7B1A" w:rsidP="00FB7B1A" w:rsidRDefault="00FB7B1A" w14:paraId="29E93AB4" w14:textId="143E9B62">
      <w:pPr>
        <w:tabs>
          <w:tab w:val="left" w:pos="4962"/>
        </w:tabs>
        <w:spacing w:line="360" w:lineRule="auto"/>
        <w:ind w:left="567" w:right="539"/>
        <w:jc w:val="both"/>
        <w:rPr>
          <w:rFonts w:ascii="Palatino Linotype" w:hAnsi="Palatino Linotype" w:eastAsia="Calibri" w:cs="Tahoma"/>
          <w:i/>
          <w:iCs/>
          <w:szCs w:val="22"/>
          <w:lang w:eastAsia="es-ES_tradnl"/>
        </w:rPr>
      </w:pPr>
      <w:r w:rsidRPr="004857FD">
        <w:rPr>
          <w:rFonts w:ascii="Palatino Linotype" w:hAnsi="Palatino Linotype" w:eastAsia="Calibri" w:cs="Tahoma"/>
          <w:i/>
          <w:iCs/>
          <w:szCs w:val="22"/>
          <w:lang w:eastAsia="es-ES_tradnl"/>
        </w:rPr>
        <w:t>IV y V…</w:t>
      </w:r>
    </w:p>
    <w:p w:rsidRPr="004857FD" w:rsidR="00FB7B1A" w:rsidP="00FB7B1A" w:rsidRDefault="00FB7B1A" w14:paraId="40DBBC91" w14:textId="3E3B2E92">
      <w:pPr>
        <w:tabs>
          <w:tab w:val="left" w:pos="4962"/>
        </w:tabs>
        <w:spacing w:line="360" w:lineRule="auto"/>
        <w:ind w:left="567" w:right="539"/>
        <w:jc w:val="both"/>
        <w:rPr>
          <w:rFonts w:ascii="Palatino Linotype" w:hAnsi="Palatino Linotype" w:eastAsia="Calibri" w:cs="Tahoma"/>
          <w:b/>
          <w:bCs/>
          <w:i/>
          <w:iCs/>
          <w:szCs w:val="22"/>
          <w:u w:val="single"/>
          <w:lang w:eastAsia="es-ES_tradnl"/>
        </w:rPr>
      </w:pPr>
      <w:r w:rsidRPr="004857FD">
        <w:rPr>
          <w:rFonts w:ascii="Palatino Linotype" w:hAnsi="Palatino Linotype" w:eastAsia="Calibri" w:cs="Tahoma"/>
          <w:b/>
          <w:bCs/>
          <w:i/>
          <w:iCs/>
          <w:szCs w:val="22"/>
          <w:u w:val="single"/>
          <w:lang w:eastAsia="es-ES_tradnl"/>
        </w:rPr>
        <w:t>VI. Emitir observaciones y recomendaciones de carácter general, a fin de prevenir hechos de corrupción y conflictos de intereses en el ejercicio del servicio público;</w:t>
      </w:r>
    </w:p>
    <w:p w:rsidRPr="004857FD" w:rsidR="00FB7B1A" w:rsidP="00FB7B1A" w:rsidRDefault="00FB7B1A" w14:paraId="7C094E19" w14:textId="4DB5DF5F">
      <w:pPr>
        <w:tabs>
          <w:tab w:val="left" w:pos="4962"/>
        </w:tabs>
        <w:spacing w:line="360" w:lineRule="auto"/>
        <w:ind w:left="567" w:right="539"/>
        <w:jc w:val="both"/>
        <w:rPr>
          <w:rFonts w:ascii="Palatino Linotype" w:hAnsi="Palatino Linotype" w:eastAsia="Calibri" w:cs="Tahoma"/>
          <w:i/>
          <w:iCs/>
          <w:szCs w:val="22"/>
          <w:lang w:eastAsia="es-ES_tradnl"/>
        </w:rPr>
      </w:pPr>
      <w:r w:rsidRPr="004857FD">
        <w:rPr>
          <w:rFonts w:ascii="Palatino Linotype" w:hAnsi="Palatino Linotype" w:eastAsia="Calibri" w:cs="Tahoma"/>
          <w:i/>
          <w:iCs/>
          <w:szCs w:val="22"/>
          <w:lang w:eastAsia="es-ES_tradnl"/>
        </w:rPr>
        <w:t>VII a XVIII…</w:t>
      </w:r>
    </w:p>
    <w:p w:rsidRPr="004857FD" w:rsidR="00FB7B1A" w:rsidP="00D452E9" w:rsidRDefault="00FB7B1A" w14:paraId="7AAF94E0" w14:textId="77777777">
      <w:pPr>
        <w:tabs>
          <w:tab w:val="left" w:pos="4962"/>
        </w:tabs>
        <w:spacing w:line="360" w:lineRule="auto"/>
        <w:jc w:val="both"/>
        <w:rPr>
          <w:rFonts w:ascii="Palatino Linotype" w:hAnsi="Palatino Linotype" w:eastAsia="Calibri" w:cs="Tahoma"/>
          <w:iCs/>
          <w:sz w:val="22"/>
          <w:szCs w:val="22"/>
          <w:lang w:eastAsia="es-ES_tradnl"/>
        </w:rPr>
      </w:pPr>
    </w:p>
    <w:p w:rsidRPr="004857FD" w:rsidR="00F54341" w:rsidP="00F54341" w:rsidRDefault="00FE7B72" w14:paraId="00116F02" w14:textId="053D02E7">
      <w:pPr>
        <w:spacing w:line="360" w:lineRule="auto"/>
        <w:jc w:val="both"/>
        <w:rPr>
          <w:rFonts w:ascii="Palatino Linotype" w:hAnsi="Palatino Linotype" w:cs="Tahoma"/>
          <w:sz w:val="22"/>
          <w:szCs w:val="24"/>
        </w:rPr>
      </w:pPr>
      <w:r w:rsidRPr="004857FD">
        <w:rPr>
          <w:rFonts w:ascii="Palatino Linotype" w:hAnsi="Palatino Linotype" w:eastAsia="Calibri" w:cs="Tahoma"/>
          <w:iCs/>
          <w:sz w:val="22"/>
          <w:szCs w:val="22"/>
          <w:lang w:eastAsia="es-ES_tradnl"/>
        </w:rPr>
        <w:t xml:space="preserve">Derivado de lo anterior, se observa que se encuentra dentro de </w:t>
      </w:r>
      <w:r w:rsidRPr="004857FD" w:rsidR="00F54341">
        <w:rPr>
          <w:rFonts w:ascii="Palatino Linotype" w:hAnsi="Palatino Linotype" w:eastAsia="Calibri" w:cs="Tahoma"/>
          <w:iCs/>
          <w:sz w:val="22"/>
          <w:szCs w:val="22"/>
          <w:lang w:eastAsia="es-ES_tradnl"/>
        </w:rPr>
        <w:t xml:space="preserve">las atribuciones de la Unidad de Ética y Prevención de la Corrupción emitir recomendaciones, tal como lo señaló en respuesta, sin embargo, solo manifestó que ha dado seguimiento y cumplimiento, no obstante, </w:t>
      </w:r>
      <w:r w:rsidRPr="004857FD" w:rsidR="0038554C">
        <w:rPr>
          <w:rFonts w:ascii="Palatino Linotype" w:hAnsi="Palatino Linotype" w:eastAsia="Calibri" w:cs="Tahoma"/>
          <w:iCs/>
          <w:sz w:val="22"/>
          <w:szCs w:val="22"/>
          <w:lang w:eastAsia="es-ES_tradnl"/>
        </w:rPr>
        <w:lastRenderedPageBreak/>
        <w:t>el Particular señaló requerir el seguimiento de las recomendaciones, es decir los documentos en donde consten</w:t>
      </w:r>
      <w:r w:rsidRPr="004857FD" w:rsidR="00F54341">
        <w:rPr>
          <w:rFonts w:ascii="Palatino Linotype" w:hAnsi="Palatino Linotype" w:cs="Tahoma"/>
          <w:sz w:val="22"/>
          <w:szCs w:val="24"/>
        </w:rPr>
        <w:t>, a lo que resulta aplicable lo previsto en el Criterio 28-10, emitido por el Pleno del entonces Instituto Federal de Acceso a la Información y Protección de Datos -hoy Instituto Nacional de Transparencia, Acceso a la Información y Protección de Datos Personales (en adelante INAI)- en su carácter de orientador para los Organismos garantes de las Entidades Federativas establece que:</w:t>
      </w:r>
    </w:p>
    <w:p w:rsidRPr="004857FD" w:rsidR="00F54341" w:rsidP="00F54341" w:rsidRDefault="00F54341" w14:paraId="37DC536E" w14:textId="77777777">
      <w:pPr>
        <w:spacing w:line="360" w:lineRule="auto"/>
        <w:jc w:val="both"/>
        <w:rPr>
          <w:rFonts w:ascii="Palatino Linotype" w:hAnsi="Palatino Linotype" w:cs="Tahoma"/>
          <w:sz w:val="22"/>
          <w:szCs w:val="24"/>
        </w:rPr>
      </w:pPr>
    </w:p>
    <w:p w:rsidRPr="004857FD" w:rsidR="00F54341" w:rsidP="00F54341" w:rsidRDefault="00F54341" w14:paraId="1A79632E" w14:textId="77777777">
      <w:pPr>
        <w:spacing w:line="360" w:lineRule="auto"/>
        <w:ind w:left="567" w:right="539"/>
        <w:jc w:val="both"/>
        <w:rPr>
          <w:rFonts w:ascii="Palatino Linotype" w:hAnsi="Palatino Linotype" w:cs="Tahoma"/>
          <w:i/>
          <w:szCs w:val="24"/>
        </w:rPr>
      </w:pPr>
      <w:r w:rsidRPr="004857FD">
        <w:rPr>
          <w:rFonts w:ascii="Palatino Linotype" w:hAnsi="Palatino Linotype" w:cs="Tahoma"/>
          <w:i/>
          <w:szCs w:val="24"/>
        </w:rPr>
        <w:t>“</w:t>
      </w:r>
      <w:r w:rsidRPr="004857FD">
        <w:rPr>
          <w:rFonts w:ascii="Palatino Linotype" w:hAnsi="Palatino Linotype" w:cs="Tahoma"/>
          <w:b/>
          <w:i/>
          <w:szCs w:val="24"/>
        </w:rPr>
        <w:t>Cuando en una solicitud de información no se identifique un documento en específico, si ésta tiene una expresión documental, el sujeto obligado deberá entregar al particular el documento en específico.</w:t>
      </w:r>
      <w:r w:rsidRPr="004857FD">
        <w:rPr>
          <w:rFonts w:ascii="Palatino Linotype" w:hAnsi="Palatino Linotype" w:cs="Tahoma"/>
          <w:i/>
          <w:szCs w:val="24"/>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Pr="004857FD" w:rsidR="00F54341" w:rsidP="00F54341" w:rsidRDefault="00F54341" w14:paraId="3DDE9003" w14:textId="77777777">
      <w:pPr>
        <w:spacing w:line="360" w:lineRule="auto"/>
        <w:jc w:val="both"/>
        <w:rPr>
          <w:rFonts w:ascii="Palatino Linotype" w:hAnsi="Palatino Linotype" w:eastAsia="Calibri" w:cs="Tahoma"/>
          <w:iCs/>
          <w:sz w:val="22"/>
          <w:szCs w:val="22"/>
          <w:lang w:val="es-ES" w:eastAsia="es-ES_tradnl"/>
        </w:rPr>
      </w:pPr>
    </w:p>
    <w:p w:rsidRPr="004857FD" w:rsidR="00F54341" w:rsidP="00F54341" w:rsidRDefault="00DA615C" w14:paraId="3E1E753F" w14:textId="37CD733E">
      <w:pPr>
        <w:spacing w:line="360" w:lineRule="auto"/>
        <w:jc w:val="both"/>
        <w:rPr>
          <w:rFonts w:ascii="Palatino Linotype" w:hAnsi="Palatino Linotype" w:eastAsia="Calibri" w:cs="Tahoma"/>
          <w:iCs/>
          <w:sz w:val="22"/>
          <w:szCs w:val="22"/>
          <w:lang w:val="es-ES" w:eastAsia="es-ES_tradnl"/>
        </w:rPr>
      </w:pPr>
      <w:r w:rsidRPr="004857FD">
        <w:rPr>
          <w:rFonts w:ascii="Palatino Linotype" w:hAnsi="Palatino Linotype" w:eastAsia="Calibri" w:cs="Tahoma"/>
          <w:iCs/>
          <w:sz w:val="22"/>
          <w:szCs w:val="22"/>
          <w:lang w:val="es-ES" w:eastAsia="es-ES_tradnl"/>
        </w:rPr>
        <w:t>Aunado a lo</w:t>
      </w:r>
      <w:r w:rsidRPr="004857FD" w:rsidR="00F54341">
        <w:rPr>
          <w:rFonts w:ascii="Palatino Linotype" w:hAnsi="Palatino Linotype" w:eastAsia="Calibri" w:cs="Tahoma"/>
          <w:iCs/>
          <w:sz w:val="22"/>
          <w:szCs w:val="22"/>
          <w:lang w:val="es-ES" w:eastAsia="es-ES_tradnl"/>
        </w:rPr>
        <w:t xml:space="preserve"> anterior, </w:t>
      </w:r>
      <w:r w:rsidRPr="004857FD">
        <w:rPr>
          <w:rFonts w:ascii="Palatino Linotype" w:hAnsi="Palatino Linotype" w:eastAsia="Calibri" w:cs="Tahoma"/>
          <w:iCs/>
          <w:sz w:val="22"/>
          <w:szCs w:val="22"/>
          <w:lang w:val="es-ES" w:eastAsia="es-ES_tradnl"/>
        </w:rPr>
        <w:t xml:space="preserve">es de agregar que </w:t>
      </w:r>
      <w:r w:rsidRPr="004857FD" w:rsidR="00F54341">
        <w:rPr>
          <w:rFonts w:ascii="Palatino Linotype" w:hAnsi="Palatino Linotype" w:eastAsia="Calibri" w:cs="Tahoma"/>
          <w:iCs/>
          <w:sz w:val="22"/>
          <w:szCs w:val="22"/>
          <w:lang w:val="es-ES" w:eastAsia="es-ES_tradnl"/>
        </w:rPr>
        <w:t xml:space="preserve">todos los actos que realicen los sujetos obligados deben estar documentados y, bajo el más alto estándar de transparencia por lo que deberán poner toda la información que se encuentre en su posesión, a disposición de los particulares que la soliciten, resulta necesario referir que, el artículo 6° apartado A fracción I, de la Constitución Política de los Estados Unidos Mexicanos, artículo 5 fracción I de la Constitución </w:t>
      </w:r>
      <w:r w:rsidRPr="004857FD" w:rsidR="00F54341">
        <w:rPr>
          <w:rFonts w:ascii="Palatino Linotype" w:hAnsi="Palatino Linotype" w:eastAsia="Calibri" w:cs="Tahoma"/>
          <w:iCs/>
          <w:sz w:val="22"/>
          <w:szCs w:val="22"/>
          <w:lang w:val="es-ES" w:eastAsia="es-ES_tradnl"/>
        </w:rPr>
        <w:lastRenderedPageBreak/>
        <w:t>Política del Estado Libre y Soberano de México y el artículo 18 de la Ley de Transparencia y Acceso a la Información Pública del Estado de México y Municipios, guardan una estrecha relación, puesto que los ordenamientos citados concurren refiriendo que los Sujetos Obligados deberán documentar todo acto que se derive del ejercicio de sus facultades, competencias o funciones, considerando desde su origen la eventual publicidad y reutilización de la información que generen, posean o administren.</w:t>
      </w:r>
    </w:p>
    <w:p w:rsidRPr="004857FD" w:rsidR="00F54341" w:rsidP="00F54341" w:rsidRDefault="00F54341" w14:paraId="3184B459" w14:textId="77777777">
      <w:pPr>
        <w:spacing w:line="360" w:lineRule="auto"/>
        <w:jc w:val="both"/>
        <w:rPr>
          <w:rFonts w:ascii="Palatino Linotype" w:hAnsi="Palatino Linotype" w:eastAsia="Calibri" w:cs="Tahoma"/>
          <w:iCs/>
          <w:sz w:val="22"/>
          <w:szCs w:val="22"/>
          <w:lang w:val="es-ES" w:eastAsia="es-ES_tradnl"/>
        </w:rPr>
      </w:pPr>
    </w:p>
    <w:p w:rsidRPr="004857FD" w:rsidR="00F54341" w:rsidP="00F54341" w:rsidRDefault="00F54341" w14:paraId="416BF892" w14:textId="4B079897">
      <w:pPr>
        <w:spacing w:line="360" w:lineRule="auto"/>
        <w:jc w:val="both"/>
        <w:rPr>
          <w:rFonts w:ascii="Palatino Linotype" w:hAnsi="Palatino Linotype" w:eastAsia="Calibri" w:cs="Tahoma"/>
          <w:iCs/>
          <w:sz w:val="22"/>
          <w:szCs w:val="22"/>
          <w:lang w:val="es-ES" w:eastAsia="es-ES_tradnl"/>
        </w:rPr>
      </w:pPr>
      <w:r w:rsidRPr="004857FD">
        <w:rPr>
          <w:rFonts w:ascii="Palatino Linotype" w:hAnsi="Palatino Linotype" w:eastAsia="Calibri" w:cs="Tahoma"/>
          <w:iCs/>
          <w:sz w:val="22"/>
          <w:szCs w:val="22"/>
          <w:lang w:val="es-ES" w:eastAsia="es-ES_tradnl"/>
        </w:rPr>
        <w:t>Por lo que,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Pr="004857FD" w:rsidR="00F54341" w:rsidP="00F54341" w:rsidRDefault="00F54341" w14:paraId="38C4A4BE" w14:textId="77777777">
      <w:pPr>
        <w:spacing w:line="360" w:lineRule="auto"/>
        <w:jc w:val="both"/>
        <w:rPr>
          <w:rFonts w:ascii="Palatino Linotype" w:hAnsi="Palatino Linotype" w:eastAsia="Calibri" w:cs="Tahoma"/>
          <w:iCs/>
          <w:sz w:val="22"/>
          <w:szCs w:val="22"/>
          <w:lang w:val="es-ES" w:eastAsia="es-ES_tradnl"/>
        </w:rPr>
      </w:pPr>
    </w:p>
    <w:p w:rsidRPr="004857FD" w:rsidR="00DA615C" w:rsidP="00DA615C" w:rsidRDefault="00DA615C" w14:paraId="7D681F51" w14:textId="054DBA2D">
      <w:pPr>
        <w:spacing w:line="360" w:lineRule="auto"/>
        <w:jc w:val="both"/>
        <w:rPr>
          <w:rFonts w:ascii="Palatino Linotype" w:hAnsi="Palatino Linotype" w:eastAsia="Calibri" w:cs="Tahoma"/>
          <w:iCs/>
          <w:sz w:val="22"/>
          <w:szCs w:val="22"/>
          <w:lang w:val="es-ES" w:eastAsia="es-ES_tradnl"/>
        </w:rPr>
      </w:pPr>
      <w:r w:rsidRPr="004857FD">
        <w:rPr>
          <w:rFonts w:ascii="Palatino Linotype" w:hAnsi="Palatino Linotype" w:eastAsia="Calibri" w:cs="Tahoma"/>
          <w:iCs/>
          <w:sz w:val="22"/>
          <w:szCs w:val="22"/>
          <w:lang w:val="es-ES" w:eastAsia="es-ES_tradnl"/>
        </w:rPr>
        <w:t xml:space="preserve">Así el Sujeto Obligado, deberá proporcionar los documentos en donde conste el seguimiento a las recomendaciones realizadas por la Unidad de Ética y Prevención de la Corrupción del primero de enero de dos mil veinte al primero de septiembre de dos mil veintidós, </w:t>
      </w:r>
      <w:r w:rsidRPr="004857FD">
        <w:rPr>
          <w:rFonts w:ascii="Palatino Linotype" w:hAnsi="Palatino Linotype" w:cs="Tahoma"/>
          <w:bCs/>
          <w:iCs/>
          <w:sz w:val="22"/>
          <w:szCs w:val="22"/>
        </w:rPr>
        <w:t>ello</w:t>
      </w:r>
      <w:r w:rsidRPr="004857FD">
        <w:rPr>
          <w:rFonts w:ascii="Palatino Linotype" w:hAnsi="Palatino Linotype" w:cs="Tahoma"/>
          <w:sz w:val="22"/>
          <w:szCs w:val="24"/>
        </w:rPr>
        <w:t xml:space="preserve"> en virtud de que </w:t>
      </w:r>
      <w:r w:rsidRPr="004857FD">
        <w:rPr>
          <w:rFonts w:ascii="Palatino Linotype" w:hAnsi="Palatino Linotype" w:cs="Tahoma"/>
          <w:sz w:val="22"/>
          <w:szCs w:val="22"/>
        </w:rPr>
        <w:t xml:space="preserve">conforme al artículo 12 de la Ley de Transparencia y Acceso a la Información Pública del Estado de México y Municipios, los sujetos obligados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 </w:t>
      </w:r>
      <w:r w:rsidRPr="004857FD">
        <w:rPr>
          <w:rFonts w:ascii="Palatino Linotype" w:hAnsi="Palatino Linotype" w:eastAsia="Calibri" w:cs="Tahoma"/>
          <w:bCs/>
          <w:iCs/>
          <w:sz w:val="22"/>
          <w:szCs w:val="22"/>
          <w:lang w:eastAsia="es-ES_tradnl"/>
        </w:rPr>
        <w:t xml:space="preserve">ya </w:t>
      </w:r>
      <w:r w:rsidRPr="004857FD">
        <w:rPr>
          <w:rFonts w:ascii="Palatino Linotype" w:hAnsi="Palatino Linotype" w:eastAsia="Calibri" w:cs="Tahoma"/>
          <w:iCs/>
          <w:sz w:val="22"/>
          <w:szCs w:val="22"/>
          <w:lang w:val="es-ES" w:eastAsia="es-ES_tradnl"/>
        </w:rPr>
        <w:t xml:space="preserve">que los sujetos obligados únicamente están constreñidos a proporcionar la documentación que obre en sus archivos; por lo que, no están obligados a generar o elaborar documentos </w:t>
      </w:r>
      <w:r w:rsidRPr="004857FD">
        <w:rPr>
          <w:rFonts w:ascii="Palatino Linotype" w:hAnsi="Palatino Linotype" w:eastAsia="Calibri" w:cs="Tahoma"/>
          <w:i/>
          <w:iCs/>
          <w:sz w:val="22"/>
          <w:szCs w:val="22"/>
          <w:lang w:val="es-ES" w:eastAsia="es-ES_tradnl"/>
        </w:rPr>
        <w:t>Ad hoc</w:t>
      </w:r>
    </w:p>
    <w:p w:rsidRPr="004857FD" w:rsidR="00DA615C" w:rsidP="00DA615C" w:rsidRDefault="00DA615C" w14:paraId="1E866222" w14:textId="77777777">
      <w:pPr>
        <w:spacing w:line="360" w:lineRule="auto"/>
        <w:rPr>
          <w:rFonts w:ascii="Palatino Linotype" w:hAnsi="Palatino Linotype" w:eastAsia="Calibri" w:cs="Tahoma"/>
          <w:sz w:val="22"/>
          <w:szCs w:val="22"/>
          <w:lang w:eastAsia="es-ES_tradnl"/>
        </w:rPr>
      </w:pPr>
    </w:p>
    <w:p w:rsidRPr="004857FD" w:rsidR="00F54341" w:rsidP="00DA615C" w:rsidRDefault="00DA615C" w14:paraId="30B39D64" w14:textId="67BAA956">
      <w:pPr>
        <w:pStyle w:val="Prrafodelista"/>
        <w:numPr>
          <w:ilvl w:val="0"/>
          <w:numId w:val="37"/>
        </w:numPr>
        <w:spacing w:line="360" w:lineRule="auto"/>
        <w:jc w:val="both"/>
        <w:rPr>
          <w:rFonts w:ascii="Palatino Linotype" w:hAnsi="Palatino Linotype" w:eastAsia="Calibri" w:cs="Tahoma"/>
          <w:b/>
          <w:iCs/>
          <w:szCs w:val="22"/>
          <w:lang w:val="es-ES" w:eastAsia="es-ES_tradnl"/>
        </w:rPr>
      </w:pPr>
      <w:r w:rsidRPr="004857FD">
        <w:rPr>
          <w:rFonts w:ascii="Palatino Linotype" w:hAnsi="Palatino Linotype" w:eastAsia="Calibri" w:cs="Tahoma"/>
          <w:b/>
          <w:iCs/>
          <w:szCs w:val="22"/>
          <w:lang w:val="es-ES" w:eastAsia="es-ES_tradnl"/>
        </w:rPr>
        <w:lastRenderedPageBreak/>
        <w:t>Padrón de proveedores</w:t>
      </w:r>
    </w:p>
    <w:p w:rsidRPr="004857FD" w:rsidR="0097253C" w:rsidP="0097253C" w:rsidRDefault="0097253C" w14:paraId="7AC446AD" w14:textId="77777777">
      <w:pPr>
        <w:spacing w:line="360" w:lineRule="auto"/>
        <w:jc w:val="both"/>
        <w:rPr>
          <w:rFonts w:ascii="Palatino Linotype" w:hAnsi="Palatino Linotype" w:eastAsia="Calibri" w:cs="Tahoma"/>
          <w:iCs/>
          <w:sz w:val="22"/>
          <w:szCs w:val="22"/>
          <w:lang w:eastAsia="es-ES_tradnl"/>
        </w:rPr>
      </w:pPr>
    </w:p>
    <w:p w:rsidRPr="004857FD" w:rsidR="002439A6" w:rsidP="002439A6" w:rsidRDefault="002439A6" w14:paraId="13833B6A" w14:textId="4E55F61B">
      <w:pPr>
        <w:tabs>
          <w:tab w:val="left" w:pos="709"/>
        </w:tabs>
        <w:spacing w:line="360" w:lineRule="auto"/>
        <w:jc w:val="both"/>
        <w:rPr>
          <w:rFonts w:ascii="Palatino Linotype" w:hAnsi="Palatino Linotype" w:cs="Arial"/>
          <w:sz w:val="22"/>
          <w:szCs w:val="22"/>
        </w:rPr>
      </w:pPr>
      <w:r w:rsidRPr="004857FD">
        <w:rPr>
          <w:rFonts w:ascii="Palatino Linotype" w:hAnsi="Palatino Linotype" w:cs="Arial"/>
          <w:sz w:val="22"/>
          <w:szCs w:val="22"/>
        </w:rPr>
        <w:t>Sobre el padrón de proveedores, se trae a colación la Ley de Contratación Pública del Estado de México y Municipios, misma que establece lo siguiente:</w:t>
      </w:r>
    </w:p>
    <w:p w:rsidRPr="004857FD" w:rsidR="002439A6" w:rsidP="002439A6" w:rsidRDefault="002439A6" w14:paraId="2C8B0D27" w14:textId="77777777">
      <w:pPr>
        <w:tabs>
          <w:tab w:val="left" w:pos="709"/>
        </w:tabs>
        <w:spacing w:line="360" w:lineRule="auto"/>
        <w:jc w:val="both"/>
        <w:rPr>
          <w:rFonts w:ascii="Palatino Linotype" w:hAnsi="Palatino Linotype" w:cs="Arial"/>
          <w:sz w:val="22"/>
          <w:szCs w:val="22"/>
        </w:rPr>
      </w:pPr>
    </w:p>
    <w:p w:rsidRPr="004857FD" w:rsidR="002439A6" w:rsidP="002439A6" w:rsidRDefault="002439A6" w14:paraId="6EA6CB0D" w14:textId="77777777">
      <w:pPr>
        <w:tabs>
          <w:tab w:val="left" w:pos="709"/>
        </w:tabs>
        <w:spacing w:line="360" w:lineRule="auto"/>
        <w:ind w:left="567" w:right="539"/>
        <w:jc w:val="both"/>
        <w:rPr>
          <w:rFonts w:ascii="Palatino Linotype" w:hAnsi="Palatino Linotype" w:cs="Arial"/>
          <w:i/>
          <w:szCs w:val="22"/>
        </w:rPr>
      </w:pPr>
      <w:r w:rsidRPr="004857FD">
        <w:rPr>
          <w:rFonts w:ascii="Palatino Linotype" w:hAnsi="Palatino Linotype" w:cs="Arial"/>
          <w:b/>
          <w:i/>
          <w:szCs w:val="22"/>
        </w:rPr>
        <w:t xml:space="preserve">Artículo 1.- </w:t>
      </w:r>
      <w:r w:rsidRPr="004857FD">
        <w:rPr>
          <w:rFonts w:ascii="Palatino Linotype" w:hAnsi="Palatino Linotype" w:cs="Arial"/>
          <w:i/>
          <w:szCs w:val="22"/>
        </w:rPr>
        <w:t xml:space="preserve">Esta Ley tiene por objeto regular los actos relativos a la planeación, programación, presupuestación, ejecución y control de la adquisición, enajenación y arrendamiento de bienes, y la contratación de servicios de cualquier naturaleza, que realicen: </w:t>
      </w:r>
    </w:p>
    <w:p w:rsidRPr="004857FD" w:rsidR="002439A6" w:rsidP="002439A6" w:rsidRDefault="002439A6" w14:paraId="14477AE6" w14:textId="77777777">
      <w:pPr>
        <w:tabs>
          <w:tab w:val="left" w:pos="709"/>
        </w:tabs>
        <w:spacing w:line="360" w:lineRule="auto"/>
        <w:ind w:left="567" w:right="539"/>
        <w:jc w:val="both"/>
        <w:rPr>
          <w:rFonts w:ascii="Palatino Linotype" w:hAnsi="Palatino Linotype" w:cs="Arial"/>
          <w:i/>
          <w:szCs w:val="22"/>
        </w:rPr>
      </w:pPr>
      <w:r w:rsidRPr="004857FD">
        <w:rPr>
          <w:rFonts w:ascii="Palatino Linotype" w:hAnsi="Palatino Linotype" w:cs="Arial"/>
          <w:i/>
          <w:szCs w:val="22"/>
        </w:rPr>
        <w:t>I. Las secretarías y las unidades administrativas del Poder Ejecutivo del Estado.</w:t>
      </w:r>
    </w:p>
    <w:p w:rsidRPr="004857FD" w:rsidR="002439A6" w:rsidP="002439A6" w:rsidRDefault="002439A6" w14:paraId="21954077" w14:textId="322B146F">
      <w:pPr>
        <w:tabs>
          <w:tab w:val="left" w:pos="709"/>
        </w:tabs>
        <w:spacing w:line="360" w:lineRule="auto"/>
        <w:ind w:left="567" w:right="539"/>
        <w:jc w:val="both"/>
        <w:rPr>
          <w:rFonts w:ascii="Palatino Linotype" w:hAnsi="Palatino Linotype" w:cs="Arial"/>
          <w:i/>
          <w:szCs w:val="22"/>
        </w:rPr>
      </w:pPr>
      <w:r w:rsidRPr="004857FD">
        <w:rPr>
          <w:rFonts w:ascii="Palatino Linotype" w:hAnsi="Palatino Linotype" w:cs="Arial"/>
          <w:i/>
          <w:szCs w:val="22"/>
        </w:rPr>
        <w:t xml:space="preserve">II. La Procuraduría General de Justicia. </w:t>
      </w:r>
    </w:p>
    <w:p w:rsidRPr="004857FD" w:rsidR="002439A6" w:rsidP="002439A6" w:rsidRDefault="002439A6" w14:paraId="419E03AC" w14:textId="77777777">
      <w:pPr>
        <w:tabs>
          <w:tab w:val="left" w:pos="709"/>
        </w:tabs>
        <w:spacing w:line="360" w:lineRule="auto"/>
        <w:ind w:left="567" w:right="539"/>
        <w:jc w:val="both"/>
        <w:rPr>
          <w:rFonts w:ascii="Palatino Linotype" w:hAnsi="Palatino Linotype" w:cs="Arial"/>
          <w:i/>
          <w:szCs w:val="22"/>
        </w:rPr>
      </w:pPr>
      <w:r w:rsidRPr="004857FD">
        <w:rPr>
          <w:rFonts w:ascii="Palatino Linotype" w:hAnsi="Palatino Linotype" w:cs="Arial"/>
          <w:i/>
          <w:szCs w:val="22"/>
        </w:rPr>
        <w:t xml:space="preserve">III. Los ayuntamientos de los municipios del Estado. </w:t>
      </w:r>
    </w:p>
    <w:p w:rsidRPr="004857FD" w:rsidR="002439A6" w:rsidP="002439A6" w:rsidRDefault="002439A6" w14:paraId="39BBB3F3" w14:textId="65FFBB84">
      <w:pPr>
        <w:tabs>
          <w:tab w:val="left" w:pos="709"/>
        </w:tabs>
        <w:spacing w:line="360" w:lineRule="auto"/>
        <w:ind w:left="567" w:right="539"/>
        <w:jc w:val="both"/>
        <w:rPr>
          <w:rFonts w:ascii="Palatino Linotype" w:hAnsi="Palatino Linotype" w:cs="Arial"/>
          <w:i/>
          <w:szCs w:val="22"/>
        </w:rPr>
      </w:pPr>
      <w:r w:rsidRPr="004857FD">
        <w:rPr>
          <w:rFonts w:ascii="Palatino Linotype" w:hAnsi="Palatino Linotype" w:cs="Arial"/>
          <w:i/>
          <w:szCs w:val="22"/>
        </w:rPr>
        <w:t xml:space="preserve">IV. Los organismos auxiliares y fideicomisos públicos, de carácter estatal o municipal. </w:t>
      </w:r>
    </w:p>
    <w:p w:rsidRPr="004857FD" w:rsidR="002439A6" w:rsidP="002439A6" w:rsidRDefault="002439A6" w14:paraId="1EC9B596" w14:textId="77777777">
      <w:pPr>
        <w:tabs>
          <w:tab w:val="left" w:pos="709"/>
        </w:tabs>
        <w:spacing w:line="360" w:lineRule="auto"/>
        <w:ind w:left="567" w:right="539"/>
        <w:jc w:val="both"/>
        <w:rPr>
          <w:rFonts w:ascii="Palatino Linotype" w:hAnsi="Palatino Linotype" w:cs="Arial"/>
          <w:i/>
          <w:szCs w:val="22"/>
        </w:rPr>
      </w:pPr>
      <w:r w:rsidRPr="004857FD">
        <w:rPr>
          <w:rFonts w:ascii="Palatino Linotype" w:hAnsi="Palatino Linotype" w:cs="Arial"/>
          <w:i/>
          <w:szCs w:val="22"/>
        </w:rPr>
        <w:t xml:space="preserve">V. Los tribunales administrativos. Los actos a los que se refiere este artículo que se realicen con cargo total o parcial a fondos del Gobierno del Estado de México, se estarán a lo dispuesto por esta Ley. </w:t>
      </w:r>
    </w:p>
    <w:p w:rsidRPr="004857FD" w:rsidR="002439A6" w:rsidP="002439A6" w:rsidRDefault="002439A6" w14:paraId="517F3393" w14:textId="77777777">
      <w:pPr>
        <w:tabs>
          <w:tab w:val="left" w:pos="709"/>
        </w:tabs>
        <w:spacing w:line="360" w:lineRule="auto"/>
        <w:ind w:left="567" w:right="539"/>
        <w:jc w:val="both"/>
        <w:rPr>
          <w:rFonts w:ascii="Palatino Linotype" w:hAnsi="Palatino Linotype" w:cs="Arial"/>
          <w:i/>
          <w:szCs w:val="22"/>
        </w:rPr>
      </w:pPr>
      <w:r w:rsidRPr="004857FD">
        <w:rPr>
          <w:rFonts w:ascii="Palatino Linotype" w:hAnsi="Palatino Linotype" w:cs="Arial"/>
          <w:i/>
          <w:szCs w:val="22"/>
        </w:rPr>
        <w:t xml:space="preserve">Los actos a que se refiere este artículo que se realicen con cargo total o parcial a fondos del Gobierno Federal, estarán a lo dispuesto por la legislación federal. </w:t>
      </w:r>
    </w:p>
    <w:p w:rsidRPr="004857FD" w:rsidR="002439A6" w:rsidP="002439A6" w:rsidRDefault="002439A6" w14:paraId="1982439C" w14:textId="77777777">
      <w:pPr>
        <w:tabs>
          <w:tab w:val="left" w:pos="709"/>
        </w:tabs>
        <w:spacing w:line="360" w:lineRule="auto"/>
        <w:ind w:left="567" w:right="539"/>
        <w:jc w:val="both"/>
        <w:rPr>
          <w:rFonts w:ascii="Palatino Linotype" w:hAnsi="Palatino Linotype" w:cs="Arial"/>
          <w:i/>
          <w:szCs w:val="22"/>
        </w:rPr>
      </w:pPr>
      <w:r w:rsidRPr="004857FD">
        <w:rPr>
          <w:rFonts w:ascii="Palatino Linotype" w:hAnsi="Palatino Linotype" w:cs="Arial"/>
          <w:i/>
          <w:szCs w:val="22"/>
        </w:rPr>
        <w:t xml:space="preserve">También serán aplicables las disposiciones de esta Ley a los particulares que participen en los procedimientos, operaciones o contratos regulados en esta Ley. </w:t>
      </w:r>
    </w:p>
    <w:p w:rsidRPr="004857FD" w:rsidR="002439A6" w:rsidP="002439A6" w:rsidRDefault="002439A6" w14:paraId="52CF5435" w14:textId="35686800">
      <w:pPr>
        <w:tabs>
          <w:tab w:val="left" w:pos="709"/>
        </w:tabs>
        <w:spacing w:line="360" w:lineRule="auto"/>
        <w:ind w:left="567" w:right="539"/>
        <w:jc w:val="both"/>
        <w:rPr>
          <w:rFonts w:ascii="Palatino Linotype" w:hAnsi="Palatino Linotype" w:cs="Arial"/>
          <w:b/>
          <w:i/>
          <w:szCs w:val="22"/>
          <w:u w:val="single"/>
        </w:rPr>
      </w:pPr>
      <w:r w:rsidRPr="004857FD">
        <w:rPr>
          <w:rFonts w:ascii="Palatino Linotype" w:hAnsi="Palatino Linotype" w:cs="Arial"/>
          <w:b/>
          <w:i/>
          <w:szCs w:val="22"/>
          <w:u w:val="single"/>
        </w:rPr>
        <w:t>Los poderes Legislativo y Judicial, así como los organismos autónomos aplicarán las disposiciones de esta Ley en lo que no se oponga a los ordenamientos legales que los regulan, sujetándose a sus propios órganos de control.</w:t>
      </w:r>
    </w:p>
    <w:p w:rsidRPr="004857FD" w:rsidR="002439A6" w:rsidP="002439A6" w:rsidRDefault="002439A6" w14:paraId="76DE4C64" w14:textId="02B9DAD5">
      <w:pPr>
        <w:tabs>
          <w:tab w:val="left" w:pos="709"/>
        </w:tabs>
        <w:spacing w:line="360" w:lineRule="auto"/>
        <w:ind w:left="567" w:right="539"/>
        <w:jc w:val="both"/>
        <w:rPr>
          <w:rFonts w:ascii="Palatino Linotype" w:hAnsi="Palatino Linotype" w:cs="Arial"/>
          <w:b/>
          <w:i/>
          <w:szCs w:val="22"/>
        </w:rPr>
      </w:pPr>
      <w:r w:rsidRPr="004857FD">
        <w:rPr>
          <w:rFonts w:ascii="Palatino Linotype" w:hAnsi="Palatino Linotype" w:cs="Arial"/>
          <w:b/>
          <w:i/>
          <w:szCs w:val="22"/>
        </w:rPr>
        <w:t>…</w:t>
      </w:r>
    </w:p>
    <w:p w:rsidRPr="004857FD" w:rsidR="002439A6" w:rsidP="002439A6" w:rsidRDefault="002439A6" w14:paraId="4925A20C" w14:textId="77777777">
      <w:pPr>
        <w:tabs>
          <w:tab w:val="left" w:pos="709"/>
        </w:tabs>
        <w:spacing w:line="360" w:lineRule="auto"/>
        <w:ind w:left="567" w:right="539"/>
        <w:jc w:val="both"/>
        <w:rPr>
          <w:rFonts w:ascii="Palatino Linotype" w:hAnsi="Palatino Linotype" w:cs="Arial"/>
          <w:b/>
          <w:i/>
          <w:szCs w:val="22"/>
        </w:rPr>
      </w:pPr>
    </w:p>
    <w:p w:rsidRPr="004857FD" w:rsidR="002439A6" w:rsidP="002439A6" w:rsidRDefault="002439A6" w14:paraId="6D845B1F" w14:textId="77777777">
      <w:pPr>
        <w:tabs>
          <w:tab w:val="left" w:pos="709"/>
        </w:tabs>
        <w:spacing w:line="360" w:lineRule="auto"/>
        <w:ind w:left="567" w:right="539"/>
        <w:jc w:val="both"/>
        <w:rPr>
          <w:rFonts w:ascii="Palatino Linotype" w:hAnsi="Palatino Linotype" w:cs="Arial"/>
          <w:i/>
          <w:szCs w:val="22"/>
        </w:rPr>
      </w:pPr>
      <w:r w:rsidRPr="004857FD">
        <w:rPr>
          <w:rFonts w:ascii="Palatino Linotype" w:hAnsi="Palatino Linotype" w:cs="Arial"/>
          <w:b/>
          <w:i/>
          <w:szCs w:val="22"/>
        </w:rPr>
        <w:t>Artículo 20.-</w:t>
      </w:r>
      <w:r w:rsidRPr="004857FD">
        <w:rPr>
          <w:rFonts w:ascii="Palatino Linotype" w:hAnsi="Palatino Linotype" w:cs="Arial"/>
          <w:i/>
          <w:szCs w:val="22"/>
        </w:rPr>
        <w:t xml:space="preserve"> La Secretaría y los ayuntamientos establecerán y operarán el catálogo de bienes y servicios, de acuerdo con la reglamentación respectiva.</w:t>
      </w:r>
    </w:p>
    <w:p w:rsidRPr="004857FD" w:rsidR="002439A6" w:rsidP="002439A6" w:rsidRDefault="002439A6" w14:paraId="09A898D2" w14:textId="77777777">
      <w:pPr>
        <w:tabs>
          <w:tab w:val="left" w:pos="709"/>
        </w:tabs>
        <w:spacing w:line="360" w:lineRule="auto"/>
        <w:ind w:left="567" w:right="539"/>
        <w:jc w:val="both"/>
        <w:rPr>
          <w:rFonts w:ascii="Palatino Linotype" w:hAnsi="Palatino Linotype" w:cs="Arial"/>
          <w:i/>
          <w:szCs w:val="22"/>
        </w:rPr>
      </w:pPr>
    </w:p>
    <w:p w:rsidRPr="004857FD" w:rsidR="002439A6" w:rsidP="002439A6" w:rsidRDefault="002439A6" w14:paraId="23FB5AC7" w14:textId="77777777">
      <w:pPr>
        <w:tabs>
          <w:tab w:val="left" w:pos="709"/>
        </w:tabs>
        <w:spacing w:line="360" w:lineRule="auto"/>
        <w:ind w:left="567" w:right="539"/>
        <w:jc w:val="both"/>
        <w:rPr>
          <w:rFonts w:ascii="Palatino Linotype" w:hAnsi="Palatino Linotype" w:cs="Arial"/>
          <w:i/>
          <w:szCs w:val="22"/>
        </w:rPr>
      </w:pPr>
      <w:r w:rsidRPr="004857FD">
        <w:rPr>
          <w:rFonts w:ascii="Palatino Linotype" w:hAnsi="Palatino Linotype" w:cs="Arial"/>
          <w:i/>
          <w:szCs w:val="22"/>
        </w:rPr>
        <w:t xml:space="preserve">Establecerán y operarán también el catálogo de bienes y servicios específicos que sean susceptibles de ser adquiridos o contratados bajo la modalidad de subasta inversa, los cuales deberán describirse genéricamente y determinarse sus especificaciones técnicas comerciales, y en su caso, sus </w:t>
      </w:r>
      <w:r w:rsidRPr="004857FD">
        <w:rPr>
          <w:rFonts w:ascii="Palatino Linotype" w:hAnsi="Palatino Linotype" w:cs="Arial"/>
          <w:i/>
          <w:szCs w:val="22"/>
        </w:rPr>
        <w:lastRenderedPageBreak/>
        <w:t>equivalentes. Dicho catálogo deberá publicarse en el COMPRAMEX y en el portal de internet de la propia Secretaría y, en su caso, en el de los ayuntamientos.</w:t>
      </w:r>
      <w:r w:rsidRPr="004857FD">
        <w:rPr>
          <w:rFonts w:ascii="Palatino Linotype" w:hAnsi="Palatino Linotype" w:cs="Arial"/>
          <w:i/>
          <w:szCs w:val="22"/>
        </w:rPr>
        <w:cr/>
      </w:r>
    </w:p>
    <w:p w:rsidRPr="004857FD" w:rsidR="002439A6" w:rsidP="002439A6" w:rsidRDefault="002439A6" w14:paraId="7CD63764" w14:textId="77777777">
      <w:pPr>
        <w:tabs>
          <w:tab w:val="left" w:pos="709"/>
        </w:tabs>
        <w:spacing w:line="360" w:lineRule="auto"/>
        <w:ind w:left="567" w:right="539"/>
        <w:jc w:val="both"/>
        <w:rPr>
          <w:rFonts w:ascii="Palatino Linotype" w:hAnsi="Palatino Linotype" w:cs="Arial"/>
          <w:i/>
          <w:szCs w:val="22"/>
        </w:rPr>
      </w:pPr>
      <w:r w:rsidRPr="004857FD">
        <w:rPr>
          <w:rFonts w:ascii="Palatino Linotype" w:hAnsi="Palatino Linotype" w:cs="Arial"/>
          <w:b/>
          <w:i/>
          <w:szCs w:val="22"/>
        </w:rPr>
        <w:t>Artículo 21.-</w:t>
      </w:r>
      <w:r w:rsidRPr="004857FD">
        <w:rPr>
          <w:rFonts w:ascii="Palatino Linotype" w:hAnsi="Palatino Linotype" w:cs="Arial"/>
          <w:i/>
          <w:szCs w:val="22"/>
        </w:rPr>
        <w:t xml:space="preserve"> A fin de conocer la capacidad administrativa, financiera, legal y técnica de las fuentes de suministro, la Secretaría y los ayuntamientos integrarán un catálogo de proveedores y de prestadores de servicios.</w:t>
      </w:r>
    </w:p>
    <w:p w:rsidRPr="004857FD" w:rsidR="002439A6" w:rsidP="002439A6" w:rsidRDefault="002439A6" w14:paraId="4117F2E3" w14:textId="77777777">
      <w:pPr>
        <w:tabs>
          <w:tab w:val="left" w:pos="709"/>
        </w:tabs>
        <w:spacing w:line="360" w:lineRule="auto"/>
        <w:ind w:left="567" w:right="539"/>
        <w:jc w:val="both"/>
        <w:rPr>
          <w:rFonts w:ascii="Palatino Linotype" w:hAnsi="Palatino Linotype" w:cs="Arial"/>
          <w:i/>
          <w:szCs w:val="22"/>
        </w:rPr>
      </w:pPr>
    </w:p>
    <w:p w:rsidRPr="004857FD" w:rsidR="002439A6" w:rsidP="002439A6" w:rsidRDefault="002439A6" w14:paraId="4ECDB62C" w14:textId="77777777">
      <w:pPr>
        <w:tabs>
          <w:tab w:val="left" w:pos="709"/>
        </w:tabs>
        <w:spacing w:line="360" w:lineRule="auto"/>
        <w:ind w:left="567" w:right="539"/>
        <w:jc w:val="both"/>
        <w:rPr>
          <w:rFonts w:ascii="Palatino Linotype" w:hAnsi="Palatino Linotype" w:cs="Arial"/>
          <w:i/>
          <w:szCs w:val="22"/>
        </w:rPr>
      </w:pPr>
      <w:r w:rsidRPr="004857FD">
        <w:rPr>
          <w:rFonts w:ascii="Palatino Linotype" w:hAnsi="Palatino Linotype" w:cs="Arial"/>
          <w:i/>
          <w:szCs w:val="22"/>
        </w:rPr>
        <w:t>Las personas que deseen inscribirse en el catálogo deberán cumplir con los requisitos que establezca el reglamento respectivo. En todo caso, deberán estar inscritos en el Registro Único de Personas Acreditadas del Estado de México, en los términos de la Ley de Medios Electrónicos, los proveedores y prestadores de servicios que deseen participar en los procedimientos que deban desahogarse por conducto del COMPRAMEX.</w:t>
      </w:r>
      <w:r w:rsidRPr="004857FD">
        <w:rPr>
          <w:rFonts w:ascii="Palatino Linotype" w:hAnsi="Palatino Linotype" w:cs="Arial"/>
          <w:i/>
          <w:szCs w:val="22"/>
        </w:rPr>
        <w:cr/>
        <w:t>…</w:t>
      </w:r>
    </w:p>
    <w:p w:rsidRPr="004857FD" w:rsidR="002439A6" w:rsidP="002439A6" w:rsidRDefault="002439A6" w14:paraId="44D2894E" w14:textId="77777777">
      <w:pPr>
        <w:spacing w:line="360" w:lineRule="auto"/>
        <w:ind w:right="-93"/>
        <w:jc w:val="both"/>
        <w:rPr>
          <w:rFonts w:ascii="Palatino Linotype" w:hAnsi="Palatino Linotype" w:eastAsia="Calibri" w:cs="Tahoma"/>
          <w:bCs/>
          <w:sz w:val="22"/>
          <w:szCs w:val="22"/>
          <w:lang w:eastAsia="en-US"/>
        </w:rPr>
      </w:pPr>
    </w:p>
    <w:p w:rsidRPr="004857FD" w:rsidR="002439A6" w:rsidP="002439A6" w:rsidRDefault="002439A6" w14:paraId="5BEA4E93" w14:textId="77777777">
      <w:pPr>
        <w:spacing w:line="360" w:lineRule="auto"/>
        <w:jc w:val="both"/>
        <w:rPr>
          <w:rFonts w:ascii="Palatino Linotype" w:hAnsi="Palatino Linotype" w:cs="Tahoma"/>
          <w:sz w:val="22"/>
          <w:szCs w:val="22"/>
          <w:lang w:val="es-ES"/>
        </w:rPr>
      </w:pPr>
      <w:r w:rsidRPr="004857FD">
        <w:rPr>
          <w:rFonts w:ascii="Palatino Linotype" w:hAnsi="Palatino Linotype" w:cs="Tahoma"/>
          <w:sz w:val="22"/>
          <w:szCs w:val="22"/>
          <w:lang w:val="es-ES"/>
        </w:rPr>
        <w:t>Aunado a lo anterior, el Reglamento de la Ley de Contratación Pública del Estado de México y Municipios señala lo siguiente:</w:t>
      </w:r>
    </w:p>
    <w:p w:rsidRPr="004857FD" w:rsidR="002439A6" w:rsidP="002439A6" w:rsidRDefault="002439A6" w14:paraId="46D5440E" w14:textId="77777777">
      <w:pPr>
        <w:spacing w:line="360" w:lineRule="auto"/>
        <w:jc w:val="both"/>
        <w:rPr>
          <w:rFonts w:ascii="Palatino Linotype" w:hAnsi="Palatino Linotype" w:cs="Tahoma"/>
          <w:sz w:val="22"/>
          <w:szCs w:val="22"/>
          <w:lang w:val="es-ES"/>
        </w:rPr>
      </w:pPr>
    </w:p>
    <w:p w:rsidRPr="004857FD" w:rsidR="002439A6" w:rsidP="002439A6" w:rsidRDefault="002439A6" w14:paraId="7EA0A114" w14:textId="77777777">
      <w:pPr>
        <w:spacing w:line="360" w:lineRule="auto"/>
        <w:ind w:left="567" w:right="539"/>
        <w:jc w:val="both"/>
        <w:rPr>
          <w:rFonts w:ascii="Palatino Linotype" w:hAnsi="Palatino Linotype" w:cs="Tahoma"/>
          <w:i/>
          <w:iCs/>
          <w:lang w:val="es-ES"/>
        </w:rPr>
      </w:pPr>
      <w:r w:rsidRPr="004857FD">
        <w:rPr>
          <w:rFonts w:ascii="Palatino Linotype" w:hAnsi="Palatino Linotype" w:cs="Tahoma"/>
          <w:b/>
          <w:bCs/>
          <w:i/>
          <w:iCs/>
          <w:lang w:val="es-ES"/>
        </w:rPr>
        <w:t>Artículo 24.-</w:t>
      </w:r>
      <w:r w:rsidRPr="004857FD">
        <w:rPr>
          <w:rFonts w:ascii="Palatino Linotype" w:hAnsi="Palatino Linotype" w:cs="Tahoma"/>
          <w:i/>
          <w:iCs/>
          <w:lang w:val="es-ES"/>
        </w:rPr>
        <w:t xml:space="preserve"> Para conocer la capacidad administrativa, financiera, legal y técnica de los proveedores de bienes y prestadores de servicios, la Secretaría integrará, operará y actualizará un catálogo de proveedores y prestadores de servicios a través del Sistema COMPRAMEX, que contendrá lo siguiente:</w:t>
      </w:r>
    </w:p>
    <w:p w:rsidRPr="004857FD" w:rsidR="002439A6" w:rsidP="002439A6" w:rsidRDefault="002439A6" w14:paraId="73506DDB" w14:textId="77777777">
      <w:pPr>
        <w:spacing w:line="360" w:lineRule="auto"/>
        <w:ind w:left="567" w:right="539"/>
        <w:jc w:val="both"/>
        <w:rPr>
          <w:rFonts w:ascii="Palatino Linotype" w:hAnsi="Palatino Linotype" w:cs="Tahoma"/>
          <w:i/>
          <w:iCs/>
          <w:lang w:val="es-ES"/>
        </w:rPr>
      </w:pPr>
      <w:r w:rsidRPr="004857FD">
        <w:rPr>
          <w:rFonts w:ascii="Palatino Linotype" w:hAnsi="Palatino Linotype" w:cs="Tahoma"/>
          <w:i/>
          <w:iCs/>
          <w:lang w:val="es-ES"/>
        </w:rPr>
        <w:t>I. Tipo de servicio o bienes que presten o suministren;</w:t>
      </w:r>
    </w:p>
    <w:p w:rsidRPr="004857FD" w:rsidR="002439A6" w:rsidP="002439A6" w:rsidRDefault="002439A6" w14:paraId="6F93527B" w14:textId="77777777">
      <w:pPr>
        <w:spacing w:line="360" w:lineRule="auto"/>
        <w:ind w:left="567" w:right="539"/>
        <w:jc w:val="both"/>
        <w:rPr>
          <w:rFonts w:ascii="Palatino Linotype" w:hAnsi="Palatino Linotype" w:cs="Tahoma"/>
          <w:i/>
          <w:iCs/>
          <w:lang w:val="es-ES"/>
        </w:rPr>
      </w:pPr>
      <w:r w:rsidRPr="004857FD">
        <w:rPr>
          <w:rFonts w:ascii="Palatino Linotype" w:hAnsi="Palatino Linotype" w:cs="Tahoma"/>
          <w:i/>
          <w:iCs/>
          <w:lang w:val="es-ES"/>
        </w:rPr>
        <w:t>II. Nombre, denominación o razón social de la persona que preste el servicio o suministre los bienes;</w:t>
      </w:r>
    </w:p>
    <w:p w:rsidRPr="004857FD" w:rsidR="002439A6" w:rsidP="002439A6" w:rsidRDefault="002439A6" w14:paraId="01D0367E" w14:textId="77777777">
      <w:pPr>
        <w:spacing w:line="360" w:lineRule="auto"/>
        <w:ind w:left="567" w:right="539"/>
        <w:jc w:val="both"/>
        <w:rPr>
          <w:rFonts w:ascii="Palatino Linotype" w:hAnsi="Palatino Linotype" w:cs="Tahoma"/>
          <w:i/>
          <w:iCs/>
          <w:lang w:val="es-ES"/>
        </w:rPr>
      </w:pPr>
      <w:r w:rsidRPr="004857FD">
        <w:rPr>
          <w:rFonts w:ascii="Palatino Linotype" w:hAnsi="Palatino Linotype" w:cs="Tahoma"/>
          <w:i/>
          <w:iCs/>
          <w:lang w:val="es-ES"/>
        </w:rPr>
        <w:t>III. Teléfono y correo electrónico;</w:t>
      </w:r>
    </w:p>
    <w:p w:rsidRPr="004857FD" w:rsidR="002439A6" w:rsidP="002439A6" w:rsidRDefault="002439A6" w14:paraId="2BC7325A" w14:textId="77777777">
      <w:pPr>
        <w:spacing w:line="360" w:lineRule="auto"/>
        <w:ind w:left="567" w:right="539"/>
        <w:jc w:val="both"/>
        <w:rPr>
          <w:rFonts w:ascii="Palatino Linotype" w:hAnsi="Palatino Linotype" w:cs="Tahoma"/>
          <w:i/>
          <w:iCs/>
          <w:lang w:val="es-ES"/>
        </w:rPr>
      </w:pPr>
      <w:r w:rsidRPr="004857FD">
        <w:rPr>
          <w:rFonts w:ascii="Palatino Linotype" w:hAnsi="Palatino Linotype" w:cs="Tahoma"/>
          <w:i/>
          <w:iCs/>
          <w:lang w:val="es-ES"/>
        </w:rPr>
        <w:t>IV. Domicilio fiscal y/o legal de la persona prestadora del servicio o proveedora de los bienes; y</w:t>
      </w:r>
    </w:p>
    <w:p w:rsidRPr="004857FD" w:rsidR="002439A6" w:rsidP="002439A6" w:rsidRDefault="002439A6" w14:paraId="13E3717B" w14:textId="77777777">
      <w:pPr>
        <w:spacing w:line="360" w:lineRule="auto"/>
        <w:ind w:left="567" w:right="539"/>
        <w:jc w:val="both"/>
        <w:rPr>
          <w:rFonts w:ascii="Palatino Linotype" w:hAnsi="Palatino Linotype" w:cs="Tahoma"/>
          <w:i/>
          <w:iCs/>
          <w:lang w:val="es-ES"/>
        </w:rPr>
      </w:pPr>
      <w:r w:rsidRPr="004857FD">
        <w:rPr>
          <w:rFonts w:ascii="Palatino Linotype" w:hAnsi="Palatino Linotype" w:cs="Tahoma"/>
          <w:i/>
          <w:iCs/>
          <w:lang w:val="es-ES"/>
        </w:rPr>
        <w:t>V. Los demás requisitos que se consideren necesarios para la adecuada integración de los catálogos.</w:t>
      </w:r>
    </w:p>
    <w:p w:rsidRPr="004857FD" w:rsidR="002439A6" w:rsidP="002439A6" w:rsidRDefault="002439A6" w14:paraId="17852A71" w14:textId="77777777">
      <w:pPr>
        <w:spacing w:line="360" w:lineRule="auto"/>
        <w:jc w:val="both"/>
        <w:rPr>
          <w:rFonts w:ascii="Palatino Linotype" w:hAnsi="Palatino Linotype" w:cs="Tahoma"/>
          <w:sz w:val="22"/>
          <w:szCs w:val="22"/>
          <w:lang w:val="es-ES"/>
        </w:rPr>
      </w:pPr>
    </w:p>
    <w:p w:rsidRPr="004857FD" w:rsidR="002439A6" w:rsidP="002439A6" w:rsidRDefault="002439A6" w14:paraId="0CF1695D" w14:textId="5BC9CB7C">
      <w:pPr>
        <w:spacing w:line="360" w:lineRule="auto"/>
        <w:ind w:right="-93"/>
        <w:jc w:val="both"/>
        <w:rPr>
          <w:rFonts w:ascii="Palatino Linotype" w:hAnsi="Palatino Linotype" w:cs="Tahoma"/>
          <w:sz w:val="22"/>
          <w:szCs w:val="22"/>
          <w:lang w:val="es-ES"/>
        </w:rPr>
      </w:pPr>
      <w:r w:rsidRPr="004857FD">
        <w:rPr>
          <w:rFonts w:ascii="Palatino Linotype" w:hAnsi="Palatino Linotype" w:cs="Tahoma"/>
          <w:sz w:val="22"/>
          <w:szCs w:val="22"/>
          <w:lang w:val="es-ES"/>
        </w:rPr>
        <w:t xml:space="preserve">Aunado a lo anterior, es necesario precisar que los Sujetos Obligados deben cumplir con la publicidad de sus Padrones de Proveedores y Contratistas, de acuerdo con el artículo 92, </w:t>
      </w:r>
      <w:r w:rsidRPr="004857FD">
        <w:rPr>
          <w:rFonts w:ascii="Palatino Linotype" w:hAnsi="Palatino Linotype" w:cs="Tahoma"/>
          <w:sz w:val="22"/>
          <w:szCs w:val="22"/>
          <w:lang w:val="es-ES"/>
        </w:rPr>
        <w:lastRenderedPageBreak/>
        <w:t xml:space="preserve">fracción  XXXVI, de la Ley de la Materia, en donde además es posible constatar los datos públicos de quienes tienen relaciones comerciales con las instituciones públicas, así se tiene que la Comisión de Derechos Humanos adjuntó la liga de su Portal de Información Pública de Oficio Mexiquense (IPOMEX) </w:t>
      </w:r>
      <w:r w:rsidRPr="004857FD" w:rsidR="005A2C0C">
        <w:rPr>
          <w:rFonts w:ascii="Palatino Linotype" w:hAnsi="Palatino Linotype" w:cs="Tahoma"/>
          <w:sz w:val="22"/>
          <w:szCs w:val="22"/>
          <w:lang w:val="es-ES"/>
        </w:rPr>
        <w:t>de la que se observa lo siguiente:</w:t>
      </w:r>
    </w:p>
    <w:p w:rsidRPr="004857FD" w:rsidR="005A2C0C" w:rsidP="002439A6" w:rsidRDefault="005A2C0C" w14:paraId="739FFD6A" w14:textId="77777777">
      <w:pPr>
        <w:spacing w:line="360" w:lineRule="auto"/>
        <w:ind w:right="-93"/>
        <w:jc w:val="both"/>
        <w:rPr>
          <w:rFonts w:ascii="Palatino Linotype" w:hAnsi="Palatino Linotype" w:cs="Tahoma"/>
          <w:sz w:val="22"/>
          <w:szCs w:val="22"/>
          <w:lang w:val="es-ES"/>
        </w:rPr>
      </w:pPr>
    </w:p>
    <w:p w:rsidRPr="004857FD" w:rsidR="002439A6" w:rsidP="005A2C0C" w:rsidRDefault="005A2C0C" w14:paraId="505171B6" w14:textId="7459771D">
      <w:pPr>
        <w:spacing w:line="360" w:lineRule="auto"/>
        <w:ind w:right="-93"/>
        <w:jc w:val="center"/>
        <w:rPr>
          <w:rFonts w:ascii="Palatino Linotype" w:hAnsi="Palatino Linotype" w:cs="Tahoma"/>
          <w:sz w:val="22"/>
          <w:szCs w:val="22"/>
          <w:lang w:val="es-ES"/>
        </w:rPr>
      </w:pPr>
      <w:r w:rsidRPr="004857FD">
        <w:rPr>
          <w:noProof/>
          <w:lang w:eastAsia="es-MX"/>
        </w:rPr>
        <w:drawing>
          <wp:inline distT="0" distB="0" distL="0" distR="0" wp14:anchorId="273B8F8B" wp14:editId="3931BA01">
            <wp:extent cx="3744037" cy="2924175"/>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7630" t="25359" r="69648" b="43090"/>
                    <a:stretch/>
                  </pic:blipFill>
                  <pic:spPr bwMode="auto">
                    <a:xfrm>
                      <a:off x="0" y="0"/>
                      <a:ext cx="3759303" cy="2936098"/>
                    </a:xfrm>
                    <a:prstGeom prst="rect">
                      <a:avLst/>
                    </a:prstGeom>
                    <a:ln>
                      <a:noFill/>
                    </a:ln>
                    <a:extLst>
                      <a:ext uri="{53640926-AAD7-44D8-BBD7-CCE9431645EC}">
                        <a14:shadowObscured xmlns:a14="http://schemas.microsoft.com/office/drawing/2010/main"/>
                      </a:ext>
                    </a:extLst>
                  </pic:spPr>
                </pic:pic>
              </a:graphicData>
            </a:graphic>
          </wp:inline>
        </w:drawing>
      </w:r>
    </w:p>
    <w:p w:rsidRPr="004857FD" w:rsidR="00F2423D" w:rsidP="00F2423D" w:rsidRDefault="005A2C0C" w14:paraId="6A4B427E" w14:textId="77777777">
      <w:pPr>
        <w:spacing w:line="360" w:lineRule="auto"/>
        <w:ind w:right="-91"/>
        <w:jc w:val="both"/>
        <w:rPr>
          <w:rFonts w:ascii="Palatino Linotype" w:hAnsi="Palatino Linotype" w:eastAsia="Calibri" w:cs="Tahoma"/>
          <w:iCs/>
          <w:sz w:val="22"/>
          <w:szCs w:val="22"/>
          <w:lang w:eastAsia="es-ES_tradnl"/>
        </w:rPr>
      </w:pPr>
      <w:r w:rsidRPr="004857FD">
        <w:rPr>
          <w:rFonts w:ascii="Palatino Linotype" w:hAnsi="Palatino Linotype" w:eastAsia="Calibri" w:cs="Tahoma"/>
          <w:iCs/>
          <w:sz w:val="22"/>
          <w:szCs w:val="22"/>
          <w:lang w:eastAsia="es-ES_tradnl"/>
        </w:rPr>
        <w:t xml:space="preserve">Derivado de lo anterior, el Particular se inconformó por no coincidir la información con los procedimientos de adquisición </w:t>
      </w:r>
      <w:r w:rsidRPr="004857FD" w:rsidR="00F2423D">
        <w:rPr>
          <w:rFonts w:ascii="Palatino Linotype" w:hAnsi="Palatino Linotype" w:eastAsia="Calibri" w:cs="Tahoma"/>
          <w:iCs/>
          <w:sz w:val="22"/>
          <w:szCs w:val="22"/>
          <w:lang w:eastAsia="es-ES_tradnl"/>
        </w:rPr>
        <w:t xml:space="preserve">razón por la cual en informe justificado añadió que el número de procedimientos adquisitivas realizados en un determinado momento correspondiente a un ejercicio fiscal, no debe estar obligadamente relacionado con el número de proveedores que forman parte del Padrón de Proveedores, aunado a ello el artículo 26 del Reglamento de la Ley de Contratación Pública del Estado de México y Municipios establece que los Poderes Legislativo y Judicial, y los organismos autónomos, previa celebración del acuerdo de coordinación respectivo, podrán consultar la información contenida en los catálogos, en los términos y condiciones que determine la Secretaría, así las contrataciones realizadas por la Comisión de Derechos Humanos del Estado de México se pudieron haber realizado con algún proveedor de otro catálogo, además sobre la información proporcionada en respuesta, este </w:t>
      </w:r>
      <w:r w:rsidRPr="004857FD" w:rsidR="00F2423D">
        <w:rPr>
          <w:rFonts w:ascii="Palatino Linotype" w:hAnsi="Palatino Linotype" w:cs="Tahoma"/>
          <w:sz w:val="22"/>
          <w:szCs w:val="24"/>
        </w:rPr>
        <w:lastRenderedPageBreak/>
        <w:t xml:space="preserve">Organismo Garante no está facultado para manifestarse sobre la veracidad, pues no existe precepto legal alguno en la Ley de la materia que lo faculte para ello, situación que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rsidRPr="004857FD" w:rsidR="00F2423D" w:rsidP="00F2423D" w:rsidRDefault="00F2423D" w14:paraId="6442DC33" w14:textId="77777777">
      <w:pPr>
        <w:spacing w:line="360" w:lineRule="auto"/>
        <w:jc w:val="both"/>
        <w:rPr>
          <w:rFonts w:ascii="Palatino Linotype" w:hAnsi="Palatino Linotype" w:cs="Tahoma"/>
          <w:sz w:val="22"/>
          <w:szCs w:val="24"/>
        </w:rPr>
      </w:pPr>
    </w:p>
    <w:p w:rsidRPr="004857FD" w:rsidR="00F2423D" w:rsidP="00F2423D" w:rsidRDefault="00F2423D" w14:paraId="7406771A" w14:textId="77777777">
      <w:pPr>
        <w:spacing w:line="360" w:lineRule="auto"/>
        <w:ind w:left="567" w:right="539"/>
        <w:jc w:val="both"/>
        <w:rPr>
          <w:rFonts w:ascii="Palatino Linotype" w:hAnsi="Palatino Linotype" w:cs="Tahoma"/>
          <w:i/>
          <w:szCs w:val="24"/>
        </w:rPr>
      </w:pPr>
      <w:r w:rsidRPr="004857FD">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4857FD">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4857FD" w:rsidR="00F2423D" w:rsidP="0097253C" w:rsidRDefault="00F2423D" w14:paraId="6C49963F" w14:textId="0D149956">
      <w:pPr>
        <w:spacing w:line="360" w:lineRule="auto"/>
        <w:jc w:val="both"/>
        <w:rPr>
          <w:rFonts w:ascii="Palatino Linotype" w:hAnsi="Palatino Linotype" w:eastAsia="Calibri" w:cs="Tahoma"/>
          <w:iCs/>
          <w:sz w:val="22"/>
          <w:szCs w:val="22"/>
          <w:lang w:eastAsia="es-ES_tradnl"/>
        </w:rPr>
      </w:pPr>
    </w:p>
    <w:p w:rsidRPr="004857FD" w:rsidR="00F2423D" w:rsidP="00FD4963" w:rsidRDefault="00F2423D" w14:paraId="5A31932C" w14:textId="37D4EAED">
      <w:pPr>
        <w:spacing w:line="360" w:lineRule="auto"/>
        <w:jc w:val="both"/>
        <w:rPr>
          <w:rFonts w:ascii="Palatino Linotype" w:hAnsi="Palatino Linotype" w:eastAsia="Calibri" w:cs="Tahoma"/>
          <w:iCs/>
          <w:sz w:val="22"/>
          <w:szCs w:val="22"/>
          <w:lang w:val="es-ES" w:eastAsia="es-ES_tradnl"/>
        </w:rPr>
      </w:pPr>
      <w:r w:rsidRPr="004857FD">
        <w:rPr>
          <w:rFonts w:ascii="Palatino Linotype" w:hAnsi="Palatino Linotype" w:eastAsia="Calibri" w:cs="Tahoma"/>
          <w:bCs/>
          <w:sz w:val="22"/>
          <w:szCs w:val="22"/>
          <w:lang w:eastAsia="en-US"/>
        </w:rPr>
        <w:t xml:space="preserve">Aunado a lo anterior, se advierte que se pronunció la unidad administrativa que pudo haber contado con la información, a saber la </w:t>
      </w:r>
      <w:r w:rsidRPr="004857FD" w:rsidR="00FD4963">
        <w:rPr>
          <w:rFonts w:ascii="Palatino Linotype" w:hAnsi="Palatino Linotype" w:eastAsia="Calibri" w:cs="Tahoma"/>
          <w:bCs/>
          <w:sz w:val="22"/>
          <w:szCs w:val="22"/>
          <w:lang w:eastAsia="en-US"/>
        </w:rPr>
        <w:t xml:space="preserve">Dirección de Recursos Materiales y Servicios, la cual tiene dentro de sus atribuciones la de integrar, operar y actualizar el catálogo de proveedores y prestadores de servicios, para conocer su capacidad técnica, administrativa, financiera y legal; según lo establecido en el artículo 22 del Reglamento Interno de la comisión de Derechos Humanos del Estado de México, </w:t>
      </w:r>
      <w:r w:rsidRPr="004857FD">
        <w:rPr>
          <w:rFonts w:ascii="Palatino Linotype" w:hAnsi="Palatino Linotype" w:eastAsia="Calibri" w:cs="Tahoma"/>
          <w:bCs/>
          <w:sz w:val="22"/>
          <w:szCs w:val="22"/>
          <w:lang w:eastAsia="en-US"/>
        </w:rPr>
        <w:t>de</w:t>
      </w:r>
      <w:r w:rsidRPr="004857FD">
        <w:rPr>
          <w:rFonts w:ascii="Palatino Linotype" w:hAnsi="Palatino Linotype" w:eastAsia="Calibri" w:cs="Tahoma"/>
          <w:iCs/>
          <w:sz w:val="22"/>
          <w:szCs w:val="22"/>
          <w:lang w:val="es-ES" w:eastAsia="es-ES_tradnl"/>
        </w:rPr>
        <w:t xml:space="preserve"> tales circunstancias, los sujetos obligados únicamente deberán proporcionar la documentación que obre en sus archivos; por lo que, no están obligados a generar o elaborar documentos </w:t>
      </w:r>
      <w:r w:rsidRPr="004857FD">
        <w:rPr>
          <w:rFonts w:ascii="Palatino Linotype" w:hAnsi="Palatino Linotype" w:eastAsia="Calibri" w:cs="Tahoma"/>
          <w:i/>
          <w:iCs/>
          <w:sz w:val="22"/>
          <w:szCs w:val="22"/>
          <w:lang w:val="es-ES" w:eastAsia="es-ES_tradnl"/>
        </w:rPr>
        <w:t>Ad hoc,</w:t>
      </w:r>
      <w:r w:rsidRPr="004857FD">
        <w:rPr>
          <w:rFonts w:ascii="Palatino Linotype" w:hAnsi="Palatino Linotype" w:eastAsia="Calibri" w:cs="Tahoma"/>
          <w:iCs/>
          <w:sz w:val="22"/>
          <w:szCs w:val="22"/>
          <w:lang w:val="es-ES" w:eastAsia="es-ES_tradnl"/>
        </w:rPr>
        <w:t xml:space="preserve"> robustece lo anterior el Criterio 3/17 del </w:t>
      </w:r>
      <w:r w:rsidRPr="004857FD">
        <w:rPr>
          <w:rFonts w:ascii="Palatino Linotype" w:hAnsi="Palatino Linotype" w:eastAsia="Calibri" w:cs="Tahoma"/>
          <w:iCs/>
          <w:sz w:val="22"/>
          <w:szCs w:val="22"/>
          <w:lang w:val="es-ES" w:eastAsia="es-ES_tradnl"/>
        </w:rPr>
        <w:lastRenderedPageBreak/>
        <w:t>Instituto Nacional de Transparencia, Acceso a la Información y Protección de Datos Personales que a continuación se cita:</w:t>
      </w:r>
    </w:p>
    <w:p w:rsidRPr="004857FD" w:rsidR="00FD4963" w:rsidP="00FD4963" w:rsidRDefault="00FD4963" w14:paraId="7E4558BD" w14:textId="77777777">
      <w:pPr>
        <w:spacing w:line="360" w:lineRule="auto"/>
        <w:jc w:val="both"/>
        <w:rPr>
          <w:rFonts w:ascii="Palatino Linotype" w:hAnsi="Palatino Linotype" w:eastAsia="Calibri" w:cs="Tahoma"/>
          <w:iCs/>
          <w:sz w:val="22"/>
          <w:szCs w:val="22"/>
          <w:lang w:val="es-ES" w:eastAsia="es-ES_tradnl"/>
        </w:rPr>
      </w:pPr>
    </w:p>
    <w:p w:rsidRPr="004857FD" w:rsidR="00F2423D" w:rsidP="00F2423D" w:rsidRDefault="00F2423D" w14:paraId="3AE7DD78" w14:textId="77777777">
      <w:pPr>
        <w:spacing w:line="360" w:lineRule="auto"/>
        <w:ind w:left="567" w:right="567"/>
        <w:jc w:val="both"/>
        <w:rPr>
          <w:rFonts w:ascii="Palatino Linotype" w:hAnsi="Palatino Linotype" w:eastAsia="Arial" w:cs="Arial"/>
          <w:i/>
          <w:szCs w:val="22"/>
        </w:rPr>
      </w:pPr>
      <w:r w:rsidRPr="004857FD">
        <w:rPr>
          <w:rFonts w:ascii="Palatino Linotype" w:hAnsi="Palatino Linotype" w:eastAsia="Arial" w:cs="Arial"/>
          <w:b/>
          <w:i/>
          <w:szCs w:val="22"/>
        </w:rPr>
        <w:t xml:space="preserve">No existe obligación de elaborar </w:t>
      </w:r>
      <w:r w:rsidRPr="004857FD">
        <w:rPr>
          <w:rFonts w:ascii="Palatino Linotype" w:hAnsi="Palatino Linotype" w:eastAsia="Arial" w:cs="Arial"/>
          <w:b/>
          <w:i/>
          <w:spacing w:val="-3"/>
          <w:szCs w:val="22"/>
        </w:rPr>
        <w:t>d</w:t>
      </w:r>
      <w:r w:rsidRPr="004857FD">
        <w:rPr>
          <w:rFonts w:ascii="Palatino Linotype" w:hAnsi="Palatino Linotype" w:eastAsia="Arial" w:cs="Arial"/>
          <w:b/>
          <w:i/>
          <w:szCs w:val="22"/>
        </w:rPr>
        <w:t>ocum</w:t>
      </w:r>
      <w:r w:rsidRPr="004857FD">
        <w:rPr>
          <w:rFonts w:ascii="Palatino Linotype" w:hAnsi="Palatino Linotype" w:eastAsia="Arial" w:cs="Arial"/>
          <w:b/>
          <w:i/>
          <w:spacing w:val="1"/>
          <w:szCs w:val="22"/>
        </w:rPr>
        <w:t>e</w:t>
      </w:r>
      <w:r w:rsidRPr="004857FD">
        <w:rPr>
          <w:rFonts w:ascii="Palatino Linotype" w:hAnsi="Palatino Linotype" w:eastAsia="Arial" w:cs="Arial"/>
          <w:b/>
          <w:i/>
          <w:szCs w:val="22"/>
        </w:rPr>
        <w:t>n</w:t>
      </w:r>
      <w:r w:rsidRPr="004857FD">
        <w:rPr>
          <w:rFonts w:ascii="Palatino Linotype" w:hAnsi="Palatino Linotype" w:eastAsia="Arial" w:cs="Arial"/>
          <w:b/>
          <w:i/>
          <w:spacing w:val="-1"/>
          <w:szCs w:val="22"/>
        </w:rPr>
        <w:t>t</w:t>
      </w:r>
      <w:r w:rsidRPr="004857FD">
        <w:rPr>
          <w:rFonts w:ascii="Palatino Linotype" w:hAnsi="Palatino Linotype" w:eastAsia="Arial" w:cs="Arial"/>
          <w:b/>
          <w:i/>
          <w:szCs w:val="22"/>
        </w:rPr>
        <w:t xml:space="preserve">os </w:t>
      </w:r>
      <w:r w:rsidRPr="004857FD">
        <w:rPr>
          <w:rFonts w:ascii="Palatino Linotype" w:hAnsi="Palatino Linotype" w:eastAsia="Arial" w:cs="Arial"/>
          <w:b/>
          <w:i/>
          <w:spacing w:val="-1"/>
          <w:szCs w:val="22"/>
        </w:rPr>
        <w:t xml:space="preserve">ad </w:t>
      </w:r>
      <w:r w:rsidRPr="004857FD">
        <w:rPr>
          <w:rFonts w:ascii="Palatino Linotype" w:hAnsi="Palatino Linotype" w:eastAsia="Arial" w:cs="Arial"/>
          <w:b/>
          <w:i/>
          <w:szCs w:val="22"/>
        </w:rPr>
        <w:t>hoc para atender las sol</w:t>
      </w:r>
      <w:r w:rsidRPr="004857FD">
        <w:rPr>
          <w:rFonts w:ascii="Palatino Linotype" w:hAnsi="Palatino Linotype" w:eastAsia="Arial" w:cs="Arial"/>
          <w:b/>
          <w:i/>
          <w:spacing w:val="-2"/>
          <w:szCs w:val="22"/>
        </w:rPr>
        <w:t>i</w:t>
      </w:r>
      <w:r w:rsidRPr="004857FD">
        <w:rPr>
          <w:rFonts w:ascii="Palatino Linotype" w:hAnsi="Palatino Linotype" w:eastAsia="Arial" w:cs="Arial"/>
          <w:b/>
          <w:i/>
          <w:spacing w:val="1"/>
          <w:szCs w:val="22"/>
        </w:rPr>
        <w:t>c</w:t>
      </w:r>
      <w:r w:rsidRPr="004857FD">
        <w:rPr>
          <w:rFonts w:ascii="Palatino Linotype" w:hAnsi="Palatino Linotype" w:eastAsia="Arial" w:cs="Arial"/>
          <w:b/>
          <w:i/>
          <w:szCs w:val="22"/>
        </w:rPr>
        <w:t xml:space="preserve">itudes de </w:t>
      </w:r>
      <w:r w:rsidRPr="004857FD">
        <w:rPr>
          <w:rFonts w:ascii="Palatino Linotype" w:hAnsi="Palatino Linotype" w:eastAsia="Arial" w:cs="Arial"/>
          <w:b/>
          <w:i/>
          <w:spacing w:val="1"/>
          <w:szCs w:val="22"/>
        </w:rPr>
        <w:t>ac</w:t>
      </w:r>
      <w:r w:rsidRPr="004857FD">
        <w:rPr>
          <w:rFonts w:ascii="Palatino Linotype" w:hAnsi="Palatino Linotype" w:eastAsia="Arial" w:cs="Arial"/>
          <w:b/>
          <w:i/>
          <w:spacing w:val="-1"/>
          <w:szCs w:val="22"/>
        </w:rPr>
        <w:t>c</w:t>
      </w:r>
      <w:r w:rsidRPr="004857FD">
        <w:rPr>
          <w:rFonts w:ascii="Palatino Linotype" w:hAnsi="Palatino Linotype" w:eastAsia="Arial" w:cs="Arial"/>
          <w:b/>
          <w:i/>
          <w:spacing w:val="1"/>
          <w:szCs w:val="22"/>
        </w:rPr>
        <w:t>es</w:t>
      </w:r>
      <w:r w:rsidRPr="004857FD">
        <w:rPr>
          <w:rFonts w:ascii="Palatino Linotype" w:hAnsi="Palatino Linotype" w:eastAsia="Arial" w:cs="Arial"/>
          <w:b/>
          <w:i/>
          <w:szCs w:val="22"/>
        </w:rPr>
        <w:t>o a la informa</w:t>
      </w:r>
      <w:r w:rsidRPr="004857FD">
        <w:rPr>
          <w:rFonts w:ascii="Palatino Linotype" w:hAnsi="Palatino Linotype" w:eastAsia="Arial" w:cs="Arial"/>
          <w:b/>
          <w:i/>
          <w:spacing w:val="1"/>
          <w:szCs w:val="22"/>
        </w:rPr>
        <w:t>c</w:t>
      </w:r>
      <w:r w:rsidRPr="004857FD">
        <w:rPr>
          <w:rFonts w:ascii="Palatino Linotype" w:hAnsi="Palatino Linotype" w:eastAsia="Arial" w:cs="Arial"/>
          <w:b/>
          <w:i/>
          <w:szCs w:val="22"/>
        </w:rPr>
        <w:t>ió</w:t>
      </w:r>
      <w:r w:rsidRPr="004857FD">
        <w:rPr>
          <w:rFonts w:ascii="Palatino Linotype" w:hAnsi="Palatino Linotype" w:eastAsia="Arial" w:cs="Arial"/>
          <w:b/>
          <w:i/>
          <w:spacing w:val="-2"/>
          <w:szCs w:val="22"/>
        </w:rPr>
        <w:t>n</w:t>
      </w:r>
      <w:r w:rsidRPr="004857FD">
        <w:rPr>
          <w:rFonts w:ascii="Palatino Linotype" w:hAnsi="Palatino Linotype" w:eastAsia="Arial" w:cs="Arial"/>
          <w:b/>
          <w:i/>
          <w:szCs w:val="22"/>
        </w:rPr>
        <w:t xml:space="preserve">. </w:t>
      </w:r>
      <w:r w:rsidRPr="004857FD">
        <w:rPr>
          <w:rFonts w:ascii="Palatino Linotype" w:hAnsi="Palatino Linotype" w:eastAsia="Arial" w:cs="Arial"/>
          <w:i/>
          <w:spacing w:val="18"/>
          <w:szCs w:val="22"/>
        </w:rPr>
        <w:t>L</w:t>
      </w:r>
      <w:r w:rsidRPr="004857FD">
        <w:rPr>
          <w:rFonts w:ascii="Palatino Linotype" w:hAnsi="Palatino Linotype" w:eastAsia="Arial" w:cs="Arial"/>
          <w:i/>
          <w:spacing w:val="-1"/>
          <w:szCs w:val="22"/>
        </w:rPr>
        <w:t xml:space="preserve">os </w:t>
      </w:r>
      <w:r w:rsidRPr="004857FD">
        <w:rPr>
          <w:rFonts w:ascii="Palatino Linotype" w:hAnsi="Palatino Linotype" w:eastAsia="Arial" w:cs="Arial"/>
          <w:i/>
          <w:spacing w:val="1"/>
          <w:szCs w:val="22"/>
        </w:rPr>
        <w:t>a</w:t>
      </w:r>
      <w:r w:rsidRPr="004857FD">
        <w:rPr>
          <w:rFonts w:ascii="Palatino Linotype" w:hAnsi="Palatino Linotype" w:eastAsia="Arial" w:cs="Arial"/>
          <w:i/>
          <w:szCs w:val="22"/>
        </w:rPr>
        <w:t>rt</w:t>
      </w:r>
      <w:r w:rsidRPr="004857FD">
        <w:rPr>
          <w:rFonts w:ascii="Palatino Linotype" w:hAnsi="Palatino Linotype" w:eastAsia="Arial" w:cs="Arial"/>
          <w:i/>
          <w:spacing w:val="-2"/>
          <w:szCs w:val="22"/>
        </w:rPr>
        <w:t>í</w:t>
      </w:r>
      <w:r w:rsidRPr="004857FD">
        <w:rPr>
          <w:rFonts w:ascii="Palatino Linotype" w:hAnsi="Palatino Linotype" w:eastAsia="Arial" w:cs="Arial"/>
          <w:i/>
          <w:szCs w:val="22"/>
        </w:rPr>
        <w:t>c</w:t>
      </w:r>
      <w:r w:rsidRPr="004857FD">
        <w:rPr>
          <w:rFonts w:ascii="Palatino Linotype" w:hAnsi="Palatino Linotype" w:eastAsia="Arial" w:cs="Arial"/>
          <w:i/>
          <w:spacing w:val="1"/>
          <w:szCs w:val="22"/>
        </w:rPr>
        <w:t>u</w:t>
      </w:r>
      <w:r w:rsidRPr="004857FD">
        <w:rPr>
          <w:rFonts w:ascii="Palatino Linotype" w:hAnsi="Palatino Linotype" w:eastAsia="Arial" w:cs="Arial"/>
          <w:i/>
          <w:szCs w:val="22"/>
        </w:rPr>
        <w:t>los</w:t>
      </w:r>
      <w:r w:rsidRPr="004857FD">
        <w:rPr>
          <w:rFonts w:ascii="Palatino Linotype" w:hAnsi="Palatino Linotype" w:eastAsia="Arial" w:cs="Arial"/>
          <w:i/>
          <w:spacing w:val="8"/>
          <w:szCs w:val="22"/>
        </w:rPr>
        <w:t xml:space="preserve"> 129 </w:t>
      </w:r>
      <w:r w:rsidRPr="004857FD">
        <w:rPr>
          <w:rFonts w:ascii="Palatino Linotype" w:hAnsi="Palatino Linotype" w:eastAsia="Arial" w:cs="Arial"/>
          <w:i/>
          <w:spacing w:val="1"/>
          <w:szCs w:val="22"/>
        </w:rPr>
        <w:t>d</w:t>
      </w:r>
      <w:r w:rsidRPr="004857FD">
        <w:rPr>
          <w:rFonts w:ascii="Palatino Linotype" w:hAnsi="Palatino Linotype" w:eastAsia="Arial" w:cs="Arial"/>
          <w:i/>
          <w:szCs w:val="22"/>
        </w:rPr>
        <w:t xml:space="preserve">e la </w:t>
      </w:r>
      <w:r w:rsidRPr="004857FD">
        <w:rPr>
          <w:rFonts w:ascii="Palatino Linotype" w:hAnsi="Palatino Linotype" w:eastAsia="Arial" w:cs="Arial"/>
          <w:i/>
          <w:spacing w:val="-1"/>
          <w:szCs w:val="22"/>
        </w:rPr>
        <w:t>L</w:t>
      </w:r>
      <w:r w:rsidRPr="004857FD">
        <w:rPr>
          <w:rFonts w:ascii="Palatino Linotype" w:hAnsi="Palatino Linotype" w:eastAsia="Arial" w:cs="Arial"/>
          <w:i/>
          <w:spacing w:val="1"/>
          <w:szCs w:val="22"/>
        </w:rPr>
        <w:t>e</w:t>
      </w:r>
      <w:r w:rsidRPr="004857FD">
        <w:rPr>
          <w:rFonts w:ascii="Palatino Linotype" w:hAnsi="Palatino Linotype" w:eastAsia="Arial" w:cs="Arial"/>
          <w:i/>
          <w:szCs w:val="22"/>
        </w:rPr>
        <w:t xml:space="preserve">y General </w:t>
      </w:r>
      <w:r w:rsidRPr="004857FD">
        <w:rPr>
          <w:rFonts w:ascii="Palatino Linotype" w:hAnsi="Palatino Linotype" w:eastAsia="Arial" w:cs="Arial"/>
          <w:i/>
          <w:spacing w:val="-1"/>
          <w:szCs w:val="22"/>
        </w:rPr>
        <w:t>d</w:t>
      </w:r>
      <w:r w:rsidRPr="004857FD">
        <w:rPr>
          <w:rFonts w:ascii="Palatino Linotype" w:hAnsi="Palatino Linotype" w:eastAsia="Arial" w:cs="Arial"/>
          <w:i/>
          <w:szCs w:val="22"/>
        </w:rPr>
        <w:t xml:space="preserve">e </w:t>
      </w:r>
      <w:r w:rsidRPr="004857FD">
        <w:rPr>
          <w:rFonts w:ascii="Palatino Linotype" w:hAnsi="Palatino Linotype" w:eastAsia="Arial" w:cs="Arial"/>
          <w:i/>
          <w:spacing w:val="2"/>
          <w:szCs w:val="22"/>
        </w:rPr>
        <w:t>T</w:t>
      </w:r>
      <w:r w:rsidRPr="004857FD">
        <w:rPr>
          <w:rFonts w:ascii="Palatino Linotype" w:hAnsi="Palatino Linotype" w:eastAsia="Arial" w:cs="Arial"/>
          <w:i/>
          <w:szCs w:val="22"/>
        </w:rPr>
        <w:t>r</w:t>
      </w:r>
      <w:r w:rsidRPr="004857FD">
        <w:rPr>
          <w:rFonts w:ascii="Palatino Linotype" w:hAnsi="Palatino Linotype" w:eastAsia="Arial" w:cs="Arial"/>
          <w:i/>
          <w:spacing w:val="-2"/>
          <w:szCs w:val="22"/>
        </w:rPr>
        <w:t>a</w:t>
      </w:r>
      <w:r w:rsidRPr="004857FD">
        <w:rPr>
          <w:rFonts w:ascii="Palatino Linotype" w:hAnsi="Palatino Linotype" w:eastAsia="Arial" w:cs="Arial"/>
          <w:i/>
          <w:spacing w:val="1"/>
          <w:szCs w:val="22"/>
        </w:rPr>
        <w:t>n</w:t>
      </w:r>
      <w:r w:rsidRPr="004857FD">
        <w:rPr>
          <w:rFonts w:ascii="Palatino Linotype" w:hAnsi="Palatino Linotype" w:eastAsia="Arial" w:cs="Arial"/>
          <w:i/>
          <w:szCs w:val="22"/>
        </w:rPr>
        <w:t>s</w:t>
      </w:r>
      <w:r w:rsidRPr="004857FD">
        <w:rPr>
          <w:rFonts w:ascii="Palatino Linotype" w:hAnsi="Palatino Linotype" w:eastAsia="Arial" w:cs="Arial"/>
          <w:i/>
          <w:spacing w:val="1"/>
          <w:szCs w:val="22"/>
        </w:rPr>
        <w:t>pa</w:t>
      </w:r>
      <w:r w:rsidRPr="004857FD">
        <w:rPr>
          <w:rFonts w:ascii="Palatino Linotype" w:hAnsi="Palatino Linotype" w:eastAsia="Arial" w:cs="Arial"/>
          <w:i/>
          <w:szCs w:val="22"/>
        </w:rPr>
        <w:t>r</w:t>
      </w:r>
      <w:r w:rsidRPr="004857FD">
        <w:rPr>
          <w:rFonts w:ascii="Palatino Linotype" w:hAnsi="Palatino Linotype" w:eastAsia="Arial" w:cs="Arial"/>
          <w:i/>
          <w:spacing w:val="-2"/>
          <w:szCs w:val="22"/>
        </w:rPr>
        <w:t>e</w:t>
      </w:r>
      <w:r w:rsidRPr="004857FD">
        <w:rPr>
          <w:rFonts w:ascii="Palatino Linotype" w:hAnsi="Palatino Linotype" w:eastAsia="Arial" w:cs="Arial"/>
          <w:i/>
          <w:spacing w:val="1"/>
          <w:szCs w:val="22"/>
        </w:rPr>
        <w:t>n</w:t>
      </w:r>
      <w:r w:rsidRPr="004857FD">
        <w:rPr>
          <w:rFonts w:ascii="Palatino Linotype" w:hAnsi="Palatino Linotype" w:eastAsia="Arial" w:cs="Arial"/>
          <w:i/>
          <w:szCs w:val="22"/>
        </w:rPr>
        <w:t>cia y Acc</w:t>
      </w:r>
      <w:r w:rsidRPr="004857FD">
        <w:rPr>
          <w:rFonts w:ascii="Palatino Linotype" w:hAnsi="Palatino Linotype" w:eastAsia="Arial" w:cs="Arial"/>
          <w:i/>
          <w:spacing w:val="1"/>
          <w:szCs w:val="22"/>
        </w:rPr>
        <w:t>e</w:t>
      </w:r>
      <w:r w:rsidRPr="004857FD">
        <w:rPr>
          <w:rFonts w:ascii="Palatino Linotype" w:hAnsi="Palatino Linotype" w:eastAsia="Arial" w:cs="Arial"/>
          <w:i/>
          <w:szCs w:val="22"/>
        </w:rPr>
        <w:t>so a la I</w:t>
      </w:r>
      <w:r w:rsidRPr="004857FD">
        <w:rPr>
          <w:rFonts w:ascii="Palatino Linotype" w:hAnsi="Palatino Linotype" w:eastAsia="Arial" w:cs="Arial"/>
          <w:i/>
          <w:spacing w:val="-1"/>
          <w:szCs w:val="22"/>
        </w:rPr>
        <w:t>n</w:t>
      </w:r>
      <w:r w:rsidRPr="004857FD">
        <w:rPr>
          <w:rFonts w:ascii="Palatino Linotype" w:hAnsi="Palatino Linotype" w:eastAsia="Arial" w:cs="Arial"/>
          <w:i/>
          <w:szCs w:val="22"/>
        </w:rPr>
        <w:t>f</w:t>
      </w:r>
      <w:r w:rsidRPr="004857FD">
        <w:rPr>
          <w:rFonts w:ascii="Palatino Linotype" w:hAnsi="Palatino Linotype" w:eastAsia="Arial" w:cs="Arial"/>
          <w:i/>
          <w:spacing w:val="1"/>
          <w:szCs w:val="22"/>
        </w:rPr>
        <w:t>o</w:t>
      </w:r>
      <w:r w:rsidRPr="004857FD">
        <w:rPr>
          <w:rFonts w:ascii="Palatino Linotype" w:hAnsi="Palatino Linotype" w:eastAsia="Arial" w:cs="Arial"/>
          <w:i/>
          <w:spacing w:val="-3"/>
          <w:szCs w:val="22"/>
        </w:rPr>
        <w:t>r</w:t>
      </w:r>
      <w:r w:rsidRPr="004857FD">
        <w:rPr>
          <w:rFonts w:ascii="Palatino Linotype" w:hAnsi="Palatino Linotype" w:eastAsia="Arial" w:cs="Arial"/>
          <w:i/>
          <w:spacing w:val="1"/>
          <w:szCs w:val="22"/>
        </w:rPr>
        <w:t>ma</w:t>
      </w:r>
      <w:r w:rsidRPr="004857FD">
        <w:rPr>
          <w:rFonts w:ascii="Palatino Linotype" w:hAnsi="Palatino Linotype" w:eastAsia="Arial" w:cs="Arial"/>
          <w:i/>
          <w:szCs w:val="22"/>
        </w:rPr>
        <w:t>ci</w:t>
      </w:r>
      <w:r w:rsidRPr="004857FD">
        <w:rPr>
          <w:rFonts w:ascii="Palatino Linotype" w:hAnsi="Palatino Linotype" w:eastAsia="Arial" w:cs="Arial"/>
          <w:i/>
          <w:spacing w:val="-2"/>
          <w:szCs w:val="22"/>
        </w:rPr>
        <w:t>ó</w:t>
      </w:r>
      <w:r w:rsidRPr="004857FD">
        <w:rPr>
          <w:rFonts w:ascii="Palatino Linotype" w:hAnsi="Palatino Linotype" w:eastAsia="Arial" w:cs="Arial"/>
          <w:i/>
          <w:szCs w:val="22"/>
        </w:rPr>
        <w:t xml:space="preserve">n </w:t>
      </w:r>
      <w:r w:rsidRPr="004857FD">
        <w:rPr>
          <w:rFonts w:ascii="Palatino Linotype" w:hAnsi="Palatino Linotype" w:eastAsia="Arial" w:cs="Arial"/>
          <w:i/>
          <w:spacing w:val="-2"/>
          <w:szCs w:val="22"/>
        </w:rPr>
        <w:t>P</w:t>
      </w:r>
      <w:r w:rsidRPr="004857FD">
        <w:rPr>
          <w:rFonts w:ascii="Palatino Linotype" w:hAnsi="Palatino Linotype" w:eastAsia="Arial" w:cs="Arial"/>
          <w:i/>
          <w:spacing w:val="1"/>
          <w:szCs w:val="22"/>
        </w:rPr>
        <w:t>úb</w:t>
      </w:r>
      <w:r w:rsidRPr="004857FD">
        <w:rPr>
          <w:rFonts w:ascii="Palatino Linotype" w:hAnsi="Palatino Linotype" w:eastAsia="Arial" w:cs="Arial"/>
          <w:i/>
          <w:szCs w:val="22"/>
        </w:rPr>
        <w:t>l</w:t>
      </w:r>
      <w:r w:rsidRPr="004857FD">
        <w:rPr>
          <w:rFonts w:ascii="Palatino Linotype" w:hAnsi="Palatino Linotype" w:eastAsia="Arial" w:cs="Arial"/>
          <w:i/>
          <w:spacing w:val="-1"/>
          <w:szCs w:val="22"/>
        </w:rPr>
        <w:t>i</w:t>
      </w:r>
      <w:r w:rsidRPr="004857FD">
        <w:rPr>
          <w:rFonts w:ascii="Palatino Linotype" w:hAnsi="Palatino Linotype" w:eastAsia="Arial" w:cs="Arial"/>
          <w:i/>
          <w:szCs w:val="22"/>
        </w:rPr>
        <w:t xml:space="preserve">ca y </w:t>
      </w:r>
      <w:r w:rsidRPr="004857FD">
        <w:rPr>
          <w:rFonts w:ascii="Palatino Linotype" w:hAnsi="Palatino Linotype" w:eastAsia="Arial" w:cs="Arial"/>
          <w:i/>
          <w:spacing w:val="8"/>
          <w:szCs w:val="22"/>
        </w:rPr>
        <w:t xml:space="preserve">130, párrafo cuarto, </w:t>
      </w:r>
      <w:r w:rsidRPr="004857FD">
        <w:rPr>
          <w:rFonts w:ascii="Palatino Linotype" w:hAnsi="Palatino Linotype" w:eastAsia="Arial" w:cs="Arial"/>
          <w:i/>
          <w:spacing w:val="1"/>
          <w:szCs w:val="22"/>
        </w:rPr>
        <w:t>d</w:t>
      </w:r>
      <w:r w:rsidRPr="004857FD">
        <w:rPr>
          <w:rFonts w:ascii="Palatino Linotype" w:hAnsi="Palatino Linotype" w:eastAsia="Arial" w:cs="Arial"/>
          <w:i/>
          <w:szCs w:val="22"/>
        </w:rPr>
        <w:t xml:space="preserve">e la </w:t>
      </w:r>
      <w:r w:rsidRPr="004857FD">
        <w:rPr>
          <w:rFonts w:ascii="Palatino Linotype" w:hAnsi="Palatino Linotype" w:eastAsia="Arial" w:cs="Arial"/>
          <w:i/>
          <w:spacing w:val="-1"/>
          <w:szCs w:val="22"/>
        </w:rPr>
        <w:t>L</w:t>
      </w:r>
      <w:r w:rsidRPr="004857FD">
        <w:rPr>
          <w:rFonts w:ascii="Palatino Linotype" w:hAnsi="Palatino Linotype" w:eastAsia="Arial" w:cs="Arial"/>
          <w:i/>
          <w:spacing w:val="1"/>
          <w:szCs w:val="22"/>
        </w:rPr>
        <w:t>e</w:t>
      </w:r>
      <w:r w:rsidRPr="004857FD">
        <w:rPr>
          <w:rFonts w:ascii="Palatino Linotype" w:hAnsi="Palatino Linotype" w:eastAsia="Arial" w:cs="Arial"/>
          <w:i/>
          <w:szCs w:val="22"/>
        </w:rPr>
        <w:t>y Fe</w:t>
      </w:r>
      <w:r w:rsidRPr="004857FD">
        <w:rPr>
          <w:rFonts w:ascii="Palatino Linotype" w:hAnsi="Palatino Linotype" w:eastAsia="Arial" w:cs="Arial"/>
          <w:i/>
          <w:spacing w:val="1"/>
          <w:szCs w:val="22"/>
        </w:rPr>
        <w:t>de</w:t>
      </w:r>
      <w:r w:rsidRPr="004857FD">
        <w:rPr>
          <w:rFonts w:ascii="Palatino Linotype" w:hAnsi="Palatino Linotype" w:eastAsia="Arial" w:cs="Arial"/>
          <w:i/>
          <w:szCs w:val="22"/>
        </w:rPr>
        <w:t xml:space="preserve">ral </w:t>
      </w:r>
      <w:r w:rsidRPr="004857FD">
        <w:rPr>
          <w:rFonts w:ascii="Palatino Linotype" w:hAnsi="Palatino Linotype" w:eastAsia="Arial" w:cs="Arial"/>
          <w:i/>
          <w:spacing w:val="-1"/>
          <w:szCs w:val="22"/>
        </w:rPr>
        <w:t>d</w:t>
      </w:r>
      <w:r w:rsidRPr="004857FD">
        <w:rPr>
          <w:rFonts w:ascii="Palatino Linotype" w:hAnsi="Palatino Linotype" w:eastAsia="Arial" w:cs="Arial"/>
          <w:i/>
          <w:szCs w:val="22"/>
        </w:rPr>
        <w:t xml:space="preserve">e </w:t>
      </w:r>
      <w:r w:rsidRPr="004857FD">
        <w:rPr>
          <w:rFonts w:ascii="Palatino Linotype" w:hAnsi="Palatino Linotype" w:eastAsia="Arial" w:cs="Arial"/>
          <w:i/>
          <w:spacing w:val="2"/>
          <w:szCs w:val="22"/>
        </w:rPr>
        <w:t>T</w:t>
      </w:r>
      <w:r w:rsidRPr="004857FD">
        <w:rPr>
          <w:rFonts w:ascii="Palatino Linotype" w:hAnsi="Palatino Linotype" w:eastAsia="Arial" w:cs="Arial"/>
          <w:i/>
          <w:szCs w:val="22"/>
        </w:rPr>
        <w:t>r</w:t>
      </w:r>
      <w:r w:rsidRPr="004857FD">
        <w:rPr>
          <w:rFonts w:ascii="Palatino Linotype" w:hAnsi="Palatino Linotype" w:eastAsia="Arial" w:cs="Arial"/>
          <w:i/>
          <w:spacing w:val="-2"/>
          <w:szCs w:val="22"/>
        </w:rPr>
        <w:t>a</w:t>
      </w:r>
      <w:r w:rsidRPr="004857FD">
        <w:rPr>
          <w:rFonts w:ascii="Palatino Linotype" w:hAnsi="Palatino Linotype" w:eastAsia="Arial" w:cs="Arial"/>
          <w:i/>
          <w:spacing w:val="1"/>
          <w:szCs w:val="22"/>
        </w:rPr>
        <w:t>n</w:t>
      </w:r>
      <w:r w:rsidRPr="004857FD">
        <w:rPr>
          <w:rFonts w:ascii="Palatino Linotype" w:hAnsi="Palatino Linotype" w:eastAsia="Arial" w:cs="Arial"/>
          <w:i/>
          <w:szCs w:val="22"/>
        </w:rPr>
        <w:t>s</w:t>
      </w:r>
      <w:r w:rsidRPr="004857FD">
        <w:rPr>
          <w:rFonts w:ascii="Palatino Linotype" w:hAnsi="Palatino Linotype" w:eastAsia="Arial" w:cs="Arial"/>
          <w:i/>
          <w:spacing w:val="1"/>
          <w:szCs w:val="22"/>
        </w:rPr>
        <w:t>pa</w:t>
      </w:r>
      <w:r w:rsidRPr="004857FD">
        <w:rPr>
          <w:rFonts w:ascii="Palatino Linotype" w:hAnsi="Palatino Linotype" w:eastAsia="Arial" w:cs="Arial"/>
          <w:i/>
          <w:szCs w:val="22"/>
        </w:rPr>
        <w:t>r</w:t>
      </w:r>
      <w:r w:rsidRPr="004857FD">
        <w:rPr>
          <w:rFonts w:ascii="Palatino Linotype" w:hAnsi="Palatino Linotype" w:eastAsia="Arial" w:cs="Arial"/>
          <w:i/>
          <w:spacing w:val="-2"/>
          <w:szCs w:val="22"/>
        </w:rPr>
        <w:t>e</w:t>
      </w:r>
      <w:r w:rsidRPr="004857FD">
        <w:rPr>
          <w:rFonts w:ascii="Palatino Linotype" w:hAnsi="Palatino Linotype" w:eastAsia="Arial" w:cs="Arial"/>
          <w:i/>
          <w:spacing w:val="1"/>
          <w:szCs w:val="22"/>
        </w:rPr>
        <w:t>n</w:t>
      </w:r>
      <w:r w:rsidRPr="004857FD">
        <w:rPr>
          <w:rFonts w:ascii="Palatino Linotype" w:hAnsi="Palatino Linotype" w:eastAsia="Arial" w:cs="Arial"/>
          <w:i/>
          <w:szCs w:val="22"/>
        </w:rPr>
        <w:t>cia y Acc</w:t>
      </w:r>
      <w:r w:rsidRPr="004857FD">
        <w:rPr>
          <w:rFonts w:ascii="Palatino Linotype" w:hAnsi="Palatino Linotype" w:eastAsia="Arial" w:cs="Arial"/>
          <w:i/>
          <w:spacing w:val="1"/>
          <w:szCs w:val="22"/>
        </w:rPr>
        <w:t>e</w:t>
      </w:r>
      <w:r w:rsidRPr="004857FD">
        <w:rPr>
          <w:rFonts w:ascii="Palatino Linotype" w:hAnsi="Palatino Linotype" w:eastAsia="Arial" w:cs="Arial"/>
          <w:i/>
          <w:szCs w:val="22"/>
        </w:rPr>
        <w:t>so a la I</w:t>
      </w:r>
      <w:r w:rsidRPr="004857FD">
        <w:rPr>
          <w:rFonts w:ascii="Palatino Linotype" w:hAnsi="Palatino Linotype" w:eastAsia="Arial" w:cs="Arial"/>
          <w:i/>
          <w:spacing w:val="-1"/>
          <w:szCs w:val="22"/>
        </w:rPr>
        <w:t>n</w:t>
      </w:r>
      <w:r w:rsidRPr="004857FD">
        <w:rPr>
          <w:rFonts w:ascii="Palatino Linotype" w:hAnsi="Palatino Linotype" w:eastAsia="Arial" w:cs="Arial"/>
          <w:i/>
          <w:szCs w:val="22"/>
        </w:rPr>
        <w:t>f</w:t>
      </w:r>
      <w:r w:rsidRPr="004857FD">
        <w:rPr>
          <w:rFonts w:ascii="Palatino Linotype" w:hAnsi="Palatino Linotype" w:eastAsia="Arial" w:cs="Arial"/>
          <w:i/>
          <w:spacing w:val="1"/>
          <w:szCs w:val="22"/>
        </w:rPr>
        <w:t>o</w:t>
      </w:r>
      <w:r w:rsidRPr="004857FD">
        <w:rPr>
          <w:rFonts w:ascii="Palatino Linotype" w:hAnsi="Palatino Linotype" w:eastAsia="Arial" w:cs="Arial"/>
          <w:i/>
          <w:spacing w:val="-3"/>
          <w:szCs w:val="22"/>
        </w:rPr>
        <w:t>r</w:t>
      </w:r>
      <w:r w:rsidRPr="004857FD">
        <w:rPr>
          <w:rFonts w:ascii="Palatino Linotype" w:hAnsi="Palatino Linotype" w:eastAsia="Arial" w:cs="Arial"/>
          <w:i/>
          <w:spacing w:val="1"/>
          <w:szCs w:val="22"/>
        </w:rPr>
        <w:t>ma</w:t>
      </w:r>
      <w:r w:rsidRPr="004857FD">
        <w:rPr>
          <w:rFonts w:ascii="Palatino Linotype" w:hAnsi="Palatino Linotype" w:eastAsia="Arial" w:cs="Arial"/>
          <w:i/>
          <w:szCs w:val="22"/>
        </w:rPr>
        <w:t>ci</w:t>
      </w:r>
      <w:r w:rsidRPr="004857FD">
        <w:rPr>
          <w:rFonts w:ascii="Palatino Linotype" w:hAnsi="Palatino Linotype" w:eastAsia="Arial" w:cs="Arial"/>
          <w:i/>
          <w:spacing w:val="-2"/>
          <w:szCs w:val="22"/>
        </w:rPr>
        <w:t>ó</w:t>
      </w:r>
      <w:r w:rsidRPr="004857FD">
        <w:rPr>
          <w:rFonts w:ascii="Palatino Linotype" w:hAnsi="Palatino Linotype" w:eastAsia="Arial" w:cs="Arial"/>
          <w:i/>
          <w:szCs w:val="22"/>
        </w:rPr>
        <w:t xml:space="preserve">n </w:t>
      </w:r>
      <w:r w:rsidRPr="004857FD">
        <w:rPr>
          <w:rFonts w:ascii="Palatino Linotype" w:hAnsi="Palatino Linotype" w:eastAsia="Arial" w:cs="Arial"/>
          <w:i/>
          <w:spacing w:val="-2"/>
          <w:szCs w:val="22"/>
        </w:rPr>
        <w:t>P</w:t>
      </w:r>
      <w:r w:rsidRPr="004857FD">
        <w:rPr>
          <w:rFonts w:ascii="Palatino Linotype" w:hAnsi="Palatino Linotype" w:eastAsia="Arial" w:cs="Arial"/>
          <w:i/>
          <w:spacing w:val="1"/>
          <w:szCs w:val="22"/>
        </w:rPr>
        <w:t>úb</w:t>
      </w:r>
      <w:r w:rsidRPr="004857FD">
        <w:rPr>
          <w:rFonts w:ascii="Palatino Linotype" w:hAnsi="Palatino Linotype" w:eastAsia="Arial" w:cs="Arial"/>
          <w:i/>
          <w:szCs w:val="22"/>
        </w:rPr>
        <w:t>l</w:t>
      </w:r>
      <w:r w:rsidRPr="004857FD">
        <w:rPr>
          <w:rFonts w:ascii="Palatino Linotype" w:hAnsi="Palatino Linotype" w:eastAsia="Arial" w:cs="Arial"/>
          <w:i/>
          <w:spacing w:val="-1"/>
          <w:szCs w:val="22"/>
        </w:rPr>
        <w:t>i</w:t>
      </w:r>
      <w:r w:rsidRPr="004857FD">
        <w:rPr>
          <w:rFonts w:ascii="Palatino Linotype" w:hAnsi="Palatino Linotype" w:eastAsia="Arial" w:cs="Arial"/>
          <w:i/>
          <w:szCs w:val="22"/>
        </w:rPr>
        <w:t xml:space="preserve">ca, </w:t>
      </w:r>
      <w:r w:rsidRPr="004857FD">
        <w:rPr>
          <w:rFonts w:ascii="Palatino Linotype" w:hAnsi="Palatino Linotype" w:eastAsia="Arial" w:cs="Arial"/>
          <w:i/>
          <w:spacing w:val="-1"/>
          <w:szCs w:val="22"/>
        </w:rPr>
        <w:t>señalan q</w:t>
      </w:r>
      <w:r w:rsidRPr="004857FD">
        <w:rPr>
          <w:rFonts w:ascii="Palatino Linotype" w:hAnsi="Palatino Linotype" w:eastAsia="Arial" w:cs="Arial"/>
          <w:i/>
          <w:spacing w:val="1"/>
          <w:szCs w:val="22"/>
        </w:rPr>
        <w:t>u</w:t>
      </w:r>
      <w:r w:rsidRPr="004857FD">
        <w:rPr>
          <w:rFonts w:ascii="Palatino Linotype" w:hAnsi="Palatino Linotype" w:eastAsia="Arial" w:cs="Arial"/>
          <w:i/>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4857FD">
        <w:rPr>
          <w:rFonts w:ascii="Palatino Linotype" w:hAnsi="Palatino Linotype" w:eastAsia="Arial" w:cs="Arial"/>
          <w:i/>
          <w:spacing w:val="-1"/>
          <w:szCs w:val="22"/>
        </w:rPr>
        <w:t xml:space="preserve"> sin necesidad de</w:t>
      </w:r>
      <w:r w:rsidRPr="004857FD">
        <w:rPr>
          <w:rFonts w:ascii="Palatino Linotype" w:hAnsi="Palatino Linotype" w:eastAsia="Arial" w:cs="Arial"/>
          <w:i/>
          <w:spacing w:val="1"/>
          <w:szCs w:val="22"/>
        </w:rPr>
        <w:t xml:space="preserve"> e</w:t>
      </w:r>
      <w:r w:rsidRPr="004857FD">
        <w:rPr>
          <w:rFonts w:ascii="Palatino Linotype" w:hAnsi="Palatino Linotype" w:eastAsia="Arial" w:cs="Arial"/>
          <w:i/>
          <w:szCs w:val="22"/>
        </w:rPr>
        <w:t>la</w:t>
      </w:r>
      <w:r w:rsidRPr="004857FD">
        <w:rPr>
          <w:rFonts w:ascii="Palatino Linotype" w:hAnsi="Palatino Linotype" w:eastAsia="Arial" w:cs="Arial"/>
          <w:i/>
          <w:spacing w:val="1"/>
          <w:szCs w:val="22"/>
        </w:rPr>
        <w:t>bo</w:t>
      </w:r>
      <w:r w:rsidRPr="004857FD">
        <w:rPr>
          <w:rFonts w:ascii="Palatino Linotype" w:hAnsi="Palatino Linotype" w:eastAsia="Arial" w:cs="Arial"/>
          <w:i/>
          <w:szCs w:val="22"/>
        </w:rPr>
        <w:t xml:space="preserve">rar </w:t>
      </w:r>
      <w:r w:rsidRPr="004857FD">
        <w:rPr>
          <w:rFonts w:ascii="Palatino Linotype" w:hAnsi="Palatino Linotype" w:eastAsia="Arial" w:cs="Arial"/>
          <w:i/>
          <w:spacing w:val="1"/>
          <w:szCs w:val="22"/>
        </w:rPr>
        <w:t>do</w:t>
      </w:r>
      <w:r w:rsidRPr="004857FD">
        <w:rPr>
          <w:rFonts w:ascii="Palatino Linotype" w:hAnsi="Palatino Linotype" w:eastAsia="Arial" w:cs="Arial"/>
          <w:i/>
          <w:spacing w:val="-2"/>
          <w:szCs w:val="22"/>
        </w:rPr>
        <w:t>c</w:t>
      </w:r>
      <w:r w:rsidRPr="004857FD">
        <w:rPr>
          <w:rFonts w:ascii="Palatino Linotype" w:hAnsi="Palatino Linotype" w:eastAsia="Arial" w:cs="Arial"/>
          <w:i/>
          <w:spacing w:val="1"/>
          <w:szCs w:val="22"/>
        </w:rPr>
        <w:t>u</w:t>
      </w:r>
      <w:r w:rsidRPr="004857FD">
        <w:rPr>
          <w:rFonts w:ascii="Palatino Linotype" w:hAnsi="Palatino Linotype" w:eastAsia="Arial" w:cs="Arial"/>
          <w:i/>
          <w:spacing w:val="-1"/>
          <w:szCs w:val="22"/>
        </w:rPr>
        <w:t>m</w:t>
      </w:r>
      <w:r w:rsidRPr="004857FD">
        <w:rPr>
          <w:rFonts w:ascii="Palatino Linotype" w:hAnsi="Palatino Linotype" w:eastAsia="Arial" w:cs="Arial"/>
          <w:i/>
          <w:spacing w:val="1"/>
          <w:szCs w:val="22"/>
        </w:rPr>
        <w:t>en</w:t>
      </w:r>
      <w:r w:rsidRPr="004857FD">
        <w:rPr>
          <w:rFonts w:ascii="Palatino Linotype" w:hAnsi="Palatino Linotype" w:eastAsia="Arial" w:cs="Arial"/>
          <w:i/>
          <w:spacing w:val="-2"/>
          <w:szCs w:val="22"/>
        </w:rPr>
        <w:t>t</w:t>
      </w:r>
      <w:r w:rsidRPr="004857FD">
        <w:rPr>
          <w:rFonts w:ascii="Palatino Linotype" w:hAnsi="Palatino Linotype" w:eastAsia="Arial" w:cs="Arial"/>
          <w:i/>
          <w:spacing w:val="1"/>
          <w:szCs w:val="22"/>
        </w:rPr>
        <w:t>o</w:t>
      </w:r>
      <w:r w:rsidRPr="004857FD">
        <w:rPr>
          <w:rFonts w:ascii="Palatino Linotype" w:hAnsi="Palatino Linotype" w:eastAsia="Arial" w:cs="Arial"/>
          <w:i/>
          <w:szCs w:val="22"/>
        </w:rPr>
        <w:t xml:space="preserve">s </w:t>
      </w:r>
      <w:r w:rsidRPr="004857FD">
        <w:rPr>
          <w:rFonts w:ascii="Palatino Linotype" w:hAnsi="Palatino Linotype" w:eastAsia="Arial" w:cs="Arial"/>
          <w:i/>
          <w:spacing w:val="1"/>
          <w:szCs w:val="22"/>
        </w:rPr>
        <w:t>a</w:t>
      </w:r>
      <w:r w:rsidRPr="004857FD">
        <w:rPr>
          <w:rFonts w:ascii="Palatino Linotype" w:hAnsi="Palatino Linotype" w:eastAsia="Arial" w:cs="Arial"/>
          <w:i/>
          <w:szCs w:val="22"/>
        </w:rPr>
        <w:t>d</w:t>
      </w:r>
      <w:r w:rsidRPr="004857FD">
        <w:rPr>
          <w:rFonts w:ascii="Palatino Linotype" w:hAnsi="Palatino Linotype" w:eastAsia="Arial" w:cs="Arial"/>
          <w:i/>
          <w:spacing w:val="1"/>
          <w:szCs w:val="22"/>
        </w:rPr>
        <w:t xml:space="preserve"> ho</w:t>
      </w:r>
      <w:r w:rsidRPr="004857FD">
        <w:rPr>
          <w:rFonts w:ascii="Palatino Linotype" w:hAnsi="Palatino Linotype" w:eastAsia="Arial" w:cs="Arial"/>
          <w:i/>
          <w:szCs w:val="22"/>
        </w:rPr>
        <w:t xml:space="preserve">c </w:t>
      </w:r>
      <w:r w:rsidRPr="004857FD">
        <w:rPr>
          <w:rFonts w:ascii="Palatino Linotype" w:hAnsi="Palatino Linotype" w:eastAsia="Arial" w:cs="Arial"/>
          <w:i/>
          <w:spacing w:val="1"/>
          <w:szCs w:val="22"/>
        </w:rPr>
        <w:t>pa</w:t>
      </w:r>
      <w:r w:rsidRPr="004857FD">
        <w:rPr>
          <w:rFonts w:ascii="Palatino Linotype" w:hAnsi="Palatino Linotype" w:eastAsia="Arial" w:cs="Arial"/>
          <w:i/>
          <w:szCs w:val="22"/>
        </w:rPr>
        <w:t xml:space="preserve">ra </w:t>
      </w:r>
      <w:r w:rsidRPr="004857FD">
        <w:rPr>
          <w:rFonts w:ascii="Palatino Linotype" w:hAnsi="Palatino Linotype" w:eastAsia="Arial" w:cs="Arial"/>
          <w:i/>
          <w:spacing w:val="1"/>
          <w:szCs w:val="22"/>
        </w:rPr>
        <w:t>a</w:t>
      </w:r>
      <w:r w:rsidRPr="004857FD">
        <w:rPr>
          <w:rFonts w:ascii="Palatino Linotype" w:hAnsi="Palatino Linotype" w:eastAsia="Arial" w:cs="Arial"/>
          <w:i/>
          <w:szCs w:val="22"/>
        </w:rPr>
        <w:t>t</w:t>
      </w:r>
      <w:r w:rsidRPr="004857FD">
        <w:rPr>
          <w:rFonts w:ascii="Palatino Linotype" w:hAnsi="Palatino Linotype" w:eastAsia="Arial" w:cs="Arial"/>
          <w:i/>
          <w:spacing w:val="-1"/>
          <w:szCs w:val="22"/>
        </w:rPr>
        <w:t>e</w:t>
      </w:r>
      <w:r w:rsidRPr="004857FD">
        <w:rPr>
          <w:rFonts w:ascii="Palatino Linotype" w:hAnsi="Palatino Linotype" w:eastAsia="Arial" w:cs="Arial"/>
          <w:i/>
          <w:spacing w:val="1"/>
          <w:szCs w:val="22"/>
        </w:rPr>
        <w:t>n</w:t>
      </w:r>
      <w:r w:rsidRPr="004857FD">
        <w:rPr>
          <w:rFonts w:ascii="Palatino Linotype" w:hAnsi="Palatino Linotype" w:eastAsia="Arial" w:cs="Arial"/>
          <w:i/>
          <w:spacing w:val="-1"/>
          <w:szCs w:val="22"/>
        </w:rPr>
        <w:t>d</w:t>
      </w:r>
      <w:r w:rsidRPr="004857FD">
        <w:rPr>
          <w:rFonts w:ascii="Palatino Linotype" w:hAnsi="Palatino Linotype" w:eastAsia="Arial" w:cs="Arial"/>
          <w:i/>
          <w:spacing w:val="1"/>
          <w:szCs w:val="22"/>
        </w:rPr>
        <w:t>e</w:t>
      </w:r>
      <w:r w:rsidRPr="004857FD">
        <w:rPr>
          <w:rFonts w:ascii="Palatino Linotype" w:hAnsi="Palatino Linotype" w:eastAsia="Arial" w:cs="Arial"/>
          <w:i/>
          <w:szCs w:val="22"/>
        </w:rPr>
        <w:t>r l</w:t>
      </w:r>
      <w:r w:rsidRPr="004857FD">
        <w:rPr>
          <w:rFonts w:ascii="Palatino Linotype" w:hAnsi="Palatino Linotype" w:eastAsia="Arial" w:cs="Arial"/>
          <w:i/>
          <w:spacing w:val="-2"/>
          <w:szCs w:val="22"/>
        </w:rPr>
        <w:t>a</w:t>
      </w:r>
      <w:r w:rsidRPr="004857FD">
        <w:rPr>
          <w:rFonts w:ascii="Palatino Linotype" w:hAnsi="Palatino Linotype" w:eastAsia="Arial" w:cs="Arial"/>
          <w:i/>
          <w:szCs w:val="22"/>
        </w:rPr>
        <w:t>s s</w:t>
      </w:r>
      <w:r w:rsidRPr="004857FD">
        <w:rPr>
          <w:rFonts w:ascii="Palatino Linotype" w:hAnsi="Palatino Linotype" w:eastAsia="Arial" w:cs="Arial"/>
          <w:i/>
          <w:spacing w:val="1"/>
          <w:szCs w:val="22"/>
        </w:rPr>
        <w:t>o</w:t>
      </w:r>
      <w:r w:rsidRPr="004857FD">
        <w:rPr>
          <w:rFonts w:ascii="Palatino Linotype" w:hAnsi="Palatino Linotype" w:eastAsia="Arial" w:cs="Arial"/>
          <w:i/>
          <w:szCs w:val="22"/>
        </w:rPr>
        <w:t>l</w:t>
      </w:r>
      <w:r w:rsidRPr="004857FD">
        <w:rPr>
          <w:rFonts w:ascii="Palatino Linotype" w:hAnsi="Palatino Linotype" w:eastAsia="Arial" w:cs="Arial"/>
          <w:i/>
          <w:spacing w:val="-1"/>
          <w:szCs w:val="22"/>
        </w:rPr>
        <w:t>i</w:t>
      </w:r>
      <w:r w:rsidRPr="004857FD">
        <w:rPr>
          <w:rFonts w:ascii="Palatino Linotype" w:hAnsi="Palatino Linotype" w:eastAsia="Arial" w:cs="Arial"/>
          <w:i/>
          <w:szCs w:val="22"/>
        </w:rPr>
        <w:t>cit</w:t>
      </w:r>
      <w:r w:rsidRPr="004857FD">
        <w:rPr>
          <w:rFonts w:ascii="Palatino Linotype" w:hAnsi="Palatino Linotype" w:eastAsia="Arial" w:cs="Arial"/>
          <w:i/>
          <w:spacing w:val="1"/>
          <w:szCs w:val="22"/>
        </w:rPr>
        <w:t>ude</w:t>
      </w:r>
      <w:r w:rsidRPr="004857FD">
        <w:rPr>
          <w:rFonts w:ascii="Palatino Linotype" w:hAnsi="Palatino Linotype" w:eastAsia="Arial" w:cs="Arial"/>
          <w:i/>
          <w:szCs w:val="22"/>
        </w:rPr>
        <w:t xml:space="preserve">s </w:t>
      </w:r>
      <w:r w:rsidRPr="004857FD">
        <w:rPr>
          <w:rFonts w:ascii="Palatino Linotype" w:hAnsi="Palatino Linotype" w:eastAsia="Arial" w:cs="Arial"/>
          <w:i/>
          <w:spacing w:val="-1"/>
          <w:szCs w:val="22"/>
        </w:rPr>
        <w:t>d</w:t>
      </w:r>
      <w:r w:rsidRPr="004857FD">
        <w:rPr>
          <w:rFonts w:ascii="Palatino Linotype" w:hAnsi="Palatino Linotype" w:eastAsia="Arial" w:cs="Arial"/>
          <w:i/>
          <w:szCs w:val="22"/>
        </w:rPr>
        <w:t>e i</w:t>
      </w:r>
      <w:r w:rsidRPr="004857FD">
        <w:rPr>
          <w:rFonts w:ascii="Palatino Linotype" w:hAnsi="Palatino Linotype" w:eastAsia="Arial" w:cs="Arial"/>
          <w:i/>
          <w:spacing w:val="-2"/>
          <w:szCs w:val="22"/>
        </w:rPr>
        <w:t>n</w:t>
      </w:r>
      <w:r w:rsidRPr="004857FD">
        <w:rPr>
          <w:rFonts w:ascii="Palatino Linotype" w:hAnsi="Palatino Linotype" w:eastAsia="Arial" w:cs="Arial"/>
          <w:i/>
          <w:szCs w:val="22"/>
        </w:rPr>
        <w:t>f</w:t>
      </w:r>
      <w:r w:rsidRPr="004857FD">
        <w:rPr>
          <w:rFonts w:ascii="Palatino Linotype" w:hAnsi="Palatino Linotype" w:eastAsia="Arial" w:cs="Arial"/>
          <w:i/>
          <w:spacing w:val="1"/>
          <w:szCs w:val="22"/>
        </w:rPr>
        <w:t>o</w:t>
      </w:r>
      <w:r w:rsidRPr="004857FD">
        <w:rPr>
          <w:rFonts w:ascii="Palatino Linotype" w:hAnsi="Palatino Linotype" w:eastAsia="Arial" w:cs="Arial"/>
          <w:i/>
          <w:szCs w:val="22"/>
        </w:rPr>
        <w:t>r</w:t>
      </w:r>
      <w:r w:rsidRPr="004857FD">
        <w:rPr>
          <w:rFonts w:ascii="Palatino Linotype" w:hAnsi="Palatino Linotype" w:eastAsia="Arial" w:cs="Arial"/>
          <w:i/>
          <w:spacing w:val="-1"/>
          <w:szCs w:val="22"/>
        </w:rPr>
        <w:t>m</w:t>
      </w:r>
      <w:r w:rsidRPr="004857FD">
        <w:rPr>
          <w:rFonts w:ascii="Palatino Linotype" w:hAnsi="Palatino Linotype" w:eastAsia="Arial" w:cs="Arial"/>
          <w:i/>
          <w:spacing w:val="1"/>
          <w:szCs w:val="22"/>
        </w:rPr>
        <w:t>a</w:t>
      </w:r>
      <w:r w:rsidRPr="004857FD">
        <w:rPr>
          <w:rFonts w:ascii="Palatino Linotype" w:hAnsi="Palatino Linotype" w:eastAsia="Arial" w:cs="Arial"/>
          <w:i/>
          <w:szCs w:val="22"/>
        </w:rPr>
        <w:t>ció</w:t>
      </w:r>
      <w:r w:rsidRPr="004857FD">
        <w:rPr>
          <w:rFonts w:ascii="Palatino Linotype" w:hAnsi="Palatino Linotype" w:eastAsia="Arial" w:cs="Arial"/>
          <w:i/>
          <w:spacing w:val="1"/>
          <w:szCs w:val="22"/>
        </w:rPr>
        <w:t>n</w:t>
      </w:r>
      <w:r w:rsidRPr="004857FD">
        <w:rPr>
          <w:rFonts w:ascii="Palatino Linotype" w:hAnsi="Palatino Linotype" w:eastAsia="Arial" w:cs="Arial"/>
          <w:i/>
          <w:szCs w:val="22"/>
        </w:rPr>
        <w:t>.</w:t>
      </w:r>
    </w:p>
    <w:p w:rsidRPr="004857FD" w:rsidR="00F2423D" w:rsidP="00F2423D" w:rsidRDefault="00F2423D" w14:paraId="6C28204E" w14:textId="77777777">
      <w:pPr>
        <w:spacing w:line="360" w:lineRule="auto"/>
        <w:jc w:val="both"/>
        <w:rPr>
          <w:rFonts w:ascii="Palatino Linotype" w:hAnsi="Palatino Linotype" w:eastAsia="Calibri" w:cs="Tahoma"/>
          <w:sz w:val="22"/>
          <w:szCs w:val="22"/>
          <w:lang w:eastAsia="es-ES_tradnl"/>
        </w:rPr>
      </w:pPr>
    </w:p>
    <w:p w:rsidRPr="004857FD" w:rsidR="00F2423D" w:rsidP="00F2423D" w:rsidRDefault="00F2423D" w14:paraId="5A6C36C3" w14:textId="456A5846">
      <w:pPr>
        <w:tabs>
          <w:tab w:val="left" w:pos="4962"/>
        </w:tabs>
        <w:spacing w:line="360" w:lineRule="auto"/>
        <w:jc w:val="both"/>
        <w:rPr>
          <w:rFonts w:ascii="Palatino Linotype" w:hAnsi="Palatino Linotype" w:cs="Tahoma"/>
          <w:sz w:val="22"/>
          <w:szCs w:val="22"/>
        </w:rPr>
      </w:pPr>
      <w:r w:rsidRPr="004857FD">
        <w:rPr>
          <w:rFonts w:ascii="Palatino Linotype" w:hAnsi="Palatino Linotype" w:cs="Tahoma"/>
          <w:sz w:val="22"/>
          <w:szCs w:val="22"/>
          <w:lang w:val="es-ES"/>
        </w:rPr>
        <w:t>Por lo que, se concluye que los sujetos obligados únicamente proporcionan los documentos que den cuenta de la información solicitada, como obren en sus archivos, sin tener que elaborarlos a las necesidades del Recurrente, razón por la cual el Sujeto Obligado no tiene la obligación de generar un documento para atender los requerimientos formulados por el Particular, así resulta procedente confirmar la respuesta proporcionada</w:t>
      </w:r>
      <w:r w:rsidRPr="004857FD" w:rsidR="00FD4963">
        <w:rPr>
          <w:rFonts w:ascii="Palatino Linotype" w:hAnsi="Palatino Linotype" w:cs="Tahoma"/>
          <w:sz w:val="22"/>
          <w:szCs w:val="22"/>
          <w:lang w:val="es-ES"/>
        </w:rPr>
        <w:t xml:space="preserve"> en el presente punto</w:t>
      </w:r>
      <w:r w:rsidRPr="004857FD">
        <w:rPr>
          <w:rFonts w:ascii="Palatino Linotype" w:hAnsi="Palatino Linotype" w:cs="Tahoma"/>
          <w:sz w:val="22"/>
          <w:szCs w:val="22"/>
          <w:lang w:val="es-ES"/>
        </w:rPr>
        <w:t>.</w:t>
      </w:r>
    </w:p>
    <w:p w:rsidRPr="004857FD" w:rsidR="00F2423D" w:rsidP="0097253C" w:rsidRDefault="00F2423D" w14:paraId="3B35E420" w14:textId="77777777">
      <w:pPr>
        <w:spacing w:line="360" w:lineRule="auto"/>
        <w:jc w:val="both"/>
        <w:rPr>
          <w:rFonts w:ascii="Palatino Linotype" w:hAnsi="Palatino Linotype" w:eastAsia="Calibri" w:cs="Tahoma"/>
          <w:iCs/>
          <w:sz w:val="22"/>
          <w:szCs w:val="22"/>
          <w:lang w:eastAsia="es-ES_tradnl"/>
        </w:rPr>
      </w:pPr>
    </w:p>
    <w:p w:rsidRPr="004857FD" w:rsidR="0052421B" w:rsidP="0052421B" w:rsidRDefault="0052421B" w14:paraId="2E5C1603" w14:textId="77777777">
      <w:pPr>
        <w:spacing w:line="360" w:lineRule="auto"/>
        <w:jc w:val="both"/>
        <w:rPr>
          <w:rFonts w:ascii="Palatino Linotype" w:hAnsi="Palatino Linotype" w:cs="Tahoma"/>
          <w:b/>
          <w:sz w:val="22"/>
          <w:szCs w:val="22"/>
          <w:lang w:val="es-ES"/>
        </w:rPr>
      </w:pPr>
      <w:r w:rsidRPr="004857FD">
        <w:rPr>
          <w:rFonts w:ascii="Palatino Linotype" w:hAnsi="Palatino Linotype" w:cs="Tahoma"/>
          <w:b/>
          <w:sz w:val="22"/>
          <w:szCs w:val="22"/>
          <w:lang w:val="es-ES"/>
        </w:rPr>
        <w:t>Versión Pública</w:t>
      </w:r>
    </w:p>
    <w:p w:rsidRPr="004857FD" w:rsidR="0052421B" w:rsidP="0052421B" w:rsidRDefault="0052421B" w14:paraId="1DC53713" w14:textId="77777777">
      <w:pPr>
        <w:spacing w:line="360" w:lineRule="auto"/>
        <w:jc w:val="both"/>
        <w:rPr>
          <w:rFonts w:ascii="Palatino Linotype" w:hAnsi="Palatino Linotype" w:cs="Tahoma"/>
          <w:b/>
          <w:sz w:val="22"/>
          <w:szCs w:val="22"/>
          <w:lang w:val="es-ES"/>
        </w:rPr>
      </w:pPr>
    </w:p>
    <w:p w:rsidRPr="004857FD" w:rsidR="0052421B" w:rsidP="0052421B" w:rsidRDefault="0052421B" w14:paraId="31DEA068" w14:textId="77777777">
      <w:pPr>
        <w:spacing w:line="360" w:lineRule="auto"/>
        <w:jc w:val="both"/>
        <w:rPr>
          <w:rFonts w:ascii="Palatino Linotype" w:hAnsi="Palatino Linotype" w:eastAsia="Calibri" w:cs="Tahoma"/>
          <w:sz w:val="22"/>
          <w:szCs w:val="22"/>
          <w:lang w:eastAsia="es-ES_tradnl"/>
        </w:rPr>
      </w:pPr>
      <w:r w:rsidRPr="004857FD">
        <w:rPr>
          <w:rFonts w:ascii="Palatino Linotype" w:hAnsi="Palatino Linotype" w:eastAsia="Calibri" w:cs="Tahoma"/>
          <w:sz w:val="22"/>
          <w:szCs w:val="22"/>
          <w:lang w:eastAsia="es-ES_tradnl"/>
        </w:rPr>
        <w:t xml:space="preserve">Toda vez que los documentos que solicita el Particular pueden contener datos susceptibles de ser clasificados, el Sujeto Obligado previo a la entrega al Recurrente, deberá llevar a cabo la revisión de los mismos y para la entrega en versión pública, deberá ser autorizada por el Comité de Transparencia, en donde se funde y motive la clasificación de la información eliminada, de conformidad con lo previsto en el artículo 49, fracciones II y VIII, 143, fracción I y 149 de la Ley de Transparencia y Acceso a la Información Pública del Estado de México y </w:t>
      </w:r>
      <w:r w:rsidRPr="004857FD">
        <w:rPr>
          <w:rFonts w:ascii="Palatino Linotype" w:hAnsi="Palatino Linotype" w:eastAsia="Calibri" w:cs="Tahoma"/>
          <w:sz w:val="22"/>
          <w:szCs w:val="22"/>
          <w:lang w:eastAsia="es-ES_tradnl"/>
        </w:rPr>
        <w:lastRenderedPageBreak/>
        <w:t>Municipios, en relación con lo establecido en los Lineamientos Generales en materia de Clasificación y Desclasificación de la Información, así como para Elaboración de Versiones Públicas.</w:t>
      </w:r>
    </w:p>
    <w:p w:rsidRPr="004857FD" w:rsidR="006A1CFF" w:rsidP="006D0CF8" w:rsidRDefault="006A1CFF" w14:paraId="44BC7AB7" w14:textId="77777777">
      <w:pPr>
        <w:tabs>
          <w:tab w:val="left" w:pos="4962"/>
        </w:tabs>
        <w:spacing w:line="360" w:lineRule="auto"/>
        <w:jc w:val="both"/>
        <w:rPr>
          <w:rFonts w:ascii="Palatino Linotype" w:hAnsi="Palatino Linotype" w:cs="Tahoma"/>
          <w:sz w:val="22"/>
          <w:szCs w:val="22"/>
          <w:lang w:val="es-ES"/>
        </w:rPr>
      </w:pPr>
    </w:p>
    <w:p w:rsidRPr="004857FD" w:rsidR="00803E3D" w:rsidP="00803E3D" w:rsidRDefault="00803E3D" w14:paraId="0DBC9C85" w14:textId="77777777">
      <w:pPr>
        <w:spacing w:line="360" w:lineRule="auto"/>
        <w:ind w:right="-93"/>
        <w:jc w:val="both"/>
        <w:rPr>
          <w:rFonts w:ascii="Palatino Linotype" w:hAnsi="Palatino Linotype" w:cs="Tahoma"/>
          <w:b/>
          <w:sz w:val="22"/>
          <w:szCs w:val="22"/>
        </w:rPr>
      </w:pPr>
      <w:r w:rsidRPr="004857FD">
        <w:rPr>
          <w:rFonts w:ascii="Palatino Linotype" w:hAnsi="Palatino Linotype" w:cs="Tahoma"/>
          <w:b/>
          <w:sz w:val="22"/>
          <w:szCs w:val="22"/>
        </w:rPr>
        <w:t xml:space="preserve">SEXTO. Decisión. </w:t>
      </w:r>
    </w:p>
    <w:p w:rsidRPr="004857FD" w:rsidR="00803E3D" w:rsidP="00803E3D" w:rsidRDefault="00803E3D" w14:paraId="17CD4C39" w14:textId="77777777">
      <w:pPr>
        <w:spacing w:line="360" w:lineRule="auto"/>
        <w:ind w:right="-93"/>
        <w:jc w:val="both"/>
        <w:rPr>
          <w:rFonts w:ascii="Palatino Linotype" w:hAnsi="Palatino Linotype" w:cs="Tahoma"/>
          <w:b/>
          <w:sz w:val="22"/>
          <w:szCs w:val="22"/>
        </w:rPr>
      </w:pPr>
    </w:p>
    <w:p w:rsidRPr="004857FD" w:rsidR="00FD4963" w:rsidP="00803E3D" w:rsidRDefault="00803E3D" w14:paraId="1E61EE15" w14:textId="2301DA4D">
      <w:pPr>
        <w:spacing w:line="360" w:lineRule="auto"/>
        <w:ind w:right="-93"/>
        <w:jc w:val="both"/>
        <w:rPr>
          <w:rFonts w:ascii="Palatino Linotype" w:hAnsi="Palatino Linotype" w:cs="Tahoma"/>
          <w:sz w:val="22"/>
          <w:szCs w:val="22"/>
        </w:rPr>
      </w:pPr>
      <w:r w:rsidRPr="004857FD">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4857FD" w:rsidR="00F47FE4">
        <w:rPr>
          <w:rFonts w:ascii="Palatino Linotype" w:hAnsi="Palatino Linotype" w:cs="Tahoma"/>
          <w:b/>
          <w:sz w:val="22"/>
          <w:szCs w:val="22"/>
        </w:rPr>
        <w:t>MODIFICAR</w:t>
      </w:r>
      <w:r w:rsidRPr="004857FD">
        <w:rPr>
          <w:rFonts w:ascii="Palatino Linotype" w:hAnsi="Palatino Linotype" w:cs="Tahoma"/>
          <w:sz w:val="22"/>
          <w:szCs w:val="22"/>
        </w:rPr>
        <w:t xml:space="preserve"> la respuesta otorgada por el Sujeto Obligado a la solicitud de información </w:t>
      </w:r>
      <w:r w:rsidRPr="004857FD" w:rsidR="00FD4963">
        <w:rPr>
          <w:rFonts w:ascii="Palatino Linotype" w:hAnsi="Palatino Linotype" w:cs="Tahoma"/>
          <w:b/>
          <w:bCs/>
          <w:sz w:val="22"/>
          <w:szCs w:val="22"/>
        </w:rPr>
        <w:t>00208</w:t>
      </w:r>
      <w:r w:rsidRPr="004857FD" w:rsidR="00F3539E">
        <w:rPr>
          <w:rFonts w:ascii="Palatino Linotype" w:hAnsi="Palatino Linotype" w:cs="Tahoma"/>
          <w:b/>
          <w:bCs/>
          <w:sz w:val="22"/>
          <w:szCs w:val="22"/>
        </w:rPr>
        <w:t>/CODHEM/IP/2022</w:t>
      </w:r>
      <w:r w:rsidRPr="004857FD">
        <w:rPr>
          <w:rFonts w:ascii="Palatino Linotype" w:hAnsi="Palatino Linotype" w:cs="Tahoma"/>
          <w:sz w:val="22"/>
          <w:szCs w:val="22"/>
        </w:rPr>
        <w:t xml:space="preserve">, por resultar </w:t>
      </w:r>
      <w:r w:rsidRPr="004857FD" w:rsidR="00837A48">
        <w:rPr>
          <w:rFonts w:ascii="Palatino Linotype" w:hAnsi="Palatino Linotype" w:cs="Tahoma"/>
          <w:sz w:val="22"/>
          <w:szCs w:val="22"/>
        </w:rPr>
        <w:t xml:space="preserve">parcialmente </w:t>
      </w:r>
      <w:r w:rsidRPr="004857FD">
        <w:rPr>
          <w:rFonts w:ascii="Palatino Linotype" w:hAnsi="Palatino Linotype" w:cs="Tahoma"/>
          <w:sz w:val="22"/>
          <w:szCs w:val="22"/>
        </w:rPr>
        <w:t xml:space="preserve">fundadas las razones o motivos de inconformidad hechos valer por el Recurrente, en el Recurso de Revisión </w:t>
      </w:r>
      <w:r w:rsidRPr="004857FD" w:rsidR="00F3539E">
        <w:rPr>
          <w:rFonts w:ascii="Palatino Linotype" w:hAnsi="Palatino Linotype" w:cs="Tahoma"/>
          <w:b/>
          <w:sz w:val="22"/>
          <w:szCs w:val="22"/>
        </w:rPr>
        <w:t>15</w:t>
      </w:r>
      <w:r w:rsidRPr="004857FD" w:rsidR="00FD4963">
        <w:rPr>
          <w:rFonts w:ascii="Palatino Linotype" w:hAnsi="Palatino Linotype" w:cs="Tahoma"/>
          <w:b/>
          <w:sz w:val="22"/>
          <w:szCs w:val="22"/>
        </w:rPr>
        <w:t>7</w:t>
      </w:r>
      <w:r w:rsidRPr="004857FD" w:rsidR="00F3539E">
        <w:rPr>
          <w:rFonts w:ascii="Palatino Linotype" w:hAnsi="Palatino Linotype" w:cs="Tahoma"/>
          <w:b/>
          <w:sz w:val="22"/>
          <w:szCs w:val="22"/>
        </w:rPr>
        <w:t>01</w:t>
      </w:r>
      <w:r w:rsidRPr="004857FD">
        <w:rPr>
          <w:rFonts w:ascii="Palatino Linotype" w:hAnsi="Palatino Linotype" w:cs="Tahoma"/>
          <w:b/>
          <w:sz w:val="22"/>
          <w:szCs w:val="22"/>
        </w:rPr>
        <w:t>/INFOEM/IP/RR/2022</w:t>
      </w:r>
      <w:r w:rsidRPr="004857FD">
        <w:rPr>
          <w:rFonts w:ascii="Palatino Linotype" w:hAnsi="Palatino Linotype" w:cs="Tahoma"/>
          <w:sz w:val="22"/>
          <w:szCs w:val="22"/>
        </w:rPr>
        <w:t xml:space="preserve">, en consecuencia procede </w:t>
      </w:r>
      <w:r w:rsidRPr="004857FD">
        <w:rPr>
          <w:rFonts w:ascii="Palatino Linotype" w:hAnsi="Palatino Linotype" w:cs="Tahoma"/>
          <w:b/>
          <w:sz w:val="22"/>
          <w:szCs w:val="22"/>
        </w:rPr>
        <w:t>ORDENAR</w:t>
      </w:r>
      <w:r w:rsidRPr="004857FD">
        <w:rPr>
          <w:rFonts w:ascii="Palatino Linotype" w:hAnsi="Palatino Linotype" w:cs="Tahoma"/>
          <w:sz w:val="22"/>
          <w:szCs w:val="22"/>
        </w:rPr>
        <w:t xml:space="preserve">, conceda en su caso en versión pública a través del Sistema de Acceso a la Información Mexiquense (SAIMEX), los </w:t>
      </w:r>
      <w:r w:rsidRPr="004857FD" w:rsidR="00FD4963">
        <w:rPr>
          <w:rFonts w:ascii="Palatino Linotype" w:hAnsi="Palatino Linotype" w:cs="Tahoma"/>
          <w:sz w:val="22"/>
          <w:szCs w:val="22"/>
        </w:rPr>
        <w:t xml:space="preserve">documentos donde </w:t>
      </w:r>
      <w:r w:rsidRPr="004857FD" w:rsidR="00FD4963">
        <w:rPr>
          <w:rFonts w:ascii="Palatino Linotype" w:hAnsi="Palatino Linotype" w:eastAsia="Calibri" w:cs="Tahoma"/>
          <w:iCs/>
          <w:sz w:val="22"/>
          <w:szCs w:val="22"/>
          <w:lang w:val="es-ES" w:eastAsia="es-ES_tradnl"/>
        </w:rPr>
        <w:t>conste el seguimiento a las recomendaciones realizadas por la Unidad de Ética y Prevención de la Corrupción.</w:t>
      </w:r>
    </w:p>
    <w:p w:rsidRPr="004857FD" w:rsidR="00803E3D" w:rsidP="00803E3D" w:rsidRDefault="00803E3D" w14:paraId="0E23D08F" w14:textId="77777777">
      <w:pPr>
        <w:spacing w:line="360" w:lineRule="auto"/>
        <w:ind w:right="-93"/>
        <w:jc w:val="both"/>
        <w:rPr>
          <w:rFonts w:ascii="Palatino Linotype" w:hAnsi="Palatino Linotype" w:eastAsia="Palatino Linotype" w:cs="Palatino Linotype"/>
          <w:sz w:val="22"/>
          <w:szCs w:val="22"/>
        </w:rPr>
      </w:pPr>
    </w:p>
    <w:p w:rsidRPr="004857FD" w:rsidR="00803E3D" w:rsidP="00803E3D" w:rsidRDefault="00803E3D" w14:paraId="0F04C44F" w14:textId="77777777">
      <w:pPr>
        <w:spacing w:line="360" w:lineRule="auto"/>
        <w:contextualSpacing/>
        <w:jc w:val="both"/>
        <w:rPr>
          <w:rFonts w:ascii="Palatino Linotype" w:hAnsi="Palatino Linotype" w:eastAsia="Calibri" w:cs="Tahoma"/>
          <w:b/>
          <w:bCs/>
          <w:iCs/>
          <w:sz w:val="22"/>
          <w:szCs w:val="22"/>
          <w:u w:val="single"/>
          <w:lang w:val="es-ES" w:eastAsia="es-ES_tradnl"/>
        </w:rPr>
      </w:pPr>
      <w:r w:rsidRPr="004857FD">
        <w:rPr>
          <w:rFonts w:ascii="Palatino Linotype" w:hAnsi="Palatino Linotype" w:eastAsia="Calibri" w:cs="Tahoma"/>
          <w:b/>
          <w:bCs/>
          <w:iCs/>
          <w:sz w:val="22"/>
          <w:szCs w:val="22"/>
          <w:u w:val="single"/>
          <w:lang w:val="es-ES" w:eastAsia="es-ES_tradnl"/>
        </w:rPr>
        <w:t>Términos de la Resolución para el Recurrente:</w:t>
      </w:r>
    </w:p>
    <w:p w:rsidRPr="004857FD" w:rsidR="00803E3D" w:rsidP="00803E3D" w:rsidRDefault="00803E3D" w14:paraId="44EBD3AE" w14:textId="77777777">
      <w:pPr>
        <w:spacing w:line="360" w:lineRule="auto"/>
        <w:jc w:val="both"/>
        <w:rPr>
          <w:rFonts w:ascii="Palatino Linotype" w:hAnsi="Palatino Linotype" w:eastAsia="Calibri" w:cs="Tahoma"/>
          <w:iCs/>
          <w:sz w:val="22"/>
          <w:szCs w:val="22"/>
          <w:lang w:eastAsia="es-ES_tradnl"/>
        </w:rPr>
      </w:pPr>
    </w:p>
    <w:p w:rsidRPr="004857FD" w:rsidR="00803E3D" w:rsidP="00803E3D" w:rsidRDefault="00803E3D" w14:paraId="262490E8" w14:textId="77777777">
      <w:pPr>
        <w:spacing w:line="360" w:lineRule="auto"/>
        <w:jc w:val="both"/>
        <w:rPr>
          <w:rFonts w:ascii="Palatino Linotype" w:hAnsi="Palatino Linotype" w:cs="Tahoma"/>
          <w:bCs/>
          <w:sz w:val="22"/>
          <w:szCs w:val="22"/>
          <w:u w:val="single"/>
        </w:rPr>
      </w:pPr>
      <w:r w:rsidRPr="004857FD">
        <w:rPr>
          <w:rFonts w:ascii="Palatino Linotype" w:hAnsi="Palatino Linotype" w:cs="Tahoma"/>
          <w:bCs/>
          <w:sz w:val="22"/>
          <w:szCs w:val="22"/>
          <w:u w:val="single"/>
        </w:rPr>
        <w:t>Se hace del conocimiento del Recurrente la determinación de este Organismo Garante a su inconformidad:</w:t>
      </w:r>
    </w:p>
    <w:p w:rsidRPr="004857FD" w:rsidR="00803E3D" w:rsidP="00803E3D" w:rsidRDefault="00803E3D" w14:paraId="63D7CDD3" w14:textId="77777777">
      <w:pPr>
        <w:spacing w:line="360" w:lineRule="auto"/>
        <w:jc w:val="both"/>
        <w:rPr>
          <w:rFonts w:ascii="Palatino Linotype" w:hAnsi="Palatino Linotype" w:cs="Tahoma"/>
          <w:bCs/>
          <w:sz w:val="22"/>
          <w:szCs w:val="22"/>
          <w:u w:val="single"/>
        </w:rPr>
      </w:pPr>
    </w:p>
    <w:p w:rsidRPr="004857FD" w:rsidR="00D005DE" w:rsidP="00803E3D" w:rsidRDefault="00803E3D" w14:paraId="2AF60B10" w14:textId="1DB8C016">
      <w:pPr>
        <w:spacing w:line="360" w:lineRule="auto"/>
        <w:jc w:val="both"/>
        <w:rPr>
          <w:rFonts w:ascii="Palatino Linotype" w:hAnsi="Palatino Linotype" w:cs="Tahoma"/>
          <w:bCs/>
          <w:sz w:val="22"/>
          <w:szCs w:val="22"/>
          <w:u w:val="single"/>
        </w:rPr>
      </w:pPr>
      <w:r w:rsidRPr="004857FD">
        <w:rPr>
          <w:rFonts w:ascii="Palatino Linotype" w:hAnsi="Palatino Linotype" w:cs="Tahoma"/>
          <w:bCs/>
          <w:sz w:val="22"/>
          <w:szCs w:val="22"/>
          <w:u w:val="single"/>
        </w:rPr>
        <w:t xml:space="preserve">Este Instituto, determinó </w:t>
      </w:r>
      <w:r w:rsidRPr="004857FD" w:rsidR="00F3539E">
        <w:rPr>
          <w:rFonts w:ascii="Palatino Linotype" w:hAnsi="Palatino Linotype" w:cs="Tahoma"/>
          <w:bCs/>
          <w:sz w:val="22"/>
          <w:szCs w:val="22"/>
          <w:u w:val="single"/>
        </w:rPr>
        <w:t>modificar</w:t>
      </w:r>
      <w:r w:rsidRPr="004857FD" w:rsidR="009B6316">
        <w:rPr>
          <w:rFonts w:ascii="Palatino Linotype" w:hAnsi="Palatino Linotype" w:cs="Tahoma"/>
          <w:bCs/>
          <w:sz w:val="22"/>
          <w:szCs w:val="22"/>
          <w:u w:val="single"/>
        </w:rPr>
        <w:t xml:space="preserve"> </w:t>
      </w:r>
      <w:r w:rsidRPr="004857FD">
        <w:rPr>
          <w:rFonts w:ascii="Palatino Linotype" w:hAnsi="Palatino Linotype" w:cs="Tahoma"/>
          <w:bCs/>
          <w:sz w:val="22"/>
          <w:szCs w:val="22"/>
          <w:u w:val="single"/>
        </w:rPr>
        <w:t>la respuesta que le entregó el Sujeto Obligado a su solicitud de acceso, toda vez que</w:t>
      </w:r>
      <w:r w:rsidRPr="004857FD" w:rsidR="00837A48">
        <w:rPr>
          <w:rFonts w:ascii="Palatino Linotype" w:hAnsi="Palatino Linotype" w:cs="Tahoma"/>
          <w:bCs/>
          <w:sz w:val="22"/>
          <w:szCs w:val="22"/>
          <w:u w:val="single"/>
        </w:rPr>
        <w:t xml:space="preserve"> </w:t>
      </w:r>
      <w:r w:rsidRPr="004857FD" w:rsidR="0030559A">
        <w:rPr>
          <w:rFonts w:ascii="Palatino Linotype" w:hAnsi="Palatino Linotype" w:cs="Tahoma"/>
          <w:bCs/>
          <w:sz w:val="22"/>
          <w:szCs w:val="22"/>
          <w:u w:val="single"/>
        </w:rPr>
        <w:t xml:space="preserve">la </w:t>
      </w:r>
      <w:r w:rsidRPr="004857FD" w:rsidR="00F3539E">
        <w:rPr>
          <w:rFonts w:ascii="Palatino Linotype" w:hAnsi="Palatino Linotype" w:cs="Tahoma"/>
          <w:bCs/>
          <w:sz w:val="22"/>
          <w:szCs w:val="22"/>
          <w:u w:val="single"/>
        </w:rPr>
        <w:t>Comisión de Derechos Humanos</w:t>
      </w:r>
      <w:r w:rsidRPr="004857FD" w:rsidR="001326B3">
        <w:rPr>
          <w:rFonts w:ascii="Palatino Linotype" w:hAnsi="Palatino Linotype" w:cs="Tahoma"/>
          <w:bCs/>
          <w:sz w:val="22"/>
          <w:szCs w:val="22"/>
          <w:u w:val="single"/>
        </w:rPr>
        <w:t xml:space="preserve"> del Estado de México no entregó</w:t>
      </w:r>
      <w:r w:rsidRPr="004857FD" w:rsidR="00F3539E">
        <w:rPr>
          <w:rFonts w:ascii="Palatino Linotype" w:hAnsi="Palatino Linotype" w:cs="Tahoma"/>
          <w:bCs/>
          <w:sz w:val="22"/>
          <w:szCs w:val="22"/>
          <w:u w:val="single"/>
        </w:rPr>
        <w:t xml:space="preserve"> </w:t>
      </w:r>
      <w:r w:rsidRPr="004857FD" w:rsidR="00D005DE">
        <w:rPr>
          <w:rFonts w:ascii="Palatino Linotype" w:hAnsi="Palatino Linotype" w:cs="Tahoma"/>
          <w:bCs/>
          <w:sz w:val="22"/>
          <w:szCs w:val="22"/>
          <w:u w:val="single"/>
        </w:rPr>
        <w:t>los documentos en donde conste el seguimiento a las recomendaciones realizadas por la Unidad de Ética y Prevención de la Corrupción.</w:t>
      </w:r>
    </w:p>
    <w:p w:rsidRPr="004857FD" w:rsidR="001326B3" w:rsidP="00803E3D" w:rsidRDefault="001326B3" w14:paraId="53ADD81E" w14:textId="77777777">
      <w:pPr>
        <w:spacing w:line="360" w:lineRule="auto"/>
        <w:jc w:val="both"/>
        <w:rPr>
          <w:rFonts w:ascii="Palatino Linotype" w:hAnsi="Palatino Linotype" w:cs="Tahoma"/>
          <w:bCs/>
          <w:sz w:val="22"/>
          <w:szCs w:val="22"/>
          <w:u w:val="single"/>
        </w:rPr>
      </w:pPr>
    </w:p>
    <w:p w:rsidRPr="004857FD" w:rsidR="001326B3" w:rsidP="00803E3D" w:rsidRDefault="001326B3" w14:paraId="4F48E5B7" w14:textId="52F739A3">
      <w:pPr>
        <w:spacing w:line="360" w:lineRule="auto"/>
        <w:jc w:val="both"/>
        <w:rPr>
          <w:rFonts w:ascii="Palatino Linotype" w:hAnsi="Palatino Linotype" w:cs="Tahoma"/>
          <w:bCs/>
          <w:sz w:val="22"/>
          <w:szCs w:val="22"/>
          <w:u w:val="single"/>
        </w:rPr>
      </w:pPr>
      <w:r w:rsidRPr="004857FD">
        <w:rPr>
          <w:rFonts w:ascii="Palatino Linotype" w:hAnsi="Palatino Linotype" w:cs="Tahoma"/>
          <w:bCs/>
          <w:sz w:val="22"/>
          <w:szCs w:val="22"/>
          <w:u w:val="single"/>
        </w:rPr>
        <w:lastRenderedPageBreak/>
        <w:t>Por lo que hace a su inconformidad en el sentido de que, el número de los registros en el Padrón de Proveedores no coincide con el número  de procesos de adquisición, es de señalar que al no ser obligatorio que las adquisiciones se realicen con un proveedor distinto por cada adquisición, no existen elementos para considerar que la información entregada es incompleta, por lo que ese punto se tiene por atendido.</w:t>
      </w:r>
    </w:p>
    <w:p w:rsidRPr="004857FD" w:rsidR="00803E3D" w:rsidP="00803E3D" w:rsidRDefault="00803E3D" w14:paraId="40C01F57" w14:textId="77777777">
      <w:pPr>
        <w:spacing w:line="360" w:lineRule="auto"/>
        <w:jc w:val="both"/>
        <w:rPr>
          <w:rFonts w:ascii="Palatino Linotype" w:hAnsi="Palatino Linotype" w:cs="Tahoma"/>
          <w:bCs/>
          <w:sz w:val="22"/>
          <w:szCs w:val="22"/>
          <w:u w:val="single"/>
        </w:rPr>
      </w:pPr>
    </w:p>
    <w:p w:rsidRPr="004857FD" w:rsidR="00803E3D" w:rsidP="00803E3D" w:rsidRDefault="00803E3D" w14:paraId="257F12D1" w14:textId="77777777">
      <w:pPr>
        <w:spacing w:line="360" w:lineRule="auto"/>
        <w:ind w:right="-93"/>
        <w:jc w:val="both"/>
        <w:rPr>
          <w:rFonts w:ascii="Palatino Linotype" w:hAnsi="Palatino Linotype" w:cs="Tahoma"/>
          <w:bCs/>
          <w:sz w:val="22"/>
          <w:szCs w:val="22"/>
          <w:u w:val="single"/>
        </w:rPr>
      </w:pPr>
      <w:r w:rsidRPr="004857FD">
        <w:rPr>
          <w:rFonts w:ascii="Palatino Linotype" w:hAnsi="Palatino Linotype" w:cs="Tahoma"/>
          <w:bCs/>
          <w:sz w:val="22"/>
          <w:szCs w:val="22"/>
          <w:u w:val="single"/>
        </w:rPr>
        <w:t>La labor del INFOEM, es apoyar a la población para acceder a la información pública y garantizar la protección de sus datos personales.</w:t>
      </w:r>
    </w:p>
    <w:p w:rsidRPr="004857FD" w:rsidR="00803E3D" w:rsidP="00803E3D" w:rsidRDefault="00803E3D" w14:paraId="170196F9" w14:textId="77777777">
      <w:pPr>
        <w:spacing w:line="360" w:lineRule="auto"/>
        <w:ind w:right="-93"/>
        <w:jc w:val="both"/>
        <w:rPr>
          <w:rFonts w:ascii="Palatino Linotype" w:hAnsi="Palatino Linotype" w:cs="Tahoma"/>
          <w:sz w:val="22"/>
          <w:szCs w:val="22"/>
        </w:rPr>
      </w:pPr>
    </w:p>
    <w:p w:rsidRPr="004857FD" w:rsidR="00803E3D" w:rsidP="00803E3D" w:rsidRDefault="00803E3D" w14:paraId="33098707" w14:textId="77777777">
      <w:pPr>
        <w:spacing w:line="360" w:lineRule="auto"/>
        <w:ind w:right="-91"/>
        <w:jc w:val="center"/>
        <w:rPr>
          <w:rFonts w:ascii="Palatino Linotype" w:hAnsi="Palatino Linotype" w:eastAsia="Calibri" w:cs="Tahoma"/>
          <w:b/>
          <w:bCs/>
          <w:sz w:val="22"/>
          <w:szCs w:val="22"/>
          <w:lang w:eastAsia="en-US"/>
        </w:rPr>
      </w:pPr>
      <w:r w:rsidRPr="004857FD">
        <w:rPr>
          <w:rFonts w:ascii="Palatino Linotype" w:hAnsi="Palatino Linotype" w:eastAsia="Calibri" w:cs="Tahoma"/>
          <w:b/>
          <w:bCs/>
          <w:sz w:val="22"/>
          <w:szCs w:val="22"/>
          <w:lang w:eastAsia="en-US"/>
        </w:rPr>
        <w:t>R E S U E L V E</w:t>
      </w:r>
    </w:p>
    <w:p w:rsidRPr="004857FD" w:rsidR="00803E3D" w:rsidP="00803E3D" w:rsidRDefault="00803E3D" w14:paraId="0F8DF6B5" w14:textId="77777777">
      <w:pPr>
        <w:spacing w:line="360" w:lineRule="auto"/>
        <w:jc w:val="center"/>
        <w:rPr>
          <w:rFonts w:ascii="Palatino Linotype" w:hAnsi="Palatino Linotype" w:cs="Tahoma"/>
          <w:b/>
          <w:bCs/>
          <w:sz w:val="22"/>
          <w:szCs w:val="22"/>
        </w:rPr>
      </w:pPr>
    </w:p>
    <w:p w:rsidRPr="004857FD" w:rsidR="00803E3D" w:rsidP="00803E3D" w:rsidRDefault="00803E3D" w14:paraId="543E2517" w14:textId="5793514B">
      <w:pPr>
        <w:spacing w:line="360" w:lineRule="auto"/>
        <w:contextualSpacing/>
        <w:jc w:val="both"/>
        <w:rPr>
          <w:rFonts w:ascii="Palatino Linotype" w:hAnsi="Palatino Linotype" w:eastAsia="Calibri" w:cs="Tahoma"/>
          <w:bCs/>
          <w:sz w:val="22"/>
          <w:szCs w:val="22"/>
          <w:lang w:eastAsia="en-US"/>
        </w:rPr>
      </w:pPr>
      <w:r w:rsidRPr="004857FD">
        <w:rPr>
          <w:rFonts w:ascii="Palatino Linotype" w:hAnsi="Palatino Linotype" w:cs="Tahoma"/>
          <w:b/>
          <w:bCs/>
          <w:sz w:val="22"/>
          <w:szCs w:val="22"/>
        </w:rPr>
        <w:t xml:space="preserve">PRIMERO. </w:t>
      </w:r>
      <w:r w:rsidRPr="004857FD">
        <w:rPr>
          <w:rFonts w:ascii="Palatino Linotype" w:hAnsi="Palatino Linotype" w:cs="Tahoma"/>
          <w:bCs/>
          <w:sz w:val="22"/>
          <w:szCs w:val="22"/>
        </w:rPr>
        <w:t xml:space="preserve">Se </w:t>
      </w:r>
      <w:r w:rsidRPr="004857FD" w:rsidR="0030559A">
        <w:rPr>
          <w:rFonts w:ascii="Palatino Linotype" w:hAnsi="Palatino Linotype" w:cs="Tahoma"/>
          <w:b/>
          <w:bCs/>
          <w:sz w:val="22"/>
          <w:szCs w:val="22"/>
        </w:rPr>
        <w:t>MODIFICA</w:t>
      </w:r>
      <w:r w:rsidRPr="004857FD">
        <w:rPr>
          <w:rFonts w:ascii="Palatino Linotype" w:hAnsi="Palatino Linotype" w:cs="Tahoma"/>
          <w:bCs/>
          <w:sz w:val="22"/>
          <w:szCs w:val="22"/>
        </w:rPr>
        <w:t xml:space="preserve"> la respuesta entregada por l</w:t>
      </w:r>
      <w:r w:rsidRPr="004857FD" w:rsidR="00F3539E">
        <w:rPr>
          <w:rFonts w:ascii="Palatino Linotype" w:hAnsi="Palatino Linotype" w:cs="Tahoma"/>
          <w:bCs/>
          <w:sz w:val="22"/>
          <w:szCs w:val="22"/>
        </w:rPr>
        <w:t>a</w:t>
      </w:r>
      <w:r w:rsidRPr="004857FD">
        <w:rPr>
          <w:rFonts w:ascii="Palatino Linotype" w:hAnsi="Palatino Linotype" w:cs="Tahoma"/>
          <w:bCs/>
          <w:sz w:val="22"/>
          <w:szCs w:val="22"/>
        </w:rPr>
        <w:t xml:space="preserve"> </w:t>
      </w:r>
      <w:r w:rsidRPr="004857FD" w:rsidR="00F926D5">
        <w:rPr>
          <w:rFonts w:ascii="Palatino Linotype" w:hAnsi="Palatino Linotype" w:cs="Tahoma"/>
          <w:b/>
          <w:bCs/>
          <w:sz w:val="22"/>
          <w:szCs w:val="22"/>
        </w:rPr>
        <w:t>Comisión de Derechos Humanos del Estado de México</w:t>
      </w:r>
      <w:r w:rsidRPr="004857FD" w:rsidR="00716C32">
        <w:rPr>
          <w:rFonts w:ascii="Palatino Linotype" w:hAnsi="Palatino Linotype" w:cs="Tahoma"/>
          <w:b/>
          <w:bCs/>
          <w:sz w:val="22"/>
          <w:szCs w:val="22"/>
        </w:rPr>
        <w:t xml:space="preserve"> </w:t>
      </w:r>
      <w:r w:rsidRPr="004857FD">
        <w:rPr>
          <w:rFonts w:ascii="Palatino Linotype" w:hAnsi="Palatino Linotype" w:eastAsia="Calibri" w:cs="Tahoma"/>
          <w:bCs/>
          <w:sz w:val="22"/>
          <w:szCs w:val="22"/>
          <w:lang w:eastAsia="en-US"/>
        </w:rPr>
        <w:t>a</w:t>
      </w:r>
      <w:r w:rsidRPr="004857FD">
        <w:rPr>
          <w:rFonts w:ascii="Palatino Linotype" w:hAnsi="Palatino Linotype" w:cs="Tahoma"/>
          <w:bCs/>
          <w:sz w:val="22"/>
          <w:szCs w:val="22"/>
        </w:rPr>
        <w:t xml:space="preserve"> la solicitud de información </w:t>
      </w:r>
      <w:r w:rsidRPr="004857FD" w:rsidR="00F3539E">
        <w:rPr>
          <w:rFonts w:ascii="Palatino Linotype" w:hAnsi="Palatino Linotype"/>
          <w:b/>
          <w:bCs/>
          <w:sz w:val="22"/>
          <w:szCs w:val="22"/>
        </w:rPr>
        <w:t>0020</w:t>
      </w:r>
      <w:r w:rsidRPr="004857FD" w:rsidR="00D005DE">
        <w:rPr>
          <w:rFonts w:ascii="Palatino Linotype" w:hAnsi="Palatino Linotype"/>
          <w:b/>
          <w:bCs/>
          <w:sz w:val="22"/>
          <w:szCs w:val="22"/>
        </w:rPr>
        <w:t>8</w:t>
      </w:r>
      <w:r w:rsidRPr="004857FD" w:rsidR="00F3539E">
        <w:rPr>
          <w:rFonts w:ascii="Palatino Linotype" w:hAnsi="Palatino Linotype"/>
          <w:b/>
          <w:bCs/>
          <w:sz w:val="22"/>
          <w:szCs w:val="22"/>
        </w:rPr>
        <w:t>/CODHEM/IP/2022</w:t>
      </w:r>
      <w:r w:rsidRPr="004857FD" w:rsidR="00837A48">
        <w:rPr>
          <w:rFonts w:ascii="Palatino Linotype" w:hAnsi="Palatino Linotype"/>
          <w:b/>
          <w:bCs/>
          <w:sz w:val="22"/>
          <w:szCs w:val="22"/>
        </w:rPr>
        <w:t xml:space="preserve"> </w:t>
      </w:r>
      <w:r w:rsidRPr="004857FD">
        <w:rPr>
          <w:rFonts w:ascii="Palatino Linotype" w:hAnsi="Palatino Linotype"/>
          <w:bCs/>
          <w:sz w:val="22"/>
          <w:szCs w:val="22"/>
        </w:rPr>
        <w:t>por resultar</w:t>
      </w:r>
      <w:r w:rsidRPr="004857FD" w:rsidR="00837A48">
        <w:rPr>
          <w:rFonts w:ascii="Palatino Linotype" w:hAnsi="Palatino Linotype"/>
          <w:bCs/>
          <w:sz w:val="22"/>
          <w:szCs w:val="22"/>
        </w:rPr>
        <w:t xml:space="preserve"> parcialmente</w:t>
      </w:r>
      <w:r w:rsidRPr="004857FD">
        <w:rPr>
          <w:rFonts w:ascii="Palatino Linotype" w:hAnsi="Palatino Linotype"/>
          <w:bCs/>
          <w:sz w:val="22"/>
          <w:szCs w:val="22"/>
        </w:rPr>
        <w:t xml:space="preserve"> </w:t>
      </w:r>
      <w:r w:rsidRPr="004857FD">
        <w:rPr>
          <w:rFonts w:ascii="Palatino Linotype" w:hAnsi="Palatino Linotype"/>
          <w:sz w:val="22"/>
          <w:szCs w:val="22"/>
        </w:rPr>
        <w:t>fundadas</w:t>
      </w:r>
      <w:r w:rsidRPr="004857FD">
        <w:rPr>
          <w:rFonts w:ascii="Palatino Linotype" w:hAnsi="Palatino Linotype" w:cs="Tahoma"/>
          <w:bCs/>
          <w:sz w:val="22"/>
          <w:szCs w:val="22"/>
        </w:rPr>
        <w:t xml:space="preserve"> </w:t>
      </w:r>
      <w:r w:rsidRPr="004857FD">
        <w:rPr>
          <w:rFonts w:ascii="Palatino Linotype" w:hAnsi="Palatino Linotype" w:eastAsia="Calibri" w:cs="Tahoma"/>
          <w:bCs/>
          <w:sz w:val="22"/>
          <w:szCs w:val="22"/>
          <w:lang w:eastAsia="en-US"/>
        </w:rPr>
        <w:t xml:space="preserve">las razones o motivos de inconformidad hechos valer por el Recurrente en el Recurso de Revisión </w:t>
      </w:r>
      <w:r w:rsidRPr="004857FD" w:rsidR="00F3539E">
        <w:rPr>
          <w:rFonts w:ascii="Palatino Linotype" w:hAnsi="Palatino Linotype" w:cs="Tahoma"/>
          <w:b/>
          <w:bCs/>
          <w:color w:val="0D0D0D" w:themeColor="text1" w:themeTint="F2"/>
          <w:sz w:val="22"/>
          <w:szCs w:val="22"/>
        </w:rPr>
        <w:t>150</w:t>
      </w:r>
      <w:r w:rsidRPr="004857FD" w:rsidR="00D005DE">
        <w:rPr>
          <w:rFonts w:ascii="Palatino Linotype" w:hAnsi="Palatino Linotype" w:cs="Tahoma"/>
          <w:b/>
          <w:bCs/>
          <w:color w:val="0D0D0D" w:themeColor="text1" w:themeTint="F2"/>
          <w:sz w:val="22"/>
          <w:szCs w:val="22"/>
        </w:rPr>
        <w:t>7</w:t>
      </w:r>
      <w:r w:rsidRPr="004857FD" w:rsidR="00F3539E">
        <w:rPr>
          <w:rFonts w:ascii="Palatino Linotype" w:hAnsi="Palatino Linotype" w:cs="Tahoma"/>
          <w:b/>
          <w:bCs/>
          <w:color w:val="0D0D0D" w:themeColor="text1" w:themeTint="F2"/>
          <w:sz w:val="22"/>
          <w:szCs w:val="22"/>
        </w:rPr>
        <w:t>1</w:t>
      </w:r>
      <w:r w:rsidRPr="004857FD">
        <w:rPr>
          <w:rFonts w:ascii="Palatino Linotype" w:hAnsi="Palatino Linotype" w:cs="Tahoma"/>
          <w:b/>
          <w:bCs/>
          <w:color w:val="0D0D0D" w:themeColor="text1" w:themeTint="F2"/>
          <w:sz w:val="22"/>
          <w:szCs w:val="22"/>
        </w:rPr>
        <w:t>/INFOEM/IP/RR/2022</w:t>
      </w:r>
      <w:r w:rsidRPr="004857FD">
        <w:rPr>
          <w:rFonts w:ascii="Palatino Linotype" w:hAnsi="Palatino Linotype" w:eastAsia="Calibri" w:cs="Tahoma"/>
          <w:bCs/>
          <w:sz w:val="22"/>
          <w:szCs w:val="22"/>
          <w:lang w:eastAsia="en-US"/>
        </w:rPr>
        <w:t>, en términos de los considerandos QUINTO y SEXTO de la presente Resolución.</w:t>
      </w:r>
    </w:p>
    <w:p w:rsidRPr="004857FD" w:rsidR="00803E3D" w:rsidP="00803E3D" w:rsidRDefault="00803E3D" w14:paraId="6F21CB0E" w14:textId="77777777">
      <w:pPr>
        <w:spacing w:line="360" w:lineRule="auto"/>
        <w:contextualSpacing/>
        <w:jc w:val="both"/>
        <w:rPr>
          <w:rFonts w:ascii="Palatino Linotype" w:hAnsi="Palatino Linotype" w:cs="Tahoma"/>
          <w:bCs/>
          <w:sz w:val="22"/>
          <w:szCs w:val="22"/>
        </w:rPr>
      </w:pPr>
    </w:p>
    <w:p w:rsidRPr="004857FD" w:rsidR="00E74F74" w:rsidP="00803E3D" w:rsidRDefault="00803E3D" w14:paraId="4DB837B0" w14:textId="77777777">
      <w:pPr>
        <w:spacing w:line="360" w:lineRule="auto"/>
        <w:ind w:right="-93"/>
        <w:jc w:val="both"/>
        <w:rPr>
          <w:rFonts w:ascii="Palatino Linotype" w:hAnsi="Palatino Linotype" w:cs="Arial"/>
          <w:sz w:val="22"/>
          <w:szCs w:val="22"/>
          <w:lang w:val="es-ES"/>
        </w:rPr>
      </w:pPr>
      <w:r w:rsidRPr="004857FD">
        <w:rPr>
          <w:rFonts w:ascii="Palatino Linotype" w:hAnsi="Palatino Linotype" w:cs="Tahoma"/>
          <w:b/>
          <w:bCs/>
          <w:sz w:val="22"/>
          <w:szCs w:val="22"/>
        </w:rPr>
        <w:t xml:space="preserve">SEGUNDO. </w:t>
      </w:r>
      <w:r w:rsidRPr="004857FD">
        <w:rPr>
          <w:rFonts w:ascii="Palatino Linotype" w:hAnsi="Palatino Linotype" w:cs="Tahoma"/>
          <w:sz w:val="22"/>
          <w:szCs w:val="22"/>
        </w:rPr>
        <w:t xml:space="preserve">Se </w:t>
      </w:r>
      <w:r w:rsidRPr="004857FD">
        <w:rPr>
          <w:rFonts w:ascii="Palatino Linotype" w:hAnsi="Palatino Linotype" w:cs="Tahoma"/>
          <w:b/>
          <w:sz w:val="22"/>
          <w:szCs w:val="22"/>
        </w:rPr>
        <w:t xml:space="preserve">ORDENA </w:t>
      </w:r>
      <w:r w:rsidRPr="004857FD">
        <w:rPr>
          <w:rFonts w:ascii="Palatino Linotype" w:hAnsi="Palatino Linotype" w:cs="Tahoma"/>
          <w:sz w:val="22"/>
          <w:szCs w:val="22"/>
        </w:rPr>
        <w:t>a</w:t>
      </w:r>
      <w:r w:rsidRPr="004857FD" w:rsidR="00F3539E">
        <w:rPr>
          <w:rFonts w:ascii="Palatino Linotype" w:hAnsi="Palatino Linotype" w:cs="Tahoma"/>
          <w:sz w:val="22"/>
          <w:szCs w:val="22"/>
        </w:rPr>
        <w:t xml:space="preserve"> </w:t>
      </w:r>
      <w:r w:rsidRPr="004857FD">
        <w:rPr>
          <w:rFonts w:ascii="Palatino Linotype" w:hAnsi="Palatino Linotype" w:cs="Tahoma"/>
          <w:sz w:val="22"/>
          <w:szCs w:val="22"/>
        </w:rPr>
        <w:t>l</w:t>
      </w:r>
      <w:r w:rsidRPr="004857FD" w:rsidR="00F3539E">
        <w:rPr>
          <w:rFonts w:ascii="Palatino Linotype" w:hAnsi="Palatino Linotype" w:cs="Tahoma"/>
          <w:sz w:val="22"/>
          <w:szCs w:val="22"/>
        </w:rPr>
        <w:t>a</w:t>
      </w:r>
      <w:r w:rsidRPr="004857FD">
        <w:rPr>
          <w:rFonts w:ascii="Palatino Linotype" w:hAnsi="Palatino Linotype" w:cs="Tahoma"/>
          <w:sz w:val="22"/>
          <w:szCs w:val="22"/>
        </w:rPr>
        <w:t xml:space="preserve"> </w:t>
      </w:r>
      <w:r w:rsidRPr="004857FD" w:rsidR="00F926D5">
        <w:rPr>
          <w:rFonts w:ascii="Palatino Linotype" w:hAnsi="Palatino Linotype" w:eastAsia="Calibri" w:cs="Tahoma"/>
          <w:b/>
          <w:bCs/>
          <w:sz w:val="22"/>
          <w:szCs w:val="22"/>
          <w:lang w:eastAsia="en-US"/>
        </w:rPr>
        <w:t>Comisión de Derechos Humanos del Estado de México</w:t>
      </w:r>
      <w:r w:rsidRPr="004857FD">
        <w:rPr>
          <w:rFonts w:ascii="Palatino Linotype" w:hAnsi="Palatino Linotype" w:cs="Tahoma"/>
          <w:sz w:val="22"/>
          <w:szCs w:val="22"/>
        </w:rPr>
        <w:t>, a efecto de que, previa búsqueda exhaustiva y razonable en los archivos de sus áreas competentes, remita</w:t>
      </w:r>
      <w:r w:rsidRPr="004857FD">
        <w:rPr>
          <w:rFonts w:ascii="Palatino Linotype" w:hAnsi="Palatino Linotype" w:cs="Tahoma"/>
          <w:bCs/>
          <w:iCs/>
          <w:sz w:val="22"/>
          <w:szCs w:val="22"/>
          <w:lang w:val="es-ES_tradnl"/>
        </w:rPr>
        <w:t xml:space="preserve">, </w:t>
      </w:r>
      <w:r w:rsidRPr="004857FD">
        <w:rPr>
          <w:rFonts w:ascii="Palatino Linotype" w:hAnsi="Palatino Linotype" w:cs="Tahoma"/>
          <w:bCs/>
          <w:iCs/>
          <w:sz w:val="22"/>
          <w:szCs w:val="22"/>
        </w:rPr>
        <w:t xml:space="preserve">a través </w:t>
      </w:r>
      <w:r w:rsidRPr="004857FD">
        <w:rPr>
          <w:rFonts w:ascii="Palatino Linotype" w:hAnsi="Palatino Linotype" w:cs="Tahoma"/>
          <w:bCs/>
          <w:iCs/>
          <w:sz w:val="22"/>
          <w:szCs w:val="22"/>
          <w:lang w:val="es-ES_tradnl"/>
        </w:rPr>
        <w:t>del Sistema de Acceso a la Información Mexiquense (SAIMEX)</w:t>
      </w:r>
      <w:r w:rsidRPr="004857FD">
        <w:rPr>
          <w:rFonts w:ascii="Palatino Linotype" w:hAnsi="Palatino Linotype" w:cs="Arial"/>
          <w:sz w:val="22"/>
          <w:szCs w:val="22"/>
          <w:lang w:val="es-ES"/>
        </w:rPr>
        <w:t xml:space="preserve">, de ser procedente en versión pública </w:t>
      </w:r>
      <w:r w:rsidRPr="004857FD" w:rsidR="00E74F74">
        <w:rPr>
          <w:rFonts w:ascii="Palatino Linotype" w:hAnsi="Palatino Linotype" w:cs="Arial"/>
          <w:sz w:val="22"/>
          <w:szCs w:val="22"/>
          <w:lang w:val="es-ES"/>
        </w:rPr>
        <w:t>los documentos en donde conste lo siguiente:</w:t>
      </w:r>
    </w:p>
    <w:p w:rsidRPr="004857FD" w:rsidR="00E74F74" w:rsidP="00803E3D" w:rsidRDefault="00E74F74" w14:paraId="58AE9884" w14:textId="77777777">
      <w:pPr>
        <w:spacing w:line="360" w:lineRule="auto"/>
        <w:ind w:right="-93"/>
        <w:jc w:val="both"/>
        <w:rPr>
          <w:rFonts w:ascii="Palatino Linotype" w:hAnsi="Palatino Linotype" w:cs="Arial"/>
          <w:sz w:val="22"/>
          <w:szCs w:val="22"/>
          <w:lang w:val="es-ES"/>
        </w:rPr>
      </w:pPr>
    </w:p>
    <w:p w:rsidRPr="004857FD" w:rsidR="00D005DE" w:rsidP="00D005DE" w:rsidRDefault="00D005DE" w14:paraId="6AED8B33" w14:textId="4C311CEE">
      <w:pPr>
        <w:pStyle w:val="Prrafodelista"/>
        <w:numPr>
          <w:ilvl w:val="0"/>
          <w:numId w:val="34"/>
        </w:numPr>
        <w:spacing w:line="360" w:lineRule="auto"/>
        <w:ind w:right="-93"/>
        <w:jc w:val="both"/>
        <w:rPr>
          <w:rFonts w:ascii="Palatino Linotype" w:hAnsi="Palatino Linotype" w:cs="Arial"/>
          <w:szCs w:val="22"/>
          <w:lang w:val="es-ES"/>
        </w:rPr>
      </w:pPr>
      <w:r w:rsidRPr="004857FD">
        <w:rPr>
          <w:rFonts w:ascii="Palatino Linotype" w:hAnsi="Palatino Linotype" w:cs="Arial"/>
          <w:szCs w:val="22"/>
          <w:lang w:val="es-ES"/>
        </w:rPr>
        <w:t>El seguimiento a las recomendaciones realizadas por la Unidad de Ética y Prevención de la Corrupción del primero de enero de dos mil veinte al primero de septiembre de dos mil veintidós.</w:t>
      </w:r>
    </w:p>
    <w:p w:rsidRPr="004857FD" w:rsidR="008C62AB" w:rsidP="00803E3D" w:rsidRDefault="008C62AB" w14:paraId="533088FA" w14:textId="77777777">
      <w:pPr>
        <w:spacing w:line="360" w:lineRule="auto"/>
        <w:ind w:right="-93"/>
        <w:jc w:val="both"/>
        <w:rPr>
          <w:rFonts w:ascii="Palatino Linotype" w:hAnsi="Palatino Linotype" w:eastAsia="Calibri" w:cs="Tahoma"/>
          <w:bCs/>
          <w:sz w:val="22"/>
          <w:szCs w:val="22"/>
          <w:lang w:eastAsia="en-US"/>
        </w:rPr>
      </w:pPr>
    </w:p>
    <w:p w:rsidRPr="004857FD" w:rsidR="00803E3D" w:rsidP="00803E3D" w:rsidRDefault="00803E3D" w14:paraId="0803D30A" w14:textId="77777777">
      <w:pPr>
        <w:spacing w:line="360" w:lineRule="auto"/>
        <w:ind w:right="-93"/>
        <w:jc w:val="both"/>
        <w:rPr>
          <w:rFonts w:ascii="Palatino Linotype" w:hAnsi="Palatino Linotype" w:eastAsia="Calibri" w:cs="Tahoma"/>
          <w:bCs/>
          <w:sz w:val="22"/>
          <w:szCs w:val="22"/>
          <w:lang w:eastAsia="en-US"/>
        </w:rPr>
      </w:pPr>
      <w:r w:rsidRPr="004857FD">
        <w:rPr>
          <w:rFonts w:ascii="Palatino Linotype" w:hAnsi="Palatino Linotype" w:eastAsia="Calibri" w:cs="Tahoma"/>
          <w:bCs/>
          <w:sz w:val="22"/>
          <w:szCs w:val="22"/>
          <w:lang w:eastAsia="en-US"/>
        </w:rPr>
        <w:lastRenderedPageBreak/>
        <w:t>De ser necesarias las versiones públicas, se deberá proporcionar el Acuerdo de Clasificación donde el Comité de Transparencia, confirme la eliminación de los datos y documentos confidenciales, de conformidad con los artículos 49, fracciones II y VIII y 132, fracción II de la Ley de Transparencia y Acceso a la Información Pública del Estado de México y Municipios.</w:t>
      </w:r>
    </w:p>
    <w:p w:rsidRPr="004857FD" w:rsidR="0054704A" w:rsidP="00803E3D" w:rsidRDefault="0054704A" w14:paraId="15C3CF8C" w14:textId="7462DE6B">
      <w:pPr>
        <w:spacing w:line="360" w:lineRule="auto"/>
        <w:ind w:right="-93"/>
        <w:jc w:val="both"/>
        <w:rPr>
          <w:rFonts w:ascii="Palatino Linotype" w:hAnsi="Palatino Linotype" w:eastAsia="Calibri" w:cs="Tahoma"/>
          <w:bCs/>
          <w:sz w:val="22"/>
          <w:szCs w:val="22"/>
          <w:lang w:eastAsia="en-US"/>
        </w:rPr>
      </w:pPr>
    </w:p>
    <w:p w:rsidRPr="004857FD" w:rsidR="00803E3D" w:rsidP="00803E3D" w:rsidRDefault="00803E3D" w14:paraId="13FDE815" w14:textId="77777777">
      <w:pPr>
        <w:spacing w:line="360" w:lineRule="auto"/>
        <w:contextualSpacing/>
        <w:jc w:val="both"/>
        <w:rPr>
          <w:rFonts w:ascii="Palatino Linotype" w:hAnsi="Palatino Linotype" w:cs="Tahoma"/>
          <w:sz w:val="22"/>
          <w:szCs w:val="22"/>
        </w:rPr>
      </w:pPr>
      <w:r w:rsidRPr="004857FD">
        <w:rPr>
          <w:rFonts w:ascii="Palatino Linotype" w:hAnsi="Palatino Linotype" w:eastAsia="Calibri" w:cs="Tahoma"/>
          <w:b/>
          <w:bCs/>
          <w:sz w:val="22"/>
          <w:szCs w:val="22"/>
          <w:lang w:eastAsia="en-US"/>
        </w:rPr>
        <w:t xml:space="preserve">TERCERO. </w:t>
      </w:r>
      <w:r w:rsidRPr="004857FD">
        <w:rPr>
          <w:rFonts w:ascii="Palatino Linotype" w:hAnsi="Palatino Linotype" w:cs="Tahoma"/>
          <w:b/>
          <w:sz w:val="22"/>
          <w:szCs w:val="22"/>
        </w:rPr>
        <w:t xml:space="preserve">NOTIFÍQUESE </w:t>
      </w:r>
      <w:r w:rsidRPr="004857FD">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4857FD" w:rsidR="00803E3D" w:rsidP="00803E3D" w:rsidRDefault="00803E3D" w14:paraId="0EBD2647" w14:textId="77777777">
      <w:pPr>
        <w:spacing w:line="360" w:lineRule="auto"/>
        <w:contextualSpacing/>
        <w:jc w:val="both"/>
        <w:rPr>
          <w:rFonts w:ascii="Palatino Linotype" w:hAnsi="Palatino Linotype" w:cs="Tahoma"/>
          <w:sz w:val="22"/>
          <w:szCs w:val="22"/>
        </w:rPr>
      </w:pPr>
    </w:p>
    <w:p w:rsidRPr="004857FD" w:rsidR="00803E3D" w:rsidP="00803E3D" w:rsidRDefault="00803E3D" w14:paraId="09723190" w14:textId="77777777">
      <w:pPr>
        <w:spacing w:line="360" w:lineRule="auto"/>
        <w:contextualSpacing/>
        <w:jc w:val="both"/>
        <w:rPr>
          <w:rFonts w:ascii="Palatino Linotype" w:hAnsi="Palatino Linotype" w:cs="Tahoma"/>
          <w:iCs/>
          <w:sz w:val="22"/>
          <w:szCs w:val="22"/>
        </w:rPr>
      </w:pPr>
      <w:r w:rsidRPr="004857FD">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4857FD" w:rsidR="00803E3D" w:rsidP="00803E3D" w:rsidRDefault="00803E3D" w14:paraId="7CE40487" w14:textId="77777777">
      <w:pPr>
        <w:spacing w:line="360" w:lineRule="auto"/>
        <w:contextualSpacing/>
        <w:jc w:val="both"/>
        <w:rPr>
          <w:rFonts w:ascii="Palatino Linotype" w:hAnsi="Palatino Linotype" w:eastAsia="Calibri" w:cs="Tahoma"/>
          <w:color w:val="000000"/>
          <w:sz w:val="22"/>
          <w:szCs w:val="22"/>
          <w:lang w:val="es-ES" w:eastAsia="es-MX"/>
        </w:rPr>
      </w:pPr>
    </w:p>
    <w:p w:rsidRPr="004857FD" w:rsidR="00803E3D" w:rsidP="00803E3D" w:rsidRDefault="00803E3D" w14:paraId="528E971E" w14:textId="77777777">
      <w:pPr>
        <w:spacing w:line="360" w:lineRule="auto"/>
        <w:contextualSpacing/>
        <w:jc w:val="both"/>
        <w:rPr>
          <w:rFonts w:ascii="Palatino Linotype" w:hAnsi="Palatino Linotype" w:cs="Tahoma"/>
          <w:color w:val="000000" w:themeColor="text1"/>
          <w:sz w:val="22"/>
          <w:szCs w:val="22"/>
        </w:rPr>
      </w:pPr>
      <w:r w:rsidRPr="004857FD">
        <w:rPr>
          <w:rFonts w:ascii="Palatino Linotype" w:hAnsi="Palatino Linotype" w:eastAsia="Calibri" w:cs="Tahoma"/>
          <w:b/>
          <w:color w:val="000000" w:themeColor="text1"/>
          <w:sz w:val="22"/>
          <w:szCs w:val="22"/>
          <w:lang w:eastAsia="es-MX"/>
        </w:rPr>
        <w:t>CUARTO</w:t>
      </w:r>
      <w:r w:rsidRPr="004857FD">
        <w:rPr>
          <w:rFonts w:ascii="Palatino Linotype" w:hAnsi="Palatino Linotype" w:eastAsia="Calibri" w:cs="Tahoma"/>
          <w:b/>
          <w:bCs/>
          <w:color w:val="000000" w:themeColor="text1"/>
          <w:sz w:val="22"/>
          <w:szCs w:val="22"/>
          <w:lang w:eastAsia="en-US"/>
        </w:rPr>
        <w:t xml:space="preserve">. </w:t>
      </w:r>
      <w:r w:rsidRPr="004857FD">
        <w:rPr>
          <w:rFonts w:ascii="Palatino Linotype" w:hAnsi="Palatino Linotype" w:cs="Tahoma"/>
          <w:b/>
          <w:color w:val="000000" w:themeColor="text1"/>
          <w:sz w:val="22"/>
          <w:szCs w:val="22"/>
        </w:rPr>
        <w:t>NOTIFÍQUESE</w:t>
      </w:r>
      <w:r w:rsidRPr="004857FD">
        <w:rPr>
          <w:rFonts w:ascii="Palatino Linotype" w:hAnsi="Palatino Linotype" w:cs="Tahoma"/>
          <w:color w:val="000000" w:themeColor="text1"/>
          <w:sz w:val="22"/>
          <w:szCs w:val="22"/>
        </w:rPr>
        <w:t xml:space="preserve"> al Recurrente la presente Resolución a través del </w:t>
      </w:r>
      <w:r w:rsidRPr="004857FD">
        <w:rPr>
          <w:rFonts w:ascii="Palatino Linotype" w:hAnsi="Palatino Linotype" w:eastAsia="Calibri" w:cs="Tahoma"/>
          <w:bCs/>
          <w:color w:val="000000" w:themeColor="text1"/>
          <w:sz w:val="22"/>
          <w:szCs w:val="22"/>
          <w:lang w:eastAsia="en-US"/>
        </w:rPr>
        <w:t>Sistema de Acceso a la Información Mexiquense (SAIMEX)</w:t>
      </w:r>
      <w:r w:rsidRPr="004857FD">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4857FD" w:rsidR="008A73EF" w:rsidP="00803E3D" w:rsidRDefault="008A73EF" w14:paraId="43483F47" w14:textId="77777777">
      <w:pPr>
        <w:spacing w:line="360" w:lineRule="auto"/>
        <w:contextualSpacing/>
        <w:jc w:val="both"/>
        <w:rPr>
          <w:rFonts w:ascii="Palatino Linotype" w:hAnsi="Palatino Linotype" w:cs="Tahoma"/>
          <w:color w:val="000000" w:themeColor="text1"/>
          <w:sz w:val="22"/>
          <w:szCs w:val="22"/>
        </w:rPr>
      </w:pPr>
    </w:p>
    <w:p w:rsidR="00803E3D" w:rsidP="00803E3D" w:rsidRDefault="00803E3D" w14:paraId="45B0576A" w14:textId="4DE64BCA">
      <w:pPr>
        <w:spacing w:line="360" w:lineRule="auto"/>
        <w:contextualSpacing/>
        <w:jc w:val="both"/>
        <w:rPr>
          <w:rFonts w:ascii="Palatino Linotype" w:hAnsi="Palatino Linotype" w:cs="Tahoma"/>
          <w:sz w:val="22"/>
          <w:szCs w:val="22"/>
        </w:rPr>
      </w:pPr>
      <w:r w:rsidRPr="004857FD">
        <w:rPr>
          <w:rFonts w:ascii="Palatino Linotype" w:hAnsi="Palatino Linotype" w:cs="Tahoma"/>
          <w:sz w:val="22"/>
          <w:szCs w:val="22"/>
          <w:lang w:eastAsia="es-MX"/>
        </w:rPr>
        <w:t xml:space="preserve">ASÍ LO RESUELVE, POR </w:t>
      </w:r>
      <w:r w:rsidRPr="004857FD">
        <w:rPr>
          <w:rFonts w:ascii="Palatino Linotype" w:hAnsi="Palatino Linotype" w:cs="Tahoma"/>
          <w:b/>
          <w:sz w:val="22"/>
          <w:szCs w:val="22"/>
          <w:lang w:eastAsia="es-MX"/>
        </w:rPr>
        <w:t>UNANIMIDAD</w:t>
      </w:r>
      <w:r w:rsidRPr="004857FD">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w:t>
      </w:r>
      <w:r w:rsidRPr="004857FD">
        <w:rPr>
          <w:rFonts w:ascii="Palatino Linotype" w:hAnsi="Palatino Linotype" w:cs="Tahoma"/>
          <w:sz w:val="22"/>
          <w:szCs w:val="22"/>
          <w:lang w:eastAsia="es-MX"/>
        </w:rPr>
        <w:lastRenderedPageBreak/>
        <w:t xml:space="preserve">SHARON CRISTINA MORALES MARTÍNEZ, LUIS GUSTAVO PARRA NORIEGA Y GUADALUPE RAMÍREZ PEÑA, EN LA </w:t>
      </w:r>
      <w:r w:rsidRPr="004857FD" w:rsidR="00F3539E">
        <w:rPr>
          <w:rFonts w:ascii="Palatino Linotype" w:hAnsi="Palatino Linotype" w:cs="Tahoma"/>
          <w:sz w:val="22"/>
          <w:szCs w:val="22"/>
          <w:lang w:eastAsia="es-MX"/>
        </w:rPr>
        <w:t>DÉCIMA</w:t>
      </w:r>
      <w:r w:rsidRPr="004857FD" w:rsidR="00D005DE">
        <w:rPr>
          <w:rFonts w:ascii="Palatino Linotype" w:hAnsi="Palatino Linotype" w:cs="Tahoma"/>
          <w:sz w:val="22"/>
          <w:szCs w:val="22"/>
          <w:lang w:eastAsia="es-MX"/>
        </w:rPr>
        <w:t xml:space="preserve"> SEGUNDA</w:t>
      </w:r>
      <w:r w:rsidRPr="004857FD" w:rsidR="00F3539E">
        <w:rPr>
          <w:rFonts w:ascii="Palatino Linotype" w:hAnsi="Palatino Linotype" w:cs="Tahoma"/>
          <w:sz w:val="22"/>
          <w:szCs w:val="22"/>
          <w:lang w:eastAsia="es-MX"/>
        </w:rPr>
        <w:t xml:space="preserve"> </w:t>
      </w:r>
      <w:r w:rsidRPr="004857FD">
        <w:rPr>
          <w:rFonts w:ascii="Palatino Linotype" w:hAnsi="Palatino Linotype" w:cs="Tahoma"/>
          <w:sz w:val="22"/>
          <w:szCs w:val="22"/>
          <w:lang w:eastAsia="es-MX"/>
        </w:rPr>
        <w:t xml:space="preserve">SESIÓN ORDINARIA, CELEBRADA EL </w:t>
      </w:r>
      <w:r w:rsidRPr="004857FD" w:rsidR="00D005DE">
        <w:rPr>
          <w:rFonts w:ascii="Palatino Linotype" w:hAnsi="Palatino Linotype" w:cs="Tahoma"/>
          <w:sz w:val="22"/>
          <w:szCs w:val="22"/>
          <w:lang w:eastAsia="es-MX"/>
        </w:rPr>
        <w:t xml:space="preserve">VEINTINUEVE </w:t>
      </w:r>
      <w:r w:rsidRPr="004857FD" w:rsidR="00B73D51">
        <w:rPr>
          <w:rFonts w:ascii="Palatino Linotype" w:hAnsi="Palatino Linotype" w:cs="Tahoma"/>
          <w:sz w:val="22"/>
          <w:szCs w:val="22"/>
          <w:lang w:eastAsia="es-MX"/>
        </w:rPr>
        <w:t xml:space="preserve">DE </w:t>
      </w:r>
      <w:r w:rsidRPr="004857FD" w:rsidR="0030559A">
        <w:rPr>
          <w:rFonts w:ascii="Palatino Linotype" w:hAnsi="Palatino Linotype" w:cs="Tahoma"/>
          <w:sz w:val="22"/>
          <w:szCs w:val="22"/>
          <w:lang w:eastAsia="es-MX"/>
        </w:rPr>
        <w:t xml:space="preserve">MARZO </w:t>
      </w:r>
      <w:r w:rsidRPr="004857FD" w:rsidR="00B73D51">
        <w:rPr>
          <w:rFonts w:ascii="Palatino Linotype" w:hAnsi="Palatino Linotype" w:cs="Tahoma"/>
          <w:sz w:val="22"/>
          <w:szCs w:val="22"/>
          <w:lang w:eastAsia="es-MX"/>
        </w:rPr>
        <w:t>DE DOS MIL VEINTITRÉS</w:t>
      </w:r>
      <w:r w:rsidRPr="004857FD">
        <w:rPr>
          <w:rFonts w:ascii="Palatino Linotype" w:hAnsi="Palatino Linotype" w:cs="Tahoma"/>
          <w:sz w:val="22"/>
          <w:szCs w:val="22"/>
          <w:lang w:eastAsia="es-MX"/>
        </w:rPr>
        <w:t>, ANTE EL SECRETARIO TÉCNICO DEL PLENO, ALEXIS TAPIA RAMÍREZ.</w:t>
      </w:r>
    </w:p>
    <w:p w:rsidR="00241D5D" w:rsidRDefault="00241D5D" w14:paraId="29BE1E4A" w14:textId="34D96DDB">
      <w:pPr>
        <w:spacing w:after="160" w:line="259" w:lineRule="auto"/>
        <w:rPr>
          <w:rFonts w:ascii="Palatino Linotype" w:hAnsi="Palatino Linotype" w:cs="Tahoma"/>
          <w:sz w:val="22"/>
          <w:szCs w:val="22"/>
        </w:rPr>
      </w:pPr>
      <w:r>
        <w:rPr>
          <w:rFonts w:ascii="Palatino Linotype" w:hAnsi="Palatino Linotype" w:cs="Tahoma"/>
          <w:sz w:val="22"/>
          <w:szCs w:val="22"/>
        </w:rPr>
        <w:br w:type="page"/>
      </w:r>
    </w:p>
    <w:p w:rsidRPr="003A1DF0" w:rsidR="003A1DF0" w:rsidP="00147516" w:rsidRDefault="003A1DF0" w14:paraId="145829BA" w14:textId="77777777">
      <w:pPr>
        <w:spacing w:line="360" w:lineRule="auto"/>
        <w:contextualSpacing/>
        <w:jc w:val="both"/>
        <w:rPr>
          <w:rFonts w:ascii="Palatino Linotype" w:hAnsi="Palatino Linotype" w:cs="Tahoma"/>
          <w:sz w:val="22"/>
          <w:szCs w:val="22"/>
        </w:rPr>
      </w:pPr>
    </w:p>
    <w:sectPr w:rsidRPr="003A1DF0" w:rsidR="003A1DF0" w:rsidSect="0003481C">
      <w:headerReference w:type="even" r:id="rId12"/>
      <w:headerReference w:type="default" r:id="rId13"/>
      <w:footerReference w:type="default" r:id="rId14"/>
      <w:headerReference w:type="first" r:id="rId15"/>
      <w:footerReference w:type="first" r:id="rId16"/>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F5281" w:rsidP="00B31222" w:rsidRDefault="008F5281" w14:paraId="298D38C4" w14:textId="77777777">
      <w:r>
        <w:separator/>
      </w:r>
    </w:p>
  </w:endnote>
  <w:endnote w:type="continuationSeparator" w:id="0">
    <w:p w:rsidR="008F5281" w:rsidP="00B31222" w:rsidRDefault="008F5281" w14:paraId="63F25442" w14:textId="77777777">
      <w:r>
        <w:continuationSeparator/>
      </w:r>
    </w:p>
  </w:endnote>
  <w:endnote w:type="continuationNotice" w:id="1">
    <w:p w:rsidR="008F5281" w:rsidRDefault="008F5281" w14:paraId="62C15E3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F2423D" w:rsidRDefault="00F2423D" w14:paraId="48E8F88D"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326B3">
              <w:rPr>
                <w:b/>
                <w:bCs/>
                <w:noProof/>
              </w:rPr>
              <w:t>30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326B3">
              <w:rPr>
                <w:b/>
                <w:bCs/>
                <w:noProof/>
              </w:rPr>
              <w:t>32</w:t>
            </w:r>
            <w:r>
              <w:rPr>
                <w:b/>
                <w:bCs/>
                <w:sz w:val="24"/>
                <w:szCs w:val="24"/>
              </w:rPr>
              <w:fldChar w:fldCharType="end"/>
            </w:r>
          </w:p>
        </w:sdtContent>
      </w:sdt>
    </w:sdtContent>
  </w:sdt>
  <w:p w:rsidR="00F2423D" w:rsidRDefault="00F2423D" w14:paraId="2C94159C"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423D" w:rsidRDefault="00F2423D" w14:paraId="5A70128B"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326B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326B3">
      <w:rPr>
        <w:b/>
        <w:bCs/>
        <w:noProof/>
      </w:rPr>
      <w:t>32</w:t>
    </w:r>
    <w:r>
      <w:rPr>
        <w:b/>
        <w:bCs/>
        <w:sz w:val="24"/>
        <w:szCs w:val="24"/>
      </w:rPr>
      <w:fldChar w:fldCharType="end"/>
    </w:r>
  </w:p>
  <w:p w:rsidR="00F2423D" w:rsidRDefault="00F2423D" w14:paraId="18843DA8"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F5281" w:rsidP="00B31222" w:rsidRDefault="008F5281" w14:paraId="5CD52088" w14:textId="77777777">
      <w:r>
        <w:separator/>
      </w:r>
    </w:p>
  </w:footnote>
  <w:footnote w:type="continuationSeparator" w:id="0">
    <w:p w:rsidR="008F5281" w:rsidP="00B31222" w:rsidRDefault="008F5281" w14:paraId="054A7EBD" w14:textId="77777777">
      <w:r>
        <w:continuationSeparator/>
      </w:r>
    </w:p>
  </w:footnote>
  <w:footnote w:type="continuationNotice" w:id="1">
    <w:p w:rsidR="008F5281" w:rsidRDefault="008F5281" w14:paraId="3712BB6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423D" w:rsidRDefault="004857FD" w14:paraId="478B50E4" w14:textId="77777777">
    <w:pPr>
      <w:pStyle w:val="Encabezado"/>
    </w:pPr>
    <w:r>
      <w:rPr>
        <w:noProof/>
        <w:lang w:eastAsia="es-MX"/>
      </w:rPr>
      <w:pict w14:anchorId="7DD1C3A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7728;mso-position-horizontal:center;mso-position-horizontal-relative:margin;mso-position-vertical:center;mso-position-vertical-relative:margin" o:spid="_x0000_s2050"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F2423D" w:rsidTr="00202DB8" w14:paraId="7C09EDFC" w14:textId="77777777">
      <w:trPr>
        <w:trHeight w:val="1435"/>
      </w:trPr>
      <w:tc>
        <w:tcPr>
          <w:tcW w:w="2835" w:type="dxa"/>
          <w:shd w:val="clear" w:color="auto" w:fill="auto"/>
        </w:tcPr>
        <w:p w:rsidRPr="005C106F" w:rsidR="00F2423D" w:rsidP="00EF4A64" w:rsidRDefault="00F2423D" w14:paraId="2AFA24AB" w14:textId="77777777">
          <w:pPr>
            <w:tabs>
              <w:tab w:val="right" w:pos="4273"/>
            </w:tabs>
            <w:rPr>
              <w:rFonts w:ascii="Garamond" w:hAnsi="Garamond" w:eastAsia="Calibri"/>
              <w:sz w:val="16"/>
              <w:szCs w:val="16"/>
              <w:lang w:eastAsia="en-US"/>
            </w:rPr>
          </w:pPr>
          <w:r>
            <w:rPr>
              <w:rFonts w:ascii="Garamond" w:hAnsi="Garamond" w:eastAsia="Calibri"/>
              <w:noProof/>
              <w:sz w:val="16"/>
              <w:szCs w:val="16"/>
              <w:lang w:eastAsia="es-MX"/>
            </w:rPr>
            <w:drawing>
              <wp:anchor distT="0" distB="0" distL="114300" distR="114300" simplePos="0" relativeHeight="251656704" behindDoc="1" locked="0" layoutInCell="0" allowOverlap="1" wp14:anchorId="734CA22E" wp14:editId="5DF6B2EC">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rsidR="00F2423D" w:rsidP="005743D2" w:rsidRDefault="00F2423D" w14:paraId="595D74B5" w14:textId="77777777"/>
        <w:tbl>
          <w:tblPr>
            <w:tblStyle w:val="Tablaconcuadrcula"/>
            <w:tblW w:w="61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9"/>
            <w:gridCol w:w="3543"/>
          </w:tblGrid>
          <w:tr w:rsidR="00F2423D" w:rsidTr="00DF3BE8" w14:paraId="5E359D12" w14:textId="77777777">
            <w:trPr>
              <w:trHeight w:val="144"/>
            </w:trPr>
            <w:tc>
              <w:tcPr>
                <w:tcW w:w="2589" w:type="dxa"/>
              </w:tcPr>
              <w:p w:rsidRPr="00431A70" w:rsidR="00F2423D" w:rsidP="00E43A0F" w:rsidRDefault="00F2423D" w14:paraId="7153339F"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43" w:type="dxa"/>
              </w:tcPr>
              <w:p w:rsidRPr="00431A70" w:rsidR="00F2423D" w:rsidP="00D82DF3" w:rsidRDefault="00F2423D" w14:paraId="1FF03BDF" w14:textId="4A072D69">
                <w:pPr>
                  <w:tabs>
                    <w:tab w:val="right" w:pos="8838"/>
                  </w:tabs>
                  <w:ind w:left="-106" w:right="171"/>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val="es-MX" w:eastAsia="en-US"/>
                  </w:rPr>
                  <w:t>15071</w:t>
                </w:r>
                <w:r w:rsidRPr="001A412B">
                  <w:rPr>
                    <w:rFonts w:ascii="Palatino Linotype" w:hAnsi="Palatino Linotype" w:eastAsia="Calibri" w:cs="Tahoma"/>
                    <w:b/>
                    <w:bCs/>
                    <w:sz w:val="22"/>
                    <w:szCs w:val="22"/>
                    <w:lang w:val="es-MX" w:eastAsia="en-US"/>
                  </w:rPr>
                  <w:t>/INFOEM/IP/RR/202</w:t>
                </w:r>
                <w:r>
                  <w:rPr>
                    <w:rFonts w:ascii="Palatino Linotype" w:hAnsi="Palatino Linotype" w:eastAsia="Calibri" w:cs="Tahoma"/>
                    <w:b/>
                    <w:bCs/>
                    <w:sz w:val="22"/>
                    <w:szCs w:val="22"/>
                    <w:lang w:val="es-MX" w:eastAsia="en-US"/>
                  </w:rPr>
                  <w:t>2</w:t>
                </w:r>
              </w:p>
            </w:tc>
          </w:tr>
          <w:tr w:rsidR="00F2423D" w:rsidTr="00DF3BE8" w14:paraId="2BCAD138" w14:textId="77777777">
            <w:trPr>
              <w:trHeight w:val="283"/>
            </w:trPr>
            <w:tc>
              <w:tcPr>
                <w:tcW w:w="2589" w:type="dxa"/>
              </w:tcPr>
              <w:p w:rsidRPr="00431A70" w:rsidR="00F2423D" w:rsidP="00E43A0F" w:rsidRDefault="00F2423D" w14:paraId="49D7AB2F"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43" w:type="dxa"/>
              </w:tcPr>
              <w:p w:rsidRPr="005F13CF" w:rsidR="00F2423D" w:rsidP="0031023E" w:rsidRDefault="00F2423D" w14:paraId="71CEF646" w14:textId="6EB4A442">
                <w:pPr>
                  <w:tabs>
                    <w:tab w:val="left" w:pos="2834"/>
                    <w:tab w:val="right" w:pos="8838"/>
                  </w:tabs>
                  <w:ind w:left="-106" w:right="171"/>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val="es-MX" w:eastAsia="en-US"/>
                  </w:rPr>
                  <w:t>Comisión de Derechos Humanos del Estado de México</w:t>
                </w:r>
              </w:p>
            </w:tc>
          </w:tr>
          <w:tr w:rsidR="00F2423D" w:rsidTr="00DF3BE8" w14:paraId="00D08995" w14:textId="77777777">
            <w:trPr>
              <w:trHeight w:val="283"/>
            </w:trPr>
            <w:tc>
              <w:tcPr>
                <w:tcW w:w="2589" w:type="dxa"/>
              </w:tcPr>
              <w:p w:rsidRPr="00431A70" w:rsidR="00F2423D" w:rsidP="00E43A0F" w:rsidRDefault="00F2423D" w14:paraId="1EC91981"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43" w:type="dxa"/>
              </w:tcPr>
              <w:p w:rsidRPr="00431A70" w:rsidR="00F2423D" w:rsidP="005F13CF" w:rsidRDefault="00F2423D" w14:paraId="23E41A45" w14:textId="77777777">
                <w:pPr>
                  <w:tabs>
                    <w:tab w:val="right" w:pos="8838"/>
                  </w:tabs>
                  <w:ind w:left="-106" w:right="171"/>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F2423D" w:rsidP="005743D2" w:rsidRDefault="00F2423D" w14:paraId="5B3ADBAA" w14:textId="77777777">
          <w:pPr>
            <w:tabs>
              <w:tab w:val="right" w:pos="8838"/>
            </w:tabs>
            <w:ind w:left="-28"/>
            <w:jc w:val="both"/>
            <w:rPr>
              <w:rFonts w:ascii="Arial" w:hAnsi="Arial" w:eastAsia="Calibri" w:cs="Arial"/>
              <w:b/>
              <w:sz w:val="22"/>
              <w:szCs w:val="22"/>
              <w:lang w:eastAsia="en-US"/>
            </w:rPr>
          </w:pPr>
        </w:p>
      </w:tc>
    </w:tr>
  </w:tbl>
  <w:p w:rsidRPr="00A25151" w:rsidR="00F2423D" w:rsidP="00EF4A64" w:rsidRDefault="00F2423D" w14:paraId="23FBD110" w14:textId="77777777">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F2423D" w:rsidTr="0D888D6B" w14:paraId="014FCEEB" w14:textId="77777777">
      <w:trPr>
        <w:trHeight w:val="1435"/>
      </w:trPr>
      <w:tc>
        <w:tcPr>
          <w:tcW w:w="2835" w:type="dxa"/>
          <w:shd w:val="clear" w:color="auto" w:fill="auto"/>
          <w:tcMar/>
        </w:tcPr>
        <w:p w:rsidRPr="00330DA7" w:rsidR="00F2423D" w:rsidP="00F805F6" w:rsidRDefault="00F2423D" w14:paraId="567464B8" w14:textId="77777777">
          <w:pPr>
            <w:tabs>
              <w:tab w:val="right" w:pos="4273"/>
            </w:tabs>
            <w:rPr>
              <w:rFonts w:ascii="Garamond" w:hAnsi="Garamond" w:eastAsia="Calibri"/>
              <w:sz w:val="22"/>
              <w:szCs w:val="22"/>
              <w:lang w:eastAsia="en-US"/>
            </w:rPr>
          </w:pPr>
          <w:r>
            <w:rPr>
              <w:rFonts w:ascii="Garamond" w:hAnsi="Garamond" w:eastAsia="Calibri"/>
              <w:noProof/>
              <w:sz w:val="22"/>
              <w:szCs w:val="22"/>
              <w:lang w:eastAsia="es-MX"/>
            </w:rPr>
            <w:drawing>
              <wp:anchor distT="0" distB="0" distL="114300" distR="114300" simplePos="0" relativeHeight="251657728" behindDoc="1" locked="0" layoutInCell="0" allowOverlap="1" wp14:anchorId="5C3AFD72" wp14:editId="5E19E5F7">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Mar/>
        </w:tcPr>
        <w:tbl>
          <w:tblPr>
            <w:tblStyle w:val="Tablaconcuadrcula"/>
            <w:tblW w:w="61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9"/>
            <w:gridCol w:w="3543"/>
          </w:tblGrid>
          <w:tr w:rsidRPr="00431A70" w:rsidR="00F2423D" w:rsidTr="0D888D6B" w14:paraId="02E63DA4" w14:textId="77777777">
            <w:trPr>
              <w:trHeight w:val="144"/>
            </w:trPr>
            <w:tc>
              <w:tcPr>
                <w:tcW w:w="2589" w:type="dxa"/>
                <w:tcMar/>
              </w:tcPr>
              <w:p w:rsidRPr="00431A70" w:rsidR="00F2423D" w:rsidP="00844CB5" w:rsidRDefault="00F2423D" w14:paraId="4A48C1CE"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43" w:type="dxa"/>
                <w:tcMar/>
              </w:tcPr>
              <w:p w:rsidRPr="00431A70" w:rsidR="00F2423D" w:rsidP="00D82DF3" w:rsidRDefault="00F2423D" w14:paraId="643FE94E" w14:textId="3C4909EF">
                <w:pPr>
                  <w:tabs>
                    <w:tab w:val="right" w:pos="8838"/>
                  </w:tabs>
                  <w:ind w:left="-106" w:right="-105"/>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val="es-MX" w:eastAsia="en-US"/>
                  </w:rPr>
                  <w:t xml:space="preserve">15071/INFOEM/IP/RR/2022 </w:t>
                </w:r>
              </w:p>
            </w:tc>
          </w:tr>
          <w:tr w:rsidRPr="00286D0C" w:rsidR="00F2423D" w:rsidTr="0D888D6B" w14:paraId="3426DD9E" w14:textId="77777777">
            <w:trPr>
              <w:trHeight w:val="144"/>
            </w:trPr>
            <w:tc>
              <w:tcPr>
                <w:tcW w:w="2589" w:type="dxa"/>
                <w:tcMar/>
              </w:tcPr>
              <w:p w:rsidRPr="00431A70" w:rsidR="00F2423D" w:rsidP="009A7587" w:rsidRDefault="00F2423D" w14:paraId="55D76A0F"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543" w:type="dxa"/>
                <w:tcMar/>
              </w:tcPr>
              <w:p w:rsidRPr="00286D0C" w:rsidR="00F2423D" w:rsidP="0D888D6B" w:rsidRDefault="00F2423D" w14:paraId="440CA51B" w14:textId="07CB8AB6">
                <w:pPr>
                  <w:tabs>
                    <w:tab w:val="left" w:pos="3122"/>
                    <w:tab w:val="right" w:pos="8838"/>
                  </w:tabs>
                  <w:ind w:left="-106" w:right="-105"/>
                  <w:jc w:val="both"/>
                  <w:rPr>
                    <w:rFonts w:ascii="Palatino Linotype" w:hAnsi="Palatino Linotype" w:eastAsia="Calibri" w:cs="Tahoma"/>
                    <w:sz w:val="22"/>
                    <w:szCs w:val="22"/>
                    <w:highlight w:val="black"/>
                    <w:lang w:eastAsia="en-US"/>
                  </w:rPr>
                </w:pPr>
                <w:r w:rsidRPr="0D888D6B" w:rsidR="0D888D6B">
                  <w:rPr>
                    <w:rFonts w:ascii="Palatino Linotype" w:hAnsi="Palatino Linotype" w:eastAsia="Calibri" w:cs="Tahoma"/>
                    <w:sz w:val="22"/>
                    <w:szCs w:val="22"/>
                    <w:highlight w:val="black"/>
                    <w:lang w:eastAsia="en-US"/>
                  </w:rPr>
                  <w:t>XXXXXXXXXXXXXXXXXX</w:t>
                </w:r>
              </w:p>
            </w:tc>
          </w:tr>
          <w:tr w:rsidRPr="00431A70" w:rsidR="00F2423D" w:rsidTr="0D888D6B" w14:paraId="182C3FB4" w14:textId="77777777">
            <w:trPr>
              <w:trHeight w:val="283"/>
            </w:trPr>
            <w:tc>
              <w:tcPr>
                <w:tcW w:w="2589" w:type="dxa"/>
                <w:tcMar/>
              </w:tcPr>
              <w:p w:rsidRPr="00431A70" w:rsidR="00F2423D" w:rsidP="009A7587" w:rsidRDefault="00F2423D" w14:paraId="5210C3F3"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43" w:type="dxa"/>
                <w:tcMar/>
              </w:tcPr>
              <w:p w:rsidRPr="005F13CF" w:rsidR="00F2423D" w:rsidP="0031023E" w:rsidRDefault="00F2423D" w14:paraId="683A1B0A" w14:textId="7BDF0D18">
                <w:pPr>
                  <w:tabs>
                    <w:tab w:val="left" w:pos="2834"/>
                    <w:tab w:val="right" w:pos="8838"/>
                  </w:tabs>
                  <w:ind w:left="-106" w:right="-105"/>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val="es-MX" w:eastAsia="en-US"/>
                  </w:rPr>
                  <w:t>Comisión de Derechos Humanos del Estado de México</w:t>
                </w:r>
              </w:p>
            </w:tc>
          </w:tr>
          <w:tr w:rsidRPr="00431A70" w:rsidR="00F2423D" w:rsidTr="0D888D6B" w14:paraId="54CCACE5" w14:textId="77777777">
            <w:trPr>
              <w:trHeight w:val="283"/>
            </w:trPr>
            <w:tc>
              <w:tcPr>
                <w:tcW w:w="2589" w:type="dxa"/>
                <w:tcMar/>
              </w:tcPr>
              <w:p w:rsidRPr="00431A70" w:rsidR="00F2423D" w:rsidP="009A7587" w:rsidRDefault="00F2423D" w14:paraId="74949389"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43" w:type="dxa"/>
                <w:tcMar/>
              </w:tcPr>
              <w:p w:rsidRPr="00431A70" w:rsidR="00F2423D" w:rsidP="005F13CF" w:rsidRDefault="00F2423D" w14:paraId="02ECE2FD" w14:textId="77777777">
                <w:pPr>
                  <w:tabs>
                    <w:tab w:val="right" w:pos="8838"/>
                  </w:tabs>
                  <w:ind w:left="-106" w:right="-105"/>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F2423D" w:rsidP="00DB7E5F" w:rsidRDefault="00F2423D" w14:paraId="4B11B4BF" w14:textId="77777777">
          <w:pPr>
            <w:tabs>
              <w:tab w:val="right" w:pos="8838"/>
            </w:tabs>
            <w:ind w:left="-28"/>
            <w:jc w:val="both"/>
            <w:rPr>
              <w:rFonts w:ascii="Arial" w:hAnsi="Arial" w:eastAsia="Calibri" w:cs="Arial"/>
              <w:b/>
              <w:sz w:val="22"/>
              <w:szCs w:val="22"/>
              <w:lang w:eastAsia="en-US"/>
            </w:rPr>
          </w:pPr>
        </w:p>
      </w:tc>
    </w:tr>
  </w:tbl>
  <w:p w:rsidRPr="00330DA7" w:rsidR="00F2423D" w:rsidP="00B727C5" w:rsidRDefault="00F2423D" w14:paraId="6DC1C471" w14:textId="77777777">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hint="default" w:ascii="Symbol" w:hAnsi="Symbol"/>
      </w:rPr>
    </w:lvl>
  </w:abstractNum>
  <w:abstractNum w:abstractNumId="1" w15:restartNumberingAfterBreak="0">
    <w:nsid w:val="01C45AF7"/>
    <w:multiLevelType w:val="hybridMultilevel"/>
    <w:tmpl w:val="2D7A1A5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59260A9"/>
    <w:multiLevelType w:val="hybridMultilevel"/>
    <w:tmpl w:val="F56CB20E"/>
    <w:lvl w:ilvl="0" w:tplc="75E2FBB2">
      <w:start w:val="2"/>
      <w:numFmt w:val="decimal"/>
      <w:lvlText w:val="%1."/>
      <w:lvlJc w:val="left"/>
      <w:pPr>
        <w:ind w:left="1065" w:hanging="705"/>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470C43"/>
    <w:multiLevelType w:val="hybridMultilevel"/>
    <w:tmpl w:val="D5E2B79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09CB6C09"/>
    <w:multiLevelType w:val="hybridMultilevel"/>
    <w:tmpl w:val="2050168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0AC7157A"/>
    <w:multiLevelType w:val="hybridMultilevel"/>
    <w:tmpl w:val="0A9E9750"/>
    <w:lvl w:ilvl="0" w:tplc="37FAECC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C4F5620"/>
    <w:multiLevelType w:val="hybridMultilevel"/>
    <w:tmpl w:val="AE0200E8"/>
    <w:lvl w:ilvl="0" w:tplc="1A6ABA36">
      <w:start w:val="8"/>
      <w:numFmt w:val="decimal"/>
      <w:lvlText w:val="%1."/>
      <w:lvlJc w:val="left"/>
      <w:pPr>
        <w:ind w:left="1065" w:hanging="705"/>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E4E0461"/>
    <w:multiLevelType w:val="hybridMultilevel"/>
    <w:tmpl w:val="741836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0" w15:restartNumberingAfterBreak="0">
    <w:nsid w:val="201339B5"/>
    <w:multiLevelType w:val="hybridMultilevel"/>
    <w:tmpl w:val="2B500EC8"/>
    <w:lvl w:ilvl="0" w:tplc="080A000B">
      <w:start w:val="1"/>
      <w:numFmt w:val="bullet"/>
      <w:lvlText w:val=""/>
      <w:lvlJc w:val="left"/>
      <w:pPr>
        <w:ind w:left="1440" w:hanging="360"/>
      </w:pPr>
      <w:rPr>
        <w:rFonts w:hint="default" w:ascii="Wingdings" w:hAnsi="Wingdings"/>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11" w15:restartNumberingAfterBreak="0">
    <w:nsid w:val="2078513D"/>
    <w:multiLevelType w:val="hybridMultilevel"/>
    <w:tmpl w:val="8EC0D056"/>
    <w:lvl w:ilvl="0" w:tplc="8CE6D8FE">
      <w:start w:val="3"/>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937EFD"/>
    <w:multiLevelType w:val="hybridMultilevel"/>
    <w:tmpl w:val="DFEAA5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1D3DC8"/>
    <w:multiLevelType w:val="hybridMultilevel"/>
    <w:tmpl w:val="D7FEAB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360DEA"/>
    <w:multiLevelType w:val="hybridMultilevel"/>
    <w:tmpl w:val="005AFEEA"/>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16" w15:restartNumberingAfterBreak="0">
    <w:nsid w:val="2EF36775"/>
    <w:multiLevelType w:val="hybridMultilevel"/>
    <w:tmpl w:val="39E8066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2F31292A"/>
    <w:multiLevelType w:val="hybridMultilevel"/>
    <w:tmpl w:val="C8480E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0BA7E48"/>
    <w:multiLevelType w:val="hybridMultilevel"/>
    <w:tmpl w:val="CD1E71B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31D023F1"/>
    <w:multiLevelType w:val="hybridMultilevel"/>
    <w:tmpl w:val="242611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F60587"/>
    <w:multiLevelType w:val="hybridMultilevel"/>
    <w:tmpl w:val="9A80947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3B2700D3"/>
    <w:multiLevelType w:val="hybridMultilevel"/>
    <w:tmpl w:val="A29A70F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3ECA0397"/>
    <w:multiLevelType w:val="hybridMultilevel"/>
    <w:tmpl w:val="28D85BA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40780549"/>
    <w:multiLevelType w:val="hybridMultilevel"/>
    <w:tmpl w:val="DC3218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2F8675A"/>
    <w:multiLevelType w:val="hybridMultilevel"/>
    <w:tmpl w:val="4BBE4D56"/>
    <w:lvl w:ilvl="0" w:tplc="CEE6EA68">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7F42A7F"/>
    <w:multiLevelType w:val="hybridMultilevel"/>
    <w:tmpl w:val="11DA165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497548EC"/>
    <w:multiLevelType w:val="hybridMultilevel"/>
    <w:tmpl w:val="9A344AF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49F740FF"/>
    <w:multiLevelType w:val="hybridMultilevel"/>
    <w:tmpl w:val="265E52B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EDD4CAE"/>
    <w:multiLevelType w:val="hybridMultilevel"/>
    <w:tmpl w:val="EFF40530"/>
    <w:lvl w:ilvl="0" w:tplc="932C81D0">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C0D1D37"/>
    <w:multiLevelType w:val="hybridMultilevel"/>
    <w:tmpl w:val="1CB0D6B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60A033B3"/>
    <w:multiLevelType w:val="hybridMultilevel"/>
    <w:tmpl w:val="498AB5E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2" w15:restartNumberingAfterBreak="0">
    <w:nsid w:val="66E23506"/>
    <w:multiLevelType w:val="hybridMultilevel"/>
    <w:tmpl w:val="242611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4" w15:restartNumberingAfterBreak="0">
    <w:nsid w:val="7ADA4D23"/>
    <w:multiLevelType w:val="hybridMultilevel"/>
    <w:tmpl w:val="D59A059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5" w15:restartNumberingAfterBreak="0">
    <w:nsid w:val="7E196450"/>
    <w:multiLevelType w:val="hybridMultilevel"/>
    <w:tmpl w:val="28A4AA6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6" w15:restartNumberingAfterBreak="0">
    <w:nsid w:val="7E490726"/>
    <w:multiLevelType w:val="hybridMultilevel"/>
    <w:tmpl w:val="E43C6C0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597100796">
    <w:abstractNumId w:val="0"/>
  </w:num>
  <w:num w:numId="2" w16cid:durableId="1346830607">
    <w:abstractNumId w:val="30"/>
  </w:num>
  <w:num w:numId="3" w16cid:durableId="1248877762">
    <w:abstractNumId w:val="4"/>
  </w:num>
  <w:num w:numId="4" w16cid:durableId="6856682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3658078">
    <w:abstractNumId w:val="8"/>
  </w:num>
  <w:num w:numId="6" w16cid:durableId="337925079">
    <w:abstractNumId w:val="17"/>
  </w:num>
  <w:num w:numId="7" w16cid:durableId="904336565">
    <w:abstractNumId w:val="34"/>
  </w:num>
  <w:num w:numId="8" w16cid:durableId="1853374089">
    <w:abstractNumId w:val="28"/>
  </w:num>
  <w:num w:numId="9" w16cid:durableId="168914018">
    <w:abstractNumId w:val="18"/>
  </w:num>
  <w:num w:numId="10" w16cid:durableId="1287157407">
    <w:abstractNumId w:val="35"/>
  </w:num>
  <w:num w:numId="11" w16cid:durableId="1837526947">
    <w:abstractNumId w:val="26"/>
  </w:num>
  <w:num w:numId="12" w16cid:durableId="457383142">
    <w:abstractNumId w:val="29"/>
  </w:num>
  <w:num w:numId="13" w16cid:durableId="343672621">
    <w:abstractNumId w:val="5"/>
  </w:num>
  <w:num w:numId="14" w16cid:durableId="1749375346">
    <w:abstractNumId w:val="36"/>
  </w:num>
  <w:num w:numId="15" w16cid:durableId="35994209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39111403">
    <w:abstractNumId w:val="20"/>
  </w:num>
  <w:num w:numId="17" w16cid:durableId="301084761">
    <w:abstractNumId w:val="2"/>
  </w:num>
  <w:num w:numId="18" w16cid:durableId="1777674003">
    <w:abstractNumId w:val="10"/>
  </w:num>
  <w:num w:numId="19" w16cid:durableId="2018147590">
    <w:abstractNumId w:val="15"/>
  </w:num>
  <w:num w:numId="20" w16cid:durableId="1940989396">
    <w:abstractNumId w:val="9"/>
    <w:lvlOverride w:ilvl="0">
      <w:startOverride w:val="1"/>
    </w:lvlOverride>
    <w:lvlOverride w:ilvl="1"/>
    <w:lvlOverride w:ilvl="2"/>
    <w:lvlOverride w:ilvl="3"/>
    <w:lvlOverride w:ilvl="4"/>
    <w:lvlOverride w:ilvl="5"/>
    <w:lvlOverride w:ilvl="6"/>
    <w:lvlOverride w:ilvl="7"/>
    <w:lvlOverride w:ilvl="8"/>
  </w:num>
  <w:num w:numId="21" w16cid:durableId="696663070">
    <w:abstractNumId w:val="19"/>
  </w:num>
  <w:num w:numId="22" w16cid:durableId="1794788953">
    <w:abstractNumId w:val="13"/>
  </w:num>
  <w:num w:numId="23" w16cid:durableId="1688093342">
    <w:abstractNumId w:val="32"/>
  </w:num>
  <w:num w:numId="24" w16cid:durableId="1672028327">
    <w:abstractNumId w:val="16"/>
  </w:num>
  <w:num w:numId="25" w16cid:durableId="2132893245">
    <w:abstractNumId w:val="31"/>
  </w:num>
  <w:num w:numId="26" w16cid:durableId="339623360">
    <w:abstractNumId w:val="1"/>
  </w:num>
  <w:num w:numId="27" w16cid:durableId="168452939">
    <w:abstractNumId w:val="21"/>
  </w:num>
  <w:num w:numId="28" w16cid:durableId="1011447688">
    <w:abstractNumId w:val="23"/>
  </w:num>
  <w:num w:numId="29" w16cid:durableId="1826579421">
    <w:abstractNumId w:val="24"/>
  </w:num>
  <w:num w:numId="30" w16cid:durableId="338316502">
    <w:abstractNumId w:val="3"/>
  </w:num>
  <w:num w:numId="31" w16cid:durableId="1313214037">
    <w:abstractNumId w:val="7"/>
  </w:num>
  <w:num w:numId="32" w16cid:durableId="490099795">
    <w:abstractNumId w:val="14"/>
  </w:num>
  <w:num w:numId="33" w16cid:durableId="658002746">
    <w:abstractNumId w:val="22"/>
  </w:num>
  <w:num w:numId="34" w16cid:durableId="412942472">
    <w:abstractNumId w:val="27"/>
  </w:num>
  <w:num w:numId="35" w16cid:durableId="1330252025">
    <w:abstractNumId w:val="25"/>
  </w:num>
  <w:num w:numId="36" w16cid:durableId="543253198">
    <w:abstractNumId w:val="6"/>
  </w:num>
  <w:num w:numId="37" w16cid:durableId="1086731943">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2CF8"/>
    <w:rsid w:val="0000339F"/>
    <w:rsid w:val="00003AAE"/>
    <w:rsid w:val="00003B18"/>
    <w:rsid w:val="00004263"/>
    <w:rsid w:val="0000485A"/>
    <w:rsid w:val="00005668"/>
    <w:rsid w:val="00006091"/>
    <w:rsid w:val="00006543"/>
    <w:rsid w:val="00006DC5"/>
    <w:rsid w:val="00007C72"/>
    <w:rsid w:val="00010426"/>
    <w:rsid w:val="000106AE"/>
    <w:rsid w:val="00013291"/>
    <w:rsid w:val="00013861"/>
    <w:rsid w:val="00013A19"/>
    <w:rsid w:val="00013C8D"/>
    <w:rsid w:val="0001402B"/>
    <w:rsid w:val="00014465"/>
    <w:rsid w:val="00014BC5"/>
    <w:rsid w:val="00015D5C"/>
    <w:rsid w:val="00016A4A"/>
    <w:rsid w:val="00017858"/>
    <w:rsid w:val="00017D26"/>
    <w:rsid w:val="00020799"/>
    <w:rsid w:val="00020818"/>
    <w:rsid w:val="00020AA1"/>
    <w:rsid w:val="00020C07"/>
    <w:rsid w:val="000212E5"/>
    <w:rsid w:val="00021C64"/>
    <w:rsid w:val="0002227D"/>
    <w:rsid w:val="00023351"/>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1752"/>
    <w:rsid w:val="00032F5B"/>
    <w:rsid w:val="00033086"/>
    <w:rsid w:val="0003481C"/>
    <w:rsid w:val="00034E9D"/>
    <w:rsid w:val="000350F7"/>
    <w:rsid w:val="00035F9E"/>
    <w:rsid w:val="000365F4"/>
    <w:rsid w:val="000373BC"/>
    <w:rsid w:val="000378BC"/>
    <w:rsid w:val="00037B34"/>
    <w:rsid w:val="00037F4B"/>
    <w:rsid w:val="00040101"/>
    <w:rsid w:val="000415F1"/>
    <w:rsid w:val="00043009"/>
    <w:rsid w:val="00043C4B"/>
    <w:rsid w:val="000452B7"/>
    <w:rsid w:val="00045736"/>
    <w:rsid w:val="0004646B"/>
    <w:rsid w:val="000467AD"/>
    <w:rsid w:val="0004735D"/>
    <w:rsid w:val="00047C1B"/>
    <w:rsid w:val="00051243"/>
    <w:rsid w:val="000519F6"/>
    <w:rsid w:val="00051E32"/>
    <w:rsid w:val="000523BB"/>
    <w:rsid w:val="000528E6"/>
    <w:rsid w:val="00053784"/>
    <w:rsid w:val="00053EEF"/>
    <w:rsid w:val="0005422F"/>
    <w:rsid w:val="00055361"/>
    <w:rsid w:val="00056A85"/>
    <w:rsid w:val="00057250"/>
    <w:rsid w:val="0006017B"/>
    <w:rsid w:val="00060BE1"/>
    <w:rsid w:val="00061F79"/>
    <w:rsid w:val="000620E1"/>
    <w:rsid w:val="00062B8B"/>
    <w:rsid w:val="00063514"/>
    <w:rsid w:val="000640BD"/>
    <w:rsid w:val="00064855"/>
    <w:rsid w:val="000648B3"/>
    <w:rsid w:val="0006654C"/>
    <w:rsid w:val="000666FD"/>
    <w:rsid w:val="000672AA"/>
    <w:rsid w:val="00070738"/>
    <w:rsid w:val="00071A4A"/>
    <w:rsid w:val="0007204D"/>
    <w:rsid w:val="00072AD9"/>
    <w:rsid w:val="00073C50"/>
    <w:rsid w:val="000749A5"/>
    <w:rsid w:val="00075542"/>
    <w:rsid w:val="000758B2"/>
    <w:rsid w:val="00075C83"/>
    <w:rsid w:val="000765EA"/>
    <w:rsid w:val="000778B2"/>
    <w:rsid w:val="000805CC"/>
    <w:rsid w:val="000813B0"/>
    <w:rsid w:val="0008148B"/>
    <w:rsid w:val="00081756"/>
    <w:rsid w:val="00081A5F"/>
    <w:rsid w:val="00081C1C"/>
    <w:rsid w:val="000851BA"/>
    <w:rsid w:val="00086A01"/>
    <w:rsid w:val="0008787B"/>
    <w:rsid w:val="000910AA"/>
    <w:rsid w:val="00091672"/>
    <w:rsid w:val="00091759"/>
    <w:rsid w:val="00092475"/>
    <w:rsid w:val="0009263F"/>
    <w:rsid w:val="00092AD0"/>
    <w:rsid w:val="000939AD"/>
    <w:rsid w:val="000943DD"/>
    <w:rsid w:val="00096500"/>
    <w:rsid w:val="00097211"/>
    <w:rsid w:val="00097806"/>
    <w:rsid w:val="000A001B"/>
    <w:rsid w:val="000A0518"/>
    <w:rsid w:val="000A0861"/>
    <w:rsid w:val="000A1342"/>
    <w:rsid w:val="000A20A4"/>
    <w:rsid w:val="000A275D"/>
    <w:rsid w:val="000A3AEE"/>
    <w:rsid w:val="000A5058"/>
    <w:rsid w:val="000A5BA8"/>
    <w:rsid w:val="000A7211"/>
    <w:rsid w:val="000A7B4C"/>
    <w:rsid w:val="000B0C2B"/>
    <w:rsid w:val="000B1059"/>
    <w:rsid w:val="000B1D37"/>
    <w:rsid w:val="000B2318"/>
    <w:rsid w:val="000B24EE"/>
    <w:rsid w:val="000B254D"/>
    <w:rsid w:val="000B2C93"/>
    <w:rsid w:val="000B36DD"/>
    <w:rsid w:val="000B4248"/>
    <w:rsid w:val="000B45D4"/>
    <w:rsid w:val="000B5711"/>
    <w:rsid w:val="000B5B9F"/>
    <w:rsid w:val="000B5E8D"/>
    <w:rsid w:val="000B6020"/>
    <w:rsid w:val="000C0396"/>
    <w:rsid w:val="000C04EA"/>
    <w:rsid w:val="000C055A"/>
    <w:rsid w:val="000C2283"/>
    <w:rsid w:val="000C2529"/>
    <w:rsid w:val="000C27CA"/>
    <w:rsid w:val="000C27CC"/>
    <w:rsid w:val="000C3B64"/>
    <w:rsid w:val="000C3F1A"/>
    <w:rsid w:val="000C471D"/>
    <w:rsid w:val="000C59CB"/>
    <w:rsid w:val="000C60A2"/>
    <w:rsid w:val="000C6179"/>
    <w:rsid w:val="000C77BB"/>
    <w:rsid w:val="000C7B74"/>
    <w:rsid w:val="000D0B08"/>
    <w:rsid w:val="000D1DDF"/>
    <w:rsid w:val="000D1F49"/>
    <w:rsid w:val="000D2646"/>
    <w:rsid w:val="000D2A27"/>
    <w:rsid w:val="000D300A"/>
    <w:rsid w:val="000D3B88"/>
    <w:rsid w:val="000D3EFB"/>
    <w:rsid w:val="000D552A"/>
    <w:rsid w:val="000D62E2"/>
    <w:rsid w:val="000D62EF"/>
    <w:rsid w:val="000D6304"/>
    <w:rsid w:val="000E0BEA"/>
    <w:rsid w:val="000E189E"/>
    <w:rsid w:val="000E2884"/>
    <w:rsid w:val="000E50C3"/>
    <w:rsid w:val="000E54A2"/>
    <w:rsid w:val="000E6517"/>
    <w:rsid w:val="000E7527"/>
    <w:rsid w:val="000E7E79"/>
    <w:rsid w:val="000F019D"/>
    <w:rsid w:val="000F02BE"/>
    <w:rsid w:val="000F24C8"/>
    <w:rsid w:val="000F2B83"/>
    <w:rsid w:val="000F2EBF"/>
    <w:rsid w:val="000F3B9F"/>
    <w:rsid w:val="000F3D6D"/>
    <w:rsid w:val="000F3DA0"/>
    <w:rsid w:val="000F4178"/>
    <w:rsid w:val="000F4183"/>
    <w:rsid w:val="000F437A"/>
    <w:rsid w:val="000F4876"/>
    <w:rsid w:val="000F555D"/>
    <w:rsid w:val="000F5B40"/>
    <w:rsid w:val="000F6336"/>
    <w:rsid w:val="000F661E"/>
    <w:rsid w:val="000F6834"/>
    <w:rsid w:val="000F75DE"/>
    <w:rsid w:val="000F76AB"/>
    <w:rsid w:val="000F7A45"/>
    <w:rsid w:val="000F7FD8"/>
    <w:rsid w:val="001004F1"/>
    <w:rsid w:val="00100BAC"/>
    <w:rsid w:val="001013E3"/>
    <w:rsid w:val="001017B7"/>
    <w:rsid w:val="001034C6"/>
    <w:rsid w:val="00103855"/>
    <w:rsid w:val="001049B0"/>
    <w:rsid w:val="00104ADB"/>
    <w:rsid w:val="001057BC"/>
    <w:rsid w:val="00107D2F"/>
    <w:rsid w:val="00110E1B"/>
    <w:rsid w:val="00111385"/>
    <w:rsid w:val="00111825"/>
    <w:rsid w:val="00111AE8"/>
    <w:rsid w:val="00111EFD"/>
    <w:rsid w:val="001133D5"/>
    <w:rsid w:val="00113A60"/>
    <w:rsid w:val="00114068"/>
    <w:rsid w:val="001141F0"/>
    <w:rsid w:val="001147DC"/>
    <w:rsid w:val="00114967"/>
    <w:rsid w:val="001150E9"/>
    <w:rsid w:val="0011605B"/>
    <w:rsid w:val="001166C8"/>
    <w:rsid w:val="001171BD"/>
    <w:rsid w:val="00117CD7"/>
    <w:rsid w:val="00117FA6"/>
    <w:rsid w:val="0012216D"/>
    <w:rsid w:val="001221B8"/>
    <w:rsid w:val="001227A5"/>
    <w:rsid w:val="001232B9"/>
    <w:rsid w:val="0012668C"/>
    <w:rsid w:val="00126A21"/>
    <w:rsid w:val="00126F68"/>
    <w:rsid w:val="001270CA"/>
    <w:rsid w:val="00127546"/>
    <w:rsid w:val="00127757"/>
    <w:rsid w:val="001279BF"/>
    <w:rsid w:val="00127B6A"/>
    <w:rsid w:val="00130B72"/>
    <w:rsid w:val="00130C11"/>
    <w:rsid w:val="001326B3"/>
    <w:rsid w:val="00132A80"/>
    <w:rsid w:val="00132F95"/>
    <w:rsid w:val="00133222"/>
    <w:rsid w:val="00133B0C"/>
    <w:rsid w:val="00133BBB"/>
    <w:rsid w:val="0013420A"/>
    <w:rsid w:val="00134409"/>
    <w:rsid w:val="001346BA"/>
    <w:rsid w:val="001351A3"/>
    <w:rsid w:val="00135955"/>
    <w:rsid w:val="00136051"/>
    <w:rsid w:val="00136073"/>
    <w:rsid w:val="0013647C"/>
    <w:rsid w:val="0013791C"/>
    <w:rsid w:val="00137B8F"/>
    <w:rsid w:val="0014037C"/>
    <w:rsid w:val="00141895"/>
    <w:rsid w:val="00141CDA"/>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A24"/>
    <w:rsid w:val="00162CCE"/>
    <w:rsid w:val="00163387"/>
    <w:rsid w:val="00163BAA"/>
    <w:rsid w:val="001646D2"/>
    <w:rsid w:val="00165010"/>
    <w:rsid w:val="00165891"/>
    <w:rsid w:val="0016712E"/>
    <w:rsid w:val="00167136"/>
    <w:rsid w:val="00170545"/>
    <w:rsid w:val="00171ADD"/>
    <w:rsid w:val="001728F3"/>
    <w:rsid w:val="00172F78"/>
    <w:rsid w:val="00173533"/>
    <w:rsid w:val="00173548"/>
    <w:rsid w:val="00174390"/>
    <w:rsid w:val="0017459B"/>
    <w:rsid w:val="00175A0D"/>
    <w:rsid w:val="00175CEB"/>
    <w:rsid w:val="00175E61"/>
    <w:rsid w:val="00176367"/>
    <w:rsid w:val="00177532"/>
    <w:rsid w:val="00177BFC"/>
    <w:rsid w:val="00177C07"/>
    <w:rsid w:val="00180208"/>
    <w:rsid w:val="00180213"/>
    <w:rsid w:val="00180365"/>
    <w:rsid w:val="00180DE9"/>
    <w:rsid w:val="001821D9"/>
    <w:rsid w:val="001824D6"/>
    <w:rsid w:val="00182D6C"/>
    <w:rsid w:val="00182DCE"/>
    <w:rsid w:val="00182F0F"/>
    <w:rsid w:val="001832D9"/>
    <w:rsid w:val="00183664"/>
    <w:rsid w:val="00183D24"/>
    <w:rsid w:val="001851A6"/>
    <w:rsid w:val="00186AC2"/>
    <w:rsid w:val="00187211"/>
    <w:rsid w:val="001872B5"/>
    <w:rsid w:val="001875A7"/>
    <w:rsid w:val="001879E1"/>
    <w:rsid w:val="0019031A"/>
    <w:rsid w:val="00190E90"/>
    <w:rsid w:val="00190F5F"/>
    <w:rsid w:val="0019295F"/>
    <w:rsid w:val="0019389B"/>
    <w:rsid w:val="00196522"/>
    <w:rsid w:val="001A0D93"/>
    <w:rsid w:val="001A1B94"/>
    <w:rsid w:val="001A22F5"/>
    <w:rsid w:val="001A372F"/>
    <w:rsid w:val="001A3887"/>
    <w:rsid w:val="001A3AF1"/>
    <w:rsid w:val="001A412B"/>
    <w:rsid w:val="001A4B83"/>
    <w:rsid w:val="001A4BBA"/>
    <w:rsid w:val="001A4BBC"/>
    <w:rsid w:val="001A4BEA"/>
    <w:rsid w:val="001A5BDB"/>
    <w:rsid w:val="001A5DF5"/>
    <w:rsid w:val="001A6FDD"/>
    <w:rsid w:val="001A7153"/>
    <w:rsid w:val="001A769E"/>
    <w:rsid w:val="001A7FD2"/>
    <w:rsid w:val="001B04B4"/>
    <w:rsid w:val="001B0D53"/>
    <w:rsid w:val="001B107D"/>
    <w:rsid w:val="001B1997"/>
    <w:rsid w:val="001B2CD9"/>
    <w:rsid w:val="001B2EA3"/>
    <w:rsid w:val="001B38FF"/>
    <w:rsid w:val="001B4549"/>
    <w:rsid w:val="001B62A0"/>
    <w:rsid w:val="001B6C10"/>
    <w:rsid w:val="001C0C73"/>
    <w:rsid w:val="001C1705"/>
    <w:rsid w:val="001C17B0"/>
    <w:rsid w:val="001C182B"/>
    <w:rsid w:val="001C1CFF"/>
    <w:rsid w:val="001C1F74"/>
    <w:rsid w:val="001C282F"/>
    <w:rsid w:val="001C45E3"/>
    <w:rsid w:val="001C53CA"/>
    <w:rsid w:val="001C56BD"/>
    <w:rsid w:val="001C67BD"/>
    <w:rsid w:val="001C7DDF"/>
    <w:rsid w:val="001D0086"/>
    <w:rsid w:val="001D0094"/>
    <w:rsid w:val="001D0B58"/>
    <w:rsid w:val="001D1C9C"/>
    <w:rsid w:val="001D3086"/>
    <w:rsid w:val="001D3CA3"/>
    <w:rsid w:val="001D3E97"/>
    <w:rsid w:val="001D5A6D"/>
    <w:rsid w:val="001D67AC"/>
    <w:rsid w:val="001D7012"/>
    <w:rsid w:val="001D733A"/>
    <w:rsid w:val="001D7530"/>
    <w:rsid w:val="001D7974"/>
    <w:rsid w:val="001D7BD2"/>
    <w:rsid w:val="001E04FC"/>
    <w:rsid w:val="001E05F1"/>
    <w:rsid w:val="001E0C19"/>
    <w:rsid w:val="001E211D"/>
    <w:rsid w:val="001E293E"/>
    <w:rsid w:val="001E2A4D"/>
    <w:rsid w:val="001E331E"/>
    <w:rsid w:val="001E3322"/>
    <w:rsid w:val="001E343E"/>
    <w:rsid w:val="001E4C89"/>
    <w:rsid w:val="001E53C2"/>
    <w:rsid w:val="001E548E"/>
    <w:rsid w:val="001E6342"/>
    <w:rsid w:val="001E6357"/>
    <w:rsid w:val="001E6816"/>
    <w:rsid w:val="001E6FC5"/>
    <w:rsid w:val="001E745E"/>
    <w:rsid w:val="001F0C4E"/>
    <w:rsid w:val="001F0E9C"/>
    <w:rsid w:val="001F0EB8"/>
    <w:rsid w:val="001F0F7D"/>
    <w:rsid w:val="001F1540"/>
    <w:rsid w:val="001F18F9"/>
    <w:rsid w:val="001F1A77"/>
    <w:rsid w:val="001F2C2A"/>
    <w:rsid w:val="001F30C3"/>
    <w:rsid w:val="001F3351"/>
    <w:rsid w:val="001F5C7C"/>
    <w:rsid w:val="001F5D3A"/>
    <w:rsid w:val="001F652C"/>
    <w:rsid w:val="001F787A"/>
    <w:rsid w:val="001F78D9"/>
    <w:rsid w:val="0020024D"/>
    <w:rsid w:val="00200E50"/>
    <w:rsid w:val="002020FA"/>
    <w:rsid w:val="00202DB8"/>
    <w:rsid w:val="00203950"/>
    <w:rsid w:val="002051ED"/>
    <w:rsid w:val="002060B4"/>
    <w:rsid w:val="002066D0"/>
    <w:rsid w:val="00206EC9"/>
    <w:rsid w:val="002072EE"/>
    <w:rsid w:val="00207359"/>
    <w:rsid w:val="00207736"/>
    <w:rsid w:val="002079D3"/>
    <w:rsid w:val="00207D7C"/>
    <w:rsid w:val="00207F5A"/>
    <w:rsid w:val="0021049B"/>
    <w:rsid w:val="00210546"/>
    <w:rsid w:val="002108B0"/>
    <w:rsid w:val="00210A50"/>
    <w:rsid w:val="00211293"/>
    <w:rsid w:val="002121D1"/>
    <w:rsid w:val="00212460"/>
    <w:rsid w:val="00215D0D"/>
    <w:rsid w:val="002161C6"/>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2FE"/>
    <w:rsid w:val="00230629"/>
    <w:rsid w:val="00230E81"/>
    <w:rsid w:val="0023183A"/>
    <w:rsid w:val="00232251"/>
    <w:rsid w:val="00232673"/>
    <w:rsid w:val="00232700"/>
    <w:rsid w:val="002343FF"/>
    <w:rsid w:val="0023568B"/>
    <w:rsid w:val="00235F93"/>
    <w:rsid w:val="00236653"/>
    <w:rsid w:val="00236863"/>
    <w:rsid w:val="00237C1F"/>
    <w:rsid w:val="00237D0D"/>
    <w:rsid w:val="00240363"/>
    <w:rsid w:val="00241116"/>
    <w:rsid w:val="00241D5D"/>
    <w:rsid w:val="002433A4"/>
    <w:rsid w:val="002435DC"/>
    <w:rsid w:val="002439A6"/>
    <w:rsid w:val="002447B2"/>
    <w:rsid w:val="00244ABB"/>
    <w:rsid w:val="00245F9F"/>
    <w:rsid w:val="00246501"/>
    <w:rsid w:val="00246E9B"/>
    <w:rsid w:val="00247B17"/>
    <w:rsid w:val="00247CFF"/>
    <w:rsid w:val="00247D21"/>
    <w:rsid w:val="00250389"/>
    <w:rsid w:val="00251FF7"/>
    <w:rsid w:val="002520B1"/>
    <w:rsid w:val="00252669"/>
    <w:rsid w:val="00252BD8"/>
    <w:rsid w:val="00252F10"/>
    <w:rsid w:val="00253937"/>
    <w:rsid w:val="00254209"/>
    <w:rsid w:val="00254288"/>
    <w:rsid w:val="0025469C"/>
    <w:rsid w:val="00255921"/>
    <w:rsid w:val="00257541"/>
    <w:rsid w:val="00257932"/>
    <w:rsid w:val="002579CE"/>
    <w:rsid w:val="00260BF5"/>
    <w:rsid w:val="00260FEC"/>
    <w:rsid w:val="0026108A"/>
    <w:rsid w:val="00261DD6"/>
    <w:rsid w:val="00262408"/>
    <w:rsid w:val="00263DDD"/>
    <w:rsid w:val="00263FE3"/>
    <w:rsid w:val="002649C4"/>
    <w:rsid w:val="002657E2"/>
    <w:rsid w:val="00265F4E"/>
    <w:rsid w:val="002661B2"/>
    <w:rsid w:val="002669E5"/>
    <w:rsid w:val="002671C8"/>
    <w:rsid w:val="002672CF"/>
    <w:rsid w:val="00271E0B"/>
    <w:rsid w:val="002727CC"/>
    <w:rsid w:val="00272ADB"/>
    <w:rsid w:val="00272F63"/>
    <w:rsid w:val="00273679"/>
    <w:rsid w:val="00274E6F"/>
    <w:rsid w:val="00275C84"/>
    <w:rsid w:val="00275CC4"/>
    <w:rsid w:val="00276009"/>
    <w:rsid w:val="00276A4C"/>
    <w:rsid w:val="00277B53"/>
    <w:rsid w:val="00280D8C"/>
    <w:rsid w:val="00280DC2"/>
    <w:rsid w:val="00281A35"/>
    <w:rsid w:val="00281AD9"/>
    <w:rsid w:val="002825EB"/>
    <w:rsid w:val="00283068"/>
    <w:rsid w:val="00284486"/>
    <w:rsid w:val="00285118"/>
    <w:rsid w:val="00285644"/>
    <w:rsid w:val="0028581E"/>
    <w:rsid w:val="0028601B"/>
    <w:rsid w:val="002862DB"/>
    <w:rsid w:val="0028682F"/>
    <w:rsid w:val="00286D0C"/>
    <w:rsid w:val="00287034"/>
    <w:rsid w:val="00291EFE"/>
    <w:rsid w:val="002922A1"/>
    <w:rsid w:val="00292319"/>
    <w:rsid w:val="00292EB1"/>
    <w:rsid w:val="002933B7"/>
    <w:rsid w:val="00293491"/>
    <w:rsid w:val="002942AB"/>
    <w:rsid w:val="00295F53"/>
    <w:rsid w:val="002A093E"/>
    <w:rsid w:val="002A0FB8"/>
    <w:rsid w:val="002A116B"/>
    <w:rsid w:val="002A169A"/>
    <w:rsid w:val="002A1B97"/>
    <w:rsid w:val="002A2EA3"/>
    <w:rsid w:val="002A415C"/>
    <w:rsid w:val="002A57D2"/>
    <w:rsid w:val="002A6193"/>
    <w:rsid w:val="002A66CD"/>
    <w:rsid w:val="002A6901"/>
    <w:rsid w:val="002A6E2B"/>
    <w:rsid w:val="002A717C"/>
    <w:rsid w:val="002A74AD"/>
    <w:rsid w:val="002A7BD4"/>
    <w:rsid w:val="002A7F32"/>
    <w:rsid w:val="002B1EE1"/>
    <w:rsid w:val="002B20A1"/>
    <w:rsid w:val="002B21A5"/>
    <w:rsid w:val="002B226E"/>
    <w:rsid w:val="002B3285"/>
    <w:rsid w:val="002B46D4"/>
    <w:rsid w:val="002B4C49"/>
    <w:rsid w:val="002B54CF"/>
    <w:rsid w:val="002B57F5"/>
    <w:rsid w:val="002B5BE0"/>
    <w:rsid w:val="002B70C7"/>
    <w:rsid w:val="002C06E4"/>
    <w:rsid w:val="002C1F2C"/>
    <w:rsid w:val="002C284D"/>
    <w:rsid w:val="002C3F5F"/>
    <w:rsid w:val="002C4046"/>
    <w:rsid w:val="002C431E"/>
    <w:rsid w:val="002C458A"/>
    <w:rsid w:val="002C46EE"/>
    <w:rsid w:val="002C483C"/>
    <w:rsid w:val="002C63FA"/>
    <w:rsid w:val="002C6BDE"/>
    <w:rsid w:val="002C7D36"/>
    <w:rsid w:val="002C7D95"/>
    <w:rsid w:val="002D1BE4"/>
    <w:rsid w:val="002D1D6C"/>
    <w:rsid w:val="002D33B0"/>
    <w:rsid w:val="002D3962"/>
    <w:rsid w:val="002D438B"/>
    <w:rsid w:val="002D4C3D"/>
    <w:rsid w:val="002D6323"/>
    <w:rsid w:val="002E074E"/>
    <w:rsid w:val="002E1218"/>
    <w:rsid w:val="002E1C48"/>
    <w:rsid w:val="002E2418"/>
    <w:rsid w:val="002E2DDD"/>
    <w:rsid w:val="002E3755"/>
    <w:rsid w:val="002E3FCF"/>
    <w:rsid w:val="002E4059"/>
    <w:rsid w:val="002E5015"/>
    <w:rsid w:val="002E5739"/>
    <w:rsid w:val="002E6FFD"/>
    <w:rsid w:val="002E7343"/>
    <w:rsid w:val="002E7ACF"/>
    <w:rsid w:val="002F072D"/>
    <w:rsid w:val="002F0C1A"/>
    <w:rsid w:val="002F0CE9"/>
    <w:rsid w:val="002F1E5A"/>
    <w:rsid w:val="002F3BD0"/>
    <w:rsid w:val="002F5441"/>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59A"/>
    <w:rsid w:val="00306418"/>
    <w:rsid w:val="003100F3"/>
    <w:rsid w:val="0031023E"/>
    <w:rsid w:val="00310C11"/>
    <w:rsid w:val="00311D8B"/>
    <w:rsid w:val="00311DCB"/>
    <w:rsid w:val="0031243F"/>
    <w:rsid w:val="00312456"/>
    <w:rsid w:val="0031313F"/>
    <w:rsid w:val="00316600"/>
    <w:rsid w:val="00317214"/>
    <w:rsid w:val="003172EC"/>
    <w:rsid w:val="00320253"/>
    <w:rsid w:val="00320B79"/>
    <w:rsid w:val="00320FC1"/>
    <w:rsid w:val="0032150B"/>
    <w:rsid w:val="0032170B"/>
    <w:rsid w:val="00322C74"/>
    <w:rsid w:val="00323325"/>
    <w:rsid w:val="0032377D"/>
    <w:rsid w:val="00323EA6"/>
    <w:rsid w:val="003243B0"/>
    <w:rsid w:val="003243D4"/>
    <w:rsid w:val="00324C7C"/>
    <w:rsid w:val="00325702"/>
    <w:rsid w:val="00325EC0"/>
    <w:rsid w:val="00326A83"/>
    <w:rsid w:val="00326EA2"/>
    <w:rsid w:val="00330729"/>
    <w:rsid w:val="00330822"/>
    <w:rsid w:val="00330D7B"/>
    <w:rsid w:val="00330DA7"/>
    <w:rsid w:val="003323E7"/>
    <w:rsid w:val="00332724"/>
    <w:rsid w:val="003340EC"/>
    <w:rsid w:val="0033421F"/>
    <w:rsid w:val="00334225"/>
    <w:rsid w:val="003350FF"/>
    <w:rsid w:val="00335DC9"/>
    <w:rsid w:val="003363F6"/>
    <w:rsid w:val="00337053"/>
    <w:rsid w:val="0034052B"/>
    <w:rsid w:val="0034057C"/>
    <w:rsid w:val="0034141F"/>
    <w:rsid w:val="003416A5"/>
    <w:rsid w:val="003416E2"/>
    <w:rsid w:val="003417A1"/>
    <w:rsid w:val="00341E21"/>
    <w:rsid w:val="00341E6C"/>
    <w:rsid w:val="00343B91"/>
    <w:rsid w:val="00343DCE"/>
    <w:rsid w:val="00344743"/>
    <w:rsid w:val="00350142"/>
    <w:rsid w:val="00350672"/>
    <w:rsid w:val="0035070B"/>
    <w:rsid w:val="00350D3D"/>
    <w:rsid w:val="0035107E"/>
    <w:rsid w:val="00351247"/>
    <w:rsid w:val="00353B6D"/>
    <w:rsid w:val="003541D8"/>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2EE8"/>
    <w:rsid w:val="0038358D"/>
    <w:rsid w:val="00383BDB"/>
    <w:rsid w:val="0038438A"/>
    <w:rsid w:val="00384393"/>
    <w:rsid w:val="0038554C"/>
    <w:rsid w:val="003864D2"/>
    <w:rsid w:val="00386AFB"/>
    <w:rsid w:val="00390249"/>
    <w:rsid w:val="003905C8"/>
    <w:rsid w:val="00390BF8"/>
    <w:rsid w:val="0039109D"/>
    <w:rsid w:val="0039165C"/>
    <w:rsid w:val="00391CC3"/>
    <w:rsid w:val="00391E2E"/>
    <w:rsid w:val="003925E2"/>
    <w:rsid w:val="00392877"/>
    <w:rsid w:val="00392E12"/>
    <w:rsid w:val="00393668"/>
    <w:rsid w:val="00393685"/>
    <w:rsid w:val="00393EB2"/>
    <w:rsid w:val="00394461"/>
    <w:rsid w:val="003948EA"/>
    <w:rsid w:val="00394CA8"/>
    <w:rsid w:val="00394D7E"/>
    <w:rsid w:val="003956E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BEF"/>
    <w:rsid w:val="003B6F7C"/>
    <w:rsid w:val="003C01B9"/>
    <w:rsid w:val="003C0AFA"/>
    <w:rsid w:val="003C0CA6"/>
    <w:rsid w:val="003C1B21"/>
    <w:rsid w:val="003C28B8"/>
    <w:rsid w:val="003C3BD5"/>
    <w:rsid w:val="003C3E71"/>
    <w:rsid w:val="003C4519"/>
    <w:rsid w:val="003C4EA1"/>
    <w:rsid w:val="003C5C01"/>
    <w:rsid w:val="003C600C"/>
    <w:rsid w:val="003C6934"/>
    <w:rsid w:val="003C7FD0"/>
    <w:rsid w:val="003D0268"/>
    <w:rsid w:val="003D11DD"/>
    <w:rsid w:val="003D1770"/>
    <w:rsid w:val="003D1A43"/>
    <w:rsid w:val="003D1A64"/>
    <w:rsid w:val="003D1AEC"/>
    <w:rsid w:val="003D1DB6"/>
    <w:rsid w:val="003D2878"/>
    <w:rsid w:val="003D4123"/>
    <w:rsid w:val="003D5792"/>
    <w:rsid w:val="003D58C8"/>
    <w:rsid w:val="003D5ABD"/>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25D4"/>
    <w:rsid w:val="003F3157"/>
    <w:rsid w:val="003F3C2B"/>
    <w:rsid w:val="003F3DEE"/>
    <w:rsid w:val="003F405A"/>
    <w:rsid w:val="003F57CA"/>
    <w:rsid w:val="003F650B"/>
    <w:rsid w:val="003F6EF0"/>
    <w:rsid w:val="004004E9"/>
    <w:rsid w:val="0040115B"/>
    <w:rsid w:val="00402B25"/>
    <w:rsid w:val="00402C4E"/>
    <w:rsid w:val="004052C5"/>
    <w:rsid w:val="00405476"/>
    <w:rsid w:val="004059FB"/>
    <w:rsid w:val="00406B7F"/>
    <w:rsid w:val="00406BFE"/>
    <w:rsid w:val="004074B3"/>
    <w:rsid w:val="00407A93"/>
    <w:rsid w:val="004100AA"/>
    <w:rsid w:val="00410CD2"/>
    <w:rsid w:val="00411961"/>
    <w:rsid w:val="00412203"/>
    <w:rsid w:val="0041222F"/>
    <w:rsid w:val="004128F6"/>
    <w:rsid w:val="00413718"/>
    <w:rsid w:val="004137A4"/>
    <w:rsid w:val="00413C18"/>
    <w:rsid w:val="00413C24"/>
    <w:rsid w:val="00414BF2"/>
    <w:rsid w:val="00414F9B"/>
    <w:rsid w:val="0041591A"/>
    <w:rsid w:val="004176D7"/>
    <w:rsid w:val="00417DE3"/>
    <w:rsid w:val="00417F91"/>
    <w:rsid w:val="00420B07"/>
    <w:rsid w:val="00420CCC"/>
    <w:rsid w:val="00420E30"/>
    <w:rsid w:val="00421B36"/>
    <w:rsid w:val="00421D3F"/>
    <w:rsid w:val="0042247C"/>
    <w:rsid w:val="00422869"/>
    <w:rsid w:val="00423D2F"/>
    <w:rsid w:val="00423F48"/>
    <w:rsid w:val="004250D2"/>
    <w:rsid w:val="00426448"/>
    <w:rsid w:val="00426613"/>
    <w:rsid w:val="00427408"/>
    <w:rsid w:val="00427457"/>
    <w:rsid w:val="00431A70"/>
    <w:rsid w:val="004321C5"/>
    <w:rsid w:val="0043257A"/>
    <w:rsid w:val="004327EE"/>
    <w:rsid w:val="00432F20"/>
    <w:rsid w:val="004339FC"/>
    <w:rsid w:val="00434202"/>
    <w:rsid w:val="00436305"/>
    <w:rsid w:val="00436FD3"/>
    <w:rsid w:val="00437B95"/>
    <w:rsid w:val="004406CF"/>
    <w:rsid w:val="00441804"/>
    <w:rsid w:val="004435B4"/>
    <w:rsid w:val="00443C24"/>
    <w:rsid w:val="00444D0E"/>
    <w:rsid w:val="0044550A"/>
    <w:rsid w:val="0044640B"/>
    <w:rsid w:val="004464AF"/>
    <w:rsid w:val="00447C98"/>
    <w:rsid w:val="00447F7D"/>
    <w:rsid w:val="004506B1"/>
    <w:rsid w:val="004506BF"/>
    <w:rsid w:val="004524C9"/>
    <w:rsid w:val="00452EF4"/>
    <w:rsid w:val="0045371C"/>
    <w:rsid w:val="00453729"/>
    <w:rsid w:val="0045411C"/>
    <w:rsid w:val="004544CD"/>
    <w:rsid w:val="00454DE4"/>
    <w:rsid w:val="00455993"/>
    <w:rsid w:val="00460032"/>
    <w:rsid w:val="0046048A"/>
    <w:rsid w:val="00461E53"/>
    <w:rsid w:val="00463F50"/>
    <w:rsid w:val="0046548F"/>
    <w:rsid w:val="00465497"/>
    <w:rsid w:val="00466346"/>
    <w:rsid w:val="00466C2C"/>
    <w:rsid w:val="00467498"/>
    <w:rsid w:val="004675F7"/>
    <w:rsid w:val="004676FF"/>
    <w:rsid w:val="004702B0"/>
    <w:rsid w:val="00473F72"/>
    <w:rsid w:val="004751D6"/>
    <w:rsid w:val="00475E6B"/>
    <w:rsid w:val="0047608E"/>
    <w:rsid w:val="004763B0"/>
    <w:rsid w:val="004769EB"/>
    <w:rsid w:val="00476A1A"/>
    <w:rsid w:val="00476EE9"/>
    <w:rsid w:val="00477546"/>
    <w:rsid w:val="00477667"/>
    <w:rsid w:val="00477AD3"/>
    <w:rsid w:val="00477DBA"/>
    <w:rsid w:val="00477E20"/>
    <w:rsid w:val="00480034"/>
    <w:rsid w:val="004809DC"/>
    <w:rsid w:val="00480A77"/>
    <w:rsid w:val="00480BB8"/>
    <w:rsid w:val="00481492"/>
    <w:rsid w:val="00481AC6"/>
    <w:rsid w:val="00481D51"/>
    <w:rsid w:val="0048519E"/>
    <w:rsid w:val="004857FD"/>
    <w:rsid w:val="00485EC7"/>
    <w:rsid w:val="004860BD"/>
    <w:rsid w:val="00487430"/>
    <w:rsid w:val="00487710"/>
    <w:rsid w:val="0049115D"/>
    <w:rsid w:val="00491430"/>
    <w:rsid w:val="00491A4E"/>
    <w:rsid w:val="004922A7"/>
    <w:rsid w:val="00492FAB"/>
    <w:rsid w:val="0049514C"/>
    <w:rsid w:val="00495D70"/>
    <w:rsid w:val="004960B3"/>
    <w:rsid w:val="004962E4"/>
    <w:rsid w:val="00496DAA"/>
    <w:rsid w:val="00497150"/>
    <w:rsid w:val="00497BA6"/>
    <w:rsid w:val="004A0079"/>
    <w:rsid w:val="004A0337"/>
    <w:rsid w:val="004A0A7B"/>
    <w:rsid w:val="004A0BB0"/>
    <w:rsid w:val="004A1745"/>
    <w:rsid w:val="004A1B57"/>
    <w:rsid w:val="004A1C04"/>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91D"/>
    <w:rsid w:val="004B5A60"/>
    <w:rsid w:val="004B7542"/>
    <w:rsid w:val="004B769A"/>
    <w:rsid w:val="004B7DB2"/>
    <w:rsid w:val="004B7E7A"/>
    <w:rsid w:val="004C14AC"/>
    <w:rsid w:val="004C17E0"/>
    <w:rsid w:val="004C30D4"/>
    <w:rsid w:val="004C36F9"/>
    <w:rsid w:val="004C4ACC"/>
    <w:rsid w:val="004C51C1"/>
    <w:rsid w:val="004C6F68"/>
    <w:rsid w:val="004C78C8"/>
    <w:rsid w:val="004C7AEC"/>
    <w:rsid w:val="004C7E83"/>
    <w:rsid w:val="004D01DA"/>
    <w:rsid w:val="004D0E1D"/>
    <w:rsid w:val="004D151D"/>
    <w:rsid w:val="004D18DE"/>
    <w:rsid w:val="004D19CC"/>
    <w:rsid w:val="004D2B43"/>
    <w:rsid w:val="004D3573"/>
    <w:rsid w:val="004D42A5"/>
    <w:rsid w:val="004D583C"/>
    <w:rsid w:val="004D5DB3"/>
    <w:rsid w:val="004D6AAE"/>
    <w:rsid w:val="004E019E"/>
    <w:rsid w:val="004E0AA4"/>
    <w:rsid w:val="004E0D17"/>
    <w:rsid w:val="004E1C06"/>
    <w:rsid w:val="004E24D4"/>
    <w:rsid w:val="004E2B43"/>
    <w:rsid w:val="004E2CEB"/>
    <w:rsid w:val="004E345F"/>
    <w:rsid w:val="004E3BBA"/>
    <w:rsid w:val="004E401B"/>
    <w:rsid w:val="004E41C7"/>
    <w:rsid w:val="004E43D5"/>
    <w:rsid w:val="004E446D"/>
    <w:rsid w:val="004E5BB8"/>
    <w:rsid w:val="004E660C"/>
    <w:rsid w:val="004E747A"/>
    <w:rsid w:val="004E7603"/>
    <w:rsid w:val="004E7759"/>
    <w:rsid w:val="004E7842"/>
    <w:rsid w:val="004E7C22"/>
    <w:rsid w:val="004E7DB7"/>
    <w:rsid w:val="004F0223"/>
    <w:rsid w:val="004F0E3C"/>
    <w:rsid w:val="004F26C4"/>
    <w:rsid w:val="004F2C69"/>
    <w:rsid w:val="004F2D88"/>
    <w:rsid w:val="004F2F70"/>
    <w:rsid w:val="004F3134"/>
    <w:rsid w:val="004F3156"/>
    <w:rsid w:val="004F3D21"/>
    <w:rsid w:val="004F4D64"/>
    <w:rsid w:val="004F582B"/>
    <w:rsid w:val="004F60EF"/>
    <w:rsid w:val="004F637B"/>
    <w:rsid w:val="004F6532"/>
    <w:rsid w:val="004F67C2"/>
    <w:rsid w:val="004F6E78"/>
    <w:rsid w:val="004F77A2"/>
    <w:rsid w:val="00501150"/>
    <w:rsid w:val="00501276"/>
    <w:rsid w:val="005014BB"/>
    <w:rsid w:val="00501A0B"/>
    <w:rsid w:val="00502502"/>
    <w:rsid w:val="005028CC"/>
    <w:rsid w:val="005036C3"/>
    <w:rsid w:val="005070C3"/>
    <w:rsid w:val="00510D32"/>
    <w:rsid w:val="00510E39"/>
    <w:rsid w:val="00511BC6"/>
    <w:rsid w:val="00511FA0"/>
    <w:rsid w:val="0051276F"/>
    <w:rsid w:val="005130AC"/>
    <w:rsid w:val="00517427"/>
    <w:rsid w:val="00520C2F"/>
    <w:rsid w:val="00521A73"/>
    <w:rsid w:val="005220BE"/>
    <w:rsid w:val="005223C0"/>
    <w:rsid w:val="00523D57"/>
    <w:rsid w:val="00524076"/>
    <w:rsid w:val="0052421B"/>
    <w:rsid w:val="005242AD"/>
    <w:rsid w:val="0052622D"/>
    <w:rsid w:val="00526575"/>
    <w:rsid w:val="0052716F"/>
    <w:rsid w:val="00527DAD"/>
    <w:rsid w:val="005308B8"/>
    <w:rsid w:val="00530F7C"/>
    <w:rsid w:val="005319DA"/>
    <w:rsid w:val="00532035"/>
    <w:rsid w:val="005336C5"/>
    <w:rsid w:val="00533B79"/>
    <w:rsid w:val="00533C44"/>
    <w:rsid w:val="00533FD4"/>
    <w:rsid w:val="00534258"/>
    <w:rsid w:val="0053462F"/>
    <w:rsid w:val="0053527A"/>
    <w:rsid w:val="00535C1C"/>
    <w:rsid w:val="00536006"/>
    <w:rsid w:val="005366E5"/>
    <w:rsid w:val="00536B36"/>
    <w:rsid w:val="00540E5A"/>
    <w:rsid w:val="005423DD"/>
    <w:rsid w:val="00542B7D"/>
    <w:rsid w:val="00542D5F"/>
    <w:rsid w:val="005435DE"/>
    <w:rsid w:val="00543AD3"/>
    <w:rsid w:val="005441AD"/>
    <w:rsid w:val="00544B35"/>
    <w:rsid w:val="00544C28"/>
    <w:rsid w:val="00545B62"/>
    <w:rsid w:val="005462BA"/>
    <w:rsid w:val="00546769"/>
    <w:rsid w:val="00546BAE"/>
    <w:rsid w:val="00546C4E"/>
    <w:rsid w:val="0054704A"/>
    <w:rsid w:val="005475F1"/>
    <w:rsid w:val="00547D7E"/>
    <w:rsid w:val="00550418"/>
    <w:rsid w:val="005504F6"/>
    <w:rsid w:val="00550C0B"/>
    <w:rsid w:val="00552EBD"/>
    <w:rsid w:val="00553061"/>
    <w:rsid w:val="00553827"/>
    <w:rsid w:val="00553A6B"/>
    <w:rsid w:val="005544AF"/>
    <w:rsid w:val="00555F71"/>
    <w:rsid w:val="00557D01"/>
    <w:rsid w:val="00560495"/>
    <w:rsid w:val="00560FD1"/>
    <w:rsid w:val="005614EF"/>
    <w:rsid w:val="005638D9"/>
    <w:rsid w:val="00563BEB"/>
    <w:rsid w:val="00564106"/>
    <w:rsid w:val="005651B9"/>
    <w:rsid w:val="00565223"/>
    <w:rsid w:val="0056535E"/>
    <w:rsid w:val="00565EE6"/>
    <w:rsid w:val="00566562"/>
    <w:rsid w:val="00566696"/>
    <w:rsid w:val="00566849"/>
    <w:rsid w:val="0056798A"/>
    <w:rsid w:val="00567E79"/>
    <w:rsid w:val="0057089E"/>
    <w:rsid w:val="00570981"/>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510"/>
    <w:rsid w:val="00593411"/>
    <w:rsid w:val="00593CB4"/>
    <w:rsid w:val="00593E68"/>
    <w:rsid w:val="0059433D"/>
    <w:rsid w:val="005A04BD"/>
    <w:rsid w:val="005A16B3"/>
    <w:rsid w:val="005A1884"/>
    <w:rsid w:val="005A2C0C"/>
    <w:rsid w:val="005A52AC"/>
    <w:rsid w:val="005A62BE"/>
    <w:rsid w:val="005A6C82"/>
    <w:rsid w:val="005A738C"/>
    <w:rsid w:val="005B02DF"/>
    <w:rsid w:val="005B08E6"/>
    <w:rsid w:val="005B0D7C"/>
    <w:rsid w:val="005B0E86"/>
    <w:rsid w:val="005B2B96"/>
    <w:rsid w:val="005B5416"/>
    <w:rsid w:val="005B5CB1"/>
    <w:rsid w:val="005B5D03"/>
    <w:rsid w:val="005B6854"/>
    <w:rsid w:val="005C04CB"/>
    <w:rsid w:val="005C0E92"/>
    <w:rsid w:val="005C1800"/>
    <w:rsid w:val="005C1943"/>
    <w:rsid w:val="005C2BEF"/>
    <w:rsid w:val="005C3570"/>
    <w:rsid w:val="005C37A0"/>
    <w:rsid w:val="005C4034"/>
    <w:rsid w:val="005C483A"/>
    <w:rsid w:val="005C48AE"/>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5D1"/>
    <w:rsid w:val="005E1BC2"/>
    <w:rsid w:val="005E1EE5"/>
    <w:rsid w:val="005E2F72"/>
    <w:rsid w:val="005E32ED"/>
    <w:rsid w:val="005E37E9"/>
    <w:rsid w:val="005E4B75"/>
    <w:rsid w:val="005E4BAF"/>
    <w:rsid w:val="005E6CA4"/>
    <w:rsid w:val="005E6E23"/>
    <w:rsid w:val="005E7994"/>
    <w:rsid w:val="005F03DB"/>
    <w:rsid w:val="005F0F0A"/>
    <w:rsid w:val="005F13CF"/>
    <w:rsid w:val="005F220F"/>
    <w:rsid w:val="005F2E78"/>
    <w:rsid w:val="005F3BF5"/>
    <w:rsid w:val="005F48F1"/>
    <w:rsid w:val="005F52F4"/>
    <w:rsid w:val="005F6B83"/>
    <w:rsid w:val="005F7BA4"/>
    <w:rsid w:val="00600280"/>
    <w:rsid w:val="0060111D"/>
    <w:rsid w:val="00601E59"/>
    <w:rsid w:val="00602657"/>
    <w:rsid w:val="00602736"/>
    <w:rsid w:val="0060381C"/>
    <w:rsid w:val="00603A46"/>
    <w:rsid w:val="006045FD"/>
    <w:rsid w:val="00605E6E"/>
    <w:rsid w:val="00606194"/>
    <w:rsid w:val="00607826"/>
    <w:rsid w:val="0061051A"/>
    <w:rsid w:val="00610656"/>
    <w:rsid w:val="00610DF8"/>
    <w:rsid w:val="0061115C"/>
    <w:rsid w:val="00611A49"/>
    <w:rsid w:val="00611ADB"/>
    <w:rsid w:val="006127B0"/>
    <w:rsid w:val="00613017"/>
    <w:rsid w:val="00613A54"/>
    <w:rsid w:val="00614619"/>
    <w:rsid w:val="006153C6"/>
    <w:rsid w:val="006157C9"/>
    <w:rsid w:val="00616189"/>
    <w:rsid w:val="0062078C"/>
    <w:rsid w:val="00620E8F"/>
    <w:rsid w:val="00621760"/>
    <w:rsid w:val="006217BB"/>
    <w:rsid w:val="00625134"/>
    <w:rsid w:val="00625ADA"/>
    <w:rsid w:val="00625BD5"/>
    <w:rsid w:val="00625DFB"/>
    <w:rsid w:val="006277B7"/>
    <w:rsid w:val="00627FA4"/>
    <w:rsid w:val="00632E54"/>
    <w:rsid w:val="00633619"/>
    <w:rsid w:val="00633635"/>
    <w:rsid w:val="00633BA6"/>
    <w:rsid w:val="00634436"/>
    <w:rsid w:val="00634D1A"/>
    <w:rsid w:val="00635173"/>
    <w:rsid w:val="00635CA0"/>
    <w:rsid w:val="00635DD5"/>
    <w:rsid w:val="00636904"/>
    <w:rsid w:val="00636D9C"/>
    <w:rsid w:val="00637179"/>
    <w:rsid w:val="00637EC0"/>
    <w:rsid w:val="0064182B"/>
    <w:rsid w:val="006418ED"/>
    <w:rsid w:val="0064229C"/>
    <w:rsid w:val="00642B13"/>
    <w:rsid w:val="0064309D"/>
    <w:rsid w:val="006431FF"/>
    <w:rsid w:val="00644B26"/>
    <w:rsid w:val="00645F7D"/>
    <w:rsid w:val="00645F85"/>
    <w:rsid w:val="00646100"/>
    <w:rsid w:val="00646C1B"/>
    <w:rsid w:val="006476CA"/>
    <w:rsid w:val="00650554"/>
    <w:rsid w:val="00650BF8"/>
    <w:rsid w:val="0065303D"/>
    <w:rsid w:val="00654AF0"/>
    <w:rsid w:val="00655265"/>
    <w:rsid w:val="006552AE"/>
    <w:rsid w:val="00655773"/>
    <w:rsid w:val="00655DD0"/>
    <w:rsid w:val="006563CA"/>
    <w:rsid w:val="00656730"/>
    <w:rsid w:val="006578FC"/>
    <w:rsid w:val="006607B1"/>
    <w:rsid w:val="006608AB"/>
    <w:rsid w:val="006609AC"/>
    <w:rsid w:val="006611C7"/>
    <w:rsid w:val="0066144D"/>
    <w:rsid w:val="006614FD"/>
    <w:rsid w:val="006615D6"/>
    <w:rsid w:val="0066170D"/>
    <w:rsid w:val="00661857"/>
    <w:rsid w:val="00661AD1"/>
    <w:rsid w:val="006620DA"/>
    <w:rsid w:val="0066371D"/>
    <w:rsid w:val="006637A2"/>
    <w:rsid w:val="00663A6B"/>
    <w:rsid w:val="00664587"/>
    <w:rsid w:val="006646D0"/>
    <w:rsid w:val="00664B6D"/>
    <w:rsid w:val="00665955"/>
    <w:rsid w:val="00666F25"/>
    <w:rsid w:val="00667045"/>
    <w:rsid w:val="00667C1C"/>
    <w:rsid w:val="0067001F"/>
    <w:rsid w:val="006702FA"/>
    <w:rsid w:val="00670A43"/>
    <w:rsid w:val="00671AE7"/>
    <w:rsid w:val="0067227D"/>
    <w:rsid w:val="00673DD4"/>
    <w:rsid w:val="00674AEB"/>
    <w:rsid w:val="006755B4"/>
    <w:rsid w:val="00675FFF"/>
    <w:rsid w:val="006760F3"/>
    <w:rsid w:val="0067655A"/>
    <w:rsid w:val="00676907"/>
    <w:rsid w:val="0067744D"/>
    <w:rsid w:val="006775EF"/>
    <w:rsid w:val="00677A5D"/>
    <w:rsid w:val="00677F62"/>
    <w:rsid w:val="0068028B"/>
    <w:rsid w:val="00680A15"/>
    <w:rsid w:val="00681732"/>
    <w:rsid w:val="00681D84"/>
    <w:rsid w:val="006828D8"/>
    <w:rsid w:val="0068455C"/>
    <w:rsid w:val="006845C0"/>
    <w:rsid w:val="00684600"/>
    <w:rsid w:val="00684887"/>
    <w:rsid w:val="00685898"/>
    <w:rsid w:val="00685D11"/>
    <w:rsid w:val="006867FA"/>
    <w:rsid w:val="006907C6"/>
    <w:rsid w:val="00690B13"/>
    <w:rsid w:val="00690EE9"/>
    <w:rsid w:val="00690F20"/>
    <w:rsid w:val="00693C8E"/>
    <w:rsid w:val="00693E63"/>
    <w:rsid w:val="00694912"/>
    <w:rsid w:val="00694A75"/>
    <w:rsid w:val="006969BA"/>
    <w:rsid w:val="00696DD6"/>
    <w:rsid w:val="006975FA"/>
    <w:rsid w:val="00697E11"/>
    <w:rsid w:val="00697F3E"/>
    <w:rsid w:val="00697FF1"/>
    <w:rsid w:val="006A026A"/>
    <w:rsid w:val="006A0425"/>
    <w:rsid w:val="006A09CB"/>
    <w:rsid w:val="006A0EB1"/>
    <w:rsid w:val="006A1CFF"/>
    <w:rsid w:val="006A1D62"/>
    <w:rsid w:val="006A2363"/>
    <w:rsid w:val="006A43A7"/>
    <w:rsid w:val="006A4EAE"/>
    <w:rsid w:val="006A5006"/>
    <w:rsid w:val="006A52CC"/>
    <w:rsid w:val="006A56C3"/>
    <w:rsid w:val="006A5B8A"/>
    <w:rsid w:val="006A67AA"/>
    <w:rsid w:val="006A6B88"/>
    <w:rsid w:val="006A6D7F"/>
    <w:rsid w:val="006B0298"/>
    <w:rsid w:val="006B0962"/>
    <w:rsid w:val="006B0D07"/>
    <w:rsid w:val="006B0E83"/>
    <w:rsid w:val="006B180E"/>
    <w:rsid w:val="006B385B"/>
    <w:rsid w:val="006B4562"/>
    <w:rsid w:val="006B5493"/>
    <w:rsid w:val="006B6FED"/>
    <w:rsid w:val="006B72F6"/>
    <w:rsid w:val="006B77E2"/>
    <w:rsid w:val="006C005A"/>
    <w:rsid w:val="006C10C0"/>
    <w:rsid w:val="006C1B1D"/>
    <w:rsid w:val="006C2508"/>
    <w:rsid w:val="006C2D0D"/>
    <w:rsid w:val="006C2D71"/>
    <w:rsid w:val="006C2F3E"/>
    <w:rsid w:val="006C32BB"/>
    <w:rsid w:val="006C3747"/>
    <w:rsid w:val="006C3761"/>
    <w:rsid w:val="006C3FEB"/>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FC4"/>
    <w:rsid w:val="006D522C"/>
    <w:rsid w:val="006D559B"/>
    <w:rsid w:val="006D56AA"/>
    <w:rsid w:val="006D6A65"/>
    <w:rsid w:val="006D7795"/>
    <w:rsid w:val="006D7ACB"/>
    <w:rsid w:val="006D7D14"/>
    <w:rsid w:val="006E00EF"/>
    <w:rsid w:val="006E06BB"/>
    <w:rsid w:val="006E1A7A"/>
    <w:rsid w:val="006E4723"/>
    <w:rsid w:val="006E716F"/>
    <w:rsid w:val="006E7DA9"/>
    <w:rsid w:val="006E7DEE"/>
    <w:rsid w:val="006F01E7"/>
    <w:rsid w:val="006F0FD7"/>
    <w:rsid w:val="006F13AF"/>
    <w:rsid w:val="006F1F3A"/>
    <w:rsid w:val="006F2104"/>
    <w:rsid w:val="006F6CA7"/>
    <w:rsid w:val="006F7EB8"/>
    <w:rsid w:val="007007DA"/>
    <w:rsid w:val="00700825"/>
    <w:rsid w:val="0070094A"/>
    <w:rsid w:val="00701DE4"/>
    <w:rsid w:val="00702DD7"/>
    <w:rsid w:val="00704085"/>
    <w:rsid w:val="00704138"/>
    <w:rsid w:val="00704305"/>
    <w:rsid w:val="007043CB"/>
    <w:rsid w:val="0070476D"/>
    <w:rsid w:val="007047D3"/>
    <w:rsid w:val="00704B24"/>
    <w:rsid w:val="007052F4"/>
    <w:rsid w:val="00705663"/>
    <w:rsid w:val="00705C40"/>
    <w:rsid w:val="00707743"/>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37D63"/>
    <w:rsid w:val="00740478"/>
    <w:rsid w:val="00740C8C"/>
    <w:rsid w:val="00741745"/>
    <w:rsid w:val="00741AC4"/>
    <w:rsid w:val="007429E1"/>
    <w:rsid w:val="00742CA5"/>
    <w:rsid w:val="00743CA7"/>
    <w:rsid w:val="007447C7"/>
    <w:rsid w:val="0074489F"/>
    <w:rsid w:val="0074594A"/>
    <w:rsid w:val="00746642"/>
    <w:rsid w:val="00747181"/>
    <w:rsid w:val="0075065B"/>
    <w:rsid w:val="00750C77"/>
    <w:rsid w:val="007513F0"/>
    <w:rsid w:val="007515BC"/>
    <w:rsid w:val="00751953"/>
    <w:rsid w:val="00752606"/>
    <w:rsid w:val="007533B0"/>
    <w:rsid w:val="00753CF0"/>
    <w:rsid w:val="0075402E"/>
    <w:rsid w:val="007561A3"/>
    <w:rsid w:val="00756CA2"/>
    <w:rsid w:val="00756D31"/>
    <w:rsid w:val="00756D3D"/>
    <w:rsid w:val="007573B2"/>
    <w:rsid w:val="007574BB"/>
    <w:rsid w:val="0075764C"/>
    <w:rsid w:val="00757CFF"/>
    <w:rsid w:val="00760712"/>
    <w:rsid w:val="00761D17"/>
    <w:rsid w:val="00762198"/>
    <w:rsid w:val="007625A2"/>
    <w:rsid w:val="007628DA"/>
    <w:rsid w:val="00762E28"/>
    <w:rsid w:val="00763CE8"/>
    <w:rsid w:val="007648CF"/>
    <w:rsid w:val="00765BD5"/>
    <w:rsid w:val="00765E07"/>
    <w:rsid w:val="007660BA"/>
    <w:rsid w:val="0076703C"/>
    <w:rsid w:val="00767C15"/>
    <w:rsid w:val="00770792"/>
    <w:rsid w:val="00770FB7"/>
    <w:rsid w:val="007733A0"/>
    <w:rsid w:val="007737B5"/>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EA4"/>
    <w:rsid w:val="00784834"/>
    <w:rsid w:val="00785461"/>
    <w:rsid w:val="00785A0A"/>
    <w:rsid w:val="00785DC5"/>
    <w:rsid w:val="0078639C"/>
    <w:rsid w:val="00786B36"/>
    <w:rsid w:val="00786F25"/>
    <w:rsid w:val="00786FF3"/>
    <w:rsid w:val="00787007"/>
    <w:rsid w:val="0078758E"/>
    <w:rsid w:val="007875F5"/>
    <w:rsid w:val="007876CF"/>
    <w:rsid w:val="00787B77"/>
    <w:rsid w:val="00790309"/>
    <w:rsid w:val="007929AE"/>
    <w:rsid w:val="00793090"/>
    <w:rsid w:val="00793B8B"/>
    <w:rsid w:val="007948A8"/>
    <w:rsid w:val="007958AC"/>
    <w:rsid w:val="00795CBE"/>
    <w:rsid w:val="00796484"/>
    <w:rsid w:val="007967B8"/>
    <w:rsid w:val="00796F2A"/>
    <w:rsid w:val="00797A1E"/>
    <w:rsid w:val="007A0176"/>
    <w:rsid w:val="007A0F2A"/>
    <w:rsid w:val="007A0FF8"/>
    <w:rsid w:val="007A1632"/>
    <w:rsid w:val="007A198B"/>
    <w:rsid w:val="007A1E47"/>
    <w:rsid w:val="007A2086"/>
    <w:rsid w:val="007A249F"/>
    <w:rsid w:val="007A24FC"/>
    <w:rsid w:val="007A2F67"/>
    <w:rsid w:val="007A3918"/>
    <w:rsid w:val="007A3B65"/>
    <w:rsid w:val="007A409E"/>
    <w:rsid w:val="007A4296"/>
    <w:rsid w:val="007A43AB"/>
    <w:rsid w:val="007A5398"/>
    <w:rsid w:val="007A5C59"/>
    <w:rsid w:val="007B00A0"/>
    <w:rsid w:val="007B0C10"/>
    <w:rsid w:val="007B0E89"/>
    <w:rsid w:val="007B2C38"/>
    <w:rsid w:val="007B2E54"/>
    <w:rsid w:val="007B31B9"/>
    <w:rsid w:val="007B38DE"/>
    <w:rsid w:val="007B56A8"/>
    <w:rsid w:val="007B7498"/>
    <w:rsid w:val="007B77DC"/>
    <w:rsid w:val="007B7AEE"/>
    <w:rsid w:val="007C02F6"/>
    <w:rsid w:val="007C0D24"/>
    <w:rsid w:val="007C28C1"/>
    <w:rsid w:val="007C3E2E"/>
    <w:rsid w:val="007C5C9B"/>
    <w:rsid w:val="007C6C24"/>
    <w:rsid w:val="007C71CF"/>
    <w:rsid w:val="007C7EB6"/>
    <w:rsid w:val="007D03CB"/>
    <w:rsid w:val="007D12D8"/>
    <w:rsid w:val="007D1667"/>
    <w:rsid w:val="007D1BCD"/>
    <w:rsid w:val="007D2BE6"/>
    <w:rsid w:val="007D2F75"/>
    <w:rsid w:val="007D48A3"/>
    <w:rsid w:val="007D4F74"/>
    <w:rsid w:val="007D5BF3"/>
    <w:rsid w:val="007D5BF9"/>
    <w:rsid w:val="007D710E"/>
    <w:rsid w:val="007D7215"/>
    <w:rsid w:val="007D7E3A"/>
    <w:rsid w:val="007E05D3"/>
    <w:rsid w:val="007E1177"/>
    <w:rsid w:val="007E1A0F"/>
    <w:rsid w:val="007E22E7"/>
    <w:rsid w:val="007E2467"/>
    <w:rsid w:val="007E2893"/>
    <w:rsid w:val="007E2C7F"/>
    <w:rsid w:val="007E3AF4"/>
    <w:rsid w:val="007E4232"/>
    <w:rsid w:val="007E4478"/>
    <w:rsid w:val="007E4927"/>
    <w:rsid w:val="007E4ED9"/>
    <w:rsid w:val="007E5C53"/>
    <w:rsid w:val="007E5C74"/>
    <w:rsid w:val="007E6649"/>
    <w:rsid w:val="007E69BB"/>
    <w:rsid w:val="007E6AB8"/>
    <w:rsid w:val="007E70B9"/>
    <w:rsid w:val="007E70FD"/>
    <w:rsid w:val="007E728E"/>
    <w:rsid w:val="007E7E96"/>
    <w:rsid w:val="007F08FC"/>
    <w:rsid w:val="007F19DA"/>
    <w:rsid w:val="007F2109"/>
    <w:rsid w:val="007F21C5"/>
    <w:rsid w:val="007F26EE"/>
    <w:rsid w:val="007F34CB"/>
    <w:rsid w:val="007F3889"/>
    <w:rsid w:val="007F3A61"/>
    <w:rsid w:val="007F3EF1"/>
    <w:rsid w:val="007F4EB7"/>
    <w:rsid w:val="007F70A0"/>
    <w:rsid w:val="007F77C3"/>
    <w:rsid w:val="0080056E"/>
    <w:rsid w:val="00801457"/>
    <w:rsid w:val="00801BCE"/>
    <w:rsid w:val="00801E7D"/>
    <w:rsid w:val="00802515"/>
    <w:rsid w:val="0080254F"/>
    <w:rsid w:val="0080373C"/>
    <w:rsid w:val="00803E3D"/>
    <w:rsid w:val="00807232"/>
    <w:rsid w:val="00807627"/>
    <w:rsid w:val="00807636"/>
    <w:rsid w:val="00807982"/>
    <w:rsid w:val="00807B88"/>
    <w:rsid w:val="00811CA6"/>
    <w:rsid w:val="00811FE9"/>
    <w:rsid w:val="0081283F"/>
    <w:rsid w:val="00812A28"/>
    <w:rsid w:val="00812C0C"/>
    <w:rsid w:val="0081376F"/>
    <w:rsid w:val="00813AD9"/>
    <w:rsid w:val="0081480A"/>
    <w:rsid w:val="00815998"/>
    <w:rsid w:val="00815D79"/>
    <w:rsid w:val="00815DA9"/>
    <w:rsid w:val="00816051"/>
    <w:rsid w:val="00816C59"/>
    <w:rsid w:val="0081793A"/>
    <w:rsid w:val="00817F96"/>
    <w:rsid w:val="008202EB"/>
    <w:rsid w:val="008202EE"/>
    <w:rsid w:val="0082060B"/>
    <w:rsid w:val="008209BE"/>
    <w:rsid w:val="00820F86"/>
    <w:rsid w:val="008216D3"/>
    <w:rsid w:val="00821D62"/>
    <w:rsid w:val="00821E14"/>
    <w:rsid w:val="008221B0"/>
    <w:rsid w:val="008231C8"/>
    <w:rsid w:val="008242C5"/>
    <w:rsid w:val="0082496F"/>
    <w:rsid w:val="00825F1D"/>
    <w:rsid w:val="008267E8"/>
    <w:rsid w:val="00826BB6"/>
    <w:rsid w:val="0082778C"/>
    <w:rsid w:val="00827F88"/>
    <w:rsid w:val="008310F6"/>
    <w:rsid w:val="008315CE"/>
    <w:rsid w:val="00831AA8"/>
    <w:rsid w:val="008336A5"/>
    <w:rsid w:val="0083454E"/>
    <w:rsid w:val="00834C4C"/>
    <w:rsid w:val="00835107"/>
    <w:rsid w:val="00835474"/>
    <w:rsid w:val="00836653"/>
    <w:rsid w:val="008373C0"/>
    <w:rsid w:val="00837A48"/>
    <w:rsid w:val="00837E18"/>
    <w:rsid w:val="008402A5"/>
    <w:rsid w:val="0084052B"/>
    <w:rsid w:val="008407B9"/>
    <w:rsid w:val="0084105A"/>
    <w:rsid w:val="0084145F"/>
    <w:rsid w:val="00841DA2"/>
    <w:rsid w:val="0084295C"/>
    <w:rsid w:val="008429DF"/>
    <w:rsid w:val="008436E1"/>
    <w:rsid w:val="00843CB5"/>
    <w:rsid w:val="00844963"/>
    <w:rsid w:val="00844CB5"/>
    <w:rsid w:val="008453FA"/>
    <w:rsid w:val="008458F6"/>
    <w:rsid w:val="00845AED"/>
    <w:rsid w:val="00845D98"/>
    <w:rsid w:val="008465A2"/>
    <w:rsid w:val="008465D3"/>
    <w:rsid w:val="008466E5"/>
    <w:rsid w:val="0084708E"/>
    <w:rsid w:val="00847637"/>
    <w:rsid w:val="00847973"/>
    <w:rsid w:val="00851AE4"/>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2771"/>
    <w:rsid w:val="00865800"/>
    <w:rsid w:val="0086682F"/>
    <w:rsid w:val="00867687"/>
    <w:rsid w:val="008704DF"/>
    <w:rsid w:val="00870622"/>
    <w:rsid w:val="008706E3"/>
    <w:rsid w:val="008715CB"/>
    <w:rsid w:val="00873BE8"/>
    <w:rsid w:val="00874300"/>
    <w:rsid w:val="00874748"/>
    <w:rsid w:val="00874894"/>
    <w:rsid w:val="00875DB0"/>
    <w:rsid w:val="00876057"/>
    <w:rsid w:val="00876F54"/>
    <w:rsid w:val="00877292"/>
    <w:rsid w:val="0087754A"/>
    <w:rsid w:val="0087766C"/>
    <w:rsid w:val="00880552"/>
    <w:rsid w:val="008814A6"/>
    <w:rsid w:val="00882595"/>
    <w:rsid w:val="0088336E"/>
    <w:rsid w:val="008839DA"/>
    <w:rsid w:val="00884EE8"/>
    <w:rsid w:val="00885168"/>
    <w:rsid w:val="008868FF"/>
    <w:rsid w:val="00890C12"/>
    <w:rsid w:val="008915DD"/>
    <w:rsid w:val="0089173B"/>
    <w:rsid w:val="0089175F"/>
    <w:rsid w:val="00891E76"/>
    <w:rsid w:val="0089220F"/>
    <w:rsid w:val="00892B57"/>
    <w:rsid w:val="008935AA"/>
    <w:rsid w:val="008939CF"/>
    <w:rsid w:val="00893D5A"/>
    <w:rsid w:val="00894DF3"/>
    <w:rsid w:val="008963F0"/>
    <w:rsid w:val="0089708C"/>
    <w:rsid w:val="00897444"/>
    <w:rsid w:val="008A01F7"/>
    <w:rsid w:val="008A03A5"/>
    <w:rsid w:val="008A0DF3"/>
    <w:rsid w:val="008A10D3"/>
    <w:rsid w:val="008A1B76"/>
    <w:rsid w:val="008A24AE"/>
    <w:rsid w:val="008A282C"/>
    <w:rsid w:val="008A3808"/>
    <w:rsid w:val="008A4138"/>
    <w:rsid w:val="008A5D96"/>
    <w:rsid w:val="008A5F7E"/>
    <w:rsid w:val="008A6178"/>
    <w:rsid w:val="008A61E2"/>
    <w:rsid w:val="008A720E"/>
    <w:rsid w:val="008A73EF"/>
    <w:rsid w:val="008B00A4"/>
    <w:rsid w:val="008B1C74"/>
    <w:rsid w:val="008B28D1"/>
    <w:rsid w:val="008B440B"/>
    <w:rsid w:val="008B5AB3"/>
    <w:rsid w:val="008B5E49"/>
    <w:rsid w:val="008B6848"/>
    <w:rsid w:val="008B75B8"/>
    <w:rsid w:val="008C0024"/>
    <w:rsid w:val="008C1393"/>
    <w:rsid w:val="008C15FF"/>
    <w:rsid w:val="008C2FA1"/>
    <w:rsid w:val="008C58DF"/>
    <w:rsid w:val="008C5AE6"/>
    <w:rsid w:val="008C62AB"/>
    <w:rsid w:val="008C6C63"/>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E0D"/>
    <w:rsid w:val="008D7EDB"/>
    <w:rsid w:val="008E0B2F"/>
    <w:rsid w:val="008E1829"/>
    <w:rsid w:val="008E1856"/>
    <w:rsid w:val="008E1949"/>
    <w:rsid w:val="008E1A61"/>
    <w:rsid w:val="008E2327"/>
    <w:rsid w:val="008E2C9C"/>
    <w:rsid w:val="008E2D66"/>
    <w:rsid w:val="008E3507"/>
    <w:rsid w:val="008E3EFA"/>
    <w:rsid w:val="008E431C"/>
    <w:rsid w:val="008E4A6D"/>
    <w:rsid w:val="008E4FAD"/>
    <w:rsid w:val="008E5077"/>
    <w:rsid w:val="008E5F0E"/>
    <w:rsid w:val="008E64F0"/>
    <w:rsid w:val="008E6658"/>
    <w:rsid w:val="008E6FF3"/>
    <w:rsid w:val="008E767B"/>
    <w:rsid w:val="008E7B05"/>
    <w:rsid w:val="008E7EB3"/>
    <w:rsid w:val="008F13A5"/>
    <w:rsid w:val="008F18ED"/>
    <w:rsid w:val="008F2631"/>
    <w:rsid w:val="008F46C2"/>
    <w:rsid w:val="008F5281"/>
    <w:rsid w:val="008F5C6C"/>
    <w:rsid w:val="008F6CE5"/>
    <w:rsid w:val="008F7068"/>
    <w:rsid w:val="008F77BF"/>
    <w:rsid w:val="008F7852"/>
    <w:rsid w:val="00900134"/>
    <w:rsid w:val="00900E64"/>
    <w:rsid w:val="00901CD4"/>
    <w:rsid w:val="00902B2D"/>
    <w:rsid w:val="0090360E"/>
    <w:rsid w:val="00903D37"/>
    <w:rsid w:val="0090582F"/>
    <w:rsid w:val="009079CA"/>
    <w:rsid w:val="009079ED"/>
    <w:rsid w:val="0091000D"/>
    <w:rsid w:val="0091055D"/>
    <w:rsid w:val="00911631"/>
    <w:rsid w:val="00911A5C"/>
    <w:rsid w:val="009125AE"/>
    <w:rsid w:val="009125C5"/>
    <w:rsid w:val="00914408"/>
    <w:rsid w:val="00914C61"/>
    <w:rsid w:val="00915AB6"/>
    <w:rsid w:val="00915DB9"/>
    <w:rsid w:val="009161CB"/>
    <w:rsid w:val="009165F0"/>
    <w:rsid w:val="00916E90"/>
    <w:rsid w:val="00917D6F"/>
    <w:rsid w:val="0092073B"/>
    <w:rsid w:val="00921B1A"/>
    <w:rsid w:val="00921B7F"/>
    <w:rsid w:val="00921DDA"/>
    <w:rsid w:val="00922DE1"/>
    <w:rsid w:val="00922E4B"/>
    <w:rsid w:val="00924B6C"/>
    <w:rsid w:val="00924E02"/>
    <w:rsid w:val="00925183"/>
    <w:rsid w:val="00925DF8"/>
    <w:rsid w:val="0092600D"/>
    <w:rsid w:val="00926885"/>
    <w:rsid w:val="009273F7"/>
    <w:rsid w:val="00930345"/>
    <w:rsid w:val="0093039D"/>
    <w:rsid w:val="009318E8"/>
    <w:rsid w:val="00931E4F"/>
    <w:rsid w:val="00932A0C"/>
    <w:rsid w:val="0093364D"/>
    <w:rsid w:val="00933664"/>
    <w:rsid w:val="00933BE4"/>
    <w:rsid w:val="00934048"/>
    <w:rsid w:val="0093439D"/>
    <w:rsid w:val="00934EE3"/>
    <w:rsid w:val="00935B2E"/>
    <w:rsid w:val="00936574"/>
    <w:rsid w:val="00937EE1"/>
    <w:rsid w:val="0094041C"/>
    <w:rsid w:val="0094101E"/>
    <w:rsid w:val="00941720"/>
    <w:rsid w:val="00941C5E"/>
    <w:rsid w:val="009439D3"/>
    <w:rsid w:val="00943BCE"/>
    <w:rsid w:val="009451DC"/>
    <w:rsid w:val="009466BE"/>
    <w:rsid w:val="009503FE"/>
    <w:rsid w:val="009508A0"/>
    <w:rsid w:val="00950A17"/>
    <w:rsid w:val="00952615"/>
    <w:rsid w:val="009535BD"/>
    <w:rsid w:val="00953D8B"/>
    <w:rsid w:val="00953FF0"/>
    <w:rsid w:val="00954502"/>
    <w:rsid w:val="0095506D"/>
    <w:rsid w:val="009553A4"/>
    <w:rsid w:val="00955A98"/>
    <w:rsid w:val="00955DA9"/>
    <w:rsid w:val="009576B2"/>
    <w:rsid w:val="00960346"/>
    <w:rsid w:val="00960F05"/>
    <w:rsid w:val="00961724"/>
    <w:rsid w:val="009617D3"/>
    <w:rsid w:val="009626F7"/>
    <w:rsid w:val="0096463B"/>
    <w:rsid w:val="00967035"/>
    <w:rsid w:val="00967869"/>
    <w:rsid w:val="0096796E"/>
    <w:rsid w:val="00970063"/>
    <w:rsid w:val="009702DB"/>
    <w:rsid w:val="00970BEB"/>
    <w:rsid w:val="0097149A"/>
    <w:rsid w:val="00971F54"/>
    <w:rsid w:val="009721A0"/>
    <w:rsid w:val="0097253C"/>
    <w:rsid w:val="009725C5"/>
    <w:rsid w:val="00972AEA"/>
    <w:rsid w:val="00972B4E"/>
    <w:rsid w:val="0097393A"/>
    <w:rsid w:val="009739F3"/>
    <w:rsid w:val="00973E34"/>
    <w:rsid w:val="00973F40"/>
    <w:rsid w:val="00974529"/>
    <w:rsid w:val="00974C1A"/>
    <w:rsid w:val="00975F0E"/>
    <w:rsid w:val="00980900"/>
    <w:rsid w:val="00982BC9"/>
    <w:rsid w:val="009830F7"/>
    <w:rsid w:val="00983EDC"/>
    <w:rsid w:val="00983EED"/>
    <w:rsid w:val="009849EF"/>
    <w:rsid w:val="00984A3A"/>
    <w:rsid w:val="00985967"/>
    <w:rsid w:val="00986DB7"/>
    <w:rsid w:val="00987D23"/>
    <w:rsid w:val="009905A5"/>
    <w:rsid w:val="009912C8"/>
    <w:rsid w:val="009912E0"/>
    <w:rsid w:val="00992750"/>
    <w:rsid w:val="009934CF"/>
    <w:rsid w:val="00993BF4"/>
    <w:rsid w:val="009940FC"/>
    <w:rsid w:val="00994396"/>
    <w:rsid w:val="00994B03"/>
    <w:rsid w:val="00994FB1"/>
    <w:rsid w:val="00995A6A"/>
    <w:rsid w:val="00995D84"/>
    <w:rsid w:val="009971AA"/>
    <w:rsid w:val="00997908"/>
    <w:rsid w:val="009A0D75"/>
    <w:rsid w:val="009A1234"/>
    <w:rsid w:val="009A306D"/>
    <w:rsid w:val="009A347A"/>
    <w:rsid w:val="009A3661"/>
    <w:rsid w:val="009A5A3D"/>
    <w:rsid w:val="009A620E"/>
    <w:rsid w:val="009A7587"/>
    <w:rsid w:val="009A7BC4"/>
    <w:rsid w:val="009B0214"/>
    <w:rsid w:val="009B02EF"/>
    <w:rsid w:val="009B0A91"/>
    <w:rsid w:val="009B19CD"/>
    <w:rsid w:val="009B6316"/>
    <w:rsid w:val="009B6452"/>
    <w:rsid w:val="009B6A6F"/>
    <w:rsid w:val="009B736C"/>
    <w:rsid w:val="009C01A6"/>
    <w:rsid w:val="009C0EAC"/>
    <w:rsid w:val="009C1AFE"/>
    <w:rsid w:val="009C1F30"/>
    <w:rsid w:val="009C246A"/>
    <w:rsid w:val="009C3E33"/>
    <w:rsid w:val="009C54A0"/>
    <w:rsid w:val="009C5C6C"/>
    <w:rsid w:val="009C5F24"/>
    <w:rsid w:val="009C6C53"/>
    <w:rsid w:val="009C7F99"/>
    <w:rsid w:val="009D048B"/>
    <w:rsid w:val="009D0A63"/>
    <w:rsid w:val="009D1B5D"/>
    <w:rsid w:val="009D27C3"/>
    <w:rsid w:val="009D28FA"/>
    <w:rsid w:val="009D4200"/>
    <w:rsid w:val="009D43F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2AB"/>
    <w:rsid w:val="009E7784"/>
    <w:rsid w:val="009E794F"/>
    <w:rsid w:val="009E7DB9"/>
    <w:rsid w:val="009F1E38"/>
    <w:rsid w:val="009F25A8"/>
    <w:rsid w:val="009F34D3"/>
    <w:rsid w:val="009F3CA9"/>
    <w:rsid w:val="009F46DC"/>
    <w:rsid w:val="009F508F"/>
    <w:rsid w:val="009F6006"/>
    <w:rsid w:val="009F65AF"/>
    <w:rsid w:val="009F72A8"/>
    <w:rsid w:val="009F754F"/>
    <w:rsid w:val="009F7D54"/>
    <w:rsid w:val="00A00109"/>
    <w:rsid w:val="00A01B9B"/>
    <w:rsid w:val="00A01BE4"/>
    <w:rsid w:val="00A01C00"/>
    <w:rsid w:val="00A01EB6"/>
    <w:rsid w:val="00A01ED1"/>
    <w:rsid w:val="00A02488"/>
    <w:rsid w:val="00A02AB3"/>
    <w:rsid w:val="00A034EF"/>
    <w:rsid w:val="00A03A1B"/>
    <w:rsid w:val="00A048C7"/>
    <w:rsid w:val="00A0598E"/>
    <w:rsid w:val="00A05E08"/>
    <w:rsid w:val="00A06844"/>
    <w:rsid w:val="00A06A2C"/>
    <w:rsid w:val="00A06CC5"/>
    <w:rsid w:val="00A0751E"/>
    <w:rsid w:val="00A07909"/>
    <w:rsid w:val="00A0791C"/>
    <w:rsid w:val="00A079D8"/>
    <w:rsid w:val="00A1047D"/>
    <w:rsid w:val="00A117D8"/>
    <w:rsid w:val="00A11B56"/>
    <w:rsid w:val="00A11CAD"/>
    <w:rsid w:val="00A121AB"/>
    <w:rsid w:val="00A13DF7"/>
    <w:rsid w:val="00A14807"/>
    <w:rsid w:val="00A15263"/>
    <w:rsid w:val="00A155CD"/>
    <w:rsid w:val="00A15BF1"/>
    <w:rsid w:val="00A1620D"/>
    <w:rsid w:val="00A166AF"/>
    <w:rsid w:val="00A16AC0"/>
    <w:rsid w:val="00A16DC1"/>
    <w:rsid w:val="00A171AC"/>
    <w:rsid w:val="00A224E5"/>
    <w:rsid w:val="00A231CF"/>
    <w:rsid w:val="00A23D31"/>
    <w:rsid w:val="00A240A7"/>
    <w:rsid w:val="00A24AF6"/>
    <w:rsid w:val="00A24C9B"/>
    <w:rsid w:val="00A25151"/>
    <w:rsid w:val="00A26554"/>
    <w:rsid w:val="00A26ECD"/>
    <w:rsid w:val="00A2783F"/>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509C"/>
    <w:rsid w:val="00A352DA"/>
    <w:rsid w:val="00A35E2F"/>
    <w:rsid w:val="00A36013"/>
    <w:rsid w:val="00A36159"/>
    <w:rsid w:val="00A36FB5"/>
    <w:rsid w:val="00A37891"/>
    <w:rsid w:val="00A40A51"/>
    <w:rsid w:val="00A415BA"/>
    <w:rsid w:val="00A419A8"/>
    <w:rsid w:val="00A4230D"/>
    <w:rsid w:val="00A4432A"/>
    <w:rsid w:val="00A4594F"/>
    <w:rsid w:val="00A45F38"/>
    <w:rsid w:val="00A47916"/>
    <w:rsid w:val="00A47C18"/>
    <w:rsid w:val="00A50123"/>
    <w:rsid w:val="00A50298"/>
    <w:rsid w:val="00A50838"/>
    <w:rsid w:val="00A50EC5"/>
    <w:rsid w:val="00A511BB"/>
    <w:rsid w:val="00A535E4"/>
    <w:rsid w:val="00A536DA"/>
    <w:rsid w:val="00A5370C"/>
    <w:rsid w:val="00A5406C"/>
    <w:rsid w:val="00A54801"/>
    <w:rsid w:val="00A556AA"/>
    <w:rsid w:val="00A5596D"/>
    <w:rsid w:val="00A56ACD"/>
    <w:rsid w:val="00A56F1F"/>
    <w:rsid w:val="00A56F39"/>
    <w:rsid w:val="00A571CD"/>
    <w:rsid w:val="00A57C3D"/>
    <w:rsid w:val="00A57D17"/>
    <w:rsid w:val="00A60B22"/>
    <w:rsid w:val="00A617D1"/>
    <w:rsid w:val="00A640F1"/>
    <w:rsid w:val="00A64F4B"/>
    <w:rsid w:val="00A650C6"/>
    <w:rsid w:val="00A660D1"/>
    <w:rsid w:val="00A66829"/>
    <w:rsid w:val="00A6697B"/>
    <w:rsid w:val="00A719AA"/>
    <w:rsid w:val="00A731B5"/>
    <w:rsid w:val="00A73DE3"/>
    <w:rsid w:val="00A747F9"/>
    <w:rsid w:val="00A74C2D"/>
    <w:rsid w:val="00A76217"/>
    <w:rsid w:val="00A76595"/>
    <w:rsid w:val="00A766B1"/>
    <w:rsid w:val="00A76B34"/>
    <w:rsid w:val="00A779A5"/>
    <w:rsid w:val="00A8051E"/>
    <w:rsid w:val="00A805D0"/>
    <w:rsid w:val="00A80EE1"/>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3072"/>
    <w:rsid w:val="00A94938"/>
    <w:rsid w:val="00A95838"/>
    <w:rsid w:val="00A9629C"/>
    <w:rsid w:val="00A96A29"/>
    <w:rsid w:val="00A97219"/>
    <w:rsid w:val="00A97515"/>
    <w:rsid w:val="00AA07B1"/>
    <w:rsid w:val="00AA193D"/>
    <w:rsid w:val="00AA2289"/>
    <w:rsid w:val="00AA35D5"/>
    <w:rsid w:val="00AA417B"/>
    <w:rsid w:val="00AA49FF"/>
    <w:rsid w:val="00AA4A1F"/>
    <w:rsid w:val="00AA505C"/>
    <w:rsid w:val="00AA533F"/>
    <w:rsid w:val="00AA59B2"/>
    <w:rsid w:val="00AA5A86"/>
    <w:rsid w:val="00AA5C7C"/>
    <w:rsid w:val="00AA639B"/>
    <w:rsid w:val="00AA6EFD"/>
    <w:rsid w:val="00AA7F48"/>
    <w:rsid w:val="00AB010D"/>
    <w:rsid w:val="00AB0749"/>
    <w:rsid w:val="00AB2617"/>
    <w:rsid w:val="00AB2C53"/>
    <w:rsid w:val="00AB37BE"/>
    <w:rsid w:val="00AB5936"/>
    <w:rsid w:val="00AB6595"/>
    <w:rsid w:val="00AB76D8"/>
    <w:rsid w:val="00AB7760"/>
    <w:rsid w:val="00AB7E6A"/>
    <w:rsid w:val="00AC193A"/>
    <w:rsid w:val="00AC1B50"/>
    <w:rsid w:val="00AC1B61"/>
    <w:rsid w:val="00AC28E0"/>
    <w:rsid w:val="00AC2C6E"/>
    <w:rsid w:val="00AC3A3F"/>
    <w:rsid w:val="00AC41CA"/>
    <w:rsid w:val="00AC5363"/>
    <w:rsid w:val="00AC5EE6"/>
    <w:rsid w:val="00AC6B75"/>
    <w:rsid w:val="00AC6C2F"/>
    <w:rsid w:val="00AC706C"/>
    <w:rsid w:val="00AD0D24"/>
    <w:rsid w:val="00AD0DE0"/>
    <w:rsid w:val="00AD1480"/>
    <w:rsid w:val="00AD1923"/>
    <w:rsid w:val="00AD2611"/>
    <w:rsid w:val="00AD285F"/>
    <w:rsid w:val="00AD368D"/>
    <w:rsid w:val="00AD3AC5"/>
    <w:rsid w:val="00AD3D57"/>
    <w:rsid w:val="00AD497C"/>
    <w:rsid w:val="00AD4AD2"/>
    <w:rsid w:val="00AD50F9"/>
    <w:rsid w:val="00AD55E6"/>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65BD"/>
    <w:rsid w:val="00AE6A7D"/>
    <w:rsid w:val="00AE79E1"/>
    <w:rsid w:val="00AF0861"/>
    <w:rsid w:val="00AF0A77"/>
    <w:rsid w:val="00AF15CB"/>
    <w:rsid w:val="00AF17E9"/>
    <w:rsid w:val="00AF1992"/>
    <w:rsid w:val="00AF3305"/>
    <w:rsid w:val="00AF4424"/>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39E1"/>
    <w:rsid w:val="00B03B83"/>
    <w:rsid w:val="00B04D4C"/>
    <w:rsid w:val="00B04D63"/>
    <w:rsid w:val="00B04FDF"/>
    <w:rsid w:val="00B0597E"/>
    <w:rsid w:val="00B05E74"/>
    <w:rsid w:val="00B07F12"/>
    <w:rsid w:val="00B07FE3"/>
    <w:rsid w:val="00B10BAE"/>
    <w:rsid w:val="00B11CB3"/>
    <w:rsid w:val="00B12451"/>
    <w:rsid w:val="00B12A0A"/>
    <w:rsid w:val="00B14154"/>
    <w:rsid w:val="00B1415B"/>
    <w:rsid w:val="00B150A3"/>
    <w:rsid w:val="00B15278"/>
    <w:rsid w:val="00B164F6"/>
    <w:rsid w:val="00B16E71"/>
    <w:rsid w:val="00B222A2"/>
    <w:rsid w:val="00B233F4"/>
    <w:rsid w:val="00B234EC"/>
    <w:rsid w:val="00B267E1"/>
    <w:rsid w:val="00B274AE"/>
    <w:rsid w:val="00B274BF"/>
    <w:rsid w:val="00B304B7"/>
    <w:rsid w:val="00B31222"/>
    <w:rsid w:val="00B31324"/>
    <w:rsid w:val="00B31516"/>
    <w:rsid w:val="00B318C9"/>
    <w:rsid w:val="00B31FDB"/>
    <w:rsid w:val="00B33EEF"/>
    <w:rsid w:val="00B348F1"/>
    <w:rsid w:val="00B416D0"/>
    <w:rsid w:val="00B41D89"/>
    <w:rsid w:val="00B42C7F"/>
    <w:rsid w:val="00B42E81"/>
    <w:rsid w:val="00B4329D"/>
    <w:rsid w:val="00B457EF"/>
    <w:rsid w:val="00B45BEE"/>
    <w:rsid w:val="00B46C8E"/>
    <w:rsid w:val="00B50512"/>
    <w:rsid w:val="00B50F74"/>
    <w:rsid w:val="00B51A2F"/>
    <w:rsid w:val="00B520F9"/>
    <w:rsid w:val="00B52812"/>
    <w:rsid w:val="00B537CE"/>
    <w:rsid w:val="00B53891"/>
    <w:rsid w:val="00B541CB"/>
    <w:rsid w:val="00B5423C"/>
    <w:rsid w:val="00B5495A"/>
    <w:rsid w:val="00B54AAB"/>
    <w:rsid w:val="00B553BA"/>
    <w:rsid w:val="00B57560"/>
    <w:rsid w:val="00B57690"/>
    <w:rsid w:val="00B577A3"/>
    <w:rsid w:val="00B61205"/>
    <w:rsid w:val="00B6144B"/>
    <w:rsid w:val="00B61577"/>
    <w:rsid w:val="00B6170F"/>
    <w:rsid w:val="00B625C9"/>
    <w:rsid w:val="00B63796"/>
    <w:rsid w:val="00B64641"/>
    <w:rsid w:val="00B648F6"/>
    <w:rsid w:val="00B66A77"/>
    <w:rsid w:val="00B675DD"/>
    <w:rsid w:val="00B704AA"/>
    <w:rsid w:val="00B70B2A"/>
    <w:rsid w:val="00B71F2C"/>
    <w:rsid w:val="00B7262F"/>
    <w:rsid w:val="00B726C3"/>
    <w:rsid w:val="00B727C5"/>
    <w:rsid w:val="00B73031"/>
    <w:rsid w:val="00B73D51"/>
    <w:rsid w:val="00B73FD4"/>
    <w:rsid w:val="00B74128"/>
    <w:rsid w:val="00B743FD"/>
    <w:rsid w:val="00B74DCE"/>
    <w:rsid w:val="00B74FC5"/>
    <w:rsid w:val="00B75A6C"/>
    <w:rsid w:val="00B7684C"/>
    <w:rsid w:val="00B77614"/>
    <w:rsid w:val="00B8029A"/>
    <w:rsid w:val="00B80DB5"/>
    <w:rsid w:val="00B827B3"/>
    <w:rsid w:val="00B82F2D"/>
    <w:rsid w:val="00B83E2A"/>
    <w:rsid w:val="00B83E38"/>
    <w:rsid w:val="00B84273"/>
    <w:rsid w:val="00B84E0E"/>
    <w:rsid w:val="00B85781"/>
    <w:rsid w:val="00B85DF3"/>
    <w:rsid w:val="00B861AD"/>
    <w:rsid w:val="00B8690B"/>
    <w:rsid w:val="00B86C19"/>
    <w:rsid w:val="00B8730C"/>
    <w:rsid w:val="00B878CC"/>
    <w:rsid w:val="00B912E7"/>
    <w:rsid w:val="00B91367"/>
    <w:rsid w:val="00B913FB"/>
    <w:rsid w:val="00B923C1"/>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4FC"/>
    <w:rsid w:val="00BA1A9B"/>
    <w:rsid w:val="00BA1EE5"/>
    <w:rsid w:val="00BA2EA1"/>
    <w:rsid w:val="00BA3D3F"/>
    <w:rsid w:val="00BA4C61"/>
    <w:rsid w:val="00BA4CE5"/>
    <w:rsid w:val="00BA5DF2"/>
    <w:rsid w:val="00BA7E4A"/>
    <w:rsid w:val="00BB1236"/>
    <w:rsid w:val="00BB1A27"/>
    <w:rsid w:val="00BB375D"/>
    <w:rsid w:val="00BB4277"/>
    <w:rsid w:val="00BB49A0"/>
    <w:rsid w:val="00BB515F"/>
    <w:rsid w:val="00BB532B"/>
    <w:rsid w:val="00BB593C"/>
    <w:rsid w:val="00BC0924"/>
    <w:rsid w:val="00BC0C50"/>
    <w:rsid w:val="00BC11E0"/>
    <w:rsid w:val="00BC1FA5"/>
    <w:rsid w:val="00BC2598"/>
    <w:rsid w:val="00BC299D"/>
    <w:rsid w:val="00BC2C0C"/>
    <w:rsid w:val="00BC3B70"/>
    <w:rsid w:val="00BC4AE9"/>
    <w:rsid w:val="00BC6E7C"/>
    <w:rsid w:val="00BC7182"/>
    <w:rsid w:val="00BC732A"/>
    <w:rsid w:val="00BC7398"/>
    <w:rsid w:val="00BC7458"/>
    <w:rsid w:val="00BC758B"/>
    <w:rsid w:val="00BC79C3"/>
    <w:rsid w:val="00BC7D51"/>
    <w:rsid w:val="00BD1045"/>
    <w:rsid w:val="00BD2183"/>
    <w:rsid w:val="00BD2EAC"/>
    <w:rsid w:val="00BD4BB3"/>
    <w:rsid w:val="00BD4EAE"/>
    <w:rsid w:val="00BD50FE"/>
    <w:rsid w:val="00BD5C33"/>
    <w:rsid w:val="00BD6804"/>
    <w:rsid w:val="00BD7D5F"/>
    <w:rsid w:val="00BD7F11"/>
    <w:rsid w:val="00BE17C6"/>
    <w:rsid w:val="00BE2498"/>
    <w:rsid w:val="00BE2BD3"/>
    <w:rsid w:val="00BE2E7C"/>
    <w:rsid w:val="00BE3A58"/>
    <w:rsid w:val="00BE4843"/>
    <w:rsid w:val="00BE4865"/>
    <w:rsid w:val="00BE50F9"/>
    <w:rsid w:val="00BE5241"/>
    <w:rsid w:val="00BE5595"/>
    <w:rsid w:val="00BE6035"/>
    <w:rsid w:val="00BE675A"/>
    <w:rsid w:val="00BE69BF"/>
    <w:rsid w:val="00BE725A"/>
    <w:rsid w:val="00BE73C1"/>
    <w:rsid w:val="00BE7430"/>
    <w:rsid w:val="00BE7B48"/>
    <w:rsid w:val="00BF0396"/>
    <w:rsid w:val="00BF0B5F"/>
    <w:rsid w:val="00BF3269"/>
    <w:rsid w:val="00BF3381"/>
    <w:rsid w:val="00BF667D"/>
    <w:rsid w:val="00BF68BB"/>
    <w:rsid w:val="00BF69D9"/>
    <w:rsid w:val="00BF6E25"/>
    <w:rsid w:val="00BF706E"/>
    <w:rsid w:val="00BF773F"/>
    <w:rsid w:val="00BF7E94"/>
    <w:rsid w:val="00C0169B"/>
    <w:rsid w:val="00C02357"/>
    <w:rsid w:val="00C03070"/>
    <w:rsid w:val="00C03BC6"/>
    <w:rsid w:val="00C06B11"/>
    <w:rsid w:val="00C06BCB"/>
    <w:rsid w:val="00C100E3"/>
    <w:rsid w:val="00C10FCF"/>
    <w:rsid w:val="00C11870"/>
    <w:rsid w:val="00C12810"/>
    <w:rsid w:val="00C12D84"/>
    <w:rsid w:val="00C13B88"/>
    <w:rsid w:val="00C1483A"/>
    <w:rsid w:val="00C14CF4"/>
    <w:rsid w:val="00C15B35"/>
    <w:rsid w:val="00C16B4B"/>
    <w:rsid w:val="00C1729D"/>
    <w:rsid w:val="00C17427"/>
    <w:rsid w:val="00C1797D"/>
    <w:rsid w:val="00C204FC"/>
    <w:rsid w:val="00C20C00"/>
    <w:rsid w:val="00C20C5A"/>
    <w:rsid w:val="00C210FD"/>
    <w:rsid w:val="00C2141B"/>
    <w:rsid w:val="00C2165D"/>
    <w:rsid w:val="00C22901"/>
    <w:rsid w:val="00C22969"/>
    <w:rsid w:val="00C22C44"/>
    <w:rsid w:val="00C22E49"/>
    <w:rsid w:val="00C2404F"/>
    <w:rsid w:val="00C24F30"/>
    <w:rsid w:val="00C25238"/>
    <w:rsid w:val="00C260FA"/>
    <w:rsid w:val="00C2682F"/>
    <w:rsid w:val="00C26853"/>
    <w:rsid w:val="00C2770D"/>
    <w:rsid w:val="00C305F2"/>
    <w:rsid w:val="00C318DD"/>
    <w:rsid w:val="00C31F8B"/>
    <w:rsid w:val="00C3253F"/>
    <w:rsid w:val="00C3345C"/>
    <w:rsid w:val="00C33886"/>
    <w:rsid w:val="00C3485C"/>
    <w:rsid w:val="00C3583A"/>
    <w:rsid w:val="00C35A5E"/>
    <w:rsid w:val="00C364D0"/>
    <w:rsid w:val="00C36C23"/>
    <w:rsid w:val="00C37A5F"/>
    <w:rsid w:val="00C407E5"/>
    <w:rsid w:val="00C40B65"/>
    <w:rsid w:val="00C4265A"/>
    <w:rsid w:val="00C42DAC"/>
    <w:rsid w:val="00C4342B"/>
    <w:rsid w:val="00C44C87"/>
    <w:rsid w:val="00C45345"/>
    <w:rsid w:val="00C45818"/>
    <w:rsid w:val="00C459A9"/>
    <w:rsid w:val="00C46EF4"/>
    <w:rsid w:val="00C47763"/>
    <w:rsid w:val="00C477E7"/>
    <w:rsid w:val="00C502A5"/>
    <w:rsid w:val="00C503A6"/>
    <w:rsid w:val="00C5063C"/>
    <w:rsid w:val="00C51CD8"/>
    <w:rsid w:val="00C521F7"/>
    <w:rsid w:val="00C526DE"/>
    <w:rsid w:val="00C53008"/>
    <w:rsid w:val="00C55151"/>
    <w:rsid w:val="00C554F7"/>
    <w:rsid w:val="00C5575D"/>
    <w:rsid w:val="00C558FF"/>
    <w:rsid w:val="00C55D26"/>
    <w:rsid w:val="00C560FA"/>
    <w:rsid w:val="00C56772"/>
    <w:rsid w:val="00C576D2"/>
    <w:rsid w:val="00C577C1"/>
    <w:rsid w:val="00C57FF9"/>
    <w:rsid w:val="00C6103F"/>
    <w:rsid w:val="00C612FD"/>
    <w:rsid w:val="00C62023"/>
    <w:rsid w:val="00C620F7"/>
    <w:rsid w:val="00C62348"/>
    <w:rsid w:val="00C62CA9"/>
    <w:rsid w:val="00C64434"/>
    <w:rsid w:val="00C648C4"/>
    <w:rsid w:val="00C64A51"/>
    <w:rsid w:val="00C64B27"/>
    <w:rsid w:val="00C65531"/>
    <w:rsid w:val="00C655F2"/>
    <w:rsid w:val="00C65C4D"/>
    <w:rsid w:val="00C66975"/>
    <w:rsid w:val="00C67C44"/>
    <w:rsid w:val="00C7063C"/>
    <w:rsid w:val="00C70670"/>
    <w:rsid w:val="00C72589"/>
    <w:rsid w:val="00C73C57"/>
    <w:rsid w:val="00C741B2"/>
    <w:rsid w:val="00C746D9"/>
    <w:rsid w:val="00C74D43"/>
    <w:rsid w:val="00C74F53"/>
    <w:rsid w:val="00C74F5F"/>
    <w:rsid w:val="00C75CA7"/>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916"/>
    <w:rsid w:val="00C92C27"/>
    <w:rsid w:val="00C93F1B"/>
    <w:rsid w:val="00C9454B"/>
    <w:rsid w:val="00C94A14"/>
    <w:rsid w:val="00C950E3"/>
    <w:rsid w:val="00C953F1"/>
    <w:rsid w:val="00C955F1"/>
    <w:rsid w:val="00C963DF"/>
    <w:rsid w:val="00C96DFE"/>
    <w:rsid w:val="00C96FE8"/>
    <w:rsid w:val="00C97151"/>
    <w:rsid w:val="00C9737D"/>
    <w:rsid w:val="00C976D1"/>
    <w:rsid w:val="00CA015B"/>
    <w:rsid w:val="00CA0F81"/>
    <w:rsid w:val="00CA2C6A"/>
    <w:rsid w:val="00CA2D01"/>
    <w:rsid w:val="00CA308F"/>
    <w:rsid w:val="00CA3730"/>
    <w:rsid w:val="00CA3C52"/>
    <w:rsid w:val="00CA5FDD"/>
    <w:rsid w:val="00CA67BA"/>
    <w:rsid w:val="00CA71D4"/>
    <w:rsid w:val="00CB0326"/>
    <w:rsid w:val="00CB03C1"/>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0F4A"/>
    <w:rsid w:val="00CD1770"/>
    <w:rsid w:val="00CD2422"/>
    <w:rsid w:val="00CD2D4D"/>
    <w:rsid w:val="00CD3A5D"/>
    <w:rsid w:val="00CD3F0D"/>
    <w:rsid w:val="00CD41F6"/>
    <w:rsid w:val="00CD4AF7"/>
    <w:rsid w:val="00CD56F4"/>
    <w:rsid w:val="00CD5A78"/>
    <w:rsid w:val="00CD5FD4"/>
    <w:rsid w:val="00CD64D0"/>
    <w:rsid w:val="00CD7F8F"/>
    <w:rsid w:val="00CE0B4C"/>
    <w:rsid w:val="00CE0DCE"/>
    <w:rsid w:val="00CE142E"/>
    <w:rsid w:val="00CE1BC9"/>
    <w:rsid w:val="00CE25A1"/>
    <w:rsid w:val="00CE33C1"/>
    <w:rsid w:val="00CE43B9"/>
    <w:rsid w:val="00CE478C"/>
    <w:rsid w:val="00CE4DD6"/>
    <w:rsid w:val="00CE5049"/>
    <w:rsid w:val="00CE5228"/>
    <w:rsid w:val="00CE5EF9"/>
    <w:rsid w:val="00CE76FF"/>
    <w:rsid w:val="00CF090B"/>
    <w:rsid w:val="00CF0C41"/>
    <w:rsid w:val="00CF1CF7"/>
    <w:rsid w:val="00CF352D"/>
    <w:rsid w:val="00CF3715"/>
    <w:rsid w:val="00CF3AEC"/>
    <w:rsid w:val="00CF3B92"/>
    <w:rsid w:val="00CF4012"/>
    <w:rsid w:val="00CF43D5"/>
    <w:rsid w:val="00CF446E"/>
    <w:rsid w:val="00CF517B"/>
    <w:rsid w:val="00CF5F40"/>
    <w:rsid w:val="00CF73F3"/>
    <w:rsid w:val="00D005DE"/>
    <w:rsid w:val="00D0060A"/>
    <w:rsid w:val="00D01A66"/>
    <w:rsid w:val="00D01BB6"/>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17D5"/>
    <w:rsid w:val="00D11916"/>
    <w:rsid w:val="00D125A8"/>
    <w:rsid w:val="00D1276A"/>
    <w:rsid w:val="00D14DB7"/>
    <w:rsid w:val="00D15D92"/>
    <w:rsid w:val="00D15E6A"/>
    <w:rsid w:val="00D15ED5"/>
    <w:rsid w:val="00D16656"/>
    <w:rsid w:val="00D16FD7"/>
    <w:rsid w:val="00D17B33"/>
    <w:rsid w:val="00D200AB"/>
    <w:rsid w:val="00D204C4"/>
    <w:rsid w:val="00D20EB5"/>
    <w:rsid w:val="00D24DD5"/>
    <w:rsid w:val="00D25689"/>
    <w:rsid w:val="00D25899"/>
    <w:rsid w:val="00D25ADC"/>
    <w:rsid w:val="00D2696B"/>
    <w:rsid w:val="00D31CD5"/>
    <w:rsid w:val="00D33009"/>
    <w:rsid w:val="00D3376E"/>
    <w:rsid w:val="00D340A6"/>
    <w:rsid w:val="00D34402"/>
    <w:rsid w:val="00D348F7"/>
    <w:rsid w:val="00D35641"/>
    <w:rsid w:val="00D3564E"/>
    <w:rsid w:val="00D36677"/>
    <w:rsid w:val="00D36EF4"/>
    <w:rsid w:val="00D371D0"/>
    <w:rsid w:val="00D4062A"/>
    <w:rsid w:val="00D40BC3"/>
    <w:rsid w:val="00D410EA"/>
    <w:rsid w:val="00D434EC"/>
    <w:rsid w:val="00D44AC7"/>
    <w:rsid w:val="00D44C07"/>
    <w:rsid w:val="00D44E9D"/>
    <w:rsid w:val="00D450DA"/>
    <w:rsid w:val="00D452E9"/>
    <w:rsid w:val="00D4567E"/>
    <w:rsid w:val="00D46722"/>
    <w:rsid w:val="00D472A7"/>
    <w:rsid w:val="00D47BC2"/>
    <w:rsid w:val="00D504F1"/>
    <w:rsid w:val="00D514B7"/>
    <w:rsid w:val="00D51515"/>
    <w:rsid w:val="00D5217F"/>
    <w:rsid w:val="00D5381C"/>
    <w:rsid w:val="00D53C84"/>
    <w:rsid w:val="00D54BD5"/>
    <w:rsid w:val="00D5699B"/>
    <w:rsid w:val="00D575F0"/>
    <w:rsid w:val="00D57960"/>
    <w:rsid w:val="00D6004B"/>
    <w:rsid w:val="00D60578"/>
    <w:rsid w:val="00D60B56"/>
    <w:rsid w:val="00D614C8"/>
    <w:rsid w:val="00D61A0E"/>
    <w:rsid w:val="00D62055"/>
    <w:rsid w:val="00D62551"/>
    <w:rsid w:val="00D6295D"/>
    <w:rsid w:val="00D64656"/>
    <w:rsid w:val="00D66FC3"/>
    <w:rsid w:val="00D70C67"/>
    <w:rsid w:val="00D70E79"/>
    <w:rsid w:val="00D71436"/>
    <w:rsid w:val="00D71CF9"/>
    <w:rsid w:val="00D72EAC"/>
    <w:rsid w:val="00D73BC4"/>
    <w:rsid w:val="00D74170"/>
    <w:rsid w:val="00D74344"/>
    <w:rsid w:val="00D74B06"/>
    <w:rsid w:val="00D75780"/>
    <w:rsid w:val="00D7675E"/>
    <w:rsid w:val="00D80080"/>
    <w:rsid w:val="00D807FB"/>
    <w:rsid w:val="00D80F9D"/>
    <w:rsid w:val="00D80FFB"/>
    <w:rsid w:val="00D81BAE"/>
    <w:rsid w:val="00D82A34"/>
    <w:rsid w:val="00D82DF3"/>
    <w:rsid w:val="00D84B17"/>
    <w:rsid w:val="00D8507D"/>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FC3"/>
    <w:rsid w:val="00DA00CC"/>
    <w:rsid w:val="00DA0839"/>
    <w:rsid w:val="00DA0EE6"/>
    <w:rsid w:val="00DA1248"/>
    <w:rsid w:val="00DA12C3"/>
    <w:rsid w:val="00DA1878"/>
    <w:rsid w:val="00DA22B5"/>
    <w:rsid w:val="00DA374D"/>
    <w:rsid w:val="00DA4192"/>
    <w:rsid w:val="00DA495D"/>
    <w:rsid w:val="00DA4C0A"/>
    <w:rsid w:val="00DA4F15"/>
    <w:rsid w:val="00DA5280"/>
    <w:rsid w:val="00DA5DCA"/>
    <w:rsid w:val="00DA600C"/>
    <w:rsid w:val="00DA615C"/>
    <w:rsid w:val="00DA7BA0"/>
    <w:rsid w:val="00DA7C37"/>
    <w:rsid w:val="00DA7D03"/>
    <w:rsid w:val="00DB132B"/>
    <w:rsid w:val="00DB15D7"/>
    <w:rsid w:val="00DB3319"/>
    <w:rsid w:val="00DB400B"/>
    <w:rsid w:val="00DB42EB"/>
    <w:rsid w:val="00DB42F5"/>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B4A"/>
    <w:rsid w:val="00DC4289"/>
    <w:rsid w:val="00DC4806"/>
    <w:rsid w:val="00DC4BCD"/>
    <w:rsid w:val="00DC5D44"/>
    <w:rsid w:val="00DC7619"/>
    <w:rsid w:val="00DC7BD4"/>
    <w:rsid w:val="00DD1107"/>
    <w:rsid w:val="00DD1121"/>
    <w:rsid w:val="00DD14F8"/>
    <w:rsid w:val="00DD15B7"/>
    <w:rsid w:val="00DD173F"/>
    <w:rsid w:val="00DD178F"/>
    <w:rsid w:val="00DD186A"/>
    <w:rsid w:val="00DD1BCE"/>
    <w:rsid w:val="00DD1FE4"/>
    <w:rsid w:val="00DD23C5"/>
    <w:rsid w:val="00DD3A92"/>
    <w:rsid w:val="00DD3B58"/>
    <w:rsid w:val="00DD4022"/>
    <w:rsid w:val="00DD78B2"/>
    <w:rsid w:val="00DE040C"/>
    <w:rsid w:val="00DE0DE9"/>
    <w:rsid w:val="00DE1746"/>
    <w:rsid w:val="00DE2004"/>
    <w:rsid w:val="00DE2966"/>
    <w:rsid w:val="00DE3288"/>
    <w:rsid w:val="00DE40E0"/>
    <w:rsid w:val="00DE4107"/>
    <w:rsid w:val="00DE4FD1"/>
    <w:rsid w:val="00DE6E6F"/>
    <w:rsid w:val="00DE736A"/>
    <w:rsid w:val="00DF0127"/>
    <w:rsid w:val="00DF0424"/>
    <w:rsid w:val="00DF04ED"/>
    <w:rsid w:val="00DF0B5E"/>
    <w:rsid w:val="00DF0ED5"/>
    <w:rsid w:val="00DF382D"/>
    <w:rsid w:val="00DF3BE8"/>
    <w:rsid w:val="00DF3F0D"/>
    <w:rsid w:val="00DF5CF5"/>
    <w:rsid w:val="00DF72D9"/>
    <w:rsid w:val="00DF7B69"/>
    <w:rsid w:val="00DF7EC8"/>
    <w:rsid w:val="00E00D4F"/>
    <w:rsid w:val="00E0128F"/>
    <w:rsid w:val="00E0164B"/>
    <w:rsid w:val="00E0218A"/>
    <w:rsid w:val="00E028ED"/>
    <w:rsid w:val="00E02E7F"/>
    <w:rsid w:val="00E03E52"/>
    <w:rsid w:val="00E048CD"/>
    <w:rsid w:val="00E0499F"/>
    <w:rsid w:val="00E04AA2"/>
    <w:rsid w:val="00E050B9"/>
    <w:rsid w:val="00E053F6"/>
    <w:rsid w:val="00E05A28"/>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DB8"/>
    <w:rsid w:val="00E17EB1"/>
    <w:rsid w:val="00E20330"/>
    <w:rsid w:val="00E204CE"/>
    <w:rsid w:val="00E20A27"/>
    <w:rsid w:val="00E2153F"/>
    <w:rsid w:val="00E21B31"/>
    <w:rsid w:val="00E21BE4"/>
    <w:rsid w:val="00E2250E"/>
    <w:rsid w:val="00E22E9E"/>
    <w:rsid w:val="00E231DB"/>
    <w:rsid w:val="00E2322E"/>
    <w:rsid w:val="00E2370C"/>
    <w:rsid w:val="00E23855"/>
    <w:rsid w:val="00E23C67"/>
    <w:rsid w:val="00E2451E"/>
    <w:rsid w:val="00E249D1"/>
    <w:rsid w:val="00E24BF5"/>
    <w:rsid w:val="00E24DDF"/>
    <w:rsid w:val="00E27B87"/>
    <w:rsid w:val="00E27DDF"/>
    <w:rsid w:val="00E27E01"/>
    <w:rsid w:val="00E30210"/>
    <w:rsid w:val="00E30A90"/>
    <w:rsid w:val="00E310B9"/>
    <w:rsid w:val="00E3117A"/>
    <w:rsid w:val="00E317D9"/>
    <w:rsid w:val="00E32DBA"/>
    <w:rsid w:val="00E354AF"/>
    <w:rsid w:val="00E35DF9"/>
    <w:rsid w:val="00E37483"/>
    <w:rsid w:val="00E377D5"/>
    <w:rsid w:val="00E37FDD"/>
    <w:rsid w:val="00E416B1"/>
    <w:rsid w:val="00E42117"/>
    <w:rsid w:val="00E424DE"/>
    <w:rsid w:val="00E43469"/>
    <w:rsid w:val="00E4359A"/>
    <w:rsid w:val="00E4369C"/>
    <w:rsid w:val="00E43A0F"/>
    <w:rsid w:val="00E43AA2"/>
    <w:rsid w:val="00E4438B"/>
    <w:rsid w:val="00E445DA"/>
    <w:rsid w:val="00E447EE"/>
    <w:rsid w:val="00E45379"/>
    <w:rsid w:val="00E4659B"/>
    <w:rsid w:val="00E465CB"/>
    <w:rsid w:val="00E472D6"/>
    <w:rsid w:val="00E47C0D"/>
    <w:rsid w:val="00E50929"/>
    <w:rsid w:val="00E50A7E"/>
    <w:rsid w:val="00E50B22"/>
    <w:rsid w:val="00E51D7B"/>
    <w:rsid w:val="00E51E18"/>
    <w:rsid w:val="00E5267D"/>
    <w:rsid w:val="00E52703"/>
    <w:rsid w:val="00E533BD"/>
    <w:rsid w:val="00E5346C"/>
    <w:rsid w:val="00E53706"/>
    <w:rsid w:val="00E53DE8"/>
    <w:rsid w:val="00E55401"/>
    <w:rsid w:val="00E556C7"/>
    <w:rsid w:val="00E55B38"/>
    <w:rsid w:val="00E56663"/>
    <w:rsid w:val="00E57CE2"/>
    <w:rsid w:val="00E60967"/>
    <w:rsid w:val="00E617BD"/>
    <w:rsid w:val="00E617DF"/>
    <w:rsid w:val="00E61E05"/>
    <w:rsid w:val="00E61F5C"/>
    <w:rsid w:val="00E63111"/>
    <w:rsid w:val="00E63348"/>
    <w:rsid w:val="00E64BD9"/>
    <w:rsid w:val="00E6508C"/>
    <w:rsid w:val="00E6519C"/>
    <w:rsid w:val="00E65A16"/>
    <w:rsid w:val="00E6698C"/>
    <w:rsid w:val="00E67E50"/>
    <w:rsid w:val="00E705B4"/>
    <w:rsid w:val="00E72597"/>
    <w:rsid w:val="00E72967"/>
    <w:rsid w:val="00E74577"/>
    <w:rsid w:val="00E74F74"/>
    <w:rsid w:val="00E754ED"/>
    <w:rsid w:val="00E8071C"/>
    <w:rsid w:val="00E809B3"/>
    <w:rsid w:val="00E80D12"/>
    <w:rsid w:val="00E810C4"/>
    <w:rsid w:val="00E8134F"/>
    <w:rsid w:val="00E8155D"/>
    <w:rsid w:val="00E81743"/>
    <w:rsid w:val="00E83DF0"/>
    <w:rsid w:val="00E84558"/>
    <w:rsid w:val="00E84A74"/>
    <w:rsid w:val="00E84AD7"/>
    <w:rsid w:val="00E85080"/>
    <w:rsid w:val="00E8538B"/>
    <w:rsid w:val="00E85CC0"/>
    <w:rsid w:val="00E85E1F"/>
    <w:rsid w:val="00E86301"/>
    <w:rsid w:val="00E86815"/>
    <w:rsid w:val="00E86A65"/>
    <w:rsid w:val="00E90F9D"/>
    <w:rsid w:val="00E911A0"/>
    <w:rsid w:val="00E913DC"/>
    <w:rsid w:val="00E91404"/>
    <w:rsid w:val="00E9199A"/>
    <w:rsid w:val="00E9220A"/>
    <w:rsid w:val="00E93886"/>
    <w:rsid w:val="00E94225"/>
    <w:rsid w:val="00E947EF"/>
    <w:rsid w:val="00E94C22"/>
    <w:rsid w:val="00E95147"/>
    <w:rsid w:val="00E96AB8"/>
    <w:rsid w:val="00E96E1A"/>
    <w:rsid w:val="00EA030F"/>
    <w:rsid w:val="00EA0E04"/>
    <w:rsid w:val="00EA220D"/>
    <w:rsid w:val="00EA2FBD"/>
    <w:rsid w:val="00EA3156"/>
    <w:rsid w:val="00EA3FF0"/>
    <w:rsid w:val="00EA40A2"/>
    <w:rsid w:val="00EA4113"/>
    <w:rsid w:val="00EA46DF"/>
    <w:rsid w:val="00EA4CD5"/>
    <w:rsid w:val="00EA4E4A"/>
    <w:rsid w:val="00EA5D2C"/>
    <w:rsid w:val="00EA5D8E"/>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10DA"/>
    <w:rsid w:val="00EC25AE"/>
    <w:rsid w:val="00EC2B42"/>
    <w:rsid w:val="00EC2B82"/>
    <w:rsid w:val="00EC3B8F"/>
    <w:rsid w:val="00EC5BF3"/>
    <w:rsid w:val="00EC5CA0"/>
    <w:rsid w:val="00EC642A"/>
    <w:rsid w:val="00EC651D"/>
    <w:rsid w:val="00EC6C95"/>
    <w:rsid w:val="00EC6D3B"/>
    <w:rsid w:val="00EC7372"/>
    <w:rsid w:val="00ED0706"/>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0EF"/>
    <w:rsid w:val="00EE17C8"/>
    <w:rsid w:val="00EE357C"/>
    <w:rsid w:val="00EE527A"/>
    <w:rsid w:val="00EE5898"/>
    <w:rsid w:val="00EE5F2E"/>
    <w:rsid w:val="00EE6BFF"/>
    <w:rsid w:val="00EE791A"/>
    <w:rsid w:val="00EF01E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5C67"/>
    <w:rsid w:val="00F0603B"/>
    <w:rsid w:val="00F061A6"/>
    <w:rsid w:val="00F0710C"/>
    <w:rsid w:val="00F07119"/>
    <w:rsid w:val="00F072BF"/>
    <w:rsid w:val="00F07306"/>
    <w:rsid w:val="00F110D8"/>
    <w:rsid w:val="00F11AB3"/>
    <w:rsid w:val="00F11F3F"/>
    <w:rsid w:val="00F1282E"/>
    <w:rsid w:val="00F136BF"/>
    <w:rsid w:val="00F14017"/>
    <w:rsid w:val="00F160C8"/>
    <w:rsid w:val="00F1684C"/>
    <w:rsid w:val="00F17435"/>
    <w:rsid w:val="00F17BCE"/>
    <w:rsid w:val="00F20633"/>
    <w:rsid w:val="00F210B8"/>
    <w:rsid w:val="00F21CB5"/>
    <w:rsid w:val="00F228DB"/>
    <w:rsid w:val="00F23316"/>
    <w:rsid w:val="00F2385F"/>
    <w:rsid w:val="00F23B0A"/>
    <w:rsid w:val="00F2423D"/>
    <w:rsid w:val="00F24527"/>
    <w:rsid w:val="00F24E11"/>
    <w:rsid w:val="00F25CFE"/>
    <w:rsid w:val="00F26CBF"/>
    <w:rsid w:val="00F27918"/>
    <w:rsid w:val="00F304E8"/>
    <w:rsid w:val="00F30562"/>
    <w:rsid w:val="00F30C80"/>
    <w:rsid w:val="00F3321F"/>
    <w:rsid w:val="00F34B11"/>
    <w:rsid w:val="00F35243"/>
    <w:rsid w:val="00F3539E"/>
    <w:rsid w:val="00F35D24"/>
    <w:rsid w:val="00F36E9F"/>
    <w:rsid w:val="00F37F2A"/>
    <w:rsid w:val="00F4004A"/>
    <w:rsid w:val="00F40D3A"/>
    <w:rsid w:val="00F40F02"/>
    <w:rsid w:val="00F417A5"/>
    <w:rsid w:val="00F41AEF"/>
    <w:rsid w:val="00F41B19"/>
    <w:rsid w:val="00F41B2F"/>
    <w:rsid w:val="00F420CA"/>
    <w:rsid w:val="00F422A7"/>
    <w:rsid w:val="00F42AE8"/>
    <w:rsid w:val="00F43E6E"/>
    <w:rsid w:val="00F43EBF"/>
    <w:rsid w:val="00F44423"/>
    <w:rsid w:val="00F464D1"/>
    <w:rsid w:val="00F4651D"/>
    <w:rsid w:val="00F46AD4"/>
    <w:rsid w:val="00F46E80"/>
    <w:rsid w:val="00F47A11"/>
    <w:rsid w:val="00F47CE9"/>
    <w:rsid w:val="00F47FE4"/>
    <w:rsid w:val="00F5096E"/>
    <w:rsid w:val="00F50BE6"/>
    <w:rsid w:val="00F51236"/>
    <w:rsid w:val="00F51E4A"/>
    <w:rsid w:val="00F5374C"/>
    <w:rsid w:val="00F537BE"/>
    <w:rsid w:val="00F53B33"/>
    <w:rsid w:val="00F541B8"/>
    <w:rsid w:val="00F54341"/>
    <w:rsid w:val="00F563D6"/>
    <w:rsid w:val="00F56B6D"/>
    <w:rsid w:val="00F56CC2"/>
    <w:rsid w:val="00F56F47"/>
    <w:rsid w:val="00F5771A"/>
    <w:rsid w:val="00F60BC0"/>
    <w:rsid w:val="00F61B7F"/>
    <w:rsid w:val="00F62370"/>
    <w:rsid w:val="00F628D3"/>
    <w:rsid w:val="00F62D64"/>
    <w:rsid w:val="00F62EF2"/>
    <w:rsid w:val="00F6433D"/>
    <w:rsid w:val="00F64430"/>
    <w:rsid w:val="00F6497E"/>
    <w:rsid w:val="00F64ED1"/>
    <w:rsid w:val="00F66BD7"/>
    <w:rsid w:val="00F677E2"/>
    <w:rsid w:val="00F705D2"/>
    <w:rsid w:val="00F70C9C"/>
    <w:rsid w:val="00F717E6"/>
    <w:rsid w:val="00F71D2E"/>
    <w:rsid w:val="00F7216B"/>
    <w:rsid w:val="00F7264A"/>
    <w:rsid w:val="00F72E5E"/>
    <w:rsid w:val="00F73751"/>
    <w:rsid w:val="00F75EAD"/>
    <w:rsid w:val="00F763CA"/>
    <w:rsid w:val="00F77154"/>
    <w:rsid w:val="00F805F6"/>
    <w:rsid w:val="00F80F33"/>
    <w:rsid w:val="00F8257B"/>
    <w:rsid w:val="00F82D9E"/>
    <w:rsid w:val="00F82FA8"/>
    <w:rsid w:val="00F8308D"/>
    <w:rsid w:val="00F8328B"/>
    <w:rsid w:val="00F8411B"/>
    <w:rsid w:val="00F8442A"/>
    <w:rsid w:val="00F846D6"/>
    <w:rsid w:val="00F85113"/>
    <w:rsid w:val="00F85512"/>
    <w:rsid w:val="00F856EE"/>
    <w:rsid w:val="00F85741"/>
    <w:rsid w:val="00F86130"/>
    <w:rsid w:val="00F871D7"/>
    <w:rsid w:val="00F87607"/>
    <w:rsid w:val="00F87649"/>
    <w:rsid w:val="00F9173A"/>
    <w:rsid w:val="00F91800"/>
    <w:rsid w:val="00F926D5"/>
    <w:rsid w:val="00F937CF"/>
    <w:rsid w:val="00F93C90"/>
    <w:rsid w:val="00F94A68"/>
    <w:rsid w:val="00F94B81"/>
    <w:rsid w:val="00F94E99"/>
    <w:rsid w:val="00F9650A"/>
    <w:rsid w:val="00F967C7"/>
    <w:rsid w:val="00F9792B"/>
    <w:rsid w:val="00FA0437"/>
    <w:rsid w:val="00FA0DFA"/>
    <w:rsid w:val="00FA233F"/>
    <w:rsid w:val="00FA2E05"/>
    <w:rsid w:val="00FA354E"/>
    <w:rsid w:val="00FA3DF0"/>
    <w:rsid w:val="00FA47AD"/>
    <w:rsid w:val="00FA4AAE"/>
    <w:rsid w:val="00FA61A8"/>
    <w:rsid w:val="00FA6D2D"/>
    <w:rsid w:val="00FA6F8F"/>
    <w:rsid w:val="00FA7166"/>
    <w:rsid w:val="00FA7D57"/>
    <w:rsid w:val="00FB0008"/>
    <w:rsid w:val="00FB071C"/>
    <w:rsid w:val="00FB1557"/>
    <w:rsid w:val="00FB1ACE"/>
    <w:rsid w:val="00FB2144"/>
    <w:rsid w:val="00FB3EA0"/>
    <w:rsid w:val="00FB55F4"/>
    <w:rsid w:val="00FB58D8"/>
    <w:rsid w:val="00FB6548"/>
    <w:rsid w:val="00FB688E"/>
    <w:rsid w:val="00FB7140"/>
    <w:rsid w:val="00FB7B1A"/>
    <w:rsid w:val="00FC0365"/>
    <w:rsid w:val="00FC0B63"/>
    <w:rsid w:val="00FC1226"/>
    <w:rsid w:val="00FC15DA"/>
    <w:rsid w:val="00FC2209"/>
    <w:rsid w:val="00FC31A6"/>
    <w:rsid w:val="00FC376A"/>
    <w:rsid w:val="00FC53DD"/>
    <w:rsid w:val="00FC6827"/>
    <w:rsid w:val="00FC7531"/>
    <w:rsid w:val="00FC7950"/>
    <w:rsid w:val="00FC7963"/>
    <w:rsid w:val="00FC7DD1"/>
    <w:rsid w:val="00FC7EAA"/>
    <w:rsid w:val="00FD17F9"/>
    <w:rsid w:val="00FD21E3"/>
    <w:rsid w:val="00FD4877"/>
    <w:rsid w:val="00FD4963"/>
    <w:rsid w:val="00FD4FA5"/>
    <w:rsid w:val="00FD5166"/>
    <w:rsid w:val="00FD526A"/>
    <w:rsid w:val="00FD68A6"/>
    <w:rsid w:val="00FD702A"/>
    <w:rsid w:val="00FD758C"/>
    <w:rsid w:val="00FE16CF"/>
    <w:rsid w:val="00FE1F08"/>
    <w:rsid w:val="00FE2170"/>
    <w:rsid w:val="00FE2921"/>
    <w:rsid w:val="00FE3F8B"/>
    <w:rsid w:val="00FE524D"/>
    <w:rsid w:val="00FE7B72"/>
    <w:rsid w:val="00FF05B9"/>
    <w:rsid w:val="00FF05E6"/>
    <w:rsid w:val="00FF08BF"/>
    <w:rsid w:val="00FF0EB1"/>
    <w:rsid w:val="00FF1049"/>
    <w:rsid w:val="00FF156D"/>
    <w:rsid w:val="00FF3529"/>
    <w:rsid w:val="00FF3634"/>
    <w:rsid w:val="00FF3699"/>
    <w:rsid w:val="00FF4408"/>
    <w:rsid w:val="00FF456A"/>
    <w:rsid w:val="00FF46FD"/>
    <w:rsid w:val="00FF6204"/>
    <w:rsid w:val="00FF634D"/>
    <w:rsid w:val="00FF6E79"/>
    <w:rsid w:val="00FF75A4"/>
    <w:rsid w:val="00FF7A95"/>
    <w:rsid w:val="0D888D6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E9C06E7"/>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503FE"/>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 w:type="table" w:styleId="Tablaconcuadrcula1" w:customStyle="1">
    <w:name w:val="Tabla con cuadrícula1"/>
    <w:basedOn w:val="Tablanormal"/>
    <w:next w:val="Tablaconcuadrcula"/>
    <w:uiPriority w:val="39"/>
    <w:rsid w:val="00AB659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4" w:customStyle="1">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hAnsi="Times New Roman" w:eastAsia="Times New Roman" w:cs="Times New Roman"/>
      <w:sz w:val="20"/>
      <w:szCs w:val="20"/>
      <w:lang w:eastAsia="es-ES"/>
    </w:rPr>
  </w:style>
  <w:style w:type="character" w:styleId="Mencinsinresolver5" w:customStyle="1">
    <w:name w:val="Mención sin resolver5"/>
    <w:basedOn w:val="Fuentedeprrafopredeter"/>
    <w:uiPriority w:val="99"/>
    <w:semiHidden/>
    <w:unhideWhenUsed/>
    <w:rsid w:val="00583A2A"/>
    <w:rPr>
      <w:color w:val="605E5C"/>
      <w:shd w:val="clear" w:color="auto" w:fill="E1DFDD"/>
    </w:rPr>
  </w:style>
  <w:style w:type="character" w:styleId="Mencinsinresolver6" w:customStyle="1">
    <w:name w:val="Mención sin resolver6"/>
    <w:basedOn w:val="Fuentedeprrafopredeter"/>
    <w:uiPriority w:val="99"/>
    <w:semiHidden/>
    <w:unhideWhenUsed/>
    <w:rsid w:val="00C66975"/>
    <w:rPr>
      <w:color w:val="605E5C"/>
      <w:shd w:val="clear" w:color="auto" w:fill="E1DFDD"/>
    </w:rPr>
  </w:style>
  <w:style w:type="character" w:styleId="Mencinsinresolver7" w:customStyle="1">
    <w:name w:val="Mención sin resolver7"/>
    <w:basedOn w:val="Fuentedeprrafopredeter"/>
    <w:uiPriority w:val="99"/>
    <w:semiHidden/>
    <w:unhideWhenUsed/>
    <w:rsid w:val="00BD7D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096150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ipomex.org.mx/ipo3/lgt/indice/CODHEM/art_92_xxxvi.web?token=03ANYolgsbPYqy9bDi7d1TuXZW-WUynMPw0Y0ZblNCXzXHB7-K5qnqQJUbc63qQzd2utx5oD6WgbxcHwHA9S-EBozpd7EJknMvmFVcDl98TpPVjhAy0dzHli70FZDt4hwX9ljVm7FMOfiwbvkFhNLV0wFHVgkdZkijUVoK0WjoZVIKJ0YGURZg-KPWp6FOBFXoMeK46cXxHj_65AVF4KCVEbdHcqqtGiA9jVNVts6xrvvleyi6KdCxsvMjFl_H9M46UWJzuaF3tnP2XWzhCToDvUGXzwf4rlZLD-afcHSkzVU3ajxP0x_MKxON8UPDFqKEEakYKgCSXjCQ_FDgLzKyM6x3NueBaLYIDgIA9QqAHXglbZinmyJP6pBQIJ5xLyLMuJgdNfjaQxpg2AB8os%25PoWM6FDeG0BiM8wVxmlJ-hpcG5EmKn7OReCc/NA9d5ZSi2-93tBgeH2WBT4Z2oSVRR-RE18vf2mdy7XV92BI1FxGJW1XxQYLgOlGkjGNaqiEKxHipGL63" TargetMode="External"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1.png"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hyperlink" Target="https://ipomex.org.mx/ipo3/lgt/indice/CODHEM/art_92_xxix_b.web?token=03AFY_a8XV5XPCsncoE1cgT_0uzOTe0tV7iWJlBoGEW-AghAOnc7_Ge8SsR9XSn2R1z7JFrvvZ60nvg_M5Upra0KZ99f5jhG4dKmXVxb8xKIQR9WuajzpAc16hOkxHupEKsiB6BM9dvgGCj2cn2EHAHoxBUKUu5utAjc_iTBaekJCotn_pfmlmh22KY7a1mlslMd7UICfMjKvx62NunxZSKjNwjP5NYHpckluL2tBuyAkPA4wK5WI7NKqqJLsYOSHAXdYmfIXQTlY3-PMeW-A62PdcX_GeD_g4eg-EKtQTLq7zkBl3Y9fdt-tUd3hYzHmMTJFh6yNGOsXobHh4DJbNzaOGC9jXu7obp5do1XHafkaVcYtzWvRHYOHUsNuCqcAkVu1UC-ltjXdEQEGcvTVuNfa8m4dnIhYu82TRZz3ayVDCvYGz2BY--SfQCBoYLzd8pIkJ69-GZ4ePQYkricrAjbnJBjTCP1YcH4yyDtalUTx6EvtQukLQhn_4DuC7T24c57_VU5n85xAR" TargetMode="External" Id="rId10" /><Relationship Type="http://schemas.openxmlformats.org/officeDocument/2006/relationships/settings" Target="settings.xml" Id="rId4" /><Relationship Type="http://schemas.openxmlformats.org/officeDocument/2006/relationships/hyperlink" Target="https://ipomex.org.mx/ipo3/lgt/indice/CODHEM/art_92_xxix_a.web?token=03Allukzi4gGUMcC7jM5tWOk_Nd-3OodTfVzZ3YKGmRtH0Gf2To9dEggPnB7rTWc7Htmlli03CMQRjPF2p&amp;-MsrwiqGdlTTVJbe55m35T-cZT_Lhjejwya6tel-HY4FCLnrxKlg9pbH80NgM6FW7l5_87nJr9dY-Jm0Ke_34Lf1ut8nNUNF3E9DXAXpH12Ad382Cz9pcxGaFhpR56gJYO30KF91_FOW-gsVHVRnA8eZkEBXcv-DHz_ke9OtjRWqEwi4mdyO54vExPNm02pfp2AR23awVO1TOC6H0ggA4IJ81N-W6SCz9R9hWoSiA-y46XceiNus0aezRqRJvXWgb_LBkBDBy6Jnn8UHxj2A_KpmP2X8PofVJJicMG6FwPoUlgLAjKsadNe_eQwuAsLj6cl5Upxv8H8ZHhGuEwnEFcD4WQ1bm6oU_PXI5HJJTj08Cc13UstdiNg41kv4TLdVcvfLDBtUxrV8GXWMbEtrhyzas-1kuhMKtCkloXS2LdjjaXwmsAjSVS7pV8RTmBaHm04eMTXr3reyw" TargetMode="External" Id="rId9" /><Relationship Type="http://schemas.openxmlformats.org/officeDocument/2006/relationships/footer" Target="footer1.xml" Id="rId14" /><Relationship Type="http://schemas.openxmlformats.org/officeDocument/2006/relationships/glossaryDocument" Target="glossary/document.xml" Id="Rcd48b51de95f4554"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98acbac-0f1f-4312-bc45-2d600872c8aa}"/>
      </w:docPartPr>
      <w:docPartBody>
        <w:p w14:paraId="5F9B3AB2">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0ED45-0DF0-49B1-937C-B7754BF6F38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LENOVO</dc:creator>
  <keywords/>
  <dc:description/>
  <lastModifiedBy>Denisse Eduarte</lastModifiedBy>
  <revision>6</revision>
  <lastPrinted>2020-01-16T18:20:00.0000000Z</lastPrinted>
  <dcterms:created xsi:type="dcterms:W3CDTF">2023-03-22T23:16:00.0000000Z</dcterms:created>
  <dcterms:modified xsi:type="dcterms:W3CDTF">2023-04-16T04:43:24.2026016Z</dcterms:modified>
</coreProperties>
</file>