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987D1A" w:rsidR="00D33E1E" w:rsidP="00BF6E9C" w:rsidRDefault="00D33E1E" w14:paraId="04D916D9" w14:textId="2BE84D68">
      <w:pPr>
        <w:spacing w:after="0" w:line="360" w:lineRule="auto"/>
        <w:rPr>
          <w:rFonts w:eastAsia="Times New Roman" w:cs="Tahoma"/>
          <w:bCs/>
          <w:color w:val="auto"/>
          <w:lang w:eastAsia="es-ES"/>
        </w:rPr>
      </w:pPr>
      <w:r w:rsidRPr="00987D1A">
        <w:rPr>
          <w:rFonts w:eastAsia="Calibri" w:cs="Tahoma"/>
          <w:bCs/>
          <w:color w:val="000000"/>
        </w:rPr>
        <w:t xml:space="preserve">Resolución del Pleno del Instituto de Transparencia, Acceso a la Información Pública y </w:t>
      </w:r>
      <w:r w:rsidRPr="00987D1A">
        <w:rPr>
          <w:rFonts w:eastAsia="Times New Roman" w:cs="Tahoma"/>
          <w:bCs/>
          <w:color w:val="auto"/>
          <w:lang w:eastAsia="es-ES"/>
        </w:rPr>
        <w:t xml:space="preserve">Protección de Datos Personales del Estado de México y Municipios, con domicilio en Metepec, Estado de México, de fecha </w:t>
      </w:r>
      <w:r w:rsidR="00585CFB">
        <w:rPr>
          <w:rFonts w:cs="Tahoma"/>
          <w:bCs/>
        </w:rPr>
        <w:t>veintidós</w:t>
      </w:r>
      <w:r w:rsidRPr="00966C54" w:rsidR="00585CFB">
        <w:rPr>
          <w:rFonts w:cs="Tahoma"/>
          <w:bCs/>
        </w:rPr>
        <w:t xml:space="preserve"> de marzo de dos mil veintitrés</w:t>
      </w:r>
      <w:r w:rsidR="00585CFB">
        <w:rPr>
          <w:rFonts w:eastAsia="Times New Roman" w:cs="Tahoma"/>
          <w:bCs/>
          <w:color w:val="auto"/>
          <w:lang w:eastAsia="es-ES"/>
        </w:rPr>
        <w:t>.</w:t>
      </w:r>
    </w:p>
    <w:p w:rsidR="00ED212B" w:rsidP="00BF6E9C" w:rsidRDefault="00ED212B" w14:paraId="4751432D" w14:textId="77777777">
      <w:pPr>
        <w:spacing w:after="0" w:line="360" w:lineRule="auto"/>
        <w:rPr>
          <w:rFonts w:eastAsia="Times New Roman" w:cs="Tahoma"/>
          <w:b/>
          <w:bCs/>
          <w:color w:val="auto"/>
          <w:lang w:eastAsia="es-ES"/>
        </w:rPr>
      </w:pPr>
    </w:p>
    <w:p w:rsidRPr="00987D1A" w:rsidR="00D33E1E" w:rsidP="00BF6E9C" w:rsidRDefault="00D33E1E" w14:paraId="3001B54D" w14:textId="5548382B">
      <w:pPr>
        <w:tabs>
          <w:tab w:val="left" w:pos="2127"/>
        </w:tabs>
        <w:spacing w:after="0" w:line="360" w:lineRule="auto"/>
        <w:rPr>
          <w:rFonts w:eastAsia="Calibri" w:cs="Tahoma"/>
          <w:color w:val="0D0D0D"/>
        </w:rPr>
      </w:pPr>
      <w:r w:rsidRPr="3D706789" w:rsidR="3D706789">
        <w:rPr>
          <w:rFonts w:eastAsia="Times New Roman" w:cs="Tahoma"/>
          <w:b w:val="1"/>
          <w:bCs w:val="1"/>
          <w:color w:val="auto"/>
          <w:lang w:eastAsia="es-ES"/>
        </w:rPr>
        <w:t>VISTO</w:t>
      </w:r>
      <w:r w:rsidRPr="3D706789" w:rsidR="3D706789">
        <w:rPr>
          <w:rFonts w:eastAsia="Calibri" w:cs="Tahoma"/>
          <w:color w:val="0D0D0D" w:themeColor="text1" w:themeTint="F2" w:themeShade="FF"/>
        </w:rPr>
        <w:t xml:space="preserve"> el expediente conformado con motivo del Recurso de Revisión </w:t>
      </w:r>
      <w:r w:rsidRPr="3D706789" w:rsidR="3D706789">
        <w:rPr>
          <w:rFonts w:eastAsia="Calibri" w:cs="Tahoma"/>
          <w:color w:val="000000" w:themeColor="text1" w:themeTint="FF" w:themeShade="FF"/>
        </w:rPr>
        <w:t xml:space="preserve">10091/INFOEM/IP/RR/2022, interpuesto </w:t>
      </w:r>
      <w:r w:rsidRPr="3D706789" w:rsidR="3D706789">
        <w:rPr>
          <w:rFonts w:eastAsia="Calibri" w:cs="Tahoma"/>
          <w:color w:val="000000" w:themeColor="text1" w:themeTint="FF" w:themeShade="FF"/>
        </w:rPr>
        <w:t xml:space="preserve">por </w:t>
      </w:r>
      <w:r w:rsidRPr="3D706789" w:rsidR="3D706789">
        <w:rPr>
          <w:rFonts w:eastAsia="Calibri" w:cs="Tahoma"/>
          <w:color w:val="000000" w:themeColor="text1" w:themeTint="FF" w:themeShade="FF"/>
          <w:highlight w:val="black"/>
        </w:rPr>
        <w:t>X</w:t>
      </w:r>
      <w:r w:rsidRPr="3D706789" w:rsidR="3D706789">
        <w:rPr>
          <w:rFonts w:eastAsia="Calibri" w:cs="Tahoma"/>
          <w:color w:val="000000" w:themeColor="text1" w:themeTint="FF" w:themeShade="FF"/>
          <w:highlight w:val="black"/>
        </w:rPr>
        <w:t>XXXXXXXXXXXXXXXXXXXXXXX</w:t>
      </w:r>
      <w:r w:rsidRPr="3D706789" w:rsidR="3D706789">
        <w:rPr>
          <w:rFonts w:eastAsia="Calibri" w:cs="Tahoma"/>
          <w:color w:val="000000" w:themeColor="text1" w:themeTint="FF" w:themeShade="FF"/>
        </w:rPr>
        <w:t xml:space="preserve">, en lo sucesivo </w:t>
      </w:r>
      <w:r w:rsidRPr="3D706789" w:rsidR="3D706789">
        <w:rPr>
          <w:rFonts w:eastAsia="Calibri" w:cs="Tahoma"/>
          <w:color w:val="0D0D0D" w:themeColor="text1" w:themeTint="F2" w:themeShade="FF"/>
        </w:rPr>
        <w:t>Recurrente o Particular, en contra de la respuesta del Sujeto Obligado,</w:t>
      </w:r>
      <w:r w:rsidRPr="3D706789" w:rsidR="3D706789">
        <w:rPr>
          <w:rFonts w:eastAsia="Calibri" w:cs="Tahoma"/>
          <w:color w:val="000000" w:themeColor="text1" w:themeTint="FF" w:themeShade="FF"/>
        </w:rPr>
        <w:t xml:space="preserve"> Secretaría del Trabajo, a la solicitud de acceso a la información 00046/ST/IP/2022, se emite la presente Resolución, con base en los Antecedentes y Considerandos que se exponen a continuación:</w:t>
      </w:r>
    </w:p>
    <w:p w:rsidRPr="00987D1A" w:rsidR="00D33E1E" w:rsidP="00BF6E9C" w:rsidRDefault="00D33E1E" w14:paraId="4C951D78" w14:textId="77777777">
      <w:pPr>
        <w:spacing w:after="0" w:line="360" w:lineRule="auto"/>
        <w:rPr>
          <w:rFonts w:eastAsia="Calibri" w:cs="Tahoma"/>
          <w:color w:val="000000"/>
        </w:rPr>
      </w:pPr>
    </w:p>
    <w:p w:rsidRPr="00987D1A" w:rsidR="00D33E1E" w:rsidP="00BF6E9C" w:rsidRDefault="00D33E1E" w14:paraId="0F985DE9" w14:textId="77777777">
      <w:pPr>
        <w:tabs>
          <w:tab w:val="center" w:pos="4522"/>
          <w:tab w:val="left" w:pos="7245"/>
        </w:tabs>
        <w:spacing w:after="0" w:line="360" w:lineRule="auto"/>
        <w:jc w:val="center"/>
        <w:rPr>
          <w:rFonts w:eastAsia="Calibri" w:cs="Tahoma"/>
          <w:b/>
          <w:color w:val="000000"/>
        </w:rPr>
      </w:pPr>
      <w:r w:rsidRPr="00987D1A">
        <w:rPr>
          <w:rFonts w:eastAsia="Calibri" w:cs="Tahoma"/>
          <w:b/>
          <w:color w:val="000000"/>
        </w:rPr>
        <w:t>A N T E C E D E N T E S:</w:t>
      </w:r>
    </w:p>
    <w:p w:rsidRPr="00987D1A" w:rsidR="00D33E1E" w:rsidP="00BF6E9C" w:rsidRDefault="00D33E1E" w14:paraId="63577AE6" w14:textId="77777777">
      <w:pPr>
        <w:spacing w:after="0" w:line="360" w:lineRule="auto"/>
      </w:pPr>
    </w:p>
    <w:p w:rsidRPr="00987D1A" w:rsidR="00D33E1E" w:rsidP="00BF6E9C" w:rsidRDefault="00D33E1E" w14:paraId="2E12BFCB" w14:textId="77777777">
      <w:pPr>
        <w:tabs>
          <w:tab w:val="left" w:pos="567"/>
        </w:tabs>
        <w:spacing w:after="0" w:line="360" w:lineRule="auto"/>
        <w:rPr>
          <w:rFonts w:eastAsia="Times New Roman" w:cs="Tahoma"/>
          <w:b/>
          <w:color w:val="auto"/>
          <w:lang w:eastAsia="es-ES"/>
        </w:rPr>
      </w:pPr>
      <w:r w:rsidRPr="00987D1A">
        <w:rPr>
          <w:rFonts w:eastAsia="Times New Roman" w:cs="Tahoma"/>
          <w:b/>
          <w:color w:val="auto"/>
          <w:lang w:eastAsia="es-ES"/>
        </w:rPr>
        <w:t>I. Presentación de la solicitud de información:</w:t>
      </w:r>
    </w:p>
    <w:p w:rsidRPr="00987D1A" w:rsidR="00D33E1E" w:rsidP="00BF6E9C" w:rsidRDefault="00D33E1E" w14:paraId="20549A5A" w14:textId="77777777">
      <w:pPr>
        <w:tabs>
          <w:tab w:val="left" w:pos="567"/>
        </w:tabs>
        <w:spacing w:after="0" w:line="360" w:lineRule="auto"/>
        <w:rPr>
          <w:rFonts w:eastAsia="Times New Roman" w:cs="Tahoma"/>
          <w:color w:val="auto"/>
          <w:lang w:eastAsia="es-ES"/>
        </w:rPr>
      </w:pPr>
    </w:p>
    <w:p w:rsidRPr="00987D1A" w:rsidR="00D33E1E" w:rsidP="00BF6E9C" w:rsidRDefault="00D33E1E" w14:paraId="68B22CBC" w14:textId="711143B1">
      <w:pPr>
        <w:spacing w:after="0" w:line="360" w:lineRule="auto"/>
        <w:rPr>
          <w:rFonts w:eastAsia="Times New Roman" w:cs="Tahoma"/>
          <w:color w:val="auto"/>
          <w:lang w:eastAsia="es-ES"/>
        </w:rPr>
      </w:pPr>
      <w:r w:rsidRPr="00987D1A">
        <w:rPr>
          <w:rFonts w:eastAsia="Times New Roman" w:cs="Tahoma"/>
          <w:color w:val="auto"/>
          <w:lang w:eastAsia="es-ES"/>
        </w:rPr>
        <w:t xml:space="preserve">Con fecha </w:t>
      </w:r>
      <w:r w:rsidR="002C1AF1">
        <w:rPr>
          <w:rFonts w:eastAsia="Times New Roman" w:cs="Tahoma"/>
          <w:color w:val="auto"/>
          <w:lang w:eastAsia="es-ES"/>
        </w:rPr>
        <w:t>dieciocho de mayo</w:t>
      </w:r>
      <w:r>
        <w:rPr>
          <w:rFonts w:eastAsia="Times New Roman" w:cs="Tahoma"/>
          <w:color w:val="auto"/>
          <w:lang w:eastAsia="es-ES"/>
        </w:rPr>
        <w:t xml:space="preserve"> </w:t>
      </w:r>
      <w:r w:rsidR="002E0665">
        <w:rPr>
          <w:rFonts w:eastAsia="Times New Roman" w:cs="Tahoma"/>
          <w:color w:val="auto"/>
          <w:lang w:eastAsia="es-ES"/>
        </w:rPr>
        <w:t>de dos</w:t>
      </w:r>
      <w:r>
        <w:rPr>
          <w:rFonts w:eastAsia="Times New Roman" w:cs="Tahoma"/>
          <w:color w:val="auto"/>
          <w:lang w:eastAsia="es-ES"/>
        </w:rPr>
        <w:t xml:space="preserve"> mil veintidós, </w:t>
      </w:r>
      <w:r w:rsidR="002E0665">
        <w:rPr>
          <w:rFonts w:cs="Tahoma"/>
        </w:rPr>
        <w:t xml:space="preserve">la Particular presentó solicitud de acceso a </w:t>
      </w:r>
      <w:proofErr w:type="gramStart"/>
      <w:r w:rsidR="002E0665">
        <w:rPr>
          <w:rFonts w:cs="Tahoma"/>
        </w:rPr>
        <w:t>la</w:t>
      </w:r>
      <w:proofErr w:type="gramEnd"/>
      <w:r w:rsidR="002E0665">
        <w:rPr>
          <w:rFonts w:cs="Tahoma"/>
        </w:rPr>
        <w:t xml:space="preserve"> información pública, a través de la Plataforma Nacional de Transparencia (PNT),</w:t>
      </w:r>
      <w:r w:rsidRPr="00987D1A">
        <w:rPr>
          <w:rFonts w:eastAsia="Times New Roman" w:cs="Tahoma"/>
          <w:color w:val="auto"/>
          <w:lang w:eastAsia="es-ES"/>
        </w:rPr>
        <w:t xml:space="preserve"> ante </w:t>
      </w:r>
      <w:r w:rsidR="002E0665">
        <w:rPr>
          <w:rFonts w:eastAsia="Times New Roman" w:cs="Tahoma"/>
          <w:color w:val="auto"/>
          <w:lang w:eastAsia="es-ES"/>
        </w:rPr>
        <w:t xml:space="preserve">la </w:t>
      </w:r>
      <w:r w:rsidR="002C1AF1">
        <w:rPr>
          <w:rFonts w:eastAsia="Calibri" w:cs="Tahoma"/>
        </w:rPr>
        <w:t>Secretaría del Trabajo</w:t>
      </w:r>
      <w:r w:rsidRPr="00987D1A">
        <w:rPr>
          <w:rFonts w:eastAsia="Calibri" w:cs="Tahoma"/>
        </w:rPr>
        <w:t xml:space="preserve">, en los siguientes términos: </w:t>
      </w:r>
    </w:p>
    <w:p w:rsidRPr="00987D1A" w:rsidR="00D33E1E" w:rsidP="00BF6E9C" w:rsidRDefault="00D33E1E" w14:paraId="166B116D" w14:textId="77777777">
      <w:pPr>
        <w:spacing w:after="0" w:line="360" w:lineRule="auto"/>
        <w:rPr>
          <w:rFonts w:eastAsia="Calibri" w:cs="Tahoma"/>
        </w:rPr>
      </w:pPr>
    </w:p>
    <w:p w:rsidRPr="00987D1A" w:rsidR="00D33E1E" w:rsidP="00BF6E9C" w:rsidRDefault="00D33E1E" w14:paraId="24883002" w14:textId="77777777">
      <w:pPr>
        <w:tabs>
          <w:tab w:val="left" w:pos="4667"/>
        </w:tabs>
        <w:spacing w:after="0" w:line="360" w:lineRule="auto"/>
        <w:ind w:left="567" w:right="567"/>
        <w:rPr>
          <w:rFonts w:eastAsia="Times New Roman" w:cs="Tahoma"/>
          <w:b/>
          <w:i/>
          <w:iCs/>
          <w:color w:val="auto"/>
          <w:sz w:val="20"/>
          <w:szCs w:val="20"/>
          <w:lang w:eastAsia="es-ES"/>
        </w:rPr>
      </w:pPr>
      <w:r w:rsidRPr="00987D1A">
        <w:rPr>
          <w:rFonts w:eastAsia="Times New Roman" w:cs="Tahoma"/>
          <w:b/>
          <w:i/>
          <w:iCs/>
          <w:color w:val="auto"/>
          <w:sz w:val="20"/>
          <w:szCs w:val="20"/>
          <w:lang w:eastAsia="es-ES"/>
        </w:rPr>
        <w:t>“DESCRIPCIÓN CLARA Y PRECISA DE LA INFORMACIÓN SOLICITADA.</w:t>
      </w:r>
    </w:p>
    <w:p w:rsidR="002E0665" w:rsidP="00BF6E9C" w:rsidRDefault="002C1AF1" w14:paraId="6C838EF2" w14:textId="77777777">
      <w:pPr>
        <w:tabs>
          <w:tab w:val="left" w:pos="4667"/>
        </w:tabs>
        <w:spacing w:after="0" w:line="360" w:lineRule="auto"/>
        <w:ind w:left="567" w:right="567"/>
        <w:rPr>
          <w:rFonts w:eastAsia="Times New Roman" w:cs="Tahoma"/>
          <w:bCs/>
          <w:i/>
          <w:iCs/>
          <w:color w:val="auto"/>
          <w:sz w:val="20"/>
          <w:szCs w:val="20"/>
          <w:lang w:eastAsia="es-ES"/>
        </w:rPr>
      </w:pPr>
      <w:r w:rsidRPr="002C1AF1">
        <w:rPr>
          <w:rFonts w:eastAsia="Times New Roman" w:cs="Tahoma"/>
          <w:bCs/>
          <w:i/>
          <w:iCs/>
          <w:color w:val="auto"/>
          <w:sz w:val="20"/>
          <w:szCs w:val="20"/>
          <w:lang w:eastAsia="es-ES"/>
        </w:rPr>
        <w:t xml:space="preserve">Toluca: </w:t>
      </w:r>
    </w:p>
    <w:p w:rsidR="002E0665" w:rsidP="00BF6E9C" w:rsidRDefault="002C1AF1" w14:paraId="10D66695" w14:textId="77777777">
      <w:pPr>
        <w:tabs>
          <w:tab w:val="left" w:pos="4667"/>
        </w:tabs>
        <w:spacing w:after="0" w:line="360" w:lineRule="auto"/>
        <w:ind w:left="567" w:right="567"/>
        <w:rPr>
          <w:rFonts w:eastAsia="Times New Roman" w:cs="Tahoma"/>
          <w:bCs/>
          <w:i/>
          <w:iCs/>
          <w:color w:val="auto"/>
          <w:sz w:val="20"/>
          <w:szCs w:val="20"/>
          <w:lang w:eastAsia="es-ES"/>
        </w:rPr>
      </w:pPr>
      <w:r w:rsidRPr="002C1AF1">
        <w:rPr>
          <w:rFonts w:eastAsia="Times New Roman" w:cs="Tahoma"/>
          <w:bCs/>
          <w:i/>
          <w:iCs/>
          <w:color w:val="auto"/>
          <w:sz w:val="20"/>
          <w:szCs w:val="20"/>
          <w:lang w:eastAsia="es-ES"/>
        </w:rPr>
        <w:t xml:space="preserve">Solicito el nombre del sindicato, el nombre del secretario general del mismo, el número de expediente del contrato colectivo de trabajo, fecha inicial de la firma, última fecha de revisión, y la dirección donde se encuentra registrado el Contrato Colectivo de Trabajo de las siguientes empresas: </w:t>
      </w:r>
    </w:p>
    <w:p w:rsidR="002E0665" w:rsidP="00BF6E9C" w:rsidRDefault="002E0665" w14:paraId="476037E6" w14:textId="77777777">
      <w:pPr>
        <w:tabs>
          <w:tab w:val="left" w:pos="4667"/>
        </w:tabs>
        <w:spacing w:after="0" w:line="360" w:lineRule="auto"/>
        <w:ind w:left="567" w:right="567"/>
        <w:rPr>
          <w:rFonts w:eastAsia="Times New Roman" w:cs="Tahoma"/>
          <w:bCs/>
          <w:i/>
          <w:iCs/>
          <w:color w:val="auto"/>
          <w:sz w:val="20"/>
          <w:szCs w:val="20"/>
          <w:lang w:eastAsia="es-ES"/>
        </w:rPr>
      </w:pPr>
    </w:p>
    <w:p w:rsidR="002E0665" w:rsidP="00BF6E9C" w:rsidRDefault="002C1AF1" w14:paraId="2BA66341" w14:textId="77777777">
      <w:pPr>
        <w:tabs>
          <w:tab w:val="left" w:pos="4667"/>
        </w:tabs>
        <w:spacing w:after="0" w:line="360" w:lineRule="auto"/>
        <w:ind w:left="567" w:right="567"/>
        <w:rPr>
          <w:rFonts w:eastAsia="Times New Roman" w:cs="Tahoma"/>
          <w:bCs/>
          <w:i/>
          <w:iCs/>
          <w:color w:val="auto"/>
          <w:sz w:val="20"/>
          <w:szCs w:val="20"/>
          <w:lang w:eastAsia="es-ES"/>
        </w:rPr>
      </w:pPr>
      <w:r w:rsidRPr="002C1AF1">
        <w:rPr>
          <w:rFonts w:eastAsia="Times New Roman" w:cs="Tahoma"/>
          <w:bCs/>
          <w:i/>
          <w:iCs/>
          <w:color w:val="auto"/>
          <w:sz w:val="20"/>
          <w:szCs w:val="20"/>
          <w:lang w:eastAsia="es-ES"/>
        </w:rPr>
        <w:t xml:space="preserve">1. DECOARO Y SUPERVISION, SA DE CV </w:t>
      </w:r>
    </w:p>
    <w:p w:rsidR="002E0665" w:rsidP="00BF6E9C" w:rsidRDefault="002C1AF1" w14:paraId="2038D0AE" w14:textId="3EAA7063">
      <w:pPr>
        <w:tabs>
          <w:tab w:val="left" w:pos="4667"/>
        </w:tabs>
        <w:spacing w:after="0" w:line="360" w:lineRule="auto"/>
        <w:ind w:left="567" w:right="567"/>
        <w:rPr>
          <w:rFonts w:eastAsia="Times New Roman" w:cs="Tahoma"/>
          <w:bCs/>
          <w:i/>
          <w:iCs/>
          <w:color w:val="auto"/>
          <w:sz w:val="20"/>
          <w:szCs w:val="20"/>
          <w:lang w:eastAsia="es-ES"/>
        </w:rPr>
      </w:pPr>
      <w:r w:rsidRPr="002C1AF1">
        <w:rPr>
          <w:rFonts w:eastAsia="Times New Roman" w:cs="Tahoma"/>
          <w:bCs/>
          <w:i/>
          <w:iCs/>
          <w:color w:val="auto"/>
          <w:sz w:val="20"/>
          <w:szCs w:val="20"/>
          <w:lang w:eastAsia="es-ES"/>
        </w:rPr>
        <w:t xml:space="preserve">2. FEDERAL EXPRESS HOLDINGS MEXICO Y COMPAÑIA, SNC DE CV </w:t>
      </w:r>
    </w:p>
    <w:p w:rsidR="002E0665" w:rsidP="00BF6E9C" w:rsidRDefault="002C1AF1" w14:paraId="4189E296" w14:textId="77777777">
      <w:pPr>
        <w:tabs>
          <w:tab w:val="left" w:pos="4667"/>
        </w:tabs>
        <w:spacing w:after="0" w:line="360" w:lineRule="auto"/>
        <w:ind w:left="567" w:right="567"/>
        <w:rPr>
          <w:rFonts w:eastAsia="Times New Roman" w:cs="Tahoma"/>
          <w:bCs/>
          <w:i/>
          <w:iCs/>
          <w:color w:val="auto"/>
          <w:sz w:val="20"/>
          <w:szCs w:val="20"/>
          <w:lang w:eastAsia="es-ES"/>
        </w:rPr>
      </w:pPr>
      <w:r w:rsidRPr="002C1AF1">
        <w:rPr>
          <w:rFonts w:eastAsia="Times New Roman" w:cs="Tahoma"/>
          <w:bCs/>
          <w:i/>
          <w:iCs/>
          <w:color w:val="auto"/>
          <w:sz w:val="20"/>
          <w:szCs w:val="20"/>
          <w:lang w:eastAsia="es-ES"/>
        </w:rPr>
        <w:t xml:space="preserve">3. VAMOS A MEXICO, SA DE CV </w:t>
      </w:r>
    </w:p>
    <w:p w:rsidR="002E0665" w:rsidP="00BF6E9C" w:rsidRDefault="002C1AF1" w14:paraId="155B1ADB" w14:textId="77777777">
      <w:pPr>
        <w:tabs>
          <w:tab w:val="left" w:pos="4667"/>
        </w:tabs>
        <w:spacing w:after="0" w:line="360" w:lineRule="auto"/>
        <w:ind w:left="567" w:right="567"/>
        <w:rPr>
          <w:rFonts w:eastAsia="Times New Roman" w:cs="Tahoma"/>
          <w:bCs/>
          <w:i/>
          <w:iCs/>
          <w:color w:val="auto"/>
          <w:sz w:val="20"/>
          <w:szCs w:val="20"/>
          <w:lang w:eastAsia="es-ES"/>
        </w:rPr>
      </w:pPr>
      <w:r w:rsidRPr="002C1AF1">
        <w:rPr>
          <w:rFonts w:eastAsia="Times New Roman" w:cs="Tahoma"/>
          <w:bCs/>
          <w:i/>
          <w:iCs/>
          <w:color w:val="auto"/>
          <w:sz w:val="20"/>
          <w:szCs w:val="20"/>
          <w:lang w:eastAsia="es-ES"/>
        </w:rPr>
        <w:t xml:space="preserve">4. GRUPO COMERCIALIZADOR CAFETERO, SA DE CV </w:t>
      </w:r>
    </w:p>
    <w:p w:rsidR="002E0665" w:rsidP="00BF6E9C" w:rsidRDefault="002C1AF1" w14:paraId="28AA4A78" w14:textId="77777777">
      <w:pPr>
        <w:tabs>
          <w:tab w:val="left" w:pos="4667"/>
        </w:tabs>
        <w:spacing w:after="0" w:line="360" w:lineRule="auto"/>
        <w:ind w:left="567" w:right="567"/>
        <w:rPr>
          <w:rFonts w:eastAsia="Times New Roman" w:cs="Tahoma"/>
          <w:bCs/>
          <w:i/>
          <w:iCs/>
          <w:color w:val="auto"/>
          <w:sz w:val="20"/>
          <w:szCs w:val="20"/>
          <w:lang w:eastAsia="es-ES"/>
        </w:rPr>
      </w:pPr>
      <w:r w:rsidRPr="002C1AF1">
        <w:rPr>
          <w:rFonts w:eastAsia="Times New Roman" w:cs="Tahoma"/>
          <w:bCs/>
          <w:i/>
          <w:iCs/>
          <w:color w:val="auto"/>
          <w:sz w:val="20"/>
          <w:szCs w:val="20"/>
          <w:lang w:eastAsia="es-ES"/>
        </w:rPr>
        <w:lastRenderedPageBreak/>
        <w:t xml:space="preserve">5. SUBWAY INTERNATIONAL DE MEXICO, S DE RL DE CV </w:t>
      </w:r>
    </w:p>
    <w:p w:rsidRPr="00987D1A" w:rsidR="00D33E1E" w:rsidP="00BF6E9C" w:rsidRDefault="002C1AF1" w14:paraId="17A6730D" w14:textId="6321F469">
      <w:pPr>
        <w:tabs>
          <w:tab w:val="left" w:pos="4667"/>
        </w:tabs>
        <w:spacing w:after="0" w:line="360" w:lineRule="auto"/>
        <w:ind w:left="567" w:right="567"/>
        <w:rPr>
          <w:rFonts w:eastAsia="Times New Roman" w:cs="Tahoma"/>
          <w:bCs/>
          <w:i/>
          <w:iCs/>
          <w:color w:val="auto"/>
          <w:sz w:val="20"/>
          <w:szCs w:val="20"/>
          <w:lang w:eastAsia="es-ES"/>
        </w:rPr>
      </w:pPr>
      <w:r w:rsidRPr="002C1AF1">
        <w:rPr>
          <w:rFonts w:eastAsia="Times New Roman" w:cs="Tahoma"/>
          <w:bCs/>
          <w:i/>
          <w:iCs/>
          <w:color w:val="auto"/>
          <w:sz w:val="20"/>
          <w:szCs w:val="20"/>
          <w:lang w:eastAsia="es-ES"/>
        </w:rPr>
        <w:t>6. SAETA DE SEGURIDAD PRIVADA, SA DE CV</w:t>
      </w:r>
      <w:r w:rsidRPr="00987D1A" w:rsidR="00D33E1E">
        <w:rPr>
          <w:rFonts w:eastAsia="Times New Roman" w:cs="Tahoma"/>
          <w:bCs/>
          <w:i/>
          <w:iCs/>
          <w:color w:val="auto"/>
          <w:sz w:val="20"/>
          <w:szCs w:val="20"/>
          <w:lang w:eastAsia="es-ES"/>
        </w:rPr>
        <w:t xml:space="preserve">.” (Sic) </w:t>
      </w:r>
    </w:p>
    <w:p w:rsidRPr="00987D1A" w:rsidR="00D33E1E" w:rsidP="00BF6E9C" w:rsidRDefault="00D33E1E" w14:paraId="679887A5" w14:textId="77777777">
      <w:pPr>
        <w:tabs>
          <w:tab w:val="left" w:pos="4667"/>
        </w:tabs>
        <w:spacing w:after="0" w:line="360" w:lineRule="auto"/>
        <w:ind w:left="567" w:right="567"/>
        <w:rPr>
          <w:rFonts w:eastAsia="Times New Roman" w:cs="Tahoma"/>
          <w:b/>
          <w:bCs/>
          <w:i/>
          <w:iCs/>
          <w:color w:val="auto"/>
          <w:sz w:val="20"/>
          <w:lang w:eastAsia="es-ES"/>
        </w:rPr>
      </w:pPr>
    </w:p>
    <w:p w:rsidRPr="002E0665" w:rsidR="002E0665" w:rsidP="00BF6E9C" w:rsidRDefault="002E0665" w14:paraId="2F0D3EEC" w14:textId="77777777">
      <w:pPr>
        <w:tabs>
          <w:tab w:val="left" w:pos="4667"/>
        </w:tabs>
        <w:spacing w:after="0" w:line="360" w:lineRule="auto"/>
        <w:ind w:left="567" w:right="567"/>
        <w:rPr>
          <w:rFonts w:eastAsia="Times New Roman" w:cs="Tahoma"/>
          <w:bCs/>
          <w:i/>
          <w:color w:val="auto"/>
          <w:sz w:val="20"/>
          <w:szCs w:val="20"/>
          <w:lang w:val="es-ES_tradnl" w:eastAsia="es-ES"/>
        </w:rPr>
      </w:pPr>
      <w:r w:rsidRPr="002E0665">
        <w:rPr>
          <w:rFonts w:eastAsia="Times New Roman" w:cs="Tahoma"/>
          <w:b/>
          <w:bCs/>
          <w:i/>
          <w:color w:val="auto"/>
          <w:sz w:val="20"/>
          <w:szCs w:val="20"/>
          <w:lang w:val="es-ES_tradnl" w:eastAsia="es-ES"/>
        </w:rPr>
        <w:t>“MODALIDAD DE ENTREGA:</w:t>
      </w:r>
    </w:p>
    <w:p w:rsidRPr="002E0665" w:rsidR="002E0665" w:rsidP="00BF6E9C" w:rsidRDefault="002E0665" w14:paraId="2A33B76E" w14:textId="77777777">
      <w:pPr>
        <w:spacing w:after="0" w:line="360" w:lineRule="auto"/>
        <w:ind w:left="567" w:right="567"/>
        <w:rPr>
          <w:rFonts w:eastAsia="Times New Roman" w:cs="Tahoma"/>
          <w:b/>
          <w:bCs/>
          <w:i/>
          <w:iCs/>
          <w:color w:val="auto"/>
          <w:sz w:val="20"/>
          <w:szCs w:val="20"/>
          <w:lang w:eastAsia="es-ES"/>
        </w:rPr>
      </w:pPr>
      <w:r w:rsidRPr="002E0665">
        <w:rPr>
          <w:rFonts w:eastAsia="Times New Roman" w:cs="Tahoma"/>
          <w:b/>
          <w:bCs/>
          <w:i/>
          <w:iCs/>
          <w:color w:val="auto"/>
          <w:sz w:val="20"/>
          <w:szCs w:val="20"/>
          <w:lang w:eastAsia="es-ES"/>
        </w:rPr>
        <w:t xml:space="preserve">Medio para recibir información o notificaciones </w:t>
      </w:r>
    </w:p>
    <w:p w:rsidRPr="002E0665" w:rsidR="002E0665" w:rsidP="00BF6E9C" w:rsidRDefault="002E0665" w14:paraId="1D10CCAE" w14:textId="77777777">
      <w:pPr>
        <w:spacing w:after="0" w:line="360" w:lineRule="auto"/>
        <w:ind w:left="567" w:right="567"/>
        <w:rPr>
          <w:rFonts w:eastAsia="Times New Roman" w:cs="Tahoma"/>
          <w:bCs/>
          <w:i/>
          <w:iCs/>
          <w:color w:val="auto"/>
          <w:sz w:val="20"/>
          <w:szCs w:val="20"/>
          <w:lang w:eastAsia="es-ES"/>
        </w:rPr>
      </w:pPr>
      <w:r w:rsidRPr="002E0665">
        <w:rPr>
          <w:rFonts w:eastAsia="Times New Roman" w:cs="Tahoma"/>
          <w:bCs/>
          <w:i/>
          <w:iCs/>
          <w:color w:val="auto"/>
          <w:sz w:val="20"/>
          <w:szCs w:val="20"/>
          <w:lang w:eastAsia="es-ES"/>
        </w:rPr>
        <w:t>Entrega por el sistema de solicitudes de acceso a la información de la PNT</w:t>
      </w:r>
    </w:p>
    <w:p w:rsidRPr="002E0665" w:rsidR="002E0665" w:rsidP="00BF6E9C" w:rsidRDefault="002E0665" w14:paraId="28890142" w14:textId="77777777">
      <w:pPr>
        <w:spacing w:after="0" w:line="360" w:lineRule="auto"/>
        <w:ind w:left="567" w:right="567"/>
        <w:rPr>
          <w:rFonts w:eastAsia="Times New Roman" w:cs="Tahoma"/>
          <w:b/>
          <w:bCs/>
          <w:i/>
          <w:color w:val="auto"/>
          <w:sz w:val="20"/>
          <w:lang w:eastAsia="es-ES"/>
        </w:rPr>
      </w:pPr>
    </w:p>
    <w:p w:rsidRPr="002E0665" w:rsidR="002E0665" w:rsidP="00BF6E9C" w:rsidRDefault="002E0665" w14:paraId="2B0216D9" w14:textId="77777777">
      <w:pPr>
        <w:spacing w:after="0" w:line="360" w:lineRule="auto"/>
        <w:ind w:left="567" w:right="567"/>
        <w:rPr>
          <w:rFonts w:eastAsia="Times New Roman" w:cs="Tahoma"/>
          <w:b/>
          <w:bCs/>
          <w:i/>
          <w:color w:val="auto"/>
          <w:sz w:val="20"/>
          <w:lang w:eastAsia="es-ES"/>
        </w:rPr>
      </w:pPr>
      <w:r w:rsidRPr="002E0665">
        <w:rPr>
          <w:rFonts w:eastAsia="Times New Roman" w:cs="Tahoma"/>
          <w:b/>
          <w:bCs/>
          <w:i/>
          <w:color w:val="auto"/>
          <w:sz w:val="20"/>
          <w:lang w:eastAsia="es-ES"/>
        </w:rPr>
        <w:t>Indique cómo desea recibir la información</w:t>
      </w:r>
    </w:p>
    <w:p w:rsidRPr="002E0665" w:rsidR="002E0665" w:rsidP="00BF6E9C" w:rsidRDefault="002E0665" w14:paraId="0A333C75" w14:textId="14BEB1AE">
      <w:pPr>
        <w:spacing w:after="0" w:line="360" w:lineRule="auto"/>
        <w:ind w:left="567" w:right="567"/>
        <w:rPr>
          <w:rFonts w:eastAsia="Times New Roman" w:cs="Tahoma"/>
          <w:bCs/>
          <w:i/>
          <w:color w:val="auto"/>
          <w:sz w:val="20"/>
          <w:lang w:eastAsia="es-ES"/>
        </w:rPr>
      </w:pPr>
      <w:r w:rsidRPr="002E0665">
        <w:rPr>
          <w:rFonts w:eastAsia="Times New Roman" w:cs="Tahoma"/>
          <w:bCs/>
          <w:i/>
          <w:color w:val="auto"/>
          <w:sz w:val="20"/>
          <w:lang w:eastAsia="es-ES"/>
        </w:rPr>
        <w:t>Cualquier otro medio incluido los electrónicos (USB, SD, Disco”</w:t>
      </w:r>
    </w:p>
    <w:p w:rsidRPr="002E0665" w:rsidR="002E0665" w:rsidP="00BF6E9C" w:rsidRDefault="002E0665" w14:paraId="6AA2FBC4" w14:textId="77777777">
      <w:pPr>
        <w:tabs>
          <w:tab w:val="left" w:pos="567"/>
        </w:tabs>
        <w:spacing w:after="0" w:line="360" w:lineRule="auto"/>
        <w:ind w:left="567" w:hanging="567"/>
        <w:rPr>
          <w:rFonts w:eastAsia="Times New Roman" w:cs="Tahoma"/>
          <w:color w:val="auto"/>
          <w:lang w:val="es-ES_tradnl" w:eastAsia="es-ES"/>
        </w:rPr>
      </w:pPr>
    </w:p>
    <w:p w:rsidRPr="002E0665" w:rsidR="002E0665" w:rsidP="00BF6E9C" w:rsidRDefault="002E0665" w14:paraId="09A16EF0" w14:textId="3D6ADFD0">
      <w:pPr>
        <w:tabs>
          <w:tab w:val="left" w:pos="567"/>
        </w:tabs>
        <w:spacing w:after="0" w:line="360" w:lineRule="auto"/>
        <w:rPr>
          <w:rFonts w:eastAsia="Times New Roman" w:cs="Tahoma"/>
          <w:color w:val="auto"/>
          <w:lang w:eastAsia="es-ES"/>
        </w:rPr>
      </w:pPr>
      <w:r w:rsidRPr="002E0665">
        <w:rPr>
          <w:rFonts w:eastAsia="Times New Roman" w:cs="Tahoma"/>
          <w:color w:val="auto"/>
          <w:lang w:eastAsia="es-ES"/>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w:t>
      </w:r>
      <w:r w:rsidRPr="002E0665">
        <w:rPr>
          <w:rFonts w:eastAsia="Times New Roman" w:cs="Tahoma"/>
          <w:i/>
          <w:color w:val="auto"/>
          <w:lang w:eastAsia="es-ES"/>
        </w:rPr>
        <w:t>“A través del SAIMEX</w:t>
      </w:r>
      <w:r>
        <w:rPr>
          <w:rFonts w:eastAsia="Times New Roman" w:cs="Tahoma"/>
          <w:i/>
          <w:color w:val="auto"/>
          <w:lang w:eastAsia="es-ES"/>
        </w:rPr>
        <w:t>”</w:t>
      </w:r>
      <w:r>
        <w:rPr>
          <w:rFonts w:eastAsia="Times New Roman" w:cs="Tahoma"/>
          <w:iCs/>
          <w:color w:val="auto"/>
          <w:lang w:eastAsia="es-ES"/>
        </w:rPr>
        <w:t>,</w:t>
      </w:r>
      <w:r>
        <w:rPr>
          <w:rFonts w:eastAsia="Times New Roman" w:cs="Tahoma"/>
          <w:i/>
          <w:color w:val="auto"/>
          <w:lang w:eastAsia="es-ES"/>
        </w:rPr>
        <w:t xml:space="preserve"> </w:t>
      </w:r>
      <w:r>
        <w:rPr>
          <w:rFonts w:eastAsia="Times New Roman" w:cs="Tahoma"/>
          <w:color w:val="auto"/>
          <w:lang w:eastAsia="es-ES"/>
        </w:rPr>
        <w:t>y</w:t>
      </w:r>
      <w:r w:rsidRPr="002E0665">
        <w:rPr>
          <w:rFonts w:eastAsia="Times New Roman" w:cs="Tahoma"/>
          <w:color w:val="auto"/>
          <w:lang w:eastAsia="es-ES"/>
        </w:rPr>
        <w:t xml:space="preserve"> entrega de la información</w:t>
      </w:r>
      <w:r>
        <w:rPr>
          <w:rFonts w:eastAsia="Times New Roman" w:cs="Tahoma"/>
          <w:i/>
          <w:color w:val="auto"/>
          <w:lang w:eastAsia="es-ES"/>
        </w:rPr>
        <w:t xml:space="preserve"> </w:t>
      </w:r>
      <w:r>
        <w:rPr>
          <w:rFonts w:eastAsia="Times New Roman" w:cs="Tahoma"/>
          <w:color w:val="auto"/>
          <w:lang w:eastAsia="es-ES"/>
        </w:rPr>
        <w:t>por dicha vía y cualquier medio electrónico.</w:t>
      </w:r>
    </w:p>
    <w:p w:rsidR="00FE45C5" w:rsidP="00BF6E9C" w:rsidRDefault="00FE45C5" w14:paraId="41F6B056" w14:textId="77777777">
      <w:pPr>
        <w:autoSpaceDE w:val="0"/>
        <w:autoSpaceDN w:val="0"/>
        <w:adjustRightInd w:val="0"/>
        <w:spacing w:after="0" w:line="360" w:lineRule="auto"/>
        <w:rPr>
          <w:rFonts w:cs="Tahoma"/>
          <w:b/>
        </w:rPr>
      </w:pPr>
    </w:p>
    <w:p w:rsidRPr="00987D1A" w:rsidR="00D33E1E" w:rsidP="00BF6E9C" w:rsidRDefault="00D33E1E" w14:paraId="335DF397" w14:textId="77777777">
      <w:pPr>
        <w:autoSpaceDE w:val="0"/>
        <w:autoSpaceDN w:val="0"/>
        <w:adjustRightInd w:val="0"/>
        <w:spacing w:after="0" w:line="360" w:lineRule="auto"/>
        <w:rPr>
          <w:b/>
          <w:bCs/>
        </w:rPr>
      </w:pPr>
      <w:r w:rsidRPr="00987D1A">
        <w:rPr>
          <w:rFonts w:cs="Tahoma"/>
          <w:b/>
        </w:rPr>
        <w:t>II.</w:t>
      </w:r>
      <w:r w:rsidRPr="00987D1A">
        <w:rPr>
          <w:b/>
          <w:bCs/>
        </w:rPr>
        <w:t xml:space="preserve"> Respuesta del Sujeto Obligado. </w:t>
      </w:r>
    </w:p>
    <w:p w:rsidRPr="00987D1A" w:rsidR="00D33E1E" w:rsidP="00BF6E9C" w:rsidRDefault="00D33E1E" w14:paraId="3656C332" w14:textId="77777777">
      <w:pPr>
        <w:spacing w:after="0" w:line="360" w:lineRule="auto"/>
      </w:pPr>
    </w:p>
    <w:p w:rsidR="00B5631F" w:rsidP="00BF6E9C" w:rsidRDefault="00D33E1E" w14:paraId="398B18C0" w14:textId="7EF25845">
      <w:pPr>
        <w:spacing w:after="0" w:line="360" w:lineRule="auto"/>
      </w:pPr>
      <w:r w:rsidRPr="00987D1A">
        <w:t xml:space="preserve">Con fecha </w:t>
      </w:r>
      <w:r w:rsidR="002C1AF1">
        <w:t>veintitrés de mayo</w:t>
      </w:r>
      <w:r w:rsidR="00B5631F">
        <w:t xml:space="preserve"> de dos mil veintidós, </w:t>
      </w:r>
      <w:r w:rsidRPr="00987D1A">
        <w:t xml:space="preserve">el Sujeto Obligado notificó, a través del Sistema de Acceso a la Información Mexiquense (SAIMEX), la respuesta a la solicitud de acceso a la información pública, </w:t>
      </w:r>
      <w:r w:rsidR="002E0665">
        <w:t xml:space="preserve">por medio del oficio </w:t>
      </w:r>
      <w:r w:rsidR="00BF6E9C">
        <w:t>sin número</w:t>
      </w:r>
      <w:r w:rsidR="002E0665">
        <w:t xml:space="preserve">, </w:t>
      </w:r>
      <w:r w:rsidR="00BF6E9C">
        <w:t>emitido por</w:t>
      </w:r>
      <w:r w:rsidR="002E0665">
        <w:t xml:space="preserve"> el Titular de la Unidad de Transparencia </w:t>
      </w:r>
      <w:r w:rsidR="00BF6E9C">
        <w:t xml:space="preserve">y dirigido a la Solicitante, </w:t>
      </w:r>
      <w:r w:rsidR="00D01D6E">
        <w:t xml:space="preserve">en los siguientes términos: </w:t>
      </w:r>
    </w:p>
    <w:p w:rsidR="00D01D6E" w:rsidP="00BF6E9C" w:rsidRDefault="00D01D6E" w14:paraId="28415172" w14:textId="77777777">
      <w:pPr>
        <w:spacing w:after="0" w:line="360" w:lineRule="auto"/>
      </w:pPr>
    </w:p>
    <w:p w:rsidRPr="00123185" w:rsidR="00D01D6E" w:rsidP="00BF6E9C" w:rsidRDefault="00D01D6E" w14:paraId="6CDE5821" w14:textId="77777777">
      <w:pPr>
        <w:spacing w:after="0" w:line="360" w:lineRule="auto"/>
        <w:ind w:left="567" w:right="567"/>
        <w:rPr>
          <w:i/>
          <w:sz w:val="20"/>
          <w:szCs w:val="20"/>
        </w:rPr>
      </w:pPr>
      <w:r w:rsidRPr="00123185">
        <w:rPr>
          <w:i/>
          <w:sz w:val="20"/>
          <w:szCs w:val="20"/>
        </w:rPr>
        <w:t>“…</w:t>
      </w:r>
    </w:p>
    <w:p w:rsidRPr="00123185" w:rsidR="00E46064" w:rsidP="00BF6E9C" w:rsidRDefault="002C1AF1" w14:paraId="3B53EB5C" w14:textId="27C0C96F">
      <w:pPr>
        <w:spacing w:after="0" w:line="360" w:lineRule="auto"/>
        <w:ind w:left="567" w:right="567"/>
        <w:rPr>
          <w:i/>
          <w:sz w:val="20"/>
          <w:szCs w:val="20"/>
        </w:rPr>
      </w:pPr>
      <w:r w:rsidRPr="002C1AF1">
        <w:rPr>
          <w:i/>
          <w:sz w:val="20"/>
          <w:szCs w:val="20"/>
        </w:rPr>
        <w:t xml:space="preserve">Con base en el Reglamento Interior, el Manual General de Organización ambos de esta Dependencia, y lo establecido en Ley Orgánica de la Administración Pública del Estado de México, Artículos 27 y 28; no le es atribuible el registro de sindicatos, así como de contratos colectivos, resultando incompetencia de esta dependencia. Por lo anterior, atendiendo a los artículos 12, 24 último párrafo, 53 fracción III y 167 de la Ley de Transparencia y Acceso a la Información Pública del Estado de México y Municipios, se hace de su conocimiento que la instancia competente para atender su </w:t>
      </w:r>
      <w:r w:rsidRPr="002C1AF1">
        <w:rPr>
          <w:i/>
          <w:sz w:val="20"/>
          <w:szCs w:val="20"/>
        </w:rPr>
        <w:lastRenderedPageBreak/>
        <w:t>solicitud es el Centro Federal de Conciliación y Registro Laboral del Gobierno Federal, sugiriéndole dirigirse a la Unidad de Transparencia del Sujeto Obligado antes mencionado.</w:t>
      </w:r>
      <w:r w:rsidRPr="00123185" w:rsidR="00E46064">
        <w:rPr>
          <w:i/>
          <w:sz w:val="20"/>
          <w:szCs w:val="20"/>
        </w:rPr>
        <w:t xml:space="preserve">” (Sic) </w:t>
      </w:r>
    </w:p>
    <w:p w:rsidR="00E46064" w:rsidP="00BF6E9C" w:rsidRDefault="00E46064" w14:paraId="1D790988" w14:textId="77777777">
      <w:pPr>
        <w:spacing w:after="0" w:line="360" w:lineRule="auto"/>
      </w:pPr>
    </w:p>
    <w:p w:rsidR="00B5631F" w:rsidP="00BF6E9C" w:rsidRDefault="00E46064" w14:paraId="476F6978" w14:textId="39C406AB">
      <w:pPr>
        <w:spacing w:after="0" w:line="360" w:lineRule="auto"/>
      </w:pPr>
      <w:r>
        <w:t xml:space="preserve">A su oficio de respuesta, el Ente Recurrido </w:t>
      </w:r>
      <w:r w:rsidR="002C1AF1">
        <w:t>acompaño la digitalización de</w:t>
      </w:r>
      <w:r w:rsidR="00996DD6">
        <w:t>l oficio 20900008000000S/378/2022 de veintitrés de mayo de dos mil veintidós, suscrito por el Titular de la Unidad de Transparencia, donde comunica la incompetencia del Sujeto Obligado y orienta que la instancia</w:t>
      </w:r>
      <w:r w:rsidR="00106E90">
        <w:t xml:space="preserve"> </w:t>
      </w:r>
      <w:r w:rsidR="00996DD6">
        <w:t>competente es el Centro Federal de Conciliación</w:t>
      </w:r>
      <w:r w:rsidR="00106E90">
        <w:t xml:space="preserve"> </w:t>
      </w:r>
      <w:r w:rsidR="00996DD6">
        <w:t>y Registro Laboral del Gobierno Federal.</w:t>
      </w:r>
    </w:p>
    <w:p w:rsidRPr="002F7FBC" w:rsidR="00882A3A" w:rsidP="00BF6E9C" w:rsidRDefault="00882A3A" w14:paraId="6E402B51" w14:textId="0D8B32F0">
      <w:pPr>
        <w:spacing w:after="0" w:line="360" w:lineRule="auto"/>
        <w:ind w:left="567" w:right="567"/>
        <w:rPr>
          <w:i/>
          <w:sz w:val="20"/>
          <w:szCs w:val="20"/>
        </w:rPr>
      </w:pPr>
    </w:p>
    <w:p w:rsidRPr="00987D1A" w:rsidR="00D33E1E" w:rsidP="00BF6E9C" w:rsidRDefault="00D33E1E" w14:paraId="30970EE5" w14:textId="77777777">
      <w:pPr>
        <w:spacing w:after="0" w:line="360" w:lineRule="auto"/>
        <w:rPr>
          <w:b/>
        </w:rPr>
      </w:pPr>
      <w:r w:rsidRPr="00987D1A">
        <w:rPr>
          <w:b/>
        </w:rPr>
        <w:t xml:space="preserve">III. Interposición del Recurso de Revisión. </w:t>
      </w:r>
    </w:p>
    <w:p w:rsidRPr="00987D1A" w:rsidR="00D33E1E" w:rsidP="00BF6E9C" w:rsidRDefault="00D33E1E" w14:paraId="2E233F75" w14:textId="77777777">
      <w:pPr>
        <w:spacing w:after="0" w:line="360" w:lineRule="auto"/>
        <w:rPr>
          <w:bCs/>
        </w:rPr>
      </w:pPr>
    </w:p>
    <w:p w:rsidRPr="00987D1A" w:rsidR="00D33E1E" w:rsidP="00BF6E9C" w:rsidRDefault="00D33E1E" w14:paraId="1946444C" w14:textId="37A9E5E2">
      <w:pPr>
        <w:spacing w:after="0" w:line="360" w:lineRule="auto"/>
        <w:rPr>
          <w:bCs/>
        </w:rPr>
      </w:pPr>
      <w:r w:rsidRPr="00987D1A">
        <w:rPr>
          <w:bCs/>
        </w:rPr>
        <w:t xml:space="preserve">Con fecha </w:t>
      </w:r>
      <w:r w:rsidR="00996DD6">
        <w:rPr>
          <w:bCs/>
        </w:rPr>
        <w:t>treinta de mayo</w:t>
      </w:r>
      <w:r w:rsidR="00106E90">
        <w:rPr>
          <w:bCs/>
        </w:rPr>
        <w:t xml:space="preserve"> </w:t>
      </w:r>
      <w:r w:rsidR="00F72A01">
        <w:rPr>
          <w:bCs/>
        </w:rPr>
        <w:t xml:space="preserve">de dos mil veintidós, </w:t>
      </w:r>
      <w:r w:rsidRPr="00987D1A">
        <w:rPr>
          <w:bCs/>
        </w:rPr>
        <w:t xml:space="preserve">se recibió en este Instituto, a través del </w:t>
      </w:r>
      <w:r w:rsidRPr="00987D1A">
        <w:rPr>
          <w:bCs/>
          <w:lang w:val="es-ES"/>
        </w:rPr>
        <w:t>Sistema de Acceso a la Información Mexiquense (SAIMEX)</w:t>
      </w:r>
      <w:r w:rsidRPr="00987D1A">
        <w:rPr>
          <w:bCs/>
        </w:rPr>
        <w:t>, Recurso de Revisión interpuesto por la parte Recurrente, en contra de la respuesta por el Sujeto Obligado, a la solicitud de información, en los siguientes términos:</w:t>
      </w:r>
    </w:p>
    <w:p w:rsidRPr="00987D1A" w:rsidR="00D33E1E" w:rsidP="00BF6E9C" w:rsidRDefault="00D33E1E" w14:paraId="37B6D474" w14:textId="77777777">
      <w:pPr>
        <w:spacing w:after="0" w:line="360" w:lineRule="auto"/>
        <w:rPr>
          <w:bCs/>
        </w:rPr>
      </w:pPr>
    </w:p>
    <w:p w:rsidRPr="00987D1A" w:rsidR="00D33E1E" w:rsidP="00BF6E9C" w:rsidRDefault="00D33E1E" w14:paraId="7C012C7F" w14:textId="77777777">
      <w:pPr>
        <w:spacing w:after="0" w:line="360" w:lineRule="auto"/>
        <w:ind w:left="567" w:right="567"/>
        <w:rPr>
          <w:bCs/>
          <w:i/>
          <w:sz w:val="20"/>
          <w:szCs w:val="20"/>
        </w:rPr>
      </w:pPr>
      <w:r w:rsidRPr="00987D1A">
        <w:rPr>
          <w:b/>
          <w:bCs/>
          <w:i/>
          <w:sz w:val="20"/>
          <w:szCs w:val="20"/>
        </w:rPr>
        <w:t>“ACTO IMPUGNADO</w:t>
      </w:r>
    </w:p>
    <w:p w:rsidRPr="00987D1A" w:rsidR="00D33E1E" w:rsidP="00BF6E9C" w:rsidRDefault="00996DD6" w14:paraId="5414F37B" w14:textId="7DEC6847">
      <w:pPr>
        <w:spacing w:after="0" w:line="360" w:lineRule="auto"/>
        <w:ind w:left="567" w:right="567"/>
        <w:rPr>
          <w:i/>
          <w:sz w:val="20"/>
          <w:szCs w:val="20"/>
        </w:rPr>
      </w:pPr>
      <w:r w:rsidRPr="00996DD6">
        <w:rPr>
          <w:i/>
          <w:sz w:val="20"/>
          <w:szCs w:val="20"/>
        </w:rPr>
        <w:t>DE ACUERDO CON LA LEY DE TRANSPARENCIA Y ACCESO A LA INFORMACIÓN PÚBLICA DEL ESTADO DE MÉXICO Y SUS MUNICIPIOS EN SU ARTÍCULO 99, LAS AUTORIDADES ADMINISTRATIVAS Y JURISDICCIONALES EN MATERIA LABORAL CONSERVAN LA OBLIGACIÓN DE MANTENER A DISPICIÓN DEL PÚBLICO LA INFORMACIÓN SOBRE LOS SINDICATOS.</w:t>
      </w:r>
      <w:r w:rsidRPr="00987D1A" w:rsidR="00D33E1E">
        <w:rPr>
          <w:i/>
          <w:sz w:val="20"/>
          <w:szCs w:val="20"/>
        </w:rPr>
        <w:t>” (Sic.)</w:t>
      </w:r>
    </w:p>
    <w:p w:rsidRPr="00987D1A" w:rsidR="00D33E1E" w:rsidP="00BF6E9C" w:rsidRDefault="00D33E1E" w14:paraId="42CD8C87" w14:textId="77777777">
      <w:pPr>
        <w:spacing w:after="0" w:line="360" w:lineRule="auto"/>
        <w:ind w:left="567" w:right="567"/>
        <w:rPr>
          <w:i/>
          <w:sz w:val="20"/>
          <w:szCs w:val="20"/>
        </w:rPr>
      </w:pPr>
    </w:p>
    <w:p w:rsidRPr="00987D1A" w:rsidR="00D33E1E" w:rsidP="00BF6E9C" w:rsidRDefault="00D33E1E" w14:paraId="53E2E627" w14:textId="77777777">
      <w:pPr>
        <w:spacing w:after="0" w:line="360" w:lineRule="auto"/>
        <w:rPr>
          <w:b/>
          <w:bCs/>
        </w:rPr>
      </w:pPr>
      <w:r w:rsidRPr="00987D1A">
        <w:rPr>
          <w:b/>
        </w:rPr>
        <w:t xml:space="preserve">IV. </w:t>
      </w:r>
      <w:r w:rsidRPr="00987D1A">
        <w:rPr>
          <w:b/>
          <w:bCs/>
        </w:rPr>
        <w:t xml:space="preserve">Trámite del </w:t>
      </w:r>
      <w:r w:rsidRPr="00987D1A">
        <w:rPr>
          <w:b/>
        </w:rPr>
        <w:t xml:space="preserve">Recurso de Revisión </w:t>
      </w:r>
      <w:r w:rsidRPr="00987D1A">
        <w:rPr>
          <w:b/>
          <w:bCs/>
        </w:rPr>
        <w:t>ante este Instituto.</w:t>
      </w:r>
    </w:p>
    <w:p w:rsidRPr="00987D1A" w:rsidR="00D33E1E" w:rsidP="00BF6E9C" w:rsidRDefault="00D33E1E" w14:paraId="42A4488D" w14:textId="77777777">
      <w:pPr>
        <w:spacing w:after="0" w:line="360" w:lineRule="auto"/>
        <w:rPr>
          <w:b/>
          <w:bCs/>
        </w:rPr>
      </w:pPr>
    </w:p>
    <w:p w:rsidRPr="00987D1A" w:rsidR="00D33E1E" w:rsidP="00BF6E9C" w:rsidRDefault="00D33E1E" w14:paraId="33800FA8" w14:textId="645C7EAA">
      <w:pPr>
        <w:spacing w:after="0" w:line="360" w:lineRule="auto"/>
        <w:rPr>
          <w:b/>
          <w:bCs/>
        </w:rPr>
      </w:pPr>
      <w:r w:rsidRPr="00987D1A">
        <w:rPr>
          <w:b/>
          <w:bCs/>
        </w:rPr>
        <w:t xml:space="preserve">a) Turno del Medio de Impugnación. </w:t>
      </w:r>
      <w:r w:rsidRPr="00987D1A">
        <w:rPr>
          <w:bCs/>
        </w:rPr>
        <w:t xml:space="preserve">El </w:t>
      </w:r>
      <w:r w:rsidR="00996DD6">
        <w:rPr>
          <w:bCs/>
        </w:rPr>
        <w:t>treinta de mayo</w:t>
      </w:r>
      <w:r w:rsidR="00106E90">
        <w:rPr>
          <w:bCs/>
        </w:rPr>
        <w:t xml:space="preserve"> </w:t>
      </w:r>
      <w:r w:rsidRPr="004D075B" w:rsidR="004D075B">
        <w:rPr>
          <w:bCs/>
        </w:rPr>
        <w:t>de dos mil veintidós</w:t>
      </w:r>
      <w:r w:rsidRPr="00987D1A">
        <w:rPr>
          <w:bCs/>
        </w:rPr>
        <w:t xml:space="preserve">, el </w:t>
      </w:r>
      <w:r w:rsidRPr="00987D1A">
        <w:rPr>
          <w:lang w:val="es-ES"/>
        </w:rPr>
        <w:t>Sistema de Acceso a la Información Mexiquense (SAIMEX),</w:t>
      </w:r>
      <w:r w:rsidRPr="00987D1A">
        <w:rPr>
          <w:bCs/>
        </w:rPr>
        <w:t xml:space="preserve"> asignó el número de expediente </w:t>
      </w:r>
      <w:r w:rsidR="00996DD6">
        <w:rPr>
          <w:b/>
          <w:bCs/>
        </w:rPr>
        <w:t>10091</w:t>
      </w:r>
      <w:r>
        <w:rPr>
          <w:b/>
          <w:bCs/>
        </w:rPr>
        <w:t>INFOEM/IP/RR/2022</w:t>
      </w:r>
      <w:r w:rsidRPr="00987D1A">
        <w:rPr>
          <w:bCs/>
        </w:rPr>
        <w:t xml:space="preserve">, al medio de impugnación que nos ocupa, con base en el sistema aprobado por el Pleno de este Órgano Garante y lo turnó al Comisionado Ponente Luis Gustavo </w:t>
      </w:r>
      <w:r w:rsidRPr="00987D1A">
        <w:rPr>
          <w:bCs/>
        </w:rPr>
        <w:lastRenderedPageBreak/>
        <w:t>Parra Noriega, para los efectos del artículo 185, fracción I de la Ley de Transparencia y Acceso a la Información Pública del Estado de México y Municipios.</w:t>
      </w:r>
    </w:p>
    <w:p w:rsidRPr="00987D1A" w:rsidR="00D33E1E" w:rsidP="00BF6E9C" w:rsidRDefault="00D33E1E" w14:paraId="52E56FFB" w14:textId="77777777">
      <w:pPr>
        <w:spacing w:after="0" w:line="360" w:lineRule="auto"/>
        <w:rPr>
          <w:bCs/>
        </w:rPr>
      </w:pPr>
    </w:p>
    <w:p w:rsidRPr="00987D1A" w:rsidR="00D33E1E" w:rsidP="00BF6E9C" w:rsidRDefault="00D33E1E" w14:paraId="4705C2C1" w14:textId="4E0DB2D6">
      <w:pPr>
        <w:spacing w:after="0" w:line="360" w:lineRule="auto"/>
      </w:pPr>
      <w:r w:rsidRPr="00987D1A">
        <w:rPr>
          <w:b/>
          <w:bCs/>
        </w:rPr>
        <w:t>b) Admisión del Recurso de Revisión</w:t>
      </w:r>
      <w:r w:rsidRPr="00987D1A">
        <w:rPr>
          <w:b/>
          <w:bCs/>
          <w:lang w:val="es-ES_tradnl"/>
        </w:rPr>
        <w:t xml:space="preserve">. </w:t>
      </w:r>
      <w:r w:rsidRPr="00987D1A">
        <w:rPr>
          <w:bCs/>
          <w:lang w:val="es-ES_tradnl"/>
        </w:rPr>
        <w:t xml:space="preserve">El </w:t>
      </w:r>
      <w:r w:rsidR="00996DD6">
        <w:rPr>
          <w:bCs/>
          <w:lang w:val="es-ES_tradnl"/>
        </w:rPr>
        <w:t>seis se junio</w:t>
      </w:r>
      <w:r w:rsidRPr="007F6380" w:rsidR="007F6380">
        <w:rPr>
          <w:bCs/>
          <w:lang w:val="es-ES_tradnl"/>
        </w:rPr>
        <w:t xml:space="preserve"> de dos mil veintidós</w:t>
      </w:r>
      <w:r w:rsidRPr="00987D1A">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2A1E66" w:rsidR="002A1E66" w:rsidP="00BF6E9C" w:rsidRDefault="002A1E66" w14:paraId="06C55267" w14:textId="77777777">
      <w:pPr>
        <w:spacing w:after="0" w:line="360" w:lineRule="auto"/>
      </w:pPr>
    </w:p>
    <w:p w:rsidR="00B63153" w:rsidP="00BF6E9C" w:rsidRDefault="00996DD6" w14:paraId="54E732B6" w14:textId="3E50E1A7">
      <w:pPr>
        <w:spacing w:after="0" w:line="360" w:lineRule="auto"/>
        <w:rPr>
          <w:bCs/>
          <w:lang w:val="es-ES_tradnl"/>
        </w:rPr>
      </w:pPr>
      <w:r>
        <w:rPr>
          <w:b/>
        </w:rPr>
        <w:t>c</w:t>
      </w:r>
      <w:r w:rsidR="007F6380">
        <w:rPr>
          <w:b/>
        </w:rPr>
        <w:t xml:space="preserve">) </w:t>
      </w:r>
      <w:r w:rsidRPr="00987D1A" w:rsidR="00D33E1E">
        <w:rPr>
          <w:b/>
        </w:rPr>
        <w:t xml:space="preserve">Informe Justificado. </w:t>
      </w:r>
      <w:r w:rsidRPr="00987D1A" w:rsidR="00D33E1E">
        <w:rPr>
          <w:bCs/>
        </w:rPr>
        <w:t xml:space="preserve">El </w:t>
      </w:r>
      <w:r>
        <w:rPr>
          <w:bCs/>
        </w:rPr>
        <w:t>trece de junio</w:t>
      </w:r>
      <w:r w:rsidR="00106E90">
        <w:rPr>
          <w:bCs/>
        </w:rPr>
        <w:t xml:space="preserve"> </w:t>
      </w:r>
      <w:r w:rsidR="00683249">
        <w:rPr>
          <w:bCs/>
        </w:rPr>
        <w:t>de dos mil veintidós</w:t>
      </w:r>
      <w:r w:rsidRPr="00987D1A" w:rsidR="00D33E1E">
        <w:rPr>
          <w:bCs/>
        </w:rPr>
        <w:t xml:space="preserve">, el Sujeto Obligado rindió su Informe Justificado, </w:t>
      </w:r>
      <w:r w:rsidRPr="00987D1A" w:rsidR="00D33E1E">
        <w:rPr>
          <w:bCs/>
          <w:lang w:val="es-ES_tradnl"/>
        </w:rPr>
        <w:t xml:space="preserve">a través del Sistema de Acceso a la Información Mexiquense (SAIMEX), </w:t>
      </w:r>
      <w:r>
        <w:rPr>
          <w:bCs/>
          <w:lang w:val="es-ES_tradnl"/>
        </w:rPr>
        <w:t xml:space="preserve">donde reitera su incompetencia, </w:t>
      </w:r>
      <w:r w:rsidR="005D0D84">
        <w:rPr>
          <w:bCs/>
          <w:lang w:val="es-ES_tradnl"/>
        </w:rPr>
        <w:t xml:space="preserve">abundando en su respuesta primigenia, comunicando </w:t>
      </w:r>
      <w:r>
        <w:rPr>
          <w:bCs/>
          <w:lang w:val="es-ES_tradnl"/>
        </w:rPr>
        <w:t>las atribuciones conferidas por ley</w:t>
      </w:r>
      <w:r w:rsidR="00106E90">
        <w:rPr>
          <w:bCs/>
          <w:lang w:val="es-ES_tradnl"/>
        </w:rPr>
        <w:t xml:space="preserve"> </w:t>
      </w:r>
      <w:r w:rsidR="00D56700">
        <w:rPr>
          <w:bCs/>
          <w:lang w:val="es-ES_tradnl"/>
        </w:rPr>
        <w:t xml:space="preserve">a la propia Secretaría y </w:t>
      </w:r>
      <w:r>
        <w:rPr>
          <w:bCs/>
          <w:lang w:val="es-ES_tradnl"/>
        </w:rPr>
        <w:t xml:space="preserve">al Centro Federal de Conciliación y Registro Federal del Gobierno Federal </w:t>
      </w:r>
      <w:r w:rsidR="005D0D84">
        <w:rPr>
          <w:bCs/>
          <w:lang w:val="es-ES_tradnl"/>
        </w:rPr>
        <w:t>y acompañó la Declaratoria de Incompetencia emitida por el Comité de T</w:t>
      </w:r>
      <w:r w:rsidR="00D56700">
        <w:rPr>
          <w:bCs/>
          <w:lang w:val="es-ES_tradnl"/>
        </w:rPr>
        <w:t>ransparencia</w:t>
      </w:r>
      <w:r w:rsidR="005D0D84">
        <w:rPr>
          <w:bCs/>
          <w:lang w:val="es-ES_tradnl"/>
        </w:rPr>
        <w:t>.</w:t>
      </w:r>
    </w:p>
    <w:p w:rsidR="00996DD6" w:rsidP="00BF6E9C" w:rsidRDefault="00996DD6" w14:paraId="5CC12899" w14:textId="77777777">
      <w:pPr>
        <w:spacing w:after="0" w:line="360" w:lineRule="auto"/>
        <w:rPr>
          <w:bCs/>
          <w:lang w:val="es-ES_tradnl"/>
        </w:rPr>
      </w:pPr>
    </w:p>
    <w:p w:rsidRPr="00987D1A" w:rsidR="00EC375F" w:rsidP="00BF6E9C" w:rsidRDefault="00EC375F" w14:paraId="44915259" w14:textId="66475B32">
      <w:pPr>
        <w:spacing w:after="0" w:line="360" w:lineRule="auto"/>
        <w:rPr>
          <w:rFonts w:cs="Tahoma"/>
        </w:rPr>
      </w:pPr>
      <w:r w:rsidRPr="00987D1A">
        <w:rPr>
          <w:rFonts w:cs="Tahoma"/>
          <w:b/>
          <w:bCs/>
        </w:rPr>
        <w:t xml:space="preserve">e) Vista del Informe Justificado: </w:t>
      </w:r>
      <w:r w:rsidRPr="00BF6E9C" w:rsidR="005D0D84">
        <w:rPr>
          <w:rFonts w:cs="Tahoma"/>
        </w:rPr>
        <w:t xml:space="preserve">El </w:t>
      </w:r>
      <w:r w:rsidRPr="00BF6E9C" w:rsidR="00BF6E9C">
        <w:rPr>
          <w:rFonts w:cs="Tahoma"/>
        </w:rPr>
        <w:t xml:space="preserve">catorce </w:t>
      </w:r>
      <w:r w:rsidRPr="00BF6E9C" w:rsidR="005D0D84">
        <w:rPr>
          <w:rFonts w:cs="Tahoma"/>
        </w:rPr>
        <w:t>de marzo de dos mil veintitrés</w:t>
      </w:r>
      <w:r w:rsidRPr="00BF6E9C">
        <w:rPr>
          <w:rFonts w:cs="Tahoma"/>
        </w:rPr>
        <w:t>, se</w:t>
      </w:r>
      <w:r w:rsidRPr="00987D1A">
        <w:rPr>
          <w:rFonts w:cs="Tahoma"/>
        </w:rPr>
        <w:t xml:space="preserve"> dictó acuerdo, por medio del cual </w:t>
      </w:r>
      <w:r w:rsidRPr="00987D1A">
        <w:rPr>
          <w:rFonts w:cs="Tahoma"/>
          <w:b/>
        </w:rPr>
        <w:t>se puso a la vista del Recurrente el Informe Justificado y sus anexos</w:t>
      </w:r>
      <w:r w:rsidRPr="00987D1A">
        <w:rPr>
          <w:rFonts w:cs="Tahoma"/>
        </w:rPr>
        <w:t>, entregados por el Sujeto Obligado, a fin de que en un término no mayor a tres días hábiles manifestará lo que a derecho corresponda, acto que fue notificado</w:t>
      </w:r>
      <w:r w:rsidRPr="00987D1A">
        <w:rPr>
          <w:rFonts w:eastAsia="Palatino Linotype" w:cs="Palatino Linotype"/>
          <w:lang w:val="es-ES"/>
        </w:rPr>
        <w:t xml:space="preserve"> mediante el Sistema de Acceso a la Información Mexiquense (SAIMEX).</w:t>
      </w:r>
    </w:p>
    <w:p w:rsidR="00EC375F" w:rsidP="00BF6E9C" w:rsidRDefault="00EC375F" w14:paraId="1610FF32" w14:textId="77777777">
      <w:pPr>
        <w:spacing w:after="0" w:line="360" w:lineRule="auto"/>
        <w:rPr>
          <w:bCs/>
          <w:lang w:val="es-ES_tradnl"/>
        </w:rPr>
      </w:pPr>
    </w:p>
    <w:p w:rsidRPr="00987D1A" w:rsidR="00D33E1E" w:rsidP="00BF6E9C" w:rsidRDefault="00EC375F" w14:paraId="251AD2FE" w14:textId="059BF376">
      <w:pPr>
        <w:spacing w:after="0" w:line="360" w:lineRule="auto"/>
        <w:rPr>
          <w:rFonts w:eastAsia="Palatino Linotype" w:cs="Palatino Linotype"/>
          <w:lang w:val="es-ES"/>
        </w:rPr>
      </w:pPr>
      <w:r>
        <w:rPr>
          <w:rFonts w:eastAsia="Palatino Linotype" w:cs="Palatino Linotype"/>
          <w:b/>
          <w:bCs/>
          <w:lang w:val="es-ES"/>
        </w:rPr>
        <w:t>f</w:t>
      </w:r>
      <w:r w:rsidRPr="00987D1A" w:rsidR="00D33E1E">
        <w:rPr>
          <w:rFonts w:eastAsia="Palatino Linotype" w:cs="Palatino Linotype"/>
          <w:b/>
          <w:bCs/>
          <w:lang w:val="es-ES"/>
        </w:rPr>
        <w:t xml:space="preserve">) Ampliación de plazo para resolver. </w:t>
      </w:r>
      <w:r w:rsidRPr="00BF6E9C" w:rsidR="00D33E1E">
        <w:rPr>
          <w:rFonts w:eastAsia="Palatino Linotype" w:cs="Palatino Linotype"/>
          <w:lang w:val="es-ES"/>
        </w:rPr>
        <w:t xml:space="preserve">El </w:t>
      </w:r>
      <w:r w:rsidRPr="00BF6E9C" w:rsidR="00BF6E9C">
        <w:rPr>
          <w:rFonts w:eastAsia="Palatino Linotype" w:cs="Palatino Linotype"/>
          <w:lang w:val="es-ES"/>
        </w:rPr>
        <w:t>catorce</w:t>
      </w:r>
      <w:r w:rsidRPr="00BF6E9C" w:rsidR="005D0D84">
        <w:rPr>
          <w:rFonts w:eastAsia="Palatino Linotype" w:cs="Palatino Linotype"/>
          <w:lang w:val="es-ES"/>
        </w:rPr>
        <w:t xml:space="preserve"> de marzo de dos mil veintitrés</w:t>
      </w:r>
      <w:r w:rsidRPr="00BF6E9C" w:rsidR="00D33E1E">
        <w:rPr>
          <w:rFonts w:eastAsia="Palatino Linotype" w:cs="Palatino Linotype"/>
          <w:lang w:val="es-ES"/>
        </w:rPr>
        <w:t>,</w:t>
      </w:r>
      <w:r w:rsidRPr="00987D1A" w:rsidR="00D33E1E">
        <w:rPr>
          <w:rFonts w:eastAsia="Palatino Linotype" w:cs="Palatino Linotype"/>
          <w:lang w:val="es-ES"/>
        </w:rPr>
        <w:t xml:space="preserve"> </w:t>
      </w:r>
      <w:r w:rsidRPr="00987D1A" w:rsidR="00D33E1E">
        <w:rPr>
          <w:rFonts w:eastAsia="Palatino Linotype" w:cs="Palatino Linotype"/>
          <w:color w:val="auto"/>
          <w:lang w:val="es-ES" w:eastAsia="es-MX"/>
        </w:rPr>
        <w:t xml:space="preserve">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w:t>
      </w:r>
      <w:r w:rsidRPr="00987D1A" w:rsidR="00D33E1E">
        <w:rPr>
          <w:rFonts w:eastAsia="Palatino Linotype" w:cs="Palatino Linotype"/>
          <w:color w:val="auto"/>
          <w:lang w:val="es-ES" w:eastAsia="es-MX"/>
        </w:rPr>
        <w:lastRenderedPageBreak/>
        <w:t>Revisión que nos ocupa; acto que fue notificado a las partes, mediante el Sistema de Acceso a la Información Mexiquense (SAIMEX).</w:t>
      </w:r>
    </w:p>
    <w:p w:rsidRPr="00987D1A" w:rsidR="00D33E1E" w:rsidP="00BF6E9C" w:rsidRDefault="00D33E1E" w14:paraId="111D2C19" w14:textId="77777777">
      <w:pPr>
        <w:spacing w:after="0" w:line="360" w:lineRule="auto"/>
        <w:rPr>
          <w:rFonts w:eastAsia="Palatino Linotype" w:cs="Palatino Linotype"/>
          <w:b/>
          <w:bCs/>
          <w:color w:val="auto"/>
          <w:lang w:eastAsia="es-MX"/>
        </w:rPr>
      </w:pPr>
    </w:p>
    <w:p w:rsidRPr="00987D1A" w:rsidR="00D33E1E" w:rsidP="00BF6E9C" w:rsidRDefault="00D33E1E" w14:paraId="27317C0C"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987D1A" w:rsidR="00D33E1E" w:rsidP="00BF6E9C" w:rsidRDefault="00D33E1E" w14:paraId="30709E58" w14:textId="77777777">
      <w:pPr>
        <w:spacing w:after="0" w:line="360" w:lineRule="auto"/>
        <w:rPr>
          <w:rFonts w:eastAsia="Palatino Linotype" w:cs="Palatino Linotype"/>
          <w:color w:val="auto"/>
          <w:lang w:eastAsia="es-MX"/>
        </w:rPr>
      </w:pPr>
    </w:p>
    <w:p w:rsidRPr="00987D1A" w:rsidR="00D33E1E" w:rsidP="00BF6E9C" w:rsidRDefault="00D33E1E" w14:paraId="6B776278"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987D1A" w:rsidR="00D33E1E" w:rsidP="00BF6E9C" w:rsidRDefault="00D33E1E" w14:paraId="5E0980E4" w14:textId="77777777">
      <w:pPr>
        <w:spacing w:after="0" w:line="360" w:lineRule="auto"/>
        <w:rPr>
          <w:rFonts w:eastAsia="Palatino Linotype" w:cs="Palatino Linotype"/>
          <w:color w:val="auto"/>
          <w:lang w:eastAsia="es-MX"/>
        </w:rPr>
      </w:pPr>
    </w:p>
    <w:p w:rsidRPr="00987D1A" w:rsidR="00D33E1E" w:rsidP="00BF6E9C" w:rsidRDefault="00D33E1E" w14:paraId="2DA288DD"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987D1A" w:rsidR="00D33E1E" w:rsidP="00BF6E9C" w:rsidRDefault="00D33E1E" w14:paraId="4F695E8D" w14:textId="77777777">
      <w:pPr>
        <w:spacing w:after="0" w:line="360" w:lineRule="auto"/>
        <w:rPr>
          <w:rFonts w:eastAsia="Palatino Linotype" w:cs="Palatino Linotype"/>
          <w:color w:val="auto"/>
          <w:lang w:eastAsia="es-MX"/>
        </w:rPr>
      </w:pPr>
    </w:p>
    <w:p w:rsidRPr="00987D1A" w:rsidR="00D33E1E" w:rsidP="00BF6E9C" w:rsidRDefault="00D33E1E" w14:paraId="185D2004"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987D1A" w:rsidR="00D33E1E" w:rsidP="00BF6E9C" w:rsidRDefault="00D33E1E" w14:paraId="47A1F64B" w14:textId="77777777">
      <w:pPr>
        <w:spacing w:after="0" w:line="360" w:lineRule="auto"/>
        <w:rPr>
          <w:rFonts w:eastAsia="Palatino Linotype" w:cs="Palatino Linotype"/>
          <w:color w:val="auto"/>
          <w:lang w:eastAsia="es-MX"/>
        </w:rPr>
      </w:pPr>
    </w:p>
    <w:p w:rsidRPr="00987D1A" w:rsidR="00D33E1E" w:rsidP="00BF6E9C" w:rsidRDefault="00D33E1E" w14:paraId="2B7287F8" w14:textId="1B6CA2A2">
      <w:pPr>
        <w:spacing w:after="0" w:line="360" w:lineRule="auto"/>
        <w:rPr>
          <w:rFonts w:eastAsia="Palatino Linotype" w:cs="Palatino Linotype"/>
          <w:color w:val="auto"/>
          <w:lang w:eastAsia="es-MX"/>
        </w:rPr>
      </w:pPr>
      <w:r w:rsidRPr="00987D1A">
        <w:rPr>
          <w:rFonts w:eastAsia="Palatino Linotype" w:cs="Palatino Linotype"/>
          <w:color w:val="auto"/>
          <w:lang w:eastAsia="es-MX"/>
        </w:rPr>
        <w:t>Por ello, excepcionalmente, si un asunto es resuelto con posterioridad a los plazos señalados por la norma debe analizarse la razonabilidad del tiempo necesario para su resolución, atentos a los siguientes criterios:</w:t>
      </w:r>
      <w:r w:rsidR="00106E90">
        <w:rPr>
          <w:rFonts w:eastAsia="Palatino Linotype" w:cs="Palatino Linotype"/>
          <w:color w:val="auto"/>
          <w:lang w:eastAsia="es-MX"/>
        </w:rPr>
        <w:t xml:space="preserve"> </w:t>
      </w:r>
    </w:p>
    <w:p w:rsidRPr="00987D1A" w:rsidR="00D33E1E" w:rsidP="00BF6E9C" w:rsidRDefault="00D33E1E" w14:paraId="63D6FE12" w14:textId="77777777">
      <w:pPr>
        <w:spacing w:after="0" w:line="360" w:lineRule="auto"/>
        <w:rPr>
          <w:rFonts w:eastAsia="Palatino Linotype" w:cs="Palatino Linotype"/>
          <w:color w:val="auto"/>
          <w:lang w:eastAsia="es-MX"/>
        </w:rPr>
      </w:pPr>
    </w:p>
    <w:p w:rsidRPr="00987D1A" w:rsidR="00D33E1E" w:rsidP="00BF6E9C" w:rsidRDefault="00D33E1E" w14:paraId="49DDF598" w14:textId="7777777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Complejidad del asunto:</w:t>
      </w:r>
      <w:r w:rsidRPr="00987D1A">
        <w:rPr>
          <w:rFonts w:eastAsia="Palatino Linotype" w:cs="Palatino Linotype"/>
          <w:color w:val="auto"/>
          <w:lang w:eastAsia="es-MX"/>
        </w:rPr>
        <w:t xml:space="preserve"> La complejidad de la prueba, la pluralidad de sujetos procesales, el tiempo transcurrido, las características y contexto del recurso.</w:t>
      </w:r>
    </w:p>
    <w:p w:rsidRPr="00987D1A" w:rsidR="00D33E1E" w:rsidP="00BF6E9C" w:rsidRDefault="00D33E1E" w14:paraId="6323A820" w14:textId="77777777">
      <w:pPr>
        <w:spacing w:after="0" w:line="360" w:lineRule="auto"/>
        <w:rPr>
          <w:rFonts w:eastAsia="Palatino Linotype" w:cs="Palatino Linotype"/>
          <w:color w:val="auto"/>
          <w:lang w:eastAsia="es-MX"/>
        </w:rPr>
      </w:pPr>
    </w:p>
    <w:p w:rsidRPr="00987D1A" w:rsidR="00D33E1E" w:rsidP="00BF6E9C" w:rsidRDefault="00D33E1E" w14:paraId="69F5C0A5" w14:textId="7777777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Actividad Procesal del interesado:</w:t>
      </w:r>
      <w:r w:rsidRPr="00987D1A">
        <w:rPr>
          <w:rFonts w:eastAsia="Palatino Linotype" w:cs="Palatino Linotype"/>
          <w:color w:val="auto"/>
          <w:lang w:eastAsia="es-MX"/>
        </w:rPr>
        <w:t xml:space="preserve"> Acciones u omisiones del interesado.</w:t>
      </w:r>
    </w:p>
    <w:p w:rsidRPr="00987D1A" w:rsidR="00D33E1E" w:rsidP="00BF6E9C" w:rsidRDefault="00D33E1E" w14:paraId="13EC5ECC" w14:textId="77777777">
      <w:pPr>
        <w:spacing w:after="0" w:line="360" w:lineRule="auto"/>
        <w:rPr>
          <w:rFonts w:eastAsia="Palatino Linotype" w:cs="Palatino Linotype"/>
          <w:color w:val="auto"/>
          <w:lang w:eastAsia="es-MX"/>
        </w:rPr>
      </w:pPr>
    </w:p>
    <w:p w:rsidRPr="00987D1A" w:rsidR="00D33E1E" w:rsidP="00BF6E9C" w:rsidRDefault="00D33E1E" w14:paraId="6DFD7E51" w14:textId="7777777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Conducta de la Autoridad:</w:t>
      </w:r>
      <w:r w:rsidRPr="00987D1A">
        <w:rPr>
          <w:rFonts w:eastAsia="Palatino Linotype" w:cs="Palatino Linotype"/>
          <w:color w:val="auto"/>
          <w:lang w:eastAsia="es-MX"/>
        </w:rPr>
        <w:t xml:space="preserve"> Las Acciones u omisiones realizadas en el procedimiento. Así como si la autoridad actuó con la debida diligencia.</w:t>
      </w:r>
    </w:p>
    <w:p w:rsidRPr="00987D1A" w:rsidR="00D33E1E" w:rsidP="00BF6E9C" w:rsidRDefault="00D33E1E" w14:paraId="30E3CAD5" w14:textId="77777777">
      <w:pPr>
        <w:spacing w:after="0" w:line="360" w:lineRule="auto"/>
        <w:rPr>
          <w:rFonts w:eastAsia="Palatino Linotype" w:cs="Palatino Linotype"/>
          <w:color w:val="auto"/>
          <w:lang w:eastAsia="es-MX"/>
        </w:rPr>
      </w:pPr>
    </w:p>
    <w:p w:rsidRPr="00987D1A" w:rsidR="00D33E1E" w:rsidP="00BF6E9C" w:rsidRDefault="00D33E1E" w14:paraId="2DE92C51" w14:textId="7777777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La afectación generada en la situación jurídica de la persona involucrada en el proceso:</w:t>
      </w:r>
      <w:r w:rsidRPr="00987D1A">
        <w:rPr>
          <w:rFonts w:eastAsia="Palatino Linotype" w:cs="Palatino Linotype"/>
          <w:color w:val="auto"/>
          <w:lang w:eastAsia="es-MX"/>
        </w:rPr>
        <w:t xml:space="preserve"> Violación a sus derechos humanos.</w:t>
      </w:r>
    </w:p>
    <w:p w:rsidRPr="00987D1A" w:rsidR="00D33E1E" w:rsidP="00BF6E9C" w:rsidRDefault="00D33E1E" w14:paraId="6555D838" w14:textId="77777777">
      <w:pPr>
        <w:spacing w:after="0" w:line="360" w:lineRule="auto"/>
        <w:rPr>
          <w:rFonts w:eastAsia="Palatino Linotype" w:cs="Palatino Linotype"/>
          <w:color w:val="auto"/>
          <w:lang w:eastAsia="es-MX"/>
        </w:rPr>
      </w:pPr>
    </w:p>
    <w:p w:rsidRPr="00987D1A" w:rsidR="00D33E1E" w:rsidP="00BF6E9C" w:rsidRDefault="00D33E1E" w14:paraId="2954D069"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987D1A" w:rsidR="00D33E1E" w:rsidP="00BF6E9C" w:rsidRDefault="00D33E1E" w14:paraId="35CC0D7C" w14:textId="77777777">
      <w:pPr>
        <w:spacing w:after="0" w:line="360" w:lineRule="auto"/>
        <w:rPr>
          <w:rFonts w:eastAsia="Palatino Linotype" w:cs="Palatino Linotype"/>
          <w:color w:val="auto"/>
          <w:lang w:eastAsia="es-MX"/>
        </w:rPr>
      </w:pPr>
    </w:p>
    <w:p w:rsidRPr="00987D1A" w:rsidR="00D33E1E" w:rsidP="00BF6E9C" w:rsidRDefault="00D33E1E" w14:paraId="702E1081"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Argumento que encuentra sustento en la jurisprudencia P</w:t>
      </w:r>
      <w:proofErr w:type="gramStart"/>
      <w:r w:rsidRPr="00987D1A">
        <w:rPr>
          <w:rFonts w:eastAsia="Palatino Linotype" w:cs="Palatino Linotype"/>
          <w:color w:val="auto"/>
          <w:lang w:eastAsia="es-MX"/>
        </w:rPr>
        <w:t>./</w:t>
      </w:r>
      <w:proofErr w:type="gramEnd"/>
      <w:r w:rsidRPr="00987D1A">
        <w:rPr>
          <w:rFonts w:eastAsia="Palatino Linotype" w:cs="Palatino Linotype"/>
          <w:color w:val="auto"/>
          <w:lang w:eastAsia="es-MX"/>
        </w:rPr>
        <w:t>J. 32/92 emitida por el Pleno de la Suprema Corte de Justicia de la Nación de rubro “</w:t>
      </w:r>
      <w:r w:rsidRPr="00987D1A">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987D1A">
        <w:rPr>
          <w:rFonts w:eastAsia="Palatino Linotype" w:cs="Palatino Linotype"/>
          <w:color w:val="auto"/>
          <w:lang w:eastAsia="es-MX"/>
        </w:rPr>
        <w:t>.”, visible en la Gaceta del Seminario Judicial de la Federación con el registro digital 205635.</w:t>
      </w:r>
    </w:p>
    <w:p w:rsidRPr="00987D1A" w:rsidR="00D33E1E" w:rsidP="00BF6E9C" w:rsidRDefault="00D33E1E" w14:paraId="323C297D" w14:textId="77777777">
      <w:pPr>
        <w:spacing w:after="0" w:line="360" w:lineRule="auto"/>
        <w:rPr>
          <w:rFonts w:eastAsia="Palatino Linotype" w:cs="Palatino Linotype"/>
          <w:color w:val="auto"/>
          <w:lang w:eastAsia="es-MX"/>
        </w:rPr>
      </w:pPr>
    </w:p>
    <w:p w:rsidRPr="00987D1A" w:rsidR="00D33E1E" w:rsidP="00BF6E9C" w:rsidRDefault="00D33E1E" w14:paraId="4910675E"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987D1A">
        <w:rPr>
          <w:rFonts w:eastAsia="Palatino Linotype" w:cs="Palatino Linotype"/>
          <w:color w:val="auto"/>
          <w:lang w:eastAsia="es-MX"/>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987D1A" w:rsidR="00D33E1E" w:rsidP="00BF6E9C" w:rsidRDefault="00D33E1E" w14:paraId="155A5B84" w14:textId="77777777">
      <w:pPr>
        <w:spacing w:after="0" w:line="360" w:lineRule="auto"/>
        <w:rPr>
          <w:rFonts w:eastAsia="Palatino Linotype" w:cs="Palatino Linotype"/>
          <w:color w:val="auto"/>
          <w:lang w:eastAsia="es-MX"/>
        </w:rPr>
      </w:pPr>
    </w:p>
    <w:p w:rsidRPr="00987D1A" w:rsidR="00D33E1E" w:rsidP="00BF6E9C" w:rsidRDefault="00D33E1E" w14:paraId="46758CAD"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987D1A" w:rsidR="00D33E1E" w:rsidP="00BF6E9C" w:rsidRDefault="00D33E1E" w14:paraId="26A2ABC1" w14:textId="77777777">
      <w:pPr>
        <w:spacing w:after="0" w:line="360" w:lineRule="auto"/>
        <w:rPr>
          <w:rFonts w:eastAsia="Palatino Linotype" w:cs="Palatino Linotype"/>
          <w:color w:val="auto"/>
          <w:lang w:eastAsia="es-MX"/>
        </w:rPr>
      </w:pPr>
    </w:p>
    <w:p w:rsidRPr="00987D1A" w:rsidR="00D33E1E" w:rsidP="00BF6E9C" w:rsidRDefault="00D33E1E" w14:paraId="49A3DBF6"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w:t>
      </w:r>
      <w:r w:rsidRPr="00987D1A">
        <w:rPr>
          <w:rFonts w:eastAsia="Palatino Linotype" w:cs="Palatino Linotype"/>
          <w:b/>
          <w:bCs/>
          <w:color w:val="auto"/>
          <w:lang w:eastAsia="es-MX"/>
        </w:rPr>
        <w:t>PLAZO RAZONABLE PARA RESOLVER. DIMENSIÓN Y EFECTOS DE ESTE CONCEPTO CUANDO SE ADUCE EXCESIVA CARGA DE TRABAJO</w:t>
      </w:r>
      <w:r w:rsidRPr="00987D1A">
        <w:rPr>
          <w:rFonts w:eastAsia="Palatino Linotype" w:cs="Palatino Linotype"/>
          <w:color w:val="auto"/>
          <w:lang w:eastAsia="es-MX"/>
        </w:rPr>
        <w:t>.” consultable en el Seminario Judicial de la Federación y su gaceta, con el registro digital 2002351.</w:t>
      </w:r>
    </w:p>
    <w:p w:rsidRPr="00987D1A" w:rsidR="00D33E1E" w:rsidP="00BF6E9C" w:rsidRDefault="00D33E1E" w14:paraId="2E3A45D5" w14:textId="77777777">
      <w:pPr>
        <w:spacing w:after="0" w:line="360" w:lineRule="auto"/>
        <w:rPr>
          <w:rFonts w:eastAsia="Palatino Linotype" w:cs="Palatino Linotype"/>
          <w:color w:val="auto"/>
          <w:lang w:eastAsia="es-MX"/>
        </w:rPr>
      </w:pPr>
    </w:p>
    <w:p w:rsidRPr="00987D1A" w:rsidR="00D33E1E" w:rsidP="00BF6E9C" w:rsidRDefault="00D33E1E" w14:paraId="0C95D193"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w:t>
      </w:r>
      <w:r w:rsidRPr="00987D1A">
        <w:rPr>
          <w:rFonts w:eastAsia="Palatino Linotype" w:cs="Palatino Linotype"/>
          <w:b/>
          <w:bCs/>
          <w:color w:val="auto"/>
          <w:lang w:eastAsia="es-MX"/>
        </w:rPr>
        <w:t>PLAZO RAZONABLE PARA RESOLVER. CONCEPTO Y ELEMENTOS QUE LO INTEGRAN A LA LUZ DEL DERECHO INTERNACIONAL DE LOS DERECHOS HUMANOS</w:t>
      </w:r>
      <w:r w:rsidRPr="00987D1A">
        <w:rPr>
          <w:rFonts w:eastAsia="Palatino Linotype" w:cs="Palatino Linotype"/>
          <w:color w:val="auto"/>
          <w:lang w:eastAsia="es-MX"/>
        </w:rPr>
        <w:t>.”, visible en el Seminario Judicial de la Federación y su gaceta, con el registro digital 2002350.</w:t>
      </w:r>
    </w:p>
    <w:p w:rsidRPr="00987D1A" w:rsidR="00D33E1E" w:rsidP="00BF6E9C" w:rsidRDefault="00D33E1E" w14:paraId="6A95BC08" w14:textId="77777777">
      <w:pPr>
        <w:spacing w:after="0" w:line="360" w:lineRule="auto"/>
        <w:rPr>
          <w:rFonts w:eastAsia="Palatino Linotype" w:cs="Palatino Linotype"/>
          <w:color w:val="auto"/>
          <w:lang w:eastAsia="es-MX"/>
        </w:rPr>
      </w:pPr>
    </w:p>
    <w:p w:rsidRPr="00987D1A" w:rsidR="00D33E1E" w:rsidP="00BF6E9C" w:rsidRDefault="00D33E1E" w14:paraId="0D5B71A0"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987D1A" w:rsidR="00D33E1E" w:rsidP="00BF6E9C" w:rsidRDefault="00D33E1E" w14:paraId="0822BE20" w14:textId="77777777">
      <w:pPr>
        <w:spacing w:after="0" w:line="360" w:lineRule="auto"/>
        <w:rPr>
          <w:rFonts w:eastAsia="Palatino Linotype" w:cs="Palatino Linotype"/>
          <w:b/>
          <w:bCs/>
        </w:rPr>
      </w:pPr>
    </w:p>
    <w:p w:rsidRPr="00987D1A" w:rsidR="00D33E1E" w:rsidP="00BF6E9C" w:rsidRDefault="00EC375F" w14:paraId="37E4918A" w14:textId="0E6F8D5B">
      <w:pPr>
        <w:spacing w:after="0" w:line="360" w:lineRule="auto"/>
        <w:rPr>
          <w:rFonts w:eastAsia="Palatino Linotype" w:cs="Palatino Linotype"/>
          <w:b/>
          <w:bCs/>
        </w:rPr>
      </w:pPr>
      <w:r>
        <w:rPr>
          <w:rFonts w:eastAsia="Times New Roman" w:cs="Tahoma"/>
          <w:b/>
          <w:color w:val="auto"/>
          <w:szCs w:val="24"/>
          <w:lang w:eastAsia="es-ES"/>
        </w:rPr>
        <w:t>g</w:t>
      </w:r>
      <w:r w:rsidRPr="00987D1A" w:rsidR="00D33E1E">
        <w:rPr>
          <w:rFonts w:eastAsia="Times New Roman" w:cs="Tahoma"/>
          <w:b/>
          <w:color w:val="auto"/>
          <w:szCs w:val="24"/>
          <w:lang w:eastAsia="es-ES"/>
        </w:rPr>
        <w:t>) Cierre de instrucción.</w:t>
      </w:r>
      <w:r w:rsidRPr="00987D1A" w:rsidR="00D33E1E">
        <w:rPr>
          <w:rFonts w:eastAsia="Times New Roman" w:cs="Tahoma"/>
          <w:color w:val="auto"/>
          <w:szCs w:val="24"/>
          <w:lang w:eastAsia="es-ES"/>
        </w:rPr>
        <w:t xml:space="preserve"> </w:t>
      </w:r>
      <w:r w:rsidRPr="00BF6E9C" w:rsidR="00D33E1E">
        <w:rPr>
          <w:rFonts w:eastAsia="Times New Roman" w:cs="Tahoma"/>
          <w:color w:val="auto"/>
          <w:szCs w:val="24"/>
          <w:lang w:eastAsia="es-ES"/>
        </w:rPr>
        <w:t xml:space="preserve">El </w:t>
      </w:r>
      <w:r w:rsidRPr="00BF6E9C" w:rsidR="00BF6E9C">
        <w:rPr>
          <w:rFonts w:eastAsia="Times New Roman" w:cs="Tahoma"/>
          <w:color w:val="auto"/>
          <w:szCs w:val="24"/>
          <w:lang w:eastAsia="es-ES"/>
        </w:rPr>
        <w:t>veintiuno</w:t>
      </w:r>
      <w:r w:rsidRPr="00BF6E9C" w:rsidR="005D0D84">
        <w:rPr>
          <w:rFonts w:eastAsia="Times New Roman" w:cs="Tahoma"/>
          <w:color w:val="auto"/>
          <w:szCs w:val="24"/>
          <w:lang w:eastAsia="es-ES"/>
        </w:rPr>
        <w:t xml:space="preserve"> de marzo</w:t>
      </w:r>
      <w:r w:rsidR="00106E90">
        <w:rPr>
          <w:rFonts w:eastAsia="Times New Roman" w:cs="Tahoma"/>
          <w:color w:val="auto"/>
          <w:szCs w:val="24"/>
          <w:lang w:eastAsia="es-ES"/>
        </w:rPr>
        <w:t xml:space="preserve"> </w:t>
      </w:r>
      <w:r w:rsidRPr="00987D1A" w:rsidR="00D33E1E">
        <w:rPr>
          <w:rFonts w:eastAsia="Times New Roman" w:cs="Tahoma"/>
          <w:color w:val="auto"/>
          <w:szCs w:val="24"/>
          <w:lang w:eastAsia="es-ES"/>
        </w:rPr>
        <w:t xml:space="preserve">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987D1A" w:rsidR="00D33E1E">
        <w:rPr>
          <w:rFonts w:eastAsia="Times New Roman" w:cs="Tahoma"/>
          <w:color w:val="auto"/>
          <w:szCs w:val="24"/>
          <w:lang w:eastAsia="es-ES"/>
        </w:rPr>
        <w:lastRenderedPageBreak/>
        <w:t xml:space="preserve">Pública del Estado de México y Municipios, </w:t>
      </w:r>
      <w:r w:rsidRPr="00987D1A" w:rsidR="00D33E1E">
        <w:rPr>
          <w:rFonts w:eastAsia="Palatino Linotype" w:cs="Palatino Linotype"/>
          <w:lang w:val="es-ES"/>
        </w:rPr>
        <w:t>acto que fue notificado a las partes, mediante el Sistema de Acceso a la Información Mexiquense (SAIMEX), el mismo día.</w:t>
      </w:r>
    </w:p>
    <w:p w:rsidRPr="00987D1A" w:rsidR="00D33E1E" w:rsidP="00BF6E9C" w:rsidRDefault="00D33E1E" w14:paraId="56B032A6" w14:textId="77777777">
      <w:pPr>
        <w:spacing w:after="0" w:line="360" w:lineRule="auto"/>
        <w:rPr>
          <w:rFonts w:eastAsia="Times New Roman" w:cs="Tahoma"/>
          <w:color w:val="auto"/>
          <w:szCs w:val="24"/>
          <w:lang w:eastAsia="es-ES"/>
        </w:rPr>
      </w:pPr>
    </w:p>
    <w:p w:rsidRPr="00987D1A" w:rsidR="00D33E1E" w:rsidP="00BF6E9C" w:rsidRDefault="00D33E1E" w14:paraId="4093EA23" w14:textId="77777777">
      <w:pPr>
        <w:spacing w:after="0" w:line="360" w:lineRule="auto"/>
        <w:rPr>
          <w:rFonts w:eastAsia="Times New Roman" w:cs="Tahoma"/>
          <w:color w:val="auto"/>
          <w:szCs w:val="24"/>
          <w:lang w:eastAsia="es-ES"/>
        </w:rPr>
      </w:pPr>
      <w:r w:rsidRPr="00987D1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987D1A" w:rsidR="00D33E1E" w:rsidP="00BF6E9C" w:rsidRDefault="00D33E1E" w14:paraId="058A26C5" w14:textId="77777777">
      <w:pPr>
        <w:spacing w:after="0" w:line="360" w:lineRule="auto"/>
        <w:rPr>
          <w:rFonts w:eastAsia="Times New Roman" w:cs="Tahoma"/>
          <w:bCs/>
          <w:iCs/>
          <w:color w:val="auto"/>
          <w:lang w:val="es-ES" w:eastAsia="es-ES"/>
        </w:rPr>
      </w:pPr>
    </w:p>
    <w:p w:rsidRPr="00987D1A" w:rsidR="00D33E1E" w:rsidP="00BF6E9C" w:rsidRDefault="00D33E1E" w14:paraId="1FFE162E" w14:textId="77777777">
      <w:pPr>
        <w:spacing w:after="0" w:line="360" w:lineRule="auto"/>
        <w:jc w:val="center"/>
        <w:rPr>
          <w:rFonts w:eastAsia="Times New Roman" w:cs="Tahoma"/>
          <w:b/>
          <w:color w:val="auto"/>
          <w:lang w:val="es-ES" w:eastAsia="es-ES"/>
        </w:rPr>
      </w:pPr>
      <w:r w:rsidRPr="00987D1A">
        <w:rPr>
          <w:rFonts w:eastAsia="Times New Roman" w:cs="Tahoma"/>
          <w:b/>
          <w:color w:val="auto"/>
          <w:lang w:val="es-ES" w:eastAsia="es-ES"/>
        </w:rPr>
        <w:t>C O N S I D E R A N D O S:</w:t>
      </w:r>
    </w:p>
    <w:p w:rsidRPr="00987D1A" w:rsidR="00D33E1E" w:rsidP="00BF6E9C" w:rsidRDefault="00D33E1E" w14:paraId="71A5A88B" w14:textId="77777777">
      <w:pPr>
        <w:spacing w:after="0" w:line="360" w:lineRule="auto"/>
        <w:rPr>
          <w:b/>
        </w:rPr>
      </w:pPr>
    </w:p>
    <w:p w:rsidRPr="00987D1A" w:rsidR="00D33E1E" w:rsidP="00BF6E9C" w:rsidRDefault="00D33E1E" w14:paraId="7B3FC16C" w14:textId="77777777">
      <w:pPr>
        <w:autoSpaceDE w:val="0"/>
        <w:autoSpaceDN w:val="0"/>
        <w:adjustRightInd w:val="0"/>
        <w:spacing w:after="0" w:line="360" w:lineRule="auto"/>
        <w:rPr>
          <w:rFonts w:eastAsia="Times New Roman" w:cs="Tahoma"/>
          <w:b/>
          <w:color w:val="auto"/>
          <w:szCs w:val="24"/>
          <w:lang w:val="es-ES" w:eastAsia="es-ES"/>
        </w:rPr>
      </w:pPr>
      <w:r w:rsidRPr="00987D1A">
        <w:rPr>
          <w:rFonts w:eastAsia="Calibri" w:cs="Tahoma"/>
          <w:b/>
          <w:color w:val="000000"/>
          <w:szCs w:val="24"/>
          <w:lang w:val="es-ES" w:eastAsia="es-MX"/>
        </w:rPr>
        <w:t>PRIMERO</w:t>
      </w:r>
      <w:r w:rsidRPr="00987D1A">
        <w:rPr>
          <w:rFonts w:eastAsia="Calibri" w:cs="Tahoma"/>
          <w:color w:val="000000"/>
          <w:szCs w:val="24"/>
          <w:lang w:val="es-ES" w:eastAsia="es-MX"/>
        </w:rPr>
        <w:t xml:space="preserve">. </w:t>
      </w:r>
      <w:r w:rsidRPr="00987D1A">
        <w:rPr>
          <w:rFonts w:eastAsia="Times New Roman" w:cs="Tahoma"/>
          <w:b/>
          <w:color w:val="auto"/>
          <w:szCs w:val="24"/>
          <w:lang w:val="es-ES" w:eastAsia="es-ES"/>
        </w:rPr>
        <w:t>Competencia.</w:t>
      </w:r>
    </w:p>
    <w:p w:rsidRPr="00987D1A" w:rsidR="00D33E1E" w:rsidP="00BF6E9C" w:rsidRDefault="00D33E1E" w14:paraId="57EC3FD9" w14:textId="77777777">
      <w:pPr>
        <w:autoSpaceDE w:val="0"/>
        <w:autoSpaceDN w:val="0"/>
        <w:adjustRightInd w:val="0"/>
        <w:spacing w:after="0" w:line="360" w:lineRule="auto"/>
        <w:rPr>
          <w:rFonts w:eastAsia="Times New Roman" w:cs="Tahoma"/>
          <w:b/>
          <w:color w:val="auto"/>
          <w:szCs w:val="24"/>
          <w:lang w:val="es-ES" w:eastAsia="es-ES"/>
        </w:rPr>
      </w:pPr>
    </w:p>
    <w:p w:rsidRPr="00987D1A" w:rsidR="00D33E1E" w:rsidP="00BF6E9C" w:rsidRDefault="00D33E1E" w14:paraId="1D5A4C2A" w14:textId="2F206F4D">
      <w:pPr>
        <w:spacing w:after="0" w:line="360" w:lineRule="auto"/>
        <w:rPr>
          <w:rFonts w:eastAsia="Times New Roman" w:cs="Tahoma"/>
          <w:bCs/>
          <w:color w:val="auto"/>
          <w:lang w:eastAsia="es-ES"/>
        </w:rPr>
      </w:pPr>
      <w:r w:rsidRPr="00987D1A">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987D1A">
        <w:rPr>
          <w:rFonts w:eastAsia="Times New Roman" w:cs="Tahoma"/>
          <w:bCs/>
          <w:color w:val="auto"/>
          <w:lang w:eastAsia="es-ES"/>
        </w:rPr>
        <w:t>trig</w:t>
      </w:r>
      <w:r w:rsidRPr="00987D1A">
        <w:rPr>
          <w:rFonts w:eastAsia="Times New Roman" w:cs="Tahoma"/>
          <w:bCs/>
          <w:color w:val="auto"/>
          <w:lang w:val="x-none" w:eastAsia="es-ES"/>
        </w:rPr>
        <w:t>ésimo</w:t>
      </w:r>
      <w:proofErr w:type="spellEnd"/>
      <w:r w:rsidRPr="00987D1A">
        <w:rPr>
          <w:rFonts w:eastAsia="Times New Roman" w:cs="Tahoma"/>
          <w:bCs/>
          <w:color w:val="auto"/>
          <w:lang w:val="x-none" w:eastAsia="es-ES"/>
        </w:rPr>
        <w:t>, trigésimo primero</w:t>
      </w:r>
      <w:r w:rsidRPr="00987D1A">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87D1A">
        <w:rPr>
          <w:rFonts w:eastAsia="Times New Roman" w:cs="Times New Roman"/>
          <w:bCs/>
          <w:color w:val="auto"/>
          <w:lang w:eastAsia="es-ES"/>
        </w:rPr>
        <w:t xml:space="preserve"> 7°, </w:t>
      </w:r>
      <w:r w:rsidRPr="00987D1A">
        <w:rPr>
          <w:rFonts w:eastAsia="Times New Roman" w:cs="Tahoma"/>
          <w:bCs/>
          <w:color w:val="auto"/>
          <w:lang w:eastAsia="es-ES"/>
        </w:rPr>
        <w:t>9°, fracciones I y XXIV</w:t>
      </w:r>
      <w:r w:rsidR="00BF6E9C">
        <w:rPr>
          <w:rFonts w:eastAsia="Times New Roman" w:cs="Tahoma"/>
          <w:bCs/>
          <w:color w:val="auto"/>
          <w:lang w:eastAsia="es-ES"/>
        </w:rPr>
        <w:t>,</w:t>
      </w:r>
      <w:r w:rsidRPr="00987D1A">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rsidRPr="00987D1A" w:rsidR="00D33E1E" w:rsidP="00BF6E9C" w:rsidRDefault="00D33E1E" w14:paraId="2C28A30D" w14:textId="77777777">
      <w:pPr>
        <w:spacing w:after="0" w:line="360" w:lineRule="auto"/>
        <w:rPr>
          <w:rFonts w:eastAsia="Times New Roman" w:cs="Tahoma"/>
          <w:bCs/>
          <w:color w:val="auto"/>
          <w:lang w:eastAsia="es-ES"/>
        </w:rPr>
      </w:pPr>
    </w:p>
    <w:p w:rsidRPr="00BF6E9C" w:rsidR="00BF6E9C" w:rsidP="00BF6E9C" w:rsidRDefault="00BF6E9C" w14:paraId="6F635592" w14:textId="77777777">
      <w:pPr>
        <w:autoSpaceDE w:val="0"/>
        <w:autoSpaceDN w:val="0"/>
        <w:adjustRightInd w:val="0"/>
        <w:spacing w:after="0" w:line="360" w:lineRule="auto"/>
        <w:rPr>
          <w:rFonts w:eastAsia="Times New Roman" w:cs="Tahoma"/>
          <w:color w:val="auto"/>
          <w:szCs w:val="28"/>
          <w:lang w:val="es-ES" w:eastAsia="es-ES"/>
        </w:rPr>
      </w:pPr>
      <w:r w:rsidRPr="00BF6E9C">
        <w:rPr>
          <w:rFonts w:eastAsia="Calibri" w:cs="Tahoma"/>
          <w:b/>
          <w:color w:val="000000"/>
          <w:szCs w:val="28"/>
          <w:lang w:val="es-ES" w:eastAsia="es-MX"/>
        </w:rPr>
        <w:t>SEGUNDO</w:t>
      </w:r>
      <w:r w:rsidRPr="00BF6E9C">
        <w:rPr>
          <w:rFonts w:eastAsia="Calibri" w:cs="Tahoma"/>
          <w:color w:val="000000"/>
          <w:szCs w:val="28"/>
          <w:lang w:val="es-ES" w:eastAsia="es-MX"/>
        </w:rPr>
        <w:t xml:space="preserve">. </w:t>
      </w:r>
      <w:r w:rsidRPr="00BF6E9C">
        <w:rPr>
          <w:rFonts w:eastAsia="Times New Roman" w:cs="Tahoma"/>
          <w:b/>
          <w:color w:val="auto"/>
          <w:szCs w:val="28"/>
          <w:lang w:val="es-ES" w:eastAsia="es-ES"/>
        </w:rPr>
        <w:t>Causales de improcedencia y sobreseimiento.</w:t>
      </w:r>
      <w:r w:rsidRPr="00BF6E9C">
        <w:rPr>
          <w:rFonts w:eastAsia="Times New Roman" w:cs="Tahoma"/>
          <w:color w:val="auto"/>
          <w:szCs w:val="28"/>
          <w:lang w:val="es-ES" w:eastAsia="es-ES"/>
        </w:rPr>
        <w:t xml:space="preserve"> </w:t>
      </w:r>
    </w:p>
    <w:p w:rsidRPr="00BF6E9C" w:rsidR="00BF6E9C" w:rsidP="00BF6E9C" w:rsidRDefault="00BF6E9C" w14:paraId="50D6C2C4" w14:textId="77777777">
      <w:pPr>
        <w:autoSpaceDE w:val="0"/>
        <w:autoSpaceDN w:val="0"/>
        <w:adjustRightInd w:val="0"/>
        <w:spacing w:after="0" w:line="360" w:lineRule="auto"/>
        <w:rPr>
          <w:rFonts w:eastAsia="Times New Roman" w:cs="Tahoma"/>
          <w:color w:val="auto"/>
          <w:szCs w:val="28"/>
          <w:lang w:val="es-ES" w:eastAsia="es-ES"/>
        </w:rPr>
      </w:pPr>
    </w:p>
    <w:p w:rsidRPr="00BF6E9C" w:rsidR="00BF6E9C" w:rsidP="00BF6E9C" w:rsidRDefault="00BF6E9C" w14:paraId="59FACC5E" w14:textId="77777777">
      <w:pPr>
        <w:autoSpaceDE w:val="0"/>
        <w:autoSpaceDN w:val="0"/>
        <w:adjustRightInd w:val="0"/>
        <w:spacing w:after="0" w:line="360" w:lineRule="auto"/>
        <w:rPr>
          <w:rFonts w:eastAsia="Times New Roman" w:cs="Tahoma"/>
          <w:color w:val="auto"/>
          <w:szCs w:val="28"/>
          <w:lang w:val="es-ES" w:eastAsia="es-ES"/>
        </w:rPr>
      </w:pPr>
      <w:r w:rsidRPr="00BF6E9C">
        <w:rPr>
          <w:rFonts w:eastAsia="Times New Roman" w:cs="Tahoma"/>
          <w:color w:val="auto"/>
          <w:szCs w:val="28"/>
          <w:lang w:val="es-ES" w:eastAsia="es-ES"/>
        </w:rPr>
        <w:t xml:space="preserve">De las constancias que forma parte del Recurso de Revisión que se analiza, se advierte que previo al estudio del fondo de la </w:t>
      </w:r>
      <w:proofErr w:type="spellStart"/>
      <w:r w:rsidRPr="00BF6E9C">
        <w:rPr>
          <w:rFonts w:eastAsia="Times New Roman" w:cs="Tahoma"/>
          <w:i/>
          <w:color w:val="auto"/>
          <w:szCs w:val="28"/>
          <w:lang w:val="es-ES" w:eastAsia="es-ES"/>
        </w:rPr>
        <w:t>litis</w:t>
      </w:r>
      <w:proofErr w:type="spellEnd"/>
      <w:r w:rsidRPr="00BF6E9C">
        <w:rPr>
          <w:rFonts w:eastAsia="Times New Roman" w:cs="Tahoma"/>
          <w:color w:val="auto"/>
          <w:szCs w:val="28"/>
          <w:lang w:val="es-ES" w:eastAsia="es-ES"/>
        </w:rPr>
        <w:t>, es necesario estudiar las causales de improcedencia y sobreseimiento que se adviertan, para determinar lo que en Derecho proceda.</w:t>
      </w:r>
    </w:p>
    <w:p w:rsidRPr="00BF6E9C" w:rsidR="00BF6E9C" w:rsidP="00BF6E9C" w:rsidRDefault="00BF6E9C" w14:paraId="057F12F6" w14:textId="77777777">
      <w:pPr>
        <w:autoSpaceDE w:val="0"/>
        <w:autoSpaceDN w:val="0"/>
        <w:adjustRightInd w:val="0"/>
        <w:spacing w:after="0" w:line="360" w:lineRule="auto"/>
        <w:rPr>
          <w:rFonts w:eastAsia="Times New Roman" w:cs="Tahoma"/>
          <w:color w:val="auto"/>
          <w:szCs w:val="28"/>
          <w:lang w:val="es-ES" w:eastAsia="es-ES"/>
        </w:rPr>
      </w:pPr>
    </w:p>
    <w:p w:rsidRPr="00BF6E9C" w:rsidR="00BF6E9C" w:rsidP="00BF6E9C" w:rsidRDefault="00BF6E9C" w14:paraId="77070E8D" w14:textId="77777777">
      <w:pPr>
        <w:spacing w:after="0" w:line="360" w:lineRule="auto"/>
        <w:rPr>
          <w:rFonts w:eastAsia="Times New Roman" w:cs="Times New Roman"/>
          <w:b/>
          <w:color w:val="auto"/>
          <w:lang w:val="es-ES" w:eastAsia="es-ES"/>
        </w:rPr>
      </w:pPr>
      <w:r w:rsidRPr="00BF6E9C">
        <w:rPr>
          <w:rFonts w:eastAsia="Times New Roman" w:cs="Times New Roman"/>
          <w:b/>
          <w:color w:val="auto"/>
          <w:lang w:val="es-ES" w:eastAsia="es-ES"/>
        </w:rPr>
        <w:t>Causales de improcedencia</w:t>
      </w:r>
    </w:p>
    <w:p w:rsidRPr="00BF6E9C" w:rsidR="00BF6E9C" w:rsidP="00BF6E9C" w:rsidRDefault="00BF6E9C" w14:paraId="64C63759" w14:textId="77777777">
      <w:pPr>
        <w:spacing w:after="0" w:line="360" w:lineRule="auto"/>
        <w:rPr>
          <w:rFonts w:eastAsia="Times New Roman" w:cs="Times New Roman"/>
          <w:color w:val="auto"/>
          <w:lang w:eastAsia="es-ES"/>
        </w:rPr>
      </w:pPr>
    </w:p>
    <w:p w:rsidRPr="00987D1A" w:rsidR="00D33E1E" w:rsidP="00BF6E9C" w:rsidRDefault="00D33E1E" w14:paraId="32E5E7C8" w14:textId="77777777">
      <w:pPr>
        <w:spacing w:after="0" w:line="360" w:lineRule="auto"/>
        <w:rPr>
          <w:rFonts w:eastAsia="Times New Roman" w:cs="Tahoma"/>
          <w:bCs/>
          <w:color w:val="auto"/>
          <w:lang w:val="es-ES" w:eastAsia="es-ES"/>
        </w:rPr>
      </w:pPr>
      <w:r w:rsidRPr="00987D1A">
        <w:rPr>
          <w:rFonts w:eastAsia="Times New Roman" w:cs="Tahoma"/>
          <w:bCs/>
          <w:color w:val="auto"/>
          <w:lang w:eastAsia="es-ES"/>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987D1A">
        <w:rPr>
          <w:rFonts w:eastAsia="Times New Roman" w:cs="Tahoma"/>
          <w:bCs/>
          <w:color w:val="auto"/>
          <w:lang w:eastAsia="es-ES"/>
        </w:rPr>
        <w:t>./</w:t>
      </w:r>
      <w:proofErr w:type="gramEnd"/>
      <w:r w:rsidRPr="00987D1A">
        <w:rPr>
          <w:rFonts w:eastAsia="Times New Roman" w:cs="Tahoma"/>
          <w:bCs/>
          <w:color w:val="auto"/>
          <w:lang w:eastAsia="es-ES"/>
        </w:rPr>
        <w:t>J. 163/2005</w:t>
      </w:r>
      <w:r w:rsidRPr="00987D1A">
        <w:rPr>
          <w:rFonts w:eastAsia="Times New Roman" w:cs="Tahoma"/>
          <w:b/>
          <w:bCs/>
          <w:color w:val="auto"/>
          <w:lang w:eastAsia="es-ES"/>
        </w:rPr>
        <w:t xml:space="preserve"> </w:t>
      </w:r>
      <w:r w:rsidRPr="00987D1A">
        <w:rPr>
          <w:rFonts w:eastAsia="Times New Roman" w:cs="Tahoma"/>
          <w:bCs/>
          <w:color w:val="auto"/>
          <w:lang w:eastAsia="es-ES"/>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987D1A" w:rsidR="00D33E1E" w:rsidP="00BF6E9C" w:rsidRDefault="00D33E1E" w14:paraId="38F9A824" w14:textId="77777777">
      <w:pPr>
        <w:spacing w:after="0" w:line="360" w:lineRule="auto"/>
        <w:rPr>
          <w:rFonts w:eastAsia="Times New Roman" w:cs="Tahoma"/>
          <w:bCs/>
          <w:color w:val="auto"/>
          <w:lang w:eastAsia="es-ES"/>
        </w:rPr>
      </w:pPr>
    </w:p>
    <w:p w:rsidRPr="00987D1A" w:rsidR="00D33E1E" w:rsidP="00BF6E9C" w:rsidRDefault="00D33E1E" w14:paraId="5CB447AA" w14:textId="77777777">
      <w:pPr>
        <w:spacing w:after="0" w:line="360" w:lineRule="auto"/>
        <w:rPr>
          <w:rFonts w:eastAsia="Times New Roman" w:cs="Tahoma"/>
          <w:bCs/>
          <w:color w:val="auto"/>
          <w:lang w:eastAsia="es-ES"/>
        </w:rPr>
      </w:pPr>
      <w:r w:rsidRPr="00987D1A">
        <w:rPr>
          <w:rFonts w:eastAsia="Times New Roman" w:cs="Tahoma"/>
          <w:bCs/>
          <w:color w:val="auto"/>
          <w:lang w:eastAsia="es-ES"/>
        </w:rPr>
        <w:t xml:space="preserve">En el presente caso, </w:t>
      </w:r>
      <w:r w:rsidRPr="00987D1A">
        <w:rPr>
          <w:rFonts w:eastAsia="Times New Roman" w:cs="Tahoma"/>
          <w:b/>
          <w:bCs/>
          <w:color w:val="auto"/>
          <w:lang w:eastAsia="es-ES"/>
        </w:rPr>
        <w:t>no se actualiza ninguna de las causales de improcedencia</w:t>
      </w:r>
      <w:r w:rsidRPr="00987D1A">
        <w:rPr>
          <w:rFonts w:eastAsia="Times New Roman" w:cs="Tahoma"/>
          <w:bCs/>
          <w:color w:val="auto"/>
          <w:lang w:eastAsia="es-ES"/>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987D1A" w:rsidR="00D33E1E" w:rsidP="00BF6E9C" w:rsidRDefault="00D33E1E" w14:paraId="0B2E35C1" w14:textId="77777777">
      <w:pPr>
        <w:spacing w:after="0" w:line="360" w:lineRule="auto"/>
        <w:rPr>
          <w:rFonts w:eastAsia="Times New Roman" w:cs="Tahoma"/>
          <w:b/>
          <w:bCs/>
          <w:color w:val="auto"/>
          <w:lang w:eastAsia="es-ES"/>
        </w:rPr>
      </w:pPr>
    </w:p>
    <w:p w:rsidRPr="00987D1A" w:rsidR="00D33E1E" w:rsidP="00BF6E9C" w:rsidRDefault="00D33E1E" w14:paraId="06D0DD4C" w14:textId="65AA454F">
      <w:pPr>
        <w:spacing w:after="0" w:line="360" w:lineRule="auto"/>
        <w:rPr>
          <w:rFonts w:eastAsia="Times New Roman" w:cs="Tahoma"/>
          <w:bCs/>
          <w:color w:val="auto"/>
          <w:lang w:eastAsia="es-ES"/>
        </w:rPr>
      </w:pPr>
      <w:r w:rsidRPr="00987D1A">
        <w:rPr>
          <w:rFonts w:eastAsia="Times New Roman" w:cs="Tahoma"/>
          <w:bCs/>
          <w:color w:val="auto"/>
          <w:lang w:eastAsia="es-ES"/>
        </w:rPr>
        <w:t>Asimismo, se actualiza la causal de procedencia del Recurso de Revisión señalada en el artículo 1</w:t>
      </w:r>
      <w:r w:rsidR="005D0D84">
        <w:rPr>
          <w:rFonts w:eastAsia="Times New Roman" w:cs="Tahoma"/>
          <w:bCs/>
          <w:color w:val="auto"/>
          <w:lang w:eastAsia="es-ES"/>
        </w:rPr>
        <w:t>79, fracción I</w:t>
      </w:r>
      <w:r w:rsidR="00BF6E9C">
        <w:rPr>
          <w:rFonts w:eastAsia="Times New Roman" w:cs="Tahoma"/>
          <w:bCs/>
          <w:color w:val="auto"/>
          <w:lang w:eastAsia="es-ES"/>
        </w:rPr>
        <w:t>V</w:t>
      </w:r>
      <w:r w:rsidRPr="00987D1A">
        <w:rPr>
          <w:rFonts w:eastAsia="Times New Roman" w:cs="Tahoma"/>
          <w:bCs/>
          <w:color w:val="auto"/>
          <w:lang w:eastAsia="es-ES"/>
        </w:rPr>
        <w:t xml:space="preserve">, de la Ley de Transparencia y Acceso a la Información Pública del Estado de México y Municipios, </w:t>
      </w:r>
      <w:r w:rsidR="00BF6E9C">
        <w:rPr>
          <w:rFonts w:eastAsia="Times New Roman" w:cs="Tahoma"/>
          <w:bCs/>
          <w:color w:val="auto"/>
          <w:lang w:eastAsia="es-ES"/>
        </w:rPr>
        <w:t>toda vez que el Particular se agravió de la incompetencia manifestada por el Sujeto Obligado.</w:t>
      </w:r>
    </w:p>
    <w:p w:rsidRPr="00987D1A" w:rsidR="00D33E1E" w:rsidP="00BF6E9C" w:rsidRDefault="00D33E1E" w14:paraId="15C65838" w14:textId="77777777">
      <w:pPr>
        <w:spacing w:after="0" w:line="360" w:lineRule="auto"/>
        <w:rPr>
          <w:rFonts w:eastAsia="Calibri" w:cs="Tahoma"/>
          <w:b/>
          <w:color w:val="000000"/>
          <w:szCs w:val="24"/>
          <w:lang w:eastAsia="es-MX"/>
        </w:rPr>
      </w:pPr>
    </w:p>
    <w:p w:rsidRPr="00987D1A" w:rsidR="00D33E1E" w:rsidP="00BF6E9C" w:rsidRDefault="00D33E1E" w14:paraId="75332B3E" w14:textId="567F7463">
      <w:pPr>
        <w:spacing w:after="0" w:line="360" w:lineRule="auto"/>
        <w:rPr>
          <w:rFonts w:eastAsia="Times New Roman" w:cs="Tahoma"/>
          <w:b/>
          <w:bCs/>
          <w:color w:val="auto"/>
          <w:lang w:eastAsia="es-ES"/>
        </w:rPr>
      </w:pPr>
      <w:r w:rsidRPr="00987D1A">
        <w:rPr>
          <w:rFonts w:eastAsia="Times New Roman" w:cs="Tahoma"/>
          <w:b/>
          <w:bCs/>
          <w:color w:val="auto"/>
          <w:lang w:eastAsia="es-ES"/>
        </w:rPr>
        <w:t>Causales de sobreseimiento.</w:t>
      </w:r>
    </w:p>
    <w:p w:rsidRPr="00987D1A" w:rsidR="00D33E1E" w:rsidP="00BF6E9C" w:rsidRDefault="00D33E1E" w14:paraId="470ECDA1" w14:textId="77777777">
      <w:pPr>
        <w:spacing w:after="0" w:line="360" w:lineRule="auto"/>
        <w:rPr>
          <w:rFonts w:eastAsia="Times New Roman" w:cs="Tahoma"/>
          <w:bCs/>
          <w:color w:val="auto"/>
          <w:lang w:eastAsia="es-ES"/>
        </w:rPr>
      </w:pPr>
    </w:p>
    <w:p w:rsidRPr="0080762C" w:rsidR="0080762C" w:rsidP="0080762C" w:rsidRDefault="0080762C" w14:paraId="0E7077C8" w14:textId="77777777">
      <w:pPr>
        <w:spacing w:after="0" w:line="360" w:lineRule="auto"/>
        <w:rPr>
          <w:rFonts w:eastAsia="Times New Roman" w:cs="Tahoma"/>
          <w:color w:val="0D0D0D"/>
          <w:lang w:eastAsia="es-ES"/>
        </w:rPr>
      </w:pPr>
      <w:r w:rsidRPr="0080762C">
        <w:rPr>
          <w:rFonts w:eastAsia="Times New Roman" w:cs="Tahoma"/>
          <w:color w:val="0D0D0D"/>
          <w:lang w:eastAsia="es-ES"/>
        </w:rPr>
        <w:t>Por ser de previo y especial pronunciamiento, este Instituto analiza si se actualiza alguna causal de sobreseimiento.</w:t>
      </w:r>
    </w:p>
    <w:p w:rsidRPr="0080762C" w:rsidR="0080762C" w:rsidP="0080762C" w:rsidRDefault="0080762C" w14:paraId="0BAFE842" w14:textId="77777777">
      <w:pPr>
        <w:spacing w:after="0" w:line="360" w:lineRule="auto"/>
        <w:rPr>
          <w:rFonts w:eastAsia="Times New Roman" w:cs="Tahoma"/>
          <w:color w:val="0D0D0D"/>
          <w:lang w:eastAsia="es-ES"/>
        </w:rPr>
      </w:pPr>
    </w:p>
    <w:p w:rsidRPr="0080762C" w:rsidR="0080762C" w:rsidP="0080762C" w:rsidRDefault="0080762C" w14:paraId="766DF315" w14:textId="77777777">
      <w:pPr>
        <w:spacing w:after="0" w:line="360" w:lineRule="auto"/>
        <w:rPr>
          <w:rFonts w:eastAsia="Times New Roman" w:cs="Tahoma"/>
          <w:color w:val="0D0D0D"/>
          <w:lang w:eastAsia="es-ES"/>
        </w:rPr>
      </w:pPr>
      <w:r w:rsidRPr="0080762C">
        <w:rPr>
          <w:rFonts w:eastAsia="Times New Roman" w:cs="Tahoma"/>
          <w:color w:val="0D0D0D"/>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80762C" w:rsidR="0080762C" w:rsidP="0080762C" w:rsidRDefault="0080762C" w14:paraId="731354ED" w14:textId="77777777">
      <w:pPr>
        <w:spacing w:after="0" w:line="360" w:lineRule="auto"/>
        <w:rPr>
          <w:rFonts w:eastAsia="Times New Roman" w:cs="Tahoma"/>
          <w:color w:val="0D0D0D"/>
          <w:lang w:eastAsia="es-ES"/>
        </w:rPr>
      </w:pPr>
    </w:p>
    <w:p w:rsidR="00E94B00" w:rsidP="00BF6E9C" w:rsidRDefault="0080762C" w14:paraId="76163648" w14:textId="3746429B">
      <w:pPr>
        <w:spacing w:after="0" w:line="360" w:lineRule="auto"/>
        <w:rPr>
          <w:rFonts w:eastAsia="Times New Roman" w:cs="Tahoma"/>
          <w:color w:val="0D0D0D"/>
          <w:lang w:eastAsia="es-ES"/>
        </w:rPr>
      </w:pPr>
      <w:r w:rsidRPr="0080762C">
        <w:rPr>
          <w:rFonts w:eastAsia="Times New Roman" w:cs="Tahoma"/>
          <w:color w:val="0D0D0D"/>
          <w:lang w:eastAsia="es-ES"/>
        </w:rPr>
        <w:t>Por tales motivos, se considera procedente entrar al fondo del presente asunto</w:t>
      </w:r>
      <w:r>
        <w:rPr>
          <w:rFonts w:eastAsia="Times New Roman" w:cs="Tahoma"/>
          <w:color w:val="0D0D0D"/>
          <w:lang w:eastAsia="es-ES"/>
        </w:rPr>
        <w:t>.</w:t>
      </w:r>
    </w:p>
    <w:p w:rsidR="0080762C" w:rsidP="00BF6E9C" w:rsidRDefault="0080762C" w14:paraId="1D7608E8" w14:textId="54406287">
      <w:pPr>
        <w:spacing w:after="0" w:line="360" w:lineRule="auto"/>
        <w:rPr>
          <w:rFonts w:eastAsia="Times New Roman" w:cs="Tahoma"/>
          <w:color w:val="0D0D0D"/>
          <w:lang w:eastAsia="es-ES"/>
        </w:rPr>
      </w:pPr>
    </w:p>
    <w:p w:rsidRPr="0080762C" w:rsidR="0080762C" w:rsidP="0080762C" w:rsidRDefault="0080762C" w14:paraId="5EBDC212" w14:textId="77777777">
      <w:pPr>
        <w:tabs>
          <w:tab w:val="left" w:pos="4962"/>
        </w:tabs>
        <w:spacing w:after="0" w:line="360" w:lineRule="auto"/>
        <w:rPr>
          <w:rFonts w:eastAsia="Calibri" w:cs="Tahoma"/>
          <w:b/>
          <w:iCs/>
          <w:color w:val="auto"/>
          <w:lang w:val="es-ES" w:eastAsia="es-ES_tradnl"/>
        </w:rPr>
      </w:pPr>
      <w:r w:rsidRPr="0080762C">
        <w:rPr>
          <w:rFonts w:eastAsia="Calibri" w:cs="Tahoma"/>
          <w:b/>
          <w:iCs/>
          <w:color w:val="auto"/>
          <w:lang w:val="es-ES" w:eastAsia="es-ES_tradnl"/>
        </w:rPr>
        <w:t xml:space="preserve">TERCERO. Determinación de la Controversia. </w:t>
      </w:r>
    </w:p>
    <w:p w:rsidRPr="0080762C" w:rsidR="0080762C" w:rsidP="0080762C" w:rsidRDefault="0080762C" w14:paraId="30CB1165" w14:textId="77777777">
      <w:pPr>
        <w:tabs>
          <w:tab w:val="left" w:pos="4962"/>
        </w:tabs>
        <w:spacing w:after="0" w:line="360" w:lineRule="auto"/>
        <w:rPr>
          <w:rFonts w:eastAsia="Calibri" w:cs="Tahoma"/>
          <w:b/>
          <w:iCs/>
          <w:color w:val="auto"/>
          <w:lang w:val="es-ES" w:eastAsia="es-ES_tradnl"/>
        </w:rPr>
      </w:pPr>
    </w:p>
    <w:p w:rsidR="0080762C" w:rsidP="0080762C" w:rsidRDefault="0080762C" w14:paraId="4510C25D" w14:textId="5E17564F">
      <w:pPr>
        <w:spacing w:after="0" w:line="360" w:lineRule="auto"/>
        <w:rPr>
          <w:rFonts w:eastAsia="Times New Roman" w:cs="Tahoma"/>
          <w:color w:val="auto"/>
          <w:lang w:eastAsia="es-ES"/>
        </w:rPr>
      </w:pPr>
      <w:r w:rsidRPr="0080762C">
        <w:rPr>
          <w:rFonts w:eastAsia="Times New Roman" w:cs="Tahoma"/>
          <w:color w:val="auto"/>
          <w:lang w:eastAsia="es-ES"/>
        </w:rPr>
        <w:t>Con el objetivo de ilustrar la controversia planteada, resulta conveniente precisar, que una vez realizado el estudio de las constancias que integran el expediente en el que se actúa, se desprende que el Particular requirió</w:t>
      </w:r>
      <w:r>
        <w:rPr>
          <w:rFonts w:eastAsia="Times New Roman" w:cs="Tahoma"/>
          <w:color w:val="auto"/>
          <w:lang w:eastAsia="es-ES"/>
        </w:rPr>
        <w:t xml:space="preserve"> conocer </w:t>
      </w:r>
      <w:r w:rsidR="001435A1">
        <w:rPr>
          <w:rFonts w:eastAsia="Times New Roman" w:cs="Tahoma"/>
          <w:color w:val="auto"/>
          <w:lang w:eastAsia="es-ES"/>
        </w:rPr>
        <w:t>respecto a seis empresas, lo siguiente:</w:t>
      </w:r>
    </w:p>
    <w:p w:rsidR="001435A1" w:rsidP="0080762C" w:rsidRDefault="001435A1" w14:paraId="4056FF3F" w14:textId="648AF8F7">
      <w:pPr>
        <w:spacing w:after="0" w:line="360" w:lineRule="auto"/>
        <w:rPr>
          <w:rFonts w:eastAsia="Times New Roman" w:cs="Tahoma"/>
          <w:color w:val="auto"/>
          <w:lang w:eastAsia="es-ES"/>
        </w:rPr>
      </w:pPr>
    </w:p>
    <w:p w:rsidR="001435A1" w:rsidP="001435A1" w:rsidRDefault="001435A1" w14:paraId="427DF6D8" w14:textId="448B604A">
      <w:pPr>
        <w:pStyle w:val="Prrafodelista"/>
        <w:numPr>
          <w:ilvl w:val="0"/>
          <w:numId w:val="9"/>
        </w:numPr>
        <w:spacing w:line="360" w:lineRule="auto"/>
        <w:rPr>
          <w:rFonts w:cs="Tahoma"/>
          <w:color w:val="0D0D0D"/>
        </w:rPr>
      </w:pPr>
      <w:r>
        <w:rPr>
          <w:rFonts w:cs="Tahoma"/>
          <w:color w:val="0D0D0D"/>
        </w:rPr>
        <w:t>Nombre del Sindicato y del Secretario General</w:t>
      </w:r>
      <w:r w:rsidR="00FB5F11">
        <w:rPr>
          <w:rFonts w:cs="Tahoma"/>
          <w:color w:val="0D0D0D"/>
        </w:rPr>
        <w:t>, y</w:t>
      </w:r>
    </w:p>
    <w:p w:rsidR="00FB5F11" w:rsidP="00FB5F11" w:rsidRDefault="00FB5F11" w14:paraId="31F9DE36" w14:textId="77777777">
      <w:pPr>
        <w:pStyle w:val="Prrafodelista"/>
        <w:spacing w:line="360" w:lineRule="auto"/>
        <w:rPr>
          <w:rFonts w:cs="Tahoma"/>
          <w:color w:val="0D0D0D"/>
        </w:rPr>
      </w:pPr>
    </w:p>
    <w:p w:rsidRPr="001435A1" w:rsidR="001435A1" w:rsidP="001435A1" w:rsidRDefault="001435A1" w14:paraId="03B1A334" w14:textId="0990F9F5">
      <w:pPr>
        <w:pStyle w:val="Prrafodelista"/>
        <w:numPr>
          <w:ilvl w:val="0"/>
          <w:numId w:val="9"/>
        </w:numPr>
        <w:spacing w:line="360" w:lineRule="auto"/>
        <w:rPr>
          <w:rFonts w:cs="Tahoma"/>
          <w:color w:val="0D0D0D"/>
        </w:rPr>
      </w:pPr>
      <w:r>
        <w:rPr>
          <w:rFonts w:cs="Tahoma"/>
          <w:color w:val="0D0D0D"/>
        </w:rPr>
        <w:t>Respecto al Contrato Colectivo de Trabajo, número de expediente, fecha inicial o de firma, última fecha de revisión y el lugar donde se encuentra registrado dicho acto jurídico.</w:t>
      </w:r>
    </w:p>
    <w:p w:rsidR="0080762C" w:rsidP="00BF6E9C" w:rsidRDefault="0080762C" w14:paraId="452C41E4" w14:textId="59CE8399">
      <w:pPr>
        <w:spacing w:after="0" w:line="360" w:lineRule="auto"/>
        <w:rPr>
          <w:rFonts w:eastAsia="Times New Roman" w:cs="Tahoma"/>
          <w:color w:val="0D0D0D"/>
          <w:lang w:eastAsia="es-ES"/>
        </w:rPr>
      </w:pPr>
    </w:p>
    <w:p w:rsidR="00FB5F11" w:rsidP="00FB5F11" w:rsidRDefault="00FB5F11" w14:paraId="0C4CBC16" w14:textId="3FE32F6B">
      <w:pPr>
        <w:spacing w:after="0" w:line="360" w:lineRule="auto"/>
        <w:rPr>
          <w:rFonts w:eastAsia="Times New Roman" w:cs="Tahoma"/>
          <w:iCs/>
          <w:color w:val="auto"/>
          <w:lang w:eastAsia="es-ES"/>
        </w:rPr>
      </w:pPr>
      <w:r>
        <w:t xml:space="preserve">En respuesta, el Sujeto Obligado, se declaró incompetente al precisar que no tenía atribuciones para conocer de lo peticionado y orientó a presentar la solicitud de información al </w:t>
      </w:r>
      <w:r w:rsidR="005D0D84">
        <w:rPr>
          <w:rFonts w:eastAsia="Times New Roman" w:cs="Tahoma"/>
          <w:bCs/>
          <w:iCs/>
          <w:color w:val="auto"/>
          <w:lang w:eastAsia="es-ES"/>
        </w:rPr>
        <w:t>Centro Federal de Conciliación y Registro Laboral del Gobierno Federal</w:t>
      </w:r>
      <w:r w:rsidR="00E94B00">
        <w:rPr>
          <w:rFonts w:eastAsia="Times New Roman" w:cs="Tahoma"/>
          <w:iCs/>
          <w:color w:val="auto"/>
          <w:lang w:eastAsia="es-ES"/>
        </w:rPr>
        <w:t xml:space="preserve">; </w:t>
      </w:r>
      <w:r>
        <w:t xml:space="preserve">ante dicha circunstancia, la parte Recurrente se inconformó con la incompetencia manifestada, al señalar que las autoridades administrativas y jurisdiccionales en materia laboral, debían contar en sus </w:t>
      </w:r>
      <w:r>
        <w:lastRenderedPageBreak/>
        <w:t>archivos, con</w:t>
      </w:r>
      <w:r w:rsidR="00106E90">
        <w:t xml:space="preserve"> </w:t>
      </w:r>
      <w:r>
        <w:t xml:space="preserve">la información sindical, </w:t>
      </w:r>
      <w:r>
        <w:rPr>
          <w:rFonts w:cs="Tahoma"/>
          <w:bCs/>
          <w:iCs/>
          <w:lang w:val="es-ES"/>
        </w:rPr>
        <w:t>lo cual actualiza el supuesto previsto en el artículo 179, fracción IV, de la Ley de Transparencia y Acceso a la Información Pública del Estado de México y Municipios</w:t>
      </w:r>
      <w:r>
        <w:rPr>
          <w:rFonts w:cs="Tahoma"/>
          <w:bCs/>
          <w:iCs/>
          <w:shd w:val="clear" w:color="auto" w:fill="FFFFFF"/>
        </w:rPr>
        <w:t>.</w:t>
      </w:r>
      <w:r w:rsidRPr="00FB5F11">
        <w:rPr>
          <w:rFonts w:cs="Tahoma"/>
          <w:lang w:val="es-ES"/>
        </w:rPr>
        <w:t xml:space="preserve"> </w:t>
      </w:r>
      <w:r>
        <w:rPr>
          <w:rFonts w:cs="Tahoma"/>
          <w:lang w:val="es-ES"/>
        </w:rPr>
        <w:t>Así las cosas, una vez admitido y notificado los Recursos de Revisión a las partes, el Sujeto Obligado, ratificó su respuesta al proporcionar el Acuerdo del Comité de Transparencia, donde se confirmó la incompetencia para conocer de lo requerido.</w:t>
      </w:r>
    </w:p>
    <w:p w:rsidR="00FB5F11" w:rsidP="00FB5F11" w:rsidRDefault="00FB5F11" w14:paraId="63190929" w14:textId="77777777">
      <w:pPr>
        <w:spacing w:after="0" w:line="360" w:lineRule="auto"/>
        <w:rPr>
          <w:rFonts w:eastAsia="Times New Roman" w:cs="Tahoma"/>
          <w:iCs/>
          <w:color w:val="auto"/>
          <w:lang w:eastAsia="es-ES"/>
        </w:rPr>
      </w:pPr>
    </w:p>
    <w:p w:rsidRPr="00E46E6F" w:rsidR="00D33E1E" w:rsidP="00BF6E9C" w:rsidRDefault="00FB5F11" w14:paraId="00790C11" w14:textId="5510C12B">
      <w:pPr>
        <w:spacing w:after="0" w:line="360" w:lineRule="auto"/>
        <w:rPr>
          <w:rFonts w:eastAsia="Calibri" w:cs="Tahoma"/>
          <w:bCs/>
          <w:iCs/>
          <w:lang w:eastAsia="es-ES_tradnl"/>
        </w:rPr>
      </w:pPr>
      <w:r>
        <w:rPr>
          <w:rFonts w:eastAsia="Calibri" w:cs="Tahoma"/>
          <w:iCs/>
          <w:lang w:val="es-ES" w:eastAsia="es-ES_tradnl"/>
        </w:rPr>
        <w:t>De lo previo</w:t>
      </w:r>
      <w:r w:rsidRPr="00987D1A" w:rsidR="00D33E1E">
        <w:rPr>
          <w:rFonts w:eastAsia="Calibri" w:cs="Tahoma"/>
          <w:iCs/>
          <w:lang w:val="es-ES" w:eastAsia="es-ES_tradnl"/>
        </w:rPr>
        <w:t xml:space="preserve">, se advierte que el ahora Recurrente no se agravió </w:t>
      </w:r>
      <w:r w:rsidR="00E46E6F">
        <w:rPr>
          <w:rFonts w:eastAsia="Calibri" w:cs="Tahoma"/>
          <w:iCs/>
          <w:lang w:val="es-ES" w:eastAsia="es-ES_tradnl"/>
        </w:rPr>
        <w:t xml:space="preserve">de la modalidad de entrega a través de la cual el Sujeto Obligado atendió el requerimiento de información, es decir, a través de </w:t>
      </w:r>
      <w:r w:rsidRPr="00E46E6F" w:rsidR="00E46E6F">
        <w:rPr>
          <w:rFonts w:eastAsia="Calibri" w:cs="Tahoma"/>
          <w:iCs/>
          <w:lang w:val="es-ES" w:eastAsia="es-ES_tradnl"/>
        </w:rPr>
        <w:t>Sistema de Acceso a la Información Mexiquense (SAIMEX)</w:t>
      </w:r>
      <w:r>
        <w:rPr>
          <w:rFonts w:eastAsia="Calibri" w:cs="Tahoma"/>
          <w:iCs/>
          <w:lang w:val="es-ES" w:eastAsia="es-ES_tradnl"/>
        </w:rPr>
        <w:t xml:space="preserve"> vinculado a la Plataforma Nacional de Transparencia</w:t>
      </w:r>
      <w:r w:rsidR="00E94B00">
        <w:rPr>
          <w:rFonts w:eastAsia="Calibri" w:cs="Tahoma"/>
          <w:bCs/>
          <w:iCs/>
          <w:lang w:eastAsia="es-ES_tradnl"/>
        </w:rPr>
        <w:t>;</w:t>
      </w:r>
      <w:r w:rsidR="00E94B00">
        <w:rPr>
          <w:rFonts w:eastAsia="Calibri" w:cs="Tahoma"/>
          <w:bCs/>
          <w:iCs/>
          <w:lang w:val="x-none" w:eastAsia="es-ES_tradnl"/>
        </w:rPr>
        <w:t xml:space="preserve"> por lo que</w:t>
      </w:r>
      <w:r w:rsidR="00E46E6F">
        <w:rPr>
          <w:rFonts w:eastAsia="Calibri" w:cs="Tahoma"/>
          <w:bCs/>
          <w:iCs/>
          <w:lang w:eastAsia="es-ES_tradnl"/>
        </w:rPr>
        <w:t xml:space="preserve">, </w:t>
      </w:r>
      <w:r w:rsidRPr="00987D1A" w:rsidR="00D33E1E">
        <w:rPr>
          <w:rFonts w:eastAsia="Calibri" w:cs="Tahoma"/>
          <w:iCs/>
          <w:lang w:val="es-ES" w:eastAsia="es-ES_tradnl"/>
        </w:rPr>
        <w:t>no se hará pronunci</w:t>
      </w:r>
      <w:r w:rsidR="00D56700">
        <w:rPr>
          <w:rFonts w:eastAsia="Calibri" w:cs="Tahoma"/>
          <w:iCs/>
          <w:lang w:val="es-ES" w:eastAsia="es-ES_tradnl"/>
        </w:rPr>
        <w:t>amiento alguno, respecto a esto</w:t>
      </w:r>
      <w:r w:rsidRPr="00987D1A" w:rsidR="00D33E1E">
        <w:rPr>
          <w:rFonts w:eastAsia="Calibri" w:cs="Tahoma"/>
          <w:iCs/>
          <w:lang w:val="es-ES" w:eastAsia="es-ES_tradnl"/>
        </w:rPr>
        <w:t xml:space="preserve">, de conformidad lo dispuesto en al artículo 195 </w:t>
      </w:r>
      <w:r w:rsidRPr="00987D1A" w:rsidR="00D33E1E">
        <w:rPr>
          <w:rFonts w:eastAsia="Times New Roman" w:cs="Times New Roman"/>
          <w:color w:val="000000"/>
          <w:lang w:eastAsia="es-ES_tradnl"/>
        </w:rPr>
        <w:t xml:space="preserve">de la Ley de Transparencia y Acceso a la Información Pública del Estado de México y Municipios, con relación con el diverso 195, fracción III, del Código de Procedimientos Administrativos del Estado de México, ya que los artículos en cita establecen que será improcedente el recurso contra </w:t>
      </w:r>
      <w:r w:rsidRPr="00987D1A" w:rsidR="00D33E1E">
        <w:rPr>
          <w:rFonts w:eastAsia="Times New Roman" w:cs="Times New Roman"/>
          <w:b/>
          <w:bCs/>
          <w:color w:val="000000"/>
          <w:lang w:eastAsia="es-ES_tradnl"/>
        </w:rPr>
        <w:t>los actos que se hayan consentido expresamente.</w:t>
      </w:r>
    </w:p>
    <w:p w:rsidRPr="00987D1A" w:rsidR="00D33E1E" w:rsidP="00BF6E9C" w:rsidRDefault="00D33E1E" w14:paraId="3ED0980E" w14:textId="77777777">
      <w:pPr>
        <w:spacing w:after="0" w:line="360" w:lineRule="auto"/>
        <w:rPr>
          <w:rFonts w:eastAsia="Times New Roman" w:cs="Times New Roman"/>
          <w:color w:val="000000"/>
          <w:lang w:eastAsia="es-ES_tradnl"/>
        </w:rPr>
      </w:pPr>
      <w:r w:rsidRPr="00987D1A">
        <w:rPr>
          <w:rFonts w:eastAsia="Times New Roman" w:cs="Times New Roman"/>
          <w:color w:val="000000"/>
          <w:lang w:eastAsia="es-ES_tradnl"/>
        </w:rPr>
        <w:t> </w:t>
      </w:r>
    </w:p>
    <w:p w:rsidRPr="00987D1A" w:rsidR="00D33E1E" w:rsidP="00BF6E9C" w:rsidRDefault="00D33E1E" w14:paraId="63662D8C" w14:textId="77777777">
      <w:pPr>
        <w:spacing w:after="0" w:line="360" w:lineRule="auto"/>
        <w:rPr>
          <w:rFonts w:eastAsia="Times New Roman" w:cs="Times New Roman"/>
          <w:color w:val="000000"/>
          <w:lang w:eastAsia="es-ES_tradnl"/>
        </w:rPr>
      </w:pPr>
      <w:r w:rsidRPr="00987D1A">
        <w:rPr>
          <w:rFonts w:eastAsia="Times New Roman" w:cs="Times New Roman"/>
          <w:color w:val="000000"/>
          <w:lang w:eastAsia="es-ES_tradnl"/>
        </w:rPr>
        <w:t>De la misma manera resulta aplicable el criterio sostenido por el Poder Judicial de la Federación de rubro </w:t>
      </w:r>
      <w:r w:rsidRPr="00987D1A">
        <w:rPr>
          <w:rFonts w:eastAsia="Times New Roman" w:cs="Times New Roman"/>
          <w:b/>
          <w:bCs/>
          <w:color w:val="000000"/>
          <w:lang w:eastAsia="es-ES_tradnl"/>
        </w:rPr>
        <w:t>ACTOS CONSENTIDOS TÁCITAMENTE</w:t>
      </w:r>
      <w:r w:rsidRPr="00987D1A">
        <w:rPr>
          <w:rFonts w:eastAsia="Times New Roman" w:cs="Times New Roman"/>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987D1A" w:rsidR="00D33E1E" w:rsidP="00BF6E9C" w:rsidRDefault="00D33E1E" w14:paraId="61EE3EB5" w14:textId="77777777">
      <w:pPr>
        <w:spacing w:after="0" w:line="360" w:lineRule="auto"/>
        <w:rPr>
          <w:rFonts w:eastAsia="Times New Roman" w:cs="Times New Roman"/>
          <w:color w:val="000000"/>
          <w:lang w:eastAsia="es-ES_tradnl"/>
        </w:rPr>
      </w:pPr>
    </w:p>
    <w:p w:rsidRPr="00987D1A" w:rsidR="00D33E1E" w:rsidP="00BF6E9C" w:rsidRDefault="00D33E1E" w14:paraId="0BE88059" w14:textId="77777777">
      <w:pPr>
        <w:spacing w:after="0" w:line="360" w:lineRule="auto"/>
        <w:rPr>
          <w:rFonts w:eastAsia="Times New Roman" w:cs="Times New Roman"/>
          <w:color w:val="000000"/>
          <w:lang w:eastAsia="es-ES_tradnl"/>
        </w:rPr>
      </w:pPr>
      <w:r w:rsidRPr="00987D1A">
        <w:rPr>
          <w:rFonts w:eastAsia="Times New Roman" w:cs="Times New Roman"/>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w:t>
      </w:r>
      <w:r w:rsidR="00E46E6F">
        <w:rPr>
          <w:rFonts w:eastAsia="Times New Roman" w:cs="Times New Roman"/>
          <w:color w:val="000000"/>
          <w:lang w:eastAsia="es-ES_tradnl"/>
        </w:rPr>
        <w:t>n de que estos quedaron firmes.</w:t>
      </w:r>
    </w:p>
    <w:p w:rsidRPr="00987D1A" w:rsidR="00D33E1E" w:rsidP="00BF6E9C" w:rsidRDefault="00D33E1E" w14:paraId="71907A98" w14:textId="77777777">
      <w:pPr>
        <w:spacing w:after="0" w:line="360" w:lineRule="auto"/>
        <w:rPr>
          <w:rFonts w:eastAsia="Times New Roman" w:cs="Times New Roman"/>
          <w:color w:val="000000"/>
          <w:lang w:eastAsia="es-ES_tradnl"/>
        </w:rPr>
      </w:pPr>
    </w:p>
    <w:p w:rsidRPr="00987D1A" w:rsidR="00D33E1E" w:rsidP="00BF6E9C" w:rsidRDefault="00D33E1E" w14:paraId="4EBC1620" w14:textId="7ECF786B">
      <w:pPr>
        <w:spacing w:after="0" w:line="360" w:lineRule="auto"/>
        <w:rPr>
          <w:rFonts w:eastAsia="Times New Roman" w:cs="Tahoma"/>
          <w:bCs/>
          <w:color w:val="auto"/>
          <w:lang w:eastAsia="es-ES"/>
        </w:rPr>
      </w:pPr>
      <w:r w:rsidRPr="00987D1A">
        <w:rPr>
          <w:rFonts w:eastAsia="Times New Roman" w:cs="Tahoma"/>
          <w:bCs/>
          <w:color w:val="auto"/>
          <w:lang w:eastAsia="es-ES"/>
        </w:rPr>
        <w:t>Asimismo, resulta relevante traer a colación el Criterio de Interpretación SO/001/2020, emitido por el Instituto Nacional de Transparencia, Acceso a la Información y Protección de Datos Personales, que establece lo siguiente:</w:t>
      </w:r>
    </w:p>
    <w:p w:rsidRPr="00987D1A" w:rsidR="00D33E1E" w:rsidP="00BF6E9C" w:rsidRDefault="00D33E1E" w14:paraId="20A99BAC" w14:textId="77777777">
      <w:pPr>
        <w:spacing w:after="0" w:line="360" w:lineRule="auto"/>
        <w:rPr>
          <w:rFonts w:eastAsia="Times New Roman" w:cs="Times New Roman"/>
          <w:color w:val="000000"/>
          <w:lang w:eastAsia="es-ES_tradnl"/>
        </w:rPr>
      </w:pPr>
      <w:r w:rsidRPr="00987D1A">
        <w:rPr>
          <w:rFonts w:eastAsia="Times New Roman" w:cs="Times New Roman"/>
          <w:color w:val="000000"/>
          <w:lang w:eastAsia="es-ES_tradnl"/>
        </w:rPr>
        <w:t> </w:t>
      </w:r>
    </w:p>
    <w:p w:rsidRPr="00987D1A" w:rsidR="00D33E1E" w:rsidP="00BF6E9C" w:rsidRDefault="00D33E1E" w14:paraId="25C5EB5B" w14:textId="77777777">
      <w:pPr>
        <w:spacing w:after="0" w:line="360" w:lineRule="auto"/>
        <w:ind w:left="567" w:right="567"/>
        <w:rPr>
          <w:rFonts w:eastAsia="Times New Roman" w:cs="Times New Roman"/>
          <w:color w:val="000000"/>
          <w:lang w:eastAsia="es-ES_tradnl"/>
        </w:rPr>
      </w:pPr>
      <w:r w:rsidRPr="00987D1A">
        <w:rPr>
          <w:rFonts w:eastAsia="Times New Roman" w:cs="Times New Roman"/>
          <w:b/>
          <w:bCs/>
          <w:i/>
          <w:iCs/>
          <w:color w:val="000000"/>
          <w:sz w:val="20"/>
          <w:szCs w:val="20"/>
          <w:lang w:eastAsia="es-ES_tradnl"/>
        </w:rPr>
        <w:t>“Actos consentidos tácitamente. Improcedencia de su análisis. </w:t>
      </w:r>
      <w:r w:rsidRPr="00987D1A">
        <w:rPr>
          <w:rFonts w:eastAsia="Times New Roman" w:cs="Times New Roman"/>
          <w:i/>
          <w:iCs/>
          <w:color w:val="000000"/>
          <w:sz w:val="20"/>
          <w:szCs w:val="2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987D1A" w:rsidR="00D33E1E" w:rsidP="00BF6E9C" w:rsidRDefault="00D33E1E" w14:paraId="34E2BBAE" w14:textId="77777777">
      <w:pPr>
        <w:spacing w:after="0" w:line="360" w:lineRule="auto"/>
        <w:rPr>
          <w:rFonts w:eastAsia="Times New Roman" w:cs="Times New Roman"/>
          <w:color w:val="000000"/>
          <w:lang w:eastAsia="es-ES_tradnl"/>
        </w:rPr>
      </w:pPr>
    </w:p>
    <w:p w:rsidR="00E46E6F" w:rsidP="00BF6E9C" w:rsidRDefault="00D33E1E" w14:paraId="7946CFD5" w14:textId="339EB174">
      <w:pPr>
        <w:spacing w:after="0" w:line="360" w:lineRule="auto"/>
        <w:rPr>
          <w:rFonts w:eastAsia="Times New Roman" w:cs="Times New Roman"/>
          <w:color w:val="000000"/>
          <w:lang w:eastAsia="es-ES_tradnl"/>
        </w:rPr>
      </w:pPr>
      <w:r w:rsidRPr="00987D1A">
        <w:rPr>
          <w:rFonts w:eastAsia="Times New Roman" w:cs="Times New Roman"/>
          <w:color w:val="000000"/>
          <w:lang w:eastAsia="es-ES_tradnl"/>
        </w:rPr>
        <w:t>Conforme al Criterio establecido, es improcedente entrar al análisis de las partes de la respuesta del Sujeto Obligado que no fueron impugnadas por la Recurrente; por lo que, en el presente caso, se tiene por consentida</w:t>
      </w:r>
      <w:r w:rsidR="00E46E6F">
        <w:rPr>
          <w:rFonts w:eastAsia="Times New Roman" w:cs="Times New Roman"/>
          <w:color w:val="000000"/>
          <w:lang w:eastAsia="es-ES_tradnl"/>
        </w:rPr>
        <w:t xml:space="preserve"> la modalidad </w:t>
      </w:r>
      <w:r w:rsidR="00E94B00">
        <w:rPr>
          <w:rFonts w:eastAsia="Times New Roman" w:cs="Times New Roman"/>
          <w:color w:val="000000"/>
          <w:lang w:eastAsia="es-ES_tradnl"/>
        </w:rPr>
        <w:t xml:space="preserve">de entrega </w:t>
      </w:r>
      <w:r w:rsidR="00FB5F11">
        <w:rPr>
          <w:rFonts w:eastAsia="Times New Roman" w:cs="Times New Roman"/>
          <w:color w:val="000000"/>
          <w:lang w:eastAsia="es-ES_tradnl"/>
        </w:rPr>
        <w:t>de lo peticionado</w:t>
      </w:r>
      <w:r w:rsidR="0001305B">
        <w:rPr>
          <w:rFonts w:eastAsia="Times New Roman" w:cs="Times New Roman"/>
          <w:color w:val="000000"/>
          <w:lang w:val="x-none" w:eastAsia="es-ES_tradnl"/>
        </w:rPr>
        <w:t>.</w:t>
      </w:r>
      <w:r w:rsidR="00E46E6F">
        <w:rPr>
          <w:rFonts w:eastAsia="Calibri" w:cs="Tahoma"/>
          <w:iCs/>
          <w:lang w:val="es-ES" w:eastAsia="es-ES_tradnl"/>
        </w:rPr>
        <w:t xml:space="preserve"> </w:t>
      </w:r>
    </w:p>
    <w:p w:rsidRPr="00987D1A" w:rsidR="00D33E1E" w:rsidP="00BF6E9C" w:rsidRDefault="00D33E1E" w14:paraId="2CA0257A" w14:textId="77777777">
      <w:pPr>
        <w:spacing w:after="0" w:line="360" w:lineRule="auto"/>
        <w:rPr>
          <w:rFonts w:eastAsia="Times New Roman" w:cs="Times New Roman"/>
          <w:color w:val="000000"/>
          <w:lang w:eastAsia="es-ES_tradnl"/>
        </w:rPr>
      </w:pPr>
    </w:p>
    <w:p w:rsidRPr="00987D1A" w:rsidR="00D33E1E" w:rsidP="00BF6E9C" w:rsidRDefault="00D33E1E" w14:paraId="0C05DFFD" w14:textId="77777777">
      <w:pPr>
        <w:spacing w:after="0" w:line="360" w:lineRule="auto"/>
      </w:pPr>
      <w:r w:rsidRPr="00987D1A">
        <w:t xml:space="preserve">Lo anterior, se desprende de las documentales que obran en el expediente de referencia, materia de la presente Resolución, consistentes en: la solicitud de acceso a la información; la respuesta del Sujeto Obligado; </w:t>
      </w:r>
      <w:r w:rsidRPr="00987D1A">
        <w:rPr>
          <w:bCs/>
        </w:rPr>
        <w:t xml:space="preserve">el </w:t>
      </w:r>
      <w:r w:rsidRPr="00987D1A">
        <w:t xml:space="preserve">escrito </w:t>
      </w:r>
      <w:proofErr w:type="spellStart"/>
      <w:r w:rsidRPr="00987D1A">
        <w:t>recursal</w:t>
      </w:r>
      <w:proofErr w:type="spellEnd"/>
      <w:r w:rsidRPr="00987D1A">
        <w:t xml:space="preserve">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00D33E1E" w:rsidP="00BF6E9C" w:rsidRDefault="00D33E1E" w14:paraId="586EB1B1" w14:textId="6A0A8FCC">
      <w:pPr>
        <w:spacing w:after="0" w:line="360" w:lineRule="auto"/>
        <w:rPr>
          <w:rFonts w:eastAsia="Calibri" w:cs="Tahoma"/>
          <w:b/>
          <w:color w:val="000000"/>
          <w:szCs w:val="24"/>
          <w:lang w:eastAsia="es-MX"/>
        </w:rPr>
      </w:pPr>
    </w:p>
    <w:p w:rsidRPr="00FB5F11" w:rsidR="00FB5F11" w:rsidP="00FB5F11" w:rsidRDefault="00FB5F11" w14:paraId="36751F06" w14:textId="77777777">
      <w:pPr>
        <w:spacing w:after="0" w:line="360" w:lineRule="auto"/>
        <w:rPr>
          <w:rFonts w:eastAsia="Times New Roman" w:cs="Tahoma"/>
          <w:b/>
          <w:color w:val="auto"/>
          <w:lang w:eastAsia="es-ES"/>
        </w:rPr>
      </w:pPr>
      <w:r w:rsidRPr="00FB5F11">
        <w:rPr>
          <w:rFonts w:eastAsia="Times New Roman" w:cs="Tahoma"/>
          <w:b/>
          <w:color w:val="auto"/>
          <w:lang w:eastAsia="es-ES"/>
        </w:rPr>
        <w:t>CUARTO. Marco normativo aplicable en materia de transparencia y acceso a la información pública.</w:t>
      </w:r>
    </w:p>
    <w:p w:rsidRPr="00FB5F11" w:rsidR="00FB5F11" w:rsidP="00FB5F11" w:rsidRDefault="00FB5F11" w14:paraId="4633E892" w14:textId="77777777">
      <w:pPr>
        <w:spacing w:after="0" w:line="360" w:lineRule="auto"/>
        <w:rPr>
          <w:rFonts w:eastAsia="Times New Roman" w:cs="Tahoma"/>
          <w:b/>
          <w:color w:val="auto"/>
          <w:lang w:eastAsia="es-ES"/>
        </w:rPr>
      </w:pPr>
    </w:p>
    <w:p w:rsidRPr="00FB5F11" w:rsidR="00FB5F11" w:rsidP="00FB5F11" w:rsidRDefault="00FB5F11" w14:paraId="506DF624" w14:textId="77777777">
      <w:pPr>
        <w:spacing w:after="0" w:line="360" w:lineRule="auto"/>
        <w:rPr>
          <w:rFonts w:eastAsia="Times New Roman" w:cs="Tahoma"/>
          <w:color w:val="auto"/>
          <w:lang w:eastAsia="es-ES"/>
        </w:rPr>
      </w:pPr>
      <w:r w:rsidRPr="00FB5F11">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B5F11" w:rsidR="00FB5F11" w:rsidP="00FB5F11" w:rsidRDefault="00FB5F11" w14:paraId="25889966" w14:textId="77777777">
      <w:pPr>
        <w:spacing w:after="0" w:line="360" w:lineRule="auto"/>
        <w:rPr>
          <w:rFonts w:eastAsia="Times New Roman" w:cs="Tahoma"/>
          <w:color w:val="auto"/>
          <w:lang w:eastAsia="es-ES"/>
        </w:rPr>
      </w:pPr>
    </w:p>
    <w:p w:rsidRPr="00FB5F11" w:rsidR="00FB5F11" w:rsidP="00FB5F11" w:rsidRDefault="00FB5F11" w14:paraId="04719B20" w14:textId="77777777">
      <w:pPr>
        <w:spacing w:after="0" w:line="360" w:lineRule="auto"/>
        <w:rPr>
          <w:rFonts w:eastAsia="Times New Roman" w:cs="Tahoma"/>
          <w:color w:val="auto"/>
          <w:lang w:eastAsia="es-ES"/>
        </w:rPr>
      </w:pPr>
      <w:r w:rsidRPr="00FB5F11">
        <w:rPr>
          <w:rFonts w:eastAsia="Times New Roman" w:cs="Tahoma"/>
          <w:color w:val="auto"/>
          <w:lang w:eastAsia="es-ES"/>
        </w:rPr>
        <w:lastRenderedPageBreak/>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rsidRPr="00FB5F11" w:rsidR="00FB5F11" w:rsidP="00FB5F11" w:rsidRDefault="00FB5F11" w14:paraId="1558CF87" w14:textId="77777777">
      <w:pPr>
        <w:spacing w:after="0" w:line="360" w:lineRule="auto"/>
        <w:rPr>
          <w:rFonts w:eastAsia="Times New Roman" w:cs="Tahoma"/>
          <w:color w:val="auto"/>
          <w:lang w:eastAsia="es-ES"/>
        </w:rPr>
      </w:pPr>
    </w:p>
    <w:p w:rsidRPr="00FB5F11" w:rsidR="00FB5F11" w:rsidP="00FB5F11" w:rsidRDefault="00FB5F11" w14:paraId="0B1E2AAA" w14:textId="77777777">
      <w:pPr>
        <w:spacing w:after="0" w:line="360" w:lineRule="auto"/>
        <w:rPr>
          <w:rFonts w:eastAsia="Times New Roman" w:cs="Tahoma"/>
          <w:color w:val="auto"/>
          <w:lang w:eastAsia="es-ES"/>
        </w:rPr>
      </w:pPr>
      <w:r w:rsidRPr="00FB5F11">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B5F11" w:rsidR="00FB5F11" w:rsidP="00FB5F11" w:rsidRDefault="00FB5F11" w14:paraId="1F576D36" w14:textId="77777777">
      <w:pPr>
        <w:spacing w:after="0" w:line="360" w:lineRule="auto"/>
        <w:rPr>
          <w:rFonts w:eastAsia="Times New Roman" w:cs="Tahoma"/>
          <w:color w:val="auto"/>
          <w:lang w:eastAsia="es-ES"/>
        </w:rPr>
      </w:pPr>
    </w:p>
    <w:p w:rsidRPr="00FB5F11" w:rsidR="00FB5F11" w:rsidP="00FB5F11" w:rsidRDefault="00FB5F11" w14:paraId="780585F5" w14:textId="77777777">
      <w:pPr>
        <w:spacing w:after="0" w:line="360" w:lineRule="auto"/>
        <w:rPr>
          <w:rFonts w:eastAsia="Times New Roman" w:cs="Tahoma"/>
          <w:color w:val="auto"/>
          <w:lang w:eastAsia="es-ES"/>
        </w:rPr>
      </w:pPr>
      <w:r w:rsidRPr="00FB5F11">
        <w:rPr>
          <w:rFonts w:eastAsia="Times New Roman" w:cs="Tahoma"/>
          <w:color w:val="auto"/>
          <w:lang w:eastAsia="es-ES"/>
        </w:rPr>
        <w:t>Por su parte, la Ley de Transparencia y Acceso a la Información Pública del Estado de México y Municipios (Reglamentaria del artículo 5° de la Constitución Local), establece lo siguiente:</w:t>
      </w:r>
    </w:p>
    <w:p w:rsidRPr="00FB5F11" w:rsidR="00FB5F11" w:rsidP="00FB5F11" w:rsidRDefault="00FB5F11" w14:paraId="06F103F0" w14:textId="77777777">
      <w:pPr>
        <w:spacing w:after="0" w:line="360" w:lineRule="auto"/>
        <w:rPr>
          <w:rFonts w:eastAsia="Times New Roman" w:cs="Tahoma"/>
          <w:color w:val="auto"/>
          <w:lang w:eastAsia="es-ES"/>
        </w:rPr>
      </w:pPr>
    </w:p>
    <w:p w:rsidRPr="00FB5F11" w:rsidR="00FB5F11" w:rsidP="00FB5F11" w:rsidRDefault="00FB5F11" w14:paraId="6730D272" w14:textId="77777777">
      <w:pPr>
        <w:spacing w:after="0" w:line="360" w:lineRule="auto"/>
        <w:rPr>
          <w:rFonts w:eastAsia="Times New Roman" w:cs="Tahoma"/>
          <w:color w:val="auto"/>
          <w:lang w:eastAsia="es-ES"/>
        </w:rPr>
      </w:pPr>
      <w:r w:rsidRPr="00FB5F11">
        <w:rPr>
          <w:rFonts w:eastAsia="Times New Roman" w:cs="Tahoma"/>
          <w:color w:val="auto"/>
          <w:lang w:eastAsia="es-ES"/>
        </w:rPr>
        <w:t>El artículo 12, que, quienes generen, recopilen, administren, manejen, procesen, archiven o conserven información pública serán responsables de la misma.</w:t>
      </w:r>
    </w:p>
    <w:p w:rsidRPr="00FB5F11" w:rsidR="00FB5F11" w:rsidP="00FB5F11" w:rsidRDefault="00FB5F11" w14:paraId="57064B76" w14:textId="77777777">
      <w:pPr>
        <w:spacing w:after="0" w:line="360" w:lineRule="auto"/>
        <w:rPr>
          <w:rFonts w:eastAsia="Times New Roman" w:cs="Tahoma"/>
          <w:color w:val="auto"/>
          <w:lang w:eastAsia="es-ES"/>
        </w:rPr>
      </w:pPr>
    </w:p>
    <w:p w:rsidRPr="00FB5F11" w:rsidR="00FB5F11" w:rsidP="00FB5F11" w:rsidRDefault="00FB5F11" w14:paraId="2789C4DC" w14:textId="77777777">
      <w:pPr>
        <w:spacing w:after="0" w:line="360" w:lineRule="auto"/>
        <w:rPr>
          <w:rFonts w:eastAsia="Times New Roman" w:cs="Tahoma"/>
          <w:color w:val="auto"/>
          <w:lang w:eastAsia="es-ES"/>
        </w:rPr>
      </w:pPr>
      <w:r w:rsidRPr="00FB5F11">
        <w:rPr>
          <w:rFonts w:eastAsia="Times New Roman" w:cs="Tahoma"/>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FB5F11" w:rsidR="00FB5F11" w:rsidP="00FB5F11" w:rsidRDefault="00FB5F11" w14:paraId="6B520156" w14:textId="77777777">
      <w:pPr>
        <w:spacing w:after="0" w:line="360" w:lineRule="auto"/>
        <w:rPr>
          <w:rFonts w:eastAsia="Times New Roman" w:cs="Tahoma"/>
          <w:color w:val="auto"/>
          <w:lang w:eastAsia="es-ES"/>
        </w:rPr>
      </w:pPr>
    </w:p>
    <w:p w:rsidR="00FB5F11" w:rsidP="00FB5F11" w:rsidRDefault="00FB5F11" w14:paraId="440A4324" w14:textId="55E4E448">
      <w:pPr>
        <w:spacing w:after="0" w:line="360" w:lineRule="auto"/>
        <w:rPr>
          <w:rFonts w:eastAsia="Times New Roman" w:cs="Tahoma"/>
          <w:color w:val="auto"/>
          <w:lang w:eastAsia="es-ES"/>
        </w:rPr>
      </w:pPr>
      <w:r w:rsidRPr="00FB5F11">
        <w:rPr>
          <w:rFonts w:eastAsia="Times New Roman" w:cs="Tahoma"/>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B5F11" w:rsidR="00FB5F11" w:rsidP="00FB5F11" w:rsidRDefault="00FB5F11" w14:paraId="49166FD4" w14:textId="77777777">
      <w:pPr>
        <w:spacing w:after="0" w:line="360" w:lineRule="auto"/>
        <w:rPr>
          <w:rFonts w:eastAsia="Times New Roman" w:cs="Tahoma"/>
          <w:color w:val="auto"/>
          <w:lang w:eastAsia="es-ES"/>
        </w:rPr>
      </w:pPr>
    </w:p>
    <w:p w:rsidR="00FB5F11" w:rsidP="00FB5F11" w:rsidRDefault="00FB5F11" w14:paraId="42DCD480" w14:textId="77777777">
      <w:pPr>
        <w:spacing w:line="360" w:lineRule="auto"/>
        <w:rPr>
          <w:rFonts w:cs="Tahoma"/>
          <w:b/>
          <w:color w:val="auto"/>
        </w:rPr>
      </w:pPr>
      <w:r>
        <w:rPr>
          <w:rFonts w:cs="Tahoma"/>
          <w:b/>
        </w:rPr>
        <w:t>QUINTO. Estudio de Fondo.</w:t>
      </w:r>
    </w:p>
    <w:p w:rsidR="00FB5F11" w:rsidP="00BF6E9C" w:rsidRDefault="00FB5F11" w14:paraId="323B6B17" w14:textId="2C880D00">
      <w:pPr>
        <w:spacing w:after="0" w:line="360" w:lineRule="auto"/>
        <w:rPr>
          <w:rFonts w:eastAsia="Calibri" w:cs="Tahoma"/>
          <w:b/>
          <w:color w:val="000000"/>
          <w:szCs w:val="24"/>
          <w:lang w:eastAsia="es-MX"/>
        </w:rPr>
      </w:pPr>
    </w:p>
    <w:p w:rsidRPr="00FB5F11" w:rsidR="00FB5F11" w:rsidP="00FB5F11" w:rsidRDefault="00FB5F11" w14:paraId="31C3E44A" w14:textId="34ED17AA">
      <w:pPr>
        <w:spacing w:after="0" w:line="360" w:lineRule="auto"/>
        <w:rPr>
          <w:rFonts w:eastAsia="Times New Roman" w:cs="Times New Roman"/>
          <w:color w:val="auto"/>
          <w:lang w:eastAsia="es-ES"/>
        </w:rPr>
      </w:pPr>
      <w:r w:rsidRPr="00FB5F11">
        <w:rPr>
          <w:rFonts w:eastAsia="Times New Roman" w:cs="Times New Roman"/>
          <w:color w:val="auto"/>
          <w:lang w:val="es-ES" w:eastAsia="es-ES"/>
        </w:rPr>
        <w:lastRenderedPageBreak/>
        <w:t xml:space="preserve">Expuestas las posturas de las partes, se procede analizar la incompetencia manifestada por el Sujeto Obligado, para conocer de la información referente </w:t>
      </w:r>
      <w:r>
        <w:rPr>
          <w:rFonts w:eastAsia="Times New Roman" w:cs="Times New Roman"/>
          <w:color w:val="auto"/>
          <w:lang w:val="es-ES" w:eastAsia="es-ES"/>
        </w:rPr>
        <w:t>a los sindicatos y contrato colectivo de trabajo de seis empresas particulares.</w:t>
      </w:r>
    </w:p>
    <w:p w:rsidR="006F7232" w:rsidP="00BF6E9C" w:rsidRDefault="006F7232" w14:paraId="708448EF" w14:textId="77777777">
      <w:pPr>
        <w:spacing w:after="0" w:line="360" w:lineRule="auto"/>
        <w:rPr>
          <w:rFonts w:eastAsia="Calibri" w:cs="Tahoma"/>
          <w:bCs/>
          <w:color w:val="000000"/>
          <w:szCs w:val="24"/>
          <w:lang w:val="es-ES" w:eastAsia="es-MX"/>
        </w:rPr>
      </w:pPr>
    </w:p>
    <w:p w:rsidRPr="00C53A5C" w:rsidR="006F7232" w:rsidP="00BF6E9C" w:rsidRDefault="006F7232" w14:paraId="043C5D0E" w14:textId="4BE59124">
      <w:pPr>
        <w:spacing w:after="0" w:line="360" w:lineRule="auto"/>
        <w:rPr>
          <w:rFonts w:eastAsia="Calibri" w:cs="Times New Roman"/>
          <w:b/>
        </w:rPr>
      </w:pPr>
      <w:r>
        <w:rPr>
          <w:rFonts w:eastAsia="Calibri" w:cs="Times New Roman"/>
        </w:rPr>
        <w:t xml:space="preserve">Al respecto, </w:t>
      </w:r>
      <w:r w:rsidRPr="00C53A5C">
        <w:rPr>
          <w:rFonts w:eastAsia="Calibri" w:cs="Times New Roman"/>
        </w:rPr>
        <w:t xml:space="preserve">los artículos 49, fracción II, 53, fracción III y 167 de la Ley de Transparencia y Acceso a la Información Pública del Estado de México y Municipios, </w:t>
      </w:r>
      <w:r w:rsidR="00D56700">
        <w:rPr>
          <w:rFonts w:eastAsia="Calibri" w:cs="Times New Roman"/>
        </w:rPr>
        <w:t>establecen</w:t>
      </w:r>
      <w:r w:rsidRPr="00C53A5C">
        <w:rPr>
          <w:rFonts w:eastAsia="Calibri" w:cs="Times New Roman"/>
        </w:rPr>
        <w:t xml:space="preserve"> que las Unidades de Transparencia son responsables de orientar a los particulares respecto de la dependencia, entidad u órgano que pudiera tener la información requerida, </w:t>
      </w:r>
      <w:r w:rsidRPr="00C53A5C">
        <w:rPr>
          <w:rFonts w:eastAsia="Calibri" w:cs="Times New Roman"/>
          <w:b/>
        </w:rPr>
        <w:t>cuando la misma no sea competencia del sujeto obligado ante el cual se formule la solicitud de acceso.</w:t>
      </w:r>
    </w:p>
    <w:p w:rsidRPr="00C53A5C" w:rsidR="006F7232" w:rsidP="00BF6E9C" w:rsidRDefault="006F7232" w14:paraId="1ACA956A" w14:textId="77777777">
      <w:pPr>
        <w:spacing w:after="0" w:line="360" w:lineRule="auto"/>
        <w:rPr>
          <w:rFonts w:eastAsia="Calibri" w:cs="Times New Roman"/>
          <w:b/>
        </w:rPr>
      </w:pPr>
    </w:p>
    <w:p w:rsidR="006F7232" w:rsidP="00BF6E9C" w:rsidRDefault="006F7232" w14:paraId="68D2C73E" w14:textId="77777777">
      <w:pPr>
        <w:spacing w:after="0" w:line="360" w:lineRule="auto"/>
        <w:rPr>
          <w:rFonts w:eastAsia="Calibri" w:cs="Times New Roman"/>
        </w:rPr>
      </w:pPr>
      <w:r w:rsidRPr="00C53A5C">
        <w:rPr>
          <w:rFonts w:eastAsia="Calibri" w:cs="Times New Roman"/>
        </w:rPr>
        <w:t xml:space="preserve">Asimismo, que los Comités de Transparencia tienen entre sus atribuciones confirmar, modificar o revocar la </w:t>
      </w:r>
      <w:r w:rsidRPr="00C53A5C">
        <w:rPr>
          <w:rFonts w:eastAsia="Calibri" w:cs="Times New Roman"/>
          <w:b/>
        </w:rPr>
        <w:t>declaración de incompetencia</w:t>
      </w:r>
      <w:r w:rsidRPr="00C53A5C">
        <w:rPr>
          <w:rFonts w:eastAsia="Calibri" w:cs="Times New Roman"/>
        </w:rPr>
        <w:t xml:space="preserve"> que realicen los titulares de las unidades administrativas.</w:t>
      </w:r>
    </w:p>
    <w:p w:rsidRPr="00C53A5C" w:rsidR="006F7232" w:rsidP="00BF6E9C" w:rsidRDefault="006F7232" w14:paraId="79327727" w14:textId="77777777">
      <w:pPr>
        <w:spacing w:after="0" w:line="360" w:lineRule="auto"/>
        <w:rPr>
          <w:rFonts w:eastAsia="Calibri" w:cs="Times New Roman"/>
        </w:rPr>
      </w:pPr>
    </w:p>
    <w:p w:rsidRPr="00C53A5C" w:rsidR="006F7232" w:rsidP="00BF6E9C" w:rsidRDefault="006F7232" w14:paraId="20120702" w14:textId="44A58AE9">
      <w:pPr>
        <w:spacing w:after="0" w:line="360" w:lineRule="auto"/>
        <w:rPr>
          <w:rFonts w:eastAsia="Calibri" w:cs="Times New Roman"/>
        </w:rPr>
      </w:pPr>
      <w:r w:rsidRPr="00C53A5C">
        <w:rPr>
          <w:rFonts w:eastAsia="Calibri" w:cs="Times New Roman"/>
        </w:rPr>
        <w:t xml:space="preserve">En esa tesitura, cuando las Unidades de Transparencia determinen </w:t>
      </w:r>
      <w:r w:rsidRPr="00C53A5C">
        <w:rPr>
          <w:rFonts w:eastAsia="Calibri" w:cs="Times New Roman"/>
          <w:b/>
        </w:rPr>
        <w:t>la notoria incompetencia</w:t>
      </w:r>
      <w:r w:rsidRPr="00C53A5C">
        <w:rPr>
          <w:rFonts w:eastAsia="Calibri" w:cs="Times New Roman"/>
        </w:rPr>
        <w:t xml:space="preserve"> por parte de los sujetos obligados deberán comunicar al solicitante la misma dentro de los tres días posteriores a la recepción de la solicitud</w:t>
      </w:r>
      <w:r>
        <w:rPr>
          <w:rFonts w:eastAsia="Calibri" w:cs="Times New Roman"/>
        </w:rPr>
        <w:t>, lo cual aconteció</w:t>
      </w:r>
      <w:r w:rsidR="00D56700">
        <w:rPr>
          <w:rFonts w:eastAsia="Calibri" w:cs="Times New Roman"/>
        </w:rPr>
        <w:t xml:space="preserve">, </w:t>
      </w:r>
      <w:r>
        <w:rPr>
          <w:rFonts w:eastAsia="Calibri" w:cs="Times New Roman"/>
        </w:rPr>
        <w:t>toda vez que la notoria incompetencia fue notificada al Particular el veintitrés de mayo de dos mil veintidós, esto es, al tercer día hábil posterior a la recepción de la solicitud.</w:t>
      </w:r>
    </w:p>
    <w:p w:rsidRPr="00C53A5C" w:rsidR="006F7232" w:rsidP="00BF6E9C" w:rsidRDefault="006F7232" w14:paraId="6EA3AAAB" w14:textId="77777777">
      <w:pPr>
        <w:spacing w:after="0" w:line="360" w:lineRule="auto"/>
        <w:rPr>
          <w:rFonts w:eastAsia="Calibri" w:cs="Times New Roman"/>
        </w:rPr>
      </w:pPr>
    </w:p>
    <w:p w:rsidRPr="00C53A5C" w:rsidR="006F7232" w:rsidP="00BF6E9C" w:rsidRDefault="006F7232" w14:paraId="17D76540" w14:textId="77777777">
      <w:pPr>
        <w:spacing w:after="0" w:line="360" w:lineRule="auto"/>
        <w:rPr>
          <w:rFonts w:eastAsia="Calibri" w:cs="Times New Roman"/>
          <w:bCs/>
        </w:rPr>
      </w:pPr>
      <w:r w:rsidRPr="00C53A5C">
        <w:rPr>
          <w:rFonts w:eastAsia="Calibri" w:cs="Times New Roman"/>
        </w:rPr>
        <w:t>Como se logra observar, si bien la Ley de la materia, prevé el supuesto de incompetencia para que los sujetos obligados den atención a solitudes de información, también lo es, que no se precisa en que consiste dicho concepto; sobre dicha situación</w:t>
      </w:r>
      <w:r w:rsidRPr="00C53A5C">
        <w:rPr>
          <w:rFonts w:eastAsia="Calibri" w:cs="Times New Roman"/>
          <w:lang w:val="es-ES_tradnl"/>
        </w:rPr>
        <w:t xml:space="preserve">, </w:t>
      </w:r>
      <w:r w:rsidRPr="00C53A5C">
        <w:rPr>
          <w:rFonts w:eastAsia="Calibri" w:cs="Times New Roman"/>
          <w:bCs/>
        </w:rPr>
        <w:t>según Cabanellas, Guillermo (1993), en el “Diccionario Jurídico Elemental” (p. 32 y 161), precisó los siguientes conceptos:</w:t>
      </w:r>
    </w:p>
    <w:p w:rsidRPr="00C53A5C" w:rsidR="006F7232" w:rsidP="00BF6E9C" w:rsidRDefault="006F7232" w14:paraId="3D53F6EE" w14:textId="77777777">
      <w:pPr>
        <w:spacing w:after="0" w:line="360" w:lineRule="auto"/>
        <w:rPr>
          <w:rFonts w:eastAsia="Calibri" w:cs="Times New Roman"/>
          <w:bCs/>
        </w:rPr>
      </w:pPr>
    </w:p>
    <w:p w:rsidR="006F7232" w:rsidP="00BF6E9C" w:rsidRDefault="006F7232" w14:paraId="5934E885" w14:textId="06B1B68B">
      <w:pPr>
        <w:numPr>
          <w:ilvl w:val="0"/>
          <w:numId w:val="7"/>
        </w:numPr>
        <w:spacing w:after="0" w:line="360" w:lineRule="auto"/>
        <w:jc w:val="left"/>
        <w:rPr>
          <w:rFonts w:eastAsia="Calibri" w:cs="Times New Roman"/>
          <w:bCs/>
        </w:rPr>
      </w:pPr>
      <w:r w:rsidRPr="00C53A5C">
        <w:rPr>
          <w:rFonts w:eastAsia="Calibri" w:cs="Times New Roman"/>
          <w:b/>
          <w:bCs/>
        </w:rPr>
        <w:t xml:space="preserve">Competencia: </w:t>
      </w:r>
      <w:r w:rsidRPr="00C53A5C">
        <w:rPr>
          <w:rFonts w:eastAsia="Calibri" w:cs="Times New Roman"/>
          <w:bCs/>
        </w:rPr>
        <w:t>La capacidad de una autoridad para conocer sobre una materia o asunto.</w:t>
      </w:r>
    </w:p>
    <w:p w:rsidR="00FB5F11" w:rsidP="00FB5F11" w:rsidRDefault="00FB5F11" w14:paraId="6AB4A78B" w14:textId="77777777">
      <w:pPr>
        <w:spacing w:after="0" w:line="360" w:lineRule="auto"/>
        <w:ind w:left="780"/>
        <w:jc w:val="left"/>
        <w:rPr>
          <w:rFonts w:eastAsia="Calibri" w:cs="Times New Roman"/>
          <w:bCs/>
        </w:rPr>
      </w:pPr>
    </w:p>
    <w:p w:rsidRPr="00C53A5C" w:rsidR="006F7232" w:rsidP="00BF6E9C" w:rsidRDefault="006F7232" w14:paraId="5DC90AE9" w14:textId="77777777">
      <w:pPr>
        <w:numPr>
          <w:ilvl w:val="0"/>
          <w:numId w:val="7"/>
        </w:numPr>
        <w:spacing w:after="0" w:line="360" w:lineRule="auto"/>
        <w:jc w:val="left"/>
        <w:rPr>
          <w:rFonts w:eastAsia="Calibri" w:cs="Times New Roman"/>
          <w:bCs/>
        </w:rPr>
      </w:pPr>
      <w:r w:rsidRPr="00C53A5C">
        <w:rPr>
          <w:rFonts w:eastAsia="Calibri" w:cs="Times New Roman"/>
          <w:b/>
          <w:bCs/>
        </w:rPr>
        <w:lastRenderedPageBreak/>
        <w:t>Incompetencia:</w:t>
      </w:r>
      <w:r w:rsidRPr="00C53A5C">
        <w:rPr>
          <w:rFonts w:eastAsia="Calibri" w:cs="Times New Roman"/>
          <w:bCs/>
        </w:rPr>
        <w:t xml:space="preserve"> Falta de Competencia.</w:t>
      </w:r>
    </w:p>
    <w:p w:rsidRPr="00C53A5C" w:rsidR="006F7232" w:rsidP="00BF6E9C" w:rsidRDefault="006F7232" w14:paraId="04B46943" w14:textId="77777777">
      <w:pPr>
        <w:spacing w:after="0" w:line="360" w:lineRule="auto"/>
        <w:rPr>
          <w:rFonts w:eastAsia="Calibri" w:cs="Times New Roman"/>
        </w:rPr>
      </w:pPr>
    </w:p>
    <w:p w:rsidRPr="00C53A5C" w:rsidR="006F7232" w:rsidP="00BF6E9C" w:rsidRDefault="006F7232" w14:paraId="1836CFF0" w14:textId="77777777">
      <w:pPr>
        <w:spacing w:after="0" w:line="360" w:lineRule="auto"/>
        <w:rPr>
          <w:rFonts w:eastAsia="Calibri" w:cs="Times New Roman"/>
        </w:rPr>
      </w:pPr>
      <w:r w:rsidRPr="00C53A5C">
        <w:rPr>
          <w:rFonts w:eastAsia="Calibri" w:cs="Times New Roman"/>
          <w:lang w:val="es-ES_tradnl"/>
        </w:rPr>
        <w:t xml:space="preserve">Por lo que, </w:t>
      </w:r>
      <w:r w:rsidRPr="00C53A5C">
        <w:rPr>
          <w:rFonts w:eastAsia="Calibri" w:cs="Times New Roman"/>
          <w:b/>
          <w:lang w:val="es-ES_tradnl"/>
        </w:rPr>
        <w:t>la incompetencia</w:t>
      </w:r>
      <w:r w:rsidRPr="00C53A5C">
        <w:rPr>
          <w:rFonts w:eastAsia="Calibri" w:cs="Times New Roman"/>
          <w:lang w:val="es-ES_tradnl"/>
        </w:rPr>
        <w:t>, radica en la incapacidad de una autoridad para conocer de un tema o asunto; en el mismo sentido, conviene traer a cuenta tesis</w:t>
      </w:r>
      <w:r w:rsidRPr="00C53A5C">
        <w:rPr>
          <w:rFonts w:eastAsia="Calibri" w:cs="Times New Roman"/>
        </w:rPr>
        <w:t xml:space="preserve"> aislada número III.2o.P.11 K, publicada en el Semanario Judicial de la Federación y su Gaceta, Novena Época, Tomo XV, Mayo de 2002, Pág. 1243, ya que precisa lo siguiente: </w:t>
      </w:r>
    </w:p>
    <w:p w:rsidRPr="00C53A5C" w:rsidR="006F7232" w:rsidP="00BF6E9C" w:rsidRDefault="006F7232" w14:paraId="09D3DE31" w14:textId="77777777">
      <w:pPr>
        <w:spacing w:after="0" w:line="360" w:lineRule="auto"/>
        <w:rPr>
          <w:rFonts w:eastAsia="Calibri" w:cs="Times New Roman"/>
          <w:lang w:val="es-ES_tradnl"/>
        </w:rPr>
      </w:pPr>
    </w:p>
    <w:p w:rsidRPr="00C53A5C" w:rsidR="006F7232" w:rsidP="00BF6E9C" w:rsidRDefault="006F7232" w14:paraId="1FFFB387" w14:textId="77777777">
      <w:pPr>
        <w:spacing w:after="0" w:line="360" w:lineRule="auto"/>
        <w:ind w:left="567" w:right="567"/>
        <w:rPr>
          <w:rFonts w:eastAsia="Calibri" w:cs="Times New Roman"/>
          <w:i/>
          <w:sz w:val="20"/>
          <w:szCs w:val="20"/>
          <w:lang w:val="es-ES_tradnl"/>
        </w:rPr>
      </w:pPr>
      <w:r w:rsidRPr="00C53A5C">
        <w:rPr>
          <w:rFonts w:eastAsia="Calibri" w:cs="Times New Roman"/>
          <w:b/>
          <w:bCs/>
          <w:i/>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C53A5C">
        <w:rPr>
          <w:rFonts w:eastAsia="Calibri" w:cs="Times New Roman"/>
          <w:i/>
          <w:sz w:val="20"/>
          <w:szCs w:val="20"/>
          <w:lang w:val="es-ES_tradnl"/>
        </w:rPr>
        <w:t>El artículo </w:t>
      </w:r>
      <w:hyperlink w:history="1" r:id="rId8">
        <w:r w:rsidRPr="00C53A5C">
          <w:rPr>
            <w:rFonts w:eastAsia="Calibri" w:cs="Times New Roman"/>
            <w:i/>
            <w:color w:val="0563C1" w:themeColor="hyperlink"/>
            <w:sz w:val="20"/>
            <w:szCs w:val="20"/>
            <w:u w:val="single"/>
            <w:lang w:val="es-ES_tradnl"/>
          </w:rPr>
          <w:t>16 constitucional</w:t>
        </w:r>
      </w:hyperlink>
      <w:r w:rsidRPr="00C53A5C">
        <w:rPr>
          <w:rFonts w:eastAsia="Calibri" w:cs="Times New Roman"/>
          <w:i/>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C53A5C" w:rsidR="006F7232" w:rsidP="00BF6E9C" w:rsidRDefault="006F7232" w14:paraId="2F96FE96" w14:textId="77777777">
      <w:pPr>
        <w:spacing w:after="0" w:line="360" w:lineRule="auto"/>
        <w:rPr>
          <w:rFonts w:eastAsia="Calibri" w:cs="Times New Roman"/>
          <w:lang w:val="es-ES_tradnl"/>
        </w:rPr>
      </w:pPr>
    </w:p>
    <w:p w:rsidRPr="00B81241" w:rsidR="006F7232" w:rsidP="00BF6E9C" w:rsidRDefault="006F7232" w14:paraId="4EB19157" w14:textId="77777777">
      <w:pPr>
        <w:spacing w:after="0" w:line="360" w:lineRule="auto"/>
      </w:pPr>
      <w:r w:rsidRPr="00B81241">
        <w:rPr>
          <w:lang w:val="es-ES_tradnl"/>
        </w:rPr>
        <w:t xml:space="preserve">De la misma manera, resulta necesario traer a colación, </w:t>
      </w:r>
      <w:r w:rsidRPr="00B81241">
        <w:rPr>
          <w:rFonts w:eastAsia="Calibri" w:cs="Tahoma"/>
          <w:bCs/>
          <w:color w:val="000000"/>
          <w:lang w:val="es-ES"/>
        </w:rPr>
        <w:t xml:space="preserve">Criterio de Interpretación, de la Segunda Época, con clave de control </w:t>
      </w:r>
      <w:r w:rsidRPr="00B81241">
        <w:rPr>
          <w:rFonts w:eastAsia="Calibri" w:cs="Tahoma"/>
          <w:bCs/>
          <w:color w:val="000000"/>
        </w:rPr>
        <w:t>SO/013/2017</w:t>
      </w:r>
      <w:r w:rsidRPr="00B81241">
        <w:rPr>
          <w:lang w:val="es-ES"/>
        </w:rPr>
        <w:t xml:space="preserve">, </w:t>
      </w:r>
      <w:r w:rsidRPr="00B81241">
        <w:t xml:space="preserve">emitido por el Instituto Nacional de Transparencia, Acceso a la Información y Protección de Datos Personales, que dispone lo siguiente: </w:t>
      </w:r>
    </w:p>
    <w:p w:rsidRPr="00C53A5C" w:rsidR="006F7232" w:rsidP="00BF6E9C" w:rsidRDefault="006F7232" w14:paraId="0D219013" w14:textId="77777777">
      <w:pPr>
        <w:spacing w:after="0" w:line="360" w:lineRule="auto"/>
        <w:rPr>
          <w:rFonts w:eastAsia="Calibri" w:cs="Times New Roman"/>
        </w:rPr>
      </w:pPr>
    </w:p>
    <w:p w:rsidRPr="00C53A5C" w:rsidR="006F7232" w:rsidP="00BF6E9C" w:rsidRDefault="006F7232" w14:paraId="5BA0D7BB" w14:textId="77777777">
      <w:pPr>
        <w:spacing w:after="0" w:line="360" w:lineRule="auto"/>
        <w:ind w:left="567" w:right="567"/>
        <w:rPr>
          <w:rFonts w:eastAsia="Calibri" w:cs="Times New Roman"/>
          <w:i/>
          <w:sz w:val="20"/>
          <w:szCs w:val="20"/>
        </w:rPr>
      </w:pPr>
      <w:r w:rsidRPr="00C53A5C">
        <w:rPr>
          <w:rFonts w:eastAsia="Calibri" w:cs="Times New Roman"/>
          <w:i/>
          <w:sz w:val="20"/>
          <w:szCs w:val="20"/>
        </w:rPr>
        <w:t>“</w:t>
      </w:r>
      <w:r w:rsidRPr="00C53A5C">
        <w:rPr>
          <w:rFonts w:eastAsia="Calibri" w:cs="Times New Roman"/>
          <w:b/>
          <w:bCs/>
          <w:i/>
          <w:sz w:val="20"/>
          <w:szCs w:val="20"/>
        </w:rPr>
        <w:t xml:space="preserve">Incompetencia. </w:t>
      </w:r>
      <w:r w:rsidRPr="00C53A5C">
        <w:rPr>
          <w:rFonts w:eastAsia="Calibri" w:cs="Times New Roman"/>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C53A5C" w:rsidR="006F7232" w:rsidP="00BF6E9C" w:rsidRDefault="006F7232" w14:paraId="44810EEE" w14:textId="77777777">
      <w:pPr>
        <w:spacing w:after="0" w:line="360" w:lineRule="auto"/>
        <w:rPr>
          <w:rFonts w:eastAsia="Calibri" w:cs="Times New Roman"/>
          <w:lang w:val="es-ES_tradnl"/>
        </w:rPr>
      </w:pPr>
    </w:p>
    <w:p w:rsidRPr="00C53A5C" w:rsidR="006F7232" w:rsidP="00BF6E9C" w:rsidRDefault="006F7232" w14:paraId="26268CD1" w14:textId="77777777">
      <w:pPr>
        <w:spacing w:after="0" w:line="360" w:lineRule="auto"/>
        <w:rPr>
          <w:rFonts w:eastAsia="Calibri" w:cs="Times New Roman"/>
          <w:lang w:val="es-ES_tradnl"/>
        </w:rPr>
      </w:pPr>
      <w:r w:rsidRPr="00C53A5C">
        <w:rPr>
          <w:rFonts w:eastAsia="Calibri" w:cs="Times New Roman"/>
          <w:lang w:val="es-ES_tradnl"/>
        </w:rPr>
        <w:lastRenderedPageBreak/>
        <w:t xml:space="preserve">En tal virtud, la </w:t>
      </w:r>
      <w:r w:rsidRPr="00C53A5C">
        <w:rPr>
          <w:rFonts w:eastAsia="Calibri" w:cs="Times New Roman"/>
          <w:b/>
          <w:lang w:val="es-ES_tradnl"/>
        </w:rPr>
        <w:t xml:space="preserve">incompetencia </w:t>
      </w:r>
      <w:r w:rsidRPr="00C53A5C">
        <w:rPr>
          <w:rFonts w:eastAsia="Calibri" w:cs="Times New Roman"/>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rsidRPr="00C53A5C" w:rsidR="006F7232" w:rsidP="00BF6E9C" w:rsidRDefault="006F7232" w14:paraId="2FF4E4ED" w14:textId="77777777">
      <w:pPr>
        <w:spacing w:after="0" w:line="360" w:lineRule="auto"/>
        <w:rPr>
          <w:rFonts w:eastAsia="Calibri" w:cs="Times New Roman"/>
          <w:lang w:val="es-ES_tradnl"/>
        </w:rPr>
      </w:pPr>
    </w:p>
    <w:p w:rsidRPr="00C53A5C" w:rsidR="006F7232" w:rsidP="00BF6E9C" w:rsidRDefault="006F7232" w14:paraId="60FF1803" w14:textId="77777777">
      <w:pPr>
        <w:spacing w:after="0" w:line="360" w:lineRule="auto"/>
        <w:rPr>
          <w:rFonts w:eastAsia="Calibri" w:cs="Times New Roman"/>
          <w:b/>
        </w:rPr>
      </w:pPr>
      <w:r w:rsidRPr="00C53A5C">
        <w:rPr>
          <w:rFonts w:eastAsia="Calibri" w:cs="Times New Roman"/>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Pr="00C53A5C" w:rsidR="006F7232" w:rsidP="00BF6E9C" w:rsidRDefault="006F7232" w14:paraId="3549029B" w14:textId="77777777">
      <w:pPr>
        <w:spacing w:after="0" w:line="360" w:lineRule="auto"/>
        <w:rPr>
          <w:rFonts w:eastAsia="Calibri" w:cs="Times New Roman"/>
        </w:rPr>
      </w:pPr>
    </w:p>
    <w:p w:rsidR="000E779E" w:rsidP="00BF6E9C" w:rsidRDefault="006F7232" w14:paraId="2312A3A8" w14:textId="2F28DC9D">
      <w:pPr>
        <w:spacing w:after="0" w:line="360" w:lineRule="auto"/>
        <w:rPr>
          <w:bCs/>
        </w:rPr>
      </w:pPr>
      <w:r w:rsidRPr="00B81241">
        <w:rPr>
          <w:bCs/>
        </w:rPr>
        <w:t xml:space="preserve">Por </w:t>
      </w:r>
      <w:r w:rsidR="00D56700">
        <w:rPr>
          <w:bCs/>
        </w:rPr>
        <w:t xml:space="preserve">lo </w:t>
      </w:r>
      <w:r w:rsidRPr="00B81241">
        <w:rPr>
          <w:bCs/>
        </w:rPr>
        <w:t xml:space="preserve">tanto, a continuación, se analiza si en la especie, el Ente Recurrido cuenta con atribuciones para conocer sobre la información requerida, por lo cual, </w:t>
      </w:r>
      <w:r w:rsidR="00B571FF">
        <w:rPr>
          <w:bCs/>
        </w:rPr>
        <w:t>es oportuno traer a colación,</w:t>
      </w:r>
      <w:r w:rsidR="000E779E">
        <w:rPr>
          <w:bCs/>
        </w:rPr>
        <w:t xml:space="preserve"> el artículo 28 de la</w:t>
      </w:r>
      <w:r w:rsidR="00106E90">
        <w:rPr>
          <w:bCs/>
        </w:rPr>
        <w:t xml:space="preserve"> </w:t>
      </w:r>
      <w:r w:rsidR="000E779E">
        <w:rPr>
          <w:bCs/>
        </w:rPr>
        <w:t>Ley Orgánica d</w:t>
      </w:r>
      <w:r w:rsidRPr="000E779E" w:rsidR="000E779E">
        <w:rPr>
          <w:bCs/>
        </w:rPr>
        <w:t xml:space="preserve">e </w:t>
      </w:r>
      <w:r w:rsidR="00B571FF">
        <w:rPr>
          <w:bCs/>
        </w:rPr>
        <w:t>l</w:t>
      </w:r>
      <w:r w:rsidRPr="000E779E" w:rsidR="000E779E">
        <w:rPr>
          <w:bCs/>
        </w:rPr>
        <w:t xml:space="preserve">a Administración Pública </w:t>
      </w:r>
      <w:r w:rsidR="000E779E">
        <w:rPr>
          <w:bCs/>
        </w:rPr>
        <w:t>d</w:t>
      </w:r>
      <w:r w:rsidRPr="000E779E" w:rsidR="000E779E">
        <w:rPr>
          <w:bCs/>
        </w:rPr>
        <w:t xml:space="preserve">el </w:t>
      </w:r>
      <w:r w:rsidR="000E779E">
        <w:rPr>
          <w:bCs/>
        </w:rPr>
        <w:t>Estado d</w:t>
      </w:r>
      <w:r w:rsidRPr="000E779E" w:rsidR="000E779E">
        <w:rPr>
          <w:bCs/>
        </w:rPr>
        <w:t>e México</w:t>
      </w:r>
      <w:r w:rsidR="000E779E">
        <w:rPr>
          <w:bCs/>
        </w:rPr>
        <w:t xml:space="preserve">, </w:t>
      </w:r>
      <w:r w:rsidR="00B571FF">
        <w:rPr>
          <w:bCs/>
        </w:rPr>
        <w:t>que establece que la Secretaría del Trabajo tendrá las siguientes funciones:</w:t>
      </w:r>
    </w:p>
    <w:p w:rsidR="000E779E" w:rsidP="00BF6E9C" w:rsidRDefault="000E779E" w14:paraId="1D1D2333" w14:textId="0EE9535A">
      <w:pPr>
        <w:pStyle w:val="Textosinformato"/>
        <w:spacing w:line="360" w:lineRule="auto"/>
        <w:jc w:val="both"/>
        <w:rPr>
          <w:rFonts w:ascii="Palatino Linotype" w:hAnsi="Palatino Linotype"/>
          <w:lang w:val="es-MX"/>
        </w:rPr>
      </w:pPr>
    </w:p>
    <w:p w:rsidRPr="00B571FF" w:rsidR="000E779E" w:rsidP="00B571FF" w:rsidRDefault="000E779E" w14:paraId="01DC13BA" w14:textId="3FAABA72">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Ejercer las funciones que en materia de trabajo correspondan al Ejecutivo del Estado.</w:t>
      </w:r>
    </w:p>
    <w:p w:rsidRPr="00B571FF" w:rsidR="000E779E" w:rsidP="00B571FF" w:rsidRDefault="000E779E" w14:paraId="1CC320C7" w14:textId="0CB41BB7">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Coadyuvar con las autoridades federales a la aplicación y vigilancia de las normas de trabajo.</w:t>
      </w:r>
    </w:p>
    <w:p w:rsidRPr="00B571FF" w:rsidR="000E779E" w:rsidP="00B571FF" w:rsidRDefault="000E779E" w14:paraId="4CB04DEE" w14:textId="799EB871">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Poner a disposición de las autoridades federales del trabajo, la información que soliciten para el cumplimiento de sus funciones.</w:t>
      </w:r>
    </w:p>
    <w:p w:rsidRPr="00B571FF" w:rsidR="000E779E" w:rsidP="00B571FF" w:rsidRDefault="000E779E" w14:paraId="7FF21786" w14:textId="186AB5EC">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Participar en la integración y funcionamiento del Consejo Consultivo Estatal de Capacitación y Adiestramiento y de la Comisión Consultiva de Seguridad e Higiene en el Trabajo.</w:t>
      </w:r>
    </w:p>
    <w:p w:rsidRPr="00B571FF" w:rsidR="000E779E" w:rsidP="00B571FF" w:rsidRDefault="000E779E" w14:paraId="36571893" w14:textId="5A07EA79">
      <w:pPr>
        <w:pStyle w:val="Textosinformato"/>
        <w:numPr>
          <w:ilvl w:val="0"/>
          <w:numId w:val="11"/>
        </w:numPr>
        <w:spacing w:line="360" w:lineRule="auto"/>
        <w:jc w:val="both"/>
        <w:rPr>
          <w:rFonts w:ascii="Palatino Linotype" w:hAnsi="Palatino Linotype"/>
          <w:b/>
          <w:iCs/>
          <w:sz w:val="22"/>
          <w:szCs w:val="22"/>
          <w:lang w:val="es-MX"/>
        </w:rPr>
      </w:pPr>
      <w:r w:rsidRPr="00B571FF">
        <w:rPr>
          <w:rFonts w:ascii="Palatino Linotype" w:hAnsi="Palatino Linotype"/>
          <w:iCs/>
          <w:sz w:val="22"/>
          <w:szCs w:val="22"/>
          <w:lang w:val="es-MX"/>
        </w:rPr>
        <w:t>Desahogar consultas sobre la interpretación de las normas de la Ley del Trabajo de los Servidores Públicos del Estado y Municipios o de los contratos colectivos de trabajo celebrados por los Poderes Públicos del Estado y los Municipios tribunales administrativos, organismos descentralizados, fideicomisos de carácter municipal los órganos autónomos que sus leyes de creación así lo determinen, e intervenir, a petición de parte, en la revisión de dichos contratos.</w:t>
      </w:r>
    </w:p>
    <w:p w:rsidRPr="00B571FF" w:rsidR="000E779E" w:rsidP="00B571FF" w:rsidRDefault="000E779E" w14:paraId="4656A18F" w14:textId="77777777">
      <w:pPr>
        <w:pStyle w:val="Textosinformato"/>
        <w:spacing w:line="360" w:lineRule="auto"/>
        <w:jc w:val="both"/>
        <w:rPr>
          <w:rFonts w:ascii="Palatino Linotype" w:hAnsi="Palatino Linotype"/>
          <w:b/>
          <w:iCs/>
          <w:sz w:val="22"/>
          <w:szCs w:val="22"/>
          <w:lang w:val="es-MX"/>
        </w:rPr>
      </w:pPr>
    </w:p>
    <w:p w:rsidRPr="00B571FF" w:rsidR="000E779E" w:rsidP="00B571FF" w:rsidRDefault="000E779E" w14:paraId="0480C2D8" w14:textId="7F462DD1">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lastRenderedPageBreak/>
        <w:t>Vigilar la prestación del servicio público a cargo del Centro de Conciliación Laboral del Estado, en términos de las disposiciones legales aplicables.</w:t>
      </w:r>
    </w:p>
    <w:p w:rsidRPr="00B571FF" w:rsidR="000E779E" w:rsidP="00B571FF" w:rsidRDefault="000E779E" w14:paraId="01C77053" w14:textId="5697E8DE">
      <w:pPr>
        <w:pStyle w:val="Textosinformato"/>
        <w:numPr>
          <w:ilvl w:val="0"/>
          <w:numId w:val="11"/>
        </w:numPr>
        <w:spacing w:line="360" w:lineRule="auto"/>
        <w:jc w:val="both"/>
        <w:rPr>
          <w:rFonts w:ascii="Palatino Linotype" w:hAnsi="Palatino Linotype"/>
          <w:b/>
          <w:iCs/>
          <w:sz w:val="22"/>
          <w:szCs w:val="22"/>
          <w:lang w:val="es-MX"/>
        </w:rPr>
      </w:pPr>
      <w:r w:rsidRPr="00B571FF">
        <w:rPr>
          <w:rFonts w:ascii="Palatino Linotype" w:hAnsi="Palatino Linotype"/>
          <w:iCs/>
          <w:sz w:val="22"/>
          <w:szCs w:val="22"/>
          <w:lang w:val="es-MX"/>
        </w:rPr>
        <w:t>Conciliar, a petición de parte, los conflictos laborales entre los Poderes Públicos del Estado y los Municipios, tribunales administrativos, organismos descentralizados, fideicomisos de carácter municipal y los órganos autónomos que sus leyes de creación así lo determinen y sus respectivas personas servidoras públicas, con antelación al juicio ante el Tribunal Estatal de Conciliación y Arbitraje.</w:t>
      </w:r>
    </w:p>
    <w:p w:rsidRPr="00B571FF" w:rsidR="000E779E" w:rsidP="00B571FF" w:rsidRDefault="000E779E" w14:paraId="5E8C5E05" w14:textId="08B15C4F">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Visitar los centros de trabajo para constatar que se cumpla con las condiciones que establece la Ley Federal del Trabajo y normas que de ella se deriven.</w:t>
      </w:r>
    </w:p>
    <w:p w:rsidRPr="00B571FF" w:rsidR="000E779E" w:rsidP="00B571FF" w:rsidRDefault="000E779E" w14:paraId="74935440" w14:textId="1A6593BD">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Vigilar que se cumplan las normas existentes en materia de higiene y seguridad en el trabajo.</w:t>
      </w:r>
    </w:p>
    <w:p w:rsidRPr="00B571FF" w:rsidR="000E779E" w:rsidP="00B571FF" w:rsidRDefault="000E779E" w14:paraId="445FCF0B" w14:textId="45E1686A">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Vigilar el cumplimiento de las normas relativas a la capacitación y adiestramiento de los trabajadores; elaborar y ejecutar programas de capacitación de la fuerza laboral en el Estado.</w:t>
      </w:r>
    </w:p>
    <w:p w:rsidRPr="00B571FF" w:rsidR="000E779E" w:rsidP="00B571FF" w:rsidRDefault="000E779E" w14:paraId="73E15BB2" w14:textId="736F9188">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Formular y ejecutar el plan estatal de empleo.</w:t>
      </w:r>
    </w:p>
    <w:p w:rsidRPr="00B571FF" w:rsidR="000E779E" w:rsidP="00B571FF" w:rsidRDefault="000E779E" w14:paraId="74EF4F15" w14:textId="18E8F8A9">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Formular y ejecutar programas de difusión de los cambios que se den en las normas laborales.</w:t>
      </w:r>
    </w:p>
    <w:p w:rsidRPr="00B571FF" w:rsidR="000E779E" w:rsidP="00B571FF" w:rsidRDefault="00B571FF" w14:paraId="43221C2A" w14:textId="37600F15">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I</w:t>
      </w:r>
      <w:r w:rsidRPr="00B571FF" w:rsidR="000E779E">
        <w:rPr>
          <w:rFonts w:ascii="Palatino Linotype" w:hAnsi="Palatino Linotype"/>
          <w:iCs/>
          <w:sz w:val="22"/>
          <w:szCs w:val="22"/>
          <w:lang w:val="es-MX"/>
        </w:rPr>
        <w:t>mponer las sanciones establecidas en la Ley Federal del Trabajo, en el ámbito de su competencia.</w:t>
      </w:r>
    </w:p>
    <w:p w:rsidRPr="00B571FF" w:rsidR="000E779E" w:rsidP="00B571FF" w:rsidRDefault="000E779E" w14:paraId="105EA49D" w14:textId="7B2F7756">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Organizar y operar el servicio estatal de empleo.</w:t>
      </w:r>
    </w:p>
    <w:p w:rsidRPr="00B571FF" w:rsidR="000E779E" w:rsidP="00B571FF" w:rsidRDefault="000E779E" w14:paraId="6B73BE57" w14:textId="67020EDB">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Promover y apoyar el incremento de la calidad y la productividad.</w:t>
      </w:r>
    </w:p>
    <w:p w:rsidRPr="00B571FF" w:rsidR="000E779E" w:rsidP="00B571FF" w:rsidRDefault="000E779E" w14:paraId="613A8B42" w14:textId="5500E80F">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Fomentar y apoyar la organización social para el trabajo y el auto empleo.</w:t>
      </w:r>
    </w:p>
    <w:p w:rsidRPr="00B571FF" w:rsidR="000E779E" w:rsidP="00B571FF" w:rsidRDefault="000E779E" w14:paraId="16D69251" w14:textId="1ED374FF">
      <w:pPr>
        <w:pStyle w:val="Textosinformato"/>
        <w:numPr>
          <w:ilvl w:val="0"/>
          <w:numId w:val="11"/>
        </w:numPr>
        <w:spacing w:line="360" w:lineRule="auto"/>
        <w:jc w:val="both"/>
        <w:rPr>
          <w:rFonts w:ascii="Palatino Linotype" w:hAnsi="Palatino Linotype"/>
          <w:iCs/>
          <w:sz w:val="22"/>
          <w:szCs w:val="22"/>
          <w:lang w:val="es-MX"/>
        </w:rPr>
      </w:pPr>
      <w:r w:rsidRPr="00B571FF">
        <w:rPr>
          <w:rFonts w:ascii="Palatino Linotype" w:hAnsi="Palatino Linotype"/>
          <w:iCs/>
          <w:sz w:val="22"/>
          <w:szCs w:val="22"/>
          <w:lang w:val="es-MX"/>
        </w:rPr>
        <w:t>Impulsar y apoyar el desarrollo social, cultural y recreativo de los trabajadores y sus familias.</w:t>
      </w:r>
    </w:p>
    <w:p w:rsidR="000E779E" w:rsidP="00BF6E9C" w:rsidRDefault="000E779E" w14:paraId="46A9081B" w14:textId="0DF2F50B">
      <w:pPr>
        <w:spacing w:after="0" w:line="360" w:lineRule="auto"/>
        <w:rPr>
          <w:bCs/>
        </w:rPr>
      </w:pPr>
    </w:p>
    <w:p w:rsidR="00E90AEE" w:rsidP="00BF6E9C" w:rsidRDefault="00537A47" w14:paraId="6B05CE73" w14:textId="77777777">
      <w:pPr>
        <w:spacing w:after="0" w:line="360" w:lineRule="auto"/>
        <w:rPr>
          <w:bCs/>
        </w:rPr>
      </w:pPr>
      <w:r>
        <w:rPr>
          <w:bCs/>
        </w:rPr>
        <w:t xml:space="preserve">Además, este Instituto revisó el Manual General de Organización de la Secretaría del Trabajo y no localizó ninguna atribución relacionada con el registro de Sindicatos, ni contratos colectivos de trabajo, pues únicamente tiene facultades para prestar asistencia jurídica a los </w:t>
      </w:r>
      <w:r>
        <w:rPr>
          <w:bCs/>
        </w:rPr>
        <w:lastRenderedPageBreak/>
        <w:t xml:space="preserve">sindicatos o trabajadores; </w:t>
      </w:r>
      <w:r w:rsidR="00F7466B">
        <w:rPr>
          <w:bCs/>
        </w:rPr>
        <w:t xml:space="preserve">así como, brindar asesoría en materia de seguridad, salud y medio ambiente en el trabajo. Por otra parte, </w:t>
      </w:r>
      <w:r w:rsidR="0056654D">
        <w:rPr>
          <w:bCs/>
        </w:rPr>
        <w:t>conforme a la página oficial de la Secretaría del Trabajo no tiene atribuciones</w:t>
      </w:r>
      <w:r w:rsidR="00E90AEE">
        <w:rPr>
          <w:bCs/>
        </w:rPr>
        <w:t xml:space="preserve"> para contar con lo peticionado, al tener únicamente las siguientes funciones:</w:t>
      </w:r>
    </w:p>
    <w:p w:rsidRPr="00E90AEE" w:rsidR="00E90AEE" w:rsidP="00E90AEE" w:rsidRDefault="00E90AEE" w14:paraId="11FDEFC8" w14:textId="77777777">
      <w:pPr>
        <w:spacing w:after="0" w:line="360" w:lineRule="auto"/>
        <w:rPr>
          <w:bCs/>
        </w:rPr>
      </w:pPr>
    </w:p>
    <w:p w:rsidRPr="00E90AEE" w:rsidR="00E90AEE" w:rsidP="00E90AEE" w:rsidRDefault="00E90AEE" w14:paraId="55E47C95" w14:textId="46DFBC8A">
      <w:pPr>
        <w:pStyle w:val="Prrafodelista"/>
        <w:numPr>
          <w:ilvl w:val="0"/>
          <w:numId w:val="12"/>
        </w:numPr>
        <w:spacing w:line="360" w:lineRule="auto"/>
        <w:rPr>
          <w:bCs/>
        </w:rPr>
      </w:pPr>
      <w:r w:rsidRPr="00E90AEE">
        <w:rPr>
          <w:bCs/>
        </w:rPr>
        <w:t>Aplicar y vigilar el cumplimiento de las normas relativas a condiciones generales y de seguridad e higiene en los centros de trabajo</w:t>
      </w:r>
      <w:r>
        <w:rPr>
          <w:bCs/>
        </w:rPr>
        <w:t>;</w:t>
      </w:r>
    </w:p>
    <w:p w:rsidRPr="00E90AEE" w:rsidR="00E90AEE" w:rsidP="00E90AEE" w:rsidRDefault="00E90AEE" w14:paraId="398C516C" w14:textId="06FAD37B">
      <w:pPr>
        <w:pStyle w:val="Prrafodelista"/>
        <w:numPr>
          <w:ilvl w:val="0"/>
          <w:numId w:val="12"/>
        </w:numPr>
        <w:spacing w:line="360" w:lineRule="auto"/>
        <w:rPr>
          <w:bCs/>
        </w:rPr>
      </w:pPr>
      <w:r w:rsidRPr="00E90AEE">
        <w:rPr>
          <w:bCs/>
        </w:rPr>
        <w:t>Fomentar y apoyar la organización para el trabajo y el autoempleo</w:t>
      </w:r>
      <w:r>
        <w:rPr>
          <w:bCs/>
        </w:rPr>
        <w:t>;</w:t>
      </w:r>
    </w:p>
    <w:p w:rsidRPr="00E90AEE" w:rsidR="00E90AEE" w:rsidP="00E90AEE" w:rsidRDefault="00E90AEE" w14:paraId="571C6849" w14:textId="0A955DFD">
      <w:pPr>
        <w:pStyle w:val="Prrafodelista"/>
        <w:numPr>
          <w:ilvl w:val="0"/>
          <w:numId w:val="12"/>
        </w:numPr>
        <w:spacing w:line="360" w:lineRule="auto"/>
        <w:rPr>
          <w:bCs/>
        </w:rPr>
      </w:pPr>
      <w:r w:rsidRPr="00E90AEE">
        <w:rPr>
          <w:bCs/>
        </w:rPr>
        <w:t>Organizar y operar el servicio estatal de empleo</w:t>
      </w:r>
      <w:r>
        <w:rPr>
          <w:bCs/>
        </w:rPr>
        <w:t>, y</w:t>
      </w:r>
    </w:p>
    <w:p w:rsidRPr="00E90AEE" w:rsidR="00B571FF" w:rsidP="00E90AEE" w:rsidRDefault="00E90AEE" w14:paraId="0F6C6DCB" w14:textId="292C8DB1">
      <w:pPr>
        <w:pStyle w:val="Prrafodelista"/>
        <w:numPr>
          <w:ilvl w:val="0"/>
          <w:numId w:val="12"/>
        </w:numPr>
        <w:spacing w:line="360" w:lineRule="auto"/>
        <w:rPr>
          <w:bCs/>
        </w:rPr>
      </w:pPr>
      <w:r w:rsidRPr="00E90AEE">
        <w:rPr>
          <w:bCs/>
        </w:rPr>
        <w:t>Prestar asistencia jurídica gratuita a los trabajadores y sindicatos que lo soliciten y representarlos ante los Tribunales Laborales.</w:t>
      </w:r>
      <w:r w:rsidR="00106E90">
        <w:rPr>
          <w:bCs/>
        </w:rPr>
        <w:t xml:space="preserve">                                </w:t>
      </w:r>
    </w:p>
    <w:p w:rsidR="00B571FF" w:rsidP="00BF6E9C" w:rsidRDefault="00B571FF" w14:paraId="5CB4CBB6" w14:textId="785C2469">
      <w:pPr>
        <w:spacing w:after="0" w:line="360" w:lineRule="auto"/>
        <w:rPr>
          <w:bCs/>
        </w:rPr>
      </w:pPr>
    </w:p>
    <w:p w:rsidR="00E90AEE" w:rsidP="00BF6E9C" w:rsidRDefault="00E90AEE" w14:paraId="01EDCFA4" w14:textId="3C5C4441">
      <w:pPr>
        <w:spacing w:after="0" w:line="360" w:lineRule="auto"/>
        <w:rPr>
          <w:bCs/>
        </w:rPr>
      </w:pPr>
      <w:r>
        <w:rPr>
          <w:bCs/>
        </w:rPr>
        <w:t>Inclusive este Instituto revisó las tablas de aplicabilidad de</w:t>
      </w:r>
      <w:r w:rsidR="003060F6">
        <w:rPr>
          <w:bCs/>
        </w:rPr>
        <w:t xml:space="preserve"> Obligaciones de Transparencia de los Sujetos Obligados, de la Secretaría del Trabajo y logro advertir que no le aplican las específicas establecidas en el artículo 99 de la Ley de Transparencia y Acceso a la Información Pública del Estado de México y Municipios, relacionada con el registro sindical</w:t>
      </w:r>
      <w:r w:rsidR="00A8757B">
        <w:rPr>
          <w:bCs/>
        </w:rPr>
        <w:t>.</w:t>
      </w:r>
    </w:p>
    <w:p w:rsidR="00E90AEE" w:rsidP="00BF6E9C" w:rsidRDefault="00E90AEE" w14:paraId="042A59BC" w14:textId="3AB33BDE">
      <w:pPr>
        <w:spacing w:after="0" w:line="360" w:lineRule="auto"/>
        <w:rPr>
          <w:bCs/>
        </w:rPr>
      </w:pPr>
    </w:p>
    <w:p w:rsidR="00A8757B" w:rsidP="00BF6E9C" w:rsidRDefault="00A8757B" w14:paraId="090C8DB7" w14:textId="662EA9C8">
      <w:pPr>
        <w:spacing w:after="0" w:line="360" w:lineRule="auto"/>
        <w:rPr>
          <w:bCs/>
        </w:rPr>
      </w:pPr>
      <w:r>
        <w:rPr>
          <w:bCs/>
        </w:rPr>
        <w:t>Conforme a lo anterior, se logra vislumbrar que el Sujeto Obligado carece de atribuciones para conocer sobre la información relacionada sobre el registro de sindicatos y los contratos colectivos de trabajo</w:t>
      </w:r>
      <w:r w:rsidR="00BE0163">
        <w:rPr>
          <w:bCs/>
        </w:rPr>
        <w:t>. Lo anterior, se robustece con el hecho de que, durante la sustanciación del Medio de Impugnación, el Comité de Transparencia, acreditó la incompetencia de la Secretaría del Trabajo, para conocer de lo peticionado.</w:t>
      </w:r>
    </w:p>
    <w:p w:rsidRPr="00D56700" w:rsidR="00A8757B" w:rsidP="00BF6E9C" w:rsidRDefault="00A8757B" w14:paraId="013B2AB2" w14:textId="77777777">
      <w:pPr>
        <w:spacing w:after="0" w:line="360" w:lineRule="auto"/>
        <w:rPr>
          <w:bCs/>
        </w:rPr>
      </w:pPr>
    </w:p>
    <w:p w:rsidRPr="003567B3" w:rsidR="000E779E" w:rsidP="00BF6E9C" w:rsidRDefault="00BE0163" w14:paraId="5DA8D716" w14:textId="0856619A">
      <w:pPr>
        <w:spacing w:after="0" w:line="360" w:lineRule="auto"/>
        <w:rPr>
          <w:b/>
          <w:bCs/>
        </w:rPr>
      </w:pPr>
      <w:r>
        <w:rPr>
          <w:bCs/>
        </w:rPr>
        <w:t>Lo anterior</w:t>
      </w:r>
      <w:r w:rsidR="00E90AEE">
        <w:rPr>
          <w:bCs/>
        </w:rPr>
        <w:t>,</w:t>
      </w:r>
      <w:r>
        <w:rPr>
          <w:bCs/>
        </w:rPr>
        <w:t xml:space="preserve"> toma relevancia pues conforme a los artículos 365</w:t>
      </w:r>
      <w:r w:rsidR="00A73538">
        <w:rPr>
          <w:bCs/>
        </w:rPr>
        <w:t xml:space="preserve"> y 396</w:t>
      </w:r>
      <w:r>
        <w:rPr>
          <w:bCs/>
        </w:rPr>
        <w:t xml:space="preserve"> de la Ley Federal de Trabajo, los Sindicatos deben registrarse </w:t>
      </w:r>
      <w:r w:rsidRPr="003567B3" w:rsidR="000E779E">
        <w:rPr>
          <w:b/>
          <w:bCs/>
        </w:rPr>
        <w:t>en el Centro Federal de Conciliación y Registro L</w:t>
      </w:r>
      <w:r w:rsidRPr="003567B3" w:rsidR="003567B3">
        <w:rPr>
          <w:b/>
          <w:bCs/>
        </w:rPr>
        <w:t>a</w:t>
      </w:r>
      <w:r w:rsidRPr="003567B3" w:rsidR="000E779E">
        <w:rPr>
          <w:b/>
          <w:bCs/>
        </w:rPr>
        <w:t>boral</w:t>
      </w:r>
      <w:r w:rsidR="00A73538">
        <w:rPr>
          <w:b/>
          <w:bCs/>
        </w:rPr>
        <w:t xml:space="preserve">, así como, los contratos colectivos de </w:t>
      </w:r>
      <w:r w:rsidR="00B26909">
        <w:rPr>
          <w:b/>
          <w:bCs/>
        </w:rPr>
        <w:t>trabajo</w:t>
      </w:r>
      <w:r w:rsidR="00A73538">
        <w:rPr>
          <w:b/>
          <w:bCs/>
        </w:rPr>
        <w:t>.</w:t>
      </w:r>
    </w:p>
    <w:p w:rsidR="006F7232" w:rsidP="00BF6E9C" w:rsidRDefault="006F7232" w14:paraId="136D224F" w14:textId="74EAFB6D">
      <w:pPr>
        <w:spacing w:after="0" w:line="360" w:lineRule="auto"/>
        <w:rPr>
          <w:bCs/>
        </w:rPr>
      </w:pPr>
    </w:p>
    <w:p w:rsidR="00B26909" w:rsidP="00BF6E9C" w:rsidRDefault="00B26909" w14:paraId="5E0F8C36" w14:textId="77777777">
      <w:pPr>
        <w:spacing w:after="0" w:line="360" w:lineRule="auto"/>
        <w:rPr>
          <w:bCs/>
        </w:rPr>
      </w:pPr>
      <w:r>
        <w:rPr>
          <w:bCs/>
        </w:rPr>
        <w:lastRenderedPageBreak/>
        <w:t>Además, el Transitorio Tercero de dicho ordenamiento jurídico, precisa que hasta en tanto el Centro mencionado, no iniciará sus funciones registrales, las Juntas de Conciliación y Arbitraje, en materia local, y la Secretaría del Trabajo y Prevención Social, continuarían con las funciones registrales, entre las cuales, se encuentran las Sindicales.</w:t>
      </w:r>
    </w:p>
    <w:p w:rsidR="00B26909" w:rsidP="00BF6E9C" w:rsidRDefault="00B26909" w14:paraId="55A39817" w14:textId="000E86E5">
      <w:pPr>
        <w:spacing w:after="0" w:line="360" w:lineRule="auto"/>
        <w:rPr>
          <w:bCs/>
        </w:rPr>
      </w:pPr>
    </w:p>
    <w:p w:rsidR="00B26909" w:rsidP="00BF6E9C" w:rsidRDefault="00B26909" w14:paraId="4859BF2E" w14:textId="1BCF1DCE">
      <w:pPr>
        <w:spacing w:after="0" w:line="360" w:lineRule="auto"/>
        <w:rPr>
          <w:bCs/>
        </w:rPr>
      </w:pPr>
      <w:r>
        <w:rPr>
          <w:bCs/>
        </w:rPr>
        <w:t>Conforme a lo anterior, se logra vislumbrar que el Centro Federal de Conciliación y Registro Laboral, la Secretaría del Trabajo y Prevención Social y las Juntas de Conciliación y Arbitraje, son las competentes para conocer de la información requerida por el Particular, al ser las encargadas de llevar los expedientes de los Sindicatos. En ese contexto, este Instituto revisó el apartado de Justicia Laboral de la página oficial del Sujeto Obligado (</w:t>
      </w:r>
      <w:hyperlink w:history="1" r:id="rId9">
        <w:r w:rsidRPr="00B235C9">
          <w:rPr>
            <w:rStyle w:val="Hipervnculo"/>
            <w:bCs/>
          </w:rPr>
          <w:t>https://strabajo.edomex.gob.mx/junta_local_conciliacion_arbitraje</w:t>
        </w:r>
      </w:hyperlink>
      <w:r>
        <w:rPr>
          <w:bCs/>
        </w:rPr>
        <w:t>) y localizó que el Estado de México cuenta con la Junta Local de Conciliación y Arbitraje del Valle de Toluca y del Valle de Cuautitlán-Texcoco.</w:t>
      </w:r>
    </w:p>
    <w:p w:rsidR="00B26909" w:rsidP="00BF6E9C" w:rsidRDefault="00B26909" w14:paraId="73B724F9" w14:textId="54126D0D">
      <w:pPr>
        <w:spacing w:after="0" w:line="360" w:lineRule="auto"/>
        <w:rPr>
          <w:bCs/>
        </w:rPr>
      </w:pPr>
    </w:p>
    <w:p w:rsidR="00B26909" w:rsidP="00BF6E9C" w:rsidRDefault="00B26909" w14:paraId="61EE6AA8" w14:textId="41A54F14">
      <w:pPr>
        <w:spacing w:after="0" w:line="360" w:lineRule="auto"/>
        <w:rPr>
          <w:bCs/>
        </w:rPr>
      </w:pPr>
      <w:r>
        <w:rPr>
          <w:bCs/>
        </w:rPr>
        <w:t xml:space="preserve">En ese orden de ideas, </w:t>
      </w:r>
      <w:r w:rsidR="00B26A67">
        <w:rPr>
          <w:bCs/>
        </w:rPr>
        <w:t>este Instituto realizó una búsqueda en el Directorio de Unidades de Transparencia publicado por el Instituto Nacional de Transparencia, Acceso a la Información y Protección de Datos Personales (</w:t>
      </w:r>
      <w:r w:rsidRPr="00B26A67" w:rsidR="00B26A67">
        <w:rPr>
          <w:bCs/>
        </w:rPr>
        <w:t>https://home.inai.org.mx/wp-content/documentos/DirectorioUE/Directorio_UE.xls</w:t>
      </w:r>
      <w:r w:rsidR="00B26A67">
        <w:rPr>
          <w:bCs/>
        </w:rPr>
        <w:t>) y localizó que el Centro Federal de Conciliación y Registro Laboral, la Secretaría del Trabajo y Prevención Social, son sujetos obligados de carácter federal, tal como se muestra a continuación:</w:t>
      </w:r>
    </w:p>
    <w:p w:rsidR="00B26A67" w:rsidP="00BF6E9C" w:rsidRDefault="00B26A67" w14:paraId="7DD78D3A" w14:textId="5151D78A">
      <w:pPr>
        <w:spacing w:after="0" w:line="360" w:lineRule="auto"/>
        <w:rPr>
          <w:bCs/>
        </w:rPr>
      </w:pPr>
    </w:p>
    <w:p w:rsidR="00B26A67" w:rsidP="00BF6E9C" w:rsidRDefault="00B26A67" w14:paraId="4BC6B182" w14:textId="74A50F3A">
      <w:pPr>
        <w:spacing w:after="0" w:line="360" w:lineRule="auto"/>
        <w:rPr>
          <w:bCs/>
        </w:rPr>
      </w:pPr>
      <w:r>
        <w:rPr>
          <w:noProof/>
          <w:lang w:eastAsia="es-MX"/>
        </w:rPr>
        <w:drawing>
          <wp:inline distT="0" distB="0" distL="0" distR="0" wp14:anchorId="7B461AAE" wp14:editId="4732F85F">
            <wp:extent cx="5791835" cy="9563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956310"/>
                    </a:xfrm>
                    <a:prstGeom prst="rect">
                      <a:avLst/>
                    </a:prstGeom>
                  </pic:spPr>
                </pic:pic>
              </a:graphicData>
            </a:graphic>
          </wp:inline>
        </w:drawing>
      </w:r>
    </w:p>
    <w:p w:rsidR="00B26909" w:rsidP="00BF6E9C" w:rsidRDefault="00B26909" w14:paraId="2C320687" w14:textId="16312FA1">
      <w:pPr>
        <w:spacing w:after="0" w:line="360" w:lineRule="auto"/>
        <w:rPr>
          <w:bCs/>
        </w:rPr>
      </w:pPr>
    </w:p>
    <w:p w:rsidR="00B26909" w:rsidP="00BF6E9C" w:rsidRDefault="00B26A67" w14:paraId="77FD0203" w14:textId="2BA98DA4">
      <w:pPr>
        <w:spacing w:after="0" w:line="360" w:lineRule="auto"/>
        <w:rPr>
          <w:bCs/>
        </w:rPr>
      </w:pPr>
      <w:r>
        <w:rPr>
          <w:bCs/>
        </w:rPr>
        <w:t>Además, se revisó el Directorio de Sujetos Obligados emitido por este Instituto y localizó que la Junta Local de Conciliación y Arbitraje del Valle de Toluca y del Valle de Cuautitlán-Texcoco, son sujetos obligados distintos a la Secretaría del Trabajo, tal como se muestra a continuación:</w:t>
      </w:r>
    </w:p>
    <w:p w:rsidR="00B26A67" w:rsidP="00B26A67" w:rsidRDefault="00E73D8E" w14:paraId="62C24367" w14:textId="5C6EC161">
      <w:pPr>
        <w:spacing w:after="0" w:line="360" w:lineRule="auto"/>
        <w:jc w:val="center"/>
        <w:rPr>
          <w:bCs/>
        </w:rPr>
      </w:pPr>
      <w:r>
        <w:rPr>
          <w:noProof/>
          <w:lang w:eastAsia="es-MX"/>
        </w:rPr>
        <w:lastRenderedPageBreak/>
        <w:drawing>
          <wp:inline distT="0" distB="0" distL="0" distR="0" wp14:anchorId="1FFD93DC" wp14:editId="066FA8D9">
            <wp:extent cx="5791835" cy="1600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 b="5084"/>
                    <a:stretch/>
                  </pic:blipFill>
                  <pic:spPr bwMode="auto">
                    <a:xfrm>
                      <a:off x="0" y="0"/>
                      <a:ext cx="5791835" cy="1600200"/>
                    </a:xfrm>
                    <a:prstGeom prst="rect">
                      <a:avLst/>
                    </a:prstGeom>
                    <a:ln>
                      <a:noFill/>
                    </a:ln>
                    <a:extLst>
                      <a:ext uri="{53640926-AAD7-44D8-BBD7-CCE9431645EC}">
                        <a14:shadowObscured xmlns:a14="http://schemas.microsoft.com/office/drawing/2010/main"/>
                      </a:ext>
                    </a:extLst>
                  </pic:spPr>
                </pic:pic>
              </a:graphicData>
            </a:graphic>
          </wp:inline>
        </w:drawing>
      </w:r>
    </w:p>
    <w:p w:rsidR="00F464A2" w:rsidP="00E73D8E" w:rsidRDefault="00B26909" w14:paraId="7358FFC1" w14:textId="32CAA49D">
      <w:pPr>
        <w:spacing w:after="0" w:line="360" w:lineRule="auto"/>
        <w:rPr>
          <w:bCs/>
        </w:rPr>
      </w:pPr>
      <w:r>
        <w:rPr>
          <w:bCs/>
        </w:rPr>
        <w:t xml:space="preserve"> </w:t>
      </w:r>
    </w:p>
    <w:p w:rsidRPr="00E73D8E" w:rsidR="00E73D8E" w:rsidP="00E73D8E" w:rsidRDefault="00E73D8E" w14:paraId="774A55E1" w14:textId="284DD912">
      <w:pPr>
        <w:spacing w:after="0" w:line="360" w:lineRule="auto"/>
        <w:rPr>
          <w:rFonts w:eastAsia="Times New Roman" w:cs="Tahoma"/>
          <w:bCs/>
          <w:iCs/>
          <w:color w:val="auto"/>
          <w:lang w:eastAsia="es-ES"/>
        </w:rPr>
      </w:pPr>
      <w:r w:rsidRPr="00E73D8E">
        <w:rPr>
          <w:rFonts w:eastAsia="Times New Roman" w:cs="Tahoma"/>
          <w:bCs/>
          <w:iCs/>
          <w:color w:val="auto"/>
          <w:lang w:eastAsia="es-ES"/>
        </w:rPr>
        <w:t>Conforme a lo anterior, se logra vislumbrar que el Sujeto Obligado es notoriamente incompetente</w:t>
      </w:r>
      <w:r w:rsidRPr="00E73D8E">
        <w:rPr>
          <w:rFonts w:eastAsia="Times New Roman" w:cs="Tahoma"/>
          <w:b/>
          <w:bCs/>
          <w:iCs/>
          <w:color w:val="auto"/>
          <w:lang w:eastAsia="es-ES"/>
        </w:rPr>
        <w:t xml:space="preserve"> </w:t>
      </w:r>
      <w:r w:rsidRPr="00E73D8E">
        <w:rPr>
          <w:rFonts w:eastAsia="Times New Roman" w:cs="Tahoma"/>
          <w:bCs/>
          <w:iCs/>
          <w:color w:val="auto"/>
          <w:lang w:eastAsia="es-ES"/>
        </w:rPr>
        <w:t xml:space="preserve">para conocer de la información requerida, pues </w:t>
      </w:r>
      <w:r>
        <w:rPr>
          <w:rFonts w:eastAsia="Times New Roman" w:cs="Tahoma"/>
          <w:bCs/>
          <w:iCs/>
          <w:color w:val="auto"/>
          <w:lang w:eastAsia="es-ES"/>
        </w:rPr>
        <w:t>carece de atribuciones para realizar funciones registrales Sindicales, es decir aquellas relacionadas con los expedientes de registro de los Gremios particulares</w:t>
      </w:r>
      <w:r w:rsidRPr="00E73D8E">
        <w:rPr>
          <w:rFonts w:eastAsia="Times New Roman" w:cs="Tahoma"/>
          <w:bCs/>
          <w:iCs/>
          <w:color w:val="auto"/>
          <w:lang w:eastAsia="es-ES"/>
        </w:rPr>
        <w:t xml:space="preserve">. </w:t>
      </w:r>
      <w:r>
        <w:rPr>
          <w:rFonts w:eastAsia="Times New Roman" w:cs="Tahoma"/>
          <w:bCs/>
          <w:iCs/>
          <w:color w:val="auto"/>
          <w:lang w:eastAsia="es-ES"/>
        </w:rPr>
        <w:t>Lo cual fue robustecido, por el Comité de Transparencia, al confirmar la incompetencia para conocer de lo peticionado.</w:t>
      </w:r>
    </w:p>
    <w:p w:rsidRPr="00E73D8E" w:rsidR="00E73D8E" w:rsidP="00E73D8E" w:rsidRDefault="00E73D8E" w14:paraId="79CD9EA2" w14:textId="77777777">
      <w:pPr>
        <w:spacing w:after="0" w:line="360" w:lineRule="auto"/>
        <w:rPr>
          <w:rFonts w:eastAsia="Calibri" w:cs="Tahoma"/>
          <w:bCs/>
          <w:color w:val="000000"/>
        </w:rPr>
      </w:pPr>
    </w:p>
    <w:p w:rsidRPr="00E73D8E" w:rsidR="00E73D8E" w:rsidP="00E73D8E" w:rsidRDefault="00E73D8E" w14:paraId="604B9D78" w14:textId="77777777">
      <w:pPr>
        <w:spacing w:after="0" w:line="360" w:lineRule="auto"/>
        <w:rPr>
          <w:rFonts w:eastAsia="Times New Roman" w:cs="Tahoma"/>
          <w:bCs/>
          <w:iCs/>
          <w:color w:val="auto"/>
          <w:lang w:eastAsia="es-ES"/>
        </w:rPr>
      </w:pPr>
      <w:r w:rsidRPr="00E73D8E">
        <w:rPr>
          <w:rFonts w:eastAsia="Times New Roman" w:cs="Tahoma"/>
          <w:bCs/>
          <w:iCs/>
          <w:color w:val="auto"/>
          <w:lang w:eastAsia="es-ES"/>
        </w:rPr>
        <w:t xml:space="preserve">En ese orden de ideas, es de recordar que el primer párrafo del artículo 167 de la Ley de Transparencia y Acceso a la Información Pública del Estado de México y Municipios, establece que cuando las unidades de transparencia determinen la </w:t>
      </w:r>
      <w:r w:rsidRPr="00E73D8E">
        <w:rPr>
          <w:rFonts w:eastAsia="Times New Roman" w:cs="Tahoma"/>
          <w:b/>
          <w:iCs/>
          <w:color w:val="auto"/>
          <w:lang w:eastAsia="es-ES"/>
        </w:rPr>
        <w:t>notoria incompetencia</w:t>
      </w:r>
      <w:r w:rsidRPr="00E73D8E">
        <w:rPr>
          <w:rFonts w:eastAsia="Times New Roman" w:cs="Tahoma"/>
          <w:bCs/>
          <w:iCs/>
          <w:color w:val="auto"/>
          <w:lang w:eastAsia="es-ES"/>
        </w:rPr>
        <w:t xml:space="preserve"> deben realizar lo siguiente:</w:t>
      </w:r>
    </w:p>
    <w:p w:rsidRPr="00E73D8E" w:rsidR="00E73D8E" w:rsidP="00E73D8E" w:rsidRDefault="00E73D8E" w14:paraId="4FE4DEBB" w14:textId="77777777">
      <w:pPr>
        <w:spacing w:after="0" w:line="360" w:lineRule="auto"/>
        <w:rPr>
          <w:rFonts w:eastAsia="Times New Roman" w:cs="Tahoma"/>
          <w:bCs/>
          <w:iCs/>
          <w:color w:val="auto"/>
          <w:lang w:eastAsia="es-ES"/>
        </w:rPr>
      </w:pPr>
    </w:p>
    <w:p w:rsidRPr="00E73D8E" w:rsidR="00E73D8E" w:rsidP="00E73D8E" w:rsidRDefault="00E73D8E" w14:paraId="1A41997B" w14:textId="77777777">
      <w:pPr>
        <w:numPr>
          <w:ilvl w:val="0"/>
          <w:numId w:val="13"/>
        </w:numPr>
        <w:spacing w:after="0" w:line="360" w:lineRule="auto"/>
        <w:jc w:val="left"/>
        <w:rPr>
          <w:rFonts w:eastAsia="Times New Roman" w:cs="Tahoma"/>
          <w:bCs/>
          <w:iCs/>
          <w:color w:val="auto"/>
          <w:lang w:eastAsia="es-ES"/>
        </w:rPr>
      </w:pPr>
      <w:r w:rsidRPr="00E73D8E">
        <w:rPr>
          <w:rFonts w:eastAsia="Times New Roman" w:cs="Tahoma"/>
          <w:bCs/>
          <w:iCs/>
          <w:color w:val="auto"/>
          <w:lang w:eastAsia="es-ES"/>
        </w:rPr>
        <w:t>Hacerlo del conocimiento del Particular, dentro de los tres días hábiles, posteriores a la presentación de la solicitud de información, y</w:t>
      </w:r>
    </w:p>
    <w:p w:rsidRPr="00E73D8E" w:rsidR="00E73D8E" w:rsidP="00E73D8E" w:rsidRDefault="00E73D8E" w14:paraId="61A9CC96" w14:textId="77777777">
      <w:pPr>
        <w:spacing w:after="0" w:line="360" w:lineRule="auto"/>
        <w:rPr>
          <w:rFonts w:eastAsia="Times New Roman" w:cs="Tahoma"/>
          <w:bCs/>
          <w:iCs/>
          <w:color w:val="auto"/>
          <w:lang w:eastAsia="es-ES"/>
        </w:rPr>
      </w:pPr>
    </w:p>
    <w:p w:rsidRPr="00E73D8E" w:rsidR="00E73D8E" w:rsidP="00E73D8E" w:rsidRDefault="00E73D8E" w14:paraId="4A1A8C94" w14:textId="77777777">
      <w:pPr>
        <w:numPr>
          <w:ilvl w:val="0"/>
          <w:numId w:val="13"/>
        </w:numPr>
        <w:spacing w:after="0" w:line="360" w:lineRule="auto"/>
        <w:jc w:val="left"/>
        <w:rPr>
          <w:rFonts w:eastAsia="Times New Roman" w:cs="Tahoma"/>
          <w:bCs/>
          <w:iCs/>
          <w:color w:val="auto"/>
          <w:lang w:eastAsia="es-ES"/>
        </w:rPr>
      </w:pPr>
      <w:r w:rsidRPr="00E73D8E">
        <w:rPr>
          <w:rFonts w:eastAsia="Times New Roman" w:cs="Tahoma"/>
          <w:bCs/>
          <w:iCs/>
          <w:color w:val="auto"/>
          <w:lang w:eastAsia="es-ES"/>
        </w:rPr>
        <w:t>En caso de conocer el Sujeto Obligado competente, orientarlo a presentar la solicitud ante el mismo.</w:t>
      </w:r>
    </w:p>
    <w:p w:rsidRPr="00E73D8E" w:rsidR="00E73D8E" w:rsidP="00E73D8E" w:rsidRDefault="00E73D8E" w14:paraId="778FEDCB" w14:textId="77777777">
      <w:pPr>
        <w:spacing w:after="0" w:line="360" w:lineRule="auto"/>
        <w:rPr>
          <w:rFonts w:eastAsia="Times New Roman" w:cs="Tahoma"/>
          <w:bCs/>
          <w:iCs/>
          <w:color w:val="auto"/>
          <w:lang w:eastAsia="es-ES"/>
        </w:rPr>
      </w:pPr>
    </w:p>
    <w:p w:rsidRPr="00E73D8E" w:rsidR="00E73D8E" w:rsidP="00E73D8E" w:rsidRDefault="00E73D8E" w14:paraId="67A27164" w14:textId="185C4EAC">
      <w:pPr>
        <w:spacing w:after="0" w:line="360" w:lineRule="auto"/>
        <w:rPr>
          <w:rFonts w:eastAsia="Times New Roman" w:cs="Tahoma"/>
          <w:bCs/>
          <w:iCs/>
          <w:color w:val="auto"/>
          <w:lang w:val="es-ES" w:eastAsia="es-ES"/>
        </w:rPr>
      </w:pPr>
      <w:r w:rsidRPr="00E73D8E">
        <w:rPr>
          <w:rFonts w:eastAsia="Times New Roman" w:cs="Tahoma"/>
          <w:bCs/>
          <w:iCs/>
          <w:color w:val="auto"/>
          <w:lang w:eastAsia="es-ES"/>
        </w:rPr>
        <w:t>En el presente caso, de la revisión de las constancias del expediente electrónico, localizado en el Sistema de Acceso a la Información Mexiquense (SAIMEX), se advierte que el Ente Recurrido, cumplió con los dos parámetros previamente establecidos, pues dio contestación dentro de los tres días hábiles posteriores a la presentación del requerimiento</w:t>
      </w:r>
      <w:r w:rsidRPr="00E73D8E">
        <w:rPr>
          <w:rFonts w:eastAsia="Times New Roman" w:cs="Tahoma"/>
          <w:bCs/>
          <w:iCs/>
          <w:color w:val="auto"/>
          <w:lang w:val="es-ES" w:eastAsia="es-ES"/>
        </w:rPr>
        <w:t xml:space="preserve">, además, de que </w:t>
      </w:r>
      <w:r w:rsidRPr="00E73D8E">
        <w:rPr>
          <w:rFonts w:eastAsia="Times New Roman" w:cs="Tahoma"/>
          <w:bCs/>
          <w:iCs/>
          <w:color w:val="auto"/>
          <w:lang w:val="es-ES" w:eastAsia="es-ES"/>
        </w:rPr>
        <w:lastRenderedPageBreak/>
        <w:t xml:space="preserve">orientó al Solicitante, a presentar la solicitud ante </w:t>
      </w:r>
      <w:r>
        <w:rPr>
          <w:rFonts w:eastAsia="Times New Roman" w:cs="Tahoma"/>
          <w:bCs/>
          <w:iCs/>
          <w:color w:val="auto"/>
          <w:lang w:val="es-ES" w:eastAsia="es-ES"/>
        </w:rPr>
        <w:t>el Centro Federal de Conciliación y Registro Laboral.</w:t>
      </w:r>
    </w:p>
    <w:p w:rsidRPr="00E73D8E" w:rsidR="00E73D8E" w:rsidP="00E73D8E" w:rsidRDefault="00E73D8E" w14:paraId="5DE4F1DA" w14:textId="77777777">
      <w:pPr>
        <w:spacing w:after="0" w:line="360" w:lineRule="auto"/>
        <w:rPr>
          <w:rFonts w:eastAsia="Times New Roman" w:cs="Tahoma"/>
          <w:bCs/>
          <w:iCs/>
          <w:color w:val="auto"/>
          <w:lang w:val="es-ES" w:eastAsia="es-ES"/>
        </w:rPr>
      </w:pPr>
    </w:p>
    <w:p w:rsidRPr="00E73D8E" w:rsidR="00E73D8E" w:rsidP="00E73D8E" w:rsidRDefault="00E73D8E" w14:paraId="331F20F2" w14:textId="2842D176">
      <w:pPr>
        <w:spacing w:after="0" w:line="360" w:lineRule="auto"/>
        <w:rPr>
          <w:rFonts w:eastAsia="Times New Roman" w:cs="Tahoma"/>
          <w:bCs/>
          <w:iCs/>
          <w:color w:val="auto"/>
          <w:lang w:val="es-ES" w:eastAsia="es-ES"/>
        </w:rPr>
      </w:pPr>
      <w:r w:rsidRPr="00E73D8E">
        <w:rPr>
          <w:rFonts w:eastAsia="Times New Roman" w:cs="Tahoma"/>
          <w:bCs/>
          <w:iCs/>
          <w:color w:val="auto"/>
          <w:lang w:val="es-ES" w:eastAsia="es-ES"/>
        </w:rPr>
        <w:t>Conforme a lo expuesto, se considera que el Sujeto Obligado fue congruente con su respuesta, al señalar que carecía de atribuciones para conocer de lo peticionado, tan es así que siguió el procedimiento establecido en el primer párrafo</w:t>
      </w:r>
      <w:r>
        <w:rPr>
          <w:rFonts w:eastAsia="Times New Roman" w:cs="Tahoma"/>
          <w:bCs/>
          <w:iCs/>
          <w:color w:val="auto"/>
          <w:lang w:val="es-ES" w:eastAsia="es-ES"/>
        </w:rPr>
        <w:t>,</w:t>
      </w:r>
      <w:r w:rsidRPr="00E73D8E">
        <w:rPr>
          <w:rFonts w:eastAsia="Times New Roman" w:cs="Tahoma"/>
          <w:bCs/>
          <w:iCs/>
          <w:color w:val="auto"/>
          <w:lang w:val="es-ES" w:eastAsia="es-ES"/>
        </w:rPr>
        <w:t xml:space="preserve"> del artículo 167 de la Ley de Transparencia y Acceso a la Información Pública del Estado de México y Municipios; por lo que, se concluye que el </w:t>
      </w:r>
      <w:r w:rsidRPr="00E73D8E">
        <w:rPr>
          <w:rFonts w:eastAsia="Times New Roman" w:cs="Tahoma"/>
          <w:iCs/>
          <w:color w:val="auto"/>
          <w:lang w:val="es-ES" w:eastAsia="es-ES"/>
        </w:rPr>
        <w:t>Ayuntamiento de Toluca</w:t>
      </w:r>
      <w:r w:rsidRPr="00E73D8E">
        <w:rPr>
          <w:rFonts w:eastAsia="Times New Roman" w:cs="Tahoma"/>
          <w:bCs/>
          <w:iCs/>
          <w:color w:val="auto"/>
          <w:lang w:val="es-ES" w:eastAsia="es-ES"/>
        </w:rPr>
        <w:t>, es notoriamente incompetente para conocer de la solicitud de información</w:t>
      </w:r>
      <w:r w:rsidRPr="00E73D8E">
        <w:rPr>
          <w:rFonts w:eastAsia="Times New Roman" w:cs="Tahoma"/>
          <w:bCs/>
          <w:iCs/>
          <w:color w:val="auto"/>
          <w:lang w:eastAsia="es-ES"/>
        </w:rPr>
        <w:t xml:space="preserve">, y, por lo tanto, el </w:t>
      </w:r>
      <w:r w:rsidRPr="00E73D8E">
        <w:rPr>
          <w:rFonts w:eastAsia="Times New Roman" w:cs="Tahoma"/>
          <w:bCs/>
          <w:iCs/>
          <w:color w:val="auto"/>
          <w:lang w:val="es-ES" w:eastAsia="es-ES"/>
        </w:rPr>
        <w:t xml:space="preserve">agravio del Recurrente deviene de </w:t>
      </w:r>
      <w:r w:rsidRPr="00E73D8E">
        <w:rPr>
          <w:rFonts w:eastAsia="Times New Roman" w:cs="Tahoma"/>
          <w:b/>
          <w:bCs/>
          <w:iCs/>
          <w:color w:val="auto"/>
          <w:lang w:val="es-ES" w:eastAsia="es-ES"/>
        </w:rPr>
        <w:t>INFUNDADO.</w:t>
      </w:r>
      <w:r w:rsidRPr="00E73D8E">
        <w:rPr>
          <w:rFonts w:eastAsia="Times New Roman" w:cs="Tahoma"/>
          <w:bCs/>
          <w:iCs/>
          <w:color w:val="auto"/>
          <w:lang w:val="es-ES" w:eastAsia="es-ES"/>
        </w:rPr>
        <w:t xml:space="preserve"> </w:t>
      </w:r>
    </w:p>
    <w:p w:rsidR="00E73D8E" w:rsidP="00E73D8E" w:rsidRDefault="00E73D8E" w14:paraId="2319F028" w14:textId="351EEF32">
      <w:pPr>
        <w:spacing w:after="0" w:line="360" w:lineRule="auto"/>
        <w:rPr>
          <w:bCs/>
        </w:rPr>
      </w:pPr>
    </w:p>
    <w:p w:rsidRPr="00E73D8E" w:rsidR="00E73D8E" w:rsidP="00E73D8E" w:rsidRDefault="00E73D8E" w14:paraId="3AC7CD32" w14:textId="77777777">
      <w:pPr>
        <w:spacing w:after="0" w:line="360" w:lineRule="auto"/>
        <w:rPr>
          <w:rFonts w:eastAsia="Calibri" w:cs="Tahoma"/>
          <w:b/>
          <w:color w:val="auto"/>
        </w:rPr>
      </w:pPr>
      <w:r w:rsidRPr="00E73D8E">
        <w:rPr>
          <w:rFonts w:eastAsia="Calibri" w:cs="Tahoma"/>
          <w:b/>
          <w:color w:val="auto"/>
        </w:rPr>
        <w:t xml:space="preserve">SEXTO. Decisión. </w:t>
      </w:r>
    </w:p>
    <w:p w:rsidRPr="00E73D8E" w:rsidR="00E73D8E" w:rsidP="00E73D8E" w:rsidRDefault="00E73D8E" w14:paraId="1E17C0AC" w14:textId="77777777">
      <w:pPr>
        <w:spacing w:after="0" w:line="360" w:lineRule="auto"/>
        <w:rPr>
          <w:rFonts w:eastAsia="Calibri" w:cs="Tahoma"/>
          <w:b/>
          <w:color w:val="auto"/>
        </w:rPr>
      </w:pPr>
    </w:p>
    <w:p w:rsidRPr="00E73D8E" w:rsidR="00E73D8E" w:rsidP="00E73D8E" w:rsidRDefault="00E73D8E" w14:paraId="1047413B" w14:textId="77777777">
      <w:pPr>
        <w:spacing w:after="0" w:line="360" w:lineRule="auto"/>
        <w:rPr>
          <w:rFonts w:eastAsia="Times New Roman" w:cs="Tahoma"/>
          <w:color w:val="auto"/>
          <w:lang w:eastAsia="es-ES"/>
        </w:rPr>
      </w:pPr>
      <w:r w:rsidRPr="00E73D8E">
        <w:rPr>
          <w:rFonts w:eastAsia="Times New Roman" w:cs="Tahoma"/>
          <w:color w:val="auto"/>
          <w:lang w:eastAsia="es-ES"/>
        </w:rPr>
        <w:t xml:space="preserve">Con fundamento en el artículo 186, fracción II, de la Ley de Transparencia y Acceso a la Información Pública del Estado de México y Municipios, este Instituto considera procedente </w:t>
      </w:r>
      <w:r w:rsidRPr="00E73D8E">
        <w:rPr>
          <w:rFonts w:eastAsia="Times New Roman" w:cs="Tahoma"/>
          <w:b/>
          <w:color w:val="auto"/>
          <w:lang w:eastAsia="es-ES"/>
        </w:rPr>
        <w:t xml:space="preserve">CONFIRMAR </w:t>
      </w:r>
      <w:r w:rsidRPr="00E73D8E">
        <w:rPr>
          <w:rFonts w:eastAsia="Times New Roman" w:cs="Tahoma"/>
          <w:color w:val="auto"/>
          <w:lang w:eastAsia="es-ES"/>
        </w:rPr>
        <w:t xml:space="preserve">la respuesta otorgada por el Sujeto Obligado. </w:t>
      </w:r>
    </w:p>
    <w:p w:rsidRPr="00E73D8E" w:rsidR="00E73D8E" w:rsidP="00E73D8E" w:rsidRDefault="00E73D8E" w14:paraId="189E377F" w14:textId="77777777">
      <w:pPr>
        <w:tabs>
          <w:tab w:val="left" w:pos="4962"/>
        </w:tabs>
        <w:spacing w:after="0" w:line="360" w:lineRule="auto"/>
        <w:rPr>
          <w:rFonts w:eastAsia="Times New Roman" w:cs="Tahoma"/>
          <w:color w:val="auto"/>
          <w:sz w:val="20"/>
          <w:lang w:eastAsia="es-ES"/>
        </w:rPr>
      </w:pPr>
    </w:p>
    <w:p w:rsidRPr="00E73D8E" w:rsidR="00E73D8E" w:rsidP="00E73D8E" w:rsidRDefault="00E73D8E" w14:paraId="08C3CC6C" w14:textId="77777777">
      <w:pPr>
        <w:spacing w:after="0" w:line="360" w:lineRule="auto"/>
        <w:rPr>
          <w:rFonts w:eastAsia="Calibri" w:cs="Tahoma"/>
          <w:b/>
          <w:bCs/>
          <w:color w:val="auto"/>
        </w:rPr>
      </w:pPr>
      <w:r w:rsidRPr="00E73D8E">
        <w:rPr>
          <w:rFonts w:eastAsia="Calibri" w:cs="Tahoma"/>
          <w:b/>
          <w:bCs/>
          <w:color w:val="auto"/>
        </w:rPr>
        <w:t>Términos de la Resolución para conocimiento del Particular.</w:t>
      </w:r>
    </w:p>
    <w:p w:rsidRPr="00E73D8E" w:rsidR="00E73D8E" w:rsidP="00E73D8E" w:rsidRDefault="00E73D8E" w14:paraId="5A85F112" w14:textId="77777777">
      <w:pPr>
        <w:spacing w:after="0" w:line="360" w:lineRule="auto"/>
        <w:rPr>
          <w:rFonts w:eastAsia="Calibri" w:cs="Tahoma"/>
          <w:b/>
          <w:bCs/>
          <w:color w:val="auto"/>
        </w:rPr>
      </w:pPr>
    </w:p>
    <w:p w:rsidRPr="00E73D8E" w:rsidR="00E73D8E" w:rsidP="00E73D8E" w:rsidRDefault="00E73D8E" w14:paraId="5F7E3553" w14:textId="3F26E752">
      <w:pPr>
        <w:widowControl w:val="0"/>
        <w:spacing w:after="0" w:line="360" w:lineRule="auto"/>
        <w:rPr>
          <w:rFonts w:eastAsia="Calibri" w:cs="Tahoma"/>
          <w:bCs/>
          <w:iCs/>
          <w:color w:val="000000"/>
        </w:rPr>
      </w:pPr>
      <w:r w:rsidRPr="00E73D8E">
        <w:rPr>
          <w:rFonts w:eastAsia="Calibri" w:cs="Tahoma"/>
          <w:bCs/>
          <w:iCs/>
          <w:color w:val="000000"/>
        </w:rPr>
        <w:t xml:space="preserve">Se le hace del conocimiento al Particular, que, en el presente caso, no se le da la razón pues el Sujeto Obligado es incompetente para conocer sobre información </w:t>
      </w:r>
      <w:r>
        <w:rPr>
          <w:rFonts w:eastAsia="Calibri" w:cs="Tahoma"/>
          <w:bCs/>
          <w:iCs/>
          <w:color w:val="000000"/>
        </w:rPr>
        <w:t>registral de los Sindicatos, además, que orientó a presentar la solicitud a un sujeto obligado con competencia.</w:t>
      </w:r>
    </w:p>
    <w:p w:rsidRPr="00E73D8E" w:rsidR="00E73D8E" w:rsidP="00E73D8E" w:rsidRDefault="00E73D8E" w14:paraId="07D09FAD" w14:textId="77777777">
      <w:pPr>
        <w:widowControl w:val="0"/>
        <w:spacing w:after="0" w:line="360" w:lineRule="auto"/>
        <w:rPr>
          <w:rFonts w:eastAsia="Calibri" w:cs="Tahoma"/>
          <w:bCs/>
          <w:iCs/>
          <w:color w:val="000000"/>
          <w:lang w:val="es-ES"/>
        </w:rPr>
      </w:pPr>
    </w:p>
    <w:p w:rsidRPr="00E73D8E" w:rsidR="00E73D8E" w:rsidP="00E73D8E" w:rsidRDefault="00E73D8E" w14:paraId="698A6040" w14:textId="77777777">
      <w:pPr>
        <w:widowControl w:val="0"/>
        <w:spacing w:after="0" w:line="360" w:lineRule="auto"/>
        <w:rPr>
          <w:rFonts w:eastAsia="Calibri" w:cs="Times New Roman"/>
          <w:color w:val="000000"/>
        </w:rPr>
      </w:pPr>
      <w:r w:rsidRPr="00E73D8E">
        <w:rPr>
          <w:rFonts w:eastAsia="Calibri" w:cs="Tahoma"/>
          <w:bCs/>
          <w:iCs/>
          <w:color w:val="000000"/>
        </w:rPr>
        <w:t>Además, se le informa que la labor de este Instituto de Transparencia, Acceso a la Información Pública y Protección de Datos Personales del Estado de México y Municipios, es, por una parte, apoyar a la población para acceder a la información pública y, por otra parte, es garantizar la protección de los datos personales.</w:t>
      </w:r>
    </w:p>
    <w:p w:rsidRPr="008A4BF6" w:rsidR="00F464A2" w:rsidP="00BF6E9C" w:rsidRDefault="00F464A2" w14:paraId="62750EAC" w14:textId="77777777">
      <w:pPr>
        <w:spacing w:after="0" w:line="360" w:lineRule="auto"/>
        <w:rPr>
          <w:rFonts w:eastAsia="Calibri" w:cs="Tahoma"/>
          <w:bCs/>
          <w:iCs/>
        </w:rPr>
      </w:pPr>
    </w:p>
    <w:p w:rsidRPr="008A4BF6" w:rsidR="00F464A2" w:rsidP="00BF6E9C" w:rsidRDefault="00F464A2" w14:paraId="3FC0BA12" w14:textId="77777777">
      <w:pPr>
        <w:spacing w:after="0" w:line="360" w:lineRule="auto"/>
        <w:rPr>
          <w:rFonts w:eastAsia="Calibri" w:cs="Tahoma"/>
          <w:bCs/>
        </w:rPr>
      </w:pPr>
      <w:r w:rsidRPr="008A4BF6">
        <w:rPr>
          <w:rFonts w:eastAsia="Calibri" w:cs="Tahoma"/>
          <w:bCs/>
        </w:rPr>
        <w:t>Por lo expuesto y fundado, este Pleno:</w:t>
      </w:r>
    </w:p>
    <w:p w:rsidRPr="008A4BF6" w:rsidR="00F464A2" w:rsidP="00BF6E9C" w:rsidRDefault="00F464A2" w14:paraId="72B24D5B" w14:textId="77777777">
      <w:pPr>
        <w:spacing w:after="0" w:line="360" w:lineRule="auto"/>
        <w:ind w:right="-91"/>
        <w:jc w:val="center"/>
        <w:rPr>
          <w:rFonts w:eastAsia="Calibri" w:cs="Tahoma"/>
          <w:b/>
          <w:bCs/>
        </w:rPr>
      </w:pPr>
    </w:p>
    <w:p w:rsidRPr="008A4BF6" w:rsidR="00F464A2" w:rsidP="00BF6E9C" w:rsidRDefault="00F464A2" w14:paraId="3D4E9DE9" w14:textId="77777777">
      <w:pPr>
        <w:spacing w:after="0" w:line="360" w:lineRule="auto"/>
        <w:ind w:right="-91"/>
        <w:jc w:val="center"/>
        <w:rPr>
          <w:rFonts w:eastAsia="Calibri" w:cs="Tahoma"/>
          <w:b/>
          <w:bCs/>
        </w:rPr>
      </w:pPr>
      <w:r w:rsidRPr="008A4BF6">
        <w:rPr>
          <w:rFonts w:eastAsia="Calibri" w:cs="Tahoma"/>
          <w:b/>
          <w:bCs/>
        </w:rPr>
        <w:t>RESUELVE:</w:t>
      </w:r>
    </w:p>
    <w:p w:rsidR="00F464A2" w:rsidP="00BF6E9C" w:rsidRDefault="00F464A2" w14:paraId="0C0CC53F" w14:textId="5285020A">
      <w:pPr>
        <w:spacing w:after="0" w:line="360" w:lineRule="auto"/>
        <w:rPr>
          <w:rFonts w:cs="Arial"/>
          <w:b/>
          <w:bCs/>
          <w:color w:val="000000"/>
          <w:lang w:val="es-ES"/>
        </w:rPr>
      </w:pPr>
    </w:p>
    <w:p w:rsidR="00E73D8E" w:rsidP="00E73D8E" w:rsidRDefault="00E73D8E" w14:paraId="6AD14191" w14:textId="7D9701B6">
      <w:pPr>
        <w:spacing w:after="0" w:line="360" w:lineRule="auto"/>
        <w:rPr>
          <w:rFonts w:eastAsia="Calibri" w:cs="Tahoma"/>
          <w:iCs/>
          <w:color w:val="auto"/>
        </w:rPr>
      </w:pPr>
      <w:r>
        <w:rPr>
          <w:rFonts w:eastAsia="Calibri" w:cs="Tahoma"/>
          <w:b/>
          <w:bCs/>
          <w:iCs/>
        </w:rPr>
        <w:t xml:space="preserve">PRIMERO. </w:t>
      </w:r>
      <w:r>
        <w:rPr>
          <w:rFonts w:eastAsia="Calibri" w:cs="Tahoma"/>
          <w:bCs/>
          <w:iCs/>
        </w:rPr>
        <w:t xml:space="preserve">Se </w:t>
      </w:r>
      <w:r>
        <w:rPr>
          <w:rFonts w:eastAsia="Calibri" w:cs="Tahoma"/>
          <w:b/>
          <w:bCs/>
          <w:iCs/>
        </w:rPr>
        <w:t xml:space="preserve">CONFIRMA </w:t>
      </w:r>
      <w:r>
        <w:rPr>
          <w:rFonts w:eastAsia="Calibri" w:cs="Tahoma"/>
          <w:iCs/>
        </w:rPr>
        <w:t xml:space="preserve">la respuesta entregada por el Sujeto Obligado a la solicitud de acceso a la información </w:t>
      </w:r>
      <w:r w:rsidRPr="00E73D8E">
        <w:rPr>
          <w:rFonts w:cs="Tahoma"/>
          <w:bCs/>
          <w:color w:val="0D0D0D" w:themeColor="text1" w:themeTint="F2"/>
        </w:rPr>
        <w:t>00046/ST/IP/2022</w:t>
      </w:r>
      <w:r>
        <w:rPr>
          <w:rFonts w:cs="Tahoma"/>
          <w:bCs/>
          <w:color w:val="0D0D0D" w:themeColor="text1" w:themeTint="F2"/>
        </w:rPr>
        <w:t xml:space="preserve">, </w:t>
      </w:r>
      <w:r>
        <w:rPr>
          <w:rFonts w:eastAsia="Calibri" w:cs="Tahoma"/>
          <w:bCs/>
          <w:iCs/>
        </w:rPr>
        <w:t xml:space="preserve">por resultar </w:t>
      </w:r>
      <w:r>
        <w:rPr>
          <w:rFonts w:eastAsia="Calibri" w:cs="Tahoma"/>
          <w:b/>
          <w:bCs/>
          <w:iCs/>
        </w:rPr>
        <w:t>INFUNDADAS</w:t>
      </w:r>
      <w:r>
        <w:rPr>
          <w:rFonts w:eastAsia="Calibri" w:cs="Tahoma"/>
          <w:bCs/>
          <w:iCs/>
        </w:rPr>
        <w:t xml:space="preserve"> las razones o motivos de inconformidad hechos valer por el Recurrente, en términos de los Considerandos </w:t>
      </w:r>
      <w:r>
        <w:rPr>
          <w:rFonts w:eastAsia="Calibri" w:cs="Tahoma"/>
          <w:iCs/>
        </w:rPr>
        <w:t>QUINTO y SEXTO</w:t>
      </w:r>
      <w:r>
        <w:rPr>
          <w:rFonts w:eastAsia="Calibri" w:cs="Tahoma"/>
          <w:b/>
          <w:bCs/>
          <w:iCs/>
        </w:rPr>
        <w:t xml:space="preserve"> </w:t>
      </w:r>
      <w:r>
        <w:rPr>
          <w:rFonts w:eastAsia="Calibri" w:cs="Tahoma"/>
          <w:bCs/>
          <w:iCs/>
        </w:rPr>
        <w:t>de esta Resolución.</w:t>
      </w:r>
    </w:p>
    <w:p w:rsidR="00E73D8E" w:rsidP="00BF6E9C" w:rsidRDefault="00E73D8E" w14:paraId="53AC1DE3" w14:textId="0D0368A8">
      <w:pPr>
        <w:spacing w:after="0" w:line="360" w:lineRule="auto"/>
        <w:rPr>
          <w:rFonts w:cs="Arial"/>
          <w:b/>
          <w:bCs/>
          <w:color w:val="000000"/>
          <w:lang w:val="es-ES"/>
        </w:rPr>
      </w:pPr>
    </w:p>
    <w:p w:rsidRPr="008A4BF6" w:rsidR="00F464A2" w:rsidP="00BF6E9C" w:rsidRDefault="00F464A2" w14:paraId="555FA8B7" w14:textId="67CE1063">
      <w:pPr>
        <w:spacing w:after="0" w:line="360" w:lineRule="auto"/>
        <w:rPr>
          <w:rFonts w:cs="Arial"/>
          <w:bCs/>
          <w:color w:val="000000"/>
          <w:lang w:val="es-ES"/>
        </w:rPr>
      </w:pPr>
      <w:r w:rsidRPr="008A4BF6">
        <w:rPr>
          <w:rFonts w:cs="Arial"/>
          <w:b/>
          <w:bCs/>
          <w:color w:val="000000"/>
          <w:lang w:val="es-ES"/>
        </w:rPr>
        <w:t>SEGUNDO.</w:t>
      </w:r>
      <w:r w:rsidRPr="008A4BF6">
        <w:rPr>
          <w:rFonts w:cs="Arial"/>
          <w:bCs/>
          <w:color w:val="000000"/>
          <w:lang w:val="es-ES"/>
        </w:rPr>
        <w:t xml:space="preserve"> </w:t>
      </w:r>
      <w:r w:rsidRPr="008A4BF6">
        <w:rPr>
          <w:rFonts w:cs="Arial"/>
          <w:b/>
          <w:bCs/>
          <w:color w:val="000000"/>
          <w:lang w:val="es-ES"/>
        </w:rPr>
        <w:t xml:space="preserve">NOTIFÍQUESE </w:t>
      </w:r>
      <w:r w:rsidRPr="008A4BF6">
        <w:rPr>
          <w:rFonts w:cs="Arial"/>
          <w:bCs/>
          <w:color w:val="000000"/>
          <w:lang w:val="es-ES"/>
        </w:rPr>
        <w:t>la presente Resolución</w:t>
      </w:r>
      <w:r w:rsidRPr="008A4BF6">
        <w:rPr>
          <w:rFonts w:cs="Arial"/>
          <w:b/>
          <w:bCs/>
          <w:color w:val="000000"/>
          <w:lang w:val="es-ES"/>
        </w:rPr>
        <w:t xml:space="preserve"> </w:t>
      </w:r>
      <w:r w:rsidRPr="008A4BF6">
        <w:rPr>
          <w:rFonts w:cs="Arial"/>
          <w:bCs/>
          <w:color w:val="000000"/>
          <w:lang w:val="es-ES"/>
        </w:rPr>
        <w:t>al Titular d</w:t>
      </w:r>
      <w:r w:rsidR="00D56700">
        <w:rPr>
          <w:rFonts w:cs="Arial"/>
          <w:bCs/>
          <w:color w:val="000000"/>
          <w:lang w:val="es-ES"/>
        </w:rPr>
        <w:t>e la Unidad de Transparencia de la Secretaría del Trabajo</w:t>
      </w:r>
      <w:r w:rsidRPr="008A4BF6">
        <w:rPr>
          <w:rFonts w:cs="Arial"/>
          <w:bCs/>
          <w:color w:val="000000"/>
          <w:lang w:val="es-ES"/>
        </w:rPr>
        <w:t xml:space="preserve">. </w:t>
      </w:r>
    </w:p>
    <w:p w:rsidRPr="008A4BF6" w:rsidR="00F464A2" w:rsidP="00BF6E9C" w:rsidRDefault="00F464A2" w14:paraId="51D86A58" w14:textId="77777777">
      <w:pPr>
        <w:spacing w:after="0" w:line="360" w:lineRule="auto"/>
        <w:rPr>
          <w:rFonts w:cs="Arial"/>
          <w:bCs/>
          <w:color w:val="000000"/>
          <w:lang w:val="es-ES"/>
        </w:rPr>
      </w:pPr>
    </w:p>
    <w:p w:rsidRPr="008A4BF6" w:rsidR="00F464A2" w:rsidP="00BF6E9C" w:rsidRDefault="00F464A2" w14:paraId="76748117" w14:textId="77777777">
      <w:pPr>
        <w:spacing w:after="0" w:line="360" w:lineRule="auto"/>
        <w:rPr>
          <w:rFonts w:cs="Tahoma"/>
        </w:rPr>
      </w:pPr>
      <w:r w:rsidRPr="008A4BF6">
        <w:rPr>
          <w:rFonts w:cs="Arial"/>
          <w:b/>
          <w:bCs/>
          <w:color w:val="000000"/>
          <w:lang w:val="es-ES"/>
        </w:rPr>
        <w:t>TERCERO.</w:t>
      </w:r>
      <w:r w:rsidRPr="008A4BF6">
        <w:rPr>
          <w:rFonts w:cs="Arial"/>
          <w:bCs/>
          <w:color w:val="000000"/>
          <w:lang w:val="es-ES"/>
        </w:rPr>
        <w:t xml:space="preserve"> </w:t>
      </w:r>
      <w:r w:rsidRPr="008A4BF6">
        <w:rPr>
          <w:rFonts w:cs="Tahoma"/>
          <w:b/>
        </w:rPr>
        <w:t xml:space="preserve">NOTIFÍQUESE </w:t>
      </w:r>
      <w:r w:rsidRPr="008A4BF6">
        <w:rPr>
          <w:rFonts w:cs="Tahoma"/>
        </w:rPr>
        <w:t>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A4BF6" w:rsidR="00F464A2" w:rsidP="00BF6E9C" w:rsidRDefault="00F464A2" w14:paraId="6E89485D" w14:textId="77777777">
      <w:pPr>
        <w:spacing w:after="0" w:line="360" w:lineRule="auto"/>
        <w:rPr>
          <w:rFonts w:cs="Tahoma"/>
        </w:rPr>
      </w:pPr>
    </w:p>
    <w:p w:rsidR="00613D5D" w:rsidP="00BF6E9C" w:rsidRDefault="00F464A2" w14:paraId="325656EB" w14:textId="44626191">
      <w:pPr>
        <w:spacing w:after="0" w:line="360" w:lineRule="auto"/>
      </w:pPr>
      <w:r w:rsidRPr="003B1EEF">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bookmarkStart w:name="_GoBack" w:id="0"/>
      <w:r w:rsidRPr="003B1EEF" w:rsidR="00585CFB">
        <w:t xml:space="preserve">GUADALUPE RAMÍREZ PEÑA, EN LA DÉCIMA </w:t>
      </w:r>
      <w:r w:rsidR="00585CFB">
        <w:t xml:space="preserve">PRIMERA </w:t>
      </w:r>
      <w:r w:rsidRPr="003B1EEF" w:rsidR="00585CFB">
        <w:t xml:space="preserve">SESIÓN ORDINARIA, CELEBRADA EL </w:t>
      </w:r>
      <w:r w:rsidR="00585CFB">
        <w:rPr>
          <w:rFonts w:cs="Tahoma"/>
          <w:bCs/>
        </w:rPr>
        <w:t>VEINTIDÓS</w:t>
      </w:r>
      <w:r w:rsidRPr="00966C54" w:rsidR="00585CFB">
        <w:rPr>
          <w:rFonts w:cs="Tahoma"/>
          <w:bCs/>
        </w:rPr>
        <w:t xml:space="preserve"> DE MARZO DE DOS MIL VEINTITRÉS</w:t>
      </w:r>
      <w:r w:rsidRPr="003B1EEF" w:rsidR="00585CFB">
        <w:t>, ANTE EL SECRETARIO TÉCNICO DEL PLENO, ALEXIS TAPIA RAMÍREZ</w:t>
      </w:r>
      <w:r w:rsidR="00585CFB">
        <w:t>.</w:t>
      </w:r>
      <w:bookmarkEnd w:id="0"/>
    </w:p>
    <w:p w:rsidR="00106E90" w:rsidRDefault="00106E90" w14:paraId="65489ADE" w14:textId="1B0CFF3D">
      <w:pPr>
        <w:jc w:val="left"/>
      </w:pPr>
      <w:r>
        <w:br w:type="page"/>
      </w:r>
    </w:p>
    <w:p w:rsidR="00F464A2" w:rsidP="00BF6E9C" w:rsidRDefault="00F464A2" w14:paraId="5CA87610" w14:textId="77777777">
      <w:pPr>
        <w:spacing w:after="0" w:line="360" w:lineRule="auto"/>
      </w:pPr>
    </w:p>
    <w:sectPr w:rsidR="00F464A2" w:rsidSect="00D01D6E">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42" w:rsidP="00D33E1E" w:rsidRDefault="00763742" w14:paraId="17ADE6AF" w14:textId="77777777">
      <w:pPr>
        <w:spacing w:after="0" w:line="240" w:lineRule="auto"/>
      </w:pPr>
      <w:r>
        <w:separator/>
      </w:r>
    </w:p>
  </w:endnote>
  <w:endnote w:type="continuationSeparator" w:id="0">
    <w:p w:rsidR="00763742" w:rsidP="00D33E1E" w:rsidRDefault="00763742" w14:paraId="56EE8E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00" w:rsidRDefault="00D56700" w14:paraId="3C229B7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56700" w:rsidRDefault="00D56700" w14:paraId="16B2D90F"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56700" w:rsidRDefault="00D56700" w14:paraId="6B7EFD0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5CF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5CFB">
              <w:rPr>
                <w:b/>
                <w:bCs/>
                <w:noProof/>
              </w:rPr>
              <w:t>23</w:t>
            </w:r>
            <w:r>
              <w:rPr>
                <w:b/>
                <w:bCs/>
                <w:sz w:val="24"/>
                <w:szCs w:val="24"/>
              </w:rPr>
              <w:fldChar w:fldCharType="end"/>
            </w:r>
          </w:p>
        </w:sdtContent>
      </w:sdt>
    </w:sdtContent>
  </w:sdt>
  <w:p w:rsidR="00D56700" w:rsidRDefault="00D56700" w14:paraId="01BD7DCA"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00" w:rsidRDefault="00D56700" w14:paraId="713DC1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5CF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5CFB">
      <w:rPr>
        <w:b/>
        <w:bCs/>
        <w:noProof/>
      </w:rPr>
      <w:t>23</w:t>
    </w:r>
    <w:r>
      <w:rPr>
        <w:b/>
        <w:bCs/>
        <w:sz w:val="24"/>
        <w:szCs w:val="24"/>
      </w:rPr>
      <w:fldChar w:fldCharType="end"/>
    </w:r>
  </w:p>
  <w:p w:rsidR="00D56700" w:rsidRDefault="00D56700" w14:paraId="692B16E0"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42" w:rsidP="00D33E1E" w:rsidRDefault="00763742" w14:paraId="100A9FBB" w14:textId="77777777">
      <w:pPr>
        <w:spacing w:after="0" w:line="240" w:lineRule="auto"/>
      </w:pPr>
      <w:r>
        <w:separator/>
      </w:r>
    </w:p>
  </w:footnote>
  <w:footnote w:type="continuationSeparator" w:id="0">
    <w:p w:rsidR="00763742" w:rsidP="00D33E1E" w:rsidRDefault="00763742" w14:paraId="17A41C76"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56700" w:rsidTr="00D01D6E" w14:paraId="0DFD1FD1" w14:textId="77777777">
      <w:trPr>
        <w:trHeight w:val="141"/>
      </w:trPr>
      <w:tc>
        <w:tcPr>
          <w:tcW w:w="2404" w:type="dxa"/>
        </w:tcPr>
        <w:p w:rsidRPr="001B5FB6" w:rsidR="00D56700" w:rsidP="00D01D6E" w:rsidRDefault="00D56700" w14:paraId="1B659CAA"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D56700" w:rsidP="00D01D6E" w:rsidRDefault="00D56700" w14:paraId="2437DBEF" w14:textId="77777777">
          <w:pPr>
            <w:tabs>
              <w:tab w:val="right" w:pos="8838"/>
            </w:tabs>
            <w:ind w:left="-28" w:right="683"/>
            <w:rPr>
              <w:rFonts w:eastAsia="Calibri" w:cs="Tahoma"/>
            </w:rPr>
          </w:pPr>
          <w:r w:rsidRPr="00A8173F">
            <w:rPr>
              <w:rFonts w:eastAsia="Calibri" w:cs="Tahoma"/>
              <w:lang w:val="es-MX"/>
            </w:rPr>
            <w:t>04196/INFOEM/IP/RR/2020</w:t>
          </w:r>
        </w:p>
      </w:tc>
    </w:tr>
    <w:tr w:rsidR="00D56700" w:rsidTr="00D01D6E" w14:paraId="7E7215F6" w14:textId="77777777">
      <w:trPr>
        <w:trHeight w:val="276"/>
      </w:trPr>
      <w:tc>
        <w:tcPr>
          <w:tcW w:w="2404" w:type="dxa"/>
        </w:tcPr>
        <w:p w:rsidRPr="001B5FB6" w:rsidR="00D56700" w:rsidP="00D01D6E" w:rsidRDefault="00D56700" w14:paraId="42BA4D0C"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D56700" w:rsidP="00D01D6E" w:rsidRDefault="00D56700" w14:paraId="002AA113" w14:textId="77777777">
          <w:pPr>
            <w:tabs>
              <w:tab w:val="right" w:pos="8838"/>
            </w:tabs>
            <w:ind w:right="116"/>
            <w:rPr>
              <w:rFonts w:eastAsia="Calibri" w:cs="Tahoma"/>
              <w:lang w:val="es-MX"/>
            </w:rPr>
          </w:pPr>
          <w:r w:rsidRPr="00A8173F">
            <w:rPr>
              <w:rFonts w:eastAsia="Calibri" w:cs="Tahoma"/>
              <w:lang w:val="es-MX"/>
            </w:rPr>
            <w:t>Ayuntamiento de Chapultepec</w:t>
          </w:r>
        </w:p>
      </w:tc>
    </w:tr>
    <w:tr w:rsidR="00D56700" w:rsidTr="00D01D6E" w14:paraId="58EABBCD" w14:textId="77777777">
      <w:trPr>
        <w:trHeight w:val="276"/>
      </w:trPr>
      <w:tc>
        <w:tcPr>
          <w:tcW w:w="2404" w:type="dxa"/>
        </w:tcPr>
        <w:p w:rsidRPr="001B5FB6" w:rsidR="00D56700" w:rsidP="00D01D6E" w:rsidRDefault="00D56700" w14:paraId="79C18A2E"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D56700" w:rsidP="00D01D6E" w:rsidRDefault="00D56700" w14:paraId="10DF130E"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D56700" w:rsidRDefault="00763742" w14:paraId="40339EC2" w14:textId="77777777">
    <w:pPr>
      <w:pStyle w:val="Encabezado"/>
    </w:pPr>
    <w:r>
      <w:rPr>
        <w:noProof/>
      </w:rPr>
      <w:pict w14:anchorId="1CB787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408"/>
    </w:tblGrid>
    <w:tr w:rsidR="00D56700" w:rsidTr="00D33E1E" w14:paraId="4252B107" w14:textId="77777777">
      <w:trPr>
        <w:trHeight w:val="141"/>
      </w:trPr>
      <w:tc>
        <w:tcPr>
          <w:tcW w:w="2404" w:type="dxa"/>
        </w:tcPr>
        <w:p w:rsidRPr="001B5FB6" w:rsidR="00D56700" w:rsidP="00D01D6E" w:rsidRDefault="00D56700" w14:paraId="1985B3B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408" w:type="dxa"/>
        </w:tcPr>
        <w:p w:rsidRPr="00C853D1" w:rsidR="00D56700" w:rsidP="00D01D6E" w:rsidRDefault="00D56700" w14:paraId="394C61DA" w14:textId="1811A86B">
          <w:pPr>
            <w:tabs>
              <w:tab w:val="right" w:pos="8838"/>
            </w:tabs>
            <w:ind w:left="-28" w:right="454"/>
            <w:rPr>
              <w:rFonts w:eastAsia="Calibri" w:cs="Tahoma"/>
            </w:rPr>
          </w:pPr>
          <w:r>
            <w:rPr>
              <w:rFonts w:eastAsia="Calibri" w:cs="Tahoma"/>
              <w:lang w:val="es-MX"/>
            </w:rPr>
            <w:t>10091</w:t>
          </w:r>
          <w:r w:rsidRPr="00D33E1E">
            <w:rPr>
              <w:rFonts w:eastAsia="Calibri" w:cs="Tahoma"/>
              <w:lang w:val="es-MX"/>
            </w:rPr>
            <w:t>/INFOEM/IP/RR/2022</w:t>
          </w:r>
        </w:p>
      </w:tc>
    </w:tr>
    <w:tr w:rsidR="00D56700" w:rsidTr="00D33E1E" w14:paraId="3621EFE6" w14:textId="77777777">
      <w:trPr>
        <w:trHeight w:val="276"/>
      </w:trPr>
      <w:tc>
        <w:tcPr>
          <w:tcW w:w="2404" w:type="dxa"/>
        </w:tcPr>
        <w:p w:rsidRPr="001B5FB6" w:rsidR="00D56700" w:rsidP="00D01D6E" w:rsidRDefault="00D56700" w14:paraId="795E224C" w14:textId="77777777">
          <w:pPr>
            <w:tabs>
              <w:tab w:val="right" w:pos="8838"/>
            </w:tabs>
            <w:ind w:right="-105"/>
            <w:rPr>
              <w:rFonts w:eastAsia="Calibri" w:cs="Tahoma"/>
              <w:b/>
              <w:lang w:val="es-MX"/>
            </w:rPr>
          </w:pPr>
          <w:r w:rsidRPr="001B5FB6">
            <w:rPr>
              <w:rFonts w:eastAsia="Calibri" w:cs="Tahoma"/>
              <w:b/>
              <w:lang w:val="es-MX"/>
            </w:rPr>
            <w:t>Sujeto Obligado:</w:t>
          </w:r>
        </w:p>
      </w:tc>
      <w:tc>
        <w:tcPr>
          <w:tcW w:w="3408" w:type="dxa"/>
        </w:tcPr>
        <w:p w:rsidRPr="00A8173F" w:rsidR="00D56700" w:rsidP="00D33E1E" w:rsidRDefault="00D56700" w14:paraId="2B56A5C3" w14:textId="39F2879B">
          <w:pPr>
            <w:tabs>
              <w:tab w:val="right" w:pos="8838"/>
            </w:tabs>
            <w:ind w:right="459"/>
            <w:rPr>
              <w:rFonts w:eastAsia="Calibri" w:cs="Tahoma"/>
              <w:lang w:val="es-MX"/>
            </w:rPr>
          </w:pPr>
          <w:r w:rsidRPr="00D33E1E">
            <w:rPr>
              <w:rFonts w:eastAsia="Calibri" w:cs="Tahoma"/>
              <w:lang w:val="es-MX"/>
            </w:rPr>
            <w:t>Secretarí</w:t>
          </w:r>
          <w:r>
            <w:rPr>
              <w:rFonts w:eastAsia="Calibri" w:cs="Tahoma"/>
              <w:lang w:val="es-MX"/>
            </w:rPr>
            <w:t>a del Trabajo</w:t>
          </w:r>
        </w:p>
      </w:tc>
    </w:tr>
    <w:tr w:rsidR="00D56700" w:rsidTr="00D33E1E" w14:paraId="416E8878" w14:textId="77777777">
      <w:trPr>
        <w:trHeight w:val="276"/>
      </w:trPr>
      <w:tc>
        <w:tcPr>
          <w:tcW w:w="2404" w:type="dxa"/>
        </w:tcPr>
        <w:p w:rsidRPr="001B5FB6" w:rsidR="00D56700" w:rsidP="00D01D6E" w:rsidRDefault="00D56700" w14:paraId="4EFD1E06" w14:textId="77777777">
          <w:pPr>
            <w:tabs>
              <w:tab w:val="right" w:pos="8838"/>
            </w:tabs>
            <w:ind w:right="-105"/>
            <w:rPr>
              <w:rFonts w:eastAsia="Calibri" w:cs="Tahoma"/>
              <w:b/>
              <w:lang w:val="es-MX"/>
            </w:rPr>
          </w:pPr>
          <w:r w:rsidRPr="001B5FB6">
            <w:rPr>
              <w:rFonts w:eastAsia="Calibri" w:cs="Tahoma"/>
              <w:b/>
              <w:lang w:val="es-MX"/>
            </w:rPr>
            <w:t>Comisionado Ponente:</w:t>
          </w:r>
        </w:p>
      </w:tc>
      <w:tc>
        <w:tcPr>
          <w:tcW w:w="3408" w:type="dxa"/>
        </w:tcPr>
        <w:p w:rsidRPr="00A8173F" w:rsidR="00D56700" w:rsidP="00D01D6E" w:rsidRDefault="00D56700" w14:paraId="5F75B35B"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D56700" w:rsidRDefault="00763742" w14:paraId="48763856" w14:textId="77777777">
    <w:pPr>
      <w:pStyle w:val="Encabezado"/>
    </w:pPr>
    <w:r>
      <w:rPr>
        <w:noProof/>
      </w:rPr>
      <w:pict w14:anchorId="47D4146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D56700" w:rsidTr="3D706789" w14:paraId="29710DCA" w14:textId="77777777">
      <w:trPr>
        <w:trHeight w:val="1546"/>
      </w:trPr>
      <w:tc>
        <w:tcPr>
          <w:tcW w:w="2127" w:type="dxa"/>
          <w:shd w:val="clear" w:color="auto" w:fill="auto"/>
          <w:tcMar/>
        </w:tcPr>
        <w:p w:rsidRPr="005C106F" w:rsidR="00D56700" w:rsidP="00D01D6E" w:rsidRDefault="00D56700" w14:paraId="609307A1"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095" w:type="dxa"/>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44"/>
            <w:gridCol w:w="3551"/>
          </w:tblGrid>
          <w:tr w:rsidR="00D56700" w:rsidTr="3D706789" w14:paraId="05ACF8CB" w14:textId="77777777">
            <w:trPr>
              <w:trHeight w:val="141"/>
            </w:trPr>
            <w:tc>
              <w:tcPr>
                <w:tcW w:w="2544" w:type="dxa"/>
                <w:tcMar/>
                <w:vAlign w:val="bottom"/>
              </w:tcPr>
              <w:p w:rsidRPr="001B5FB6" w:rsidR="00D56700" w:rsidP="00D01D6E" w:rsidRDefault="00D56700" w14:paraId="0398967D"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51" w:type="dxa"/>
                <w:tcMar/>
              </w:tcPr>
              <w:p w:rsidRPr="00C853D1" w:rsidR="00D56700" w:rsidP="00D01D6E" w:rsidRDefault="00D56700" w14:paraId="0FD1FB93" w14:textId="76AD62EB">
                <w:pPr>
                  <w:tabs>
                    <w:tab w:val="right" w:pos="8838"/>
                  </w:tabs>
                  <w:ind w:left="-28" w:right="-107"/>
                  <w:rPr>
                    <w:rFonts w:eastAsia="Calibri" w:cs="Tahoma"/>
                  </w:rPr>
                </w:pPr>
                <w:r>
                  <w:rPr>
                    <w:rFonts w:eastAsia="Calibri" w:cs="Tahoma"/>
                    <w:lang w:val="es-MX"/>
                  </w:rPr>
                  <w:t>10091</w:t>
                </w:r>
                <w:r w:rsidRPr="00D33E1E">
                  <w:rPr>
                    <w:rFonts w:eastAsia="Calibri" w:cs="Tahoma"/>
                    <w:lang w:val="es-MX"/>
                  </w:rPr>
                  <w:t>/INFOEM/IP/RR/2022</w:t>
                </w:r>
              </w:p>
            </w:tc>
          </w:tr>
          <w:tr w:rsidR="00D56700" w:rsidTr="3D706789" w14:paraId="6A0AED58" w14:textId="77777777">
            <w:trPr>
              <w:trHeight w:val="141"/>
            </w:trPr>
            <w:tc>
              <w:tcPr>
                <w:tcW w:w="2544" w:type="dxa"/>
                <w:tcMar/>
              </w:tcPr>
              <w:p w:rsidRPr="001B5FB6" w:rsidR="00D56700" w:rsidP="00D01D6E" w:rsidRDefault="00D56700" w14:paraId="57D134AC" w14:textId="77777777">
                <w:pPr>
                  <w:tabs>
                    <w:tab w:val="right" w:pos="8838"/>
                  </w:tabs>
                  <w:ind w:right="-105"/>
                  <w:rPr>
                    <w:rFonts w:eastAsia="Calibri" w:cs="Tahoma"/>
                    <w:b/>
                    <w:lang w:val="es-MX"/>
                  </w:rPr>
                </w:pPr>
                <w:r w:rsidRPr="001B5FB6">
                  <w:rPr>
                    <w:rFonts w:eastAsia="Calibri" w:cs="Tahoma"/>
                    <w:b/>
                    <w:lang w:val="es-MX"/>
                  </w:rPr>
                  <w:t>Recurrente:</w:t>
                </w:r>
              </w:p>
            </w:tc>
            <w:tc>
              <w:tcPr>
                <w:tcW w:w="3551" w:type="dxa"/>
                <w:tcMar/>
              </w:tcPr>
              <w:p w:rsidRPr="003405AF" w:rsidR="00D56700" w:rsidP="3D706789" w:rsidRDefault="002E0665" w14:paraId="0FDE9BC7" w14:textId="2C92F063">
                <w:pPr>
                  <w:tabs>
                    <w:tab w:val="right" w:pos="8838"/>
                  </w:tabs>
                  <w:ind w:right="-107"/>
                  <w:rPr>
                    <w:rFonts w:eastAsia="Calibri" w:cs="Tahoma"/>
                    <w:highlight w:val="black"/>
                    <w:lang w:val="es-MX"/>
                  </w:rPr>
                </w:pPr>
                <w:r w:rsidRPr="3D706789" w:rsidR="3D706789">
                  <w:rPr>
                    <w:rFonts w:eastAsia="Calibri" w:cs="Tahoma"/>
                    <w:highlight w:val="black"/>
                    <w:lang w:val="es-MX"/>
                  </w:rPr>
                  <w:t>XXXXXXXXXXXXXXXXXXXXX</w:t>
                </w:r>
              </w:p>
            </w:tc>
          </w:tr>
          <w:tr w:rsidR="00D56700" w:rsidTr="3D706789" w14:paraId="32C30DF5" w14:textId="77777777">
            <w:trPr>
              <w:trHeight w:val="276"/>
            </w:trPr>
            <w:tc>
              <w:tcPr>
                <w:tcW w:w="2544" w:type="dxa"/>
                <w:tcMar/>
              </w:tcPr>
              <w:p w:rsidRPr="001B5FB6" w:rsidR="00D56700" w:rsidP="00D01D6E" w:rsidRDefault="00D56700" w14:paraId="404030D2" w14:textId="77777777">
                <w:pPr>
                  <w:tabs>
                    <w:tab w:val="right" w:pos="8838"/>
                  </w:tabs>
                  <w:ind w:right="-105"/>
                  <w:rPr>
                    <w:rFonts w:eastAsia="Calibri" w:cs="Tahoma"/>
                    <w:b/>
                    <w:lang w:val="es-MX"/>
                  </w:rPr>
                </w:pPr>
                <w:r w:rsidRPr="001B5FB6">
                  <w:rPr>
                    <w:rFonts w:eastAsia="Calibri" w:cs="Tahoma"/>
                    <w:b/>
                    <w:lang w:val="es-MX"/>
                  </w:rPr>
                  <w:t>Sujeto Obligado:</w:t>
                </w:r>
              </w:p>
            </w:tc>
            <w:tc>
              <w:tcPr>
                <w:tcW w:w="3551" w:type="dxa"/>
                <w:tcMar/>
              </w:tcPr>
              <w:p w:rsidRPr="00C853D1" w:rsidR="00D56700" w:rsidP="002C1AF1" w:rsidRDefault="00D56700" w14:paraId="799DB8AF" w14:textId="1758665E">
                <w:pPr>
                  <w:tabs>
                    <w:tab w:val="right" w:pos="8838"/>
                  </w:tabs>
                  <w:ind w:right="-107"/>
                  <w:rPr>
                    <w:rFonts w:eastAsia="Calibri" w:cs="Tahoma"/>
                    <w:lang w:val="es-MX"/>
                  </w:rPr>
                </w:pPr>
                <w:r>
                  <w:rPr>
                    <w:rFonts w:eastAsia="Calibri" w:cs="Tahoma"/>
                  </w:rPr>
                  <w:t>Secretaría del Trabajo</w:t>
                </w:r>
              </w:p>
            </w:tc>
          </w:tr>
          <w:tr w:rsidR="00D56700" w:rsidTr="3D706789" w14:paraId="0CB1124D" w14:textId="77777777">
            <w:trPr>
              <w:trHeight w:val="276"/>
            </w:trPr>
            <w:tc>
              <w:tcPr>
                <w:tcW w:w="2544" w:type="dxa"/>
                <w:tcMar/>
              </w:tcPr>
              <w:p w:rsidRPr="001B5FB6" w:rsidR="00D56700" w:rsidP="00D01D6E" w:rsidRDefault="00D56700" w14:paraId="7FFB378F" w14:textId="77777777">
                <w:pPr>
                  <w:tabs>
                    <w:tab w:val="right" w:pos="8838"/>
                  </w:tabs>
                  <w:ind w:right="-105"/>
                  <w:rPr>
                    <w:rFonts w:eastAsia="Calibri" w:cs="Tahoma"/>
                    <w:b/>
                    <w:lang w:val="es-MX"/>
                  </w:rPr>
                </w:pPr>
                <w:r w:rsidRPr="001B5FB6">
                  <w:rPr>
                    <w:rFonts w:eastAsia="Calibri" w:cs="Tahoma"/>
                    <w:b/>
                    <w:lang w:val="es-MX"/>
                  </w:rPr>
                  <w:t>Comisionado Ponente:</w:t>
                </w:r>
              </w:p>
            </w:tc>
            <w:tc>
              <w:tcPr>
                <w:tcW w:w="3551" w:type="dxa"/>
                <w:tcMar/>
              </w:tcPr>
              <w:p w:rsidRPr="00A8173F" w:rsidR="00D56700" w:rsidP="00D01D6E" w:rsidRDefault="00D56700" w14:paraId="638F54B2"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D56700" w:rsidP="00D01D6E" w:rsidRDefault="00D56700" w14:paraId="0017BB17" w14:textId="77777777">
          <w:pPr>
            <w:tabs>
              <w:tab w:val="right" w:pos="8838"/>
            </w:tabs>
            <w:ind w:left="-28"/>
            <w:rPr>
              <w:rFonts w:ascii="Arial" w:hAnsi="Arial" w:eastAsia="Calibri" w:cs="Arial"/>
              <w:b/>
            </w:rPr>
          </w:pPr>
        </w:p>
      </w:tc>
    </w:tr>
  </w:tbl>
  <w:p w:rsidR="00D56700" w:rsidRDefault="00763742" w14:paraId="712ACD35" w14:textId="77777777">
    <w:pPr>
      <w:pStyle w:val="Encabezado"/>
    </w:pPr>
    <w:r>
      <w:rPr>
        <w:noProof/>
      </w:rPr>
      <w:pict w14:anchorId="2E1F942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88.1pt;margin-top:-141.1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2FD0"/>
    <w:multiLevelType w:val="hybridMultilevel"/>
    <w:tmpl w:val="073E1A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D95328F"/>
    <w:multiLevelType w:val="hybridMultilevel"/>
    <w:tmpl w:val="940AD8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49E2D4B"/>
    <w:multiLevelType w:val="hybridMultilevel"/>
    <w:tmpl w:val="78002EB8"/>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5B7311"/>
    <w:multiLevelType w:val="hybridMultilevel"/>
    <w:tmpl w:val="2BE4189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3D9F47C7"/>
    <w:multiLevelType w:val="hybridMultilevel"/>
    <w:tmpl w:val="06DED06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3EF8610E"/>
    <w:multiLevelType w:val="hybridMultilevel"/>
    <w:tmpl w:val="3078E4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9E0377"/>
    <w:multiLevelType w:val="hybridMultilevel"/>
    <w:tmpl w:val="0FE07D72"/>
    <w:lvl w:ilvl="0" w:tplc="080A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5206E7"/>
    <w:multiLevelType w:val="hybridMultilevel"/>
    <w:tmpl w:val="046850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10" w15:restartNumberingAfterBreak="0">
    <w:nsid w:val="5B482770"/>
    <w:multiLevelType w:val="hybridMultilevel"/>
    <w:tmpl w:val="388265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76947CB"/>
    <w:multiLevelType w:val="hybridMultilevel"/>
    <w:tmpl w:val="DA5CB7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0"/>
  </w:num>
  <w:num w:numId="6">
    <w:abstractNumId w:val="4"/>
  </w:num>
  <w:num w:numId="7">
    <w:abstractNumId w:val="9"/>
  </w:num>
  <w:num w:numId="8">
    <w:abstractNumId w:val="2"/>
  </w:num>
  <w:num w:numId="9">
    <w:abstractNumId w:val="10"/>
  </w:num>
  <w:num w:numId="10">
    <w:abstractNumId w:val="6"/>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1E"/>
    <w:rsid w:val="0001305B"/>
    <w:rsid w:val="000818EB"/>
    <w:rsid w:val="00081936"/>
    <w:rsid w:val="000871BA"/>
    <w:rsid w:val="000A6CA3"/>
    <w:rsid w:val="000B0731"/>
    <w:rsid w:val="000B2098"/>
    <w:rsid w:val="000E779E"/>
    <w:rsid w:val="00106E90"/>
    <w:rsid w:val="00123185"/>
    <w:rsid w:val="001435A1"/>
    <w:rsid w:val="001918B9"/>
    <w:rsid w:val="002858EF"/>
    <w:rsid w:val="002A1E66"/>
    <w:rsid w:val="002A7984"/>
    <w:rsid w:val="002C1AF1"/>
    <w:rsid w:val="002E0665"/>
    <w:rsid w:val="002F7FBC"/>
    <w:rsid w:val="003060F6"/>
    <w:rsid w:val="0031035D"/>
    <w:rsid w:val="00335999"/>
    <w:rsid w:val="003567B3"/>
    <w:rsid w:val="003D3AFE"/>
    <w:rsid w:val="00413375"/>
    <w:rsid w:val="00436379"/>
    <w:rsid w:val="00462036"/>
    <w:rsid w:val="00486458"/>
    <w:rsid w:val="004D075B"/>
    <w:rsid w:val="004D5428"/>
    <w:rsid w:val="0051730F"/>
    <w:rsid w:val="0053306D"/>
    <w:rsid w:val="00537A47"/>
    <w:rsid w:val="00562452"/>
    <w:rsid w:val="0056654D"/>
    <w:rsid w:val="00585CFB"/>
    <w:rsid w:val="005C4C3F"/>
    <w:rsid w:val="005D0D84"/>
    <w:rsid w:val="005F5033"/>
    <w:rsid w:val="00601F7E"/>
    <w:rsid w:val="00603D49"/>
    <w:rsid w:val="00606096"/>
    <w:rsid w:val="00613D5D"/>
    <w:rsid w:val="00620A59"/>
    <w:rsid w:val="00630773"/>
    <w:rsid w:val="0066608C"/>
    <w:rsid w:val="00683249"/>
    <w:rsid w:val="00687D81"/>
    <w:rsid w:val="006F7232"/>
    <w:rsid w:val="007068C3"/>
    <w:rsid w:val="007119C4"/>
    <w:rsid w:val="00754322"/>
    <w:rsid w:val="00763742"/>
    <w:rsid w:val="007E0AB2"/>
    <w:rsid w:val="007F135F"/>
    <w:rsid w:val="007F6380"/>
    <w:rsid w:val="0080762C"/>
    <w:rsid w:val="008534A9"/>
    <w:rsid w:val="00882A3A"/>
    <w:rsid w:val="008F62FA"/>
    <w:rsid w:val="00996DD6"/>
    <w:rsid w:val="009C5ED7"/>
    <w:rsid w:val="009D4F14"/>
    <w:rsid w:val="009E5C7C"/>
    <w:rsid w:val="00A73538"/>
    <w:rsid w:val="00A8757B"/>
    <w:rsid w:val="00AB0A48"/>
    <w:rsid w:val="00AF717D"/>
    <w:rsid w:val="00B0264A"/>
    <w:rsid w:val="00B243FE"/>
    <w:rsid w:val="00B26909"/>
    <w:rsid w:val="00B26A67"/>
    <w:rsid w:val="00B5631F"/>
    <w:rsid w:val="00B571FF"/>
    <w:rsid w:val="00B63153"/>
    <w:rsid w:val="00B761D1"/>
    <w:rsid w:val="00B85A82"/>
    <w:rsid w:val="00BA38AB"/>
    <w:rsid w:val="00BE0163"/>
    <w:rsid w:val="00BF6E9C"/>
    <w:rsid w:val="00C53CFA"/>
    <w:rsid w:val="00C713C2"/>
    <w:rsid w:val="00D01D6E"/>
    <w:rsid w:val="00D33E1E"/>
    <w:rsid w:val="00D56700"/>
    <w:rsid w:val="00D637CC"/>
    <w:rsid w:val="00D97AE8"/>
    <w:rsid w:val="00DE6F61"/>
    <w:rsid w:val="00E4438F"/>
    <w:rsid w:val="00E46064"/>
    <w:rsid w:val="00E46128"/>
    <w:rsid w:val="00E46E6F"/>
    <w:rsid w:val="00E52F80"/>
    <w:rsid w:val="00E63D70"/>
    <w:rsid w:val="00E73D8E"/>
    <w:rsid w:val="00E74827"/>
    <w:rsid w:val="00E74890"/>
    <w:rsid w:val="00E81DBD"/>
    <w:rsid w:val="00E90AEE"/>
    <w:rsid w:val="00E94B00"/>
    <w:rsid w:val="00EC375F"/>
    <w:rsid w:val="00ED212B"/>
    <w:rsid w:val="00F426C0"/>
    <w:rsid w:val="00F46443"/>
    <w:rsid w:val="00F464A2"/>
    <w:rsid w:val="00F72A01"/>
    <w:rsid w:val="00F7466B"/>
    <w:rsid w:val="00F816C1"/>
    <w:rsid w:val="00FB1AB2"/>
    <w:rsid w:val="00FB5F11"/>
    <w:rsid w:val="00FE45C5"/>
    <w:rsid w:val="00FF09C8"/>
    <w:rsid w:val="3D7067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703DA3"/>
  <w15:chartTrackingRefBased/>
  <w15:docId w15:val="{E25DC809-C568-4358-9DD4-61F78644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6A6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33E1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33E1E"/>
    <w:rPr>
      <w:rFonts w:ascii="Palatino Linotype" w:hAnsi="Palatino Linotype"/>
      <w:color w:val="000000" w:themeColor="text1"/>
    </w:rPr>
  </w:style>
  <w:style w:type="paragraph" w:styleId="Piedepgina">
    <w:name w:val="footer"/>
    <w:basedOn w:val="Normal"/>
    <w:link w:val="PiedepginaCar"/>
    <w:uiPriority w:val="99"/>
    <w:unhideWhenUsed/>
    <w:rsid w:val="00D33E1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33E1E"/>
    <w:rPr>
      <w:rFonts w:ascii="Palatino Linotype" w:hAnsi="Palatino Linotype"/>
      <w:color w:val="000000" w:themeColor="text1"/>
    </w:rPr>
  </w:style>
  <w:style w:type="table" w:styleId="Tablaconcuadrcula">
    <w:name w:val="Table Grid"/>
    <w:basedOn w:val="Tablanormal"/>
    <w:uiPriority w:val="39"/>
    <w:rsid w:val="00D33E1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33E1E"/>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3E1E"/>
    <w:pPr>
      <w:spacing w:after="0" w:line="240" w:lineRule="auto"/>
      <w:ind w:left="720"/>
      <w:contextualSpacing/>
    </w:pPr>
    <w:rPr>
      <w:rFonts w:eastAsia="Times New Roman" w:cs="Times New Roman"/>
      <w:szCs w:val="24"/>
      <w:lang w:eastAsia="es-ES"/>
    </w:rPr>
  </w:style>
  <w:style w:type="character" w:styleId="Hipervnculo">
    <w:name w:val="Hyperlink"/>
    <w:basedOn w:val="Fuentedeprrafopredeter"/>
    <w:uiPriority w:val="99"/>
    <w:unhideWhenUsed/>
    <w:rsid w:val="00AB0A48"/>
    <w:rPr>
      <w:color w:val="0563C1" w:themeColor="hyperlink"/>
      <w:u w:val="single"/>
    </w:rPr>
  </w:style>
  <w:style w:type="character" w:styleId="Mencinsinresolver1" w:customStyle="1">
    <w:name w:val="Mención sin resolver1"/>
    <w:basedOn w:val="Fuentedeprrafopredeter"/>
    <w:uiPriority w:val="99"/>
    <w:semiHidden/>
    <w:unhideWhenUsed/>
    <w:rsid w:val="00AB0A48"/>
    <w:rPr>
      <w:color w:val="605E5C"/>
      <w:shd w:val="clear" w:color="auto" w:fill="E1DFDD"/>
    </w:rPr>
  </w:style>
  <w:style w:type="paragraph" w:styleId="Textosinformato">
    <w:name w:val="Plain Text"/>
    <w:basedOn w:val="Normal"/>
    <w:link w:val="TextosinformatoCar"/>
    <w:semiHidden/>
    <w:rsid w:val="000E779E"/>
    <w:pPr>
      <w:spacing w:after="0" w:line="240" w:lineRule="auto"/>
      <w:jc w:val="left"/>
    </w:pPr>
    <w:rPr>
      <w:rFonts w:ascii="Bookman Old Style" w:hAnsi="Bookman Old Style" w:eastAsia="Times New Roman" w:cs="Times New Roman"/>
      <w:snapToGrid w:val="0"/>
      <w:color w:val="auto"/>
      <w:sz w:val="20"/>
      <w:szCs w:val="20"/>
      <w:lang w:val="es-ES" w:eastAsia="es-ES"/>
    </w:rPr>
  </w:style>
  <w:style w:type="character" w:styleId="TextosinformatoCar" w:customStyle="1">
    <w:name w:val="Texto sin formato Car"/>
    <w:basedOn w:val="Fuentedeprrafopredeter"/>
    <w:link w:val="Textosinformato"/>
    <w:semiHidden/>
    <w:rsid w:val="000E779E"/>
    <w:rPr>
      <w:rFonts w:ascii="Bookman Old Style" w:hAnsi="Bookman Old Style" w:eastAsia="Times New Roman" w:cs="Times New Roman"/>
      <w:snapToGrid w:val="0"/>
      <w:sz w:val="20"/>
      <w:szCs w:val="20"/>
      <w:lang w:val="es-ES" w:eastAsia="es-ES"/>
    </w:rPr>
  </w:style>
  <w:style w:type="character" w:styleId="UnresolvedMention" w:customStyle="1">
    <w:name w:val="Unresolved Mention"/>
    <w:basedOn w:val="Fuentedeprrafopredeter"/>
    <w:uiPriority w:val="99"/>
    <w:semiHidden/>
    <w:unhideWhenUsed/>
    <w:rsid w:val="00B26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6685">
      <w:bodyDiv w:val="1"/>
      <w:marLeft w:val="0"/>
      <w:marRight w:val="0"/>
      <w:marTop w:val="0"/>
      <w:marBottom w:val="0"/>
      <w:divBdr>
        <w:top w:val="none" w:sz="0" w:space="0" w:color="auto"/>
        <w:left w:val="none" w:sz="0" w:space="0" w:color="auto"/>
        <w:bottom w:val="none" w:sz="0" w:space="0" w:color="auto"/>
        <w:right w:val="none" w:sz="0" w:space="0" w:color="auto"/>
      </w:divBdr>
    </w:div>
    <w:div w:id="77334104">
      <w:bodyDiv w:val="1"/>
      <w:marLeft w:val="0"/>
      <w:marRight w:val="0"/>
      <w:marTop w:val="0"/>
      <w:marBottom w:val="0"/>
      <w:divBdr>
        <w:top w:val="none" w:sz="0" w:space="0" w:color="auto"/>
        <w:left w:val="none" w:sz="0" w:space="0" w:color="auto"/>
        <w:bottom w:val="none" w:sz="0" w:space="0" w:color="auto"/>
        <w:right w:val="none" w:sz="0" w:space="0" w:color="auto"/>
      </w:divBdr>
    </w:div>
    <w:div w:id="92477797">
      <w:bodyDiv w:val="1"/>
      <w:marLeft w:val="0"/>
      <w:marRight w:val="0"/>
      <w:marTop w:val="0"/>
      <w:marBottom w:val="0"/>
      <w:divBdr>
        <w:top w:val="none" w:sz="0" w:space="0" w:color="auto"/>
        <w:left w:val="none" w:sz="0" w:space="0" w:color="auto"/>
        <w:bottom w:val="none" w:sz="0" w:space="0" w:color="auto"/>
        <w:right w:val="none" w:sz="0" w:space="0" w:color="auto"/>
      </w:divBdr>
      <w:divsChild>
        <w:div w:id="44571709">
          <w:marLeft w:val="0"/>
          <w:marRight w:val="0"/>
          <w:marTop w:val="0"/>
          <w:marBottom w:val="0"/>
          <w:divBdr>
            <w:top w:val="none" w:sz="0" w:space="0" w:color="auto"/>
            <w:left w:val="none" w:sz="0" w:space="0" w:color="auto"/>
            <w:bottom w:val="none" w:sz="0" w:space="0" w:color="auto"/>
            <w:right w:val="none" w:sz="0" w:space="0" w:color="auto"/>
          </w:divBdr>
          <w:divsChild>
            <w:div w:id="371344299">
              <w:marLeft w:val="0"/>
              <w:marRight w:val="0"/>
              <w:marTop w:val="0"/>
              <w:marBottom w:val="0"/>
              <w:divBdr>
                <w:top w:val="none" w:sz="0" w:space="0" w:color="auto"/>
                <w:left w:val="none" w:sz="0" w:space="0" w:color="auto"/>
                <w:bottom w:val="none" w:sz="0" w:space="0" w:color="auto"/>
                <w:right w:val="none" w:sz="0" w:space="0" w:color="auto"/>
              </w:divBdr>
              <w:divsChild>
                <w:div w:id="2054695592">
                  <w:marLeft w:val="0"/>
                  <w:marRight w:val="0"/>
                  <w:marTop w:val="0"/>
                  <w:marBottom w:val="0"/>
                  <w:divBdr>
                    <w:top w:val="none" w:sz="0" w:space="0" w:color="auto"/>
                    <w:left w:val="none" w:sz="0" w:space="0" w:color="auto"/>
                    <w:bottom w:val="none" w:sz="0" w:space="0" w:color="auto"/>
                    <w:right w:val="none" w:sz="0" w:space="0" w:color="auto"/>
                  </w:divBdr>
                  <w:divsChild>
                    <w:div w:id="781337318">
                      <w:marLeft w:val="0"/>
                      <w:marRight w:val="0"/>
                      <w:marTop w:val="0"/>
                      <w:marBottom w:val="0"/>
                      <w:divBdr>
                        <w:top w:val="none" w:sz="0" w:space="0" w:color="auto"/>
                        <w:left w:val="none" w:sz="0" w:space="0" w:color="auto"/>
                        <w:bottom w:val="none" w:sz="0" w:space="0" w:color="auto"/>
                        <w:right w:val="none" w:sz="0" w:space="0" w:color="auto"/>
                      </w:divBdr>
                      <w:divsChild>
                        <w:div w:id="433938870">
                          <w:marLeft w:val="0"/>
                          <w:marRight w:val="0"/>
                          <w:marTop w:val="0"/>
                          <w:marBottom w:val="0"/>
                          <w:divBdr>
                            <w:top w:val="none" w:sz="0" w:space="0" w:color="auto"/>
                            <w:left w:val="none" w:sz="0" w:space="0" w:color="auto"/>
                            <w:bottom w:val="none" w:sz="0" w:space="0" w:color="auto"/>
                            <w:right w:val="none" w:sz="0" w:space="0" w:color="auto"/>
                          </w:divBdr>
                          <w:divsChild>
                            <w:div w:id="616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8005">
      <w:bodyDiv w:val="1"/>
      <w:marLeft w:val="0"/>
      <w:marRight w:val="0"/>
      <w:marTop w:val="0"/>
      <w:marBottom w:val="0"/>
      <w:divBdr>
        <w:top w:val="none" w:sz="0" w:space="0" w:color="auto"/>
        <w:left w:val="none" w:sz="0" w:space="0" w:color="auto"/>
        <w:bottom w:val="none" w:sz="0" w:space="0" w:color="auto"/>
        <w:right w:val="none" w:sz="0" w:space="0" w:color="auto"/>
      </w:divBdr>
    </w:div>
    <w:div w:id="244657595">
      <w:bodyDiv w:val="1"/>
      <w:marLeft w:val="0"/>
      <w:marRight w:val="0"/>
      <w:marTop w:val="0"/>
      <w:marBottom w:val="0"/>
      <w:divBdr>
        <w:top w:val="none" w:sz="0" w:space="0" w:color="auto"/>
        <w:left w:val="none" w:sz="0" w:space="0" w:color="auto"/>
        <w:bottom w:val="none" w:sz="0" w:space="0" w:color="auto"/>
        <w:right w:val="none" w:sz="0" w:space="0" w:color="auto"/>
      </w:divBdr>
    </w:div>
    <w:div w:id="462962622">
      <w:bodyDiv w:val="1"/>
      <w:marLeft w:val="0"/>
      <w:marRight w:val="0"/>
      <w:marTop w:val="0"/>
      <w:marBottom w:val="0"/>
      <w:divBdr>
        <w:top w:val="none" w:sz="0" w:space="0" w:color="auto"/>
        <w:left w:val="none" w:sz="0" w:space="0" w:color="auto"/>
        <w:bottom w:val="none" w:sz="0" w:space="0" w:color="auto"/>
        <w:right w:val="none" w:sz="0" w:space="0" w:color="auto"/>
      </w:divBdr>
    </w:div>
    <w:div w:id="610666577">
      <w:bodyDiv w:val="1"/>
      <w:marLeft w:val="0"/>
      <w:marRight w:val="0"/>
      <w:marTop w:val="0"/>
      <w:marBottom w:val="0"/>
      <w:divBdr>
        <w:top w:val="none" w:sz="0" w:space="0" w:color="auto"/>
        <w:left w:val="none" w:sz="0" w:space="0" w:color="auto"/>
        <w:bottom w:val="none" w:sz="0" w:space="0" w:color="auto"/>
        <w:right w:val="none" w:sz="0" w:space="0" w:color="auto"/>
      </w:divBdr>
    </w:div>
    <w:div w:id="619452414">
      <w:bodyDiv w:val="1"/>
      <w:marLeft w:val="0"/>
      <w:marRight w:val="0"/>
      <w:marTop w:val="0"/>
      <w:marBottom w:val="0"/>
      <w:divBdr>
        <w:top w:val="none" w:sz="0" w:space="0" w:color="auto"/>
        <w:left w:val="none" w:sz="0" w:space="0" w:color="auto"/>
        <w:bottom w:val="none" w:sz="0" w:space="0" w:color="auto"/>
        <w:right w:val="none" w:sz="0" w:space="0" w:color="auto"/>
      </w:divBdr>
    </w:div>
    <w:div w:id="793182782">
      <w:bodyDiv w:val="1"/>
      <w:marLeft w:val="0"/>
      <w:marRight w:val="0"/>
      <w:marTop w:val="0"/>
      <w:marBottom w:val="0"/>
      <w:divBdr>
        <w:top w:val="none" w:sz="0" w:space="0" w:color="auto"/>
        <w:left w:val="none" w:sz="0" w:space="0" w:color="auto"/>
        <w:bottom w:val="none" w:sz="0" w:space="0" w:color="auto"/>
        <w:right w:val="none" w:sz="0" w:space="0" w:color="auto"/>
      </w:divBdr>
    </w:div>
    <w:div w:id="981537947">
      <w:bodyDiv w:val="1"/>
      <w:marLeft w:val="0"/>
      <w:marRight w:val="0"/>
      <w:marTop w:val="0"/>
      <w:marBottom w:val="0"/>
      <w:divBdr>
        <w:top w:val="none" w:sz="0" w:space="0" w:color="auto"/>
        <w:left w:val="none" w:sz="0" w:space="0" w:color="auto"/>
        <w:bottom w:val="none" w:sz="0" w:space="0" w:color="auto"/>
        <w:right w:val="none" w:sz="0" w:space="0" w:color="auto"/>
      </w:divBdr>
    </w:div>
    <w:div w:id="1142842300">
      <w:bodyDiv w:val="1"/>
      <w:marLeft w:val="0"/>
      <w:marRight w:val="0"/>
      <w:marTop w:val="0"/>
      <w:marBottom w:val="0"/>
      <w:divBdr>
        <w:top w:val="none" w:sz="0" w:space="0" w:color="auto"/>
        <w:left w:val="none" w:sz="0" w:space="0" w:color="auto"/>
        <w:bottom w:val="none" w:sz="0" w:space="0" w:color="auto"/>
        <w:right w:val="none" w:sz="0" w:space="0" w:color="auto"/>
      </w:divBdr>
    </w:div>
    <w:div w:id="1158376152">
      <w:bodyDiv w:val="1"/>
      <w:marLeft w:val="0"/>
      <w:marRight w:val="0"/>
      <w:marTop w:val="0"/>
      <w:marBottom w:val="0"/>
      <w:divBdr>
        <w:top w:val="none" w:sz="0" w:space="0" w:color="auto"/>
        <w:left w:val="none" w:sz="0" w:space="0" w:color="auto"/>
        <w:bottom w:val="none" w:sz="0" w:space="0" w:color="auto"/>
        <w:right w:val="none" w:sz="0" w:space="0" w:color="auto"/>
      </w:divBdr>
    </w:div>
    <w:div w:id="1409962630">
      <w:bodyDiv w:val="1"/>
      <w:marLeft w:val="0"/>
      <w:marRight w:val="0"/>
      <w:marTop w:val="0"/>
      <w:marBottom w:val="0"/>
      <w:divBdr>
        <w:top w:val="none" w:sz="0" w:space="0" w:color="auto"/>
        <w:left w:val="none" w:sz="0" w:space="0" w:color="auto"/>
        <w:bottom w:val="none" w:sz="0" w:space="0" w:color="auto"/>
        <w:right w:val="none" w:sz="0" w:space="0" w:color="auto"/>
      </w:divBdr>
    </w:div>
    <w:div w:id="1491873473">
      <w:bodyDiv w:val="1"/>
      <w:marLeft w:val="0"/>
      <w:marRight w:val="0"/>
      <w:marTop w:val="0"/>
      <w:marBottom w:val="0"/>
      <w:divBdr>
        <w:top w:val="none" w:sz="0" w:space="0" w:color="auto"/>
        <w:left w:val="none" w:sz="0" w:space="0" w:color="auto"/>
        <w:bottom w:val="none" w:sz="0" w:space="0" w:color="auto"/>
        <w:right w:val="none" w:sz="0" w:space="0" w:color="auto"/>
      </w:divBdr>
    </w:div>
    <w:div w:id="1515343729">
      <w:bodyDiv w:val="1"/>
      <w:marLeft w:val="0"/>
      <w:marRight w:val="0"/>
      <w:marTop w:val="0"/>
      <w:marBottom w:val="0"/>
      <w:divBdr>
        <w:top w:val="none" w:sz="0" w:space="0" w:color="auto"/>
        <w:left w:val="none" w:sz="0" w:space="0" w:color="auto"/>
        <w:bottom w:val="none" w:sz="0" w:space="0" w:color="auto"/>
        <w:right w:val="none" w:sz="0" w:space="0" w:color="auto"/>
      </w:divBdr>
    </w:div>
    <w:div w:id="1668249066">
      <w:bodyDiv w:val="1"/>
      <w:marLeft w:val="0"/>
      <w:marRight w:val="0"/>
      <w:marTop w:val="0"/>
      <w:marBottom w:val="0"/>
      <w:divBdr>
        <w:top w:val="none" w:sz="0" w:space="0" w:color="auto"/>
        <w:left w:val="none" w:sz="0" w:space="0" w:color="auto"/>
        <w:bottom w:val="none" w:sz="0" w:space="0" w:color="auto"/>
        <w:right w:val="none" w:sz="0" w:space="0" w:color="auto"/>
      </w:divBdr>
    </w:div>
    <w:div w:id="1742753302">
      <w:bodyDiv w:val="1"/>
      <w:marLeft w:val="0"/>
      <w:marRight w:val="0"/>
      <w:marTop w:val="0"/>
      <w:marBottom w:val="0"/>
      <w:divBdr>
        <w:top w:val="none" w:sz="0" w:space="0" w:color="auto"/>
        <w:left w:val="none" w:sz="0" w:space="0" w:color="auto"/>
        <w:bottom w:val="none" w:sz="0" w:space="0" w:color="auto"/>
        <w:right w:val="none" w:sz="0" w:space="0" w:color="auto"/>
      </w:divBdr>
    </w:div>
    <w:div w:id="1991902619">
      <w:bodyDiv w:val="1"/>
      <w:marLeft w:val="0"/>
      <w:marRight w:val="0"/>
      <w:marTop w:val="0"/>
      <w:marBottom w:val="0"/>
      <w:divBdr>
        <w:top w:val="none" w:sz="0" w:space="0" w:color="auto"/>
        <w:left w:val="none" w:sz="0" w:space="0" w:color="auto"/>
        <w:bottom w:val="none" w:sz="0" w:space="0" w:color="auto"/>
        <w:right w:val="none" w:sz="0" w:space="0" w:color="auto"/>
      </w:divBdr>
    </w:div>
    <w:div w:id="207611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javascript:AbrirModal(1)"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strabajo.edomex.gob.mx/junta_local_conciliacion_arbitraje" TargetMode="External" Id="rId9" /><Relationship Type="http://schemas.openxmlformats.org/officeDocument/2006/relationships/footer" Target="footer1.xml" Id="rId14" /><Relationship Type="http://schemas.openxmlformats.org/officeDocument/2006/relationships/glossaryDocument" Target="glossary/document.xml" Id="R8aad7929f154409f"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e49ce17-a402-4d5e-bd5a-3b9c850be585}"/>
      </w:docPartPr>
      <w:docPartBody>
        <w:p w14:paraId="3D70678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D586E-D848-4361-B56F-B395579A7A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Denisse Eduarte</lastModifiedBy>
  <revision>7</revision>
  <dcterms:created xsi:type="dcterms:W3CDTF">2023-03-15T01:12:00.0000000Z</dcterms:created>
  <dcterms:modified xsi:type="dcterms:W3CDTF">2023-04-15T06:14:37.5821290Z</dcterms:modified>
</coreProperties>
</file>