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00" w:rsidRPr="00164BA7" w:rsidRDefault="005854E9">
      <w:pPr>
        <w:spacing w:before="240" w:after="240" w:line="360" w:lineRule="auto"/>
        <w:jc w:val="both"/>
        <w:rPr>
          <w:rFonts w:ascii="Palatino Linotype" w:eastAsia="Palatino Linotype" w:hAnsi="Palatino Linotype" w:cs="Palatino Linotype"/>
        </w:rPr>
      </w:pPr>
      <w:bookmarkStart w:id="0" w:name="_GoBack"/>
      <w:bookmarkEnd w:id="0"/>
      <w:r w:rsidRPr="00164B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VISTO</w:t>
      </w:r>
      <w:r w:rsidRPr="00164BA7">
        <w:rPr>
          <w:rFonts w:ascii="Palatino Linotype" w:eastAsia="Palatino Linotype" w:hAnsi="Palatino Linotype" w:cs="Palatino Linotype"/>
        </w:rPr>
        <w:t xml:space="preserve"> el expediente formado con motivo del recurso de revisión </w:t>
      </w:r>
      <w:r w:rsidRPr="00164BA7">
        <w:rPr>
          <w:rFonts w:ascii="Palatino Linotype" w:eastAsia="Palatino Linotype" w:hAnsi="Palatino Linotype" w:cs="Palatino Linotype"/>
          <w:b/>
        </w:rPr>
        <w:t>01084/INFOEM/IP/RR/2023</w:t>
      </w:r>
      <w:r w:rsidRPr="00164BA7">
        <w:rPr>
          <w:rFonts w:ascii="Palatino Linotype" w:eastAsia="Palatino Linotype" w:hAnsi="Palatino Linotype" w:cs="Palatino Linotype"/>
        </w:rPr>
        <w:t>, interpuesto por</w:t>
      </w:r>
      <w:r w:rsidRPr="00164BA7">
        <w:rPr>
          <w:rFonts w:ascii="Palatino Linotype" w:eastAsia="Palatino Linotype" w:hAnsi="Palatino Linotype" w:cs="Palatino Linotype"/>
          <w:b/>
        </w:rPr>
        <w:t xml:space="preserve"> un particular que no proporcionó su nombre</w:t>
      </w:r>
      <w:r w:rsidRPr="00164BA7">
        <w:rPr>
          <w:rFonts w:ascii="Palatino Linotype" w:eastAsia="Palatino Linotype" w:hAnsi="Palatino Linotype" w:cs="Palatino Linotype"/>
        </w:rPr>
        <w:t xml:space="preserve">, en lo sucesivo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en contra de la respuesta a su solicitud de información con número de folio</w:t>
      </w:r>
      <w:r w:rsidRPr="00164BA7">
        <w:rPr>
          <w:rFonts w:ascii="Palatino Linotype" w:eastAsia="Palatino Linotype" w:hAnsi="Palatino Linotype" w:cs="Palatino Linotype"/>
          <w:b/>
        </w:rPr>
        <w:t xml:space="preserve"> 00196/INFOEM/IP/2023, </w:t>
      </w:r>
      <w:r w:rsidRPr="00164BA7">
        <w:rPr>
          <w:rFonts w:ascii="Palatino Linotype" w:eastAsia="Palatino Linotype" w:hAnsi="Palatino Linotype" w:cs="Palatino Linotype"/>
        </w:rPr>
        <w:t xml:space="preserve">por parte del </w:t>
      </w:r>
      <w:r w:rsidRPr="00164BA7">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164BA7">
        <w:rPr>
          <w:rFonts w:ascii="Palatino Linotype" w:eastAsia="Palatino Linotype" w:hAnsi="Palatino Linotype" w:cs="Palatino Linotype"/>
        </w:rPr>
        <w:t xml:space="preserve">en lo sucesivo el </w:t>
      </w:r>
      <w:r w:rsidRPr="00164BA7">
        <w:rPr>
          <w:rFonts w:ascii="Palatino Linotype" w:eastAsia="Palatino Linotype" w:hAnsi="Palatino Linotype" w:cs="Palatino Linotype"/>
          <w:b/>
        </w:rPr>
        <w:t xml:space="preserve">SUJETO OBLIGADO, </w:t>
      </w:r>
      <w:r w:rsidRPr="00164BA7">
        <w:rPr>
          <w:rFonts w:ascii="Palatino Linotype" w:eastAsia="Palatino Linotype" w:hAnsi="Palatino Linotype" w:cs="Palatino Linotype"/>
        </w:rPr>
        <w:t xml:space="preserve">se procede a dictar la presente resolución con base en los siguientes: </w:t>
      </w:r>
    </w:p>
    <w:p w:rsidR="00E73F00" w:rsidRPr="00164BA7" w:rsidRDefault="005854E9">
      <w:pPr>
        <w:spacing w:before="240" w:after="240" w:line="360" w:lineRule="auto"/>
        <w:jc w:val="center"/>
        <w:rPr>
          <w:rFonts w:ascii="Palatino Linotype" w:eastAsia="Palatino Linotype" w:hAnsi="Palatino Linotype" w:cs="Palatino Linotype"/>
          <w:b/>
        </w:rPr>
      </w:pPr>
      <w:r w:rsidRPr="00164BA7">
        <w:rPr>
          <w:rFonts w:ascii="Palatino Linotype" w:eastAsia="Palatino Linotype" w:hAnsi="Palatino Linotype" w:cs="Palatino Linotype"/>
          <w:b/>
        </w:rPr>
        <w:t>I. A N T E C E D E N T E S</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1. Solicitud de acceso a la información.</w:t>
      </w:r>
      <w:r w:rsidRPr="00164BA7">
        <w:rPr>
          <w:rFonts w:ascii="Palatino Linotype" w:eastAsia="Palatino Linotype" w:hAnsi="Palatino Linotype" w:cs="Palatino Linotype"/>
        </w:rPr>
        <w:t xml:space="preserve"> Con fecha </w:t>
      </w:r>
      <w:r w:rsidRPr="00164BA7">
        <w:rPr>
          <w:rFonts w:ascii="Palatino Linotype" w:eastAsia="Palatino Linotype" w:hAnsi="Palatino Linotype" w:cs="Palatino Linotype"/>
          <w:b/>
        </w:rPr>
        <w:t>catorce de febrero de dos mil veintitrés,</w:t>
      </w:r>
      <w:r w:rsidRPr="00164BA7">
        <w:rPr>
          <w:rFonts w:ascii="Palatino Linotype" w:eastAsia="Palatino Linotype" w:hAnsi="Palatino Linotype" w:cs="Palatino Linotype"/>
        </w:rPr>
        <w:t xml:space="preserve"> la parte </w:t>
      </w:r>
      <w:r w:rsidRPr="00164BA7">
        <w:rPr>
          <w:rFonts w:ascii="Palatino Linotype" w:eastAsia="Palatino Linotype" w:hAnsi="Palatino Linotype" w:cs="Palatino Linotype"/>
          <w:b/>
        </w:rPr>
        <w:t xml:space="preserve">RECURRENTE </w:t>
      </w:r>
      <w:r w:rsidRPr="00164BA7">
        <w:rPr>
          <w:rFonts w:ascii="Palatino Linotype" w:eastAsia="Palatino Linotype" w:hAnsi="Palatino Linotype" w:cs="Palatino Linotype"/>
        </w:rPr>
        <w:t xml:space="preserve">presentó, a través del Sistema de Acceso a la Información Mexiquense, en lo subsecuente el </w:t>
      </w:r>
      <w:r w:rsidRPr="00164BA7">
        <w:rPr>
          <w:rFonts w:ascii="Palatino Linotype" w:eastAsia="Palatino Linotype" w:hAnsi="Palatino Linotype" w:cs="Palatino Linotype"/>
          <w:b/>
        </w:rPr>
        <w:t>SAIMEX,</w:t>
      </w:r>
      <w:r w:rsidRPr="00164BA7">
        <w:rPr>
          <w:rFonts w:ascii="Palatino Linotype" w:eastAsia="Palatino Linotype" w:hAnsi="Palatino Linotype" w:cs="Palatino Linotype"/>
        </w:rPr>
        <w:t xml:space="preserve"> ante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la solicitud de acceso a la información pública, a la que se le asignó el número</w:t>
      </w:r>
      <w:r w:rsidRPr="00164BA7">
        <w:rPr>
          <w:rFonts w:ascii="Palatino Linotype" w:eastAsia="Palatino Linotype" w:hAnsi="Palatino Linotype" w:cs="Palatino Linotype"/>
          <w:b/>
        </w:rPr>
        <w:t xml:space="preserve"> 00196/INFOEM/IP/2023, </w:t>
      </w:r>
      <w:r w:rsidRPr="00164BA7">
        <w:rPr>
          <w:rFonts w:ascii="Palatino Linotype" w:eastAsia="Palatino Linotype" w:hAnsi="Palatino Linotype" w:cs="Palatino Linotype"/>
        </w:rPr>
        <w:t xml:space="preserve">mediante la cual requirió la información siguiente: </w:t>
      </w:r>
    </w:p>
    <w:p w:rsidR="00E73F00" w:rsidRPr="00164BA7" w:rsidRDefault="005854E9">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64BA7">
        <w:rPr>
          <w:rFonts w:ascii="Palatino Linotype" w:eastAsia="Palatino Linotype" w:hAnsi="Palatino Linotype" w:cs="Palatino Linotype"/>
          <w:i/>
          <w:sz w:val="22"/>
          <w:szCs w:val="22"/>
        </w:rPr>
        <w:t xml:space="preserve">“Expresión documental que contenga la validación del Pleno donde en el Estado </w:t>
      </w:r>
      <w:proofErr w:type="gramStart"/>
      <w:r w:rsidRPr="00164BA7">
        <w:rPr>
          <w:rFonts w:ascii="Palatino Linotype" w:eastAsia="Palatino Linotype" w:hAnsi="Palatino Linotype" w:cs="Palatino Linotype"/>
          <w:i/>
          <w:sz w:val="22"/>
          <w:szCs w:val="22"/>
        </w:rPr>
        <w:t>de</w:t>
      </w:r>
      <w:proofErr w:type="gramEnd"/>
      <w:r w:rsidRPr="00164BA7">
        <w:rPr>
          <w:rFonts w:ascii="Palatino Linotype" w:eastAsia="Palatino Linotype" w:hAnsi="Palatino Linotype" w:cs="Palatino Linotype"/>
          <w:i/>
          <w:sz w:val="22"/>
          <w:szCs w:val="22"/>
        </w:rPr>
        <w:t xml:space="preserve"> México únicamente hay 330 sujetos obligados, ya que en sus últimas publicaciones del FB mencionan que hay 330 sujetos obligados.” (Sic)</w:t>
      </w:r>
    </w:p>
    <w:p w:rsidR="00E73F00" w:rsidRPr="00164BA7" w:rsidRDefault="00E73F00">
      <w:pPr>
        <w:spacing w:before="240"/>
        <w:ind w:left="851" w:right="902"/>
        <w:jc w:val="both"/>
        <w:rPr>
          <w:rFonts w:ascii="Palatino Linotype" w:eastAsia="Palatino Linotype" w:hAnsi="Palatino Linotype" w:cs="Palatino Linotype"/>
          <w:i/>
          <w:sz w:val="22"/>
          <w:szCs w:val="22"/>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lastRenderedPageBreak/>
        <w:t>Modalidad de Entrega:</w:t>
      </w:r>
      <w:r w:rsidRPr="00164BA7">
        <w:rPr>
          <w:rFonts w:ascii="Palatino Linotype" w:eastAsia="Palatino Linotype" w:hAnsi="Palatino Linotype" w:cs="Palatino Linotype"/>
        </w:rPr>
        <w:t xml:space="preserve"> A través de SAIMEX.</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after="240" w:line="360" w:lineRule="auto"/>
        <w:jc w:val="both"/>
        <w:rPr>
          <w:rFonts w:ascii="Palatino Linotype" w:eastAsia="Palatino Linotype" w:hAnsi="Palatino Linotype" w:cs="Palatino Linotype"/>
          <w:b/>
        </w:rPr>
      </w:pPr>
      <w:r w:rsidRPr="00164BA7">
        <w:rPr>
          <w:rFonts w:ascii="Palatino Linotype" w:eastAsia="Palatino Linotype" w:hAnsi="Palatino Linotype" w:cs="Palatino Linotype"/>
          <w:b/>
        </w:rPr>
        <w:t xml:space="preserve">2. Respuesta. </w:t>
      </w:r>
      <w:r w:rsidRPr="00164BA7">
        <w:rPr>
          <w:rFonts w:ascii="Palatino Linotype" w:eastAsia="Palatino Linotype" w:hAnsi="Palatino Linotype" w:cs="Palatino Linotype"/>
        </w:rPr>
        <w:t xml:space="preserve">Con fecha </w:t>
      </w:r>
      <w:r w:rsidRPr="00164BA7">
        <w:rPr>
          <w:rFonts w:ascii="Palatino Linotype" w:eastAsia="Palatino Linotype" w:hAnsi="Palatino Linotype" w:cs="Palatino Linotype"/>
          <w:b/>
        </w:rPr>
        <w:t>veintidós de febrero de dos mil veintitrés</w:t>
      </w:r>
      <w:r w:rsidRPr="00164BA7">
        <w:rPr>
          <w:rFonts w:ascii="Palatino Linotype" w:eastAsia="Palatino Linotype" w:hAnsi="Palatino Linotype" w:cs="Palatino Linotype"/>
        </w:rPr>
        <w:t xml:space="preserve">, el </w:t>
      </w:r>
      <w:r w:rsidRPr="00164BA7">
        <w:rPr>
          <w:rFonts w:ascii="Palatino Linotype" w:eastAsia="Palatino Linotype" w:hAnsi="Palatino Linotype" w:cs="Palatino Linotype"/>
          <w:b/>
        </w:rPr>
        <w:t xml:space="preserve">SUJETO OBLIGADO </w:t>
      </w:r>
      <w:r w:rsidRPr="00164BA7">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E73F00" w:rsidRPr="00164BA7" w:rsidRDefault="005854E9">
      <w:pPr>
        <w:spacing w:before="240"/>
        <w:ind w:left="851" w:right="902"/>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acceso a la información pública...” (Sic)</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adjuntó a su respuesta los archivos electrónicos siguientes:</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8">
        <w:r w:rsidRPr="00164BA7">
          <w:rPr>
            <w:rFonts w:ascii="Palatino Linotype" w:eastAsia="Palatino Linotype" w:hAnsi="Palatino Linotype" w:cs="Palatino Linotype"/>
          </w:rPr>
          <w:t>Respuestasolicitud00196.pdf</w:t>
        </w:r>
      </w:hyperlink>
      <w:r w:rsidRPr="00164BA7">
        <w:rPr>
          <w:rFonts w:ascii="Palatino Linotype" w:eastAsia="Palatino Linotype" w:hAnsi="Palatino Linotype" w:cs="Palatino Linotype"/>
        </w:rPr>
        <w:t xml:space="preserve">”, por medio del cual  la Directora General de Transparencia, Acceso a la Información Pública y Gobierno Abierto, informó al  Titular de la Unidad de Transparencia, ambos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que adjuntaba en formato PDF las modificaciones al Padrón de Sujetos Obligados publicadas en el Periódico Oficial "Gaceta del Gobierno" del Estado de México, en fechas 7 de abril y 19 de agosto, ambas de año 2022, en las cuales podrá advertir los Sujetos Obligados en materia de transparencia con los que se cuenta; mismas que pueden ser consultadas en los vínculos electrónicos siguientes: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•https://legislacion.edomex.gob.mx/sites/legislacion.edomex.gob.mx/files/files/pdf/gct/2022/abril/abr071/abr071c.pdf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•https://legislacion.edomex.gob.mx/sites/legislacion.edomex.gob.mx/files/files/pdf/gct/2022/agosto/ago191/ago191g.pdf</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9">
        <w:r w:rsidRPr="00164BA7">
          <w:rPr>
            <w:rFonts w:ascii="Palatino Linotype" w:eastAsia="Palatino Linotype" w:hAnsi="Palatino Linotype" w:cs="Palatino Linotype"/>
          </w:rPr>
          <w:t>19 de agosto de 2022.pdf</w:t>
        </w:r>
      </w:hyperlink>
      <w:r w:rsidRPr="00164BA7">
        <w:rPr>
          <w:rFonts w:ascii="Palatino Linotype" w:eastAsia="Palatino Linotype" w:hAnsi="Palatino Linotype" w:cs="Palatino Linotype"/>
        </w:rPr>
        <w:t>”, el cual contiene la Gaceta del Estado de México, por medio del cual se aprobó el Acuerdo mediante al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de fecha 19 de agosto del año 2022.</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10">
        <w:r w:rsidRPr="00164BA7">
          <w:rPr>
            <w:rFonts w:ascii="Palatino Linotype" w:eastAsia="Palatino Linotype" w:hAnsi="Palatino Linotype" w:cs="Palatino Linotype"/>
          </w:rPr>
          <w:t>7 de abril de 2022.pdf</w:t>
        </w:r>
      </w:hyperlink>
      <w:r w:rsidRPr="00164BA7">
        <w:rPr>
          <w:rFonts w:ascii="Palatino Linotype" w:eastAsia="Palatino Linotype" w:hAnsi="Palatino Linotype" w:cs="Palatino Linotype"/>
        </w:rPr>
        <w:t xml:space="preserve">”, el cual contiene la Gaceta del Estado de México, por medio del cual se aprobó el 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fecha siete de abril del año 2022, en donde se aprecia un total de 330 Sujetos Obligados.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 “</w:t>
      </w:r>
      <w:hyperlink r:id="rId11">
        <w:r w:rsidRPr="00164BA7">
          <w:rPr>
            <w:rFonts w:ascii="Palatino Linotype" w:eastAsia="Palatino Linotype" w:hAnsi="Palatino Linotype" w:cs="Palatino Linotype"/>
          </w:rPr>
          <w:t>RespuestaResumen00196.pdf</w:t>
        </w:r>
      </w:hyperlink>
      <w:r w:rsidRPr="00164BA7">
        <w:rPr>
          <w:rFonts w:ascii="Palatino Linotype" w:eastAsia="Palatino Linotype" w:hAnsi="Palatino Linotype" w:cs="Palatino Linotype"/>
        </w:rPr>
        <w:t xml:space="preserve">”, por medio del cual la Unidad de Transparencia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informó la respuesta otorgada por la Dirección General de Transparencia, Acceso a la Información Pública y Gobierno Abierto.</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w:t>
      </w:r>
      <w:hyperlink r:id="rId12">
        <w:r w:rsidRPr="00164BA7">
          <w:rPr>
            <w:rFonts w:ascii="Palatino Linotype" w:eastAsia="Palatino Linotype" w:hAnsi="Palatino Linotype" w:cs="Palatino Linotype"/>
          </w:rPr>
          <w:t>RespuestaSolicitud00196.zip</w:t>
        </w:r>
      </w:hyperlink>
      <w:r w:rsidRPr="00164BA7">
        <w:rPr>
          <w:rFonts w:ascii="Palatino Linotype" w:eastAsia="Palatino Linotype" w:hAnsi="Palatino Linotype" w:cs="Palatino Linotype"/>
        </w:rPr>
        <w:t xml:space="preserve">”, el cual contiene los mismos documentos descritos en el presente antecedente, con la diferencia que se entregó en un archivo comprimido a través del formato ZIP.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b/>
        </w:rPr>
        <w:t xml:space="preserve">3. Interposición del recurso de revisión. </w:t>
      </w:r>
      <w:r w:rsidRPr="00164BA7">
        <w:rPr>
          <w:rFonts w:ascii="Palatino Linotype" w:eastAsia="Palatino Linotype" w:hAnsi="Palatino Linotype" w:cs="Palatino Linotype"/>
        </w:rPr>
        <w:t xml:space="preserve">Inconforme con los términos de la respuesta emitida por parte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el </w:t>
      </w:r>
      <w:r w:rsidRPr="00164BA7">
        <w:rPr>
          <w:rFonts w:ascii="Palatino Linotype" w:eastAsia="Palatino Linotype" w:hAnsi="Palatino Linotype" w:cs="Palatino Linotype"/>
          <w:b/>
        </w:rPr>
        <w:t>veinticuatro de febrero del dos mil veintitrés,</w:t>
      </w:r>
      <w:r w:rsidRPr="00164BA7">
        <w:rPr>
          <w:rFonts w:ascii="Palatino Linotype" w:eastAsia="Palatino Linotype" w:hAnsi="Palatino Linotype" w:cs="Palatino Linotype"/>
        </w:rPr>
        <w:t xml:space="preserve"> la parte recurrente interpuso el recurso de revisión a través de </w:t>
      </w:r>
      <w:r w:rsidRPr="00164BA7">
        <w:rPr>
          <w:rFonts w:ascii="Palatino Linotype" w:eastAsia="Palatino Linotype" w:hAnsi="Palatino Linotype" w:cs="Palatino Linotype"/>
          <w:b/>
        </w:rPr>
        <w:t xml:space="preserve">SAIMEX, </w:t>
      </w:r>
      <w:r w:rsidRPr="00164BA7">
        <w:rPr>
          <w:rFonts w:ascii="Palatino Linotype" w:eastAsia="Palatino Linotype" w:hAnsi="Palatino Linotype" w:cs="Palatino Linotype"/>
        </w:rPr>
        <w:t>en donde se manifestó de la siguiente manera:</w:t>
      </w:r>
    </w:p>
    <w:p w:rsidR="00E73F00" w:rsidRPr="00164BA7" w:rsidRDefault="005854E9">
      <w:pPr>
        <w:tabs>
          <w:tab w:val="left" w:pos="2745"/>
        </w:tabs>
        <w:spacing w:before="240" w:after="240" w:line="360" w:lineRule="auto"/>
        <w:jc w:val="both"/>
        <w:rPr>
          <w:rFonts w:ascii="Palatino Linotype" w:eastAsia="Palatino Linotype" w:hAnsi="Palatino Linotype" w:cs="Palatino Linotype"/>
          <w:b/>
        </w:rPr>
      </w:pPr>
      <w:r w:rsidRPr="00164BA7">
        <w:rPr>
          <w:rFonts w:ascii="Palatino Linotype" w:eastAsia="Palatino Linotype" w:hAnsi="Palatino Linotype" w:cs="Palatino Linotype"/>
          <w:b/>
        </w:rPr>
        <w:t xml:space="preserve">Acto impugnado: </w:t>
      </w:r>
      <w:r w:rsidRPr="00164BA7">
        <w:rPr>
          <w:rFonts w:ascii="Palatino Linotype" w:eastAsia="Palatino Linotype" w:hAnsi="Palatino Linotype" w:cs="Palatino Linotype"/>
          <w:b/>
        </w:rPr>
        <w:tab/>
      </w:r>
    </w:p>
    <w:p w:rsidR="00E73F00" w:rsidRPr="00164BA7" w:rsidRDefault="005854E9">
      <w:pPr>
        <w:ind w:left="851" w:right="902"/>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“La respuesta otorgada” (Sic)</w:t>
      </w:r>
    </w:p>
    <w:p w:rsidR="00E73F00" w:rsidRPr="00164BA7" w:rsidRDefault="00E73F00">
      <w:pPr>
        <w:ind w:left="851" w:right="902"/>
        <w:jc w:val="both"/>
        <w:rPr>
          <w:rFonts w:ascii="Palatino Linotype" w:eastAsia="Palatino Linotype" w:hAnsi="Palatino Linotype" w:cs="Palatino Linotype"/>
          <w:i/>
          <w:sz w:val="22"/>
          <w:szCs w:val="22"/>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Y Razones o motivos de inconformidad</w:t>
      </w:r>
      <w:r w:rsidRPr="00164BA7">
        <w:rPr>
          <w:rFonts w:ascii="Palatino Linotype" w:eastAsia="Palatino Linotype" w:hAnsi="Palatino Linotype" w:cs="Palatino Linotype"/>
        </w:rPr>
        <w:t>:</w:t>
      </w:r>
    </w:p>
    <w:p w:rsidR="00E73F00" w:rsidRPr="00164BA7" w:rsidRDefault="005854E9">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164BA7">
        <w:rPr>
          <w:rFonts w:ascii="Palatino Linotype" w:eastAsia="Palatino Linotype" w:hAnsi="Palatino Linotype" w:cs="Palatino Linotype"/>
          <w:i/>
          <w:sz w:val="22"/>
          <w:szCs w:val="22"/>
        </w:rPr>
        <w:t xml:space="preserve"> “De las modificaciones al Padrón de Sujetos Obligados publicadas en el Periódico Oficial "Gaceta del Gobierno" del Estado de México, en fechas 7 de abril y 19 de agosto, ambas de año 2022, que me fueran anexadas en ligas electrónicas, se advierte que son 332 Sujetos Obligados y no 330 Sujetos Obligados, tal y como se establece en la publicación del Facebook del </w:t>
      </w:r>
      <w:proofErr w:type="spellStart"/>
      <w:r w:rsidRPr="00164BA7">
        <w:rPr>
          <w:rFonts w:ascii="Palatino Linotype" w:eastAsia="Palatino Linotype" w:hAnsi="Palatino Linotype" w:cs="Palatino Linotype"/>
          <w:i/>
          <w:sz w:val="22"/>
          <w:szCs w:val="22"/>
        </w:rPr>
        <w:t>Infoem</w:t>
      </w:r>
      <w:proofErr w:type="spellEnd"/>
      <w:r w:rsidRPr="00164BA7">
        <w:rPr>
          <w:rFonts w:ascii="Palatino Linotype" w:eastAsia="Palatino Linotype" w:hAnsi="Palatino Linotype" w:cs="Palatino Linotype"/>
          <w:i/>
          <w:sz w:val="22"/>
          <w:szCs w:val="22"/>
        </w:rPr>
        <w:t xml:space="preserve"> del 13 de febrero de 2022, por lo que, </w:t>
      </w:r>
      <w:r w:rsidRPr="00164BA7">
        <w:rPr>
          <w:rFonts w:ascii="Palatino Linotype" w:eastAsia="Palatino Linotype" w:hAnsi="Palatino Linotype" w:cs="Palatino Linotype"/>
          <w:b/>
          <w:i/>
          <w:sz w:val="22"/>
          <w:szCs w:val="22"/>
        </w:rPr>
        <w:t xml:space="preserve">falta un acuerdo en donde se eliminan a 2 sujetos obligados del padrón correspondiente, o será que ni siquiera ustedes saben </w:t>
      </w:r>
      <w:proofErr w:type="spellStart"/>
      <w:r w:rsidRPr="00164BA7">
        <w:rPr>
          <w:rFonts w:ascii="Palatino Linotype" w:eastAsia="Palatino Linotype" w:hAnsi="Palatino Linotype" w:cs="Palatino Linotype"/>
          <w:b/>
          <w:i/>
          <w:sz w:val="22"/>
          <w:szCs w:val="22"/>
        </w:rPr>
        <w:t>cuantos</w:t>
      </w:r>
      <w:proofErr w:type="spellEnd"/>
      <w:r w:rsidRPr="00164BA7">
        <w:rPr>
          <w:rFonts w:ascii="Palatino Linotype" w:eastAsia="Palatino Linotype" w:hAnsi="Palatino Linotype" w:cs="Palatino Linotype"/>
          <w:b/>
          <w:i/>
          <w:sz w:val="22"/>
          <w:szCs w:val="22"/>
        </w:rPr>
        <w:t xml:space="preserve"> sujetos obligados en materia de Transparencia y Acceso a la Información Pública tienen</w:t>
      </w:r>
      <w:r w:rsidRPr="00164BA7">
        <w:rPr>
          <w:rFonts w:ascii="Palatino Linotype" w:eastAsia="Palatino Linotype" w:hAnsi="Palatino Linotype" w:cs="Palatino Linotype"/>
          <w:i/>
          <w:sz w:val="22"/>
          <w:szCs w:val="22"/>
        </w:rPr>
        <w:t xml:space="preserve">? (Anexo captura de pantalla de </w:t>
      </w:r>
      <w:proofErr w:type="spellStart"/>
      <w:r w:rsidRPr="00164BA7">
        <w:rPr>
          <w:rFonts w:ascii="Palatino Linotype" w:eastAsia="Palatino Linotype" w:hAnsi="Palatino Linotype" w:cs="Palatino Linotype"/>
          <w:i/>
          <w:sz w:val="22"/>
          <w:szCs w:val="22"/>
        </w:rPr>
        <w:t>publicacón</w:t>
      </w:r>
      <w:proofErr w:type="spellEnd"/>
      <w:r w:rsidRPr="00164BA7">
        <w:rPr>
          <w:rFonts w:ascii="Palatino Linotype" w:eastAsia="Palatino Linotype" w:hAnsi="Palatino Linotype" w:cs="Palatino Linotype"/>
          <w:i/>
          <w:sz w:val="22"/>
          <w:szCs w:val="22"/>
        </w:rPr>
        <w:t xml:space="preserve"> del FB) Por otra parte, el artículo 161 de la Ley de Transparencia y Acceso a la Información Pública del Estado de México y Municipios establece lo siguiente: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w:t>
      </w:r>
      <w:r w:rsidRPr="00164BA7">
        <w:rPr>
          <w:rFonts w:ascii="Palatino Linotype" w:eastAsia="Palatino Linotype" w:hAnsi="Palatino Linotype" w:cs="Palatino Linotype"/>
          <w:i/>
          <w:sz w:val="22"/>
          <w:szCs w:val="22"/>
        </w:rPr>
        <w:lastRenderedPageBreak/>
        <w:t>solicitante realice una búsqueda en toda la información que se encuentre disponible. Siendo que la respuesta me fue otorgada después de los 5 días hábiles, no se supone que JUAN SALVADOR VENTURA HERNÁNDEZ FLORES TITULAR DE LA UNIDAD DE TRANSPARENCIA, y ADRIANA YADIRA CÁRDENAS TAGLE DIRECTORA GENERAL DE TRANSPARENCIA, ACCESO A LA INFORMACIÓN PÚBLICA Y GOBIERNO ABIERTO, cuentan con la certificación del Estándares de Competencias con clave EC1057, GARANTIZAR EL DERECHO DE ACCESO A LA INFORMACIÓN PÚBLICA” (Sic)</w:t>
      </w:r>
    </w:p>
    <w:p w:rsidR="00E73F00" w:rsidRPr="00164BA7" w:rsidRDefault="00E73F00">
      <w:pPr>
        <w:ind w:left="851" w:right="902"/>
        <w:jc w:val="both"/>
        <w:rPr>
          <w:rFonts w:ascii="Palatino Linotype" w:eastAsia="Palatino Linotype" w:hAnsi="Palatino Linotype" w:cs="Palatino Linotype"/>
          <w:i/>
          <w:sz w:val="22"/>
          <w:szCs w:val="22"/>
        </w:rPr>
      </w:pPr>
    </w:p>
    <w:p w:rsidR="00E73F00" w:rsidRPr="00164BA7" w:rsidRDefault="005854E9">
      <w:pPr>
        <w:spacing w:before="240" w:after="240" w:line="360" w:lineRule="auto"/>
        <w:ind w:right="49"/>
        <w:jc w:val="both"/>
        <w:rPr>
          <w:rFonts w:ascii="Palatino Linotype" w:eastAsia="Palatino Linotype" w:hAnsi="Palatino Linotype" w:cs="Palatino Linotype"/>
          <w:b/>
        </w:rPr>
      </w:pPr>
      <w:r w:rsidRPr="00164BA7">
        <w:rPr>
          <w:rFonts w:ascii="Palatino Linotype" w:eastAsia="Palatino Linotype" w:hAnsi="Palatino Linotype" w:cs="Palatino Linotype"/>
        </w:rPr>
        <w:t>La parte RECURRENTE, adjuntó a su acuse del recurso de revisión, el siguiente archivo electrónico:</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13">
        <w:r w:rsidRPr="00164BA7">
          <w:rPr>
            <w:rFonts w:ascii="Palatino Linotype" w:eastAsia="Palatino Linotype" w:hAnsi="Palatino Linotype" w:cs="Palatino Linotype"/>
          </w:rPr>
          <w:t>CPATURA DE PANTALLA INFOEM.pdf</w:t>
        </w:r>
      </w:hyperlink>
      <w:r w:rsidRPr="00164BA7">
        <w:rPr>
          <w:rFonts w:ascii="Palatino Linotype" w:eastAsia="Palatino Linotype" w:hAnsi="Palatino Linotype" w:cs="Palatino Linotype"/>
        </w:rPr>
        <w:t>”, el cual contiene la siguiente captura de pantalla:</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noProof/>
          <w:lang w:val="es-MX"/>
        </w:rPr>
        <w:drawing>
          <wp:inline distT="0" distB="0" distL="0" distR="0">
            <wp:extent cx="5403850" cy="323850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41751" t="12270" r="28604" b="8267"/>
                    <a:stretch>
                      <a:fillRect/>
                    </a:stretch>
                  </pic:blipFill>
                  <pic:spPr>
                    <a:xfrm>
                      <a:off x="0" y="0"/>
                      <a:ext cx="5403850" cy="3238500"/>
                    </a:xfrm>
                    <a:prstGeom prst="rect">
                      <a:avLst/>
                    </a:prstGeom>
                    <a:ln/>
                  </pic:spPr>
                </pic:pic>
              </a:graphicData>
            </a:graphic>
          </wp:inline>
        </w:drawing>
      </w:r>
    </w:p>
    <w:p w:rsidR="00E73F00" w:rsidRPr="00164BA7" w:rsidRDefault="005854E9">
      <w:pPr>
        <w:spacing w:line="360" w:lineRule="auto"/>
        <w:ind w:right="51"/>
        <w:jc w:val="both"/>
        <w:rPr>
          <w:rFonts w:ascii="Palatino Linotype" w:eastAsia="Palatino Linotype" w:hAnsi="Palatino Linotype" w:cs="Palatino Linotype"/>
        </w:rPr>
      </w:pPr>
      <w:r w:rsidRPr="00164BA7">
        <w:rPr>
          <w:rFonts w:ascii="Palatino Linotype" w:eastAsia="Palatino Linotype" w:hAnsi="Palatino Linotype" w:cs="Palatino Linotype"/>
          <w:b/>
        </w:rPr>
        <w:lastRenderedPageBreak/>
        <w:t xml:space="preserve">4. Turno. </w:t>
      </w:r>
      <w:r w:rsidRPr="00164BA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64BA7">
        <w:rPr>
          <w:rFonts w:ascii="Palatino Linotype" w:eastAsia="Palatino Linotype" w:hAnsi="Palatino Linotype" w:cs="Palatino Linotype"/>
          <w:b/>
        </w:rPr>
        <w:t xml:space="preserve">Guadalupe Ramírez Peña, </w:t>
      </w:r>
      <w:r w:rsidRPr="00164BA7">
        <w:rPr>
          <w:rFonts w:ascii="Palatino Linotype" w:eastAsia="Palatino Linotype" w:hAnsi="Palatino Linotype" w:cs="Palatino Linotype"/>
        </w:rPr>
        <w:t xml:space="preserve">a efecto de que analizara sobre su admisión o su </w:t>
      </w:r>
      <w:proofErr w:type="spellStart"/>
      <w:r w:rsidRPr="00164BA7">
        <w:rPr>
          <w:rFonts w:ascii="Palatino Linotype" w:eastAsia="Palatino Linotype" w:hAnsi="Palatino Linotype" w:cs="Palatino Linotype"/>
        </w:rPr>
        <w:t>desechamiento</w:t>
      </w:r>
      <w:proofErr w:type="spellEnd"/>
      <w:r w:rsidRPr="00164BA7">
        <w:rPr>
          <w:rFonts w:ascii="Palatino Linotype" w:eastAsia="Palatino Linotype" w:hAnsi="Palatino Linotype" w:cs="Palatino Linotype"/>
        </w:rPr>
        <w:t>.</w:t>
      </w:r>
    </w:p>
    <w:p w:rsidR="00E73F00" w:rsidRPr="00164BA7" w:rsidRDefault="00E73F00">
      <w:pPr>
        <w:spacing w:line="360" w:lineRule="auto"/>
        <w:ind w:right="51"/>
        <w:jc w:val="both"/>
        <w:rPr>
          <w:rFonts w:ascii="Palatino Linotype" w:eastAsia="Palatino Linotype" w:hAnsi="Palatino Linotype" w:cs="Palatino Linotype"/>
        </w:rPr>
      </w:pP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5. Admisión del Recurso de revisión.</w:t>
      </w:r>
      <w:r w:rsidRPr="00164BA7">
        <w:rPr>
          <w:rFonts w:ascii="Palatino Linotype" w:eastAsia="Palatino Linotype" w:hAnsi="Palatino Linotype" w:cs="Palatino Linotype"/>
        </w:rPr>
        <w:t xml:space="preserve"> Con fecha</w:t>
      </w:r>
      <w:r w:rsidRPr="00164BA7">
        <w:rPr>
          <w:rFonts w:ascii="Palatino Linotype" w:eastAsia="Palatino Linotype" w:hAnsi="Palatino Linotype" w:cs="Palatino Linotype"/>
          <w:b/>
        </w:rPr>
        <w:t xml:space="preserve"> primero de marzo de dos mil veintitrés, </w:t>
      </w:r>
      <w:r w:rsidRPr="00164BA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64BA7">
        <w:rPr>
          <w:rFonts w:ascii="Palatino Linotype" w:eastAsia="Palatino Linotype" w:hAnsi="Palatino Linotype" w:cs="Palatino Linotype"/>
          <w:b/>
        </w:rPr>
        <w:t xml:space="preserve">SUJETO OBLIGADO </w:t>
      </w:r>
      <w:r w:rsidRPr="00164BA7">
        <w:rPr>
          <w:rFonts w:ascii="Palatino Linotype" w:eastAsia="Palatino Linotype" w:hAnsi="Palatino Linotype" w:cs="Palatino Linotype"/>
        </w:rPr>
        <w:t>presentara su informe justificado.</w:t>
      </w:r>
    </w:p>
    <w:p w:rsidR="00E73F00" w:rsidRPr="00164BA7" w:rsidRDefault="005854E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6. Manifestaciones</w:t>
      </w:r>
      <w:r w:rsidRPr="00164BA7">
        <w:rPr>
          <w:rFonts w:ascii="Palatino Linotype" w:eastAsia="Palatino Linotype" w:hAnsi="Palatino Linotype" w:cs="Palatino Linotype"/>
        </w:rPr>
        <w:t xml:space="preserve">. De las constancias que integran el expediente en que se actúa se advierte que la parte </w:t>
      </w:r>
      <w:r w:rsidRPr="00164BA7">
        <w:rPr>
          <w:rFonts w:ascii="Palatino Linotype" w:eastAsia="Palatino Linotype" w:hAnsi="Palatino Linotype" w:cs="Palatino Linotype"/>
          <w:b/>
        </w:rPr>
        <w:t>RECURRENT</w:t>
      </w:r>
      <w:r w:rsidRPr="00164BA7">
        <w:rPr>
          <w:rFonts w:ascii="Palatino Linotype" w:eastAsia="Palatino Linotype" w:hAnsi="Palatino Linotype" w:cs="Palatino Linotype"/>
        </w:rPr>
        <w:t>E, fue omiso en presentar sus alegatos o manifestación alguna.</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Por su parte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en fecha diecisiete de marzo del año dos mil veintitrés, adjuntó los archivos electrónicos siguientes:</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w:t>
      </w:r>
      <w:hyperlink r:id="rId15">
        <w:r w:rsidRPr="00164BA7">
          <w:rPr>
            <w:rFonts w:ascii="Palatino Linotype" w:eastAsia="Palatino Linotype" w:hAnsi="Palatino Linotype" w:cs="Palatino Linotype"/>
          </w:rPr>
          <w:t>RequerimientoInformeRR01084DGTAIPGA.pdf</w:t>
        </w:r>
      </w:hyperlink>
      <w:r w:rsidRPr="00164BA7">
        <w:rPr>
          <w:rFonts w:ascii="Palatino Linotype" w:eastAsia="Palatino Linotype" w:hAnsi="Palatino Linotype" w:cs="Palatino Linotype"/>
        </w:rPr>
        <w:t xml:space="preserve">”, el cual corresponde al requerimiento realizado por la Unidad de Transparencia a la Dirección General de Transparencia, Acceso a la Información Pública y Gobierno Abierto, ambos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con la finalidad de que emita su informe justificado.</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16">
        <w:r w:rsidRPr="00164BA7">
          <w:rPr>
            <w:rFonts w:ascii="Palatino Linotype" w:eastAsia="Palatino Linotype" w:hAnsi="Palatino Linotype" w:cs="Palatino Linotype"/>
          </w:rPr>
          <w:t>InformeJustificadoRR01084UT.pdf</w:t>
        </w:r>
      </w:hyperlink>
      <w:r w:rsidRPr="00164BA7">
        <w:rPr>
          <w:rFonts w:ascii="Palatino Linotype" w:eastAsia="Palatino Linotype" w:hAnsi="Palatino Linotype" w:cs="Palatino Linotype"/>
        </w:rPr>
        <w:t xml:space="preserve">”, el cual contiene el informe justificado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mediante el cual informó en lo medular que la Dirección General de Transparencia, Acceso a la Información Pública y Gobierno Abierto, tuvo a bien remitir las Gacetas del  Gobierno" del Estado de México, en fechas 7 de abril y 19 de agosto, ambas de año 2022, en las cuales se daba cuenta de las últimas modificaciones que se habían realizado al padrón de sujetos obligados de la entidad.</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la primera Gaceta (siete de abril del año 2022), se contiene el 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con la reproducción mediante una tabla que contiene el listado de todo los sujetos obligados del cual se obtiene un total de 330 Sujetos Obligados.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la segunda Gaceta (19 de agosto del año 2022), el cual contiene el Acuerdo mediante al cual el Pleno del Instituto de Transparencia, Acceso a la Información Pública y Protección de Datos Personales del Estado de México y Municipios, </w:t>
      </w:r>
      <w:r w:rsidRPr="00164BA7">
        <w:rPr>
          <w:rFonts w:ascii="Palatino Linotype" w:eastAsia="Palatino Linotype" w:hAnsi="Palatino Linotype" w:cs="Palatino Linotype"/>
        </w:rPr>
        <w:lastRenderedPageBreak/>
        <w:t xml:space="preserve">aprueba la Modificación al Padrón de Sujetos Obligados en materia de Transparencia y Acceso a la Información Pública del Estado de México y Municipios, se obtiene como resultado de las incorporaciones y eliminaciones correspondientes, un total de 332 sujetos obligados, siendo en efecto con los que se contaba al momento de lo requerido.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w:t>
      </w:r>
      <w:hyperlink r:id="rId17">
        <w:r w:rsidRPr="00164BA7">
          <w:rPr>
            <w:rFonts w:ascii="Palatino Linotype" w:eastAsia="Palatino Linotype" w:hAnsi="Palatino Linotype" w:cs="Palatino Linotype"/>
          </w:rPr>
          <w:t>informejustificadoRR01084DGTAIPGA.pdf</w:t>
        </w:r>
      </w:hyperlink>
      <w:r w:rsidRPr="00164BA7">
        <w:rPr>
          <w:rFonts w:ascii="Palatino Linotype" w:eastAsia="Palatino Linotype" w:hAnsi="Palatino Linotype" w:cs="Palatino Linotype"/>
        </w:rPr>
        <w:t>”, el cual contiene el informe justificado de la Dirección General de Transparencia, Acceso a la Información Pública y Gobierno Abierto, mediante el cual en lo medular ratificó su respuesta inicial.</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Los cuales se determinaron poner a la vista de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en términos de la fracción III del artículo 185 de la Ley de Transparencia y Acceso a la Información Pública del Estado de México y Municipios.</w:t>
      </w:r>
    </w:p>
    <w:p w:rsidR="00E73F00" w:rsidRPr="00164BA7" w:rsidRDefault="00E73F00">
      <w:pPr>
        <w:widowControl w:val="0"/>
        <w:spacing w:line="360" w:lineRule="auto"/>
        <w:jc w:val="both"/>
        <w:rPr>
          <w:rFonts w:ascii="Palatino Linotype" w:eastAsia="Palatino Linotype" w:hAnsi="Palatino Linotype" w:cs="Palatino Linotype"/>
        </w:rPr>
      </w:pPr>
    </w:p>
    <w:p w:rsidR="00E73F00" w:rsidRPr="00164BA7" w:rsidRDefault="005854E9">
      <w:pPr>
        <w:widowControl w:val="0"/>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7</w:t>
      </w:r>
      <w:r w:rsidRPr="00164BA7">
        <w:rPr>
          <w:rFonts w:ascii="Palatino Linotype" w:eastAsia="Palatino Linotype" w:hAnsi="Palatino Linotype" w:cs="Palatino Linotype"/>
        </w:rPr>
        <w:t xml:space="preserve">. </w:t>
      </w:r>
      <w:r w:rsidRPr="00164BA7">
        <w:rPr>
          <w:rFonts w:ascii="Palatino Linotype" w:eastAsia="Palatino Linotype" w:hAnsi="Palatino Linotype" w:cs="Palatino Linotype"/>
          <w:b/>
        </w:rPr>
        <w:t>Ampliación del plazo.</w:t>
      </w:r>
      <w:r w:rsidRPr="00164BA7">
        <w:rPr>
          <w:rFonts w:ascii="Palatino Linotype" w:eastAsia="Palatino Linotype" w:hAnsi="Palatino Linotype" w:cs="Palatino Linotype"/>
        </w:rPr>
        <w:t xml:space="preserve"> En fecha trece de junio del año dos mil veintitrés, con fundamento en el artículo 181, párrafo tercero de la Ley de Transparencia y Acceso a la Información Pública del Estado de México y Municipios, se acordó la ampliación del plazo para su resolución.</w:t>
      </w:r>
    </w:p>
    <w:p w:rsidR="00E73F00" w:rsidRPr="00164BA7" w:rsidRDefault="00E73F00">
      <w:pPr>
        <w:widowControl w:val="0"/>
        <w:spacing w:line="360" w:lineRule="auto"/>
        <w:jc w:val="both"/>
        <w:rPr>
          <w:rFonts w:ascii="Palatino Linotype" w:eastAsia="Palatino Linotype" w:hAnsi="Palatino Linotype" w:cs="Palatino Linotype"/>
        </w:rPr>
      </w:pPr>
    </w:p>
    <w:p w:rsidR="00E73F00" w:rsidRPr="00164BA7" w:rsidRDefault="005854E9">
      <w:pPr>
        <w:widowControl w:val="0"/>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164BA7">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strike/>
        </w:rPr>
      </w:pPr>
      <w:r w:rsidRPr="00164BA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numPr>
          <w:ilvl w:val="0"/>
          <w:numId w:val="1"/>
        </w:numPr>
        <w:ind w:left="851"/>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E73F00" w:rsidRPr="00164BA7" w:rsidRDefault="00E73F00">
      <w:pPr>
        <w:ind w:left="851" w:hanging="360"/>
        <w:jc w:val="both"/>
        <w:rPr>
          <w:rFonts w:ascii="Palatino Linotype" w:eastAsia="Palatino Linotype" w:hAnsi="Palatino Linotype" w:cs="Palatino Linotype"/>
        </w:rPr>
      </w:pPr>
    </w:p>
    <w:p w:rsidR="00E73F00" w:rsidRPr="00164BA7" w:rsidRDefault="005854E9">
      <w:pPr>
        <w:numPr>
          <w:ilvl w:val="0"/>
          <w:numId w:val="1"/>
        </w:numPr>
        <w:ind w:left="851"/>
        <w:jc w:val="both"/>
        <w:rPr>
          <w:rFonts w:ascii="Palatino Linotype" w:eastAsia="Palatino Linotype" w:hAnsi="Palatino Linotype" w:cs="Palatino Linotype"/>
        </w:rPr>
      </w:pPr>
      <w:r w:rsidRPr="00164BA7">
        <w:rPr>
          <w:rFonts w:ascii="Palatino Linotype" w:eastAsia="Palatino Linotype" w:hAnsi="Palatino Linotype" w:cs="Palatino Linotype"/>
        </w:rPr>
        <w:t>Actividad Procesal del interesado. Acciones u omisiones del interesado.</w:t>
      </w:r>
    </w:p>
    <w:p w:rsidR="00E73F00" w:rsidRPr="00164BA7" w:rsidRDefault="00E73F00">
      <w:pPr>
        <w:ind w:left="851" w:hanging="360"/>
        <w:jc w:val="both"/>
        <w:rPr>
          <w:rFonts w:ascii="Palatino Linotype" w:eastAsia="Palatino Linotype" w:hAnsi="Palatino Linotype" w:cs="Palatino Linotype"/>
        </w:rPr>
      </w:pPr>
    </w:p>
    <w:p w:rsidR="00E73F00" w:rsidRPr="00164BA7" w:rsidRDefault="005854E9">
      <w:pPr>
        <w:numPr>
          <w:ilvl w:val="0"/>
          <w:numId w:val="1"/>
        </w:numPr>
        <w:ind w:left="851"/>
        <w:jc w:val="both"/>
        <w:rPr>
          <w:rFonts w:ascii="Palatino Linotype" w:eastAsia="Palatino Linotype" w:hAnsi="Palatino Linotype" w:cs="Palatino Linotype"/>
        </w:rPr>
      </w:pPr>
      <w:r w:rsidRPr="00164BA7">
        <w:rPr>
          <w:rFonts w:ascii="Palatino Linotype" w:eastAsia="Palatino Linotype" w:hAnsi="Palatino Linotype" w:cs="Palatino Linotype"/>
        </w:rPr>
        <w:t>Conducta de la Autoridad: Las Acciones u omisiones realizadas en el procedimiento. Así como si la autoridad actuó con la debida diligencia.</w:t>
      </w:r>
    </w:p>
    <w:p w:rsidR="00E73F00" w:rsidRPr="00164BA7" w:rsidRDefault="00E73F00">
      <w:pPr>
        <w:ind w:left="851" w:hanging="360"/>
        <w:rPr>
          <w:rFonts w:ascii="Palatino Linotype" w:eastAsia="Palatino Linotype" w:hAnsi="Palatino Linotype" w:cs="Palatino Linotype"/>
        </w:rPr>
      </w:pPr>
    </w:p>
    <w:p w:rsidR="00E73F00" w:rsidRPr="00164BA7" w:rsidRDefault="005854E9">
      <w:pPr>
        <w:ind w:left="851" w:hanging="360"/>
        <w:jc w:val="both"/>
        <w:rPr>
          <w:rFonts w:ascii="Palatino Linotype" w:eastAsia="Palatino Linotype" w:hAnsi="Palatino Linotype" w:cs="Palatino Linotype"/>
        </w:rPr>
      </w:pPr>
      <w:r w:rsidRPr="00164BA7">
        <w:rPr>
          <w:rFonts w:ascii="Palatino Linotype" w:eastAsia="Palatino Linotype" w:hAnsi="Palatino Linotype" w:cs="Palatino Linotype"/>
        </w:rPr>
        <w:t>d) La afectación generada en la situación jurídica de la persona involucrada en el proceso: Violación a sus derechos humanos.</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b/>
        </w:rPr>
      </w:pPr>
      <w:r w:rsidRPr="00164BA7">
        <w:rPr>
          <w:rFonts w:ascii="Palatino Linotype" w:eastAsia="Palatino Linotype" w:hAnsi="Palatino Linotype" w:cs="Palatino Linotype"/>
        </w:rPr>
        <w:t>Argumento que encuentra sustento en la jurisprudencia P</w:t>
      </w:r>
      <w:proofErr w:type="gramStart"/>
      <w:r w:rsidRPr="00164BA7">
        <w:rPr>
          <w:rFonts w:ascii="Palatino Linotype" w:eastAsia="Palatino Linotype" w:hAnsi="Palatino Linotype" w:cs="Palatino Linotype"/>
        </w:rPr>
        <w:t>./</w:t>
      </w:r>
      <w:proofErr w:type="gramEnd"/>
      <w:r w:rsidRPr="00164BA7">
        <w:rPr>
          <w:rFonts w:ascii="Palatino Linotype" w:eastAsia="Palatino Linotype" w:hAnsi="Palatino Linotype" w:cs="Palatino Linotype"/>
        </w:rPr>
        <w:t xml:space="preserve">J. 32/92 emitida por el Pleno de la Suprema Corte de Justicia de la Nación de rubro </w:t>
      </w:r>
      <w:r w:rsidRPr="00164BA7">
        <w:rPr>
          <w:rFonts w:ascii="Palatino Linotype" w:eastAsia="Palatino Linotype" w:hAnsi="Palatino Linotype" w:cs="Palatino Linotype"/>
          <w:i/>
        </w:rPr>
        <w:t xml:space="preserve">“TÉRMINOS PROCESALES. PARA DETERMINAR SI UN FUNCIONARIO JUDICIAL ACTUÓ </w:t>
      </w:r>
      <w:r w:rsidRPr="00164BA7">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164BA7">
        <w:rPr>
          <w:rFonts w:ascii="Palatino Linotype" w:eastAsia="Palatino Linotype" w:hAnsi="Palatino Linotype" w:cs="Palatino Linotype"/>
        </w:rPr>
        <w:t>, visible en la Gaceta del Seminario Judicial de la Federación con el registro digital 205635.</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73F00" w:rsidRPr="00164BA7" w:rsidRDefault="00E73F00">
      <w:pPr>
        <w:spacing w:line="360" w:lineRule="auto"/>
        <w:jc w:val="both"/>
        <w:rPr>
          <w:rFonts w:ascii="Palatino Linotype" w:eastAsia="Palatino Linotype" w:hAnsi="Palatino Linotype" w:cs="Palatino Linotype"/>
          <w:i/>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i/>
        </w:rPr>
        <w:lastRenderedPageBreak/>
        <w:t>“PLAZO RAZONABLE PARA RESOLVER. DIMENSIÓN Y EFECTOS DE ESTE CONCEPTO CUANDO SE ADUCE EXCESIVA CARGA DE TRABAJO.”</w:t>
      </w:r>
      <w:r w:rsidRPr="00164BA7">
        <w:rPr>
          <w:rFonts w:ascii="Palatino Linotype" w:eastAsia="Palatino Linotype" w:hAnsi="Palatino Linotype" w:cs="Palatino Linotype"/>
        </w:rPr>
        <w:t xml:space="preserve"> consultable en el Seminario Judicial de la Federación y su gaceta, con el registro digital 2002351.</w:t>
      </w:r>
    </w:p>
    <w:p w:rsidR="00E73F00" w:rsidRPr="00164BA7" w:rsidRDefault="00E73F00">
      <w:pPr>
        <w:spacing w:line="360" w:lineRule="auto"/>
        <w:jc w:val="both"/>
        <w:rPr>
          <w:rFonts w:ascii="Palatino Linotype" w:eastAsia="Palatino Linotype" w:hAnsi="Palatino Linotype" w:cs="Palatino Linotype"/>
          <w:b/>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i/>
        </w:rPr>
        <w:t>“PLAZO RAZONABLE PARA RESOLVER. CONCEPTO Y ELEMENTOS QUE LO INTEGRAN A LA LUZ DEL DERECHO INTERNACIONAL DE LOS DERECHOS HUMANOS.”</w:t>
      </w:r>
      <w:r w:rsidRPr="00164BA7">
        <w:rPr>
          <w:rFonts w:ascii="Palatino Linotype" w:eastAsia="Palatino Linotype" w:hAnsi="Palatino Linotype" w:cs="Palatino Linotype"/>
        </w:rPr>
        <w:t>, visible en el Seminario Judicial de la Federación y su gaceta, con el registro digital 2002350.</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 xml:space="preserve">8. Cierre de instrucción. </w:t>
      </w:r>
      <w:r w:rsidRPr="00164BA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64BA7">
        <w:rPr>
          <w:rFonts w:ascii="Palatino Linotype" w:eastAsia="Palatino Linotype" w:hAnsi="Palatino Linotype" w:cs="Palatino Linotype"/>
          <w:b/>
        </w:rPr>
        <w:t>quince de junio de dos mil veintitrés</w:t>
      </w:r>
      <w:r w:rsidRPr="00164BA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E73F00"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64BA7" w:rsidRPr="00164BA7" w:rsidRDefault="00164BA7">
      <w:pPr>
        <w:spacing w:before="240" w:after="240" w:line="360" w:lineRule="auto"/>
        <w:jc w:val="both"/>
        <w:rPr>
          <w:rFonts w:ascii="Palatino Linotype" w:eastAsia="Palatino Linotype" w:hAnsi="Palatino Linotype" w:cs="Palatino Linotype"/>
        </w:rPr>
      </w:pPr>
    </w:p>
    <w:p w:rsidR="00E73F00" w:rsidRPr="00164BA7" w:rsidRDefault="005854E9">
      <w:pPr>
        <w:widowControl w:val="0"/>
        <w:spacing w:line="360" w:lineRule="auto"/>
        <w:jc w:val="center"/>
        <w:rPr>
          <w:rFonts w:ascii="Palatino Linotype" w:eastAsia="Palatino Linotype" w:hAnsi="Palatino Linotype" w:cs="Palatino Linotype"/>
          <w:b/>
        </w:rPr>
      </w:pPr>
      <w:r w:rsidRPr="00164BA7">
        <w:rPr>
          <w:rFonts w:ascii="Palatino Linotype" w:eastAsia="Palatino Linotype" w:hAnsi="Palatino Linotype" w:cs="Palatino Linotype"/>
          <w:b/>
        </w:rPr>
        <w:lastRenderedPageBreak/>
        <w:t>II. C O N S I D E R A N D O S</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Primero. Competencia.</w:t>
      </w:r>
      <w:r w:rsidRPr="00164BA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73F00" w:rsidRPr="00164BA7" w:rsidRDefault="005854E9">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164BA7">
        <w:rPr>
          <w:rFonts w:ascii="Palatino Linotype" w:eastAsia="Palatino Linotype" w:hAnsi="Palatino Linotype" w:cs="Palatino Linotype"/>
          <w:b/>
        </w:rPr>
        <w:t xml:space="preserve">Segundo. Oportunidad y </w:t>
      </w:r>
      <w:proofErr w:type="spellStart"/>
      <w:r w:rsidRPr="00164BA7">
        <w:rPr>
          <w:rFonts w:ascii="Palatino Linotype" w:eastAsia="Palatino Linotype" w:hAnsi="Palatino Linotype" w:cs="Palatino Linotype"/>
          <w:b/>
        </w:rPr>
        <w:t>Procedibilidad</w:t>
      </w:r>
      <w:proofErr w:type="spellEnd"/>
      <w:r w:rsidRPr="00164BA7">
        <w:rPr>
          <w:rFonts w:ascii="Palatino Linotype" w:eastAsia="Palatino Linotype" w:hAnsi="Palatino Linotype" w:cs="Palatino Linotype"/>
          <w:b/>
        </w:rPr>
        <w:t xml:space="preserve"> del Recurso de Revisión. </w:t>
      </w:r>
      <w:r w:rsidRPr="00164BA7">
        <w:rPr>
          <w:rFonts w:ascii="Palatino Linotype" w:eastAsia="Palatino Linotype" w:hAnsi="Palatino Linotype" w:cs="Palatino Linotype"/>
        </w:rPr>
        <w:t xml:space="preserve">De conformidad con los requisitos de Oportunidad y </w:t>
      </w:r>
      <w:proofErr w:type="spellStart"/>
      <w:r w:rsidRPr="00164BA7">
        <w:rPr>
          <w:rFonts w:ascii="Palatino Linotype" w:eastAsia="Palatino Linotype" w:hAnsi="Palatino Linotype" w:cs="Palatino Linotype"/>
        </w:rPr>
        <w:t>Procedibilidad</w:t>
      </w:r>
      <w:proofErr w:type="spellEnd"/>
      <w:r w:rsidRPr="00164BA7">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emitió su respuesta a la solicitud planteada por el solicitante el veintidós de febrero del año dos mil veintitrés y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presentó su recurso de revisión el veinticuatro del mismo mes y año; esto es, al tercer día hábil siguiente de aquel en que tuvo conocimiento de la </w:t>
      </w:r>
      <w:r w:rsidRPr="00164BA7">
        <w:rPr>
          <w:rFonts w:ascii="Palatino Linotype" w:eastAsia="Palatino Linotype" w:hAnsi="Palatino Linotype" w:cs="Palatino Linotype"/>
        </w:rPr>
        <w:lastRenderedPageBreak/>
        <w:t>respuesta; evidenciándose que la interposición del recurso se encuentra dentro de los márgenes temporales previstos en el citado precepto legal.</w:t>
      </w:r>
    </w:p>
    <w:p w:rsidR="00E73F00" w:rsidRPr="00164BA7" w:rsidRDefault="005854E9">
      <w:pPr>
        <w:spacing w:before="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Al mismo tiempo, tras la revisión del formato de interposición del recurso, es de suma importancia señalar que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no proporcionó su nombre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73F00" w:rsidRPr="00164BA7" w:rsidRDefault="00E73F00">
      <w:pPr>
        <w:ind w:left="567" w:right="474"/>
        <w:jc w:val="both"/>
        <w:rPr>
          <w:rFonts w:ascii="Palatino Linotype" w:eastAsia="Palatino Linotype" w:hAnsi="Palatino Linotype" w:cs="Palatino Linotype"/>
          <w:i/>
        </w:rPr>
      </w:pPr>
    </w:p>
    <w:p w:rsidR="00E73F00" w:rsidRPr="00164BA7" w:rsidRDefault="005854E9">
      <w:pPr>
        <w:spacing w:after="240"/>
        <w:ind w:left="567" w:right="474"/>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r w:rsidRPr="00164BA7">
        <w:rPr>
          <w:rFonts w:ascii="Palatino Linotype" w:eastAsia="Palatino Linotype" w:hAnsi="Palatino Linotype" w:cs="Palatino Linotype"/>
          <w:b/>
          <w:i/>
          <w:sz w:val="22"/>
          <w:szCs w:val="22"/>
        </w:rPr>
        <w:t>Las solicitudes anónimas</w:t>
      </w:r>
      <w:r w:rsidRPr="00164BA7">
        <w:rPr>
          <w:rFonts w:ascii="Palatino Linotype" w:eastAsia="Palatino Linotype" w:hAnsi="Palatino Linotype" w:cs="Palatino Linotype"/>
          <w:i/>
          <w:sz w:val="22"/>
          <w:szCs w:val="22"/>
        </w:rPr>
        <w:t xml:space="preserve">, con nombre incompleto o seudónimo </w:t>
      </w:r>
      <w:r w:rsidRPr="00164BA7">
        <w:rPr>
          <w:rFonts w:ascii="Palatino Linotype" w:eastAsia="Palatino Linotype" w:hAnsi="Palatino Linotype" w:cs="Palatino Linotype"/>
          <w:b/>
          <w:i/>
          <w:sz w:val="22"/>
          <w:szCs w:val="22"/>
        </w:rPr>
        <w:t>serán procedentes para su trámite por parte del sujeto obligado ante quien se presente</w:t>
      </w:r>
      <w:r w:rsidRPr="00164BA7">
        <w:rPr>
          <w:rFonts w:ascii="Palatino Linotype" w:eastAsia="Palatino Linotype" w:hAnsi="Palatino Linotype" w:cs="Palatino Linotype"/>
          <w:i/>
          <w:sz w:val="22"/>
          <w:szCs w:val="22"/>
        </w:rPr>
        <w:t>. No podrá requerirse información adicional con motivo del nombre proporcionado por el solicitante."(Sic)</w:t>
      </w:r>
    </w:p>
    <w:p w:rsidR="00E73F00" w:rsidRPr="00164BA7" w:rsidRDefault="005854E9">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Además, por cuanto hace a la </w:t>
      </w:r>
      <w:proofErr w:type="spellStart"/>
      <w:r w:rsidRPr="00164BA7">
        <w:rPr>
          <w:rFonts w:ascii="Palatino Linotype" w:eastAsia="Palatino Linotype" w:hAnsi="Palatino Linotype" w:cs="Palatino Linotype"/>
        </w:rPr>
        <w:t>procedibilidad</w:t>
      </w:r>
      <w:proofErr w:type="spellEnd"/>
      <w:r w:rsidRPr="00164BA7">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64BA7">
        <w:rPr>
          <w:rFonts w:ascii="Palatino Linotype" w:eastAsia="Palatino Linotype" w:hAnsi="Palatino Linotype" w:cs="Palatino Linotype"/>
          <w:b/>
        </w:rPr>
        <w:t>EL</w:t>
      </w:r>
      <w:r w:rsidRPr="00164BA7">
        <w:rPr>
          <w:rFonts w:ascii="Palatino Linotype" w:eastAsia="Palatino Linotype" w:hAnsi="Palatino Linotype" w:cs="Palatino Linotype"/>
        </w:rPr>
        <w:t xml:space="preserve"> </w:t>
      </w:r>
      <w:r w:rsidRPr="00164BA7">
        <w:rPr>
          <w:rFonts w:ascii="Palatino Linotype" w:eastAsia="Palatino Linotype" w:hAnsi="Palatino Linotype" w:cs="Palatino Linotype"/>
          <w:b/>
        </w:rPr>
        <w:t>SAIMEX</w:t>
      </w:r>
      <w:r w:rsidRPr="00164BA7">
        <w:rPr>
          <w:rFonts w:ascii="Palatino Linotype" w:eastAsia="Palatino Linotype" w:hAnsi="Palatino Linotype" w:cs="Palatino Linotype"/>
        </w:rPr>
        <w:t>.</w:t>
      </w:r>
    </w:p>
    <w:p w:rsidR="00E73F00" w:rsidRPr="00164BA7" w:rsidRDefault="00E73F00">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rsidR="00E73F00" w:rsidRPr="00164BA7" w:rsidRDefault="005854E9">
      <w:pPr>
        <w:ind w:left="1276" w:right="1752"/>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lastRenderedPageBreak/>
        <w:t>“</w:t>
      </w:r>
      <w:r w:rsidRPr="00164BA7">
        <w:rPr>
          <w:rFonts w:ascii="Palatino Linotype" w:eastAsia="Palatino Linotype" w:hAnsi="Palatino Linotype" w:cs="Palatino Linotype"/>
          <w:b/>
          <w:i/>
          <w:sz w:val="22"/>
          <w:szCs w:val="22"/>
        </w:rPr>
        <w:t xml:space="preserve">Artículo 179. </w:t>
      </w:r>
      <w:r w:rsidRPr="00164BA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E73F00" w:rsidRPr="00164BA7" w:rsidRDefault="005854E9">
      <w:pPr>
        <w:ind w:left="1276" w:right="1752"/>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p>
    <w:p w:rsidR="00E73F00" w:rsidRPr="00164BA7" w:rsidRDefault="005854E9">
      <w:pPr>
        <w:ind w:left="1276" w:right="1752"/>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VI. La entrega de información que no corresponda con lo solicitado…” (Sic)</w:t>
      </w:r>
    </w:p>
    <w:p w:rsidR="00E73F00" w:rsidRPr="00164BA7" w:rsidRDefault="00E73F00">
      <w:pPr>
        <w:spacing w:line="360" w:lineRule="auto"/>
        <w:jc w:val="both"/>
        <w:rPr>
          <w:rFonts w:ascii="Palatino Linotype" w:eastAsia="Palatino Linotype" w:hAnsi="Palatino Linotype" w:cs="Palatino Linotype"/>
          <w:b/>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Tercero. Materia de Revisión</w:t>
      </w:r>
      <w:r w:rsidRPr="00164BA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164BA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64BA7">
        <w:rPr>
          <w:rFonts w:ascii="Palatino Linotype" w:eastAsia="Palatino Linotype" w:hAnsi="Palatino Linotype" w:cs="Palatino Linotype"/>
        </w:rPr>
        <w:t xml:space="preserve">de la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o en su defecto, en caso de ser procedente, ordenar la entrega de información.</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 xml:space="preserve">Cuarto. Estudio del asunto. </w:t>
      </w:r>
      <w:r w:rsidRPr="00164BA7">
        <w:rPr>
          <w:rFonts w:ascii="Palatino Linotype" w:eastAsia="Palatino Linotype" w:hAnsi="Palatino Linotype" w:cs="Palatino Linotype"/>
        </w:rPr>
        <w:t xml:space="preserve">Es conveniente analizar si la respuesta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73F00" w:rsidRPr="00164BA7" w:rsidRDefault="005854E9">
      <w:pPr>
        <w:spacing w:before="240"/>
        <w:ind w:left="709" w:right="760"/>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lastRenderedPageBreak/>
        <w:t>“</w:t>
      </w:r>
      <w:r w:rsidRPr="00164BA7">
        <w:rPr>
          <w:rFonts w:ascii="Palatino Linotype" w:eastAsia="Palatino Linotype" w:hAnsi="Palatino Linotype" w:cs="Palatino Linotype"/>
          <w:b/>
          <w:i/>
          <w:sz w:val="22"/>
          <w:szCs w:val="22"/>
        </w:rPr>
        <w:t>Artículo 4.</w:t>
      </w:r>
      <w:r w:rsidRPr="00164BA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73F00" w:rsidRPr="00164BA7" w:rsidRDefault="005854E9">
      <w:pPr>
        <w:ind w:left="709" w:right="760"/>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64BA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3F00" w:rsidRPr="00164BA7" w:rsidRDefault="005854E9">
      <w:pPr>
        <w:ind w:left="709" w:right="760"/>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64BA7">
        <w:rPr>
          <w:rFonts w:ascii="Palatino Linotype" w:eastAsia="Palatino Linotype" w:hAnsi="Palatino Linotype" w:cs="Palatino Linotype"/>
          <w:i/>
          <w:sz w:val="22"/>
          <w:szCs w:val="22"/>
        </w:rPr>
        <w:t>.”(Sic)</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73F00" w:rsidRPr="00164BA7" w:rsidRDefault="005854E9">
      <w:pPr>
        <w:ind w:left="567" w:right="758"/>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r w:rsidRPr="00164BA7">
        <w:rPr>
          <w:rFonts w:ascii="Palatino Linotype" w:eastAsia="Palatino Linotype" w:hAnsi="Palatino Linotype" w:cs="Palatino Linotype"/>
          <w:b/>
          <w:i/>
          <w:sz w:val="22"/>
          <w:szCs w:val="22"/>
        </w:rPr>
        <w:t>Artículo 12.-</w:t>
      </w:r>
      <w:r w:rsidRPr="00164BA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73F00" w:rsidRPr="00164BA7" w:rsidRDefault="005854E9">
      <w:pPr>
        <w:ind w:left="567" w:right="758"/>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64BA7">
        <w:rPr>
          <w:rFonts w:ascii="Palatino Linotype" w:eastAsia="Palatino Linotype" w:hAnsi="Palatino Linotype" w:cs="Palatino Linotype"/>
          <w:i/>
          <w:sz w:val="22"/>
          <w:szCs w:val="22"/>
        </w:rPr>
        <w:t xml:space="preserve">. </w:t>
      </w:r>
      <w:r w:rsidRPr="00164BA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164BA7">
        <w:rPr>
          <w:rFonts w:ascii="Palatino Linotype" w:eastAsia="Palatino Linotype" w:hAnsi="Palatino Linotype" w:cs="Palatino Linotype"/>
          <w:b/>
          <w:i/>
          <w:sz w:val="22"/>
          <w:szCs w:val="22"/>
        </w:rPr>
        <w:lastRenderedPageBreak/>
        <w:t>obligados a generarla, resumirla, efectuar cálculos o practicar investigaciones.” (Sic)</w:t>
      </w:r>
    </w:p>
    <w:p w:rsidR="00E73F00" w:rsidRPr="00164BA7" w:rsidRDefault="00E73F00">
      <w:pPr>
        <w:spacing w:line="360" w:lineRule="auto"/>
        <w:ind w:right="-93"/>
        <w:jc w:val="both"/>
        <w:rPr>
          <w:rFonts w:ascii="Palatino Linotype" w:eastAsia="Palatino Linotype" w:hAnsi="Palatino Linotype" w:cs="Palatino Linotype"/>
        </w:rPr>
      </w:pPr>
    </w:p>
    <w:p w:rsidR="00E73F00" w:rsidRPr="00164BA7" w:rsidRDefault="005854E9">
      <w:pPr>
        <w:spacing w:line="360" w:lineRule="auto"/>
        <w:ind w:right="-93"/>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E73F00" w:rsidRPr="00164BA7" w:rsidRDefault="00E73F00">
      <w:pPr>
        <w:spacing w:line="360" w:lineRule="auto"/>
        <w:ind w:right="-93"/>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b/>
        </w:rPr>
      </w:pPr>
      <w:r w:rsidRPr="00164BA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164BA7">
        <w:rPr>
          <w:rFonts w:ascii="Palatino Linotype" w:eastAsia="Palatino Linotype" w:hAnsi="Palatino Linotype" w:cs="Palatino Linotype"/>
          <w:b/>
        </w:rPr>
        <w:t xml:space="preserve"> </w:t>
      </w:r>
    </w:p>
    <w:p w:rsidR="00E73F00" w:rsidRPr="00164BA7" w:rsidRDefault="005854E9">
      <w:pPr>
        <w:ind w:left="851" w:right="901"/>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r w:rsidRPr="00164BA7">
        <w:rPr>
          <w:rFonts w:ascii="Palatino Linotype" w:eastAsia="Palatino Linotype" w:hAnsi="Palatino Linotype" w:cs="Palatino Linotype"/>
          <w:b/>
          <w:i/>
          <w:sz w:val="22"/>
          <w:szCs w:val="22"/>
        </w:rPr>
        <w:t>No existe obligación de elaborar documentos ad hoc para atender las solicitudes de acceso a la información.</w:t>
      </w:r>
      <w:r w:rsidRPr="00164BA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73F00" w:rsidRPr="00164BA7" w:rsidRDefault="005854E9">
      <w:pPr>
        <w:ind w:left="851" w:right="901"/>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 xml:space="preserve">Resoluciones: </w:t>
      </w:r>
    </w:p>
    <w:p w:rsidR="00E73F00" w:rsidRPr="00164BA7" w:rsidRDefault="005854E9">
      <w:pPr>
        <w:ind w:left="851" w:right="901"/>
        <w:jc w:val="both"/>
        <w:rPr>
          <w:rFonts w:ascii="Palatino Linotype" w:eastAsia="Palatino Linotype" w:hAnsi="Palatino Linotype" w:cs="Palatino Linotype"/>
          <w:i/>
          <w:sz w:val="22"/>
          <w:szCs w:val="22"/>
        </w:rPr>
      </w:pPr>
      <w:r w:rsidRPr="00164BA7">
        <w:rPr>
          <w:rFonts w:ascii="Noto Sans Symbols" w:eastAsia="Noto Sans Symbols" w:hAnsi="Noto Sans Symbols" w:cs="Noto Sans Symbols"/>
          <w:i/>
          <w:sz w:val="22"/>
          <w:szCs w:val="22"/>
        </w:rPr>
        <w:t>∙</w:t>
      </w:r>
      <w:r w:rsidRPr="00164BA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E73F00" w:rsidRPr="00164BA7" w:rsidRDefault="005854E9">
      <w:pPr>
        <w:ind w:left="851" w:right="901"/>
        <w:jc w:val="both"/>
        <w:rPr>
          <w:rFonts w:ascii="Palatino Linotype" w:eastAsia="Palatino Linotype" w:hAnsi="Palatino Linotype" w:cs="Palatino Linotype"/>
          <w:i/>
          <w:sz w:val="22"/>
          <w:szCs w:val="22"/>
        </w:rPr>
      </w:pPr>
      <w:r w:rsidRPr="00164BA7">
        <w:rPr>
          <w:rFonts w:ascii="Noto Sans Symbols" w:eastAsia="Noto Sans Symbols" w:hAnsi="Noto Sans Symbols" w:cs="Noto Sans Symbols"/>
          <w:i/>
          <w:sz w:val="22"/>
          <w:szCs w:val="22"/>
        </w:rPr>
        <w:lastRenderedPageBreak/>
        <w:t>∙</w:t>
      </w:r>
      <w:r w:rsidRPr="00164BA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E73F00" w:rsidRPr="00164BA7" w:rsidRDefault="005854E9">
      <w:pPr>
        <w:ind w:left="851" w:right="901"/>
        <w:jc w:val="both"/>
        <w:rPr>
          <w:rFonts w:ascii="Palatino Linotype" w:eastAsia="Palatino Linotype" w:hAnsi="Palatino Linotype" w:cs="Palatino Linotype"/>
          <w:i/>
          <w:sz w:val="22"/>
          <w:szCs w:val="22"/>
        </w:rPr>
      </w:pPr>
      <w:r w:rsidRPr="00164BA7">
        <w:rPr>
          <w:rFonts w:ascii="Noto Sans Symbols" w:eastAsia="Noto Sans Symbols" w:hAnsi="Noto Sans Symbols" w:cs="Noto Sans Symbols"/>
          <w:i/>
          <w:sz w:val="22"/>
          <w:szCs w:val="22"/>
        </w:rPr>
        <w:t>∙</w:t>
      </w:r>
      <w:r w:rsidRPr="00164BA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73F00" w:rsidRPr="00164BA7" w:rsidRDefault="00E73F00">
      <w:pPr>
        <w:spacing w:line="360" w:lineRule="auto"/>
        <w:ind w:right="49"/>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164BA7">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73F00" w:rsidRPr="00164BA7" w:rsidRDefault="00E73F00">
      <w:pPr>
        <w:ind w:left="851" w:right="899"/>
        <w:jc w:val="both"/>
        <w:rPr>
          <w:rFonts w:ascii="Palatino Linotype" w:eastAsia="Palatino Linotype" w:hAnsi="Palatino Linotype" w:cs="Palatino Linotype"/>
          <w:i/>
          <w:sz w:val="22"/>
          <w:szCs w:val="22"/>
        </w:rPr>
      </w:pP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r w:rsidRPr="00164BA7">
        <w:rPr>
          <w:rFonts w:ascii="Palatino Linotype" w:eastAsia="Palatino Linotype" w:hAnsi="Palatino Linotype" w:cs="Palatino Linotype"/>
          <w:b/>
          <w:i/>
          <w:sz w:val="22"/>
          <w:szCs w:val="22"/>
        </w:rPr>
        <w:t xml:space="preserve">Artículo 3. </w:t>
      </w:r>
      <w:r w:rsidRPr="00164BA7">
        <w:rPr>
          <w:rFonts w:ascii="Palatino Linotype" w:eastAsia="Palatino Linotype" w:hAnsi="Palatino Linotype" w:cs="Palatino Linotype"/>
          <w:i/>
          <w:sz w:val="22"/>
          <w:szCs w:val="22"/>
        </w:rPr>
        <w:t>Para los efectos de la presente Ley se entenderá por:</w:t>
      </w: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XI. Documento:</w:t>
      </w:r>
      <w:r w:rsidRPr="00164BA7">
        <w:rPr>
          <w:rFonts w:ascii="Palatino Linotype" w:eastAsia="Palatino Linotype" w:hAnsi="Palatino Linotype" w:cs="Palatino Linotype"/>
          <w:i/>
          <w:sz w:val="22"/>
          <w:szCs w:val="22"/>
        </w:rPr>
        <w:t xml:space="preserve"> Los expedientes, reportes, estudios, actas</w:t>
      </w:r>
      <w:r w:rsidRPr="00164BA7">
        <w:rPr>
          <w:rFonts w:ascii="Palatino Linotype" w:eastAsia="Palatino Linotype" w:hAnsi="Palatino Linotype" w:cs="Palatino Linotype"/>
          <w:b/>
          <w:i/>
          <w:sz w:val="22"/>
          <w:szCs w:val="22"/>
        </w:rPr>
        <w:t>,</w:t>
      </w:r>
      <w:r w:rsidRPr="00164BA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73F00" w:rsidRPr="00164BA7" w:rsidRDefault="00E73F00">
      <w:pPr>
        <w:ind w:left="851" w:right="899"/>
        <w:jc w:val="both"/>
        <w:rPr>
          <w:rFonts w:ascii="Palatino Linotype" w:eastAsia="Palatino Linotype" w:hAnsi="Palatino Linotype" w:cs="Palatino Linotype"/>
          <w:sz w:val="22"/>
          <w:szCs w:val="22"/>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73F00" w:rsidRPr="00164BA7" w:rsidRDefault="00E73F00">
      <w:pPr>
        <w:ind w:left="851" w:right="899"/>
        <w:jc w:val="both"/>
        <w:rPr>
          <w:rFonts w:ascii="Palatino Linotype" w:eastAsia="Palatino Linotype" w:hAnsi="Palatino Linotype" w:cs="Palatino Linotype"/>
        </w:rPr>
      </w:pPr>
    </w:p>
    <w:p w:rsidR="00E73F00" w:rsidRPr="00164BA7" w:rsidRDefault="005854E9">
      <w:pPr>
        <w:ind w:left="851" w:right="899"/>
        <w:jc w:val="both"/>
        <w:rPr>
          <w:rFonts w:ascii="Palatino Linotype" w:eastAsia="Palatino Linotype" w:hAnsi="Palatino Linotype" w:cs="Palatino Linotype"/>
          <w:b/>
          <w:i/>
          <w:sz w:val="22"/>
          <w:szCs w:val="22"/>
        </w:rPr>
      </w:pPr>
      <w:r w:rsidRPr="00164BA7">
        <w:rPr>
          <w:rFonts w:ascii="Palatino Linotype" w:eastAsia="Palatino Linotype" w:hAnsi="Palatino Linotype" w:cs="Palatino Linotype"/>
          <w:b/>
          <w:sz w:val="22"/>
          <w:szCs w:val="22"/>
        </w:rPr>
        <w:t>“</w:t>
      </w:r>
      <w:r w:rsidRPr="00164BA7">
        <w:rPr>
          <w:rFonts w:ascii="Palatino Linotype" w:eastAsia="Palatino Linotype" w:hAnsi="Palatino Linotype" w:cs="Palatino Linotype"/>
          <w:b/>
          <w:i/>
          <w:sz w:val="22"/>
          <w:szCs w:val="22"/>
        </w:rPr>
        <w:t>CRITERIO 0002-11</w:t>
      </w: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64BA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164BA7">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73F00" w:rsidRPr="00164BA7" w:rsidRDefault="005854E9">
      <w:pPr>
        <w:ind w:left="851" w:right="899"/>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73F00" w:rsidRPr="00164BA7" w:rsidRDefault="005854E9">
      <w:pPr>
        <w:ind w:left="851" w:right="899"/>
        <w:jc w:val="both"/>
        <w:rPr>
          <w:rFonts w:ascii="Palatino Linotype" w:eastAsia="Palatino Linotype" w:hAnsi="Palatino Linotype" w:cs="Palatino Linotype"/>
          <w:b/>
          <w:i/>
          <w:sz w:val="22"/>
          <w:szCs w:val="22"/>
        </w:rPr>
      </w:pPr>
      <w:r w:rsidRPr="00164BA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E73F00" w:rsidRPr="00164BA7" w:rsidRDefault="005854E9">
      <w:pPr>
        <w:ind w:left="851" w:right="899"/>
        <w:jc w:val="both"/>
        <w:rPr>
          <w:rFonts w:ascii="Palatino Linotype" w:eastAsia="Palatino Linotype" w:hAnsi="Palatino Linotype" w:cs="Palatino Linotype"/>
          <w:b/>
          <w:i/>
          <w:sz w:val="22"/>
          <w:szCs w:val="22"/>
        </w:rPr>
      </w:pPr>
      <w:r w:rsidRPr="00164BA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Instituto de Transparencia, Acceso a la Información Pública y Protección de Datos Personales del Estado de México y Municipios, lo siguiente</w:t>
      </w:r>
    </w:p>
    <w:p w:rsidR="00E73F00" w:rsidRPr="00164BA7" w:rsidRDefault="005854E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Expresión documental que contenga la validación del Pleno donde en el Estado de México únicamente hay 330 sujetos obligados, ya que en sus últimas publicaciones del FB mencionan que hay 330 sujetos obligados.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respuesta, el </w:t>
      </w:r>
      <w:r w:rsidRPr="00164BA7">
        <w:rPr>
          <w:rFonts w:ascii="Palatino Linotype" w:eastAsia="Palatino Linotype" w:hAnsi="Palatino Linotype" w:cs="Palatino Linotype"/>
          <w:b/>
        </w:rPr>
        <w:t xml:space="preserve">SUJETO OBLIGADO </w:t>
      </w:r>
      <w:r w:rsidRPr="00164BA7">
        <w:rPr>
          <w:rFonts w:ascii="Palatino Linotype" w:eastAsia="Palatino Linotype" w:hAnsi="Palatino Linotype" w:cs="Palatino Linotype"/>
        </w:rPr>
        <w:t xml:space="preserve">a través de su Dirección General de Transparencia, Acceso a la Información Pública y Gobierno Abierto, entregó en formato PDF las modificaciones al Padrón de Sujetos Obligados publicadas en el Periódico Oficial "Gaceta del Gobierno" del Estado de México, en fechas 7 de abril y 19 de agosto, ambas de año 2022, en las cuales podrá advertir los Sujetos Obligados </w:t>
      </w:r>
      <w:r w:rsidRPr="00164BA7">
        <w:rPr>
          <w:rFonts w:ascii="Palatino Linotype" w:eastAsia="Palatino Linotype" w:hAnsi="Palatino Linotype" w:cs="Palatino Linotype"/>
        </w:rPr>
        <w:lastRenderedPageBreak/>
        <w:t xml:space="preserve">en materia de transparencia con los que se cuenta; mismas que pueden ser consultadas en los vínculos electrónicos siguientes: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•https://legislacion.edomex.gob.mx/sites/legislacion.edomex.gob.mx/files/files/pdf/gct/2022/abril/abr071/abr071c.pdf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•https://legislacion.edomex.gob.mx/sites/legislacion.edomex.gob.mx/files/files/pdf/gct/2022/agosto/ago191/ago191g.pdf</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No conforme con la respuesta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interpuso el recurso de revisión que se analiza en el presente asunto, por medio del cual se inconformó porque de las modificaciones al Padrón de Sujetos Obligados publicadas en el Periódico Oficial "Gaceta del Gobierno" del Estado de México, en fechas 7 de abril y 19 de agosto, ambas de año 2022, que me fueran anexadas en ligas electrónicas, se advierte que son 332 Sujetos Obligados y no 330 Sujetos Obligados, tal y como se establece en la publicación del Facebook del </w:t>
      </w:r>
      <w:proofErr w:type="spellStart"/>
      <w:r w:rsidRPr="00164BA7">
        <w:rPr>
          <w:rFonts w:ascii="Palatino Linotype" w:eastAsia="Palatino Linotype" w:hAnsi="Palatino Linotype" w:cs="Palatino Linotype"/>
        </w:rPr>
        <w:t>Infoem</w:t>
      </w:r>
      <w:proofErr w:type="spellEnd"/>
      <w:r w:rsidRPr="00164BA7">
        <w:rPr>
          <w:rFonts w:ascii="Palatino Linotype" w:eastAsia="Palatino Linotype" w:hAnsi="Palatino Linotype" w:cs="Palatino Linotype"/>
        </w:rPr>
        <w:t xml:space="preserve"> del 13 de febrero de 2022, por lo que, falta un acuerdo en donde se eliminan a 2 sujetos obligados del padrón correspondiente.</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Ante la interposición del recurso de revisión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rindió su informe justificado mediante el cual aclaró que la Dirección General de Transparencia, Acceso a la Información Pública y Gobierno Abierto, tuvo a bien remitir las Gacetas del  Gobierno" del Estado de México, en fechas 7 de abril y 19 de </w:t>
      </w:r>
      <w:r w:rsidRPr="00164BA7">
        <w:rPr>
          <w:rFonts w:ascii="Palatino Linotype" w:eastAsia="Palatino Linotype" w:hAnsi="Palatino Linotype" w:cs="Palatino Linotype"/>
        </w:rPr>
        <w:lastRenderedPageBreak/>
        <w:t>agosto, ambas de año 2022, en las cuales se daba cuenta de las últimas modificaciones que se habían realizado al padrón de sujetos obligados de la entidad.</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la primera Gaceta (siete de abril del año 2022), se contiene el 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con la reproducción mediante una tabla que contiene el listado de todo los sujetos obligados del cual se obtiene un total de 330 Sujetos Obligados. </w:t>
      </w:r>
    </w:p>
    <w:p w:rsidR="00E73F00" w:rsidRPr="00164BA7" w:rsidRDefault="005854E9">
      <w:pPr>
        <w:spacing w:before="240" w:after="240" w:line="360" w:lineRule="auto"/>
        <w:ind w:right="49"/>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la segunda Gaceta (19 de agosto del año 2022), el cual contiene el Acuerdo mediante al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se obtiene como resultado de las incorporaciones y eliminaciones correspondientes, un total de 332 sujetos obligados, siendo en efecto con los que se contaba al momento de lo requerido.  </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Con base en lo precedente, se determina que la información proporcionada por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w:t>
      </w:r>
      <w:r w:rsidRPr="00164BA7">
        <w:rPr>
          <w:rFonts w:ascii="Palatino Linotype" w:eastAsia="Palatino Linotype" w:hAnsi="Palatino Linotype" w:cs="Palatino Linotype"/>
        </w:rPr>
        <w:lastRenderedPageBreak/>
        <w:t xml:space="preserve">acontecen infundados para modificar o revocar la respuesta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en razón de las consideraciones de derecho que a continuación se exponen:</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De una revisión a la respuesta la Dirección General de Transparencia, Acceso a la Información Pública y Gobierno Abierto, se advierte que entregó las Gacetas del  Gobierno" del Estado de México, en fechas 7 de abril y 19 de agosto, ambas de año 2022, la cuales contienes la aprobación del padrón de los sujeto obligado en el Estado de México como su respectiva modificación, no obstante, el particular estuvo inconforme porque a su consideración de una revisión a dichas gacetas se advierte que son 332 sujetos obligados y no 330 sujetos obligados como se publicó en la red social Facebook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manifestando que faltaba un acuerdo donde se eliminen a dos sujetos obligados del padrón correspondiente.</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En ese sentido, la primera Gaceta de fecha 7 de abril del año 2022, se advierte que el Pleno del Instituto de Transparencia, Acceso a la Información Pública y Protección de Datos Personales del Estado de México y Municipios, aprobó el padrón de sujetos obligados del Estado de México, siendo un total de 330 sujetos obligados, como se advierte a continuación en la siguiente imagen:</w:t>
      </w:r>
    </w:p>
    <w:p w:rsidR="00E73F00" w:rsidRPr="00164BA7" w:rsidRDefault="00E73F00">
      <w:pPr>
        <w:spacing w:line="360" w:lineRule="auto"/>
        <w:jc w:val="both"/>
      </w:pPr>
    </w:p>
    <w:p w:rsidR="00E73F00" w:rsidRPr="00164BA7" w:rsidRDefault="005854E9">
      <w:pPr>
        <w:spacing w:line="360" w:lineRule="auto"/>
        <w:jc w:val="both"/>
        <w:rPr>
          <w:rFonts w:ascii="Palatino Linotype" w:eastAsia="Palatino Linotype" w:hAnsi="Palatino Linotype" w:cs="Palatino Linotype"/>
        </w:rPr>
      </w:pPr>
      <w:r w:rsidRPr="00164BA7">
        <w:rPr>
          <w:noProof/>
          <w:lang w:val="es-MX"/>
        </w:rPr>
        <w:lastRenderedPageBreak/>
        <w:drawing>
          <wp:inline distT="0" distB="0" distL="0" distR="0">
            <wp:extent cx="5682341" cy="1654288"/>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3502" t="11477" r="9811" b="52033"/>
                    <a:stretch>
                      <a:fillRect/>
                    </a:stretch>
                  </pic:blipFill>
                  <pic:spPr>
                    <a:xfrm>
                      <a:off x="0" y="0"/>
                      <a:ext cx="5682341" cy="1654288"/>
                    </a:xfrm>
                    <a:prstGeom prst="rect">
                      <a:avLst/>
                    </a:prstGeom>
                    <a:ln/>
                  </pic:spPr>
                </pic:pic>
              </a:graphicData>
            </a:graphic>
          </wp:inline>
        </w:drawing>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De la Gaceta del 19 de agosto del año 2022, se advierte que el Pleno del Instituto de Transparencia, Acceso a la Información Pública y Protección de Datos Personales del Estado de México y Municipios, aprobó la modificación al padrón de sujeto obligado del Estado de México, en donde se aumentó de 330 a 332 sujeto obligados, como se advierte a continuación en la siguiente imagen:</w:t>
      </w:r>
    </w:p>
    <w:p w:rsidR="00E73F00" w:rsidRPr="00164BA7" w:rsidRDefault="005854E9">
      <w:pPr>
        <w:spacing w:line="360" w:lineRule="auto"/>
        <w:jc w:val="both"/>
        <w:rPr>
          <w:rFonts w:ascii="Palatino Linotype" w:eastAsia="Palatino Linotype" w:hAnsi="Palatino Linotype" w:cs="Palatino Linotype"/>
        </w:rPr>
      </w:pPr>
      <w:r w:rsidRPr="00164BA7">
        <w:rPr>
          <w:noProof/>
          <w:lang w:val="es-MX"/>
        </w:rPr>
        <w:drawing>
          <wp:inline distT="0" distB="0" distL="0" distR="0">
            <wp:extent cx="5582867" cy="2067982"/>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9630" t="19563" r="14713" b="33205"/>
                    <a:stretch>
                      <a:fillRect/>
                    </a:stretch>
                  </pic:blipFill>
                  <pic:spPr>
                    <a:xfrm>
                      <a:off x="0" y="0"/>
                      <a:ext cx="5582867" cy="2067982"/>
                    </a:xfrm>
                    <a:prstGeom prst="rect">
                      <a:avLst/>
                    </a:prstGeom>
                    <a:ln/>
                  </pic:spPr>
                </pic:pic>
              </a:graphicData>
            </a:graphic>
          </wp:inline>
        </w:drawing>
      </w:r>
      <w:r w:rsidRPr="00164BA7">
        <w:rPr>
          <w:rFonts w:ascii="Palatino Linotype" w:eastAsia="Palatino Linotype" w:hAnsi="Palatino Linotype" w:cs="Palatino Linotype"/>
        </w:rPr>
        <w:t xml:space="preserve"> </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En donde se incorporaron como sujetos obligados a la Asociación de Servidores Públicos Académicos y Administrativos de la Universidad Tecnológica del Sur del Estado de México e Instituto Municipal de Cultura Física y Deporte de Lerma.</w:t>
      </w: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 xml:space="preserve">Circunstancia que fue aclarada por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a través de su informe justificado en donde manifestó, que la Dirección General de Transparencia, Acceso a la Información Pública y Gobierno Abierto, en respuesta, tuvo a bien remitir las Gacetas del  Gobierno" del Estado de México, en fechas 7 de abril y 19 de agosto, ambas de año 2022, en las cuales se daba cuenta de las últimas modificaciones que se habían realizado al padrón de sujetos obligados de la entidad, siendo que la primera contiene una tabla que tiene el listado de todo los sujetos obligados del cual se obtiene un total de 330 Sujetos Obligados y segunda corresponde a la modificación del padrón de los sujetos obligado del Estado de México, en donde se obtiene como resultado de las incorporaciones y eliminaciones correspondientes, un total de 332 sujetos obligados, siendo en efecto con los que se contaba al momento de lo requerido, colmando con ello el derecho de acceso a la información pública de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en razón de que el área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xml:space="preserve"> que se pronunció, fue la Dirección General de Transparencia, Acceso a la Información Pública y Gobierno Abierto, que en términos de lo señalado por el artículo 25 fracción II del Reglamento Interno del </w:t>
      </w:r>
      <w:r w:rsidRPr="00164BA7">
        <w:rPr>
          <w:rFonts w:ascii="Palatino Linotype" w:eastAsia="Palatino Linotype" w:hAnsi="Palatino Linotype" w:cs="Palatino Linotype"/>
          <w:b/>
        </w:rPr>
        <w:t xml:space="preserve">SUJETO OBLIGADO </w:t>
      </w:r>
      <w:r w:rsidRPr="00164BA7">
        <w:rPr>
          <w:rFonts w:ascii="Palatino Linotype" w:eastAsia="Palatino Linotype" w:hAnsi="Palatino Linotype" w:cs="Palatino Linotype"/>
        </w:rPr>
        <w:t>vigente a la fecha de la solicitud, tiene la siguiente atribución:</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ind w:left="567" w:right="616"/>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 xml:space="preserve">“Artículo 25. Corresponde a la Dirección General de Transparencia, Acceso a la Información Pública y Gobierno Abierto ejercer las atribuciones siguientes: </w:t>
      </w:r>
    </w:p>
    <w:p w:rsidR="00E73F00" w:rsidRPr="00164BA7" w:rsidRDefault="005854E9">
      <w:pPr>
        <w:ind w:left="567" w:right="616"/>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p>
    <w:p w:rsidR="00E73F00" w:rsidRPr="00164BA7" w:rsidRDefault="005854E9">
      <w:pPr>
        <w:ind w:left="567" w:right="616"/>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b/>
          <w:i/>
          <w:sz w:val="22"/>
          <w:szCs w:val="22"/>
        </w:rPr>
        <w:t>II. Recibir o allegarse de información para actualizar el Padrón de Sujetos Obligados y someterlo para la aprobación del Pleno</w:t>
      </w:r>
      <w:r w:rsidRPr="00164BA7">
        <w:rPr>
          <w:rFonts w:ascii="Palatino Linotype" w:eastAsia="Palatino Linotype" w:hAnsi="Palatino Linotype" w:cs="Palatino Linotype"/>
          <w:i/>
          <w:sz w:val="22"/>
          <w:szCs w:val="22"/>
        </w:rPr>
        <w:t>…</w:t>
      </w:r>
      <w:proofErr w:type="gramStart"/>
      <w:r w:rsidRPr="00164BA7">
        <w:rPr>
          <w:rFonts w:ascii="Palatino Linotype" w:eastAsia="Palatino Linotype" w:hAnsi="Palatino Linotype" w:cs="Palatino Linotype"/>
          <w:i/>
          <w:sz w:val="22"/>
          <w:szCs w:val="22"/>
        </w:rPr>
        <w:t>”(</w:t>
      </w:r>
      <w:proofErr w:type="gramEnd"/>
      <w:r w:rsidRPr="00164BA7">
        <w:rPr>
          <w:rFonts w:ascii="Palatino Linotype" w:eastAsia="Palatino Linotype" w:hAnsi="Palatino Linotype" w:cs="Palatino Linotype"/>
          <w:i/>
          <w:sz w:val="22"/>
          <w:szCs w:val="22"/>
        </w:rPr>
        <w:t>Sic)</w:t>
      </w:r>
    </w:p>
    <w:p w:rsidR="00E73F00" w:rsidRPr="00164BA7" w:rsidRDefault="00E73F00">
      <w:pPr>
        <w:ind w:left="567" w:right="616"/>
        <w:jc w:val="both"/>
        <w:rPr>
          <w:rFonts w:ascii="Palatino Linotype" w:eastAsia="Palatino Linotype" w:hAnsi="Palatino Linotype" w:cs="Palatino Linotype"/>
          <w:i/>
          <w:sz w:val="22"/>
          <w:szCs w:val="22"/>
        </w:rPr>
      </w:pPr>
    </w:p>
    <w:p w:rsidR="00E73F00" w:rsidRPr="00164BA7" w:rsidRDefault="005854E9">
      <w:pPr>
        <w:spacing w:after="12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Siendo el área competente para conocer de la solicitud, ya que la información solicitada por el particular en efecto corresponde a información, generada, poseída o administrada por el área que proporcionó respuesta.</w:t>
      </w:r>
    </w:p>
    <w:p w:rsidR="00E73F00" w:rsidRPr="00164BA7" w:rsidRDefault="00E73F00">
      <w:pPr>
        <w:spacing w:line="360" w:lineRule="auto"/>
        <w:jc w:val="both"/>
        <w:rPr>
          <w:rFonts w:ascii="Palatino Linotype" w:eastAsia="Palatino Linotype" w:hAnsi="Palatino Linotype" w:cs="Palatino Linotype"/>
        </w:rPr>
      </w:pPr>
    </w:p>
    <w:p w:rsidR="00E73F00" w:rsidRPr="00164BA7" w:rsidRDefault="005854E9">
      <w:pPr>
        <w:spacing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En este sentido y toda vez que el área competente dio respuesta a la solicitud de información,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E73F00" w:rsidRPr="00164BA7" w:rsidRDefault="00E73F00">
      <w:pPr>
        <w:spacing w:after="120" w:line="360" w:lineRule="auto"/>
        <w:jc w:val="both"/>
        <w:rPr>
          <w:rFonts w:ascii="Palatino Linotype" w:eastAsia="Palatino Linotype" w:hAnsi="Palatino Linotype" w:cs="Palatino Linotype"/>
        </w:rPr>
      </w:pPr>
    </w:p>
    <w:p w:rsidR="00E73F00" w:rsidRPr="00164BA7" w:rsidRDefault="005854E9">
      <w:pPr>
        <w:spacing w:before="120" w:after="120"/>
        <w:ind w:left="851" w:right="851"/>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w:t>
      </w:r>
      <w:r w:rsidRPr="00164BA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64BA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lastRenderedPageBreak/>
        <w:t xml:space="preserve">De lo anterior, este Organismo </w:t>
      </w:r>
      <w:proofErr w:type="spellStart"/>
      <w:r w:rsidRPr="00164BA7">
        <w:rPr>
          <w:rFonts w:ascii="Palatino Linotype" w:eastAsia="Palatino Linotype" w:hAnsi="Palatino Linotype" w:cs="Palatino Linotype"/>
        </w:rPr>
        <w:t>Resolutor</w:t>
      </w:r>
      <w:proofErr w:type="spellEnd"/>
      <w:r w:rsidRPr="00164BA7">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 xml:space="preserve">En otro orden de ideas, se le invita al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que en posteriores solicitudes de acceso a la información pública, respete los plazos señalados en la Ley de Transparencia y Acceso a la Información Pública del Estado de México y Municipios, toda vez que incumplió con el plazo señalado por el artículo 161 de la Ley de la Materia, que señala:</w:t>
      </w:r>
    </w:p>
    <w:p w:rsidR="00E73F00" w:rsidRPr="00164BA7" w:rsidRDefault="005854E9">
      <w:pPr>
        <w:spacing w:before="120" w:after="120"/>
        <w:ind w:left="851" w:right="851"/>
        <w:jc w:val="both"/>
        <w:rPr>
          <w:rFonts w:ascii="Palatino Linotype" w:eastAsia="Palatino Linotype" w:hAnsi="Palatino Linotype" w:cs="Palatino Linotype"/>
          <w:i/>
          <w:sz w:val="22"/>
          <w:szCs w:val="22"/>
        </w:rPr>
      </w:pPr>
      <w:r w:rsidRPr="00164BA7">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E73F00" w:rsidRPr="00164BA7" w:rsidRDefault="00E73F00">
      <w:pPr>
        <w:spacing w:after="240" w:line="360" w:lineRule="auto"/>
        <w:jc w:val="both"/>
        <w:rPr>
          <w:rFonts w:ascii="Palatino Linotype" w:eastAsia="Palatino Linotype" w:hAnsi="Palatino Linotype" w:cs="Palatino Linotype"/>
        </w:rPr>
      </w:pPr>
    </w:p>
    <w:p w:rsidR="00E73F00" w:rsidRPr="00164BA7" w:rsidRDefault="005854E9">
      <w:pPr>
        <w:spacing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Finalmente, en cuanto a los motivos de inconformidad de la parte RECURRENTE, en donde señaló: “</w:t>
      </w:r>
      <w:r w:rsidRPr="00164BA7">
        <w:rPr>
          <w:rFonts w:ascii="Palatino Linotype" w:eastAsia="Palatino Linotype" w:hAnsi="Palatino Linotype" w:cs="Palatino Linotype"/>
          <w:i/>
        </w:rPr>
        <w:t xml:space="preserve">no se supone que JUAN SALVADOR VENTURA HERNÁNDEZ FLORES TITULAR DE LA UNIDAD DE TRANSPARENCIA, y ADRIANA YADIRA CÁRDENAS TAGLE DIRECTORA GENERAL DE TRANSPARENCIA, ACCESO A LA </w:t>
      </w:r>
      <w:r w:rsidRPr="00164BA7">
        <w:rPr>
          <w:rFonts w:ascii="Palatino Linotype" w:eastAsia="Palatino Linotype" w:hAnsi="Palatino Linotype" w:cs="Palatino Linotype"/>
          <w:i/>
        </w:rPr>
        <w:lastRenderedPageBreak/>
        <w:t xml:space="preserve">INFORMACIÓN PÚBLICA Y GOBIERNO ABIERTO, cuentan con la certificación del Estándares de Competencias con clave EC1057, GARANTIZAR EL DERECHO DE ACCESO A LA INFORMACIÓN PÚBLICA.” (Sic), </w:t>
      </w:r>
      <w:r w:rsidRPr="00164BA7">
        <w:rPr>
          <w:rFonts w:ascii="Palatino Linotype" w:eastAsia="Palatino Linotype" w:hAnsi="Palatino Linotype" w:cs="Palatino Linotype"/>
        </w:rPr>
        <w:t xml:space="preserve">son consideradas por este Organismo Garante como manifestaciones que no pueden ser atendidas a través del derecho de acceso a la información pública. </w:t>
      </w:r>
    </w:p>
    <w:p w:rsidR="00E73F00" w:rsidRPr="00164BA7" w:rsidRDefault="005854E9">
      <w:pPr>
        <w:spacing w:before="240" w:after="240" w:line="360" w:lineRule="auto"/>
        <w:ind w:right="51"/>
        <w:jc w:val="both"/>
        <w:rPr>
          <w:rFonts w:ascii="Palatino Linotype" w:eastAsia="Palatino Linotype" w:hAnsi="Palatino Linotype" w:cs="Palatino Linotype"/>
          <w:b/>
        </w:rPr>
      </w:pPr>
      <w:r w:rsidRPr="00164BA7">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sidRPr="00164BA7">
        <w:rPr>
          <w:rFonts w:ascii="Palatino Linotype" w:eastAsia="Palatino Linotype" w:hAnsi="Palatino Linotype" w:cs="Palatino Linotype"/>
          <w:b/>
        </w:rPr>
        <w:t>PROCEDENTE</w:t>
      </w:r>
      <w:r w:rsidRPr="00164BA7">
        <w:rPr>
          <w:rFonts w:ascii="Palatino Linotype" w:eastAsia="Palatino Linotype" w:hAnsi="Palatino Linotype" w:cs="Palatino Linotype"/>
        </w:rPr>
        <w:t xml:space="preserve"> es </w:t>
      </w:r>
      <w:r w:rsidRPr="00164BA7">
        <w:rPr>
          <w:rFonts w:ascii="Palatino Linotype" w:eastAsia="Palatino Linotype" w:hAnsi="Palatino Linotype" w:cs="Palatino Linotype"/>
          <w:b/>
        </w:rPr>
        <w:t>CONFIRMAR</w:t>
      </w:r>
      <w:r w:rsidRPr="00164BA7">
        <w:rPr>
          <w:rFonts w:ascii="Palatino Linotype" w:eastAsia="Palatino Linotype" w:hAnsi="Palatino Linotype" w:cs="Palatino Linotype"/>
        </w:rPr>
        <w:t xml:space="preserve"> la respuesta del </w:t>
      </w:r>
      <w:r w:rsidRPr="00164BA7">
        <w:rPr>
          <w:rFonts w:ascii="Palatino Linotype" w:eastAsia="Palatino Linotype" w:hAnsi="Palatino Linotype" w:cs="Palatino Linotype"/>
          <w:b/>
        </w:rPr>
        <w:t>SUJETO OBLIGADO.</w:t>
      </w:r>
    </w:p>
    <w:p w:rsidR="00E73F00" w:rsidRPr="00164BA7" w:rsidRDefault="005854E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73F00" w:rsidRPr="00164BA7" w:rsidRDefault="00E73F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E73F00" w:rsidRPr="00164BA7" w:rsidRDefault="00E73F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E73F00" w:rsidRPr="00164BA7" w:rsidRDefault="00E73F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E73F00" w:rsidRPr="00164BA7" w:rsidRDefault="005854E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64BA7">
        <w:rPr>
          <w:rFonts w:ascii="Palatino Linotype" w:eastAsia="Palatino Linotype" w:hAnsi="Palatino Linotype" w:cs="Palatino Linotype"/>
          <w:b/>
        </w:rPr>
        <w:t>III. R E S U E L V E:</w:t>
      </w:r>
    </w:p>
    <w:p w:rsidR="00E73F00" w:rsidRPr="00164BA7" w:rsidRDefault="005854E9">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164BA7">
        <w:rPr>
          <w:rFonts w:ascii="Palatino Linotype" w:eastAsia="Palatino Linotype" w:hAnsi="Palatino Linotype" w:cs="Palatino Linotype"/>
          <w:b/>
        </w:rPr>
        <w:lastRenderedPageBreak/>
        <w:t>Primero.</w:t>
      </w:r>
      <w:r w:rsidRPr="00164BA7">
        <w:rPr>
          <w:rFonts w:ascii="Palatino Linotype" w:eastAsia="Palatino Linotype" w:hAnsi="Palatino Linotype" w:cs="Palatino Linotype"/>
        </w:rPr>
        <w:t xml:space="preserve"> Resulta infundado el motivo de inconformidad aducido por la parte </w:t>
      </w:r>
      <w:r w:rsidRPr="00164BA7">
        <w:rPr>
          <w:rFonts w:ascii="Palatino Linotype" w:eastAsia="Palatino Linotype" w:hAnsi="Palatino Linotype" w:cs="Palatino Linotype"/>
          <w:b/>
        </w:rPr>
        <w:t>RECURRENTE</w:t>
      </w:r>
      <w:r w:rsidRPr="00164BA7">
        <w:rPr>
          <w:rFonts w:ascii="Palatino Linotype" w:eastAsia="Palatino Linotype" w:hAnsi="Palatino Linotype" w:cs="Palatino Linotype"/>
        </w:rPr>
        <w:t xml:space="preserve"> en el recurso de revisión </w:t>
      </w:r>
      <w:r w:rsidRPr="00164BA7">
        <w:rPr>
          <w:rFonts w:ascii="Palatino Linotype" w:eastAsia="Palatino Linotype" w:hAnsi="Palatino Linotype" w:cs="Palatino Linotype"/>
          <w:b/>
        </w:rPr>
        <w:t>01084/INFOEM/IP/RR/2023</w:t>
      </w:r>
      <w:r w:rsidRPr="00164BA7">
        <w:rPr>
          <w:rFonts w:ascii="Palatino Linotype" w:eastAsia="Palatino Linotype" w:hAnsi="Palatino Linotype" w:cs="Palatino Linotype"/>
        </w:rPr>
        <w:t xml:space="preserve">; por lo que, en términos de los argumentos señalados en el Considerando Cuarto se </w:t>
      </w:r>
      <w:r w:rsidRPr="00164BA7">
        <w:rPr>
          <w:rFonts w:ascii="Palatino Linotype" w:eastAsia="Palatino Linotype" w:hAnsi="Palatino Linotype" w:cs="Palatino Linotype"/>
          <w:b/>
        </w:rPr>
        <w:t>CONFIRMA</w:t>
      </w:r>
      <w:r w:rsidRPr="00164BA7">
        <w:rPr>
          <w:rFonts w:ascii="Palatino Linotype" w:eastAsia="Palatino Linotype" w:hAnsi="Palatino Linotype" w:cs="Palatino Linotype"/>
        </w:rPr>
        <w:t xml:space="preserve"> la respuesta emitida por 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w:t>
      </w:r>
    </w:p>
    <w:p w:rsidR="00E73F00" w:rsidRPr="00164BA7" w:rsidRDefault="005854E9">
      <w:pPr>
        <w:spacing w:before="240" w:after="240" w:line="360" w:lineRule="auto"/>
        <w:jc w:val="both"/>
        <w:rPr>
          <w:rFonts w:ascii="Palatino Linotype" w:eastAsia="Palatino Linotype" w:hAnsi="Palatino Linotype" w:cs="Palatino Linotype"/>
        </w:rPr>
      </w:pPr>
      <w:r w:rsidRPr="00164BA7">
        <w:rPr>
          <w:rFonts w:ascii="Palatino Linotype" w:eastAsia="Palatino Linotype" w:hAnsi="Palatino Linotype" w:cs="Palatino Linotype"/>
          <w:b/>
        </w:rPr>
        <w:t>Segundo. Notifíquese</w:t>
      </w:r>
      <w:r w:rsidRPr="00164BA7">
        <w:rPr>
          <w:rFonts w:ascii="Palatino Linotype" w:eastAsia="Palatino Linotype" w:hAnsi="Palatino Linotype" w:cs="Palatino Linotype"/>
        </w:rPr>
        <w:t xml:space="preserve"> vía </w:t>
      </w:r>
      <w:r w:rsidRPr="00164BA7">
        <w:rPr>
          <w:rFonts w:ascii="Palatino Linotype" w:eastAsia="Palatino Linotype" w:hAnsi="Palatino Linotype" w:cs="Palatino Linotype"/>
          <w:b/>
        </w:rPr>
        <w:t xml:space="preserve">SAIMEX </w:t>
      </w:r>
      <w:r w:rsidRPr="00164BA7">
        <w:rPr>
          <w:rFonts w:ascii="Palatino Linotype" w:eastAsia="Palatino Linotype" w:hAnsi="Palatino Linotype" w:cs="Palatino Linotype"/>
        </w:rPr>
        <w:t xml:space="preserve">la presente resolución a la Titular de la Unidad de Transparencia del </w:t>
      </w:r>
      <w:r w:rsidRPr="00164BA7">
        <w:rPr>
          <w:rFonts w:ascii="Palatino Linotype" w:eastAsia="Palatino Linotype" w:hAnsi="Palatino Linotype" w:cs="Palatino Linotype"/>
          <w:b/>
        </w:rPr>
        <w:t>SUJETO OBLIGADO</w:t>
      </w:r>
      <w:r w:rsidRPr="00164BA7">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E73F00" w:rsidRPr="00164BA7" w:rsidRDefault="005854E9">
      <w:pPr>
        <w:tabs>
          <w:tab w:val="left" w:pos="8647"/>
        </w:tabs>
        <w:spacing w:before="240" w:after="240" w:line="360" w:lineRule="auto"/>
        <w:ind w:right="51"/>
        <w:jc w:val="both"/>
        <w:rPr>
          <w:rFonts w:ascii="Palatino Linotype" w:eastAsia="Palatino Linotype" w:hAnsi="Palatino Linotype" w:cs="Palatino Linotype"/>
        </w:rPr>
      </w:pPr>
      <w:bookmarkStart w:id="5" w:name="_heading=h.1fob9te" w:colFirst="0" w:colLast="0"/>
      <w:bookmarkEnd w:id="5"/>
      <w:r w:rsidRPr="00164BA7">
        <w:rPr>
          <w:rFonts w:ascii="Palatino Linotype" w:eastAsia="Palatino Linotype" w:hAnsi="Palatino Linotype" w:cs="Palatino Linotype"/>
          <w:b/>
        </w:rPr>
        <w:t xml:space="preserve">Tercero. Notifíquese, vía SAIMEX </w:t>
      </w:r>
      <w:r w:rsidRPr="00164BA7">
        <w:rPr>
          <w:rFonts w:ascii="Palatino Linotype" w:eastAsia="Palatino Linotype" w:hAnsi="Palatino Linotype" w:cs="Palatino Linotype"/>
        </w:rPr>
        <w:t>a</w:t>
      </w:r>
      <w:r w:rsidRPr="00164BA7">
        <w:rPr>
          <w:rFonts w:ascii="Palatino Linotype" w:eastAsia="Palatino Linotype" w:hAnsi="Palatino Linotype" w:cs="Palatino Linotype"/>
          <w:b/>
        </w:rPr>
        <w:t xml:space="preserve"> </w:t>
      </w:r>
      <w:r w:rsidRPr="00164BA7">
        <w:rPr>
          <w:rFonts w:ascii="Palatino Linotype" w:eastAsia="Palatino Linotype" w:hAnsi="Palatino Linotype" w:cs="Palatino Linotype"/>
        </w:rPr>
        <w:t>la parte</w:t>
      </w:r>
      <w:r w:rsidRPr="00164BA7">
        <w:rPr>
          <w:rFonts w:ascii="Palatino Linotype" w:eastAsia="Palatino Linotype" w:hAnsi="Palatino Linotype" w:cs="Palatino Linotype"/>
          <w:b/>
        </w:rPr>
        <w:t xml:space="preserve"> RECURRENTE</w:t>
      </w:r>
      <w:r w:rsidRPr="00164BA7">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E73F00" w:rsidRDefault="005854E9">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64BA7">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MEJIA AYA</w:t>
      </w:r>
      <w:r w:rsidR="003C464F">
        <w:rPr>
          <w:rFonts w:ascii="Palatino Linotype" w:eastAsia="Palatino Linotype" w:hAnsi="Palatino Linotype" w:cs="Palatino Linotype"/>
        </w:rPr>
        <w:t xml:space="preserve">LA; </w:t>
      </w:r>
      <w:r w:rsidR="008A0E9C">
        <w:rPr>
          <w:rFonts w:ascii="Palatino Linotype" w:eastAsia="Palatino Linotype" w:hAnsi="Palatino Linotype" w:cs="Palatino Linotype"/>
        </w:rPr>
        <w:t>SHARON CRISTINA MORALES MARTÍ</w:t>
      </w:r>
      <w:r w:rsidRPr="00164BA7">
        <w:rPr>
          <w:rFonts w:ascii="Palatino Linotype" w:eastAsia="Palatino Linotype" w:hAnsi="Palatino Linotype" w:cs="Palatino Linotype"/>
        </w:rPr>
        <w:t xml:space="preserve">NEZ: LUIS GUSTAVO PARRA NORIEGA Y GUADALUPE </w:t>
      </w:r>
      <w:r w:rsidRPr="00164BA7">
        <w:rPr>
          <w:rFonts w:ascii="Palatino Linotype" w:eastAsia="Palatino Linotype" w:hAnsi="Palatino Linotype" w:cs="Palatino Linotype"/>
        </w:rPr>
        <w:lastRenderedPageBreak/>
        <w:t>RAMÍREZ PEÑA; EN LA VIGÉSIMA TERCERA SESIÓN ORDINARIA CELEBRADA EL VEINTIUNO DE JUNIO DE DOS MIL VEINTITRÉS, ANTE LA COORDINADORA DE PROYECTOS CATALINA CAMARILLO ROSAS, EN SUPLENCIA DEL SECRETARIO TÉCNICO DEL PLENO ALEXIS TAPIA RAMÍREZ.</w:t>
      </w:r>
    </w:p>
    <w:p w:rsidR="003C464F" w:rsidRDefault="003C46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274320</wp:posOffset>
                </wp:positionV>
                <wp:extent cx="4962525" cy="4686300"/>
                <wp:effectExtent l="0" t="0" r="28575" b="19050"/>
                <wp:wrapNone/>
                <wp:docPr id="1" name="Conector recto 1"/>
                <wp:cNvGraphicFramePr/>
                <a:graphic xmlns:a="http://schemas.openxmlformats.org/drawingml/2006/main">
                  <a:graphicData uri="http://schemas.microsoft.com/office/word/2010/wordprocessingShape">
                    <wps:wsp>
                      <wps:cNvCnPr/>
                      <wps:spPr>
                        <a:xfrm flipH="1" flipV="1">
                          <a:off x="0" y="0"/>
                          <a:ext cx="4962525" cy="46863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1B79640"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48.45pt,21.6pt" to="439.2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" strokecolor="#f68c36 [3049]"/>
            </w:pict>
          </mc:Fallback>
        </mc:AlternateContent>
      </w: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Default="003C464F">
      <w:pPr>
        <w:spacing w:before="240" w:after="240" w:line="360" w:lineRule="auto"/>
        <w:jc w:val="both"/>
        <w:rPr>
          <w:rFonts w:ascii="Palatino Linotype" w:eastAsia="Palatino Linotype" w:hAnsi="Palatino Linotype" w:cs="Palatino Linotype"/>
        </w:rPr>
      </w:pPr>
    </w:p>
    <w:p w:rsidR="003C464F" w:rsidRPr="00164BA7" w:rsidRDefault="003C464F">
      <w:pPr>
        <w:spacing w:before="240" w:after="240" w:line="360" w:lineRule="auto"/>
        <w:jc w:val="both"/>
        <w:rPr>
          <w:rFonts w:ascii="Palatino Linotype" w:eastAsia="Palatino Linotype" w:hAnsi="Palatino Linotype" w:cs="Palatino Linotype"/>
        </w:rPr>
      </w:pPr>
    </w:p>
    <w:sectPr w:rsidR="003C464F" w:rsidRPr="00164BA7">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F5" w:rsidRDefault="00F278F5">
      <w:r>
        <w:separator/>
      </w:r>
    </w:p>
  </w:endnote>
  <w:endnote w:type="continuationSeparator" w:id="0">
    <w:p w:rsidR="00F278F5" w:rsidRDefault="00F27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00" w:rsidRDefault="005854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7E7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7E7B">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rsidR="00E73F00" w:rsidRDefault="00E73F0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00" w:rsidRDefault="005854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7E7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7E7B">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rsidR="00E73F00" w:rsidRDefault="00E73F0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F5" w:rsidRDefault="00F278F5">
      <w:r>
        <w:separator/>
      </w:r>
    </w:p>
  </w:footnote>
  <w:footnote w:type="continuationSeparator" w:id="0">
    <w:p w:rsidR="00F278F5" w:rsidRDefault="00F27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00" w:rsidRDefault="005854E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E73F00">
      <w:tc>
        <w:tcPr>
          <w:tcW w:w="2489" w:type="dxa"/>
          <w:shd w:val="clear" w:color="auto" w:fill="auto"/>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E73F00" w:rsidRDefault="005854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01084/INFOEM/IP/RR/2023</w:t>
          </w:r>
        </w:p>
      </w:tc>
    </w:tr>
    <w:tr w:rsidR="00E73F00">
      <w:trPr>
        <w:trHeight w:val="228"/>
      </w:trPr>
      <w:tc>
        <w:tcPr>
          <w:tcW w:w="2489" w:type="dxa"/>
          <w:shd w:val="clear" w:color="auto" w:fill="auto"/>
          <w:vAlign w:val="center"/>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E73F00" w:rsidRDefault="005854E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E73F00">
      <w:tc>
        <w:tcPr>
          <w:tcW w:w="2489" w:type="dxa"/>
          <w:shd w:val="clear" w:color="auto" w:fill="auto"/>
          <w:vAlign w:val="center"/>
        </w:tcPr>
        <w:p w:rsidR="00E73F00" w:rsidRDefault="005854E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E73F00" w:rsidRDefault="005854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73F00" w:rsidRDefault="005854E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00" w:rsidRDefault="00E73F00">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E73F00">
      <w:tc>
        <w:tcPr>
          <w:tcW w:w="2551" w:type="dxa"/>
          <w:shd w:val="clear" w:color="auto" w:fill="auto"/>
          <w:vAlign w:val="center"/>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E73F00" w:rsidRDefault="005854E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01084/INFOEM/IP/RR/2023</w:t>
          </w:r>
        </w:p>
      </w:tc>
    </w:tr>
    <w:tr w:rsidR="00E73F00">
      <w:trPr>
        <w:trHeight w:val="130"/>
      </w:trPr>
      <w:tc>
        <w:tcPr>
          <w:tcW w:w="2551" w:type="dxa"/>
          <w:shd w:val="clear" w:color="auto" w:fill="auto"/>
          <w:vAlign w:val="center"/>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E73F00" w:rsidRDefault="00E73F00">
          <w:pPr>
            <w:ind w:left="-45" w:right="-533"/>
            <w:jc w:val="both"/>
            <w:rPr>
              <w:rFonts w:ascii="Palatino Linotype" w:eastAsia="Palatino Linotype" w:hAnsi="Palatino Linotype" w:cs="Palatino Linotype"/>
              <w:b/>
              <w:sz w:val="22"/>
              <w:szCs w:val="22"/>
            </w:rPr>
          </w:pPr>
        </w:p>
      </w:tc>
    </w:tr>
    <w:tr w:rsidR="00E73F00">
      <w:trPr>
        <w:trHeight w:val="228"/>
      </w:trPr>
      <w:tc>
        <w:tcPr>
          <w:tcW w:w="2551" w:type="dxa"/>
          <w:shd w:val="clear" w:color="auto" w:fill="auto"/>
          <w:vAlign w:val="center"/>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E73F00" w:rsidRDefault="005854E9">
          <w:pPr>
            <w:ind w:left="-45" w:right="27"/>
            <w:jc w:val="both"/>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E73F00">
      <w:tc>
        <w:tcPr>
          <w:tcW w:w="2551" w:type="dxa"/>
          <w:shd w:val="clear" w:color="auto" w:fill="auto"/>
          <w:vAlign w:val="center"/>
        </w:tcPr>
        <w:p w:rsidR="00E73F00" w:rsidRDefault="005854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E73F00" w:rsidRDefault="005854E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73F00" w:rsidRDefault="005854E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A1D"/>
    <w:multiLevelType w:val="multilevel"/>
    <w:tmpl w:val="FA788AC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7F8183A"/>
    <w:multiLevelType w:val="multilevel"/>
    <w:tmpl w:val="524467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F00"/>
    <w:rsid w:val="00164BA7"/>
    <w:rsid w:val="003C464F"/>
    <w:rsid w:val="005854E9"/>
    <w:rsid w:val="008A0E9C"/>
    <w:rsid w:val="0095157E"/>
    <w:rsid w:val="00AB31C5"/>
    <w:rsid w:val="00B904B8"/>
    <w:rsid w:val="00C07E7B"/>
    <w:rsid w:val="00E73F00"/>
    <w:rsid w:val="00F27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9B116-5EEE-481E-AC0F-86C58541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15850.page" TargetMode="External"/><Relationship Id="rId13" Type="http://schemas.openxmlformats.org/officeDocument/2006/relationships/hyperlink" Target="https://saimex.org.mx/saimex/solicitud/downloadAttach/1718526.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716983.page" TargetMode="External"/><Relationship Id="rId17" Type="http://schemas.openxmlformats.org/officeDocument/2006/relationships/hyperlink" Target="https://saimex.org.mx/saimex/solicitud/downloadAttach/1735298.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735297.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16984.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735296.page" TargetMode="External"/><Relationship Id="rId23" Type="http://schemas.openxmlformats.org/officeDocument/2006/relationships/footer" Target="footer2.xml"/><Relationship Id="rId10" Type="http://schemas.openxmlformats.org/officeDocument/2006/relationships/hyperlink" Target="https://saimex.org.mx/saimex/solicitud/downloadAttach/1715852.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1715851.page" TargetMode="Externa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OpZjaf7g5E7ol8mF6s7UV9cbA==">CgMxLjAyCGguZ2pkZ3hzMgloLjMwajB6bGwyCGgudHlqY3d0MgloLjNkeTZ2a20yCWguMWZvYjl0ZTIJaC4zem55c2g3OAByITFGaWxXalluOGtwLVZmemFQSXQtbXE0bWpIN2FJMzNPWQ==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6611</Words>
  <Characters>36366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2023-06-23T17:40:00Z</cp:lastPrinted>
  <dcterms:created xsi:type="dcterms:W3CDTF">2023-06-28T23:35:00Z</dcterms:created>
  <dcterms:modified xsi:type="dcterms:W3CDTF">2023-06-28T23:35:00Z</dcterms:modified>
</cp:coreProperties>
</file>