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F0F474" w14:textId="12951255" w:rsidR="004E16BC" w:rsidRPr="00EC0AA9" w:rsidRDefault="000863AA" w:rsidP="00EC0AA9">
      <w:pPr>
        <w:spacing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D0468F" w:rsidRPr="00EC0AA9">
        <w:rPr>
          <w:rFonts w:ascii="Palatino Linotype" w:eastAsia="Palatino Linotype" w:hAnsi="Palatino Linotype" w:cs="Palatino Linotype"/>
        </w:rPr>
        <w:t>del dieciséis de</w:t>
      </w:r>
      <w:r w:rsidR="00216C09" w:rsidRPr="00EC0AA9">
        <w:rPr>
          <w:rFonts w:ascii="Palatino Linotype" w:eastAsia="Palatino Linotype" w:hAnsi="Palatino Linotype" w:cs="Palatino Linotype"/>
        </w:rPr>
        <w:t xml:space="preserve"> </w:t>
      </w:r>
      <w:r w:rsidR="00F56B9C" w:rsidRPr="00EC0AA9">
        <w:rPr>
          <w:rFonts w:ascii="Palatino Linotype" w:eastAsia="Palatino Linotype" w:hAnsi="Palatino Linotype" w:cs="Palatino Linotype"/>
        </w:rPr>
        <w:t xml:space="preserve">agosto </w:t>
      </w:r>
      <w:r w:rsidRPr="00EC0AA9">
        <w:rPr>
          <w:rFonts w:ascii="Palatino Linotype" w:eastAsia="Palatino Linotype" w:hAnsi="Palatino Linotype" w:cs="Palatino Linotype"/>
        </w:rPr>
        <w:t xml:space="preserve">de dos mil veintitrés. </w:t>
      </w:r>
    </w:p>
    <w:p w14:paraId="79DEDB55" w14:textId="77777777" w:rsidR="004E16BC" w:rsidRPr="00EC0AA9" w:rsidRDefault="004E16BC" w:rsidP="00EC0AA9">
      <w:pPr>
        <w:spacing w:line="360" w:lineRule="auto"/>
        <w:jc w:val="both"/>
        <w:rPr>
          <w:rFonts w:ascii="Palatino Linotype" w:eastAsia="Palatino Linotype" w:hAnsi="Palatino Linotype" w:cs="Palatino Linotype"/>
        </w:rPr>
      </w:pPr>
    </w:p>
    <w:p w14:paraId="759139DF" w14:textId="5F99356E" w:rsidR="004E16BC" w:rsidRPr="00EC0AA9" w:rsidRDefault="000863AA" w:rsidP="00EC0AA9">
      <w:pPr>
        <w:spacing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b/>
        </w:rPr>
        <w:t>VISTO</w:t>
      </w:r>
      <w:r w:rsidRPr="00EC0AA9">
        <w:rPr>
          <w:rFonts w:ascii="Palatino Linotype" w:eastAsia="Palatino Linotype" w:hAnsi="Palatino Linotype" w:cs="Palatino Linotype"/>
        </w:rPr>
        <w:t xml:space="preserve"> el expediente formado con motivo del Recurso de Revisión </w:t>
      </w:r>
      <w:r w:rsidR="001248B7" w:rsidRPr="00EC0AA9">
        <w:rPr>
          <w:rFonts w:ascii="Palatino Linotype" w:eastAsia="Palatino Linotype" w:hAnsi="Palatino Linotype" w:cs="Palatino Linotype"/>
          <w:b/>
        </w:rPr>
        <w:t>03192</w:t>
      </w:r>
      <w:r w:rsidR="00251501" w:rsidRPr="00EC0AA9">
        <w:rPr>
          <w:rFonts w:ascii="Palatino Linotype" w:eastAsia="Palatino Linotype" w:hAnsi="Palatino Linotype" w:cs="Palatino Linotype"/>
          <w:b/>
        </w:rPr>
        <w:t>/INFOEM/IP/RR/2023</w:t>
      </w:r>
      <w:r w:rsidRPr="00EC0AA9">
        <w:rPr>
          <w:rFonts w:ascii="Palatino Linotype" w:eastAsia="Palatino Linotype" w:hAnsi="Palatino Linotype" w:cs="Palatino Linotype"/>
          <w:b/>
        </w:rPr>
        <w:t xml:space="preserve">, </w:t>
      </w:r>
      <w:r w:rsidRPr="00EC0AA9">
        <w:rPr>
          <w:rFonts w:ascii="Palatino Linotype" w:eastAsia="Palatino Linotype" w:hAnsi="Palatino Linotype" w:cs="Palatino Linotype"/>
        </w:rPr>
        <w:t xml:space="preserve">promovido por </w:t>
      </w:r>
      <w:r w:rsidR="001248B7" w:rsidRPr="00EC0AA9">
        <w:rPr>
          <w:rFonts w:ascii="Palatino Linotype" w:eastAsia="Palatino Linotype" w:hAnsi="Palatino Linotype" w:cs="Palatino Linotype"/>
        </w:rPr>
        <w:t>una persona de manera anónima</w:t>
      </w:r>
      <w:r w:rsidRPr="00EC0AA9">
        <w:rPr>
          <w:rFonts w:ascii="Palatino Linotype" w:eastAsia="Palatino Linotype" w:hAnsi="Palatino Linotype" w:cs="Palatino Linotype"/>
        </w:rPr>
        <w:t xml:space="preserve">, a quien en lo sucesivo se le </w:t>
      </w:r>
      <w:r w:rsidR="00251501" w:rsidRPr="00EC0AA9">
        <w:rPr>
          <w:rFonts w:ascii="Palatino Linotype" w:eastAsia="Palatino Linotype" w:hAnsi="Palatino Linotype" w:cs="Palatino Linotype"/>
        </w:rPr>
        <w:t>denominará</w:t>
      </w:r>
      <w:r w:rsidRPr="00EC0AA9">
        <w:rPr>
          <w:rFonts w:ascii="Palatino Linotype" w:eastAsia="Palatino Linotype" w:hAnsi="Palatino Linotype" w:cs="Palatino Linotype"/>
        </w:rPr>
        <w:t xml:space="preserve"> como </w:t>
      </w:r>
      <w:r w:rsidR="00F56B9C" w:rsidRPr="00EC0AA9">
        <w:rPr>
          <w:rFonts w:ascii="Palatino Linotype" w:eastAsia="Palatino Linotype" w:hAnsi="Palatino Linotype" w:cs="Palatino Linotype"/>
          <w:b/>
        </w:rPr>
        <w:t>EL</w:t>
      </w:r>
      <w:r w:rsidRPr="00EC0AA9">
        <w:rPr>
          <w:rFonts w:ascii="Palatino Linotype" w:eastAsia="Palatino Linotype" w:hAnsi="Palatino Linotype" w:cs="Palatino Linotype"/>
          <w:b/>
        </w:rPr>
        <w:t xml:space="preserve"> RECURRENTE,</w:t>
      </w:r>
      <w:r w:rsidRPr="00EC0AA9">
        <w:rPr>
          <w:rFonts w:ascii="Palatino Linotype" w:eastAsia="Palatino Linotype" w:hAnsi="Palatino Linotype" w:cs="Palatino Linotype"/>
        </w:rPr>
        <w:t xml:space="preserve"> en contra de la respuesta del </w:t>
      </w:r>
      <w:r w:rsidR="00F56B9C" w:rsidRPr="00EC0AA9">
        <w:rPr>
          <w:rFonts w:ascii="Palatino Linotype" w:eastAsia="Palatino Linotype" w:hAnsi="Palatino Linotype" w:cs="Palatino Linotype"/>
          <w:b/>
        </w:rPr>
        <w:t xml:space="preserve">Ayuntamiento de </w:t>
      </w:r>
      <w:r w:rsidR="001248B7" w:rsidRPr="00EC0AA9">
        <w:rPr>
          <w:rFonts w:ascii="Palatino Linotype" w:eastAsia="Palatino Linotype" w:hAnsi="Palatino Linotype" w:cs="Palatino Linotype"/>
          <w:b/>
        </w:rPr>
        <w:t>Almoloya de Juárez</w:t>
      </w:r>
      <w:r w:rsidR="00F56B9C" w:rsidRPr="00EC0AA9">
        <w:rPr>
          <w:rFonts w:ascii="Palatino Linotype" w:eastAsia="Palatino Linotype" w:hAnsi="Palatino Linotype" w:cs="Palatino Linotype"/>
          <w:b/>
        </w:rPr>
        <w:t xml:space="preserve"> </w:t>
      </w:r>
      <w:r w:rsidR="00251501" w:rsidRPr="00EC0AA9">
        <w:rPr>
          <w:rFonts w:ascii="Palatino Linotype" w:eastAsia="Palatino Linotype" w:hAnsi="Palatino Linotype" w:cs="Palatino Linotype"/>
        </w:rPr>
        <w:t>que</w:t>
      </w:r>
      <w:r w:rsidR="00251501" w:rsidRPr="00EC0AA9">
        <w:rPr>
          <w:rFonts w:ascii="Palatino Linotype" w:eastAsia="Palatino Linotype" w:hAnsi="Palatino Linotype" w:cs="Palatino Linotype"/>
          <w:b/>
        </w:rPr>
        <w:t xml:space="preserve"> </w:t>
      </w:r>
      <w:r w:rsidRPr="00EC0AA9">
        <w:rPr>
          <w:rFonts w:ascii="Palatino Linotype" w:eastAsia="Palatino Linotype" w:hAnsi="Palatino Linotype" w:cs="Palatino Linotype"/>
        </w:rPr>
        <w:t xml:space="preserve">en lo subsecuente se le denominará </w:t>
      </w:r>
      <w:r w:rsidRPr="00EC0AA9">
        <w:rPr>
          <w:rFonts w:ascii="Palatino Linotype" w:eastAsia="Palatino Linotype" w:hAnsi="Palatino Linotype" w:cs="Palatino Linotype"/>
          <w:b/>
        </w:rPr>
        <w:t xml:space="preserve">EL SUJETO OBLIGADO, </w:t>
      </w:r>
      <w:r w:rsidRPr="00EC0AA9">
        <w:rPr>
          <w:rFonts w:ascii="Palatino Linotype" w:eastAsia="Palatino Linotype" w:hAnsi="Palatino Linotype" w:cs="Palatino Linotype"/>
        </w:rPr>
        <w:t>se procede a dictar la presente resolución con base en lo siguiente:</w:t>
      </w:r>
    </w:p>
    <w:p w14:paraId="5F6612BA" w14:textId="77777777" w:rsidR="004E16BC" w:rsidRPr="00EC0AA9" w:rsidRDefault="004E16BC" w:rsidP="00EC0AA9">
      <w:pPr>
        <w:spacing w:line="360" w:lineRule="auto"/>
        <w:jc w:val="both"/>
        <w:rPr>
          <w:rFonts w:ascii="Palatino Linotype" w:eastAsia="Palatino Linotype" w:hAnsi="Palatino Linotype" w:cs="Palatino Linotype"/>
          <w:b/>
        </w:rPr>
      </w:pPr>
    </w:p>
    <w:p w14:paraId="69E94701" w14:textId="77777777" w:rsidR="004E16BC" w:rsidRPr="00EC0AA9" w:rsidRDefault="000863AA" w:rsidP="00EC0AA9">
      <w:pPr>
        <w:jc w:val="center"/>
        <w:rPr>
          <w:rFonts w:ascii="Palatino Linotype" w:eastAsia="Palatino Linotype" w:hAnsi="Palatino Linotype" w:cs="Palatino Linotype"/>
          <w:b/>
          <w:sz w:val="28"/>
        </w:rPr>
      </w:pPr>
      <w:r w:rsidRPr="00EC0AA9">
        <w:rPr>
          <w:rFonts w:ascii="Palatino Linotype" w:eastAsia="Palatino Linotype" w:hAnsi="Palatino Linotype" w:cs="Palatino Linotype"/>
          <w:b/>
          <w:sz w:val="28"/>
        </w:rPr>
        <w:t>A</w:t>
      </w:r>
      <w:r w:rsidR="0025150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N</w:t>
      </w:r>
      <w:r w:rsidR="0025150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T</w:t>
      </w:r>
      <w:r w:rsidR="0025150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E</w:t>
      </w:r>
      <w:r w:rsidR="0025150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C</w:t>
      </w:r>
      <w:r w:rsidR="0025150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E</w:t>
      </w:r>
      <w:r w:rsidR="0025150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D</w:t>
      </w:r>
      <w:r w:rsidR="0025150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E</w:t>
      </w:r>
      <w:r w:rsidR="0025150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N</w:t>
      </w:r>
      <w:r w:rsidR="0025150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T</w:t>
      </w:r>
      <w:r w:rsidR="0025150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E</w:t>
      </w:r>
      <w:r w:rsidR="0025150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S</w:t>
      </w:r>
    </w:p>
    <w:p w14:paraId="3555DE9C" w14:textId="77777777" w:rsidR="004E16BC" w:rsidRPr="00EC0AA9" w:rsidRDefault="004E16BC" w:rsidP="00EC0AA9">
      <w:pPr>
        <w:rPr>
          <w:rFonts w:ascii="Palatino Linotype" w:eastAsia="Palatino Linotype" w:hAnsi="Palatino Linotype" w:cs="Palatino Linotype"/>
          <w:b/>
        </w:rPr>
      </w:pPr>
    </w:p>
    <w:p w14:paraId="3A49DA11" w14:textId="77777777" w:rsidR="004E16BC" w:rsidRPr="00EC0AA9" w:rsidRDefault="000863AA" w:rsidP="00EC0AA9">
      <w:pPr>
        <w:spacing w:line="360" w:lineRule="auto"/>
        <w:jc w:val="both"/>
        <w:rPr>
          <w:rFonts w:ascii="Palatino Linotype" w:eastAsia="Palatino Linotype" w:hAnsi="Palatino Linotype" w:cs="Palatino Linotype"/>
          <w:b/>
          <w:sz w:val="28"/>
        </w:rPr>
      </w:pPr>
      <w:r w:rsidRPr="00EC0AA9">
        <w:rPr>
          <w:rFonts w:ascii="Palatino Linotype" w:eastAsia="Palatino Linotype" w:hAnsi="Palatino Linotype" w:cs="Palatino Linotype"/>
          <w:b/>
          <w:sz w:val="28"/>
        </w:rPr>
        <w:t>I. De la Solicitud de Información</w:t>
      </w:r>
    </w:p>
    <w:p w14:paraId="3E3F9E62" w14:textId="317199A6" w:rsidR="004E16BC" w:rsidRPr="00EC0AA9" w:rsidRDefault="000863AA" w:rsidP="00EC0AA9">
      <w:pPr>
        <w:spacing w:line="360" w:lineRule="auto"/>
        <w:jc w:val="both"/>
        <w:rPr>
          <w:rFonts w:ascii="Palatino Linotype" w:eastAsia="Palatino Linotype" w:hAnsi="Palatino Linotype" w:cs="Palatino Linotype"/>
        </w:rPr>
      </w:pPr>
      <w:bookmarkStart w:id="0" w:name="_heading=h.ifuj3wtxm21l" w:colFirst="0" w:colLast="0"/>
      <w:bookmarkEnd w:id="0"/>
      <w:r w:rsidRPr="00EC0AA9">
        <w:rPr>
          <w:rFonts w:ascii="Palatino Linotype" w:eastAsia="Palatino Linotype" w:hAnsi="Palatino Linotype" w:cs="Palatino Linotype"/>
        </w:rPr>
        <w:t xml:space="preserve">El </w:t>
      </w:r>
      <w:r w:rsidR="001248B7" w:rsidRPr="00EC0AA9">
        <w:rPr>
          <w:rFonts w:ascii="Palatino Linotype" w:eastAsia="Palatino Linotype" w:hAnsi="Palatino Linotype" w:cs="Palatino Linotype"/>
          <w:b/>
        </w:rPr>
        <w:t xml:space="preserve">cuatro </w:t>
      </w:r>
      <w:r w:rsidRPr="00EC0AA9">
        <w:rPr>
          <w:rFonts w:ascii="Palatino Linotype" w:eastAsia="Palatino Linotype" w:hAnsi="Palatino Linotype" w:cs="Palatino Linotype"/>
          <w:b/>
        </w:rPr>
        <w:t xml:space="preserve">de </w:t>
      </w:r>
      <w:r w:rsidR="001248B7" w:rsidRPr="00EC0AA9">
        <w:rPr>
          <w:rFonts w:ascii="Palatino Linotype" w:eastAsia="Palatino Linotype" w:hAnsi="Palatino Linotype" w:cs="Palatino Linotype"/>
          <w:b/>
        </w:rPr>
        <w:t>mayo</w:t>
      </w:r>
      <w:r w:rsidR="00F56B9C" w:rsidRPr="00EC0AA9">
        <w:rPr>
          <w:rFonts w:ascii="Palatino Linotype" w:eastAsia="Palatino Linotype" w:hAnsi="Palatino Linotype" w:cs="Palatino Linotype"/>
          <w:b/>
        </w:rPr>
        <w:t xml:space="preserve"> </w:t>
      </w:r>
      <w:r w:rsidRPr="00EC0AA9">
        <w:rPr>
          <w:rFonts w:ascii="Palatino Linotype" w:eastAsia="Palatino Linotype" w:hAnsi="Palatino Linotype" w:cs="Palatino Linotype"/>
          <w:b/>
        </w:rPr>
        <w:t xml:space="preserve">de dos mil </w:t>
      </w:r>
      <w:r w:rsidR="00251501" w:rsidRPr="00EC0AA9">
        <w:rPr>
          <w:rFonts w:ascii="Palatino Linotype" w:eastAsia="Palatino Linotype" w:hAnsi="Palatino Linotype" w:cs="Palatino Linotype"/>
          <w:b/>
        </w:rPr>
        <w:t>veintitrés</w:t>
      </w:r>
      <w:r w:rsidRPr="00EC0AA9">
        <w:rPr>
          <w:rFonts w:ascii="Palatino Linotype" w:eastAsia="Palatino Linotype" w:hAnsi="Palatino Linotype" w:cs="Palatino Linotype"/>
        </w:rPr>
        <w:t xml:space="preserve">, </w:t>
      </w:r>
      <w:r w:rsidR="00F56B9C" w:rsidRPr="00EC0AA9">
        <w:rPr>
          <w:rFonts w:ascii="Palatino Linotype" w:eastAsia="Palatino Linotype" w:hAnsi="Palatino Linotype" w:cs="Palatino Linotype"/>
          <w:b/>
        </w:rPr>
        <w:t>EL RECURRENTE</w:t>
      </w:r>
      <w:r w:rsidRPr="00EC0AA9">
        <w:rPr>
          <w:rFonts w:ascii="Palatino Linotype" w:eastAsia="Palatino Linotype" w:hAnsi="Palatino Linotype" w:cs="Palatino Linotype"/>
        </w:rPr>
        <w:t xml:space="preserve"> presentó a través del Sistema de Acceso a la Información Mexiquense, en lo subsecuente </w:t>
      </w:r>
      <w:r w:rsidRPr="00EC0AA9">
        <w:rPr>
          <w:rFonts w:ascii="Palatino Linotype" w:eastAsia="Palatino Linotype" w:hAnsi="Palatino Linotype" w:cs="Palatino Linotype"/>
          <w:b/>
        </w:rPr>
        <w:t>EL SAIMEX</w:t>
      </w:r>
      <w:r w:rsidRPr="00EC0AA9">
        <w:rPr>
          <w:rFonts w:ascii="Palatino Linotype" w:eastAsia="Palatino Linotype" w:hAnsi="Palatino Linotype" w:cs="Palatino Linotype"/>
        </w:rPr>
        <w:t xml:space="preserve"> ante </w:t>
      </w:r>
      <w:r w:rsidRPr="00EC0AA9">
        <w:rPr>
          <w:rFonts w:ascii="Palatino Linotype" w:eastAsia="Palatino Linotype" w:hAnsi="Palatino Linotype" w:cs="Palatino Linotype"/>
          <w:b/>
        </w:rPr>
        <w:t>EL SUJETO OBLIGADO</w:t>
      </w:r>
      <w:r w:rsidRPr="00EC0AA9">
        <w:rPr>
          <w:rFonts w:ascii="Palatino Linotype" w:eastAsia="Palatino Linotype" w:hAnsi="Palatino Linotype" w:cs="Palatino Linotype"/>
        </w:rPr>
        <w:t xml:space="preserve">, la solicitud de acceso a la información pública, a la que se le asignó el número de expediente </w:t>
      </w:r>
      <w:r w:rsidR="00FF5D9B" w:rsidRPr="00EC0AA9">
        <w:rPr>
          <w:rFonts w:ascii="Palatino Linotype" w:eastAsia="Palatino Linotype" w:hAnsi="Palatino Linotype" w:cs="Palatino Linotype"/>
          <w:b/>
        </w:rPr>
        <w:t xml:space="preserve">00080/ALMOJU/IP/2023 </w:t>
      </w:r>
      <w:r w:rsidR="001E390B" w:rsidRPr="00EC0AA9">
        <w:rPr>
          <w:rFonts w:ascii="Palatino Linotype" w:eastAsia="Palatino Linotype" w:hAnsi="Palatino Linotype" w:cs="Palatino Linotype"/>
        </w:rPr>
        <w:t>en la que se</w:t>
      </w:r>
      <w:r w:rsidRPr="00EC0AA9">
        <w:rPr>
          <w:rFonts w:ascii="Palatino Linotype" w:eastAsia="Palatino Linotype" w:hAnsi="Palatino Linotype" w:cs="Palatino Linotype"/>
          <w:b/>
        </w:rPr>
        <w:t xml:space="preserve"> </w:t>
      </w:r>
      <w:r w:rsidRPr="00EC0AA9">
        <w:rPr>
          <w:rFonts w:ascii="Palatino Linotype" w:eastAsia="Palatino Linotype" w:hAnsi="Palatino Linotype" w:cs="Palatino Linotype"/>
        </w:rPr>
        <w:t>requirió, lo siguiente:</w:t>
      </w:r>
    </w:p>
    <w:p w14:paraId="455B04B9" w14:textId="33FDAA45" w:rsidR="004E16BC" w:rsidRPr="00EC0AA9" w:rsidRDefault="000863AA" w:rsidP="00EC0AA9">
      <w:pPr>
        <w:ind w:left="850" w:right="899"/>
        <w:jc w:val="both"/>
        <w:rPr>
          <w:rFonts w:ascii="Palatino Linotype" w:eastAsia="Palatino Linotype" w:hAnsi="Palatino Linotype" w:cs="Palatino Linotype"/>
          <w:i/>
        </w:rPr>
      </w:pPr>
      <w:bookmarkStart w:id="1" w:name="_heading=h.gbzlpjcyq6ez" w:colFirst="0" w:colLast="0"/>
      <w:bookmarkEnd w:id="1"/>
      <w:r w:rsidRPr="00EC0AA9">
        <w:rPr>
          <w:rFonts w:ascii="Palatino Linotype" w:eastAsia="Palatino Linotype" w:hAnsi="Palatino Linotype" w:cs="Palatino Linotype"/>
          <w:i/>
        </w:rPr>
        <w:t>“</w:t>
      </w:r>
      <w:r w:rsidR="00FF5D9B" w:rsidRPr="00EC0AA9">
        <w:rPr>
          <w:rFonts w:ascii="Palatino Linotype" w:eastAsia="Palatino Linotype" w:hAnsi="Palatino Linotype" w:cs="Palatino Linotype"/>
          <w:i/>
        </w:rPr>
        <w:t xml:space="preserve">SE SOLICITA DE TESORERÍA LA FACTURA Y EL SOPORTE DOCUMENTAL DEL PAGO REALIZADO A ESPECIALISTAS CONTABLES EN ADMINISTRACIÓN PUBLICA Y PRIVADA, POR EL PAGO DE LA CANTIDAD DE $ 291,666.65 CORRESPONDIENTE AL SERVICIO PRESTADO EN EL MES DE ENERO. </w:t>
      </w:r>
      <w:r w:rsidR="00FF5D9B" w:rsidRPr="00EC0AA9">
        <w:rPr>
          <w:rFonts w:ascii="Palatino Linotype" w:eastAsia="Palatino Linotype" w:hAnsi="Palatino Linotype" w:cs="Palatino Linotype"/>
          <w:b/>
          <w:i/>
        </w:rPr>
        <w:t xml:space="preserve">ASÍ MISMO SE </w:t>
      </w:r>
      <w:r w:rsidR="00FF5D9B" w:rsidRPr="00EC0AA9">
        <w:rPr>
          <w:rFonts w:ascii="Palatino Linotype" w:eastAsia="Palatino Linotype" w:hAnsi="Palatino Linotype" w:cs="Palatino Linotype"/>
          <w:b/>
          <w:i/>
        </w:rPr>
        <w:lastRenderedPageBreak/>
        <w:t>SOLICITA LOS DOCUMENTOS EN DONDE OBREN LAS ACTIVIDADES DE DICHO PRESTADOR DE SERVICIOS</w:t>
      </w:r>
      <w:r w:rsidRPr="00EC0AA9">
        <w:rPr>
          <w:rFonts w:ascii="Palatino Linotype" w:eastAsia="Palatino Linotype" w:hAnsi="Palatino Linotype" w:cs="Palatino Linotype"/>
          <w:i/>
        </w:rPr>
        <w:t>” (sic)</w:t>
      </w:r>
    </w:p>
    <w:p w14:paraId="4FD0F4EA" w14:textId="77777777" w:rsidR="004E16BC" w:rsidRPr="00EC0AA9" w:rsidRDefault="004E16BC" w:rsidP="00EC0AA9">
      <w:pPr>
        <w:tabs>
          <w:tab w:val="left" w:pos="851"/>
        </w:tabs>
        <w:ind w:right="901"/>
        <w:jc w:val="both"/>
        <w:rPr>
          <w:rFonts w:ascii="Palatino Linotype" w:eastAsia="Palatino Linotype" w:hAnsi="Palatino Linotype" w:cs="Palatino Linotype"/>
        </w:rPr>
      </w:pPr>
    </w:p>
    <w:p w14:paraId="1E508855" w14:textId="77777777" w:rsidR="004E16BC" w:rsidRPr="00EC0AA9" w:rsidRDefault="000863AA" w:rsidP="00EC0AA9">
      <w:pPr>
        <w:widowControl w:val="0"/>
        <w:spacing w:line="360" w:lineRule="auto"/>
        <w:jc w:val="both"/>
        <w:rPr>
          <w:rFonts w:ascii="Palatino Linotype" w:eastAsia="Palatino Linotype" w:hAnsi="Palatino Linotype" w:cs="Palatino Linotype"/>
          <w:b/>
        </w:rPr>
      </w:pPr>
      <w:r w:rsidRPr="00EC0AA9">
        <w:rPr>
          <w:rFonts w:ascii="Palatino Linotype" w:eastAsia="Palatino Linotype" w:hAnsi="Palatino Linotype" w:cs="Palatino Linotype"/>
          <w:b/>
        </w:rPr>
        <w:t xml:space="preserve">MODALIDAD DE ENTREGA: </w:t>
      </w:r>
      <w:r w:rsidRPr="00EC0AA9">
        <w:rPr>
          <w:rFonts w:ascii="Palatino Linotype" w:eastAsia="Palatino Linotype" w:hAnsi="Palatino Linotype" w:cs="Palatino Linotype"/>
        </w:rPr>
        <w:t xml:space="preserve">vía </w:t>
      </w:r>
      <w:r w:rsidRPr="00EC0AA9">
        <w:rPr>
          <w:rFonts w:ascii="Palatino Linotype" w:eastAsia="Palatino Linotype" w:hAnsi="Palatino Linotype" w:cs="Palatino Linotype"/>
          <w:b/>
        </w:rPr>
        <w:t xml:space="preserve">SAIMEX </w:t>
      </w:r>
    </w:p>
    <w:p w14:paraId="128AD7C2" w14:textId="77777777" w:rsidR="004E16BC" w:rsidRPr="00EC0AA9" w:rsidRDefault="004E16BC" w:rsidP="00EC0AA9">
      <w:pPr>
        <w:widowControl w:val="0"/>
        <w:spacing w:line="360" w:lineRule="auto"/>
        <w:jc w:val="both"/>
        <w:rPr>
          <w:rFonts w:ascii="Palatino Linotype" w:eastAsia="Palatino Linotype" w:hAnsi="Palatino Linotype" w:cs="Palatino Linotype"/>
          <w:b/>
        </w:rPr>
      </w:pPr>
    </w:p>
    <w:p w14:paraId="55579D7B" w14:textId="603CC967" w:rsidR="008872C3" w:rsidRPr="00EC0AA9" w:rsidRDefault="008872C3" w:rsidP="00EC0AA9">
      <w:pPr>
        <w:widowControl w:val="0"/>
        <w:spacing w:line="360" w:lineRule="auto"/>
        <w:jc w:val="both"/>
        <w:rPr>
          <w:rFonts w:ascii="Palatino Linotype" w:eastAsia="Palatino Linotype" w:hAnsi="Palatino Linotype" w:cs="Palatino Linotype"/>
          <w:b/>
          <w:sz w:val="28"/>
        </w:rPr>
      </w:pPr>
      <w:r w:rsidRPr="00EC0AA9">
        <w:rPr>
          <w:rFonts w:ascii="Palatino Linotype" w:eastAsia="Palatino Linotype" w:hAnsi="Palatino Linotype" w:cs="Palatino Linotype"/>
          <w:b/>
          <w:sz w:val="28"/>
        </w:rPr>
        <w:t>II. Turno de requerimiento del Sujeto Obligado</w:t>
      </w:r>
    </w:p>
    <w:p w14:paraId="1D415DE3" w14:textId="7CCEAAF1" w:rsidR="008872C3" w:rsidRPr="00EC0AA9" w:rsidRDefault="008872C3" w:rsidP="00EC0AA9">
      <w:pPr>
        <w:spacing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rPr>
        <w:t xml:space="preserve">De las constancias que obran en los expedientes electrónicos del SAIMEX se advierte que el </w:t>
      </w:r>
      <w:r w:rsidR="009C483E" w:rsidRPr="00EC0AA9">
        <w:rPr>
          <w:rFonts w:ascii="Palatino Linotype" w:eastAsia="Palatino Linotype" w:hAnsi="Palatino Linotype" w:cs="Palatino Linotype"/>
          <w:b/>
        </w:rPr>
        <w:t>nueve</w:t>
      </w:r>
      <w:r w:rsidRPr="00EC0AA9">
        <w:rPr>
          <w:rFonts w:ascii="Palatino Linotype" w:eastAsia="Palatino Linotype" w:hAnsi="Palatino Linotype" w:cs="Palatino Linotype"/>
          <w:b/>
        </w:rPr>
        <w:t xml:space="preserve"> de </w:t>
      </w:r>
      <w:r w:rsidR="009C483E" w:rsidRPr="00EC0AA9">
        <w:rPr>
          <w:rFonts w:ascii="Palatino Linotype" w:eastAsia="Palatino Linotype" w:hAnsi="Palatino Linotype" w:cs="Palatino Linotype"/>
          <w:b/>
        </w:rPr>
        <w:t xml:space="preserve">mayo </w:t>
      </w:r>
      <w:r w:rsidRPr="00EC0AA9">
        <w:rPr>
          <w:rFonts w:ascii="Palatino Linotype" w:eastAsia="Palatino Linotype" w:hAnsi="Palatino Linotype" w:cs="Palatino Linotype"/>
          <w:b/>
        </w:rPr>
        <w:t>de dos mil veintitrés</w:t>
      </w:r>
      <w:r w:rsidRPr="00EC0AA9">
        <w:rPr>
          <w:rFonts w:ascii="Palatino Linotype" w:eastAsia="Palatino Linotype" w:hAnsi="Palatino Linotype" w:cs="Palatino Linotype"/>
        </w:rPr>
        <w:t xml:space="preserve"> se realizó el turno de requerimiento por parte del Titular de la Unidad de Transparencia, al servidor público habilitado que estimó competente, en términos de lo establecido por el artículo 162 de la Ley de Transparencia y Acceso a la Información Pública del Estado de México y Municipios, tal como se advierte en la imagen inserta a continuación:</w:t>
      </w:r>
    </w:p>
    <w:p w14:paraId="6FBB9E03" w14:textId="19C55425" w:rsidR="008872C3" w:rsidRPr="00EC0AA9" w:rsidRDefault="009C483E" w:rsidP="00EC0AA9">
      <w:pPr>
        <w:spacing w:line="360" w:lineRule="auto"/>
        <w:jc w:val="both"/>
        <w:rPr>
          <w:rFonts w:ascii="Palatino Linotype" w:eastAsia="Palatino Linotype" w:hAnsi="Palatino Linotype" w:cs="Palatino Linotype"/>
        </w:rPr>
      </w:pPr>
      <w:r w:rsidRPr="00EC0AA9">
        <w:rPr>
          <w:noProof/>
        </w:rPr>
        <w:drawing>
          <wp:inline distT="0" distB="0" distL="0" distR="0" wp14:anchorId="4239BC79" wp14:editId="0FC0A3F9">
            <wp:extent cx="5791835" cy="5765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576580"/>
                    </a:xfrm>
                    <a:prstGeom prst="rect">
                      <a:avLst/>
                    </a:prstGeom>
                  </pic:spPr>
                </pic:pic>
              </a:graphicData>
            </a:graphic>
          </wp:inline>
        </w:drawing>
      </w:r>
    </w:p>
    <w:p w14:paraId="079DD163" w14:textId="77777777" w:rsidR="0049747F" w:rsidRPr="00EC0AA9" w:rsidRDefault="00636F2F" w:rsidP="00EC0AA9">
      <w:pPr>
        <w:spacing w:line="360" w:lineRule="auto"/>
        <w:jc w:val="both"/>
        <w:rPr>
          <w:rFonts w:ascii="Palatino Linotype" w:eastAsia="Palatino Linotype" w:hAnsi="Palatino Linotype" w:cs="Palatino Linotype"/>
          <w:b/>
          <w:sz w:val="28"/>
        </w:rPr>
      </w:pPr>
      <w:r w:rsidRPr="00EC0AA9">
        <w:rPr>
          <w:rFonts w:ascii="Palatino Linotype" w:eastAsia="Palatino Linotype" w:hAnsi="Palatino Linotype" w:cs="Palatino Linotype"/>
          <w:b/>
          <w:sz w:val="28"/>
        </w:rPr>
        <w:t>III</w:t>
      </w:r>
      <w:r w:rsidR="000863AA" w:rsidRPr="00EC0AA9">
        <w:rPr>
          <w:rFonts w:ascii="Palatino Linotype" w:eastAsia="Palatino Linotype" w:hAnsi="Palatino Linotype" w:cs="Palatino Linotype"/>
          <w:b/>
          <w:sz w:val="28"/>
        </w:rPr>
        <w:t xml:space="preserve">. </w:t>
      </w:r>
      <w:r w:rsidR="0049747F" w:rsidRPr="00EC0AA9">
        <w:rPr>
          <w:rFonts w:ascii="Palatino Linotype" w:eastAsia="Palatino Linotype" w:hAnsi="Palatino Linotype" w:cs="Palatino Linotype"/>
          <w:b/>
          <w:sz w:val="28"/>
        </w:rPr>
        <w:t>Prórroga</w:t>
      </w:r>
    </w:p>
    <w:p w14:paraId="4C7667FB" w14:textId="5AB93BC3" w:rsidR="0049747F" w:rsidRPr="00EC0AA9" w:rsidRDefault="0049747F" w:rsidP="00EC0AA9">
      <w:pPr>
        <w:pStyle w:val="Prrafodelista"/>
        <w:tabs>
          <w:tab w:val="left" w:pos="709"/>
        </w:tabs>
        <w:spacing w:line="360" w:lineRule="auto"/>
        <w:ind w:left="0"/>
        <w:jc w:val="both"/>
        <w:rPr>
          <w:rFonts w:ascii="Palatino Linotype" w:hAnsi="Palatino Linotype" w:cs="Arial"/>
        </w:rPr>
      </w:pPr>
      <w:r w:rsidRPr="00EC0AA9">
        <w:rPr>
          <w:rFonts w:ascii="Palatino Linotype" w:hAnsi="Palatino Linotype" w:cs="Arial"/>
        </w:rPr>
        <w:t xml:space="preserve">De las constancias que obran en el expediente electrónico del </w:t>
      </w:r>
      <w:r w:rsidRPr="00EC0AA9">
        <w:rPr>
          <w:rFonts w:ascii="Palatino Linotype" w:hAnsi="Palatino Linotype" w:cs="Arial"/>
          <w:b/>
        </w:rPr>
        <w:t>SAIMEX</w:t>
      </w:r>
      <w:r w:rsidRPr="00EC0AA9">
        <w:rPr>
          <w:rFonts w:ascii="Palatino Linotype" w:hAnsi="Palatino Linotype" w:cs="Arial"/>
        </w:rPr>
        <w:t xml:space="preserve">, se advierte que el </w:t>
      </w:r>
      <w:r w:rsidRPr="00EC0AA9">
        <w:rPr>
          <w:rFonts w:ascii="Palatino Linotype" w:hAnsi="Palatino Linotype" w:cs="Arial"/>
          <w:b/>
        </w:rPr>
        <w:t>veintiséis de mayo de dos mil veintitrés</w:t>
      </w:r>
      <w:r w:rsidRPr="00EC0AA9">
        <w:rPr>
          <w:rFonts w:ascii="Palatino Linotype" w:hAnsi="Palatino Linotype" w:cs="Arial"/>
        </w:rPr>
        <w:t xml:space="preserve">, </w:t>
      </w:r>
      <w:r w:rsidRPr="00EC0AA9">
        <w:rPr>
          <w:rFonts w:ascii="Palatino Linotype" w:hAnsi="Palatino Linotype"/>
          <w:b/>
        </w:rPr>
        <w:t>EL SUJETO OBLIGADO</w:t>
      </w:r>
      <w:r w:rsidRPr="00EC0AA9">
        <w:rPr>
          <w:rFonts w:ascii="Palatino Linotype" w:hAnsi="Palatino Linotype" w:cs="Arial"/>
        </w:rPr>
        <w:t xml:space="preserve"> solicitó prórroga de siete días para recabar la información solicitada y dar cumplimiento a lo requerido por </w:t>
      </w:r>
      <w:r w:rsidRPr="00EC0AA9">
        <w:rPr>
          <w:rFonts w:ascii="Palatino Linotype" w:hAnsi="Palatino Linotype" w:cs="Arial"/>
          <w:b/>
        </w:rPr>
        <w:t>EL RECURRENTE</w:t>
      </w:r>
      <w:r w:rsidRPr="00EC0AA9">
        <w:rPr>
          <w:rFonts w:ascii="Palatino Linotype" w:hAnsi="Palatino Linotype" w:cs="Arial"/>
        </w:rPr>
        <w:t>, advirtiendo que dicha prórroga no cumple con lo establecido en el artículo 49, fracción II, así como en el artículo 163 segundo párrafo, de la Ley de Transparencia y Acceso a la Información Pública del Estado de México y Municipios.</w:t>
      </w:r>
    </w:p>
    <w:p w14:paraId="0F36867A" w14:textId="77777777" w:rsidR="0049747F" w:rsidRPr="00EC0AA9" w:rsidRDefault="0049747F" w:rsidP="00EC0AA9">
      <w:pPr>
        <w:spacing w:line="360" w:lineRule="auto"/>
        <w:jc w:val="both"/>
        <w:rPr>
          <w:rFonts w:ascii="Palatino Linotype" w:eastAsia="Palatino Linotype" w:hAnsi="Palatino Linotype" w:cs="Palatino Linotype"/>
          <w:b/>
          <w:sz w:val="28"/>
        </w:rPr>
      </w:pPr>
    </w:p>
    <w:p w14:paraId="610ADC53" w14:textId="757FD7AE" w:rsidR="004E16BC" w:rsidRPr="00EC0AA9" w:rsidRDefault="0049747F" w:rsidP="00EC0AA9">
      <w:pPr>
        <w:spacing w:line="360" w:lineRule="auto"/>
        <w:jc w:val="both"/>
        <w:rPr>
          <w:rFonts w:ascii="Palatino Linotype" w:eastAsia="Palatino Linotype" w:hAnsi="Palatino Linotype" w:cs="Palatino Linotype"/>
          <w:b/>
          <w:sz w:val="28"/>
        </w:rPr>
      </w:pPr>
      <w:r w:rsidRPr="00EC0AA9">
        <w:rPr>
          <w:rFonts w:ascii="Palatino Linotype" w:eastAsia="Palatino Linotype" w:hAnsi="Palatino Linotype" w:cs="Palatino Linotype"/>
          <w:b/>
          <w:sz w:val="28"/>
        </w:rPr>
        <w:lastRenderedPageBreak/>
        <w:t xml:space="preserve">IV. </w:t>
      </w:r>
      <w:r w:rsidR="000863AA" w:rsidRPr="00EC0AA9">
        <w:rPr>
          <w:rFonts w:ascii="Palatino Linotype" w:eastAsia="Palatino Linotype" w:hAnsi="Palatino Linotype" w:cs="Palatino Linotype"/>
          <w:b/>
          <w:sz w:val="28"/>
        </w:rPr>
        <w:t>Respuesta del Sujeto Obligado</w:t>
      </w:r>
    </w:p>
    <w:p w14:paraId="78B33F21" w14:textId="576ADE95" w:rsidR="004E16BC" w:rsidRPr="00EC0AA9" w:rsidRDefault="000863AA" w:rsidP="00EC0AA9">
      <w:pPr>
        <w:spacing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rPr>
        <w:t>De las constancias que obran en el expediente electrónico del SAI</w:t>
      </w:r>
      <w:r w:rsidR="00CD56FA" w:rsidRPr="00EC0AA9">
        <w:rPr>
          <w:rFonts w:ascii="Palatino Linotype" w:eastAsia="Palatino Linotype" w:hAnsi="Palatino Linotype" w:cs="Palatino Linotype"/>
        </w:rPr>
        <w:t>MEX relativo al presente asunto</w:t>
      </w:r>
      <w:r w:rsidRPr="00EC0AA9">
        <w:rPr>
          <w:rFonts w:ascii="Palatino Linotype" w:eastAsia="Palatino Linotype" w:hAnsi="Palatino Linotype" w:cs="Palatino Linotype"/>
        </w:rPr>
        <w:t xml:space="preserve"> se </w:t>
      </w:r>
      <w:r w:rsidR="00CD56FA" w:rsidRPr="00EC0AA9">
        <w:rPr>
          <w:rFonts w:ascii="Palatino Linotype" w:eastAsia="Palatino Linotype" w:hAnsi="Palatino Linotype" w:cs="Palatino Linotype"/>
        </w:rPr>
        <w:t>advierte</w:t>
      </w:r>
      <w:r w:rsidRPr="00EC0AA9">
        <w:rPr>
          <w:rFonts w:ascii="Palatino Linotype" w:eastAsia="Palatino Linotype" w:hAnsi="Palatino Linotype" w:cs="Palatino Linotype"/>
        </w:rPr>
        <w:t xml:space="preserve"> que el </w:t>
      </w:r>
      <w:r w:rsidR="00D125CD" w:rsidRPr="00EC0AA9">
        <w:rPr>
          <w:rFonts w:ascii="Palatino Linotype" w:eastAsia="Palatino Linotype" w:hAnsi="Palatino Linotype" w:cs="Palatino Linotype"/>
          <w:b/>
        </w:rPr>
        <w:t>seis</w:t>
      </w:r>
      <w:r w:rsidR="00A81E66" w:rsidRPr="00EC0AA9">
        <w:rPr>
          <w:rFonts w:ascii="Palatino Linotype" w:eastAsia="Palatino Linotype" w:hAnsi="Palatino Linotype" w:cs="Palatino Linotype"/>
          <w:b/>
        </w:rPr>
        <w:t xml:space="preserve"> de junio de dos mil veintitrés</w:t>
      </w:r>
      <w:r w:rsidRPr="00EC0AA9">
        <w:rPr>
          <w:rFonts w:ascii="Palatino Linotype" w:eastAsia="Palatino Linotype" w:hAnsi="Palatino Linotype" w:cs="Palatino Linotype"/>
        </w:rPr>
        <w:t xml:space="preserve">, </w:t>
      </w:r>
      <w:r w:rsidRPr="00EC0AA9">
        <w:rPr>
          <w:rFonts w:ascii="Palatino Linotype" w:eastAsia="Palatino Linotype" w:hAnsi="Palatino Linotype" w:cs="Palatino Linotype"/>
          <w:b/>
        </w:rPr>
        <w:t>EL SUJETO OBLIGADO</w:t>
      </w:r>
      <w:r w:rsidRPr="00EC0AA9">
        <w:rPr>
          <w:rFonts w:ascii="Palatino Linotype" w:eastAsia="Palatino Linotype" w:hAnsi="Palatino Linotype" w:cs="Palatino Linotype"/>
        </w:rPr>
        <w:t xml:space="preserve"> dio respuesta en los términos siguientes: </w:t>
      </w:r>
    </w:p>
    <w:p w14:paraId="54D8F5AB" w14:textId="77777777" w:rsidR="00D125CD" w:rsidRPr="00EC0AA9" w:rsidRDefault="000863AA" w:rsidP="00EC0AA9">
      <w:pPr>
        <w:ind w:left="850" w:right="899"/>
        <w:jc w:val="both"/>
        <w:rPr>
          <w:rFonts w:ascii="Palatino Linotype" w:eastAsia="Palatino Linotype" w:hAnsi="Palatino Linotype" w:cs="Palatino Linotype"/>
          <w:i/>
        </w:rPr>
      </w:pPr>
      <w:r w:rsidRPr="00EC0AA9">
        <w:rPr>
          <w:rFonts w:ascii="Palatino Linotype" w:eastAsia="Palatino Linotype" w:hAnsi="Palatino Linotype" w:cs="Palatino Linotype"/>
          <w:i/>
        </w:rPr>
        <w:t>“</w:t>
      </w:r>
      <w:r w:rsidR="00D125CD" w:rsidRPr="00EC0AA9">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89D32C" w14:textId="2255932A" w:rsidR="004E16BC" w:rsidRPr="00EC0AA9" w:rsidRDefault="00D125CD" w:rsidP="00EC0AA9">
      <w:pPr>
        <w:ind w:left="850" w:right="899"/>
        <w:jc w:val="both"/>
        <w:rPr>
          <w:rFonts w:ascii="Palatino Linotype" w:eastAsia="Palatino Linotype" w:hAnsi="Palatino Linotype" w:cs="Palatino Linotype"/>
          <w:i/>
        </w:rPr>
      </w:pPr>
      <w:r w:rsidRPr="00EC0AA9">
        <w:rPr>
          <w:rFonts w:ascii="Palatino Linotype" w:eastAsia="Palatino Linotype" w:hAnsi="Palatino Linotype" w:cs="Palatino Linotype"/>
          <w:i/>
        </w:rPr>
        <w:t>Con fundamento en los artículos 4, 12 y 59 de la Ley de Transparencia y Acceso a la Información Pública del Estado de México y Municipios, se adjunta al presente la respuesta emitida por la Tesorería Municipal, así como de la Dirección de Administración para estar en posibilidad de cumplir con el requerimiento interpuesto por el solicitante</w:t>
      </w:r>
      <w:r w:rsidR="000863AA" w:rsidRPr="00EC0AA9">
        <w:rPr>
          <w:rFonts w:ascii="Palatino Linotype" w:eastAsia="Palatino Linotype" w:hAnsi="Palatino Linotype" w:cs="Palatino Linotype"/>
          <w:i/>
        </w:rPr>
        <w:t>” (Sic)</w:t>
      </w:r>
    </w:p>
    <w:p w14:paraId="3576EDF7" w14:textId="77777777" w:rsidR="004E16BC" w:rsidRPr="00EC0AA9" w:rsidRDefault="004E16BC" w:rsidP="00EC0AA9">
      <w:pPr>
        <w:ind w:right="899"/>
        <w:jc w:val="both"/>
        <w:rPr>
          <w:rFonts w:ascii="Palatino Linotype" w:eastAsia="Palatino Linotype" w:hAnsi="Palatino Linotype" w:cs="Palatino Linotype"/>
          <w:i/>
        </w:rPr>
      </w:pPr>
    </w:p>
    <w:p w14:paraId="2E93F24D" w14:textId="4E86F9A7" w:rsidR="00CD56FA" w:rsidRPr="00EC0AA9" w:rsidRDefault="00CD56FA" w:rsidP="00EC0AA9">
      <w:pPr>
        <w:spacing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rPr>
        <w:t xml:space="preserve">Adjunto a la respuesta el </w:t>
      </w:r>
      <w:r w:rsidRPr="00EC0AA9">
        <w:rPr>
          <w:rFonts w:ascii="Palatino Linotype" w:eastAsia="Palatino Linotype" w:hAnsi="Palatino Linotype" w:cs="Palatino Linotype"/>
          <w:b/>
        </w:rPr>
        <w:t xml:space="preserve">SUJETO OBLIGADO </w:t>
      </w:r>
      <w:r w:rsidRPr="00EC0AA9">
        <w:rPr>
          <w:rFonts w:ascii="Palatino Linotype" w:eastAsia="Palatino Linotype" w:hAnsi="Palatino Linotype" w:cs="Palatino Linotype"/>
        </w:rPr>
        <w:t>remitió</w:t>
      </w:r>
      <w:r w:rsidRPr="00EC0AA9">
        <w:rPr>
          <w:rFonts w:ascii="Palatino Linotype" w:eastAsia="Palatino Linotype" w:hAnsi="Palatino Linotype" w:cs="Palatino Linotype"/>
          <w:b/>
        </w:rPr>
        <w:t xml:space="preserve"> </w:t>
      </w:r>
      <w:r w:rsidR="00D125CD" w:rsidRPr="00EC0AA9">
        <w:rPr>
          <w:rFonts w:ascii="Palatino Linotype" w:eastAsia="Palatino Linotype" w:hAnsi="Palatino Linotype" w:cs="Palatino Linotype"/>
        </w:rPr>
        <w:t xml:space="preserve">dos veces </w:t>
      </w:r>
      <w:r w:rsidRPr="00EC0AA9">
        <w:rPr>
          <w:rFonts w:ascii="Palatino Linotype" w:eastAsia="Palatino Linotype" w:hAnsi="Palatino Linotype" w:cs="Palatino Linotype"/>
        </w:rPr>
        <w:t xml:space="preserve">el </w:t>
      </w:r>
      <w:r w:rsidR="00D125CD" w:rsidRPr="00EC0AA9">
        <w:rPr>
          <w:rFonts w:ascii="Palatino Linotype" w:eastAsia="Palatino Linotype" w:hAnsi="Palatino Linotype" w:cs="Palatino Linotype"/>
        </w:rPr>
        <w:t xml:space="preserve">mismo </w:t>
      </w:r>
      <w:r w:rsidRPr="00EC0AA9">
        <w:rPr>
          <w:rFonts w:ascii="Palatino Linotype" w:eastAsia="Palatino Linotype" w:hAnsi="Palatino Linotype" w:cs="Palatino Linotype"/>
        </w:rPr>
        <w:t>archivo denominado</w:t>
      </w:r>
      <w:r w:rsidRPr="00EC0AA9">
        <w:rPr>
          <w:rFonts w:ascii="Palatino Linotype" w:eastAsia="Palatino Linotype" w:hAnsi="Palatino Linotype" w:cs="Palatino Linotype"/>
          <w:b/>
        </w:rPr>
        <w:t xml:space="preserve"> “</w:t>
      </w:r>
      <w:r w:rsidR="00D125CD" w:rsidRPr="00EC0AA9">
        <w:rPr>
          <w:rFonts w:ascii="Palatino Linotype" w:eastAsia="Palatino Linotype" w:hAnsi="Palatino Linotype" w:cs="Palatino Linotype"/>
          <w:b/>
          <w:i/>
        </w:rPr>
        <w:t>SOLICITUD 80 CORRECTO.pdf</w:t>
      </w:r>
      <w:r w:rsidRPr="00EC0AA9">
        <w:rPr>
          <w:rFonts w:ascii="Palatino Linotype" w:eastAsia="Palatino Linotype" w:hAnsi="Palatino Linotype" w:cs="Palatino Linotype"/>
          <w:b/>
          <w:i/>
        </w:rPr>
        <w:t xml:space="preserve">” </w:t>
      </w:r>
      <w:r w:rsidRPr="00EC0AA9">
        <w:rPr>
          <w:rFonts w:ascii="Palatino Linotype" w:eastAsia="Palatino Linotype" w:hAnsi="Palatino Linotype" w:cs="Palatino Linotype"/>
        </w:rPr>
        <w:t xml:space="preserve">mismo que </w:t>
      </w:r>
      <w:r w:rsidR="002A0BA8" w:rsidRPr="00EC0AA9">
        <w:rPr>
          <w:rFonts w:ascii="Palatino Linotype" w:eastAsia="Palatino Linotype" w:hAnsi="Palatino Linotype" w:cs="Palatino Linotype"/>
        </w:rPr>
        <w:t>contiene lo siguiente</w:t>
      </w:r>
      <w:r w:rsidRPr="00EC0AA9">
        <w:rPr>
          <w:rFonts w:ascii="Palatino Linotype" w:eastAsia="Palatino Linotype" w:hAnsi="Palatino Linotype" w:cs="Palatino Linotype"/>
        </w:rPr>
        <w:t>:</w:t>
      </w:r>
    </w:p>
    <w:p w14:paraId="15EA4A57" w14:textId="59A9F1B9" w:rsidR="002A0BA8" w:rsidRPr="00EC0AA9" w:rsidRDefault="00655D0E" w:rsidP="00EC0AA9">
      <w:pPr>
        <w:spacing w:line="360" w:lineRule="auto"/>
        <w:jc w:val="both"/>
        <w:rPr>
          <w:rFonts w:ascii="Palatino Linotype" w:eastAsia="Palatino Linotype" w:hAnsi="Palatino Linotype" w:cs="Palatino Linotype"/>
        </w:rPr>
      </w:pPr>
      <w:r w:rsidRPr="00EC0AA9">
        <w:rPr>
          <w:noProof/>
        </w:rPr>
        <w:lastRenderedPageBreak/>
        <w:drawing>
          <wp:inline distT="0" distB="0" distL="0" distR="0" wp14:anchorId="67AB23B7" wp14:editId="01D3749A">
            <wp:extent cx="5791835" cy="540956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5409565"/>
                    </a:xfrm>
                    <a:prstGeom prst="rect">
                      <a:avLst/>
                    </a:prstGeom>
                  </pic:spPr>
                </pic:pic>
              </a:graphicData>
            </a:graphic>
          </wp:inline>
        </w:drawing>
      </w:r>
    </w:p>
    <w:p w14:paraId="2B2465EB" w14:textId="77777777" w:rsidR="00D125CD" w:rsidRPr="00EC0AA9" w:rsidRDefault="00D125CD" w:rsidP="00EC0AA9">
      <w:pPr>
        <w:spacing w:line="360" w:lineRule="auto"/>
        <w:jc w:val="both"/>
        <w:rPr>
          <w:rFonts w:ascii="Palatino Linotype" w:eastAsia="Palatino Linotype" w:hAnsi="Palatino Linotype" w:cs="Palatino Linotype"/>
        </w:rPr>
      </w:pPr>
    </w:p>
    <w:p w14:paraId="2E66B194" w14:textId="0A86F443" w:rsidR="00D125CD" w:rsidRPr="00EC0AA9" w:rsidRDefault="00655D0E" w:rsidP="00EC0AA9">
      <w:pPr>
        <w:spacing w:line="360" w:lineRule="auto"/>
        <w:jc w:val="both"/>
        <w:rPr>
          <w:rFonts w:ascii="Palatino Linotype" w:eastAsia="Palatino Linotype" w:hAnsi="Palatino Linotype" w:cs="Palatino Linotype"/>
        </w:rPr>
      </w:pPr>
      <w:r w:rsidRPr="00EC0AA9">
        <w:rPr>
          <w:noProof/>
        </w:rPr>
        <w:lastRenderedPageBreak/>
        <w:drawing>
          <wp:inline distT="0" distB="0" distL="0" distR="0" wp14:anchorId="765566D5" wp14:editId="7B6308F0">
            <wp:extent cx="5791835" cy="732536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325360"/>
                    </a:xfrm>
                    <a:prstGeom prst="rect">
                      <a:avLst/>
                    </a:prstGeom>
                  </pic:spPr>
                </pic:pic>
              </a:graphicData>
            </a:graphic>
          </wp:inline>
        </w:drawing>
      </w:r>
    </w:p>
    <w:p w14:paraId="34B74000" w14:textId="13E8E118" w:rsidR="00D125CD" w:rsidRPr="00EC0AA9" w:rsidRDefault="00655D0E" w:rsidP="00EC0AA9">
      <w:pPr>
        <w:spacing w:line="360" w:lineRule="auto"/>
        <w:jc w:val="both"/>
        <w:rPr>
          <w:rFonts w:ascii="Palatino Linotype" w:eastAsia="Palatino Linotype" w:hAnsi="Palatino Linotype" w:cs="Palatino Linotype"/>
        </w:rPr>
      </w:pPr>
      <w:r w:rsidRPr="00EC0AA9">
        <w:rPr>
          <w:noProof/>
        </w:rPr>
        <w:lastRenderedPageBreak/>
        <w:drawing>
          <wp:inline distT="0" distB="0" distL="0" distR="0" wp14:anchorId="68101B06" wp14:editId="21E72857">
            <wp:extent cx="5791835" cy="66929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6692900"/>
                    </a:xfrm>
                    <a:prstGeom prst="rect">
                      <a:avLst/>
                    </a:prstGeom>
                  </pic:spPr>
                </pic:pic>
              </a:graphicData>
            </a:graphic>
          </wp:inline>
        </w:drawing>
      </w:r>
    </w:p>
    <w:p w14:paraId="2FE18C81" w14:textId="0CBFEC5A" w:rsidR="004E16BC" w:rsidRPr="00EC0AA9" w:rsidRDefault="000863AA" w:rsidP="00EC0AA9">
      <w:pPr>
        <w:spacing w:line="360" w:lineRule="auto"/>
        <w:jc w:val="both"/>
        <w:rPr>
          <w:rFonts w:ascii="Palatino Linotype" w:eastAsia="Palatino Linotype" w:hAnsi="Palatino Linotype" w:cs="Palatino Linotype"/>
          <w:b/>
          <w:sz w:val="28"/>
        </w:rPr>
      </w:pPr>
      <w:r w:rsidRPr="00EC0AA9">
        <w:rPr>
          <w:rFonts w:ascii="Palatino Linotype" w:eastAsia="Palatino Linotype" w:hAnsi="Palatino Linotype" w:cs="Palatino Linotype"/>
          <w:b/>
          <w:sz w:val="28"/>
        </w:rPr>
        <w:lastRenderedPageBreak/>
        <w:t>V. Del Recurso de Revisión.</w:t>
      </w:r>
    </w:p>
    <w:p w14:paraId="7AD7F3B2" w14:textId="74D84BEC" w:rsidR="004E16BC" w:rsidRPr="00EC0AA9" w:rsidRDefault="000863AA" w:rsidP="00EC0AA9">
      <w:pPr>
        <w:widowControl w:val="0"/>
        <w:spacing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rPr>
        <w:t>Inconforme con la respuesta del</w:t>
      </w:r>
      <w:r w:rsidRPr="00EC0AA9">
        <w:rPr>
          <w:rFonts w:ascii="Palatino Linotype" w:eastAsia="Palatino Linotype" w:hAnsi="Palatino Linotype" w:cs="Palatino Linotype"/>
          <w:b/>
        </w:rPr>
        <w:t xml:space="preserve"> SUJETO OBLIGADO</w:t>
      </w:r>
      <w:r w:rsidRPr="00EC0AA9">
        <w:rPr>
          <w:rFonts w:ascii="Palatino Linotype" w:eastAsia="Palatino Linotype" w:hAnsi="Palatino Linotype" w:cs="Palatino Linotype"/>
        </w:rPr>
        <w:t xml:space="preserve">, el </w:t>
      </w:r>
      <w:r w:rsidR="00297A31" w:rsidRPr="00EC0AA9">
        <w:rPr>
          <w:rFonts w:ascii="Palatino Linotype" w:eastAsia="Palatino Linotype" w:hAnsi="Palatino Linotype" w:cs="Palatino Linotype"/>
          <w:b/>
        </w:rPr>
        <w:t>siete</w:t>
      </w:r>
      <w:r w:rsidRPr="00EC0AA9">
        <w:rPr>
          <w:rFonts w:ascii="Palatino Linotype" w:eastAsia="Palatino Linotype" w:hAnsi="Palatino Linotype" w:cs="Palatino Linotype"/>
          <w:b/>
        </w:rPr>
        <w:t xml:space="preserve"> de </w:t>
      </w:r>
      <w:r w:rsidR="00C11CC4" w:rsidRPr="00EC0AA9">
        <w:rPr>
          <w:rFonts w:ascii="Palatino Linotype" w:eastAsia="Palatino Linotype" w:hAnsi="Palatino Linotype" w:cs="Palatino Linotype"/>
          <w:b/>
        </w:rPr>
        <w:t xml:space="preserve">junio </w:t>
      </w:r>
      <w:r w:rsidRPr="00EC0AA9">
        <w:rPr>
          <w:rFonts w:ascii="Palatino Linotype" w:eastAsia="Palatino Linotype" w:hAnsi="Palatino Linotype" w:cs="Palatino Linotype"/>
          <w:b/>
        </w:rPr>
        <w:t xml:space="preserve">de dos mil </w:t>
      </w:r>
      <w:r w:rsidR="00CD56FA" w:rsidRPr="00EC0AA9">
        <w:rPr>
          <w:rFonts w:ascii="Palatino Linotype" w:eastAsia="Palatino Linotype" w:hAnsi="Palatino Linotype" w:cs="Palatino Linotype"/>
          <w:b/>
        </w:rPr>
        <w:t>veintitrés</w:t>
      </w:r>
      <w:r w:rsidRPr="00EC0AA9">
        <w:rPr>
          <w:rFonts w:ascii="Palatino Linotype" w:eastAsia="Palatino Linotype" w:hAnsi="Palatino Linotype" w:cs="Palatino Linotype"/>
        </w:rPr>
        <w:t xml:space="preserve">, </w:t>
      </w:r>
      <w:r w:rsidR="00F56B9C" w:rsidRPr="00EC0AA9">
        <w:rPr>
          <w:rFonts w:ascii="Palatino Linotype" w:eastAsia="Palatino Linotype" w:hAnsi="Palatino Linotype" w:cs="Palatino Linotype"/>
          <w:b/>
        </w:rPr>
        <w:t>EL RECURRENTE</w:t>
      </w:r>
      <w:r w:rsidRPr="00EC0AA9">
        <w:rPr>
          <w:rFonts w:ascii="Palatino Linotype" w:eastAsia="Palatino Linotype" w:hAnsi="Palatino Linotype" w:cs="Palatino Linotype"/>
        </w:rPr>
        <w:t xml:space="preserve"> interpuso el Recurso de Revisión, que fue registrado en </w:t>
      </w:r>
      <w:r w:rsidR="00CD56FA" w:rsidRPr="00EC0AA9">
        <w:rPr>
          <w:rFonts w:ascii="Palatino Linotype" w:eastAsia="Palatino Linotype" w:hAnsi="Palatino Linotype" w:cs="Palatino Linotype"/>
        </w:rPr>
        <w:t>el</w:t>
      </w:r>
      <w:r w:rsidRPr="00EC0AA9">
        <w:rPr>
          <w:rFonts w:ascii="Palatino Linotype" w:eastAsia="Palatino Linotype" w:hAnsi="Palatino Linotype" w:cs="Palatino Linotype"/>
          <w:b/>
        </w:rPr>
        <w:t xml:space="preserve"> SAIMEX</w:t>
      </w:r>
      <w:r w:rsidRPr="00EC0AA9">
        <w:rPr>
          <w:rFonts w:ascii="Palatino Linotype" w:eastAsia="Palatino Linotype" w:hAnsi="Palatino Linotype" w:cs="Palatino Linotype"/>
        </w:rPr>
        <w:t xml:space="preserve"> y se le asignó el número de expediente </w:t>
      </w:r>
      <w:r w:rsidR="00297A31" w:rsidRPr="00EC0AA9">
        <w:rPr>
          <w:rFonts w:ascii="Palatino Linotype" w:eastAsia="Palatino Linotype" w:hAnsi="Palatino Linotype" w:cs="Palatino Linotype"/>
          <w:b/>
        </w:rPr>
        <w:t>03192</w:t>
      </w:r>
      <w:r w:rsidR="00251501" w:rsidRPr="00EC0AA9">
        <w:rPr>
          <w:rFonts w:ascii="Palatino Linotype" w:eastAsia="Palatino Linotype" w:hAnsi="Palatino Linotype" w:cs="Palatino Linotype"/>
          <w:b/>
        </w:rPr>
        <w:t>/INFOEM/IP/RR/2023</w:t>
      </w:r>
      <w:r w:rsidRPr="00EC0AA9">
        <w:rPr>
          <w:rFonts w:ascii="Palatino Linotype" w:eastAsia="Palatino Linotype" w:hAnsi="Palatino Linotype" w:cs="Palatino Linotype"/>
          <w:b/>
        </w:rPr>
        <w:t xml:space="preserve">, </w:t>
      </w:r>
      <w:r w:rsidRPr="00EC0AA9">
        <w:rPr>
          <w:rFonts w:ascii="Palatino Linotype" w:eastAsia="Palatino Linotype" w:hAnsi="Palatino Linotype" w:cs="Palatino Linotype"/>
        </w:rPr>
        <w:t>donde los motivos de agravio de</w:t>
      </w:r>
      <w:r w:rsidRPr="00EC0AA9">
        <w:rPr>
          <w:rFonts w:ascii="Palatino Linotype" w:eastAsia="Palatino Linotype" w:hAnsi="Palatino Linotype" w:cs="Palatino Linotype"/>
          <w:b/>
        </w:rPr>
        <w:t xml:space="preserve"> </w:t>
      </w:r>
      <w:r w:rsidR="00F56B9C" w:rsidRPr="00EC0AA9">
        <w:rPr>
          <w:rFonts w:ascii="Palatino Linotype" w:eastAsia="Palatino Linotype" w:hAnsi="Palatino Linotype" w:cs="Palatino Linotype"/>
          <w:b/>
        </w:rPr>
        <w:t>EL RECURRENTE</w:t>
      </w:r>
      <w:r w:rsidRPr="00EC0AA9">
        <w:rPr>
          <w:rFonts w:ascii="Palatino Linotype" w:eastAsia="Palatino Linotype" w:hAnsi="Palatino Linotype" w:cs="Palatino Linotype"/>
          <w:b/>
        </w:rPr>
        <w:t xml:space="preserve"> </w:t>
      </w:r>
      <w:r w:rsidRPr="00EC0AA9">
        <w:rPr>
          <w:rFonts w:ascii="Palatino Linotype" w:eastAsia="Palatino Linotype" w:hAnsi="Palatino Linotype" w:cs="Palatino Linotype"/>
        </w:rPr>
        <w:t>fueron los siguientes:</w:t>
      </w:r>
    </w:p>
    <w:p w14:paraId="49AD0044" w14:textId="77777777" w:rsidR="004E16BC" w:rsidRPr="00EC0AA9" w:rsidRDefault="004E16BC" w:rsidP="00EC0AA9">
      <w:pPr>
        <w:widowControl w:val="0"/>
        <w:spacing w:line="360" w:lineRule="auto"/>
        <w:jc w:val="both"/>
        <w:rPr>
          <w:rFonts w:ascii="Palatino Linotype" w:eastAsia="Palatino Linotype" w:hAnsi="Palatino Linotype" w:cs="Palatino Linotype"/>
        </w:rPr>
      </w:pPr>
    </w:p>
    <w:p w14:paraId="0CF01808" w14:textId="77777777" w:rsidR="004E16BC" w:rsidRPr="00EC0AA9" w:rsidRDefault="000863AA" w:rsidP="00EC0AA9">
      <w:pPr>
        <w:spacing w:line="360" w:lineRule="auto"/>
        <w:ind w:left="-57" w:right="-57"/>
        <w:jc w:val="both"/>
        <w:rPr>
          <w:rFonts w:ascii="Palatino Linotype" w:eastAsia="Palatino Linotype" w:hAnsi="Palatino Linotype" w:cs="Palatino Linotype"/>
          <w:b/>
          <w:u w:val="single"/>
        </w:rPr>
      </w:pPr>
      <w:r w:rsidRPr="00EC0AA9">
        <w:rPr>
          <w:rFonts w:ascii="Palatino Linotype" w:eastAsia="Palatino Linotype" w:hAnsi="Palatino Linotype" w:cs="Palatino Linotype"/>
          <w:b/>
          <w:u w:val="single"/>
        </w:rPr>
        <w:t>Acto Impugnado:</w:t>
      </w:r>
      <w:r w:rsidRPr="00EC0AA9">
        <w:rPr>
          <w:rFonts w:ascii="Palatino Linotype" w:hAnsi="Palatino Linotype"/>
          <w:b/>
          <w:u w:val="single"/>
        </w:rPr>
        <w:t xml:space="preserve"> </w:t>
      </w:r>
    </w:p>
    <w:p w14:paraId="71D6B0E3" w14:textId="694EA954" w:rsidR="004E16BC" w:rsidRPr="00EC0AA9" w:rsidRDefault="000863AA" w:rsidP="00EC0AA9">
      <w:pPr>
        <w:tabs>
          <w:tab w:val="left" w:pos="709"/>
        </w:tabs>
        <w:spacing w:before="66"/>
        <w:ind w:left="850" w:right="899"/>
        <w:jc w:val="both"/>
        <w:rPr>
          <w:rFonts w:ascii="Palatino Linotype" w:eastAsia="Palatino Linotype" w:hAnsi="Palatino Linotype" w:cs="Palatino Linotype"/>
          <w:i/>
        </w:rPr>
      </w:pPr>
      <w:r w:rsidRPr="00EC0AA9">
        <w:rPr>
          <w:rFonts w:ascii="Palatino Linotype" w:eastAsia="Palatino Linotype" w:hAnsi="Palatino Linotype" w:cs="Palatino Linotype"/>
          <w:i/>
        </w:rPr>
        <w:t>“</w:t>
      </w:r>
      <w:r w:rsidR="00297A31" w:rsidRPr="00EC0AA9">
        <w:rPr>
          <w:rFonts w:ascii="Palatino Linotype" w:eastAsia="Palatino Linotype" w:hAnsi="Palatino Linotype" w:cs="Palatino Linotype"/>
          <w:i/>
        </w:rPr>
        <w:t>la respuesta otorgada por el tesorero a la solicitud de informacion.</w:t>
      </w:r>
      <w:r w:rsidRPr="00EC0AA9">
        <w:rPr>
          <w:rFonts w:ascii="Palatino Linotype" w:eastAsia="Palatino Linotype" w:hAnsi="Palatino Linotype" w:cs="Palatino Linotype"/>
          <w:i/>
        </w:rPr>
        <w:t>” (Sic)</w:t>
      </w:r>
    </w:p>
    <w:p w14:paraId="544CE754" w14:textId="77777777" w:rsidR="004E16BC" w:rsidRPr="00EC0AA9" w:rsidRDefault="004E16BC" w:rsidP="00EC0AA9">
      <w:pPr>
        <w:ind w:right="899"/>
        <w:jc w:val="both"/>
        <w:rPr>
          <w:rFonts w:ascii="Palatino Linotype" w:eastAsia="Palatino Linotype" w:hAnsi="Palatino Linotype" w:cs="Palatino Linotype"/>
        </w:rPr>
      </w:pPr>
    </w:p>
    <w:p w14:paraId="25536CE4" w14:textId="77777777" w:rsidR="004E16BC" w:rsidRPr="00EC0AA9" w:rsidRDefault="000863AA" w:rsidP="00EC0AA9">
      <w:pPr>
        <w:spacing w:line="360" w:lineRule="auto"/>
        <w:ind w:right="49"/>
        <w:jc w:val="both"/>
        <w:rPr>
          <w:rFonts w:ascii="Palatino Linotype" w:eastAsia="Palatino Linotype" w:hAnsi="Palatino Linotype" w:cs="Palatino Linotype"/>
          <w:b/>
          <w:u w:val="single"/>
        </w:rPr>
      </w:pPr>
      <w:r w:rsidRPr="00EC0AA9">
        <w:rPr>
          <w:rFonts w:ascii="Palatino Linotype" w:eastAsia="Palatino Linotype" w:hAnsi="Palatino Linotype" w:cs="Palatino Linotype"/>
          <w:b/>
          <w:u w:val="single"/>
        </w:rPr>
        <w:t>Razones o motivos de inconformidad:</w:t>
      </w:r>
    </w:p>
    <w:p w14:paraId="0C852579" w14:textId="7FA781F4" w:rsidR="004E16BC" w:rsidRPr="00EC0AA9" w:rsidRDefault="000863AA" w:rsidP="00EC0AA9">
      <w:pPr>
        <w:tabs>
          <w:tab w:val="left" w:pos="709"/>
        </w:tabs>
        <w:spacing w:before="66"/>
        <w:ind w:left="850" w:right="899"/>
        <w:jc w:val="both"/>
        <w:rPr>
          <w:rFonts w:ascii="Palatino Linotype" w:eastAsia="Palatino Linotype" w:hAnsi="Palatino Linotype" w:cs="Palatino Linotype"/>
        </w:rPr>
      </w:pPr>
      <w:r w:rsidRPr="00EC0AA9">
        <w:rPr>
          <w:rFonts w:ascii="Palatino Linotype" w:eastAsia="Palatino Linotype" w:hAnsi="Palatino Linotype" w:cs="Palatino Linotype"/>
          <w:i/>
        </w:rPr>
        <w:t>“</w:t>
      </w:r>
      <w:r w:rsidR="00297A31" w:rsidRPr="00EC0AA9">
        <w:rPr>
          <w:rFonts w:ascii="Palatino Linotype" w:eastAsia="Palatino Linotype" w:hAnsi="Palatino Linotype" w:cs="Palatino Linotype"/>
          <w:i/>
        </w:rPr>
        <w:t xml:space="preserve">de la lectura de la solicitud desprende que se solicita ( Factura y Soporte documental) </w:t>
      </w:r>
      <w:r w:rsidR="00297A31" w:rsidRPr="00EC0AA9">
        <w:rPr>
          <w:rFonts w:ascii="Palatino Linotype" w:eastAsia="Palatino Linotype" w:hAnsi="Palatino Linotype" w:cs="Palatino Linotype"/>
          <w:b/>
          <w:i/>
        </w:rPr>
        <w:t>del pago de dicha factura</w:t>
      </w:r>
      <w:r w:rsidR="00297A31" w:rsidRPr="00EC0AA9">
        <w:rPr>
          <w:rFonts w:ascii="Palatino Linotype" w:eastAsia="Palatino Linotype" w:hAnsi="Palatino Linotype" w:cs="Palatino Linotype"/>
          <w:i/>
        </w:rPr>
        <w:t>. Sin embargo se omite incluir en la respuesta la demás documentación que deba de tener a la vista el tesorero para realizar el pago de dicha factura. Dichos documentos deben de acompañar la póliza y la factura para su pago, lo anterior con los Articulos 26,27 de la Ley de Contratacion Publica del estado de mexico y municipios</w:t>
      </w:r>
      <w:r w:rsidR="00A9449B" w:rsidRPr="00EC0AA9">
        <w:rPr>
          <w:rFonts w:ascii="Palatino Linotype" w:eastAsia="Palatino Linotype" w:hAnsi="Palatino Linotype" w:cs="Palatino Linotype"/>
          <w:i/>
        </w:rPr>
        <w:t>.</w:t>
      </w:r>
      <w:r w:rsidRPr="00EC0AA9">
        <w:rPr>
          <w:rFonts w:ascii="Palatino Linotype" w:eastAsia="Palatino Linotype" w:hAnsi="Palatino Linotype" w:cs="Palatino Linotype"/>
          <w:i/>
        </w:rPr>
        <w:t>” (Sic)</w:t>
      </w:r>
    </w:p>
    <w:p w14:paraId="6AFB40BC" w14:textId="77777777" w:rsidR="004E16BC" w:rsidRPr="00EC0AA9" w:rsidRDefault="004E16BC" w:rsidP="00EC0AA9">
      <w:pPr>
        <w:spacing w:line="360" w:lineRule="auto"/>
        <w:jc w:val="both"/>
        <w:rPr>
          <w:rFonts w:ascii="Palatino Linotype" w:eastAsia="Palatino Linotype" w:hAnsi="Palatino Linotype" w:cs="Palatino Linotype"/>
        </w:rPr>
      </w:pPr>
    </w:p>
    <w:p w14:paraId="53085D7C" w14:textId="3F06EECD" w:rsidR="004E16BC" w:rsidRPr="00EC0AA9" w:rsidRDefault="000863AA" w:rsidP="00EC0AA9">
      <w:pPr>
        <w:spacing w:line="360" w:lineRule="auto"/>
        <w:jc w:val="both"/>
        <w:rPr>
          <w:rFonts w:ascii="Palatino Linotype" w:eastAsia="Palatino Linotype" w:hAnsi="Palatino Linotype" w:cs="Palatino Linotype"/>
          <w:b/>
          <w:sz w:val="28"/>
        </w:rPr>
      </w:pPr>
      <w:r w:rsidRPr="00EC0AA9">
        <w:rPr>
          <w:rFonts w:ascii="Palatino Linotype" w:eastAsia="Palatino Linotype" w:hAnsi="Palatino Linotype" w:cs="Palatino Linotype"/>
          <w:b/>
          <w:sz w:val="28"/>
        </w:rPr>
        <w:t>V</w:t>
      </w:r>
      <w:r w:rsidR="00B535CA" w:rsidRPr="00EC0AA9">
        <w:rPr>
          <w:rFonts w:ascii="Palatino Linotype" w:eastAsia="Palatino Linotype" w:hAnsi="Palatino Linotype" w:cs="Palatino Linotype"/>
          <w:b/>
          <w:sz w:val="28"/>
        </w:rPr>
        <w:t>I</w:t>
      </w:r>
      <w:r w:rsidRPr="00EC0AA9">
        <w:rPr>
          <w:rFonts w:ascii="Palatino Linotype" w:eastAsia="Palatino Linotype" w:hAnsi="Palatino Linotype" w:cs="Palatino Linotype"/>
          <w:b/>
          <w:sz w:val="28"/>
        </w:rPr>
        <w:t xml:space="preserve">. Del turno del Recurso de Revisión. </w:t>
      </w:r>
    </w:p>
    <w:p w14:paraId="02F7441A" w14:textId="2E22D613" w:rsidR="004E16BC" w:rsidRPr="00EC0AA9" w:rsidRDefault="000863AA" w:rsidP="00EC0AA9">
      <w:pPr>
        <w:spacing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rPr>
        <w:t xml:space="preserve">El </w:t>
      </w:r>
      <w:r w:rsidR="00585D0C" w:rsidRPr="00EC0AA9">
        <w:rPr>
          <w:rFonts w:ascii="Palatino Linotype" w:eastAsia="Palatino Linotype" w:hAnsi="Palatino Linotype" w:cs="Palatino Linotype"/>
          <w:b/>
        </w:rPr>
        <w:t>siete</w:t>
      </w:r>
      <w:r w:rsidR="00C47E48" w:rsidRPr="00EC0AA9">
        <w:rPr>
          <w:rFonts w:ascii="Palatino Linotype" w:eastAsia="Palatino Linotype" w:hAnsi="Palatino Linotype" w:cs="Palatino Linotype"/>
          <w:b/>
        </w:rPr>
        <w:t xml:space="preserve"> de junio de dos mil veintitrés</w:t>
      </w:r>
      <w:r w:rsidRPr="00EC0AA9">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EC0AA9">
        <w:rPr>
          <w:rFonts w:ascii="Palatino Linotype" w:eastAsia="Palatino Linotype" w:hAnsi="Palatino Linotype" w:cs="Palatino Linotype"/>
          <w:b/>
        </w:rPr>
        <w:t>Comisionada Sharon Cristina Morales Martínez</w:t>
      </w:r>
      <w:r w:rsidRPr="00EC0AA9">
        <w:rPr>
          <w:rFonts w:ascii="Palatino Linotype" w:eastAsia="Palatino Linotype" w:hAnsi="Palatino Linotype" w:cs="Palatino Linotype"/>
        </w:rPr>
        <w:t>; a efecto de decretar su admisión o desechamiento.</w:t>
      </w:r>
    </w:p>
    <w:p w14:paraId="0664714A" w14:textId="77777777" w:rsidR="004E16BC" w:rsidRPr="00EC0AA9" w:rsidRDefault="000863AA" w:rsidP="00EC0AA9">
      <w:pPr>
        <w:tabs>
          <w:tab w:val="center" w:pos="4252"/>
          <w:tab w:val="right" w:pos="8504"/>
        </w:tabs>
        <w:spacing w:line="360" w:lineRule="auto"/>
        <w:jc w:val="both"/>
        <w:rPr>
          <w:rFonts w:ascii="Palatino Linotype" w:eastAsia="Palatino Linotype" w:hAnsi="Palatino Linotype" w:cs="Palatino Linotype"/>
          <w:b/>
          <w:sz w:val="28"/>
        </w:rPr>
      </w:pPr>
      <w:r w:rsidRPr="00EC0AA9">
        <w:rPr>
          <w:rFonts w:ascii="Palatino Linotype" w:eastAsia="Palatino Linotype" w:hAnsi="Palatino Linotype" w:cs="Palatino Linotype"/>
          <w:b/>
          <w:sz w:val="28"/>
        </w:rPr>
        <w:lastRenderedPageBreak/>
        <w:t>a) Admisión del Recurso de Revisión</w:t>
      </w:r>
    </w:p>
    <w:p w14:paraId="565AD316" w14:textId="745580AB" w:rsidR="004E16BC" w:rsidRPr="00EC0AA9" w:rsidRDefault="000863AA" w:rsidP="00EC0AA9">
      <w:pPr>
        <w:tabs>
          <w:tab w:val="center" w:pos="4252"/>
          <w:tab w:val="right" w:pos="8504"/>
        </w:tabs>
        <w:spacing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rPr>
        <w:t>De las constancias que obran en el expediente electrónico del</w:t>
      </w:r>
      <w:r w:rsidRPr="00EC0AA9">
        <w:rPr>
          <w:rFonts w:ascii="Palatino Linotype" w:eastAsia="Palatino Linotype" w:hAnsi="Palatino Linotype" w:cs="Palatino Linotype"/>
          <w:b/>
        </w:rPr>
        <w:t xml:space="preserve"> SAIMEX</w:t>
      </w:r>
      <w:r w:rsidRPr="00EC0AA9">
        <w:rPr>
          <w:rFonts w:ascii="Palatino Linotype" w:eastAsia="Palatino Linotype" w:hAnsi="Palatino Linotype" w:cs="Palatino Linotype"/>
        </w:rPr>
        <w:t xml:space="preserve">, relacionado con el asunto materia del presente estudio, se advierte que el </w:t>
      </w:r>
      <w:r w:rsidR="00585D0C" w:rsidRPr="00EC0AA9">
        <w:rPr>
          <w:rFonts w:ascii="Palatino Linotype" w:eastAsia="Palatino Linotype" w:hAnsi="Palatino Linotype" w:cs="Palatino Linotype"/>
          <w:b/>
        </w:rPr>
        <w:t>trece de junio de dos mil veintitrés</w:t>
      </w:r>
      <w:r w:rsidRPr="00EC0AA9">
        <w:rPr>
          <w:rFonts w:ascii="Palatino Linotype" w:eastAsia="Palatino Linotype" w:hAnsi="Palatino Linotype" w:cs="Palatino Linotype"/>
        </w:rPr>
        <w:t>, se acordó la admisión a trámite del Recurso de Revisión que nos ocupa; así como la integración del expediente respectivo, mismo que se puso a disposición de las partes, para que en un plazo máximo de siete días hábiles</w:t>
      </w:r>
      <w:r w:rsidRPr="00EC0AA9">
        <w:rPr>
          <w:rFonts w:ascii="Palatino Linotype" w:eastAsia="Palatino Linotype" w:hAnsi="Palatino Linotype" w:cs="Palatino Linotype"/>
          <w:b/>
        </w:rPr>
        <w:t xml:space="preserve"> </w:t>
      </w:r>
      <w:r w:rsidRPr="00EC0AA9">
        <w:rPr>
          <w:rFonts w:ascii="Palatino Linotype" w:eastAsia="Palatino Linotype" w:hAnsi="Palatino Linotype" w:cs="Palatino Linotype"/>
        </w:rPr>
        <w:t>al</w:t>
      </w:r>
      <w:r w:rsidRPr="00EC0AA9">
        <w:rPr>
          <w:rFonts w:ascii="Palatino Linotype" w:eastAsia="Palatino Linotype" w:hAnsi="Palatino Linotype" w:cs="Palatino Linotype"/>
          <w:b/>
        </w:rPr>
        <w:t xml:space="preserve"> RECURRENTE </w:t>
      </w:r>
      <w:r w:rsidRPr="00EC0AA9">
        <w:rPr>
          <w:rFonts w:ascii="Palatino Linotype" w:eastAsia="Palatino Linotype" w:hAnsi="Palatino Linotype" w:cs="Palatino Linotype"/>
        </w:rPr>
        <w:t xml:space="preserve">manifestara lo que a su derecho conviniera, a efecto de presentar pruebas y alegatos; así como, para que </w:t>
      </w:r>
      <w:r w:rsidRPr="00EC0AA9">
        <w:rPr>
          <w:rFonts w:ascii="Palatino Linotype" w:eastAsia="Palatino Linotype" w:hAnsi="Palatino Linotype" w:cs="Palatino Linotype"/>
          <w:b/>
        </w:rPr>
        <w:t xml:space="preserve">EL SUJETO OBLIGADO </w:t>
      </w:r>
      <w:r w:rsidRPr="00EC0AA9">
        <w:rPr>
          <w:rFonts w:ascii="Palatino Linotype" w:eastAsia="Palatino Linotype" w:hAnsi="Palatino Linotype" w:cs="Palatino Linotype"/>
        </w:rPr>
        <w:t>rindiera el correspondiente</w:t>
      </w:r>
      <w:r w:rsidRPr="00EC0AA9">
        <w:rPr>
          <w:rFonts w:ascii="Palatino Linotype" w:eastAsia="Palatino Linotype" w:hAnsi="Palatino Linotype" w:cs="Palatino Linotype"/>
          <w:b/>
        </w:rPr>
        <w:t xml:space="preserve"> </w:t>
      </w:r>
      <w:r w:rsidRPr="00EC0AA9">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7560DD76" w14:textId="77777777" w:rsidR="004E16BC" w:rsidRPr="00EC0AA9" w:rsidRDefault="004E16BC" w:rsidP="00EC0AA9">
      <w:pPr>
        <w:tabs>
          <w:tab w:val="center" w:pos="4252"/>
          <w:tab w:val="right" w:pos="8504"/>
        </w:tabs>
        <w:spacing w:line="360" w:lineRule="auto"/>
        <w:jc w:val="both"/>
        <w:rPr>
          <w:rFonts w:ascii="Palatino Linotype" w:eastAsia="Palatino Linotype" w:hAnsi="Palatino Linotype" w:cs="Palatino Linotype"/>
        </w:rPr>
      </w:pPr>
    </w:p>
    <w:p w14:paraId="201CFC58" w14:textId="77777777" w:rsidR="004E16BC" w:rsidRPr="00EC0AA9" w:rsidRDefault="000863AA" w:rsidP="00EC0AA9">
      <w:pPr>
        <w:spacing w:line="360" w:lineRule="auto"/>
        <w:jc w:val="both"/>
        <w:rPr>
          <w:rFonts w:ascii="Palatino Linotype" w:eastAsia="Palatino Linotype" w:hAnsi="Palatino Linotype" w:cs="Palatino Linotype"/>
          <w:b/>
        </w:rPr>
      </w:pPr>
      <w:r w:rsidRPr="00EC0AA9">
        <w:rPr>
          <w:rFonts w:ascii="Palatino Linotype" w:eastAsia="Palatino Linotype" w:hAnsi="Palatino Linotype" w:cs="Palatino Linotype"/>
          <w:b/>
        </w:rPr>
        <w:t>b) Informe Justificado</w:t>
      </w:r>
    </w:p>
    <w:p w14:paraId="235FFF83" w14:textId="26FC9950" w:rsidR="002C7542" w:rsidRPr="00EC0AA9" w:rsidRDefault="000863AA" w:rsidP="00EC0AA9">
      <w:pPr>
        <w:widowControl w:val="0"/>
        <w:tabs>
          <w:tab w:val="left" w:pos="0"/>
        </w:tabs>
        <w:spacing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rPr>
        <w:t xml:space="preserve">Conforme a las constancias que obran en el expediente del </w:t>
      </w:r>
      <w:r w:rsidRPr="00EC0AA9">
        <w:rPr>
          <w:rFonts w:ascii="Palatino Linotype" w:eastAsia="Palatino Linotype" w:hAnsi="Palatino Linotype" w:cs="Palatino Linotype"/>
          <w:b/>
        </w:rPr>
        <w:t>SAIMEX,</w:t>
      </w:r>
      <w:r w:rsidRPr="00EC0AA9">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w:t>
      </w:r>
      <w:r w:rsidRPr="00EC0AA9">
        <w:rPr>
          <w:rFonts w:ascii="Palatino Linotype" w:eastAsia="Palatino Linotype" w:hAnsi="Palatino Linotype" w:cs="Palatino Linotype"/>
          <w:b/>
        </w:rPr>
        <w:t xml:space="preserve"> RECURRENTE</w:t>
      </w:r>
      <w:r w:rsidRPr="00EC0AA9">
        <w:rPr>
          <w:rFonts w:ascii="Palatino Linotype" w:eastAsia="Palatino Linotype" w:hAnsi="Palatino Linotype" w:cs="Palatino Linotype"/>
        </w:rPr>
        <w:t xml:space="preserve"> </w:t>
      </w:r>
      <w:r w:rsidR="00585D0C" w:rsidRPr="00EC0AA9">
        <w:rPr>
          <w:rFonts w:ascii="Palatino Linotype" w:eastAsia="Palatino Linotype" w:hAnsi="Palatino Linotype" w:cs="Palatino Linotype"/>
        </w:rPr>
        <w:t xml:space="preserve">éste no </w:t>
      </w:r>
      <w:r w:rsidR="00545614" w:rsidRPr="00EC0AA9">
        <w:rPr>
          <w:rFonts w:ascii="Palatino Linotype" w:eastAsia="Palatino Linotype" w:hAnsi="Palatino Linotype" w:cs="Palatino Linotype"/>
        </w:rPr>
        <w:t xml:space="preserve">realizó </w:t>
      </w:r>
      <w:r w:rsidR="00C12219" w:rsidRPr="00EC0AA9">
        <w:rPr>
          <w:rFonts w:ascii="Palatino Linotype" w:eastAsia="Palatino Linotype" w:hAnsi="Palatino Linotype" w:cs="Palatino Linotype"/>
        </w:rPr>
        <w:t xml:space="preserve">sus manifestaciones mediante </w:t>
      </w:r>
      <w:r w:rsidR="00585D0C" w:rsidRPr="00EC0AA9">
        <w:rPr>
          <w:rFonts w:ascii="Palatino Linotype" w:eastAsia="Palatino Linotype" w:hAnsi="Palatino Linotype" w:cs="Palatino Linotype"/>
        </w:rPr>
        <w:t xml:space="preserve">y por </w:t>
      </w:r>
      <w:r w:rsidR="00C40111" w:rsidRPr="00EC0AA9">
        <w:rPr>
          <w:rFonts w:ascii="Palatino Linotype" w:eastAsia="Palatino Linotype" w:hAnsi="Palatino Linotype" w:cs="Palatino Linotype"/>
        </w:rPr>
        <w:t xml:space="preserve">su parte </w:t>
      </w:r>
      <w:r w:rsidRPr="00EC0AA9">
        <w:rPr>
          <w:rFonts w:ascii="Palatino Linotype" w:eastAsia="Palatino Linotype" w:hAnsi="Palatino Linotype" w:cs="Palatino Linotype"/>
          <w:b/>
        </w:rPr>
        <w:t>EL SUJETO OBLIGADO</w:t>
      </w:r>
      <w:r w:rsidRPr="00EC0AA9">
        <w:rPr>
          <w:rFonts w:ascii="Palatino Linotype" w:eastAsia="Palatino Linotype" w:hAnsi="Palatino Linotype" w:cs="Palatino Linotype"/>
        </w:rPr>
        <w:t xml:space="preserve"> </w:t>
      </w:r>
      <w:r w:rsidR="0043090E" w:rsidRPr="00EC0AA9">
        <w:rPr>
          <w:rFonts w:ascii="Palatino Linotype" w:eastAsia="Palatino Linotype" w:hAnsi="Palatino Linotype" w:cs="Palatino Linotype"/>
        </w:rPr>
        <w:t xml:space="preserve">no </w:t>
      </w:r>
      <w:r w:rsidR="00C40111" w:rsidRPr="00EC0AA9">
        <w:rPr>
          <w:rFonts w:ascii="Palatino Linotype" w:eastAsia="Palatino Linotype" w:hAnsi="Palatino Linotype" w:cs="Palatino Linotype"/>
        </w:rPr>
        <w:t xml:space="preserve">remitió informe </w:t>
      </w:r>
      <w:r w:rsidR="00545614" w:rsidRPr="00EC0AA9">
        <w:rPr>
          <w:rFonts w:ascii="Palatino Linotype" w:eastAsia="Palatino Linotype" w:hAnsi="Palatino Linotype" w:cs="Palatino Linotype"/>
        </w:rPr>
        <w:t>justificado</w:t>
      </w:r>
      <w:r w:rsidR="00585D0C" w:rsidRPr="00EC0AA9">
        <w:rPr>
          <w:rFonts w:ascii="Palatino Linotype" w:eastAsia="Palatino Linotype" w:hAnsi="Palatino Linotype" w:cs="Palatino Linotype"/>
        </w:rPr>
        <w:t xml:space="preserve"> tal como se muestra en la siguiente imagen:</w:t>
      </w:r>
    </w:p>
    <w:p w14:paraId="5F24EF48" w14:textId="15EA001C" w:rsidR="00585D0C" w:rsidRPr="00EC0AA9" w:rsidRDefault="00585D0C" w:rsidP="00EC0AA9">
      <w:pPr>
        <w:widowControl w:val="0"/>
        <w:tabs>
          <w:tab w:val="left" w:pos="0"/>
        </w:tabs>
        <w:spacing w:line="360" w:lineRule="auto"/>
        <w:jc w:val="both"/>
        <w:rPr>
          <w:rFonts w:ascii="Palatino Linotype" w:eastAsia="Palatino Linotype" w:hAnsi="Palatino Linotype" w:cs="Palatino Linotype"/>
        </w:rPr>
      </w:pPr>
      <w:r w:rsidRPr="00EC0AA9">
        <w:rPr>
          <w:noProof/>
        </w:rPr>
        <w:lastRenderedPageBreak/>
        <w:drawing>
          <wp:inline distT="0" distB="0" distL="0" distR="0" wp14:anchorId="4D12E233" wp14:editId="0E00E240">
            <wp:extent cx="5791835" cy="13944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394460"/>
                    </a:xfrm>
                    <a:prstGeom prst="rect">
                      <a:avLst/>
                    </a:prstGeom>
                  </pic:spPr>
                </pic:pic>
              </a:graphicData>
            </a:graphic>
          </wp:inline>
        </w:drawing>
      </w:r>
    </w:p>
    <w:p w14:paraId="31408CE3" w14:textId="77777777" w:rsidR="002865CC" w:rsidRPr="00EC0AA9" w:rsidRDefault="002865CC" w:rsidP="00EC0AA9">
      <w:pPr>
        <w:widowControl w:val="0"/>
        <w:tabs>
          <w:tab w:val="left" w:pos="0"/>
        </w:tabs>
        <w:spacing w:line="360" w:lineRule="auto"/>
        <w:jc w:val="both"/>
        <w:rPr>
          <w:rFonts w:ascii="Palatino Linotype" w:eastAsia="Palatino Linotype" w:hAnsi="Palatino Linotype" w:cs="Palatino Linotype"/>
        </w:rPr>
      </w:pPr>
    </w:p>
    <w:p w14:paraId="17029919" w14:textId="52F471FD" w:rsidR="004E16BC" w:rsidRPr="00EC0AA9" w:rsidRDefault="000863AA" w:rsidP="00EC0AA9">
      <w:pPr>
        <w:widowControl w:val="0"/>
        <w:tabs>
          <w:tab w:val="left" w:pos="0"/>
        </w:tabs>
        <w:spacing w:line="360" w:lineRule="auto"/>
        <w:jc w:val="both"/>
        <w:rPr>
          <w:rFonts w:ascii="Palatino Linotype" w:eastAsia="Palatino Linotype" w:hAnsi="Palatino Linotype" w:cs="Palatino Linotype"/>
          <w:b/>
        </w:rPr>
      </w:pPr>
      <w:r w:rsidRPr="00EC0AA9">
        <w:rPr>
          <w:rFonts w:ascii="Palatino Linotype" w:eastAsia="Palatino Linotype" w:hAnsi="Palatino Linotype" w:cs="Palatino Linotype"/>
        </w:rPr>
        <w:t xml:space="preserve"> </w:t>
      </w:r>
      <w:r w:rsidR="00416886" w:rsidRPr="00EC0AA9">
        <w:rPr>
          <w:rFonts w:ascii="Palatino Linotype" w:eastAsia="Palatino Linotype" w:hAnsi="Palatino Linotype" w:cs="Palatino Linotype"/>
          <w:b/>
        </w:rPr>
        <w:t>c</w:t>
      </w:r>
      <w:r w:rsidRPr="00EC0AA9">
        <w:rPr>
          <w:rFonts w:ascii="Palatino Linotype" w:eastAsia="Palatino Linotype" w:hAnsi="Palatino Linotype" w:cs="Palatino Linotype"/>
          <w:b/>
        </w:rPr>
        <w:t>) Cierre de Instrucción</w:t>
      </w:r>
    </w:p>
    <w:p w14:paraId="59B80010" w14:textId="2C48BD16" w:rsidR="004E16BC" w:rsidRPr="00EC0AA9" w:rsidRDefault="000863AA" w:rsidP="00EC0AA9">
      <w:pPr>
        <w:spacing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rPr>
        <w:t xml:space="preserve">Por lo que, una vez analizado el estado procesal que guarda el expediente, el </w:t>
      </w:r>
      <w:r w:rsidR="00B946FD" w:rsidRPr="00EC0AA9">
        <w:rPr>
          <w:rFonts w:ascii="Palatino Linotype" w:eastAsia="Palatino Linotype" w:hAnsi="Palatino Linotype" w:cs="Palatino Linotype"/>
          <w:b/>
        </w:rPr>
        <w:t xml:space="preserve">diez </w:t>
      </w:r>
      <w:r w:rsidRPr="00EC0AA9">
        <w:rPr>
          <w:rFonts w:ascii="Palatino Linotype" w:eastAsia="Palatino Linotype" w:hAnsi="Palatino Linotype" w:cs="Palatino Linotype"/>
          <w:b/>
        </w:rPr>
        <w:t xml:space="preserve">de </w:t>
      </w:r>
      <w:r w:rsidR="0043090E" w:rsidRPr="00EC0AA9">
        <w:rPr>
          <w:rFonts w:ascii="Palatino Linotype" w:eastAsia="Palatino Linotype" w:hAnsi="Palatino Linotype" w:cs="Palatino Linotype"/>
          <w:b/>
        </w:rPr>
        <w:t xml:space="preserve">agosto </w:t>
      </w:r>
      <w:r w:rsidRPr="00EC0AA9">
        <w:rPr>
          <w:rFonts w:ascii="Palatino Linotype" w:eastAsia="Palatino Linotype" w:hAnsi="Palatino Linotype" w:cs="Palatino Linotype"/>
          <w:b/>
        </w:rPr>
        <w:t xml:space="preserve">de dos mil veintitrés </w:t>
      </w:r>
      <w:r w:rsidRPr="00EC0AA9">
        <w:rPr>
          <w:rFonts w:ascii="Palatino Linotype" w:eastAsia="Palatino Linotype" w:hAnsi="Palatino Linotype" w:cs="Palatino Linotype"/>
        </w:rPr>
        <w:t xml:space="preserve">la </w:t>
      </w:r>
      <w:r w:rsidRPr="00EC0AA9">
        <w:rPr>
          <w:rFonts w:ascii="Palatino Linotype" w:eastAsia="Palatino Linotype" w:hAnsi="Palatino Linotype" w:cs="Palatino Linotype"/>
          <w:b/>
        </w:rPr>
        <w:t xml:space="preserve">Comisionada Sharon Cristina Morales Martínez </w:t>
      </w:r>
      <w:r w:rsidRPr="00EC0AA9">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EC0AA9">
        <w:rPr>
          <w:rFonts w:ascii="Palatino Linotype" w:eastAsia="Palatino Linotype" w:hAnsi="Palatino Linotype" w:cs="Palatino Linotype"/>
        </w:rPr>
        <w:t>; y,</w:t>
      </w:r>
    </w:p>
    <w:p w14:paraId="02E7578F" w14:textId="77777777" w:rsidR="004E16BC" w:rsidRPr="00EC0AA9" w:rsidRDefault="004E16BC" w:rsidP="00EC0AA9">
      <w:pPr>
        <w:rPr>
          <w:rFonts w:ascii="Palatino Linotype" w:eastAsia="Palatino Linotype" w:hAnsi="Palatino Linotype" w:cs="Palatino Linotype"/>
          <w:b/>
        </w:rPr>
      </w:pPr>
    </w:p>
    <w:p w14:paraId="0016B217" w14:textId="77777777" w:rsidR="004E16BC" w:rsidRPr="00EC0AA9" w:rsidRDefault="004E16BC" w:rsidP="00EC0AA9">
      <w:pPr>
        <w:jc w:val="center"/>
        <w:rPr>
          <w:rFonts w:ascii="Palatino Linotype" w:eastAsia="Palatino Linotype" w:hAnsi="Palatino Linotype" w:cs="Palatino Linotype"/>
          <w:b/>
        </w:rPr>
      </w:pPr>
    </w:p>
    <w:p w14:paraId="01BAC51F" w14:textId="77777777" w:rsidR="004E16BC" w:rsidRPr="00EC0AA9" w:rsidRDefault="000863AA" w:rsidP="00EC0AA9">
      <w:pPr>
        <w:jc w:val="center"/>
        <w:rPr>
          <w:rFonts w:ascii="Palatino Linotype" w:eastAsia="Palatino Linotype" w:hAnsi="Palatino Linotype" w:cs="Palatino Linotype"/>
          <w:b/>
          <w:sz w:val="28"/>
        </w:rPr>
      </w:pPr>
      <w:r w:rsidRPr="00EC0AA9">
        <w:rPr>
          <w:rFonts w:ascii="Palatino Linotype" w:eastAsia="Palatino Linotype" w:hAnsi="Palatino Linotype" w:cs="Palatino Linotype"/>
          <w:b/>
          <w:sz w:val="28"/>
        </w:rPr>
        <w:t>C</w:t>
      </w:r>
      <w:r w:rsidR="0028018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O</w:t>
      </w:r>
      <w:r w:rsidR="0028018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N</w:t>
      </w:r>
      <w:r w:rsidR="0028018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S</w:t>
      </w:r>
      <w:r w:rsidR="0028018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I</w:t>
      </w:r>
      <w:r w:rsidR="0028018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D</w:t>
      </w:r>
      <w:r w:rsidR="0028018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E</w:t>
      </w:r>
      <w:r w:rsidR="0028018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R</w:t>
      </w:r>
      <w:r w:rsidR="0028018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A</w:t>
      </w:r>
      <w:r w:rsidR="0028018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N</w:t>
      </w:r>
      <w:r w:rsidR="0028018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D</w:t>
      </w:r>
      <w:r w:rsidR="00280181" w:rsidRPr="00EC0AA9">
        <w:rPr>
          <w:rFonts w:ascii="Palatino Linotype" w:eastAsia="Palatino Linotype" w:hAnsi="Palatino Linotype" w:cs="Palatino Linotype"/>
          <w:b/>
          <w:sz w:val="28"/>
        </w:rPr>
        <w:t xml:space="preserve"> </w:t>
      </w:r>
      <w:r w:rsidRPr="00EC0AA9">
        <w:rPr>
          <w:rFonts w:ascii="Palatino Linotype" w:eastAsia="Palatino Linotype" w:hAnsi="Palatino Linotype" w:cs="Palatino Linotype"/>
          <w:b/>
          <w:sz w:val="28"/>
        </w:rPr>
        <w:t>O</w:t>
      </w:r>
    </w:p>
    <w:p w14:paraId="7528F98A" w14:textId="77777777" w:rsidR="004E16BC" w:rsidRPr="00EC0AA9" w:rsidRDefault="004E16BC" w:rsidP="00EC0AA9">
      <w:pPr>
        <w:jc w:val="center"/>
        <w:rPr>
          <w:rFonts w:ascii="Palatino Linotype" w:eastAsia="Palatino Linotype" w:hAnsi="Palatino Linotype" w:cs="Palatino Linotype"/>
          <w:b/>
          <w:sz w:val="28"/>
        </w:rPr>
      </w:pPr>
    </w:p>
    <w:p w14:paraId="3FFA16B6" w14:textId="77777777" w:rsidR="004E16BC" w:rsidRPr="00EC0AA9" w:rsidRDefault="000863AA" w:rsidP="00EC0AA9">
      <w:pPr>
        <w:widowControl w:val="0"/>
        <w:tabs>
          <w:tab w:val="left" w:pos="1701"/>
        </w:tabs>
        <w:spacing w:line="360" w:lineRule="auto"/>
        <w:jc w:val="both"/>
        <w:rPr>
          <w:rFonts w:ascii="Palatino Linotype" w:eastAsia="Palatino Linotype" w:hAnsi="Palatino Linotype" w:cs="Palatino Linotype"/>
          <w:sz w:val="28"/>
        </w:rPr>
      </w:pPr>
      <w:r w:rsidRPr="00EC0AA9">
        <w:rPr>
          <w:rFonts w:ascii="Palatino Linotype" w:eastAsia="Palatino Linotype" w:hAnsi="Palatino Linotype" w:cs="Palatino Linotype"/>
          <w:b/>
          <w:sz w:val="28"/>
        </w:rPr>
        <w:t>PRIMERO. Competencia</w:t>
      </w:r>
      <w:r w:rsidRPr="00EC0AA9">
        <w:rPr>
          <w:rFonts w:ascii="Palatino Linotype" w:eastAsia="Palatino Linotype" w:hAnsi="Palatino Linotype" w:cs="Palatino Linotype"/>
          <w:sz w:val="28"/>
        </w:rPr>
        <w:t>.</w:t>
      </w:r>
      <w:r w:rsidRPr="00EC0AA9">
        <w:rPr>
          <w:rFonts w:ascii="Palatino Linotype" w:eastAsia="Palatino Linotype" w:hAnsi="Palatino Linotype" w:cs="Palatino Linotype"/>
          <w:b/>
          <w:sz w:val="28"/>
        </w:rPr>
        <w:t xml:space="preserve"> </w:t>
      </w:r>
    </w:p>
    <w:p w14:paraId="784628BE" w14:textId="1EE62720" w:rsidR="004E16BC" w:rsidRPr="00EC0AA9" w:rsidRDefault="000863AA" w:rsidP="00EC0AA9">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sidRPr="00EC0AA9">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w:t>
      </w:r>
      <w:r w:rsidR="00EC0AA9">
        <w:rPr>
          <w:rFonts w:ascii="Palatino Linotype" w:eastAsia="Palatino Linotype" w:hAnsi="Palatino Linotype" w:cs="Palatino Linotype"/>
        </w:rPr>
        <w:t xml:space="preserve"> segundo</w:t>
      </w:r>
      <w:r w:rsidRPr="00EC0AA9">
        <w:rPr>
          <w:rFonts w:ascii="Palatino Linotype" w:eastAsia="Palatino Linotype" w:hAnsi="Palatino Linotype" w:cs="Palatino Linotype"/>
        </w:rPr>
        <w:t xml:space="preserve">, trigésimo </w:t>
      </w:r>
      <w:r w:rsidR="00EC0AA9">
        <w:rPr>
          <w:rFonts w:ascii="Palatino Linotype" w:eastAsia="Palatino Linotype" w:hAnsi="Palatino Linotype" w:cs="Palatino Linotype"/>
        </w:rPr>
        <w:t>tercero</w:t>
      </w:r>
      <w:r w:rsidRPr="00EC0AA9">
        <w:rPr>
          <w:rFonts w:ascii="Palatino Linotype" w:eastAsia="Palatino Linotype" w:hAnsi="Palatino Linotype" w:cs="Palatino Linotype"/>
        </w:rPr>
        <w:t xml:space="preserve"> y trigésimo </w:t>
      </w:r>
      <w:r w:rsidR="00EC0AA9">
        <w:rPr>
          <w:rFonts w:ascii="Palatino Linotype" w:eastAsia="Palatino Linotype" w:hAnsi="Palatino Linotype" w:cs="Palatino Linotype"/>
        </w:rPr>
        <w:t>cuarto</w:t>
      </w:r>
      <w:r w:rsidRPr="00EC0AA9">
        <w:rPr>
          <w:rFonts w:ascii="Palatino Linotype" w:eastAsia="Palatino Linotype" w:hAnsi="Palatino Linotype" w:cs="Palatino Linotype"/>
        </w:rPr>
        <w:t xml:space="preserve">, fracciones IV y V de la Constitución </w:t>
      </w:r>
      <w:r w:rsidRPr="00EC0AA9">
        <w:rPr>
          <w:rFonts w:ascii="Palatino Linotype" w:eastAsia="Palatino Linotype" w:hAnsi="Palatino Linotype" w:cs="Palatino Linotype"/>
        </w:rPr>
        <w:lastRenderedPageBreak/>
        <w:t xml:space="preserve">Política del Estado Libre y Soberano de México; 2 fracción II, 13, 29, 36, fracciones I y II, 176, 178, 179, 181 párrafo tercero y 185 de la Ley de Transparencia y Acceso a la Información Pública del Estado de México y Municipios; y 9, fracciones I y </w:t>
      </w:r>
      <w:r w:rsidR="006550A5" w:rsidRPr="00EC0AA9">
        <w:rPr>
          <w:rFonts w:ascii="Palatino Linotype" w:eastAsia="Palatino Linotype" w:hAnsi="Palatino Linotype" w:cs="Palatino Linotype"/>
        </w:rPr>
        <w:t>XXIII</w:t>
      </w:r>
      <w:r w:rsidRPr="00EC0AA9">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3695FF0E" w14:textId="77777777" w:rsidR="004E16BC" w:rsidRPr="00EC0AA9" w:rsidRDefault="004E16BC" w:rsidP="00EC0AA9">
      <w:pPr>
        <w:spacing w:line="360" w:lineRule="auto"/>
        <w:jc w:val="both"/>
        <w:rPr>
          <w:rFonts w:ascii="Palatino Linotype" w:eastAsia="Palatino Linotype" w:hAnsi="Palatino Linotype" w:cs="Palatino Linotype"/>
          <w:b/>
        </w:rPr>
      </w:pPr>
    </w:p>
    <w:p w14:paraId="336683A5" w14:textId="77777777" w:rsidR="004E16BC" w:rsidRPr="00EC0AA9" w:rsidRDefault="000863AA" w:rsidP="00EC0AA9">
      <w:pPr>
        <w:spacing w:line="360" w:lineRule="auto"/>
        <w:jc w:val="both"/>
        <w:rPr>
          <w:rFonts w:ascii="Palatino Linotype" w:eastAsia="Palatino Linotype" w:hAnsi="Palatino Linotype" w:cs="Palatino Linotype"/>
          <w:b/>
          <w:sz w:val="28"/>
        </w:rPr>
      </w:pPr>
      <w:r w:rsidRPr="00EC0AA9">
        <w:rPr>
          <w:rFonts w:ascii="Palatino Linotype" w:eastAsia="Palatino Linotype" w:hAnsi="Palatino Linotype" w:cs="Palatino Linotype"/>
          <w:b/>
          <w:sz w:val="28"/>
        </w:rPr>
        <w:t xml:space="preserve">SEGUNDO. Interés. </w:t>
      </w:r>
    </w:p>
    <w:p w14:paraId="7ED51652" w14:textId="3DE747A3" w:rsidR="004E16BC" w:rsidRPr="00EC0AA9" w:rsidRDefault="000863AA" w:rsidP="00EC0AA9">
      <w:pPr>
        <w:spacing w:line="360" w:lineRule="auto"/>
        <w:jc w:val="both"/>
        <w:rPr>
          <w:rFonts w:ascii="Palatino Linotype" w:eastAsia="Palatino Linotype" w:hAnsi="Palatino Linotype" w:cs="Palatino Linotype"/>
          <w:b/>
        </w:rPr>
      </w:pPr>
      <w:r w:rsidRPr="00EC0AA9">
        <w:rPr>
          <w:rFonts w:ascii="Palatino Linotype" w:eastAsia="Palatino Linotype" w:hAnsi="Palatino Linotype" w:cs="Palatino Linotype"/>
        </w:rPr>
        <w:t xml:space="preserve">El Recurso de Revisión materia del presente estudio fue interpuesto por parte legítima, en atención a que se presentó por </w:t>
      </w:r>
      <w:r w:rsidR="00F56B9C" w:rsidRPr="00EC0AA9">
        <w:rPr>
          <w:rFonts w:ascii="Palatino Linotype" w:eastAsia="Palatino Linotype" w:hAnsi="Palatino Linotype" w:cs="Palatino Linotype"/>
          <w:b/>
        </w:rPr>
        <w:t>EL RECURRENTE</w:t>
      </w:r>
      <w:r w:rsidRPr="00EC0AA9">
        <w:rPr>
          <w:rFonts w:ascii="Palatino Linotype" w:eastAsia="Palatino Linotype" w:hAnsi="Palatino Linotype" w:cs="Palatino Linotype"/>
          <w:b/>
        </w:rPr>
        <w:t>,</w:t>
      </w:r>
      <w:r w:rsidRPr="00EC0AA9">
        <w:rPr>
          <w:rFonts w:ascii="Palatino Linotype" w:eastAsia="Palatino Linotype" w:hAnsi="Palatino Linotype" w:cs="Palatino Linotype"/>
        </w:rPr>
        <w:t xml:space="preserve"> quien es la misma persona que formuló la solicitud de acceso a la información pública al </w:t>
      </w:r>
      <w:r w:rsidRPr="00EC0AA9">
        <w:rPr>
          <w:rFonts w:ascii="Palatino Linotype" w:eastAsia="Palatino Linotype" w:hAnsi="Palatino Linotype" w:cs="Palatino Linotype"/>
          <w:b/>
        </w:rPr>
        <w:t xml:space="preserve">SUJETO OBLIGADO, </w:t>
      </w:r>
      <w:r w:rsidRPr="00EC0AA9">
        <w:rPr>
          <w:rFonts w:ascii="Palatino Linotype" w:eastAsia="Palatino Linotype" w:hAnsi="Palatino Linotype" w:cs="Palatino Linotype"/>
        </w:rPr>
        <w:t xml:space="preserve">pues para ello, es necesario que el particular ingrese al </w:t>
      </w:r>
      <w:r w:rsidRPr="00EC0AA9">
        <w:rPr>
          <w:rFonts w:ascii="Palatino Linotype" w:eastAsia="Palatino Linotype" w:hAnsi="Palatino Linotype" w:cs="Palatino Linotype"/>
          <w:b/>
        </w:rPr>
        <w:t xml:space="preserve">SAIMEX </w:t>
      </w:r>
      <w:r w:rsidRPr="00EC0AA9">
        <w:rPr>
          <w:rFonts w:ascii="Palatino Linotype" w:eastAsia="Palatino Linotype" w:hAnsi="Palatino Linotype" w:cs="Palatino Linotype"/>
        </w:rPr>
        <w:t>mediante la utilización de su clave de usuario y contraseña.</w:t>
      </w:r>
    </w:p>
    <w:p w14:paraId="4FC64FA2" w14:textId="77777777" w:rsidR="004E16BC" w:rsidRPr="00EC0AA9" w:rsidRDefault="004E16BC" w:rsidP="00EC0AA9">
      <w:pPr>
        <w:tabs>
          <w:tab w:val="center" w:pos="4252"/>
          <w:tab w:val="right" w:pos="8504"/>
        </w:tabs>
        <w:spacing w:line="360" w:lineRule="auto"/>
        <w:ind w:left="-57"/>
        <w:jc w:val="both"/>
        <w:rPr>
          <w:rFonts w:ascii="Palatino Linotype" w:eastAsia="Palatino Linotype" w:hAnsi="Palatino Linotype" w:cs="Palatino Linotype"/>
          <w:b/>
        </w:rPr>
      </w:pPr>
    </w:p>
    <w:p w14:paraId="05E9DFD5" w14:textId="77777777" w:rsidR="004E16BC" w:rsidRPr="00EC0AA9" w:rsidRDefault="000863AA" w:rsidP="00EC0AA9">
      <w:pPr>
        <w:tabs>
          <w:tab w:val="center" w:pos="4252"/>
          <w:tab w:val="right" w:pos="8504"/>
        </w:tabs>
        <w:spacing w:line="360" w:lineRule="auto"/>
        <w:ind w:left="-57"/>
        <w:jc w:val="both"/>
        <w:rPr>
          <w:rFonts w:ascii="Palatino Linotype" w:eastAsia="Palatino Linotype" w:hAnsi="Palatino Linotype" w:cs="Palatino Linotype"/>
          <w:sz w:val="28"/>
        </w:rPr>
      </w:pPr>
      <w:r w:rsidRPr="00EC0AA9">
        <w:rPr>
          <w:rFonts w:ascii="Palatino Linotype" w:eastAsia="Palatino Linotype" w:hAnsi="Palatino Linotype" w:cs="Palatino Linotype"/>
          <w:b/>
          <w:sz w:val="28"/>
        </w:rPr>
        <w:t>TERCERO.</w:t>
      </w:r>
      <w:r w:rsidRPr="00EC0AA9">
        <w:rPr>
          <w:rFonts w:ascii="Palatino Linotype" w:eastAsia="Palatino Linotype" w:hAnsi="Palatino Linotype" w:cs="Palatino Linotype"/>
          <w:sz w:val="28"/>
        </w:rPr>
        <w:t xml:space="preserve"> </w:t>
      </w:r>
      <w:r w:rsidRPr="00EC0AA9">
        <w:rPr>
          <w:rFonts w:ascii="Palatino Linotype" w:eastAsia="Palatino Linotype" w:hAnsi="Palatino Linotype" w:cs="Palatino Linotype"/>
          <w:b/>
          <w:sz w:val="28"/>
        </w:rPr>
        <w:t>Oportunidad</w:t>
      </w:r>
      <w:r w:rsidRPr="00EC0AA9">
        <w:rPr>
          <w:rFonts w:ascii="Palatino Linotype" w:eastAsia="Palatino Linotype" w:hAnsi="Palatino Linotype" w:cs="Palatino Linotype"/>
          <w:sz w:val="28"/>
        </w:rPr>
        <w:t xml:space="preserve">. </w:t>
      </w:r>
    </w:p>
    <w:p w14:paraId="783CAA05" w14:textId="5096123E" w:rsidR="004E16BC" w:rsidRPr="00EC0AA9" w:rsidRDefault="000863AA" w:rsidP="00EC0AA9">
      <w:pPr>
        <w:widowControl w:val="0"/>
        <w:tabs>
          <w:tab w:val="left" w:pos="1701"/>
        </w:tabs>
        <w:spacing w:line="360" w:lineRule="auto"/>
        <w:ind w:right="49"/>
        <w:jc w:val="both"/>
        <w:rPr>
          <w:rFonts w:ascii="Palatino Linotype" w:eastAsia="Palatino Linotype" w:hAnsi="Palatino Linotype" w:cs="Palatino Linotype"/>
          <w:b/>
        </w:rPr>
      </w:pPr>
      <w:r w:rsidRPr="00EC0AA9">
        <w:rPr>
          <w:rFonts w:ascii="Palatino Linotype" w:eastAsia="Palatino Linotype" w:hAnsi="Palatino Linotype" w:cs="Palatino Linotype"/>
        </w:rPr>
        <w:t xml:space="preserve">El Recurso de Revisión fue interpuesto dentro del plazo de quince días hábiles, contados a partir del día siguiente al que </w:t>
      </w:r>
      <w:r w:rsidR="00F56B9C" w:rsidRPr="00EC0AA9">
        <w:rPr>
          <w:rFonts w:ascii="Palatino Linotype" w:eastAsia="Palatino Linotype" w:hAnsi="Palatino Linotype" w:cs="Palatino Linotype"/>
          <w:b/>
        </w:rPr>
        <w:t>EL RECURRENTE</w:t>
      </w:r>
      <w:r w:rsidRPr="00EC0AA9">
        <w:rPr>
          <w:rFonts w:ascii="Palatino Linotype" w:eastAsia="Palatino Linotype" w:hAnsi="Palatino Linotype" w:cs="Palatino Linotype"/>
          <w:b/>
        </w:rPr>
        <w:t xml:space="preserve"> </w:t>
      </w:r>
      <w:r w:rsidRPr="00EC0AA9">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A537222" w14:textId="77777777" w:rsidR="004E16BC" w:rsidRPr="00EC0AA9" w:rsidRDefault="004E16BC" w:rsidP="00EC0AA9">
      <w:pPr>
        <w:ind w:left="720" w:right="709"/>
        <w:jc w:val="both"/>
        <w:rPr>
          <w:rFonts w:ascii="Palatino Linotype" w:eastAsia="Palatino Linotype" w:hAnsi="Palatino Linotype" w:cs="Palatino Linotype"/>
          <w:i/>
        </w:rPr>
      </w:pPr>
    </w:p>
    <w:p w14:paraId="7E4E66FA" w14:textId="77777777" w:rsidR="004E16BC" w:rsidRPr="00EC0AA9" w:rsidRDefault="000863AA" w:rsidP="00EC0AA9">
      <w:pPr>
        <w:ind w:left="851" w:right="899"/>
        <w:jc w:val="both"/>
        <w:rPr>
          <w:rFonts w:ascii="Palatino Linotype" w:eastAsia="Palatino Linotype" w:hAnsi="Palatino Linotype" w:cs="Palatino Linotype"/>
          <w:i/>
        </w:rPr>
      </w:pPr>
      <w:r w:rsidRPr="00EC0AA9">
        <w:rPr>
          <w:rFonts w:ascii="Palatino Linotype" w:eastAsia="Palatino Linotype" w:hAnsi="Palatino Linotype" w:cs="Palatino Linotype"/>
          <w:i/>
        </w:rPr>
        <w:t>“</w:t>
      </w:r>
      <w:r w:rsidRPr="00EC0AA9">
        <w:rPr>
          <w:rFonts w:ascii="Palatino Linotype" w:eastAsia="Palatino Linotype" w:hAnsi="Palatino Linotype" w:cs="Palatino Linotype"/>
          <w:b/>
          <w:i/>
        </w:rPr>
        <w:t>Artículo 178.</w:t>
      </w:r>
      <w:r w:rsidRPr="00EC0AA9">
        <w:rPr>
          <w:rFonts w:ascii="Palatino Linotype" w:eastAsia="Palatino Linotype" w:hAnsi="Palatino Linotype" w:cs="Palatino Linotype"/>
          <w:i/>
        </w:rPr>
        <w:t xml:space="preserve"> El solicitante podrá interponer, por sí mismo o a través de su representante, de manera directa o por medios electrónicos, Recurso de Revisión ante el Instituto o ante la Unidad de Transparencia que haya </w:t>
      </w:r>
      <w:r w:rsidRPr="00EC0AA9">
        <w:rPr>
          <w:rFonts w:ascii="Palatino Linotype" w:eastAsia="Palatino Linotype" w:hAnsi="Palatino Linotype" w:cs="Palatino Linotype"/>
          <w:i/>
        </w:rPr>
        <w:lastRenderedPageBreak/>
        <w:t>conocido de la solicitud dentro de los quince días hábiles, siguientes a la fecha de la notificación de la respuesta.</w:t>
      </w:r>
    </w:p>
    <w:p w14:paraId="20D182DA" w14:textId="77777777" w:rsidR="004E16BC" w:rsidRPr="00EC0AA9" w:rsidRDefault="004E16BC" w:rsidP="00EC0AA9">
      <w:pPr>
        <w:ind w:left="851" w:right="899"/>
        <w:jc w:val="both"/>
        <w:rPr>
          <w:rFonts w:ascii="Palatino Linotype" w:eastAsia="Palatino Linotype" w:hAnsi="Palatino Linotype" w:cs="Palatino Linotype"/>
          <w:i/>
        </w:rPr>
      </w:pPr>
    </w:p>
    <w:p w14:paraId="2095ACC1" w14:textId="77777777" w:rsidR="004E16BC" w:rsidRPr="00EC0AA9" w:rsidRDefault="000863AA" w:rsidP="00EC0AA9">
      <w:pPr>
        <w:ind w:left="851" w:right="899"/>
        <w:jc w:val="both"/>
        <w:rPr>
          <w:rFonts w:ascii="Palatino Linotype" w:eastAsia="Palatino Linotype" w:hAnsi="Palatino Linotype" w:cs="Palatino Linotype"/>
          <w:i/>
        </w:rPr>
      </w:pPr>
      <w:r w:rsidRPr="00EC0AA9">
        <w:rPr>
          <w:rFonts w:ascii="Palatino Linotype" w:eastAsia="Palatino Linotype" w:hAnsi="Palatino Linotype" w:cs="Palatino Linotype"/>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9112D80" w14:textId="77777777" w:rsidR="004E16BC" w:rsidRPr="00EC0AA9" w:rsidRDefault="004E16BC" w:rsidP="00EC0AA9">
      <w:pPr>
        <w:ind w:left="851" w:right="899"/>
        <w:jc w:val="both"/>
        <w:rPr>
          <w:rFonts w:ascii="Palatino Linotype" w:eastAsia="Palatino Linotype" w:hAnsi="Palatino Linotype" w:cs="Palatino Linotype"/>
          <w:i/>
        </w:rPr>
      </w:pPr>
    </w:p>
    <w:p w14:paraId="130B429F" w14:textId="77777777" w:rsidR="004E16BC" w:rsidRPr="00EC0AA9" w:rsidRDefault="000863AA" w:rsidP="00EC0AA9">
      <w:pPr>
        <w:ind w:left="851" w:right="899"/>
        <w:jc w:val="both"/>
        <w:rPr>
          <w:rFonts w:ascii="Palatino Linotype" w:eastAsia="Palatino Linotype" w:hAnsi="Palatino Linotype" w:cs="Palatino Linotype"/>
          <w:i/>
        </w:rPr>
      </w:pPr>
      <w:r w:rsidRPr="00EC0AA9">
        <w:rPr>
          <w:rFonts w:ascii="Palatino Linotype" w:eastAsia="Palatino Linotype" w:hAnsi="Palatino Linotype" w:cs="Palatino Linotype"/>
          <w:i/>
        </w:rPr>
        <w:t>En el caso de que se interponga ante la Unidad de Transparencia, ésta deberá remitir el Recurso de Revisión al Instituto a más tardar al día siguiente de haberlo recibido.”</w:t>
      </w:r>
    </w:p>
    <w:p w14:paraId="32078D4D" w14:textId="77777777" w:rsidR="004E16BC" w:rsidRPr="00EC0AA9" w:rsidRDefault="004E16BC" w:rsidP="00EC0AA9">
      <w:pPr>
        <w:ind w:left="720" w:right="709"/>
        <w:jc w:val="both"/>
        <w:rPr>
          <w:rFonts w:ascii="Palatino Linotype" w:eastAsia="Palatino Linotype" w:hAnsi="Palatino Linotype" w:cs="Palatino Linotype"/>
          <w:i/>
        </w:rPr>
      </w:pPr>
    </w:p>
    <w:p w14:paraId="66C49E02" w14:textId="7BA8E481" w:rsidR="004E16BC" w:rsidRPr="00EC0AA9" w:rsidRDefault="000863AA" w:rsidP="00EC0AA9">
      <w:pPr>
        <w:spacing w:line="360" w:lineRule="auto"/>
        <w:jc w:val="both"/>
        <w:rPr>
          <w:rFonts w:ascii="Palatino Linotype" w:eastAsia="Palatino Linotype" w:hAnsi="Palatino Linotype" w:cs="Palatino Linotype"/>
        </w:rPr>
      </w:pPr>
      <w:bookmarkStart w:id="3" w:name="_heading=h.2et92p0" w:colFirst="0" w:colLast="0"/>
      <w:bookmarkEnd w:id="3"/>
      <w:r w:rsidRPr="00EC0AA9">
        <w:rPr>
          <w:rFonts w:ascii="Palatino Linotype" w:eastAsia="Palatino Linotype" w:hAnsi="Palatino Linotype" w:cs="Palatino Linotype"/>
        </w:rPr>
        <w:t xml:space="preserve">En esa tesitura, atendiendo a que </w:t>
      </w:r>
      <w:r w:rsidRPr="00EC0AA9">
        <w:rPr>
          <w:rFonts w:ascii="Palatino Linotype" w:eastAsia="Palatino Linotype" w:hAnsi="Palatino Linotype" w:cs="Palatino Linotype"/>
          <w:b/>
        </w:rPr>
        <w:t>EL SUJETO OBLIGADO</w:t>
      </w:r>
      <w:r w:rsidRPr="00EC0AA9">
        <w:rPr>
          <w:rFonts w:ascii="Palatino Linotype" w:eastAsia="Palatino Linotype" w:hAnsi="Palatino Linotype" w:cs="Palatino Linotype"/>
        </w:rPr>
        <w:t xml:space="preserve"> notificó la respuesta a la solicitud de acceso a la información pública el </w:t>
      </w:r>
      <w:r w:rsidR="005D4BEE" w:rsidRPr="00EC0AA9">
        <w:rPr>
          <w:rFonts w:ascii="Palatino Linotype" w:eastAsia="Palatino Linotype" w:hAnsi="Palatino Linotype" w:cs="Palatino Linotype"/>
          <w:b/>
        </w:rPr>
        <w:t>seis</w:t>
      </w:r>
      <w:r w:rsidRPr="00EC0AA9">
        <w:rPr>
          <w:rFonts w:ascii="Palatino Linotype" w:eastAsia="Palatino Linotype" w:hAnsi="Palatino Linotype" w:cs="Palatino Linotype"/>
          <w:b/>
        </w:rPr>
        <w:t xml:space="preserve"> de </w:t>
      </w:r>
      <w:r w:rsidR="00416886" w:rsidRPr="00EC0AA9">
        <w:rPr>
          <w:rFonts w:ascii="Palatino Linotype" w:eastAsia="Palatino Linotype" w:hAnsi="Palatino Linotype" w:cs="Palatino Linotype"/>
          <w:b/>
        </w:rPr>
        <w:t xml:space="preserve">junio </w:t>
      </w:r>
      <w:r w:rsidRPr="00EC0AA9">
        <w:rPr>
          <w:rFonts w:ascii="Palatino Linotype" w:eastAsia="Palatino Linotype" w:hAnsi="Palatino Linotype" w:cs="Palatino Linotype"/>
          <w:b/>
        </w:rPr>
        <w:t xml:space="preserve">de dos mil </w:t>
      </w:r>
      <w:r w:rsidR="006550A5" w:rsidRPr="00EC0AA9">
        <w:rPr>
          <w:rFonts w:ascii="Palatino Linotype" w:eastAsia="Palatino Linotype" w:hAnsi="Palatino Linotype" w:cs="Palatino Linotype"/>
          <w:b/>
        </w:rPr>
        <w:t>veintitrés</w:t>
      </w:r>
      <w:r w:rsidRPr="00EC0AA9">
        <w:rPr>
          <w:rFonts w:ascii="Palatino Linotype" w:eastAsia="Palatino Linotype" w:hAnsi="Palatino Linotype" w:cs="Palatino Linotype"/>
        </w:rPr>
        <w:t>, así el plazo de quince días hábiles que el artículo 178 de la Ley de la materia otorga a</w:t>
      </w:r>
      <w:r w:rsidRPr="00EC0AA9">
        <w:rPr>
          <w:rFonts w:ascii="Palatino Linotype" w:eastAsia="Palatino Linotype" w:hAnsi="Palatino Linotype" w:cs="Palatino Linotype"/>
          <w:b/>
        </w:rPr>
        <w:t xml:space="preserve"> </w:t>
      </w:r>
      <w:r w:rsidR="00F56B9C" w:rsidRPr="00EC0AA9">
        <w:rPr>
          <w:rFonts w:ascii="Palatino Linotype" w:eastAsia="Palatino Linotype" w:hAnsi="Palatino Linotype" w:cs="Palatino Linotype"/>
          <w:b/>
        </w:rPr>
        <w:t>EL RECURRENTE</w:t>
      </w:r>
      <w:r w:rsidRPr="00EC0AA9">
        <w:rPr>
          <w:rFonts w:ascii="Palatino Linotype" w:eastAsia="Palatino Linotype" w:hAnsi="Palatino Linotype" w:cs="Palatino Linotype"/>
        </w:rPr>
        <w:t xml:space="preserve"> para presentar el respectivo Recurso de Revisión, transcurrió del</w:t>
      </w:r>
      <w:r w:rsidRPr="00EC0AA9">
        <w:rPr>
          <w:rFonts w:ascii="Palatino Linotype" w:eastAsia="Palatino Linotype" w:hAnsi="Palatino Linotype" w:cs="Palatino Linotype"/>
          <w:b/>
        </w:rPr>
        <w:t xml:space="preserve"> </w:t>
      </w:r>
      <w:r w:rsidR="005D4BEE" w:rsidRPr="00EC0AA9">
        <w:rPr>
          <w:rFonts w:ascii="Palatino Linotype" w:eastAsia="Palatino Linotype" w:hAnsi="Palatino Linotype" w:cs="Palatino Linotype"/>
          <w:b/>
        </w:rPr>
        <w:t xml:space="preserve">siete al </w:t>
      </w:r>
      <w:r w:rsidR="002F0CE9" w:rsidRPr="00EC0AA9">
        <w:rPr>
          <w:rFonts w:ascii="Palatino Linotype" w:eastAsia="Palatino Linotype" w:hAnsi="Palatino Linotype" w:cs="Palatino Linotype"/>
          <w:b/>
        </w:rPr>
        <w:t>veinti</w:t>
      </w:r>
      <w:r w:rsidR="005D4BEE" w:rsidRPr="00EC0AA9">
        <w:rPr>
          <w:rFonts w:ascii="Palatino Linotype" w:eastAsia="Palatino Linotype" w:hAnsi="Palatino Linotype" w:cs="Palatino Linotype"/>
          <w:b/>
        </w:rPr>
        <w:t xml:space="preserve">siete </w:t>
      </w:r>
      <w:r w:rsidR="00530A09" w:rsidRPr="00EC0AA9">
        <w:rPr>
          <w:rFonts w:ascii="Palatino Linotype" w:eastAsia="Palatino Linotype" w:hAnsi="Palatino Linotype" w:cs="Palatino Linotype"/>
          <w:b/>
        </w:rPr>
        <w:t>de junio</w:t>
      </w:r>
      <w:r w:rsidR="002F0CE9" w:rsidRPr="00EC0AA9">
        <w:rPr>
          <w:rFonts w:ascii="Palatino Linotype" w:eastAsia="Palatino Linotype" w:hAnsi="Palatino Linotype" w:cs="Palatino Linotype"/>
          <w:b/>
        </w:rPr>
        <w:t xml:space="preserve"> </w:t>
      </w:r>
      <w:r w:rsidR="006550A5" w:rsidRPr="00EC0AA9">
        <w:rPr>
          <w:rFonts w:ascii="Palatino Linotype" w:eastAsia="Palatino Linotype" w:hAnsi="Palatino Linotype" w:cs="Palatino Linotype"/>
          <w:b/>
        </w:rPr>
        <w:t>de dos mil veintitrés</w:t>
      </w:r>
      <w:r w:rsidRPr="00EC0AA9">
        <w:rPr>
          <w:rFonts w:ascii="Palatino Linotype" w:eastAsia="Palatino Linotype" w:hAnsi="Palatino Linotype" w:cs="Palatino Linotype"/>
          <w:b/>
        </w:rPr>
        <w:t xml:space="preserve">, </w:t>
      </w:r>
      <w:r w:rsidRPr="00EC0AA9">
        <w:rPr>
          <w:rFonts w:ascii="Palatino Linotype" w:eastAsia="Palatino Linotype" w:hAnsi="Palatino Linotype" w:cs="Palatino Linotype"/>
        </w:rPr>
        <w:t xml:space="preserve">sin contemplar en el cómputo los días </w:t>
      </w:r>
      <w:r w:rsidR="00643A05" w:rsidRPr="00EC0AA9">
        <w:rPr>
          <w:rFonts w:ascii="Palatino Linotype" w:eastAsia="Palatino Linotype" w:hAnsi="Palatino Linotype" w:cs="Palatino Linotype"/>
        </w:rPr>
        <w:t xml:space="preserve">diez, once, diecisiete, dieciocho, veinticuatro y veinticinco </w:t>
      </w:r>
      <w:r w:rsidR="006872DA" w:rsidRPr="00EC0AA9">
        <w:rPr>
          <w:rFonts w:ascii="Palatino Linotype" w:eastAsia="Palatino Linotype" w:hAnsi="Palatino Linotype" w:cs="Palatino Linotype"/>
        </w:rPr>
        <w:t xml:space="preserve">de junio de dos mil veintitrés; </w:t>
      </w:r>
      <w:r w:rsidRPr="00EC0AA9">
        <w:rPr>
          <w:rFonts w:ascii="Palatino Linotype" w:eastAsia="Palatino Linotype" w:hAnsi="Palatino Linotype" w:cs="Palatino Linotype"/>
        </w:rPr>
        <w:t>por corresponder a sábados y domingos, considerados como días inhábiles, en términos del artículo 3, fracción X de la Ley de Transparencia y Acceso a la Información Pública del Estado de México y Municipios.</w:t>
      </w:r>
    </w:p>
    <w:p w14:paraId="1FEEA72B" w14:textId="77777777" w:rsidR="006550A5" w:rsidRPr="00EC0AA9" w:rsidRDefault="006550A5" w:rsidP="00EC0AA9">
      <w:pPr>
        <w:spacing w:line="360" w:lineRule="auto"/>
        <w:jc w:val="both"/>
        <w:rPr>
          <w:rFonts w:ascii="Palatino Linotype" w:eastAsia="Palatino Linotype" w:hAnsi="Palatino Linotype" w:cs="Palatino Linotype"/>
        </w:rPr>
      </w:pPr>
    </w:p>
    <w:p w14:paraId="218FDA70" w14:textId="01867187" w:rsidR="004E16BC" w:rsidRPr="00EC0AA9" w:rsidRDefault="000863AA" w:rsidP="00EC0AA9">
      <w:pPr>
        <w:spacing w:line="360" w:lineRule="auto"/>
        <w:jc w:val="both"/>
        <w:rPr>
          <w:rFonts w:ascii="Palatino Linotype" w:eastAsia="Palatino Linotype" w:hAnsi="Palatino Linotype" w:cs="Palatino Linotype"/>
        </w:rPr>
      </w:pPr>
      <w:bookmarkStart w:id="4" w:name="_heading=h.umr0zfczji45" w:colFirst="0" w:colLast="0"/>
      <w:bookmarkStart w:id="5" w:name="_heading=h.1j5r03d45pmh" w:colFirst="0" w:colLast="0"/>
      <w:bookmarkStart w:id="6" w:name="_heading=h.5rr2st44stcm" w:colFirst="0" w:colLast="0"/>
      <w:bookmarkEnd w:id="4"/>
      <w:bookmarkEnd w:id="5"/>
      <w:bookmarkEnd w:id="6"/>
      <w:r w:rsidRPr="00EC0AA9">
        <w:rPr>
          <w:rFonts w:ascii="Palatino Linotype" w:eastAsia="Palatino Linotype" w:hAnsi="Palatino Linotype" w:cs="Palatino Linotype"/>
        </w:rPr>
        <w:t xml:space="preserve">En ese tenor, se advierte que </w:t>
      </w:r>
      <w:r w:rsidR="00C42EEC" w:rsidRPr="00EC0AA9">
        <w:rPr>
          <w:rFonts w:ascii="Palatino Linotype" w:eastAsia="Palatino Linotype" w:hAnsi="Palatino Linotype" w:cs="Palatino Linotype"/>
          <w:b/>
        </w:rPr>
        <w:t>EL</w:t>
      </w:r>
      <w:r w:rsidR="00216C09" w:rsidRPr="00EC0AA9">
        <w:rPr>
          <w:rFonts w:ascii="Palatino Linotype" w:eastAsia="Palatino Linotype" w:hAnsi="Palatino Linotype" w:cs="Palatino Linotype"/>
          <w:b/>
        </w:rPr>
        <w:t xml:space="preserve"> RECURRENTE</w:t>
      </w:r>
      <w:r w:rsidRPr="00EC0AA9">
        <w:rPr>
          <w:rFonts w:ascii="Palatino Linotype" w:eastAsia="Palatino Linotype" w:hAnsi="Palatino Linotype" w:cs="Palatino Linotype"/>
        </w:rPr>
        <w:t xml:space="preserve"> presentó el medio de impugnación al rubro anotado el </w:t>
      </w:r>
      <w:r w:rsidR="00C03872" w:rsidRPr="00EC0AA9">
        <w:rPr>
          <w:rFonts w:ascii="Palatino Linotype" w:eastAsia="Palatino Linotype" w:hAnsi="Palatino Linotype" w:cs="Palatino Linotype"/>
          <w:b/>
        </w:rPr>
        <w:t>siete</w:t>
      </w:r>
      <w:r w:rsidR="00280181" w:rsidRPr="00EC0AA9">
        <w:rPr>
          <w:rFonts w:ascii="Palatino Linotype" w:eastAsia="Palatino Linotype" w:hAnsi="Palatino Linotype" w:cs="Palatino Linotype"/>
          <w:b/>
        </w:rPr>
        <w:t xml:space="preserve"> de </w:t>
      </w:r>
      <w:r w:rsidR="00C42EEC" w:rsidRPr="00EC0AA9">
        <w:rPr>
          <w:rFonts w:ascii="Palatino Linotype" w:eastAsia="Palatino Linotype" w:hAnsi="Palatino Linotype" w:cs="Palatino Linotype"/>
          <w:b/>
        </w:rPr>
        <w:t>junio</w:t>
      </w:r>
      <w:r w:rsidR="00280181" w:rsidRPr="00EC0AA9">
        <w:rPr>
          <w:rFonts w:ascii="Palatino Linotype" w:eastAsia="Palatino Linotype" w:hAnsi="Palatino Linotype" w:cs="Palatino Linotype"/>
          <w:b/>
        </w:rPr>
        <w:t xml:space="preserve"> de dos mi veintitrés</w:t>
      </w:r>
      <w:r w:rsidR="00280181" w:rsidRPr="00EC0AA9">
        <w:rPr>
          <w:rFonts w:ascii="Palatino Linotype" w:eastAsia="Palatino Linotype" w:hAnsi="Palatino Linotype" w:cs="Palatino Linotype"/>
        </w:rPr>
        <w:t xml:space="preserve">, </w:t>
      </w:r>
      <w:r w:rsidR="00C42EEC" w:rsidRPr="00EC0AA9">
        <w:rPr>
          <w:rFonts w:ascii="Palatino Linotype" w:eastAsia="Palatino Linotype" w:hAnsi="Palatino Linotype" w:cs="Palatino Linotype"/>
        </w:rPr>
        <w:t xml:space="preserve">por tanto </w:t>
      </w:r>
      <w:r w:rsidRPr="00EC0AA9">
        <w:rPr>
          <w:rFonts w:ascii="Palatino Linotype" w:eastAsia="Palatino Linotype" w:hAnsi="Palatino Linotype" w:cs="Palatino Linotype"/>
        </w:rPr>
        <w:t xml:space="preserve">su interposición se considera oportuna. </w:t>
      </w:r>
    </w:p>
    <w:p w14:paraId="26BBCEE9" w14:textId="77777777" w:rsidR="004E16BC" w:rsidRPr="00EC0AA9" w:rsidRDefault="004E16BC" w:rsidP="00EC0AA9">
      <w:pPr>
        <w:spacing w:line="360" w:lineRule="auto"/>
        <w:ind w:right="49"/>
        <w:jc w:val="both"/>
        <w:rPr>
          <w:rFonts w:ascii="Palatino Linotype" w:eastAsia="Palatino Linotype" w:hAnsi="Palatino Linotype" w:cs="Palatino Linotype"/>
          <w:b/>
        </w:rPr>
      </w:pPr>
    </w:p>
    <w:p w14:paraId="0DFD7A6B" w14:textId="77777777" w:rsidR="004E16BC" w:rsidRPr="00EC0AA9" w:rsidRDefault="000863AA" w:rsidP="00EC0AA9">
      <w:pPr>
        <w:spacing w:line="360" w:lineRule="auto"/>
        <w:ind w:right="49"/>
        <w:jc w:val="both"/>
        <w:rPr>
          <w:rFonts w:ascii="Palatino Linotype" w:eastAsia="Palatino Linotype" w:hAnsi="Palatino Linotype" w:cs="Palatino Linotype"/>
          <w:b/>
          <w:sz w:val="28"/>
        </w:rPr>
      </w:pPr>
      <w:r w:rsidRPr="00EC0AA9">
        <w:rPr>
          <w:rFonts w:ascii="Palatino Linotype" w:eastAsia="Palatino Linotype" w:hAnsi="Palatino Linotype" w:cs="Palatino Linotype"/>
          <w:b/>
          <w:sz w:val="28"/>
        </w:rPr>
        <w:lastRenderedPageBreak/>
        <w:t xml:space="preserve">CUARTO. Procedibilidad. </w:t>
      </w:r>
    </w:p>
    <w:p w14:paraId="146B6626" w14:textId="77777777" w:rsidR="00CC01FD" w:rsidRPr="00EC0AA9" w:rsidRDefault="00CC01FD" w:rsidP="00EC0AA9">
      <w:pPr>
        <w:autoSpaceDE w:val="0"/>
        <w:autoSpaceDN w:val="0"/>
        <w:adjustRightInd w:val="0"/>
        <w:spacing w:line="360" w:lineRule="auto"/>
        <w:ind w:right="49"/>
        <w:jc w:val="both"/>
        <w:rPr>
          <w:rFonts w:ascii="Palatino Linotype" w:hAnsi="Palatino Linotype" w:cs="Arial"/>
          <w:lang w:val="es-ES"/>
        </w:rPr>
      </w:pPr>
      <w:r w:rsidRPr="00EC0AA9">
        <w:rPr>
          <w:rFonts w:ascii="Palatino Linotype" w:hAnsi="Palatino Linotype" w:cs="Arial"/>
          <w:lang w:val="es-ES"/>
        </w:rPr>
        <w:t xml:space="preserve">Este Órgano Garante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773A8124" w14:textId="77777777" w:rsidR="00CC01FD" w:rsidRPr="00EC0AA9" w:rsidRDefault="00CC01FD" w:rsidP="00EC0AA9">
      <w:pPr>
        <w:autoSpaceDE w:val="0"/>
        <w:autoSpaceDN w:val="0"/>
        <w:adjustRightInd w:val="0"/>
        <w:spacing w:line="360" w:lineRule="auto"/>
        <w:ind w:right="49"/>
        <w:jc w:val="both"/>
        <w:rPr>
          <w:rFonts w:ascii="Palatino Linotype" w:hAnsi="Palatino Linotype" w:cs="Arial"/>
          <w:lang w:val="es-ES"/>
        </w:rPr>
      </w:pPr>
    </w:p>
    <w:p w14:paraId="1A792AE8" w14:textId="77777777" w:rsidR="00CC01FD" w:rsidRPr="00EC0AA9" w:rsidRDefault="00CC01FD" w:rsidP="00EC0AA9">
      <w:pPr>
        <w:tabs>
          <w:tab w:val="left" w:pos="851"/>
        </w:tabs>
        <w:spacing w:line="360" w:lineRule="auto"/>
        <w:ind w:left="851" w:right="901"/>
        <w:jc w:val="both"/>
        <w:rPr>
          <w:rFonts w:ascii="Palatino Linotype" w:hAnsi="Palatino Linotype"/>
          <w:b/>
          <w:i/>
          <w:lang w:val="es-ES"/>
        </w:rPr>
      </w:pPr>
      <w:r w:rsidRPr="00EC0AA9">
        <w:rPr>
          <w:rFonts w:ascii="Palatino Linotype" w:hAnsi="Palatino Linotype"/>
          <w:b/>
          <w:i/>
          <w:lang w:val="es-ES"/>
        </w:rPr>
        <w:t xml:space="preserve">“Artículo 180. </w:t>
      </w:r>
      <w:r w:rsidRPr="00EC0AA9">
        <w:rPr>
          <w:rFonts w:ascii="Palatino Linotype" w:hAnsi="Palatino Linotype"/>
          <w:i/>
          <w:lang w:val="es-ES"/>
        </w:rPr>
        <w:t xml:space="preserve">El </w:t>
      </w:r>
      <w:r w:rsidRPr="00EC0AA9">
        <w:rPr>
          <w:rFonts w:ascii="Palatino Linotype" w:hAnsi="Palatino Linotype" w:cs="Arial"/>
          <w:i/>
          <w:lang w:val="es-ES"/>
        </w:rPr>
        <w:t>Recurso de Revisión</w:t>
      </w:r>
      <w:r w:rsidRPr="00EC0AA9">
        <w:rPr>
          <w:rFonts w:ascii="Palatino Linotype" w:hAnsi="Palatino Linotype"/>
          <w:i/>
          <w:lang w:val="es-ES"/>
        </w:rPr>
        <w:t xml:space="preserve"> contendrá:</w:t>
      </w:r>
      <w:r w:rsidRPr="00EC0AA9">
        <w:rPr>
          <w:rFonts w:ascii="Palatino Linotype" w:hAnsi="Palatino Linotype"/>
          <w:b/>
          <w:i/>
          <w:lang w:val="es-ES"/>
        </w:rPr>
        <w:t xml:space="preserve"> </w:t>
      </w:r>
    </w:p>
    <w:p w14:paraId="356FBE41" w14:textId="77777777" w:rsidR="00CC01FD" w:rsidRPr="00EC0AA9" w:rsidRDefault="00CC01FD" w:rsidP="00EC0AA9">
      <w:pPr>
        <w:tabs>
          <w:tab w:val="left" w:pos="851"/>
        </w:tabs>
        <w:spacing w:line="360" w:lineRule="auto"/>
        <w:ind w:left="851" w:right="901"/>
        <w:jc w:val="both"/>
        <w:rPr>
          <w:rFonts w:ascii="Palatino Linotype" w:hAnsi="Palatino Linotype"/>
          <w:b/>
          <w:i/>
          <w:lang w:val="es-ES"/>
        </w:rPr>
      </w:pPr>
      <w:r w:rsidRPr="00EC0AA9">
        <w:rPr>
          <w:rFonts w:ascii="Palatino Linotype" w:hAnsi="Palatino Linotype"/>
          <w:b/>
          <w:i/>
          <w:lang w:val="es-ES"/>
        </w:rPr>
        <w:t>…</w:t>
      </w:r>
    </w:p>
    <w:p w14:paraId="1AE29164" w14:textId="77777777" w:rsidR="00CC01FD" w:rsidRPr="00EC0AA9" w:rsidRDefault="00CC01FD" w:rsidP="00EC0AA9">
      <w:pPr>
        <w:tabs>
          <w:tab w:val="left" w:pos="851"/>
        </w:tabs>
        <w:spacing w:line="360" w:lineRule="auto"/>
        <w:ind w:left="851" w:right="901"/>
        <w:jc w:val="both"/>
        <w:rPr>
          <w:rFonts w:ascii="Palatino Linotype" w:hAnsi="Palatino Linotype"/>
          <w:i/>
          <w:lang w:val="es-ES"/>
        </w:rPr>
      </w:pPr>
      <w:r w:rsidRPr="00EC0AA9">
        <w:rPr>
          <w:rFonts w:ascii="Palatino Linotype" w:hAnsi="Palatino Linotype"/>
          <w:b/>
          <w:i/>
          <w:lang w:val="es-ES"/>
        </w:rPr>
        <w:t xml:space="preserve">II. El nombre del solicitante </w:t>
      </w:r>
      <w:r w:rsidRPr="00EC0AA9">
        <w:rPr>
          <w:rFonts w:ascii="Palatino Linotype" w:hAnsi="Palatino Linotype" w:cs="Arial"/>
          <w:b/>
          <w:i/>
          <w:lang w:val="es-ES"/>
        </w:rPr>
        <w:t>que</w:t>
      </w:r>
      <w:r w:rsidRPr="00EC0AA9">
        <w:rPr>
          <w:rFonts w:ascii="Palatino Linotype" w:hAnsi="Palatino Linotype"/>
          <w:b/>
          <w:i/>
          <w:lang w:val="es-ES"/>
        </w:rPr>
        <w:t xml:space="preserve"> recurre </w:t>
      </w:r>
      <w:r w:rsidRPr="00EC0AA9">
        <w:rPr>
          <w:rFonts w:ascii="Palatino Linotype" w:hAnsi="Palatino Linotype"/>
          <w:i/>
          <w:lang w:val="es-ES"/>
        </w:rPr>
        <w:t>o de su representante y, en su caso, …</w:t>
      </w:r>
    </w:p>
    <w:p w14:paraId="00F071A3" w14:textId="77777777" w:rsidR="00CC01FD" w:rsidRPr="00EC0AA9" w:rsidRDefault="00CC01FD" w:rsidP="00EC0AA9">
      <w:pPr>
        <w:tabs>
          <w:tab w:val="left" w:pos="851"/>
        </w:tabs>
        <w:spacing w:line="360" w:lineRule="auto"/>
        <w:ind w:left="851" w:right="901"/>
        <w:jc w:val="both"/>
        <w:rPr>
          <w:rFonts w:ascii="Palatino Linotype" w:hAnsi="Palatino Linotype"/>
          <w:b/>
          <w:i/>
          <w:lang w:val="es-ES"/>
        </w:rPr>
      </w:pPr>
      <w:r w:rsidRPr="00EC0AA9">
        <w:rPr>
          <w:rFonts w:ascii="Palatino Linotype" w:hAnsi="Palatino Linotype"/>
          <w:b/>
          <w:i/>
          <w:lang w:val="es-ES"/>
        </w:rPr>
        <w:t xml:space="preserve">En caso de </w:t>
      </w:r>
      <w:r w:rsidRPr="00EC0AA9">
        <w:rPr>
          <w:rFonts w:ascii="Palatino Linotype" w:hAnsi="Palatino Linotype" w:cs="Arial"/>
          <w:b/>
          <w:i/>
          <w:lang w:val="es-ES"/>
        </w:rPr>
        <w:t>que</w:t>
      </w:r>
      <w:r w:rsidRPr="00EC0AA9">
        <w:rPr>
          <w:rFonts w:ascii="Palatino Linotype" w:hAnsi="Palatino Linotype"/>
          <w:b/>
          <w:i/>
          <w:lang w:val="es-ES"/>
        </w:rPr>
        <w:t xml:space="preserve"> el recurso se interponga de manera electrónica no será indispensable que contengan los requisitos establecidos en las fracciones II</w:t>
      </w:r>
      <w:r w:rsidRPr="00EC0AA9">
        <w:rPr>
          <w:rFonts w:ascii="Palatino Linotype" w:hAnsi="Palatino Linotype"/>
          <w:i/>
          <w:lang w:val="es-ES"/>
        </w:rPr>
        <w:t>, IV, VII y VIII.</w:t>
      </w:r>
      <w:r w:rsidRPr="00EC0AA9">
        <w:rPr>
          <w:rFonts w:ascii="Palatino Linotype" w:hAnsi="Palatino Linotype"/>
          <w:b/>
          <w:i/>
          <w:lang w:val="es-ES"/>
        </w:rPr>
        <w:t>”</w:t>
      </w:r>
    </w:p>
    <w:p w14:paraId="2344388F" w14:textId="77777777" w:rsidR="00CC01FD" w:rsidRPr="00EC0AA9" w:rsidRDefault="00CC01FD" w:rsidP="00EC0AA9">
      <w:pPr>
        <w:tabs>
          <w:tab w:val="left" w:pos="851"/>
        </w:tabs>
        <w:spacing w:line="360" w:lineRule="auto"/>
        <w:ind w:left="851" w:right="901"/>
        <w:jc w:val="both"/>
        <w:rPr>
          <w:rFonts w:ascii="Palatino Linotype" w:hAnsi="Palatino Linotype"/>
          <w:i/>
          <w:lang w:val="es-ES"/>
        </w:rPr>
      </w:pPr>
      <w:r w:rsidRPr="00EC0AA9">
        <w:rPr>
          <w:rFonts w:ascii="Palatino Linotype" w:hAnsi="Palatino Linotype"/>
          <w:i/>
          <w:lang w:val="es-ES"/>
        </w:rPr>
        <w:t>(Énfasis añadido)</w:t>
      </w:r>
    </w:p>
    <w:p w14:paraId="0B3A7E3A" w14:textId="77777777" w:rsidR="00CC01FD" w:rsidRPr="00EC0AA9" w:rsidRDefault="00CC01FD" w:rsidP="00EC0AA9">
      <w:pPr>
        <w:tabs>
          <w:tab w:val="left" w:pos="851"/>
        </w:tabs>
        <w:spacing w:line="360" w:lineRule="auto"/>
        <w:ind w:left="851" w:right="901"/>
        <w:jc w:val="both"/>
        <w:rPr>
          <w:rFonts w:ascii="Palatino Linotype" w:hAnsi="Palatino Linotype"/>
          <w:i/>
          <w:lang w:val="es-ES"/>
        </w:rPr>
      </w:pPr>
    </w:p>
    <w:p w14:paraId="5E091F7E" w14:textId="77777777" w:rsidR="00CC01FD" w:rsidRPr="00EC0AA9" w:rsidRDefault="00CC01FD" w:rsidP="00EC0AA9">
      <w:pPr>
        <w:spacing w:line="360" w:lineRule="auto"/>
        <w:jc w:val="both"/>
        <w:rPr>
          <w:rFonts w:ascii="Palatino Linotype" w:hAnsi="Palatino Linotype"/>
          <w:lang w:val="es-ES"/>
        </w:rPr>
      </w:pPr>
      <w:r w:rsidRPr="00EC0AA9">
        <w:rPr>
          <w:rFonts w:ascii="Palatino Linotype" w:hAnsi="Palatino Linotype"/>
          <w:lang w:val="es-ES"/>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 </w:t>
      </w:r>
    </w:p>
    <w:p w14:paraId="1F0A119C" w14:textId="7E77C885" w:rsidR="00CC01FD" w:rsidRDefault="00CC01FD" w:rsidP="00EC0AA9">
      <w:pPr>
        <w:spacing w:line="360" w:lineRule="auto"/>
        <w:jc w:val="both"/>
        <w:rPr>
          <w:rFonts w:ascii="Palatino Linotype" w:hAnsi="Palatino Linotype"/>
          <w:lang w:val="es-ES"/>
        </w:rPr>
      </w:pPr>
    </w:p>
    <w:p w14:paraId="5454849C" w14:textId="77777777" w:rsidR="00EC0AA9" w:rsidRPr="00EC0AA9" w:rsidRDefault="00EC0AA9" w:rsidP="00EC0AA9">
      <w:pPr>
        <w:spacing w:line="360" w:lineRule="auto"/>
        <w:jc w:val="both"/>
        <w:rPr>
          <w:rFonts w:ascii="Palatino Linotype" w:hAnsi="Palatino Linotype"/>
          <w:lang w:val="es-ES"/>
        </w:rPr>
      </w:pPr>
    </w:p>
    <w:p w14:paraId="60524DF5" w14:textId="77777777" w:rsidR="00CC01FD" w:rsidRPr="00EC0AA9" w:rsidRDefault="00CC01FD" w:rsidP="00EC0AA9">
      <w:pPr>
        <w:spacing w:line="360" w:lineRule="auto"/>
        <w:ind w:left="426" w:right="616"/>
        <w:jc w:val="both"/>
        <w:rPr>
          <w:rFonts w:ascii="Palatino Linotype" w:hAnsi="Palatino Linotype"/>
          <w:i/>
          <w:iCs/>
          <w:lang w:val="es-ES"/>
        </w:rPr>
      </w:pPr>
      <w:r w:rsidRPr="00EC0AA9">
        <w:rPr>
          <w:rFonts w:ascii="Palatino Linotype" w:hAnsi="Palatino Linotype"/>
          <w:i/>
          <w:iCs/>
          <w:lang w:val="es-ES"/>
        </w:rPr>
        <w:lastRenderedPageBreak/>
        <w:t xml:space="preserve">“Artículo 180. El recurso de revisión contendrá: </w:t>
      </w:r>
    </w:p>
    <w:p w14:paraId="5085AA5C" w14:textId="77777777" w:rsidR="00CC01FD" w:rsidRPr="00EC0AA9" w:rsidRDefault="00CC01FD" w:rsidP="00EC0AA9">
      <w:pPr>
        <w:spacing w:line="360" w:lineRule="auto"/>
        <w:ind w:left="426" w:right="616"/>
        <w:jc w:val="both"/>
        <w:rPr>
          <w:rFonts w:ascii="Palatino Linotype" w:hAnsi="Palatino Linotype"/>
          <w:i/>
          <w:iCs/>
          <w:lang w:val="es-ES"/>
        </w:rPr>
      </w:pPr>
      <w:r w:rsidRPr="00EC0AA9">
        <w:rPr>
          <w:rFonts w:ascii="Palatino Linotype" w:hAnsi="Palatino Linotype"/>
          <w:i/>
          <w:iCs/>
          <w:lang w:val="es-ES"/>
        </w:rPr>
        <w:t xml:space="preserve">I. El sujeto obligado ante la cual se presentó la solicitud; </w:t>
      </w:r>
    </w:p>
    <w:p w14:paraId="32E57D04" w14:textId="77777777" w:rsidR="00CC01FD" w:rsidRPr="00EC0AA9" w:rsidRDefault="00CC01FD" w:rsidP="00EC0AA9">
      <w:pPr>
        <w:spacing w:line="360" w:lineRule="auto"/>
        <w:ind w:left="426" w:right="616"/>
        <w:jc w:val="both"/>
        <w:rPr>
          <w:rFonts w:ascii="Palatino Linotype" w:hAnsi="Palatino Linotype"/>
          <w:i/>
          <w:iCs/>
          <w:lang w:val="es-ES"/>
        </w:rPr>
      </w:pPr>
      <w:r w:rsidRPr="00EC0AA9">
        <w:rPr>
          <w:rFonts w:ascii="Palatino Linotype" w:hAnsi="Palatino Linotype"/>
          <w:i/>
          <w:iCs/>
          <w:lang w:val="es-ES"/>
        </w:rPr>
        <w:t xml:space="preserve">II. El nombre del solicitante que recurre o de su representante y, en su caso, del tercero interesado, así como la dirección o medio que señale para recibir notificaciones; </w:t>
      </w:r>
    </w:p>
    <w:p w14:paraId="28F9C404" w14:textId="77777777" w:rsidR="00CC01FD" w:rsidRPr="00EC0AA9" w:rsidRDefault="00CC01FD" w:rsidP="00EC0AA9">
      <w:pPr>
        <w:spacing w:line="360" w:lineRule="auto"/>
        <w:ind w:left="426" w:right="616"/>
        <w:jc w:val="both"/>
        <w:rPr>
          <w:rFonts w:ascii="Palatino Linotype" w:hAnsi="Palatino Linotype"/>
          <w:i/>
          <w:iCs/>
          <w:lang w:val="es-ES"/>
        </w:rPr>
      </w:pPr>
      <w:r w:rsidRPr="00EC0AA9">
        <w:rPr>
          <w:rFonts w:ascii="Palatino Linotype" w:hAnsi="Palatino Linotype"/>
          <w:i/>
          <w:iCs/>
          <w:lang w:val="es-ES"/>
        </w:rPr>
        <w:t xml:space="preserve">III. El número de folio de respuesta de la solicitud de acceso; </w:t>
      </w:r>
    </w:p>
    <w:p w14:paraId="10E1A4D3" w14:textId="77777777" w:rsidR="00CC01FD" w:rsidRPr="00EC0AA9" w:rsidRDefault="00CC01FD" w:rsidP="00EC0AA9">
      <w:pPr>
        <w:spacing w:line="360" w:lineRule="auto"/>
        <w:ind w:left="426" w:right="616"/>
        <w:jc w:val="both"/>
        <w:rPr>
          <w:rFonts w:ascii="Palatino Linotype" w:hAnsi="Palatino Linotype"/>
          <w:i/>
          <w:iCs/>
          <w:lang w:val="es-ES"/>
        </w:rPr>
      </w:pPr>
      <w:r w:rsidRPr="00EC0AA9">
        <w:rPr>
          <w:rFonts w:ascii="Palatino Linotype" w:hAnsi="Palatino Linotype"/>
          <w:i/>
          <w:iCs/>
          <w:lang w:val="es-ES"/>
        </w:rPr>
        <w:t xml:space="preserve">IV. La fecha en que fue notificada la respuesta al solicitante o tuvo conocimiento del acto reclamado, o de presentación de la solicitud, en caso de falta de respuesta; </w:t>
      </w:r>
    </w:p>
    <w:p w14:paraId="3B7CDE30" w14:textId="77777777" w:rsidR="00CC01FD" w:rsidRPr="00EC0AA9" w:rsidRDefault="00CC01FD" w:rsidP="00EC0AA9">
      <w:pPr>
        <w:spacing w:line="360" w:lineRule="auto"/>
        <w:ind w:left="426" w:right="616"/>
        <w:jc w:val="both"/>
        <w:rPr>
          <w:rFonts w:ascii="Palatino Linotype" w:hAnsi="Palatino Linotype"/>
          <w:i/>
          <w:iCs/>
          <w:lang w:val="es-ES"/>
        </w:rPr>
      </w:pPr>
      <w:r w:rsidRPr="00EC0AA9">
        <w:rPr>
          <w:rFonts w:ascii="Palatino Linotype" w:hAnsi="Palatino Linotype"/>
          <w:i/>
          <w:iCs/>
          <w:lang w:val="es-ES"/>
        </w:rPr>
        <w:t xml:space="preserve">V. El acto que se recurre; </w:t>
      </w:r>
    </w:p>
    <w:p w14:paraId="40649F5E" w14:textId="77777777" w:rsidR="00CC01FD" w:rsidRPr="00EC0AA9" w:rsidRDefault="00CC01FD" w:rsidP="00EC0AA9">
      <w:pPr>
        <w:spacing w:line="360" w:lineRule="auto"/>
        <w:ind w:left="426" w:right="616"/>
        <w:jc w:val="both"/>
        <w:rPr>
          <w:rFonts w:ascii="Palatino Linotype" w:hAnsi="Palatino Linotype"/>
          <w:i/>
          <w:iCs/>
          <w:lang w:val="es-ES"/>
        </w:rPr>
      </w:pPr>
      <w:r w:rsidRPr="00EC0AA9">
        <w:rPr>
          <w:rFonts w:ascii="Palatino Linotype" w:hAnsi="Palatino Linotype"/>
          <w:i/>
          <w:iCs/>
          <w:lang w:val="es-ES"/>
        </w:rPr>
        <w:t xml:space="preserve">VI. Las razones o motivos de inconformidad; </w:t>
      </w:r>
    </w:p>
    <w:p w14:paraId="6F42C15F" w14:textId="77777777" w:rsidR="00CC01FD" w:rsidRPr="00EC0AA9" w:rsidRDefault="00CC01FD" w:rsidP="00EC0AA9">
      <w:pPr>
        <w:spacing w:line="360" w:lineRule="auto"/>
        <w:ind w:left="426" w:right="616"/>
        <w:jc w:val="both"/>
        <w:rPr>
          <w:rFonts w:ascii="Palatino Linotype" w:hAnsi="Palatino Linotype"/>
          <w:i/>
          <w:iCs/>
          <w:lang w:val="es-ES"/>
        </w:rPr>
      </w:pPr>
      <w:r w:rsidRPr="00EC0AA9">
        <w:rPr>
          <w:rFonts w:ascii="Palatino Linotype" w:hAnsi="Palatino Linotype"/>
          <w:i/>
          <w:iCs/>
          <w:lang w:val="es-ES"/>
        </w:rPr>
        <w:t xml:space="preserve">VII. La copia de la respuesta que se impugna y, en su caso, de la notificación correspondiente, en el caso de respuesta de la solicitud; y </w:t>
      </w:r>
    </w:p>
    <w:p w14:paraId="6F014CC0" w14:textId="77777777" w:rsidR="00CC01FD" w:rsidRPr="00EC0AA9" w:rsidRDefault="00CC01FD" w:rsidP="00EC0AA9">
      <w:pPr>
        <w:spacing w:line="360" w:lineRule="auto"/>
        <w:ind w:left="426" w:right="616"/>
        <w:jc w:val="both"/>
        <w:rPr>
          <w:rFonts w:ascii="Palatino Linotype" w:hAnsi="Palatino Linotype"/>
          <w:i/>
          <w:iCs/>
          <w:lang w:val="es-ES"/>
        </w:rPr>
      </w:pPr>
      <w:r w:rsidRPr="00EC0AA9">
        <w:rPr>
          <w:rFonts w:ascii="Palatino Linotype" w:hAnsi="Palatino Linotype"/>
          <w:i/>
          <w:iCs/>
          <w:lang w:val="es-ES"/>
        </w:rPr>
        <w:t>VIII. Firma del recurrente, en su caso, cuando se presente por escrito, requisito sin el cual se dará trámite al recurso.</w:t>
      </w:r>
    </w:p>
    <w:p w14:paraId="1FEA49AE" w14:textId="77777777" w:rsidR="00CC01FD" w:rsidRPr="00EC0AA9" w:rsidRDefault="00CC01FD" w:rsidP="00EC0AA9">
      <w:pPr>
        <w:spacing w:line="360" w:lineRule="auto"/>
        <w:ind w:left="426" w:right="616"/>
        <w:jc w:val="both"/>
        <w:rPr>
          <w:rFonts w:ascii="Palatino Linotype" w:hAnsi="Palatino Linotype"/>
          <w:i/>
          <w:iCs/>
          <w:lang w:val="es-ES"/>
        </w:rPr>
      </w:pPr>
      <w:r w:rsidRPr="00EC0AA9">
        <w:rPr>
          <w:rFonts w:ascii="Palatino Linotype" w:hAnsi="Palatino Linotype"/>
          <w:i/>
          <w:iCs/>
          <w:lang w:val="es-ES"/>
        </w:rPr>
        <w:t xml:space="preserve">Adicionalmente, se podrán anexar las pruebas y demás elementos que considere procedentes someter a juicio del Instituto. </w:t>
      </w:r>
    </w:p>
    <w:p w14:paraId="7A194949" w14:textId="77777777" w:rsidR="00CC01FD" w:rsidRPr="00EC0AA9" w:rsidRDefault="00CC01FD" w:rsidP="00EC0AA9">
      <w:pPr>
        <w:spacing w:line="360" w:lineRule="auto"/>
        <w:ind w:left="426" w:right="616"/>
        <w:jc w:val="both"/>
        <w:rPr>
          <w:rFonts w:ascii="Palatino Linotype" w:hAnsi="Palatino Linotype"/>
          <w:i/>
          <w:iCs/>
          <w:lang w:val="es-ES"/>
        </w:rPr>
      </w:pPr>
      <w:r w:rsidRPr="00EC0AA9">
        <w:rPr>
          <w:rFonts w:ascii="Palatino Linotype" w:hAnsi="Palatino Linotype"/>
          <w:i/>
          <w:iCs/>
          <w:lang w:val="es-ES"/>
        </w:rPr>
        <w:t xml:space="preserve">En ningún caso será necesario que el particular ratifique el recurso de revisión interpuesto. </w:t>
      </w:r>
    </w:p>
    <w:p w14:paraId="371D74C0" w14:textId="77777777" w:rsidR="00CC01FD" w:rsidRPr="00EC0AA9" w:rsidRDefault="00CC01FD" w:rsidP="00EC0AA9">
      <w:pPr>
        <w:spacing w:line="360" w:lineRule="auto"/>
        <w:ind w:left="426" w:right="616"/>
        <w:jc w:val="both"/>
        <w:rPr>
          <w:rFonts w:ascii="Palatino Linotype" w:hAnsi="Palatino Linotype"/>
          <w:i/>
          <w:iCs/>
          <w:lang w:val="es-ES"/>
        </w:rPr>
      </w:pPr>
      <w:r w:rsidRPr="00EC0AA9">
        <w:rPr>
          <w:rFonts w:ascii="Palatino Linotype" w:hAnsi="Palatino Linotype"/>
          <w:i/>
          <w:iCs/>
          <w:lang w:val="es-ES"/>
        </w:rPr>
        <w:t>En caso de que el recurso se interponga de manera electrónica no será indispensable que contengan los requisitos establecidos en las fracciones II, IV, VII y VIII.”</w:t>
      </w:r>
    </w:p>
    <w:p w14:paraId="0014ADB7" w14:textId="77777777" w:rsidR="00CC01FD" w:rsidRPr="00EC0AA9" w:rsidRDefault="00CC01FD" w:rsidP="00EC0AA9">
      <w:pPr>
        <w:spacing w:line="360" w:lineRule="auto"/>
        <w:jc w:val="both"/>
        <w:rPr>
          <w:rFonts w:ascii="Palatino Linotype" w:eastAsia="Palatino Linotype" w:hAnsi="Palatino Linotype" w:cs="Palatino Linotype"/>
        </w:rPr>
      </w:pPr>
      <w:r w:rsidRPr="00EC0AA9">
        <w:rPr>
          <w:rFonts w:ascii="Palatino Linotype" w:hAnsi="Palatino Linotype"/>
          <w:lang w:val="es-ES"/>
        </w:rPr>
        <w:t>(Énfasis añadido)</w:t>
      </w:r>
    </w:p>
    <w:p w14:paraId="361A5A5D" w14:textId="49703CE6" w:rsidR="004E16BC" w:rsidRDefault="004E16BC" w:rsidP="00EC0AA9">
      <w:pPr>
        <w:spacing w:line="360" w:lineRule="auto"/>
        <w:ind w:right="49"/>
        <w:jc w:val="both"/>
        <w:rPr>
          <w:rFonts w:ascii="Palatino Linotype" w:eastAsia="Palatino Linotype" w:hAnsi="Palatino Linotype" w:cs="Palatino Linotype"/>
        </w:rPr>
      </w:pPr>
    </w:p>
    <w:p w14:paraId="71DD106E" w14:textId="77777777" w:rsidR="00EC0AA9" w:rsidRPr="00EC0AA9" w:rsidRDefault="00EC0AA9" w:rsidP="00EC0AA9">
      <w:pPr>
        <w:spacing w:line="360" w:lineRule="auto"/>
        <w:ind w:right="49"/>
        <w:jc w:val="both"/>
        <w:rPr>
          <w:rFonts w:ascii="Palatino Linotype" w:eastAsia="Palatino Linotype" w:hAnsi="Palatino Linotype" w:cs="Palatino Linotype"/>
        </w:rPr>
      </w:pPr>
    </w:p>
    <w:p w14:paraId="2C096E23" w14:textId="77777777" w:rsidR="004E16BC" w:rsidRPr="00EC0AA9" w:rsidRDefault="000863AA" w:rsidP="00EC0AA9">
      <w:pPr>
        <w:spacing w:line="360" w:lineRule="auto"/>
        <w:jc w:val="both"/>
        <w:rPr>
          <w:rFonts w:ascii="Palatino Linotype" w:eastAsia="Palatino Linotype" w:hAnsi="Palatino Linotype" w:cs="Palatino Linotype"/>
          <w:b/>
          <w:sz w:val="28"/>
        </w:rPr>
      </w:pPr>
      <w:r w:rsidRPr="00EC0AA9">
        <w:rPr>
          <w:rFonts w:ascii="Palatino Linotype" w:eastAsia="Palatino Linotype" w:hAnsi="Palatino Linotype" w:cs="Palatino Linotype"/>
          <w:b/>
          <w:sz w:val="28"/>
        </w:rPr>
        <w:lastRenderedPageBreak/>
        <w:t xml:space="preserve">QUINTO. Estudio y resolución del asunto. </w:t>
      </w:r>
    </w:p>
    <w:p w14:paraId="00D31214" w14:textId="77777777" w:rsidR="00280181" w:rsidRPr="00EC0AA9" w:rsidRDefault="00280181" w:rsidP="00EC0AA9">
      <w:pPr>
        <w:spacing w:line="360" w:lineRule="auto"/>
        <w:jc w:val="both"/>
        <w:rPr>
          <w:rFonts w:ascii="Palatino Linotype" w:eastAsia="Palatino Linotype" w:hAnsi="Palatino Linotype" w:cs="Palatino Linotype"/>
          <w:b/>
          <w:sz w:val="28"/>
        </w:rPr>
      </w:pPr>
    </w:p>
    <w:p w14:paraId="3C69492E" w14:textId="7B2CF45E" w:rsidR="00280181" w:rsidRPr="00EC0AA9" w:rsidRDefault="00280181" w:rsidP="00EC0AA9">
      <w:pPr>
        <w:spacing w:line="360" w:lineRule="auto"/>
        <w:jc w:val="both"/>
        <w:rPr>
          <w:rFonts w:ascii="Palatino Linotype" w:hAnsi="Palatino Linotype" w:cs="Arial"/>
          <w:lang w:val="es-ES"/>
        </w:rPr>
      </w:pPr>
      <w:r w:rsidRPr="00EC0AA9">
        <w:rPr>
          <w:rFonts w:ascii="Palatino Linotype" w:hAnsi="Palatino Linotype" w:cs="Arial"/>
        </w:rPr>
        <w:t xml:space="preserve">Una vez determinada la vía sobre la que versará el presente recurso, y previa revisión del expediente electrónico formado en </w:t>
      </w:r>
      <w:r w:rsidRPr="00EC0AA9">
        <w:rPr>
          <w:rFonts w:ascii="Palatino Linotype" w:hAnsi="Palatino Linotype" w:cs="Arial"/>
          <w:b/>
        </w:rPr>
        <w:t>EL SAIMEX</w:t>
      </w:r>
      <w:r w:rsidRPr="00EC0AA9">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8501E9" w:rsidRPr="00EC0AA9">
        <w:rPr>
          <w:rFonts w:ascii="Palatino Linotype" w:hAnsi="Palatino Linotype" w:cs="Arial"/>
        </w:rPr>
        <w:t>este Órgano Garante</w:t>
      </w:r>
      <w:r w:rsidRPr="00EC0AA9">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EC0AA9">
        <w:rPr>
          <w:rFonts w:ascii="Palatino Linotype" w:hAnsi="Palatino Linotype"/>
          <w:lang w:val="es-ES"/>
        </w:rPr>
        <w:t>Constitución Política de los Estados Unidos Mexicanos, en la Constitución Política del Estado Libre y Soberano de México</w:t>
      </w:r>
      <w:r w:rsidRPr="00EC0AA9">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EC0AA9">
        <w:rPr>
          <w:rFonts w:ascii="Palatino Linotype" w:hAnsi="Palatino Linotype"/>
          <w:lang w:val="es-ES"/>
        </w:rPr>
        <w:t>Constitución Política de los Estados Unidos Mexicanos</w:t>
      </w:r>
      <w:r w:rsidRPr="00EC0AA9">
        <w:rPr>
          <w:rFonts w:ascii="Palatino Linotype" w:hAnsi="Palatino Linotype" w:cs="Arial"/>
        </w:rPr>
        <w:t xml:space="preserve"> y los numerales 8 y 9 de la </w:t>
      </w:r>
      <w:r w:rsidRPr="00EC0AA9">
        <w:rPr>
          <w:rFonts w:ascii="Palatino Linotype" w:hAnsi="Palatino Linotype" w:cs="Arial"/>
          <w:lang w:val="es-ES"/>
        </w:rPr>
        <w:t>Ley de Transparencia y Acceso a la Información Pública del Estado de México y Municipios.</w:t>
      </w:r>
    </w:p>
    <w:p w14:paraId="2E29413B" w14:textId="77777777" w:rsidR="00280181" w:rsidRPr="00EC0AA9" w:rsidRDefault="00280181" w:rsidP="00EC0AA9">
      <w:pPr>
        <w:spacing w:line="360" w:lineRule="auto"/>
        <w:jc w:val="both"/>
        <w:rPr>
          <w:rFonts w:ascii="Palatino Linotype" w:hAnsi="Palatino Linotype" w:cs="Arial"/>
          <w:lang w:val="es-ES"/>
        </w:rPr>
      </w:pPr>
    </w:p>
    <w:p w14:paraId="7FB8395D" w14:textId="77777777" w:rsidR="00280181" w:rsidRPr="00EC0AA9" w:rsidRDefault="00280181" w:rsidP="00EC0AA9">
      <w:pPr>
        <w:spacing w:line="360" w:lineRule="auto"/>
        <w:jc w:val="both"/>
        <w:rPr>
          <w:rFonts w:ascii="Palatino Linotype" w:hAnsi="Palatino Linotype"/>
        </w:rPr>
      </w:pPr>
      <w:r w:rsidRPr="00EC0AA9">
        <w:rPr>
          <w:rFonts w:ascii="Palatino Linotype" w:eastAsia="Arial Unicode MS" w:hAnsi="Palatino Linotype" w:cs="Arial"/>
        </w:rPr>
        <w:t>Es</w:t>
      </w:r>
      <w:r w:rsidRPr="00EC0AA9">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597DA92F" w14:textId="77777777" w:rsidR="00280181" w:rsidRPr="00EC0AA9" w:rsidRDefault="00280181" w:rsidP="00EC0AA9">
      <w:pPr>
        <w:spacing w:line="360" w:lineRule="auto"/>
        <w:jc w:val="both"/>
        <w:rPr>
          <w:rFonts w:ascii="Palatino Linotype" w:hAnsi="Palatino Linotype"/>
        </w:rPr>
      </w:pPr>
    </w:p>
    <w:p w14:paraId="44D0486A"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i/>
        </w:rPr>
        <w:lastRenderedPageBreak/>
        <w:t xml:space="preserve"> “</w:t>
      </w:r>
      <w:r w:rsidRPr="00EC0AA9">
        <w:rPr>
          <w:rFonts w:ascii="Palatino Linotype" w:hAnsi="Palatino Linotype" w:cs="Arial"/>
          <w:b/>
          <w:i/>
        </w:rPr>
        <w:t>Artículo 6o…</w:t>
      </w:r>
    </w:p>
    <w:p w14:paraId="0576EA45"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b/>
          <w:bCs/>
          <w:i/>
        </w:rPr>
        <w:t>A.</w:t>
      </w:r>
      <w:r w:rsidRPr="00EC0AA9">
        <w:rPr>
          <w:rFonts w:ascii="Palatino Linotype" w:hAnsi="Palatino Linotype" w:cs="Arial"/>
          <w:i/>
        </w:rPr>
        <w:t xml:space="preserve"> Para el ejercicio del </w:t>
      </w:r>
      <w:r w:rsidRPr="00EC0AA9">
        <w:rPr>
          <w:rFonts w:ascii="Palatino Linotype" w:hAnsi="Palatino Linotype" w:cs="Arial"/>
          <w:bCs/>
          <w:i/>
        </w:rPr>
        <w:t>derecho</w:t>
      </w:r>
      <w:r w:rsidRPr="00EC0AA9">
        <w:rPr>
          <w:rFonts w:ascii="Palatino Linotype" w:hAnsi="Palatino Linotype" w:cs="Arial"/>
          <w:i/>
        </w:rPr>
        <w:t xml:space="preserve"> de acceso a la información, la Federación y las entidades federativas, en el ámbito de sus respectivas competencias, se regirán por los siguientes principios y bases:</w:t>
      </w:r>
    </w:p>
    <w:p w14:paraId="3E0611CA"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b/>
          <w:bCs/>
          <w:i/>
        </w:rPr>
        <w:t xml:space="preserve">I. </w:t>
      </w:r>
      <w:r w:rsidRPr="00EC0AA9">
        <w:rPr>
          <w:rFonts w:ascii="Palatino Linotype" w:hAnsi="Palatino Linotype" w:cs="Arial"/>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9E5391E"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b/>
          <w:bCs/>
          <w:i/>
        </w:rPr>
        <w:t xml:space="preserve">II. </w:t>
      </w:r>
      <w:r w:rsidRPr="00EC0AA9">
        <w:rPr>
          <w:rFonts w:ascii="Palatino Linotype" w:hAnsi="Palatino Linotype" w:cs="Arial"/>
          <w:i/>
        </w:rPr>
        <w:t xml:space="preserve">La información que se refiere a la vida privada y los datos personales será protegida en los términos y con las excepciones que fijen las leyes. </w:t>
      </w:r>
    </w:p>
    <w:p w14:paraId="39CCF95C"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b/>
          <w:bCs/>
          <w:i/>
        </w:rPr>
        <w:t xml:space="preserve">III. </w:t>
      </w:r>
      <w:r w:rsidRPr="00EC0AA9">
        <w:rPr>
          <w:rFonts w:ascii="Palatino Linotype" w:hAnsi="Palatino Linotype" w:cs="Arial"/>
          <w:i/>
        </w:rPr>
        <w:t>Toda persona, sin necesidad de acreditar interés alguno o justificar su utilización, tendrá acceso gratuito a la Información Pública, a sus datos personales o a la rectificación de éstos.</w:t>
      </w:r>
    </w:p>
    <w:p w14:paraId="07870083"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b/>
          <w:bCs/>
          <w:i/>
        </w:rPr>
        <w:t xml:space="preserve">IV. </w:t>
      </w:r>
      <w:r w:rsidRPr="00EC0AA9">
        <w:rPr>
          <w:rFonts w:ascii="Palatino Linotype" w:hAnsi="Palatino Linotype" w:cs="Arial"/>
          <w:i/>
        </w:rPr>
        <w:t xml:space="preserve">Se establecerán mecanismos de acceso a la información y procedimientos de revisión expeditos que se sustanciarán ante los organismos autónomos especializados e imparciales que establece esta Constitución. </w:t>
      </w:r>
    </w:p>
    <w:p w14:paraId="612B5D02"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b/>
          <w:bCs/>
          <w:i/>
        </w:rPr>
        <w:t xml:space="preserve">V. </w:t>
      </w:r>
      <w:r w:rsidRPr="00EC0AA9">
        <w:rPr>
          <w:rFonts w:ascii="Palatino Linotype" w:hAnsi="Palatino Linotype" w:cs="Arial"/>
          <w:i/>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79BF123"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b/>
          <w:bCs/>
          <w:i/>
        </w:rPr>
        <w:t xml:space="preserve">VI. </w:t>
      </w:r>
      <w:r w:rsidRPr="00EC0AA9">
        <w:rPr>
          <w:rFonts w:ascii="Palatino Linotype" w:hAnsi="Palatino Linotype" w:cs="Arial"/>
          <w:i/>
        </w:rPr>
        <w:t xml:space="preserve">Las leyes determinarán la manera en que los sujetos obligados deberán hacer pública la información relativa a los recursos públicos que entreguen a personas físicas o morales. </w:t>
      </w:r>
    </w:p>
    <w:p w14:paraId="147EBCA2"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b/>
          <w:bCs/>
          <w:i/>
        </w:rPr>
        <w:lastRenderedPageBreak/>
        <w:t xml:space="preserve">VII. </w:t>
      </w:r>
      <w:r w:rsidRPr="00EC0AA9">
        <w:rPr>
          <w:rFonts w:ascii="Palatino Linotype" w:hAnsi="Palatino Linotype" w:cs="Arial"/>
          <w:i/>
        </w:rPr>
        <w:t xml:space="preserve">La inobservancia a las disposiciones en materia de acceso a la Información Pública será sancionada en los términos que dispongan las leyes.” </w:t>
      </w:r>
    </w:p>
    <w:p w14:paraId="5D17626D" w14:textId="77777777" w:rsidR="00280181" w:rsidRPr="00EC0AA9" w:rsidRDefault="00280181" w:rsidP="00EC0AA9">
      <w:pPr>
        <w:ind w:left="851" w:right="901"/>
        <w:jc w:val="both"/>
        <w:rPr>
          <w:rFonts w:ascii="Palatino Linotype" w:hAnsi="Palatino Linotype"/>
          <w:i/>
        </w:rPr>
      </w:pPr>
    </w:p>
    <w:p w14:paraId="6527C5B0" w14:textId="77777777" w:rsidR="00280181" w:rsidRPr="00EC0AA9" w:rsidRDefault="00280181" w:rsidP="00EC0AA9">
      <w:pPr>
        <w:spacing w:before="100" w:beforeAutospacing="1" w:line="360" w:lineRule="auto"/>
        <w:jc w:val="both"/>
        <w:rPr>
          <w:rFonts w:ascii="Palatino Linotype" w:hAnsi="Palatino Linotype"/>
        </w:rPr>
      </w:pPr>
      <w:r w:rsidRPr="00EC0AA9">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41D7E5D3" w14:textId="77777777" w:rsidR="00280181" w:rsidRPr="00EC0AA9" w:rsidRDefault="00280181" w:rsidP="00EC0AA9">
      <w:pPr>
        <w:ind w:left="851" w:right="901"/>
        <w:jc w:val="both"/>
        <w:rPr>
          <w:rFonts w:ascii="Palatino Linotype" w:hAnsi="Palatino Linotype" w:cs="Arial"/>
          <w:b/>
          <w:i/>
        </w:rPr>
      </w:pPr>
      <w:r w:rsidRPr="00EC0AA9">
        <w:rPr>
          <w:rFonts w:ascii="Palatino Linotype" w:hAnsi="Palatino Linotype" w:cs="Arial"/>
          <w:i/>
        </w:rPr>
        <w:t>“</w:t>
      </w:r>
      <w:r w:rsidRPr="00EC0AA9">
        <w:rPr>
          <w:rFonts w:ascii="Palatino Linotype" w:hAnsi="Palatino Linotype" w:cs="Arial"/>
          <w:b/>
          <w:i/>
        </w:rPr>
        <w:t>Artículo 5…</w:t>
      </w:r>
    </w:p>
    <w:p w14:paraId="1298B748"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i/>
        </w:rPr>
        <w:t xml:space="preserve">El derecho a la información será garantizado por el Estado. La ley establecerá las previsiones que permitan asegurar la protección, el respeto y la difusión de este derecho. </w:t>
      </w:r>
    </w:p>
    <w:p w14:paraId="07BC00A7" w14:textId="77777777" w:rsidR="00280181" w:rsidRPr="00EC0AA9" w:rsidRDefault="00280181" w:rsidP="00EC0AA9">
      <w:pPr>
        <w:ind w:left="851" w:right="901"/>
        <w:jc w:val="both"/>
        <w:rPr>
          <w:rFonts w:ascii="Palatino Linotype" w:hAnsi="Palatino Linotype" w:cs="Arial"/>
          <w:i/>
        </w:rPr>
      </w:pPr>
    </w:p>
    <w:p w14:paraId="5271C2AF"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146A05E"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i/>
        </w:rPr>
        <w:t>Este derecho se regirá por los principios y bases siguientes:</w:t>
      </w:r>
    </w:p>
    <w:p w14:paraId="3D832C76" w14:textId="77777777" w:rsidR="00280181" w:rsidRPr="00EC0AA9" w:rsidRDefault="00280181" w:rsidP="00EC0AA9">
      <w:pPr>
        <w:ind w:left="851" w:right="901"/>
        <w:jc w:val="both"/>
        <w:rPr>
          <w:rFonts w:ascii="Palatino Linotype" w:hAnsi="Palatino Linotype" w:cs="Arial"/>
          <w:i/>
        </w:rPr>
      </w:pPr>
    </w:p>
    <w:p w14:paraId="6C4D7D83" w14:textId="77777777" w:rsidR="00280181" w:rsidRPr="00EC0AA9" w:rsidRDefault="00280181" w:rsidP="00EC0AA9">
      <w:pPr>
        <w:ind w:left="851" w:right="901"/>
        <w:jc w:val="both"/>
        <w:rPr>
          <w:rFonts w:ascii="Palatino Linotype" w:hAnsi="Palatino Linotype"/>
        </w:rPr>
      </w:pPr>
      <w:r w:rsidRPr="00EC0AA9">
        <w:rPr>
          <w:rFonts w:ascii="Palatino Linotype" w:hAnsi="Palatino Linotype" w:cs="Arial"/>
          <w:b/>
          <w:i/>
          <w:u w:val="single"/>
        </w:rPr>
        <w:t>Toda la información en posesión de cualquier autoridad, entidad, órgano y organismos de los Poderes Ejecutivo, Legislativo y Judicial, órganos autónomos, partidos políticos, fideicomisos y fondos públicos estatales y municipales</w:t>
      </w:r>
      <w:r w:rsidRPr="00EC0AA9">
        <w:rPr>
          <w:rFonts w:ascii="Palatino Linotype" w:hAnsi="Palatino Linotype" w:cs="Arial"/>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w:t>
      </w:r>
      <w:r w:rsidRPr="00EC0AA9">
        <w:rPr>
          <w:rFonts w:ascii="Palatino Linotype" w:hAnsi="Palatino Linotype" w:cs="Arial"/>
          <w:i/>
        </w:rPr>
        <w:lastRenderedPageBreak/>
        <w:t>publicidad. Los sujetos obligados deberán documentar todo acto que derive del ejercicio de sus facultades, competencias o funciones, la ley determinará los supuestos específicos bajo los cuales procederá la declaración de inexistencia de la información.”</w:t>
      </w:r>
      <w:r w:rsidRPr="00EC0AA9">
        <w:rPr>
          <w:rFonts w:ascii="Palatino Linotype" w:hAnsi="Palatino Linotype"/>
        </w:rPr>
        <w:t xml:space="preserve"> </w:t>
      </w:r>
    </w:p>
    <w:p w14:paraId="73D4F1D7" w14:textId="77777777" w:rsidR="00280181" w:rsidRPr="00EC0AA9" w:rsidRDefault="00280181" w:rsidP="00EC0AA9">
      <w:pPr>
        <w:pStyle w:val="Prrafodelista"/>
        <w:ind w:left="1571" w:right="901"/>
        <w:jc w:val="both"/>
        <w:rPr>
          <w:rFonts w:ascii="Palatino Linotype" w:hAnsi="Palatino Linotype"/>
        </w:rPr>
      </w:pPr>
    </w:p>
    <w:p w14:paraId="4B4EAAA2" w14:textId="77777777" w:rsidR="00280181" w:rsidRPr="00EC0AA9" w:rsidRDefault="00280181" w:rsidP="00EC0AA9">
      <w:pPr>
        <w:spacing w:line="360" w:lineRule="auto"/>
        <w:jc w:val="both"/>
        <w:rPr>
          <w:rFonts w:ascii="Palatino Linotype" w:hAnsi="Palatino Linotype"/>
        </w:rPr>
      </w:pPr>
      <w:r w:rsidRPr="00EC0AA9">
        <w:rPr>
          <w:rFonts w:ascii="Palatino Linotype" w:hAnsi="Palatino Linotype"/>
        </w:rPr>
        <w:t>Así mismo, se tiene que la Ley de Transparencia y Acceso a la Información Pública del Estado de México y Municipios, prevé en su artículo 23, lo siguiente:</w:t>
      </w:r>
    </w:p>
    <w:p w14:paraId="23F4E77D" w14:textId="77777777" w:rsidR="00280181" w:rsidRPr="00EC0AA9" w:rsidRDefault="00280181" w:rsidP="00EC0AA9">
      <w:pPr>
        <w:spacing w:line="360" w:lineRule="auto"/>
        <w:jc w:val="both"/>
        <w:rPr>
          <w:rFonts w:ascii="Palatino Linotype" w:hAnsi="Palatino Linotype"/>
        </w:rPr>
      </w:pPr>
    </w:p>
    <w:p w14:paraId="056169B3"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i/>
        </w:rPr>
        <w:t>“</w:t>
      </w:r>
      <w:r w:rsidRPr="00EC0AA9">
        <w:rPr>
          <w:rFonts w:ascii="Palatino Linotype" w:hAnsi="Palatino Linotype" w:cs="Arial"/>
          <w:b/>
          <w:i/>
        </w:rPr>
        <w:t>Artículo 23.</w:t>
      </w:r>
      <w:r w:rsidRPr="00EC0AA9">
        <w:rPr>
          <w:rFonts w:ascii="Palatino Linotype" w:hAnsi="Palatino Linotype" w:cs="Arial"/>
          <w:i/>
        </w:rPr>
        <w:t xml:space="preserve"> Son sujetos obligados a transparentar y permitir el acceso a su información y proteger los datos personales que obren en su poder:</w:t>
      </w:r>
    </w:p>
    <w:p w14:paraId="0520AFDA" w14:textId="77777777" w:rsidR="00280181" w:rsidRPr="00EC0AA9" w:rsidRDefault="00280181" w:rsidP="00EC0AA9">
      <w:pPr>
        <w:ind w:left="851" w:right="901"/>
        <w:jc w:val="both"/>
        <w:rPr>
          <w:rFonts w:ascii="Palatino Linotype" w:hAnsi="Palatino Linotype" w:cs="Arial"/>
          <w:i/>
        </w:rPr>
      </w:pPr>
    </w:p>
    <w:p w14:paraId="5206FE09"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i/>
        </w:rPr>
        <w:t>I. El Poder Ejecutivo del Estado de México, las dependencias, organismos auxiliares, órganos, entidades, fideicomisos y fondos públicos, así como la Procuraduría General de Justicia;</w:t>
      </w:r>
    </w:p>
    <w:p w14:paraId="714C6FD1"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i/>
        </w:rPr>
        <w:t>II. El Poder Legislativo del Estado, los organismos, órganos y entidades de la Legislatura y sus dependencias;</w:t>
      </w:r>
    </w:p>
    <w:p w14:paraId="1C6A88E2"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i/>
        </w:rPr>
        <w:t>III. El Poder Judicial, sus organismos, órganos y entidades, así como el Consejo de la Judicatura del Estado;</w:t>
      </w:r>
    </w:p>
    <w:p w14:paraId="3E120591" w14:textId="77777777" w:rsidR="00280181" w:rsidRPr="00EC0AA9" w:rsidRDefault="00280181" w:rsidP="00EC0AA9">
      <w:pPr>
        <w:ind w:left="851" w:right="901"/>
        <w:jc w:val="both"/>
        <w:rPr>
          <w:rFonts w:ascii="Palatino Linotype" w:hAnsi="Palatino Linotype" w:cs="Arial"/>
          <w:b/>
          <w:i/>
        </w:rPr>
      </w:pPr>
      <w:r w:rsidRPr="00EC0AA9">
        <w:rPr>
          <w:rFonts w:ascii="Palatino Linotype" w:hAnsi="Palatino Linotype" w:cs="Arial"/>
          <w:b/>
          <w:i/>
        </w:rPr>
        <w:t>IV. Los ayuntamientos y las dependencias, organismos, órganos y entidades de la administración municipal;</w:t>
      </w:r>
    </w:p>
    <w:p w14:paraId="546C5FBF"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i/>
        </w:rPr>
        <w:t>V. Los órganos autónomos;</w:t>
      </w:r>
    </w:p>
    <w:p w14:paraId="5CA1F495"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i/>
        </w:rPr>
        <w:t>VI. Los tribunales administrativos y autoridades jurisdiccionales en materia laboral;</w:t>
      </w:r>
    </w:p>
    <w:p w14:paraId="4C30DBEF"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i/>
        </w:rPr>
        <w:t>VII. Los partidos políticos y agrupaciones políticas, en los términos de las disposiciones aplicables;</w:t>
      </w:r>
    </w:p>
    <w:p w14:paraId="09723792"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i/>
        </w:rPr>
        <w:t>VIII. Los fideicomisos y fondos públicos que cuenten con financiamiento público, parcial o total, o con participación de entidades de gobierno;</w:t>
      </w:r>
    </w:p>
    <w:p w14:paraId="7DCA840C"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i/>
        </w:rPr>
        <w:t>IX. Los sindicatos que reciban y/o ejerzan recursos públicos en el ámbito estatal y municipal;</w:t>
      </w:r>
    </w:p>
    <w:p w14:paraId="5D38C069"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i/>
        </w:rPr>
        <w:t>X. Cualquier persona física o jurídico colectiva que reciba y ejerza recursos públicos en el ámbito estatal o municipal; y</w:t>
      </w:r>
    </w:p>
    <w:p w14:paraId="653A6651" w14:textId="77777777" w:rsidR="00280181" w:rsidRPr="00EC0AA9" w:rsidRDefault="00280181" w:rsidP="00EC0AA9">
      <w:pPr>
        <w:ind w:left="851" w:right="901"/>
        <w:jc w:val="both"/>
        <w:rPr>
          <w:rFonts w:ascii="Palatino Linotype" w:hAnsi="Palatino Linotype" w:cs="Arial"/>
          <w:i/>
        </w:rPr>
      </w:pPr>
      <w:r w:rsidRPr="00EC0AA9">
        <w:rPr>
          <w:rFonts w:ascii="Palatino Linotype" w:hAnsi="Palatino Linotype" w:cs="Arial"/>
          <w:i/>
        </w:rPr>
        <w:lastRenderedPageBreak/>
        <w:t>XI. Cualquier otra autoridad, entidad, órgano u organismo de los poderes estatal o municipal, que reciba recursos públicos.</w:t>
      </w:r>
    </w:p>
    <w:p w14:paraId="0C741A07" w14:textId="77777777" w:rsidR="00280181" w:rsidRPr="00EC0AA9" w:rsidRDefault="00280181" w:rsidP="00EC0AA9">
      <w:pPr>
        <w:ind w:left="851" w:right="901"/>
        <w:jc w:val="both"/>
        <w:rPr>
          <w:rFonts w:ascii="Palatino Linotype" w:hAnsi="Palatino Linotype" w:cs="Arial"/>
          <w:b/>
          <w:i/>
        </w:rPr>
      </w:pPr>
      <w:r w:rsidRPr="00EC0AA9">
        <w:rPr>
          <w:rFonts w:ascii="Palatino Linotype" w:hAnsi="Palatino Linotype" w:cs="Arial"/>
          <w:b/>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D1747E5" w14:textId="77777777" w:rsidR="00280181" w:rsidRPr="00EC0AA9" w:rsidRDefault="00280181" w:rsidP="00EC0AA9">
      <w:pPr>
        <w:ind w:left="851" w:right="901"/>
        <w:jc w:val="both"/>
        <w:rPr>
          <w:rFonts w:ascii="Palatino Linotype" w:hAnsi="Palatino Linotype" w:cs="Arial"/>
          <w:b/>
          <w:i/>
        </w:rPr>
      </w:pPr>
      <w:r w:rsidRPr="00EC0AA9">
        <w:rPr>
          <w:rFonts w:ascii="Palatino Linotype" w:hAnsi="Palatino Linotype" w:cs="Arial"/>
          <w:b/>
          <w:i/>
        </w:rPr>
        <w:t>Los servidores públicos deberán transparentar sus acciones así como garantizar y respetar el derecho de acceso a la Información Pública.</w:t>
      </w:r>
    </w:p>
    <w:p w14:paraId="612E15B9" w14:textId="77777777" w:rsidR="00280181" w:rsidRPr="00EC0AA9" w:rsidRDefault="00280181" w:rsidP="00EC0AA9">
      <w:pPr>
        <w:ind w:left="851" w:right="901"/>
        <w:jc w:val="both"/>
        <w:rPr>
          <w:rFonts w:ascii="Palatino Linotype" w:hAnsi="Palatino Linotype" w:cs="Arial"/>
          <w:i/>
        </w:rPr>
      </w:pPr>
    </w:p>
    <w:p w14:paraId="40044BE0" w14:textId="36106314" w:rsidR="00280181" w:rsidRPr="00EC0AA9" w:rsidRDefault="00280181" w:rsidP="00EC0AA9">
      <w:pPr>
        <w:spacing w:line="360" w:lineRule="auto"/>
        <w:ind w:right="49"/>
        <w:jc w:val="both"/>
        <w:rPr>
          <w:rFonts w:ascii="Palatino Linotype" w:hAnsi="Palatino Linotype" w:cs="Arial"/>
        </w:rPr>
      </w:pPr>
      <w:r w:rsidRPr="00EC0AA9">
        <w:rPr>
          <w:rFonts w:ascii="Palatino Linotype" w:hAnsi="Palatino Linotype" w:cs="Arial"/>
        </w:rPr>
        <w:t>Ahora bien, atendiendo a los preceptos legales a los cuales se hizo referencia, es preciso mencionar que, el</w:t>
      </w:r>
      <w:r w:rsidRPr="00EC0AA9">
        <w:rPr>
          <w:rFonts w:ascii="Palatino Linotype" w:hAnsi="Palatino Linotype" w:cs="Arial"/>
          <w:u w:val="single"/>
        </w:rPr>
        <w:t xml:space="preserve"> </w:t>
      </w:r>
      <w:r w:rsidR="00F36D87" w:rsidRPr="00EC0AA9">
        <w:rPr>
          <w:rFonts w:ascii="Palatino Linotype" w:hAnsi="Palatino Linotype" w:cs="Arial"/>
          <w:u w:val="single"/>
        </w:rPr>
        <w:t xml:space="preserve">Ayuntamiento de </w:t>
      </w:r>
      <w:r w:rsidR="00C03872" w:rsidRPr="00EC0AA9">
        <w:rPr>
          <w:rFonts w:ascii="Palatino Linotype" w:hAnsi="Palatino Linotype" w:cs="Arial"/>
          <w:u w:val="single"/>
        </w:rPr>
        <w:t>Almoloya de Juárez</w:t>
      </w:r>
      <w:r w:rsidRPr="00EC0AA9">
        <w:rPr>
          <w:rFonts w:ascii="Palatino Linotype" w:hAnsi="Palatino Linotype" w:cs="Arial"/>
        </w:rPr>
        <w:t>, se encuentra dentro de los supuestos de obligatoriedad a transparentar y garantizar el Acceso a la Información Pública.</w:t>
      </w:r>
    </w:p>
    <w:p w14:paraId="7FDF98E7" w14:textId="77777777" w:rsidR="00280181" w:rsidRPr="00EC0AA9" w:rsidRDefault="00280181" w:rsidP="00EC0AA9">
      <w:pPr>
        <w:spacing w:line="360" w:lineRule="auto"/>
        <w:ind w:right="49"/>
        <w:jc w:val="both"/>
        <w:rPr>
          <w:rFonts w:ascii="Palatino Linotype" w:hAnsi="Palatino Linotype" w:cs="Arial"/>
        </w:rPr>
      </w:pPr>
    </w:p>
    <w:p w14:paraId="3FF9CF87" w14:textId="77777777" w:rsidR="00280181" w:rsidRPr="00EC0AA9" w:rsidRDefault="00280181" w:rsidP="00EC0AA9">
      <w:pPr>
        <w:spacing w:line="360" w:lineRule="auto"/>
        <w:ind w:right="49"/>
        <w:jc w:val="both"/>
        <w:rPr>
          <w:rFonts w:ascii="Palatino Linotype" w:hAnsi="Palatino Linotype" w:cs="Arial"/>
        </w:rPr>
      </w:pPr>
      <w:r w:rsidRPr="00EC0AA9">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6D9B4063" w14:textId="77777777" w:rsidR="00280181" w:rsidRPr="00EC0AA9" w:rsidRDefault="00280181" w:rsidP="00EC0AA9">
      <w:pPr>
        <w:spacing w:line="360" w:lineRule="auto"/>
        <w:ind w:right="49"/>
        <w:jc w:val="both"/>
        <w:rPr>
          <w:rFonts w:ascii="Palatino Linotype" w:hAnsi="Palatino Linotype" w:cs="Arial"/>
        </w:rPr>
      </w:pPr>
    </w:p>
    <w:p w14:paraId="780207B4" w14:textId="1C5BFDB5" w:rsidR="00280181" w:rsidRPr="00EC0AA9" w:rsidRDefault="00280181" w:rsidP="00EC0AA9">
      <w:pPr>
        <w:spacing w:line="360" w:lineRule="auto"/>
        <w:ind w:right="49"/>
        <w:jc w:val="both"/>
        <w:rPr>
          <w:rFonts w:ascii="Palatino Linotype" w:eastAsia="Palatino Linotype" w:hAnsi="Palatino Linotype" w:cs="Palatino Linotype"/>
        </w:rPr>
      </w:pPr>
      <w:r w:rsidRPr="00EC0AA9">
        <w:rPr>
          <w:rFonts w:ascii="Palatino Linotype" w:eastAsia="Palatino Linotype" w:hAnsi="Palatino Linotype" w:cs="Palatino Linotype"/>
        </w:rPr>
        <w:lastRenderedPageBreak/>
        <w:t xml:space="preserve">En ese tenor, para un mejor estudio y comprensión del asunto que se resuelve, es preciso recordar que, </w:t>
      </w:r>
      <w:r w:rsidR="00F56B9C" w:rsidRPr="00EC0AA9">
        <w:rPr>
          <w:rFonts w:ascii="Palatino Linotype" w:eastAsia="Palatino Linotype" w:hAnsi="Palatino Linotype" w:cs="Palatino Linotype"/>
          <w:b/>
        </w:rPr>
        <w:t>EL RECURRENTE</w:t>
      </w:r>
      <w:r w:rsidRPr="00EC0AA9">
        <w:rPr>
          <w:rFonts w:ascii="Palatino Linotype" w:eastAsia="Palatino Linotype" w:hAnsi="Palatino Linotype" w:cs="Palatino Linotype"/>
        </w:rPr>
        <w:t xml:space="preserve"> requirió al </w:t>
      </w:r>
      <w:r w:rsidRPr="00EC0AA9">
        <w:rPr>
          <w:rFonts w:ascii="Palatino Linotype" w:eastAsia="Palatino Linotype" w:hAnsi="Palatino Linotype" w:cs="Palatino Linotype"/>
          <w:b/>
        </w:rPr>
        <w:t xml:space="preserve">SUJETO OBLIGADO </w:t>
      </w:r>
      <w:r w:rsidRPr="00EC0AA9">
        <w:rPr>
          <w:rFonts w:ascii="Palatino Linotype" w:eastAsia="Palatino Linotype" w:hAnsi="Palatino Linotype" w:cs="Palatino Linotype"/>
        </w:rPr>
        <w:t>lo siguiente:</w:t>
      </w:r>
    </w:p>
    <w:p w14:paraId="2E81F010" w14:textId="7E10E520" w:rsidR="009E7439" w:rsidRPr="00EC0AA9" w:rsidRDefault="004966EA" w:rsidP="00EC0AA9">
      <w:pPr>
        <w:ind w:left="850" w:right="899"/>
        <w:jc w:val="both"/>
        <w:rPr>
          <w:rFonts w:ascii="Palatino Linotype" w:eastAsia="Palatino Linotype" w:hAnsi="Palatino Linotype" w:cs="Palatino Linotype"/>
          <w:i/>
        </w:rPr>
      </w:pPr>
      <w:r w:rsidRPr="00EC0AA9">
        <w:rPr>
          <w:rFonts w:ascii="Palatino Linotype" w:eastAsia="Palatino Linotype" w:hAnsi="Palatino Linotype" w:cs="Palatino Linotype"/>
          <w:i/>
        </w:rPr>
        <w:t xml:space="preserve">“SE SOLICITA DE TESORERÍA LA FACTURA Y EL SOPORTE DOCUMENTAL DEL PAGO REALIZADO A ESPECIALISTAS CONTABLES EN ADMINISTRACIÓN PUBLICA Y PRIVADA, POR EL PAGO DE LA CANTIDAD DE $ 291,666.65 CORRESPONDIENTE AL SERVICIO PRESTADO EN EL MES DE ENERO. ASÍ MISMO SE SOLICITA LOS DOCUMENTOS EN DONDE OBREN LAS ACTIVIDADES DE DICHO PRESTADOR DE SERVICIOS” </w:t>
      </w:r>
      <w:r w:rsidR="009E7439" w:rsidRPr="00EC0AA9">
        <w:rPr>
          <w:rFonts w:ascii="Palatino Linotype" w:eastAsia="Palatino Linotype" w:hAnsi="Palatino Linotype" w:cs="Palatino Linotype"/>
          <w:i/>
        </w:rPr>
        <w:t xml:space="preserve"> (sic)</w:t>
      </w:r>
    </w:p>
    <w:p w14:paraId="79017EF5" w14:textId="2E5567F3" w:rsidR="004E16BC" w:rsidRPr="00EC0AA9" w:rsidRDefault="009E7439" w:rsidP="00EC0AA9">
      <w:pPr>
        <w:ind w:left="850" w:right="899"/>
        <w:jc w:val="both"/>
        <w:rPr>
          <w:rFonts w:ascii="Palatino Linotype" w:eastAsia="Palatino Linotype" w:hAnsi="Palatino Linotype" w:cs="Palatino Linotype"/>
        </w:rPr>
      </w:pPr>
      <w:r w:rsidRPr="00EC0AA9">
        <w:rPr>
          <w:rFonts w:ascii="Palatino Linotype" w:eastAsia="Palatino Linotype" w:hAnsi="Palatino Linotype" w:cs="Palatino Linotype"/>
          <w:i/>
        </w:rPr>
        <w:t xml:space="preserve"> </w:t>
      </w:r>
    </w:p>
    <w:p w14:paraId="15FADA51" w14:textId="77777777" w:rsidR="004966EA" w:rsidRPr="00EC0AA9" w:rsidRDefault="000863AA" w:rsidP="00EC0AA9">
      <w:pPr>
        <w:spacing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rPr>
        <w:t xml:space="preserve">A lo que, </w:t>
      </w:r>
      <w:r w:rsidRPr="00EC0AA9">
        <w:rPr>
          <w:rFonts w:ascii="Palatino Linotype" w:eastAsia="Palatino Linotype" w:hAnsi="Palatino Linotype" w:cs="Palatino Linotype"/>
          <w:b/>
        </w:rPr>
        <w:t>EL SUJETO OBLIGADO</w:t>
      </w:r>
      <w:r w:rsidRPr="00EC0AA9">
        <w:rPr>
          <w:rFonts w:ascii="Palatino Linotype" w:eastAsia="Palatino Linotype" w:hAnsi="Palatino Linotype" w:cs="Palatino Linotype"/>
        </w:rPr>
        <w:t xml:space="preserve"> en respuesta </w:t>
      </w:r>
      <w:r w:rsidR="004966EA" w:rsidRPr="00EC0AA9">
        <w:rPr>
          <w:rFonts w:ascii="Palatino Linotype" w:eastAsia="Palatino Linotype" w:hAnsi="Palatino Linotype" w:cs="Palatino Linotype"/>
        </w:rPr>
        <w:t>remitió</w:t>
      </w:r>
      <w:r w:rsidR="004966EA" w:rsidRPr="00EC0AA9">
        <w:rPr>
          <w:rFonts w:ascii="Palatino Linotype" w:eastAsia="Palatino Linotype" w:hAnsi="Palatino Linotype" w:cs="Palatino Linotype"/>
          <w:b/>
        </w:rPr>
        <w:t xml:space="preserve"> </w:t>
      </w:r>
      <w:r w:rsidR="004966EA" w:rsidRPr="00EC0AA9">
        <w:rPr>
          <w:rFonts w:ascii="Palatino Linotype" w:eastAsia="Palatino Linotype" w:hAnsi="Palatino Linotype" w:cs="Palatino Linotype"/>
        </w:rPr>
        <w:t>dos veces el mismo archivo denominado</w:t>
      </w:r>
      <w:r w:rsidR="004966EA" w:rsidRPr="00EC0AA9">
        <w:rPr>
          <w:rFonts w:ascii="Palatino Linotype" w:eastAsia="Palatino Linotype" w:hAnsi="Palatino Linotype" w:cs="Palatino Linotype"/>
          <w:b/>
        </w:rPr>
        <w:t xml:space="preserve"> “</w:t>
      </w:r>
      <w:r w:rsidR="004966EA" w:rsidRPr="00EC0AA9">
        <w:rPr>
          <w:rFonts w:ascii="Palatino Linotype" w:eastAsia="Palatino Linotype" w:hAnsi="Palatino Linotype" w:cs="Palatino Linotype"/>
          <w:b/>
          <w:i/>
        </w:rPr>
        <w:t xml:space="preserve">SOLICITUD 80 CORRECTO.pdf” </w:t>
      </w:r>
      <w:r w:rsidR="004966EA" w:rsidRPr="00EC0AA9">
        <w:rPr>
          <w:rFonts w:ascii="Palatino Linotype" w:eastAsia="Palatino Linotype" w:hAnsi="Palatino Linotype" w:cs="Palatino Linotype"/>
        </w:rPr>
        <w:t>mismo que contiene lo siguiente:</w:t>
      </w:r>
    </w:p>
    <w:p w14:paraId="539625AC" w14:textId="7F09C075" w:rsidR="004966EA" w:rsidRPr="00EC0AA9" w:rsidRDefault="004966EA" w:rsidP="00EC0AA9">
      <w:pPr>
        <w:spacing w:line="360" w:lineRule="auto"/>
        <w:jc w:val="both"/>
        <w:rPr>
          <w:rFonts w:ascii="Palatino Linotype" w:eastAsia="Palatino Linotype" w:hAnsi="Palatino Linotype" w:cs="Palatino Linotype"/>
        </w:rPr>
      </w:pPr>
      <w:r w:rsidRPr="00EC0AA9">
        <w:rPr>
          <w:noProof/>
        </w:rPr>
        <w:lastRenderedPageBreak/>
        <w:drawing>
          <wp:inline distT="0" distB="0" distL="0" distR="0" wp14:anchorId="1972E99B" wp14:editId="32017D25">
            <wp:extent cx="5791200" cy="43243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4324350"/>
                    </a:xfrm>
                    <a:prstGeom prst="rect">
                      <a:avLst/>
                    </a:prstGeom>
                    <a:noFill/>
                    <a:ln>
                      <a:noFill/>
                    </a:ln>
                  </pic:spPr>
                </pic:pic>
              </a:graphicData>
            </a:graphic>
          </wp:inline>
        </w:drawing>
      </w:r>
    </w:p>
    <w:p w14:paraId="4C2BEB42" w14:textId="27451DF8" w:rsidR="004966EA" w:rsidRPr="00EC0AA9" w:rsidRDefault="004966EA" w:rsidP="00EC0AA9">
      <w:pPr>
        <w:spacing w:line="360" w:lineRule="auto"/>
        <w:jc w:val="both"/>
        <w:rPr>
          <w:rFonts w:ascii="Palatino Linotype" w:eastAsia="Palatino Linotype" w:hAnsi="Palatino Linotype" w:cs="Palatino Linotype"/>
        </w:rPr>
      </w:pPr>
      <w:r w:rsidRPr="00EC0AA9">
        <w:rPr>
          <w:noProof/>
        </w:rPr>
        <w:lastRenderedPageBreak/>
        <w:drawing>
          <wp:inline distT="0" distB="0" distL="0" distR="0" wp14:anchorId="6878B1E1" wp14:editId="005A679A">
            <wp:extent cx="5791200" cy="73247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7324725"/>
                    </a:xfrm>
                    <a:prstGeom prst="rect">
                      <a:avLst/>
                    </a:prstGeom>
                    <a:noFill/>
                    <a:ln>
                      <a:noFill/>
                    </a:ln>
                  </pic:spPr>
                </pic:pic>
              </a:graphicData>
            </a:graphic>
          </wp:inline>
        </w:drawing>
      </w:r>
    </w:p>
    <w:p w14:paraId="4BED2DF9" w14:textId="3390F812" w:rsidR="004966EA" w:rsidRPr="00EC0AA9" w:rsidRDefault="004966EA" w:rsidP="00EC0AA9">
      <w:pPr>
        <w:spacing w:line="360" w:lineRule="auto"/>
        <w:jc w:val="both"/>
        <w:rPr>
          <w:rFonts w:ascii="Palatino Linotype" w:eastAsia="Palatino Linotype" w:hAnsi="Palatino Linotype" w:cs="Palatino Linotype"/>
        </w:rPr>
      </w:pPr>
      <w:r w:rsidRPr="00EC0AA9">
        <w:rPr>
          <w:noProof/>
        </w:rPr>
        <w:lastRenderedPageBreak/>
        <w:drawing>
          <wp:inline distT="0" distB="0" distL="0" distR="0" wp14:anchorId="794CE505" wp14:editId="0C0193D5">
            <wp:extent cx="5791200" cy="66960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6696075"/>
                    </a:xfrm>
                    <a:prstGeom prst="rect">
                      <a:avLst/>
                    </a:prstGeom>
                    <a:noFill/>
                    <a:ln>
                      <a:noFill/>
                    </a:ln>
                  </pic:spPr>
                </pic:pic>
              </a:graphicData>
            </a:graphic>
          </wp:inline>
        </w:drawing>
      </w:r>
    </w:p>
    <w:p w14:paraId="3B39EC56" w14:textId="3B243A6D" w:rsidR="00294BBC" w:rsidRPr="00EC0AA9" w:rsidRDefault="000863AA" w:rsidP="00EC0AA9">
      <w:pPr>
        <w:spacing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rPr>
        <w:lastRenderedPageBreak/>
        <w:t xml:space="preserve">Por lo que en un acto posterior, el particular se </w:t>
      </w:r>
      <w:r w:rsidR="00B016CE" w:rsidRPr="00EC0AA9">
        <w:rPr>
          <w:rFonts w:ascii="Palatino Linotype" w:eastAsia="Palatino Linotype" w:hAnsi="Palatino Linotype" w:cs="Palatino Linotype"/>
        </w:rPr>
        <w:t xml:space="preserve">inconformó adoleciéndose de </w:t>
      </w:r>
      <w:r w:rsidR="00294BBC" w:rsidRPr="00EC0AA9">
        <w:rPr>
          <w:rFonts w:ascii="Palatino Linotype" w:eastAsia="Palatino Linotype" w:hAnsi="Palatino Linotype" w:cs="Palatino Linotype"/>
        </w:rPr>
        <w:t>lo siguiente:</w:t>
      </w:r>
    </w:p>
    <w:p w14:paraId="108E38C3" w14:textId="77777777" w:rsidR="00294BBC" w:rsidRPr="00EC0AA9" w:rsidRDefault="00294BBC" w:rsidP="00EC0AA9">
      <w:pPr>
        <w:spacing w:line="360" w:lineRule="auto"/>
        <w:jc w:val="both"/>
        <w:rPr>
          <w:rFonts w:ascii="Palatino Linotype" w:eastAsia="Palatino Linotype" w:hAnsi="Palatino Linotype" w:cs="Palatino Linotype"/>
        </w:rPr>
      </w:pPr>
    </w:p>
    <w:p w14:paraId="5D0AF2B6" w14:textId="77777777" w:rsidR="00294BBC" w:rsidRPr="00EC0AA9" w:rsidRDefault="00294BBC" w:rsidP="00EC0AA9">
      <w:pPr>
        <w:spacing w:line="360" w:lineRule="auto"/>
        <w:ind w:left="-57" w:right="-57"/>
        <w:jc w:val="both"/>
        <w:rPr>
          <w:rFonts w:ascii="Palatino Linotype" w:eastAsia="Palatino Linotype" w:hAnsi="Palatino Linotype" w:cs="Palatino Linotype"/>
          <w:b/>
          <w:u w:val="single"/>
        </w:rPr>
      </w:pPr>
      <w:r w:rsidRPr="00EC0AA9">
        <w:rPr>
          <w:rFonts w:ascii="Palatino Linotype" w:eastAsia="Palatino Linotype" w:hAnsi="Palatino Linotype" w:cs="Palatino Linotype"/>
          <w:b/>
          <w:u w:val="single"/>
        </w:rPr>
        <w:t>Acto Impugnado:</w:t>
      </w:r>
      <w:r w:rsidRPr="00EC0AA9">
        <w:rPr>
          <w:rFonts w:ascii="Palatino Linotype" w:hAnsi="Palatino Linotype"/>
          <w:b/>
          <w:u w:val="single"/>
        </w:rPr>
        <w:t xml:space="preserve"> </w:t>
      </w:r>
    </w:p>
    <w:p w14:paraId="080E107B" w14:textId="77777777" w:rsidR="00294BBC" w:rsidRPr="00EC0AA9" w:rsidRDefault="00294BBC" w:rsidP="00EC0AA9">
      <w:pPr>
        <w:tabs>
          <w:tab w:val="left" w:pos="709"/>
        </w:tabs>
        <w:spacing w:before="66"/>
        <w:ind w:left="850" w:right="899"/>
        <w:jc w:val="both"/>
        <w:rPr>
          <w:rFonts w:ascii="Palatino Linotype" w:eastAsia="Palatino Linotype" w:hAnsi="Palatino Linotype" w:cs="Palatino Linotype"/>
          <w:i/>
        </w:rPr>
      </w:pPr>
      <w:r w:rsidRPr="00EC0AA9">
        <w:rPr>
          <w:rFonts w:ascii="Palatino Linotype" w:eastAsia="Palatino Linotype" w:hAnsi="Palatino Linotype" w:cs="Palatino Linotype"/>
          <w:i/>
        </w:rPr>
        <w:t>“la respuesta otorgada por el tesorero a la solicitud de informacion.” (Sic)</w:t>
      </w:r>
    </w:p>
    <w:p w14:paraId="1E9AE26D" w14:textId="77777777" w:rsidR="00294BBC" w:rsidRPr="00EC0AA9" w:rsidRDefault="00294BBC" w:rsidP="00EC0AA9">
      <w:pPr>
        <w:ind w:right="899"/>
        <w:jc w:val="both"/>
        <w:rPr>
          <w:rFonts w:ascii="Palatino Linotype" w:eastAsia="Palatino Linotype" w:hAnsi="Palatino Linotype" w:cs="Palatino Linotype"/>
        </w:rPr>
      </w:pPr>
    </w:p>
    <w:p w14:paraId="36ED3BBA" w14:textId="77777777" w:rsidR="00294BBC" w:rsidRPr="00EC0AA9" w:rsidRDefault="00294BBC" w:rsidP="00EC0AA9">
      <w:pPr>
        <w:spacing w:line="360" w:lineRule="auto"/>
        <w:ind w:right="49"/>
        <w:jc w:val="both"/>
        <w:rPr>
          <w:rFonts w:ascii="Palatino Linotype" w:eastAsia="Palatino Linotype" w:hAnsi="Palatino Linotype" w:cs="Palatino Linotype"/>
          <w:b/>
          <w:u w:val="single"/>
        </w:rPr>
      </w:pPr>
      <w:r w:rsidRPr="00EC0AA9">
        <w:rPr>
          <w:rFonts w:ascii="Palatino Linotype" w:eastAsia="Palatino Linotype" w:hAnsi="Palatino Linotype" w:cs="Palatino Linotype"/>
          <w:b/>
          <w:u w:val="single"/>
        </w:rPr>
        <w:t>Razones o motivos de inconformidad:</w:t>
      </w:r>
    </w:p>
    <w:p w14:paraId="46191707" w14:textId="77777777" w:rsidR="00294BBC" w:rsidRPr="00EC0AA9" w:rsidRDefault="00294BBC" w:rsidP="00EC0AA9">
      <w:pPr>
        <w:tabs>
          <w:tab w:val="left" w:pos="709"/>
        </w:tabs>
        <w:spacing w:before="66"/>
        <w:ind w:left="850" w:right="899"/>
        <w:jc w:val="both"/>
        <w:rPr>
          <w:rFonts w:ascii="Palatino Linotype" w:eastAsia="Palatino Linotype" w:hAnsi="Palatino Linotype" w:cs="Palatino Linotype"/>
        </w:rPr>
      </w:pPr>
      <w:r w:rsidRPr="00EC0AA9">
        <w:rPr>
          <w:rFonts w:ascii="Palatino Linotype" w:eastAsia="Palatino Linotype" w:hAnsi="Palatino Linotype" w:cs="Palatino Linotype"/>
          <w:i/>
        </w:rPr>
        <w:t xml:space="preserve">“de la lectura de la solicitud desprende que se solicita ( Factura y Soporte documental) </w:t>
      </w:r>
      <w:r w:rsidRPr="00EC0AA9">
        <w:rPr>
          <w:rFonts w:ascii="Palatino Linotype" w:eastAsia="Palatino Linotype" w:hAnsi="Palatino Linotype" w:cs="Palatino Linotype"/>
          <w:b/>
          <w:i/>
        </w:rPr>
        <w:t>del pago de dicha factura</w:t>
      </w:r>
      <w:r w:rsidRPr="00EC0AA9">
        <w:rPr>
          <w:rFonts w:ascii="Palatino Linotype" w:eastAsia="Palatino Linotype" w:hAnsi="Palatino Linotype" w:cs="Palatino Linotype"/>
          <w:i/>
        </w:rPr>
        <w:t>. Sin embargo se omite incluir en la respuesta la demás documentación que deba de tener a la vista el tesorero para realizar el pago de dicha factura. Dichos documentos deben de acompañar la póliza y la factura para su pago, lo anterior con los Articulos 26,27 de la Ley de Contratacion Publica del estado de mexico y municipios.” (Sic)</w:t>
      </w:r>
    </w:p>
    <w:p w14:paraId="77E23A2A" w14:textId="77777777" w:rsidR="00294BBC" w:rsidRPr="00EC0AA9" w:rsidRDefault="00294BBC" w:rsidP="00EC0AA9">
      <w:pPr>
        <w:spacing w:line="360" w:lineRule="auto"/>
        <w:jc w:val="both"/>
        <w:rPr>
          <w:rFonts w:ascii="Palatino Linotype" w:eastAsia="Palatino Linotype" w:hAnsi="Palatino Linotype" w:cs="Palatino Linotype"/>
        </w:rPr>
      </w:pPr>
    </w:p>
    <w:p w14:paraId="0804A8F5" w14:textId="2862471C" w:rsidR="007262F4" w:rsidRPr="00EC0AA9" w:rsidRDefault="007262F4" w:rsidP="00EC0AA9">
      <w:pPr>
        <w:spacing w:before="100" w:beforeAutospacing="1" w:after="100" w:afterAutospacing="1" w:line="360" w:lineRule="auto"/>
        <w:jc w:val="both"/>
        <w:rPr>
          <w:rFonts w:ascii="Palatino Linotype" w:hAnsi="Palatino Linotype" w:cs="Arial"/>
          <w:i/>
        </w:rPr>
      </w:pPr>
      <w:r w:rsidRPr="00EC0AA9">
        <w:rPr>
          <w:rFonts w:ascii="Palatino Linotype" w:hAnsi="Palatino Linotype"/>
          <w:lang w:val="es-ES_tradnl"/>
        </w:rPr>
        <w:t xml:space="preserve">Ante tal situación </w:t>
      </w:r>
      <w:r w:rsidRPr="00EC0AA9">
        <w:rPr>
          <w:rFonts w:ascii="Palatino Linotype" w:hAnsi="Palatino Linotype"/>
          <w:b/>
          <w:lang w:val="es-ES_tradnl"/>
        </w:rPr>
        <w:t xml:space="preserve">EL RECURRENTE </w:t>
      </w:r>
      <w:r w:rsidRPr="00EC0AA9">
        <w:rPr>
          <w:rFonts w:ascii="Palatino Linotype" w:hAnsi="Palatino Linotype"/>
          <w:lang w:val="es-ES_tradnl"/>
        </w:rPr>
        <w:t xml:space="preserve">únicamente se adolece respecto a </w:t>
      </w:r>
      <w:r w:rsidRPr="00EC0AA9">
        <w:rPr>
          <w:rFonts w:ascii="Palatino Linotype" w:hAnsi="Palatino Linotype"/>
          <w:i/>
          <w:lang w:val="es-ES_tradnl"/>
        </w:rPr>
        <w:t>“</w:t>
      </w:r>
      <w:r w:rsidR="00077728" w:rsidRPr="00EC0AA9">
        <w:rPr>
          <w:rFonts w:ascii="Palatino Linotype" w:hAnsi="Palatino Linotype"/>
          <w:i/>
          <w:lang w:val="es-ES_tradnl"/>
        </w:rPr>
        <w:t>se omite incluir en la respuesta la demás documentación que deba de tener a la vista el tesorero para realizar el pago de dicha factura. Dichos documentos deben de acompañar la póliza y la factura para su pago, lo anterior con los Articulos 26,27 de la Ley de Contratacion Publica del estado de mexico y municipios</w:t>
      </w:r>
      <w:r w:rsidRPr="00EC0AA9">
        <w:rPr>
          <w:rFonts w:ascii="Palatino Linotype" w:hAnsi="Palatino Linotype"/>
          <w:i/>
          <w:lang w:val="es-ES_tradnl"/>
        </w:rPr>
        <w:t>”</w:t>
      </w:r>
    </w:p>
    <w:p w14:paraId="35D26F42" w14:textId="0931FE80" w:rsidR="007262F4" w:rsidRPr="00EC0AA9" w:rsidRDefault="007262F4" w:rsidP="00EC0AA9">
      <w:pPr>
        <w:spacing w:before="100" w:beforeAutospacing="1" w:after="100" w:afterAutospacing="1" w:line="360" w:lineRule="auto"/>
        <w:jc w:val="both"/>
        <w:rPr>
          <w:rFonts w:ascii="Palatino Linotype" w:hAnsi="Palatino Linotype" w:cs="Arial"/>
          <w:i/>
        </w:rPr>
      </w:pPr>
      <w:r w:rsidRPr="00EC0AA9">
        <w:rPr>
          <w:rFonts w:ascii="Palatino Linotype" w:hAnsi="Palatino Linotype"/>
          <w:lang w:val="es-ES_tradnl"/>
        </w:rPr>
        <w:t xml:space="preserve">Por tal circunstancia, no se hará pronunciamiento sobre la información entregada por </w:t>
      </w:r>
      <w:r w:rsidRPr="00EC0AA9">
        <w:rPr>
          <w:rFonts w:ascii="Palatino Linotype" w:hAnsi="Palatino Linotype"/>
          <w:b/>
          <w:lang w:val="es-ES_tradnl"/>
        </w:rPr>
        <w:t xml:space="preserve">EL SUJETO OBLIGADO </w:t>
      </w:r>
      <w:r w:rsidRPr="00EC0AA9">
        <w:rPr>
          <w:rFonts w:ascii="Palatino Linotype" w:hAnsi="Palatino Linotype"/>
          <w:lang w:val="es-ES_tradnl"/>
        </w:rPr>
        <w:t xml:space="preserve">referente a </w:t>
      </w:r>
      <w:r w:rsidRPr="00EC0AA9">
        <w:rPr>
          <w:rFonts w:ascii="Palatino Linotype" w:eastAsia="MS Mincho" w:hAnsi="Palatino Linotype" w:cs="Arial"/>
          <w:i/>
        </w:rPr>
        <w:t xml:space="preserve"> “</w:t>
      </w:r>
      <w:r w:rsidR="00077728" w:rsidRPr="00EC0AA9">
        <w:rPr>
          <w:rFonts w:ascii="Palatino Linotype" w:eastAsia="MS Mincho" w:hAnsi="Palatino Linotype" w:cs="Arial"/>
          <w:b/>
          <w:i/>
        </w:rPr>
        <w:t>ASÍ MISMO SE SOLICITA LOS DOCUMENTOS EN DONDE OBREN LAS ACTIVIDADES DE DICHO PRESTADOR DE SERVICIOS</w:t>
      </w:r>
      <w:r w:rsidRPr="00EC0AA9">
        <w:rPr>
          <w:rFonts w:ascii="Palatino Linotype" w:eastAsia="MS Mincho" w:hAnsi="Palatino Linotype" w:cs="Arial"/>
          <w:i/>
        </w:rPr>
        <w:t>”</w:t>
      </w:r>
      <w:r w:rsidRPr="00EC0AA9">
        <w:rPr>
          <w:rFonts w:ascii="Palatino Linotype" w:hAnsi="Palatino Linotype"/>
          <w:lang w:val="es-ES_tradnl"/>
        </w:rPr>
        <w:t xml:space="preserve">, por no ser materia de impugnación, lo anterior de conformidad con </w:t>
      </w:r>
      <w:r w:rsidRPr="00EC0AA9">
        <w:rPr>
          <w:rFonts w:ascii="Palatino Linotype" w:hAnsi="Palatino Linotype"/>
          <w:lang w:val="es-ES_tradnl"/>
        </w:rPr>
        <w:lastRenderedPageBreak/>
        <w:t xml:space="preserve">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formato de Recurso de Revisión. </w:t>
      </w:r>
    </w:p>
    <w:p w14:paraId="65030FEA" w14:textId="77777777" w:rsidR="007262F4" w:rsidRPr="00EC0AA9" w:rsidRDefault="007262F4" w:rsidP="00EC0AA9">
      <w:pPr>
        <w:spacing w:before="100" w:beforeAutospacing="1" w:after="100" w:afterAutospacing="1" w:line="360" w:lineRule="auto"/>
        <w:jc w:val="both"/>
        <w:rPr>
          <w:rFonts w:ascii="Palatino Linotype" w:hAnsi="Palatino Linotype"/>
          <w:lang w:val="es-ES_tradnl"/>
        </w:rPr>
      </w:pPr>
      <w:r w:rsidRPr="00EC0AA9">
        <w:rPr>
          <w:rFonts w:ascii="Palatino Linotype" w:hAnsi="Palatino Linotype"/>
          <w:lang w:val="es-ES_tradnl"/>
        </w:rPr>
        <w:t>Sirve de sustento, la tesis jurisprudencial número VI.3o.C. J/60, publicada en el Semanario Judicial de la Federación y su Gaceta bajo el número de registro 176,608 que a la letra dice:</w:t>
      </w:r>
    </w:p>
    <w:p w14:paraId="41867526" w14:textId="77777777" w:rsidR="007262F4" w:rsidRPr="00EC0AA9" w:rsidRDefault="007262F4" w:rsidP="00EC0AA9">
      <w:pPr>
        <w:ind w:left="851" w:right="616"/>
        <w:jc w:val="both"/>
        <w:rPr>
          <w:rFonts w:ascii="Palatino Linotype" w:hAnsi="Palatino Linotype"/>
          <w:i/>
          <w:lang w:val="es-ES_tradnl"/>
        </w:rPr>
      </w:pPr>
      <w:r w:rsidRPr="00EC0AA9">
        <w:rPr>
          <w:rFonts w:ascii="Palatino Linotype" w:hAnsi="Palatino Linotype"/>
          <w:b/>
          <w:bCs/>
          <w:i/>
          <w:lang w:val="es-ES_tradnl"/>
        </w:rPr>
        <w:t xml:space="preserve">“ACTOS CONSENTIDOS. SON LOS QUE NO SE IMPUGNAN MEDIANTE EL RECURSO IDÓNEO. </w:t>
      </w:r>
      <w:r w:rsidRPr="00EC0AA9">
        <w:rPr>
          <w:rFonts w:ascii="Palatino Linotype" w:hAnsi="Palatino Linotype"/>
          <w:i/>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E491748" w14:textId="77777777" w:rsidR="007262F4" w:rsidRPr="00EC0AA9" w:rsidRDefault="007262F4" w:rsidP="00EC0AA9">
      <w:pPr>
        <w:rPr>
          <w:rFonts w:ascii="Palatino Linotype" w:hAnsi="Palatino Linotype"/>
          <w:i/>
          <w:lang w:val="es-ES_tradnl"/>
        </w:rPr>
      </w:pPr>
    </w:p>
    <w:p w14:paraId="350F1540" w14:textId="77777777" w:rsidR="007262F4" w:rsidRPr="00EC0AA9" w:rsidRDefault="007262F4" w:rsidP="00EC0AA9">
      <w:pPr>
        <w:spacing w:before="100" w:beforeAutospacing="1" w:after="100" w:afterAutospacing="1" w:line="360" w:lineRule="auto"/>
        <w:jc w:val="both"/>
        <w:rPr>
          <w:rFonts w:ascii="Palatino Linotype" w:hAnsi="Palatino Linotype"/>
          <w:lang w:val="es-ES_tradnl"/>
        </w:rPr>
      </w:pPr>
      <w:r w:rsidRPr="00EC0AA9">
        <w:rPr>
          <w:rFonts w:ascii="Palatino Linotype" w:hAnsi="Palatino Linotype"/>
          <w:lang w:val="es-ES_tradnl"/>
        </w:rPr>
        <w:t>Lo anterior es así, debido a que cuando el particular</w:t>
      </w:r>
      <w:r w:rsidRPr="00EC0AA9">
        <w:rPr>
          <w:rFonts w:ascii="Palatino Linotype" w:hAnsi="Palatino Linotype"/>
          <w:b/>
          <w:lang w:val="es-ES_tradnl"/>
        </w:rPr>
        <w:t xml:space="preserve"> </w:t>
      </w:r>
      <w:r w:rsidRPr="00EC0AA9">
        <w:rPr>
          <w:rFonts w:ascii="Palatino Linotype" w:hAnsi="Palatino Linotype"/>
          <w:lang w:val="es-ES_tradnl"/>
        </w:rPr>
        <w:t xml:space="preserve">impugnó la respuesta del </w:t>
      </w:r>
      <w:r w:rsidRPr="00EC0AA9">
        <w:rPr>
          <w:rFonts w:ascii="Palatino Linotype" w:hAnsi="Palatino Linotype"/>
          <w:b/>
          <w:lang w:val="es-ES_tradnl"/>
        </w:rPr>
        <w:t>SUJETO OBLIGADO</w:t>
      </w:r>
      <w:r w:rsidRPr="00EC0AA9">
        <w:rPr>
          <w:rFonts w:ascii="Palatino Linotype" w:hAnsi="Palatino Linotype"/>
          <w:lang w:val="es-ES_tradnl"/>
        </w:rPr>
        <w:t xml:space="preserve">, y no expresó razón o motivo de inconformidad en contra de todos los rubros solicitados, dichos rubros deben declararse atendidos, pues se entiende que </w:t>
      </w:r>
      <w:r w:rsidRPr="00EC0AA9">
        <w:rPr>
          <w:rFonts w:ascii="Palatino Linotype" w:hAnsi="Palatino Linotype"/>
          <w:b/>
          <w:lang w:val="es-ES_tradnl"/>
        </w:rPr>
        <w:t xml:space="preserve">EL </w:t>
      </w:r>
      <w:r w:rsidRPr="00EC0AA9">
        <w:rPr>
          <w:rFonts w:ascii="Palatino Linotype" w:hAnsi="Palatino Linotype"/>
          <w:b/>
          <w:lang w:val="es-ES_tradnl"/>
        </w:rPr>
        <w:lastRenderedPageBreak/>
        <w:t>RECURRENTE</w:t>
      </w:r>
      <w:r w:rsidRPr="00EC0AA9">
        <w:rPr>
          <w:rFonts w:ascii="Palatino Linotype" w:hAnsi="Palatino Linotype"/>
          <w:lang w:val="es-ES_tradnl"/>
        </w:rPr>
        <w:t xml:space="preserve"> está conforme con la respuesta proporcionada por </w:t>
      </w:r>
      <w:r w:rsidRPr="00EC0AA9">
        <w:rPr>
          <w:rFonts w:ascii="Palatino Linotype" w:hAnsi="Palatino Linotype"/>
          <w:b/>
          <w:lang w:val="es-ES_tradnl"/>
        </w:rPr>
        <w:t>EL SUJETO OBLIGADO,</w:t>
      </w:r>
      <w:r w:rsidRPr="00EC0AA9">
        <w:rPr>
          <w:rFonts w:ascii="Palatino Linotype" w:hAnsi="Palatino Linotype"/>
          <w:lang w:val="es-ES_tradnl"/>
        </w:rPr>
        <w:t xml:space="preserve"> al no contravenir la misma. </w:t>
      </w:r>
    </w:p>
    <w:p w14:paraId="1EAF07E7" w14:textId="77777777" w:rsidR="007262F4" w:rsidRPr="00EC0AA9" w:rsidRDefault="007262F4" w:rsidP="00EC0AA9">
      <w:pPr>
        <w:spacing w:before="100" w:beforeAutospacing="1" w:after="100" w:afterAutospacing="1" w:line="360" w:lineRule="auto"/>
        <w:jc w:val="both"/>
        <w:rPr>
          <w:rFonts w:ascii="Palatino Linotype" w:hAnsi="Palatino Linotype"/>
          <w:lang w:val="es-ES_tradnl"/>
        </w:rPr>
      </w:pPr>
      <w:r w:rsidRPr="00EC0AA9">
        <w:rPr>
          <w:rFonts w:ascii="Palatino Linotype" w:hAnsi="Palatino Linotype"/>
          <w:lang w:val="es-ES_tradnl"/>
        </w:rPr>
        <w:t>Atento a ello, es importante traer a contexto la Tesis Jurisprudencial Número 3ª./J.7/91, Publicada en el Semanario Judicial de la Federación y su Gaceta bajo el número de registro 174,177, que establece lo siguiente:</w:t>
      </w:r>
    </w:p>
    <w:p w14:paraId="3BCEDF9E" w14:textId="77777777" w:rsidR="007262F4" w:rsidRPr="00EC0AA9" w:rsidRDefault="007262F4" w:rsidP="00EC0AA9">
      <w:pPr>
        <w:ind w:left="851" w:right="616"/>
        <w:jc w:val="both"/>
        <w:rPr>
          <w:rFonts w:ascii="Palatino Linotype" w:hAnsi="Palatino Linotype"/>
          <w:bCs/>
          <w:i/>
          <w:iCs/>
          <w:lang w:val="es-ES_tradnl"/>
        </w:rPr>
      </w:pPr>
      <w:r w:rsidRPr="00EC0AA9">
        <w:rPr>
          <w:rFonts w:ascii="Palatino Linotype" w:hAnsi="Palatino Linotype"/>
          <w:b/>
          <w:i/>
          <w:lang w:val="es-ES_tradnl"/>
        </w:rPr>
        <w:t xml:space="preserve">“REVISIÓN EN AMPARO. LOS RESOLUTIVOS NO COMBATIDOS DEBEN DECLARARSE FIRMES. </w:t>
      </w:r>
      <w:r w:rsidRPr="00EC0AA9">
        <w:rPr>
          <w:rFonts w:ascii="Palatino Linotype" w:hAnsi="Palatino Linotype"/>
          <w:bCs/>
          <w:i/>
          <w:iCs/>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EC0AA9">
        <w:rPr>
          <w:rFonts w:ascii="Palatino Linotype" w:hAnsi="Palatino Linotype"/>
          <w:i/>
          <w:lang w:val="es-ES_tradnl"/>
        </w:rPr>
        <w:t>todos</w:t>
      </w:r>
      <w:r w:rsidRPr="00EC0AA9">
        <w:rPr>
          <w:rFonts w:ascii="Palatino Linotype" w:hAnsi="Palatino Linotype"/>
          <w:bCs/>
          <w:i/>
          <w:iCs/>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A657ACE" w14:textId="77777777" w:rsidR="007262F4" w:rsidRPr="00EC0AA9" w:rsidRDefault="007262F4" w:rsidP="00EC0AA9">
      <w:pPr>
        <w:ind w:left="851" w:right="616"/>
        <w:jc w:val="both"/>
        <w:rPr>
          <w:rFonts w:ascii="Palatino Linotype" w:hAnsi="Palatino Linotype"/>
          <w:bCs/>
          <w:i/>
          <w:iCs/>
          <w:lang w:val="es-ES_tradnl"/>
        </w:rPr>
      </w:pPr>
    </w:p>
    <w:p w14:paraId="7224F278" w14:textId="77777777" w:rsidR="007262F4" w:rsidRPr="00EC0AA9" w:rsidRDefault="007262F4" w:rsidP="00EC0AA9">
      <w:pPr>
        <w:spacing w:before="100" w:beforeAutospacing="1" w:after="100" w:afterAutospacing="1" w:line="360" w:lineRule="auto"/>
        <w:jc w:val="both"/>
        <w:rPr>
          <w:rFonts w:ascii="Palatino Linotype" w:hAnsi="Palatino Linotype"/>
          <w:lang w:val="es-ES_tradnl"/>
        </w:rPr>
      </w:pPr>
      <w:r w:rsidRPr="00EC0AA9">
        <w:rPr>
          <w:rFonts w:ascii="Palatino Linotype" w:hAnsi="Palatino Linotype"/>
          <w:lang w:val="es-ES_tradnl"/>
        </w:rPr>
        <w:t xml:space="preserve">Para mayor precisión, lo anterior guarda relación toda vez que en el caso de que </w:t>
      </w:r>
      <w:r w:rsidRPr="00EC0AA9">
        <w:rPr>
          <w:rFonts w:ascii="Palatino Linotype" w:hAnsi="Palatino Linotype"/>
          <w:b/>
          <w:lang w:val="es-ES_tradnl"/>
        </w:rPr>
        <w:t>EL RECURRENTE</w:t>
      </w:r>
      <w:r w:rsidRPr="00EC0AA9">
        <w:rPr>
          <w:rFonts w:ascii="Palatino Linotype" w:hAnsi="Palatino Linotype"/>
          <w:lang w:val="es-ES_tradnl"/>
        </w:rPr>
        <w:t xml:space="preserv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03070D1A" w14:textId="77777777" w:rsidR="007262F4" w:rsidRPr="00EC0AA9" w:rsidRDefault="007262F4" w:rsidP="00EC0AA9">
      <w:pPr>
        <w:ind w:left="851" w:right="618"/>
        <w:jc w:val="both"/>
        <w:rPr>
          <w:rFonts w:ascii="Palatino Linotype" w:hAnsi="Palatino Linotype"/>
          <w:bCs/>
          <w:i/>
        </w:rPr>
      </w:pPr>
      <w:r w:rsidRPr="00EC0AA9">
        <w:rPr>
          <w:rFonts w:ascii="Palatino Linotype" w:hAnsi="Palatino Linotype"/>
          <w:b/>
          <w:bCs/>
          <w:i/>
        </w:rPr>
        <w:lastRenderedPageBreak/>
        <w:t xml:space="preserve">“Actos consentidos tácitamente. Improcedencia de su análisis. </w:t>
      </w:r>
      <w:r w:rsidRPr="00EC0AA9">
        <w:rPr>
          <w:rFonts w:ascii="Palatino Linotype" w:hAnsi="Palatino Linotype"/>
          <w:bCs/>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08E475B" w14:textId="77777777" w:rsidR="007262F4" w:rsidRPr="00EC0AA9" w:rsidRDefault="007262F4" w:rsidP="00EC0AA9">
      <w:pPr>
        <w:rPr>
          <w:rFonts w:ascii="Palatino Linotype" w:hAnsi="Palatino Linotype"/>
          <w:bCs/>
          <w:iCs/>
        </w:rPr>
      </w:pPr>
    </w:p>
    <w:p w14:paraId="2D544EA5" w14:textId="02A72221" w:rsidR="007262F4" w:rsidRPr="00EC0AA9" w:rsidRDefault="007262F4" w:rsidP="00EC0AA9">
      <w:pPr>
        <w:spacing w:before="100" w:beforeAutospacing="1" w:after="100" w:afterAutospacing="1" w:line="360" w:lineRule="auto"/>
        <w:jc w:val="both"/>
        <w:rPr>
          <w:rFonts w:ascii="Palatino Linotype" w:hAnsi="Palatino Linotype"/>
          <w:bCs/>
          <w:i/>
        </w:rPr>
      </w:pPr>
      <w:r w:rsidRPr="00EC0AA9">
        <w:rPr>
          <w:rFonts w:ascii="Palatino Linotype" w:hAnsi="Palatino Linotype"/>
        </w:rPr>
        <w:t xml:space="preserve">Conforme al Criterio establecido y a todo lo antes expuesto, este Órgano Garante no entra al análisis de las partes de la respuesta del </w:t>
      </w:r>
      <w:r w:rsidRPr="00EC0AA9">
        <w:rPr>
          <w:rFonts w:ascii="Palatino Linotype" w:hAnsi="Palatino Linotype"/>
          <w:b/>
        </w:rPr>
        <w:t>SUJETO OBLIGADO</w:t>
      </w:r>
      <w:r w:rsidRPr="00EC0AA9">
        <w:rPr>
          <w:rFonts w:ascii="Palatino Linotype" w:hAnsi="Palatino Linotype"/>
        </w:rPr>
        <w:t xml:space="preserve"> que no fueron impugnadas por </w:t>
      </w:r>
      <w:r w:rsidR="001F6ACA" w:rsidRPr="001F6ACA">
        <w:rPr>
          <w:rFonts w:ascii="Palatino Linotype" w:hAnsi="Palatino Linotype"/>
          <w:b/>
          <w:bCs/>
        </w:rPr>
        <w:t>EL RECURRENTE</w:t>
      </w:r>
      <w:r w:rsidRPr="00EC0AA9">
        <w:rPr>
          <w:rFonts w:ascii="Palatino Linotype" w:hAnsi="Palatino Linotype"/>
          <w:bCs/>
        </w:rPr>
        <w:t xml:space="preserve">; por lo que, en el presente caso, se tiene por consentida la información respecto a </w:t>
      </w:r>
      <w:r w:rsidRPr="00EC0AA9">
        <w:rPr>
          <w:rFonts w:ascii="Palatino Linotype" w:hAnsi="Palatino Linotype"/>
          <w:bCs/>
          <w:i/>
        </w:rPr>
        <w:t>“</w:t>
      </w:r>
      <w:r w:rsidR="00323FC1" w:rsidRPr="00EC0AA9">
        <w:rPr>
          <w:rFonts w:ascii="Palatino Linotype" w:eastAsia="Palatino Linotype" w:hAnsi="Palatino Linotype" w:cs="Palatino Linotype"/>
          <w:b/>
          <w:i/>
        </w:rPr>
        <w:t>LOS DOCUMENTOS EN DONDE OBREN LAS ACTIVIDADES DE DICHO PRESTADOR DE SERVICIOS</w:t>
      </w:r>
      <w:r w:rsidRPr="00EC0AA9">
        <w:rPr>
          <w:rFonts w:ascii="Palatino Linotype" w:hAnsi="Palatino Linotype"/>
          <w:bCs/>
          <w:i/>
        </w:rPr>
        <w:t>”</w:t>
      </w:r>
    </w:p>
    <w:p w14:paraId="3146705F" w14:textId="4517BFFA" w:rsidR="00F1023A" w:rsidRPr="00EC0AA9" w:rsidRDefault="00F1023A" w:rsidP="00EC0AA9">
      <w:pPr>
        <w:spacing w:line="360" w:lineRule="auto"/>
        <w:jc w:val="both"/>
        <w:rPr>
          <w:rFonts w:ascii="Palatino Linotype" w:hAnsi="Palatino Linotype" w:cs="Tahoma"/>
          <w:bCs/>
        </w:rPr>
      </w:pPr>
      <w:r w:rsidRPr="00EC0AA9">
        <w:rPr>
          <w:rFonts w:ascii="Palatino Linotype" w:hAnsi="Palatino Linotype" w:cs="Tahoma"/>
          <w:lang w:val="es-ES"/>
        </w:rPr>
        <w:t xml:space="preserve">Establecido lo anterior, se procede analizar la respuesta entregada por el Sujeto Obligado, de la cual, se advierte que el Sujeto Obligado turno la solicitud de información únicamente a la </w:t>
      </w:r>
      <w:r w:rsidR="00E51C68" w:rsidRPr="00EC0AA9">
        <w:rPr>
          <w:rFonts w:ascii="Palatino Linotype" w:eastAsia="Palatino Linotype" w:hAnsi="Palatino Linotype" w:cs="Palatino Linotype"/>
          <w:b/>
        </w:rPr>
        <w:t>Tesorería</w:t>
      </w:r>
      <w:r w:rsidR="008A470A" w:rsidRPr="00EC0AA9">
        <w:rPr>
          <w:rFonts w:ascii="Palatino Linotype" w:eastAsia="Palatino Linotype" w:hAnsi="Palatino Linotype" w:cs="Palatino Linotype"/>
          <w:b/>
        </w:rPr>
        <w:t xml:space="preserve"> del Ayuntamiento</w:t>
      </w:r>
      <w:r w:rsidRPr="00EC0AA9">
        <w:rPr>
          <w:rFonts w:ascii="Palatino Linotype" w:hAnsi="Palatino Linotype" w:cs="Tahoma"/>
          <w:lang w:val="es-ES"/>
        </w:rPr>
        <w:t>; por lo que</w:t>
      </w:r>
      <w:r w:rsidRPr="00EC0AA9">
        <w:rPr>
          <w:rFonts w:ascii="Palatino Linotype" w:hAnsi="Palatino Linotype"/>
        </w:rPr>
        <w:t xml:space="preserve">, </w:t>
      </w:r>
      <w:r w:rsidRPr="00EC0AA9">
        <w:rPr>
          <w:rFonts w:ascii="Palatino Linotype" w:hAnsi="Palatino Linotype" w:cs="Tahoma"/>
        </w:rPr>
        <w:t xml:space="preserve">es </w:t>
      </w:r>
      <w:r w:rsidRPr="00EC0AA9">
        <w:rPr>
          <w:rFonts w:ascii="Palatino Linotype" w:hAnsi="Palatino Linotype" w:cs="Tahoma"/>
          <w:bCs/>
        </w:rPr>
        <w:t xml:space="preserve">necesario hacer referencia </w:t>
      </w:r>
      <w:r w:rsidRPr="00EC0AA9">
        <w:rPr>
          <w:rFonts w:ascii="Palatino Linotype" w:hAnsi="Palatino Linotype" w:cs="Tahoma"/>
        </w:rPr>
        <w:t xml:space="preserve">al </w:t>
      </w:r>
      <w:r w:rsidRPr="00EC0AA9">
        <w:rPr>
          <w:rFonts w:ascii="Palatino Linotype" w:hAnsi="Palatino Linotype" w:cs="Tahoma"/>
          <w:b/>
        </w:rPr>
        <w:t>procedimiento de búsqueda que deben de seguir los Sujetos Obligados para localizar la información</w:t>
      </w:r>
      <w:r w:rsidRPr="00EC0AA9">
        <w:rPr>
          <w:rFonts w:ascii="Palatino Linotype" w:hAnsi="Palatino Linotype" w:cs="Tahoma"/>
        </w:rPr>
        <w:t>, el cual se encuentra previsto en los artículos</w:t>
      </w:r>
      <w:r w:rsidRPr="00EC0AA9">
        <w:rPr>
          <w:rFonts w:ascii="Palatino Linotype" w:hAnsi="Palatino Linotype" w:cs="Tahoma"/>
          <w:bCs/>
        </w:rPr>
        <w:t xml:space="preserve"> 160 y 162 de la Ley de Transparencia y Acceso a la Información Pública del Estado de México y Municipios, mismo que es el siguiente:</w:t>
      </w:r>
    </w:p>
    <w:p w14:paraId="7651BB2F" w14:textId="77777777" w:rsidR="00F1023A" w:rsidRPr="00EC0AA9" w:rsidRDefault="00F1023A" w:rsidP="00EC0AA9">
      <w:pPr>
        <w:spacing w:line="360" w:lineRule="auto"/>
        <w:jc w:val="both"/>
        <w:rPr>
          <w:rFonts w:ascii="Palatino Linotype" w:hAnsi="Palatino Linotype" w:cs="Tahoma"/>
          <w:lang w:val="es-ES"/>
        </w:rPr>
      </w:pPr>
    </w:p>
    <w:p w14:paraId="3886EFA3" w14:textId="77777777" w:rsidR="00F1023A" w:rsidRPr="00EC0AA9" w:rsidRDefault="00F1023A" w:rsidP="00EC0AA9">
      <w:pPr>
        <w:numPr>
          <w:ilvl w:val="0"/>
          <w:numId w:val="6"/>
        </w:numPr>
        <w:spacing w:line="360" w:lineRule="auto"/>
        <w:jc w:val="both"/>
        <w:rPr>
          <w:rFonts w:ascii="Palatino Linotype" w:hAnsi="Palatino Linotype" w:cs="Tahoma"/>
          <w:bCs/>
          <w:lang w:val="es-ES"/>
        </w:rPr>
      </w:pPr>
      <w:r w:rsidRPr="00EC0AA9">
        <w:rPr>
          <w:rFonts w:ascii="Palatino Linotype" w:hAnsi="Palatino Linotype" w:cs="Tahoma"/>
          <w:bCs/>
          <w:lang w:val="es-ES"/>
        </w:rPr>
        <w:t xml:space="preserve">Las Unidades de Transparencia garantizarán que las solicitudes de acceso a la información se turnen a todas las áreas competentes que cuenten con la información o deban tenerla -de acuerdo a las facultades, competencias y </w:t>
      </w:r>
      <w:r w:rsidRPr="00EC0AA9">
        <w:rPr>
          <w:rFonts w:ascii="Palatino Linotype" w:hAnsi="Palatino Linotype" w:cs="Tahoma"/>
          <w:bCs/>
          <w:lang w:val="es-ES"/>
        </w:rPr>
        <w:lastRenderedPageBreak/>
        <w:t>funciones-, con el objeto de que dichas áreas realicen una búsqueda exhaustiva y razonable de la información requerida, y</w:t>
      </w:r>
    </w:p>
    <w:p w14:paraId="2BA419E8" w14:textId="77777777" w:rsidR="00F1023A" w:rsidRPr="00EC0AA9" w:rsidRDefault="00F1023A" w:rsidP="00EC0AA9">
      <w:pPr>
        <w:spacing w:line="360" w:lineRule="auto"/>
        <w:jc w:val="both"/>
        <w:rPr>
          <w:rFonts w:ascii="Palatino Linotype" w:hAnsi="Palatino Linotype" w:cs="Tahoma"/>
          <w:bCs/>
          <w:lang w:val="es-ES"/>
        </w:rPr>
      </w:pPr>
    </w:p>
    <w:p w14:paraId="51829D04" w14:textId="77777777" w:rsidR="00F1023A" w:rsidRPr="00EC0AA9" w:rsidRDefault="00F1023A" w:rsidP="00EC0AA9">
      <w:pPr>
        <w:numPr>
          <w:ilvl w:val="0"/>
          <w:numId w:val="6"/>
        </w:numPr>
        <w:spacing w:line="360" w:lineRule="auto"/>
        <w:jc w:val="both"/>
        <w:rPr>
          <w:rFonts w:ascii="Palatino Linotype" w:hAnsi="Palatino Linotype" w:cs="Tahoma"/>
          <w:bCs/>
          <w:lang w:val="es-ES"/>
        </w:rPr>
      </w:pPr>
      <w:r w:rsidRPr="00EC0AA9">
        <w:rPr>
          <w:rFonts w:ascii="Palatino Linotype" w:hAnsi="Palatino Linotype" w:cs="Tahoma"/>
          <w:bCs/>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1ACE8416" w14:textId="77777777" w:rsidR="00F1023A" w:rsidRPr="00EC0AA9" w:rsidRDefault="00F1023A" w:rsidP="00EC0AA9">
      <w:pPr>
        <w:spacing w:line="360" w:lineRule="auto"/>
        <w:jc w:val="both"/>
        <w:rPr>
          <w:rFonts w:ascii="Palatino Linotype" w:hAnsi="Palatino Linotype" w:cs="Tahoma"/>
          <w:b/>
          <w:bCs/>
        </w:rPr>
      </w:pPr>
    </w:p>
    <w:p w14:paraId="7FAE0D77" w14:textId="0D927827" w:rsidR="00F1023A" w:rsidRPr="00EC0AA9" w:rsidRDefault="00F1023A" w:rsidP="00EC0AA9">
      <w:pPr>
        <w:spacing w:line="360" w:lineRule="auto"/>
        <w:jc w:val="both"/>
        <w:rPr>
          <w:rFonts w:ascii="Palatino Linotype" w:hAnsi="Palatino Linotype"/>
        </w:rPr>
      </w:pPr>
      <w:r w:rsidRPr="00EC0AA9">
        <w:rPr>
          <w:rFonts w:ascii="Palatino Linotype" w:hAnsi="Palatino Linotype"/>
        </w:rPr>
        <w:t xml:space="preserve">Así, este Órgano Garante considera que el Sujeto Obligado cumplió con el procedimiento de búsqueda exhaustiva y razonable, pues gestionó la solicitud de información en </w:t>
      </w:r>
      <w:r w:rsidR="004F4791" w:rsidRPr="00EC0AA9">
        <w:rPr>
          <w:rFonts w:ascii="Palatino Linotype" w:hAnsi="Palatino Linotype"/>
        </w:rPr>
        <w:t>el área donde obra la información.</w:t>
      </w:r>
    </w:p>
    <w:p w14:paraId="53478763" w14:textId="77777777" w:rsidR="00F1023A" w:rsidRPr="00EC0AA9" w:rsidRDefault="00F1023A" w:rsidP="00EC0AA9">
      <w:pPr>
        <w:spacing w:line="360" w:lineRule="auto"/>
        <w:jc w:val="both"/>
        <w:rPr>
          <w:rFonts w:ascii="Palatino Linotype" w:hAnsi="Palatino Linotype"/>
        </w:rPr>
      </w:pPr>
    </w:p>
    <w:p w14:paraId="7A21D639" w14:textId="77777777" w:rsidR="00F1023A" w:rsidRPr="00EC0AA9" w:rsidRDefault="00F1023A" w:rsidP="00EC0AA9">
      <w:pPr>
        <w:spacing w:line="360" w:lineRule="auto"/>
        <w:jc w:val="both"/>
        <w:rPr>
          <w:rFonts w:ascii="Palatino Linotype" w:hAnsi="Palatino Linotype" w:cs="Tahoma"/>
        </w:rPr>
      </w:pPr>
      <w:r w:rsidRPr="00EC0AA9">
        <w:rPr>
          <w:rFonts w:ascii="Palatino Linotype" w:hAnsi="Palatino Linotype" w:cs="Tahoma"/>
        </w:rPr>
        <w:t xml:space="preserve">Aunado a lo anterior, el artículo 1.8, fracción XIII, del Código Administrativo del Estado de México, establece que para que tenga validez, todo acto administrativo deberá resolver todos los puntos propuestos por los interesados; además, el </w:t>
      </w:r>
      <w:r w:rsidRPr="00EC0AA9">
        <w:rPr>
          <w:rFonts w:ascii="Palatino Linotype" w:hAnsi="Palatino Linotype" w:cs="Tahoma"/>
          <w:bCs/>
        </w:rPr>
        <w:t xml:space="preserve">Criterio de interpretación con clave de registro </w:t>
      </w:r>
      <w:r w:rsidRPr="00EC0AA9">
        <w:rPr>
          <w:rFonts w:ascii="Palatino Linotype" w:hAnsi="Palatino Linotype" w:cs="Tahoma"/>
        </w:rPr>
        <w:t>SO/002/2017, de la Segunda Época</w:t>
      </w:r>
      <w:r w:rsidRPr="00EC0AA9">
        <w:rPr>
          <w:rFonts w:ascii="Palatino Linotype" w:hAnsi="Palatino Linotype" w:cs="Tahoma"/>
          <w:bCs/>
        </w:rPr>
        <w:t>, emitido por el Instituto Nacional de Transparencia, Acceso a la Información y Protección de Datos Personales</w:t>
      </w:r>
      <w:r w:rsidRPr="00EC0AA9">
        <w:rPr>
          <w:rFonts w:ascii="Palatino Linotype" w:hAnsi="Palatino Linotype" w:cs="Tahoma"/>
        </w:rPr>
        <w:t>, del Instituto Nacional de Transparencia, Acceso a la Información y Protección de Datos Personales, precisa lo siguiente:</w:t>
      </w:r>
    </w:p>
    <w:p w14:paraId="7F24532C" w14:textId="77777777" w:rsidR="00F1023A" w:rsidRPr="00EC0AA9" w:rsidRDefault="00F1023A" w:rsidP="00EC0AA9">
      <w:pPr>
        <w:spacing w:line="360" w:lineRule="auto"/>
        <w:jc w:val="both"/>
        <w:rPr>
          <w:rFonts w:ascii="Palatino Linotype" w:hAnsi="Palatino Linotype" w:cs="Tahoma"/>
        </w:rPr>
      </w:pPr>
    </w:p>
    <w:p w14:paraId="2F97B29A" w14:textId="77777777" w:rsidR="00F1023A" w:rsidRPr="00EC0AA9" w:rsidRDefault="00F1023A" w:rsidP="00EC0AA9">
      <w:pPr>
        <w:spacing w:line="360" w:lineRule="auto"/>
        <w:ind w:left="567" w:right="567"/>
        <w:jc w:val="both"/>
        <w:rPr>
          <w:rFonts w:ascii="Palatino Linotype" w:hAnsi="Palatino Linotype"/>
          <w:i/>
          <w:iCs/>
        </w:rPr>
      </w:pPr>
      <w:r w:rsidRPr="00EC0AA9">
        <w:rPr>
          <w:rFonts w:ascii="Palatino Linotype" w:hAnsi="Palatino Linotype"/>
          <w:b/>
          <w:bCs/>
          <w:i/>
          <w:iCs/>
        </w:rPr>
        <w:t xml:space="preserve">Congruencia y exhaustividad. Sus alcances para garantizar el derecho de acceso a la información. </w:t>
      </w:r>
      <w:r w:rsidRPr="00EC0AA9">
        <w:rPr>
          <w:rFonts w:ascii="Palatino Linotype" w:hAnsi="Palatino Linotype"/>
          <w:i/>
          <w:iCs/>
        </w:rPr>
        <w:t xml:space="preserve">De conformidad con el artículo 3 de la Ley Federal de </w:t>
      </w:r>
      <w:r w:rsidRPr="00EC0AA9">
        <w:rPr>
          <w:rFonts w:ascii="Palatino Linotype" w:hAnsi="Palatino Linotype"/>
          <w:i/>
          <w:iCs/>
        </w:rPr>
        <w:lastRenderedPageBreak/>
        <w:t xml:space="preserve">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EC0AA9">
        <w:rPr>
          <w:rFonts w:ascii="Palatino Linotype" w:hAnsi="Palatino Linotype"/>
          <w:i/>
          <w:iCs/>
          <w:u w:val="single"/>
        </w:rPr>
        <w:t>la exhaustividad significa que dicha respuesta se refiera expresamente a cada uno de los puntos solicitados</w:t>
      </w:r>
      <w:r w:rsidRPr="00EC0AA9">
        <w:rPr>
          <w:rFonts w:ascii="Palatino Linotype" w:hAnsi="Palatino Linotype"/>
          <w:i/>
          <w:iC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9AB7BE9" w14:textId="77777777" w:rsidR="00F1023A" w:rsidRPr="00EC0AA9" w:rsidRDefault="00F1023A" w:rsidP="00EC0AA9">
      <w:pPr>
        <w:spacing w:line="360" w:lineRule="auto"/>
        <w:ind w:left="567" w:right="567"/>
        <w:jc w:val="both"/>
        <w:rPr>
          <w:rFonts w:ascii="Palatino Linotype" w:hAnsi="Palatino Linotype"/>
          <w:i/>
          <w:iCs/>
        </w:rPr>
      </w:pPr>
    </w:p>
    <w:p w14:paraId="72BD7BCC" w14:textId="77777777" w:rsidR="00F1023A" w:rsidRPr="00EC0AA9" w:rsidRDefault="00F1023A" w:rsidP="00EC0AA9">
      <w:pPr>
        <w:spacing w:line="360" w:lineRule="auto"/>
        <w:jc w:val="both"/>
        <w:rPr>
          <w:rFonts w:ascii="Palatino Linotype" w:hAnsi="Palatino Linotype" w:cs="Tahoma"/>
          <w:bCs/>
          <w:lang w:val="es-ES_tradnl"/>
        </w:rPr>
      </w:pPr>
      <w:r w:rsidRPr="00EC0AA9">
        <w:rPr>
          <w:rFonts w:ascii="Palatino Linotype" w:hAnsi="Palatino Linotype" w:cs="Tahoma"/>
        </w:rPr>
        <w:t xml:space="preserve">Conforme al criterio referido, se logra vislumbrar que </w:t>
      </w:r>
      <w:r w:rsidRPr="00EC0AA9">
        <w:rPr>
          <w:rFonts w:ascii="Palatino Linotype" w:hAnsi="Palatino Linotype" w:cs="Tahoma"/>
          <w:bCs/>
        </w:rPr>
        <w:t xml:space="preserve">todo acto administrativo debe apegarse al </w:t>
      </w:r>
      <w:r w:rsidRPr="00EC0AA9">
        <w:rPr>
          <w:rFonts w:ascii="Palatino Linotype" w:hAnsi="Palatino Linotype" w:cs="Tahoma"/>
          <w:b/>
          <w:bCs/>
        </w:rPr>
        <w:t>principio de exhaustividad</w:t>
      </w:r>
      <w:r w:rsidRPr="00EC0AA9">
        <w:rPr>
          <w:rFonts w:ascii="Palatino Linotype" w:hAnsi="Palatino Linotype" w:cs="Tahoma"/>
          <w:bCs/>
        </w:rPr>
        <w:t xml:space="preserve">, </w:t>
      </w:r>
      <w:r w:rsidRPr="00EC0AA9">
        <w:rPr>
          <w:rFonts w:ascii="Palatino Linotype" w:hAnsi="Palatino Linotype" w:cs="Tahoma"/>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6A433F5C" w14:textId="77777777" w:rsidR="00F1023A" w:rsidRPr="00EC0AA9" w:rsidRDefault="00F1023A" w:rsidP="00EC0AA9">
      <w:pPr>
        <w:spacing w:line="360" w:lineRule="auto"/>
        <w:jc w:val="both"/>
        <w:rPr>
          <w:rFonts w:ascii="Palatino Linotype" w:hAnsi="Palatino Linotype" w:cs="Tahoma"/>
        </w:rPr>
      </w:pPr>
    </w:p>
    <w:p w14:paraId="30E2AF2C" w14:textId="5FFF1B03" w:rsidR="00F1023A" w:rsidRPr="00EC0AA9" w:rsidRDefault="00F1023A" w:rsidP="00EC0AA9">
      <w:pPr>
        <w:spacing w:line="360" w:lineRule="auto"/>
        <w:jc w:val="both"/>
        <w:rPr>
          <w:rFonts w:ascii="Palatino Linotype" w:hAnsi="Palatino Linotype" w:cs="Tahoma"/>
          <w:b/>
          <w:bCs/>
        </w:rPr>
      </w:pPr>
      <w:r w:rsidRPr="00EC0AA9">
        <w:rPr>
          <w:rFonts w:ascii="Palatino Linotype" w:hAnsi="Palatino Linotype" w:cs="Tahoma"/>
        </w:rPr>
        <w:lastRenderedPageBreak/>
        <w:t xml:space="preserve">En esa tesitura, se concluye que el Sujeto Obligado satisfizo el derecho de acceso </w:t>
      </w:r>
      <w:r w:rsidRPr="00EC0AA9">
        <w:rPr>
          <w:rFonts w:ascii="Palatino Linotype" w:eastAsia="Calibri" w:hAnsi="Palatino Linotype" w:cs="Tahoma"/>
          <w:bCs/>
        </w:rPr>
        <w:t>a la información</w:t>
      </w:r>
      <w:r w:rsidRPr="00EC0AA9">
        <w:rPr>
          <w:rFonts w:ascii="Palatino Linotype" w:eastAsia="Calibri" w:hAnsi="Palatino Linotype" w:cs="Tahoma"/>
          <w:b/>
          <w:bCs/>
        </w:rPr>
        <w:t xml:space="preserve">, </w:t>
      </w:r>
      <w:r w:rsidRPr="00EC0AA9">
        <w:rPr>
          <w:rFonts w:ascii="Palatino Linotype" w:eastAsia="Calibri" w:hAnsi="Palatino Linotype" w:cs="Tahoma"/>
        </w:rPr>
        <w:t>pues el Sujeto Obligado al turna</w:t>
      </w:r>
      <w:r w:rsidR="00856CA1" w:rsidRPr="00EC0AA9">
        <w:rPr>
          <w:rFonts w:ascii="Palatino Linotype" w:eastAsia="Calibri" w:hAnsi="Palatino Linotype" w:cs="Tahoma"/>
        </w:rPr>
        <w:t>r la solicitud de información al área</w:t>
      </w:r>
      <w:r w:rsidRPr="00EC0AA9">
        <w:rPr>
          <w:rFonts w:ascii="Palatino Linotype" w:eastAsia="Calibri" w:hAnsi="Palatino Linotype" w:cs="Tahoma"/>
        </w:rPr>
        <w:t xml:space="preserve"> que </w:t>
      </w:r>
      <w:r w:rsidR="00856CA1" w:rsidRPr="00EC0AA9">
        <w:rPr>
          <w:rFonts w:ascii="Palatino Linotype" w:eastAsia="Calibri" w:hAnsi="Palatino Linotype" w:cs="Tahoma"/>
        </w:rPr>
        <w:t>tiene la información</w:t>
      </w:r>
      <w:r w:rsidR="00E12820" w:rsidRPr="00EC0AA9">
        <w:rPr>
          <w:rFonts w:ascii="Palatino Linotype" w:eastAsia="Calibri" w:hAnsi="Palatino Linotype" w:cs="Tahoma"/>
        </w:rPr>
        <w:t>, ésta</w:t>
      </w:r>
      <w:r w:rsidRPr="00EC0AA9">
        <w:rPr>
          <w:rFonts w:ascii="Palatino Linotype" w:eastAsia="Calibri" w:hAnsi="Palatino Linotype" w:cs="Tahoma"/>
        </w:rPr>
        <w:t xml:space="preserve"> </w:t>
      </w:r>
      <w:r w:rsidR="00E12820" w:rsidRPr="00EC0AA9">
        <w:rPr>
          <w:rFonts w:ascii="Palatino Linotype" w:eastAsia="Calibri" w:hAnsi="Palatino Linotype" w:cs="Tahoma"/>
        </w:rPr>
        <w:t>entregó la información solicitada.</w:t>
      </w:r>
    </w:p>
    <w:p w14:paraId="37E2C4EC" w14:textId="77777777" w:rsidR="00F1023A" w:rsidRPr="00EC0AA9" w:rsidRDefault="00F1023A" w:rsidP="00EC0AA9">
      <w:pPr>
        <w:spacing w:line="360" w:lineRule="auto"/>
        <w:jc w:val="both"/>
        <w:rPr>
          <w:rFonts w:ascii="Palatino Linotype" w:hAnsi="Palatino Linotype" w:cs="Tahoma"/>
          <w:bCs/>
          <w:lang w:val="es-ES"/>
        </w:rPr>
      </w:pPr>
    </w:p>
    <w:p w14:paraId="11A9527A" w14:textId="75C81BB8" w:rsidR="00F1023A" w:rsidRPr="00EC0AA9" w:rsidRDefault="00F1023A" w:rsidP="00EC0AA9">
      <w:pPr>
        <w:spacing w:line="360" w:lineRule="auto"/>
        <w:jc w:val="both"/>
        <w:rPr>
          <w:rFonts w:ascii="Palatino Linotype" w:hAnsi="Palatino Linotype"/>
          <w:lang w:val="es-ES_tradnl"/>
        </w:rPr>
      </w:pPr>
      <w:r w:rsidRPr="00EC0AA9">
        <w:rPr>
          <w:rFonts w:ascii="Palatino Linotype" w:hAnsi="Palatino Linotype" w:cs="Tahoma"/>
          <w:bCs/>
          <w:lang w:val="es-ES"/>
        </w:rPr>
        <w:t xml:space="preserve">Aunado a lo anterior es menester señalar las facultades de la </w:t>
      </w:r>
      <w:r w:rsidR="00E12820" w:rsidRPr="00EC0AA9">
        <w:rPr>
          <w:rFonts w:ascii="Palatino Linotype" w:hAnsi="Palatino Linotype" w:cs="Tahoma"/>
          <w:bCs/>
          <w:lang w:val="es-ES"/>
        </w:rPr>
        <w:t>Tesorería</w:t>
      </w:r>
      <w:r w:rsidRPr="00EC0AA9">
        <w:rPr>
          <w:rFonts w:ascii="Palatino Linotype" w:hAnsi="Palatino Linotype" w:cs="Tahoma"/>
          <w:bCs/>
          <w:lang w:val="es-ES"/>
        </w:rPr>
        <w:t xml:space="preserve"> </w:t>
      </w:r>
      <w:r w:rsidR="00CF45F7" w:rsidRPr="00EC0AA9">
        <w:rPr>
          <w:rFonts w:ascii="Palatino Linotype" w:hAnsi="Palatino Linotype" w:cs="Tahoma"/>
          <w:bCs/>
          <w:lang w:val="es-ES"/>
        </w:rPr>
        <w:t xml:space="preserve">establecidas en el Manual de Organización de la Dirección de Administración y Finanzas </w:t>
      </w:r>
      <w:r w:rsidRPr="00EC0AA9">
        <w:rPr>
          <w:rFonts w:ascii="Palatino Linotype" w:hAnsi="Palatino Linotype" w:cs="Tahoma"/>
          <w:bCs/>
          <w:lang w:val="es-ES"/>
        </w:rPr>
        <w:t>con las</w:t>
      </w:r>
      <w:r w:rsidR="0045119F" w:rsidRPr="00EC0AA9">
        <w:rPr>
          <w:rFonts w:ascii="Palatino Linotype" w:hAnsi="Palatino Linotype" w:cs="Tahoma"/>
          <w:bCs/>
          <w:lang w:val="es-ES"/>
        </w:rPr>
        <w:t xml:space="preserve"> cuales se determinó que podría ser ella</w:t>
      </w:r>
      <w:r w:rsidRPr="00EC0AA9">
        <w:rPr>
          <w:rFonts w:ascii="Palatino Linotype" w:hAnsi="Palatino Linotype" w:cs="Tahoma"/>
          <w:bCs/>
          <w:lang w:val="es-ES"/>
        </w:rPr>
        <w:t xml:space="preserve"> quien </w:t>
      </w:r>
      <w:r w:rsidR="0045119F" w:rsidRPr="00EC0AA9">
        <w:rPr>
          <w:rFonts w:ascii="Palatino Linotype" w:hAnsi="Palatino Linotype" w:cs="Tahoma"/>
          <w:bCs/>
          <w:lang w:val="es-ES"/>
        </w:rPr>
        <w:t>posea</w:t>
      </w:r>
      <w:r w:rsidRPr="00EC0AA9">
        <w:rPr>
          <w:rFonts w:ascii="Palatino Linotype" w:hAnsi="Palatino Linotype" w:cs="Tahoma"/>
          <w:bCs/>
          <w:lang w:val="es-ES"/>
        </w:rPr>
        <w:t xml:space="preserve"> la información solicitada.</w:t>
      </w:r>
    </w:p>
    <w:p w14:paraId="47D3398B" w14:textId="77777777" w:rsidR="00F1023A" w:rsidRPr="00EC0AA9" w:rsidRDefault="00F1023A" w:rsidP="00EC0AA9">
      <w:pPr>
        <w:spacing w:line="360" w:lineRule="auto"/>
        <w:jc w:val="both"/>
        <w:rPr>
          <w:rFonts w:ascii="Palatino Linotype" w:hAnsi="Palatino Linotype"/>
          <w:lang w:val="es-ES_tradnl"/>
        </w:rPr>
      </w:pPr>
    </w:p>
    <w:p w14:paraId="2CF70CA9" w14:textId="4854D4D1" w:rsidR="001A1F47" w:rsidRPr="00EC0AA9" w:rsidRDefault="001A1F47" w:rsidP="00EC0AA9">
      <w:pPr>
        <w:spacing w:line="360" w:lineRule="auto"/>
        <w:ind w:left="567" w:right="616"/>
        <w:jc w:val="both"/>
        <w:rPr>
          <w:rFonts w:ascii="Palatino Linotype" w:hAnsi="Palatino Linotype"/>
          <w:i/>
          <w:iCs/>
        </w:rPr>
      </w:pPr>
      <w:r w:rsidRPr="00EC0AA9">
        <w:rPr>
          <w:rFonts w:ascii="Palatino Linotype" w:hAnsi="Palatino Linotype"/>
          <w:i/>
          <w:iCs/>
        </w:rPr>
        <w:t>Artículo 16. La tesorería municipal es la encargada de conducir de la disciplina financiera del ayuntamiento, así como de coordinar las diferentes fuentes de captación de los recursos económicos, mismos que son implementados a través de una adecuada planeación e integración del presupuesto de ingresos y egresos del municipio, a fin de brindar una correcta funcionabilidad de la hacienda municipal en armonía de los fines contemplados en el plan de desarrollo municipal. Tiene las siguientes atribuciones:</w:t>
      </w:r>
    </w:p>
    <w:p w14:paraId="24C927C1" w14:textId="77777777" w:rsidR="00301D63" w:rsidRPr="00EC0AA9" w:rsidRDefault="00301D63" w:rsidP="00EC0AA9">
      <w:pPr>
        <w:spacing w:line="360" w:lineRule="auto"/>
        <w:ind w:left="567" w:right="616"/>
        <w:jc w:val="both"/>
        <w:rPr>
          <w:rFonts w:ascii="Palatino Linotype" w:hAnsi="Palatino Linotype"/>
          <w:i/>
          <w:iCs/>
        </w:rPr>
      </w:pPr>
    </w:p>
    <w:p w14:paraId="4C0A002F" w14:textId="3616A414" w:rsidR="00301D63" w:rsidRPr="00EC0AA9" w:rsidRDefault="00301D63" w:rsidP="00EC0AA9">
      <w:pPr>
        <w:spacing w:line="360" w:lineRule="auto"/>
        <w:ind w:left="567" w:right="616"/>
        <w:jc w:val="both"/>
        <w:rPr>
          <w:rFonts w:ascii="Palatino Linotype" w:hAnsi="Palatino Linotype"/>
          <w:i/>
          <w:iCs/>
        </w:rPr>
      </w:pPr>
      <w:r w:rsidRPr="00EC0AA9">
        <w:rPr>
          <w:rFonts w:ascii="Palatino Linotype" w:hAnsi="Palatino Linotype"/>
          <w:i/>
          <w:iCs/>
        </w:rPr>
        <w:t>I. Integrar en coordinación con la Subdirección de Ingresos y la Subdirección de Egresos, así como en coordinación con las dependencias de la Administración Pública Municipal los informes</w:t>
      </w:r>
      <w:r w:rsidR="007D04BA" w:rsidRPr="00EC0AA9">
        <w:rPr>
          <w:rFonts w:ascii="Palatino Linotype" w:hAnsi="Palatino Linotype"/>
          <w:i/>
          <w:iCs/>
        </w:rPr>
        <w:t xml:space="preserve"> </w:t>
      </w:r>
      <w:r w:rsidRPr="00EC0AA9">
        <w:rPr>
          <w:rFonts w:ascii="Palatino Linotype" w:hAnsi="Palatino Linotype"/>
          <w:i/>
          <w:iCs/>
        </w:rPr>
        <w:t>mensuales y la cuenta Pública Municipal que se remite al Órgano Superior de Fiscalización del</w:t>
      </w:r>
      <w:r w:rsidR="007D04BA" w:rsidRPr="00EC0AA9">
        <w:rPr>
          <w:rFonts w:ascii="Palatino Linotype" w:hAnsi="Palatino Linotype"/>
          <w:i/>
          <w:iCs/>
        </w:rPr>
        <w:t xml:space="preserve"> </w:t>
      </w:r>
      <w:r w:rsidRPr="00EC0AA9">
        <w:rPr>
          <w:rFonts w:ascii="Palatino Linotype" w:hAnsi="Palatino Linotype"/>
          <w:i/>
          <w:iCs/>
        </w:rPr>
        <w:t>Estado de México;</w:t>
      </w:r>
    </w:p>
    <w:p w14:paraId="4D979E33" w14:textId="1C4BFA3D" w:rsidR="00301D63" w:rsidRPr="00EC0AA9" w:rsidRDefault="00301D63" w:rsidP="00EC0AA9">
      <w:pPr>
        <w:spacing w:line="360" w:lineRule="auto"/>
        <w:ind w:left="567" w:right="616"/>
        <w:jc w:val="both"/>
        <w:rPr>
          <w:rFonts w:ascii="Palatino Linotype" w:hAnsi="Palatino Linotype"/>
          <w:i/>
          <w:iCs/>
        </w:rPr>
      </w:pPr>
      <w:r w:rsidRPr="00EC0AA9">
        <w:rPr>
          <w:rFonts w:ascii="Palatino Linotype" w:hAnsi="Palatino Linotype"/>
          <w:i/>
          <w:iCs/>
        </w:rPr>
        <w:t>II. Integrar y revisar en coordinación con las dependencias de la Administración Pública Municipal,</w:t>
      </w:r>
      <w:r w:rsidR="007D04BA" w:rsidRPr="00EC0AA9">
        <w:rPr>
          <w:rFonts w:ascii="Palatino Linotype" w:hAnsi="Palatino Linotype"/>
          <w:i/>
          <w:iCs/>
        </w:rPr>
        <w:t xml:space="preserve"> </w:t>
      </w:r>
      <w:r w:rsidRPr="00EC0AA9">
        <w:rPr>
          <w:rFonts w:ascii="Palatino Linotype" w:hAnsi="Palatino Linotype"/>
          <w:i/>
          <w:iCs/>
        </w:rPr>
        <w:t xml:space="preserve">el presupuesto de ingresos y egresos del ejercicio inmediato </w:t>
      </w:r>
      <w:r w:rsidRPr="00EC0AA9">
        <w:rPr>
          <w:rFonts w:ascii="Palatino Linotype" w:hAnsi="Palatino Linotype"/>
          <w:i/>
          <w:iCs/>
        </w:rPr>
        <w:lastRenderedPageBreak/>
        <w:t>posterior, presentándolo al Cabildo</w:t>
      </w:r>
      <w:r w:rsidR="007D04BA" w:rsidRPr="00EC0AA9">
        <w:rPr>
          <w:rFonts w:ascii="Palatino Linotype" w:hAnsi="Palatino Linotype"/>
          <w:i/>
          <w:iCs/>
        </w:rPr>
        <w:t xml:space="preserve"> </w:t>
      </w:r>
      <w:r w:rsidRPr="00EC0AA9">
        <w:rPr>
          <w:rFonts w:ascii="Palatino Linotype" w:hAnsi="Palatino Linotype"/>
          <w:i/>
          <w:iCs/>
        </w:rPr>
        <w:t>para su aprobación dentro de los plazos señalados en las normas aplicables, y sugerir las</w:t>
      </w:r>
      <w:r w:rsidR="007D04BA" w:rsidRPr="00EC0AA9">
        <w:rPr>
          <w:rFonts w:ascii="Palatino Linotype" w:hAnsi="Palatino Linotype"/>
          <w:i/>
          <w:iCs/>
        </w:rPr>
        <w:t xml:space="preserve"> </w:t>
      </w:r>
      <w:r w:rsidRPr="00EC0AA9">
        <w:rPr>
          <w:rFonts w:ascii="Palatino Linotype" w:hAnsi="Palatino Linotype"/>
          <w:i/>
          <w:iCs/>
        </w:rPr>
        <w:t>modificaciones en caso necesario;</w:t>
      </w:r>
    </w:p>
    <w:p w14:paraId="40D2E712" w14:textId="718E3679" w:rsidR="00301D63" w:rsidRPr="00EC0AA9" w:rsidRDefault="00301D63" w:rsidP="00EC0AA9">
      <w:pPr>
        <w:spacing w:line="360" w:lineRule="auto"/>
        <w:ind w:left="567" w:right="616"/>
        <w:jc w:val="both"/>
        <w:rPr>
          <w:rFonts w:ascii="Palatino Linotype" w:hAnsi="Palatino Linotype"/>
          <w:b/>
          <w:i/>
          <w:iCs/>
        </w:rPr>
      </w:pPr>
      <w:r w:rsidRPr="00EC0AA9">
        <w:rPr>
          <w:rFonts w:ascii="Palatino Linotype" w:hAnsi="Palatino Linotype"/>
          <w:b/>
          <w:i/>
          <w:iCs/>
        </w:rPr>
        <w:t>III. Revisar que las áreas de ingresos cumplan con los servicios relacionados con la recaudación,</w:t>
      </w:r>
      <w:r w:rsidR="007D04BA" w:rsidRPr="00EC0AA9">
        <w:rPr>
          <w:rFonts w:ascii="Palatino Linotype" w:hAnsi="Palatino Linotype"/>
          <w:b/>
          <w:i/>
          <w:iCs/>
        </w:rPr>
        <w:t xml:space="preserve"> </w:t>
      </w:r>
      <w:r w:rsidRPr="00EC0AA9">
        <w:rPr>
          <w:rFonts w:ascii="Palatino Linotype" w:hAnsi="Palatino Linotype"/>
          <w:b/>
          <w:i/>
          <w:iCs/>
        </w:rPr>
        <w:t>concentración, administración y custodia de fondos y valores, así como la realización de los</w:t>
      </w:r>
      <w:r w:rsidR="007D04BA" w:rsidRPr="00EC0AA9">
        <w:rPr>
          <w:rFonts w:ascii="Palatino Linotype" w:hAnsi="Palatino Linotype"/>
          <w:b/>
          <w:i/>
          <w:iCs/>
        </w:rPr>
        <w:t xml:space="preserve"> </w:t>
      </w:r>
      <w:r w:rsidRPr="00EC0AA9">
        <w:rPr>
          <w:rFonts w:ascii="Palatino Linotype" w:hAnsi="Palatino Linotype"/>
          <w:b/>
          <w:i/>
          <w:iCs/>
        </w:rPr>
        <w:t>depósitos bancarios a las instituciones bancarias correspondientes;</w:t>
      </w:r>
    </w:p>
    <w:p w14:paraId="6D6307F0" w14:textId="4FAF2DB9" w:rsidR="00301D63" w:rsidRPr="00EC0AA9" w:rsidRDefault="00301D63" w:rsidP="00EC0AA9">
      <w:pPr>
        <w:spacing w:line="360" w:lineRule="auto"/>
        <w:ind w:left="567" w:right="616"/>
        <w:jc w:val="both"/>
        <w:rPr>
          <w:rFonts w:ascii="Palatino Linotype" w:hAnsi="Palatino Linotype"/>
          <w:i/>
          <w:iCs/>
        </w:rPr>
      </w:pPr>
      <w:r w:rsidRPr="00EC0AA9">
        <w:rPr>
          <w:rFonts w:ascii="Palatino Linotype" w:hAnsi="Palatino Linotype"/>
          <w:i/>
          <w:iCs/>
        </w:rPr>
        <w:t>IV. Autorizar la distribución de las formas numeradas y valoradas que se utilicen para la recaudación</w:t>
      </w:r>
      <w:r w:rsidR="007D04BA" w:rsidRPr="00EC0AA9">
        <w:rPr>
          <w:rFonts w:ascii="Palatino Linotype" w:hAnsi="Palatino Linotype"/>
          <w:i/>
          <w:iCs/>
        </w:rPr>
        <w:t xml:space="preserve"> </w:t>
      </w:r>
      <w:r w:rsidRPr="00EC0AA9">
        <w:rPr>
          <w:rFonts w:ascii="Palatino Linotype" w:hAnsi="Palatino Linotype"/>
          <w:i/>
          <w:iCs/>
        </w:rPr>
        <w:t>de los ingresos públicos y para el pago de las obligaciones a cargo de la Hacienda Pública</w:t>
      </w:r>
      <w:r w:rsidR="007D04BA" w:rsidRPr="00EC0AA9">
        <w:rPr>
          <w:rFonts w:ascii="Palatino Linotype" w:hAnsi="Palatino Linotype"/>
          <w:i/>
          <w:iCs/>
        </w:rPr>
        <w:t xml:space="preserve"> </w:t>
      </w:r>
      <w:r w:rsidRPr="00EC0AA9">
        <w:rPr>
          <w:rFonts w:ascii="Palatino Linotype" w:hAnsi="Palatino Linotype"/>
          <w:i/>
          <w:iCs/>
        </w:rPr>
        <w:t>Municipal;</w:t>
      </w:r>
    </w:p>
    <w:p w14:paraId="6813129C" w14:textId="50BBB588" w:rsidR="00301D63" w:rsidRPr="00EC0AA9" w:rsidRDefault="00301D63" w:rsidP="00EC0AA9">
      <w:pPr>
        <w:spacing w:line="360" w:lineRule="auto"/>
        <w:ind w:left="567" w:right="616"/>
        <w:jc w:val="both"/>
        <w:rPr>
          <w:rFonts w:ascii="Palatino Linotype" w:hAnsi="Palatino Linotype"/>
          <w:i/>
          <w:iCs/>
        </w:rPr>
      </w:pPr>
      <w:r w:rsidRPr="00EC0AA9">
        <w:rPr>
          <w:rFonts w:ascii="Palatino Linotype" w:hAnsi="Palatino Linotype"/>
          <w:i/>
          <w:iCs/>
        </w:rPr>
        <w:t>V. Liberar los recursos financieros de conformidad en los montos establecidos en el presupuesto de</w:t>
      </w:r>
      <w:r w:rsidR="007D04BA" w:rsidRPr="00EC0AA9">
        <w:rPr>
          <w:rFonts w:ascii="Palatino Linotype" w:hAnsi="Palatino Linotype"/>
          <w:i/>
          <w:iCs/>
        </w:rPr>
        <w:t xml:space="preserve"> </w:t>
      </w:r>
      <w:r w:rsidRPr="00EC0AA9">
        <w:rPr>
          <w:rFonts w:ascii="Palatino Linotype" w:hAnsi="Palatino Linotype"/>
          <w:i/>
          <w:iCs/>
        </w:rPr>
        <w:t>egresos, estipulando los requisitos mediante reglas de carácter general que deberán cumplir las</w:t>
      </w:r>
      <w:r w:rsidR="007D04BA" w:rsidRPr="00EC0AA9">
        <w:rPr>
          <w:rFonts w:ascii="Palatino Linotype" w:hAnsi="Palatino Linotype"/>
          <w:i/>
          <w:iCs/>
        </w:rPr>
        <w:t xml:space="preserve"> </w:t>
      </w:r>
      <w:r w:rsidRPr="00EC0AA9">
        <w:rPr>
          <w:rFonts w:ascii="Palatino Linotype" w:hAnsi="Palatino Linotype"/>
          <w:i/>
          <w:iCs/>
        </w:rPr>
        <w:t>dependencias de la Administración Pública Municipal;</w:t>
      </w:r>
    </w:p>
    <w:p w14:paraId="13CF08BE" w14:textId="69EF5768" w:rsidR="00301D63" w:rsidRPr="00EC0AA9" w:rsidRDefault="00301D63" w:rsidP="00EC0AA9">
      <w:pPr>
        <w:spacing w:line="360" w:lineRule="auto"/>
        <w:ind w:left="567" w:right="616"/>
        <w:jc w:val="both"/>
        <w:rPr>
          <w:rFonts w:ascii="Palatino Linotype" w:hAnsi="Palatino Linotype"/>
          <w:i/>
          <w:iCs/>
        </w:rPr>
      </w:pPr>
      <w:r w:rsidRPr="00EC0AA9">
        <w:rPr>
          <w:rFonts w:ascii="Palatino Linotype" w:hAnsi="Palatino Linotype"/>
          <w:i/>
          <w:iCs/>
        </w:rPr>
        <w:t>VI. Auxiliarse de las instituciones que integran el sistema bancario para la presentación de los</w:t>
      </w:r>
      <w:r w:rsidR="007D04BA" w:rsidRPr="00EC0AA9">
        <w:rPr>
          <w:rFonts w:ascii="Palatino Linotype" w:hAnsi="Palatino Linotype"/>
          <w:i/>
          <w:iCs/>
        </w:rPr>
        <w:t xml:space="preserve"> </w:t>
      </w:r>
      <w:r w:rsidRPr="00EC0AA9">
        <w:rPr>
          <w:rFonts w:ascii="Palatino Linotype" w:hAnsi="Palatino Linotype"/>
          <w:i/>
          <w:iCs/>
        </w:rPr>
        <w:t>servicios inherentes;</w:t>
      </w:r>
    </w:p>
    <w:p w14:paraId="61AAC446" w14:textId="77BA0C96" w:rsidR="00301D63" w:rsidRPr="00EC0AA9" w:rsidRDefault="00301D63" w:rsidP="00EC0AA9">
      <w:pPr>
        <w:spacing w:line="360" w:lineRule="auto"/>
        <w:ind w:left="567" w:right="616"/>
        <w:jc w:val="both"/>
        <w:rPr>
          <w:rFonts w:ascii="Palatino Linotype" w:hAnsi="Palatino Linotype"/>
          <w:i/>
          <w:iCs/>
        </w:rPr>
      </w:pPr>
      <w:r w:rsidRPr="00EC0AA9">
        <w:rPr>
          <w:rFonts w:ascii="Palatino Linotype" w:hAnsi="Palatino Linotype"/>
          <w:i/>
          <w:iCs/>
        </w:rPr>
        <w:t>VII. Expedir los certificados de las constancias de no adeudo del impuesto Predial, pago de Traslado</w:t>
      </w:r>
      <w:r w:rsidR="007D04BA" w:rsidRPr="00EC0AA9">
        <w:rPr>
          <w:rFonts w:ascii="Palatino Linotype" w:hAnsi="Palatino Linotype"/>
          <w:i/>
          <w:iCs/>
        </w:rPr>
        <w:t xml:space="preserve"> </w:t>
      </w:r>
      <w:r w:rsidRPr="00EC0AA9">
        <w:rPr>
          <w:rFonts w:ascii="Palatino Linotype" w:hAnsi="Palatino Linotype"/>
          <w:i/>
          <w:iCs/>
        </w:rPr>
        <w:t>de Dominio, así como certificar documentos que se tengan en resguardo, determinando los</w:t>
      </w:r>
      <w:r w:rsidR="007D04BA" w:rsidRPr="00EC0AA9">
        <w:rPr>
          <w:rFonts w:ascii="Palatino Linotype" w:hAnsi="Palatino Linotype"/>
          <w:i/>
          <w:iCs/>
        </w:rPr>
        <w:t xml:space="preserve"> </w:t>
      </w:r>
      <w:r w:rsidRPr="00EC0AA9">
        <w:rPr>
          <w:rFonts w:ascii="Palatino Linotype" w:hAnsi="Palatino Linotype"/>
          <w:i/>
          <w:iCs/>
        </w:rPr>
        <w:t>requisitos y lineamientos que debe reunir el contribuyente para su expedición, así como cubrir el</w:t>
      </w:r>
      <w:r w:rsidR="007D04BA" w:rsidRPr="00EC0AA9">
        <w:rPr>
          <w:rFonts w:ascii="Palatino Linotype" w:hAnsi="Palatino Linotype"/>
          <w:i/>
          <w:iCs/>
        </w:rPr>
        <w:t xml:space="preserve"> </w:t>
      </w:r>
      <w:r w:rsidRPr="00EC0AA9">
        <w:rPr>
          <w:rFonts w:ascii="Palatino Linotype" w:hAnsi="Palatino Linotype"/>
          <w:i/>
          <w:iCs/>
        </w:rPr>
        <w:t>pago de derechos que corresponda;</w:t>
      </w:r>
    </w:p>
    <w:p w14:paraId="119A4828" w14:textId="4991B54A" w:rsidR="00301D63" w:rsidRPr="00EC0AA9" w:rsidRDefault="00301D63" w:rsidP="00EC0AA9">
      <w:pPr>
        <w:spacing w:line="360" w:lineRule="auto"/>
        <w:ind w:left="567" w:right="616"/>
        <w:jc w:val="both"/>
        <w:rPr>
          <w:rFonts w:ascii="Palatino Linotype" w:hAnsi="Palatino Linotype"/>
          <w:i/>
          <w:iCs/>
        </w:rPr>
      </w:pPr>
      <w:r w:rsidRPr="00EC0AA9">
        <w:rPr>
          <w:rFonts w:ascii="Palatino Linotype" w:hAnsi="Palatino Linotype"/>
          <w:i/>
          <w:iCs/>
        </w:rPr>
        <w:t>VIII. Implementar los procedimientos Administrativos comunes, en términos del Código de</w:t>
      </w:r>
      <w:r w:rsidR="007D04BA" w:rsidRPr="00EC0AA9">
        <w:rPr>
          <w:rFonts w:ascii="Palatino Linotype" w:hAnsi="Palatino Linotype"/>
          <w:i/>
          <w:iCs/>
        </w:rPr>
        <w:t xml:space="preserve"> </w:t>
      </w:r>
      <w:r w:rsidRPr="00EC0AA9">
        <w:rPr>
          <w:rFonts w:ascii="Palatino Linotype" w:hAnsi="Palatino Linotype"/>
          <w:i/>
          <w:iCs/>
        </w:rPr>
        <w:t xml:space="preserve">Procedimientos Administrativos del Estado de México, cuando con </w:t>
      </w:r>
      <w:r w:rsidRPr="00EC0AA9">
        <w:rPr>
          <w:rFonts w:ascii="Palatino Linotype" w:hAnsi="Palatino Linotype"/>
          <w:i/>
          <w:iCs/>
        </w:rPr>
        <w:lastRenderedPageBreak/>
        <w:t>motivo de las peticiones de los</w:t>
      </w:r>
      <w:r w:rsidR="007D04BA" w:rsidRPr="00EC0AA9">
        <w:rPr>
          <w:rFonts w:ascii="Palatino Linotype" w:hAnsi="Palatino Linotype"/>
          <w:i/>
          <w:iCs/>
        </w:rPr>
        <w:t xml:space="preserve"> </w:t>
      </w:r>
      <w:r w:rsidRPr="00EC0AA9">
        <w:rPr>
          <w:rFonts w:ascii="Palatino Linotype" w:hAnsi="Palatino Linotype"/>
          <w:i/>
          <w:iCs/>
        </w:rPr>
        <w:t>contribuyentes, se generen controversias sobre la responsabilidad directa en el cumplimiento de</w:t>
      </w:r>
      <w:r w:rsidR="007D04BA" w:rsidRPr="00EC0AA9">
        <w:rPr>
          <w:rFonts w:ascii="Palatino Linotype" w:hAnsi="Palatino Linotype"/>
          <w:i/>
          <w:iCs/>
        </w:rPr>
        <w:t xml:space="preserve"> </w:t>
      </w:r>
      <w:r w:rsidRPr="00EC0AA9">
        <w:rPr>
          <w:rFonts w:ascii="Palatino Linotype" w:hAnsi="Palatino Linotype"/>
          <w:i/>
          <w:iCs/>
        </w:rPr>
        <w:t>las obligaciones fiscales;</w:t>
      </w:r>
    </w:p>
    <w:p w14:paraId="42B89ACE" w14:textId="0EFB0ABF" w:rsidR="007D04BA" w:rsidRPr="00EC0AA9" w:rsidRDefault="00301D63" w:rsidP="00EC0AA9">
      <w:pPr>
        <w:spacing w:line="360" w:lineRule="auto"/>
        <w:ind w:left="567" w:right="616"/>
        <w:jc w:val="both"/>
        <w:rPr>
          <w:rFonts w:ascii="Palatino Linotype" w:hAnsi="Palatino Linotype"/>
          <w:i/>
          <w:iCs/>
        </w:rPr>
      </w:pPr>
      <w:r w:rsidRPr="00EC0AA9">
        <w:rPr>
          <w:rFonts w:ascii="Palatino Linotype" w:hAnsi="Palatino Linotype"/>
          <w:i/>
          <w:iCs/>
        </w:rPr>
        <w:t>IX. Autorizar la dispensa en la entrega de la garantía del interés fiscal, cuando el o los contribuyentes</w:t>
      </w:r>
      <w:r w:rsidR="007D04BA" w:rsidRPr="00EC0AA9">
        <w:rPr>
          <w:rFonts w:ascii="Palatino Linotype" w:hAnsi="Palatino Linotype"/>
          <w:i/>
          <w:iCs/>
        </w:rPr>
        <w:t xml:space="preserve"> </w:t>
      </w:r>
      <w:r w:rsidRPr="00EC0AA9">
        <w:rPr>
          <w:rFonts w:ascii="Palatino Linotype" w:hAnsi="Palatino Linotype"/>
          <w:i/>
          <w:iCs/>
        </w:rPr>
        <w:t>se encuentran en el supuesto contemplado en el último párrafo del artículo 38 del Código</w:t>
      </w:r>
      <w:r w:rsidR="007D04BA" w:rsidRPr="00EC0AA9">
        <w:rPr>
          <w:rFonts w:ascii="Palatino Linotype" w:hAnsi="Palatino Linotype"/>
          <w:i/>
          <w:iCs/>
        </w:rPr>
        <w:t xml:space="preserve"> </w:t>
      </w:r>
      <w:r w:rsidRPr="00EC0AA9">
        <w:rPr>
          <w:rFonts w:ascii="Palatino Linotype" w:hAnsi="Palatino Linotype"/>
          <w:i/>
          <w:iCs/>
        </w:rPr>
        <w:t>Financiero del Estado de México y Municipios, posterior al análisis que realice a situación particular</w:t>
      </w:r>
      <w:r w:rsidR="007D04BA" w:rsidRPr="00EC0AA9">
        <w:t xml:space="preserve"> </w:t>
      </w:r>
      <w:r w:rsidR="007D04BA" w:rsidRPr="00EC0AA9">
        <w:rPr>
          <w:rFonts w:ascii="Palatino Linotype" w:hAnsi="Palatino Linotype"/>
          <w:i/>
          <w:iCs/>
        </w:rPr>
        <w:t>del caso, pudiendo solicitar los elementos que considere pertinentes a los interesados, involucrados u otra autoridad administrativa. Lo anterior en base a lo estipulado en los artículos 32 fracción III y 38 último párrafo del Código Financiero del Estado de México y Municipios; X. Implementar los procedimientos Administrativos Especiales, para el cobro de los créditos fiscales, en términos del Código de Procedimientos Administrativos del Estado de México, en relación con el Código Financiero del Estado de México y Municipio vigente;</w:t>
      </w:r>
    </w:p>
    <w:p w14:paraId="0AE4560C" w14:textId="1A87B4C6" w:rsidR="007D04BA" w:rsidRPr="00EC0AA9" w:rsidRDefault="007D04BA" w:rsidP="00EC0AA9">
      <w:pPr>
        <w:spacing w:line="360" w:lineRule="auto"/>
        <w:ind w:left="567" w:right="616"/>
        <w:jc w:val="both"/>
        <w:rPr>
          <w:rFonts w:ascii="Palatino Linotype" w:hAnsi="Palatino Linotype"/>
          <w:b/>
          <w:i/>
          <w:iCs/>
        </w:rPr>
      </w:pPr>
      <w:r w:rsidRPr="00EC0AA9">
        <w:rPr>
          <w:rFonts w:ascii="Palatino Linotype" w:hAnsi="Palatino Linotype"/>
          <w:b/>
          <w:i/>
          <w:iCs/>
        </w:rPr>
        <w:t>XI. Revisar los movimientos contables, financieros, administrativos de los ingresos y egresos de la</w:t>
      </w:r>
      <w:r w:rsidR="007F7CB5" w:rsidRPr="00EC0AA9">
        <w:rPr>
          <w:rFonts w:ascii="Palatino Linotype" w:hAnsi="Palatino Linotype"/>
          <w:b/>
          <w:i/>
          <w:iCs/>
        </w:rPr>
        <w:t xml:space="preserve"> </w:t>
      </w:r>
      <w:r w:rsidRPr="00EC0AA9">
        <w:rPr>
          <w:rFonts w:ascii="Palatino Linotype" w:hAnsi="Palatino Linotype"/>
          <w:b/>
          <w:i/>
          <w:iCs/>
        </w:rPr>
        <w:t>administración pública municipal;</w:t>
      </w:r>
    </w:p>
    <w:p w14:paraId="74C5C8D9" w14:textId="77777777" w:rsidR="007D04BA" w:rsidRPr="00EC0AA9" w:rsidRDefault="007D04BA" w:rsidP="00EC0AA9">
      <w:pPr>
        <w:spacing w:line="360" w:lineRule="auto"/>
        <w:ind w:left="567" w:right="616"/>
        <w:jc w:val="both"/>
        <w:rPr>
          <w:rFonts w:ascii="Palatino Linotype" w:hAnsi="Palatino Linotype"/>
          <w:i/>
          <w:iCs/>
        </w:rPr>
      </w:pPr>
      <w:r w:rsidRPr="00EC0AA9">
        <w:rPr>
          <w:rFonts w:ascii="Palatino Linotype" w:hAnsi="Palatino Linotype"/>
          <w:i/>
          <w:iCs/>
        </w:rPr>
        <w:t>XII. Revisar la integración y actualización del padrón catastral;</w:t>
      </w:r>
    </w:p>
    <w:p w14:paraId="7E900E74" w14:textId="45515CDA" w:rsidR="007D04BA" w:rsidRPr="00EC0AA9" w:rsidRDefault="007D04BA" w:rsidP="00EC0AA9">
      <w:pPr>
        <w:spacing w:line="360" w:lineRule="auto"/>
        <w:ind w:left="567" w:right="616"/>
        <w:jc w:val="both"/>
        <w:rPr>
          <w:rFonts w:ascii="Palatino Linotype" w:hAnsi="Palatino Linotype"/>
          <w:i/>
          <w:iCs/>
        </w:rPr>
      </w:pPr>
      <w:r w:rsidRPr="00EC0AA9">
        <w:rPr>
          <w:rFonts w:ascii="Palatino Linotype" w:hAnsi="Palatino Linotype"/>
          <w:i/>
          <w:iCs/>
        </w:rPr>
        <w:t>XIII. Revisar la actualización y/o modificación de tablas de valores unitarios de suelo y construcción,</w:t>
      </w:r>
      <w:r w:rsidR="007F7CB5" w:rsidRPr="00EC0AA9">
        <w:rPr>
          <w:rFonts w:ascii="Palatino Linotype" w:hAnsi="Palatino Linotype"/>
          <w:i/>
          <w:iCs/>
        </w:rPr>
        <w:t xml:space="preserve"> </w:t>
      </w:r>
      <w:r w:rsidRPr="00EC0AA9">
        <w:rPr>
          <w:rFonts w:ascii="Palatino Linotype" w:hAnsi="Palatino Linotype"/>
          <w:i/>
          <w:iCs/>
        </w:rPr>
        <w:t>de conformidad con la normatividad establecida para su propuesta y presentación ante el</w:t>
      </w:r>
      <w:r w:rsidR="007F7CB5" w:rsidRPr="00EC0AA9">
        <w:rPr>
          <w:rFonts w:ascii="Palatino Linotype" w:hAnsi="Palatino Linotype"/>
          <w:i/>
          <w:iCs/>
        </w:rPr>
        <w:t xml:space="preserve"> </w:t>
      </w:r>
      <w:r w:rsidRPr="00EC0AA9">
        <w:rPr>
          <w:rFonts w:ascii="Palatino Linotype" w:hAnsi="Palatino Linotype"/>
          <w:i/>
          <w:iCs/>
        </w:rPr>
        <w:t>Ayuntamiento;</w:t>
      </w:r>
    </w:p>
    <w:p w14:paraId="234E97A6" w14:textId="5FCC24CD" w:rsidR="007D04BA" w:rsidRPr="00EC0AA9" w:rsidRDefault="007D04BA" w:rsidP="00EC0AA9">
      <w:pPr>
        <w:spacing w:line="360" w:lineRule="auto"/>
        <w:ind w:left="567" w:right="616"/>
        <w:jc w:val="both"/>
        <w:rPr>
          <w:rFonts w:ascii="Palatino Linotype" w:hAnsi="Palatino Linotype"/>
          <w:i/>
          <w:iCs/>
        </w:rPr>
      </w:pPr>
      <w:r w:rsidRPr="00EC0AA9">
        <w:rPr>
          <w:rFonts w:ascii="Palatino Linotype" w:hAnsi="Palatino Linotype"/>
          <w:i/>
          <w:iCs/>
        </w:rPr>
        <w:t>XIV. Vigilar que se mantenga actualizada la información catastral del territorio municipal conforme a</w:t>
      </w:r>
      <w:r w:rsidR="007F7CB5" w:rsidRPr="00EC0AA9">
        <w:rPr>
          <w:rFonts w:ascii="Palatino Linotype" w:hAnsi="Palatino Linotype"/>
          <w:i/>
          <w:iCs/>
        </w:rPr>
        <w:t xml:space="preserve"> </w:t>
      </w:r>
      <w:r w:rsidRPr="00EC0AA9">
        <w:rPr>
          <w:rFonts w:ascii="Palatino Linotype" w:hAnsi="Palatino Linotype"/>
          <w:i/>
          <w:iCs/>
        </w:rPr>
        <w:t>las disposiciones legales y reglamentarias aplicables en dicha materia;</w:t>
      </w:r>
    </w:p>
    <w:p w14:paraId="756DA252" w14:textId="3BF956C9" w:rsidR="007D04BA" w:rsidRPr="00EC0AA9" w:rsidRDefault="007D04BA" w:rsidP="00EC0AA9">
      <w:pPr>
        <w:spacing w:line="360" w:lineRule="auto"/>
        <w:ind w:left="567" w:right="616"/>
        <w:jc w:val="both"/>
        <w:rPr>
          <w:rFonts w:ascii="Palatino Linotype" w:hAnsi="Palatino Linotype"/>
          <w:i/>
          <w:iCs/>
        </w:rPr>
      </w:pPr>
      <w:r w:rsidRPr="00EC0AA9">
        <w:rPr>
          <w:rFonts w:ascii="Palatino Linotype" w:hAnsi="Palatino Linotype"/>
          <w:i/>
          <w:iCs/>
        </w:rPr>
        <w:lastRenderedPageBreak/>
        <w:t>XV. Autorizar y verificar la reasignación de los recursos presupuestarios, mediante el dictamen</w:t>
      </w:r>
      <w:r w:rsidR="007F7CB5" w:rsidRPr="00EC0AA9">
        <w:rPr>
          <w:rFonts w:ascii="Palatino Linotype" w:hAnsi="Palatino Linotype"/>
          <w:i/>
          <w:iCs/>
        </w:rPr>
        <w:t xml:space="preserve"> </w:t>
      </w:r>
      <w:r w:rsidRPr="00EC0AA9">
        <w:rPr>
          <w:rFonts w:ascii="Palatino Linotype" w:hAnsi="Palatino Linotype"/>
          <w:i/>
          <w:iCs/>
        </w:rPr>
        <w:t>correspondiente y verificar su integración en los informes mensuales; y</w:t>
      </w:r>
    </w:p>
    <w:p w14:paraId="5406CC16" w14:textId="09F9268B" w:rsidR="00301D63" w:rsidRPr="00EC0AA9" w:rsidRDefault="007D04BA" w:rsidP="00EC0AA9">
      <w:pPr>
        <w:spacing w:line="360" w:lineRule="auto"/>
        <w:ind w:left="567" w:right="616"/>
        <w:jc w:val="both"/>
        <w:rPr>
          <w:rFonts w:ascii="Palatino Linotype" w:hAnsi="Palatino Linotype"/>
          <w:i/>
          <w:iCs/>
        </w:rPr>
      </w:pPr>
      <w:r w:rsidRPr="00EC0AA9">
        <w:rPr>
          <w:rFonts w:ascii="Palatino Linotype" w:hAnsi="Palatino Linotype"/>
          <w:i/>
          <w:iCs/>
        </w:rPr>
        <w:t>XVI. Desarrollar las demás funciones inherentes al ámbito de su competencia.</w:t>
      </w:r>
    </w:p>
    <w:p w14:paraId="4520DAE1" w14:textId="77777777" w:rsidR="001A1F47" w:rsidRPr="00EC0AA9" w:rsidRDefault="001A1F47" w:rsidP="00EC0AA9">
      <w:pPr>
        <w:spacing w:line="360" w:lineRule="auto"/>
        <w:ind w:left="567" w:right="616"/>
        <w:jc w:val="both"/>
        <w:rPr>
          <w:rFonts w:ascii="Palatino Linotype" w:hAnsi="Palatino Linotype"/>
          <w:b/>
          <w:i/>
          <w:iCs/>
        </w:rPr>
      </w:pPr>
    </w:p>
    <w:p w14:paraId="5F9195F8" w14:textId="77777777" w:rsidR="002C063F" w:rsidRPr="00EC0AA9" w:rsidRDefault="002C063F" w:rsidP="00EC0AA9">
      <w:pPr>
        <w:spacing w:before="240" w:after="240" w:line="360" w:lineRule="auto"/>
        <w:ind w:right="49"/>
        <w:jc w:val="both"/>
        <w:rPr>
          <w:rFonts w:ascii="Palatino Linotype" w:eastAsia="Palatino Linotype" w:hAnsi="Palatino Linotype" w:cs="Palatino Linotype"/>
        </w:rPr>
      </w:pPr>
      <w:r w:rsidRPr="00EC0AA9">
        <w:rPr>
          <w:rFonts w:ascii="Palatino Linotype" w:eastAsia="Palatino Linotype" w:hAnsi="Palatino Linotype" w:cs="Palatino Linotype"/>
        </w:rPr>
        <w:t xml:space="preserve">En este sentido,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EC0AA9">
        <w:rPr>
          <w:rFonts w:ascii="Palatino Linotype" w:eastAsia="Palatino Linotype" w:hAnsi="Palatino Linotype" w:cs="Palatino Linotype"/>
          <w:b/>
          <w:i/>
        </w:rPr>
        <w:t>ad hoc</w:t>
      </w:r>
      <w:r w:rsidRPr="00EC0AA9">
        <w:rPr>
          <w:rFonts w:ascii="Palatino Linotype" w:eastAsia="Palatino Linotype" w:hAnsi="Palatino Linotype" w:cs="Palatino Linotype"/>
        </w:rPr>
        <w:t>, para satisfacer el derecho de acceso a la información pública, esto encuentra sustento en los artículos 12 y 24 de la Ley de Transparencia Local.</w:t>
      </w:r>
    </w:p>
    <w:p w14:paraId="6F333770" w14:textId="77777777" w:rsidR="002C063F" w:rsidRPr="00EC0AA9" w:rsidRDefault="002C063F" w:rsidP="00EC0AA9">
      <w:pPr>
        <w:spacing w:before="240" w:after="240" w:line="360" w:lineRule="auto"/>
        <w:ind w:right="49"/>
        <w:jc w:val="both"/>
        <w:rPr>
          <w:rFonts w:ascii="Palatino Linotype" w:eastAsia="Palatino Linotype" w:hAnsi="Palatino Linotype" w:cs="Palatino Linotype"/>
        </w:rPr>
      </w:pPr>
      <w:r w:rsidRPr="00EC0AA9">
        <w:rPr>
          <w:rFonts w:ascii="Palatino Linotype" w:eastAsia="Palatino Linotype" w:hAnsi="Palatino Linotype" w:cs="Palatino Linotype"/>
        </w:rPr>
        <w:t>Robustece lo anterior el Criterio 09/10, emitido por el Pleno del entonces Instituto Federal de Acceso a la Información y Protección de Datos (IFAI), ahora Instituto Nacional de Transparencia, Acceso a la Información y Protección de Datos Personales (INAI):</w:t>
      </w:r>
    </w:p>
    <w:p w14:paraId="1AE2B68E" w14:textId="77777777" w:rsidR="002C063F" w:rsidRPr="00EC0AA9" w:rsidRDefault="002C063F" w:rsidP="00EC0AA9">
      <w:pPr>
        <w:spacing w:before="240" w:after="240" w:line="276" w:lineRule="auto"/>
        <w:ind w:left="567" w:right="900"/>
        <w:jc w:val="both"/>
        <w:rPr>
          <w:rFonts w:ascii="Palatino Linotype" w:eastAsia="Palatino Linotype" w:hAnsi="Palatino Linotype" w:cs="Palatino Linotype"/>
          <w:sz w:val="22"/>
          <w:szCs w:val="22"/>
        </w:rPr>
      </w:pPr>
      <w:r w:rsidRPr="00EC0AA9">
        <w:rPr>
          <w:rFonts w:ascii="Palatino Linotype" w:eastAsia="Palatino Linotype" w:hAnsi="Palatino Linotype" w:cs="Palatino Linotype"/>
          <w:b/>
          <w:i/>
          <w:sz w:val="22"/>
          <w:szCs w:val="22"/>
        </w:rPr>
        <w:t>“Las dependencias y entidades no están obligadas a generar documentos ad hoc para responder una solicitud de acceso a la información</w:t>
      </w:r>
      <w:r w:rsidRPr="00EC0AA9">
        <w:rPr>
          <w:rFonts w:ascii="Palatino Linotype" w:eastAsia="Palatino Linotype" w:hAnsi="Palatino Linotype" w:cs="Palatino Linotype"/>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w:t>
      </w:r>
      <w:r w:rsidRPr="00EC0AA9">
        <w:rPr>
          <w:rFonts w:ascii="Palatino Linotype" w:eastAsia="Palatino Linotype" w:hAnsi="Palatino Linotype" w:cs="Palatino Linotype"/>
          <w:i/>
          <w:sz w:val="22"/>
          <w:szCs w:val="22"/>
        </w:rPr>
        <w:lastRenderedPageBreak/>
        <w:t>información con la que cuentan en el formato que la misma así lo permita o se encuentre, en aras de dar satisfacción a la solicitud presentada.</w:t>
      </w:r>
    </w:p>
    <w:p w14:paraId="1E3A6D2A" w14:textId="46823F78" w:rsidR="005362DE" w:rsidRPr="00EC0AA9" w:rsidRDefault="005362DE" w:rsidP="00EC0AA9">
      <w:pPr>
        <w:spacing w:before="240" w:after="240"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rPr>
        <w:t xml:space="preserve">Hasta lo aquí expuesto tenemos que </w:t>
      </w:r>
      <w:r w:rsidR="001F6ACA" w:rsidRPr="001F6ACA">
        <w:rPr>
          <w:rFonts w:ascii="Palatino Linotype" w:eastAsia="Palatino Linotype" w:hAnsi="Palatino Linotype" w:cs="Palatino Linotype"/>
          <w:b/>
          <w:bCs/>
        </w:rPr>
        <w:t>EL RECURRENTE</w:t>
      </w:r>
      <w:r w:rsidR="001F6ACA" w:rsidRPr="00EC0AA9">
        <w:rPr>
          <w:rFonts w:ascii="Palatino Linotype" w:eastAsia="Palatino Linotype" w:hAnsi="Palatino Linotype" w:cs="Palatino Linotype"/>
        </w:rPr>
        <w:t xml:space="preserve"> </w:t>
      </w:r>
      <w:r w:rsidRPr="00EC0AA9">
        <w:rPr>
          <w:rFonts w:ascii="Palatino Linotype" w:eastAsia="Palatino Linotype" w:hAnsi="Palatino Linotype" w:cs="Palatino Linotype"/>
        </w:rPr>
        <w:t xml:space="preserve">solicitó </w:t>
      </w:r>
      <w:r w:rsidRPr="00EC0AA9">
        <w:rPr>
          <w:rFonts w:ascii="Palatino Linotype" w:eastAsia="Palatino Linotype" w:hAnsi="Palatino Linotype" w:cs="Palatino Linotype"/>
          <w:i/>
        </w:rPr>
        <w:t>"</w:t>
      </w:r>
      <w:r w:rsidR="000F7EAC" w:rsidRPr="00EC0AA9">
        <w:rPr>
          <w:rFonts w:ascii="Palatino Linotype" w:eastAsia="Palatino Linotype" w:hAnsi="Palatino Linotype" w:cs="Palatino Linotype"/>
          <w:i/>
        </w:rPr>
        <w:t>…</w:t>
      </w:r>
      <w:r w:rsidRPr="00EC0AA9">
        <w:rPr>
          <w:rFonts w:ascii="Palatino Linotype" w:eastAsia="Palatino Linotype" w:hAnsi="Palatino Linotype" w:cs="Palatino Linotype"/>
          <w:i/>
        </w:rPr>
        <w:t>LA FACTURA Y EL SOPORTE DOCUMENTAL DEL PAGO REALIZADO A ESPECIALISTAS CONTABLES EN ADMINISTRACIÓN PUBLICA Y PRIVADA, POR EL PAGO DE LA CANTIDAD DE $ 291,666.65 CORRESPONDIENTE AL SERVICIO PRESTADO EN EL MES DE ENERO. ASÍ MISMO SE SOLICITA LOS DOCUMENTOS EN DONDE OBREN LAS ACTIVIDADES DE DICHO PRESTADOR DE SERVICIOS”</w:t>
      </w:r>
      <w:r w:rsidRPr="00EC0AA9">
        <w:rPr>
          <w:rFonts w:ascii="Palatino Linotype" w:eastAsia="Palatino Linotype" w:hAnsi="Palatino Linotype" w:cs="Palatino Linotype"/>
        </w:rPr>
        <w:t xml:space="preserve"> </w:t>
      </w:r>
      <w:r w:rsidR="000F7EAC" w:rsidRPr="00EC0AA9">
        <w:rPr>
          <w:rFonts w:ascii="Palatino Linotype" w:eastAsia="Palatino Linotype" w:hAnsi="Palatino Linotype" w:cs="Palatino Linotype"/>
        </w:rPr>
        <w:t xml:space="preserve">y eso fue lo que se le entregó no obstante mediante acto impugnado </w:t>
      </w:r>
      <w:r w:rsidR="001F6ACA" w:rsidRPr="001F6ACA">
        <w:rPr>
          <w:rFonts w:ascii="Palatino Linotype" w:eastAsia="Palatino Linotype" w:hAnsi="Palatino Linotype" w:cs="Palatino Linotype"/>
          <w:b/>
          <w:bCs/>
        </w:rPr>
        <w:t>EL RECURRENTE</w:t>
      </w:r>
      <w:r w:rsidR="001F6ACA" w:rsidRPr="00EC0AA9">
        <w:rPr>
          <w:rFonts w:ascii="Palatino Linotype" w:eastAsia="Palatino Linotype" w:hAnsi="Palatino Linotype" w:cs="Palatino Linotype"/>
        </w:rPr>
        <w:t xml:space="preserve"> </w:t>
      </w:r>
      <w:r w:rsidR="000F7EAC" w:rsidRPr="00EC0AA9">
        <w:rPr>
          <w:rFonts w:ascii="Palatino Linotype" w:eastAsia="Palatino Linotype" w:hAnsi="Palatino Linotype" w:cs="Palatino Linotype"/>
        </w:rPr>
        <w:t>pretende ampliar su solicitud fundamentando su inconformidad en los artículos 26 y 27 de la Ley de Contratación Pública del Estado de México y Municipios que a la letra señala</w:t>
      </w:r>
      <w:r w:rsidR="00707A16" w:rsidRPr="00EC0AA9">
        <w:rPr>
          <w:rFonts w:ascii="Palatino Linotype" w:eastAsia="Palatino Linotype" w:hAnsi="Palatino Linotype" w:cs="Palatino Linotype"/>
        </w:rPr>
        <w:t>n</w:t>
      </w:r>
      <w:r w:rsidR="000F7EAC" w:rsidRPr="00EC0AA9">
        <w:rPr>
          <w:rFonts w:ascii="Palatino Linotype" w:eastAsia="Palatino Linotype" w:hAnsi="Palatino Linotype" w:cs="Palatino Linotype"/>
        </w:rPr>
        <w:t>:</w:t>
      </w:r>
    </w:p>
    <w:p w14:paraId="513F71E7" w14:textId="77777777" w:rsidR="00707A16" w:rsidRPr="00EC0AA9" w:rsidRDefault="000F7EAC" w:rsidP="00EC0AA9">
      <w:pPr>
        <w:spacing w:before="240" w:after="240" w:line="360" w:lineRule="auto"/>
        <w:ind w:left="426" w:right="899"/>
        <w:jc w:val="both"/>
        <w:rPr>
          <w:rFonts w:ascii="Palatino Linotype" w:hAnsi="Palatino Linotype"/>
          <w:i/>
        </w:rPr>
      </w:pPr>
      <w:r w:rsidRPr="00EC0AA9">
        <w:rPr>
          <w:rFonts w:ascii="Palatino Linotype" w:hAnsi="Palatino Linotype"/>
          <w:i/>
        </w:rPr>
        <w:t xml:space="preserve">Artículo 26.- Las adquisiciones, arrendamientos y servicios se adjudicarán a través de licitaciones públicas, mediante convocatoria pública. </w:t>
      </w:r>
    </w:p>
    <w:p w14:paraId="52A28A79" w14:textId="0A019385" w:rsidR="000F7EAC" w:rsidRPr="00EC0AA9" w:rsidRDefault="000F7EAC" w:rsidP="00EC0AA9">
      <w:pPr>
        <w:spacing w:before="240" w:after="240" w:line="360" w:lineRule="auto"/>
        <w:ind w:left="426" w:right="899"/>
        <w:jc w:val="both"/>
        <w:rPr>
          <w:rFonts w:ascii="Palatino Linotype" w:eastAsia="Palatino Linotype" w:hAnsi="Palatino Linotype" w:cs="Palatino Linotype"/>
          <w:i/>
        </w:rPr>
      </w:pPr>
      <w:r w:rsidRPr="00EC0AA9">
        <w:rPr>
          <w:rFonts w:ascii="Palatino Linotype" w:hAnsi="Palatino Linotype"/>
          <w:i/>
        </w:rPr>
        <w:t>Artículo 27.- La Secretaría, las entidades, los tribunales administrativos y los ayuntamientos podrán adjudicar adquisiciones, arrendamientos y servicios, mediante las excepciones al procedimiento de licitación que a continuación se señalan: I. Invitación restringida. II. Adjudicación directa.</w:t>
      </w:r>
    </w:p>
    <w:p w14:paraId="35984494" w14:textId="0F9581E9" w:rsidR="005362DE" w:rsidRPr="00EC0AA9" w:rsidRDefault="00707A16" w:rsidP="00EC0AA9">
      <w:pPr>
        <w:spacing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rPr>
        <w:t xml:space="preserve">Como podemos advertir, dicha normativa regula procedimientos de Adjudicaciones directas, licitaciones e invitaciones restringidas lo cual no es información que solicitó </w:t>
      </w:r>
      <w:r w:rsidR="001F6ACA" w:rsidRPr="001F6ACA">
        <w:rPr>
          <w:rFonts w:ascii="Palatino Linotype" w:eastAsia="Palatino Linotype" w:hAnsi="Palatino Linotype" w:cs="Palatino Linotype"/>
          <w:b/>
          <w:bCs/>
        </w:rPr>
        <w:lastRenderedPageBreak/>
        <w:t>EL RECURRENTE</w:t>
      </w:r>
      <w:r w:rsidR="001F6ACA" w:rsidRPr="00EC0AA9">
        <w:rPr>
          <w:rFonts w:ascii="Palatino Linotype" w:eastAsia="Palatino Linotype" w:hAnsi="Palatino Linotype" w:cs="Palatino Linotype"/>
        </w:rPr>
        <w:t xml:space="preserve"> </w:t>
      </w:r>
      <w:r w:rsidRPr="00EC0AA9">
        <w:rPr>
          <w:rFonts w:ascii="Palatino Linotype" w:eastAsia="Palatino Linotype" w:hAnsi="Palatino Linotype" w:cs="Palatino Linotype"/>
        </w:rPr>
        <w:t>en su solicitud primigenia por lo cual dicha situación deviene infundada pro no formar parte de la solicitud de inicio.</w:t>
      </w:r>
    </w:p>
    <w:p w14:paraId="44CBEA61" w14:textId="77777777" w:rsidR="00707A16" w:rsidRPr="00EC0AA9" w:rsidRDefault="00707A16" w:rsidP="00EC0AA9">
      <w:pPr>
        <w:spacing w:line="360" w:lineRule="auto"/>
        <w:jc w:val="both"/>
        <w:rPr>
          <w:rFonts w:ascii="Palatino Linotype" w:eastAsia="Palatino Linotype" w:hAnsi="Palatino Linotype" w:cs="Palatino Linotype"/>
        </w:rPr>
      </w:pPr>
    </w:p>
    <w:p w14:paraId="6BFF1756" w14:textId="183564D2" w:rsidR="00707A16" w:rsidRPr="00EC0AA9" w:rsidRDefault="00707A16" w:rsidP="00EC0AA9">
      <w:pPr>
        <w:spacing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rPr>
        <w:t xml:space="preserve">Ahora bien, si bien es cierto que </w:t>
      </w:r>
      <w:r w:rsidRPr="00EC0AA9">
        <w:rPr>
          <w:rFonts w:ascii="Palatino Linotype" w:eastAsia="Palatino Linotype" w:hAnsi="Palatino Linotype" w:cs="Palatino Linotype"/>
          <w:b/>
        </w:rPr>
        <w:t xml:space="preserve">EL SUJETO OBLIGADO </w:t>
      </w:r>
      <w:r w:rsidRPr="00EC0AA9">
        <w:rPr>
          <w:rFonts w:ascii="Palatino Linotype" w:eastAsia="Palatino Linotype" w:hAnsi="Palatino Linotype" w:cs="Palatino Linotype"/>
        </w:rPr>
        <w:t>cumple con entregar la información solicitada también lo es que de la misma se advierten dos inconsistencias:</w:t>
      </w:r>
    </w:p>
    <w:p w14:paraId="1011947B" w14:textId="77777777" w:rsidR="00707A16" w:rsidRPr="00EC0AA9" w:rsidRDefault="00707A16" w:rsidP="00EC0AA9">
      <w:pPr>
        <w:spacing w:line="360" w:lineRule="auto"/>
        <w:jc w:val="both"/>
        <w:rPr>
          <w:rFonts w:ascii="Palatino Linotype" w:eastAsia="Palatino Linotype" w:hAnsi="Palatino Linotype" w:cs="Palatino Linotype"/>
        </w:rPr>
      </w:pPr>
    </w:p>
    <w:p w14:paraId="2D0CD0D2" w14:textId="26997B1F" w:rsidR="00707A16" w:rsidRPr="00EC0AA9" w:rsidRDefault="00707A16" w:rsidP="00EC0AA9">
      <w:pPr>
        <w:pStyle w:val="Prrafodelista"/>
        <w:numPr>
          <w:ilvl w:val="0"/>
          <w:numId w:val="9"/>
        </w:numPr>
        <w:spacing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rPr>
        <w:t xml:space="preserve">Se testó información que no debió ser testada como lo es el RFC </w:t>
      </w:r>
      <w:r w:rsidR="00E40F55" w:rsidRPr="00EC0AA9">
        <w:rPr>
          <w:rFonts w:ascii="Palatino Linotype" w:eastAsia="Palatino Linotype" w:hAnsi="Palatino Linotype" w:cs="Palatino Linotype"/>
        </w:rPr>
        <w:t>del emisor.</w:t>
      </w:r>
    </w:p>
    <w:p w14:paraId="5908184F" w14:textId="67BACFD9" w:rsidR="00E40F55" w:rsidRPr="00EC0AA9" w:rsidRDefault="00E40F55" w:rsidP="00EC0AA9">
      <w:pPr>
        <w:pStyle w:val="Prrafodelista"/>
        <w:numPr>
          <w:ilvl w:val="0"/>
          <w:numId w:val="9"/>
        </w:numPr>
        <w:spacing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rPr>
        <w:t>No se entregó el Acta del Comité de Transparencia donde se avale la versión pública de la información remitida.</w:t>
      </w:r>
    </w:p>
    <w:p w14:paraId="4CB570F2" w14:textId="77777777" w:rsidR="00E40F55" w:rsidRPr="00EC0AA9" w:rsidRDefault="00E40F55" w:rsidP="00EC0AA9">
      <w:pPr>
        <w:spacing w:line="360" w:lineRule="auto"/>
        <w:jc w:val="both"/>
        <w:rPr>
          <w:rFonts w:ascii="Palatino Linotype" w:eastAsia="Palatino Linotype" w:hAnsi="Palatino Linotype" w:cs="Palatino Linotype"/>
        </w:rPr>
      </w:pPr>
    </w:p>
    <w:p w14:paraId="3BC7F46B" w14:textId="68219082" w:rsidR="00E40F55" w:rsidRPr="00EC0AA9" w:rsidRDefault="00E40F55" w:rsidP="00EC0AA9">
      <w:pPr>
        <w:spacing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rPr>
        <w:t xml:space="preserve">Por tales circunstancias, esté Órgano Garante determina viable ordenar se entregue de nueva cuenta la información remitida en respuesta pero en correcta versión pública y acompañada del acuerdo del Comité de Transparencia donde se avale </w:t>
      </w:r>
      <w:r w:rsidR="001F5286" w:rsidRPr="00EC0AA9">
        <w:rPr>
          <w:rFonts w:ascii="Palatino Linotype" w:eastAsia="Palatino Linotype" w:hAnsi="Palatino Linotype" w:cs="Palatino Linotype"/>
        </w:rPr>
        <w:t>dicha situación.</w:t>
      </w:r>
    </w:p>
    <w:p w14:paraId="3044478C" w14:textId="77777777" w:rsidR="00ED16D4" w:rsidRPr="00EC0AA9" w:rsidRDefault="00ED16D4" w:rsidP="00EC0AA9">
      <w:pPr>
        <w:spacing w:line="360" w:lineRule="auto"/>
        <w:jc w:val="both"/>
        <w:rPr>
          <w:rFonts w:ascii="Palatino Linotype" w:hAnsi="Palatino Linotype"/>
        </w:rPr>
      </w:pPr>
    </w:p>
    <w:p w14:paraId="46799B85" w14:textId="50181B61" w:rsidR="00ED16D4" w:rsidRPr="00EC0AA9" w:rsidRDefault="00ED16D4" w:rsidP="00EC0AA9">
      <w:pPr>
        <w:spacing w:line="360" w:lineRule="auto"/>
        <w:jc w:val="both"/>
        <w:rPr>
          <w:rFonts w:ascii="Palatino Linotype" w:hAnsi="Palatino Linotype"/>
        </w:rPr>
      </w:pPr>
      <w:r w:rsidRPr="00EC0AA9">
        <w:rPr>
          <w:rFonts w:ascii="Palatino Linotype" w:hAnsi="Palatino Linotype"/>
        </w:rPr>
        <w:t xml:space="preserve">Es de destacar que otro documento que de manera enunciativa </w:t>
      </w:r>
      <w:r w:rsidR="005910F6" w:rsidRPr="00EC0AA9">
        <w:rPr>
          <w:rFonts w:ascii="Palatino Linotype" w:hAnsi="Palatino Linotype"/>
        </w:rPr>
        <w:t>más</w:t>
      </w:r>
      <w:r w:rsidRPr="00EC0AA9">
        <w:rPr>
          <w:rFonts w:ascii="Palatino Linotype" w:hAnsi="Palatino Linotype"/>
        </w:rPr>
        <w:t xml:space="preserve"> no limitativa puede colmar con lo solicitado son las pólizas de cheques:</w:t>
      </w:r>
    </w:p>
    <w:p w14:paraId="17F0D00C" w14:textId="77777777" w:rsidR="00ED16D4" w:rsidRPr="00EC0AA9" w:rsidRDefault="00ED16D4" w:rsidP="00EC0AA9">
      <w:pPr>
        <w:spacing w:line="360" w:lineRule="auto"/>
        <w:jc w:val="both"/>
        <w:rPr>
          <w:rFonts w:ascii="Palatino Linotype" w:hAnsi="Palatino Linotype"/>
        </w:rPr>
      </w:pPr>
    </w:p>
    <w:p w14:paraId="25F8F9D8" w14:textId="77777777" w:rsidR="00ED16D4" w:rsidRPr="00EC0AA9" w:rsidRDefault="00ED16D4" w:rsidP="00EC0AA9">
      <w:pPr>
        <w:spacing w:line="360" w:lineRule="auto"/>
        <w:ind w:right="-28"/>
        <w:contextualSpacing/>
        <w:jc w:val="both"/>
        <w:rPr>
          <w:rFonts w:ascii="Palatino Linotype" w:eastAsia="Calibri" w:hAnsi="Palatino Linotype" w:cs="Tahoma"/>
          <w:bCs/>
        </w:rPr>
      </w:pPr>
      <w:r w:rsidRPr="00EC0AA9">
        <w:rPr>
          <w:rFonts w:ascii="Palatino Linotype" w:eastAsia="Calibri" w:hAnsi="Palatino Linotype" w:cs="Tahoma"/>
          <w:bCs/>
        </w:rPr>
        <w:t>Al respecto las pólizas de cheques encuentran su existencia en el “Instructivo Módulo 1”, del Informe que se remite de los ayuntamientos al Órgano Superior de Fiscalización (OSFEM), disposición legal que contempla lo siguiente, respecto a las pólizas:</w:t>
      </w:r>
    </w:p>
    <w:p w14:paraId="5B95A763" w14:textId="77777777" w:rsidR="00ED16D4" w:rsidRPr="00EC0AA9" w:rsidRDefault="00ED16D4" w:rsidP="00EC0AA9">
      <w:pPr>
        <w:spacing w:line="360" w:lineRule="auto"/>
        <w:ind w:right="-28"/>
        <w:contextualSpacing/>
        <w:rPr>
          <w:rFonts w:ascii="Palatino Linotype" w:eastAsia="Calibri" w:hAnsi="Palatino Linotype" w:cs="Tahoma"/>
          <w:bCs/>
        </w:rPr>
      </w:pPr>
    </w:p>
    <w:p w14:paraId="17436B97"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Submódulo - Pólizas </w:t>
      </w:r>
    </w:p>
    <w:p w14:paraId="1083458B"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lastRenderedPageBreak/>
        <w:t xml:space="preserve">31. Pólizas de Ingresos con los documentos comprobatorios </w:t>
      </w:r>
    </w:p>
    <w:p w14:paraId="170F9621"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Instructivo de llenado de las Pólizas de Ingresos </w:t>
      </w:r>
    </w:p>
    <w:p w14:paraId="4BFF1F0B"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32. Pólizas de Diario con los documentos comprobatorios </w:t>
      </w:r>
    </w:p>
    <w:p w14:paraId="1556C589"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Instructivo de llenado de las Pólizas de Diario </w:t>
      </w:r>
    </w:p>
    <w:p w14:paraId="3CE4D8C2"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33. Pólizas de Egresos con los documentos comprobatorios </w:t>
      </w:r>
    </w:p>
    <w:p w14:paraId="325C68F6"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Instructivo de llenado de las Pólizas de Egresos </w:t>
      </w:r>
    </w:p>
    <w:p w14:paraId="1E338115" w14:textId="77777777" w:rsidR="00ED16D4" w:rsidRPr="00EC0AA9" w:rsidRDefault="00ED16D4" w:rsidP="00EC0AA9">
      <w:pPr>
        <w:spacing w:line="360" w:lineRule="auto"/>
        <w:ind w:left="567" w:right="567"/>
        <w:rPr>
          <w:rFonts w:ascii="Palatino Linotype" w:hAnsi="Palatino Linotype" w:cs="Tahoma"/>
          <w:b/>
          <w:i/>
          <w:sz w:val="20"/>
        </w:rPr>
      </w:pPr>
      <w:r w:rsidRPr="00EC0AA9">
        <w:rPr>
          <w:rFonts w:ascii="Palatino Linotype" w:hAnsi="Palatino Linotype" w:cs="Tahoma"/>
          <w:b/>
          <w:i/>
          <w:sz w:val="20"/>
        </w:rPr>
        <w:t xml:space="preserve">34. Pólizas de Cheques con los documentos comprobatorios </w:t>
      </w:r>
    </w:p>
    <w:p w14:paraId="38EBC2B1" w14:textId="77777777" w:rsidR="00ED16D4" w:rsidRPr="00EC0AA9" w:rsidRDefault="00ED16D4" w:rsidP="00EC0AA9">
      <w:pPr>
        <w:spacing w:line="360" w:lineRule="auto"/>
        <w:ind w:left="567" w:right="567"/>
        <w:rPr>
          <w:rFonts w:ascii="Palatino Linotype" w:hAnsi="Palatino Linotype" w:cs="Tahoma"/>
          <w:b/>
          <w:i/>
          <w:sz w:val="20"/>
        </w:rPr>
      </w:pPr>
      <w:r w:rsidRPr="00EC0AA9">
        <w:rPr>
          <w:rFonts w:ascii="Palatino Linotype" w:hAnsi="Palatino Linotype" w:cs="Tahoma"/>
          <w:b/>
          <w:i/>
          <w:sz w:val="20"/>
        </w:rPr>
        <w:t>Instructivo de llenado de las Pólizas Cheque</w:t>
      </w:r>
    </w:p>
    <w:p w14:paraId="4798E5C1" w14:textId="77777777" w:rsidR="00ED16D4" w:rsidRPr="00EC0AA9" w:rsidRDefault="00ED16D4" w:rsidP="00EC0AA9">
      <w:pPr>
        <w:spacing w:line="360" w:lineRule="auto"/>
        <w:ind w:left="567" w:right="567"/>
        <w:rPr>
          <w:rFonts w:ascii="Palatino Linotype" w:hAnsi="Palatino Linotype" w:cs="Tahoma"/>
          <w:b/>
          <w:i/>
          <w:sz w:val="20"/>
        </w:rPr>
      </w:pPr>
    </w:p>
    <w:p w14:paraId="4FB2F4B4" w14:textId="77777777" w:rsidR="00ED16D4" w:rsidRPr="00EC0AA9" w:rsidRDefault="00ED16D4" w:rsidP="00EC0AA9">
      <w:pPr>
        <w:spacing w:line="360" w:lineRule="auto"/>
        <w:ind w:right="-28"/>
        <w:contextualSpacing/>
        <w:jc w:val="both"/>
        <w:rPr>
          <w:rFonts w:ascii="Palatino Linotype" w:eastAsia="Calibri" w:hAnsi="Palatino Linotype" w:cs="Tahoma"/>
          <w:bCs/>
        </w:rPr>
      </w:pPr>
      <w:r w:rsidRPr="00EC0AA9">
        <w:rPr>
          <w:rFonts w:ascii="Palatino Linotype" w:eastAsia="Calibri" w:hAnsi="Palatino Linotype" w:cs="Tahoma"/>
          <w:bCs/>
        </w:rPr>
        <w:t>Estos documentos, contienen la siguiente información, que es reportada al OSFEM, para lo que se reproduce una imagen del instructivo en referencia.</w:t>
      </w:r>
    </w:p>
    <w:p w14:paraId="21762DBC" w14:textId="77777777" w:rsidR="00ED16D4" w:rsidRPr="00EC0AA9" w:rsidRDefault="00ED16D4" w:rsidP="00EC0AA9">
      <w:pPr>
        <w:spacing w:line="360" w:lineRule="auto"/>
        <w:ind w:right="-28"/>
        <w:contextualSpacing/>
        <w:jc w:val="center"/>
        <w:rPr>
          <w:rFonts w:ascii="Palatino Linotype" w:eastAsia="Calibri" w:hAnsi="Palatino Linotype" w:cs="Tahoma"/>
          <w:bCs/>
        </w:rPr>
      </w:pPr>
      <w:r w:rsidRPr="00EC0AA9">
        <w:rPr>
          <w:rFonts w:ascii="Palatino Linotype" w:hAnsi="Palatino Linotype"/>
          <w:noProof/>
        </w:rPr>
        <w:drawing>
          <wp:inline distT="0" distB="0" distL="0" distR="0" wp14:anchorId="3D00025D" wp14:editId="07D6A136">
            <wp:extent cx="5505315" cy="3695700"/>
            <wp:effectExtent l="0" t="0" r="635" b="0"/>
            <wp:docPr id="3"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rotWithShape="1">
                    <a:blip r:embed="rId14"/>
                    <a:srcRect l="25326" t="16088" r="27475" b="6688"/>
                    <a:stretch/>
                  </pic:blipFill>
                  <pic:spPr bwMode="auto">
                    <a:xfrm>
                      <a:off x="0" y="0"/>
                      <a:ext cx="5523305" cy="3707776"/>
                    </a:xfrm>
                    <a:prstGeom prst="rect">
                      <a:avLst/>
                    </a:prstGeom>
                    <a:ln>
                      <a:noFill/>
                    </a:ln>
                    <a:extLst>
                      <a:ext uri="{53640926-AAD7-44D8-BBD7-CCE9431645EC}">
                        <a14:shadowObscured xmlns:a14="http://schemas.microsoft.com/office/drawing/2010/main"/>
                      </a:ext>
                    </a:extLst>
                  </pic:spPr>
                </pic:pic>
              </a:graphicData>
            </a:graphic>
          </wp:inline>
        </w:drawing>
      </w:r>
    </w:p>
    <w:p w14:paraId="2472DAD5" w14:textId="77777777" w:rsidR="00ED16D4" w:rsidRPr="00EC0AA9" w:rsidRDefault="00ED16D4" w:rsidP="00EC0AA9">
      <w:pPr>
        <w:spacing w:line="360" w:lineRule="auto"/>
        <w:ind w:right="-28"/>
        <w:contextualSpacing/>
        <w:jc w:val="both"/>
        <w:rPr>
          <w:rFonts w:ascii="Palatino Linotype" w:eastAsia="Calibri" w:hAnsi="Palatino Linotype" w:cs="Tahoma"/>
          <w:bCs/>
        </w:rPr>
      </w:pPr>
      <w:r w:rsidRPr="00EC0AA9">
        <w:rPr>
          <w:rFonts w:ascii="Palatino Linotype" w:eastAsia="Calibri" w:hAnsi="Palatino Linotype" w:cs="Tahoma"/>
          <w:bCs/>
        </w:rPr>
        <w:lastRenderedPageBreak/>
        <w:t>Este formato, es llenado con las instrucciones que contiene el documento antes referido y que se reproduce, pues incluso ahí se señala la finalidad misma de las pólizas de cheque:</w:t>
      </w:r>
    </w:p>
    <w:p w14:paraId="6541EDB3" w14:textId="77777777" w:rsidR="00ED16D4" w:rsidRPr="00EC0AA9" w:rsidRDefault="00ED16D4" w:rsidP="00EC0AA9">
      <w:pPr>
        <w:spacing w:line="360" w:lineRule="auto"/>
        <w:ind w:right="-28"/>
        <w:contextualSpacing/>
        <w:rPr>
          <w:rFonts w:ascii="Palatino Linotype" w:eastAsia="Calibri" w:hAnsi="Palatino Linotype" w:cs="Tahoma"/>
          <w:bCs/>
        </w:rPr>
      </w:pPr>
    </w:p>
    <w:p w14:paraId="2D48E171"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Instructivo de llenado de las Pólizas Cheque </w:t>
      </w:r>
    </w:p>
    <w:p w14:paraId="5FFD77BA"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Finalidad: Al margen de la citada, cuando una póliza de egresos, en caso de tratarse de una erogación, y se realiza a través de un cheque, esta se denomina póliza de cheque. </w:t>
      </w:r>
    </w:p>
    <w:p w14:paraId="19E705F2"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1. Topónimo del Ente Público: Representación gráfica que refiere al Ente Público. </w:t>
      </w:r>
    </w:p>
    <w:p w14:paraId="4EDBD38E"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2. Tipo, nombre y número del Ente Público: Corresponde al tipo, nombre y número del Ente Público que emite el documento, ejemplo: Municipio de Toluca 0101. </w:t>
      </w:r>
    </w:p>
    <w:p w14:paraId="624FC2BB"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3. Nombre del formato: Anotar el nombre del documento. </w:t>
      </w:r>
    </w:p>
    <w:p w14:paraId="28EE591A"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4. Fecha: Fecha de registro de la póliza. </w:t>
      </w:r>
    </w:p>
    <w:p w14:paraId="5ADCF3C4"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5. Tipo y Número de Póliza: Anotar el tipo y número de póliza, el cual debe ser consecutivo por tipo de póliza o por operación; por ejemplo: Póliza de Cheque 12. </w:t>
      </w:r>
    </w:p>
    <w:p w14:paraId="69807E51"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6. NP: Número progresivo de los movimientos contables. </w:t>
      </w:r>
    </w:p>
    <w:p w14:paraId="017ADAA6"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7. Cta: Especificar la cuenta contable al primer nivel de acuerdo a la Lista de Cuentas Específico Municipal que especifica en el Manual Único de Contabilidad Gubernamental para las Dependencias y Entidades Públicas del Gobierno y Municipios del Estado de México. </w:t>
      </w:r>
    </w:p>
    <w:p w14:paraId="6122B106"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8. Scta: Especificar la cuenta contable al segundo nivel de acuerdo a la Lista de Cuentas Específico Municipal que especifica en el Manual Único de Contabilidad Gubernamental para las Dependencias y Entidades Públicas del Gobierno y Municipios del Estado de México. </w:t>
      </w:r>
    </w:p>
    <w:p w14:paraId="0AEE1F28"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9. Sscta: Especificar la cuenta contable al tercer nivel de acuerdo a la Lista de Cuentas Específico Municipal que especifica en el Manual Único de Contabilidad Gubernamental para las Dependencias y Entidades Públicas del Gobierno y Municipios del Estado de México. </w:t>
      </w:r>
    </w:p>
    <w:p w14:paraId="6C2DF6A7"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lastRenderedPageBreak/>
        <w:t xml:space="preserve">10. Ssscta: Especificar la cuenta contable al cuarto nivel de acuerdo a la Lista de Cuentas Específico Municipal que especifica en el Manual Único de Contabilidad Gubernamental para las Dependencias y Entidades Públicas del Gobierno y Municipios del Estado de México. </w:t>
      </w:r>
    </w:p>
    <w:p w14:paraId="3A5C5C8E"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11. Sssscta: Especificar la cuenta contable al quinto nivel de acuerdo a la Lista de Cuentas Específico Municipal que especifica en el Manual Único de Contabilidad Gubernamental para las Dependencias y Entidades Públicas del Gobierno y Municipios del Estado de México. </w:t>
      </w:r>
    </w:p>
    <w:p w14:paraId="04577F0B"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12. Ref: Las pólizas hacen referencia al documento en el que se registran las distintas operaciones contables, por ejemplo: CH-12 </w:t>
      </w:r>
    </w:p>
    <w:p w14:paraId="2BB1791A"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13. Concepto: Anotar de acuerdo al Manual Único de Contabilidad Gubernamental para las Dependencias y Entidades Públicas del Gobierno y Municipios del Estado de México, a su registro contable y presupuestal: el nombre del concepto del clasificador del objeto del gasto y el nombre del beneficiario o proveedor completo, el nombre de la descripción de la lista de cuentas y el nombre del beneficiario o proveedor completo y el nombre del concepto de la lista de Lista de Cuentas Específico Municipal, de la institución bancaria, número de cuenta bancaria, número de cheque, fondo y el nombre del beneficiario o proveedor completo. </w:t>
      </w:r>
    </w:p>
    <w:p w14:paraId="527FA573"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14. Debe: Anotar el importe total de los cargos contables correspondientes de cada una de las cuentas contables. </w:t>
      </w:r>
    </w:p>
    <w:p w14:paraId="05FAFFCD"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15. Haber: Anotar el importe total de los abonos contables correspondientes de cada una de las cuentas contables. </w:t>
      </w:r>
    </w:p>
    <w:p w14:paraId="093418D8"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 xml:space="preserve">16. Saldo total de la póliza: Se anota el resultado de la suma de los importes registrados en cada una de las columnas del debe y haber. </w:t>
      </w:r>
    </w:p>
    <w:p w14:paraId="2EA9C0E1" w14:textId="77777777" w:rsidR="00ED16D4" w:rsidRPr="00EC0AA9" w:rsidRDefault="00ED16D4" w:rsidP="00EC0AA9">
      <w:pPr>
        <w:spacing w:line="360" w:lineRule="auto"/>
        <w:ind w:left="567" w:right="567"/>
        <w:rPr>
          <w:rFonts w:ascii="Palatino Linotype" w:hAnsi="Palatino Linotype" w:cs="Tahoma"/>
          <w:bCs/>
          <w:i/>
          <w:sz w:val="20"/>
        </w:rPr>
      </w:pPr>
      <w:r w:rsidRPr="00EC0AA9">
        <w:rPr>
          <w:rFonts w:ascii="Palatino Linotype" w:hAnsi="Palatino Linotype" w:cs="Tahoma"/>
          <w:bCs/>
          <w:i/>
          <w:sz w:val="20"/>
        </w:rPr>
        <w:t>17. Descripción: De manera breve y específica anotar el hecho que generó el asiento contable. Considerar misma estructura y ejemplos mencionados en dicho punto de más Pólizas de Egresos</w:t>
      </w:r>
    </w:p>
    <w:p w14:paraId="41594A3C" w14:textId="77777777" w:rsidR="00ED16D4" w:rsidRPr="00EC0AA9" w:rsidRDefault="00ED16D4" w:rsidP="00EC0AA9">
      <w:pPr>
        <w:spacing w:line="360" w:lineRule="auto"/>
        <w:ind w:right="-28"/>
        <w:contextualSpacing/>
        <w:rPr>
          <w:rFonts w:ascii="Palatino Linotype" w:eastAsia="Calibri" w:hAnsi="Palatino Linotype" w:cs="Tahoma"/>
          <w:bCs/>
        </w:rPr>
      </w:pPr>
    </w:p>
    <w:p w14:paraId="1981B91D" w14:textId="77777777" w:rsidR="00ED16D4" w:rsidRPr="00EC0AA9" w:rsidRDefault="00ED16D4" w:rsidP="00EC0AA9">
      <w:pPr>
        <w:spacing w:line="360" w:lineRule="auto"/>
        <w:ind w:right="-28"/>
        <w:contextualSpacing/>
        <w:jc w:val="both"/>
        <w:rPr>
          <w:rFonts w:ascii="Palatino Linotype" w:eastAsia="Calibri" w:hAnsi="Palatino Linotype" w:cs="Tahoma"/>
          <w:bCs/>
        </w:rPr>
      </w:pPr>
      <w:r w:rsidRPr="00EC0AA9">
        <w:rPr>
          <w:rFonts w:ascii="Palatino Linotype" w:eastAsia="Calibri" w:hAnsi="Palatino Linotype" w:cs="Tahoma"/>
          <w:bCs/>
        </w:rPr>
        <w:t xml:space="preserve">Entonces, se identifica que las pólizas de cheque son una especie de las pólizas de egresos, con la diferencia de que, unas registran los egresos y su registro, ya sea por </w:t>
      </w:r>
      <w:r w:rsidRPr="00EC0AA9">
        <w:rPr>
          <w:rFonts w:ascii="Palatino Linotype" w:eastAsia="Calibri" w:hAnsi="Palatino Linotype" w:cs="Tahoma"/>
          <w:bCs/>
        </w:rPr>
        <w:lastRenderedPageBreak/>
        <w:t>pago en efectivo, por señalar alguna clase de egresos y en otro lado, tenemos las pólizas de cheques, que son los registros que se realizan, cuando hay egresos que se realizan a través de cheques.</w:t>
      </w:r>
    </w:p>
    <w:p w14:paraId="0FB17C3A" w14:textId="77777777" w:rsidR="00D90343" w:rsidRPr="00EC0AA9" w:rsidRDefault="00D90343" w:rsidP="00EC0AA9">
      <w:pPr>
        <w:spacing w:line="360" w:lineRule="auto"/>
        <w:ind w:right="-28"/>
        <w:contextualSpacing/>
        <w:jc w:val="both"/>
        <w:rPr>
          <w:rFonts w:ascii="Palatino Linotype" w:eastAsia="Calibri" w:hAnsi="Palatino Linotype" w:cs="Tahoma"/>
          <w:bCs/>
        </w:rPr>
      </w:pPr>
    </w:p>
    <w:p w14:paraId="00267FB2" w14:textId="77777777" w:rsidR="00D90343" w:rsidRPr="00EC0AA9" w:rsidRDefault="00D90343" w:rsidP="00EC0AA9">
      <w:pPr>
        <w:spacing w:line="360" w:lineRule="auto"/>
        <w:jc w:val="both"/>
        <w:rPr>
          <w:rFonts w:ascii="Palatino Linotype" w:hAnsi="Palatino Linotype"/>
        </w:rPr>
      </w:pPr>
      <w:r w:rsidRPr="00EC0AA9">
        <w:rPr>
          <w:rFonts w:ascii="Palatino Linotype" w:hAnsi="Palatino Linotype"/>
        </w:rPr>
        <w:t xml:space="preserve">Por consiguiente, en el análisis de las facturas remitidas por </w:t>
      </w:r>
      <w:r w:rsidRPr="00EC0AA9">
        <w:rPr>
          <w:rFonts w:ascii="Palatino Linotype" w:hAnsi="Palatino Linotype"/>
          <w:b/>
          <w:bCs/>
        </w:rPr>
        <w:t>EL SUJETO OBLIGADO</w:t>
      </w:r>
      <w:r w:rsidRPr="00EC0AA9">
        <w:rPr>
          <w:rFonts w:ascii="Palatino Linotype" w:hAnsi="Palatino Linotype"/>
        </w:rPr>
        <w:t xml:space="preserve"> mediante informe justificado, se advierte que testa información pública como lo son, QR, Folio fiscal, número de serie del CSD, Sello Digita del CFDI, Sello digital del SAT, y de más conceptos que pueden ser de carácter público.</w:t>
      </w:r>
    </w:p>
    <w:p w14:paraId="5FFD8469" w14:textId="77777777" w:rsidR="00D90343" w:rsidRPr="00EC0AA9" w:rsidRDefault="00D90343" w:rsidP="00EC0AA9">
      <w:pPr>
        <w:spacing w:line="360" w:lineRule="auto"/>
        <w:jc w:val="both"/>
        <w:rPr>
          <w:rFonts w:ascii="Palatino Linotype" w:hAnsi="Palatino Linotype"/>
        </w:rPr>
      </w:pPr>
    </w:p>
    <w:p w14:paraId="1BCDAB8E" w14:textId="77777777" w:rsidR="00D90343" w:rsidRPr="00EC0AA9" w:rsidRDefault="00D90343" w:rsidP="00EC0AA9">
      <w:pPr>
        <w:spacing w:line="360" w:lineRule="auto"/>
        <w:jc w:val="both"/>
        <w:rPr>
          <w:rFonts w:ascii="Palatino Linotype" w:eastAsia="Calibri" w:hAnsi="Palatino Linotype"/>
        </w:rPr>
      </w:pPr>
      <w:r w:rsidRPr="00EC0AA9">
        <w:rPr>
          <w:rFonts w:ascii="Palatino Linotype" w:eastAsia="Calibri" w:hAnsi="Palatino Linotype"/>
        </w:rPr>
        <w:t xml:space="preserve">En razón de lo anterior, esta Órgano Garante estima que la versión pública de las facturas otorgadas por </w:t>
      </w:r>
      <w:r w:rsidRPr="00EC0AA9">
        <w:rPr>
          <w:rFonts w:ascii="Palatino Linotype" w:eastAsia="Calibri" w:hAnsi="Palatino Linotype"/>
          <w:b/>
        </w:rPr>
        <w:t>EL SUJETO OBLIGADO</w:t>
      </w:r>
      <w:r w:rsidRPr="00EC0AA9">
        <w:rPr>
          <w:rFonts w:ascii="Palatino Linotype" w:eastAsia="Calibri" w:hAnsi="Palatino Linotype"/>
        </w:rPr>
        <w:t xml:space="preserve"> carece de una debida fundamentación y motivación, pues no remite el acta, acuerdo y cuadro de clasificación respecto de la clasificación de información pública. </w:t>
      </w:r>
    </w:p>
    <w:p w14:paraId="3C3B2EAB" w14:textId="77777777" w:rsidR="00D90343" w:rsidRPr="00EC0AA9" w:rsidRDefault="00D90343" w:rsidP="00EC0AA9">
      <w:pPr>
        <w:spacing w:line="360" w:lineRule="auto"/>
        <w:jc w:val="both"/>
        <w:rPr>
          <w:rFonts w:ascii="Palatino Linotype" w:eastAsia="Calibri" w:hAnsi="Palatino Linotype"/>
        </w:rPr>
      </w:pPr>
    </w:p>
    <w:p w14:paraId="457A25EB"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rPr>
      </w:pPr>
      <w:r w:rsidRPr="00EC0AA9">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14:paraId="7A0D935E" w14:textId="77777777" w:rsidR="00D90343" w:rsidRPr="00EC0AA9" w:rsidRDefault="00D90343" w:rsidP="00EC0AA9">
      <w:pPr>
        <w:widowControl w:val="0"/>
        <w:tabs>
          <w:tab w:val="left" w:pos="1276"/>
        </w:tabs>
        <w:autoSpaceDE w:val="0"/>
        <w:autoSpaceDN w:val="0"/>
        <w:adjustRightInd w:val="0"/>
        <w:spacing w:before="100" w:beforeAutospacing="1" w:after="100" w:afterAutospacing="1" w:line="276" w:lineRule="auto"/>
        <w:ind w:left="709" w:right="757"/>
        <w:jc w:val="both"/>
        <w:rPr>
          <w:rFonts w:ascii="Palatino Linotype" w:hAnsi="Palatino Linotype" w:cs="Arial"/>
          <w:i/>
        </w:rPr>
      </w:pPr>
      <w:r w:rsidRPr="00EC0AA9">
        <w:rPr>
          <w:rFonts w:ascii="Palatino Linotype" w:hAnsi="Palatino Linotype" w:cs="Arial"/>
          <w:b/>
          <w:i/>
        </w:rPr>
        <w:t>“FUNDAMENTACIÓN Y MOTIVACIÓN.</w:t>
      </w:r>
      <w:r w:rsidRPr="00EC0AA9">
        <w:rPr>
          <w:rFonts w:ascii="Palatino Linotype" w:hAnsi="Palatino Linotype" w:cs="Arial"/>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75DB65AC" w14:textId="77777777" w:rsidR="00D90343" w:rsidRPr="00EC0AA9" w:rsidRDefault="00D90343" w:rsidP="00EC0AA9">
      <w:pPr>
        <w:widowControl w:val="0"/>
        <w:tabs>
          <w:tab w:val="left" w:pos="1276"/>
        </w:tabs>
        <w:autoSpaceDE w:val="0"/>
        <w:autoSpaceDN w:val="0"/>
        <w:adjustRightInd w:val="0"/>
        <w:spacing w:before="100" w:beforeAutospacing="1" w:after="100" w:afterAutospacing="1" w:line="360" w:lineRule="auto"/>
        <w:jc w:val="both"/>
        <w:rPr>
          <w:rFonts w:ascii="Palatino Linotype" w:hAnsi="Palatino Linotype" w:cs="Arial"/>
        </w:rPr>
      </w:pPr>
      <w:r w:rsidRPr="00EC0AA9">
        <w:rPr>
          <w:rFonts w:ascii="Palatino Linotype" w:hAnsi="Palatino Linotype" w:cs="Arial"/>
        </w:rPr>
        <w:lastRenderedPageBreak/>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7CD8604E" w14:textId="77777777" w:rsidR="00D90343" w:rsidRPr="00EC0AA9" w:rsidRDefault="00D90343" w:rsidP="00EC0AA9">
      <w:pPr>
        <w:widowControl w:val="0"/>
        <w:tabs>
          <w:tab w:val="left" w:pos="1276"/>
        </w:tabs>
        <w:autoSpaceDE w:val="0"/>
        <w:autoSpaceDN w:val="0"/>
        <w:adjustRightInd w:val="0"/>
        <w:spacing w:before="100" w:beforeAutospacing="1" w:after="100" w:afterAutospacing="1" w:line="276" w:lineRule="auto"/>
        <w:ind w:left="709" w:right="757"/>
        <w:jc w:val="both"/>
        <w:rPr>
          <w:rFonts w:ascii="Palatino Linotype" w:hAnsi="Palatino Linotype" w:cs="Arial"/>
          <w:i/>
        </w:rPr>
      </w:pPr>
      <w:r w:rsidRPr="00EC0AA9">
        <w:rPr>
          <w:rFonts w:ascii="Palatino Linotype" w:hAnsi="Palatino Linotype" w:cs="Arial"/>
          <w:i/>
        </w:rPr>
        <w:t>“</w:t>
      </w:r>
      <w:r w:rsidRPr="00EC0AA9">
        <w:rPr>
          <w:rFonts w:ascii="Palatino Linotype" w:hAnsi="Palatino Linotype" w:cs="Arial"/>
          <w:b/>
          <w:i/>
        </w:rPr>
        <w:t>FUNDAMENTACIÓN Y MOTIVACIÓN. EL ASPECTO FORMAL DE LA GARANTÍA Y SU FINALIDAD SE TRADUCEN EN EXPLICAR, JUSTIFICAR, POSIBILITAR LA DEFENSA Y COMUNICAR LA DECISIÓN.</w:t>
      </w:r>
      <w:r w:rsidRPr="00EC0AA9">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w:t>
      </w:r>
      <w:r w:rsidRPr="00EC0AA9">
        <w:rPr>
          <w:rFonts w:ascii="Palatino Linotype" w:hAnsi="Palatino Linotype" w:cs="Arial"/>
          <w:i/>
        </w:rPr>
        <w:lastRenderedPageBreak/>
        <w:t>pero suficiente para acreditar el razonamiento del que se deduzca la relación de pertenencia lógica de los hechos al derecho invocado, que es la subsunción.”(Sic)</w:t>
      </w:r>
    </w:p>
    <w:p w14:paraId="13F39509"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rPr>
      </w:pPr>
      <w:r w:rsidRPr="00EC0AA9">
        <w:rPr>
          <w:rFonts w:ascii="Palatino Linotype" w:hAnsi="Palatino Linotype" w:cs="Arial"/>
        </w:rPr>
        <w:t xml:space="preserve">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 </w:t>
      </w:r>
    </w:p>
    <w:p w14:paraId="02A94820"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rPr>
      </w:pPr>
    </w:p>
    <w:p w14:paraId="33409C89" w14:textId="48CC33BD" w:rsidR="00D90343" w:rsidRDefault="00D90343" w:rsidP="00EC0AA9">
      <w:pPr>
        <w:widowControl w:val="0"/>
        <w:tabs>
          <w:tab w:val="left" w:pos="1276"/>
        </w:tabs>
        <w:autoSpaceDE w:val="0"/>
        <w:autoSpaceDN w:val="0"/>
        <w:adjustRightInd w:val="0"/>
        <w:spacing w:line="360" w:lineRule="auto"/>
        <w:jc w:val="both"/>
        <w:rPr>
          <w:rFonts w:ascii="Palatino Linotype" w:hAnsi="Palatino Linotype" w:cs="Arial"/>
        </w:rPr>
      </w:pPr>
      <w:r w:rsidRPr="00EC0AA9">
        <w:rPr>
          <w:rFonts w:ascii="Palatino Linotype" w:hAnsi="Palatino Linotype" w:cs="Arial"/>
        </w:rPr>
        <w:t>Ya precisado lo anterior, de acuerdo a la naturaleza de la información solicitada se concluye que ésta es de interés general y de alcance público, puesto que la ciudadanía tiene derecho a saber los datos de los proveedores, como lo son el nombre o razón social de personas físicas o morales; la matriz, ubicación, sucursal o dirección de los que se advierte que es su domicilio fiscal; el RFC es de carácter público esto permite transparentar la aplicación de los recursos públicos que son otorgados para el cumplimiento de sus funciones. Ello conforme a lo dispuesto por el artículo 24, fracción XVIII de la Ley de Transparencia y Acceso a la Información Pública del Estado de México y Municipios, que establece como deber de los sujetos obligados el hacer público toda la información respecto a los montos y nombres de las personas a quienes se entreguen recursos públicos y con ello transparentar la forma, términos, causas y finalidad en la disposición de esos recursos; precepto legal que es del tenor siguiente:</w:t>
      </w:r>
    </w:p>
    <w:p w14:paraId="5CE9A32A" w14:textId="77777777" w:rsidR="00EC0AA9" w:rsidRPr="00EC0AA9" w:rsidRDefault="00EC0AA9" w:rsidP="00EC0AA9">
      <w:pPr>
        <w:widowControl w:val="0"/>
        <w:tabs>
          <w:tab w:val="left" w:pos="1276"/>
        </w:tabs>
        <w:autoSpaceDE w:val="0"/>
        <w:autoSpaceDN w:val="0"/>
        <w:adjustRightInd w:val="0"/>
        <w:spacing w:line="360" w:lineRule="auto"/>
        <w:jc w:val="both"/>
        <w:rPr>
          <w:rFonts w:ascii="Palatino Linotype" w:hAnsi="Palatino Linotype" w:cs="Arial"/>
        </w:rPr>
      </w:pPr>
    </w:p>
    <w:p w14:paraId="50C2145B"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rPr>
      </w:pPr>
    </w:p>
    <w:p w14:paraId="4093B6B5" w14:textId="77777777" w:rsidR="00D90343" w:rsidRPr="00EC0AA9" w:rsidRDefault="00D90343" w:rsidP="00EC0AA9">
      <w:pPr>
        <w:widowControl w:val="0"/>
        <w:tabs>
          <w:tab w:val="left" w:pos="1276"/>
        </w:tabs>
        <w:autoSpaceDE w:val="0"/>
        <w:autoSpaceDN w:val="0"/>
        <w:adjustRightInd w:val="0"/>
        <w:spacing w:line="360" w:lineRule="auto"/>
        <w:ind w:left="907" w:right="851"/>
        <w:jc w:val="both"/>
        <w:rPr>
          <w:rFonts w:ascii="Palatino Linotype" w:hAnsi="Palatino Linotype" w:cs="Arial"/>
          <w:i/>
        </w:rPr>
      </w:pPr>
      <w:r w:rsidRPr="00EC0AA9">
        <w:rPr>
          <w:rFonts w:ascii="Palatino Linotype" w:hAnsi="Palatino Linotype" w:cs="Arial"/>
          <w:i/>
        </w:rPr>
        <w:lastRenderedPageBreak/>
        <w:t>“</w:t>
      </w:r>
      <w:r w:rsidRPr="00EC0AA9">
        <w:rPr>
          <w:rFonts w:ascii="Palatino Linotype" w:hAnsi="Palatino Linotype" w:cs="Arial"/>
          <w:b/>
          <w:i/>
        </w:rPr>
        <w:t>Artículo 24.</w:t>
      </w:r>
      <w:r w:rsidRPr="00EC0AA9">
        <w:rPr>
          <w:rFonts w:ascii="Palatino Linotype" w:hAnsi="Palatino Linotype" w:cs="Arial"/>
          <w:i/>
        </w:rPr>
        <w:t xml:space="preserve"> Para el cumplimiento de los objetivos de esta Ley, los sujetos obligados deberán cumplir con las siguientes obligaciones, según corresponda, de acuerdo a su naturaleza: </w:t>
      </w:r>
    </w:p>
    <w:p w14:paraId="7DD51AD0" w14:textId="77777777" w:rsidR="00D90343" w:rsidRPr="00EC0AA9" w:rsidRDefault="00D90343" w:rsidP="00EC0AA9">
      <w:pPr>
        <w:widowControl w:val="0"/>
        <w:tabs>
          <w:tab w:val="left" w:pos="1276"/>
        </w:tabs>
        <w:autoSpaceDE w:val="0"/>
        <w:autoSpaceDN w:val="0"/>
        <w:adjustRightInd w:val="0"/>
        <w:spacing w:line="360" w:lineRule="auto"/>
        <w:ind w:left="907" w:right="851"/>
        <w:jc w:val="both"/>
        <w:rPr>
          <w:rFonts w:ascii="Palatino Linotype" w:hAnsi="Palatino Linotype" w:cs="Arial"/>
          <w:i/>
        </w:rPr>
      </w:pPr>
      <w:r w:rsidRPr="00EC0AA9">
        <w:rPr>
          <w:rFonts w:ascii="Palatino Linotype" w:hAnsi="Palatino Linotype" w:cs="Arial"/>
          <w:i/>
        </w:rPr>
        <w:t>(…)</w:t>
      </w:r>
    </w:p>
    <w:p w14:paraId="73728E54" w14:textId="77777777" w:rsidR="00D90343" w:rsidRPr="00EC0AA9" w:rsidRDefault="00D90343" w:rsidP="00EC0AA9">
      <w:pPr>
        <w:widowControl w:val="0"/>
        <w:tabs>
          <w:tab w:val="left" w:pos="1276"/>
        </w:tabs>
        <w:autoSpaceDE w:val="0"/>
        <w:autoSpaceDN w:val="0"/>
        <w:adjustRightInd w:val="0"/>
        <w:spacing w:line="360" w:lineRule="auto"/>
        <w:ind w:left="907" w:right="851"/>
        <w:jc w:val="both"/>
        <w:rPr>
          <w:rFonts w:ascii="Palatino Linotype" w:hAnsi="Palatino Linotype" w:cs="Arial"/>
          <w:b/>
          <w:i/>
        </w:rPr>
      </w:pPr>
      <w:r w:rsidRPr="00EC0AA9">
        <w:rPr>
          <w:rFonts w:ascii="Palatino Linotype" w:hAnsi="Palatino Linotype" w:cs="Arial"/>
          <w:b/>
          <w:i/>
        </w:rPr>
        <w:t>XVIII. Hacer pública toda aquella información relativa a los montos y las personas a quienes entreguen, por cualquier motivo, recursos públicos, así como los informes que dichas personas les entreguen sobre el uso y destino de dichos recursos;</w:t>
      </w:r>
    </w:p>
    <w:p w14:paraId="0CCB1498" w14:textId="77777777" w:rsidR="00D90343" w:rsidRPr="00EC0AA9" w:rsidRDefault="00D90343" w:rsidP="00EC0AA9">
      <w:pPr>
        <w:widowControl w:val="0"/>
        <w:tabs>
          <w:tab w:val="left" w:pos="1276"/>
        </w:tabs>
        <w:autoSpaceDE w:val="0"/>
        <w:autoSpaceDN w:val="0"/>
        <w:adjustRightInd w:val="0"/>
        <w:spacing w:line="360" w:lineRule="auto"/>
        <w:ind w:left="907" w:right="851"/>
        <w:jc w:val="both"/>
        <w:rPr>
          <w:rFonts w:ascii="Palatino Linotype" w:hAnsi="Palatino Linotype" w:cs="Arial"/>
          <w:i/>
        </w:rPr>
      </w:pPr>
      <w:r w:rsidRPr="00EC0AA9">
        <w:rPr>
          <w:rFonts w:ascii="Palatino Linotype" w:hAnsi="Palatino Linotype" w:cs="Arial"/>
          <w:b/>
          <w:i/>
        </w:rPr>
        <w:t>(…)</w:t>
      </w:r>
      <w:r w:rsidRPr="00EC0AA9">
        <w:rPr>
          <w:rFonts w:ascii="Palatino Linotype" w:hAnsi="Palatino Linotype" w:cs="Arial"/>
          <w:i/>
        </w:rPr>
        <w:t>”</w:t>
      </w:r>
    </w:p>
    <w:p w14:paraId="65E1CA3B" w14:textId="77777777" w:rsidR="00D90343" w:rsidRPr="00EC0AA9" w:rsidRDefault="00D90343" w:rsidP="00EC0AA9">
      <w:pPr>
        <w:widowControl w:val="0"/>
        <w:tabs>
          <w:tab w:val="left" w:pos="1276"/>
        </w:tabs>
        <w:autoSpaceDE w:val="0"/>
        <w:autoSpaceDN w:val="0"/>
        <w:adjustRightInd w:val="0"/>
        <w:spacing w:line="360" w:lineRule="auto"/>
        <w:ind w:left="907" w:right="851"/>
        <w:jc w:val="both"/>
        <w:rPr>
          <w:rFonts w:ascii="Palatino Linotype" w:hAnsi="Palatino Linotype" w:cs="Arial"/>
          <w:i/>
        </w:rPr>
      </w:pPr>
      <w:r w:rsidRPr="00EC0AA9">
        <w:rPr>
          <w:rFonts w:ascii="Palatino Linotype" w:hAnsi="Palatino Linotype" w:cs="Arial"/>
          <w:b/>
          <w:i/>
        </w:rPr>
        <w:t>(énfasis añadido)</w:t>
      </w:r>
    </w:p>
    <w:p w14:paraId="2218306C"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rPr>
      </w:pPr>
    </w:p>
    <w:p w14:paraId="150663CC"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rPr>
      </w:pPr>
      <w:r w:rsidRPr="00EC0AA9">
        <w:rPr>
          <w:rFonts w:ascii="Palatino Linotype" w:hAnsi="Palatino Linotype" w:cs="Arial"/>
        </w:rPr>
        <w:t>Por lo que respecta a los RFC de personas físicas o morales proveedores, de acuerdo al criterio SO/004/2021, emitido por el Instituto Nacional de Transparencia, Acceso a la Información y Protección de Datos Personales, que establece lo siguiente:</w:t>
      </w:r>
    </w:p>
    <w:p w14:paraId="312F444E"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b/>
          <w:bCs/>
          <w:i/>
          <w:iCs/>
        </w:rPr>
      </w:pPr>
    </w:p>
    <w:p w14:paraId="7D5C2AD7" w14:textId="77777777" w:rsidR="00D90343" w:rsidRPr="00EC0AA9" w:rsidRDefault="00D90343" w:rsidP="00EC0AA9">
      <w:pPr>
        <w:widowControl w:val="0"/>
        <w:tabs>
          <w:tab w:val="left" w:pos="1276"/>
        </w:tabs>
        <w:autoSpaceDE w:val="0"/>
        <w:autoSpaceDN w:val="0"/>
        <w:adjustRightInd w:val="0"/>
        <w:spacing w:line="360" w:lineRule="auto"/>
        <w:ind w:left="907" w:right="851"/>
        <w:jc w:val="both"/>
        <w:rPr>
          <w:rFonts w:ascii="Palatino Linotype" w:hAnsi="Palatino Linotype" w:cs="Arial"/>
          <w:i/>
          <w:iCs/>
        </w:rPr>
      </w:pPr>
      <w:r w:rsidRPr="00EC0AA9">
        <w:rPr>
          <w:rFonts w:ascii="Palatino Linotype" w:hAnsi="Palatino Linotype" w:cs="Arial"/>
          <w:b/>
          <w:bCs/>
          <w:i/>
          <w:iCs/>
        </w:rPr>
        <w:t>Registro Federal de Contribuyentes (RFC) de personas físicas proveedores o contratistas</w:t>
      </w:r>
      <w:r w:rsidRPr="00EC0AA9">
        <w:rPr>
          <w:rFonts w:ascii="Palatino Linotype" w:hAnsi="Palatino Linotype" w:cs="Arial"/>
          <w:b/>
          <w:bCs/>
          <w:i/>
          <w:iCs/>
          <w:u w:val="single"/>
        </w:rPr>
        <w:t>.</w:t>
      </w:r>
      <w:r w:rsidRPr="00EC0AA9">
        <w:rPr>
          <w:rFonts w:ascii="Palatino Linotype" w:hAnsi="Palatino Linotype" w:cs="Arial"/>
          <w:i/>
          <w:iCs/>
          <w:u w:val="single"/>
        </w:rPr>
        <w:t xml:space="preserve"> </w:t>
      </w:r>
      <w:r w:rsidRPr="00EC0AA9">
        <w:rPr>
          <w:rFonts w:ascii="Palatino Linotype" w:hAnsi="Palatino Linotype" w:cs="Arial"/>
          <w:b/>
          <w:bCs/>
          <w:i/>
          <w:iCs/>
          <w:u w:val="single"/>
        </w:rPr>
        <w:t>El RFC de contratistas o proveedores de sujetos obligados debe ser público</w:t>
      </w:r>
      <w:r w:rsidRPr="00EC0AA9">
        <w:rPr>
          <w:rFonts w:ascii="Palatino Linotype" w:hAnsi="Palatino Linotype" w:cs="Arial"/>
          <w:b/>
          <w:bCs/>
          <w:i/>
          <w:iCs/>
        </w:rPr>
        <w:t>,</w:t>
      </w:r>
      <w:r w:rsidRPr="00EC0AA9">
        <w:rPr>
          <w:rFonts w:ascii="Palatino Linotype" w:hAnsi="Palatino Linotype" w:cs="Arial"/>
          <w:i/>
          <w:iCs/>
        </w:rPr>
        <w:t xml:space="preserve"> ya que, al tratarse de personas relacionadas con contrataciones públicas, su difusión favorece la transparencia con la que deben administrarse los recursos públicos, en términos del artículo 134 de la Constitución Política de los Estados Unidos Mexicanos.</w:t>
      </w:r>
    </w:p>
    <w:p w14:paraId="7EC4DF69"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rPr>
      </w:pPr>
      <w:r w:rsidRPr="00EC0AA9">
        <w:rPr>
          <w:rFonts w:ascii="Palatino Linotype" w:hAnsi="Palatino Linotype" w:cs="Arial"/>
        </w:rPr>
        <w:lastRenderedPageBreak/>
        <w:t>Por cuanto hace a las cuentas bancarias y claves interbancarias es de precisar que dicha información es confidencial únicamente; por lo que, concierne a los particulares, y no así para los sujetos obligados que prevé el artículo 23, de la Ley de Transparencia y Acceso a la Información Pública del Estado de México y Municipios,</w:t>
      </w:r>
      <w:r w:rsidRPr="00EC0AA9">
        <w:rPr>
          <w:rFonts w:ascii="Palatino Linotype" w:hAnsi="Palatino Linotype" w:cs="Arial"/>
          <w:b/>
        </w:rPr>
        <w:t xml:space="preserve"> </w:t>
      </w:r>
      <w:r w:rsidRPr="00EC0AA9">
        <w:rPr>
          <w:rFonts w:ascii="Palatino Linotype" w:hAnsi="Palatino Linotype" w:cs="Arial"/>
        </w:rPr>
        <w:t>toda vez que su publicidad abona a la transparencia y a la rendición de cuentas.</w:t>
      </w:r>
    </w:p>
    <w:p w14:paraId="61BBC62A"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rPr>
      </w:pPr>
    </w:p>
    <w:p w14:paraId="7BAE1F62"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rPr>
      </w:pPr>
      <w:r w:rsidRPr="00EC0AA9">
        <w:rPr>
          <w:rFonts w:ascii="Palatino Linotype" w:hAnsi="Palatino Linotype" w:cs="Arial"/>
        </w:rPr>
        <w:t xml:space="preserve">En este sentido, es importante precisar que de acuerdo al </w:t>
      </w:r>
      <w:r w:rsidRPr="00EC0AA9">
        <w:rPr>
          <w:rFonts w:ascii="Palatino Linotype" w:hAnsi="Palatino Linotype" w:cs="Arial"/>
          <w:b/>
        </w:rPr>
        <w:t>criterio 11/17</w:t>
      </w:r>
      <w:r w:rsidRPr="00EC0AA9">
        <w:rPr>
          <w:rFonts w:ascii="Palatino Linotype" w:hAnsi="Palatino Linotype" w:cs="Arial"/>
        </w:rPr>
        <w:t xml:space="preserve"> emitido por el INAI, las cuentas bancarias y/o clave interbancaria de los Sujetos Obligados es información de carácter público. </w:t>
      </w:r>
    </w:p>
    <w:p w14:paraId="61F6E28B"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rPr>
      </w:pPr>
    </w:p>
    <w:p w14:paraId="575DD6B8" w14:textId="77777777" w:rsidR="00D90343" w:rsidRPr="00EC0AA9" w:rsidRDefault="00D90343" w:rsidP="00EC0AA9">
      <w:pPr>
        <w:widowControl w:val="0"/>
        <w:tabs>
          <w:tab w:val="left" w:pos="1276"/>
        </w:tabs>
        <w:autoSpaceDE w:val="0"/>
        <w:autoSpaceDN w:val="0"/>
        <w:adjustRightInd w:val="0"/>
        <w:spacing w:line="360" w:lineRule="auto"/>
        <w:ind w:left="907" w:right="851"/>
        <w:jc w:val="both"/>
        <w:rPr>
          <w:rFonts w:ascii="Palatino Linotype" w:hAnsi="Palatino Linotype" w:cs="Arial"/>
          <w:b/>
        </w:rPr>
      </w:pPr>
      <w:r w:rsidRPr="00EC0AA9">
        <w:rPr>
          <w:rFonts w:ascii="Palatino Linotype" w:hAnsi="Palatino Linotype" w:cs="Arial"/>
        </w:rPr>
        <w:t>“</w:t>
      </w:r>
      <w:r w:rsidRPr="00EC0AA9">
        <w:rPr>
          <w:rFonts w:ascii="Palatino Linotype" w:hAnsi="Palatino Linotype" w:cs="Arial"/>
          <w:b/>
        </w:rPr>
        <w:t>Criterio 11/17</w:t>
      </w:r>
    </w:p>
    <w:p w14:paraId="46034415" w14:textId="77777777" w:rsidR="00D90343" w:rsidRPr="00EC0AA9" w:rsidRDefault="00D90343" w:rsidP="00EC0AA9">
      <w:pPr>
        <w:widowControl w:val="0"/>
        <w:tabs>
          <w:tab w:val="left" w:pos="1276"/>
        </w:tabs>
        <w:autoSpaceDE w:val="0"/>
        <w:autoSpaceDN w:val="0"/>
        <w:adjustRightInd w:val="0"/>
        <w:spacing w:line="360" w:lineRule="auto"/>
        <w:ind w:left="907" w:right="851"/>
        <w:jc w:val="both"/>
        <w:rPr>
          <w:rFonts w:ascii="Palatino Linotype" w:hAnsi="Palatino Linotype" w:cs="Arial"/>
          <w:i/>
        </w:rPr>
      </w:pPr>
      <w:r w:rsidRPr="00EC0AA9">
        <w:rPr>
          <w:rFonts w:ascii="Palatino Linotype" w:hAnsi="Palatino Linotype" w:cs="Arial"/>
          <w:b/>
          <w:i/>
        </w:rPr>
        <w:t>Cuentas bancarias y/o CLABE interbancaria de sujetos obligados que reciben y/o transfieren recursos públicos, son información pública.</w:t>
      </w:r>
      <w:r w:rsidRPr="00EC0AA9">
        <w:rPr>
          <w:rFonts w:ascii="Palatino Linotype" w:hAnsi="Palatino Linotype" w:cs="Arial"/>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0657C169"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i/>
        </w:rPr>
      </w:pPr>
    </w:p>
    <w:p w14:paraId="6FA37C35"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lang w:val="es-ES_tradnl"/>
        </w:rPr>
      </w:pPr>
      <w:r w:rsidRPr="00EC0AA9">
        <w:rPr>
          <w:rFonts w:ascii="Palatino Linotype" w:hAnsi="Palatino Linotype" w:cs="Arial"/>
          <w:lang w:val="es-ES_tradnl"/>
        </w:rPr>
        <w:t xml:space="preserve">Caso contrario a los particulares, como lo refiere el </w:t>
      </w:r>
      <w:r w:rsidRPr="00EC0AA9">
        <w:rPr>
          <w:rFonts w:ascii="Palatino Linotype" w:hAnsi="Palatino Linotype" w:cs="Arial"/>
          <w:b/>
        </w:rPr>
        <w:t>criterio 10/17</w:t>
      </w:r>
      <w:r w:rsidRPr="00EC0AA9">
        <w:rPr>
          <w:rFonts w:ascii="Palatino Linotype" w:hAnsi="Palatino Linotype" w:cs="Arial"/>
        </w:rPr>
        <w:t xml:space="preserve"> emitido por el INAI, que es del tenor literal siguiente:</w:t>
      </w:r>
    </w:p>
    <w:p w14:paraId="6DE0FDC1" w14:textId="0A25635E" w:rsidR="00D90343" w:rsidRDefault="00D90343" w:rsidP="00EC0AA9">
      <w:pPr>
        <w:widowControl w:val="0"/>
        <w:tabs>
          <w:tab w:val="left" w:pos="1276"/>
        </w:tabs>
        <w:autoSpaceDE w:val="0"/>
        <w:autoSpaceDN w:val="0"/>
        <w:adjustRightInd w:val="0"/>
        <w:spacing w:line="360" w:lineRule="auto"/>
        <w:ind w:left="907" w:right="851"/>
        <w:jc w:val="both"/>
        <w:rPr>
          <w:rFonts w:ascii="Palatino Linotype" w:hAnsi="Palatino Linotype" w:cs="Arial"/>
          <w:b/>
          <w:i/>
          <w:lang w:val="es-ES_tradnl"/>
        </w:rPr>
      </w:pPr>
    </w:p>
    <w:p w14:paraId="5761D035" w14:textId="77777777" w:rsidR="00EC0AA9" w:rsidRPr="00EC0AA9" w:rsidRDefault="00EC0AA9" w:rsidP="00EC0AA9">
      <w:pPr>
        <w:widowControl w:val="0"/>
        <w:tabs>
          <w:tab w:val="left" w:pos="1276"/>
        </w:tabs>
        <w:autoSpaceDE w:val="0"/>
        <w:autoSpaceDN w:val="0"/>
        <w:adjustRightInd w:val="0"/>
        <w:spacing w:line="360" w:lineRule="auto"/>
        <w:ind w:left="907" w:right="851"/>
        <w:jc w:val="both"/>
        <w:rPr>
          <w:rFonts w:ascii="Palatino Linotype" w:hAnsi="Palatino Linotype" w:cs="Arial"/>
          <w:b/>
          <w:i/>
          <w:lang w:val="es-ES_tradnl"/>
        </w:rPr>
      </w:pPr>
    </w:p>
    <w:p w14:paraId="6B73C2BB" w14:textId="77777777" w:rsidR="00D90343" w:rsidRPr="00EC0AA9" w:rsidRDefault="00D90343" w:rsidP="00EC0AA9">
      <w:pPr>
        <w:widowControl w:val="0"/>
        <w:tabs>
          <w:tab w:val="left" w:pos="1276"/>
        </w:tabs>
        <w:autoSpaceDE w:val="0"/>
        <w:autoSpaceDN w:val="0"/>
        <w:adjustRightInd w:val="0"/>
        <w:spacing w:line="360" w:lineRule="auto"/>
        <w:ind w:left="907" w:right="851"/>
        <w:jc w:val="both"/>
        <w:rPr>
          <w:rFonts w:ascii="Palatino Linotype" w:hAnsi="Palatino Linotype" w:cs="Arial"/>
          <w:i/>
          <w:lang w:val="es-ES_tradnl"/>
        </w:rPr>
      </w:pPr>
      <w:r w:rsidRPr="00EC0AA9">
        <w:rPr>
          <w:rFonts w:ascii="Palatino Linotype" w:hAnsi="Palatino Linotype" w:cs="Arial"/>
          <w:b/>
          <w:i/>
          <w:lang w:val="es-ES_tradnl"/>
        </w:rPr>
        <w:lastRenderedPageBreak/>
        <w:t>Cuentas bancarias y/o CLABE interbancaria de personas físicas y morales privadas. El número de cuenta bancaria y/o CLABE interbancaria de particulares es información confidencial</w:t>
      </w:r>
      <w:r w:rsidRPr="00EC0AA9">
        <w:rPr>
          <w:rFonts w:ascii="Palatino Linotype" w:hAnsi="Palatino Linotype" w:cs="Arial"/>
          <w:i/>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5302763F" w14:textId="77777777" w:rsidR="00D90343" w:rsidRPr="00EC0AA9" w:rsidRDefault="00D90343" w:rsidP="00EC0AA9">
      <w:pPr>
        <w:widowControl w:val="0"/>
        <w:tabs>
          <w:tab w:val="left" w:pos="1276"/>
        </w:tabs>
        <w:autoSpaceDE w:val="0"/>
        <w:autoSpaceDN w:val="0"/>
        <w:adjustRightInd w:val="0"/>
        <w:spacing w:line="360" w:lineRule="auto"/>
        <w:ind w:left="907" w:right="851"/>
        <w:jc w:val="both"/>
        <w:rPr>
          <w:rFonts w:ascii="Palatino Linotype" w:hAnsi="Palatino Linotype" w:cs="Arial"/>
          <w:i/>
          <w:lang w:val="es-ES_tradnl"/>
        </w:rPr>
      </w:pPr>
    </w:p>
    <w:p w14:paraId="207F2189"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bCs/>
          <w:lang w:val="es-ES"/>
        </w:rPr>
      </w:pPr>
      <w:r w:rsidRPr="00EC0AA9">
        <w:rPr>
          <w:rFonts w:ascii="Palatino Linotype" w:hAnsi="Palatino Linotype" w:cs="Arial"/>
        </w:rPr>
        <w:t xml:space="preserve">En ese sentido, referente al </w:t>
      </w:r>
      <w:r w:rsidRPr="00EC0AA9">
        <w:rPr>
          <w:rFonts w:ascii="Palatino Linotype" w:hAnsi="Palatino Linotype" w:cs="Arial"/>
          <w:b/>
        </w:rPr>
        <w:t xml:space="preserve">folio fiscal, número de serie del certificado del emisor, sello digital Comprobante Fiscal Digital por Internet (CFDI), sello digital del SAT, Cadena Original del SAT, número de serie del certificado del SAT, </w:t>
      </w:r>
      <w:r w:rsidRPr="00EC0AA9">
        <w:rPr>
          <w:rFonts w:ascii="Palatino Linotype" w:hAnsi="Palatino Linotype" w:cs="Arial"/>
        </w:rPr>
        <w:t xml:space="preserve">es preciso señalar que si de </w:t>
      </w:r>
      <w:r w:rsidRPr="00EC0AA9">
        <w:rPr>
          <w:rFonts w:ascii="Palatino Linotype" w:hAnsi="Palatino Linotype" w:cs="Arial"/>
          <w:bCs/>
          <w:lang w:val="es-ES"/>
        </w:rPr>
        <w:t xml:space="preserve">la secuencia de números y letras, se advierte el Registro Federal de Contribuyentes o una Clave Única de Registro de Población, que pueda hacer </w:t>
      </w:r>
      <w:r w:rsidRPr="00EC0AA9">
        <w:rPr>
          <w:rFonts w:ascii="Palatino Linotype" w:hAnsi="Palatino Linotype" w:cs="Arial"/>
        </w:rPr>
        <w:t>identificable</w:t>
      </w:r>
      <w:r w:rsidRPr="00EC0AA9">
        <w:rPr>
          <w:rFonts w:ascii="Palatino Linotype" w:hAnsi="Palatino Linotype" w:cs="Arial"/>
          <w:bCs/>
          <w:lang w:val="es-ES"/>
        </w:rPr>
        <w:t xml:space="preserve"> al titular del dato personal, no puede tenerse como dato personal y por ende es información considerada confidencial. Por el contrario, debe considerarse que esta información incluida en los documentos fiscales, constituyen un elemento adicional que permite a cualquier persona verificar la legitimidad del documento, por sí solos no contienen datos personales susceptibles de clasificación, ya que no hacen identificable al titular, pues dichos datos sólo son de utilidad de manera directa a la </w:t>
      </w:r>
      <w:r w:rsidRPr="00EC0AA9">
        <w:rPr>
          <w:rFonts w:ascii="Palatino Linotype" w:hAnsi="Palatino Linotype" w:cs="Arial"/>
          <w:bCs/>
          <w:lang w:val="es-ES"/>
        </w:rPr>
        <w:lastRenderedPageBreak/>
        <w:t>Secretaría de Hacienda y Crédito Público y si bien, en un momento dichas cadenas derivan información personal de los contribuyentes, esta se encuentra encriptada como se verá a continuación.</w:t>
      </w:r>
    </w:p>
    <w:p w14:paraId="483645A8"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bCs/>
          <w:lang w:val="es-ES"/>
        </w:rPr>
      </w:pPr>
    </w:p>
    <w:p w14:paraId="651B2368" w14:textId="77777777" w:rsidR="00D90343" w:rsidRPr="00EC0AA9" w:rsidRDefault="00D90343" w:rsidP="00EC0AA9">
      <w:pPr>
        <w:widowControl w:val="0"/>
        <w:numPr>
          <w:ilvl w:val="0"/>
          <w:numId w:val="10"/>
        </w:numPr>
        <w:tabs>
          <w:tab w:val="left" w:pos="1276"/>
        </w:tabs>
        <w:autoSpaceDE w:val="0"/>
        <w:autoSpaceDN w:val="0"/>
        <w:adjustRightInd w:val="0"/>
        <w:spacing w:line="360" w:lineRule="auto"/>
        <w:jc w:val="both"/>
        <w:rPr>
          <w:rFonts w:ascii="Palatino Linotype" w:hAnsi="Palatino Linotype" w:cs="Arial"/>
          <w:b/>
          <w:bCs/>
          <w:lang w:val="es-ES"/>
        </w:rPr>
      </w:pPr>
      <w:r w:rsidRPr="00EC0AA9">
        <w:rPr>
          <w:rFonts w:ascii="Palatino Linotype" w:hAnsi="Palatino Linotype" w:cs="Arial"/>
          <w:b/>
          <w:bCs/>
          <w:lang w:val="es-ES"/>
        </w:rPr>
        <w:t>Folio Fiscal</w:t>
      </w:r>
    </w:p>
    <w:p w14:paraId="5D2A43C4"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b/>
          <w:bCs/>
          <w:lang w:val="es-ES"/>
        </w:rPr>
      </w:pPr>
    </w:p>
    <w:p w14:paraId="3976A120"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bCs/>
          <w:lang w:val="es-ES"/>
        </w:rPr>
      </w:pPr>
      <w:r w:rsidRPr="00EC0AA9">
        <w:rPr>
          <w:rFonts w:ascii="Palatino Linotype" w:hAnsi="Palatino Linotype" w:cs="Arial"/>
          <w:bCs/>
          <w:lang w:val="es-ES"/>
        </w:rPr>
        <w:t>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17102A2F"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bCs/>
          <w:lang w:val="es-ES"/>
        </w:rPr>
      </w:pPr>
    </w:p>
    <w:p w14:paraId="622F1394" w14:textId="77777777" w:rsidR="00D90343" w:rsidRPr="00EC0AA9" w:rsidRDefault="00D90343" w:rsidP="00EC0AA9">
      <w:pPr>
        <w:widowControl w:val="0"/>
        <w:tabs>
          <w:tab w:val="left" w:pos="1276"/>
        </w:tabs>
        <w:autoSpaceDE w:val="0"/>
        <w:autoSpaceDN w:val="0"/>
        <w:adjustRightInd w:val="0"/>
        <w:spacing w:line="360" w:lineRule="auto"/>
        <w:jc w:val="center"/>
        <w:rPr>
          <w:rFonts w:ascii="Palatino Linotype" w:hAnsi="Palatino Linotype" w:cs="Arial"/>
          <w:bCs/>
          <w:lang w:val="es-ES"/>
        </w:rPr>
      </w:pPr>
      <w:r w:rsidRPr="00EC0AA9">
        <w:rPr>
          <w:rFonts w:ascii="Palatino Linotype" w:hAnsi="Palatino Linotype" w:cs="Arial"/>
          <w:noProof/>
        </w:rPr>
        <w:drawing>
          <wp:inline distT="0" distB="0" distL="0" distR="0" wp14:anchorId="75B2CA7C" wp14:editId="670EDB00">
            <wp:extent cx="4667250" cy="1333500"/>
            <wp:effectExtent l="0" t="0" r="0" b="0"/>
            <wp:docPr id="9115043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b="32787"/>
                    <a:stretch>
                      <a:fillRect/>
                    </a:stretch>
                  </pic:blipFill>
                  <pic:spPr bwMode="auto">
                    <a:xfrm>
                      <a:off x="0" y="0"/>
                      <a:ext cx="4667250" cy="1333500"/>
                    </a:xfrm>
                    <a:prstGeom prst="rect">
                      <a:avLst/>
                    </a:prstGeom>
                    <a:noFill/>
                    <a:ln>
                      <a:noFill/>
                    </a:ln>
                  </pic:spPr>
                </pic:pic>
              </a:graphicData>
            </a:graphic>
          </wp:inline>
        </w:drawing>
      </w:r>
    </w:p>
    <w:p w14:paraId="430F120C" w14:textId="5E7D70E5" w:rsidR="00D90343" w:rsidRDefault="00D90343" w:rsidP="00EC0AA9">
      <w:pPr>
        <w:widowControl w:val="0"/>
        <w:tabs>
          <w:tab w:val="left" w:pos="1276"/>
        </w:tabs>
        <w:autoSpaceDE w:val="0"/>
        <w:autoSpaceDN w:val="0"/>
        <w:adjustRightInd w:val="0"/>
        <w:spacing w:line="360" w:lineRule="auto"/>
        <w:jc w:val="both"/>
        <w:rPr>
          <w:rFonts w:ascii="Palatino Linotype" w:hAnsi="Palatino Linotype" w:cs="Arial"/>
          <w:lang w:val="es-ES"/>
        </w:rPr>
      </w:pPr>
    </w:p>
    <w:p w14:paraId="0D60F3C3" w14:textId="77777777" w:rsidR="00EC0AA9" w:rsidRPr="00EC0AA9" w:rsidRDefault="00EC0AA9" w:rsidP="00EC0AA9">
      <w:pPr>
        <w:widowControl w:val="0"/>
        <w:tabs>
          <w:tab w:val="left" w:pos="1276"/>
        </w:tabs>
        <w:autoSpaceDE w:val="0"/>
        <w:autoSpaceDN w:val="0"/>
        <w:adjustRightInd w:val="0"/>
        <w:spacing w:line="360" w:lineRule="auto"/>
        <w:jc w:val="both"/>
        <w:rPr>
          <w:rFonts w:ascii="Palatino Linotype" w:hAnsi="Palatino Linotype" w:cs="Arial"/>
          <w:lang w:val="es-ES"/>
        </w:rPr>
      </w:pPr>
    </w:p>
    <w:p w14:paraId="343424CF"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lang w:val="es-ES"/>
        </w:rPr>
      </w:pPr>
      <w:r w:rsidRPr="00EC0AA9">
        <w:rPr>
          <w:rFonts w:ascii="Palatino Linotype" w:hAnsi="Palatino Linotype" w:cs="Arial"/>
          <w:lang w:val="es-ES"/>
        </w:rPr>
        <w:lastRenderedPageBreak/>
        <w:t xml:space="preserve">En ese contexto, el folio fiscal, no contiene datos personales del emisor y tampoco se puede obtener información confidencial con el mismo, pues solamente es un identificador del emisor, del cual su </w:t>
      </w:r>
      <w:r w:rsidRPr="00EC0AA9">
        <w:rPr>
          <w:rFonts w:ascii="Palatino Linotype" w:hAnsi="Palatino Linotype" w:cs="Arial"/>
          <w:bCs/>
          <w:lang w:val="es-ES"/>
        </w:rPr>
        <w:t>transparencia</w:t>
      </w:r>
      <w:r w:rsidRPr="00EC0AA9">
        <w:rPr>
          <w:rFonts w:ascii="Palatino Linotype" w:hAnsi="Palatino Linotype" w:cs="Arial"/>
          <w:lang w:val="es-ES"/>
        </w:rPr>
        <w:t xml:space="preserve"> ayuda a legitimar que el documento cumple con </w:t>
      </w:r>
      <w:r w:rsidRPr="00EC0AA9">
        <w:rPr>
          <w:rFonts w:ascii="Palatino Linotype" w:hAnsi="Palatino Linotype" w:cs="Arial"/>
          <w:bCs/>
          <w:lang w:val="es-ES"/>
        </w:rPr>
        <w:t>todos</w:t>
      </w:r>
      <w:r w:rsidRPr="00EC0AA9">
        <w:rPr>
          <w:rFonts w:ascii="Palatino Linotype" w:hAnsi="Palatino Linotype" w:cs="Arial"/>
          <w:lang w:val="es-ES"/>
        </w:rPr>
        <w:t xml:space="preserve"> los requisitos establecidos en la normatividad aplicable, sin necesidad algún dato personal, por lo que, </w:t>
      </w:r>
      <w:r w:rsidRPr="00EC0AA9">
        <w:rPr>
          <w:rFonts w:ascii="Palatino Linotype" w:hAnsi="Palatino Linotype" w:cs="Arial"/>
          <w:b/>
          <w:lang w:val="es-ES"/>
        </w:rPr>
        <w:t>no se actualiza la clasificación</w:t>
      </w:r>
      <w:r w:rsidRPr="00EC0AA9">
        <w:rPr>
          <w:rFonts w:ascii="Palatino Linotype" w:hAnsi="Palatino Linotype" w:cs="Arial"/>
          <w:lang w:val="es-ES"/>
        </w:rPr>
        <w:t>, en términos del artículo 143, fracción I de la Ley de la materia.</w:t>
      </w:r>
    </w:p>
    <w:p w14:paraId="4F74F9DB"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lang w:val="es-ES"/>
        </w:rPr>
      </w:pPr>
    </w:p>
    <w:p w14:paraId="55A22C89" w14:textId="77777777" w:rsidR="00D90343" w:rsidRPr="00EC0AA9" w:rsidRDefault="00D90343" w:rsidP="00EC0AA9">
      <w:pPr>
        <w:widowControl w:val="0"/>
        <w:numPr>
          <w:ilvl w:val="0"/>
          <w:numId w:val="10"/>
        </w:numPr>
        <w:tabs>
          <w:tab w:val="left" w:pos="1276"/>
        </w:tabs>
        <w:autoSpaceDE w:val="0"/>
        <w:autoSpaceDN w:val="0"/>
        <w:adjustRightInd w:val="0"/>
        <w:spacing w:line="360" w:lineRule="auto"/>
        <w:jc w:val="both"/>
        <w:rPr>
          <w:rFonts w:ascii="Palatino Linotype" w:hAnsi="Palatino Linotype" w:cs="Arial"/>
          <w:b/>
          <w:bCs/>
          <w:lang w:val="es-ES"/>
        </w:rPr>
      </w:pPr>
      <w:r w:rsidRPr="00EC0AA9">
        <w:rPr>
          <w:rFonts w:ascii="Palatino Linotype" w:hAnsi="Palatino Linotype" w:cs="Arial"/>
          <w:b/>
          <w:bCs/>
          <w:lang w:val="es-ES"/>
        </w:rPr>
        <w:t>Cadenas originales y sellos.</w:t>
      </w:r>
    </w:p>
    <w:p w14:paraId="499365C7"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b/>
          <w:bCs/>
          <w:lang w:val="es-ES"/>
        </w:rPr>
      </w:pPr>
    </w:p>
    <w:p w14:paraId="36B44D40"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bCs/>
          <w:lang w:val="es-ES"/>
        </w:rPr>
      </w:pPr>
      <w:r w:rsidRPr="00EC0AA9">
        <w:rPr>
          <w:rFonts w:ascii="Palatino Linotype" w:hAnsi="Palatino Linotype" w:cs="Arial"/>
          <w:b/>
          <w:bCs/>
          <w:lang w:val="es-ES"/>
        </w:rPr>
        <w:t>Las cadenas originales y sellos</w:t>
      </w:r>
      <w:r w:rsidRPr="00EC0AA9">
        <w:rPr>
          <w:rFonts w:ascii="Palatino Linotype" w:hAnsi="Palatino Linotype" w:cs="Arial"/>
          <w:bCs/>
          <w:lang w:val="es-ES"/>
        </w:rPr>
        <w:t xml:space="preserve">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3E044E71" w14:textId="77777777" w:rsidR="00D90343" w:rsidRPr="00EC0AA9" w:rsidRDefault="00D90343" w:rsidP="00EC0AA9">
      <w:pPr>
        <w:widowControl w:val="0"/>
        <w:tabs>
          <w:tab w:val="left" w:pos="1276"/>
        </w:tabs>
        <w:autoSpaceDE w:val="0"/>
        <w:autoSpaceDN w:val="0"/>
        <w:adjustRightInd w:val="0"/>
        <w:spacing w:line="360" w:lineRule="auto"/>
        <w:ind w:left="907" w:right="851"/>
        <w:jc w:val="both"/>
        <w:rPr>
          <w:rFonts w:ascii="Palatino Linotype" w:hAnsi="Palatino Linotype" w:cs="Arial"/>
          <w:bCs/>
          <w:lang w:val="es-ES"/>
        </w:rPr>
      </w:pPr>
    </w:p>
    <w:p w14:paraId="464215C0" w14:textId="77777777" w:rsidR="00D90343" w:rsidRPr="00EC0AA9" w:rsidRDefault="00D90343" w:rsidP="00EC0AA9">
      <w:pPr>
        <w:widowControl w:val="0"/>
        <w:tabs>
          <w:tab w:val="left" w:pos="1276"/>
        </w:tabs>
        <w:autoSpaceDE w:val="0"/>
        <w:autoSpaceDN w:val="0"/>
        <w:adjustRightInd w:val="0"/>
        <w:spacing w:line="360" w:lineRule="auto"/>
        <w:ind w:left="907" w:right="851"/>
        <w:jc w:val="both"/>
        <w:rPr>
          <w:rFonts w:ascii="Palatino Linotype" w:hAnsi="Palatino Linotype" w:cs="Arial"/>
          <w:bCs/>
          <w:i/>
          <w:lang w:val="es-ES"/>
        </w:rPr>
      </w:pPr>
      <w:r w:rsidRPr="00EC0AA9">
        <w:rPr>
          <w:rFonts w:ascii="Palatino Linotype" w:hAnsi="Palatino Linotype" w:cs="Arial"/>
          <w:bCs/>
          <w:i/>
          <w:lang w:val="es-ES"/>
        </w:rPr>
        <w:t>“Elementos utilizados en la generación de Sellos Digitales:</w:t>
      </w:r>
    </w:p>
    <w:p w14:paraId="70493246" w14:textId="77777777" w:rsidR="00D90343" w:rsidRPr="00EC0AA9" w:rsidRDefault="00D90343" w:rsidP="00EC0AA9">
      <w:pPr>
        <w:pStyle w:val="Prrafodelista"/>
        <w:widowControl w:val="0"/>
        <w:numPr>
          <w:ilvl w:val="0"/>
          <w:numId w:val="10"/>
        </w:numPr>
        <w:tabs>
          <w:tab w:val="left" w:pos="1276"/>
        </w:tabs>
        <w:autoSpaceDE w:val="0"/>
        <w:autoSpaceDN w:val="0"/>
        <w:adjustRightInd w:val="0"/>
        <w:spacing w:line="360" w:lineRule="auto"/>
        <w:ind w:left="907" w:right="851"/>
        <w:jc w:val="both"/>
        <w:rPr>
          <w:rFonts w:ascii="Palatino Linotype" w:eastAsia="Calibri" w:hAnsi="Palatino Linotype" w:cs="Arial"/>
          <w:bCs/>
          <w:i/>
        </w:rPr>
      </w:pPr>
      <w:r w:rsidRPr="00EC0AA9">
        <w:rPr>
          <w:rFonts w:ascii="Palatino Linotype" w:eastAsia="Calibri" w:hAnsi="Palatino Linotype" w:cs="Arial"/>
          <w:bCs/>
          <w:i/>
        </w:rPr>
        <w:t>Cadena Original, el elemento a sellar, en este caso de un comprobante fiscal digital a través de Internet.</w:t>
      </w:r>
    </w:p>
    <w:p w14:paraId="431AAB3B" w14:textId="77777777" w:rsidR="00D90343" w:rsidRPr="00EC0AA9" w:rsidRDefault="00D90343" w:rsidP="00EC0AA9">
      <w:pPr>
        <w:pStyle w:val="Prrafodelista"/>
        <w:widowControl w:val="0"/>
        <w:numPr>
          <w:ilvl w:val="0"/>
          <w:numId w:val="10"/>
        </w:numPr>
        <w:tabs>
          <w:tab w:val="left" w:pos="1276"/>
        </w:tabs>
        <w:autoSpaceDE w:val="0"/>
        <w:autoSpaceDN w:val="0"/>
        <w:adjustRightInd w:val="0"/>
        <w:spacing w:line="360" w:lineRule="auto"/>
        <w:ind w:left="907" w:right="851"/>
        <w:jc w:val="both"/>
        <w:rPr>
          <w:rFonts w:ascii="Palatino Linotype" w:eastAsia="Calibri" w:hAnsi="Palatino Linotype" w:cs="Arial"/>
          <w:bCs/>
          <w:i/>
        </w:rPr>
      </w:pPr>
      <w:r w:rsidRPr="00EC0AA9">
        <w:rPr>
          <w:rFonts w:ascii="Palatino Linotype" w:eastAsia="Calibri" w:hAnsi="Palatino Linotype" w:cs="Arial"/>
          <w:bCs/>
          <w:i/>
        </w:rPr>
        <w:t>Certificado de Sello Digital y su correspondiente clave privada.</w:t>
      </w:r>
    </w:p>
    <w:p w14:paraId="7127BD63" w14:textId="77777777" w:rsidR="00D90343" w:rsidRPr="00EC0AA9" w:rsidRDefault="00D90343" w:rsidP="00EC0AA9">
      <w:pPr>
        <w:pStyle w:val="Prrafodelista"/>
        <w:widowControl w:val="0"/>
        <w:numPr>
          <w:ilvl w:val="0"/>
          <w:numId w:val="10"/>
        </w:numPr>
        <w:tabs>
          <w:tab w:val="left" w:pos="1276"/>
        </w:tabs>
        <w:autoSpaceDE w:val="0"/>
        <w:autoSpaceDN w:val="0"/>
        <w:adjustRightInd w:val="0"/>
        <w:spacing w:line="360" w:lineRule="auto"/>
        <w:ind w:left="907" w:right="851"/>
        <w:jc w:val="both"/>
        <w:rPr>
          <w:rFonts w:ascii="Palatino Linotype" w:eastAsia="Calibri" w:hAnsi="Palatino Linotype" w:cs="Arial"/>
          <w:bCs/>
          <w:i/>
        </w:rPr>
      </w:pPr>
      <w:r w:rsidRPr="00EC0AA9">
        <w:rPr>
          <w:rFonts w:ascii="Palatino Linotype" w:eastAsia="Calibri" w:hAnsi="Palatino Linotype" w:cs="Arial"/>
          <w:bCs/>
          <w:i/>
        </w:rPr>
        <w:t>Algoritmos de criptografía de clave pública para firma electrónica avanzada.</w:t>
      </w:r>
    </w:p>
    <w:p w14:paraId="1C997FB2" w14:textId="77777777" w:rsidR="00D90343" w:rsidRPr="00EC0AA9" w:rsidRDefault="00D90343" w:rsidP="00EC0AA9">
      <w:pPr>
        <w:pStyle w:val="Prrafodelista"/>
        <w:widowControl w:val="0"/>
        <w:numPr>
          <w:ilvl w:val="0"/>
          <w:numId w:val="10"/>
        </w:numPr>
        <w:tabs>
          <w:tab w:val="left" w:pos="1276"/>
        </w:tabs>
        <w:autoSpaceDE w:val="0"/>
        <w:autoSpaceDN w:val="0"/>
        <w:adjustRightInd w:val="0"/>
        <w:spacing w:line="360" w:lineRule="auto"/>
        <w:ind w:left="907" w:right="851"/>
        <w:jc w:val="both"/>
        <w:rPr>
          <w:rFonts w:ascii="Palatino Linotype" w:eastAsia="Calibri" w:hAnsi="Palatino Linotype" w:cs="Arial"/>
          <w:bCs/>
          <w:i/>
        </w:rPr>
      </w:pPr>
      <w:r w:rsidRPr="00EC0AA9">
        <w:rPr>
          <w:rFonts w:ascii="Palatino Linotype" w:eastAsia="Calibri" w:hAnsi="Palatino Linotype" w:cs="Arial"/>
          <w:bCs/>
          <w:i/>
        </w:rPr>
        <w:t>Especificaciones de conversión de la firma electrónica avanzada a Base 64.</w:t>
      </w:r>
    </w:p>
    <w:p w14:paraId="5943C99C" w14:textId="77777777" w:rsidR="00D90343" w:rsidRPr="00EC0AA9" w:rsidRDefault="00D90343" w:rsidP="00EC0AA9">
      <w:pPr>
        <w:widowControl w:val="0"/>
        <w:tabs>
          <w:tab w:val="left" w:pos="1276"/>
        </w:tabs>
        <w:autoSpaceDE w:val="0"/>
        <w:autoSpaceDN w:val="0"/>
        <w:adjustRightInd w:val="0"/>
        <w:spacing w:line="360" w:lineRule="auto"/>
        <w:ind w:left="907" w:right="851"/>
        <w:jc w:val="both"/>
        <w:rPr>
          <w:rFonts w:ascii="Palatino Linotype" w:hAnsi="Palatino Linotype" w:cs="Arial"/>
          <w:bCs/>
          <w:i/>
          <w:lang w:val="es-ES"/>
        </w:rPr>
      </w:pPr>
      <w:r w:rsidRPr="00EC0AA9">
        <w:rPr>
          <w:rFonts w:ascii="Palatino Linotype" w:hAnsi="Palatino Linotype" w:cs="Arial"/>
          <w:bCs/>
          <w:i/>
          <w:lang w:val="es-ES"/>
        </w:rPr>
        <w:lastRenderedPageBreak/>
        <w:t>Para la generación de sellos digitales se utiliza criptografía de clave pública aplicada a una cadena original.</w:t>
      </w:r>
    </w:p>
    <w:p w14:paraId="189A54A5" w14:textId="77777777" w:rsidR="00D90343" w:rsidRPr="00EC0AA9" w:rsidRDefault="00D90343" w:rsidP="00EC0AA9">
      <w:pPr>
        <w:widowControl w:val="0"/>
        <w:tabs>
          <w:tab w:val="left" w:pos="1276"/>
        </w:tabs>
        <w:autoSpaceDE w:val="0"/>
        <w:autoSpaceDN w:val="0"/>
        <w:adjustRightInd w:val="0"/>
        <w:spacing w:line="360" w:lineRule="auto"/>
        <w:ind w:left="907" w:right="851"/>
        <w:jc w:val="both"/>
        <w:rPr>
          <w:rFonts w:ascii="Palatino Linotype" w:hAnsi="Palatino Linotype" w:cs="Arial"/>
          <w:bCs/>
          <w:i/>
          <w:lang w:val="es-ES"/>
        </w:rPr>
      </w:pPr>
      <w:r w:rsidRPr="00EC0AA9">
        <w:rPr>
          <w:rFonts w:ascii="Palatino Linotype" w:hAnsi="Palatino Linotype" w:cs="Arial"/>
          <w:bCs/>
          <w:i/>
          <w:lang w:val="es-ES"/>
        </w:rPr>
        <w:t>Criptografía de la Clave Pública</w:t>
      </w:r>
    </w:p>
    <w:p w14:paraId="73ADF1CA" w14:textId="77777777" w:rsidR="00D90343" w:rsidRPr="00EC0AA9" w:rsidRDefault="00D90343" w:rsidP="00EC0AA9">
      <w:pPr>
        <w:widowControl w:val="0"/>
        <w:tabs>
          <w:tab w:val="left" w:pos="1276"/>
        </w:tabs>
        <w:autoSpaceDE w:val="0"/>
        <w:autoSpaceDN w:val="0"/>
        <w:adjustRightInd w:val="0"/>
        <w:spacing w:line="360" w:lineRule="auto"/>
        <w:ind w:left="907" w:right="851"/>
        <w:jc w:val="both"/>
        <w:rPr>
          <w:rFonts w:ascii="Palatino Linotype" w:hAnsi="Palatino Linotype" w:cs="Arial"/>
          <w:bCs/>
          <w:i/>
          <w:lang w:val="es-ES"/>
        </w:rPr>
      </w:pPr>
      <w:r w:rsidRPr="00EC0AA9">
        <w:rPr>
          <w:rFonts w:ascii="Palatino Linotype" w:hAnsi="Palatino Linotype" w:cs="Arial"/>
          <w:bCs/>
          <w:i/>
          <w:lang w:val="es-E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7321C6E5"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bCs/>
          <w:lang w:val="es-ES"/>
        </w:rPr>
      </w:pPr>
    </w:p>
    <w:p w14:paraId="71D82A69"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bCs/>
          <w:lang w:val="es-ES"/>
        </w:rPr>
      </w:pPr>
      <w:r w:rsidRPr="00EC0AA9">
        <w:rPr>
          <w:rFonts w:ascii="Palatino Linotype" w:hAnsi="Palatino Linotype" w:cs="Arial"/>
          <w:bCs/>
          <w:lang w:val="es-ES"/>
        </w:rPr>
        <w:t xml:space="preserve">Es decir, por sí solos las cadenas originales y los sellos originales no contienen datos personales confidenciales, por lo que se considera que </w:t>
      </w:r>
      <w:r w:rsidRPr="00EC0AA9">
        <w:rPr>
          <w:rFonts w:ascii="Palatino Linotype" w:hAnsi="Palatino Linotype" w:cs="Arial"/>
          <w:b/>
          <w:bCs/>
          <w:lang w:val="es-ES"/>
        </w:rPr>
        <w:t>no actualizan en supuesto de confidencialidad</w:t>
      </w:r>
      <w:r w:rsidRPr="00EC0AA9">
        <w:rPr>
          <w:rFonts w:ascii="Palatino Linotype" w:hAnsi="Palatino Linotype" w:cs="Arial"/>
          <w:bCs/>
          <w:lang w:val="es-ES"/>
        </w:rPr>
        <w:t xml:space="preserve">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0CDFFBA7"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bCs/>
          <w:lang w:val="es-ES"/>
        </w:rPr>
      </w:pPr>
    </w:p>
    <w:p w14:paraId="07C5F2BD" w14:textId="77777777" w:rsidR="00D90343" w:rsidRPr="00EC0AA9" w:rsidRDefault="00D90343" w:rsidP="00EC0AA9">
      <w:pPr>
        <w:widowControl w:val="0"/>
        <w:numPr>
          <w:ilvl w:val="0"/>
          <w:numId w:val="10"/>
        </w:numPr>
        <w:tabs>
          <w:tab w:val="left" w:pos="1276"/>
        </w:tabs>
        <w:autoSpaceDE w:val="0"/>
        <w:autoSpaceDN w:val="0"/>
        <w:adjustRightInd w:val="0"/>
        <w:spacing w:line="360" w:lineRule="auto"/>
        <w:jc w:val="both"/>
        <w:rPr>
          <w:rFonts w:ascii="Palatino Linotype" w:hAnsi="Palatino Linotype" w:cs="Arial"/>
          <w:b/>
          <w:bCs/>
          <w:lang w:val="es-ES"/>
        </w:rPr>
      </w:pPr>
      <w:r w:rsidRPr="00EC0AA9">
        <w:rPr>
          <w:rFonts w:ascii="Palatino Linotype" w:hAnsi="Palatino Linotype" w:cs="Arial"/>
          <w:b/>
          <w:bCs/>
          <w:lang w:val="es-ES"/>
        </w:rPr>
        <w:t xml:space="preserve">Número de serie del emisor y/o CSD y </w:t>
      </w:r>
      <w:r w:rsidRPr="00EC0AA9">
        <w:rPr>
          <w:rFonts w:ascii="Palatino Linotype" w:hAnsi="Palatino Linotype" w:cs="Arial"/>
          <w:b/>
        </w:rPr>
        <w:t>número de certificado del SAT</w:t>
      </w:r>
    </w:p>
    <w:p w14:paraId="4FFDF18F" w14:textId="77777777" w:rsidR="00D90343" w:rsidRPr="00EC0AA9" w:rsidRDefault="00D90343" w:rsidP="00EC0AA9">
      <w:pPr>
        <w:widowControl w:val="0"/>
        <w:tabs>
          <w:tab w:val="left" w:pos="1276"/>
        </w:tabs>
        <w:autoSpaceDE w:val="0"/>
        <w:autoSpaceDN w:val="0"/>
        <w:adjustRightInd w:val="0"/>
        <w:spacing w:line="360" w:lineRule="auto"/>
        <w:ind w:left="720"/>
        <w:jc w:val="both"/>
        <w:rPr>
          <w:rFonts w:ascii="Palatino Linotype" w:hAnsi="Palatino Linotype" w:cs="Arial"/>
          <w:b/>
          <w:bCs/>
          <w:lang w:val="es-ES"/>
        </w:rPr>
      </w:pPr>
    </w:p>
    <w:p w14:paraId="5C28DDEE"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bCs/>
          <w:lang w:val="es-ES"/>
        </w:rPr>
      </w:pPr>
      <w:r w:rsidRPr="00EC0AA9">
        <w:rPr>
          <w:rFonts w:ascii="Palatino Linotype" w:hAnsi="Palatino Linotype" w:cs="Arial"/>
          <w:bCs/>
          <w:lang w:val="es-ES"/>
        </w:rPr>
        <w:t xml:space="preserve">Por otra parte, por lo que hace </w:t>
      </w:r>
      <w:r w:rsidRPr="00EC0AA9">
        <w:rPr>
          <w:rFonts w:ascii="Palatino Linotype" w:hAnsi="Palatino Linotype" w:cs="Arial"/>
          <w:b/>
          <w:bCs/>
          <w:lang w:val="es-ES"/>
        </w:rPr>
        <w:t>al número de serie de los certificados de Sello Digitales del emisor y del Servicio de Administración Tributaria,</w:t>
      </w:r>
      <w:r w:rsidRPr="00EC0AA9">
        <w:rPr>
          <w:rFonts w:ascii="Palatino Linotype" w:hAnsi="Palatino Linotype" w:cs="Arial"/>
          <w:bCs/>
          <w:lang w:val="es-ES"/>
        </w:rPr>
        <w:t xml:space="preserve"> el ANEXO 20 de la Segunda </w:t>
      </w:r>
      <w:r w:rsidRPr="00EC0AA9">
        <w:rPr>
          <w:rFonts w:ascii="Palatino Linotype" w:hAnsi="Palatino Linotype" w:cs="Arial"/>
          <w:bCs/>
          <w:lang w:val="es-ES"/>
        </w:rPr>
        <w:lastRenderedPageBreak/>
        <w:t xml:space="preserve">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en la página </w:t>
      </w:r>
      <w:hyperlink r:id="rId16" w:history="1">
        <w:r w:rsidRPr="00EC0AA9">
          <w:rPr>
            <w:rStyle w:val="Hipervnculo"/>
            <w:rFonts w:ascii="Palatino Linotype" w:hAnsi="Palatino Linotype" w:cs="Arial"/>
            <w:bCs/>
            <w:color w:val="auto"/>
          </w:rPr>
          <w:t>https://portalanterior.ine.mx/archivos2/tutoriales/sistemas/ApoyoInstitucional/SIF/docs/candidatos/folioFiscalFactura.pdf</w:t>
        </w:r>
      </w:hyperlink>
      <w:r w:rsidRPr="00EC0AA9">
        <w:rPr>
          <w:rFonts w:ascii="Palatino Linotype" w:hAnsi="Palatino Linotype" w:cs="Arial"/>
          <w:bCs/>
          <w:lang w:val="es-ES"/>
        </w:rPr>
        <w:t>, en la cual se advierte que únicamente se encuentra conformado por números, se muestra a continuación:</w:t>
      </w:r>
    </w:p>
    <w:p w14:paraId="26D6CB47"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bCs/>
          <w:lang w:val="es-ES"/>
        </w:rPr>
      </w:pPr>
    </w:p>
    <w:p w14:paraId="19413824"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bCs/>
          <w:lang w:val="es-ES"/>
        </w:rPr>
      </w:pPr>
      <w:r w:rsidRPr="00EC0AA9">
        <w:rPr>
          <w:rFonts w:ascii="Palatino Linotype" w:hAnsi="Palatino Linotype" w:cs="Arial"/>
          <w:noProof/>
        </w:rPr>
        <mc:AlternateContent>
          <mc:Choice Requires="wps">
            <w:drawing>
              <wp:anchor distT="0" distB="0" distL="114300" distR="114300" simplePos="0" relativeHeight="251659264" behindDoc="0" locked="0" layoutInCell="1" allowOverlap="1" wp14:anchorId="3FF474D4" wp14:editId="2032BD16">
                <wp:simplePos x="0" y="0"/>
                <wp:positionH relativeFrom="column">
                  <wp:posOffset>315595</wp:posOffset>
                </wp:positionH>
                <wp:positionV relativeFrom="paragraph">
                  <wp:posOffset>837565</wp:posOffset>
                </wp:positionV>
                <wp:extent cx="3457575" cy="219075"/>
                <wp:effectExtent l="19050" t="19050" r="28575" b="28575"/>
                <wp:wrapNone/>
                <wp:docPr id="36" name="Rectángulo 3"/>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D563A4" id="Rectángulo 3" o:spid="_x0000_s1026" style="position:absolute;margin-left:24.85pt;margin-top:65.95pt;width:272.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5FagIAAMAEAAAOAAAAZHJzL2Uyb0RvYy54bWysVNtOGzEQfa/Uf7D8XjYJlMKKDYpAVJUQ&#10;RIWK58HrTVbyelzbySb9m35Lf6zH3uVS+lY1kRyPZ3xm5vhMzs53nRFb7UPLtpLTg4kU2iquW7uq&#10;5Lf7qw8nUoRItibDVldyr4M8n79/d9a7Us94zabWXgDEhrJ3lVzH6MqiCGqtOwoH7LSFs2HfUYTp&#10;V0XtqQd6Z4rZZHJc9Oxr51npEHB6OTjlPOM3jVbxtmmCjsJUErXFvPq8Pqa1mJ9RufLk1q0ay6B/&#10;qKKj1iLpM9QlRRIb3/4F1bXKc+AmHijuCm6aVuncA7qZTt50c7cmp3MvICe4Z5rC/4NVN9ulF21d&#10;ycNjKSx1eKOvYO3XT7vaGBaHiaHehRKBd27pRytgm9rdNb5Lv2hE7DKr+2dW9S4KhcPDo4+f8JVC&#10;wTebnk6wB0zxctv5ED9r7kTaVNIjfyaTttchDqFPISmZ5avWGJxTaazoAXoy4BME1BiKSNU5tBTs&#10;SgoyKyhTRZ8hA5u2TtfT7bAPF8aLLUEc0FTN/T2KlsJQiHCgk/wZq/3jaqrnksJ6uJxdY5ixCVpn&#10;7Y3lJ/4GxtLukes9OPc8iDE4ddUC7RpJl+ShPugUExVvsTSG0Z8yrZNizf7H27MUBzHAI0UPFaPn&#10;7xvyGj18sZDJ6fToKMk+G3iHGQz/2vP42mM33QWDiylm1qm8TfHRPG0bz90DBm6RssJFViH3wO5o&#10;XMRhujCySi8WOQxSdxSv7Z1TCTzxk/i73z2Qd+OjRzB/w0+Kp/LN2w+x6ablxSZy02ZhvPAJQSUD&#10;Y5KlNY50msPXdo56+eOZ/wYAAP//AwBQSwMEFAAGAAgAAAAhAHos3gDgAAAACgEAAA8AAABkcnMv&#10;ZG93bnJldi54bWxMj8FOwzAMhu9IvENkJG4sbSkZLU0nhMQFTmxUEzevCU1Fk3RNtnU8PeYER//+&#10;9PtztZrtwI56Cr13EtJFAky71qvedRLeN88398BCRKdw8E5LOOsAq/ryosJS+ZN708d17BiVuFCi&#10;BBPjWHIeWqMthoUftaPdp58sRhqnjqsJT1RuB54lieAWe0cXDI76yej2a32wEpos3Rr8ODehmfZN&#10;9/K6EWL/LeX11fz4ACzqOf7B8KtP6lCT084fnApskJAXSyIpv00LYATcFXkGbEeJEDnwuuL/X6h/&#10;AAAA//8DAFBLAQItABQABgAIAAAAIQC2gziS/gAAAOEBAAATAAAAAAAAAAAAAAAAAAAAAABbQ29u&#10;dGVudF9UeXBlc10ueG1sUEsBAi0AFAAGAAgAAAAhADj9If/WAAAAlAEAAAsAAAAAAAAAAAAAAAAA&#10;LwEAAF9yZWxzLy5yZWxzUEsBAi0AFAAGAAgAAAAhANzE3kVqAgAAwAQAAA4AAAAAAAAAAAAAAAAA&#10;LgIAAGRycy9lMm9Eb2MueG1sUEsBAi0AFAAGAAgAAAAhAHos3gDgAAAACgEAAA8AAAAAAAAAAAAA&#10;AAAAxAQAAGRycy9kb3ducmV2LnhtbFBLBQYAAAAABAAEAPMAAADRBQAAAAA=&#10;" filled="f" strokecolor="windowText" strokeweight="2.25pt"/>
            </w:pict>
          </mc:Fallback>
        </mc:AlternateContent>
      </w:r>
      <w:r w:rsidRPr="00EC0AA9">
        <w:rPr>
          <w:rFonts w:ascii="Palatino Linotype" w:hAnsi="Palatino Linotype" w:cs="Arial"/>
          <w:noProof/>
        </w:rPr>
        <w:drawing>
          <wp:inline distT="0" distB="0" distL="0" distR="0" wp14:anchorId="558CC730" wp14:editId="14C2603F">
            <wp:extent cx="5191125" cy="1009650"/>
            <wp:effectExtent l="0" t="0" r="9525" b="0"/>
            <wp:docPr id="13879322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1125" cy="1009650"/>
                    </a:xfrm>
                    <a:prstGeom prst="rect">
                      <a:avLst/>
                    </a:prstGeom>
                    <a:noFill/>
                    <a:ln>
                      <a:noFill/>
                    </a:ln>
                  </pic:spPr>
                </pic:pic>
              </a:graphicData>
            </a:graphic>
          </wp:inline>
        </w:drawing>
      </w:r>
    </w:p>
    <w:p w14:paraId="76136C48"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bCs/>
          <w:lang w:val="es-ES"/>
        </w:rPr>
      </w:pPr>
    </w:p>
    <w:p w14:paraId="622DF0A1"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b/>
          <w:bCs/>
          <w:lang w:val="es-ES"/>
        </w:rPr>
      </w:pPr>
      <w:r w:rsidRPr="00EC0AA9">
        <w:rPr>
          <w:rFonts w:ascii="Palatino Linotype" w:hAnsi="Palatino Linotype" w:cs="Arial"/>
          <w:bCs/>
          <w:lang w:val="es-ES"/>
        </w:rPr>
        <w:t xml:space="preserve">Como se logra observar, los números de serie del certificado de sello digital no contiene datos personales y con dichos dígitos tampoco se puede obtener información de carácter confidencial, por lo que, </w:t>
      </w:r>
      <w:r w:rsidRPr="00EC0AA9">
        <w:rPr>
          <w:rFonts w:ascii="Palatino Linotype" w:hAnsi="Palatino Linotype" w:cs="Arial"/>
          <w:b/>
          <w:bCs/>
          <w:lang w:val="es-ES"/>
        </w:rPr>
        <w:t>tampoco actualizan la causal de clasificación</w:t>
      </w:r>
      <w:r w:rsidRPr="00EC0AA9">
        <w:rPr>
          <w:rFonts w:ascii="Palatino Linotype" w:hAnsi="Palatino Linotype" w:cs="Arial"/>
          <w:bCs/>
          <w:lang w:val="es-ES"/>
        </w:rPr>
        <w:t xml:space="preserve">, establecida en el artículo 143, fracción I, de la Ley de Transparencia y Acceso a la Información Pública del Estado de México y Municipios. </w:t>
      </w:r>
      <w:r w:rsidRPr="00EC0AA9">
        <w:rPr>
          <w:rFonts w:ascii="Palatino Linotype" w:hAnsi="Palatino Linotype" w:cs="Arial"/>
          <w:b/>
          <w:bCs/>
          <w:lang w:val="es-ES"/>
        </w:rPr>
        <w:t>Máxime que permite corroborar la legitimidad a los CDFI, pues amparan la utilización de los certificados de sellos digitales válidos.</w:t>
      </w:r>
    </w:p>
    <w:p w14:paraId="17752EAD" w14:textId="5B7428E6" w:rsidR="00D90343" w:rsidRDefault="00D90343" w:rsidP="00EC0AA9">
      <w:pPr>
        <w:widowControl w:val="0"/>
        <w:tabs>
          <w:tab w:val="left" w:pos="1276"/>
        </w:tabs>
        <w:autoSpaceDE w:val="0"/>
        <w:autoSpaceDN w:val="0"/>
        <w:adjustRightInd w:val="0"/>
        <w:spacing w:line="360" w:lineRule="auto"/>
        <w:jc w:val="both"/>
        <w:rPr>
          <w:rFonts w:ascii="Palatino Linotype" w:hAnsi="Palatino Linotype" w:cs="Arial"/>
        </w:rPr>
      </w:pPr>
    </w:p>
    <w:p w14:paraId="1251EE14" w14:textId="77777777" w:rsidR="00EC0AA9" w:rsidRPr="00EC0AA9" w:rsidRDefault="00EC0AA9" w:rsidP="00EC0AA9">
      <w:pPr>
        <w:widowControl w:val="0"/>
        <w:tabs>
          <w:tab w:val="left" w:pos="1276"/>
        </w:tabs>
        <w:autoSpaceDE w:val="0"/>
        <w:autoSpaceDN w:val="0"/>
        <w:adjustRightInd w:val="0"/>
        <w:spacing w:line="360" w:lineRule="auto"/>
        <w:jc w:val="both"/>
        <w:rPr>
          <w:rFonts w:ascii="Palatino Linotype" w:hAnsi="Palatino Linotype" w:cs="Arial"/>
        </w:rPr>
      </w:pPr>
    </w:p>
    <w:p w14:paraId="058C62B1" w14:textId="77777777" w:rsidR="00D90343" w:rsidRPr="00EC0AA9" w:rsidRDefault="00D90343" w:rsidP="00EC0AA9">
      <w:pPr>
        <w:widowControl w:val="0"/>
        <w:tabs>
          <w:tab w:val="left" w:pos="1276"/>
        </w:tabs>
        <w:autoSpaceDE w:val="0"/>
        <w:autoSpaceDN w:val="0"/>
        <w:adjustRightInd w:val="0"/>
        <w:spacing w:line="360" w:lineRule="auto"/>
        <w:jc w:val="both"/>
        <w:rPr>
          <w:rFonts w:ascii="Palatino Linotype" w:hAnsi="Palatino Linotype" w:cs="Arial"/>
        </w:rPr>
      </w:pPr>
      <w:r w:rsidRPr="00EC0AA9">
        <w:rPr>
          <w:rFonts w:ascii="Palatino Linotype" w:hAnsi="Palatino Linotype" w:cs="Arial"/>
        </w:rPr>
        <w:lastRenderedPageBreak/>
        <w:t xml:space="preserve">Por lo expuesto, </w:t>
      </w:r>
      <w:r w:rsidRPr="00EC0AA9">
        <w:rPr>
          <w:rFonts w:ascii="Palatino Linotype" w:hAnsi="Palatino Linotype" w:cs="Arial"/>
          <w:b/>
          <w:bCs/>
        </w:rPr>
        <w:t>EL SUJETO OBLIGADO</w:t>
      </w:r>
      <w:r w:rsidRPr="00EC0AA9">
        <w:rPr>
          <w:rFonts w:ascii="Palatino Linotype" w:hAnsi="Palatino Linotype" w:cs="Arial"/>
        </w:rPr>
        <w:t xml:space="preserve"> deberá de entregar de manera visible y correcta las facturas que se solicitan en la solicitud de acceso a la información pública.</w:t>
      </w:r>
    </w:p>
    <w:p w14:paraId="3B21C8EF" w14:textId="47DF39B8" w:rsidR="000B163C" w:rsidRPr="00EC0AA9" w:rsidRDefault="000B163C" w:rsidP="00EC0AA9">
      <w:pPr>
        <w:spacing w:line="360" w:lineRule="auto"/>
        <w:jc w:val="both"/>
        <w:rPr>
          <w:rFonts w:ascii="Palatino Linotype" w:hAnsi="Palatino Linotype" w:cs="Arial"/>
        </w:rPr>
      </w:pPr>
      <w:r w:rsidRPr="00EC0AA9">
        <w:rPr>
          <w:rFonts w:ascii="Palatino Linotype" w:hAnsi="Palatino Linotype" w:cs="Arial"/>
        </w:rPr>
        <w:t xml:space="preserve">Debe agregarse que </w:t>
      </w:r>
      <w:r w:rsidRPr="00EC0AA9">
        <w:rPr>
          <w:rFonts w:ascii="Palatino Linotype" w:hAnsi="Palatino Linotype" w:cs="Arial"/>
          <w:b/>
        </w:rPr>
        <w:t>EL SUJETO OBLIGADO</w:t>
      </w:r>
      <w:r w:rsidRPr="00EC0AA9">
        <w:rPr>
          <w:rFonts w:ascii="Palatino Linotype" w:hAnsi="Palatino Linotype" w:cs="Arial"/>
        </w:rPr>
        <w:t>, al entregar los documentos solicitados, debe dejar visible los datos del proveedor, en su caso,</w:t>
      </w:r>
      <w:r w:rsidR="00EA5651" w:rsidRPr="00EC0AA9">
        <w:rPr>
          <w:rFonts w:ascii="Palatino Linotype" w:hAnsi="Palatino Linotype" w:cs="Arial"/>
        </w:rPr>
        <w:t xml:space="preserve"> RFC, cadenas digitales</w:t>
      </w:r>
      <w:r w:rsidRPr="00EC0AA9">
        <w:rPr>
          <w:rFonts w:ascii="Palatino Linotype" w:hAnsi="Palatino Linotype" w:cs="Arial"/>
        </w:rPr>
        <w:t xml:space="preserve"> y el domicilio fiscal; es decir, no debe testarse dato alguno relacionado con el contribuyente, aunque el proveedor sea una persona física. Esto se debe a que del ejercicio de ponderación entre el derecho a la protección de datos personales con el derecho de acceso a la información pública en el caso particular, es de mayor trascendencia el derecho de cualquier persona a conocer en qué se gastan los recursos públicos, puesto que se trata de erogaciones que realiza un órgano del Estado con base en los recursos que encuentran su origen en mayor medida en las contribuciones aportadas por los gobernados, por lo que debe transparentarse su ejercicio. </w:t>
      </w:r>
    </w:p>
    <w:p w14:paraId="59B62DBF" w14:textId="77777777" w:rsidR="005910F6" w:rsidRPr="00EC0AA9" w:rsidRDefault="005910F6" w:rsidP="00EC0AA9">
      <w:pPr>
        <w:spacing w:line="360" w:lineRule="auto"/>
        <w:jc w:val="both"/>
        <w:rPr>
          <w:rFonts w:ascii="Palatino Linotype" w:hAnsi="Palatino Linotype" w:cs="Arial"/>
          <w:sz w:val="12"/>
          <w:szCs w:val="12"/>
        </w:rPr>
      </w:pPr>
    </w:p>
    <w:p w14:paraId="4EB1CF49" w14:textId="77777777" w:rsidR="00384C12" w:rsidRPr="00EC0AA9" w:rsidRDefault="00384C12" w:rsidP="00EC0AA9">
      <w:pPr>
        <w:spacing w:line="360" w:lineRule="auto"/>
        <w:jc w:val="both"/>
        <w:rPr>
          <w:rFonts w:ascii="Palatino Linotype" w:hAnsi="Palatino Linotype" w:cs="Arial"/>
          <w:bCs/>
        </w:rPr>
      </w:pPr>
      <w:r w:rsidRPr="00EC0AA9">
        <w:rPr>
          <w:rFonts w:ascii="Palatino Linotype" w:hAnsi="Palatino Linotype"/>
        </w:rPr>
        <w:t xml:space="preserve">Por lo anterior, no </w:t>
      </w:r>
      <w:r w:rsidRPr="00EC0AA9">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EC0AA9">
        <w:rPr>
          <w:rFonts w:ascii="Palatino Linotype" w:hAnsi="Palatino Linotype" w:cs="Arial"/>
          <w:b/>
        </w:rPr>
        <w:t>versión pública</w:t>
      </w:r>
      <w:r w:rsidRPr="00EC0AA9">
        <w:rPr>
          <w:rFonts w:ascii="Palatino Linotype" w:hAnsi="Palatino Linotype" w:cs="Arial"/>
        </w:rPr>
        <w:t>; pues, el</w:t>
      </w:r>
      <w:r w:rsidRPr="00EC0AA9">
        <w:rPr>
          <w:rFonts w:ascii="Palatino Linotype" w:hAnsi="Palatino Linotype" w:cs="Arial"/>
          <w:bCs/>
        </w:rPr>
        <w:t xml:space="preserve"> derecho de acceso a la información pública tiene como limitante el respeto a la intimidad y a la vida privada de las personas, es por ello que este Órgano Garante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w:t>
      </w:r>
      <w:r w:rsidRPr="00EC0AA9">
        <w:rPr>
          <w:rFonts w:ascii="Palatino Linotype" w:hAnsi="Palatino Linotype" w:cs="Arial"/>
          <w:bCs/>
        </w:rPr>
        <w:lastRenderedPageBreak/>
        <w:t>personales, la ley permite la elaboración de versiones públicas en las que se suprima aquella información relacionada con la vida privada de los particulares.</w:t>
      </w:r>
    </w:p>
    <w:p w14:paraId="166A084D" w14:textId="77777777" w:rsidR="00384C12" w:rsidRPr="00EC0AA9" w:rsidRDefault="00384C12" w:rsidP="00EC0AA9">
      <w:pPr>
        <w:spacing w:line="360" w:lineRule="auto"/>
        <w:jc w:val="both"/>
        <w:rPr>
          <w:rFonts w:ascii="Palatino Linotype" w:eastAsia="Calibri" w:hAnsi="Palatino Linotype" w:cs="Arial"/>
          <w:bCs/>
          <w:sz w:val="12"/>
          <w:szCs w:val="12"/>
          <w:lang w:eastAsia="en-US"/>
        </w:rPr>
      </w:pPr>
    </w:p>
    <w:p w14:paraId="7CCD3135" w14:textId="77777777" w:rsidR="00384C12" w:rsidRPr="00EC0AA9" w:rsidRDefault="00384C12" w:rsidP="00EC0AA9">
      <w:pPr>
        <w:spacing w:line="360" w:lineRule="auto"/>
        <w:jc w:val="both"/>
        <w:rPr>
          <w:rFonts w:ascii="Palatino Linotype" w:hAnsi="Palatino Linotype" w:cs="Arial"/>
          <w:bCs/>
        </w:rPr>
      </w:pPr>
      <w:r w:rsidRPr="00EC0AA9">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66E5CA25" w14:textId="77777777" w:rsidR="00384C12" w:rsidRPr="00EC0AA9" w:rsidRDefault="00384C12" w:rsidP="00EC0AA9">
      <w:pPr>
        <w:autoSpaceDE w:val="0"/>
        <w:autoSpaceDN w:val="0"/>
        <w:adjustRightInd w:val="0"/>
        <w:ind w:right="899"/>
        <w:jc w:val="both"/>
        <w:rPr>
          <w:rFonts w:ascii="Palatino Linotype" w:hAnsi="Palatino Linotype" w:cs="Arial"/>
          <w:sz w:val="16"/>
          <w:szCs w:val="16"/>
        </w:rPr>
      </w:pPr>
    </w:p>
    <w:p w14:paraId="1888CC14" w14:textId="77777777" w:rsidR="00384C12" w:rsidRPr="00EC0AA9" w:rsidRDefault="00384C12" w:rsidP="00EC0AA9">
      <w:pPr>
        <w:ind w:left="851" w:right="901"/>
        <w:jc w:val="both"/>
        <w:rPr>
          <w:rFonts w:ascii="Palatino Linotype" w:hAnsi="Palatino Linotype"/>
          <w:i/>
          <w:sz w:val="22"/>
          <w:szCs w:val="22"/>
        </w:rPr>
      </w:pPr>
      <w:r w:rsidRPr="00EC0AA9">
        <w:rPr>
          <w:rFonts w:ascii="Palatino Linotype" w:hAnsi="Palatino Linotype" w:cs="Arial"/>
          <w:b/>
          <w:bCs/>
          <w:i/>
          <w:noProof/>
          <w:sz w:val="22"/>
          <w:szCs w:val="22"/>
        </w:rPr>
        <w:t>“</w:t>
      </w:r>
      <w:r w:rsidRPr="00EC0AA9">
        <w:rPr>
          <w:rFonts w:ascii="Palatino Linotype" w:hAnsi="Palatino Linotype" w:cs="Arial"/>
          <w:b/>
          <w:bCs/>
          <w:i/>
          <w:sz w:val="22"/>
          <w:szCs w:val="22"/>
        </w:rPr>
        <w:t xml:space="preserve">Artículo 3. </w:t>
      </w:r>
      <w:r w:rsidRPr="00EC0AA9">
        <w:rPr>
          <w:rFonts w:ascii="Palatino Linotype" w:hAnsi="Palatino Linotype"/>
          <w:i/>
          <w:sz w:val="22"/>
          <w:szCs w:val="22"/>
        </w:rPr>
        <w:t xml:space="preserve">Para los efectos de la presente Ley se entenderá por: </w:t>
      </w:r>
    </w:p>
    <w:p w14:paraId="5309DE8D" w14:textId="77777777" w:rsidR="00384C12" w:rsidRPr="00EC0AA9" w:rsidRDefault="00384C12" w:rsidP="00EC0AA9">
      <w:pPr>
        <w:ind w:left="851" w:right="899"/>
        <w:jc w:val="both"/>
        <w:rPr>
          <w:rFonts w:ascii="Palatino Linotype" w:hAnsi="Palatino Linotype" w:cs="Arial"/>
          <w:i/>
          <w:sz w:val="22"/>
          <w:szCs w:val="22"/>
        </w:rPr>
      </w:pPr>
      <w:r w:rsidRPr="00EC0AA9">
        <w:rPr>
          <w:rFonts w:ascii="Palatino Linotype" w:hAnsi="Palatino Linotype" w:cs="Arial"/>
          <w:b/>
          <w:i/>
          <w:sz w:val="22"/>
          <w:szCs w:val="22"/>
        </w:rPr>
        <w:t>IX.</w:t>
      </w:r>
      <w:r w:rsidRPr="00EC0AA9">
        <w:rPr>
          <w:rFonts w:ascii="Palatino Linotype" w:hAnsi="Palatino Linotype" w:cs="Arial"/>
          <w:i/>
          <w:sz w:val="22"/>
          <w:szCs w:val="22"/>
        </w:rPr>
        <w:t xml:space="preserve"> </w:t>
      </w:r>
      <w:r w:rsidRPr="00EC0AA9">
        <w:rPr>
          <w:rFonts w:ascii="Palatino Linotype" w:hAnsi="Palatino Linotype" w:cs="Arial"/>
          <w:b/>
          <w:i/>
          <w:sz w:val="22"/>
          <w:szCs w:val="22"/>
        </w:rPr>
        <w:t xml:space="preserve">Datos personales: </w:t>
      </w:r>
      <w:r w:rsidRPr="00EC0AA9">
        <w:rPr>
          <w:rFonts w:ascii="Palatino Linotype" w:hAnsi="Palatino Linotype" w:cs="Arial"/>
          <w:i/>
          <w:sz w:val="22"/>
          <w:szCs w:val="22"/>
        </w:rPr>
        <w:t xml:space="preserve">La información concerniente a una persona, identificada o identificable según lo dispuesto por la Ley de </w:t>
      </w:r>
      <w:r w:rsidRPr="00EC0AA9">
        <w:rPr>
          <w:rFonts w:ascii="Palatino Linotype" w:hAnsi="Palatino Linotype"/>
          <w:i/>
          <w:sz w:val="22"/>
          <w:szCs w:val="22"/>
        </w:rPr>
        <w:t>Protección</w:t>
      </w:r>
      <w:r w:rsidRPr="00EC0AA9">
        <w:rPr>
          <w:rFonts w:ascii="Palatino Linotype" w:hAnsi="Palatino Linotype" w:cs="Arial"/>
          <w:i/>
          <w:sz w:val="22"/>
          <w:szCs w:val="22"/>
        </w:rPr>
        <w:t xml:space="preserve"> de Datos Personales del Estado de México; </w:t>
      </w:r>
    </w:p>
    <w:p w14:paraId="3CABA568" w14:textId="77777777" w:rsidR="00384C12" w:rsidRPr="00EC0AA9" w:rsidRDefault="00384C12" w:rsidP="00EC0AA9">
      <w:pPr>
        <w:ind w:left="851" w:right="899"/>
        <w:jc w:val="both"/>
        <w:rPr>
          <w:rFonts w:ascii="Palatino Linotype" w:hAnsi="Palatino Linotype" w:cs="Arial"/>
          <w:i/>
          <w:sz w:val="22"/>
          <w:szCs w:val="22"/>
        </w:rPr>
      </w:pPr>
      <w:r w:rsidRPr="00EC0AA9">
        <w:rPr>
          <w:rFonts w:ascii="Palatino Linotype" w:hAnsi="Palatino Linotype" w:cs="Arial"/>
          <w:b/>
          <w:i/>
          <w:sz w:val="22"/>
          <w:szCs w:val="22"/>
        </w:rPr>
        <w:t>XX.</w:t>
      </w:r>
      <w:r w:rsidRPr="00EC0AA9">
        <w:rPr>
          <w:rFonts w:ascii="Palatino Linotype" w:hAnsi="Palatino Linotype" w:cs="Arial"/>
          <w:i/>
          <w:sz w:val="22"/>
          <w:szCs w:val="22"/>
        </w:rPr>
        <w:t xml:space="preserve"> </w:t>
      </w:r>
      <w:r w:rsidRPr="00EC0AA9">
        <w:rPr>
          <w:rFonts w:ascii="Palatino Linotype" w:hAnsi="Palatino Linotype" w:cs="Arial"/>
          <w:b/>
          <w:i/>
          <w:sz w:val="22"/>
          <w:szCs w:val="22"/>
        </w:rPr>
        <w:t>Información clasificada:</w:t>
      </w:r>
      <w:r w:rsidRPr="00EC0AA9">
        <w:rPr>
          <w:rFonts w:ascii="Palatino Linotype" w:hAnsi="Palatino Linotype" w:cs="Arial"/>
          <w:i/>
          <w:sz w:val="22"/>
          <w:szCs w:val="22"/>
        </w:rPr>
        <w:t xml:space="preserve"> Aquella considerada por la presente Ley como reservada o confidencial; </w:t>
      </w:r>
    </w:p>
    <w:p w14:paraId="1FF56CFC" w14:textId="77777777" w:rsidR="00384C12" w:rsidRPr="00EC0AA9" w:rsidRDefault="00384C12" w:rsidP="00EC0AA9">
      <w:pPr>
        <w:ind w:left="851" w:right="899"/>
        <w:jc w:val="both"/>
        <w:rPr>
          <w:rFonts w:ascii="Palatino Linotype" w:hAnsi="Palatino Linotype" w:cs="Arial"/>
          <w:i/>
          <w:sz w:val="22"/>
          <w:szCs w:val="22"/>
        </w:rPr>
      </w:pPr>
      <w:r w:rsidRPr="00EC0AA9">
        <w:rPr>
          <w:rFonts w:ascii="Palatino Linotype" w:hAnsi="Palatino Linotype" w:cs="Arial"/>
          <w:b/>
          <w:i/>
          <w:sz w:val="22"/>
          <w:szCs w:val="22"/>
        </w:rPr>
        <w:t>XXI.</w:t>
      </w:r>
      <w:r w:rsidRPr="00EC0AA9">
        <w:rPr>
          <w:rFonts w:ascii="Palatino Linotype" w:hAnsi="Palatino Linotype" w:cs="Arial"/>
          <w:i/>
          <w:sz w:val="22"/>
          <w:szCs w:val="22"/>
        </w:rPr>
        <w:t xml:space="preserve"> </w:t>
      </w:r>
      <w:r w:rsidRPr="00EC0AA9">
        <w:rPr>
          <w:rFonts w:ascii="Palatino Linotype" w:hAnsi="Palatino Linotype" w:cs="Arial"/>
          <w:b/>
          <w:i/>
          <w:sz w:val="22"/>
          <w:szCs w:val="22"/>
        </w:rPr>
        <w:t>Información confidencial</w:t>
      </w:r>
      <w:r w:rsidRPr="00EC0AA9">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562D019" w14:textId="77777777" w:rsidR="00384C12" w:rsidRPr="00EC0AA9" w:rsidRDefault="00384C12" w:rsidP="00EC0AA9">
      <w:pPr>
        <w:ind w:left="851" w:right="899"/>
        <w:jc w:val="both"/>
        <w:rPr>
          <w:rFonts w:ascii="Palatino Linotype" w:hAnsi="Palatino Linotype" w:cs="Arial"/>
          <w:i/>
          <w:sz w:val="22"/>
          <w:szCs w:val="22"/>
        </w:rPr>
      </w:pPr>
      <w:r w:rsidRPr="00EC0AA9">
        <w:rPr>
          <w:rFonts w:ascii="Palatino Linotype" w:hAnsi="Palatino Linotype" w:cs="Arial"/>
          <w:b/>
          <w:i/>
          <w:sz w:val="22"/>
          <w:szCs w:val="22"/>
        </w:rPr>
        <w:t>XLV. Versión pública:</w:t>
      </w:r>
      <w:r w:rsidRPr="00EC0AA9">
        <w:rPr>
          <w:rFonts w:ascii="Palatino Linotype" w:hAnsi="Palatino Linotype" w:cs="Arial"/>
          <w:i/>
          <w:sz w:val="22"/>
          <w:szCs w:val="22"/>
        </w:rPr>
        <w:t xml:space="preserve"> Documento en el que se elimine, suprime o borra la información clasificada como reservada o confidencial para permitir su acceso. </w:t>
      </w:r>
    </w:p>
    <w:p w14:paraId="5AD60CAC" w14:textId="77777777" w:rsidR="00384C12" w:rsidRPr="00EC0AA9" w:rsidRDefault="00384C12" w:rsidP="00EC0AA9">
      <w:pPr>
        <w:ind w:left="851" w:right="899"/>
        <w:jc w:val="both"/>
        <w:rPr>
          <w:rFonts w:ascii="Palatino Linotype" w:hAnsi="Palatino Linotype" w:cs="Arial"/>
          <w:i/>
          <w:sz w:val="22"/>
          <w:szCs w:val="22"/>
        </w:rPr>
      </w:pPr>
      <w:r w:rsidRPr="00EC0AA9">
        <w:rPr>
          <w:rFonts w:ascii="Palatino Linotype" w:hAnsi="Palatino Linotype" w:cs="Arial"/>
          <w:b/>
          <w:i/>
          <w:sz w:val="22"/>
          <w:szCs w:val="22"/>
        </w:rPr>
        <w:t>Artículo 51.</w:t>
      </w:r>
      <w:r w:rsidRPr="00EC0AA9">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C0AA9">
        <w:rPr>
          <w:rFonts w:ascii="Palatino Linotype" w:hAnsi="Palatino Linotype" w:cs="Arial"/>
          <w:b/>
          <w:i/>
          <w:sz w:val="22"/>
          <w:szCs w:val="22"/>
        </w:rPr>
        <w:t xml:space="preserve">y tendrá la responsabilidad de verificar en cada caso que la misma no sea confidencial o reservada. </w:t>
      </w:r>
      <w:r w:rsidRPr="00EC0AA9">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60B10829" w14:textId="77777777" w:rsidR="00384C12" w:rsidRPr="00EC0AA9" w:rsidRDefault="00384C12" w:rsidP="00EC0AA9">
      <w:pPr>
        <w:ind w:left="851" w:right="899"/>
        <w:jc w:val="both"/>
        <w:rPr>
          <w:rFonts w:ascii="Palatino Linotype" w:hAnsi="Palatino Linotype" w:cs="Arial"/>
          <w:i/>
          <w:sz w:val="22"/>
          <w:szCs w:val="22"/>
        </w:rPr>
      </w:pPr>
      <w:r w:rsidRPr="00EC0AA9">
        <w:rPr>
          <w:rFonts w:ascii="Palatino Linotype" w:hAnsi="Palatino Linotype" w:cs="Arial"/>
          <w:b/>
          <w:i/>
          <w:sz w:val="22"/>
          <w:szCs w:val="22"/>
        </w:rPr>
        <w:t>Artículo 52.</w:t>
      </w:r>
      <w:r w:rsidRPr="00EC0AA9">
        <w:rPr>
          <w:rFonts w:ascii="Palatino Linotype" w:hAnsi="Palatino Linotype" w:cs="Arial"/>
          <w:i/>
          <w:sz w:val="22"/>
          <w:szCs w:val="22"/>
        </w:rPr>
        <w:t xml:space="preserve"> Las solicitudes de acceso a la información y las respuestas que se les dé, incluyendo, en su caso, </w:t>
      </w:r>
      <w:r w:rsidRPr="00EC0AA9">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EC0AA9">
        <w:rPr>
          <w:rFonts w:ascii="Palatino Linotype" w:hAnsi="Palatino Linotype" w:cs="Arial"/>
          <w:i/>
          <w:sz w:val="22"/>
          <w:szCs w:val="22"/>
        </w:rPr>
        <w:t>, siempre y cuando la resolución de referencia se someta a un proceso de disociación, es decir, no haga identificable al titular de tales datos personales.</w:t>
      </w:r>
      <w:r w:rsidRPr="00EC0AA9">
        <w:rPr>
          <w:rFonts w:ascii="Palatino Linotype" w:hAnsi="Palatino Linotype" w:cs="Arial"/>
          <w:bCs/>
          <w:i/>
          <w:noProof/>
          <w:sz w:val="22"/>
          <w:szCs w:val="22"/>
        </w:rPr>
        <w:t>”</w:t>
      </w:r>
    </w:p>
    <w:p w14:paraId="0292F965" w14:textId="77777777" w:rsidR="00384C12" w:rsidRPr="00EC0AA9" w:rsidRDefault="00384C12" w:rsidP="00EC0AA9">
      <w:pPr>
        <w:ind w:right="899" w:firstLine="708"/>
        <w:jc w:val="both"/>
        <w:rPr>
          <w:rFonts w:ascii="Palatino Linotype" w:hAnsi="Palatino Linotype" w:cs="Arial"/>
          <w:sz w:val="22"/>
          <w:szCs w:val="22"/>
        </w:rPr>
      </w:pPr>
      <w:r w:rsidRPr="00EC0AA9">
        <w:rPr>
          <w:rFonts w:ascii="Palatino Linotype" w:hAnsi="Palatino Linotype" w:cs="Arial"/>
          <w:sz w:val="22"/>
          <w:szCs w:val="22"/>
        </w:rPr>
        <w:t>(Énfasis añadido)</w:t>
      </w:r>
    </w:p>
    <w:p w14:paraId="64458142" w14:textId="77777777" w:rsidR="00384C12" w:rsidRPr="00EC0AA9" w:rsidRDefault="00384C12" w:rsidP="00EC0AA9">
      <w:pPr>
        <w:spacing w:line="360" w:lineRule="auto"/>
        <w:jc w:val="both"/>
        <w:rPr>
          <w:rFonts w:ascii="Palatino Linotype" w:hAnsi="Palatino Linotype" w:cs="Arial"/>
        </w:rPr>
      </w:pPr>
      <w:r w:rsidRPr="00EC0AA9">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97CB6C3" w14:textId="77777777" w:rsidR="00384C12" w:rsidRPr="00EC0AA9" w:rsidRDefault="00384C12" w:rsidP="00EC0AA9">
      <w:pPr>
        <w:jc w:val="both"/>
        <w:rPr>
          <w:rFonts w:ascii="Palatino Linotype" w:hAnsi="Palatino Linotype" w:cs="Arial"/>
        </w:rPr>
      </w:pPr>
    </w:p>
    <w:p w14:paraId="207C455C" w14:textId="77777777" w:rsidR="00384C12" w:rsidRPr="00EC0AA9" w:rsidRDefault="00384C12" w:rsidP="00EC0AA9">
      <w:pPr>
        <w:ind w:left="851" w:right="902"/>
        <w:jc w:val="both"/>
        <w:rPr>
          <w:rFonts w:ascii="Palatino Linotype" w:eastAsia="Arial Unicode MS" w:hAnsi="Palatino Linotype" w:cs="Arial"/>
          <w:i/>
          <w:sz w:val="22"/>
          <w:szCs w:val="22"/>
        </w:rPr>
      </w:pPr>
      <w:r w:rsidRPr="00EC0AA9">
        <w:rPr>
          <w:rFonts w:ascii="Palatino Linotype" w:eastAsia="Arial Unicode MS" w:hAnsi="Palatino Linotype" w:cs="Arial"/>
          <w:b/>
          <w:i/>
          <w:sz w:val="22"/>
          <w:szCs w:val="22"/>
        </w:rPr>
        <w:t>“Artículo 22.</w:t>
      </w:r>
      <w:r w:rsidRPr="00EC0AA9">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A7DB130" w14:textId="77777777" w:rsidR="00384C12" w:rsidRPr="00EC0AA9" w:rsidRDefault="00384C12" w:rsidP="00EC0AA9">
      <w:pPr>
        <w:ind w:left="851" w:right="902"/>
        <w:jc w:val="both"/>
        <w:rPr>
          <w:rFonts w:ascii="Palatino Linotype" w:eastAsia="Arial Unicode MS" w:hAnsi="Palatino Linotype" w:cs="Arial"/>
          <w:i/>
          <w:sz w:val="22"/>
          <w:szCs w:val="22"/>
        </w:rPr>
      </w:pPr>
      <w:r w:rsidRPr="00EC0AA9">
        <w:rPr>
          <w:rFonts w:ascii="Palatino Linotype" w:eastAsia="Arial Unicode MS" w:hAnsi="Palatino Linotype" w:cs="Arial"/>
          <w:b/>
          <w:i/>
          <w:sz w:val="22"/>
          <w:szCs w:val="22"/>
        </w:rPr>
        <w:t>Artículo 38.</w:t>
      </w:r>
      <w:r w:rsidRPr="00EC0AA9">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EC0AA9">
        <w:rPr>
          <w:rFonts w:ascii="Palatino Linotype" w:eastAsia="Arial Unicode MS" w:hAnsi="Palatino Linotype" w:cs="Arial"/>
          <w:b/>
          <w:i/>
          <w:sz w:val="22"/>
          <w:szCs w:val="22"/>
        </w:rPr>
        <w:t>”</w:t>
      </w:r>
      <w:r w:rsidRPr="00EC0AA9">
        <w:rPr>
          <w:rFonts w:ascii="Palatino Linotype" w:eastAsia="Arial Unicode MS" w:hAnsi="Palatino Linotype" w:cs="Arial"/>
          <w:i/>
          <w:sz w:val="22"/>
          <w:szCs w:val="22"/>
        </w:rPr>
        <w:t xml:space="preserve"> </w:t>
      </w:r>
    </w:p>
    <w:p w14:paraId="23036551" w14:textId="77777777" w:rsidR="00384C12" w:rsidRPr="00EC0AA9" w:rsidRDefault="00384C12" w:rsidP="00EC0AA9">
      <w:pPr>
        <w:ind w:left="851" w:right="850"/>
        <w:jc w:val="both"/>
        <w:rPr>
          <w:rFonts w:ascii="Palatino Linotype" w:eastAsia="Arial Unicode MS" w:hAnsi="Palatino Linotype" w:cs="Arial"/>
          <w:i/>
          <w:sz w:val="22"/>
          <w:szCs w:val="22"/>
        </w:rPr>
      </w:pPr>
    </w:p>
    <w:p w14:paraId="545296F6" w14:textId="77777777" w:rsidR="00384C12" w:rsidRPr="00EC0AA9" w:rsidRDefault="00384C12" w:rsidP="00EC0AA9">
      <w:pPr>
        <w:spacing w:line="360" w:lineRule="auto"/>
        <w:jc w:val="both"/>
        <w:rPr>
          <w:rFonts w:ascii="Palatino Linotype" w:hAnsi="Palatino Linotype" w:cs="Arial"/>
        </w:rPr>
      </w:pPr>
      <w:r w:rsidRPr="00EC0AA9">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F764097" w14:textId="77777777" w:rsidR="00384C12" w:rsidRPr="00EC0AA9" w:rsidRDefault="00384C12" w:rsidP="00EC0AA9">
      <w:pPr>
        <w:spacing w:line="360" w:lineRule="auto"/>
        <w:jc w:val="both"/>
        <w:rPr>
          <w:rFonts w:ascii="Palatino Linotype" w:hAnsi="Palatino Linotype" w:cs="Arial"/>
        </w:rPr>
      </w:pPr>
    </w:p>
    <w:p w14:paraId="7698F044" w14:textId="77777777" w:rsidR="00384C12" w:rsidRPr="00EC0AA9" w:rsidRDefault="00384C12" w:rsidP="00EC0AA9">
      <w:pPr>
        <w:spacing w:line="360" w:lineRule="auto"/>
        <w:jc w:val="both"/>
        <w:rPr>
          <w:rFonts w:ascii="Palatino Linotype" w:hAnsi="Palatino Linotype" w:cs="Arial"/>
        </w:rPr>
      </w:pPr>
      <w:r w:rsidRPr="00EC0AA9">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EC0AA9">
        <w:rPr>
          <w:rFonts w:ascii="Palatino Linotype" w:eastAsia="Arial Unicode MS" w:hAnsi="Palatino Linotype" w:cs="Arial"/>
        </w:rPr>
        <w:t xml:space="preserve"> que debe ser protegida por </w:t>
      </w:r>
      <w:r w:rsidRPr="00EC0AA9">
        <w:rPr>
          <w:rFonts w:ascii="Palatino Linotype" w:eastAsia="Arial Unicode MS" w:hAnsi="Palatino Linotype" w:cs="Arial"/>
          <w:b/>
        </w:rPr>
        <w:t>EL SUJETO OBLIGADO,</w:t>
      </w:r>
      <w:r w:rsidRPr="00EC0AA9">
        <w:rPr>
          <w:rFonts w:ascii="Palatino Linotype" w:eastAsia="Arial Unicode MS" w:hAnsi="Palatino Linotype" w:cs="Arial"/>
        </w:rPr>
        <w:t xml:space="preserve"> por lo </w:t>
      </w:r>
      <w:r w:rsidRPr="00EC0AA9">
        <w:rPr>
          <w:rFonts w:ascii="Palatino Linotype" w:hAnsi="Palatino Linotype" w:cs="Arial"/>
        </w:rPr>
        <w:t>que, todo dato personal susceptible de clasificación debe ser protegido.</w:t>
      </w:r>
    </w:p>
    <w:p w14:paraId="64465404" w14:textId="77777777" w:rsidR="00384C12" w:rsidRPr="00EC0AA9" w:rsidRDefault="00384C12" w:rsidP="00EC0AA9">
      <w:pPr>
        <w:spacing w:line="360" w:lineRule="auto"/>
        <w:jc w:val="both"/>
        <w:rPr>
          <w:rFonts w:ascii="Palatino Linotype" w:hAnsi="Palatino Linotype" w:cs="Arial"/>
        </w:rPr>
      </w:pPr>
    </w:p>
    <w:p w14:paraId="79120C45" w14:textId="77777777" w:rsidR="00384C12" w:rsidRPr="00EC0AA9" w:rsidRDefault="00384C12" w:rsidP="00EC0AA9">
      <w:pPr>
        <w:spacing w:line="360" w:lineRule="auto"/>
        <w:jc w:val="both"/>
        <w:rPr>
          <w:rFonts w:ascii="Palatino Linotype" w:hAnsi="Palatino Linotype" w:cs="Arial"/>
        </w:rPr>
      </w:pPr>
      <w:r w:rsidRPr="00EC0AA9">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46DA5B5" w14:textId="77777777" w:rsidR="00384C12" w:rsidRPr="00EC0AA9" w:rsidRDefault="00384C12" w:rsidP="00EC0AA9">
      <w:pPr>
        <w:spacing w:line="360" w:lineRule="auto"/>
        <w:jc w:val="both"/>
        <w:rPr>
          <w:rFonts w:ascii="Palatino Linotype" w:hAnsi="Palatino Linotype" w:cs="Arial"/>
        </w:rPr>
      </w:pPr>
    </w:p>
    <w:p w14:paraId="3D7AE74C" w14:textId="77777777" w:rsidR="00384C12" w:rsidRPr="00EC0AA9" w:rsidRDefault="00384C12" w:rsidP="00EC0AA9">
      <w:pPr>
        <w:spacing w:line="360" w:lineRule="auto"/>
        <w:jc w:val="both"/>
        <w:rPr>
          <w:rFonts w:ascii="Palatino Linotype" w:hAnsi="Palatino Linotype" w:cs="Arial"/>
        </w:rPr>
      </w:pPr>
      <w:r w:rsidRPr="00EC0AA9">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5D6C307" w14:textId="77777777" w:rsidR="00384C12" w:rsidRPr="00EC0AA9" w:rsidRDefault="00384C12" w:rsidP="00EC0AA9">
      <w:pPr>
        <w:spacing w:line="360" w:lineRule="auto"/>
        <w:ind w:left="851" w:right="902"/>
        <w:jc w:val="both"/>
        <w:rPr>
          <w:rFonts w:ascii="Palatino Linotype" w:hAnsi="Palatino Linotype" w:cs="Arial"/>
          <w:i/>
          <w:sz w:val="22"/>
          <w:szCs w:val="22"/>
        </w:rPr>
      </w:pPr>
      <w:r w:rsidRPr="00EC0AA9">
        <w:rPr>
          <w:rFonts w:ascii="Palatino Linotype" w:hAnsi="Palatino Linotype" w:cs="Arial"/>
          <w:b/>
          <w:i/>
          <w:sz w:val="22"/>
          <w:szCs w:val="22"/>
        </w:rPr>
        <w:lastRenderedPageBreak/>
        <w:t xml:space="preserve">“Artículo 49. </w:t>
      </w:r>
      <w:r w:rsidRPr="00EC0AA9">
        <w:rPr>
          <w:rFonts w:ascii="Palatino Linotype" w:hAnsi="Palatino Linotype" w:cs="Arial"/>
          <w:i/>
          <w:sz w:val="22"/>
          <w:szCs w:val="22"/>
        </w:rPr>
        <w:t>Los Comités de Transparencia tendrán las siguientes atribuciones:</w:t>
      </w:r>
    </w:p>
    <w:p w14:paraId="7B04C7A5" w14:textId="77777777" w:rsidR="00384C12" w:rsidRPr="00EC0AA9" w:rsidRDefault="00384C12" w:rsidP="00EC0AA9">
      <w:pPr>
        <w:spacing w:line="360" w:lineRule="auto"/>
        <w:ind w:left="851" w:right="902"/>
        <w:jc w:val="both"/>
        <w:rPr>
          <w:rFonts w:ascii="Palatino Linotype" w:hAnsi="Palatino Linotype" w:cs="Arial"/>
          <w:i/>
          <w:sz w:val="22"/>
          <w:szCs w:val="22"/>
        </w:rPr>
      </w:pPr>
      <w:r w:rsidRPr="00EC0AA9">
        <w:rPr>
          <w:rFonts w:ascii="Palatino Linotype" w:hAnsi="Palatino Linotype" w:cs="Arial"/>
          <w:i/>
          <w:sz w:val="22"/>
          <w:szCs w:val="22"/>
        </w:rPr>
        <w:t>VIII. Aprobar, modificar o revocar la clasificación de la información;</w:t>
      </w:r>
    </w:p>
    <w:p w14:paraId="016BF88F" w14:textId="77777777" w:rsidR="00384C12" w:rsidRPr="00EC0AA9" w:rsidRDefault="00384C12" w:rsidP="00EC0AA9">
      <w:pPr>
        <w:spacing w:line="360" w:lineRule="auto"/>
        <w:ind w:left="851" w:right="902"/>
        <w:jc w:val="both"/>
        <w:rPr>
          <w:rFonts w:ascii="Palatino Linotype" w:hAnsi="Palatino Linotype" w:cs="Arial"/>
          <w:i/>
          <w:sz w:val="22"/>
          <w:szCs w:val="22"/>
        </w:rPr>
      </w:pPr>
      <w:r w:rsidRPr="00EC0AA9">
        <w:rPr>
          <w:rFonts w:ascii="Palatino Linotype" w:hAnsi="Palatino Linotype" w:cs="Arial"/>
          <w:b/>
          <w:i/>
          <w:sz w:val="22"/>
          <w:szCs w:val="22"/>
        </w:rPr>
        <w:t xml:space="preserve">Artículo 132. </w:t>
      </w:r>
      <w:r w:rsidRPr="00EC0AA9">
        <w:rPr>
          <w:rFonts w:ascii="Palatino Linotype" w:hAnsi="Palatino Linotype" w:cs="Arial"/>
          <w:i/>
          <w:sz w:val="22"/>
          <w:szCs w:val="22"/>
        </w:rPr>
        <w:t>La clasificación de la información se llevará a cabo en el momento en que:</w:t>
      </w:r>
    </w:p>
    <w:p w14:paraId="262B43EB" w14:textId="77777777" w:rsidR="00384C12" w:rsidRPr="00EC0AA9" w:rsidRDefault="00384C12" w:rsidP="00EC0AA9">
      <w:pPr>
        <w:spacing w:line="360" w:lineRule="auto"/>
        <w:ind w:left="851" w:right="899"/>
        <w:jc w:val="both"/>
        <w:rPr>
          <w:rFonts w:ascii="Palatino Linotype" w:hAnsi="Palatino Linotype" w:cs="Arial"/>
          <w:i/>
          <w:sz w:val="22"/>
          <w:szCs w:val="22"/>
        </w:rPr>
      </w:pPr>
      <w:r w:rsidRPr="00EC0AA9">
        <w:rPr>
          <w:rFonts w:ascii="Palatino Linotype" w:hAnsi="Palatino Linotype" w:cs="Arial"/>
          <w:i/>
          <w:sz w:val="22"/>
          <w:szCs w:val="22"/>
        </w:rPr>
        <w:t>I. Se reciba una solicitud de acceso a la información;</w:t>
      </w:r>
    </w:p>
    <w:p w14:paraId="64D94A2A" w14:textId="77777777" w:rsidR="00384C12" w:rsidRPr="00EC0AA9" w:rsidRDefault="00384C12" w:rsidP="00EC0AA9">
      <w:pPr>
        <w:spacing w:line="360" w:lineRule="auto"/>
        <w:ind w:left="851" w:right="899"/>
        <w:jc w:val="both"/>
        <w:rPr>
          <w:rFonts w:ascii="Palatino Linotype" w:hAnsi="Palatino Linotype" w:cs="Arial"/>
          <w:i/>
          <w:sz w:val="22"/>
          <w:szCs w:val="22"/>
        </w:rPr>
      </w:pPr>
      <w:r w:rsidRPr="00EC0AA9">
        <w:rPr>
          <w:rFonts w:ascii="Palatino Linotype" w:hAnsi="Palatino Linotype" w:cs="Arial"/>
          <w:i/>
          <w:sz w:val="22"/>
          <w:szCs w:val="22"/>
        </w:rPr>
        <w:t>II. Se determine mediante resolución de autoridad competente; o</w:t>
      </w:r>
    </w:p>
    <w:p w14:paraId="7EFF10A6" w14:textId="77777777" w:rsidR="00384C12" w:rsidRPr="00EC0AA9" w:rsidRDefault="00384C12" w:rsidP="00EC0AA9">
      <w:pPr>
        <w:spacing w:line="360" w:lineRule="auto"/>
        <w:ind w:left="851" w:right="899"/>
        <w:jc w:val="both"/>
        <w:rPr>
          <w:rFonts w:ascii="Palatino Linotype" w:hAnsi="Palatino Linotype" w:cs="Arial"/>
          <w:i/>
          <w:sz w:val="22"/>
          <w:szCs w:val="22"/>
        </w:rPr>
      </w:pPr>
      <w:r w:rsidRPr="00EC0AA9">
        <w:rPr>
          <w:rFonts w:ascii="Palatino Linotype" w:hAnsi="Palatino Linotype" w:cs="Arial"/>
          <w:i/>
          <w:sz w:val="22"/>
          <w:szCs w:val="22"/>
        </w:rPr>
        <w:t>III. Se generen versiones públicas para dar cumplimiento a las obligaciones de transparencia previstas en esta Ley.</w:t>
      </w:r>
    </w:p>
    <w:p w14:paraId="1A2E9B4E" w14:textId="77777777" w:rsidR="00384C12" w:rsidRPr="00EC0AA9" w:rsidRDefault="00384C12" w:rsidP="00EC0AA9">
      <w:pPr>
        <w:spacing w:line="360" w:lineRule="auto"/>
        <w:ind w:left="851" w:right="899"/>
        <w:jc w:val="both"/>
        <w:rPr>
          <w:rFonts w:ascii="Palatino Linotype" w:hAnsi="Palatino Linotype" w:cs="Arial"/>
          <w:i/>
          <w:sz w:val="22"/>
          <w:szCs w:val="22"/>
        </w:rPr>
      </w:pPr>
      <w:r w:rsidRPr="00EC0AA9">
        <w:rPr>
          <w:rFonts w:ascii="Palatino Linotype" w:hAnsi="Palatino Linotype" w:cs="Arial"/>
          <w:b/>
          <w:i/>
          <w:sz w:val="22"/>
          <w:szCs w:val="22"/>
        </w:rPr>
        <w:t>Segundo</w:t>
      </w:r>
      <w:r w:rsidRPr="00EC0AA9">
        <w:rPr>
          <w:rFonts w:ascii="Palatino Linotype" w:hAnsi="Palatino Linotype" w:cs="Arial"/>
          <w:i/>
          <w:sz w:val="22"/>
          <w:szCs w:val="22"/>
        </w:rPr>
        <w:t>.- Para efectos de los presentes Lineamientos Generales, se entenderá por:</w:t>
      </w:r>
    </w:p>
    <w:p w14:paraId="0908C180" w14:textId="77777777" w:rsidR="00384C12" w:rsidRPr="00EC0AA9" w:rsidRDefault="00384C12" w:rsidP="00EC0AA9">
      <w:pPr>
        <w:spacing w:line="360" w:lineRule="auto"/>
        <w:ind w:left="851" w:right="899"/>
        <w:jc w:val="both"/>
        <w:rPr>
          <w:rFonts w:ascii="Palatino Linotype" w:hAnsi="Palatino Linotype" w:cs="Arial"/>
          <w:i/>
          <w:sz w:val="22"/>
          <w:szCs w:val="22"/>
        </w:rPr>
      </w:pPr>
      <w:r w:rsidRPr="00EC0AA9">
        <w:rPr>
          <w:rFonts w:ascii="Palatino Linotype" w:hAnsi="Palatino Linotype" w:cs="Arial"/>
          <w:i/>
          <w:sz w:val="22"/>
          <w:szCs w:val="22"/>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FF40DE3" w14:textId="77777777" w:rsidR="00384C12" w:rsidRPr="00EC0AA9" w:rsidRDefault="00384C12" w:rsidP="00EC0AA9">
      <w:pPr>
        <w:spacing w:line="360" w:lineRule="auto"/>
        <w:ind w:left="851" w:right="899"/>
        <w:jc w:val="both"/>
        <w:rPr>
          <w:rFonts w:ascii="Palatino Linotype" w:hAnsi="Palatino Linotype" w:cs="Arial"/>
          <w:i/>
          <w:sz w:val="22"/>
          <w:szCs w:val="22"/>
        </w:rPr>
      </w:pPr>
      <w:r w:rsidRPr="00EC0AA9">
        <w:rPr>
          <w:rFonts w:ascii="Palatino Linotype" w:hAnsi="Palatino Linotype" w:cs="Arial"/>
          <w:b/>
          <w:i/>
          <w:sz w:val="22"/>
          <w:szCs w:val="22"/>
        </w:rPr>
        <w:t>Cuarto</w:t>
      </w:r>
      <w:r w:rsidRPr="00EC0AA9">
        <w:rPr>
          <w:rFonts w:ascii="Palatino Linotype" w:hAnsi="Palatino Linotype" w:cs="Arial"/>
          <w:i/>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0C594C2" w14:textId="77777777" w:rsidR="00384C12" w:rsidRPr="00EC0AA9" w:rsidRDefault="00384C12" w:rsidP="00EC0AA9">
      <w:pPr>
        <w:spacing w:line="360" w:lineRule="auto"/>
        <w:ind w:left="851" w:right="899"/>
        <w:jc w:val="both"/>
        <w:rPr>
          <w:rFonts w:ascii="Palatino Linotype" w:hAnsi="Palatino Linotype" w:cs="Arial"/>
          <w:i/>
          <w:sz w:val="22"/>
          <w:szCs w:val="22"/>
        </w:rPr>
      </w:pPr>
      <w:r w:rsidRPr="00EC0AA9">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6E8A167" w14:textId="77777777" w:rsidR="00384C12" w:rsidRPr="00EC0AA9" w:rsidRDefault="00384C12" w:rsidP="00EC0AA9">
      <w:pPr>
        <w:spacing w:line="360" w:lineRule="auto"/>
        <w:ind w:left="851" w:right="899"/>
        <w:jc w:val="both"/>
        <w:rPr>
          <w:rFonts w:ascii="Palatino Linotype" w:hAnsi="Palatino Linotype" w:cs="Arial"/>
          <w:i/>
          <w:sz w:val="22"/>
          <w:szCs w:val="22"/>
        </w:rPr>
      </w:pPr>
      <w:r w:rsidRPr="00EC0AA9">
        <w:rPr>
          <w:rFonts w:ascii="Palatino Linotype" w:hAnsi="Palatino Linotype" w:cs="Arial"/>
          <w:b/>
          <w:i/>
          <w:sz w:val="22"/>
          <w:szCs w:val="22"/>
        </w:rPr>
        <w:t>Quinto</w:t>
      </w:r>
      <w:r w:rsidRPr="00EC0AA9">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w:t>
      </w:r>
      <w:r w:rsidRPr="00EC0AA9">
        <w:rPr>
          <w:rFonts w:ascii="Palatino Linotype" w:hAnsi="Palatino Linotype" w:cs="Arial"/>
          <w:i/>
          <w:sz w:val="22"/>
          <w:szCs w:val="22"/>
        </w:rPr>
        <w:lastRenderedPageBreak/>
        <w:t>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584DED5" w14:textId="77777777" w:rsidR="00384C12" w:rsidRPr="00EC0AA9" w:rsidRDefault="00384C12" w:rsidP="00EC0AA9">
      <w:pPr>
        <w:spacing w:line="360" w:lineRule="auto"/>
        <w:ind w:left="851" w:right="899"/>
        <w:jc w:val="both"/>
        <w:rPr>
          <w:rFonts w:ascii="Palatino Linotype" w:hAnsi="Palatino Linotype" w:cs="Arial"/>
          <w:i/>
          <w:sz w:val="22"/>
          <w:szCs w:val="22"/>
        </w:rPr>
      </w:pPr>
      <w:r w:rsidRPr="00EC0AA9">
        <w:rPr>
          <w:rFonts w:ascii="Palatino Linotype" w:hAnsi="Palatino Linotype" w:cs="Arial"/>
          <w:b/>
          <w:i/>
          <w:sz w:val="22"/>
          <w:szCs w:val="22"/>
        </w:rPr>
        <w:t>Séptimo</w:t>
      </w:r>
      <w:r w:rsidRPr="00EC0AA9">
        <w:rPr>
          <w:rFonts w:ascii="Palatino Linotype" w:hAnsi="Palatino Linotype" w:cs="Arial"/>
          <w:i/>
          <w:sz w:val="22"/>
          <w:szCs w:val="22"/>
        </w:rPr>
        <w:t>. La clasificaci6n de la informaci6n se llevara a cabo en el momento en que:</w:t>
      </w:r>
    </w:p>
    <w:p w14:paraId="6565794D" w14:textId="77777777" w:rsidR="00384C12" w:rsidRPr="00EC0AA9" w:rsidRDefault="00384C12" w:rsidP="00EC0AA9">
      <w:pPr>
        <w:spacing w:line="360" w:lineRule="auto"/>
        <w:ind w:left="851" w:right="899"/>
        <w:jc w:val="both"/>
        <w:rPr>
          <w:rFonts w:ascii="Palatino Linotype" w:hAnsi="Palatino Linotype" w:cs="Arial"/>
          <w:i/>
          <w:sz w:val="22"/>
          <w:szCs w:val="22"/>
        </w:rPr>
      </w:pPr>
      <w:r w:rsidRPr="00EC0AA9">
        <w:rPr>
          <w:rFonts w:ascii="Palatino Linotype" w:hAnsi="Palatino Linotype" w:cs="Arial"/>
          <w:i/>
          <w:sz w:val="22"/>
          <w:szCs w:val="22"/>
        </w:rPr>
        <w:t>I. Se reciba una solicitud de acceso a la información;</w:t>
      </w:r>
    </w:p>
    <w:p w14:paraId="00EB7CB5" w14:textId="77777777" w:rsidR="00384C12" w:rsidRPr="00EC0AA9" w:rsidRDefault="00384C12" w:rsidP="00EC0AA9">
      <w:pPr>
        <w:spacing w:line="360" w:lineRule="auto"/>
        <w:ind w:left="851" w:right="899"/>
        <w:jc w:val="both"/>
        <w:rPr>
          <w:rFonts w:ascii="Palatino Linotype" w:hAnsi="Palatino Linotype" w:cs="Arial"/>
          <w:i/>
          <w:sz w:val="22"/>
          <w:szCs w:val="22"/>
        </w:rPr>
      </w:pPr>
      <w:r w:rsidRPr="00EC0AA9">
        <w:rPr>
          <w:rFonts w:ascii="Palatino Linotype" w:hAnsi="Palatino Linotype" w:cs="Arial"/>
          <w:i/>
          <w:sz w:val="22"/>
          <w:szCs w:val="22"/>
        </w:rPr>
        <w:t>II. Se determine mediante resolución del Comité de Transparencia, el Órgano</w:t>
      </w:r>
    </w:p>
    <w:p w14:paraId="651BD749" w14:textId="77777777" w:rsidR="00384C12" w:rsidRPr="00EC0AA9" w:rsidRDefault="00384C12" w:rsidP="00EC0AA9">
      <w:pPr>
        <w:spacing w:line="360" w:lineRule="auto"/>
        <w:ind w:left="851" w:right="899"/>
        <w:jc w:val="both"/>
        <w:rPr>
          <w:rFonts w:ascii="Palatino Linotype" w:hAnsi="Palatino Linotype" w:cs="Arial"/>
          <w:i/>
          <w:sz w:val="22"/>
          <w:szCs w:val="22"/>
        </w:rPr>
      </w:pPr>
      <w:r w:rsidRPr="00EC0AA9">
        <w:rPr>
          <w:rFonts w:ascii="Palatino Linotype" w:hAnsi="Palatino Linotype" w:cs="Arial"/>
          <w:i/>
          <w:sz w:val="22"/>
          <w:szCs w:val="22"/>
        </w:rPr>
        <w:t>Garante competente, o en cumplimiento a una sentencia del Poder</w:t>
      </w:r>
    </w:p>
    <w:p w14:paraId="781EF9D0" w14:textId="77777777" w:rsidR="00384C12" w:rsidRPr="00EC0AA9" w:rsidRDefault="00384C12" w:rsidP="00EC0AA9">
      <w:pPr>
        <w:spacing w:line="360" w:lineRule="auto"/>
        <w:ind w:left="851" w:right="899"/>
        <w:jc w:val="both"/>
        <w:rPr>
          <w:rFonts w:ascii="Palatino Linotype" w:hAnsi="Palatino Linotype" w:cs="Arial"/>
          <w:i/>
          <w:sz w:val="22"/>
          <w:szCs w:val="22"/>
        </w:rPr>
      </w:pPr>
      <w:r w:rsidRPr="00EC0AA9">
        <w:rPr>
          <w:rFonts w:ascii="Palatino Linotype" w:hAnsi="Palatino Linotype" w:cs="Arial"/>
          <w:i/>
          <w:sz w:val="22"/>
          <w:szCs w:val="22"/>
        </w:rPr>
        <w:t>Judicial; o</w:t>
      </w:r>
    </w:p>
    <w:p w14:paraId="57629440" w14:textId="77777777" w:rsidR="00384C12" w:rsidRPr="00EC0AA9" w:rsidRDefault="00384C12" w:rsidP="00EC0AA9">
      <w:pPr>
        <w:spacing w:line="360" w:lineRule="auto"/>
        <w:ind w:left="851" w:right="899"/>
        <w:jc w:val="both"/>
        <w:rPr>
          <w:rFonts w:ascii="Palatino Linotype" w:hAnsi="Palatino Linotype" w:cs="Arial"/>
          <w:i/>
          <w:sz w:val="22"/>
          <w:szCs w:val="22"/>
        </w:rPr>
      </w:pPr>
      <w:r w:rsidRPr="00EC0AA9">
        <w:rPr>
          <w:rFonts w:ascii="Palatino Linotype" w:hAnsi="Palatino Linotype" w:cs="Arial"/>
          <w:i/>
          <w:sz w:val="22"/>
          <w:szCs w:val="22"/>
        </w:rPr>
        <w:t>III. Se generen versiones públicas para dar cumplimiento a las obligaciones de transparencia previstas en la Ley General, la Ley Federal y las correspondientes de las entidades federativas.</w:t>
      </w:r>
    </w:p>
    <w:p w14:paraId="7BDE4678" w14:textId="77777777" w:rsidR="00384C12" w:rsidRPr="00EC0AA9" w:rsidRDefault="00384C12" w:rsidP="00EC0AA9">
      <w:pPr>
        <w:spacing w:line="360" w:lineRule="auto"/>
        <w:ind w:left="851" w:right="899"/>
        <w:jc w:val="both"/>
        <w:rPr>
          <w:rFonts w:ascii="Palatino Linotype" w:hAnsi="Palatino Linotype" w:cs="Arial"/>
          <w:i/>
          <w:sz w:val="22"/>
          <w:szCs w:val="22"/>
        </w:rPr>
      </w:pPr>
      <w:r w:rsidRPr="00EC0AA9">
        <w:rPr>
          <w:rFonts w:ascii="Palatino Linotype" w:hAnsi="Palatino Linotype" w:cs="Arial"/>
          <w:i/>
          <w:sz w:val="22"/>
          <w:szCs w:val="22"/>
        </w:rPr>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19426707" w14:textId="77777777" w:rsidR="00384C12" w:rsidRPr="00EC0AA9" w:rsidRDefault="00384C12" w:rsidP="00EC0AA9">
      <w:pPr>
        <w:spacing w:line="360" w:lineRule="auto"/>
        <w:ind w:left="851" w:right="899"/>
        <w:jc w:val="both"/>
        <w:rPr>
          <w:rFonts w:ascii="Palatino Linotype" w:hAnsi="Palatino Linotype" w:cs="Arial"/>
          <w:i/>
          <w:sz w:val="22"/>
          <w:szCs w:val="22"/>
        </w:rPr>
      </w:pPr>
      <w:r w:rsidRPr="00EC0AA9">
        <w:rPr>
          <w:rFonts w:ascii="Palatino Linotype" w:hAnsi="Palatino Linotype" w:cs="Arial"/>
          <w:i/>
          <w:sz w:val="22"/>
          <w:szCs w:val="22"/>
        </w:rPr>
        <w:t>Para motivar la clasificaci6n se deberán señalar las razones o circunstancias especiales que lo llevaron a concluir que el caso particular se ajusta al supuesto previsto por la norma legal invocada como fundamento.</w:t>
      </w:r>
    </w:p>
    <w:p w14:paraId="23772DB8" w14:textId="77777777" w:rsidR="00384C12" w:rsidRPr="00EC0AA9" w:rsidRDefault="00384C12" w:rsidP="00EC0AA9">
      <w:pPr>
        <w:spacing w:line="360" w:lineRule="auto"/>
        <w:ind w:left="851" w:right="899"/>
        <w:jc w:val="both"/>
        <w:rPr>
          <w:rFonts w:ascii="Palatino Linotype" w:hAnsi="Palatino Linotype" w:cs="Arial"/>
          <w:i/>
          <w:sz w:val="22"/>
          <w:szCs w:val="22"/>
        </w:rPr>
      </w:pPr>
      <w:r w:rsidRPr="00EC0AA9">
        <w:rPr>
          <w:rFonts w:ascii="Palatino Linotype" w:hAnsi="Palatino Linotype" w:cs="Arial"/>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w:t>
      </w:r>
      <w:r w:rsidRPr="00EC0AA9">
        <w:rPr>
          <w:rFonts w:ascii="Palatino Linotype" w:hAnsi="Palatino Linotype" w:cs="Arial"/>
          <w:i/>
          <w:sz w:val="22"/>
          <w:szCs w:val="22"/>
        </w:rPr>
        <w:lastRenderedPageBreak/>
        <w:t xml:space="preserve">lineamientos, así como las circunstancias que justifican el establecimiento de determinado plazo de reserva. </w:t>
      </w:r>
    </w:p>
    <w:p w14:paraId="2E21ABD5" w14:textId="77777777" w:rsidR="00384C12" w:rsidRPr="00EC0AA9" w:rsidRDefault="00384C12" w:rsidP="00EC0AA9">
      <w:pPr>
        <w:spacing w:line="360" w:lineRule="auto"/>
        <w:ind w:left="851" w:right="899"/>
        <w:jc w:val="both"/>
        <w:rPr>
          <w:rFonts w:ascii="Palatino Linotype" w:hAnsi="Palatino Linotype" w:cs="Arial"/>
          <w:i/>
          <w:sz w:val="22"/>
          <w:szCs w:val="22"/>
        </w:rPr>
      </w:pPr>
      <w:r w:rsidRPr="00EC0AA9">
        <w:rPr>
          <w:rFonts w:ascii="Palatino Linotype" w:hAnsi="Palatino Linotype" w:cs="Arial"/>
          <w:b/>
          <w:i/>
          <w:sz w:val="22"/>
          <w:szCs w:val="22"/>
        </w:rPr>
        <w:t>Noveno</w:t>
      </w:r>
      <w:r w:rsidRPr="00EC0AA9">
        <w:rPr>
          <w:rFonts w:ascii="Palatino Linotype" w:hAnsi="Palatino Linotype" w:cs="Arial"/>
          <w:i/>
          <w:sz w:val="22"/>
          <w:szCs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CC9E8DD" w14:textId="77777777" w:rsidR="00384C12" w:rsidRPr="00EC0AA9" w:rsidRDefault="00384C12" w:rsidP="00EC0AA9">
      <w:pPr>
        <w:spacing w:line="360" w:lineRule="auto"/>
        <w:ind w:left="851" w:right="899"/>
        <w:jc w:val="both"/>
        <w:rPr>
          <w:rFonts w:ascii="Palatino Linotype" w:hAnsi="Palatino Linotype" w:cs="Arial"/>
          <w:i/>
          <w:sz w:val="22"/>
          <w:szCs w:val="22"/>
        </w:rPr>
      </w:pPr>
      <w:r w:rsidRPr="00EC0AA9">
        <w:rPr>
          <w:rFonts w:ascii="Palatino Linotype" w:hAnsi="Palatino Linotype" w:cs="Arial"/>
          <w:b/>
          <w:i/>
          <w:sz w:val="22"/>
          <w:szCs w:val="22"/>
        </w:rPr>
        <w:t>Decimo</w:t>
      </w:r>
      <w:r w:rsidRPr="00EC0AA9">
        <w:rPr>
          <w:rFonts w:ascii="Palatino Linotype" w:hAnsi="Palatino Linotype" w:cs="Arial"/>
          <w:i/>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8F741FF" w14:textId="77777777" w:rsidR="00384C12" w:rsidRPr="00EC0AA9" w:rsidRDefault="00384C12" w:rsidP="00EC0AA9">
      <w:pPr>
        <w:spacing w:line="360" w:lineRule="auto"/>
        <w:ind w:left="851" w:right="899"/>
        <w:jc w:val="both"/>
        <w:rPr>
          <w:rFonts w:ascii="Palatino Linotype" w:hAnsi="Palatino Linotype" w:cs="Arial"/>
          <w:i/>
          <w:sz w:val="22"/>
          <w:szCs w:val="22"/>
        </w:rPr>
      </w:pPr>
      <w:r w:rsidRPr="00EC0AA9">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 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0ABBA10" w14:textId="77777777" w:rsidR="00384C12" w:rsidRPr="00EC0AA9" w:rsidRDefault="00384C12" w:rsidP="00EC0AA9">
      <w:pPr>
        <w:jc w:val="both"/>
        <w:rPr>
          <w:rFonts w:ascii="Palatino Linotype" w:hAnsi="Palatino Linotype" w:cs="Arial"/>
        </w:rPr>
      </w:pPr>
    </w:p>
    <w:p w14:paraId="19EE514C" w14:textId="77777777" w:rsidR="00384C12" w:rsidRPr="00EC0AA9" w:rsidRDefault="00384C12" w:rsidP="00EC0AA9">
      <w:pPr>
        <w:spacing w:line="360" w:lineRule="auto"/>
        <w:jc w:val="both"/>
        <w:rPr>
          <w:rFonts w:ascii="Palatino Linotype" w:hAnsi="Palatino Linotype" w:cs="Arial"/>
        </w:rPr>
      </w:pPr>
      <w:r w:rsidRPr="00EC0AA9">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5165B4A" w14:textId="30F4864F" w:rsidR="00384C12" w:rsidRDefault="00384C12" w:rsidP="00EC0AA9">
      <w:pPr>
        <w:autoSpaceDE w:val="0"/>
        <w:autoSpaceDN w:val="0"/>
        <w:adjustRightInd w:val="0"/>
        <w:spacing w:line="360" w:lineRule="auto"/>
        <w:ind w:right="-91"/>
        <w:jc w:val="both"/>
        <w:rPr>
          <w:rFonts w:ascii="Palatino Linotype" w:hAnsi="Palatino Linotype" w:cs="Arial"/>
          <w:lang w:eastAsia="es-CO"/>
        </w:rPr>
      </w:pPr>
      <w:r w:rsidRPr="00EC0AA9">
        <w:rPr>
          <w:rFonts w:ascii="Palatino Linotype" w:hAnsi="Palatino Linotype" w:cs="Arial"/>
        </w:rPr>
        <w:lastRenderedPageBreak/>
        <w:t xml:space="preserve">Consecuentemente, se destaca que la versión pública que elabore </w:t>
      </w:r>
      <w:r w:rsidRPr="00EC0AA9">
        <w:rPr>
          <w:rFonts w:ascii="Palatino Linotype" w:hAnsi="Palatino Linotype" w:cs="Arial"/>
          <w:b/>
        </w:rPr>
        <w:t>EL SUJETO OBLIGADO</w:t>
      </w:r>
      <w:r w:rsidRPr="00EC0AA9">
        <w:rPr>
          <w:rFonts w:ascii="Palatino Linotype" w:hAnsi="Palatino Linotype" w:cs="Arial"/>
        </w:rPr>
        <w:t xml:space="preserve"> debe cumplir con las formalidades exigidas en la Ley, por lo que para tal efecto emitirá el </w:t>
      </w:r>
      <w:r w:rsidRPr="00EC0AA9">
        <w:rPr>
          <w:rFonts w:ascii="Palatino Linotype" w:hAnsi="Palatino Linotype" w:cs="Arial"/>
          <w:b/>
        </w:rPr>
        <w:t>Acuerdo del Comité de Transparencia</w:t>
      </w:r>
      <w:r w:rsidRPr="00EC0AA9">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EC0AA9">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FD1650F" w14:textId="77777777" w:rsidR="00EC0AA9" w:rsidRPr="00EC0AA9" w:rsidRDefault="00EC0AA9" w:rsidP="00EC0AA9">
      <w:pPr>
        <w:autoSpaceDE w:val="0"/>
        <w:autoSpaceDN w:val="0"/>
        <w:adjustRightInd w:val="0"/>
        <w:spacing w:line="360" w:lineRule="auto"/>
        <w:ind w:right="-91"/>
        <w:jc w:val="both"/>
        <w:rPr>
          <w:rFonts w:ascii="Palatino Linotype" w:hAnsi="Palatino Linotype" w:cs="Arial"/>
          <w:lang w:eastAsia="es-CO"/>
        </w:rPr>
      </w:pPr>
    </w:p>
    <w:p w14:paraId="2E353477" w14:textId="2F6EF010" w:rsidR="00EC0AA9" w:rsidRDefault="00405640" w:rsidP="001B0847">
      <w:pPr>
        <w:spacing w:line="360" w:lineRule="auto"/>
        <w:jc w:val="both"/>
        <w:rPr>
          <w:rFonts w:ascii="Palatino Linotype" w:eastAsia="Calibri" w:hAnsi="Palatino Linotype" w:cs="Arial"/>
        </w:rPr>
      </w:pPr>
      <w:r w:rsidRPr="00EC0AA9">
        <w:rPr>
          <w:rFonts w:ascii="Palatino Linotype" w:eastAsia="Calibri" w:hAnsi="Palatino Linotype" w:cs="Arial"/>
        </w:rPr>
        <w:t xml:space="preserve">Así, con fundamento en lo previsto en los artículos 5, párrafos </w:t>
      </w:r>
      <w:r w:rsidR="00B946FD" w:rsidRPr="00EC0AA9">
        <w:rPr>
          <w:rFonts w:ascii="Palatino Linotype" w:hAnsi="Palatino Linotype"/>
        </w:rPr>
        <w:t>trigésimo segundo, trigésimo tercero y trigésimo cuarto</w:t>
      </w:r>
      <w:r w:rsidRPr="00EC0AA9">
        <w:rPr>
          <w:rFonts w:ascii="Palatino Linotype" w:eastAsia="Calibri" w:hAnsi="Palatino Linotype" w:cs="Arial"/>
        </w:rPr>
        <w:t xml:space="preserve">, fracciones IV y V de la Constitución Política del Estado Libre y Soberano de México; </w:t>
      </w:r>
      <w:r w:rsidRPr="00EC0AA9">
        <w:rPr>
          <w:rFonts w:ascii="Palatino Linotype" w:hAnsi="Palatino Linotype" w:cs="Arial"/>
        </w:rPr>
        <w:t>2, fracción II, 29, 36, fracciones I y II, 176, 178, 179, 181, 185 fracción I, 186 y 188</w:t>
      </w:r>
      <w:r w:rsidRPr="00EC0AA9">
        <w:rPr>
          <w:rFonts w:ascii="Palatino Linotype" w:eastAsia="Calibri" w:hAnsi="Palatino Linotype" w:cs="Arial"/>
        </w:rPr>
        <w:t xml:space="preserve"> de la Ley de Transparencia y Acceso a la Información Pública del Estado de México y Municipios, este Pleno: </w:t>
      </w:r>
    </w:p>
    <w:p w14:paraId="4DFC5CB2" w14:textId="77777777" w:rsidR="001B0847" w:rsidRPr="001B0847" w:rsidRDefault="001B0847" w:rsidP="001B0847">
      <w:pPr>
        <w:spacing w:line="360" w:lineRule="auto"/>
        <w:jc w:val="both"/>
        <w:rPr>
          <w:rFonts w:ascii="Palatino Linotype" w:eastAsia="Calibri" w:hAnsi="Palatino Linotype" w:cs="Arial"/>
        </w:rPr>
      </w:pPr>
    </w:p>
    <w:p w14:paraId="2DA3515D" w14:textId="65E84962" w:rsidR="004E16BC" w:rsidRPr="00EC0AA9" w:rsidRDefault="000863AA" w:rsidP="00EC0AA9">
      <w:pPr>
        <w:spacing w:line="360" w:lineRule="auto"/>
        <w:jc w:val="center"/>
        <w:rPr>
          <w:rFonts w:ascii="Palatino Linotype" w:eastAsia="Palatino Linotype" w:hAnsi="Palatino Linotype" w:cs="Palatino Linotype"/>
          <w:b/>
          <w:sz w:val="28"/>
          <w:szCs w:val="28"/>
        </w:rPr>
      </w:pPr>
      <w:r w:rsidRPr="00EC0AA9">
        <w:rPr>
          <w:rFonts w:ascii="Palatino Linotype" w:eastAsia="Palatino Linotype" w:hAnsi="Palatino Linotype" w:cs="Palatino Linotype"/>
          <w:b/>
          <w:sz w:val="28"/>
          <w:szCs w:val="28"/>
        </w:rPr>
        <w:t>R</w:t>
      </w:r>
      <w:r w:rsidR="00EC0AA9">
        <w:rPr>
          <w:rFonts w:ascii="Palatino Linotype" w:eastAsia="Palatino Linotype" w:hAnsi="Palatino Linotype" w:cs="Palatino Linotype"/>
          <w:b/>
          <w:sz w:val="28"/>
          <w:szCs w:val="28"/>
        </w:rPr>
        <w:t xml:space="preserve"> </w:t>
      </w:r>
      <w:r w:rsidRPr="00EC0AA9">
        <w:rPr>
          <w:rFonts w:ascii="Palatino Linotype" w:eastAsia="Palatino Linotype" w:hAnsi="Palatino Linotype" w:cs="Palatino Linotype"/>
          <w:b/>
          <w:sz w:val="28"/>
          <w:szCs w:val="28"/>
        </w:rPr>
        <w:t>E</w:t>
      </w:r>
      <w:r w:rsidR="00EC0AA9">
        <w:rPr>
          <w:rFonts w:ascii="Palatino Linotype" w:eastAsia="Palatino Linotype" w:hAnsi="Palatino Linotype" w:cs="Palatino Linotype"/>
          <w:b/>
          <w:sz w:val="28"/>
          <w:szCs w:val="28"/>
        </w:rPr>
        <w:t xml:space="preserve"> </w:t>
      </w:r>
      <w:r w:rsidRPr="00EC0AA9">
        <w:rPr>
          <w:rFonts w:ascii="Palatino Linotype" w:eastAsia="Palatino Linotype" w:hAnsi="Palatino Linotype" w:cs="Palatino Linotype"/>
          <w:b/>
          <w:sz w:val="28"/>
          <w:szCs w:val="28"/>
        </w:rPr>
        <w:t>S</w:t>
      </w:r>
      <w:r w:rsidR="00EC0AA9">
        <w:rPr>
          <w:rFonts w:ascii="Palatino Linotype" w:eastAsia="Palatino Linotype" w:hAnsi="Palatino Linotype" w:cs="Palatino Linotype"/>
          <w:b/>
          <w:sz w:val="28"/>
          <w:szCs w:val="28"/>
        </w:rPr>
        <w:t xml:space="preserve"> </w:t>
      </w:r>
      <w:r w:rsidRPr="00EC0AA9">
        <w:rPr>
          <w:rFonts w:ascii="Palatino Linotype" w:eastAsia="Palatino Linotype" w:hAnsi="Palatino Linotype" w:cs="Palatino Linotype"/>
          <w:b/>
          <w:sz w:val="28"/>
          <w:szCs w:val="28"/>
        </w:rPr>
        <w:t>U</w:t>
      </w:r>
      <w:r w:rsidR="00EC0AA9">
        <w:rPr>
          <w:rFonts w:ascii="Palatino Linotype" w:eastAsia="Palatino Linotype" w:hAnsi="Palatino Linotype" w:cs="Palatino Linotype"/>
          <w:b/>
          <w:sz w:val="28"/>
          <w:szCs w:val="28"/>
        </w:rPr>
        <w:t xml:space="preserve"> </w:t>
      </w:r>
      <w:r w:rsidRPr="00EC0AA9">
        <w:rPr>
          <w:rFonts w:ascii="Palatino Linotype" w:eastAsia="Palatino Linotype" w:hAnsi="Palatino Linotype" w:cs="Palatino Linotype"/>
          <w:b/>
          <w:sz w:val="28"/>
          <w:szCs w:val="28"/>
        </w:rPr>
        <w:t>E</w:t>
      </w:r>
      <w:r w:rsidR="00EC0AA9">
        <w:rPr>
          <w:rFonts w:ascii="Palatino Linotype" w:eastAsia="Palatino Linotype" w:hAnsi="Palatino Linotype" w:cs="Palatino Linotype"/>
          <w:b/>
          <w:sz w:val="28"/>
          <w:szCs w:val="28"/>
        </w:rPr>
        <w:t xml:space="preserve"> </w:t>
      </w:r>
      <w:r w:rsidRPr="00EC0AA9">
        <w:rPr>
          <w:rFonts w:ascii="Palatino Linotype" w:eastAsia="Palatino Linotype" w:hAnsi="Palatino Linotype" w:cs="Palatino Linotype"/>
          <w:b/>
          <w:sz w:val="28"/>
          <w:szCs w:val="28"/>
        </w:rPr>
        <w:t>L</w:t>
      </w:r>
      <w:r w:rsidR="00EC0AA9">
        <w:rPr>
          <w:rFonts w:ascii="Palatino Linotype" w:eastAsia="Palatino Linotype" w:hAnsi="Palatino Linotype" w:cs="Palatino Linotype"/>
          <w:b/>
          <w:sz w:val="28"/>
          <w:szCs w:val="28"/>
        </w:rPr>
        <w:t xml:space="preserve"> </w:t>
      </w:r>
      <w:r w:rsidRPr="00EC0AA9">
        <w:rPr>
          <w:rFonts w:ascii="Palatino Linotype" w:eastAsia="Palatino Linotype" w:hAnsi="Palatino Linotype" w:cs="Palatino Linotype"/>
          <w:b/>
          <w:sz w:val="28"/>
          <w:szCs w:val="28"/>
        </w:rPr>
        <w:t>V</w:t>
      </w:r>
      <w:r w:rsidR="00EC0AA9">
        <w:rPr>
          <w:rFonts w:ascii="Palatino Linotype" w:eastAsia="Palatino Linotype" w:hAnsi="Palatino Linotype" w:cs="Palatino Linotype"/>
          <w:b/>
          <w:sz w:val="28"/>
          <w:szCs w:val="28"/>
        </w:rPr>
        <w:t xml:space="preserve"> </w:t>
      </w:r>
      <w:r w:rsidRPr="00EC0AA9">
        <w:rPr>
          <w:rFonts w:ascii="Palatino Linotype" w:eastAsia="Palatino Linotype" w:hAnsi="Palatino Linotype" w:cs="Palatino Linotype"/>
          <w:b/>
          <w:sz w:val="28"/>
          <w:szCs w:val="28"/>
        </w:rPr>
        <w:t>E</w:t>
      </w:r>
    </w:p>
    <w:p w14:paraId="5DD4B129" w14:textId="77777777" w:rsidR="00EC0AA9" w:rsidRDefault="00EC0AA9" w:rsidP="00EC0AA9">
      <w:pPr>
        <w:spacing w:line="360" w:lineRule="auto"/>
        <w:jc w:val="both"/>
        <w:rPr>
          <w:rFonts w:ascii="Palatino Linotype" w:eastAsia="Palatino Linotype" w:hAnsi="Palatino Linotype" w:cs="Palatino Linotype"/>
          <w:b/>
        </w:rPr>
      </w:pPr>
      <w:bookmarkStart w:id="7" w:name="_heading=h.1ksv4uv" w:colFirst="0" w:colLast="0"/>
      <w:bookmarkEnd w:id="7"/>
    </w:p>
    <w:p w14:paraId="6D752E28" w14:textId="4A2A8F9F" w:rsidR="004E16BC" w:rsidRPr="00EC0AA9" w:rsidRDefault="000863AA" w:rsidP="001B0847">
      <w:pPr>
        <w:jc w:val="both"/>
        <w:rPr>
          <w:rFonts w:ascii="Palatino Linotype" w:eastAsia="Palatino Linotype" w:hAnsi="Palatino Linotype" w:cs="Palatino Linotype"/>
        </w:rPr>
      </w:pPr>
      <w:r w:rsidRPr="00EC0AA9">
        <w:rPr>
          <w:rFonts w:ascii="Palatino Linotype" w:eastAsia="Palatino Linotype" w:hAnsi="Palatino Linotype" w:cs="Palatino Linotype"/>
          <w:b/>
        </w:rPr>
        <w:lastRenderedPageBreak/>
        <w:t>PRIMERO</w:t>
      </w:r>
      <w:r w:rsidRPr="00EC0AA9">
        <w:rPr>
          <w:rFonts w:ascii="Palatino Linotype" w:eastAsia="Palatino Linotype" w:hAnsi="Palatino Linotype" w:cs="Palatino Linotype"/>
        </w:rPr>
        <w:t>. Resultan</w:t>
      </w:r>
      <w:r w:rsidRPr="00EC0AA9">
        <w:rPr>
          <w:rFonts w:ascii="Palatino Linotype" w:eastAsia="Palatino Linotype" w:hAnsi="Palatino Linotype" w:cs="Palatino Linotype"/>
          <w:b/>
        </w:rPr>
        <w:t xml:space="preserve"> </w:t>
      </w:r>
      <w:r w:rsidR="006231F7" w:rsidRPr="00EC0AA9">
        <w:rPr>
          <w:rFonts w:ascii="Palatino Linotype" w:eastAsia="Palatino Linotype" w:hAnsi="Palatino Linotype" w:cs="Palatino Linotype"/>
          <w:b/>
        </w:rPr>
        <w:t xml:space="preserve">parcialmente </w:t>
      </w:r>
      <w:r w:rsidRPr="00EC0AA9">
        <w:rPr>
          <w:rFonts w:ascii="Palatino Linotype" w:eastAsia="Palatino Linotype" w:hAnsi="Palatino Linotype" w:cs="Palatino Linotype"/>
          <w:b/>
        </w:rPr>
        <w:t>fundadas</w:t>
      </w:r>
      <w:r w:rsidRPr="00EC0AA9">
        <w:rPr>
          <w:rFonts w:ascii="Palatino Linotype" w:eastAsia="Palatino Linotype" w:hAnsi="Palatino Linotype" w:cs="Palatino Linotype"/>
        </w:rPr>
        <w:t xml:space="preserve"> las</w:t>
      </w:r>
      <w:r w:rsidRPr="00EC0AA9">
        <w:rPr>
          <w:rFonts w:ascii="Palatino Linotype" w:eastAsia="Palatino Linotype" w:hAnsi="Palatino Linotype" w:cs="Palatino Linotype"/>
          <w:b/>
        </w:rPr>
        <w:t xml:space="preserve"> </w:t>
      </w:r>
      <w:r w:rsidRPr="00EC0AA9">
        <w:rPr>
          <w:rFonts w:ascii="Palatino Linotype" w:eastAsia="Palatino Linotype" w:hAnsi="Palatino Linotype" w:cs="Palatino Linotype"/>
        </w:rPr>
        <w:t xml:space="preserve">razones o motivos de inconformidad hechos valer en el Recurso de Revisión </w:t>
      </w:r>
      <w:r w:rsidR="006231F7" w:rsidRPr="00EC0AA9">
        <w:rPr>
          <w:rFonts w:ascii="Palatino Linotype" w:eastAsia="Palatino Linotype" w:hAnsi="Palatino Linotype" w:cs="Palatino Linotype"/>
          <w:b/>
        </w:rPr>
        <w:t>03192</w:t>
      </w:r>
      <w:r w:rsidR="00251501" w:rsidRPr="00EC0AA9">
        <w:rPr>
          <w:rFonts w:ascii="Palatino Linotype" w:eastAsia="Palatino Linotype" w:hAnsi="Palatino Linotype" w:cs="Palatino Linotype"/>
          <w:b/>
        </w:rPr>
        <w:t>/INFOEM/IP/RR/2023</w:t>
      </w:r>
      <w:r w:rsidRPr="00EC0AA9">
        <w:rPr>
          <w:rFonts w:ascii="Palatino Linotype" w:eastAsia="Palatino Linotype" w:hAnsi="Palatino Linotype" w:cs="Palatino Linotype"/>
          <w:b/>
        </w:rPr>
        <w:t xml:space="preserve">, </w:t>
      </w:r>
      <w:r w:rsidRPr="00EC0AA9">
        <w:rPr>
          <w:rFonts w:ascii="Palatino Linotype" w:eastAsia="Palatino Linotype" w:hAnsi="Palatino Linotype" w:cs="Palatino Linotype"/>
        </w:rPr>
        <w:t xml:space="preserve">en términos del Considerando </w:t>
      </w:r>
      <w:r w:rsidRPr="00EC0AA9">
        <w:rPr>
          <w:rFonts w:ascii="Palatino Linotype" w:eastAsia="Palatino Linotype" w:hAnsi="Palatino Linotype" w:cs="Palatino Linotype"/>
          <w:b/>
        </w:rPr>
        <w:t xml:space="preserve">QUINTO  </w:t>
      </w:r>
      <w:r w:rsidRPr="00EC0AA9">
        <w:rPr>
          <w:rFonts w:ascii="Palatino Linotype" w:eastAsia="Palatino Linotype" w:hAnsi="Palatino Linotype" w:cs="Palatino Linotype"/>
        </w:rPr>
        <w:t>de la presente resolución.</w:t>
      </w:r>
    </w:p>
    <w:p w14:paraId="43789869" w14:textId="77777777" w:rsidR="004E16BC" w:rsidRPr="00EC0AA9" w:rsidRDefault="004E16BC" w:rsidP="001B0847">
      <w:pPr>
        <w:spacing w:before="240"/>
        <w:jc w:val="both"/>
        <w:rPr>
          <w:rFonts w:ascii="Palatino Linotype" w:eastAsia="Palatino Linotype" w:hAnsi="Palatino Linotype" w:cs="Palatino Linotype"/>
        </w:rPr>
      </w:pPr>
    </w:p>
    <w:p w14:paraId="047BD2EF" w14:textId="74829591" w:rsidR="004E16BC" w:rsidRPr="00EC0AA9" w:rsidRDefault="000863AA" w:rsidP="001B0847">
      <w:pPr>
        <w:jc w:val="both"/>
        <w:rPr>
          <w:rFonts w:ascii="Palatino Linotype" w:eastAsia="Palatino Linotype" w:hAnsi="Palatino Linotype" w:cs="Palatino Linotype"/>
        </w:rPr>
      </w:pPr>
      <w:r w:rsidRPr="00EC0AA9">
        <w:rPr>
          <w:rFonts w:ascii="Palatino Linotype" w:eastAsia="Palatino Linotype" w:hAnsi="Palatino Linotype" w:cs="Palatino Linotype"/>
          <w:b/>
        </w:rPr>
        <w:t>SEGUNDO</w:t>
      </w:r>
      <w:r w:rsidRPr="00EC0AA9">
        <w:rPr>
          <w:rFonts w:ascii="Palatino Linotype" w:eastAsia="Palatino Linotype" w:hAnsi="Palatino Linotype" w:cs="Palatino Linotype"/>
        </w:rPr>
        <w:t xml:space="preserve">. Se </w:t>
      </w:r>
      <w:r w:rsidR="00077139" w:rsidRPr="00EC0AA9">
        <w:rPr>
          <w:rFonts w:ascii="Palatino Linotype" w:eastAsia="Palatino Linotype" w:hAnsi="Palatino Linotype" w:cs="Palatino Linotype"/>
          <w:b/>
        </w:rPr>
        <w:t>MODIFICA</w:t>
      </w:r>
      <w:r w:rsidRPr="00EC0AA9">
        <w:rPr>
          <w:rFonts w:ascii="Palatino Linotype" w:eastAsia="Palatino Linotype" w:hAnsi="Palatino Linotype" w:cs="Palatino Linotype"/>
          <w:b/>
        </w:rPr>
        <w:t xml:space="preserve"> </w:t>
      </w:r>
      <w:r w:rsidRPr="00EC0AA9">
        <w:rPr>
          <w:rFonts w:ascii="Palatino Linotype" w:eastAsia="Palatino Linotype" w:hAnsi="Palatino Linotype" w:cs="Palatino Linotype"/>
        </w:rPr>
        <w:t>la respuesta otorgada por</w:t>
      </w:r>
      <w:r w:rsidRPr="00EC0AA9">
        <w:rPr>
          <w:rFonts w:ascii="Palatino Linotype" w:eastAsia="Palatino Linotype" w:hAnsi="Palatino Linotype" w:cs="Palatino Linotype"/>
          <w:b/>
        </w:rPr>
        <w:t xml:space="preserve"> EL SUJETO OBLIGADO</w:t>
      </w:r>
      <w:r w:rsidRPr="00EC0AA9">
        <w:rPr>
          <w:rFonts w:ascii="Palatino Linotype" w:eastAsia="Palatino Linotype" w:hAnsi="Palatino Linotype" w:cs="Palatino Linotype"/>
        </w:rPr>
        <w:t>, y se le ordena entregue</w:t>
      </w:r>
      <w:r w:rsidR="001F6ACA">
        <w:rPr>
          <w:rFonts w:ascii="Palatino Linotype" w:eastAsia="Palatino Linotype" w:hAnsi="Palatino Linotype" w:cs="Palatino Linotype"/>
        </w:rPr>
        <w:t xml:space="preserve"> al </w:t>
      </w:r>
      <w:r w:rsidR="001F6ACA" w:rsidRPr="001F6ACA">
        <w:rPr>
          <w:rFonts w:ascii="Palatino Linotype" w:eastAsia="Palatino Linotype" w:hAnsi="Palatino Linotype" w:cs="Palatino Linotype"/>
          <w:b/>
          <w:bCs/>
        </w:rPr>
        <w:t>RECURRENTE</w:t>
      </w:r>
      <w:r w:rsidR="001F6ACA" w:rsidRPr="00EC0AA9">
        <w:rPr>
          <w:rFonts w:ascii="Palatino Linotype" w:eastAsia="Palatino Linotype" w:hAnsi="Palatino Linotype" w:cs="Palatino Linotype"/>
        </w:rPr>
        <w:t xml:space="preserve"> </w:t>
      </w:r>
      <w:r w:rsidRPr="00EC0AA9">
        <w:rPr>
          <w:rFonts w:ascii="Palatino Linotype" w:eastAsia="Palatino Linotype" w:hAnsi="Palatino Linotype" w:cs="Palatino Linotype"/>
        </w:rPr>
        <w:t xml:space="preserve">en términos del Considerando </w:t>
      </w:r>
      <w:r w:rsidRPr="00EC0AA9">
        <w:rPr>
          <w:rFonts w:ascii="Palatino Linotype" w:eastAsia="Palatino Linotype" w:hAnsi="Palatino Linotype" w:cs="Palatino Linotype"/>
          <w:b/>
        </w:rPr>
        <w:t xml:space="preserve">QUINTO </w:t>
      </w:r>
      <w:r w:rsidRPr="00EC0AA9">
        <w:rPr>
          <w:rFonts w:ascii="Palatino Linotype" w:eastAsia="Palatino Linotype" w:hAnsi="Palatino Linotype" w:cs="Palatino Linotype"/>
        </w:rPr>
        <w:t>de la presente resolución, vía Sistema de Acceso a la Información Mexiquense (</w:t>
      </w:r>
      <w:r w:rsidRPr="00EC0AA9">
        <w:rPr>
          <w:rFonts w:ascii="Palatino Linotype" w:eastAsia="Palatino Linotype" w:hAnsi="Palatino Linotype" w:cs="Palatino Linotype"/>
          <w:b/>
        </w:rPr>
        <w:t>SAIMEX)</w:t>
      </w:r>
      <w:r w:rsidRPr="00EC0AA9">
        <w:rPr>
          <w:rFonts w:ascii="Palatino Linotype" w:eastAsia="Palatino Linotype" w:hAnsi="Palatino Linotype" w:cs="Palatino Linotype"/>
        </w:rPr>
        <w:t xml:space="preserve">, </w:t>
      </w:r>
      <w:r w:rsidR="00523374" w:rsidRPr="00EC0AA9">
        <w:rPr>
          <w:rFonts w:ascii="Palatino Linotype" w:eastAsia="Palatino Linotype" w:hAnsi="Palatino Linotype" w:cs="Palatino Linotype"/>
        </w:rPr>
        <w:t>lo siguiente:</w:t>
      </w:r>
      <w:r w:rsidRPr="00EC0AA9">
        <w:rPr>
          <w:rFonts w:ascii="Palatino Linotype" w:eastAsia="Palatino Linotype" w:hAnsi="Palatino Linotype" w:cs="Palatino Linotype"/>
        </w:rPr>
        <w:t xml:space="preserve"> </w:t>
      </w:r>
    </w:p>
    <w:p w14:paraId="1D57C5B0" w14:textId="77777777" w:rsidR="004E16BC" w:rsidRPr="00EC0AA9" w:rsidRDefault="004E16BC" w:rsidP="00EC0AA9">
      <w:pPr>
        <w:ind w:right="899"/>
        <w:jc w:val="both"/>
        <w:rPr>
          <w:rFonts w:ascii="Palatino Linotype" w:eastAsia="Palatino Linotype" w:hAnsi="Palatino Linotype" w:cs="Palatino Linotype"/>
          <w:i/>
        </w:rPr>
      </w:pPr>
    </w:p>
    <w:p w14:paraId="54A969BE" w14:textId="77777777" w:rsidR="005910F6" w:rsidRPr="00EC0AA9" w:rsidRDefault="00523374" w:rsidP="00EC0AA9">
      <w:pPr>
        <w:pStyle w:val="Prrafodelista"/>
        <w:numPr>
          <w:ilvl w:val="3"/>
          <w:numId w:val="1"/>
        </w:numPr>
        <w:ind w:left="851" w:right="899"/>
        <w:rPr>
          <w:rFonts w:ascii="Palatino Linotype" w:eastAsia="Palatino Linotype" w:hAnsi="Palatino Linotype" w:cs="Palatino Linotype"/>
          <w:i/>
        </w:rPr>
      </w:pPr>
      <w:r w:rsidRPr="00EC0AA9">
        <w:rPr>
          <w:rFonts w:ascii="Palatino Linotype" w:eastAsia="Palatino Linotype" w:hAnsi="Palatino Linotype" w:cs="Palatino Linotype"/>
          <w:i/>
        </w:rPr>
        <w:t xml:space="preserve"> </w:t>
      </w:r>
      <w:r w:rsidR="005910F6" w:rsidRPr="00EC0AA9">
        <w:rPr>
          <w:rFonts w:ascii="Palatino Linotype" w:eastAsia="Palatino Linotype" w:hAnsi="Palatino Linotype" w:cs="Palatino Linotype"/>
          <w:i/>
        </w:rPr>
        <w:t xml:space="preserve">La </w:t>
      </w:r>
      <w:r w:rsidR="00D90343" w:rsidRPr="00EC0AA9">
        <w:rPr>
          <w:rFonts w:ascii="Palatino Linotype" w:eastAsia="Palatino Linotype" w:hAnsi="Palatino Linotype" w:cs="Palatino Linotype"/>
          <w:i/>
        </w:rPr>
        <w:t>póliza de cheque o</w:t>
      </w:r>
      <w:r w:rsidR="00673FFD" w:rsidRPr="00EC0AA9">
        <w:rPr>
          <w:rFonts w:ascii="Palatino Linotype" w:eastAsia="Palatino Linotype" w:hAnsi="Palatino Linotype" w:cs="Palatino Linotype"/>
          <w:i/>
        </w:rPr>
        <w:t xml:space="preserve"> el soporte documental del pago remitidos mediante respuesta primigenia.</w:t>
      </w:r>
    </w:p>
    <w:p w14:paraId="15E5CEE8" w14:textId="77777777" w:rsidR="004E16BC" w:rsidRPr="00EC0AA9" w:rsidRDefault="004E16BC" w:rsidP="00EC0AA9">
      <w:pPr>
        <w:ind w:left="850" w:right="899"/>
        <w:rPr>
          <w:rFonts w:ascii="Palatino Linotype" w:eastAsia="Palatino Linotype" w:hAnsi="Palatino Linotype" w:cs="Palatino Linotype"/>
          <w:i/>
        </w:rPr>
      </w:pPr>
    </w:p>
    <w:p w14:paraId="2C3F63CA" w14:textId="049AC8C5" w:rsidR="004E16BC" w:rsidRPr="00EC0AA9" w:rsidRDefault="000863AA" w:rsidP="00EC0AA9">
      <w:pPr>
        <w:ind w:left="850" w:right="899"/>
        <w:rPr>
          <w:rFonts w:ascii="Palatino Linotype" w:eastAsia="Palatino Linotype" w:hAnsi="Palatino Linotype" w:cs="Palatino Linotype"/>
          <w:i/>
        </w:rPr>
      </w:pPr>
      <w:r w:rsidRPr="00EC0AA9">
        <w:rPr>
          <w:rFonts w:ascii="Palatino Linotype" w:eastAsia="Palatino Linotype" w:hAnsi="Palatino Linotype" w:cs="Palatino Linotype"/>
          <w:i/>
        </w:rPr>
        <w:t xml:space="preserve">Debiendo notificar al </w:t>
      </w:r>
      <w:r w:rsidR="001F6ACA" w:rsidRPr="001F6ACA">
        <w:rPr>
          <w:rFonts w:ascii="Palatino Linotype" w:eastAsia="Palatino Linotype" w:hAnsi="Palatino Linotype" w:cs="Palatino Linotype"/>
          <w:b/>
          <w:bCs/>
          <w:i/>
        </w:rPr>
        <w:t>RECURRENTE</w:t>
      </w:r>
      <w:r w:rsidRPr="00EC0AA9">
        <w:rPr>
          <w:rFonts w:ascii="Palatino Linotype" w:eastAsia="Palatino Linotype" w:hAnsi="Palatino Linotype" w:cs="Palatino Linotype"/>
          <w:i/>
        </w:rPr>
        <w:t xml:space="preserve"> el Acuerdo de Clasificación de la información que apruebe su Comité de Transparencia con motivo de la versión pública.</w:t>
      </w:r>
    </w:p>
    <w:p w14:paraId="4D584AAB" w14:textId="77777777" w:rsidR="005910F6" w:rsidRPr="00EC0AA9" w:rsidRDefault="005910F6" w:rsidP="00EC0AA9">
      <w:pPr>
        <w:ind w:left="850" w:right="899"/>
        <w:rPr>
          <w:rFonts w:ascii="Palatino Linotype" w:eastAsia="Palatino Linotype" w:hAnsi="Palatino Linotype" w:cs="Palatino Linotype"/>
          <w:i/>
        </w:rPr>
      </w:pPr>
    </w:p>
    <w:p w14:paraId="70F6F66B" w14:textId="77777777" w:rsidR="005910F6" w:rsidRPr="00EC0AA9" w:rsidRDefault="005910F6" w:rsidP="00EC0AA9">
      <w:pPr>
        <w:pStyle w:val="Prrafodelista"/>
        <w:numPr>
          <w:ilvl w:val="3"/>
          <w:numId w:val="1"/>
        </w:numPr>
        <w:ind w:left="851" w:right="899"/>
        <w:rPr>
          <w:rFonts w:ascii="Palatino Linotype" w:eastAsia="Palatino Linotype" w:hAnsi="Palatino Linotype" w:cs="Palatino Linotype"/>
          <w:i/>
        </w:rPr>
      </w:pPr>
      <w:r w:rsidRPr="00EC0AA9">
        <w:rPr>
          <w:rFonts w:ascii="Palatino Linotype" w:eastAsia="Palatino Linotype" w:hAnsi="Palatino Linotype" w:cs="Palatino Linotype"/>
          <w:i/>
        </w:rPr>
        <w:t>La factura integra remitida en respuesta,</w:t>
      </w:r>
    </w:p>
    <w:p w14:paraId="16E3F721" w14:textId="77777777" w:rsidR="004E16BC" w:rsidRPr="00EC0AA9" w:rsidRDefault="004E16BC" w:rsidP="00EC0AA9">
      <w:pPr>
        <w:ind w:right="899"/>
        <w:jc w:val="both"/>
        <w:rPr>
          <w:rFonts w:ascii="Palatino Linotype" w:eastAsia="Palatino Linotype" w:hAnsi="Palatino Linotype" w:cs="Palatino Linotype"/>
          <w:i/>
        </w:rPr>
      </w:pPr>
    </w:p>
    <w:p w14:paraId="60169C1A" w14:textId="77777777" w:rsidR="001B0847" w:rsidRDefault="000863AA" w:rsidP="00EC0AA9">
      <w:pPr>
        <w:spacing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b/>
        </w:rPr>
        <w:t>TERCERO.</w:t>
      </w:r>
      <w:r w:rsidRPr="00EC0AA9">
        <w:rPr>
          <w:rFonts w:ascii="Palatino Linotype" w:eastAsia="Palatino Linotype" w:hAnsi="Palatino Linotype" w:cs="Palatino Linotype"/>
        </w:rPr>
        <w:t xml:space="preserve"> </w:t>
      </w:r>
      <w:r w:rsidRPr="00EC0AA9">
        <w:rPr>
          <w:rFonts w:ascii="Palatino Linotype" w:eastAsia="Palatino Linotype" w:hAnsi="Palatino Linotype" w:cs="Palatino Linotype"/>
          <w:b/>
        </w:rPr>
        <w:t xml:space="preserve">NOTIFÍQUESE </w:t>
      </w:r>
      <w:r w:rsidR="0074578E" w:rsidRPr="00EC0AA9">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w:t>
      </w:r>
    </w:p>
    <w:p w14:paraId="1E432E91" w14:textId="5E6F71F4" w:rsidR="004E16BC" w:rsidRPr="00EC0AA9" w:rsidRDefault="0074578E" w:rsidP="00EC0AA9">
      <w:pPr>
        <w:spacing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rPr>
        <w:lastRenderedPageBreak/>
        <w:t>fracción III; 214, 215 y 216 de la Ley de Transparencia y Acceso a la Información Pública del Estado de México y Municipios.</w:t>
      </w:r>
    </w:p>
    <w:p w14:paraId="125E401A" w14:textId="77777777" w:rsidR="004E16BC" w:rsidRPr="00EC0AA9" w:rsidRDefault="004E16BC" w:rsidP="001B0847">
      <w:pPr>
        <w:jc w:val="both"/>
        <w:rPr>
          <w:rFonts w:ascii="Palatino Linotype" w:eastAsia="Palatino Linotype" w:hAnsi="Palatino Linotype" w:cs="Palatino Linotype"/>
        </w:rPr>
      </w:pPr>
    </w:p>
    <w:p w14:paraId="44CDED9A" w14:textId="77777777" w:rsidR="004E16BC" w:rsidRPr="00EC0AA9" w:rsidRDefault="000863AA" w:rsidP="00EC0AA9">
      <w:pPr>
        <w:spacing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b/>
        </w:rPr>
        <w:t xml:space="preserve">CUARTO. </w:t>
      </w:r>
      <w:r w:rsidRPr="00EC0AA9">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B2103B7" w14:textId="77777777" w:rsidR="004E16BC" w:rsidRPr="00EC0AA9" w:rsidRDefault="004E16BC" w:rsidP="001B0847">
      <w:pPr>
        <w:jc w:val="both"/>
        <w:rPr>
          <w:rFonts w:ascii="Palatino Linotype" w:eastAsia="Palatino Linotype" w:hAnsi="Palatino Linotype" w:cs="Palatino Linotype"/>
        </w:rPr>
      </w:pPr>
    </w:p>
    <w:p w14:paraId="2C9843FF" w14:textId="79E8E970" w:rsidR="004E16BC" w:rsidRDefault="000863AA" w:rsidP="00EC0AA9">
      <w:pPr>
        <w:spacing w:line="360" w:lineRule="auto"/>
        <w:jc w:val="both"/>
        <w:rPr>
          <w:rFonts w:ascii="Palatino Linotype" w:eastAsia="Palatino Linotype" w:hAnsi="Palatino Linotype" w:cs="Palatino Linotype"/>
        </w:rPr>
      </w:pPr>
      <w:r w:rsidRPr="00EC0AA9">
        <w:rPr>
          <w:rFonts w:ascii="Palatino Linotype" w:eastAsia="Palatino Linotype" w:hAnsi="Palatino Linotype" w:cs="Palatino Linotype"/>
          <w:b/>
        </w:rPr>
        <w:t>QUINTO.</w:t>
      </w:r>
      <w:r w:rsidRPr="00EC0AA9">
        <w:rPr>
          <w:rFonts w:ascii="Palatino Linotype" w:eastAsia="Palatino Linotype" w:hAnsi="Palatino Linotype" w:cs="Palatino Linotype"/>
        </w:rPr>
        <w:t xml:space="preserve"> </w:t>
      </w:r>
      <w:r w:rsidRPr="00EC0AA9">
        <w:rPr>
          <w:rFonts w:ascii="Palatino Linotype" w:eastAsia="Palatino Linotype" w:hAnsi="Palatino Linotype" w:cs="Palatino Linotype"/>
          <w:b/>
        </w:rPr>
        <w:t>NOTIFÍQUESE</w:t>
      </w:r>
      <w:r w:rsidRPr="00EC0AA9">
        <w:rPr>
          <w:rFonts w:ascii="Palatino Linotype" w:eastAsia="Palatino Linotype" w:hAnsi="Palatino Linotype" w:cs="Palatino Linotype"/>
        </w:rPr>
        <w:t xml:space="preserve"> a</w:t>
      </w:r>
      <w:r w:rsidR="001F6ACA">
        <w:rPr>
          <w:rFonts w:ascii="Palatino Linotype" w:eastAsia="Palatino Linotype" w:hAnsi="Palatino Linotype" w:cs="Palatino Linotype"/>
        </w:rPr>
        <w:t>l</w:t>
      </w:r>
      <w:r w:rsidR="00F56B9C" w:rsidRPr="00EC0AA9">
        <w:rPr>
          <w:rFonts w:ascii="Palatino Linotype" w:eastAsia="Palatino Linotype" w:hAnsi="Palatino Linotype" w:cs="Palatino Linotype"/>
        </w:rPr>
        <w:t xml:space="preserve"> </w:t>
      </w:r>
      <w:r w:rsidR="00F56B9C" w:rsidRPr="001F6ACA">
        <w:rPr>
          <w:rFonts w:ascii="Palatino Linotype" w:eastAsia="Palatino Linotype" w:hAnsi="Palatino Linotype" w:cs="Palatino Linotype"/>
          <w:b/>
          <w:bCs/>
        </w:rPr>
        <w:t>RECURRENTE</w:t>
      </w:r>
      <w:r w:rsidRPr="00EC0AA9">
        <w:rPr>
          <w:rFonts w:ascii="Palatino Linotype" w:eastAsia="Palatino Linotype" w:hAnsi="Palatino Linotype" w:cs="Palatino Linotype"/>
        </w:rPr>
        <w:t xml:space="preserv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875502C" w14:textId="77777777" w:rsidR="004E16BC" w:rsidRPr="00EC0AA9" w:rsidRDefault="004E16BC" w:rsidP="001B0847">
      <w:pPr>
        <w:jc w:val="both"/>
        <w:rPr>
          <w:rFonts w:ascii="Palatino Linotype" w:eastAsia="Palatino Linotype" w:hAnsi="Palatino Linotype" w:cs="Palatino Linotype"/>
        </w:rPr>
      </w:pPr>
    </w:p>
    <w:p w14:paraId="77918D36" w14:textId="6D8295EE" w:rsidR="004E16BC" w:rsidRPr="00EC0AA9" w:rsidRDefault="000863AA" w:rsidP="001B0847">
      <w:pPr>
        <w:spacing w:line="276" w:lineRule="auto"/>
        <w:jc w:val="both"/>
        <w:rPr>
          <w:rFonts w:ascii="Palatino Linotype" w:eastAsia="Palatino Linotype" w:hAnsi="Palatino Linotype" w:cs="Palatino Linotype"/>
        </w:rPr>
      </w:pPr>
      <w:r w:rsidRPr="00EC0AA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544ED" w:rsidRPr="00EC0AA9">
        <w:rPr>
          <w:rFonts w:ascii="Palatino Linotype" w:eastAsia="Palatino Linotype" w:hAnsi="Palatino Linotype" w:cs="Palatino Linotype"/>
        </w:rPr>
        <w:t xml:space="preserve">VIGÉSIMA </w:t>
      </w:r>
      <w:r w:rsidR="002865CC" w:rsidRPr="00EC0AA9">
        <w:rPr>
          <w:rFonts w:ascii="Palatino Linotype" w:eastAsia="Palatino Linotype" w:hAnsi="Palatino Linotype" w:cs="Palatino Linotype"/>
        </w:rPr>
        <w:t>NOVENA</w:t>
      </w:r>
      <w:r w:rsidR="0074578E" w:rsidRPr="00EC0AA9">
        <w:rPr>
          <w:rFonts w:ascii="Palatino Linotype" w:eastAsia="Palatino Linotype" w:hAnsi="Palatino Linotype" w:cs="Palatino Linotype"/>
        </w:rPr>
        <w:t xml:space="preserve"> </w:t>
      </w:r>
      <w:r w:rsidRPr="00EC0AA9">
        <w:rPr>
          <w:rFonts w:ascii="Palatino Linotype" w:eastAsia="Palatino Linotype" w:hAnsi="Palatino Linotype" w:cs="Palatino Linotype"/>
        </w:rPr>
        <w:t xml:space="preserve">SESIÓN ORDINARIA CELEBRADA EL </w:t>
      </w:r>
      <w:r w:rsidR="002865CC" w:rsidRPr="00EC0AA9">
        <w:rPr>
          <w:rFonts w:ascii="Palatino Linotype" w:eastAsia="Palatino Linotype" w:hAnsi="Palatino Linotype" w:cs="Palatino Linotype"/>
        </w:rPr>
        <w:t>DIECISÉIS</w:t>
      </w:r>
      <w:r w:rsidRPr="00EC0AA9">
        <w:rPr>
          <w:rFonts w:ascii="Palatino Linotype" w:eastAsia="Palatino Linotype" w:hAnsi="Palatino Linotype" w:cs="Palatino Linotype"/>
        </w:rPr>
        <w:t xml:space="preserve"> DE </w:t>
      </w:r>
      <w:r w:rsidR="008C7115" w:rsidRPr="00EC0AA9">
        <w:rPr>
          <w:rFonts w:ascii="Palatino Linotype" w:eastAsia="Palatino Linotype" w:hAnsi="Palatino Linotype" w:cs="Palatino Linotype"/>
        </w:rPr>
        <w:t xml:space="preserve">AGOSTO </w:t>
      </w:r>
      <w:r w:rsidRPr="00EC0AA9">
        <w:rPr>
          <w:rFonts w:ascii="Palatino Linotype" w:eastAsia="Palatino Linotype" w:hAnsi="Palatino Linotype" w:cs="Palatino Linotype"/>
        </w:rPr>
        <w:t>DE DOS MIL VEINTITRÉS ANTE EL SECRETARIO TÉCNICO DEL PLENO, ALEXIS TAPIA RAMÍREZ.</w:t>
      </w:r>
      <w:bookmarkStart w:id="8" w:name="_GoBack"/>
      <w:bookmarkEnd w:id="8"/>
    </w:p>
    <w:p w14:paraId="25E339AB" w14:textId="77777777" w:rsidR="004E16BC" w:rsidRPr="00EC0AA9" w:rsidRDefault="0074578E" w:rsidP="001B0847">
      <w:pPr>
        <w:spacing w:line="276" w:lineRule="auto"/>
        <w:jc w:val="both"/>
        <w:rPr>
          <w:rFonts w:ascii="Palatino Linotype" w:eastAsia="Palatino Linotype" w:hAnsi="Palatino Linotype" w:cs="Palatino Linotype"/>
          <w:sz w:val="18"/>
        </w:rPr>
      </w:pPr>
      <w:r w:rsidRPr="00EC0AA9">
        <w:rPr>
          <w:rFonts w:ascii="Palatino Linotype" w:eastAsia="Palatino Linotype" w:hAnsi="Palatino Linotype" w:cs="Palatino Linotype"/>
          <w:sz w:val="18"/>
        </w:rPr>
        <w:t>SCMM/BLA/DEMF/JMMO</w:t>
      </w:r>
    </w:p>
    <w:p w14:paraId="19282213" w14:textId="77777777" w:rsidR="004E16BC" w:rsidRPr="00EC0AA9" w:rsidRDefault="000863AA" w:rsidP="00EC0AA9">
      <w:pPr>
        <w:rPr>
          <w:rFonts w:ascii="Palatino Linotype" w:eastAsia="Palatino Linotype" w:hAnsi="Palatino Linotype" w:cs="Palatino Linotype"/>
        </w:rPr>
      </w:pPr>
      <w:r w:rsidRPr="00EC0AA9">
        <w:rPr>
          <w:rFonts w:ascii="Palatino Linotype" w:hAnsi="Palatino Linotype"/>
        </w:rPr>
        <w:br w:type="page"/>
      </w:r>
    </w:p>
    <w:p w14:paraId="33AFFB49" w14:textId="77777777" w:rsidR="004E16BC" w:rsidRPr="00EC0AA9" w:rsidRDefault="004E16BC" w:rsidP="00EC0AA9">
      <w:pPr>
        <w:spacing w:line="360" w:lineRule="auto"/>
        <w:jc w:val="both"/>
        <w:rPr>
          <w:rFonts w:ascii="Palatino Linotype" w:eastAsia="Palatino Linotype" w:hAnsi="Palatino Linotype" w:cs="Palatino Linotype"/>
        </w:rPr>
      </w:pPr>
    </w:p>
    <w:p w14:paraId="0147E4D5" w14:textId="77777777" w:rsidR="004E16BC" w:rsidRPr="00EC0AA9" w:rsidRDefault="004E16BC" w:rsidP="00EC0AA9">
      <w:pPr>
        <w:spacing w:line="360" w:lineRule="auto"/>
        <w:jc w:val="both"/>
        <w:rPr>
          <w:rFonts w:ascii="Palatino Linotype" w:eastAsia="Palatino Linotype" w:hAnsi="Palatino Linotype" w:cs="Palatino Linotype"/>
        </w:rPr>
      </w:pPr>
    </w:p>
    <w:p w14:paraId="3E227388" w14:textId="77777777" w:rsidR="004E16BC" w:rsidRPr="00EC0AA9" w:rsidRDefault="004E16BC" w:rsidP="00EC0AA9">
      <w:pPr>
        <w:spacing w:line="360" w:lineRule="auto"/>
        <w:jc w:val="both"/>
        <w:rPr>
          <w:rFonts w:ascii="Palatino Linotype" w:eastAsia="Palatino Linotype" w:hAnsi="Palatino Linotype" w:cs="Palatino Linotype"/>
        </w:rPr>
      </w:pPr>
    </w:p>
    <w:p w14:paraId="4AB6EC11" w14:textId="77777777" w:rsidR="004E16BC" w:rsidRPr="00EC0AA9" w:rsidRDefault="004E16BC" w:rsidP="00EC0AA9">
      <w:pPr>
        <w:spacing w:line="360" w:lineRule="auto"/>
        <w:jc w:val="both"/>
        <w:rPr>
          <w:rFonts w:ascii="Palatino Linotype" w:eastAsia="Palatino Linotype" w:hAnsi="Palatino Linotype" w:cs="Palatino Linotype"/>
        </w:rPr>
      </w:pPr>
    </w:p>
    <w:p w14:paraId="668B2E4D" w14:textId="77777777" w:rsidR="004E16BC" w:rsidRPr="00EC0AA9" w:rsidRDefault="004E16BC" w:rsidP="00EC0AA9">
      <w:pPr>
        <w:spacing w:line="360" w:lineRule="auto"/>
        <w:jc w:val="both"/>
        <w:rPr>
          <w:rFonts w:ascii="Palatino Linotype" w:eastAsia="Palatino Linotype" w:hAnsi="Palatino Linotype" w:cs="Palatino Linotype"/>
        </w:rPr>
      </w:pPr>
    </w:p>
    <w:p w14:paraId="047C2FEB" w14:textId="77777777" w:rsidR="004E16BC" w:rsidRPr="00EC0AA9" w:rsidRDefault="004E16BC" w:rsidP="00EC0AA9">
      <w:pPr>
        <w:spacing w:line="360" w:lineRule="auto"/>
        <w:jc w:val="both"/>
        <w:rPr>
          <w:rFonts w:ascii="Palatino Linotype" w:eastAsia="Palatino Linotype" w:hAnsi="Palatino Linotype" w:cs="Palatino Linotype"/>
        </w:rPr>
      </w:pPr>
    </w:p>
    <w:p w14:paraId="2B470C16" w14:textId="77777777" w:rsidR="004E16BC" w:rsidRPr="00EC0AA9" w:rsidRDefault="004E16BC" w:rsidP="00EC0AA9">
      <w:pPr>
        <w:spacing w:line="360" w:lineRule="auto"/>
        <w:jc w:val="both"/>
        <w:rPr>
          <w:rFonts w:ascii="Palatino Linotype" w:eastAsia="Palatino Linotype" w:hAnsi="Palatino Linotype" w:cs="Palatino Linotype"/>
        </w:rPr>
      </w:pPr>
    </w:p>
    <w:p w14:paraId="5FA766EE" w14:textId="77777777" w:rsidR="004E16BC" w:rsidRPr="00EC0AA9" w:rsidRDefault="004E16BC" w:rsidP="00EC0AA9">
      <w:pPr>
        <w:spacing w:line="360" w:lineRule="auto"/>
        <w:jc w:val="both"/>
        <w:rPr>
          <w:rFonts w:ascii="Palatino Linotype" w:eastAsia="Palatino Linotype" w:hAnsi="Palatino Linotype" w:cs="Palatino Linotype"/>
        </w:rPr>
      </w:pPr>
    </w:p>
    <w:p w14:paraId="3424A87B" w14:textId="77777777" w:rsidR="004E16BC" w:rsidRPr="00EC0AA9" w:rsidRDefault="004E16BC" w:rsidP="00EC0AA9">
      <w:pPr>
        <w:spacing w:line="360" w:lineRule="auto"/>
        <w:jc w:val="both"/>
        <w:rPr>
          <w:rFonts w:ascii="Palatino Linotype" w:eastAsia="Palatino Linotype" w:hAnsi="Palatino Linotype" w:cs="Palatino Linotype"/>
        </w:rPr>
      </w:pPr>
      <w:bookmarkStart w:id="9" w:name="_heading=h.30j0zll" w:colFirst="0" w:colLast="0"/>
      <w:bookmarkEnd w:id="9"/>
    </w:p>
    <w:p w14:paraId="7D603F5C" w14:textId="77777777" w:rsidR="004E16BC" w:rsidRPr="00EC0AA9" w:rsidRDefault="004E16BC" w:rsidP="00EC0AA9">
      <w:pPr>
        <w:spacing w:line="360" w:lineRule="auto"/>
        <w:jc w:val="both"/>
        <w:rPr>
          <w:rFonts w:ascii="Palatino Linotype" w:eastAsia="Palatino Linotype" w:hAnsi="Palatino Linotype" w:cs="Palatino Linotype"/>
        </w:rPr>
      </w:pPr>
    </w:p>
    <w:p w14:paraId="706BB3F7" w14:textId="77777777" w:rsidR="004E16BC" w:rsidRPr="00EC0AA9" w:rsidRDefault="004E16BC" w:rsidP="00EC0AA9">
      <w:pPr>
        <w:spacing w:line="360" w:lineRule="auto"/>
        <w:jc w:val="both"/>
        <w:rPr>
          <w:rFonts w:ascii="Palatino Linotype" w:eastAsia="Palatino Linotype" w:hAnsi="Palatino Linotype" w:cs="Palatino Linotype"/>
        </w:rPr>
      </w:pPr>
    </w:p>
    <w:p w14:paraId="6EE3FB32" w14:textId="77777777" w:rsidR="004E16BC" w:rsidRPr="00EC0AA9" w:rsidRDefault="004E16BC" w:rsidP="00EC0AA9">
      <w:pPr>
        <w:spacing w:line="360" w:lineRule="auto"/>
        <w:jc w:val="both"/>
        <w:rPr>
          <w:rFonts w:ascii="Palatino Linotype" w:eastAsia="Palatino Linotype" w:hAnsi="Palatino Linotype" w:cs="Palatino Linotype"/>
        </w:rPr>
      </w:pPr>
    </w:p>
    <w:p w14:paraId="3B289FBB" w14:textId="77777777" w:rsidR="004E16BC" w:rsidRPr="00EC0AA9" w:rsidRDefault="004E16BC" w:rsidP="00EC0AA9">
      <w:pPr>
        <w:spacing w:line="360" w:lineRule="auto"/>
        <w:jc w:val="both"/>
        <w:rPr>
          <w:rFonts w:ascii="Palatino Linotype" w:eastAsia="Palatino Linotype" w:hAnsi="Palatino Linotype" w:cs="Palatino Linotype"/>
        </w:rPr>
      </w:pPr>
    </w:p>
    <w:p w14:paraId="2084986F" w14:textId="77777777" w:rsidR="004E16BC" w:rsidRPr="00EC0AA9" w:rsidRDefault="004E16BC" w:rsidP="00EC0AA9">
      <w:pPr>
        <w:spacing w:line="360" w:lineRule="auto"/>
        <w:jc w:val="both"/>
        <w:rPr>
          <w:rFonts w:ascii="Palatino Linotype" w:eastAsia="Palatino Linotype" w:hAnsi="Palatino Linotype" w:cs="Palatino Linotype"/>
        </w:rPr>
      </w:pPr>
    </w:p>
    <w:p w14:paraId="19D8A973" w14:textId="77777777" w:rsidR="004E16BC" w:rsidRPr="00EC0AA9" w:rsidRDefault="004E16BC" w:rsidP="00EC0AA9">
      <w:pPr>
        <w:spacing w:line="360" w:lineRule="auto"/>
        <w:jc w:val="both"/>
        <w:rPr>
          <w:rFonts w:ascii="Palatino Linotype" w:eastAsia="Palatino Linotype" w:hAnsi="Palatino Linotype" w:cs="Palatino Linotype"/>
        </w:rPr>
      </w:pPr>
    </w:p>
    <w:p w14:paraId="27E9736D" w14:textId="77777777" w:rsidR="004E16BC" w:rsidRPr="00EC0AA9" w:rsidRDefault="004E16BC" w:rsidP="00EC0AA9">
      <w:pPr>
        <w:spacing w:line="360" w:lineRule="auto"/>
        <w:jc w:val="both"/>
        <w:rPr>
          <w:rFonts w:ascii="Palatino Linotype" w:eastAsia="Palatino Linotype" w:hAnsi="Palatino Linotype" w:cs="Palatino Linotype"/>
        </w:rPr>
      </w:pPr>
    </w:p>
    <w:p w14:paraId="41FDDD7C" w14:textId="77777777" w:rsidR="004E16BC" w:rsidRPr="00EC0AA9" w:rsidRDefault="004E16BC" w:rsidP="00EC0AA9">
      <w:pPr>
        <w:spacing w:line="360" w:lineRule="auto"/>
        <w:jc w:val="both"/>
        <w:rPr>
          <w:rFonts w:ascii="Palatino Linotype" w:eastAsia="Palatino Linotype" w:hAnsi="Palatino Linotype" w:cs="Palatino Linotype"/>
        </w:rPr>
      </w:pPr>
    </w:p>
    <w:p w14:paraId="4326C36D" w14:textId="77777777" w:rsidR="004E16BC" w:rsidRPr="00EC0AA9" w:rsidRDefault="004E16BC" w:rsidP="00EC0AA9">
      <w:pPr>
        <w:spacing w:line="360" w:lineRule="auto"/>
        <w:jc w:val="both"/>
        <w:rPr>
          <w:rFonts w:ascii="Palatino Linotype" w:eastAsia="Palatino Linotype" w:hAnsi="Palatino Linotype" w:cs="Palatino Linotype"/>
        </w:rPr>
      </w:pPr>
      <w:bookmarkStart w:id="10" w:name="_heading=h.tyjcwt" w:colFirst="0" w:colLast="0"/>
      <w:bookmarkEnd w:id="10"/>
    </w:p>
    <w:sectPr w:rsidR="004E16BC" w:rsidRPr="00EC0AA9">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43E592" w14:textId="77777777" w:rsidR="00521157" w:rsidRDefault="00521157">
      <w:r>
        <w:separator/>
      </w:r>
    </w:p>
  </w:endnote>
  <w:endnote w:type="continuationSeparator" w:id="0">
    <w:p w14:paraId="327180C8" w14:textId="77777777" w:rsidR="00521157" w:rsidRDefault="00521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DD1EA" w14:textId="77777777" w:rsidR="004966EA" w:rsidRDefault="004966E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1B0847">
      <w:rPr>
        <w:rFonts w:ascii="Palatino Linotype" w:eastAsia="Palatino Linotype" w:hAnsi="Palatino Linotype" w:cs="Palatino Linotype"/>
        <w:noProof/>
        <w:color w:val="000000"/>
        <w:sz w:val="22"/>
        <w:szCs w:val="22"/>
      </w:rPr>
      <w:t>58</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1B0847">
      <w:rPr>
        <w:rFonts w:ascii="Palatino Linotype" w:eastAsia="Palatino Linotype" w:hAnsi="Palatino Linotype" w:cs="Palatino Linotype"/>
        <w:noProof/>
        <w:color w:val="000000"/>
        <w:sz w:val="22"/>
        <w:szCs w:val="22"/>
      </w:rPr>
      <w:t>58</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EC097" w14:textId="77777777" w:rsidR="004966EA" w:rsidRDefault="004966EA">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1B0847">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1B0847">
      <w:rPr>
        <w:rFonts w:ascii="Palatino Linotype" w:eastAsia="Palatino Linotype" w:hAnsi="Palatino Linotype" w:cs="Palatino Linotype"/>
        <w:noProof/>
        <w:color w:val="000000"/>
        <w:sz w:val="22"/>
        <w:szCs w:val="22"/>
      </w:rPr>
      <w:t>58</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871370" w14:textId="77777777" w:rsidR="00521157" w:rsidRDefault="00521157">
      <w:r>
        <w:separator/>
      </w:r>
    </w:p>
  </w:footnote>
  <w:footnote w:type="continuationSeparator" w:id="0">
    <w:p w14:paraId="6AB144F8" w14:textId="77777777" w:rsidR="00521157" w:rsidRDefault="005211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63845" w14:textId="77777777" w:rsidR="004966EA" w:rsidRDefault="001B0847">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15996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D25C0" w14:textId="77777777" w:rsidR="004966EA" w:rsidRDefault="001B0847">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276E0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9776;mso-position-horizontal:center;mso-position-horizontal-relative:margin;mso-position-vertical:center;mso-position-vertical-relative:margin">
          <v:imagedata r:id="rId1" o:title="image1"/>
          <w10:wrap anchorx="margin" anchory="margin"/>
        </v:shape>
      </w:pict>
    </w:r>
  </w:p>
  <w:tbl>
    <w:tblPr>
      <w:tblStyle w:val="affffffffffd"/>
      <w:tblW w:w="9534" w:type="dxa"/>
      <w:tblInd w:w="-142" w:type="dxa"/>
      <w:tblLayout w:type="fixed"/>
      <w:tblLook w:val="0400" w:firstRow="0" w:lastRow="0" w:firstColumn="0" w:lastColumn="0" w:noHBand="0" w:noVBand="1"/>
    </w:tblPr>
    <w:tblGrid>
      <w:gridCol w:w="3261"/>
      <w:gridCol w:w="2551"/>
      <w:gridCol w:w="3722"/>
    </w:tblGrid>
    <w:tr w:rsidR="004966EA" w14:paraId="535A7B05" w14:textId="77777777">
      <w:tc>
        <w:tcPr>
          <w:tcW w:w="3261" w:type="dxa"/>
          <w:vMerge w:val="restart"/>
        </w:tcPr>
        <w:p w14:paraId="67592F0D" w14:textId="77777777" w:rsidR="004966EA" w:rsidRDefault="004966EA">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2E6CB86C" wp14:editId="1BEBDB15">
                <wp:extent cx="1692162" cy="852673"/>
                <wp:effectExtent l="0" t="0" r="0" b="0"/>
                <wp:docPr id="4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36EE7BA" w14:textId="77777777" w:rsidR="004966EA" w:rsidRDefault="004966E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30BCBAE4" w14:textId="4BB31548" w:rsidR="004966EA" w:rsidRDefault="004966EA">
          <w:pPr>
            <w:jc w:val="both"/>
            <w:rPr>
              <w:rFonts w:ascii="Palatino Linotype" w:eastAsia="Palatino Linotype" w:hAnsi="Palatino Linotype" w:cs="Palatino Linotype"/>
              <w:b/>
            </w:rPr>
          </w:pPr>
          <w:r>
            <w:rPr>
              <w:rFonts w:ascii="Palatino Linotype" w:eastAsia="Palatino Linotype" w:hAnsi="Palatino Linotype" w:cs="Palatino Linotype"/>
              <w:b/>
            </w:rPr>
            <w:t>03192/INFOEM/IP/RR/2023</w:t>
          </w:r>
        </w:p>
      </w:tc>
    </w:tr>
    <w:tr w:rsidR="004966EA" w14:paraId="44F1AE38" w14:textId="77777777">
      <w:tc>
        <w:tcPr>
          <w:tcW w:w="3261" w:type="dxa"/>
          <w:vMerge/>
        </w:tcPr>
        <w:p w14:paraId="512E3F83" w14:textId="77777777" w:rsidR="004966EA" w:rsidRDefault="004966E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647767A" w14:textId="77777777" w:rsidR="004966EA" w:rsidRDefault="004966EA">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2E992A1F" w14:textId="44E9056C" w:rsidR="004966EA" w:rsidRDefault="004966EA" w:rsidP="001248B7">
          <w:pPr>
            <w:jc w:val="both"/>
            <w:rPr>
              <w:rFonts w:ascii="Palatino Linotype" w:eastAsia="Palatino Linotype" w:hAnsi="Palatino Linotype" w:cs="Palatino Linotype"/>
              <w:b/>
            </w:rPr>
          </w:pPr>
          <w:r w:rsidRPr="00F56B9C">
            <w:rPr>
              <w:rFonts w:ascii="Palatino Linotype" w:eastAsia="Palatino Linotype" w:hAnsi="Palatino Linotype" w:cs="Palatino Linotype"/>
              <w:b/>
            </w:rPr>
            <w:t xml:space="preserve">Ayuntamiento de </w:t>
          </w:r>
          <w:r>
            <w:rPr>
              <w:rFonts w:ascii="Palatino Linotype" w:eastAsia="Palatino Linotype" w:hAnsi="Palatino Linotype" w:cs="Palatino Linotype"/>
              <w:b/>
            </w:rPr>
            <w:t>Almoloya de Juárez</w:t>
          </w:r>
        </w:p>
      </w:tc>
    </w:tr>
    <w:tr w:rsidR="004966EA" w14:paraId="485069F0" w14:textId="77777777">
      <w:trPr>
        <w:trHeight w:val="790"/>
      </w:trPr>
      <w:tc>
        <w:tcPr>
          <w:tcW w:w="3261" w:type="dxa"/>
          <w:vMerge/>
        </w:tcPr>
        <w:p w14:paraId="06B574B6" w14:textId="77777777" w:rsidR="004966EA" w:rsidRDefault="004966E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A4B1FD6" w14:textId="77777777" w:rsidR="004966EA" w:rsidRDefault="004966EA">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2F115E03" w14:textId="77777777" w:rsidR="004966EA" w:rsidRDefault="004966EA">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4FFCF5A7" w14:textId="77777777" w:rsidR="004966EA" w:rsidRDefault="004966EA">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1C6A6" w14:textId="77777777" w:rsidR="004966EA" w:rsidRDefault="001B0847">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44FE6E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1"/>
          <w10:wrap anchorx="margin" anchory="margin"/>
        </v:shape>
      </w:pict>
    </w:r>
  </w:p>
  <w:tbl>
    <w:tblPr>
      <w:tblStyle w:val="affffffffffc"/>
      <w:tblW w:w="10614" w:type="dxa"/>
      <w:tblInd w:w="-833" w:type="dxa"/>
      <w:tblLayout w:type="fixed"/>
      <w:tblLook w:val="0400" w:firstRow="0" w:lastRow="0" w:firstColumn="0" w:lastColumn="0" w:noHBand="0" w:noVBand="1"/>
    </w:tblPr>
    <w:tblGrid>
      <w:gridCol w:w="3805"/>
      <w:gridCol w:w="2557"/>
      <w:gridCol w:w="4252"/>
    </w:tblGrid>
    <w:tr w:rsidR="004966EA" w14:paraId="49F6B484" w14:textId="77777777" w:rsidTr="006224D3">
      <w:tc>
        <w:tcPr>
          <w:tcW w:w="3805" w:type="dxa"/>
          <w:vMerge w:val="restart"/>
          <w:shd w:val="clear" w:color="auto" w:fill="auto"/>
        </w:tcPr>
        <w:p w14:paraId="281A8235" w14:textId="77777777" w:rsidR="004966EA" w:rsidRDefault="004966EA">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424071EC" wp14:editId="3D5F348A">
                <wp:extent cx="1692162" cy="852673"/>
                <wp:effectExtent l="0" t="0" r="0" b="0"/>
                <wp:docPr id="4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7" w:type="dxa"/>
          <w:shd w:val="clear" w:color="auto" w:fill="auto"/>
        </w:tcPr>
        <w:p w14:paraId="1C01E9D2" w14:textId="77777777" w:rsidR="004966EA" w:rsidRDefault="004966E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252" w:type="dxa"/>
          <w:shd w:val="clear" w:color="auto" w:fill="auto"/>
          <w:vAlign w:val="center"/>
        </w:tcPr>
        <w:p w14:paraId="1073EA78" w14:textId="22FD8504" w:rsidR="004966EA" w:rsidRDefault="004966EA">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03192/INFOEM/IP/RR/2023 </w:t>
          </w:r>
        </w:p>
      </w:tc>
    </w:tr>
    <w:tr w:rsidR="004966EA" w14:paraId="501FCF5E" w14:textId="77777777" w:rsidTr="006224D3">
      <w:tc>
        <w:tcPr>
          <w:tcW w:w="3805" w:type="dxa"/>
          <w:vMerge/>
          <w:shd w:val="clear" w:color="auto" w:fill="auto"/>
        </w:tcPr>
        <w:p w14:paraId="18780B44" w14:textId="77777777" w:rsidR="004966EA" w:rsidRDefault="004966E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7" w:type="dxa"/>
          <w:shd w:val="clear" w:color="auto" w:fill="auto"/>
        </w:tcPr>
        <w:p w14:paraId="5054E4FA" w14:textId="77777777" w:rsidR="004966EA" w:rsidRDefault="004966EA">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252" w:type="dxa"/>
          <w:shd w:val="clear" w:color="auto" w:fill="auto"/>
          <w:vAlign w:val="center"/>
        </w:tcPr>
        <w:p w14:paraId="63E12A47" w14:textId="30444E4A" w:rsidR="004966EA" w:rsidRDefault="004966EA">
          <w:pPr>
            <w:jc w:val="both"/>
            <w:rPr>
              <w:rFonts w:ascii="Palatino Linotype" w:eastAsia="Palatino Linotype" w:hAnsi="Palatino Linotype" w:cs="Palatino Linotype"/>
              <w:b/>
            </w:rPr>
          </w:pPr>
        </w:p>
      </w:tc>
    </w:tr>
    <w:tr w:rsidR="004966EA" w14:paraId="358D7B51" w14:textId="77777777" w:rsidTr="006224D3">
      <w:trPr>
        <w:trHeight w:val="228"/>
      </w:trPr>
      <w:tc>
        <w:tcPr>
          <w:tcW w:w="3805" w:type="dxa"/>
          <w:vMerge/>
          <w:shd w:val="clear" w:color="auto" w:fill="auto"/>
        </w:tcPr>
        <w:p w14:paraId="6F63205D" w14:textId="77777777" w:rsidR="004966EA" w:rsidRDefault="004966E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7" w:type="dxa"/>
          <w:shd w:val="clear" w:color="auto" w:fill="auto"/>
        </w:tcPr>
        <w:p w14:paraId="48DD7A1C" w14:textId="77777777" w:rsidR="004966EA" w:rsidRDefault="004966EA">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252" w:type="dxa"/>
          <w:shd w:val="clear" w:color="auto" w:fill="auto"/>
          <w:vAlign w:val="center"/>
        </w:tcPr>
        <w:p w14:paraId="73A2546B" w14:textId="08872497" w:rsidR="004966EA" w:rsidRDefault="004966EA" w:rsidP="001248B7">
          <w:pPr>
            <w:jc w:val="both"/>
            <w:rPr>
              <w:rFonts w:ascii="Palatino Linotype" w:eastAsia="Palatino Linotype" w:hAnsi="Palatino Linotype" w:cs="Palatino Linotype"/>
              <w:b/>
            </w:rPr>
          </w:pPr>
          <w:r w:rsidRPr="00F56B9C">
            <w:rPr>
              <w:rFonts w:ascii="Palatino Linotype" w:eastAsia="Palatino Linotype" w:hAnsi="Palatino Linotype" w:cs="Palatino Linotype"/>
              <w:b/>
            </w:rPr>
            <w:t xml:space="preserve">Ayuntamiento de </w:t>
          </w:r>
          <w:r>
            <w:rPr>
              <w:rFonts w:ascii="Palatino Linotype" w:eastAsia="Palatino Linotype" w:hAnsi="Palatino Linotype" w:cs="Palatino Linotype"/>
              <w:b/>
            </w:rPr>
            <w:t>Almoloya de Juárez</w:t>
          </w:r>
        </w:p>
      </w:tc>
    </w:tr>
    <w:tr w:rsidR="004966EA" w14:paraId="24385E3D" w14:textId="77777777" w:rsidTr="006224D3">
      <w:tc>
        <w:tcPr>
          <w:tcW w:w="3805" w:type="dxa"/>
          <w:vMerge/>
          <w:shd w:val="clear" w:color="auto" w:fill="auto"/>
        </w:tcPr>
        <w:p w14:paraId="0FC0A261" w14:textId="77777777" w:rsidR="004966EA" w:rsidRDefault="004966E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7" w:type="dxa"/>
          <w:shd w:val="clear" w:color="auto" w:fill="auto"/>
        </w:tcPr>
        <w:p w14:paraId="6C220F72" w14:textId="77777777" w:rsidR="004966EA" w:rsidRDefault="004966EA">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252" w:type="dxa"/>
          <w:shd w:val="clear" w:color="auto" w:fill="auto"/>
        </w:tcPr>
        <w:p w14:paraId="71B768B2" w14:textId="77777777" w:rsidR="004966EA" w:rsidRDefault="004966EA">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21842174" w14:textId="77777777" w:rsidR="004966EA" w:rsidRDefault="004966EA">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924FA1"/>
    <w:multiLevelType w:val="hybridMultilevel"/>
    <w:tmpl w:val="F9A240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934624B"/>
    <w:multiLevelType w:val="multilevel"/>
    <w:tmpl w:val="28E08550"/>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nsid w:val="3A9D69AE"/>
    <w:multiLevelType w:val="multilevel"/>
    <w:tmpl w:val="BE5EA2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nsid w:val="3B850ABC"/>
    <w:multiLevelType w:val="multilevel"/>
    <w:tmpl w:val="1060A03C"/>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bullet"/>
      <w:lvlText w:val="●"/>
      <w:lvlJc w:val="left"/>
      <w:pPr>
        <w:ind w:left="3371" w:hanging="360"/>
      </w:pPr>
      <w:rPr>
        <w:rFonts w:ascii="Noto Sans Symbols" w:eastAsia="Noto Sans Symbols" w:hAnsi="Noto Sans Symbols" w:cs="Noto Sans Symbols"/>
      </w:r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nsid w:val="4ACB0F34"/>
    <w:multiLevelType w:val="hybridMultilevel"/>
    <w:tmpl w:val="6538A0D0"/>
    <w:lvl w:ilvl="0" w:tplc="F398BF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3180F32"/>
    <w:multiLevelType w:val="hybridMultilevel"/>
    <w:tmpl w:val="0E228D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58AD1D2C"/>
    <w:multiLevelType w:val="multilevel"/>
    <w:tmpl w:val="BE5EA2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nsid w:val="5999146C"/>
    <w:multiLevelType w:val="multilevel"/>
    <w:tmpl w:val="572824C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nsid w:val="60A15881"/>
    <w:multiLevelType w:val="multilevel"/>
    <w:tmpl w:val="294A87A2"/>
    <w:lvl w:ilvl="0">
      <w:start w:val="1"/>
      <w:numFmt w:val="lowerLetter"/>
      <w:lvlText w:val="%1)"/>
      <w:lvlJc w:val="left"/>
      <w:pPr>
        <w:ind w:left="2123" w:hanging="705"/>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69437207"/>
    <w:multiLevelType w:val="hybridMultilevel"/>
    <w:tmpl w:val="2D80E410"/>
    <w:lvl w:ilvl="0" w:tplc="E81E46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abstractNumId w:val="6"/>
  </w:num>
  <w:num w:numId="2">
    <w:abstractNumId w:val="8"/>
  </w:num>
  <w:num w:numId="3">
    <w:abstractNumId w:val="7"/>
  </w:num>
  <w:num w:numId="4">
    <w:abstractNumId w:val="9"/>
  </w:num>
  <w:num w:numId="5">
    <w:abstractNumId w:val="4"/>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6BC"/>
    <w:rsid w:val="00002E97"/>
    <w:rsid w:val="00035281"/>
    <w:rsid w:val="000451DF"/>
    <w:rsid w:val="000753BF"/>
    <w:rsid w:val="00077139"/>
    <w:rsid w:val="00077728"/>
    <w:rsid w:val="000807AD"/>
    <w:rsid w:val="000863AA"/>
    <w:rsid w:val="000B163C"/>
    <w:rsid w:val="000E3E39"/>
    <w:rsid w:val="000F7EAC"/>
    <w:rsid w:val="00100C4C"/>
    <w:rsid w:val="001148AC"/>
    <w:rsid w:val="001248B7"/>
    <w:rsid w:val="0012520E"/>
    <w:rsid w:val="00140FBB"/>
    <w:rsid w:val="001577B5"/>
    <w:rsid w:val="001609EC"/>
    <w:rsid w:val="00195CD4"/>
    <w:rsid w:val="001A1F47"/>
    <w:rsid w:val="001A742E"/>
    <w:rsid w:val="001B0847"/>
    <w:rsid w:val="001E390B"/>
    <w:rsid w:val="001F5286"/>
    <w:rsid w:val="001F6ACA"/>
    <w:rsid w:val="00216C09"/>
    <w:rsid w:val="00251501"/>
    <w:rsid w:val="00280181"/>
    <w:rsid w:val="002865CC"/>
    <w:rsid w:val="00294BBC"/>
    <w:rsid w:val="00297A31"/>
    <w:rsid w:val="002A0BA8"/>
    <w:rsid w:val="002C063F"/>
    <w:rsid w:val="002C63BD"/>
    <w:rsid w:val="002C7542"/>
    <w:rsid w:val="002D3996"/>
    <w:rsid w:val="002F0CE9"/>
    <w:rsid w:val="00301D63"/>
    <w:rsid w:val="00307168"/>
    <w:rsid w:val="00314CDD"/>
    <w:rsid w:val="00323FC1"/>
    <w:rsid w:val="00335D1E"/>
    <w:rsid w:val="00353AEE"/>
    <w:rsid w:val="003544ED"/>
    <w:rsid w:val="003617E6"/>
    <w:rsid w:val="0037624F"/>
    <w:rsid w:val="0037701D"/>
    <w:rsid w:val="00384C12"/>
    <w:rsid w:val="00385B36"/>
    <w:rsid w:val="003A7281"/>
    <w:rsid w:val="003B7C37"/>
    <w:rsid w:val="003D0CAC"/>
    <w:rsid w:val="003D1C48"/>
    <w:rsid w:val="003E3868"/>
    <w:rsid w:val="00405176"/>
    <w:rsid w:val="00405640"/>
    <w:rsid w:val="00416886"/>
    <w:rsid w:val="0042377D"/>
    <w:rsid w:val="0043090E"/>
    <w:rsid w:val="0045119F"/>
    <w:rsid w:val="00491771"/>
    <w:rsid w:val="004966EA"/>
    <w:rsid w:val="0049747F"/>
    <w:rsid w:val="004C6F51"/>
    <w:rsid w:val="004E16BC"/>
    <w:rsid w:val="004F4791"/>
    <w:rsid w:val="00501972"/>
    <w:rsid w:val="00521157"/>
    <w:rsid w:val="00523374"/>
    <w:rsid w:val="00530A09"/>
    <w:rsid w:val="005362DE"/>
    <w:rsid w:val="00545614"/>
    <w:rsid w:val="00552131"/>
    <w:rsid w:val="00557B68"/>
    <w:rsid w:val="00560BB7"/>
    <w:rsid w:val="00576AC6"/>
    <w:rsid w:val="00583011"/>
    <w:rsid w:val="00585CBE"/>
    <w:rsid w:val="00585D0C"/>
    <w:rsid w:val="005910F6"/>
    <w:rsid w:val="005A6066"/>
    <w:rsid w:val="005D4BEE"/>
    <w:rsid w:val="005D6E97"/>
    <w:rsid w:val="005F0198"/>
    <w:rsid w:val="005F3DF8"/>
    <w:rsid w:val="00614022"/>
    <w:rsid w:val="00614985"/>
    <w:rsid w:val="006173B1"/>
    <w:rsid w:val="006222A6"/>
    <w:rsid w:val="006224D3"/>
    <w:rsid w:val="006231F7"/>
    <w:rsid w:val="00623742"/>
    <w:rsid w:val="00636F2F"/>
    <w:rsid w:val="00643A05"/>
    <w:rsid w:val="00654BE7"/>
    <w:rsid w:val="006550A5"/>
    <w:rsid w:val="00655D0E"/>
    <w:rsid w:val="00673FFD"/>
    <w:rsid w:val="00676AFE"/>
    <w:rsid w:val="0067749F"/>
    <w:rsid w:val="006872DA"/>
    <w:rsid w:val="006D5F51"/>
    <w:rsid w:val="006E01DF"/>
    <w:rsid w:val="006F2FCD"/>
    <w:rsid w:val="00702ACA"/>
    <w:rsid w:val="00707A16"/>
    <w:rsid w:val="00707CA7"/>
    <w:rsid w:val="00724906"/>
    <w:rsid w:val="007262F4"/>
    <w:rsid w:val="00733321"/>
    <w:rsid w:val="0074578E"/>
    <w:rsid w:val="00755B37"/>
    <w:rsid w:val="007563B1"/>
    <w:rsid w:val="007920B4"/>
    <w:rsid w:val="007947DF"/>
    <w:rsid w:val="007B0FCB"/>
    <w:rsid w:val="007B7400"/>
    <w:rsid w:val="007D04BA"/>
    <w:rsid w:val="007F7CB5"/>
    <w:rsid w:val="008154A3"/>
    <w:rsid w:val="00817AF6"/>
    <w:rsid w:val="00825731"/>
    <w:rsid w:val="008501E9"/>
    <w:rsid w:val="00856CA1"/>
    <w:rsid w:val="008872C3"/>
    <w:rsid w:val="008A2E45"/>
    <w:rsid w:val="008A470A"/>
    <w:rsid w:val="008B31F5"/>
    <w:rsid w:val="008C7115"/>
    <w:rsid w:val="008D3301"/>
    <w:rsid w:val="008D6E2D"/>
    <w:rsid w:val="008E57AB"/>
    <w:rsid w:val="008F363B"/>
    <w:rsid w:val="008F44B8"/>
    <w:rsid w:val="009003E2"/>
    <w:rsid w:val="00913F75"/>
    <w:rsid w:val="00927E78"/>
    <w:rsid w:val="0093336D"/>
    <w:rsid w:val="00964680"/>
    <w:rsid w:val="00970977"/>
    <w:rsid w:val="009878F5"/>
    <w:rsid w:val="009972F3"/>
    <w:rsid w:val="009C483E"/>
    <w:rsid w:val="009E7439"/>
    <w:rsid w:val="00A25702"/>
    <w:rsid w:val="00A33AF5"/>
    <w:rsid w:val="00A35C8D"/>
    <w:rsid w:val="00A35D64"/>
    <w:rsid w:val="00A63393"/>
    <w:rsid w:val="00A81E66"/>
    <w:rsid w:val="00A82BCA"/>
    <w:rsid w:val="00A9449B"/>
    <w:rsid w:val="00AA4734"/>
    <w:rsid w:val="00AF2EBB"/>
    <w:rsid w:val="00B016CE"/>
    <w:rsid w:val="00B224C5"/>
    <w:rsid w:val="00B25754"/>
    <w:rsid w:val="00B30E22"/>
    <w:rsid w:val="00B535CA"/>
    <w:rsid w:val="00B768CF"/>
    <w:rsid w:val="00B77290"/>
    <w:rsid w:val="00B946FD"/>
    <w:rsid w:val="00BA6FB9"/>
    <w:rsid w:val="00BB1690"/>
    <w:rsid w:val="00BB2428"/>
    <w:rsid w:val="00BB74D4"/>
    <w:rsid w:val="00BB77A3"/>
    <w:rsid w:val="00BC377C"/>
    <w:rsid w:val="00BD6089"/>
    <w:rsid w:val="00BE4BE2"/>
    <w:rsid w:val="00BF4D78"/>
    <w:rsid w:val="00BF7AAC"/>
    <w:rsid w:val="00C013EC"/>
    <w:rsid w:val="00C03872"/>
    <w:rsid w:val="00C11CC4"/>
    <w:rsid w:val="00C12219"/>
    <w:rsid w:val="00C40111"/>
    <w:rsid w:val="00C42EEC"/>
    <w:rsid w:val="00C43144"/>
    <w:rsid w:val="00C46D19"/>
    <w:rsid w:val="00C47E48"/>
    <w:rsid w:val="00C55529"/>
    <w:rsid w:val="00C611D5"/>
    <w:rsid w:val="00C80736"/>
    <w:rsid w:val="00CC01FD"/>
    <w:rsid w:val="00CD153E"/>
    <w:rsid w:val="00CD504F"/>
    <w:rsid w:val="00CD56FA"/>
    <w:rsid w:val="00CF45F7"/>
    <w:rsid w:val="00D0468F"/>
    <w:rsid w:val="00D125CD"/>
    <w:rsid w:val="00D15503"/>
    <w:rsid w:val="00D53557"/>
    <w:rsid w:val="00D558A8"/>
    <w:rsid w:val="00D67919"/>
    <w:rsid w:val="00D74B9F"/>
    <w:rsid w:val="00D834AB"/>
    <w:rsid w:val="00D90343"/>
    <w:rsid w:val="00D976AC"/>
    <w:rsid w:val="00DA4A7B"/>
    <w:rsid w:val="00DF2AC0"/>
    <w:rsid w:val="00E04E70"/>
    <w:rsid w:val="00E12820"/>
    <w:rsid w:val="00E40F55"/>
    <w:rsid w:val="00E4211A"/>
    <w:rsid w:val="00E51C68"/>
    <w:rsid w:val="00E52A5B"/>
    <w:rsid w:val="00E53C01"/>
    <w:rsid w:val="00E5409F"/>
    <w:rsid w:val="00EA5651"/>
    <w:rsid w:val="00EA68A5"/>
    <w:rsid w:val="00EC0AA9"/>
    <w:rsid w:val="00ED16D4"/>
    <w:rsid w:val="00EF20D1"/>
    <w:rsid w:val="00EF6587"/>
    <w:rsid w:val="00F1023A"/>
    <w:rsid w:val="00F36D87"/>
    <w:rsid w:val="00F42DF0"/>
    <w:rsid w:val="00F56B9C"/>
    <w:rsid w:val="00F744A2"/>
    <w:rsid w:val="00F745F1"/>
    <w:rsid w:val="00FA702E"/>
    <w:rsid w:val="00FB5715"/>
    <w:rsid w:val="00FB7962"/>
    <w:rsid w:val="00FF5D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755243"/>
  <w15:docId w15:val="{6D9B020A-F139-426E-B4F6-C34DEFCAB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A5B"/>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fff"/>
    <w:tblPr>
      <w:tblStyleRowBandSize w:val="1"/>
      <w:tblStyleColBandSize w:val="1"/>
      <w:tblCellMar>
        <w:top w:w="100" w:type="dxa"/>
        <w:left w:w="100" w:type="dxa"/>
        <w:bottom w:w="100" w:type="dxa"/>
        <w:right w:w="100" w:type="dxa"/>
      </w:tblCellMar>
    </w:tblPr>
  </w:style>
  <w:style w:type="table" w:customStyle="1" w:styleId="a0">
    <w:basedOn w:val="TableNormalffff"/>
    <w:tblPr>
      <w:tblStyleRowBandSize w:val="1"/>
      <w:tblStyleColBandSize w:val="1"/>
      <w:tblCellMar>
        <w:top w:w="0" w:type="dxa"/>
        <w:left w:w="115" w:type="dxa"/>
        <w:bottom w:w="0" w:type="dxa"/>
        <w:right w:w="115" w:type="dxa"/>
      </w:tblCellMar>
    </w:tblPr>
  </w:style>
  <w:style w:type="table" w:customStyle="1" w:styleId="a1">
    <w:basedOn w:val="TableNormalffff"/>
    <w:tblPr>
      <w:tblStyleRowBandSize w:val="1"/>
      <w:tblStyleColBandSize w:val="1"/>
      <w:tblCellMar>
        <w:top w:w="0" w:type="dxa"/>
        <w:left w:w="115" w:type="dxa"/>
        <w:bottom w:w="0" w:type="dxa"/>
        <w:right w:w="115" w:type="dxa"/>
      </w:tblCellMar>
    </w:tblPr>
  </w:style>
  <w:style w:type="table" w:customStyle="1" w:styleId="a2">
    <w:basedOn w:val="TableNormalffff"/>
    <w:tblPr>
      <w:tblStyleRowBandSize w:val="1"/>
      <w:tblStyleColBandSize w:val="1"/>
      <w:tblCellMar>
        <w:top w:w="0" w:type="dxa"/>
        <w:left w:w="115" w:type="dxa"/>
        <w:bottom w:w="0" w:type="dxa"/>
        <w:right w:w="115" w:type="dxa"/>
      </w:tblCellMar>
    </w:tblPr>
  </w:style>
  <w:style w:type="table" w:customStyle="1" w:styleId="a3">
    <w:basedOn w:val="TableNormalffff"/>
    <w:tblPr>
      <w:tblStyleRowBandSize w:val="1"/>
      <w:tblStyleColBandSize w:val="1"/>
      <w:tblCellMar>
        <w:top w:w="0" w:type="dxa"/>
        <w:left w:w="115" w:type="dxa"/>
        <w:bottom w:w="0" w:type="dxa"/>
        <w:right w:w="115" w:type="dxa"/>
      </w:tblCellMar>
    </w:tblPr>
  </w:style>
  <w:style w:type="table" w:customStyle="1" w:styleId="a4">
    <w:basedOn w:val="TableNormalffff"/>
    <w:tblPr>
      <w:tblStyleRowBandSize w:val="1"/>
      <w:tblStyleColBandSize w:val="1"/>
      <w:tblCellMar>
        <w:top w:w="0" w:type="dxa"/>
        <w:left w:w="115" w:type="dxa"/>
        <w:bottom w:w="0" w:type="dxa"/>
        <w:right w:w="115" w:type="dxa"/>
      </w:tblCellMar>
    </w:tblPr>
  </w:style>
  <w:style w:type="table" w:customStyle="1" w:styleId="a5">
    <w:basedOn w:val="TableNormalffff"/>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6">
    <w:basedOn w:val="TableNormalffff"/>
    <w:tblPr>
      <w:tblStyleRowBandSize w:val="1"/>
      <w:tblStyleColBandSize w:val="1"/>
      <w:tblCellMar>
        <w:top w:w="0" w:type="dxa"/>
        <w:left w:w="115" w:type="dxa"/>
        <w:bottom w:w="0" w:type="dxa"/>
        <w:right w:w="115" w:type="dxa"/>
      </w:tblCellMar>
    </w:tblPr>
  </w:style>
  <w:style w:type="table" w:customStyle="1" w:styleId="a7">
    <w:basedOn w:val="TableNormalffff"/>
    <w:tblPr>
      <w:tblStyleRowBandSize w:val="1"/>
      <w:tblStyleColBandSize w:val="1"/>
      <w:tblCellMar>
        <w:top w:w="0" w:type="dxa"/>
        <w:left w:w="115" w:type="dxa"/>
        <w:bottom w:w="0" w:type="dxa"/>
        <w:right w:w="115" w:type="dxa"/>
      </w:tblCellMar>
    </w:tblPr>
  </w:style>
  <w:style w:type="table" w:customStyle="1" w:styleId="a8">
    <w:basedOn w:val="TableNormalffff"/>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9">
    <w:basedOn w:val="TableNormalffff"/>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a">
    <w:basedOn w:val="TableNormalfffc"/>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b">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fe"/>
    <w:tblPr>
      <w:tblStyleRowBandSize w:val="1"/>
      <w:tblStyleColBandSize w:val="1"/>
      <w:tblCellMar>
        <w:top w:w="0" w:type="dxa"/>
        <w:left w:w="115" w:type="dxa"/>
        <w:bottom w:w="0" w:type="dxa"/>
        <w:right w:w="115" w:type="dxa"/>
      </w:tblCellMar>
    </w:tblPr>
  </w:style>
  <w:style w:type="table" w:customStyle="1" w:styleId="afff3">
    <w:basedOn w:val="TableNormalffe"/>
    <w:tblPr>
      <w:tblStyleRowBandSize w:val="1"/>
      <w:tblStyleColBandSize w:val="1"/>
      <w:tblCellMar>
        <w:top w:w="100" w:type="dxa"/>
        <w:left w:w="100" w:type="dxa"/>
        <w:bottom w:w="100" w:type="dxa"/>
        <w:right w:w="100" w:type="dxa"/>
      </w:tblCellMar>
    </w:tblPr>
  </w:style>
  <w:style w:type="table" w:customStyle="1" w:styleId="afff4">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fe"/>
    <w:tblPr>
      <w:tblStyleRowBandSize w:val="1"/>
      <w:tblStyleColBandSize w:val="1"/>
      <w:tblCellMar>
        <w:top w:w="100" w:type="dxa"/>
        <w:left w:w="100" w:type="dxa"/>
        <w:bottom w:w="100" w:type="dxa"/>
        <w:right w:w="100" w:type="dxa"/>
      </w:tblCellMar>
    </w:tblPr>
  </w:style>
  <w:style w:type="table" w:customStyle="1" w:styleId="afff7">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fe"/>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ffc">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fe"/>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ffff">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0">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6">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7">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8">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9">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a">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b">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c">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d">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e">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0">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1">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2">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3">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4">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5">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6">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7">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8">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9">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a">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b">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c">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d">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e">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0">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1">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2">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3">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4">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5">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6">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7">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8">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9">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a">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b">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c">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d">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38607">
      <w:bodyDiv w:val="1"/>
      <w:marLeft w:val="0"/>
      <w:marRight w:val="0"/>
      <w:marTop w:val="0"/>
      <w:marBottom w:val="0"/>
      <w:divBdr>
        <w:top w:val="none" w:sz="0" w:space="0" w:color="auto"/>
        <w:left w:val="none" w:sz="0" w:space="0" w:color="auto"/>
        <w:bottom w:val="none" w:sz="0" w:space="0" w:color="auto"/>
        <w:right w:val="none" w:sz="0" w:space="0" w:color="auto"/>
      </w:divBdr>
    </w:div>
    <w:div w:id="335615101">
      <w:bodyDiv w:val="1"/>
      <w:marLeft w:val="0"/>
      <w:marRight w:val="0"/>
      <w:marTop w:val="0"/>
      <w:marBottom w:val="0"/>
      <w:divBdr>
        <w:top w:val="none" w:sz="0" w:space="0" w:color="auto"/>
        <w:left w:val="none" w:sz="0" w:space="0" w:color="auto"/>
        <w:bottom w:val="none" w:sz="0" w:space="0" w:color="auto"/>
        <w:right w:val="none" w:sz="0" w:space="0" w:color="auto"/>
      </w:divBdr>
    </w:div>
    <w:div w:id="399251931">
      <w:bodyDiv w:val="1"/>
      <w:marLeft w:val="0"/>
      <w:marRight w:val="0"/>
      <w:marTop w:val="0"/>
      <w:marBottom w:val="0"/>
      <w:divBdr>
        <w:top w:val="none" w:sz="0" w:space="0" w:color="auto"/>
        <w:left w:val="none" w:sz="0" w:space="0" w:color="auto"/>
        <w:bottom w:val="none" w:sz="0" w:space="0" w:color="auto"/>
        <w:right w:val="none" w:sz="0" w:space="0" w:color="auto"/>
      </w:divBdr>
    </w:div>
    <w:div w:id="555316642">
      <w:bodyDiv w:val="1"/>
      <w:marLeft w:val="0"/>
      <w:marRight w:val="0"/>
      <w:marTop w:val="0"/>
      <w:marBottom w:val="0"/>
      <w:divBdr>
        <w:top w:val="none" w:sz="0" w:space="0" w:color="auto"/>
        <w:left w:val="none" w:sz="0" w:space="0" w:color="auto"/>
        <w:bottom w:val="none" w:sz="0" w:space="0" w:color="auto"/>
        <w:right w:val="none" w:sz="0" w:space="0" w:color="auto"/>
      </w:divBdr>
    </w:div>
    <w:div w:id="599484016">
      <w:bodyDiv w:val="1"/>
      <w:marLeft w:val="0"/>
      <w:marRight w:val="0"/>
      <w:marTop w:val="0"/>
      <w:marBottom w:val="0"/>
      <w:divBdr>
        <w:top w:val="none" w:sz="0" w:space="0" w:color="auto"/>
        <w:left w:val="none" w:sz="0" w:space="0" w:color="auto"/>
        <w:bottom w:val="none" w:sz="0" w:space="0" w:color="auto"/>
        <w:right w:val="none" w:sz="0" w:space="0" w:color="auto"/>
      </w:divBdr>
    </w:div>
    <w:div w:id="625352974">
      <w:bodyDiv w:val="1"/>
      <w:marLeft w:val="0"/>
      <w:marRight w:val="0"/>
      <w:marTop w:val="0"/>
      <w:marBottom w:val="0"/>
      <w:divBdr>
        <w:top w:val="none" w:sz="0" w:space="0" w:color="auto"/>
        <w:left w:val="none" w:sz="0" w:space="0" w:color="auto"/>
        <w:bottom w:val="none" w:sz="0" w:space="0" w:color="auto"/>
        <w:right w:val="none" w:sz="0" w:space="0" w:color="auto"/>
      </w:divBdr>
    </w:div>
    <w:div w:id="892429553">
      <w:bodyDiv w:val="1"/>
      <w:marLeft w:val="0"/>
      <w:marRight w:val="0"/>
      <w:marTop w:val="0"/>
      <w:marBottom w:val="0"/>
      <w:divBdr>
        <w:top w:val="none" w:sz="0" w:space="0" w:color="auto"/>
        <w:left w:val="none" w:sz="0" w:space="0" w:color="auto"/>
        <w:bottom w:val="none" w:sz="0" w:space="0" w:color="auto"/>
        <w:right w:val="none" w:sz="0" w:space="0" w:color="auto"/>
      </w:divBdr>
    </w:div>
    <w:div w:id="976565627">
      <w:bodyDiv w:val="1"/>
      <w:marLeft w:val="0"/>
      <w:marRight w:val="0"/>
      <w:marTop w:val="0"/>
      <w:marBottom w:val="0"/>
      <w:divBdr>
        <w:top w:val="none" w:sz="0" w:space="0" w:color="auto"/>
        <w:left w:val="none" w:sz="0" w:space="0" w:color="auto"/>
        <w:bottom w:val="none" w:sz="0" w:space="0" w:color="auto"/>
        <w:right w:val="none" w:sz="0" w:space="0" w:color="auto"/>
      </w:divBdr>
    </w:div>
    <w:div w:id="1007170551">
      <w:bodyDiv w:val="1"/>
      <w:marLeft w:val="0"/>
      <w:marRight w:val="0"/>
      <w:marTop w:val="0"/>
      <w:marBottom w:val="0"/>
      <w:divBdr>
        <w:top w:val="none" w:sz="0" w:space="0" w:color="auto"/>
        <w:left w:val="none" w:sz="0" w:space="0" w:color="auto"/>
        <w:bottom w:val="none" w:sz="0" w:space="0" w:color="auto"/>
        <w:right w:val="none" w:sz="0" w:space="0" w:color="auto"/>
      </w:divBdr>
    </w:div>
    <w:div w:id="1153331441">
      <w:bodyDiv w:val="1"/>
      <w:marLeft w:val="0"/>
      <w:marRight w:val="0"/>
      <w:marTop w:val="0"/>
      <w:marBottom w:val="0"/>
      <w:divBdr>
        <w:top w:val="none" w:sz="0" w:space="0" w:color="auto"/>
        <w:left w:val="none" w:sz="0" w:space="0" w:color="auto"/>
        <w:bottom w:val="none" w:sz="0" w:space="0" w:color="auto"/>
        <w:right w:val="none" w:sz="0" w:space="0" w:color="auto"/>
      </w:divBdr>
    </w:div>
    <w:div w:id="1298292492">
      <w:bodyDiv w:val="1"/>
      <w:marLeft w:val="0"/>
      <w:marRight w:val="0"/>
      <w:marTop w:val="0"/>
      <w:marBottom w:val="0"/>
      <w:divBdr>
        <w:top w:val="none" w:sz="0" w:space="0" w:color="auto"/>
        <w:left w:val="none" w:sz="0" w:space="0" w:color="auto"/>
        <w:bottom w:val="none" w:sz="0" w:space="0" w:color="auto"/>
        <w:right w:val="none" w:sz="0" w:space="0" w:color="auto"/>
      </w:divBdr>
    </w:div>
    <w:div w:id="1608735495">
      <w:bodyDiv w:val="1"/>
      <w:marLeft w:val="0"/>
      <w:marRight w:val="0"/>
      <w:marTop w:val="0"/>
      <w:marBottom w:val="0"/>
      <w:divBdr>
        <w:top w:val="none" w:sz="0" w:space="0" w:color="auto"/>
        <w:left w:val="none" w:sz="0" w:space="0" w:color="auto"/>
        <w:bottom w:val="none" w:sz="0" w:space="0" w:color="auto"/>
        <w:right w:val="none" w:sz="0" w:space="0" w:color="auto"/>
      </w:divBdr>
    </w:div>
    <w:div w:id="1612667316">
      <w:bodyDiv w:val="1"/>
      <w:marLeft w:val="0"/>
      <w:marRight w:val="0"/>
      <w:marTop w:val="0"/>
      <w:marBottom w:val="0"/>
      <w:divBdr>
        <w:top w:val="none" w:sz="0" w:space="0" w:color="auto"/>
        <w:left w:val="none" w:sz="0" w:space="0" w:color="auto"/>
        <w:bottom w:val="none" w:sz="0" w:space="0" w:color="auto"/>
        <w:right w:val="none" w:sz="0" w:space="0" w:color="auto"/>
      </w:divBdr>
    </w:div>
    <w:div w:id="1626472480">
      <w:bodyDiv w:val="1"/>
      <w:marLeft w:val="0"/>
      <w:marRight w:val="0"/>
      <w:marTop w:val="0"/>
      <w:marBottom w:val="0"/>
      <w:divBdr>
        <w:top w:val="none" w:sz="0" w:space="0" w:color="auto"/>
        <w:left w:val="none" w:sz="0" w:space="0" w:color="auto"/>
        <w:bottom w:val="none" w:sz="0" w:space="0" w:color="auto"/>
        <w:right w:val="none" w:sz="0" w:space="0" w:color="auto"/>
      </w:divBdr>
    </w:div>
    <w:div w:id="1811165233">
      <w:bodyDiv w:val="1"/>
      <w:marLeft w:val="0"/>
      <w:marRight w:val="0"/>
      <w:marTop w:val="0"/>
      <w:marBottom w:val="0"/>
      <w:divBdr>
        <w:top w:val="none" w:sz="0" w:space="0" w:color="auto"/>
        <w:left w:val="none" w:sz="0" w:space="0" w:color="auto"/>
        <w:bottom w:val="none" w:sz="0" w:space="0" w:color="auto"/>
        <w:right w:val="none" w:sz="0" w:space="0" w:color="auto"/>
      </w:divBdr>
    </w:div>
    <w:div w:id="1980768356">
      <w:bodyDiv w:val="1"/>
      <w:marLeft w:val="0"/>
      <w:marRight w:val="0"/>
      <w:marTop w:val="0"/>
      <w:marBottom w:val="0"/>
      <w:divBdr>
        <w:top w:val="none" w:sz="0" w:space="0" w:color="auto"/>
        <w:left w:val="none" w:sz="0" w:space="0" w:color="auto"/>
        <w:bottom w:val="none" w:sz="0" w:space="0" w:color="auto"/>
        <w:right w:val="none" w:sz="0" w:space="0" w:color="auto"/>
      </w:divBdr>
    </w:div>
    <w:div w:id="2076472164">
      <w:bodyDiv w:val="1"/>
      <w:marLeft w:val="0"/>
      <w:marRight w:val="0"/>
      <w:marTop w:val="0"/>
      <w:marBottom w:val="0"/>
      <w:divBdr>
        <w:top w:val="none" w:sz="0" w:space="0" w:color="auto"/>
        <w:left w:val="none" w:sz="0" w:space="0" w:color="auto"/>
        <w:bottom w:val="none" w:sz="0" w:space="0" w:color="auto"/>
        <w:right w:val="none" w:sz="0" w:space="0" w:color="auto"/>
      </w:divBdr>
    </w:div>
    <w:div w:id="2134131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portalanterior.ine.mx/archivos2/tutoriales/sistemas/ApoyoInstitucional/SIF/docs/candidatos/folioFiscalFactura.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LLMhVJcKNLV6gGBtRHW4rn4plyg==">AMUW2mX0IHtyDybAyiQz+3EJc+xTkZ5vcke8a3VfvX9yw61dAIxHRwdgbeR+TCE+JZGgsxL+dS5t1owW8VeJaXdXApmEMrLLnc0+lAl3zIsjhi5HpdUl00GHgrQp9F2zFGV1z/sUqF6qOtm9AeVz45ONJvPAiE9plD0GvfnQVLdzNIoSxwF4t/VHgdvKforI97GCzX+hwdshH6+8dUVgSr9/Tg53wkWlO1aF31b0Gw1j3QuO0Hx3fcTnneHRq6Tjl54OrJFlLBJfJbe83gls1p1OihXSNBg0CtaZcqnXWRjVchytOAcTv1j+pdedkJ7VLbY97fTPNmz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6EE542-EB5F-44CD-8544-5036625D0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58</Pages>
  <Words>11258</Words>
  <Characters>61925</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12</cp:revision>
  <cp:lastPrinted>2023-08-18T17:36:00Z</cp:lastPrinted>
  <dcterms:created xsi:type="dcterms:W3CDTF">2023-08-10T21:25:00Z</dcterms:created>
  <dcterms:modified xsi:type="dcterms:W3CDTF">2023-08-18T17:36:00Z</dcterms:modified>
</cp:coreProperties>
</file>