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2et92p0"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veinte de septiembre de dos mil veintitrés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02889/INFOEM/IP/RR/2023</w:t>
      </w:r>
      <w:r w:rsidDel="00000000" w:rsidR="00000000" w:rsidRPr="00000000">
        <w:rPr>
          <w:rFonts w:ascii="Palatino Linotype" w:cs="Palatino Linotype" w:eastAsia="Palatino Linotype" w:hAnsi="Palatino Linotype"/>
          <w:rtl w:val="0"/>
        </w:rPr>
        <w:t xml:space="preserve">, por interpuesto por</w:t>
      </w:r>
      <w:r w:rsidDel="00000000" w:rsidR="00000000" w:rsidRPr="00000000">
        <w:rPr>
          <w:rFonts w:ascii="Palatino Linotype" w:cs="Palatino Linotype" w:eastAsia="Palatino Linotype" w:hAnsi="Palatino Linotype"/>
          <w:b w:val="1"/>
          <w:rtl w:val="0"/>
        </w:rPr>
        <w:t xml:space="preserve"> un particular de manera anónima</w:t>
      </w:r>
      <w:r w:rsidDel="00000000" w:rsidR="00000000" w:rsidRPr="00000000">
        <w:rPr>
          <w:rFonts w:ascii="Palatino Linotype" w:cs="Palatino Linotype" w:eastAsia="Palatino Linotype" w:hAnsi="Palatino Linotype"/>
          <w:rtl w:val="0"/>
        </w:rPr>
        <w:t xml:space="preserve">, en lo sucesivo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Toluca,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doce de abril del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01229/TOLUCA/IP/2023,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“solicito todos los </w:t>
      </w:r>
      <w:r w:rsidDel="00000000" w:rsidR="00000000" w:rsidRPr="00000000">
        <w:rPr>
          <w:rFonts w:ascii="Palatino Linotype" w:cs="Palatino Linotype" w:eastAsia="Palatino Linotype" w:hAnsi="Palatino Linotype"/>
          <w:b w:val="1"/>
          <w:i w:val="1"/>
          <w:sz w:val="22"/>
          <w:szCs w:val="22"/>
          <w:u w:val="single"/>
          <w:rtl w:val="0"/>
        </w:rPr>
        <w:t xml:space="preserve">oficios de los meses de enero y febrero firmados por la o el Coordinador de Apoyo de la Dirección de Administración del Ayuntamiento de Toluca</w:t>
      </w:r>
      <w:r w:rsidDel="00000000" w:rsidR="00000000" w:rsidRPr="00000000">
        <w:rPr>
          <w:rFonts w:ascii="Palatino Linotype" w:cs="Palatino Linotype" w:eastAsia="Palatino Linotype" w:hAnsi="Palatino Linotype"/>
          <w:i w:val="1"/>
          <w:sz w:val="22"/>
          <w:szCs w:val="22"/>
          <w:rtl w:val="0"/>
        </w:rPr>
        <w:t xml:space="preserve">” (Sic) (Énfasis añadido) </w:t>
      </w:r>
    </w:p>
    <w:p w:rsidR="00000000" w:rsidDel="00000000" w:rsidP="00000000" w:rsidRDefault="00000000" w:rsidRPr="00000000" w14:paraId="0000000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cuatro de mayo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a la parte solicitante la prórroga para atender su solicitud de información, medularmente en los siguientes términos: </w:t>
      </w:r>
    </w:p>
    <w:p w:rsidR="00000000" w:rsidDel="00000000" w:rsidP="00000000" w:rsidRDefault="00000000" w:rsidRPr="00000000" w14:paraId="0000000A">
      <w:pPr>
        <w:spacing w:after="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B">
      <w:pPr>
        <w:spacing w:after="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conformidad con el articulo 163 segundo párrafo de la Ley de Transparencia y Acceso a la Información Publica del estado de México y Municipios, se informa que en la Tricentésima Trigésima Octava Sesión Extraordinaria, el Comité de transparencia aprobó mediante acuerdo numero AT/CT/01/2023 una prorroga por siete días hábiles para dar atención a la presente solicitud.</w:t>
      </w:r>
    </w:p>
    <w:p w:rsidR="00000000" w:rsidDel="00000000" w:rsidP="00000000" w:rsidRDefault="00000000" w:rsidRPr="00000000" w14:paraId="0000000C">
      <w:pPr>
        <w:spacing w:after="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Norma Sofía Pérez Martínez</w:t>
      </w:r>
    </w:p>
    <w:p w:rsidR="00000000" w:rsidDel="00000000" w:rsidP="00000000" w:rsidRDefault="00000000" w:rsidRPr="00000000" w14:paraId="0000000D">
      <w:pPr>
        <w:spacing w:after="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w:t>
      </w:r>
    </w:p>
    <w:p w:rsidR="00000000" w:rsidDel="00000000" w:rsidP="00000000" w:rsidRDefault="00000000" w:rsidRPr="00000000" w14:paraId="0000000E">
      <w:pPr>
        <w:spacing w:after="240"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 adjunto:</w:t>
      </w:r>
    </w:p>
    <w:p w:rsidR="00000000" w:rsidDel="00000000" w:rsidP="00000000" w:rsidRDefault="00000000" w:rsidRPr="00000000" w14:paraId="0000000F">
      <w:pPr>
        <w:spacing w:after="240"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“Acta Tricentesima Trigesima Octava Sesión 2023.pdf”: </w:t>
      </w:r>
      <w:r w:rsidDel="00000000" w:rsidR="00000000" w:rsidRPr="00000000">
        <w:rPr>
          <w:rFonts w:ascii="Palatino Linotype" w:cs="Palatino Linotype" w:eastAsia="Palatino Linotype" w:hAnsi="Palatino Linotype"/>
          <w:rtl w:val="0"/>
        </w:rPr>
        <w:t xml:space="preserve">Acta de la Tricentésima Trigésima Octava Sesión Extraordinaria 2023 del Comité de Transparencia del Municipio de Toluca, administración 2022-2024, por la cual se aprueba la prórroga por siete días para atender la presente solicitud de información. </w:t>
      </w:r>
    </w:p>
    <w:p w:rsidR="00000000" w:rsidDel="00000000" w:rsidP="00000000" w:rsidRDefault="00000000" w:rsidRPr="00000000" w14:paraId="00000010">
      <w:pPr>
        <w:spacing w:after="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color w:val="000000"/>
          <w:rtl w:val="0"/>
        </w:rPr>
        <w:t xml:space="preserve">dieciséis de mayo de dos mil veintitrés</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11">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2">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01229/TOLUCA/IP/2023, me permito adjuntar al presente la respuesta correspondiente y anexos. Sin más por el momento, reciba un saludo.</w:t>
      </w:r>
    </w:p>
    <w:p w:rsidR="00000000" w:rsidDel="00000000" w:rsidP="00000000" w:rsidRDefault="00000000" w:rsidRPr="00000000" w14:paraId="00000013">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4">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Norma Sofía Pérez Martínez” </w:t>
      </w:r>
    </w:p>
    <w:p w:rsidR="00000000" w:rsidDel="00000000" w:rsidP="00000000" w:rsidRDefault="00000000" w:rsidRPr="00000000" w14:paraId="00000015">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16">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“oficios cat enero 2023 vp.pdf”:</w:t>
      </w:r>
      <w:r w:rsidDel="00000000" w:rsidR="00000000" w:rsidRPr="00000000">
        <w:rPr>
          <w:rFonts w:ascii="Palatino Linotype" w:cs="Palatino Linotype" w:eastAsia="Palatino Linotype" w:hAnsi="Palatino Linotype"/>
          <w:sz w:val="22"/>
          <w:szCs w:val="22"/>
          <w:rtl w:val="0"/>
        </w:rPr>
        <w:t xml:space="preserve"> Documento de ciento cincuenta y tres (153) fojas que consisten en oficios signados por la Coordinadora de Apoyo Técnico de la Dirección General de Administración durante el mes de enero de 2023.</w:t>
      </w:r>
    </w:p>
    <w:p w:rsidR="00000000" w:rsidDel="00000000" w:rsidP="00000000" w:rsidRDefault="00000000" w:rsidRPr="00000000" w14:paraId="00000017">
      <w:pPr>
        <w:spacing w:after="240" w:before="240" w:line="360" w:lineRule="auto"/>
        <w:ind w:left="567"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3615459" cy="4910872"/>
            <wp:effectExtent b="0" l="0" r="0" t="0"/>
            <wp:docPr id="61"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615459" cy="491087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“oficios cat febrero 2023 vp.pdf”: </w:t>
      </w:r>
      <w:r w:rsidDel="00000000" w:rsidR="00000000" w:rsidRPr="00000000">
        <w:rPr>
          <w:rFonts w:ascii="Palatino Linotype" w:cs="Palatino Linotype" w:eastAsia="Palatino Linotype" w:hAnsi="Palatino Linotype"/>
          <w:rtl w:val="0"/>
        </w:rPr>
        <w:t xml:space="preserve">Documento que se compone de </w:t>
      </w:r>
      <w:r w:rsidDel="00000000" w:rsidR="00000000" w:rsidRPr="00000000">
        <w:rPr>
          <w:rFonts w:ascii="Palatino Linotype" w:cs="Palatino Linotype" w:eastAsia="Palatino Linotype" w:hAnsi="Palatino Linotype"/>
          <w:sz w:val="22"/>
          <w:szCs w:val="22"/>
          <w:rtl w:val="0"/>
        </w:rPr>
        <w:t xml:space="preserve">ciento cincuenta y un (151) fojas que consisten en oficios signados por la Coordinadora de Apoyo Técnico de la Dirección General de Administración durante el mes de febrero de 2023.</w:t>
      </w:r>
    </w:p>
    <w:p w:rsidR="00000000" w:rsidDel="00000000" w:rsidP="00000000" w:rsidRDefault="00000000" w:rsidRPr="00000000" w14:paraId="00000019">
      <w:pPr>
        <w:spacing w:after="240" w:before="240" w:line="360" w:lineRule="auto"/>
        <w:ind w:left="567"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031333" cy="5306545"/>
            <wp:effectExtent b="0" l="0" r="0" t="0"/>
            <wp:docPr id="6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031333" cy="530654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“Respuesta 1229.pdf”: </w:t>
      </w:r>
      <w:r w:rsidDel="00000000" w:rsidR="00000000" w:rsidRPr="00000000">
        <w:rPr>
          <w:rFonts w:ascii="Palatino Linotype" w:cs="Palatino Linotype" w:eastAsia="Palatino Linotype" w:hAnsi="Palatino Linotype"/>
          <w:rtl w:val="0"/>
        </w:rPr>
        <w:t xml:space="preserve">Documento de dos fojas por el cual, la Titular de la Unidad de Transparencia notifica a la persona solicitante la respuesta a su solicitud de información.</w:t>
      </w:r>
    </w:p>
    <w:p w:rsidR="00000000" w:rsidDel="00000000" w:rsidP="00000000" w:rsidRDefault="00000000" w:rsidRPr="00000000" w14:paraId="0000001B">
      <w:pPr>
        <w:spacing w:after="240" w:before="240" w:line="360" w:lineRule="auto"/>
        <w:ind w:left="567" w:right="902"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057650" cy="5819775"/>
            <wp:effectExtent b="0" l="0" r="0" t="0"/>
            <wp:docPr id="5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057650"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360" w:lineRule="auto"/>
        <w:ind w:left="567"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“Acta 289 Bis.pdf”: </w:t>
      </w:r>
      <w:r w:rsidDel="00000000" w:rsidR="00000000" w:rsidRPr="00000000">
        <w:rPr>
          <w:rFonts w:ascii="Palatino Linotype" w:cs="Palatino Linotype" w:eastAsia="Palatino Linotype" w:hAnsi="Palatino Linotype"/>
          <w:rtl w:val="0"/>
        </w:rPr>
        <w:t xml:space="preserve">Acta de la Ducentésima Octogésima Novena Bis Sesión Extraordinaria 2023 del Comité de Transparencia del Municipio de Toluca, Administración 2022-2024 por el que se clasifica parcialmente información que obran en los oficios remitidos en respuesta.</w:t>
      </w:r>
    </w:p>
    <w:p w:rsidR="00000000" w:rsidDel="00000000" w:rsidP="00000000" w:rsidRDefault="00000000" w:rsidRPr="00000000" w14:paraId="0000001D">
      <w:pPr>
        <w:spacing w:after="240" w:before="240" w:line="360" w:lineRule="auto"/>
        <w:ind w:left="567" w:right="902"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90063" cy="5421336"/>
            <wp:effectExtent b="0" l="0" r="0" t="0"/>
            <wp:docPr id="6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090063" cy="542133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rtl w:val="0"/>
        </w:rPr>
        <w:t xml:space="preserve">4. </w:t>
      </w:r>
      <w:r w:rsidDel="00000000" w:rsidR="00000000" w:rsidRPr="00000000">
        <w:rPr>
          <w:rFonts w:ascii="Palatino Linotype" w:cs="Palatino Linotype" w:eastAsia="Palatino Linotype" w:hAnsi="Palatino Linotype"/>
          <w:b w:val="1"/>
          <w:rtl w:val="0"/>
        </w:rPr>
        <w:t xml:space="preserve">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veinticuatro de mayo de dos mil veintitrés,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1F">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 </w:t>
        <w:tab/>
      </w:r>
    </w:p>
    <w:p w:rsidR="00000000" w:rsidDel="00000000" w:rsidP="00000000" w:rsidRDefault="00000000" w:rsidRPr="00000000" w14:paraId="0000002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(Sic)</w:t>
      </w:r>
    </w:p>
    <w:p w:rsidR="00000000" w:rsidDel="00000000" w:rsidP="00000000" w:rsidRDefault="00000000" w:rsidRPr="00000000" w14:paraId="00000021">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3">
      <w:pPr>
        <w:ind w:left="567" w:right="902" w:firstLine="0"/>
        <w:jc w:val="both"/>
        <w:rPr>
          <w:rFonts w:ascii="Palatino Linotype" w:cs="Palatino Linotype" w:eastAsia="Palatino Linotype" w:hAnsi="Palatino Linotype"/>
          <w:i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no entregan todo lo solicitado, ni dan cuenta de oficios reservados o clasificados</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24">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5">
      <w:pPr>
        <w:ind w:right="90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5. </w:t>
      </w:r>
      <w:r w:rsidDel="00000000" w:rsidR="00000000" w:rsidRPr="00000000">
        <w:rPr>
          <w:rFonts w:ascii="Palatino Linotype" w:cs="Palatino Linotype" w:eastAsia="Palatino Linotype" w:hAnsi="Palatino Linotype"/>
          <w:b w:val="1"/>
          <w:rtl w:val="0"/>
        </w:rPr>
        <w:t xml:space="preserve">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7">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6.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veintinueve de mayo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9">
      <w:pPr>
        <w:spacing w:after="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color w:val="000000"/>
          <w:rtl w:val="0"/>
        </w:rPr>
        <w:t xml:space="preserve">7. </w:t>
      </w:r>
      <w:r w:rsidDel="00000000" w:rsidR="00000000" w:rsidRPr="00000000">
        <w:rPr>
          <w:rFonts w:ascii="Palatino Linotype" w:cs="Palatino Linotype" w:eastAsia="Palatino Linotype" w:hAnsi="Palatino Linotype"/>
          <w:b w:val="1"/>
          <w:rtl w:val="0"/>
        </w:rPr>
        <w:t xml:space="preserve">Manifestaciones</w:t>
      </w:r>
      <w:r w:rsidDel="00000000" w:rsidR="00000000" w:rsidRPr="00000000">
        <w:rPr>
          <w:rFonts w:ascii="Palatino Linotype" w:cs="Palatino Linotype" w:eastAsia="Palatino Linotype" w:hAnsi="Palatino Linotype"/>
          <w:rtl w:val="0"/>
        </w:rPr>
        <w:t xml:space="preserve">. De las constancias que obran en el expediente electrónico, se advierte que el </w:t>
      </w:r>
      <w:r w:rsidDel="00000000" w:rsidR="00000000" w:rsidRPr="00000000">
        <w:rPr>
          <w:rFonts w:ascii="Palatino Linotype" w:cs="Palatino Linotype" w:eastAsia="Palatino Linotype" w:hAnsi="Palatino Linotype"/>
          <w:b w:val="1"/>
          <w:rtl w:val="0"/>
        </w:rPr>
        <w:t xml:space="preserve">siete de junio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su informe justificado mediante el archivo electrónico “</w:t>
      </w:r>
      <w:r w:rsidDel="00000000" w:rsidR="00000000" w:rsidRPr="00000000">
        <w:rPr>
          <w:rFonts w:ascii="Palatino Linotype" w:cs="Palatino Linotype" w:eastAsia="Palatino Linotype" w:hAnsi="Palatino Linotype"/>
          <w:b w:val="1"/>
          <w:i w:val="1"/>
          <w:rtl w:val="0"/>
        </w:rPr>
        <w:t xml:space="preserve">RR2889.pdf”, </w:t>
      </w:r>
      <w:r w:rsidDel="00000000" w:rsidR="00000000" w:rsidRPr="00000000">
        <w:rPr>
          <w:rFonts w:ascii="Palatino Linotype" w:cs="Palatino Linotype" w:eastAsia="Palatino Linotype" w:hAnsi="Palatino Linotype"/>
          <w:rtl w:val="0"/>
        </w:rPr>
        <w:t xml:space="preserve">el cual medularmente ratifica la respuesta inicial, asimismo, una vez analizada la documentación remitida en informe justificado, se determinó ponerla a la vista de la parte Recurrente mediante acuerdo signado por la Comisionada Ponente el treinta de agosto de dos mil veintitrés, es de precisar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fue omisa en emitir sus alegatos o cualquier manifestación que a su derecho conviniera, por lo que se tiene por precluido su derecho para tal efecto.</w:t>
      </w:r>
    </w:p>
    <w:p w:rsidR="00000000" w:rsidDel="00000000" w:rsidP="00000000" w:rsidRDefault="00000000" w:rsidRPr="00000000" w14:paraId="0000002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765" cy="1946910"/>
            <wp:effectExtent b="0" l="0" r="0" t="0"/>
            <wp:docPr id="6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2765" cy="194691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tabs>
          <w:tab w:val="left" w:leader="none" w:pos="709"/>
        </w:tabs>
        <w:spacing w:after="240" w:before="240" w:line="36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color w:val="000000"/>
          <w:rtl w:val="0"/>
        </w:rPr>
        <w:t xml:space="preserve">cuatro</w:t>
      </w:r>
      <w:r w:rsidDel="00000000" w:rsidR="00000000" w:rsidRPr="00000000">
        <w:rPr>
          <w:rFonts w:ascii="Palatino Linotype" w:cs="Palatino Linotype" w:eastAsia="Palatino Linotype" w:hAnsi="Palatino Linotype"/>
          <w:b w:val="1"/>
          <w:rtl w:val="0"/>
        </w:rPr>
        <w:t xml:space="preserve"> de septiembre de dos mil veintitrés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Este organismo garante no pasa por alto justificar, que el plazo </w:t>
      </w:r>
      <w:r w:rsidDel="00000000" w:rsidR="00000000" w:rsidRPr="00000000">
        <w:rPr>
          <w:rFonts w:ascii="Palatino Linotype" w:cs="Palatino Linotype" w:eastAsia="Palatino Linotype" w:hAnsi="Palatino Linotype"/>
          <w:rtl w:val="0"/>
        </w:rPr>
        <w:t xml:space="preserve">para</w:t>
      </w:r>
      <w:r w:rsidDel="00000000" w:rsidR="00000000" w:rsidRPr="00000000">
        <w:rPr>
          <w:rFonts w:ascii="Palatino Linotype" w:cs="Palatino Linotype" w:eastAsia="Palatino Linotype" w:hAnsi="Palatino Linotype"/>
          <w:color w:val="000000"/>
          <w:rtl w:val="0"/>
        </w:rPr>
        <w:t xml:space="preserve"> emitir la resolución en el presente asunto encuentra justificación en el alto número de recursos de revisión recibidos dentro del primer semestre del año dos mil veintidós, que, en comparación con los recibidos el dos mil veintiuno dentro del mismo periodo, se ha incrementado aproximadamente un 300%, circunstancia atípica que ha rebasado las capacidades técnicas y humanas del personal encargado de la proyección de las resoluciones a dichos medios de impugnación.</w:t>
      </w:r>
      <w:r w:rsidDel="00000000" w:rsidR="00000000" w:rsidRPr="00000000">
        <w:rPr>
          <w:rtl w:val="0"/>
        </w:rPr>
      </w:r>
    </w:p>
    <w:p w:rsidR="00000000" w:rsidDel="00000000" w:rsidP="00000000" w:rsidRDefault="00000000" w:rsidRPr="00000000" w14:paraId="0000002D">
      <w:pPr>
        <w:spacing w:line="360" w:lineRule="auto"/>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r w:rsidDel="00000000" w:rsidR="00000000" w:rsidRPr="00000000">
        <w:rPr>
          <w:rtl w:val="0"/>
        </w:rPr>
      </w:r>
    </w:p>
    <w:p w:rsidR="00000000" w:rsidDel="00000000" w:rsidP="00000000" w:rsidRDefault="00000000" w:rsidRPr="00000000" w14:paraId="0000002F">
      <w:pPr>
        <w:spacing w:line="360" w:lineRule="auto"/>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Del="00000000" w:rsidR="00000000" w:rsidRPr="00000000">
        <w:rPr>
          <w:rtl w:val="0"/>
        </w:rPr>
      </w:r>
    </w:p>
    <w:p w:rsidR="00000000" w:rsidDel="00000000" w:rsidP="00000000" w:rsidRDefault="00000000" w:rsidRPr="00000000" w14:paraId="00000031">
      <w:pPr>
        <w:spacing w:line="360" w:lineRule="auto"/>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r w:rsidDel="00000000" w:rsidR="00000000" w:rsidRPr="00000000">
        <w:rPr>
          <w:rtl w:val="0"/>
        </w:rPr>
      </w:r>
    </w:p>
    <w:p w:rsidR="00000000" w:rsidDel="00000000" w:rsidP="00000000" w:rsidRDefault="00000000" w:rsidRPr="00000000" w14:paraId="00000033">
      <w:pPr>
        <w:spacing w:line="360" w:lineRule="auto"/>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line="360" w:lineRule="auto"/>
        <w:ind w:left="567" w:right="567" w:hanging="141"/>
        <w:jc w:val="both"/>
        <w:rPr>
          <w:color w:val="000000"/>
        </w:rPr>
      </w:pPr>
      <w:r w:rsidDel="00000000" w:rsidR="00000000" w:rsidRPr="00000000">
        <w:rPr>
          <w:rFonts w:ascii="Palatino Linotype" w:cs="Palatino Linotype" w:eastAsia="Palatino Linotype" w:hAnsi="Palatino Linotype"/>
          <w:b w:val="1"/>
          <w:color w:val="000000"/>
          <w:rtl w:val="0"/>
        </w:rPr>
        <w:t xml:space="preserve">Complejidad del Asunto:</w:t>
      </w:r>
      <w:r w:rsidDel="00000000" w:rsidR="00000000" w:rsidRPr="00000000">
        <w:rPr>
          <w:rFonts w:ascii="Palatino Linotype" w:cs="Palatino Linotype" w:eastAsia="Palatino Linotype" w:hAnsi="Palatino Linotype"/>
          <w:color w:val="000000"/>
          <w:rtl w:val="0"/>
        </w:rPr>
        <w:t xml:space="preserve"> La complejidad de la prueba, la pluralidad de sujetos procesales, el tiempo transcurrido, las características y contexto del recurso. </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360" w:lineRule="auto"/>
        <w:ind w:left="567" w:right="567" w:hanging="141"/>
        <w:jc w:val="both"/>
        <w:rPr>
          <w:color w:val="000000"/>
        </w:rPr>
      </w:pPr>
      <w:r w:rsidDel="00000000" w:rsidR="00000000" w:rsidRPr="00000000">
        <w:rPr>
          <w:rFonts w:ascii="Palatino Linotype" w:cs="Palatino Linotype" w:eastAsia="Palatino Linotype" w:hAnsi="Palatino Linotype"/>
          <w:b w:val="1"/>
          <w:color w:val="000000"/>
          <w:rtl w:val="0"/>
        </w:rPr>
        <w:t xml:space="preserve">Actividad Procesal del interesado</w:t>
      </w:r>
      <w:r w:rsidDel="00000000" w:rsidR="00000000" w:rsidRPr="00000000">
        <w:rPr>
          <w:rFonts w:ascii="Palatino Linotype" w:cs="Palatino Linotype" w:eastAsia="Palatino Linotype" w:hAnsi="Palatino Linotype"/>
          <w:color w:val="000000"/>
          <w:rtl w:val="0"/>
        </w:rPr>
        <w:t xml:space="preserve">. Acciones u omisiones del interesado.</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360" w:lineRule="auto"/>
        <w:ind w:left="567" w:right="567" w:hanging="141"/>
        <w:jc w:val="both"/>
        <w:rPr>
          <w:color w:val="000000"/>
        </w:rPr>
      </w:pPr>
      <w:r w:rsidDel="00000000" w:rsidR="00000000" w:rsidRPr="00000000">
        <w:rPr>
          <w:rFonts w:ascii="Palatino Linotype" w:cs="Palatino Linotype" w:eastAsia="Palatino Linotype" w:hAnsi="Palatino Linotype"/>
          <w:b w:val="1"/>
          <w:color w:val="000000"/>
          <w:rtl w:val="0"/>
        </w:rPr>
        <w:t xml:space="preserve">Conducta de la Autoridad:</w:t>
      </w:r>
      <w:r w:rsidDel="00000000" w:rsidR="00000000" w:rsidRPr="00000000">
        <w:rPr>
          <w:rFonts w:ascii="Palatino Linotype" w:cs="Palatino Linotype" w:eastAsia="Palatino Linotype" w:hAnsi="Palatino Linotype"/>
          <w:color w:val="000000"/>
          <w:rtl w:val="0"/>
        </w:rPr>
        <w:t xml:space="preserve"> Las Acciones u omisiones realizadas en el procedimiento. Así como si la autoridad actuó con la debida diligencia.</w:t>
      </w:r>
      <w:r w:rsidDel="00000000" w:rsidR="00000000" w:rsidRPr="00000000">
        <w:rPr>
          <w:rtl w:val="0"/>
        </w:rPr>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360" w:lineRule="auto"/>
        <w:ind w:left="567" w:right="567" w:hanging="141"/>
        <w:jc w:val="both"/>
        <w:rPr>
          <w:color w:val="000000"/>
        </w:rPr>
      </w:pPr>
      <w:r w:rsidDel="00000000" w:rsidR="00000000" w:rsidRPr="00000000">
        <w:rPr>
          <w:rFonts w:ascii="Palatino Linotype" w:cs="Palatino Linotype" w:eastAsia="Palatino Linotype" w:hAnsi="Palatino Linotype"/>
          <w:b w:val="1"/>
          <w:color w:val="000000"/>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color w:val="000000"/>
          <w:rtl w:val="0"/>
        </w:rPr>
        <w:t xml:space="preserve"> Violación a sus derechos humanos.</w:t>
      </w:r>
      <w:r w:rsidDel="00000000" w:rsidR="00000000" w:rsidRPr="00000000">
        <w:rPr>
          <w:rtl w:val="0"/>
        </w:rPr>
      </w:r>
    </w:p>
    <w:p w:rsidR="00000000" w:rsidDel="00000000" w:rsidP="00000000" w:rsidRDefault="00000000" w:rsidRPr="00000000" w14:paraId="00000039">
      <w:pPr>
        <w:spacing w:line="360" w:lineRule="auto"/>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Del="00000000" w:rsidR="00000000" w:rsidRPr="00000000">
        <w:rPr>
          <w:rtl w:val="0"/>
        </w:rPr>
      </w:r>
    </w:p>
    <w:p w:rsidR="00000000" w:rsidDel="00000000" w:rsidP="00000000" w:rsidRDefault="00000000" w:rsidRPr="00000000" w14:paraId="0000003B">
      <w:pPr>
        <w:spacing w:line="360" w:lineRule="auto"/>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color w:val="000000"/>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color w:val="000000"/>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Al respecto, también son de considerar los criterios sostenidos por el Cuarto Tribunal Colegiado en Materia Administrativa del Primer Circuito, cuyos rubros y datos de identificación son los siguientes:</w:t>
      </w:r>
      <w:r w:rsidDel="00000000" w:rsidR="00000000" w:rsidRPr="00000000">
        <w:rPr>
          <w:rtl w:val="0"/>
        </w:rPr>
      </w:r>
    </w:p>
    <w:p w:rsidR="00000000" w:rsidDel="00000000" w:rsidP="00000000" w:rsidRDefault="00000000" w:rsidRPr="00000000" w14:paraId="00000041">
      <w:pPr>
        <w:spacing w:line="360" w:lineRule="auto"/>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color w:val="000000"/>
          <w:rtl w:val="0"/>
        </w:rPr>
        <w:t xml:space="preserve"> consultable en el Seminario Judicial de la Federación y su gaceta, con el registro digital 2002351.</w:t>
      </w: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i w:val="1"/>
          <w:color w:val="000000"/>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color w:val="000000"/>
          <w:rtl w:val="0"/>
        </w:rPr>
        <w:t xml:space="preserve">, visible en el Seminario Judicial de la Federación y su gaceta, con el registro digital 2002350.</w:t>
      </w:r>
      <w:r w:rsidDel="00000000" w:rsidR="00000000" w:rsidRPr="00000000">
        <w:rPr>
          <w:rtl w:val="0"/>
        </w:rPr>
      </w:r>
    </w:p>
    <w:p w:rsidR="00000000" w:rsidDel="00000000" w:rsidP="00000000" w:rsidRDefault="00000000" w:rsidRPr="00000000" w14:paraId="00000045">
      <w:pPr>
        <w:spacing w:line="360" w:lineRule="auto"/>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tl w:val="0"/>
        </w:rPr>
      </w:r>
    </w:p>
    <w:p w:rsidR="00000000" w:rsidDel="00000000" w:rsidP="00000000" w:rsidRDefault="00000000" w:rsidRPr="00000000" w14:paraId="00000047">
      <w:pPr>
        <w:widowControl w:val="0"/>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widowControl w:val="0"/>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color w:val="000000"/>
          <w:rtl w:val="0"/>
        </w:rPr>
        <w:t xml:space="preserve">trece de septiembre </w:t>
      </w:r>
      <w:r w:rsidDel="00000000" w:rsidR="00000000" w:rsidRPr="00000000">
        <w:rPr>
          <w:rFonts w:ascii="Palatino Linotype" w:cs="Palatino Linotype" w:eastAsia="Palatino Linotype" w:hAnsi="Palatino Linotype"/>
          <w:b w:val="1"/>
          <w:rtl w:val="0"/>
        </w:rPr>
        <w:t xml:space="preserve">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A">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B">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Ley de Transparencia y Acceso a la Información Pública del Estado de México y Municipios, establece lo siguiente:</w:t>
      </w:r>
    </w:p>
    <w:p w:rsidR="00000000" w:rsidDel="00000000" w:rsidP="00000000" w:rsidRDefault="00000000" w:rsidRPr="00000000" w14:paraId="0000004F">
      <w:pPr>
        <w:ind w:left="851" w:right="900" w:firstLine="0"/>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tl w:val="0"/>
        </w:rPr>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dieciséis de mayo de dos mil veintitrés, </w:t>
      </w:r>
      <w:r w:rsidDel="00000000" w:rsidR="00000000" w:rsidRPr="00000000">
        <w:rPr>
          <w:rFonts w:ascii="Palatino Linotype" w:cs="Palatino Linotype" w:eastAsia="Palatino Linotype" w:hAnsi="Palatino Linotype"/>
          <w:rtl w:val="0"/>
        </w:rPr>
        <w:t xml:space="preserve">mientras que el recurso de revisión interpuesto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veinticuatro de mayo de dos mil </w:t>
      </w:r>
      <w:r w:rsidDel="00000000" w:rsidR="00000000" w:rsidRPr="00000000">
        <w:rPr>
          <w:rFonts w:ascii="Palatino Linotype" w:cs="Palatino Linotype" w:eastAsia="Palatino Linotype" w:hAnsi="Palatino Linotype"/>
          <w:b w:val="1"/>
          <w:color w:val="000000"/>
          <w:rtl w:val="0"/>
        </w:rPr>
        <w:t xml:space="preserve">veintitrés</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esto es, al </w:t>
      </w:r>
      <w:r w:rsidDel="00000000" w:rsidR="00000000" w:rsidRPr="00000000">
        <w:rPr>
          <w:rFonts w:ascii="Palatino Linotype" w:cs="Palatino Linotype" w:eastAsia="Palatino Linotype" w:hAnsi="Palatino Linotype"/>
          <w:b w:val="1"/>
          <w:rtl w:val="0"/>
        </w:rPr>
        <w:t xml:space="preserve">sexto día hábil</w:t>
      </w:r>
      <w:r w:rsidDel="00000000" w:rsidR="00000000" w:rsidRPr="00000000">
        <w:rPr>
          <w:rFonts w:ascii="Palatino Linotype" w:cs="Palatino Linotype" w:eastAsia="Palatino Linotype" w:hAnsi="Palatino Linotype"/>
          <w:rtl w:val="0"/>
        </w:rPr>
        <w:t xml:space="preserve"> siguiente de aquel en que tuvo conocimiento de la respuesta impugnada.</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por cuanto hace a la procedibilidad de</w:t>
      </w:r>
      <w:r w:rsidDel="00000000" w:rsidR="00000000" w:rsidRPr="00000000">
        <w:rPr>
          <w:rFonts w:ascii="Palatino Linotype" w:cs="Palatino Linotype" w:eastAsia="Palatino Linotype" w:hAnsi="Palatino Linotype"/>
          <w:rtl w:val="0"/>
        </w:rPr>
        <w:t xml:space="preserve">l </w:t>
      </w:r>
      <w:r w:rsidDel="00000000" w:rsidR="00000000" w:rsidRPr="00000000">
        <w:rPr>
          <w:rFonts w:ascii="Palatino Linotype" w:cs="Palatino Linotype" w:eastAsia="Palatino Linotype" w:hAnsi="Palatino Linotype"/>
          <w:color w:val="000000"/>
          <w:rtl w:val="0"/>
        </w:rPr>
        <w:t xml:space="preserve"> recurso de </w:t>
      </w:r>
      <w:r w:rsidDel="00000000" w:rsidR="00000000" w:rsidRPr="00000000">
        <w:rPr>
          <w:rFonts w:ascii="Palatino Linotype" w:cs="Palatino Linotype" w:eastAsia="Palatino Linotype" w:hAnsi="Palatino Linotype"/>
          <w:rtl w:val="0"/>
        </w:rPr>
        <w:t xml:space="preserve">revisión</w:t>
      </w:r>
      <w:r w:rsidDel="00000000" w:rsidR="00000000" w:rsidRPr="00000000">
        <w:rPr>
          <w:rFonts w:ascii="Palatino Linotype" w:cs="Palatino Linotype" w:eastAsia="Palatino Linotype" w:hAnsi="Palatino Linotype"/>
          <w:color w:val="000000"/>
          <w:rtl w:val="0"/>
        </w:rPr>
        <w:t xml:space="preserve">, es de suma importancia señalar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solicitudes anónimas</w:t>
      </w:r>
      <w:r w:rsidDel="00000000" w:rsidR="00000000" w:rsidRPr="00000000">
        <w:rPr>
          <w:rFonts w:ascii="Palatino Linotype" w:cs="Palatino Linotype" w:eastAsia="Palatino Linotype" w:hAnsi="Palatino Linotype"/>
          <w:i w:val="1"/>
          <w:color w:val="000000"/>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resulta procedente la interposición del recurso, según lo aducido por la parte recurrente en sus razones o motivos de inconformidad, de acuerdo al artículo 179, </w:t>
      </w:r>
      <w:r w:rsidDel="00000000" w:rsidR="00000000" w:rsidRPr="00000000">
        <w:rPr>
          <w:rFonts w:ascii="Palatino Linotype" w:cs="Palatino Linotype" w:eastAsia="Palatino Linotype" w:hAnsi="Palatino Linotype"/>
          <w:rtl w:val="0"/>
        </w:rPr>
        <w:t xml:space="preserve">fracciones II y V de </w:t>
      </w:r>
      <w:r w:rsidDel="00000000" w:rsidR="00000000" w:rsidRPr="00000000">
        <w:rPr>
          <w:rFonts w:ascii="Palatino Linotype" w:cs="Palatino Linotype" w:eastAsia="Palatino Linotype" w:hAnsi="Palatino Linotype"/>
          <w:color w:val="000000"/>
          <w:rtl w:val="0"/>
        </w:rPr>
        <w:t xml:space="preserve">la Ley de Transparencia y Acceso a la Información Pública del Estado de México y Municipios; que a la letra dice: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El recurso de revisión</w:t>
      </w:r>
      <w:r w:rsidDel="00000000" w:rsidR="00000000" w:rsidRPr="00000000">
        <w:rPr>
          <w:rFonts w:ascii="Palatino Linotype" w:cs="Palatino Linotype" w:eastAsia="Palatino Linotype" w:hAnsi="Palatino Linotype"/>
          <w:i w:val="1"/>
          <w:color w:val="000000"/>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 La clasificación de la información;</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La entrega de información incompleta;</w:t>
      </w:r>
      <w:r w:rsidDel="00000000" w:rsidR="00000000" w:rsidRPr="00000000">
        <w:rPr>
          <w:rFonts w:ascii="Palatino Linotype" w:cs="Palatino Linotype" w:eastAsia="Palatino Linotype" w:hAnsi="Palatino Linotype"/>
          <w:i w:val="1"/>
          <w:color w:val="000000"/>
          <w:sz w:val="22"/>
          <w:szCs w:val="22"/>
          <w:rtl w:val="0"/>
        </w:rPr>
        <w:t xml:space="preserve">” (Énfasis añadido)</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e informe justificado otorgados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Cuarto. Estudio del asunto. </w:t>
      </w:r>
      <w:r w:rsidDel="00000000" w:rsidR="00000000" w:rsidRPr="00000000">
        <w:rPr>
          <w:rFonts w:ascii="Palatino Linotype" w:cs="Palatino Linotype" w:eastAsia="Palatino Linotype" w:hAnsi="Palatino Linotype"/>
          <w:color w:val="000000"/>
          <w:rtl w:val="0"/>
        </w:rPr>
        <w:t xml:space="preserve">Antes de entrar al análisis de los pronunciamientos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color w:val="000000"/>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color w:val="000000"/>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Rule="auto"/>
        <w:ind w:left="851" w:right="85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6o.</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Rule="auto"/>
        <w:ind w:left="851" w:right="90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color w:val="000000"/>
          <w:sz w:val="22"/>
          <w:szCs w:val="22"/>
          <w:rtl w:val="0"/>
        </w:rPr>
        <w:t xml:space="preserve"> Ejecutivo, Legislativo </w:t>
      </w:r>
      <w:r w:rsidDel="00000000" w:rsidR="00000000" w:rsidRPr="00000000">
        <w:rPr>
          <w:rFonts w:ascii="Palatino Linotype" w:cs="Palatino Linotype" w:eastAsia="Palatino Linotype" w:hAnsi="Palatino Linotype"/>
          <w:b w:val="1"/>
          <w:i w:val="1"/>
          <w:color w:val="000000"/>
          <w:sz w:val="22"/>
          <w:szCs w:val="22"/>
          <w:u w:val="single"/>
          <w:rtl w:val="0"/>
        </w:rPr>
        <w:t xml:space="preserve">y Judicial</w:t>
      </w:r>
      <w:r w:rsidDel="00000000" w:rsidR="00000000" w:rsidRPr="00000000">
        <w:rPr>
          <w:rFonts w:ascii="Palatino Linotype" w:cs="Palatino Linotype" w:eastAsia="Palatino Linotype" w:hAnsi="Palatino Linotype"/>
          <w:i w:val="1"/>
          <w:color w:val="000000"/>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color w:val="000000"/>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color w:val="000000"/>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color w:val="000000"/>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IV. </w:t>
      </w:r>
      <w:r w:rsidDel="00000000" w:rsidR="00000000" w:rsidRPr="00000000">
        <w:rPr>
          <w:rFonts w:ascii="Palatino Linotype" w:cs="Palatino Linotype" w:eastAsia="Palatino Linotype" w:hAnsi="Palatino Linotype"/>
          <w:i w:val="1"/>
          <w:color w:val="000000"/>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Rule="auto"/>
        <w:ind w:left="851" w:right="851"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Rule="auto"/>
        <w:ind w:left="709" w:right="760"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12</w:t>
      </w:r>
      <w:r w:rsidDel="00000000" w:rsidR="00000000" w:rsidRPr="00000000">
        <w:rPr>
          <w:rFonts w:ascii="Palatino Linotype" w:cs="Palatino Linotype" w:eastAsia="Palatino Linotype" w:hAnsi="Palatino Linotype"/>
          <w:i w:val="1"/>
          <w:color w:val="000000"/>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Rule="auto"/>
        <w:ind w:left="567" w:right="758"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03/17</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3. </w:t>
      </w:r>
      <w:r w:rsidDel="00000000" w:rsidR="00000000" w:rsidRPr="00000000">
        <w:rPr>
          <w:rFonts w:ascii="Palatino Linotype" w:cs="Palatino Linotype" w:eastAsia="Palatino Linotype" w:hAnsi="Palatino Linotype"/>
          <w:i w:val="1"/>
          <w:color w:val="000000"/>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CRITERIO 0002-11</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Rule="auto"/>
        <w:ind w:left="567" w:right="567"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7F">
      <w:pPr>
        <w:numPr>
          <w:ilvl w:val="0"/>
          <w:numId w:val="6"/>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0">
      <w:pPr>
        <w:numPr>
          <w:ilvl w:val="0"/>
          <w:numId w:val="6"/>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Rule="auto"/>
        <w:ind w:left="567" w:right="567" w:hanging="284"/>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3. </w:t>
      </w:r>
      <w:r w:rsidDel="00000000" w:rsidR="00000000" w:rsidRPr="00000000">
        <w:rPr>
          <w:rFonts w:ascii="Palatino Linotype" w:cs="Palatino Linotype" w:eastAsia="Palatino Linotype" w:hAnsi="Palatino Linotype"/>
          <w:b w:val="1"/>
          <w:i w:val="1"/>
          <w:color w:val="000000"/>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ahí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le proporcionara lo siguiente:</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350"/>
        </w:tabs>
        <w:spacing w:after="240" w:before="240" w:line="360" w:lineRule="auto"/>
        <w:ind w:left="567" w:right="901" w:hanging="141"/>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Los oficios de los meses de enero y febrero firmados por la o el Coordinador de Apoyo de la Dirección de Administración del Ayuntamiento de Toluca.</w:t>
      </w:r>
    </w:p>
    <w:p w:rsidR="00000000" w:rsidDel="00000000" w:rsidP="00000000" w:rsidRDefault="00000000" w:rsidRPr="00000000" w14:paraId="00000085">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vital importancia señalar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remitió los oficios de los meses de enero y febrero de 2023, signados por la Coordinadora de Apoyo Técnico de la Dirección General de Administración, algunos en versión pública, esto es, testando </w:t>
      </w:r>
      <w:r w:rsidDel="00000000" w:rsidR="00000000" w:rsidRPr="00000000">
        <w:rPr>
          <w:rFonts w:ascii="Palatino Linotype" w:cs="Palatino Linotype" w:eastAsia="Palatino Linotype" w:hAnsi="Palatino Linotype"/>
          <w:color w:val="000000"/>
          <w:rtl w:val="0"/>
        </w:rPr>
        <w:t xml:space="preserve">nombre de servidores públicos o de una empresa.</w:t>
      </w:r>
      <w:r w:rsidDel="00000000" w:rsidR="00000000" w:rsidRPr="00000000">
        <w:rPr>
          <w:rtl w:val="0"/>
        </w:rPr>
      </w:r>
    </w:p>
    <w:p w:rsidR="00000000" w:rsidDel="00000000" w:rsidP="00000000" w:rsidRDefault="00000000" w:rsidRPr="00000000" w14:paraId="00000086">
      <w:pPr>
        <w:spacing w:after="240" w:before="240" w:line="360" w:lineRule="auto"/>
        <w:ind w:right="-93"/>
        <w:jc w:val="both"/>
        <w:rPr>
          <w:rFonts w:ascii="Palatino Linotype" w:cs="Palatino Linotype" w:eastAsia="Palatino Linotype" w:hAnsi="Palatino Linotype"/>
          <w:i w:val="1"/>
          <w:color w:val="ff0000"/>
        </w:rPr>
      </w:pPr>
      <w:r w:rsidDel="00000000" w:rsidR="00000000" w:rsidRPr="00000000">
        <w:rPr>
          <w:rFonts w:ascii="Palatino Linotype" w:cs="Palatino Linotype" w:eastAsia="Palatino Linotype" w:hAnsi="Palatino Linotype"/>
          <w:rtl w:val="0"/>
        </w:rPr>
        <w:t xml:space="preserve">Una vez conocida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al no estar conforme con los términos de la misma, interpuso el recurso de revisión que nos ocupa, donde señaló en sus razones o motivos de inconformidad lo siguiente: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no entregan todo lo solicitado, ni dan cuenta de oficios reservados o clasificados</w:t>
      </w:r>
      <w:r w:rsidDel="00000000" w:rsidR="00000000" w:rsidRPr="00000000">
        <w:rPr>
          <w:rFonts w:ascii="Palatino Linotype" w:cs="Palatino Linotype" w:eastAsia="Palatino Linotype" w:hAnsi="Palatino Linotype"/>
          <w:i w:val="1"/>
          <w:rtl w:val="0"/>
        </w:rPr>
        <w:t xml:space="preserve">” (Sic) (Énfasis añadido), </w:t>
      </w:r>
      <w:r w:rsidDel="00000000" w:rsidR="00000000" w:rsidRPr="00000000">
        <w:rPr>
          <w:rFonts w:ascii="Palatino Linotype" w:cs="Palatino Linotype" w:eastAsia="Palatino Linotype" w:hAnsi="Palatino Linotype"/>
          <w:rtl w:val="0"/>
        </w:rPr>
        <w:t xml:space="preserve">es decir, su inconformidad medularmente versa sobre la entrega de la información incompleta, así como la clasificación de la información. </w:t>
      </w:r>
      <w:r w:rsidDel="00000000" w:rsidR="00000000" w:rsidRPr="00000000">
        <w:rPr>
          <w:rtl w:val="0"/>
        </w:rPr>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Una vez admitido el medio de impugnación que nos ocupa, se procedió a conjuntar el expediente electrónico, concediéndole a las partes un plazo de siete días para rendir sus alegatos, por lo que durante la etapa de manifestaciones,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ratificó los términos de su respuesta inicial, mientras que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fue omisa en remitir documentación alguna, por lo tanto, se decretó cerrada la instrucción y se procede a emitir la resolución que conforme a derecho corresponda.</w:t>
      </w:r>
      <w:r w:rsidDel="00000000" w:rsidR="00000000" w:rsidRPr="00000000">
        <w:rPr>
          <w:rtl w:val="0"/>
        </w:rPr>
      </w:r>
    </w:p>
    <w:p w:rsidR="00000000" w:rsidDel="00000000" w:rsidP="00000000" w:rsidRDefault="00000000" w:rsidRPr="00000000" w14:paraId="00000088">
      <w:pPr>
        <w:spacing w:after="240" w:before="240" w:line="360" w:lineRule="auto"/>
        <w:ind w:right="49"/>
        <w:jc w:val="both"/>
        <w:rPr>
          <w:rFonts w:ascii="Palatino Linotype" w:cs="Palatino Linotype" w:eastAsia="Palatino Linotype" w:hAnsi="Palatino Linotype"/>
          <w:b w:val="1"/>
        </w:rPr>
      </w:pPr>
      <w:bookmarkStart w:colFirst="0" w:colLast="0" w:name="_heading=h.3rdcrjn" w:id="5"/>
      <w:bookmarkEnd w:id="5"/>
      <w:r w:rsidDel="00000000" w:rsidR="00000000" w:rsidRPr="00000000">
        <w:rPr>
          <w:rFonts w:ascii="Palatino Linotype" w:cs="Palatino Linotype" w:eastAsia="Palatino Linotype" w:hAnsi="Palatino Linotype"/>
          <w:color w:val="000000"/>
          <w:rtl w:val="0"/>
        </w:rPr>
        <w:t xml:space="preserve">Expuestas las posturas de las partes, resulta importante iniciar este análisis mencionando que </w:t>
      </w:r>
      <w:r w:rsidDel="00000000" w:rsidR="00000000" w:rsidRPr="00000000">
        <w:rPr>
          <w:rFonts w:ascii="Palatino Linotype" w:cs="Palatino Linotype" w:eastAsia="Palatino Linotype" w:hAnsi="Palatino Linotype"/>
          <w:rtl w:val="0"/>
        </w:rPr>
        <w:t xml:space="preserve">de las constancias que integran el expediente electrónico  relacionado con </w:t>
      </w:r>
      <w:r w:rsidDel="00000000" w:rsidR="00000000" w:rsidRPr="00000000">
        <w:rPr>
          <w:rFonts w:ascii="Palatino Linotype" w:cs="Palatino Linotype" w:eastAsia="Palatino Linotype" w:hAnsi="Palatino Linotype"/>
          <w:color w:val="000000"/>
          <w:rtl w:val="0"/>
        </w:rPr>
        <w:t xml:space="preserve">el recurso </w:t>
      </w:r>
      <w:r w:rsidDel="00000000" w:rsidR="00000000" w:rsidRPr="00000000">
        <w:rPr>
          <w:rFonts w:ascii="Palatino Linotype" w:cs="Palatino Linotype" w:eastAsia="Palatino Linotype" w:hAnsi="Palatino Linotype"/>
          <w:rtl w:val="0"/>
        </w:rPr>
        <w:t xml:space="preserve">de revisión materia de estudio,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niega la competencia para conocer de la información solicitada, sino por el contrario, con la </w:t>
      </w:r>
      <w:r w:rsidDel="00000000" w:rsidR="00000000" w:rsidRPr="00000000">
        <w:rPr>
          <w:rFonts w:ascii="Palatino Linotype" w:cs="Palatino Linotype" w:eastAsia="Palatino Linotype" w:hAnsi="Palatino Linotype"/>
          <w:color w:val="000000"/>
          <w:rtl w:val="0"/>
        </w:rPr>
        <w:t xml:space="preserve">respuesta pronunciada asevera que es competente para conocer de la solicitud de información</w:t>
      </w:r>
      <w:r w:rsidDel="00000000" w:rsidR="00000000" w:rsidRPr="00000000">
        <w:rPr>
          <w:rFonts w:ascii="Palatino Linotype" w:cs="Palatino Linotype" w:eastAsia="Palatino Linotype" w:hAnsi="Palatino Linotype"/>
          <w:i w:val="1"/>
          <w:color w:val="ff0000"/>
          <w:sz w:val="20"/>
          <w:szCs w:val="20"/>
          <w:rtl w:val="0"/>
        </w:rPr>
        <w:t xml:space="preserve">, </w:t>
      </w:r>
      <w:r w:rsidDel="00000000" w:rsidR="00000000" w:rsidRPr="00000000">
        <w:rPr>
          <w:rFonts w:ascii="Palatino Linotype" w:cs="Palatino Linotype" w:eastAsia="Palatino Linotype" w:hAnsi="Palatino Linotype"/>
          <w:rtl w:val="0"/>
        </w:rPr>
        <w:t xml:space="preserve">lo anterior es así, ya que el estudio enunciado tiene por objeto determinar si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genera, posee o administra  la información solicitada, sin embargo, en aquellos casos en que este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w:t>
      </w:r>
      <w:r w:rsidDel="00000000" w:rsidR="00000000" w:rsidRPr="00000000">
        <w:rPr>
          <w:rtl w:val="0"/>
        </w:rPr>
      </w:r>
    </w:p>
    <w:p w:rsidR="00000000" w:rsidDel="00000000" w:rsidP="00000000" w:rsidRDefault="00000000" w:rsidRPr="00000000" w14:paraId="00000089">
      <w:pPr>
        <w:shd w:fill="ffffff" w:val="clea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del análisis y revisión exhaustiva a los documentos remitidos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respuesta, es decir, respecto de los oficios de los meses de enero y febrero firmados por la Coordinadora de Apoyo de la Dirección de Administración del Ayuntamiento de Toluca, se determinó que </w:t>
      </w:r>
      <w:r w:rsidDel="00000000" w:rsidR="00000000" w:rsidRPr="00000000">
        <w:rPr>
          <w:rFonts w:ascii="Palatino Linotype" w:cs="Palatino Linotype" w:eastAsia="Palatino Linotype" w:hAnsi="Palatino Linotype"/>
          <w:b w:val="1"/>
          <w:color w:val="000000"/>
          <w:u w:val="single"/>
          <w:rtl w:val="0"/>
        </w:rPr>
        <w:t xml:space="preserve">no se colmó a cabalidad el derecho de acceso a la información pública de la persona solicitante, toda vez que no se remitieron algunos oficios,</w:t>
      </w:r>
      <w:r w:rsidDel="00000000" w:rsidR="00000000" w:rsidRPr="00000000">
        <w:rPr>
          <w:rFonts w:ascii="Palatino Linotype" w:cs="Palatino Linotype" w:eastAsia="Palatino Linotype" w:hAnsi="Palatino Linotype"/>
          <w:color w:val="000000"/>
          <w:rtl w:val="0"/>
        </w:rPr>
        <w:t xml:space="preserve"> para ilustrar con mayor claridad esta circunstancia, se inserta el siguiente cuadro de análisis:</w:t>
      </w:r>
    </w:p>
    <w:tbl>
      <w:tblPr>
        <w:tblStyle w:val="Table1"/>
        <w:tblW w:w="88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2943"/>
        <w:gridCol w:w="2943"/>
        <w:tblGridChange w:id="0">
          <w:tblGrid>
            <w:gridCol w:w="2943"/>
            <w:gridCol w:w="2943"/>
            <w:gridCol w:w="2943"/>
          </w:tblGrid>
        </w:tblGridChange>
      </w:tblGrid>
      <w:tr>
        <w:trPr>
          <w:cantSplit w:val="0"/>
          <w:tblHeader w:val="0"/>
        </w:trPr>
        <w:tc>
          <w:tcPr>
            <w:shd w:fill="ddd9c4" w:val="clear"/>
          </w:tcPr>
          <w:p w:rsidR="00000000" w:rsidDel="00000000" w:rsidP="00000000" w:rsidRDefault="00000000" w:rsidRPr="00000000" w14:paraId="0000008A">
            <w:pPr>
              <w:spacing w:after="240" w:before="240" w:line="276" w:lineRule="auto"/>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Enero</w:t>
            </w:r>
          </w:p>
        </w:tc>
        <w:tc>
          <w:tcPr>
            <w:shd w:fill="ddd9c4" w:val="clear"/>
          </w:tcPr>
          <w:p w:rsidR="00000000" w:rsidDel="00000000" w:rsidP="00000000" w:rsidRDefault="00000000" w:rsidRPr="00000000" w14:paraId="0000008B">
            <w:pPr>
              <w:spacing w:after="240" w:before="240" w:line="276" w:lineRule="auto"/>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Febrero</w:t>
            </w:r>
          </w:p>
        </w:tc>
        <w:tc>
          <w:tcPr>
            <w:shd w:fill="ddd9c4" w:val="clear"/>
          </w:tcPr>
          <w:p w:rsidR="00000000" w:rsidDel="00000000" w:rsidP="00000000" w:rsidRDefault="00000000" w:rsidRPr="00000000" w14:paraId="0000008C">
            <w:pPr>
              <w:spacing w:after="240" w:before="240" w:line="276" w:lineRule="auto"/>
              <w:jc w:val="center"/>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¿Lo remitido es suficiente para colmar el requerimiento de información?</w:t>
            </w:r>
          </w:p>
        </w:tc>
      </w:tr>
      <w:tr>
        <w:trPr>
          <w:cantSplit w:val="0"/>
          <w:tblHeader w:val="0"/>
        </w:trPr>
        <w:tc>
          <w:tcPr/>
          <w:p w:rsidR="00000000" w:rsidDel="00000000" w:rsidP="00000000" w:rsidRDefault="00000000" w:rsidRPr="00000000" w14:paraId="0000008D">
            <w:pPr>
              <w:spacing w:after="240" w:before="240"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0"/>
                <w:szCs w:val="20"/>
                <w:rtl w:val="0"/>
              </w:rPr>
              <w:t xml:space="preserve">De un análisis a los oficios generados durante el mes de enero de 2023, se tiene que los números de folio comprenden del 1 al 156, sin embargo, se vislumbró que </w:t>
            </w:r>
            <w:r w:rsidDel="00000000" w:rsidR="00000000" w:rsidRPr="00000000">
              <w:rPr>
                <w:rFonts w:ascii="Palatino Linotype" w:cs="Palatino Linotype" w:eastAsia="Palatino Linotype" w:hAnsi="Palatino Linotype"/>
                <w:b w:val="1"/>
                <w:color w:val="000000"/>
                <w:sz w:val="20"/>
                <w:szCs w:val="20"/>
                <w:u w:val="single"/>
                <w:rtl w:val="0"/>
              </w:rPr>
              <w:t xml:space="preserve">no remitieron los oficios consecutivos número 030, 042, así como del 137 al 152.</w:t>
            </w:r>
            <w:r w:rsidDel="00000000" w:rsidR="00000000" w:rsidRPr="00000000">
              <w:rPr>
                <w:rtl w:val="0"/>
              </w:rPr>
            </w:r>
          </w:p>
        </w:tc>
        <w:tc>
          <w:tcPr/>
          <w:p w:rsidR="00000000" w:rsidDel="00000000" w:rsidP="00000000" w:rsidRDefault="00000000" w:rsidRPr="00000000" w14:paraId="0000008E">
            <w:pPr>
              <w:spacing w:after="240" w:before="240"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0"/>
                <w:szCs w:val="20"/>
                <w:rtl w:val="0"/>
              </w:rPr>
              <w:t xml:space="preserve">De un análisis a los oficios generados durante el mes de febrero de 2023, se tiene que los números de folio comprenden del 157 al 300, sin embargo, se vislumbró que </w:t>
            </w:r>
            <w:r w:rsidDel="00000000" w:rsidR="00000000" w:rsidRPr="00000000">
              <w:rPr>
                <w:rFonts w:ascii="Palatino Linotype" w:cs="Palatino Linotype" w:eastAsia="Palatino Linotype" w:hAnsi="Palatino Linotype"/>
                <w:b w:val="1"/>
                <w:color w:val="000000"/>
                <w:sz w:val="20"/>
                <w:szCs w:val="20"/>
                <w:u w:val="single"/>
                <w:rtl w:val="0"/>
              </w:rPr>
              <w:t xml:space="preserve">no remitieron los oficios consecutivos número 170, 171, 258, 259 y 287.</w:t>
            </w:r>
            <w:r w:rsidDel="00000000" w:rsidR="00000000" w:rsidRPr="00000000">
              <w:rPr>
                <w:rtl w:val="0"/>
              </w:rPr>
            </w:r>
          </w:p>
        </w:tc>
        <w:tc>
          <w:tcPr/>
          <w:p w:rsidR="00000000" w:rsidDel="00000000" w:rsidP="00000000" w:rsidRDefault="00000000" w:rsidRPr="00000000" w14:paraId="0000008F">
            <w:pPr>
              <w:spacing w:after="240" w:before="240" w:line="360" w:lineRule="auto"/>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2"/>
                <w:szCs w:val="22"/>
                <w:rtl w:val="0"/>
              </w:rPr>
              <w:t xml:space="preserve">Parcialmente</w:t>
            </w:r>
            <w:r w:rsidDel="00000000" w:rsidR="00000000" w:rsidRPr="00000000">
              <w:rPr>
                <w:rtl w:val="0"/>
              </w:rPr>
            </w:r>
          </w:p>
        </w:tc>
      </w:tr>
    </w:tbl>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Continuando con el análisis tanto de la respuesta como del informe justificado, se observó que no hay una manifestación puntual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respecto de los oficios faltantes, por lo tanto, al no contar con un pronunciamiento apegado a los principios de precisión y suficiencia, </w:t>
      </w:r>
      <w:r w:rsidDel="00000000" w:rsidR="00000000" w:rsidRPr="00000000">
        <w:rPr>
          <w:rFonts w:ascii="Palatino Linotype" w:cs="Palatino Linotype" w:eastAsia="Palatino Linotype" w:hAnsi="Palatino Linotype"/>
          <w:color w:val="000000"/>
          <w:rtl w:val="0"/>
        </w:rPr>
        <w:t xml:space="preserve">se contraviene a los principios de congruencia y exhaustividad, como refuerzo de lo anterior</w:t>
      </w:r>
      <w:r w:rsidDel="00000000" w:rsidR="00000000" w:rsidRPr="00000000">
        <w:rPr>
          <w:rFonts w:ascii="Palatino Linotype" w:cs="Palatino Linotype" w:eastAsia="Palatino Linotype" w:hAnsi="Palatino Linotype"/>
          <w:color w:val="000000"/>
          <w:u w:val="single"/>
          <w:rtl w:val="0"/>
        </w:rPr>
        <w:t xml:space="preserve">, resulta crucial el Criterio 02/17, emitido por el Pleno del </w:t>
      </w:r>
      <w:r w:rsidDel="00000000" w:rsidR="00000000" w:rsidRPr="00000000">
        <w:rPr>
          <w:rFonts w:ascii="Palatino Linotype" w:cs="Palatino Linotype" w:eastAsia="Palatino Linotype" w:hAnsi="Palatino Linotype"/>
          <w:color w:val="000000"/>
          <w:rtl w:val="0"/>
        </w:rPr>
        <w:t xml:space="preserve">Instituto Nacional de Transparencia y Acceso a la Información y Protección de Datos Personales, de título y texto siguientes:</w:t>
      </w:r>
      <w:r w:rsidDel="00000000" w:rsidR="00000000" w:rsidRPr="00000000">
        <w:rPr>
          <w:rtl w:val="0"/>
        </w:rPr>
      </w:r>
    </w:p>
    <w:p w:rsidR="00000000" w:rsidDel="00000000" w:rsidP="00000000" w:rsidRDefault="00000000" w:rsidRPr="00000000" w14:paraId="00000091">
      <w:pPr>
        <w:spacing w:after="240" w:before="240"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color w:val="000000"/>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color w:val="000000"/>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color w:val="000000"/>
          <w:sz w:val="22"/>
          <w:szCs w:val="22"/>
          <w:rtl w:val="0"/>
        </w:rPr>
        <w:t xml:space="preserve">; mientras que </w:t>
      </w:r>
      <w:r w:rsidDel="00000000" w:rsidR="00000000" w:rsidRPr="00000000">
        <w:rPr>
          <w:rFonts w:ascii="Palatino Linotype" w:cs="Palatino Linotype" w:eastAsia="Palatino Linotype" w:hAnsi="Palatino Linotype"/>
          <w:b w:val="1"/>
          <w:i w:val="1"/>
          <w:color w:val="000000"/>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color w:val="000000"/>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Teniendo esta premisa en cuenta, resulta importante destacar que en efecto, como refiere el particular en sus razones o motivos de inconformidad, existe información faltante, por lo que, en consecuencia, resulta pertinente ordenar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la entrega de los oficios faltantes firmados por la Coordinadora de Apoyo de la Dirección de Administración del Ayuntamiento de Toluca, durante los meses de enero y febrero de 2023, de ser procedente en versión pública, </w:t>
      </w:r>
      <w:r w:rsidDel="00000000" w:rsidR="00000000" w:rsidRPr="00000000">
        <w:rPr>
          <w:rFonts w:ascii="Palatino Linotype" w:cs="Palatino Linotype" w:eastAsia="Palatino Linotype" w:hAnsi="Palatino Linotype"/>
          <w:b w:val="1"/>
          <w:color w:val="000000"/>
          <w:u w:val="single"/>
          <w:rtl w:val="0"/>
        </w:rPr>
        <w:t xml:space="preserve">para el caso de que algunos de los oficios no se localicen porque ya no fueron emitidos por el área de la que se solicita información o bien fueron cancelados</w:t>
      </w:r>
      <w:r w:rsidDel="00000000" w:rsidR="00000000" w:rsidRPr="00000000">
        <w:rPr>
          <w:rFonts w:ascii="Palatino Linotype" w:cs="Palatino Linotype" w:eastAsia="Palatino Linotype" w:hAnsi="Palatino Linotype"/>
          <w:color w:val="000000"/>
          <w:rtl w:val="0"/>
        </w:rPr>
        <w:t xml:space="preserve">,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19</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otra parte, resulta pertinente señalar que por cuanto hace a la manifestación “</w:t>
      </w:r>
      <w:r w:rsidDel="00000000" w:rsidR="00000000" w:rsidRPr="00000000">
        <w:rPr>
          <w:rFonts w:ascii="Palatino Linotype" w:cs="Palatino Linotype" w:eastAsia="Palatino Linotype" w:hAnsi="Palatino Linotype"/>
          <w:b w:val="1"/>
          <w:i w:val="1"/>
          <w:color w:val="000000"/>
          <w:u w:val="single"/>
          <w:rtl w:val="0"/>
        </w:rPr>
        <w:t xml:space="preserve">ni dan cuenta de oficios reservados o clasificados”,</w:t>
      </w:r>
      <w:r w:rsidDel="00000000" w:rsidR="00000000" w:rsidRPr="00000000">
        <w:rPr>
          <w:rFonts w:ascii="Palatino Linotype" w:cs="Palatino Linotype" w:eastAsia="Palatino Linotype" w:hAnsi="Palatino Linotype"/>
          <w:color w:val="000000"/>
          <w:rtl w:val="0"/>
        </w:rPr>
        <w:t xml:space="preserve"> debemos recordar que en respuesta adjuntó el Acta de la Ducentésima Octogésima Novena Bis Sesión Extraordinaria 2023 del Comité de Transparencia del Municipio de Toluca, Administración 2022-2024, mediante el cual señalaba que se aprobaba la versión pública de los oficios remitidos en respuesta, toda vez que en ellos obraba una serie de datos susceptibles a clasificarse como confidenciales, sin embargo, derivado de la revisión exhaustiva practicada a esta documentación, se aprecia que únicamente se testó información en los siguientes oficios:</w:t>
      </w:r>
    </w:p>
    <w:tbl>
      <w:tblPr>
        <w:tblStyle w:val="Table2"/>
        <w:tblW w:w="88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5"/>
        <w:tblGridChange w:id="0">
          <w:tblGrid>
            <w:gridCol w:w="4414"/>
            <w:gridCol w:w="4415"/>
          </w:tblGrid>
        </w:tblGridChange>
      </w:tblGrid>
      <w:tr>
        <w:trPr>
          <w:cantSplit w:val="0"/>
          <w:tblHeader w:val="0"/>
        </w:trPr>
        <w:tc>
          <w:tcPr>
            <w:shd w:fill="ddd9c4" w:val="clear"/>
          </w:tcPr>
          <w:p w:rsidR="00000000" w:rsidDel="00000000" w:rsidP="00000000" w:rsidRDefault="00000000" w:rsidRPr="00000000" w14:paraId="00000096">
            <w:pPr>
              <w:spacing w:after="240" w:before="240" w:line="360" w:lineRule="auto"/>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Oficios</w:t>
            </w:r>
          </w:p>
        </w:tc>
        <w:tc>
          <w:tcPr>
            <w:shd w:fill="ddd9c4" w:val="clear"/>
          </w:tcPr>
          <w:p w:rsidR="00000000" w:rsidDel="00000000" w:rsidP="00000000" w:rsidRDefault="00000000" w:rsidRPr="00000000" w14:paraId="00000097">
            <w:pPr>
              <w:spacing w:after="240" w:before="240" w:line="360" w:lineRule="auto"/>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Datos que se clasificaron</w:t>
            </w:r>
          </w:p>
        </w:tc>
      </w:tr>
      <w:tr>
        <w:trPr>
          <w:cantSplit w:val="0"/>
          <w:tblHeader w:val="0"/>
        </w:trPr>
        <w:tc>
          <w:tcPr/>
          <w:p w:rsidR="00000000" w:rsidDel="00000000" w:rsidP="00000000" w:rsidRDefault="00000000" w:rsidRPr="00000000" w14:paraId="00000098">
            <w:pPr>
              <w:spacing w:after="240" w:before="240" w:line="360" w:lineRule="auto"/>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Enero</w:t>
            </w:r>
          </w:p>
        </w:tc>
        <w:tc>
          <w:tcPr/>
          <w:p w:rsidR="00000000" w:rsidDel="00000000" w:rsidP="00000000" w:rsidRDefault="00000000" w:rsidRPr="00000000" w14:paraId="00000099">
            <w:pPr>
              <w:spacing w:after="240" w:before="240" w:line="276"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082 y 109</w:t>
            </w:r>
            <w:r w:rsidDel="00000000" w:rsidR="00000000" w:rsidRPr="00000000">
              <w:rPr>
                <w:rFonts w:ascii="Palatino Linotype" w:cs="Palatino Linotype" w:eastAsia="Palatino Linotype" w:hAnsi="Palatino Linotype"/>
                <w:color w:val="000000"/>
                <w:sz w:val="22"/>
                <w:szCs w:val="22"/>
                <w:rtl w:val="0"/>
              </w:rPr>
              <w:t xml:space="preserve">: Nombre de servidoras públicas que se encuentran adscritas a la Dirección de Seguridad y Protección, sin embargo, no se tiene certeza si es elemento operativo o administrativo. </w:t>
            </w:r>
          </w:p>
          <w:p w:rsidR="00000000" w:rsidDel="00000000" w:rsidP="00000000" w:rsidRDefault="00000000" w:rsidRPr="00000000" w14:paraId="0000009A">
            <w:pPr>
              <w:spacing w:after="240" w:before="240"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sz w:val="22"/>
                <w:szCs w:val="22"/>
                <w:rtl w:val="0"/>
              </w:rPr>
              <w:t xml:space="preserve">122 y 127:</w:t>
            </w:r>
            <w:r w:rsidDel="00000000" w:rsidR="00000000" w:rsidRPr="00000000">
              <w:rPr>
                <w:rFonts w:ascii="Palatino Linotype" w:cs="Palatino Linotype" w:eastAsia="Palatino Linotype" w:hAnsi="Palatino Linotype"/>
                <w:color w:val="000000"/>
                <w:sz w:val="22"/>
                <w:szCs w:val="22"/>
                <w:rtl w:val="0"/>
              </w:rPr>
              <w:t xml:space="preserve"> Nombres de personas que no se tiene certeza si es servidora pública.</w:t>
            </w:r>
            <w:r w:rsidDel="00000000" w:rsidR="00000000" w:rsidRPr="00000000">
              <w:rPr>
                <w:rtl w:val="0"/>
              </w:rPr>
            </w:r>
          </w:p>
        </w:tc>
      </w:tr>
      <w:tr>
        <w:trPr>
          <w:cantSplit w:val="0"/>
          <w:tblHeader w:val="0"/>
        </w:trPr>
        <w:tc>
          <w:tcPr/>
          <w:p w:rsidR="00000000" w:rsidDel="00000000" w:rsidP="00000000" w:rsidRDefault="00000000" w:rsidRPr="00000000" w14:paraId="0000009B">
            <w:pPr>
              <w:spacing w:after="240" w:before="240" w:line="360" w:lineRule="auto"/>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Febrero</w:t>
            </w:r>
          </w:p>
        </w:tc>
        <w:tc>
          <w:tcPr/>
          <w:p w:rsidR="00000000" w:rsidDel="00000000" w:rsidP="00000000" w:rsidRDefault="00000000" w:rsidRPr="00000000" w14:paraId="0000009C">
            <w:pPr>
              <w:spacing w:after="240" w:before="240" w:line="276"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166:</w:t>
            </w:r>
            <w:r w:rsidDel="00000000" w:rsidR="00000000" w:rsidRPr="00000000">
              <w:rPr>
                <w:rFonts w:ascii="Palatino Linotype" w:cs="Palatino Linotype" w:eastAsia="Palatino Linotype" w:hAnsi="Palatino Linotype"/>
                <w:color w:val="000000"/>
                <w:sz w:val="22"/>
                <w:szCs w:val="22"/>
                <w:rtl w:val="0"/>
              </w:rPr>
              <w:t xml:space="preserve"> Nombre de una empresa</w:t>
            </w:r>
          </w:p>
          <w:p w:rsidR="00000000" w:rsidDel="00000000" w:rsidP="00000000" w:rsidRDefault="00000000" w:rsidRPr="00000000" w14:paraId="0000009D">
            <w:pPr>
              <w:spacing w:after="240" w:before="240"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sz w:val="22"/>
                <w:szCs w:val="22"/>
                <w:rtl w:val="0"/>
              </w:rPr>
              <w:t xml:space="preserve">175, 177, 211, 230 y 283:</w:t>
            </w:r>
            <w:r w:rsidDel="00000000" w:rsidR="00000000" w:rsidRPr="00000000">
              <w:rPr>
                <w:rFonts w:ascii="Palatino Linotype" w:cs="Palatino Linotype" w:eastAsia="Palatino Linotype" w:hAnsi="Palatino Linotype"/>
                <w:color w:val="000000"/>
                <w:sz w:val="22"/>
                <w:szCs w:val="22"/>
                <w:rtl w:val="0"/>
              </w:rPr>
              <w:t xml:space="preserve"> Nombre de persona que no se tiene certeza si es servidora pública</w:t>
            </w:r>
            <w:r w:rsidDel="00000000" w:rsidR="00000000" w:rsidRPr="00000000">
              <w:rPr>
                <w:rtl w:val="0"/>
              </w:rPr>
            </w:r>
          </w:p>
        </w:tc>
      </w:tr>
    </w:tbl>
    <w:p w:rsidR="00000000" w:rsidDel="00000000" w:rsidP="00000000" w:rsidRDefault="00000000" w:rsidRPr="00000000" w14:paraId="0000009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 efecto de garantizar si la actuación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apegada a derecho, resulta conveniente analizar el </w:t>
      </w:r>
      <w:r w:rsidDel="00000000" w:rsidR="00000000" w:rsidRPr="00000000">
        <w:rPr>
          <w:rFonts w:ascii="Palatino Linotype" w:cs="Palatino Linotype" w:eastAsia="Palatino Linotype" w:hAnsi="Palatino Linotype"/>
          <w:b w:val="1"/>
          <w:rtl w:val="0"/>
        </w:rPr>
        <w:t xml:space="preserve">acuerdo de clasificación que sustenta estos oficios remitidos en respuesta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antes señalado, primeramente es necesario señalar que del análisis a las documentales remitidas en respuesta, se advierte que efectivamente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color w:val="000000"/>
          <w:rtl w:val="0"/>
        </w:rPr>
        <w:t xml:space="preserve">adjuntó el Acta de la Ducentésima Octogésima Novena Bis Sesión Extraordinaria 2023 del Comité de Transparencia del Municipio de Toluca, Administración 2022-2024, por el cual se clasifican los correos electrónicos, número de empleado, clave ISSEMYM y nombres, por </w:t>
      </w:r>
      <w:r w:rsidDel="00000000" w:rsidR="00000000" w:rsidRPr="00000000">
        <w:rPr>
          <w:rFonts w:ascii="Palatino Linotype" w:cs="Palatino Linotype" w:eastAsia="Palatino Linotype" w:hAnsi="Palatino Linotype"/>
          <w:rtl w:val="0"/>
        </w:rPr>
        <w:t xml:space="preserve">lo tanto, con el objetivo de brindar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la máxima tutela a su derecho de acceso a la información pública, resulta importante analizar si dicho acuerdo se realizó conforme a derecho, para ello se inserta el siguiente cuadro de análisis:</w:t>
      </w:r>
    </w:p>
    <w:tbl>
      <w:tblPr>
        <w:tblStyle w:val="Table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7"/>
        <w:gridCol w:w="6013"/>
        <w:gridCol w:w="1499"/>
        <w:tblGridChange w:id="0">
          <w:tblGrid>
            <w:gridCol w:w="1548"/>
            <w:gridCol w:w="7"/>
            <w:gridCol w:w="6013"/>
            <w:gridCol w:w="1499"/>
          </w:tblGrid>
        </w:tblGridChange>
      </w:tblGrid>
      <w:tr>
        <w:trPr>
          <w:cantSplit w:val="0"/>
          <w:trHeight w:val="569" w:hRule="atLeast"/>
          <w:tblHeader w:val="0"/>
        </w:trPr>
        <w:tc>
          <w:tcPr>
            <w:shd w:fill="ddd9c4" w:val="clear"/>
          </w:tcPr>
          <w:p w:rsidR="00000000" w:rsidDel="00000000" w:rsidP="00000000" w:rsidRDefault="00000000" w:rsidRPr="00000000" w14:paraId="000000A0">
            <w:pPr>
              <w:spacing w:after="200" w:before="100" w:line="276" w:lineRule="auto"/>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Elementos del acuerdo de clasificación</w:t>
            </w:r>
          </w:p>
        </w:tc>
        <w:tc>
          <w:tcPr>
            <w:gridSpan w:val="2"/>
            <w:shd w:fill="ddd9c4" w:val="clear"/>
          </w:tcPr>
          <w:p w:rsidR="00000000" w:rsidDel="00000000" w:rsidP="00000000" w:rsidRDefault="00000000" w:rsidRPr="00000000" w14:paraId="000000A1">
            <w:pPr>
              <w:spacing w:after="200" w:before="100" w:line="276" w:lineRule="auto"/>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Contenido</w:t>
            </w:r>
          </w:p>
        </w:tc>
        <w:tc>
          <w:tcPr>
            <w:shd w:fill="ddd9c4" w:val="clear"/>
          </w:tcPr>
          <w:p w:rsidR="00000000" w:rsidDel="00000000" w:rsidP="00000000" w:rsidRDefault="00000000" w:rsidRPr="00000000" w14:paraId="000000A3">
            <w:pPr>
              <w:spacing w:after="200" w:before="100" w:line="276" w:lineRule="auto"/>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¿Cumple?</w:t>
            </w:r>
          </w:p>
        </w:tc>
      </w:tr>
      <w:tr>
        <w:trPr>
          <w:cantSplit w:val="0"/>
          <w:tblHeader w:val="0"/>
        </w:trPr>
        <w:tc>
          <w:tcPr/>
          <w:p w:rsidR="00000000" w:rsidDel="00000000" w:rsidP="00000000" w:rsidRDefault="00000000" w:rsidRPr="00000000" w14:paraId="000000A4">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Número de folio de la solicitud</w:t>
            </w:r>
            <w:r w:rsidDel="00000000" w:rsidR="00000000" w:rsidRPr="00000000">
              <w:rPr>
                <w:rtl w:val="0"/>
              </w:rPr>
            </w:r>
          </w:p>
        </w:tc>
        <w:tc>
          <w:tcPr>
            <w:gridSpan w:val="2"/>
          </w:tcPr>
          <w:p w:rsidR="00000000" w:rsidDel="00000000" w:rsidP="00000000" w:rsidRDefault="00000000" w:rsidRPr="00000000" w14:paraId="000000A5">
            <w:pPr>
              <w:spacing w:after="2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685540" cy="909955"/>
                  <wp:effectExtent b="0" l="0" r="0" t="0"/>
                  <wp:docPr id="6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85540" cy="9099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7">
            <w:pPr>
              <w:spacing w:after="200" w:before="100"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Sí</w:t>
            </w:r>
          </w:p>
        </w:tc>
      </w:tr>
      <w:tr>
        <w:trPr>
          <w:cantSplit w:val="0"/>
          <w:tblHeader w:val="0"/>
        </w:trPr>
        <w:tc>
          <w:tcPr/>
          <w:p w:rsidR="00000000" w:rsidDel="00000000" w:rsidP="00000000" w:rsidRDefault="00000000" w:rsidRPr="00000000" w14:paraId="000000A8">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Referencia de la información solicitada</w:t>
            </w:r>
            <w:r w:rsidDel="00000000" w:rsidR="00000000" w:rsidRPr="00000000">
              <w:rPr>
                <w:rtl w:val="0"/>
              </w:rPr>
            </w:r>
          </w:p>
        </w:tc>
        <w:tc>
          <w:tcPr>
            <w:gridSpan w:val="2"/>
          </w:tcPr>
          <w:p w:rsidR="00000000" w:rsidDel="00000000" w:rsidP="00000000" w:rsidRDefault="00000000" w:rsidRPr="00000000" w14:paraId="000000A9">
            <w:pPr>
              <w:spacing w:after="200" w:before="100" w:line="276"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685540" cy="895350"/>
                  <wp:effectExtent b="0" l="0" r="0" t="0"/>
                  <wp:docPr id="67"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685540" cy="895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B">
            <w:pPr>
              <w:spacing w:after="200" w:before="10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w:t>
            </w:r>
          </w:p>
          <w:p w:rsidR="00000000" w:rsidDel="00000000" w:rsidP="00000000" w:rsidRDefault="00000000" w:rsidRPr="00000000" w14:paraId="000000AC">
            <w:pPr>
              <w:spacing w:after="200" w:before="100" w:line="276"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18"/>
                <w:szCs w:val="18"/>
                <w:rtl w:val="0"/>
              </w:rPr>
              <w:t xml:space="preserve">Observaciones: </w:t>
            </w:r>
            <w:r w:rsidDel="00000000" w:rsidR="00000000" w:rsidRPr="00000000">
              <w:rPr>
                <w:rFonts w:ascii="Palatino Linotype" w:cs="Palatino Linotype" w:eastAsia="Palatino Linotype" w:hAnsi="Palatino Linotype"/>
                <w:sz w:val="18"/>
                <w:szCs w:val="18"/>
                <w:rtl w:val="0"/>
              </w:rPr>
              <w:t xml:space="preserve">Se</w:t>
            </w:r>
            <w:r w:rsidDel="00000000" w:rsidR="00000000" w:rsidRPr="00000000">
              <w:rPr>
                <w:rFonts w:ascii="Palatino Linotype" w:cs="Palatino Linotype" w:eastAsia="Palatino Linotype" w:hAnsi="Palatino Linotype"/>
                <w:b w:val="1"/>
                <w:sz w:val="18"/>
                <w:szCs w:val="18"/>
                <w:rtl w:val="0"/>
              </w:rPr>
              <w:t xml:space="preserve"> </w:t>
            </w:r>
            <w:r w:rsidDel="00000000" w:rsidR="00000000" w:rsidRPr="00000000">
              <w:rPr>
                <w:rFonts w:ascii="Palatino Linotype" w:cs="Palatino Linotype" w:eastAsia="Palatino Linotype" w:hAnsi="Palatino Linotype"/>
                <w:sz w:val="18"/>
                <w:szCs w:val="18"/>
                <w:rtl w:val="0"/>
              </w:rPr>
              <w:t xml:space="preserve">hace referencia a datos adicionales a los clasificados en esta documentación, tales como correos electrónicos, número de empleado y clave ISSEMYM, sin embargo, en el acuerdo no se hace referencia a clasificar el nombre de una empresa o de servidoras públicas que se encuentran adscritas a la Dirección de Seguridad y Protección.</w:t>
            </w:r>
            <w:r w:rsidDel="00000000" w:rsidR="00000000" w:rsidRPr="00000000">
              <w:rPr>
                <w:rtl w:val="0"/>
              </w:rPr>
            </w:r>
          </w:p>
        </w:tc>
      </w:tr>
      <w:tr>
        <w:trPr>
          <w:cantSplit w:val="0"/>
          <w:tblHeader w:val="0"/>
        </w:trPr>
        <w:tc>
          <w:tcPr/>
          <w:p w:rsidR="00000000" w:rsidDel="00000000" w:rsidP="00000000" w:rsidRDefault="00000000" w:rsidRPr="00000000" w14:paraId="000000AD">
            <w:pPr>
              <w:spacing w:after="200" w:before="100"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Artículo, fracción, inciso, párrafo o numeral de la ley que le otorga el carácter de confidencial.</w:t>
            </w:r>
          </w:p>
        </w:tc>
        <w:tc>
          <w:tcPr>
            <w:gridSpan w:val="2"/>
          </w:tcPr>
          <w:p w:rsidR="00000000" w:rsidDel="00000000" w:rsidP="00000000" w:rsidRDefault="00000000" w:rsidRPr="00000000" w14:paraId="000000AE">
            <w:pPr>
              <w:spacing w:after="2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631103" cy="5043129"/>
                  <wp:effectExtent b="0" l="0" r="0" t="0"/>
                  <wp:docPr id="7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631103" cy="5043129"/>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2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469615" cy="5240945"/>
                  <wp:effectExtent b="0" l="0" r="0" t="0"/>
                  <wp:docPr id="6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469615" cy="52409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1">
            <w:pPr>
              <w:spacing w:after="200" w:before="10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Sí</w:t>
            </w:r>
          </w:p>
        </w:tc>
      </w:tr>
      <w:tr>
        <w:trPr>
          <w:cantSplit w:val="0"/>
          <w:tblHeader w:val="0"/>
        </w:trPr>
        <w:tc>
          <w:tcPr/>
          <w:p w:rsidR="00000000" w:rsidDel="00000000" w:rsidP="00000000" w:rsidRDefault="00000000" w:rsidRPr="00000000" w14:paraId="000000B2">
            <w:pPr>
              <w:spacing w:after="200" w:before="10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Motivación Legal</w:t>
            </w:r>
            <w:r w:rsidDel="00000000" w:rsidR="00000000" w:rsidRPr="00000000">
              <w:rPr>
                <w:rtl w:val="0"/>
              </w:rPr>
            </w:r>
          </w:p>
        </w:tc>
        <w:tc>
          <w:tcPr>
            <w:gridSpan w:val="2"/>
          </w:tcPr>
          <w:p w:rsidR="00000000" w:rsidDel="00000000" w:rsidP="00000000" w:rsidRDefault="00000000" w:rsidRPr="00000000" w14:paraId="000000B3">
            <w:pPr>
              <w:spacing w:after="2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685540" cy="2408555"/>
                  <wp:effectExtent b="0" l="0" r="0" t="0"/>
                  <wp:docPr id="7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685540" cy="24085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56516</wp:posOffset>
                  </wp:positionH>
                  <wp:positionV relativeFrom="paragraph">
                    <wp:posOffset>116204</wp:posOffset>
                  </wp:positionV>
                  <wp:extent cx="3607435" cy="3657600"/>
                  <wp:effectExtent b="0" l="0" r="0" t="0"/>
                  <wp:wrapTopAndBottom distB="0" distT="0"/>
                  <wp:docPr id="6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607435" cy="3657600"/>
                          </a:xfrm>
                          <a:prstGeom prst="rect"/>
                          <a:ln/>
                        </pic:spPr>
                      </pic:pic>
                    </a:graphicData>
                  </a:graphic>
                </wp:anchor>
              </w:drawing>
            </w:r>
          </w:p>
        </w:tc>
        <w:tc>
          <w:tcPr/>
          <w:p w:rsidR="00000000" w:rsidDel="00000000" w:rsidP="00000000" w:rsidRDefault="00000000" w:rsidRPr="00000000" w14:paraId="000000B5">
            <w:pPr>
              <w:spacing w:after="200" w:before="10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w:t>
            </w:r>
          </w:p>
          <w:p w:rsidR="00000000" w:rsidDel="00000000" w:rsidP="00000000" w:rsidRDefault="00000000" w:rsidRPr="00000000" w14:paraId="000000B6">
            <w:pPr>
              <w:spacing w:after="200" w:before="100" w:line="276"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18"/>
                <w:szCs w:val="18"/>
                <w:rtl w:val="0"/>
              </w:rPr>
              <w:t xml:space="preserve">Observaciones: </w:t>
            </w:r>
            <w:r w:rsidDel="00000000" w:rsidR="00000000" w:rsidRPr="00000000">
              <w:rPr>
                <w:rFonts w:ascii="Palatino Linotype" w:cs="Palatino Linotype" w:eastAsia="Palatino Linotype" w:hAnsi="Palatino Linotype"/>
                <w:sz w:val="18"/>
                <w:szCs w:val="18"/>
                <w:rtl w:val="0"/>
              </w:rPr>
              <w:t xml:space="preserve">No se hace referencia a clasificación de nombre de empresa</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B7">
            <w:pPr>
              <w:spacing w:after="200" w:before="100" w:line="276"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sz w:val="18"/>
                <w:szCs w:val="18"/>
                <w:rtl w:val="0"/>
              </w:rPr>
              <w:t xml:space="preserve">Autoridades competentes.</w:t>
            </w:r>
            <w:r w:rsidDel="00000000" w:rsidR="00000000" w:rsidRPr="00000000">
              <w:rPr>
                <w:rtl w:val="0"/>
              </w:rPr>
            </w:r>
          </w:p>
        </w:tc>
        <w:tc>
          <w:tcPr>
            <w:shd w:fill="auto" w:val="clear"/>
          </w:tcPr>
          <w:p w:rsidR="00000000" w:rsidDel="00000000" w:rsidP="00000000" w:rsidRDefault="00000000" w:rsidRPr="00000000" w14:paraId="000000B9">
            <w:pPr>
              <w:spacing w:after="200" w:before="100" w:line="276" w:lineRule="auto"/>
              <w:rPr/>
            </w:pPr>
            <w:r w:rsidDel="00000000" w:rsidR="00000000" w:rsidRPr="00000000">
              <w:rPr/>
              <w:drawing>
                <wp:inline distB="0" distT="0" distL="0" distR="0">
                  <wp:extent cx="3521409" cy="4630619"/>
                  <wp:effectExtent b="0" l="0" r="0" t="0"/>
                  <wp:docPr id="7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521409" cy="463061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00" w:before="100" w:line="276" w:lineRule="auto"/>
              <w:rPr/>
            </w:pPr>
            <w:r w:rsidDel="00000000" w:rsidR="00000000" w:rsidRPr="00000000">
              <w:rPr/>
              <w:drawing>
                <wp:inline distB="0" distT="0" distL="0" distR="0">
                  <wp:extent cx="3681095" cy="3211195"/>
                  <wp:effectExtent b="0" l="0" r="0" t="0"/>
                  <wp:docPr id="7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681095" cy="321119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BB">
            <w:pPr>
              <w:spacing w:after="200" w:before="100" w:line="276" w:lineRule="auto"/>
              <w:jc w:val="center"/>
              <w:rPr>
                <w:rFonts w:ascii="Palatino Linotype" w:cs="Palatino Linotype" w:eastAsia="Palatino Linotype" w:hAnsi="Palatino Linotype"/>
                <w:b w:val="1"/>
                <w:color w:val="ffffff"/>
                <w:sz w:val="22"/>
                <w:szCs w:val="22"/>
              </w:rPr>
            </w:pPr>
            <w:r w:rsidDel="00000000" w:rsidR="00000000" w:rsidRPr="00000000">
              <w:rPr>
                <w:rFonts w:ascii="Palatino Linotype" w:cs="Palatino Linotype" w:eastAsia="Palatino Linotype" w:hAnsi="Palatino Linotype"/>
                <w:b w:val="1"/>
                <w:color w:val="000000"/>
                <w:sz w:val="18"/>
                <w:szCs w:val="18"/>
                <w:rtl w:val="0"/>
              </w:rPr>
              <w:t xml:space="preserve">Si</w:t>
            </w:r>
            <w:r w:rsidDel="00000000" w:rsidR="00000000" w:rsidRPr="00000000">
              <w:rPr>
                <w:rtl w:val="0"/>
              </w:rPr>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vislumbrar, dentro del propio acuerdo se hacen referencia a datos que fueron clasificados, sin embargo, del análisis realizado, se aprecia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clasificó datos adicionales a los que obran en la documentación remitida para atender esta solicitud de información, tales como correos electrónicos, número de empleado y clave ISSEMYM, asimismo en el acuerdo no se hace referencia a clasificar el nombre de una empresa o de servidoras públicas que se encuentran adscritas a la Dirección de Seguridad y Protección, por lo tanto, resulta pertinente realizar las siguientes consideraciones.</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42" w:right="0" w:hanging="142"/>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nombre de la empresa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nombre de una empresa, el cual no fue referido en el acuerdo, es de naturaleza pública cuando se trata de proveedores, este datos es susceptible de darse a conocer, así lo señalan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para mayor referencia: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XXXII. Padrón de proveedores y contratistas</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Periodo de actualización: trimestral</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Conservar en el sitio de Internet: información del ejercicio en curso y la correspondiente al ejercicio inmediato anterior</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Aplica a: todos los sujetos obligados</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19050</wp:posOffset>
            </wp:positionV>
            <wp:extent cx="5612765" cy="4059555"/>
            <wp:effectExtent b="0" l="0" r="0" t="0"/>
            <wp:wrapTopAndBottom distB="0" distT="0"/>
            <wp:docPr id="57"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12765" cy="40595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1295400</wp:posOffset>
                </wp:positionV>
                <wp:extent cx="4781550" cy="609600"/>
                <wp:effectExtent b="0" l="0" r="0" t="0"/>
                <wp:wrapNone/>
                <wp:docPr id="56" name=""/>
                <a:graphic>
                  <a:graphicData uri="http://schemas.microsoft.com/office/word/2010/wordprocessingShape">
                    <wps:wsp>
                      <wps:cNvSpPr/>
                      <wps:cNvPr id="3" name="Shape 3"/>
                      <wps:spPr>
                        <a:xfrm>
                          <a:off x="2969513" y="3489488"/>
                          <a:ext cx="4752975" cy="581025"/>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1295400</wp:posOffset>
                </wp:positionV>
                <wp:extent cx="4781550" cy="609600"/>
                <wp:effectExtent b="0" l="0" r="0" t="0"/>
                <wp:wrapNone/>
                <wp:docPr id="56"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4781550" cy="609600"/>
                        </a:xfrm>
                        <a:prstGeom prst="rect"/>
                        <a:ln/>
                      </pic:spPr>
                    </pic:pic>
                  </a:graphicData>
                </a:graphic>
              </wp:anchor>
            </w:drawing>
          </mc:Fallback>
        </mc:AlternateConten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anterior, se determina que no es procedente la clasificación del nombre de la empresa si es proveedora del propio Ayuntamiento y, por el contrario, deberá dejar visible dicha información al momento de dar cumplimiento a esta determinación.</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0" w:right="0" w:hanging="142"/>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Nombre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Para el caso en el que los nombres no correspondan a servidores públicos, deberá tenerse en cuenta que en las Resoluciones RRA 1774/18 y RRA 1780/18 emitidas por el Instituto Nacional de Acceso a la Información Pública y Protección de Datos Personales (INAI) señaló que el nombre es uno de los atributos de la personalidad y la manifestación principal del derecho subjetivo a la identidad, en virtud de que hace a una persona física identificada e identificable, por lo que al individualizar a los sujetos y se forma con el sustantivo propio, el primer apellido del padre y el primer apellido de la madre, en el orden que de común acuerdo determinen, es que se concluye que en efecto, el nombre identifica y hace identificables a las personas, por lo que además constituye un dato personal, susceptible de clasificación, sin embargo, si se trata de servidores públicos, dichos datos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 precisar que en el oficio 127 del mes de enero, así como en los oficios 175, 230 y 283, se hace referencia a un servidor público, pues se solicita su cargo y diversa información referente al tema, por lo tanto, resulta pertinente que el Sujeto Obligado observe estas circunstancias y de ser el caso en el que efectivamente se refieran a funcionarios que a la fecha de la solicitud laboraban dentro de la administración pública municipal, resulta pertinente dejar visible este dato.</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42" w:right="0" w:hanging="142"/>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Nombre de las servidoras públicas adscritas a la Dirección de Seguridad y Protección</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Para este punto resulta necesario traer a colación por analogía, el Criterio de interpretación, con número de registro SO/006/2009, de la Segunda Época, emitido por el entonces Instituto Federal de Acceso a la Información y Protección de Datos ahora Instituto Nacional de Transparencia, Acceso a la Información y Protección de Datos Personales, que establece lo siguiente:</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before="240" w:line="276" w:lineRule="auto"/>
        <w:ind w:left="567"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color w:val="000000"/>
          <w:sz w:val="22"/>
          <w:szCs w:val="22"/>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el artículo 6°, fracciones XI y XII de dicho ordenamiento jurídico, establece los siguientes conceptos: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•Instituciones Policiales: Son los cuerpos de policía, de vigilancia y custodia de los establecimientos penitenciarios, detención preventiva, centros de arraigo y en general, todas las dependencias encargadas de la seguridad pública a nivel estatal y municipal.</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•Instituciones de Seguridad Pública: Instituciones Policiales, Procuración de Justicia, Sistema Penitenciario y dependencias encargadas de la seguridad pública a nivel estatal y municipal.</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Conforme a lo anterior, se puede deducir que la Dirección de Seguridad y Protección, es una institución de seguridad pública, pues tiene como atribución principal, la prevención de delitos y proteger a las personas, sus propiedades, posesiones y derechos.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Sin embargo, por lo que hace al personal administrativo y mandos medios y superiores, no procede la clasificación, en términos del artículo 140, fracción IV, de la Ley de Transparencia y Acceso a la Información Pública del Estado de México y Municipios, pues al no realizar funciones operativas, no se pone en peligro la vida, seguridad y saluda de las personas.</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tales consideraciones, resulta procedente la reserva del nombre de los policías municipales de la Dirección de Seguridad Ciudadana, en términos del artículo 140, fracción IV, de la Ley de Transparencia y Acceso a la Información Pública del Estado de México y Municipios.</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por lo anteriormente expuesto que al no realizar una clasificación adecuada de la información, resulta pertinente ordenar la entrega del oficio 127 del mes de enero, así como los oficios 175, 230 y 283 del mes de febrero; asimismo por cuanto hace a los oficios 082 y 109 del mes de enero, deberá observarse lo referido a nombre de personal adscrito a la Dirección de Seguridad y Protección para que de ser el caso en el que corresponda a elementos operativos de seguridad pública, lo procedente en estos documentos es la reserva del nombre. Es de vital importancia que para dar cumplimiento a este punto, deberá generarse un nuevo acuerdo que cumpla con las formalidades previamente señaladas, esto conforme al siguiente considerando.</w:t>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DA">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D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D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D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D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E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E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E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0E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E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E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E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E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E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E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E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E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w:t>
      </w:r>
      <w:r w:rsidDel="00000000" w:rsidR="00000000" w:rsidRPr="00000000">
        <w:rPr>
          <w:rFonts w:ascii="Palatino Linotype" w:cs="Palatino Linotype" w:eastAsia="Palatino Linotype" w:hAnsi="Palatino Linotype"/>
          <w:color w:val="000000"/>
          <w:rtl w:val="0"/>
        </w:rPr>
        <w:t xml:space="preserve"> los Lineamientos Quincuagésimo, Quincuagésimo primero, Quincuagésimo segundo, Quincuagésimo tercero, Quincuagésimo cuarto y Quincuagésimo quinto</w:t>
      </w:r>
      <w:r w:rsidDel="00000000" w:rsidR="00000000" w:rsidRPr="00000000">
        <w:rPr>
          <w:rFonts w:ascii="Palatino Linotype" w:cs="Palatino Linotype" w:eastAsia="Palatino Linotype" w:hAnsi="Palatino Linotype"/>
          <w:rtl w:val="0"/>
        </w:rPr>
        <w:t xml:space="preserve"> señalan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siendo estas las siguientes:</w:t>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0F2">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0F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0F5">
      <w:pPr>
        <w:numPr>
          <w:ilvl w:val="1"/>
          <w:numId w:val="5"/>
        </w:num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número de sesión y fecha; </w:t>
      </w:r>
    </w:p>
    <w:p w:rsidR="00000000" w:rsidDel="00000000" w:rsidP="00000000" w:rsidRDefault="00000000" w:rsidRPr="00000000" w14:paraId="000000F6">
      <w:pPr>
        <w:numPr>
          <w:ilvl w:val="1"/>
          <w:numId w:val="5"/>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nombre del área que solicitó la clasificación de información; </w:t>
      </w:r>
    </w:p>
    <w:p w:rsidR="00000000" w:rsidDel="00000000" w:rsidP="00000000" w:rsidRDefault="00000000" w:rsidRPr="00000000" w14:paraId="000000F7">
      <w:pPr>
        <w:numPr>
          <w:ilvl w:val="1"/>
          <w:numId w:val="5"/>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fundamentación legal y motivación correspondiente; </w:t>
      </w:r>
    </w:p>
    <w:p w:rsidR="00000000" w:rsidDel="00000000" w:rsidP="00000000" w:rsidRDefault="00000000" w:rsidRPr="00000000" w14:paraId="000000F8">
      <w:pPr>
        <w:numPr>
          <w:ilvl w:val="1"/>
          <w:numId w:val="5"/>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resolución o resoluciones aprobadas; y </w:t>
      </w:r>
    </w:p>
    <w:p w:rsidR="00000000" w:rsidDel="00000000" w:rsidP="00000000" w:rsidRDefault="00000000" w:rsidRPr="00000000" w14:paraId="000000F9">
      <w:pPr>
        <w:numPr>
          <w:ilvl w:val="1"/>
          <w:numId w:val="5"/>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rúbrica o firma digital de cada integrante del Comité de Transparencia.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Los motivos y razonamientos que sustenten la confirmación o modificación de la prueba de daño;</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Descripción de las partes o secciones reservadas, en caso de clasificación parcial;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El periodo por el que mantendrá su clasificación y fecha de expiración; y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El nombre del titular y área encargada de realizar la versión pública del documento, en su caso.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segundo. </w:t>
      </w:r>
      <w:r w:rsidDel="00000000" w:rsidR="00000000" w:rsidRPr="00000000">
        <w:rPr>
          <w:rFonts w:ascii="Palatino Linotype" w:cs="Palatino Linotype" w:eastAsia="Palatino Linotype" w:hAnsi="Palatino Linotype"/>
          <w:i w:val="1"/>
          <w:color w:val="000000"/>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Fijar la fecha en que se elaboró la versión pública y la fecha en la cual el Comité de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Transparencia confirmó dicha versión;</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Señalar las personas o instancias autorizadas a acceder a la información clasificada.</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drawing>
          <wp:anchor allowOverlap="1" behindDoc="0" distB="0" distT="0" distL="114300" distR="114300" hidden="0" layoutInCell="1" locked="0" relativeHeight="0" simplePos="0">
            <wp:simplePos x="0" y="0"/>
            <wp:positionH relativeFrom="column">
              <wp:posOffset>377190</wp:posOffset>
            </wp:positionH>
            <wp:positionV relativeFrom="paragraph">
              <wp:posOffset>798830</wp:posOffset>
            </wp:positionV>
            <wp:extent cx="4568190" cy="330200"/>
            <wp:effectExtent b="0" l="0" r="0" t="0"/>
            <wp:wrapTopAndBottom distB="0" distT="0"/>
            <wp:docPr id="6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568190" cy="330200"/>
                    </a:xfrm>
                    <a:prstGeom prst="rect"/>
                    <a:ln/>
                  </pic:spPr>
                </pic:pic>
              </a:graphicData>
            </a:graphic>
          </wp:anchor>
        </w:drawing>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Pr>
        <w:drawing>
          <wp:inline distB="0" distT="0" distL="0" distR="0">
            <wp:extent cx="4576404" cy="5139653"/>
            <wp:effectExtent b="0" l="0" r="0" t="0"/>
            <wp:docPr id="7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4576404" cy="5139653"/>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cuarto. </w:t>
      </w:r>
      <w:r w:rsidDel="00000000" w:rsidR="00000000" w:rsidRPr="00000000">
        <w:rPr>
          <w:rFonts w:ascii="Palatino Linotype" w:cs="Palatino Linotype" w:eastAsia="Palatino Linotype" w:hAnsi="Palatino Linotype"/>
          <w:i w:val="1"/>
          <w:color w:val="000000"/>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quinto. </w:t>
      </w:r>
      <w:r w:rsidDel="00000000" w:rsidR="00000000" w:rsidRPr="00000000">
        <w:rPr>
          <w:rFonts w:ascii="Palatino Linotype" w:cs="Palatino Linotype" w:eastAsia="Palatino Linotype" w:hAnsi="Palatino Linotype"/>
          <w:i w:val="1"/>
          <w:color w:val="000000"/>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expuesto que resulta procedente modificar la respuesta en términos de la fracción III del artículo 186 de la Ley de Transparencia y Acceso a la Información Pública del Estado de México y Municipios, a efectos 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entregue la información requerida.</w:t>
      </w:r>
    </w:p>
    <w:p w:rsidR="00000000" w:rsidDel="00000000" w:rsidP="00000000" w:rsidRDefault="00000000" w:rsidRPr="00000000" w14:paraId="0000010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10">
      <w:pPr>
        <w:numPr>
          <w:ilvl w:val="0"/>
          <w:numId w:val="4"/>
        </w:numPr>
        <w:spacing w:after="240" w:line="360" w:lineRule="auto"/>
        <w:ind w:left="2552" w:hanging="14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02889/INFOEM/IP/RR/2023</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tl w:val="0"/>
        </w:rPr>
      </w:r>
    </w:p>
    <w:p w:rsidR="00000000" w:rsidDel="00000000" w:rsidP="00000000" w:rsidRDefault="00000000" w:rsidRPr="00000000" w14:paraId="00000112">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haga entrega, previa búsqueda exhaustiva y razonable, 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vía SAIMEX</w:t>
      </w:r>
      <w:r w:rsidDel="00000000" w:rsidR="00000000" w:rsidRPr="00000000">
        <w:rPr>
          <w:rFonts w:ascii="Palatino Linotype" w:cs="Palatino Linotype" w:eastAsia="Palatino Linotype" w:hAnsi="Palatino Linotype"/>
          <w:b w:val="1"/>
          <w:rtl w:val="0"/>
        </w:rPr>
        <w:t xml:space="preserve">, en versión pública de ser procedente</w:t>
      </w:r>
      <w:r w:rsidDel="00000000" w:rsidR="00000000" w:rsidRPr="00000000">
        <w:rPr>
          <w:rFonts w:ascii="Palatino Linotype" w:cs="Palatino Linotype" w:eastAsia="Palatino Linotype" w:hAnsi="Palatino Linotype"/>
          <w:rtl w:val="0"/>
        </w:rPr>
        <w:t xml:space="preserve">, 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 de la presente resolución, lo siguiente: </w:t>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hanging="28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bookmarkStart w:colFirst="0" w:colLast="0" w:name="_heading=h.1fob9te" w:id="6"/>
      <w:bookmarkEnd w:id="6"/>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oficios faltantes: 030, 042, así como del 137 al 152, del mes de enero de 2023, así como los consecutivos 170, 171, 258, 259 y 287, del mes de febrero 2023, firmados</w:t>
      </w:r>
      <w:r w:rsidDel="00000000" w:rsidR="00000000" w:rsidRPr="00000000">
        <w:rPr>
          <w:rFonts w:ascii="Palatino Linotype" w:cs="Palatino Linotype" w:eastAsia="Palatino Linotype" w:hAnsi="Palatino Linotype"/>
          <w:b w:val="1"/>
          <w:i w:val="1"/>
          <w:smallCaps w:val="0"/>
          <w:strike w:val="0"/>
          <w:color w:val="ff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por la Coordinadora de Apoyo de la Dirección de Administración del Ayuntamiento de Toluca. </w:t>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7655"/>
        </w:tabs>
        <w:spacing w:line="276" w:lineRule="auto"/>
        <w:ind w:left="567" w:right="900" w:hanging="283"/>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655"/>
        </w:tabs>
        <w:spacing w:after="0" w:before="0" w:line="276" w:lineRule="auto"/>
        <w:ind w:left="567" w:right="900" w:hanging="28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oficios 082, 109 y 127 del mes de enero de 2023, así como los oficios 175, 230 y 283 del mes de febrero de 2023, en correcta versión pública.</w:t>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7655"/>
        </w:tabs>
        <w:spacing w:line="276"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leader="none" w:pos="7655"/>
        </w:tabs>
        <w:spacing w:after="120" w:lineRule="auto"/>
        <w:ind w:left="567" w:right="900"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color w:val="000000"/>
          <w:sz w:val="22"/>
          <w:szCs w:val="22"/>
          <w:rtl w:val="0"/>
        </w:rPr>
        <w:t xml:space="preserve">Recurrente</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así como de los las versiones públicas remitidas en respuesta. </w:t>
      </w:r>
    </w:p>
    <w:p w:rsidR="00000000" w:rsidDel="00000000" w:rsidP="00000000" w:rsidRDefault="00000000" w:rsidRPr="00000000" w14:paraId="00000118">
      <w:pPr>
        <w:spacing w:after="240" w:before="240" w:lineRule="auto"/>
        <w:ind w:left="567"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En el supuesto de que no </w:t>
      </w:r>
      <w:r w:rsidDel="00000000" w:rsidR="00000000" w:rsidRPr="00000000">
        <w:rPr>
          <w:rFonts w:ascii="Palatino Linotype" w:cs="Palatino Linotype" w:eastAsia="Palatino Linotype" w:hAnsi="Palatino Linotype"/>
          <w:i w:val="1"/>
          <w:color w:val="000000"/>
          <w:sz w:val="22"/>
          <w:szCs w:val="22"/>
          <w:rtl w:val="0"/>
        </w:rPr>
        <w:t xml:space="preserve">cuente con alguno </w:t>
      </w:r>
      <w:r w:rsidDel="00000000" w:rsidR="00000000" w:rsidRPr="00000000">
        <w:rPr>
          <w:rFonts w:ascii="Palatino Linotype" w:cs="Palatino Linotype" w:eastAsia="Palatino Linotype" w:hAnsi="Palatino Linotype"/>
          <w:i w:val="1"/>
          <w:sz w:val="22"/>
          <w:szCs w:val="22"/>
          <w:rtl w:val="0"/>
        </w:rPr>
        <w:t xml:space="preserve">de los oficios señalados en el punto 1 por no haberse generado por el área de la que se solicita o  porque se hubieran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r w:rsidDel="00000000" w:rsidR="00000000" w:rsidRPr="00000000">
        <w:rPr>
          <w:rtl w:val="0"/>
        </w:rPr>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a</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pPr>
      <w:bookmarkStart w:colFirst="0" w:colLast="0" w:name="_heading=h.3znysh7" w:id="7"/>
      <w:bookmarkEnd w:id="7"/>
      <w:r w:rsidDel="00000000" w:rsidR="00000000" w:rsidRPr="00000000">
        <w:rPr>
          <w:rFonts w:ascii="Palatino Linotype" w:cs="Palatino Linotype" w:eastAsia="Palatino Linotype" w:hAnsi="Palatino Linotype"/>
          <w:rtl w:val="0"/>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MEJIA AYALA (AUSENCIA JUSTIFICADA); SHARON CRISTINA MORALES MARTINEZ; LUIS GUSTAVO PARRA NORIEGA Y GUADALUPE RAMÍREZ PEÑA; EN LA TRIGÉSIMA CUARTA SESIÓN ORDINARIA CELEBRADA EL VEINTE DE SEPTIEMBRE DE DOS MIL VEINTITRÉS, ANTE EL SECRETARIO TÉCNICO DEL PLENO ALEXIS TAPIA RAMÍREZ.</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254000</wp:posOffset>
                </wp:positionV>
                <wp:extent cx="4762500" cy="4457700"/>
                <wp:effectExtent b="0" l="0" r="0" t="0"/>
                <wp:wrapNone/>
                <wp:docPr id="55" name=""/>
                <a:graphic>
                  <a:graphicData uri="http://schemas.microsoft.com/office/word/2010/wordprocessingShape">
                    <wps:wsp>
                      <wps:cNvCnPr/>
                      <wps:spPr>
                        <a:xfrm>
                          <a:off x="2969513" y="1555913"/>
                          <a:ext cx="4752975" cy="4448175"/>
                        </a:xfrm>
                        <a:prstGeom prst="straightConnector1">
                          <a:avLst/>
                        </a:prstGeom>
                        <a:noFill/>
                        <a:ln cap="flat" cmpd="sng" w="9525">
                          <a:solidFill>
                            <a:srgbClr val="F591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254000</wp:posOffset>
                </wp:positionV>
                <wp:extent cx="4762500" cy="4457700"/>
                <wp:effectExtent b="0" l="0" r="0" t="0"/>
                <wp:wrapNone/>
                <wp:docPr id="55"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4762500" cy="4457700"/>
                        </a:xfrm>
                        <a:prstGeom prst="rect"/>
                        <a:ln/>
                      </pic:spPr>
                    </pic:pic>
                  </a:graphicData>
                </a:graphic>
              </wp:anchor>
            </w:drawing>
          </mc:Fallback>
        </mc:AlternateConten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5" w:type="default"/>
      <w:headerReference r:id="rId26" w:type="first"/>
      <w:footerReference r:id="rId27" w:type="default"/>
      <w:footerReference r:id="rId28" w:type="first"/>
      <w:pgSz w:h="15840" w:w="12240" w:orient="portrait"/>
      <w:pgMar w:bottom="1701" w:top="1985" w:left="1700"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-955671</wp:posOffset>
          </wp:positionH>
          <wp:positionV relativeFrom="paragraph">
            <wp:posOffset>-288922</wp:posOffset>
          </wp:positionV>
          <wp:extent cx="7809865" cy="10165715"/>
          <wp:effectExtent b="0" l="0" r="0" t="0"/>
          <wp:wrapNone/>
          <wp:docPr id="59"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4"/>
      <w:tblW w:w="6662.0" w:type="dxa"/>
      <w:jc w:val="left"/>
      <w:tblInd w:w="3261.0" w:type="dxa"/>
      <w:tblLayout w:type="fixed"/>
      <w:tblLook w:val="0400"/>
    </w:tblPr>
    <w:tblGrid>
      <w:gridCol w:w="2551"/>
      <w:gridCol w:w="4111"/>
      <w:tblGridChange w:id="0">
        <w:tblGrid>
          <w:gridCol w:w="2551"/>
          <w:gridCol w:w="4111"/>
        </w:tblGrid>
      </w:tblGridChange>
    </w:tblGrid>
    <w:tr>
      <w:trPr>
        <w:cantSplit w:val="0"/>
        <w:tblHeader w:val="0"/>
      </w:trPr>
      <w:tc>
        <w:tcPr>
          <w:shd w:fill="auto" w:val="clear"/>
          <w:vAlign w:val="center"/>
        </w:tcPr>
        <w:p w:rsidR="00000000" w:rsidDel="00000000" w:rsidP="00000000" w:rsidRDefault="00000000" w:rsidRPr="00000000" w14:paraId="0000013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7">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02889/INFOEM/IP/RR/2023</w:t>
          </w:r>
        </w:p>
      </w:tc>
    </w:tr>
    <w:tr>
      <w:trPr>
        <w:cantSplit w:val="0"/>
        <w:trHeight w:val="130" w:hRule="atLeast"/>
        <w:tblHeader w:val="0"/>
      </w:trPr>
      <w:tc>
        <w:tcPr>
          <w:shd w:fill="auto" w:val="clear"/>
          <w:vAlign w:val="center"/>
        </w:tcPr>
        <w:p w:rsidR="00000000" w:rsidDel="00000000" w:rsidP="00000000" w:rsidRDefault="00000000" w:rsidRPr="00000000" w14:paraId="000001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39">
          <w:pPr>
            <w:ind w:left="-45" w:right="176"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3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B">
          <w:pPr>
            <w:ind w:left="-45" w:right="-25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13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3D">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-1031238</wp:posOffset>
          </wp:positionH>
          <wp:positionV relativeFrom="paragraph">
            <wp:posOffset>-429893</wp:posOffset>
          </wp:positionV>
          <wp:extent cx="7809865" cy="10165715"/>
          <wp:effectExtent b="0" l="0" r="0" t="0"/>
          <wp:wrapNone/>
          <wp:docPr id="63"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4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1">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02889/INFOEM/IP/RR/2023</w:t>
          </w:r>
        </w:p>
      </w:tc>
    </w:tr>
    <w:tr>
      <w:trPr>
        <w:cantSplit w:val="0"/>
        <w:trHeight w:val="228" w:hRule="atLeast"/>
        <w:tblHeader w:val="0"/>
      </w:trPr>
      <w:tc>
        <w:tcPr>
          <w:shd w:fill="auto" w:val="clear"/>
          <w:vAlign w:val="center"/>
        </w:tcPr>
        <w:p w:rsidR="00000000" w:rsidDel="00000000" w:rsidP="00000000" w:rsidRDefault="00000000" w:rsidRPr="00000000" w14:paraId="0000014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3">
          <w:pPr>
            <w:ind w:left="-45" w:right="31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14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5">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6">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210EB"/>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8" w:customStyle="1">
    <w:name w:val="8"/>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7" w:customStyle="1">
    <w:name w:val="7"/>
    <w:basedOn w:val="TableNormal10"/>
    <w:tblPr>
      <w:tblStyleRowBandSize w:val="1"/>
      <w:tblStyleColBandSize w:val="1"/>
      <w:tblCellMar>
        <w:top w:w="0.0" w:type="dxa"/>
        <w:left w:w="115.0" w:type="dxa"/>
        <w:bottom w:w="0.0" w:type="dxa"/>
        <w:right w:w="115.0" w:type="dxa"/>
      </w:tblCellMar>
    </w:tblPr>
  </w:style>
  <w:style w:type="table" w:styleId="6" w:customStyle="1">
    <w:name w:val="6"/>
    <w:basedOn w:val="TableNormal10"/>
    <w:tblPr>
      <w:tblStyleRowBandSize w:val="1"/>
      <w:tblStyleColBandSize w:val="1"/>
      <w:tblCellMar>
        <w:top w:w="0.0" w:type="dxa"/>
        <w:left w:w="115.0" w:type="dxa"/>
        <w:bottom w:w="0.0" w:type="dxa"/>
        <w:right w:w="115.0" w:type="dxa"/>
      </w:tblCellMar>
    </w:tblPr>
  </w:style>
  <w:style w:type="table" w:styleId="5" w:customStyle="1">
    <w:name w:val="5"/>
    <w:basedOn w:val="TableNormal10"/>
    <w:tblPr>
      <w:tblStyleRowBandSize w:val="1"/>
      <w:tblStyleColBandSize w:val="1"/>
      <w:tblCellMar>
        <w:top w:w="0.0" w:type="dxa"/>
        <w:left w:w="108.0" w:type="dxa"/>
        <w:bottom w:w="0.0" w:type="dxa"/>
        <w:right w:w="108.0" w:type="dxa"/>
      </w:tblCellMar>
    </w:tblPr>
  </w:style>
  <w:style w:type="table" w:styleId="4" w:customStyle="1">
    <w:name w:val="4"/>
    <w:basedOn w:val="TableNormal10"/>
    <w:tblPr>
      <w:tblStyleRowBandSize w:val="1"/>
      <w:tblStyleColBandSize w:val="1"/>
      <w:tblCellMar>
        <w:top w:w="0.0" w:type="dxa"/>
        <w:left w:w="115.0" w:type="dxa"/>
        <w:bottom w:w="0.0" w:type="dxa"/>
        <w:right w:w="115.0" w:type="dxa"/>
      </w:tblCellMar>
    </w:tblPr>
  </w:style>
  <w:style w:type="table" w:styleId="3" w:customStyle="1">
    <w:name w:val="3"/>
    <w:basedOn w:val="TableNormal10"/>
    <w:tblPr>
      <w:tblStyleRowBandSize w:val="1"/>
      <w:tblStyleColBandSize w:val="1"/>
      <w:tblCellMar>
        <w:top w:w="0.0" w:type="dxa"/>
        <w:left w:w="115.0" w:type="dxa"/>
        <w:bottom w:w="0.0" w:type="dxa"/>
        <w:right w:w="115.0" w:type="dxa"/>
      </w:tblCellMar>
    </w:tblPr>
  </w:style>
  <w:style w:type="table" w:styleId="2" w:customStyle="1">
    <w:name w:val="2"/>
    <w:basedOn w:val="TableNormal10"/>
    <w:tblPr>
      <w:tblStyleRowBandSize w:val="1"/>
      <w:tblStyleColBandSize w:val="1"/>
      <w:tblCellMar>
        <w:top w:w="0.0" w:type="dxa"/>
        <w:left w:w="115.0" w:type="dxa"/>
        <w:bottom w:w="0.0" w:type="dxa"/>
        <w:right w:w="115.0" w:type="dxa"/>
      </w:tblCellMar>
    </w:tblPr>
  </w:style>
  <w:style w:type="table" w:styleId="1" w:customStyle="1">
    <w:name w:val="1"/>
    <w:basedOn w:val="TableNormal10"/>
    <w:tblPr>
      <w:tblStyleRowBandSize w:val="1"/>
      <w:tblStyleColBandSize w:val="1"/>
      <w:tblCellMar>
        <w:top w:w="0.0" w:type="dxa"/>
        <w:left w:w="115.0" w:type="dxa"/>
        <w:bottom w:w="0.0" w:type="dxa"/>
        <w:right w:w="115.0" w:type="dxa"/>
      </w:tblCellMar>
    </w:tblPr>
  </w:style>
  <w:style w:type="table" w:styleId="a" w:customStyle="1">
    <w:basedOn w:val="TableNormal1"/>
    <w:tblPr>
      <w:tblStyleRowBandSize w:val="1"/>
      <w:tblStyleColBandSize w:val="1"/>
      <w:tblCellMar>
        <w:top w:w="0.0" w:type="dxa"/>
        <w:left w:w="115.0" w:type="dxa"/>
        <w:bottom w:w="0.0" w:type="dxa"/>
        <w:right w:w="115.0" w:type="dxa"/>
      </w:tblCellMar>
    </w:tblPr>
  </w:style>
  <w:style w:type="table" w:styleId="a0" w:customStyle="1">
    <w:basedOn w:val="TableNormal1"/>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Tablaconcuadrcula1" w:customStyle="1">
    <w:name w:val="Tabla con cuadrícula1"/>
    <w:basedOn w:val="Tablanormal"/>
    <w:next w:val="Tablaconcuadrcula"/>
    <w:uiPriority w:val="59"/>
    <w:rsid w:val="0040076D"/>
    <w:rPr>
      <w:rFonts w:asciiTheme="minorHAnsi" w:cstheme="minorBidi" w:eastAsiaTheme="minorEastAsia" w:hAnsiTheme="minorHAnsi"/>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3">
    <w:basedOn w:val="TableNormal"/>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9.png"/><Relationship Id="rId21"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14.png"/><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19.png"/><Relationship Id="rId12"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skcKT020t04710ryJxFwweh8Q==">CgMxLjAyCWguMmV0OTJwMDIIaC5namRneHMyCWguMzBqMHpsbDIJaC4yczhleW8xMghoLnR5amN3dDIJaC4zcmRjcmpuMgloLjFmb2I5dGUyCWguM3pueXNoNzgAciExUVo3WDZuNmx3RnZXWm5tbXZsY1BFc1JPa0JyMmZHZ1o=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2023-09-27T19:04:00Z</dcterms:created>
  <dc:creator>iMac</dc:creator>
</cp:coreProperties>
</file>