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72230" w14:textId="77777777" w:rsidR="00147F2A" w:rsidRPr="00F93884" w:rsidRDefault="001929CF" w:rsidP="00F93884">
      <w:pPr>
        <w:spacing w:line="360" w:lineRule="auto"/>
        <w:jc w:val="both"/>
        <w:rPr>
          <w:rFonts w:ascii="Palatino Linotype" w:eastAsia="Palatino Linotype" w:hAnsi="Palatino Linotype" w:cs="Palatino Linotype"/>
        </w:rPr>
      </w:pPr>
      <w:bookmarkStart w:id="0" w:name="_GoBack"/>
      <w:bookmarkEnd w:id="0"/>
      <w:r w:rsidRPr="00F9388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727A7C" w:rsidRPr="00F93884">
        <w:rPr>
          <w:rFonts w:ascii="Palatino Linotype" w:eastAsia="Palatino Linotype" w:hAnsi="Palatino Linotype" w:cs="Palatino Linotype"/>
        </w:rPr>
        <w:t>del</w:t>
      </w:r>
      <w:r w:rsidRPr="00F93884">
        <w:rPr>
          <w:rFonts w:ascii="Palatino Linotype" w:eastAsia="Palatino Linotype" w:hAnsi="Palatino Linotype" w:cs="Palatino Linotype"/>
        </w:rPr>
        <w:t xml:space="preserve"> </w:t>
      </w:r>
      <w:r w:rsidR="0017628B" w:rsidRPr="00F93884">
        <w:rPr>
          <w:rFonts w:ascii="Palatino Linotype" w:eastAsia="Palatino Linotype" w:hAnsi="Palatino Linotype" w:cs="Palatino Linotype"/>
        </w:rPr>
        <w:t>diecisiete de mayo</w:t>
      </w:r>
      <w:r w:rsidRPr="00F93884">
        <w:rPr>
          <w:rFonts w:ascii="Palatino Linotype" w:eastAsia="Palatino Linotype" w:hAnsi="Palatino Linotype" w:cs="Palatino Linotype"/>
        </w:rPr>
        <w:t xml:space="preserve"> de dos mil veintitrés. </w:t>
      </w:r>
    </w:p>
    <w:p w14:paraId="51876341" w14:textId="77777777" w:rsidR="00147F2A" w:rsidRPr="00F93884" w:rsidRDefault="00147F2A" w:rsidP="00F93884">
      <w:pPr>
        <w:spacing w:line="360" w:lineRule="auto"/>
        <w:jc w:val="both"/>
        <w:rPr>
          <w:rFonts w:ascii="Palatino Linotype" w:eastAsia="Palatino Linotype" w:hAnsi="Palatino Linotype" w:cs="Palatino Linotype"/>
        </w:rPr>
      </w:pPr>
    </w:p>
    <w:p w14:paraId="51F789F5" w14:textId="74A78076" w:rsidR="006337B7" w:rsidRPr="00F93884" w:rsidRDefault="006337B7" w:rsidP="00F93884">
      <w:pPr>
        <w:tabs>
          <w:tab w:val="left" w:pos="1701"/>
        </w:tabs>
        <w:spacing w:before="240" w:line="360" w:lineRule="auto"/>
        <w:jc w:val="both"/>
        <w:rPr>
          <w:rFonts w:ascii="Palatino Linotype" w:hAnsi="Palatino Linotype" w:cs="Arial"/>
        </w:rPr>
      </w:pPr>
      <w:r w:rsidRPr="00F93884">
        <w:rPr>
          <w:rFonts w:ascii="Palatino Linotype" w:hAnsi="Palatino Linotype" w:cs="Arial"/>
          <w:b/>
        </w:rPr>
        <w:t>VISTOS</w:t>
      </w:r>
      <w:r w:rsidRPr="00F93884">
        <w:rPr>
          <w:rFonts w:ascii="Palatino Linotype" w:hAnsi="Palatino Linotype" w:cs="Arial"/>
        </w:rPr>
        <w:t xml:space="preserve"> los expedientes electrónicos formados con motivo de los recursos de revisión </w:t>
      </w:r>
      <w:proofErr w:type="gramStart"/>
      <w:r w:rsidRPr="00F93884">
        <w:rPr>
          <w:rFonts w:ascii="Palatino Linotype" w:hAnsi="Palatino Linotype" w:cs="Arial"/>
        </w:rPr>
        <w:t>números</w:t>
      </w:r>
      <w:proofErr w:type="gramEnd"/>
      <w:r w:rsidRPr="00F93884">
        <w:rPr>
          <w:rFonts w:ascii="Palatino Linotype" w:hAnsi="Palatino Linotype" w:cs="Arial"/>
        </w:rPr>
        <w:t xml:space="preserve"> </w:t>
      </w:r>
      <w:r w:rsidR="0017628B" w:rsidRPr="00F93884">
        <w:rPr>
          <w:rFonts w:ascii="Palatino Linotype" w:hAnsi="Palatino Linotype" w:cs="Arial"/>
          <w:b/>
        </w:rPr>
        <w:t xml:space="preserve">16977/INFOEM/IP/RR/2022 y 16978/INFOEM/IP/RR/2022, </w:t>
      </w:r>
      <w:r w:rsidRPr="00F93884">
        <w:rPr>
          <w:rFonts w:ascii="Palatino Linotype" w:hAnsi="Palatino Linotype" w:cs="Arial"/>
        </w:rPr>
        <w:t>interpuestos por un particular</w:t>
      </w:r>
      <w:r w:rsidR="00486411" w:rsidRPr="00F93884">
        <w:rPr>
          <w:rFonts w:ascii="Palatino Linotype" w:hAnsi="Palatino Linotype" w:cs="Arial"/>
        </w:rPr>
        <w:t xml:space="preserve"> de manera anónima</w:t>
      </w:r>
      <w:r w:rsidRPr="00F93884">
        <w:rPr>
          <w:rFonts w:ascii="Palatino Linotype" w:hAnsi="Palatino Linotype" w:cs="Arial"/>
        </w:rPr>
        <w:t xml:space="preserve">, en lo sucesivo </w:t>
      </w:r>
      <w:r w:rsidRPr="00F93884">
        <w:rPr>
          <w:rFonts w:ascii="Palatino Linotype" w:hAnsi="Palatino Linotype" w:cs="Arial"/>
          <w:b/>
        </w:rPr>
        <w:t xml:space="preserve">EL RECURRENTE, </w:t>
      </w:r>
      <w:r w:rsidRPr="00F93884">
        <w:rPr>
          <w:rFonts w:ascii="Palatino Linotype" w:hAnsi="Palatino Linotype" w:cs="Arial"/>
        </w:rPr>
        <w:t xml:space="preserve">en contra de las respuestas del </w:t>
      </w:r>
      <w:r w:rsidRPr="00F93884">
        <w:rPr>
          <w:rFonts w:ascii="Palatino Linotype" w:hAnsi="Palatino Linotype" w:cs="Arial"/>
          <w:b/>
          <w:bCs/>
        </w:rPr>
        <w:t xml:space="preserve">Ayuntamiento de Zinacantepec, </w:t>
      </w:r>
      <w:r w:rsidRPr="00F93884">
        <w:rPr>
          <w:rFonts w:ascii="Palatino Linotype" w:hAnsi="Palatino Linotype" w:cs="Arial"/>
        </w:rPr>
        <w:t xml:space="preserve">en lo subsecuente </w:t>
      </w:r>
      <w:r w:rsidRPr="00F93884">
        <w:rPr>
          <w:rFonts w:ascii="Palatino Linotype" w:hAnsi="Palatino Linotype" w:cs="Arial"/>
          <w:b/>
          <w:bCs/>
        </w:rPr>
        <w:t xml:space="preserve">EL SUJETO OBLIGADO, </w:t>
      </w:r>
      <w:r w:rsidRPr="00F93884">
        <w:rPr>
          <w:rFonts w:ascii="Palatino Linotype" w:hAnsi="Palatino Linotype" w:cs="Arial"/>
        </w:rPr>
        <w:t xml:space="preserve">se procede a dictar la presente resolución. </w:t>
      </w:r>
    </w:p>
    <w:p w14:paraId="20745193" w14:textId="77777777" w:rsidR="00147F2A" w:rsidRPr="00F93884" w:rsidRDefault="00147F2A" w:rsidP="00F93884">
      <w:pPr>
        <w:spacing w:line="360" w:lineRule="auto"/>
        <w:jc w:val="both"/>
        <w:rPr>
          <w:rFonts w:ascii="Palatino Linotype" w:eastAsia="Palatino Linotype" w:hAnsi="Palatino Linotype" w:cs="Palatino Linotype"/>
          <w:b/>
        </w:rPr>
      </w:pPr>
    </w:p>
    <w:p w14:paraId="296A3884" w14:textId="77777777" w:rsidR="00147F2A" w:rsidRPr="00F93884" w:rsidRDefault="001929CF" w:rsidP="00F93884">
      <w:pPr>
        <w:jc w:val="center"/>
        <w:rPr>
          <w:rFonts w:ascii="Palatino Linotype" w:eastAsia="Palatino Linotype" w:hAnsi="Palatino Linotype" w:cs="Palatino Linotype"/>
          <w:b/>
          <w:sz w:val="28"/>
          <w:szCs w:val="28"/>
        </w:rPr>
      </w:pPr>
      <w:r w:rsidRPr="00F93884">
        <w:rPr>
          <w:rFonts w:ascii="Palatino Linotype" w:eastAsia="Palatino Linotype" w:hAnsi="Palatino Linotype" w:cs="Palatino Linotype"/>
          <w:b/>
          <w:sz w:val="28"/>
          <w:szCs w:val="28"/>
        </w:rPr>
        <w:t>ANTECEDENTES</w:t>
      </w:r>
    </w:p>
    <w:p w14:paraId="6B06D7B3" w14:textId="77777777" w:rsidR="00147F2A" w:rsidRPr="00F93884" w:rsidRDefault="00147F2A" w:rsidP="00F93884">
      <w:pPr>
        <w:rPr>
          <w:rFonts w:ascii="Palatino Linotype" w:eastAsia="Palatino Linotype" w:hAnsi="Palatino Linotype" w:cs="Palatino Linotype"/>
          <w:b/>
        </w:rPr>
      </w:pPr>
    </w:p>
    <w:p w14:paraId="008DCD44" w14:textId="77777777" w:rsidR="00147F2A" w:rsidRPr="00F93884" w:rsidRDefault="001929CF" w:rsidP="00F93884">
      <w:pPr>
        <w:spacing w:line="360" w:lineRule="auto"/>
        <w:jc w:val="both"/>
        <w:rPr>
          <w:rFonts w:ascii="Palatino Linotype" w:eastAsia="Palatino Linotype" w:hAnsi="Palatino Linotype" w:cs="Palatino Linotype"/>
          <w:b/>
          <w:sz w:val="28"/>
          <w:szCs w:val="28"/>
        </w:rPr>
      </w:pPr>
      <w:r w:rsidRPr="00F93884">
        <w:rPr>
          <w:rFonts w:ascii="Palatino Linotype" w:eastAsia="Palatino Linotype" w:hAnsi="Palatino Linotype" w:cs="Palatino Linotype"/>
          <w:b/>
          <w:sz w:val="28"/>
          <w:szCs w:val="28"/>
        </w:rPr>
        <w:t>I.</w:t>
      </w:r>
      <w:r w:rsidRPr="00F93884">
        <w:rPr>
          <w:rFonts w:ascii="Palatino Linotype" w:eastAsia="Palatino Linotype" w:hAnsi="Palatino Linotype" w:cs="Palatino Linotype"/>
          <w:b/>
        </w:rPr>
        <w:t xml:space="preserve"> </w:t>
      </w:r>
      <w:r w:rsidRPr="00F93884">
        <w:rPr>
          <w:rFonts w:ascii="Palatino Linotype" w:eastAsia="Palatino Linotype" w:hAnsi="Palatino Linotype" w:cs="Palatino Linotype"/>
          <w:b/>
          <w:sz w:val="28"/>
          <w:szCs w:val="28"/>
        </w:rPr>
        <w:t>De la Solicitud de Información</w:t>
      </w:r>
    </w:p>
    <w:p w14:paraId="5B085815" w14:textId="77777777" w:rsidR="006337B7" w:rsidRPr="00F93884" w:rsidRDefault="006337B7" w:rsidP="00F93884">
      <w:pPr>
        <w:spacing w:before="240" w:line="360" w:lineRule="auto"/>
        <w:jc w:val="both"/>
        <w:rPr>
          <w:rFonts w:ascii="Palatino Linotype" w:hAnsi="Palatino Linotype" w:cs="Arial"/>
        </w:rPr>
      </w:pPr>
      <w:bookmarkStart w:id="1" w:name="_heading=h.ifuj3wtxm21l" w:colFirst="0" w:colLast="0"/>
      <w:bookmarkEnd w:id="1"/>
      <w:r w:rsidRPr="00F93884">
        <w:rPr>
          <w:rFonts w:ascii="Palatino Linotype" w:hAnsi="Palatino Linotype" w:cs="Arial"/>
        </w:rPr>
        <w:t xml:space="preserve">Con fecha </w:t>
      </w:r>
      <w:r w:rsidR="00433943" w:rsidRPr="00F93884">
        <w:rPr>
          <w:rFonts w:ascii="Palatino Linotype" w:hAnsi="Palatino Linotype" w:cs="Arial"/>
        </w:rPr>
        <w:t>veintisiete de octubre</w:t>
      </w:r>
      <w:r w:rsidRPr="00F93884">
        <w:rPr>
          <w:rFonts w:ascii="Palatino Linotype" w:hAnsi="Palatino Linotype" w:cs="Arial"/>
        </w:rPr>
        <w:t xml:space="preserve"> de dos mil veintidós, </w:t>
      </w:r>
      <w:r w:rsidR="00433943" w:rsidRPr="00F93884">
        <w:rPr>
          <w:rFonts w:ascii="Palatino Linotype" w:hAnsi="Palatino Linotype" w:cs="Arial"/>
          <w:b/>
          <w:bCs/>
        </w:rPr>
        <w:t>EL RECURRENTE</w:t>
      </w:r>
      <w:r w:rsidRPr="00F93884">
        <w:rPr>
          <w:rFonts w:ascii="Palatino Linotype" w:hAnsi="Palatino Linotype" w:cs="Arial"/>
          <w:b/>
          <w:bCs/>
        </w:rPr>
        <w:t xml:space="preserve">, </w:t>
      </w:r>
      <w:r w:rsidRPr="00F93884">
        <w:rPr>
          <w:rFonts w:ascii="Palatino Linotype" w:hAnsi="Palatino Linotype" w:cs="Arial"/>
        </w:rPr>
        <w:t>presentó a través del Sistema de Acceso a la Información Mexiquense (</w:t>
      </w:r>
      <w:r w:rsidRPr="00F93884">
        <w:rPr>
          <w:rFonts w:ascii="Palatino Linotype" w:hAnsi="Palatino Linotype" w:cs="Arial"/>
          <w:b/>
        </w:rPr>
        <w:t>SAIMEX)</w:t>
      </w:r>
      <w:r w:rsidRPr="00F93884">
        <w:rPr>
          <w:rFonts w:ascii="Palatino Linotype" w:hAnsi="Palatino Linotype" w:cs="Arial"/>
        </w:rPr>
        <w:t xml:space="preserve"> ante </w:t>
      </w:r>
      <w:r w:rsidR="00433943" w:rsidRPr="00F93884">
        <w:rPr>
          <w:rFonts w:ascii="Palatino Linotype" w:hAnsi="Palatino Linotype" w:cs="Arial"/>
          <w:b/>
        </w:rPr>
        <w:t>EL SUJETO OBLIGADO</w:t>
      </w:r>
      <w:r w:rsidR="00433943" w:rsidRPr="00F93884">
        <w:rPr>
          <w:rFonts w:ascii="Palatino Linotype" w:hAnsi="Palatino Linotype" w:cs="Arial"/>
        </w:rPr>
        <w:t>,</w:t>
      </w:r>
      <w:r w:rsidRPr="00F93884">
        <w:rPr>
          <w:rFonts w:ascii="Palatino Linotype" w:hAnsi="Palatino Linotype" w:cs="Arial"/>
        </w:rPr>
        <w:t xml:space="preserve"> las solicitudes de acceso a la información pública, registradas bajo los números de expediente </w:t>
      </w:r>
      <w:r w:rsidR="00433943" w:rsidRPr="00F93884">
        <w:rPr>
          <w:rFonts w:ascii="Palatino Linotype" w:hAnsi="Palatino Linotype" w:cs="Arial"/>
          <w:b/>
          <w:bCs/>
        </w:rPr>
        <w:t>01156</w:t>
      </w:r>
      <w:r w:rsidRPr="00F93884">
        <w:rPr>
          <w:rFonts w:ascii="Palatino Linotype" w:hAnsi="Palatino Linotype" w:cs="Arial"/>
          <w:b/>
          <w:bCs/>
        </w:rPr>
        <w:t xml:space="preserve">/ZINACANT/IP/2022 </w:t>
      </w:r>
      <w:r w:rsidRPr="00F93884">
        <w:rPr>
          <w:rFonts w:ascii="Palatino Linotype" w:hAnsi="Palatino Linotype" w:cs="Arial"/>
        </w:rPr>
        <w:t xml:space="preserve">y </w:t>
      </w:r>
      <w:r w:rsidR="00433943" w:rsidRPr="00F93884">
        <w:rPr>
          <w:rFonts w:ascii="Palatino Linotype" w:hAnsi="Palatino Linotype" w:cs="Arial"/>
          <w:b/>
          <w:bCs/>
        </w:rPr>
        <w:t>01157</w:t>
      </w:r>
      <w:r w:rsidRPr="00F93884">
        <w:rPr>
          <w:rFonts w:ascii="Palatino Linotype" w:hAnsi="Palatino Linotype" w:cs="Arial"/>
          <w:b/>
          <w:bCs/>
        </w:rPr>
        <w:t xml:space="preserve">/ZINACANT/IP/2022 </w:t>
      </w:r>
      <w:r w:rsidRPr="00F93884">
        <w:rPr>
          <w:rFonts w:ascii="Palatino Linotype" w:hAnsi="Palatino Linotype" w:cs="Arial"/>
        </w:rPr>
        <w:t>mediante los cuales solicitó información en el tenor siguiente:</w:t>
      </w:r>
    </w:p>
    <w:p w14:paraId="6A28082D" w14:textId="77777777" w:rsidR="00433943" w:rsidRPr="00F93884" w:rsidRDefault="00433943" w:rsidP="00F93884">
      <w:pPr>
        <w:spacing w:before="240" w:line="360" w:lineRule="auto"/>
        <w:jc w:val="both"/>
        <w:rPr>
          <w:rFonts w:ascii="Palatino Linotype" w:hAnsi="Palatino Linotype" w:cs="Arial"/>
        </w:rPr>
      </w:pPr>
    </w:p>
    <w:p w14:paraId="3C7F7BED" w14:textId="02309C3C" w:rsidR="00147F2A" w:rsidRPr="00F93884" w:rsidRDefault="00433943" w:rsidP="00F93884">
      <w:pPr>
        <w:spacing w:before="240" w:line="360" w:lineRule="auto"/>
        <w:jc w:val="both"/>
        <w:rPr>
          <w:rFonts w:ascii="Palatino Linotype" w:hAnsi="Palatino Linotype" w:cs="Arial"/>
        </w:rPr>
      </w:pPr>
      <w:r w:rsidRPr="00F93884">
        <w:rPr>
          <w:rFonts w:ascii="Palatino Linotype" w:hAnsi="Palatino Linotype" w:cs="Arial"/>
          <w:b/>
          <w:bCs/>
        </w:rPr>
        <w:lastRenderedPageBreak/>
        <w:t>01156/ZINACANT/IP/2022</w:t>
      </w:r>
    </w:p>
    <w:p w14:paraId="01C1F770" w14:textId="77777777" w:rsidR="00147F2A" w:rsidRPr="00F93884" w:rsidRDefault="001929CF" w:rsidP="00F93884">
      <w:pPr>
        <w:ind w:left="850" w:right="899"/>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w:t>
      </w:r>
      <w:r w:rsidR="006337B7" w:rsidRPr="00F93884">
        <w:rPr>
          <w:rFonts w:ascii="Palatino Linotype" w:eastAsia="Palatino Linotype" w:hAnsi="Palatino Linotype" w:cs="Palatino Linotype"/>
          <w:i/>
          <w:sz w:val="22"/>
          <w:szCs w:val="22"/>
        </w:rPr>
        <w:t>SOLICITO TODOS LOS RECIBOS DE NÓMINA DE LOS SERVIDORES PÚBLICOS DE LA ADMINISTRACIÓN PÚBLICA CENTRAL, DE LA SEGUNDA QUINCENA DE OCTUBRE 2022</w:t>
      </w:r>
      <w:r w:rsidRPr="00F93884">
        <w:rPr>
          <w:rFonts w:ascii="Palatino Linotype" w:eastAsia="Palatino Linotype" w:hAnsi="Palatino Linotype" w:cs="Palatino Linotype"/>
          <w:i/>
          <w:sz w:val="22"/>
          <w:szCs w:val="22"/>
        </w:rPr>
        <w:t>” (sic)</w:t>
      </w:r>
    </w:p>
    <w:p w14:paraId="093E29FB" w14:textId="77777777" w:rsidR="00147F2A" w:rsidRPr="00F93884" w:rsidRDefault="00147F2A" w:rsidP="00F93884">
      <w:pPr>
        <w:tabs>
          <w:tab w:val="left" w:pos="851"/>
        </w:tabs>
        <w:ind w:right="901"/>
        <w:jc w:val="both"/>
        <w:rPr>
          <w:rFonts w:ascii="Palatino Linotype" w:eastAsia="Palatino Linotype" w:hAnsi="Palatino Linotype" w:cs="Palatino Linotype"/>
          <w:sz w:val="22"/>
          <w:szCs w:val="22"/>
        </w:rPr>
      </w:pPr>
    </w:p>
    <w:p w14:paraId="30552917" w14:textId="6EB71F17" w:rsidR="00433943" w:rsidRPr="00F93884" w:rsidRDefault="007C714D" w:rsidP="00F93884">
      <w:pPr>
        <w:widowControl w:val="0"/>
        <w:spacing w:line="360" w:lineRule="auto"/>
        <w:jc w:val="both"/>
        <w:rPr>
          <w:rFonts w:ascii="Palatino Linotype" w:hAnsi="Palatino Linotype" w:cs="Arial"/>
          <w:b/>
          <w:bCs/>
        </w:rPr>
      </w:pPr>
      <w:r w:rsidRPr="00F93884">
        <w:rPr>
          <w:rFonts w:ascii="Palatino Linotype" w:hAnsi="Palatino Linotype" w:cs="Arial"/>
          <w:b/>
          <w:bCs/>
        </w:rPr>
        <w:t>01157/ZINACANT/IP/2022</w:t>
      </w:r>
    </w:p>
    <w:p w14:paraId="4E16180E" w14:textId="77777777" w:rsidR="00433943" w:rsidRPr="00F93884" w:rsidRDefault="00433943" w:rsidP="00F93884">
      <w:pPr>
        <w:ind w:left="850" w:right="899"/>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“SOLICITO TODOS LOS RECIBOS DE NÓMINA DE LA SINDICO MUNICIPAL DEL 1 DE ENERO A LA FECHA DE LA SOLICITUD” (sic)</w:t>
      </w:r>
    </w:p>
    <w:p w14:paraId="40A5B83A" w14:textId="77777777" w:rsidR="00433943" w:rsidRPr="00F93884" w:rsidRDefault="00433943" w:rsidP="00F93884">
      <w:pPr>
        <w:widowControl w:val="0"/>
        <w:spacing w:line="360" w:lineRule="auto"/>
        <w:jc w:val="both"/>
        <w:rPr>
          <w:rFonts w:ascii="Palatino Linotype" w:eastAsia="Palatino Linotype" w:hAnsi="Palatino Linotype" w:cs="Palatino Linotype"/>
          <w:b/>
        </w:rPr>
      </w:pPr>
    </w:p>
    <w:p w14:paraId="309950DA" w14:textId="77777777" w:rsidR="00147F2A" w:rsidRPr="00F93884" w:rsidRDefault="001929CF" w:rsidP="00F93884">
      <w:pPr>
        <w:widowControl w:val="0"/>
        <w:spacing w:line="360" w:lineRule="auto"/>
        <w:jc w:val="both"/>
        <w:rPr>
          <w:rFonts w:ascii="Palatino Linotype" w:eastAsia="Palatino Linotype" w:hAnsi="Palatino Linotype" w:cs="Palatino Linotype"/>
          <w:b/>
        </w:rPr>
      </w:pPr>
      <w:r w:rsidRPr="00F93884">
        <w:rPr>
          <w:rFonts w:ascii="Palatino Linotype" w:eastAsia="Palatino Linotype" w:hAnsi="Palatino Linotype" w:cs="Palatino Linotype"/>
          <w:b/>
        </w:rPr>
        <w:t xml:space="preserve">MODALIDAD DE ENTREGA: </w:t>
      </w:r>
      <w:r w:rsidRPr="00F93884">
        <w:rPr>
          <w:rFonts w:ascii="Palatino Linotype" w:eastAsia="Palatino Linotype" w:hAnsi="Palatino Linotype" w:cs="Palatino Linotype"/>
        </w:rPr>
        <w:t xml:space="preserve">vía </w:t>
      </w:r>
      <w:r w:rsidRPr="00F93884">
        <w:rPr>
          <w:rFonts w:ascii="Palatino Linotype" w:eastAsia="Palatino Linotype" w:hAnsi="Palatino Linotype" w:cs="Palatino Linotype"/>
          <w:b/>
        </w:rPr>
        <w:t xml:space="preserve">SAIMEX </w:t>
      </w:r>
    </w:p>
    <w:p w14:paraId="04BF957D" w14:textId="77777777" w:rsidR="00433943" w:rsidRPr="00F93884" w:rsidRDefault="00433943" w:rsidP="00F93884">
      <w:pPr>
        <w:widowControl w:val="0"/>
        <w:spacing w:line="360" w:lineRule="auto"/>
        <w:jc w:val="both"/>
        <w:rPr>
          <w:rFonts w:ascii="Palatino Linotype" w:eastAsia="Palatino Linotype" w:hAnsi="Palatino Linotype" w:cs="Palatino Linotype"/>
          <w:b/>
          <w:sz w:val="28"/>
          <w:szCs w:val="28"/>
        </w:rPr>
      </w:pPr>
    </w:p>
    <w:p w14:paraId="44D68B2A" w14:textId="77777777" w:rsidR="00147F2A" w:rsidRPr="00F93884" w:rsidRDefault="001929CF" w:rsidP="00F93884">
      <w:pPr>
        <w:widowControl w:val="0"/>
        <w:spacing w:line="360" w:lineRule="auto"/>
        <w:jc w:val="both"/>
        <w:rPr>
          <w:rFonts w:ascii="Palatino Linotype" w:eastAsia="Palatino Linotype" w:hAnsi="Palatino Linotype" w:cs="Palatino Linotype"/>
          <w:b/>
          <w:sz w:val="28"/>
          <w:szCs w:val="28"/>
        </w:rPr>
      </w:pPr>
      <w:r w:rsidRPr="00F93884">
        <w:rPr>
          <w:rFonts w:ascii="Palatino Linotype" w:eastAsia="Palatino Linotype" w:hAnsi="Palatino Linotype" w:cs="Palatino Linotype"/>
          <w:b/>
          <w:sz w:val="28"/>
          <w:szCs w:val="28"/>
        </w:rPr>
        <w:t xml:space="preserve">II. Solicitud de Aclaración </w:t>
      </w:r>
    </w:p>
    <w:p w14:paraId="75A5B148" w14:textId="77777777" w:rsidR="00147F2A" w:rsidRPr="00F93884" w:rsidRDefault="001929CF"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El </w:t>
      </w:r>
      <w:r w:rsidR="00433943" w:rsidRPr="00F93884">
        <w:rPr>
          <w:rFonts w:ascii="Palatino Linotype" w:eastAsia="Palatino Linotype" w:hAnsi="Palatino Linotype" w:cs="Palatino Linotype"/>
        </w:rPr>
        <w:t>cuatro de noviembre</w:t>
      </w:r>
      <w:r w:rsidRPr="00F93884">
        <w:rPr>
          <w:rFonts w:ascii="Palatino Linotype" w:eastAsia="Palatino Linotype" w:hAnsi="Palatino Linotype" w:cs="Palatino Linotype"/>
        </w:rPr>
        <w:t xml:space="preserve"> de dos mil veintidós </w:t>
      </w:r>
      <w:r w:rsidRPr="00F93884">
        <w:rPr>
          <w:rFonts w:ascii="Palatino Linotype" w:eastAsia="Palatino Linotype" w:hAnsi="Palatino Linotype" w:cs="Palatino Linotype"/>
          <w:b/>
        </w:rPr>
        <w:t>EL SUJETO OBLIGADO</w:t>
      </w:r>
      <w:r w:rsidRPr="00F93884">
        <w:rPr>
          <w:rFonts w:ascii="Palatino Linotype" w:eastAsia="Palatino Linotype" w:hAnsi="Palatino Linotype" w:cs="Palatino Linotype"/>
        </w:rPr>
        <w:t xml:space="preserve"> realizó un requerimiento de aclaración, complementación o corrección de datos de la</w:t>
      </w:r>
      <w:r w:rsidR="00433943" w:rsidRPr="00F93884">
        <w:rPr>
          <w:rFonts w:ascii="Palatino Linotype" w:eastAsia="Palatino Linotype" w:hAnsi="Palatino Linotype" w:cs="Palatino Linotype"/>
        </w:rPr>
        <w:t>s</w:t>
      </w:r>
      <w:r w:rsidRPr="00F93884">
        <w:rPr>
          <w:rFonts w:ascii="Palatino Linotype" w:eastAsia="Palatino Linotype" w:hAnsi="Palatino Linotype" w:cs="Palatino Linotype"/>
        </w:rPr>
        <w:t xml:space="preserve"> solicitud</w:t>
      </w:r>
      <w:r w:rsidR="00433943" w:rsidRPr="00F93884">
        <w:rPr>
          <w:rFonts w:ascii="Palatino Linotype" w:eastAsia="Palatino Linotype" w:hAnsi="Palatino Linotype" w:cs="Palatino Linotype"/>
        </w:rPr>
        <w:t xml:space="preserve">es </w:t>
      </w:r>
      <w:r w:rsidRPr="00F93884">
        <w:rPr>
          <w:rFonts w:ascii="Palatino Linotype" w:eastAsia="Palatino Linotype" w:hAnsi="Palatino Linotype" w:cs="Palatino Linotype"/>
        </w:rPr>
        <w:t xml:space="preserve"> </w:t>
      </w:r>
      <w:r w:rsidR="00433943" w:rsidRPr="00F93884">
        <w:rPr>
          <w:rFonts w:ascii="Palatino Linotype" w:hAnsi="Palatino Linotype" w:cs="Arial"/>
          <w:b/>
          <w:bCs/>
        </w:rPr>
        <w:t xml:space="preserve">01156/ZINACANT/IP/2022 </w:t>
      </w:r>
      <w:r w:rsidR="00433943" w:rsidRPr="00F93884">
        <w:rPr>
          <w:rFonts w:ascii="Palatino Linotype" w:hAnsi="Palatino Linotype" w:cs="Arial"/>
        </w:rPr>
        <w:t xml:space="preserve">y </w:t>
      </w:r>
      <w:r w:rsidR="00433943" w:rsidRPr="00F93884">
        <w:rPr>
          <w:rFonts w:ascii="Palatino Linotype" w:hAnsi="Palatino Linotype" w:cs="Arial"/>
          <w:b/>
          <w:bCs/>
        </w:rPr>
        <w:t xml:space="preserve">01157/ZINACANT/IP/2022 </w:t>
      </w:r>
      <w:r w:rsidRPr="00F93884">
        <w:rPr>
          <w:rFonts w:ascii="Palatino Linotype" w:eastAsia="Palatino Linotype" w:hAnsi="Palatino Linotype" w:cs="Palatino Linotype"/>
        </w:rPr>
        <w:t>notificada en términos del artículo 159 de la Ley de Transparencia y Acceso a la Información Pública del Estado de México y Municipios, en los términos siguientes:</w:t>
      </w:r>
    </w:p>
    <w:p w14:paraId="708F0DFD" w14:textId="77777777" w:rsidR="00147F2A" w:rsidRPr="00F93884" w:rsidRDefault="00147F2A" w:rsidP="00F93884">
      <w:pPr>
        <w:jc w:val="both"/>
        <w:rPr>
          <w:rFonts w:ascii="Palatino Linotype" w:eastAsia="Palatino Linotype" w:hAnsi="Palatino Linotype" w:cs="Palatino Linotype"/>
        </w:rPr>
      </w:pPr>
    </w:p>
    <w:p w14:paraId="3B18A669" w14:textId="77777777" w:rsidR="00433943" w:rsidRPr="00F93884" w:rsidRDefault="001929CF" w:rsidP="00F93884">
      <w:pPr>
        <w:ind w:left="850" w:right="899"/>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w:t>
      </w:r>
      <w:r w:rsidR="00433943" w:rsidRPr="00F93884">
        <w:rPr>
          <w:rFonts w:ascii="Palatino Linotype" w:eastAsia="Palatino Linotype" w:hAnsi="Palatino Linotype" w:cs="Palatino Linotype"/>
          <w:i/>
          <w:sz w:val="22"/>
          <w:szCs w:val="22"/>
        </w:rPr>
        <w:t xml:space="preserve">Con fundamento en el </w:t>
      </w:r>
      <w:proofErr w:type="spellStart"/>
      <w:r w:rsidR="00433943" w:rsidRPr="00F93884">
        <w:rPr>
          <w:rFonts w:ascii="Palatino Linotype" w:eastAsia="Palatino Linotype" w:hAnsi="Palatino Linotype" w:cs="Palatino Linotype"/>
          <w:i/>
          <w:sz w:val="22"/>
          <w:szCs w:val="22"/>
        </w:rPr>
        <w:t>articulo</w:t>
      </w:r>
      <w:proofErr w:type="spellEnd"/>
      <w:r w:rsidR="00433943" w:rsidRPr="00F93884">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3BB4DB98" w14:textId="77777777" w:rsidR="00433943" w:rsidRPr="00F93884" w:rsidRDefault="00433943" w:rsidP="00F93884">
      <w:pPr>
        <w:ind w:left="850" w:right="899"/>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 xml:space="preserve">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w:t>
      </w:r>
      <w:r w:rsidRPr="00F93884">
        <w:rPr>
          <w:rFonts w:ascii="Palatino Linotype" w:eastAsia="Palatino Linotype" w:hAnsi="Palatino Linotype" w:cs="Palatino Linotype"/>
          <w:i/>
          <w:sz w:val="22"/>
          <w:szCs w:val="22"/>
        </w:rPr>
        <w:lastRenderedPageBreak/>
        <w:t>requiere para que esta Unidad de Transparencia cuente con los elementos necesarios que permitan realizar una búsqueda exhaustiva en los archivos municipales.</w:t>
      </w:r>
    </w:p>
    <w:p w14:paraId="24591AB5" w14:textId="77777777" w:rsidR="00433943" w:rsidRPr="00F93884" w:rsidRDefault="00433943" w:rsidP="00F93884">
      <w:pPr>
        <w:ind w:left="850" w:right="899"/>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96245FC" w14:textId="77777777" w:rsidR="00433943" w:rsidRPr="00F93884" w:rsidRDefault="00433943" w:rsidP="00F93884">
      <w:pPr>
        <w:ind w:left="850" w:right="899"/>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ATENTAMENTE</w:t>
      </w:r>
    </w:p>
    <w:p w14:paraId="1A2378D1" w14:textId="77777777" w:rsidR="00147F2A" w:rsidRPr="00F93884" w:rsidRDefault="00433943" w:rsidP="00F93884">
      <w:pPr>
        <w:ind w:left="850" w:right="899"/>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ING. JESUS EMMANUEL ENCASTIN RENDON (</w:t>
      </w:r>
      <w:r w:rsidR="001929CF" w:rsidRPr="00F93884">
        <w:rPr>
          <w:rFonts w:ascii="Palatino Linotype" w:eastAsia="Palatino Linotype" w:hAnsi="Palatino Linotype" w:cs="Palatino Linotype"/>
          <w:i/>
          <w:sz w:val="22"/>
          <w:szCs w:val="22"/>
        </w:rPr>
        <w:t>Sic)</w:t>
      </w:r>
    </w:p>
    <w:p w14:paraId="5DDE9A1A" w14:textId="77777777" w:rsidR="00147F2A" w:rsidRPr="00F93884" w:rsidRDefault="00147F2A" w:rsidP="00F93884">
      <w:pPr>
        <w:spacing w:line="360" w:lineRule="auto"/>
        <w:jc w:val="both"/>
        <w:rPr>
          <w:rFonts w:ascii="Palatino Linotype" w:eastAsia="Palatino Linotype" w:hAnsi="Palatino Linotype" w:cs="Palatino Linotype"/>
          <w:b/>
          <w:sz w:val="28"/>
          <w:szCs w:val="28"/>
        </w:rPr>
      </w:pPr>
    </w:p>
    <w:p w14:paraId="7179D179" w14:textId="77777777" w:rsidR="00433943" w:rsidRPr="00F93884" w:rsidRDefault="001929CF" w:rsidP="00F93884">
      <w:pPr>
        <w:widowControl w:val="0"/>
        <w:spacing w:line="360" w:lineRule="auto"/>
        <w:jc w:val="both"/>
        <w:rPr>
          <w:rFonts w:ascii="Palatino Linotype" w:eastAsia="Palatino Linotype" w:hAnsi="Palatino Linotype" w:cs="Palatino Linotype"/>
          <w:b/>
          <w:sz w:val="28"/>
          <w:szCs w:val="28"/>
        </w:rPr>
      </w:pPr>
      <w:r w:rsidRPr="00F93884">
        <w:rPr>
          <w:rFonts w:ascii="Palatino Linotype" w:eastAsia="Palatino Linotype" w:hAnsi="Palatino Linotype" w:cs="Palatino Linotype"/>
          <w:b/>
          <w:sz w:val="28"/>
          <w:szCs w:val="28"/>
        </w:rPr>
        <w:t xml:space="preserve">III.  </w:t>
      </w:r>
      <w:r w:rsidR="00433943" w:rsidRPr="00F93884">
        <w:rPr>
          <w:rFonts w:ascii="Palatino Linotype" w:eastAsia="Palatino Linotype" w:hAnsi="Palatino Linotype" w:cs="Palatino Linotype"/>
          <w:b/>
          <w:sz w:val="28"/>
          <w:szCs w:val="28"/>
        </w:rPr>
        <w:t>Respuesta de Aclaración</w:t>
      </w:r>
    </w:p>
    <w:p w14:paraId="69661081" w14:textId="77777777" w:rsidR="00433943" w:rsidRPr="00F93884" w:rsidRDefault="00433943" w:rsidP="00F93884">
      <w:pPr>
        <w:spacing w:line="360" w:lineRule="auto"/>
        <w:jc w:val="both"/>
        <w:rPr>
          <w:rFonts w:ascii="Palatino Linotype" w:hAnsi="Palatino Linotype" w:cs="Arial"/>
        </w:rPr>
      </w:pPr>
      <w:r w:rsidRPr="00F93884">
        <w:rPr>
          <w:rFonts w:ascii="Palatino Linotype" w:hAnsi="Palatino Linotype" w:cs="Arial"/>
        </w:rPr>
        <w:t xml:space="preserve">En los expedientes electrónicos </w:t>
      </w:r>
      <w:r w:rsidRPr="00F93884">
        <w:rPr>
          <w:rFonts w:ascii="Palatino Linotype" w:hAnsi="Palatino Linotype" w:cs="Arial"/>
          <w:b/>
        </w:rPr>
        <w:t xml:space="preserve">SAIMEX </w:t>
      </w:r>
      <w:r w:rsidRPr="00F93884">
        <w:rPr>
          <w:rFonts w:ascii="Palatino Linotype" w:hAnsi="Palatino Linotype" w:cs="Arial"/>
        </w:rPr>
        <w:t xml:space="preserve">correspondientes a las solicitudes de información </w:t>
      </w:r>
      <w:r w:rsidRPr="00F93884">
        <w:rPr>
          <w:rFonts w:ascii="Palatino Linotype" w:hAnsi="Palatino Linotype" w:cs="Arial"/>
          <w:b/>
          <w:bCs/>
        </w:rPr>
        <w:t xml:space="preserve">01156/ZINACANT/IP/2022 </w:t>
      </w:r>
      <w:r w:rsidRPr="00F93884">
        <w:rPr>
          <w:rFonts w:ascii="Palatino Linotype" w:hAnsi="Palatino Linotype" w:cs="Arial"/>
        </w:rPr>
        <w:t xml:space="preserve">y </w:t>
      </w:r>
      <w:r w:rsidRPr="00F93884">
        <w:rPr>
          <w:rFonts w:ascii="Palatino Linotype" w:hAnsi="Palatino Linotype" w:cs="Arial"/>
          <w:b/>
          <w:bCs/>
        </w:rPr>
        <w:t xml:space="preserve">01157/ZINACANT/IP/2022, </w:t>
      </w:r>
      <w:r w:rsidRPr="00F93884">
        <w:rPr>
          <w:rFonts w:ascii="Palatino Linotype" w:hAnsi="Palatino Linotype" w:cs="Arial"/>
        </w:rPr>
        <w:t xml:space="preserve">se aprecia que en fecha </w:t>
      </w:r>
      <w:r w:rsidRPr="00F93884">
        <w:rPr>
          <w:rFonts w:ascii="Palatino Linotype" w:hAnsi="Palatino Linotype" w:cs="Arial"/>
          <w:b/>
          <w:bCs/>
        </w:rPr>
        <w:t xml:space="preserve">cuatro de noviembre de dos mil veintidós, </w:t>
      </w:r>
      <w:r w:rsidRPr="00F93884">
        <w:rPr>
          <w:rFonts w:ascii="Palatino Linotype" w:hAnsi="Palatino Linotype" w:cs="Arial"/>
        </w:rPr>
        <w:t>el particular desahogó las solicitudes de aclaración formuladas en los siguientes términos:</w:t>
      </w:r>
    </w:p>
    <w:p w14:paraId="78E8B028" w14:textId="77777777" w:rsidR="007C714D" w:rsidRPr="00F93884" w:rsidRDefault="007C714D" w:rsidP="00F93884">
      <w:pPr>
        <w:pStyle w:val="Citas"/>
        <w:spacing w:before="0" w:after="0"/>
      </w:pPr>
    </w:p>
    <w:p w14:paraId="0B942751" w14:textId="77777777" w:rsidR="00433943" w:rsidRPr="00F93884" w:rsidRDefault="00433943" w:rsidP="00F93884">
      <w:pPr>
        <w:pStyle w:val="Citas"/>
        <w:spacing w:before="0" w:after="0"/>
        <w:rPr>
          <w:b/>
          <w:bCs/>
        </w:rPr>
      </w:pPr>
      <w:r w:rsidRPr="00F93884">
        <w:t>“</w:t>
      </w:r>
      <w:r w:rsidR="008225F8" w:rsidRPr="00F93884">
        <w:t>LA SOLCITUD ES MUY ESPECÍFICA.</w:t>
      </w:r>
      <w:r w:rsidRPr="00F93884">
        <w:t xml:space="preserve"> </w:t>
      </w:r>
      <w:r w:rsidRPr="00F93884">
        <w:rPr>
          <w:b/>
          <w:bCs/>
        </w:rPr>
        <w:t>(Sic)</w:t>
      </w:r>
    </w:p>
    <w:p w14:paraId="1DE66C69" w14:textId="77777777" w:rsidR="007C714D" w:rsidRPr="00F93884" w:rsidRDefault="007C714D" w:rsidP="00F93884">
      <w:pPr>
        <w:widowControl w:val="0"/>
        <w:spacing w:line="360" w:lineRule="auto"/>
        <w:jc w:val="both"/>
        <w:rPr>
          <w:rFonts w:ascii="Palatino Linotype" w:eastAsia="Palatino Linotype" w:hAnsi="Palatino Linotype" w:cs="Palatino Linotype"/>
          <w:b/>
          <w:sz w:val="28"/>
          <w:szCs w:val="28"/>
        </w:rPr>
      </w:pPr>
    </w:p>
    <w:p w14:paraId="35729CF1" w14:textId="77777777" w:rsidR="00147F2A" w:rsidRPr="00F93884" w:rsidRDefault="008225F8" w:rsidP="00F93884">
      <w:pPr>
        <w:widowControl w:val="0"/>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b/>
          <w:sz w:val="28"/>
          <w:szCs w:val="28"/>
        </w:rPr>
        <w:t xml:space="preserve">IV. </w:t>
      </w:r>
      <w:r w:rsidR="001929CF" w:rsidRPr="00F93884">
        <w:rPr>
          <w:rFonts w:ascii="Palatino Linotype" w:eastAsia="Palatino Linotype" w:hAnsi="Palatino Linotype" w:cs="Palatino Linotype"/>
          <w:b/>
          <w:sz w:val="28"/>
          <w:szCs w:val="28"/>
        </w:rPr>
        <w:t>Del Recurso de Revisión</w:t>
      </w:r>
      <w:r w:rsidR="001929CF" w:rsidRPr="00F93884">
        <w:rPr>
          <w:rFonts w:ascii="Palatino Linotype" w:eastAsia="Palatino Linotype" w:hAnsi="Palatino Linotype" w:cs="Palatino Linotype"/>
          <w:b/>
        </w:rPr>
        <w:t>.</w:t>
      </w:r>
    </w:p>
    <w:p w14:paraId="08FBA305" w14:textId="77777777" w:rsidR="00147F2A" w:rsidRPr="00F93884" w:rsidRDefault="001929CF" w:rsidP="00F93884">
      <w:pPr>
        <w:widowControl w:val="0"/>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Inconforme con</w:t>
      </w:r>
      <w:r w:rsidR="008225F8" w:rsidRPr="00F93884">
        <w:rPr>
          <w:rFonts w:ascii="Palatino Linotype" w:eastAsia="Palatino Linotype" w:hAnsi="Palatino Linotype" w:cs="Palatino Linotype"/>
        </w:rPr>
        <w:t xml:space="preserve"> la omisión de</w:t>
      </w:r>
      <w:r w:rsidRPr="00F93884">
        <w:rPr>
          <w:rFonts w:ascii="Palatino Linotype" w:eastAsia="Palatino Linotype" w:hAnsi="Palatino Linotype" w:cs="Palatino Linotype"/>
        </w:rPr>
        <w:t xml:space="preserve"> la</w:t>
      </w:r>
      <w:r w:rsidR="008225F8" w:rsidRPr="00F93884">
        <w:rPr>
          <w:rFonts w:ascii="Palatino Linotype" w:eastAsia="Palatino Linotype" w:hAnsi="Palatino Linotype" w:cs="Palatino Linotype"/>
        </w:rPr>
        <w:t>s</w:t>
      </w:r>
      <w:r w:rsidRPr="00F93884">
        <w:rPr>
          <w:rFonts w:ascii="Palatino Linotype" w:eastAsia="Palatino Linotype" w:hAnsi="Palatino Linotype" w:cs="Palatino Linotype"/>
        </w:rPr>
        <w:t xml:space="preserve"> respuesta</w:t>
      </w:r>
      <w:r w:rsidR="008225F8" w:rsidRPr="00F93884">
        <w:rPr>
          <w:rFonts w:ascii="Palatino Linotype" w:eastAsia="Palatino Linotype" w:hAnsi="Palatino Linotype" w:cs="Palatino Linotype"/>
        </w:rPr>
        <w:t>s</w:t>
      </w:r>
      <w:r w:rsidRPr="00F93884">
        <w:rPr>
          <w:rFonts w:ascii="Palatino Linotype" w:eastAsia="Palatino Linotype" w:hAnsi="Palatino Linotype" w:cs="Palatino Linotype"/>
        </w:rPr>
        <w:t xml:space="preserve"> del</w:t>
      </w:r>
      <w:r w:rsidRPr="00F93884">
        <w:rPr>
          <w:rFonts w:ascii="Palatino Linotype" w:eastAsia="Palatino Linotype" w:hAnsi="Palatino Linotype" w:cs="Palatino Linotype"/>
          <w:b/>
        </w:rPr>
        <w:t xml:space="preserve"> SUJETO OBLIGADO</w:t>
      </w:r>
      <w:r w:rsidRPr="00F93884">
        <w:rPr>
          <w:rFonts w:ascii="Palatino Linotype" w:eastAsia="Palatino Linotype" w:hAnsi="Palatino Linotype" w:cs="Palatino Linotype"/>
        </w:rPr>
        <w:t xml:space="preserve">, el </w:t>
      </w:r>
      <w:r w:rsidR="008225F8" w:rsidRPr="00F93884">
        <w:rPr>
          <w:rFonts w:ascii="Palatino Linotype" w:eastAsia="Palatino Linotype" w:hAnsi="Palatino Linotype" w:cs="Palatino Linotype"/>
        </w:rPr>
        <w:t>veintinueve de noviembre</w:t>
      </w:r>
      <w:r w:rsidRPr="00F93884">
        <w:rPr>
          <w:rFonts w:ascii="Palatino Linotype" w:eastAsia="Palatino Linotype" w:hAnsi="Palatino Linotype" w:cs="Palatino Linotype"/>
        </w:rPr>
        <w:t xml:space="preserve"> de dos mil veintidós, </w:t>
      </w:r>
      <w:r w:rsidRPr="00F93884">
        <w:rPr>
          <w:rFonts w:ascii="Palatino Linotype" w:eastAsia="Palatino Linotype" w:hAnsi="Palatino Linotype" w:cs="Palatino Linotype"/>
          <w:b/>
        </w:rPr>
        <w:t>EL RECURRENTE</w:t>
      </w:r>
      <w:r w:rsidR="0017628B" w:rsidRPr="00F93884">
        <w:rPr>
          <w:rFonts w:ascii="Palatino Linotype" w:eastAsia="Palatino Linotype" w:hAnsi="Palatino Linotype" w:cs="Palatino Linotype"/>
        </w:rPr>
        <w:t xml:space="preserve"> interpuso los</w:t>
      </w:r>
      <w:r w:rsidRPr="00F93884">
        <w:rPr>
          <w:rFonts w:ascii="Palatino Linotype" w:eastAsia="Palatino Linotype" w:hAnsi="Palatino Linotype" w:cs="Palatino Linotype"/>
        </w:rPr>
        <w:t xml:space="preserve"> Recurso</w:t>
      </w:r>
      <w:r w:rsidR="008225F8" w:rsidRPr="00F93884">
        <w:rPr>
          <w:rFonts w:ascii="Palatino Linotype" w:eastAsia="Palatino Linotype" w:hAnsi="Palatino Linotype" w:cs="Palatino Linotype"/>
        </w:rPr>
        <w:t>s</w:t>
      </w:r>
      <w:r w:rsidRPr="00F93884">
        <w:rPr>
          <w:rFonts w:ascii="Palatino Linotype" w:eastAsia="Palatino Linotype" w:hAnsi="Palatino Linotype" w:cs="Palatino Linotype"/>
        </w:rPr>
        <w:t xml:space="preserve"> de Revisión, mismo</w:t>
      </w:r>
      <w:r w:rsidR="008225F8" w:rsidRPr="00F93884">
        <w:rPr>
          <w:rFonts w:ascii="Palatino Linotype" w:eastAsia="Palatino Linotype" w:hAnsi="Palatino Linotype" w:cs="Palatino Linotype"/>
        </w:rPr>
        <w:t>s</w:t>
      </w:r>
      <w:r w:rsidRPr="00F93884">
        <w:rPr>
          <w:rFonts w:ascii="Palatino Linotype" w:eastAsia="Palatino Linotype" w:hAnsi="Palatino Linotype" w:cs="Palatino Linotype"/>
        </w:rPr>
        <w:t xml:space="preserve"> que fue</w:t>
      </w:r>
      <w:r w:rsidR="008225F8" w:rsidRPr="00F93884">
        <w:rPr>
          <w:rFonts w:ascii="Palatino Linotype" w:eastAsia="Palatino Linotype" w:hAnsi="Palatino Linotype" w:cs="Palatino Linotype"/>
        </w:rPr>
        <w:t>ron</w:t>
      </w:r>
      <w:r w:rsidRPr="00F93884">
        <w:rPr>
          <w:rFonts w:ascii="Palatino Linotype" w:eastAsia="Palatino Linotype" w:hAnsi="Palatino Linotype" w:cs="Palatino Linotype"/>
        </w:rPr>
        <w:t xml:space="preserve"> registrado</w:t>
      </w:r>
      <w:r w:rsidR="008225F8" w:rsidRPr="00F93884">
        <w:rPr>
          <w:rFonts w:ascii="Palatino Linotype" w:eastAsia="Palatino Linotype" w:hAnsi="Palatino Linotype" w:cs="Palatino Linotype"/>
        </w:rPr>
        <w:t>s</w:t>
      </w:r>
      <w:r w:rsidRPr="00F93884">
        <w:rPr>
          <w:rFonts w:ascii="Palatino Linotype" w:eastAsia="Palatino Linotype" w:hAnsi="Palatino Linotype" w:cs="Palatino Linotype"/>
        </w:rPr>
        <w:t xml:space="preserve"> en </w:t>
      </w:r>
      <w:r w:rsidRPr="00F93884">
        <w:rPr>
          <w:rFonts w:ascii="Palatino Linotype" w:eastAsia="Palatino Linotype" w:hAnsi="Palatino Linotype" w:cs="Palatino Linotype"/>
          <w:b/>
        </w:rPr>
        <w:t>EL SAIMEX</w:t>
      </w:r>
      <w:r w:rsidR="008225F8" w:rsidRPr="00F93884">
        <w:rPr>
          <w:rFonts w:ascii="Palatino Linotype" w:eastAsia="Palatino Linotype" w:hAnsi="Palatino Linotype" w:cs="Palatino Linotype"/>
        </w:rPr>
        <w:t xml:space="preserve"> y se le asignaron los</w:t>
      </w:r>
      <w:r w:rsidRPr="00F93884">
        <w:rPr>
          <w:rFonts w:ascii="Palatino Linotype" w:eastAsia="Palatino Linotype" w:hAnsi="Palatino Linotype" w:cs="Palatino Linotype"/>
        </w:rPr>
        <w:t xml:space="preserve"> expediente</w:t>
      </w:r>
      <w:r w:rsidR="008225F8" w:rsidRPr="00F93884">
        <w:rPr>
          <w:rFonts w:ascii="Palatino Linotype" w:eastAsia="Palatino Linotype" w:hAnsi="Palatino Linotype" w:cs="Palatino Linotype"/>
        </w:rPr>
        <w:t>s</w:t>
      </w:r>
      <w:r w:rsidRPr="00F93884">
        <w:rPr>
          <w:rFonts w:ascii="Palatino Linotype" w:eastAsia="Palatino Linotype" w:hAnsi="Palatino Linotype" w:cs="Palatino Linotype"/>
        </w:rPr>
        <w:t xml:space="preserve"> </w:t>
      </w:r>
      <w:r w:rsidR="008225F8" w:rsidRPr="00F93884">
        <w:rPr>
          <w:rFonts w:ascii="Palatino Linotype" w:hAnsi="Palatino Linotype" w:cs="Arial"/>
          <w:b/>
          <w:bCs/>
        </w:rPr>
        <w:t xml:space="preserve">16977/INFOEM/IP/RR/2023 </w:t>
      </w:r>
      <w:r w:rsidR="008225F8" w:rsidRPr="00F93884">
        <w:rPr>
          <w:rFonts w:ascii="Palatino Linotype" w:hAnsi="Palatino Linotype" w:cs="Arial"/>
        </w:rPr>
        <w:t xml:space="preserve">y </w:t>
      </w:r>
      <w:r w:rsidR="008225F8" w:rsidRPr="00F93884">
        <w:rPr>
          <w:rFonts w:ascii="Palatino Linotype" w:hAnsi="Palatino Linotype" w:cs="Arial"/>
          <w:b/>
          <w:bCs/>
        </w:rPr>
        <w:t xml:space="preserve">16978/INFOEM/IP/RR/2023 </w:t>
      </w:r>
      <w:r w:rsidRPr="00F93884">
        <w:rPr>
          <w:rFonts w:ascii="Palatino Linotype" w:eastAsia="Palatino Linotype" w:hAnsi="Palatino Linotype" w:cs="Palatino Linotype"/>
        </w:rPr>
        <w:t>donde los motivos de agravio del</w:t>
      </w:r>
      <w:r w:rsidRPr="00F93884">
        <w:rPr>
          <w:rFonts w:ascii="Palatino Linotype" w:eastAsia="Palatino Linotype" w:hAnsi="Palatino Linotype" w:cs="Palatino Linotype"/>
          <w:b/>
        </w:rPr>
        <w:t xml:space="preserve"> RECURRENTE </w:t>
      </w:r>
      <w:r w:rsidRPr="00F93884">
        <w:rPr>
          <w:rFonts w:ascii="Palatino Linotype" w:eastAsia="Palatino Linotype" w:hAnsi="Palatino Linotype" w:cs="Palatino Linotype"/>
        </w:rPr>
        <w:t>fueron los siguientes:</w:t>
      </w:r>
    </w:p>
    <w:p w14:paraId="38A9A5A6" w14:textId="77777777" w:rsidR="00147F2A" w:rsidRPr="00F93884" w:rsidRDefault="00147F2A" w:rsidP="00F93884">
      <w:pPr>
        <w:widowControl w:val="0"/>
        <w:spacing w:line="360" w:lineRule="auto"/>
        <w:jc w:val="both"/>
        <w:rPr>
          <w:rFonts w:ascii="Palatino Linotype" w:eastAsia="Palatino Linotype" w:hAnsi="Palatino Linotype" w:cs="Palatino Linotype"/>
        </w:rPr>
      </w:pPr>
    </w:p>
    <w:p w14:paraId="5F4498EF" w14:textId="77777777" w:rsidR="00147F2A" w:rsidRPr="00F93884" w:rsidRDefault="001929CF" w:rsidP="00F93884">
      <w:pPr>
        <w:spacing w:line="360" w:lineRule="auto"/>
        <w:ind w:left="-57" w:right="-57"/>
        <w:jc w:val="both"/>
        <w:rPr>
          <w:rFonts w:ascii="Palatino Linotype" w:eastAsia="Palatino Linotype" w:hAnsi="Palatino Linotype" w:cs="Palatino Linotype"/>
          <w:b/>
          <w:u w:val="single"/>
        </w:rPr>
      </w:pPr>
      <w:r w:rsidRPr="00F93884">
        <w:rPr>
          <w:rFonts w:ascii="Palatino Linotype" w:eastAsia="Palatino Linotype" w:hAnsi="Palatino Linotype" w:cs="Palatino Linotype"/>
          <w:b/>
          <w:u w:val="single"/>
        </w:rPr>
        <w:lastRenderedPageBreak/>
        <w:t>Acto Impugnado:</w:t>
      </w:r>
      <w:r w:rsidRPr="00F93884">
        <w:rPr>
          <w:b/>
          <w:u w:val="single"/>
        </w:rPr>
        <w:t xml:space="preserve"> </w:t>
      </w:r>
    </w:p>
    <w:p w14:paraId="65ABFB8A" w14:textId="77777777" w:rsidR="00147F2A" w:rsidRPr="00F93884" w:rsidRDefault="001929CF" w:rsidP="00F93884">
      <w:pPr>
        <w:tabs>
          <w:tab w:val="left" w:pos="709"/>
        </w:tabs>
        <w:spacing w:before="66"/>
        <w:ind w:left="850" w:right="899"/>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w:t>
      </w:r>
      <w:r w:rsidR="008225F8" w:rsidRPr="00F93884">
        <w:rPr>
          <w:rFonts w:ascii="Palatino Linotype" w:eastAsia="Palatino Linotype" w:hAnsi="Palatino Linotype" w:cs="Palatino Linotype"/>
          <w:i/>
          <w:sz w:val="22"/>
          <w:szCs w:val="22"/>
        </w:rPr>
        <w:t>NO ENTREGA INFORMACIÓN</w:t>
      </w:r>
      <w:r w:rsidRPr="00F93884">
        <w:rPr>
          <w:rFonts w:ascii="Palatino Linotype" w:eastAsia="Palatino Linotype" w:hAnsi="Palatino Linotype" w:cs="Palatino Linotype"/>
          <w:i/>
          <w:sz w:val="22"/>
          <w:szCs w:val="22"/>
        </w:rPr>
        <w:t>” (Sic)</w:t>
      </w:r>
    </w:p>
    <w:p w14:paraId="11DDBA7F" w14:textId="77777777" w:rsidR="00147F2A" w:rsidRPr="00F93884" w:rsidRDefault="00147F2A" w:rsidP="00F93884">
      <w:pPr>
        <w:ind w:right="899"/>
        <w:jc w:val="both"/>
        <w:rPr>
          <w:rFonts w:ascii="Palatino Linotype" w:eastAsia="Palatino Linotype" w:hAnsi="Palatino Linotype" w:cs="Palatino Linotype"/>
        </w:rPr>
      </w:pPr>
    </w:p>
    <w:p w14:paraId="02485A0E" w14:textId="77777777" w:rsidR="00147F2A" w:rsidRPr="00F93884" w:rsidRDefault="001929CF" w:rsidP="00F93884">
      <w:pPr>
        <w:spacing w:line="360" w:lineRule="auto"/>
        <w:ind w:right="49"/>
        <w:jc w:val="both"/>
        <w:rPr>
          <w:rFonts w:ascii="Palatino Linotype" w:eastAsia="Palatino Linotype" w:hAnsi="Palatino Linotype" w:cs="Palatino Linotype"/>
          <w:b/>
          <w:u w:val="single"/>
        </w:rPr>
      </w:pPr>
      <w:r w:rsidRPr="00F93884">
        <w:rPr>
          <w:rFonts w:ascii="Palatino Linotype" w:eastAsia="Palatino Linotype" w:hAnsi="Palatino Linotype" w:cs="Palatino Linotype"/>
          <w:b/>
          <w:u w:val="single"/>
        </w:rPr>
        <w:t>Razones o motivos de inconformidad:</w:t>
      </w:r>
    </w:p>
    <w:p w14:paraId="2CB37C3E" w14:textId="77777777" w:rsidR="00147F2A" w:rsidRPr="00F93884" w:rsidRDefault="001929CF" w:rsidP="00F93884">
      <w:pPr>
        <w:tabs>
          <w:tab w:val="left" w:pos="709"/>
        </w:tabs>
        <w:spacing w:before="66"/>
        <w:ind w:left="850" w:right="899"/>
        <w:jc w:val="both"/>
        <w:rPr>
          <w:rFonts w:ascii="Palatino Linotype" w:eastAsia="Palatino Linotype" w:hAnsi="Palatino Linotype" w:cs="Palatino Linotype"/>
        </w:rPr>
      </w:pPr>
      <w:r w:rsidRPr="00F93884">
        <w:rPr>
          <w:rFonts w:ascii="Palatino Linotype" w:eastAsia="Palatino Linotype" w:hAnsi="Palatino Linotype" w:cs="Palatino Linotype"/>
          <w:i/>
          <w:sz w:val="22"/>
          <w:szCs w:val="22"/>
        </w:rPr>
        <w:t>“</w:t>
      </w:r>
      <w:r w:rsidR="008225F8" w:rsidRPr="00F93884">
        <w:rPr>
          <w:rFonts w:ascii="Palatino Linotype" w:eastAsia="Palatino Linotype" w:hAnsi="Palatino Linotype" w:cs="Palatino Linotype"/>
          <w:i/>
          <w:sz w:val="22"/>
          <w:szCs w:val="22"/>
        </w:rPr>
        <w:t>NO ENTREGA INFORMACIÓN</w:t>
      </w:r>
      <w:r w:rsidRPr="00F93884">
        <w:rPr>
          <w:rFonts w:ascii="Palatino Linotype" w:eastAsia="Palatino Linotype" w:hAnsi="Palatino Linotype" w:cs="Palatino Linotype"/>
          <w:i/>
          <w:sz w:val="22"/>
          <w:szCs w:val="22"/>
        </w:rPr>
        <w:t>” (Sic)</w:t>
      </w:r>
    </w:p>
    <w:p w14:paraId="7CB20FFE" w14:textId="77777777" w:rsidR="00147F2A" w:rsidRPr="00F93884" w:rsidRDefault="00147F2A" w:rsidP="00F93884">
      <w:pPr>
        <w:spacing w:line="360" w:lineRule="auto"/>
        <w:jc w:val="both"/>
        <w:rPr>
          <w:rFonts w:ascii="Palatino Linotype" w:eastAsia="Palatino Linotype" w:hAnsi="Palatino Linotype" w:cs="Palatino Linotype"/>
        </w:rPr>
      </w:pPr>
    </w:p>
    <w:p w14:paraId="561C8054" w14:textId="77777777" w:rsidR="00147F2A" w:rsidRPr="00F93884" w:rsidRDefault="001929CF" w:rsidP="00F93884">
      <w:pPr>
        <w:spacing w:line="360" w:lineRule="auto"/>
        <w:jc w:val="both"/>
        <w:rPr>
          <w:rFonts w:ascii="Palatino Linotype" w:eastAsia="Palatino Linotype" w:hAnsi="Palatino Linotype" w:cs="Palatino Linotype"/>
          <w:b/>
          <w:sz w:val="28"/>
          <w:szCs w:val="28"/>
        </w:rPr>
      </w:pPr>
      <w:r w:rsidRPr="00F93884">
        <w:rPr>
          <w:rFonts w:ascii="Palatino Linotype" w:eastAsia="Palatino Linotype" w:hAnsi="Palatino Linotype" w:cs="Palatino Linotype"/>
          <w:b/>
          <w:sz w:val="28"/>
          <w:szCs w:val="28"/>
        </w:rPr>
        <w:t xml:space="preserve">V. Del turno del Recurso de Revisión. </w:t>
      </w:r>
    </w:p>
    <w:p w14:paraId="1E73F680" w14:textId="77777777" w:rsidR="00350A1E" w:rsidRPr="00F93884" w:rsidRDefault="00350A1E" w:rsidP="00F93884">
      <w:pPr>
        <w:spacing w:line="360" w:lineRule="auto"/>
        <w:jc w:val="both"/>
        <w:rPr>
          <w:rFonts w:ascii="Palatino Linotype" w:hAnsi="Palatino Linotype" w:cs="Arial"/>
        </w:rPr>
      </w:pPr>
      <w:r w:rsidRPr="00F93884">
        <w:rPr>
          <w:rFonts w:ascii="Palatino Linotype" w:hAnsi="Palatino Linotype" w:cs="Arial"/>
        </w:rPr>
        <w:t xml:space="preserve">El </w:t>
      </w:r>
      <w:r w:rsidRPr="00F93884">
        <w:rPr>
          <w:rFonts w:ascii="Palatino Linotype" w:hAnsi="Palatino Linotype" w:cs="Arial"/>
          <w:b/>
          <w:bCs/>
        </w:rPr>
        <w:t>veintinueve de noviembre de dos mil veintidós</w:t>
      </w:r>
      <w:r w:rsidRPr="00F93884">
        <w:rPr>
          <w:rFonts w:ascii="Palatino Linotype" w:hAnsi="Palatino Linotype" w:cs="Arial"/>
        </w:rPr>
        <w:t xml:space="preserve">, los medios de impugnación que se tratan se enviaron electrónicamente al Instituto de </w:t>
      </w:r>
      <w:r w:rsidRPr="00F93884">
        <w:rPr>
          <w:rFonts w:ascii="Palatino Linotype" w:eastAsia="Arial Unicode MS" w:hAnsi="Palatino Linotype" w:cs="Arial"/>
        </w:rPr>
        <w:t>Transparencia</w:t>
      </w:r>
      <w:r w:rsidRPr="00F93884">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F93884">
        <w:rPr>
          <w:rFonts w:ascii="Palatino Linotype" w:hAnsi="Palatino Linotype"/>
        </w:rPr>
        <w:t>Ley de Transparencia y Acceso a la Información Pública del Estado de México y Municipios</w:t>
      </w:r>
      <w:r w:rsidRPr="00F93884">
        <w:rPr>
          <w:rFonts w:ascii="Palatino Linotype" w:hAnsi="Palatino Linotype" w:cs="Arial"/>
        </w:rPr>
        <w:t xml:space="preserve">, se turnaron mediante </w:t>
      </w:r>
      <w:r w:rsidRPr="00F93884">
        <w:rPr>
          <w:rFonts w:ascii="Palatino Linotype" w:hAnsi="Palatino Linotype" w:cs="Arial"/>
          <w:b/>
        </w:rPr>
        <w:t xml:space="preserve">EL </w:t>
      </w:r>
      <w:r w:rsidRPr="00F93884">
        <w:rPr>
          <w:rFonts w:ascii="Palatino Linotype" w:eastAsia="Arial Unicode MS" w:hAnsi="Palatino Linotype" w:cs="Arial"/>
          <w:b/>
        </w:rPr>
        <w:t>SAIMEX</w:t>
      </w:r>
      <w:r w:rsidRPr="00F93884">
        <w:rPr>
          <w:rFonts w:ascii="Palatino Linotype" w:hAnsi="Palatino Linotype"/>
        </w:rPr>
        <w:t xml:space="preserve">, a las </w:t>
      </w:r>
      <w:r w:rsidRPr="00F93884">
        <w:rPr>
          <w:rFonts w:ascii="Palatino Linotype" w:hAnsi="Palatino Linotype"/>
          <w:b/>
        </w:rPr>
        <w:t>C</w:t>
      </w:r>
      <w:r w:rsidRPr="00F93884">
        <w:rPr>
          <w:rFonts w:ascii="Palatino Linotype" w:hAnsi="Palatino Linotype" w:cs="Arial"/>
          <w:b/>
        </w:rPr>
        <w:t>omisionadas</w:t>
      </w:r>
      <w:r w:rsidRPr="00F93884">
        <w:rPr>
          <w:rFonts w:ascii="Palatino Linotype" w:hAnsi="Palatino Linotype" w:cs="Arial"/>
        </w:rPr>
        <w:t xml:space="preserve"> </w:t>
      </w:r>
      <w:r w:rsidRPr="00F93884">
        <w:rPr>
          <w:rFonts w:ascii="Palatino Linotype" w:hAnsi="Palatino Linotype" w:cs="Arial"/>
          <w:b/>
        </w:rPr>
        <w:t>Sharon Cristina Morales Martínez</w:t>
      </w:r>
      <w:r w:rsidRPr="00F93884">
        <w:rPr>
          <w:rFonts w:ascii="Palatino Linotype" w:hAnsi="Palatino Linotype" w:cs="Arial"/>
        </w:rPr>
        <w:t xml:space="preserve"> y </w:t>
      </w:r>
      <w:r w:rsidRPr="00F93884">
        <w:rPr>
          <w:rFonts w:ascii="Palatino Linotype" w:hAnsi="Palatino Linotype" w:cs="Arial"/>
          <w:b/>
        </w:rPr>
        <w:t xml:space="preserve">María del Rosario Mejía Ayala </w:t>
      </w:r>
      <w:r w:rsidRPr="00F93884">
        <w:rPr>
          <w:rFonts w:ascii="Palatino Linotype" w:hAnsi="Palatino Linotype" w:cs="Arial"/>
        </w:rPr>
        <w:t>a efecto de decretar su admisión o desechamiento.</w:t>
      </w:r>
    </w:p>
    <w:p w14:paraId="61C45A20" w14:textId="77777777" w:rsidR="00350A1E" w:rsidRPr="00F93884" w:rsidRDefault="00350A1E" w:rsidP="00F93884">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F93884">
        <w:rPr>
          <w:rFonts w:ascii="Palatino Linotype" w:hAnsi="Palatino Linotype" w:cs="Arial"/>
          <w:b/>
          <w:sz w:val="26"/>
          <w:szCs w:val="26"/>
        </w:rPr>
        <w:t>a) Admisión del Recurso de Revisión</w:t>
      </w:r>
    </w:p>
    <w:p w14:paraId="44C25E5C" w14:textId="77777777" w:rsidR="00350A1E" w:rsidRPr="00F93884" w:rsidRDefault="00350A1E" w:rsidP="00F93884">
      <w:pPr>
        <w:tabs>
          <w:tab w:val="center" w:pos="4252"/>
          <w:tab w:val="right" w:pos="8504"/>
        </w:tabs>
        <w:spacing w:line="360" w:lineRule="auto"/>
        <w:jc w:val="both"/>
        <w:rPr>
          <w:rFonts w:ascii="Palatino Linotype" w:hAnsi="Palatino Linotype" w:cs="Arial"/>
        </w:rPr>
      </w:pPr>
      <w:r w:rsidRPr="00F93884">
        <w:rPr>
          <w:rFonts w:ascii="Palatino Linotype" w:hAnsi="Palatino Linotype" w:cs="Arial"/>
        </w:rPr>
        <w:t>De las constancias del expediente electrónico del</w:t>
      </w:r>
      <w:r w:rsidRPr="00F93884">
        <w:rPr>
          <w:rFonts w:ascii="Palatino Linotype" w:hAnsi="Palatino Linotype" w:cs="Arial"/>
          <w:b/>
        </w:rPr>
        <w:t xml:space="preserve"> SAIMEX</w:t>
      </w:r>
      <w:r w:rsidRPr="00F93884">
        <w:rPr>
          <w:rFonts w:ascii="Palatino Linotype" w:hAnsi="Palatino Linotype" w:cs="Arial"/>
        </w:rPr>
        <w:t xml:space="preserve">, se advierte que el </w:t>
      </w:r>
      <w:r w:rsidR="00771FE3" w:rsidRPr="00F93884">
        <w:rPr>
          <w:rFonts w:ascii="Palatino Linotype" w:hAnsi="Palatino Linotype" w:cs="Arial"/>
          <w:b/>
        </w:rPr>
        <w:t>treinta de noviembre y el seis de diciembre</w:t>
      </w:r>
      <w:r w:rsidRPr="00F93884">
        <w:rPr>
          <w:rFonts w:ascii="Palatino Linotype" w:hAnsi="Palatino Linotype" w:cs="Arial"/>
          <w:b/>
          <w:bCs/>
        </w:rPr>
        <w:t xml:space="preserve"> de dos mil veintidós</w:t>
      </w:r>
      <w:r w:rsidRPr="00F93884">
        <w:rPr>
          <w:rFonts w:ascii="Palatino Linotype" w:hAnsi="Palatino Linotype" w:cs="Arial"/>
        </w:rPr>
        <w:t>, se no</w:t>
      </w:r>
      <w:r w:rsidR="00771FE3" w:rsidRPr="00F93884">
        <w:rPr>
          <w:rFonts w:ascii="Palatino Linotype" w:hAnsi="Palatino Linotype" w:cs="Arial"/>
        </w:rPr>
        <w:t>tificó la admisión a trámite de los</w:t>
      </w:r>
      <w:r w:rsidRPr="00F93884">
        <w:rPr>
          <w:rFonts w:ascii="Palatino Linotype" w:hAnsi="Palatino Linotype" w:cs="Arial"/>
        </w:rPr>
        <w:t xml:space="preserve"> Recurso</w:t>
      </w:r>
      <w:r w:rsidR="00771FE3" w:rsidRPr="00F93884">
        <w:rPr>
          <w:rFonts w:ascii="Palatino Linotype" w:hAnsi="Palatino Linotype" w:cs="Arial"/>
        </w:rPr>
        <w:t>s</w:t>
      </w:r>
      <w:r w:rsidRPr="00F93884">
        <w:rPr>
          <w:rFonts w:ascii="Palatino Linotype" w:hAnsi="Palatino Linotype" w:cs="Arial"/>
        </w:rPr>
        <w:t xml:space="preserve"> Revisión que nos oc</w:t>
      </w:r>
      <w:r w:rsidR="00771FE3" w:rsidRPr="00F93884">
        <w:rPr>
          <w:rFonts w:ascii="Palatino Linotype" w:hAnsi="Palatino Linotype" w:cs="Arial"/>
        </w:rPr>
        <w:t>upa; así como la integración de los</w:t>
      </w:r>
      <w:r w:rsidRPr="00F93884">
        <w:rPr>
          <w:rFonts w:ascii="Palatino Linotype" w:hAnsi="Palatino Linotype" w:cs="Arial"/>
        </w:rPr>
        <w:t xml:space="preserve"> expediente</w:t>
      </w:r>
      <w:r w:rsidR="00771FE3" w:rsidRPr="00F93884">
        <w:rPr>
          <w:rFonts w:ascii="Palatino Linotype" w:hAnsi="Palatino Linotype" w:cs="Arial"/>
        </w:rPr>
        <w:t>s</w:t>
      </w:r>
      <w:r w:rsidRPr="00F93884">
        <w:rPr>
          <w:rFonts w:ascii="Palatino Linotype" w:hAnsi="Palatino Linotype" w:cs="Arial"/>
        </w:rPr>
        <w:t xml:space="preserve"> respectivo</w:t>
      </w:r>
      <w:r w:rsidR="00771FE3" w:rsidRPr="00F93884">
        <w:rPr>
          <w:rFonts w:ascii="Palatino Linotype" w:hAnsi="Palatino Linotype" w:cs="Arial"/>
        </w:rPr>
        <w:t>s</w:t>
      </w:r>
      <w:r w:rsidRPr="00F93884">
        <w:rPr>
          <w:rFonts w:ascii="Palatino Linotype" w:hAnsi="Palatino Linotype" w:cs="Arial"/>
        </w:rPr>
        <w:t xml:space="preserve">, mismo que se puso a disposición de las partes, para que en un plazo máximo de siete días hábiles conforme a lo dispuesto por el artículo 185 de la </w:t>
      </w:r>
      <w:r w:rsidRPr="00F93884">
        <w:rPr>
          <w:rFonts w:ascii="Palatino Linotype" w:hAnsi="Palatino Linotype" w:cs="Arial"/>
        </w:rPr>
        <w:lastRenderedPageBreak/>
        <w:t xml:space="preserve">Ley de Transparencia y Acceso a la Información Pública del Estado de México y Municipios; </w:t>
      </w:r>
      <w:r w:rsidRPr="00F93884">
        <w:rPr>
          <w:rFonts w:ascii="Palatino Linotype" w:hAnsi="Palatino Linotype" w:cs="Arial"/>
          <w:b/>
        </w:rPr>
        <w:t xml:space="preserve">LA RECURRENTE </w:t>
      </w:r>
      <w:r w:rsidRPr="00F93884">
        <w:rPr>
          <w:rFonts w:ascii="Palatino Linotype" w:hAnsi="Palatino Linotype" w:cs="Arial"/>
        </w:rPr>
        <w:t xml:space="preserve">manifestara lo que a su derecho conviniera, a efecto de presentar pruebas o alegatos y, en su caso, </w:t>
      </w:r>
      <w:r w:rsidRPr="00F93884">
        <w:rPr>
          <w:rFonts w:ascii="Palatino Linotype" w:hAnsi="Palatino Linotype" w:cs="Arial"/>
          <w:b/>
        </w:rPr>
        <w:t xml:space="preserve">EL SUJETO OBLIGADO </w:t>
      </w:r>
      <w:r w:rsidRPr="00F93884">
        <w:rPr>
          <w:rFonts w:ascii="Palatino Linotype" w:hAnsi="Palatino Linotype" w:cs="Arial"/>
        </w:rPr>
        <w:t>rindiera su correspondiente Informe Justificado.</w:t>
      </w:r>
    </w:p>
    <w:p w14:paraId="6FAAB600" w14:textId="77777777" w:rsidR="00B13699" w:rsidRPr="00F93884" w:rsidRDefault="00B13699" w:rsidP="00F93884">
      <w:pPr>
        <w:tabs>
          <w:tab w:val="center" w:pos="4252"/>
          <w:tab w:val="right" w:pos="8504"/>
        </w:tabs>
        <w:spacing w:line="360" w:lineRule="auto"/>
        <w:jc w:val="both"/>
        <w:rPr>
          <w:rFonts w:ascii="Palatino Linotype" w:eastAsia="Palatino Linotype" w:hAnsi="Palatino Linotype" w:cs="Palatino Linotype"/>
        </w:rPr>
      </w:pPr>
    </w:p>
    <w:p w14:paraId="03152241" w14:textId="77777777" w:rsidR="00147F2A" w:rsidRPr="00F93884" w:rsidRDefault="001929CF" w:rsidP="00F93884">
      <w:pPr>
        <w:spacing w:line="360" w:lineRule="auto"/>
        <w:jc w:val="both"/>
        <w:rPr>
          <w:rFonts w:ascii="Palatino Linotype" w:eastAsia="Palatino Linotype" w:hAnsi="Palatino Linotype" w:cs="Palatino Linotype"/>
          <w:b/>
        </w:rPr>
      </w:pPr>
      <w:r w:rsidRPr="00F93884">
        <w:rPr>
          <w:rFonts w:ascii="Palatino Linotype" w:eastAsia="Palatino Linotype" w:hAnsi="Palatino Linotype" w:cs="Palatino Linotype"/>
          <w:b/>
        </w:rPr>
        <w:t>b) Informe Justificado</w:t>
      </w:r>
    </w:p>
    <w:p w14:paraId="5CCFBBA7" w14:textId="77777777" w:rsidR="00B13699" w:rsidRPr="00F93884" w:rsidRDefault="00B13699" w:rsidP="00F93884">
      <w:pPr>
        <w:spacing w:line="360" w:lineRule="auto"/>
        <w:jc w:val="both"/>
        <w:rPr>
          <w:rFonts w:ascii="Palatino Linotype" w:eastAsia="Arial Unicode MS" w:hAnsi="Palatino Linotype" w:cs="Arial"/>
        </w:rPr>
      </w:pPr>
      <w:r w:rsidRPr="00F93884">
        <w:rPr>
          <w:rFonts w:ascii="Palatino Linotype" w:eastAsia="Arial Unicode MS" w:hAnsi="Palatino Linotype" w:cs="Arial"/>
        </w:rPr>
        <w:t xml:space="preserve">De acuerdo a las constancias digitales que obran en </w:t>
      </w:r>
      <w:r w:rsidRPr="00F93884">
        <w:rPr>
          <w:rFonts w:ascii="Palatino Linotype" w:eastAsia="Arial Unicode MS" w:hAnsi="Palatino Linotype" w:cs="Arial"/>
          <w:b/>
        </w:rPr>
        <w:t>EL</w:t>
      </w:r>
      <w:r w:rsidRPr="00F93884">
        <w:rPr>
          <w:rFonts w:ascii="Palatino Linotype" w:eastAsia="Arial Unicode MS" w:hAnsi="Palatino Linotype" w:cs="Arial"/>
        </w:rPr>
        <w:t xml:space="preserve"> </w:t>
      </w:r>
      <w:r w:rsidRPr="00F93884">
        <w:rPr>
          <w:rFonts w:ascii="Palatino Linotype" w:eastAsia="Arial Unicode MS" w:hAnsi="Palatino Linotype" w:cs="Arial"/>
          <w:b/>
        </w:rPr>
        <w:t>SAIMEX</w:t>
      </w:r>
      <w:r w:rsidRPr="00F93884">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a </w:t>
      </w:r>
      <w:r w:rsidR="00514D17" w:rsidRPr="00F93884">
        <w:rPr>
          <w:rFonts w:ascii="Palatino Linotype" w:eastAsia="Arial Unicode MS" w:hAnsi="Palatino Linotype" w:cs="Arial"/>
          <w:b/>
        </w:rPr>
        <w:t>EL</w:t>
      </w:r>
      <w:r w:rsidRPr="00F93884">
        <w:rPr>
          <w:rFonts w:ascii="Palatino Linotype" w:eastAsia="Arial Unicode MS" w:hAnsi="Palatino Linotype" w:cs="Arial"/>
        </w:rPr>
        <w:t xml:space="preserve"> </w:t>
      </w:r>
      <w:r w:rsidRPr="00F93884">
        <w:rPr>
          <w:rFonts w:ascii="Palatino Linotype" w:eastAsia="Arial Unicode MS" w:hAnsi="Palatino Linotype" w:cs="Arial"/>
          <w:b/>
        </w:rPr>
        <w:t>RECURRENTE</w:t>
      </w:r>
      <w:r w:rsidRPr="00F93884">
        <w:rPr>
          <w:rFonts w:ascii="Palatino Linotype" w:eastAsia="Arial Unicode MS" w:hAnsi="Palatino Linotype" w:cs="Arial"/>
        </w:rPr>
        <w:t xml:space="preserve">, éste no realizó manifestación alguna; en el mismo sentido, </w:t>
      </w:r>
      <w:r w:rsidRPr="00F93884">
        <w:rPr>
          <w:rFonts w:ascii="Palatino Linotype" w:eastAsia="Arial Unicode MS" w:hAnsi="Palatino Linotype" w:cs="Arial"/>
          <w:b/>
        </w:rPr>
        <w:t xml:space="preserve">EL SUJETO OBLIGADO </w:t>
      </w:r>
      <w:r w:rsidR="00514D17" w:rsidRPr="00F93884">
        <w:rPr>
          <w:rFonts w:ascii="Palatino Linotype" w:eastAsia="Arial Unicode MS" w:hAnsi="Palatino Linotype" w:cs="Arial"/>
        </w:rPr>
        <w:t xml:space="preserve">rindió </w:t>
      </w:r>
      <w:r w:rsidRPr="00F93884">
        <w:rPr>
          <w:rFonts w:ascii="Palatino Linotype" w:eastAsia="Arial Unicode MS" w:hAnsi="Palatino Linotype" w:cs="Arial"/>
        </w:rPr>
        <w:t>su informe justificado; sirva de apoyo las siguientes ilustraciones:</w:t>
      </w:r>
    </w:p>
    <w:p w14:paraId="285EDDAC" w14:textId="77777777" w:rsidR="00514D17" w:rsidRPr="00F93884" w:rsidRDefault="00514D17" w:rsidP="00F93884">
      <w:pPr>
        <w:spacing w:line="360" w:lineRule="auto"/>
        <w:jc w:val="both"/>
        <w:rPr>
          <w:rFonts w:ascii="Palatino Linotype" w:eastAsia="Arial Unicode MS" w:hAnsi="Palatino Linotype" w:cs="Arial"/>
        </w:rPr>
      </w:pPr>
    </w:p>
    <w:p w14:paraId="28C717E4" w14:textId="2403912B" w:rsidR="00FC4E82" w:rsidRPr="00F93884" w:rsidRDefault="00FC4E82" w:rsidP="00F93884">
      <w:pPr>
        <w:spacing w:line="360" w:lineRule="auto"/>
        <w:jc w:val="both"/>
        <w:rPr>
          <w:rFonts w:ascii="Palatino Linotype" w:hAnsi="Palatino Linotype" w:cs="Tahoma"/>
          <w:b/>
          <w:sz w:val="22"/>
          <w:szCs w:val="22"/>
          <w:lang w:val="es-ES_tradnl"/>
        </w:rPr>
      </w:pPr>
      <w:r w:rsidRPr="00F93884">
        <w:rPr>
          <w:rFonts w:ascii="Palatino Linotype" w:hAnsi="Palatino Linotype" w:cs="Tahoma"/>
          <w:b/>
          <w:sz w:val="22"/>
          <w:szCs w:val="22"/>
          <w:lang w:val="es-ES_tradnl"/>
        </w:rPr>
        <w:t>Informe Justificado del Recurso de Revisión: 16977/INFOEM/IP/RR/2022.</w:t>
      </w:r>
    </w:p>
    <w:p w14:paraId="5A6ADE75" w14:textId="77777777" w:rsidR="00514D17" w:rsidRPr="00F93884" w:rsidRDefault="00514D17" w:rsidP="00F93884">
      <w:pPr>
        <w:spacing w:line="360" w:lineRule="auto"/>
        <w:jc w:val="both"/>
        <w:rPr>
          <w:rFonts w:ascii="Palatino Linotype" w:eastAsia="Arial Unicode MS" w:hAnsi="Palatino Linotype" w:cs="Arial"/>
        </w:rPr>
      </w:pPr>
      <w:r w:rsidRPr="00F93884">
        <w:rPr>
          <w:rFonts w:ascii="Palatino Linotype" w:eastAsia="Arial Unicode MS" w:hAnsi="Palatino Linotype" w:cs="Arial"/>
          <w:noProof/>
        </w:rPr>
        <w:drawing>
          <wp:inline distT="0" distB="0" distL="0" distR="0" wp14:anchorId="43A40662" wp14:editId="569B6F24">
            <wp:extent cx="5793678" cy="2048256"/>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992" cy="2054377"/>
                    </a:xfrm>
                    <a:prstGeom prst="rect">
                      <a:avLst/>
                    </a:prstGeom>
                    <a:noFill/>
                    <a:ln>
                      <a:noFill/>
                    </a:ln>
                  </pic:spPr>
                </pic:pic>
              </a:graphicData>
            </a:graphic>
          </wp:inline>
        </w:drawing>
      </w:r>
    </w:p>
    <w:p w14:paraId="49078075" w14:textId="61147237" w:rsidR="000C0E30" w:rsidRPr="00F93884" w:rsidRDefault="000C0E30" w:rsidP="00F93884">
      <w:pPr>
        <w:spacing w:line="360" w:lineRule="auto"/>
        <w:jc w:val="both"/>
        <w:rPr>
          <w:rFonts w:ascii="Palatino Linotype" w:hAnsi="Palatino Linotype" w:cs="Tahoma"/>
          <w:bCs/>
          <w:lang w:val="es-ES_tradnl"/>
        </w:rPr>
      </w:pPr>
      <w:r w:rsidRPr="00F93884">
        <w:rPr>
          <w:rFonts w:ascii="Palatino Linotype" w:hAnsi="Palatino Linotype" w:cs="Tahoma"/>
          <w:bCs/>
          <w:lang w:val="es-ES_tradnl"/>
        </w:rPr>
        <w:lastRenderedPageBreak/>
        <w:t xml:space="preserve">Oficio </w:t>
      </w:r>
      <w:r w:rsidR="00FC4E82" w:rsidRPr="00F93884">
        <w:rPr>
          <w:rFonts w:ascii="Palatino Linotype" w:hAnsi="Palatino Linotype" w:cs="Tahoma"/>
          <w:bCs/>
          <w:lang w:val="es-ES_tradnl"/>
        </w:rPr>
        <w:t xml:space="preserve">rubricado por el Titular de la Unidad de Transparencia, mediante el cual manifiesta y expone: </w:t>
      </w:r>
    </w:p>
    <w:p w14:paraId="6B6E9F6B" w14:textId="77777777" w:rsidR="000C0E30" w:rsidRPr="00F93884" w:rsidRDefault="000C0E30" w:rsidP="00F93884">
      <w:pPr>
        <w:spacing w:line="360" w:lineRule="auto"/>
        <w:ind w:left="907" w:right="851"/>
        <w:jc w:val="both"/>
        <w:rPr>
          <w:rFonts w:ascii="Palatino Linotype" w:hAnsi="Palatino Linotype" w:cs="Tahoma"/>
          <w:bCs/>
          <w:i/>
          <w:sz w:val="22"/>
          <w:szCs w:val="22"/>
        </w:rPr>
      </w:pPr>
      <w:r w:rsidRPr="00F93884">
        <w:rPr>
          <w:rFonts w:ascii="Palatino Linotype" w:hAnsi="Palatino Linotype" w:cs="Tahoma"/>
          <w:bCs/>
          <w:i/>
          <w:sz w:val="22"/>
          <w:szCs w:val="22"/>
        </w:rPr>
        <w:t>Con el fin de poder darle una oportuna contestación al hoy recurrente le informo que este Sujeto Obligado al realizar un análisis en su solicitud procedió a turnarla al Servidor Público Habilitado poseedor de la información, mismo que nos informa que lo solicitado se encuentra dentro del Sistema de Información Pública de Oficio Mexiquense (IPOMEX), cabe hacer mención que dentro de dicho sistema se carga la información que este Sujeto Obligado debe transparentar de conformidad con la Ley de Transparencia y Acceso a la información Pública de Oficio Mexiquense del Estado de México y Municipios en su artículo 92, por lo anteriormente expuesto se proporciona enlace para la consulta de lo peticionado referente a la Servidora Pública antes solicitada:</w:t>
      </w:r>
    </w:p>
    <w:p w14:paraId="6006102B" w14:textId="65E5B80D" w:rsidR="000C0E30" w:rsidRPr="00F93884" w:rsidRDefault="000C0E30" w:rsidP="00F93884">
      <w:pPr>
        <w:spacing w:line="360" w:lineRule="auto"/>
        <w:ind w:left="907" w:right="851"/>
        <w:jc w:val="both"/>
        <w:rPr>
          <w:rFonts w:ascii="Palatino Linotype" w:hAnsi="Palatino Linotype" w:cs="Tahoma"/>
          <w:b/>
          <w:bCs/>
          <w:i/>
          <w:sz w:val="22"/>
          <w:szCs w:val="22"/>
          <w:lang w:val="es-ES_tradnl"/>
        </w:rPr>
      </w:pPr>
      <w:r w:rsidRPr="00F93884">
        <w:rPr>
          <w:rFonts w:ascii="Palatino Linotype" w:hAnsi="Palatino Linotype" w:cs="Tahoma"/>
          <w:b/>
          <w:bCs/>
          <w:i/>
          <w:sz w:val="22"/>
          <w:szCs w:val="22"/>
        </w:rPr>
        <w:t>https://www.ipomex.org.mx/ipo3/lgt/indice/ZINACANTEPEC/art_92_viii.web</w:t>
      </w:r>
    </w:p>
    <w:p w14:paraId="50E51993" w14:textId="77777777" w:rsidR="00514D17" w:rsidRPr="00F93884" w:rsidRDefault="00514D17" w:rsidP="00F93884">
      <w:pPr>
        <w:spacing w:line="360" w:lineRule="auto"/>
        <w:jc w:val="both"/>
        <w:rPr>
          <w:rFonts w:ascii="Palatino Linotype" w:eastAsia="Arial Unicode MS" w:hAnsi="Palatino Linotype" w:cs="Arial"/>
        </w:rPr>
      </w:pPr>
    </w:p>
    <w:p w14:paraId="65F17A7A" w14:textId="686E80C5" w:rsidR="00FC4E82" w:rsidRPr="00F93884" w:rsidRDefault="000C0E30" w:rsidP="00F93884">
      <w:pPr>
        <w:spacing w:line="360" w:lineRule="auto"/>
        <w:jc w:val="both"/>
        <w:rPr>
          <w:rFonts w:ascii="Palatino Linotype" w:eastAsia="Arial Unicode MS" w:hAnsi="Palatino Linotype" w:cs="Arial"/>
          <w:b/>
        </w:rPr>
      </w:pPr>
      <w:r w:rsidRPr="00F93884">
        <w:rPr>
          <w:rFonts w:ascii="Palatino Linotype" w:eastAsia="Arial Unicode MS" w:hAnsi="Palatino Linotype" w:cs="Arial"/>
        </w:rPr>
        <w:t xml:space="preserve">Informe Justificado del Recurso de Revisión: </w:t>
      </w:r>
      <w:r w:rsidRPr="00F93884">
        <w:rPr>
          <w:rFonts w:ascii="Palatino Linotype" w:eastAsia="Arial Unicode MS" w:hAnsi="Palatino Linotype" w:cs="Arial"/>
          <w:b/>
        </w:rPr>
        <w:t>16978/INFOEM/IP/RR/2022.</w:t>
      </w:r>
    </w:p>
    <w:p w14:paraId="00130BE6" w14:textId="77777777" w:rsidR="00514D17" w:rsidRPr="00F93884" w:rsidRDefault="00514D17" w:rsidP="00F93884">
      <w:pPr>
        <w:spacing w:line="360" w:lineRule="auto"/>
        <w:jc w:val="both"/>
        <w:rPr>
          <w:rFonts w:ascii="Palatino Linotype" w:eastAsia="Arial Unicode MS" w:hAnsi="Palatino Linotype" w:cs="Arial"/>
        </w:rPr>
      </w:pPr>
      <w:r w:rsidRPr="00F93884">
        <w:rPr>
          <w:rFonts w:ascii="Palatino Linotype" w:eastAsia="Arial Unicode MS" w:hAnsi="Palatino Linotype" w:cs="Arial"/>
          <w:noProof/>
        </w:rPr>
        <w:drawing>
          <wp:inline distT="0" distB="0" distL="0" distR="0" wp14:anchorId="39B0CFF4" wp14:editId="2EDCDB59">
            <wp:extent cx="5782038" cy="182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3149" cy="1838640"/>
                    </a:xfrm>
                    <a:prstGeom prst="rect">
                      <a:avLst/>
                    </a:prstGeom>
                    <a:noFill/>
                    <a:ln>
                      <a:noFill/>
                    </a:ln>
                  </pic:spPr>
                </pic:pic>
              </a:graphicData>
            </a:graphic>
          </wp:inline>
        </w:drawing>
      </w:r>
    </w:p>
    <w:p w14:paraId="69D7A625" w14:textId="77777777" w:rsidR="000C0E30" w:rsidRPr="00F93884" w:rsidRDefault="000C0E30" w:rsidP="00F93884">
      <w:pPr>
        <w:spacing w:line="360" w:lineRule="auto"/>
        <w:jc w:val="both"/>
        <w:rPr>
          <w:rFonts w:ascii="Palatino Linotype" w:eastAsia="Arial Unicode MS" w:hAnsi="Palatino Linotype" w:cs="Arial"/>
        </w:rPr>
      </w:pPr>
    </w:p>
    <w:p w14:paraId="5652FAF0" w14:textId="77777777" w:rsidR="000C0E30" w:rsidRPr="00F93884" w:rsidRDefault="000C0E30" w:rsidP="00F93884">
      <w:pPr>
        <w:spacing w:line="360" w:lineRule="auto"/>
        <w:jc w:val="both"/>
        <w:rPr>
          <w:rFonts w:ascii="Palatino Linotype" w:hAnsi="Palatino Linotype" w:cs="Tahoma"/>
          <w:bCs/>
          <w:lang w:val="es-ES_tradnl"/>
        </w:rPr>
      </w:pPr>
      <w:r w:rsidRPr="00F93884">
        <w:rPr>
          <w:rFonts w:ascii="Palatino Linotype" w:hAnsi="Palatino Linotype" w:cs="Tahoma"/>
          <w:bCs/>
          <w:lang w:val="es-ES_tradnl"/>
        </w:rPr>
        <w:lastRenderedPageBreak/>
        <w:t xml:space="preserve">Oficio rubricado por el Titular de la Unidad de Transparencia, mediante el cual manifiesta y expone: </w:t>
      </w:r>
    </w:p>
    <w:p w14:paraId="4871B3BC" w14:textId="77777777" w:rsidR="000C0E30" w:rsidRPr="00F93884" w:rsidRDefault="000C0E30" w:rsidP="00F93884">
      <w:pPr>
        <w:spacing w:line="360" w:lineRule="auto"/>
        <w:jc w:val="both"/>
        <w:rPr>
          <w:rFonts w:ascii="Palatino Linotype" w:hAnsi="Palatino Linotype" w:cs="Tahoma"/>
          <w:bCs/>
          <w:lang w:val="es-ES_tradnl"/>
        </w:rPr>
      </w:pPr>
    </w:p>
    <w:p w14:paraId="4D091860" w14:textId="77777777" w:rsidR="000C0E30" w:rsidRPr="00F93884" w:rsidRDefault="000C0E30" w:rsidP="00F93884">
      <w:pPr>
        <w:spacing w:line="360" w:lineRule="auto"/>
        <w:ind w:left="907" w:right="851"/>
        <w:jc w:val="both"/>
        <w:rPr>
          <w:rFonts w:ascii="Palatino Linotype" w:hAnsi="Palatino Linotype" w:cs="Tahoma"/>
          <w:bCs/>
          <w:i/>
          <w:sz w:val="22"/>
          <w:szCs w:val="22"/>
        </w:rPr>
      </w:pPr>
      <w:r w:rsidRPr="00F93884">
        <w:rPr>
          <w:rFonts w:ascii="Palatino Linotype" w:hAnsi="Palatino Linotype" w:cs="Tahoma"/>
          <w:bCs/>
          <w:i/>
          <w:sz w:val="22"/>
          <w:szCs w:val="22"/>
        </w:rPr>
        <w:t>Con el fin de poder darle una oportuna contestación al hoy recurrente le informo que este Sujeto Obligado al realizar un análisis en su solicitud procedió a turnarla al Servidor Público Habilitado poseedor de la información, mismo que nos informa que lo solicitado se encuentra dentro del Sistema de Información Pública de Oficio Mexiquense (IPOMEX), cabe hacer mención que dentro de dicho sistema se carga la información que este Sujeto Obligado debe transparentar de conformidad con la Ley de Transparencia y Acceso a la información Pública de Oficio Mexiquense del Estado de México y Municipios en su artículo 92, por lo anteriormente expuesto se proporciona enlace para la consulta de lo peticionado referente a la Servidora Pública antes solicitada:</w:t>
      </w:r>
    </w:p>
    <w:p w14:paraId="70F8F5FC" w14:textId="77777777" w:rsidR="000C0E30" w:rsidRPr="00F93884" w:rsidRDefault="000C0E30" w:rsidP="00F93884">
      <w:pPr>
        <w:spacing w:line="360" w:lineRule="auto"/>
        <w:ind w:left="907" w:right="851"/>
        <w:jc w:val="both"/>
        <w:rPr>
          <w:rFonts w:ascii="Palatino Linotype" w:hAnsi="Palatino Linotype" w:cs="Tahoma"/>
          <w:b/>
          <w:bCs/>
          <w:i/>
          <w:sz w:val="22"/>
          <w:szCs w:val="22"/>
          <w:lang w:val="es-ES_tradnl"/>
        </w:rPr>
      </w:pPr>
      <w:r w:rsidRPr="00F93884">
        <w:rPr>
          <w:rFonts w:ascii="Palatino Linotype" w:hAnsi="Palatino Linotype" w:cs="Tahoma"/>
          <w:b/>
          <w:bCs/>
          <w:i/>
          <w:sz w:val="22"/>
          <w:szCs w:val="22"/>
        </w:rPr>
        <w:t>https://www.ipomex.org.mx/ipo3/lgt/indice/ZINACANTEPEC/art_92_viii.web</w:t>
      </w:r>
    </w:p>
    <w:p w14:paraId="504333F5" w14:textId="77777777" w:rsidR="00514D17" w:rsidRPr="00F93884" w:rsidRDefault="001929CF" w:rsidP="00F93884">
      <w:pPr>
        <w:spacing w:before="100" w:beforeAutospacing="1" w:after="100" w:afterAutospacing="1" w:line="360" w:lineRule="auto"/>
        <w:jc w:val="both"/>
        <w:rPr>
          <w:rFonts w:ascii="Palatino Linotype" w:hAnsi="Palatino Linotype" w:cs="Arial"/>
          <w:b/>
          <w:bCs/>
          <w:sz w:val="26"/>
          <w:szCs w:val="26"/>
        </w:rPr>
      </w:pPr>
      <w:r w:rsidRPr="00F93884">
        <w:rPr>
          <w:rFonts w:ascii="Palatino Linotype" w:eastAsia="Palatino Linotype" w:hAnsi="Palatino Linotype" w:cs="Palatino Linotype"/>
          <w:b/>
        </w:rPr>
        <w:t xml:space="preserve">c) </w:t>
      </w:r>
      <w:r w:rsidR="00514D17" w:rsidRPr="00F93884">
        <w:rPr>
          <w:rFonts w:ascii="Palatino Linotype" w:hAnsi="Palatino Linotype" w:cs="Arial"/>
          <w:b/>
          <w:bCs/>
          <w:sz w:val="26"/>
          <w:szCs w:val="26"/>
        </w:rPr>
        <w:t>Acumulación de los Recursos de Revisión</w:t>
      </w:r>
    </w:p>
    <w:p w14:paraId="3D2D1333" w14:textId="77777777" w:rsidR="00514D17" w:rsidRPr="00F93884" w:rsidRDefault="00514D17" w:rsidP="00F93884">
      <w:pPr>
        <w:spacing w:before="100" w:beforeAutospacing="1" w:after="100" w:afterAutospacing="1" w:line="360" w:lineRule="auto"/>
        <w:ind w:left="-57"/>
        <w:jc w:val="both"/>
        <w:rPr>
          <w:rFonts w:ascii="Palatino Linotype" w:hAnsi="Palatino Linotype" w:cs="Arial"/>
          <w:b/>
          <w:bCs/>
        </w:rPr>
      </w:pPr>
      <w:r w:rsidRPr="00F93884">
        <w:rPr>
          <w:rFonts w:ascii="Palatino Linotype" w:hAnsi="Palatino Linotype" w:cs="Arial"/>
          <w:lang w:val="es-ES_tradnl"/>
        </w:rPr>
        <w:t xml:space="preserve">Por economía procesal y </w:t>
      </w:r>
      <w:r w:rsidRPr="00F93884">
        <w:rPr>
          <w:rFonts w:ascii="Palatino Linotype" w:hAnsi="Palatino Linotype" w:cs="Arial"/>
        </w:rPr>
        <w:t xml:space="preserve">con la finalidad de evitar resoluciones contradictorias, en </w:t>
      </w:r>
      <w:r w:rsidRPr="00F93884">
        <w:rPr>
          <w:rFonts w:ascii="Palatino Linotype" w:hAnsi="Palatino Linotype"/>
        </w:rPr>
        <w:t xml:space="preserve">la Trigésima Novena Sesión Ordinaria celebrada el cuatro de noviembre de dos mil veintidós, el Pleno de este Instituto </w:t>
      </w:r>
      <w:r w:rsidRPr="00F93884">
        <w:rPr>
          <w:rFonts w:ascii="Palatino Linotype" w:hAnsi="Palatino Linotype" w:cs="Arial"/>
        </w:rPr>
        <w:t xml:space="preserve">determinó </w:t>
      </w:r>
      <w:r w:rsidRPr="00F93884">
        <w:rPr>
          <w:rFonts w:ascii="Palatino Linotype" w:hAnsi="Palatino Linotype"/>
        </w:rPr>
        <w:t>acumular los Recursos de Revisión</w:t>
      </w:r>
      <w:bookmarkStart w:id="2" w:name="_Hlk109159636"/>
      <w:r w:rsidRPr="00F93884">
        <w:rPr>
          <w:rFonts w:ascii="Palatino Linotype" w:hAnsi="Palatino Linotype" w:cs="Arial"/>
          <w:b/>
          <w:bCs/>
        </w:rPr>
        <w:t xml:space="preserve"> </w:t>
      </w:r>
      <w:bookmarkStart w:id="3" w:name="_Hlk113397243"/>
      <w:r w:rsidRPr="00F93884">
        <w:rPr>
          <w:rFonts w:ascii="Palatino Linotype" w:hAnsi="Palatino Linotype" w:cs="Arial"/>
          <w:b/>
          <w:bCs/>
        </w:rPr>
        <w:t>16977/INFOEM/IP/RR/2022 y 16978/INFOEM/IP/RR/2022.</w:t>
      </w:r>
      <w:bookmarkEnd w:id="2"/>
      <w:bookmarkEnd w:id="3"/>
    </w:p>
    <w:p w14:paraId="0546532A" w14:textId="77777777" w:rsidR="00514D17" w:rsidRPr="00F93884" w:rsidRDefault="00514D17" w:rsidP="00F93884">
      <w:pPr>
        <w:spacing w:before="100" w:beforeAutospacing="1" w:after="100" w:afterAutospacing="1" w:line="360" w:lineRule="auto"/>
        <w:ind w:left="-57"/>
        <w:jc w:val="both"/>
        <w:rPr>
          <w:rFonts w:ascii="Palatino Linotype" w:hAnsi="Palatino Linotype" w:cs="Arial"/>
          <w:b/>
          <w:bCs/>
        </w:rPr>
      </w:pPr>
    </w:p>
    <w:p w14:paraId="75F1183E" w14:textId="77777777" w:rsidR="00147F2A" w:rsidRPr="00F93884" w:rsidRDefault="00514D17" w:rsidP="00F93884">
      <w:pPr>
        <w:spacing w:before="100" w:beforeAutospacing="1" w:after="100" w:afterAutospacing="1" w:line="360" w:lineRule="auto"/>
        <w:ind w:left="-57"/>
        <w:jc w:val="both"/>
        <w:rPr>
          <w:rFonts w:ascii="Palatino Linotype" w:hAnsi="Palatino Linotype" w:cs="Arial"/>
          <w:b/>
          <w:bCs/>
        </w:rPr>
      </w:pPr>
      <w:r w:rsidRPr="00F93884">
        <w:rPr>
          <w:rFonts w:ascii="Palatino Linotype" w:hAnsi="Palatino Linotype" w:cs="Arial"/>
          <w:b/>
          <w:bCs/>
        </w:rPr>
        <w:lastRenderedPageBreak/>
        <w:t xml:space="preserve">d) </w:t>
      </w:r>
      <w:r w:rsidR="001929CF" w:rsidRPr="00F93884">
        <w:rPr>
          <w:rFonts w:ascii="Palatino Linotype" w:eastAsia="Palatino Linotype" w:hAnsi="Palatino Linotype" w:cs="Palatino Linotype"/>
          <w:b/>
        </w:rPr>
        <w:t xml:space="preserve">De la ampliación </w:t>
      </w:r>
    </w:p>
    <w:p w14:paraId="3D3C063F" w14:textId="77777777" w:rsidR="00147F2A" w:rsidRPr="00F93884" w:rsidRDefault="001929CF" w:rsidP="00F93884">
      <w:pPr>
        <w:spacing w:line="360" w:lineRule="auto"/>
        <w:jc w:val="both"/>
        <w:rPr>
          <w:rFonts w:ascii="Palatino Linotype" w:eastAsia="Palatino Linotype" w:hAnsi="Palatino Linotype" w:cs="Palatino Linotype"/>
        </w:rPr>
      </w:pPr>
      <w:bookmarkStart w:id="4" w:name="_heading=h.1fob9te" w:colFirst="0" w:colLast="0"/>
      <w:bookmarkEnd w:id="4"/>
      <w:r w:rsidRPr="00F93884">
        <w:rPr>
          <w:rFonts w:ascii="Palatino Linotype" w:eastAsia="Palatino Linotype" w:hAnsi="Palatino Linotype" w:cs="Palatino Linotype"/>
        </w:rPr>
        <w:t xml:space="preserve">El </w:t>
      </w:r>
      <w:r w:rsidR="00514D17" w:rsidRPr="00F93884">
        <w:rPr>
          <w:rFonts w:ascii="Palatino Linotype" w:eastAsia="Palatino Linotype" w:hAnsi="Palatino Linotype" w:cs="Palatino Linotype"/>
          <w:b/>
        </w:rPr>
        <w:t>veintiséis de enero de dos mil veintitrés</w:t>
      </w:r>
      <w:r w:rsidRPr="00F93884">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42C88550" w14:textId="77777777" w:rsidR="00147F2A" w:rsidRPr="00F93884" w:rsidRDefault="00147F2A" w:rsidP="00F93884">
      <w:pPr>
        <w:spacing w:line="360" w:lineRule="auto"/>
        <w:jc w:val="both"/>
        <w:rPr>
          <w:rFonts w:ascii="Palatino Linotype" w:eastAsia="Palatino Linotype" w:hAnsi="Palatino Linotype" w:cs="Palatino Linotype"/>
        </w:rPr>
      </w:pPr>
      <w:bookmarkStart w:id="5" w:name="_heading=h.vk1hlboevp3r" w:colFirst="0" w:colLast="0"/>
      <w:bookmarkEnd w:id="5"/>
    </w:p>
    <w:p w14:paraId="21AF3385" w14:textId="77777777" w:rsidR="00147F2A" w:rsidRPr="00F93884" w:rsidRDefault="001929CF"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958268B" w14:textId="77777777" w:rsidR="00147F2A" w:rsidRPr="00F93884" w:rsidRDefault="001929CF"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5CB894D" w14:textId="77777777" w:rsidR="00147F2A" w:rsidRPr="00F93884" w:rsidRDefault="00147F2A" w:rsidP="00F93884">
      <w:pPr>
        <w:spacing w:line="360" w:lineRule="auto"/>
        <w:jc w:val="both"/>
        <w:rPr>
          <w:rFonts w:ascii="Palatino Linotype" w:eastAsia="Palatino Linotype" w:hAnsi="Palatino Linotype" w:cs="Palatino Linotype"/>
        </w:rPr>
      </w:pPr>
    </w:p>
    <w:p w14:paraId="0C5F0A8B" w14:textId="77777777" w:rsidR="00147F2A" w:rsidRPr="00F93884" w:rsidRDefault="001929CF"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524397C" w14:textId="77777777" w:rsidR="00147F2A" w:rsidRPr="00F93884" w:rsidRDefault="00147F2A" w:rsidP="00F93884">
      <w:pPr>
        <w:spacing w:line="360" w:lineRule="auto"/>
        <w:jc w:val="both"/>
        <w:rPr>
          <w:rFonts w:ascii="Palatino Linotype" w:eastAsia="Palatino Linotype" w:hAnsi="Palatino Linotype" w:cs="Palatino Linotype"/>
        </w:rPr>
      </w:pPr>
    </w:p>
    <w:p w14:paraId="49BE0C5C" w14:textId="77777777" w:rsidR="00147F2A" w:rsidRPr="00F93884" w:rsidRDefault="001929CF"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AECF5BF" w14:textId="77777777" w:rsidR="00147F2A" w:rsidRPr="00F93884" w:rsidRDefault="00147F2A" w:rsidP="00F93884">
      <w:pPr>
        <w:spacing w:line="360" w:lineRule="auto"/>
        <w:jc w:val="both"/>
        <w:rPr>
          <w:rFonts w:ascii="Palatino Linotype" w:eastAsia="Palatino Linotype" w:hAnsi="Palatino Linotype" w:cs="Palatino Linotype"/>
        </w:rPr>
      </w:pPr>
    </w:p>
    <w:p w14:paraId="0F9C6F70" w14:textId="77777777" w:rsidR="00147F2A" w:rsidRPr="00F93884" w:rsidRDefault="001929CF"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F6BE75D" w14:textId="77777777" w:rsidR="00147F2A" w:rsidRPr="00F93884" w:rsidRDefault="00147F2A" w:rsidP="00F93884">
      <w:pPr>
        <w:spacing w:line="360" w:lineRule="auto"/>
        <w:jc w:val="both"/>
        <w:rPr>
          <w:rFonts w:ascii="Palatino Linotype" w:eastAsia="Palatino Linotype" w:hAnsi="Palatino Linotype" w:cs="Palatino Linotype"/>
        </w:rPr>
      </w:pPr>
    </w:p>
    <w:p w14:paraId="6997C628" w14:textId="77777777" w:rsidR="00147F2A" w:rsidRPr="00F93884" w:rsidRDefault="001929CF" w:rsidP="00F93884">
      <w:pPr>
        <w:spacing w:line="360" w:lineRule="auto"/>
        <w:ind w:left="720"/>
        <w:jc w:val="both"/>
        <w:rPr>
          <w:rFonts w:ascii="Palatino Linotype" w:eastAsia="Palatino Linotype" w:hAnsi="Palatino Linotype" w:cs="Palatino Linotype"/>
        </w:rPr>
      </w:pPr>
      <w:r w:rsidRPr="00F93884">
        <w:rPr>
          <w:rFonts w:ascii="Palatino Linotype" w:eastAsia="Palatino Linotype" w:hAnsi="Palatino Linotype" w:cs="Palatino Linotype"/>
          <w:b/>
        </w:rPr>
        <w:t>a)</w:t>
      </w:r>
      <w:r w:rsidRPr="00F93884">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7E99D19B" w14:textId="77777777" w:rsidR="00147F2A" w:rsidRPr="00F93884" w:rsidRDefault="001929CF" w:rsidP="00F93884">
      <w:pPr>
        <w:spacing w:line="360" w:lineRule="auto"/>
        <w:ind w:left="720"/>
        <w:jc w:val="both"/>
        <w:rPr>
          <w:rFonts w:ascii="Palatino Linotype" w:eastAsia="Palatino Linotype" w:hAnsi="Palatino Linotype" w:cs="Palatino Linotype"/>
        </w:rPr>
      </w:pPr>
      <w:r w:rsidRPr="00F93884">
        <w:rPr>
          <w:rFonts w:ascii="Palatino Linotype" w:eastAsia="Palatino Linotype" w:hAnsi="Palatino Linotype" w:cs="Palatino Linotype"/>
          <w:b/>
        </w:rPr>
        <w:t>b)</w:t>
      </w:r>
      <w:r w:rsidRPr="00F93884">
        <w:rPr>
          <w:rFonts w:ascii="Palatino Linotype" w:eastAsia="Palatino Linotype" w:hAnsi="Palatino Linotype" w:cs="Palatino Linotype"/>
        </w:rPr>
        <w:t xml:space="preserve"> Actividad Procesal del interesado: Acciones u omisiones del interesado.</w:t>
      </w:r>
    </w:p>
    <w:p w14:paraId="6E0B28C8" w14:textId="77777777" w:rsidR="00147F2A" w:rsidRPr="00F93884" w:rsidRDefault="001929CF" w:rsidP="00F93884">
      <w:pPr>
        <w:spacing w:line="360" w:lineRule="auto"/>
        <w:ind w:left="720"/>
        <w:jc w:val="both"/>
        <w:rPr>
          <w:rFonts w:ascii="Palatino Linotype" w:eastAsia="Palatino Linotype" w:hAnsi="Palatino Linotype" w:cs="Palatino Linotype"/>
        </w:rPr>
      </w:pPr>
      <w:r w:rsidRPr="00F93884">
        <w:rPr>
          <w:rFonts w:ascii="Palatino Linotype" w:eastAsia="Palatino Linotype" w:hAnsi="Palatino Linotype" w:cs="Palatino Linotype"/>
          <w:b/>
        </w:rPr>
        <w:t>c)</w:t>
      </w:r>
      <w:r w:rsidRPr="00F93884">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3D287C10" w14:textId="77777777" w:rsidR="00147F2A" w:rsidRPr="00F93884" w:rsidRDefault="001929CF" w:rsidP="00F93884">
      <w:pPr>
        <w:spacing w:line="360" w:lineRule="auto"/>
        <w:ind w:left="720"/>
        <w:jc w:val="both"/>
        <w:rPr>
          <w:rFonts w:ascii="Palatino Linotype" w:eastAsia="Palatino Linotype" w:hAnsi="Palatino Linotype" w:cs="Palatino Linotype"/>
        </w:rPr>
      </w:pPr>
      <w:r w:rsidRPr="00F93884">
        <w:rPr>
          <w:rFonts w:ascii="Palatino Linotype" w:eastAsia="Palatino Linotype" w:hAnsi="Palatino Linotype" w:cs="Palatino Linotype"/>
          <w:b/>
        </w:rPr>
        <w:t>d)</w:t>
      </w:r>
      <w:r w:rsidRPr="00F93884">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552C51F2" w14:textId="77777777" w:rsidR="00147F2A" w:rsidRPr="00F93884" w:rsidRDefault="00147F2A" w:rsidP="00F93884">
      <w:pPr>
        <w:spacing w:line="360" w:lineRule="auto"/>
        <w:jc w:val="both"/>
        <w:rPr>
          <w:rFonts w:ascii="Palatino Linotype" w:eastAsia="Palatino Linotype" w:hAnsi="Palatino Linotype" w:cs="Palatino Linotype"/>
        </w:rPr>
      </w:pPr>
    </w:p>
    <w:p w14:paraId="20508C7B" w14:textId="77777777" w:rsidR="00147F2A" w:rsidRPr="00F93884" w:rsidRDefault="001929CF"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D29FCCF" w14:textId="77777777" w:rsidR="00147F2A" w:rsidRPr="00F93884" w:rsidRDefault="00147F2A" w:rsidP="00F93884">
      <w:pPr>
        <w:spacing w:line="360" w:lineRule="auto"/>
        <w:jc w:val="both"/>
        <w:rPr>
          <w:rFonts w:ascii="Palatino Linotype" w:eastAsia="Palatino Linotype" w:hAnsi="Palatino Linotype" w:cs="Palatino Linotype"/>
        </w:rPr>
      </w:pPr>
    </w:p>
    <w:p w14:paraId="5ED47EE5" w14:textId="77777777" w:rsidR="00147F2A" w:rsidRPr="00F93884" w:rsidRDefault="001929CF"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Argumento que encuentra sustento en la jurisprudencia P</w:t>
      </w:r>
      <w:proofErr w:type="gramStart"/>
      <w:r w:rsidRPr="00F93884">
        <w:rPr>
          <w:rFonts w:ascii="Palatino Linotype" w:eastAsia="Palatino Linotype" w:hAnsi="Palatino Linotype" w:cs="Palatino Linotype"/>
        </w:rPr>
        <w:t>./</w:t>
      </w:r>
      <w:proofErr w:type="gramEnd"/>
      <w:r w:rsidRPr="00F93884">
        <w:rPr>
          <w:rFonts w:ascii="Palatino Linotype" w:eastAsia="Palatino Linotype" w:hAnsi="Palatino Linotype" w:cs="Palatino Linotype"/>
        </w:rPr>
        <w:t>J. 32/92 emitida por el Pleno de la Suprema Corte de Justicia de la Nación de rubro “</w:t>
      </w:r>
      <w:r w:rsidRPr="00F93884">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F93884">
        <w:rPr>
          <w:rFonts w:ascii="Palatino Linotype" w:eastAsia="Palatino Linotype" w:hAnsi="Palatino Linotype" w:cs="Palatino Linotype"/>
        </w:rPr>
        <w:t>, visible en la Gaceta del Seminario Judicial de la Federación con el registro digital 205635.</w:t>
      </w:r>
    </w:p>
    <w:p w14:paraId="1914EE09" w14:textId="77777777" w:rsidR="00147F2A" w:rsidRPr="00F93884" w:rsidRDefault="00147F2A" w:rsidP="00F93884">
      <w:pPr>
        <w:spacing w:line="360" w:lineRule="auto"/>
        <w:jc w:val="both"/>
        <w:rPr>
          <w:rFonts w:ascii="Palatino Linotype" w:eastAsia="Palatino Linotype" w:hAnsi="Palatino Linotype" w:cs="Palatino Linotype"/>
        </w:rPr>
      </w:pPr>
    </w:p>
    <w:p w14:paraId="52FC96C0" w14:textId="77777777" w:rsidR="00147F2A" w:rsidRPr="00F93884" w:rsidRDefault="001929CF"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F93884">
        <w:rPr>
          <w:rFonts w:ascii="Palatino Linotype" w:eastAsia="Palatino Linotype" w:hAnsi="Palatino Linotype" w:cs="Palatino Linotype"/>
        </w:rPr>
        <w:lastRenderedPageBreak/>
        <w:t>términos legales previamente establecidos por la Ley, por tratarse de causas de fuerza mayor.</w:t>
      </w:r>
    </w:p>
    <w:p w14:paraId="3F302887" w14:textId="77777777" w:rsidR="00147F2A" w:rsidRPr="00F93884" w:rsidRDefault="00147F2A" w:rsidP="00F93884">
      <w:pPr>
        <w:spacing w:line="360" w:lineRule="auto"/>
        <w:jc w:val="both"/>
        <w:rPr>
          <w:rFonts w:ascii="Palatino Linotype" w:eastAsia="Palatino Linotype" w:hAnsi="Palatino Linotype" w:cs="Palatino Linotype"/>
        </w:rPr>
      </w:pPr>
    </w:p>
    <w:p w14:paraId="358FA8A6" w14:textId="77777777" w:rsidR="00147F2A" w:rsidRPr="00F93884" w:rsidRDefault="001929CF"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345A778" w14:textId="77777777" w:rsidR="00147F2A" w:rsidRPr="00F93884" w:rsidRDefault="00147F2A" w:rsidP="00F93884">
      <w:pPr>
        <w:spacing w:line="360" w:lineRule="auto"/>
        <w:jc w:val="both"/>
        <w:rPr>
          <w:rFonts w:ascii="Palatino Linotype" w:eastAsia="Palatino Linotype" w:hAnsi="Palatino Linotype" w:cs="Palatino Linotype"/>
        </w:rPr>
      </w:pPr>
    </w:p>
    <w:p w14:paraId="02368528" w14:textId="77777777" w:rsidR="00147F2A" w:rsidRPr="00F93884" w:rsidRDefault="001929CF"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i/>
        </w:rPr>
        <w:t>“PLAZO RAZONABLE PARA RESOLVER. DIMENSIÓN Y EFECTOS DE ESTE CONCEPTO CUANDO SE ADUCE EXCESIVA CARGA DE TRABAJO.”</w:t>
      </w:r>
      <w:r w:rsidRPr="00F93884">
        <w:rPr>
          <w:rFonts w:ascii="Palatino Linotype" w:eastAsia="Palatino Linotype" w:hAnsi="Palatino Linotype" w:cs="Palatino Linotype"/>
        </w:rPr>
        <w:t xml:space="preserve"> consultable en el Seminario Judicial de la Federación y su gaceta, con el registro digital 2002351.</w:t>
      </w:r>
    </w:p>
    <w:p w14:paraId="009F0BDA" w14:textId="77777777" w:rsidR="00147F2A" w:rsidRPr="00F93884" w:rsidRDefault="00147F2A" w:rsidP="00F93884">
      <w:pPr>
        <w:spacing w:line="360" w:lineRule="auto"/>
        <w:jc w:val="both"/>
        <w:rPr>
          <w:rFonts w:ascii="Palatino Linotype" w:eastAsia="Palatino Linotype" w:hAnsi="Palatino Linotype" w:cs="Palatino Linotype"/>
        </w:rPr>
      </w:pPr>
    </w:p>
    <w:p w14:paraId="70966623" w14:textId="77777777" w:rsidR="00147F2A" w:rsidRPr="00F93884" w:rsidRDefault="001929CF"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i/>
        </w:rPr>
        <w:t>“PLAZO RAZONABLE PARA RESOLVER. CONCEPTO Y ELEMENTOS QUE LO INTEGRAN A LA LUZ DEL DERECHO INTERNACIONAL DE LOS DERECHOS HUMANOS.”</w:t>
      </w:r>
      <w:r w:rsidRPr="00F93884">
        <w:rPr>
          <w:rFonts w:ascii="Palatino Linotype" w:eastAsia="Palatino Linotype" w:hAnsi="Palatino Linotype" w:cs="Palatino Linotype"/>
        </w:rPr>
        <w:t>, visible en el Seminario Judicial de la Federación y su gaceta, con el registro digital 2002350.</w:t>
      </w:r>
    </w:p>
    <w:p w14:paraId="54D9498A" w14:textId="77777777" w:rsidR="00147F2A" w:rsidRPr="00F93884" w:rsidRDefault="00147F2A" w:rsidP="00F93884">
      <w:pPr>
        <w:spacing w:line="360" w:lineRule="auto"/>
        <w:jc w:val="both"/>
        <w:rPr>
          <w:rFonts w:ascii="Palatino Linotype" w:eastAsia="Palatino Linotype" w:hAnsi="Palatino Linotype" w:cs="Palatino Linotype"/>
        </w:rPr>
      </w:pPr>
    </w:p>
    <w:p w14:paraId="2EE71178" w14:textId="77777777" w:rsidR="00147F2A" w:rsidRPr="00F93884" w:rsidRDefault="001929CF"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195F65E" w14:textId="77777777" w:rsidR="00727A7C" w:rsidRPr="00F93884" w:rsidRDefault="00727A7C" w:rsidP="00F93884">
      <w:pPr>
        <w:spacing w:line="360" w:lineRule="auto"/>
        <w:jc w:val="both"/>
        <w:rPr>
          <w:rFonts w:ascii="Palatino Linotype" w:eastAsia="Palatino Linotype" w:hAnsi="Palatino Linotype" w:cs="Palatino Linotype"/>
        </w:rPr>
      </w:pPr>
    </w:p>
    <w:p w14:paraId="11BAE991" w14:textId="77777777" w:rsidR="007C714D" w:rsidRPr="00F93884" w:rsidRDefault="007C714D" w:rsidP="00F93884">
      <w:pPr>
        <w:spacing w:line="360" w:lineRule="auto"/>
        <w:jc w:val="both"/>
        <w:rPr>
          <w:rFonts w:ascii="Palatino Linotype" w:eastAsia="Palatino Linotype" w:hAnsi="Palatino Linotype" w:cs="Palatino Linotype"/>
          <w:b/>
        </w:rPr>
      </w:pPr>
    </w:p>
    <w:p w14:paraId="4A9F1D0B" w14:textId="77777777" w:rsidR="007C714D" w:rsidRPr="00F93884" w:rsidRDefault="007C714D" w:rsidP="00F93884">
      <w:pPr>
        <w:spacing w:line="360" w:lineRule="auto"/>
        <w:jc w:val="both"/>
        <w:rPr>
          <w:rFonts w:ascii="Palatino Linotype" w:eastAsia="Palatino Linotype" w:hAnsi="Palatino Linotype" w:cs="Palatino Linotype"/>
          <w:b/>
        </w:rPr>
      </w:pPr>
    </w:p>
    <w:p w14:paraId="211962D2" w14:textId="77777777" w:rsidR="00147F2A" w:rsidRPr="00F93884" w:rsidRDefault="001929CF" w:rsidP="00F93884">
      <w:pPr>
        <w:spacing w:line="360" w:lineRule="auto"/>
        <w:jc w:val="both"/>
        <w:rPr>
          <w:rFonts w:ascii="Palatino Linotype" w:eastAsia="Palatino Linotype" w:hAnsi="Palatino Linotype" w:cs="Palatino Linotype"/>
          <w:b/>
        </w:rPr>
      </w:pPr>
      <w:r w:rsidRPr="00F93884">
        <w:rPr>
          <w:rFonts w:ascii="Palatino Linotype" w:eastAsia="Palatino Linotype" w:hAnsi="Palatino Linotype" w:cs="Palatino Linotype"/>
          <w:b/>
        </w:rPr>
        <w:lastRenderedPageBreak/>
        <w:t>e) Cierre de Instrucción</w:t>
      </w:r>
    </w:p>
    <w:p w14:paraId="65F0D0B4" w14:textId="77777777" w:rsidR="00147F2A" w:rsidRPr="00F93884" w:rsidRDefault="001929CF"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Por lo que, una vez analizado el estado procesal que guarda el expediente, el </w:t>
      </w:r>
      <w:r w:rsidR="0017628B" w:rsidRPr="00F93884">
        <w:rPr>
          <w:rFonts w:ascii="Palatino Linotype" w:eastAsia="Palatino Linotype" w:hAnsi="Palatino Linotype" w:cs="Palatino Linotype"/>
          <w:b/>
        </w:rPr>
        <w:t>dieciséis de mayo</w:t>
      </w:r>
      <w:r w:rsidRPr="00F93884">
        <w:rPr>
          <w:rFonts w:ascii="Palatino Linotype" w:eastAsia="Palatino Linotype" w:hAnsi="Palatino Linotype" w:cs="Palatino Linotype"/>
          <w:b/>
        </w:rPr>
        <w:t xml:space="preserve"> de dos mil veintitrés </w:t>
      </w:r>
      <w:r w:rsidRPr="00F93884">
        <w:rPr>
          <w:rFonts w:ascii="Palatino Linotype" w:eastAsia="Palatino Linotype" w:hAnsi="Palatino Linotype" w:cs="Palatino Linotype"/>
        </w:rPr>
        <w:t xml:space="preserve">la </w:t>
      </w:r>
      <w:r w:rsidRPr="00F93884">
        <w:rPr>
          <w:rFonts w:ascii="Palatino Linotype" w:eastAsia="Palatino Linotype" w:hAnsi="Palatino Linotype" w:cs="Palatino Linotype"/>
          <w:b/>
        </w:rPr>
        <w:t xml:space="preserve">Comisionada Sharon Cristina Morales Martínez </w:t>
      </w:r>
      <w:r w:rsidRPr="00F93884">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62836EFE" w14:textId="77777777" w:rsidR="00147F2A" w:rsidRPr="00F93884" w:rsidRDefault="00147F2A" w:rsidP="00F93884">
      <w:pPr>
        <w:rPr>
          <w:rFonts w:ascii="Palatino Linotype" w:eastAsia="Palatino Linotype" w:hAnsi="Palatino Linotype" w:cs="Palatino Linotype"/>
          <w:b/>
          <w:sz w:val="28"/>
          <w:szCs w:val="28"/>
        </w:rPr>
      </w:pPr>
    </w:p>
    <w:p w14:paraId="6745EBCD" w14:textId="77777777" w:rsidR="00147F2A" w:rsidRPr="00F93884" w:rsidRDefault="00147F2A" w:rsidP="00F93884">
      <w:pPr>
        <w:jc w:val="center"/>
        <w:rPr>
          <w:rFonts w:ascii="Palatino Linotype" w:eastAsia="Palatino Linotype" w:hAnsi="Palatino Linotype" w:cs="Palatino Linotype"/>
          <w:b/>
          <w:sz w:val="28"/>
          <w:szCs w:val="28"/>
        </w:rPr>
      </w:pPr>
    </w:p>
    <w:p w14:paraId="0073F609" w14:textId="77777777" w:rsidR="00147F2A" w:rsidRPr="00F93884" w:rsidRDefault="001929CF" w:rsidP="00F93884">
      <w:pPr>
        <w:jc w:val="center"/>
        <w:rPr>
          <w:rFonts w:ascii="Palatino Linotype" w:eastAsia="Palatino Linotype" w:hAnsi="Palatino Linotype" w:cs="Palatino Linotype"/>
          <w:b/>
          <w:sz w:val="28"/>
          <w:szCs w:val="28"/>
        </w:rPr>
      </w:pPr>
      <w:r w:rsidRPr="00F93884">
        <w:rPr>
          <w:rFonts w:ascii="Palatino Linotype" w:eastAsia="Palatino Linotype" w:hAnsi="Palatino Linotype" w:cs="Palatino Linotype"/>
          <w:b/>
          <w:sz w:val="28"/>
          <w:szCs w:val="28"/>
        </w:rPr>
        <w:t>CONSIDERANDO</w:t>
      </w:r>
    </w:p>
    <w:p w14:paraId="7BB27395" w14:textId="77777777" w:rsidR="00147F2A" w:rsidRPr="00F93884" w:rsidRDefault="00147F2A" w:rsidP="00F93884">
      <w:pPr>
        <w:jc w:val="center"/>
        <w:rPr>
          <w:rFonts w:ascii="Palatino Linotype" w:eastAsia="Palatino Linotype" w:hAnsi="Palatino Linotype" w:cs="Palatino Linotype"/>
          <w:b/>
          <w:sz w:val="28"/>
          <w:szCs w:val="28"/>
        </w:rPr>
      </w:pPr>
    </w:p>
    <w:p w14:paraId="080923CE" w14:textId="77777777" w:rsidR="00147F2A" w:rsidRPr="00F93884" w:rsidRDefault="001929CF" w:rsidP="00F93884">
      <w:pPr>
        <w:widowControl w:val="0"/>
        <w:tabs>
          <w:tab w:val="left" w:pos="1701"/>
        </w:tabs>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b/>
          <w:sz w:val="28"/>
          <w:szCs w:val="28"/>
        </w:rPr>
        <w:t>PRIMERO.</w:t>
      </w:r>
      <w:r w:rsidRPr="00F93884">
        <w:rPr>
          <w:rFonts w:ascii="Palatino Linotype" w:eastAsia="Palatino Linotype" w:hAnsi="Palatino Linotype" w:cs="Palatino Linotype"/>
          <w:b/>
        </w:rPr>
        <w:t xml:space="preserve"> Competencia</w:t>
      </w:r>
      <w:r w:rsidRPr="00F93884">
        <w:rPr>
          <w:rFonts w:ascii="Palatino Linotype" w:eastAsia="Palatino Linotype" w:hAnsi="Palatino Linotype" w:cs="Palatino Linotype"/>
        </w:rPr>
        <w:t>.</w:t>
      </w:r>
      <w:r w:rsidRPr="00F93884">
        <w:rPr>
          <w:rFonts w:ascii="Palatino Linotype" w:eastAsia="Palatino Linotype" w:hAnsi="Palatino Linotype" w:cs="Palatino Linotype"/>
          <w:b/>
        </w:rPr>
        <w:t xml:space="preserve"> </w:t>
      </w:r>
    </w:p>
    <w:p w14:paraId="61AF3A79" w14:textId="77777777" w:rsidR="00147F2A" w:rsidRPr="00F93884" w:rsidRDefault="001929CF" w:rsidP="00F93884">
      <w:pPr>
        <w:widowControl w:val="0"/>
        <w:tabs>
          <w:tab w:val="left" w:pos="1701"/>
        </w:tabs>
        <w:spacing w:line="360" w:lineRule="auto"/>
        <w:jc w:val="both"/>
        <w:rPr>
          <w:rFonts w:ascii="Palatino Linotype" w:eastAsia="Palatino Linotype" w:hAnsi="Palatino Linotype" w:cs="Palatino Linotype"/>
        </w:rPr>
      </w:pPr>
      <w:bookmarkStart w:id="6" w:name="_heading=h.3znysh7" w:colFirst="0" w:colLast="0"/>
      <w:bookmarkEnd w:id="6"/>
      <w:r w:rsidRPr="00F93884">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w:t>
      </w:r>
      <w:r w:rsidR="0017628B" w:rsidRPr="00F93884">
        <w:rPr>
          <w:rFonts w:ascii="Palatino Linotype" w:eastAsia="Palatino Linotype" w:hAnsi="Palatino Linotype" w:cs="Palatino Linotype"/>
        </w:rPr>
        <w:t>Estado de México y Municipios; 9, fracciones I y XXIII</w:t>
      </w:r>
      <w:r w:rsidRPr="00F93884">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1A632D58" w14:textId="77777777" w:rsidR="00147F2A" w:rsidRPr="00F93884" w:rsidRDefault="00147F2A" w:rsidP="00F93884">
      <w:pPr>
        <w:spacing w:line="360" w:lineRule="auto"/>
        <w:jc w:val="both"/>
        <w:rPr>
          <w:rFonts w:ascii="Palatino Linotype" w:eastAsia="Palatino Linotype" w:hAnsi="Palatino Linotype" w:cs="Palatino Linotype"/>
          <w:b/>
          <w:sz w:val="28"/>
          <w:szCs w:val="28"/>
        </w:rPr>
      </w:pPr>
    </w:p>
    <w:p w14:paraId="69CF4655" w14:textId="77777777" w:rsidR="00147F2A" w:rsidRPr="00F93884" w:rsidRDefault="001929CF" w:rsidP="00F93884">
      <w:pPr>
        <w:spacing w:line="360" w:lineRule="auto"/>
        <w:jc w:val="both"/>
        <w:rPr>
          <w:rFonts w:ascii="Palatino Linotype" w:eastAsia="Palatino Linotype" w:hAnsi="Palatino Linotype" w:cs="Palatino Linotype"/>
          <w:b/>
        </w:rPr>
      </w:pPr>
      <w:r w:rsidRPr="00F93884">
        <w:rPr>
          <w:rFonts w:ascii="Palatino Linotype" w:eastAsia="Palatino Linotype" w:hAnsi="Palatino Linotype" w:cs="Palatino Linotype"/>
          <w:b/>
          <w:sz w:val="28"/>
          <w:szCs w:val="28"/>
        </w:rPr>
        <w:lastRenderedPageBreak/>
        <w:t>SEGUNDO</w:t>
      </w:r>
      <w:r w:rsidRPr="00F93884">
        <w:rPr>
          <w:rFonts w:ascii="Palatino Linotype" w:eastAsia="Palatino Linotype" w:hAnsi="Palatino Linotype" w:cs="Palatino Linotype"/>
          <w:b/>
        </w:rPr>
        <w:t xml:space="preserve">. Interés. </w:t>
      </w:r>
    </w:p>
    <w:p w14:paraId="4FCA2204" w14:textId="77777777" w:rsidR="00147F2A" w:rsidRPr="00F93884" w:rsidRDefault="001929CF" w:rsidP="00F93884">
      <w:pPr>
        <w:spacing w:line="360" w:lineRule="auto"/>
        <w:jc w:val="both"/>
        <w:rPr>
          <w:rFonts w:ascii="Palatino Linotype" w:eastAsia="Palatino Linotype" w:hAnsi="Palatino Linotype" w:cs="Palatino Linotype"/>
          <w:b/>
        </w:rPr>
      </w:pPr>
      <w:r w:rsidRPr="00F93884">
        <w:rPr>
          <w:rFonts w:ascii="Palatino Linotype" w:eastAsia="Palatino Linotype" w:hAnsi="Palatino Linotype" w:cs="Palatino Linotype"/>
        </w:rPr>
        <w:t xml:space="preserve">El Recurso de Revisión materia del presente estudio fue interpuesto por parte legítima, en atención a que se presentó por </w:t>
      </w:r>
      <w:r w:rsidRPr="00F93884">
        <w:rPr>
          <w:rFonts w:ascii="Palatino Linotype" w:eastAsia="Palatino Linotype" w:hAnsi="Palatino Linotype" w:cs="Palatino Linotype"/>
          <w:b/>
        </w:rPr>
        <w:t>EL RECURRENTE,</w:t>
      </w:r>
      <w:r w:rsidRPr="00F93884">
        <w:rPr>
          <w:rFonts w:ascii="Palatino Linotype" w:eastAsia="Palatino Linotype" w:hAnsi="Palatino Linotype" w:cs="Palatino Linotype"/>
        </w:rPr>
        <w:t xml:space="preserve"> quien es la misma persona que formuló la solicitud de acceso a la información pública al </w:t>
      </w:r>
      <w:r w:rsidRPr="00F93884">
        <w:rPr>
          <w:rFonts w:ascii="Palatino Linotype" w:eastAsia="Palatino Linotype" w:hAnsi="Palatino Linotype" w:cs="Palatino Linotype"/>
          <w:b/>
        </w:rPr>
        <w:t xml:space="preserve">SUJETO OBLIGADO, </w:t>
      </w:r>
      <w:r w:rsidRPr="00F93884">
        <w:rPr>
          <w:rFonts w:ascii="Palatino Linotype" w:eastAsia="Palatino Linotype" w:hAnsi="Palatino Linotype" w:cs="Palatino Linotype"/>
        </w:rPr>
        <w:t xml:space="preserve">pues para ello, es necesario que el particular ingrese al </w:t>
      </w:r>
      <w:r w:rsidRPr="00F93884">
        <w:rPr>
          <w:rFonts w:ascii="Palatino Linotype" w:eastAsia="Palatino Linotype" w:hAnsi="Palatino Linotype" w:cs="Palatino Linotype"/>
          <w:b/>
        </w:rPr>
        <w:t xml:space="preserve">SAIMEX </w:t>
      </w:r>
      <w:r w:rsidRPr="00F93884">
        <w:rPr>
          <w:rFonts w:ascii="Palatino Linotype" w:eastAsia="Palatino Linotype" w:hAnsi="Palatino Linotype" w:cs="Palatino Linotype"/>
        </w:rPr>
        <w:t>mediante la utilización de su clave de usuario y contraseña.</w:t>
      </w:r>
    </w:p>
    <w:p w14:paraId="1887C5F4" w14:textId="77777777" w:rsidR="00147F2A" w:rsidRPr="00F93884" w:rsidRDefault="00147F2A" w:rsidP="00F93884">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2BC1D498" w14:textId="77777777" w:rsidR="00147F2A" w:rsidRPr="00F93884" w:rsidRDefault="001929CF" w:rsidP="00F93884">
      <w:pPr>
        <w:tabs>
          <w:tab w:val="center" w:pos="4252"/>
          <w:tab w:val="right" w:pos="8504"/>
        </w:tabs>
        <w:spacing w:line="360" w:lineRule="auto"/>
        <w:ind w:left="-57"/>
        <w:jc w:val="both"/>
        <w:rPr>
          <w:rFonts w:ascii="Palatino Linotype" w:eastAsia="Palatino Linotype" w:hAnsi="Palatino Linotype" w:cs="Palatino Linotype"/>
        </w:rPr>
      </w:pPr>
      <w:r w:rsidRPr="00F93884">
        <w:rPr>
          <w:rFonts w:ascii="Palatino Linotype" w:eastAsia="Palatino Linotype" w:hAnsi="Palatino Linotype" w:cs="Palatino Linotype"/>
          <w:b/>
          <w:sz w:val="28"/>
          <w:szCs w:val="28"/>
        </w:rPr>
        <w:t>TERCERO.</w:t>
      </w:r>
      <w:r w:rsidRPr="00F93884">
        <w:rPr>
          <w:rFonts w:ascii="Palatino Linotype" w:eastAsia="Palatino Linotype" w:hAnsi="Palatino Linotype" w:cs="Palatino Linotype"/>
        </w:rPr>
        <w:t xml:space="preserve"> </w:t>
      </w:r>
      <w:r w:rsidRPr="00F93884">
        <w:rPr>
          <w:rFonts w:ascii="Palatino Linotype" w:eastAsia="Palatino Linotype" w:hAnsi="Palatino Linotype" w:cs="Palatino Linotype"/>
          <w:b/>
        </w:rPr>
        <w:t>Oportunidad</w:t>
      </w:r>
      <w:r w:rsidRPr="00F93884">
        <w:rPr>
          <w:rFonts w:ascii="Palatino Linotype" w:eastAsia="Palatino Linotype" w:hAnsi="Palatino Linotype" w:cs="Palatino Linotype"/>
        </w:rPr>
        <w:t xml:space="preserve">. </w:t>
      </w:r>
    </w:p>
    <w:p w14:paraId="4605927A" w14:textId="77777777" w:rsidR="00AC660A" w:rsidRPr="00F93884" w:rsidRDefault="00AC660A" w:rsidP="00F93884">
      <w:pPr>
        <w:autoSpaceDE w:val="0"/>
        <w:autoSpaceDN w:val="0"/>
        <w:adjustRightInd w:val="0"/>
        <w:spacing w:line="360" w:lineRule="auto"/>
        <w:ind w:right="49"/>
        <w:jc w:val="both"/>
        <w:rPr>
          <w:rFonts w:ascii="Palatino Linotype" w:hAnsi="Palatino Linotype" w:cs="Arial"/>
          <w:lang w:val="es-ES"/>
        </w:rPr>
      </w:pPr>
      <w:r w:rsidRPr="00F93884">
        <w:rPr>
          <w:rFonts w:ascii="Palatino Linotype" w:hAnsi="Palatino Linotype" w:cs="Arial"/>
          <w:lang w:val="es-ES"/>
        </w:rPr>
        <w:t>Es de precisar que la Ley de Transparencia y Acceso a la Información Pública del Estado de México y Municipios, describe el mecanismo de procedencia de los Recurso Revisión, como se puede apreciar en el siguiente artículo:</w:t>
      </w:r>
    </w:p>
    <w:p w14:paraId="5ED12231" w14:textId="77777777" w:rsidR="00AC660A" w:rsidRPr="00F93884" w:rsidRDefault="00AC660A" w:rsidP="00F93884">
      <w:pPr>
        <w:jc w:val="both"/>
        <w:rPr>
          <w:rFonts w:ascii="Palatino Linotype" w:hAnsi="Palatino Linotype" w:cs="Arial"/>
          <w:lang w:val="es-ES"/>
        </w:rPr>
      </w:pPr>
    </w:p>
    <w:p w14:paraId="1819A3C5" w14:textId="77777777" w:rsidR="00AC660A" w:rsidRPr="00F93884" w:rsidRDefault="00AC660A" w:rsidP="00F93884">
      <w:pPr>
        <w:autoSpaceDE w:val="0"/>
        <w:autoSpaceDN w:val="0"/>
        <w:adjustRightInd w:val="0"/>
        <w:ind w:left="851" w:right="902"/>
        <w:jc w:val="both"/>
        <w:rPr>
          <w:rFonts w:ascii="Palatino Linotype" w:hAnsi="Palatino Linotype" w:cs="Arial"/>
          <w:i/>
          <w:sz w:val="22"/>
          <w:szCs w:val="22"/>
          <w:lang w:val="es-ES"/>
        </w:rPr>
      </w:pPr>
      <w:r w:rsidRPr="00F93884">
        <w:rPr>
          <w:rFonts w:ascii="Palatino Linotype" w:hAnsi="Palatino Linotype" w:cs="Arial"/>
          <w:b/>
          <w:i/>
          <w:sz w:val="22"/>
          <w:szCs w:val="22"/>
          <w:lang w:val="es-ES"/>
        </w:rPr>
        <w:t>“Artículo 163.</w:t>
      </w:r>
      <w:r w:rsidRPr="00F93884">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2AAC7A9C" w14:textId="77777777" w:rsidR="00AC660A" w:rsidRPr="00F93884" w:rsidRDefault="00AC660A" w:rsidP="00F93884">
      <w:pPr>
        <w:autoSpaceDE w:val="0"/>
        <w:autoSpaceDN w:val="0"/>
        <w:adjustRightInd w:val="0"/>
        <w:ind w:left="851" w:right="902"/>
        <w:jc w:val="both"/>
        <w:rPr>
          <w:rFonts w:ascii="Palatino Linotype" w:hAnsi="Palatino Linotype" w:cs="Arial"/>
          <w:i/>
          <w:sz w:val="22"/>
          <w:szCs w:val="22"/>
          <w:lang w:val="es-ES"/>
        </w:rPr>
      </w:pPr>
    </w:p>
    <w:p w14:paraId="35E8756F" w14:textId="77777777" w:rsidR="00AC660A" w:rsidRPr="00F93884" w:rsidRDefault="00AC660A" w:rsidP="00F93884">
      <w:pPr>
        <w:autoSpaceDE w:val="0"/>
        <w:autoSpaceDN w:val="0"/>
        <w:adjustRightInd w:val="0"/>
        <w:ind w:left="851" w:right="902"/>
        <w:jc w:val="both"/>
        <w:rPr>
          <w:rFonts w:ascii="Palatino Linotype" w:hAnsi="Palatino Linotype" w:cs="Arial"/>
          <w:i/>
          <w:sz w:val="22"/>
          <w:szCs w:val="22"/>
          <w:lang w:val="es-ES"/>
        </w:rPr>
      </w:pPr>
      <w:r w:rsidRPr="00F93884">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1EDF718" w14:textId="77777777" w:rsidR="00147F2A" w:rsidRPr="00F93884" w:rsidRDefault="00147F2A" w:rsidP="00F93884">
      <w:pPr>
        <w:ind w:left="720" w:right="709"/>
        <w:jc w:val="both"/>
        <w:rPr>
          <w:rFonts w:ascii="Palatino Linotype" w:eastAsia="Palatino Linotype" w:hAnsi="Palatino Linotype" w:cs="Palatino Linotype"/>
          <w:i/>
          <w:sz w:val="22"/>
          <w:szCs w:val="22"/>
        </w:rPr>
      </w:pPr>
    </w:p>
    <w:p w14:paraId="112D3069" w14:textId="77777777" w:rsidR="00DE5ED6" w:rsidRPr="00F93884" w:rsidRDefault="00DE5ED6" w:rsidP="00F93884">
      <w:pPr>
        <w:spacing w:line="360" w:lineRule="auto"/>
        <w:jc w:val="both"/>
        <w:rPr>
          <w:rFonts w:ascii="Palatino Linotype" w:hAnsi="Palatino Linotype" w:cs="Arial"/>
          <w:lang w:val="es-ES"/>
        </w:rPr>
      </w:pPr>
      <w:bookmarkStart w:id="7" w:name="_heading=h.2et92p0" w:colFirst="0" w:colLast="0"/>
      <w:bookmarkEnd w:id="7"/>
      <w:r w:rsidRPr="00F93884">
        <w:rPr>
          <w:rFonts w:ascii="Palatino Linotype" w:hAnsi="Palatino Linotype"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w:t>
      </w:r>
      <w:r w:rsidRPr="00F93884">
        <w:rPr>
          <w:rFonts w:ascii="Palatino Linotype" w:hAnsi="Palatino Linotype" w:cs="Arial"/>
          <w:lang w:val="es-ES"/>
        </w:rPr>
        <w:lastRenderedPageBreak/>
        <w:t>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0DA6D3B6" w14:textId="77777777" w:rsidR="00DE5ED6" w:rsidRPr="00F93884" w:rsidRDefault="00DE5ED6" w:rsidP="00F93884">
      <w:pPr>
        <w:spacing w:line="360" w:lineRule="auto"/>
        <w:jc w:val="both"/>
        <w:rPr>
          <w:rFonts w:ascii="Palatino Linotype" w:hAnsi="Palatino Linotype" w:cs="Arial"/>
          <w:sz w:val="16"/>
          <w:szCs w:val="16"/>
          <w:lang w:val="es-ES"/>
        </w:rPr>
      </w:pPr>
    </w:p>
    <w:p w14:paraId="54149CFF" w14:textId="77777777" w:rsidR="00DE5ED6" w:rsidRPr="00F93884" w:rsidRDefault="00DE5ED6" w:rsidP="00F93884">
      <w:pPr>
        <w:spacing w:line="360" w:lineRule="auto"/>
        <w:jc w:val="both"/>
        <w:rPr>
          <w:rFonts w:ascii="Palatino Linotype" w:hAnsi="Palatino Linotype" w:cs="Arial"/>
          <w:lang w:val="es-ES"/>
        </w:rPr>
      </w:pPr>
      <w:r w:rsidRPr="00F93884">
        <w:rPr>
          <w:rFonts w:ascii="Palatino Linotype" w:hAnsi="Palatino Linotype" w:cs="Arial"/>
          <w:lang w:val="es-ES"/>
        </w:rPr>
        <w:t xml:space="preserve">Derivado de lo anterior, nos encontramos ante la presencia de la figura jurídica de la </w:t>
      </w:r>
      <w:r w:rsidRPr="00F93884">
        <w:rPr>
          <w:rFonts w:ascii="Palatino Linotype" w:hAnsi="Palatino Linotype" w:cs="Arial"/>
          <w:b/>
          <w:lang w:val="es-ES"/>
        </w:rPr>
        <w:t>NEGATIVA FICTA</w:t>
      </w:r>
      <w:r w:rsidRPr="00F93884">
        <w:rPr>
          <w:rFonts w:ascii="Palatino Linotype" w:hAnsi="Palatino Linotype" w:cs="Arial"/>
          <w:lang w:val="es-ES"/>
        </w:rPr>
        <w:t>, la cual consiste en atribuir un efecto negativo al silencio de la autoridad administrativa frente a las instancias y solicitudes que hagan los particulares.</w:t>
      </w:r>
    </w:p>
    <w:p w14:paraId="35D7BF19" w14:textId="77777777" w:rsidR="00DE5ED6" w:rsidRPr="00F93884" w:rsidRDefault="00DE5ED6" w:rsidP="00F93884">
      <w:pPr>
        <w:spacing w:line="360" w:lineRule="auto"/>
        <w:jc w:val="both"/>
        <w:rPr>
          <w:rFonts w:ascii="Palatino Linotype" w:hAnsi="Palatino Linotype" w:cs="Arial"/>
          <w:lang w:val="es-ES"/>
        </w:rPr>
      </w:pPr>
    </w:p>
    <w:p w14:paraId="30CB0178" w14:textId="77777777" w:rsidR="00DE5ED6" w:rsidRPr="00F93884" w:rsidRDefault="00DE5ED6" w:rsidP="00F93884">
      <w:pPr>
        <w:spacing w:line="360" w:lineRule="auto"/>
        <w:jc w:val="both"/>
        <w:rPr>
          <w:rFonts w:ascii="Palatino Linotype" w:hAnsi="Palatino Linotype" w:cs="Arial"/>
          <w:lang w:val="es-ES"/>
        </w:rPr>
      </w:pPr>
      <w:r w:rsidRPr="00F93884">
        <w:rPr>
          <w:rFonts w:ascii="Palatino Linotype" w:hAnsi="Palatino Linotype" w:cs="Arial"/>
          <w:lang w:val="es-ES"/>
        </w:rPr>
        <w:t>Por su parte, el artículo 178 de la Ley de Transparencia y Acceso a la Información Pública del Estado de México y Municipios, establece:</w:t>
      </w:r>
    </w:p>
    <w:p w14:paraId="770414D5" w14:textId="77777777" w:rsidR="00DE5ED6" w:rsidRPr="00F93884" w:rsidRDefault="00DE5ED6" w:rsidP="00F93884">
      <w:pPr>
        <w:jc w:val="both"/>
        <w:rPr>
          <w:rFonts w:ascii="Palatino Linotype" w:hAnsi="Palatino Linotype" w:cs="Arial"/>
          <w:sz w:val="16"/>
          <w:szCs w:val="16"/>
          <w:lang w:val="es-ES"/>
        </w:rPr>
      </w:pPr>
    </w:p>
    <w:p w14:paraId="72A03114" w14:textId="77777777" w:rsidR="00DE5ED6" w:rsidRPr="00F93884" w:rsidRDefault="00DE5ED6" w:rsidP="00F93884">
      <w:pPr>
        <w:ind w:left="851" w:right="901"/>
        <w:jc w:val="both"/>
        <w:rPr>
          <w:rFonts w:ascii="Palatino Linotype" w:hAnsi="Palatino Linotype" w:cs="Arial"/>
          <w:i/>
          <w:sz w:val="22"/>
          <w:szCs w:val="22"/>
          <w:lang w:val="es-ES"/>
        </w:rPr>
      </w:pPr>
      <w:r w:rsidRPr="00F93884">
        <w:rPr>
          <w:rFonts w:ascii="Palatino Linotype" w:hAnsi="Palatino Linotype" w:cs="Arial"/>
          <w:b/>
          <w:i/>
          <w:sz w:val="22"/>
          <w:szCs w:val="22"/>
          <w:lang w:val="es-ES"/>
        </w:rPr>
        <w:t xml:space="preserve">“Artículo 178. </w:t>
      </w:r>
      <w:r w:rsidRPr="00F93884">
        <w:rPr>
          <w:rFonts w:ascii="Palatino Linotype" w:hAnsi="Palatino Linotype" w:cs="Arial"/>
          <w:i/>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0687B64B" w14:textId="77777777" w:rsidR="00DE5ED6" w:rsidRPr="00F93884" w:rsidRDefault="00DE5ED6" w:rsidP="00F93884">
      <w:pPr>
        <w:ind w:left="851" w:right="901"/>
        <w:jc w:val="both"/>
        <w:rPr>
          <w:rFonts w:ascii="Palatino Linotype" w:hAnsi="Palatino Linotype" w:cs="Arial"/>
          <w:i/>
          <w:sz w:val="22"/>
          <w:szCs w:val="22"/>
          <w:lang w:val="es-ES"/>
        </w:rPr>
      </w:pPr>
    </w:p>
    <w:p w14:paraId="1F690FA0" w14:textId="77777777" w:rsidR="00DE5ED6" w:rsidRPr="00F93884" w:rsidRDefault="00DE5ED6" w:rsidP="00F93884">
      <w:pPr>
        <w:ind w:left="851" w:right="901"/>
        <w:jc w:val="both"/>
        <w:rPr>
          <w:rFonts w:ascii="Palatino Linotype" w:hAnsi="Palatino Linotype" w:cs="Arial"/>
          <w:i/>
          <w:sz w:val="22"/>
          <w:szCs w:val="22"/>
          <w:lang w:val="es-ES"/>
        </w:rPr>
      </w:pPr>
      <w:r w:rsidRPr="00F93884">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F93884">
        <w:rPr>
          <w:rFonts w:ascii="Palatino Linotype" w:hAnsi="Palatino Linotype" w:cs="Arial"/>
          <w:i/>
          <w:sz w:val="22"/>
          <w:szCs w:val="22"/>
          <w:lang w:val="es-ES"/>
        </w:rPr>
        <w:t>, acompañado con el documento que pruebe la fecha en que presentó la solicitud.</w:t>
      </w:r>
    </w:p>
    <w:p w14:paraId="1C891F54" w14:textId="77777777" w:rsidR="00DE5ED6" w:rsidRPr="00F93884" w:rsidRDefault="00DE5ED6" w:rsidP="00F93884">
      <w:pPr>
        <w:ind w:left="851" w:right="901"/>
        <w:jc w:val="both"/>
        <w:rPr>
          <w:rFonts w:ascii="Palatino Linotype" w:hAnsi="Palatino Linotype" w:cs="Arial"/>
          <w:i/>
          <w:sz w:val="22"/>
          <w:szCs w:val="22"/>
          <w:lang w:val="es-ES"/>
        </w:rPr>
      </w:pPr>
    </w:p>
    <w:p w14:paraId="5383A7D1" w14:textId="77777777" w:rsidR="00DE5ED6" w:rsidRPr="00F93884" w:rsidRDefault="00DE5ED6" w:rsidP="00F93884">
      <w:pPr>
        <w:ind w:left="851" w:right="901"/>
        <w:jc w:val="both"/>
        <w:rPr>
          <w:rFonts w:ascii="Palatino Linotype" w:hAnsi="Palatino Linotype" w:cs="Arial"/>
          <w:i/>
          <w:sz w:val="22"/>
          <w:szCs w:val="22"/>
          <w:lang w:val="es-ES"/>
        </w:rPr>
      </w:pPr>
      <w:r w:rsidRPr="00F93884">
        <w:rPr>
          <w:rFonts w:ascii="Palatino Linotype" w:hAnsi="Palatino Linotype" w:cs="Arial"/>
          <w:i/>
          <w:sz w:val="22"/>
          <w:szCs w:val="22"/>
          <w:lang w:val="es-ES"/>
        </w:rPr>
        <w:t>En el caso de que se interponga ante la Unidad de Transparencia, ésta deberá remitir el Recurso Revisión al Instituto a más tardar al día siguiente de haberlo recibido.”</w:t>
      </w:r>
    </w:p>
    <w:p w14:paraId="7CC9CFA5" w14:textId="77777777" w:rsidR="00DE5ED6" w:rsidRPr="00F93884" w:rsidRDefault="00DE5ED6" w:rsidP="00F93884">
      <w:pPr>
        <w:ind w:left="851" w:right="901"/>
        <w:jc w:val="both"/>
        <w:rPr>
          <w:rFonts w:ascii="Palatino Linotype" w:hAnsi="Palatino Linotype" w:cs="Arial"/>
          <w:i/>
          <w:sz w:val="22"/>
          <w:szCs w:val="22"/>
          <w:lang w:val="es-ES"/>
        </w:rPr>
      </w:pPr>
      <w:r w:rsidRPr="00F93884">
        <w:rPr>
          <w:rFonts w:ascii="Palatino Linotype" w:hAnsi="Palatino Linotype" w:cs="Arial"/>
          <w:i/>
          <w:sz w:val="22"/>
          <w:szCs w:val="22"/>
          <w:lang w:val="es-ES"/>
        </w:rPr>
        <w:t xml:space="preserve">(Énfasis añadido) </w:t>
      </w:r>
    </w:p>
    <w:p w14:paraId="652FDB29" w14:textId="77777777" w:rsidR="00DE5ED6" w:rsidRPr="00F93884" w:rsidRDefault="00DE5ED6" w:rsidP="00F93884">
      <w:pPr>
        <w:ind w:left="851" w:right="901"/>
        <w:jc w:val="both"/>
        <w:rPr>
          <w:rFonts w:ascii="Palatino Linotype" w:hAnsi="Palatino Linotype" w:cs="Arial"/>
          <w:i/>
          <w:sz w:val="22"/>
          <w:szCs w:val="22"/>
          <w:lang w:val="es-ES"/>
        </w:rPr>
      </w:pPr>
    </w:p>
    <w:p w14:paraId="77F79539" w14:textId="77777777" w:rsidR="00DE5ED6" w:rsidRPr="00F93884" w:rsidRDefault="00DE5ED6" w:rsidP="00F93884">
      <w:pPr>
        <w:spacing w:line="360" w:lineRule="auto"/>
        <w:jc w:val="both"/>
        <w:rPr>
          <w:rFonts w:ascii="Palatino Linotype" w:hAnsi="Palatino Linotype" w:cs="Arial"/>
          <w:lang w:val="es-ES"/>
        </w:rPr>
      </w:pPr>
      <w:r w:rsidRPr="00F93884">
        <w:rPr>
          <w:rFonts w:ascii="Palatino Linotype" w:hAnsi="Palatino Linotype" w:cs="Arial"/>
          <w:lang w:val="es-ES"/>
        </w:rPr>
        <w:lastRenderedPageBreak/>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 </w:t>
      </w:r>
      <w:r w:rsidRPr="00F93884">
        <w:rPr>
          <w:rFonts w:ascii="Palatino Linotype" w:hAnsi="Palatino Linotype"/>
          <w:b/>
        </w:rPr>
        <w:t>EL SUJETO OBLIGADO</w:t>
      </w:r>
      <w:r w:rsidRPr="00F93884">
        <w:rPr>
          <w:rFonts w:ascii="Palatino Linotype" w:hAnsi="Palatino Linotype" w:cs="Arial"/>
          <w:b/>
          <w:lang w:val="es-ES"/>
        </w:rPr>
        <w:t xml:space="preserve">. </w:t>
      </w:r>
      <w:r w:rsidRPr="00F93884">
        <w:rPr>
          <w:rFonts w:ascii="Palatino Linotype" w:hAnsi="Palatino Linotype" w:cs="Arial"/>
          <w:lang w:val="es-ES"/>
        </w:rPr>
        <w:t xml:space="preserve">Sin embargo, tratándose de negativa ficta no existe respuesta que se haga del conocimiento del particular a partir de la cual pueda computarse dicho término, por lo que es pertinente establecer que no hay plazo para la interposición del Recurso Revisión y, por tanto, </w:t>
      </w:r>
      <w:r w:rsidRPr="00F93884">
        <w:rPr>
          <w:rFonts w:ascii="Palatino Linotype" w:hAnsi="Palatino Linotype" w:cs="Arial"/>
          <w:b/>
          <w:bCs/>
          <w:lang w:val="es-ES"/>
        </w:rPr>
        <w:t>EL RECURRENTE</w:t>
      </w:r>
      <w:r w:rsidRPr="00F93884">
        <w:rPr>
          <w:rFonts w:ascii="Palatino Linotype" w:hAnsi="Palatino Linotype" w:cs="Arial"/>
          <w:b/>
          <w:lang w:val="es-ES"/>
        </w:rPr>
        <w:t xml:space="preserve"> </w:t>
      </w:r>
      <w:r w:rsidRPr="00F93884">
        <w:rPr>
          <w:rFonts w:ascii="Palatino Linotype" w:hAnsi="Palatino Linotype" w:cs="Arial"/>
          <w:lang w:val="es-ES"/>
        </w:rPr>
        <w:t>está en libertad de presentar su medio de impugnación en cualquier momento; en consecuencia, se tiene que el presente recurso se interpuso oportunamente.</w:t>
      </w:r>
    </w:p>
    <w:p w14:paraId="7024AA09" w14:textId="6BD179E0" w:rsidR="00727A7C" w:rsidRDefault="00727A7C" w:rsidP="00F93884">
      <w:pPr>
        <w:spacing w:line="360" w:lineRule="auto"/>
        <w:ind w:right="49"/>
        <w:jc w:val="both"/>
        <w:rPr>
          <w:rFonts w:ascii="Palatino Linotype" w:eastAsia="Palatino Linotype" w:hAnsi="Palatino Linotype" w:cs="Palatino Linotype"/>
          <w:b/>
          <w:sz w:val="28"/>
          <w:szCs w:val="28"/>
        </w:rPr>
      </w:pPr>
    </w:p>
    <w:p w14:paraId="5BDF6AC1" w14:textId="77777777" w:rsidR="00F93884" w:rsidRDefault="00F93884" w:rsidP="00F93884">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w:t>
      </w:r>
      <w:r>
        <w:rPr>
          <w:rFonts w:ascii="Palatino Linotype" w:hAnsi="Palatino Linotype" w:cs="Arial"/>
          <w:b/>
        </w:rPr>
        <w:t>Justificación de la Acumulación de los Recursos.</w:t>
      </w:r>
      <w:r>
        <w:rPr>
          <w:rFonts w:ascii="Palatino Linotype" w:hAnsi="Palatino Linotype" w:cs="Arial"/>
        </w:rPr>
        <w:t xml:space="preserve"> </w:t>
      </w:r>
    </w:p>
    <w:p w14:paraId="250F58F7" w14:textId="77777777" w:rsidR="00F93884" w:rsidRDefault="00F93884" w:rsidP="00F93884">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De las constancias que obran en los expedientes, se advierte que los Recursos de Revisión</w:t>
      </w:r>
      <w:r>
        <w:rPr>
          <w:rFonts w:ascii="Palatino Linotype" w:hAnsi="Palatino Linotype"/>
        </w:rPr>
        <w:t xml:space="preserve"> </w:t>
      </w:r>
      <w:r>
        <w:rPr>
          <w:rFonts w:ascii="Palatino Linotype" w:hAnsi="Palatino Linotype" w:cs="Arial"/>
        </w:rPr>
        <w:t xml:space="preserve">fueron presentados por el mismo </w:t>
      </w:r>
      <w:r>
        <w:rPr>
          <w:rFonts w:ascii="Palatino Linotype" w:hAnsi="Palatino Linotype" w:cs="Arial"/>
          <w:b/>
        </w:rPr>
        <w:t xml:space="preserve">RECURRENTE </w:t>
      </w:r>
      <w:r>
        <w:rPr>
          <w:rFonts w:ascii="Palatino Linotype" w:hAnsi="Palatino Linotype" w:cs="Arial"/>
        </w:rPr>
        <w:t xml:space="preserve">ante el mismo </w:t>
      </w:r>
      <w:r>
        <w:rPr>
          <w:rFonts w:ascii="Palatino Linotype" w:hAnsi="Palatino Linotype" w:cs="Arial"/>
          <w:b/>
        </w:rPr>
        <w:t>SUJETO OBLIGADO</w:t>
      </w:r>
      <w:r>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Pr>
          <w:rFonts w:ascii="Palatino Linotype" w:hAnsi="Palatino Linotype"/>
        </w:rPr>
        <w:t xml:space="preserve">la Ley de Transparencia y Acceso a la Información Pública del Estado de México y Municipios y los diversos los artículos 66 y 70 de los Lineamientos para el funcionamiento del Pleno y las Comisiones </w:t>
      </w:r>
      <w:r>
        <w:rPr>
          <w:rFonts w:ascii="Palatino Linotype" w:hAnsi="Palatino Linotype"/>
        </w:rPr>
        <w:lastRenderedPageBreak/>
        <w:t>del Instituto de Transparencia, Acceso a la Información Pública y Protección de Datos Personales del Estado de México y Municipios.</w:t>
      </w:r>
    </w:p>
    <w:p w14:paraId="58D4AFF4" w14:textId="77777777" w:rsidR="00F93884" w:rsidRDefault="00F93884" w:rsidP="00F93884">
      <w:pPr>
        <w:tabs>
          <w:tab w:val="center" w:pos="4252"/>
          <w:tab w:val="right" w:pos="8504"/>
        </w:tabs>
        <w:spacing w:line="360" w:lineRule="auto"/>
        <w:jc w:val="both"/>
        <w:rPr>
          <w:rFonts w:ascii="Palatino Linotype" w:eastAsiaTheme="minorEastAsia" w:hAnsi="Palatino Linotype" w:cs="Arial"/>
          <w:sz w:val="22"/>
          <w:szCs w:val="22"/>
        </w:rPr>
      </w:pPr>
    </w:p>
    <w:p w14:paraId="726F14A1" w14:textId="77777777" w:rsidR="00F93884" w:rsidRDefault="00F93884" w:rsidP="00F93884">
      <w:pPr>
        <w:tabs>
          <w:tab w:val="center" w:pos="4252"/>
          <w:tab w:val="right" w:pos="8504"/>
        </w:tabs>
        <w:spacing w:line="360" w:lineRule="auto"/>
        <w:jc w:val="both"/>
        <w:rPr>
          <w:rFonts w:ascii="Palatino Linotype" w:eastAsiaTheme="minorEastAsia" w:hAnsi="Palatino Linotype" w:cs="Arial"/>
        </w:rPr>
      </w:pPr>
      <w:r>
        <w:rPr>
          <w:rFonts w:ascii="Palatino Linotype" w:eastAsiaTheme="minorEastAsia" w:hAnsi="Palatino Linotype" w:cs="Arial"/>
          <w:sz w:val="22"/>
          <w:szCs w:val="22"/>
        </w:rPr>
        <w:t xml:space="preserve">De </w:t>
      </w:r>
      <w:r>
        <w:rPr>
          <w:rFonts w:ascii="Palatino Linotype" w:eastAsiaTheme="minorEastAsia" w:hAnsi="Palatino Linotype" w:cs="Arial"/>
        </w:rPr>
        <w:t>lo dispuesto en la normativa anterior, dicha acumulación procede cuando:</w:t>
      </w:r>
    </w:p>
    <w:p w14:paraId="2A776165" w14:textId="77777777" w:rsidR="00F93884" w:rsidRDefault="00F93884" w:rsidP="00F93884">
      <w:pPr>
        <w:tabs>
          <w:tab w:val="center" w:pos="4252"/>
          <w:tab w:val="right" w:pos="8504"/>
        </w:tabs>
        <w:spacing w:line="360" w:lineRule="auto"/>
        <w:jc w:val="both"/>
        <w:rPr>
          <w:rFonts w:ascii="Palatino Linotype" w:eastAsiaTheme="minorEastAsia" w:hAnsi="Palatino Linotype" w:cs="Arial"/>
        </w:rPr>
      </w:pPr>
    </w:p>
    <w:p w14:paraId="40E031BD" w14:textId="77777777" w:rsidR="00F93884" w:rsidRDefault="00F93884" w:rsidP="00F93884">
      <w:pPr>
        <w:numPr>
          <w:ilvl w:val="0"/>
          <w:numId w:val="2"/>
        </w:numPr>
        <w:tabs>
          <w:tab w:val="center" w:pos="4252"/>
          <w:tab w:val="right" w:pos="8504"/>
        </w:tabs>
        <w:spacing w:line="360" w:lineRule="auto"/>
        <w:ind w:left="851" w:right="757" w:hanging="142"/>
        <w:jc w:val="both"/>
        <w:rPr>
          <w:rFonts w:ascii="Palatino Linotype" w:eastAsiaTheme="minorEastAsia" w:hAnsi="Palatino Linotype" w:cs="Arial"/>
        </w:rPr>
      </w:pPr>
      <w:r>
        <w:rPr>
          <w:rFonts w:ascii="Palatino Linotype" w:eastAsiaTheme="minorEastAsia" w:hAnsi="Palatino Linotype" w:cs="Arial"/>
        </w:rPr>
        <w:t>El solicitante y la información referida sean las mismas;</w:t>
      </w:r>
    </w:p>
    <w:p w14:paraId="73E0F586" w14:textId="77777777" w:rsidR="00F93884" w:rsidRDefault="00F93884" w:rsidP="00F93884">
      <w:pPr>
        <w:numPr>
          <w:ilvl w:val="0"/>
          <w:numId w:val="2"/>
        </w:numPr>
        <w:tabs>
          <w:tab w:val="center" w:pos="4252"/>
          <w:tab w:val="right" w:pos="8504"/>
        </w:tabs>
        <w:spacing w:line="360" w:lineRule="auto"/>
        <w:ind w:left="851" w:right="757" w:hanging="142"/>
        <w:jc w:val="both"/>
        <w:rPr>
          <w:rFonts w:ascii="Palatino Linotype" w:eastAsiaTheme="minorEastAsia" w:hAnsi="Palatino Linotype" w:cs="Arial"/>
        </w:rPr>
      </w:pPr>
      <w:r>
        <w:rPr>
          <w:rFonts w:ascii="Palatino Linotype" w:eastAsiaTheme="minorEastAsia" w:hAnsi="Palatino Linotype" w:cs="Arial"/>
          <w:b/>
        </w:rPr>
        <w:t>Las partes o los actos impugnados sean iguales</w:t>
      </w:r>
      <w:r>
        <w:rPr>
          <w:rFonts w:ascii="Palatino Linotype" w:eastAsiaTheme="minorEastAsia" w:hAnsi="Palatino Linotype" w:cs="Arial"/>
        </w:rPr>
        <w:t>;</w:t>
      </w:r>
    </w:p>
    <w:p w14:paraId="18381C07" w14:textId="77777777" w:rsidR="00F93884" w:rsidRDefault="00F93884" w:rsidP="00F93884">
      <w:pPr>
        <w:numPr>
          <w:ilvl w:val="0"/>
          <w:numId w:val="2"/>
        </w:numPr>
        <w:tabs>
          <w:tab w:val="center" w:pos="4252"/>
          <w:tab w:val="right" w:pos="8504"/>
        </w:tabs>
        <w:spacing w:line="360" w:lineRule="auto"/>
        <w:ind w:left="851" w:right="757" w:hanging="142"/>
        <w:jc w:val="both"/>
        <w:rPr>
          <w:rFonts w:ascii="Palatino Linotype" w:eastAsiaTheme="minorEastAsia" w:hAnsi="Palatino Linotype" w:cs="Arial"/>
        </w:rPr>
      </w:pPr>
      <w:r>
        <w:rPr>
          <w:rFonts w:ascii="Palatino Linotype" w:eastAsiaTheme="minorEastAsia" w:hAnsi="Palatino Linotype" w:cs="Arial"/>
        </w:rPr>
        <w:t xml:space="preserve">Cuando se trate del mismo solicitante, el mismo Sujeto Obligado, </w:t>
      </w:r>
      <w:r>
        <w:rPr>
          <w:rFonts w:ascii="Palatino Linotype" w:eastAsiaTheme="minorEastAsia" w:hAnsi="Palatino Linotype" w:cs="Arial"/>
          <w:b/>
        </w:rPr>
        <w:t>aunque se trate de solicitudes diversas</w:t>
      </w:r>
      <w:r>
        <w:rPr>
          <w:rFonts w:ascii="Palatino Linotype" w:eastAsiaTheme="minorEastAsia" w:hAnsi="Palatino Linotype" w:cs="Arial"/>
        </w:rPr>
        <w:t>; y,</w:t>
      </w:r>
    </w:p>
    <w:p w14:paraId="3B98063F" w14:textId="77777777" w:rsidR="00F93884" w:rsidRDefault="00F93884" w:rsidP="00F93884">
      <w:pPr>
        <w:numPr>
          <w:ilvl w:val="0"/>
          <w:numId w:val="2"/>
        </w:numPr>
        <w:tabs>
          <w:tab w:val="center" w:pos="4252"/>
          <w:tab w:val="right" w:pos="8504"/>
        </w:tabs>
        <w:spacing w:line="360" w:lineRule="auto"/>
        <w:ind w:left="851" w:right="757" w:hanging="142"/>
        <w:jc w:val="both"/>
        <w:rPr>
          <w:rFonts w:ascii="Palatino Linotype" w:eastAsiaTheme="minorEastAsia" w:hAnsi="Palatino Linotype" w:cs="Arial"/>
        </w:rPr>
      </w:pPr>
      <w:r>
        <w:rPr>
          <w:rFonts w:ascii="Palatino Linotype" w:eastAsiaTheme="minorEastAsia" w:hAnsi="Palatino Linotype" w:cs="Arial"/>
          <w:b/>
        </w:rPr>
        <w:t>Resulte conveniente la resolución unificada de los asuntos</w:t>
      </w:r>
      <w:r>
        <w:rPr>
          <w:rFonts w:ascii="Palatino Linotype" w:eastAsiaTheme="minorEastAsia" w:hAnsi="Palatino Linotype" w:cs="Arial"/>
          <w:i/>
        </w:rPr>
        <w:t>.</w:t>
      </w:r>
    </w:p>
    <w:p w14:paraId="52346039" w14:textId="77777777" w:rsidR="00F93884" w:rsidRDefault="00F93884" w:rsidP="00F93884">
      <w:pPr>
        <w:tabs>
          <w:tab w:val="center" w:pos="4252"/>
          <w:tab w:val="right" w:pos="8504"/>
        </w:tabs>
        <w:spacing w:line="360" w:lineRule="auto"/>
        <w:jc w:val="both"/>
        <w:rPr>
          <w:rFonts w:ascii="Palatino Linotype" w:eastAsiaTheme="minorEastAsia" w:hAnsi="Palatino Linotype" w:cs="Arial"/>
        </w:rPr>
      </w:pPr>
    </w:p>
    <w:p w14:paraId="5E3D7BA3" w14:textId="3E5C5388" w:rsidR="00F93884" w:rsidRDefault="00F93884" w:rsidP="00F93884">
      <w:pPr>
        <w:spacing w:line="360" w:lineRule="auto"/>
        <w:ind w:right="49"/>
        <w:jc w:val="both"/>
        <w:rPr>
          <w:rFonts w:ascii="Palatino Linotype" w:eastAsia="Palatino Linotype" w:hAnsi="Palatino Linotype" w:cs="Palatino Linotype"/>
          <w:b/>
          <w:sz w:val="28"/>
          <w:szCs w:val="28"/>
        </w:rPr>
      </w:pPr>
      <w:r>
        <w:rPr>
          <w:rFonts w:ascii="Palatino Linotype" w:eastAsiaTheme="minorEastAsia" w:hAnsi="Palatino Linotype" w:cs="Arial"/>
        </w:rPr>
        <w:t xml:space="preserve">Así, tal y como se mencionó anteriormente, los Recursos de Revisión que nos ocupan fueron interpuestos por el mismo </w:t>
      </w:r>
      <w:r>
        <w:rPr>
          <w:rFonts w:ascii="Palatino Linotype" w:eastAsiaTheme="minorEastAsia" w:hAnsi="Palatino Linotype" w:cs="Arial"/>
          <w:b/>
        </w:rPr>
        <w:t>RECURRENTE</w:t>
      </w:r>
      <w:r>
        <w:rPr>
          <w:rFonts w:ascii="Palatino Linotype" w:eastAsiaTheme="minorEastAsia" w:hAnsi="Palatino Linotype" w:cs="Arial"/>
        </w:rPr>
        <w:t xml:space="preserve"> ante el mismo </w:t>
      </w:r>
      <w:r>
        <w:rPr>
          <w:rFonts w:ascii="Palatino Linotype" w:eastAsiaTheme="minorEastAsia" w:hAnsi="Palatino Linotype" w:cs="Arial"/>
          <w:b/>
        </w:rPr>
        <w:t>SUJETO OBLIGADO</w:t>
      </w:r>
      <w:r>
        <w:rPr>
          <w:rFonts w:ascii="Palatino Linotype" w:eastAsiaTheme="minorEastAsia" w:hAnsi="Palatino Linotype" w:cs="Arial"/>
        </w:rPr>
        <w:t>; por lo que, resulta conveniente su resolución conjunta.</w:t>
      </w:r>
    </w:p>
    <w:p w14:paraId="28C4F6EA" w14:textId="77777777" w:rsidR="00F93884" w:rsidRPr="00F93884" w:rsidRDefault="00F93884" w:rsidP="00F93884">
      <w:pPr>
        <w:spacing w:line="360" w:lineRule="auto"/>
        <w:ind w:right="49"/>
        <w:jc w:val="both"/>
        <w:rPr>
          <w:rFonts w:ascii="Palatino Linotype" w:eastAsia="Palatino Linotype" w:hAnsi="Palatino Linotype" w:cs="Palatino Linotype"/>
          <w:b/>
          <w:sz w:val="28"/>
          <w:szCs w:val="28"/>
        </w:rPr>
      </w:pPr>
    </w:p>
    <w:p w14:paraId="499BFEB3" w14:textId="5C0FF907" w:rsidR="00147F2A" w:rsidRPr="00F93884" w:rsidRDefault="00F93884" w:rsidP="00F93884">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QUINTO</w:t>
      </w:r>
      <w:r w:rsidR="001929CF" w:rsidRPr="00F93884">
        <w:rPr>
          <w:rFonts w:ascii="Palatino Linotype" w:eastAsia="Palatino Linotype" w:hAnsi="Palatino Linotype" w:cs="Palatino Linotype"/>
          <w:b/>
        </w:rPr>
        <w:t xml:space="preserve">. Procedibilidad. </w:t>
      </w:r>
    </w:p>
    <w:p w14:paraId="0086F45E" w14:textId="77777777" w:rsidR="004D1BCF" w:rsidRPr="00F93884" w:rsidRDefault="004D1BCF" w:rsidP="00F93884">
      <w:pPr>
        <w:autoSpaceDE w:val="0"/>
        <w:autoSpaceDN w:val="0"/>
        <w:adjustRightInd w:val="0"/>
        <w:spacing w:line="360" w:lineRule="auto"/>
        <w:ind w:right="49"/>
        <w:jc w:val="both"/>
        <w:rPr>
          <w:rFonts w:ascii="Palatino Linotype" w:hAnsi="Palatino Linotype" w:cs="Arial"/>
          <w:b/>
        </w:rPr>
      </w:pPr>
      <w:r w:rsidRPr="00F93884">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F93884">
        <w:rPr>
          <w:rFonts w:ascii="Palatino Linotype" w:hAnsi="Palatino Linotype"/>
        </w:rPr>
        <w:t xml:space="preserve">Ley de Transparencia y Acceso a la Información Pública del Estado de México y Municipios, que a la letra señala: </w:t>
      </w:r>
    </w:p>
    <w:p w14:paraId="54597DBC" w14:textId="77777777" w:rsidR="004D1BCF" w:rsidRPr="00F93884" w:rsidRDefault="004D1BCF" w:rsidP="00F93884">
      <w:pPr>
        <w:autoSpaceDE w:val="0"/>
        <w:autoSpaceDN w:val="0"/>
        <w:adjustRightInd w:val="0"/>
        <w:ind w:right="49"/>
        <w:jc w:val="both"/>
        <w:rPr>
          <w:rFonts w:ascii="Palatino Linotype" w:hAnsi="Palatino Linotype" w:cs="Arial"/>
          <w:lang w:val="es-ES"/>
        </w:rPr>
      </w:pPr>
    </w:p>
    <w:p w14:paraId="083968FF" w14:textId="77777777" w:rsidR="004D1BCF" w:rsidRPr="00F93884" w:rsidRDefault="004D1BCF" w:rsidP="00F93884">
      <w:pPr>
        <w:tabs>
          <w:tab w:val="left" w:pos="851"/>
        </w:tabs>
        <w:ind w:left="851" w:right="901"/>
        <w:jc w:val="both"/>
        <w:rPr>
          <w:rFonts w:ascii="Palatino Linotype" w:hAnsi="Palatino Linotype"/>
          <w:b/>
          <w:i/>
          <w:sz w:val="22"/>
          <w:szCs w:val="22"/>
          <w:lang w:val="es-ES"/>
        </w:rPr>
      </w:pPr>
      <w:r w:rsidRPr="00F93884">
        <w:rPr>
          <w:rFonts w:ascii="Palatino Linotype" w:hAnsi="Palatino Linotype"/>
          <w:b/>
          <w:i/>
          <w:sz w:val="22"/>
          <w:szCs w:val="22"/>
          <w:lang w:val="es-ES"/>
        </w:rPr>
        <w:t xml:space="preserve">“Artículo 180. </w:t>
      </w:r>
      <w:r w:rsidRPr="00F93884">
        <w:rPr>
          <w:rFonts w:ascii="Palatino Linotype" w:hAnsi="Palatino Linotype"/>
          <w:i/>
          <w:sz w:val="22"/>
          <w:szCs w:val="22"/>
          <w:lang w:val="es-ES"/>
        </w:rPr>
        <w:t xml:space="preserve">El </w:t>
      </w:r>
      <w:r w:rsidRPr="00F93884">
        <w:rPr>
          <w:rFonts w:ascii="Palatino Linotype" w:hAnsi="Palatino Linotype" w:cs="Arial"/>
          <w:i/>
          <w:sz w:val="22"/>
          <w:szCs w:val="22"/>
          <w:lang w:val="es-ES"/>
        </w:rPr>
        <w:t>recurso</w:t>
      </w:r>
      <w:r w:rsidRPr="00F93884">
        <w:rPr>
          <w:rFonts w:ascii="Palatino Linotype" w:hAnsi="Palatino Linotype"/>
          <w:i/>
          <w:sz w:val="22"/>
          <w:szCs w:val="22"/>
          <w:lang w:val="es-ES"/>
        </w:rPr>
        <w:t xml:space="preserve"> </w:t>
      </w:r>
      <w:r w:rsidRPr="00F93884">
        <w:rPr>
          <w:rFonts w:ascii="Palatino Linotype" w:hAnsi="Palatino Linotype" w:cs="Arial"/>
          <w:i/>
          <w:sz w:val="22"/>
          <w:szCs w:val="22"/>
          <w:lang w:val="es-ES"/>
        </w:rPr>
        <w:t>de</w:t>
      </w:r>
      <w:r w:rsidRPr="00F93884">
        <w:rPr>
          <w:rFonts w:ascii="Palatino Linotype" w:hAnsi="Palatino Linotype"/>
          <w:i/>
          <w:sz w:val="22"/>
          <w:szCs w:val="22"/>
          <w:lang w:val="es-ES"/>
        </w:rPr>
        <w:t xml:space="preserve"> revisión contendrá:</w:t>
      </w:r>
      <w:r w:rsidRPr="00F93884">
        <w:rPr>
          <w:rFonts w:ascii="Palatino Linotype" w:hAnsi="Palatino Linotype"/>
          <w:b/>
          <w:i/>
          <w:sz w:val="22"/>
          <w:szCs w:val="22"/>
          <w:lang w:val="es-ES"/>
        </w:rPr>
        <w:t xml:space="preserve"> </w:t>
      </w:r>
    </w:p>
    <w:p w14:paraId="1D7DB975" w14:textId="77777777" w:rsidR="004D1BCF" w:rsidRPr="00F93884" w:rsidRDefault="004D1BCF" w:rsidP="00F93884">
      <w:pPr>
        <w:tabs>
          <w:tab w:val="left" w:pos="851"/>
        </w:tabs>
        <w:ind w:left="851" w:right="901"/>
        <w:jc w:val="both"/>
        <w:rPr>
          <w:rFonts w:ascii="Palatino Linotype" w:hAnsi="Palatino Linotype"/>
          <w:b/>
          <w:i/>
          <w:sz w:val="22"/>
          <w:szCs w:val="22"/>
          <w:lang w:val="es-ES"/>
        </w:rPr>
      </w:pPr>
      <w:r w:rsidRPr="00F93884">
        <w:rPr>
          <w:rFonts w:ascii="Palatino Linotype" w:hAnsi="Palatino Linotype"/>
          <w:b/>
          <w:i/>
          <w:sz w:val="22"/>
          <w:szCs w:val="22"/>
          <w:lang w:val="es-ES"/>
        </w:rPr>
        <w:lastRenderedPageBreak/>
        <w:t xml:space="preserve">I. </w:t>
      </w:r>
      <w:r w:rsidRPr="00F93884">
        <w:rPr>
          <w:rFonts w:ascii="Palatino Linotype" w:hAnsi="Palatino Linotype"/>
          <w:i/>
          <w:sz w:val="22"/>
          <w:szCs w:val="22"/>
          <w:lang w:val="es-ES"/>
        </w:rPr>
        <w:t xml:space="preserve">El sujeto obligado ante </w:t>
      </w:r>
      <w:r w:rsidRPr="00F93884">
        <w:rPr>
          <w:rFonts w:ascii="Palatino Linotype" w:hAnsi="Palatino Linotype" w:cs="Arial"/>
          <w:i/>
          <w:sz w:val="22"/>
          <w:szCs w:val="22"/>
          <w:lang w:val="es-ES"/>
        </w:rPr>
        <w:t>la</w:t>
      </w:r>
      <w:r w:rsidRPr="00F93884">
        <w:rPr>
          <w:rFonts w:ascii="Palatino Linotype" w:hAnsi="Palatino Linotype"/>
          <w:i/>
          <w:sz w:val="22"/>
          <w:szCs w:val="22"/>
          <w:lang w:val="es-ES"/>
        </w:rPr>
        <w:t xml:space="preserve"> cual </w:t>
      </w:r>
      <w:r w:rsidRPr="00F93884">
        <w:rPr>
          <w:rFonts w:ascii="Palatino Linotype" w:hAnsi="Palatino Linotype" w:cs="Arial"/>
          <w:i/>
          <w:sz w:val="22"/>
          <w:szCs w:val="22"/>
          <w:lang w:val="es-ES"/>
        </w:rPr>
        <w:t>se</w:t>
      </w:r>
      <w:r w:rsidRPr="00F93884">
        <w:rPr>
          <w:rFonts w:ascii="Palatino Linotype" w:hAnsi="Palatino Linotype"/>
          <w:i/>
          <w:sz w:val="22"/>
          <w:szCs w:val="22"/>
          <w:lang w:val="es-ES"/>
        </w:rPr>
        <w:t xml:space="preserve"> presentó la solicitud;</w:t>
      </w:r>
      <w:r w:rsidRPr="00F93884">
        <w:rPr>
          <w:rFonts w:ascii="Palatino Linotype" w:hAnsi="Palatino Linotype"/>
          <w:b/>
          <w:i/>
          <w:sz w:val="22"/>
          <w:szCs w:val="22"/>
          <w:lang w:val="es-ES"/>
        </w:rPr>
        <w:t xml:space="preserve"> </w:t>
      </w:r>
    </w:p>
    <w:p w14:paraId="7B408788" w14:textId="77777777" w:rsidR="004D1BCF" w:rsidRPr="00F93884" w:rsidRDefault="004D1BCF" w:rsidP="00F93884">
      <w:pPr>
        <w:tabs>
          <w:tab w:val="left" w:pos="851"/>
        </w:tabs>
        <w:ind w:left="851" w:right="901"/>
        <w:jc w:val="both"/>
        <w:rPr>
          <w:rFonts w:ascii="Palatino Linotype" w:hAnsi="Palatino Linotype"/>
          <w:b/>
          <w:i/>
          <w:sz w:val="22"/>
          <w:szCs w:val="22"/>
          <w:lang w:val="es-ES"/>
        </w:rPr>
      </w:pPr>
      <w:r w:rsidRPr="00F93884">
        <w:rPr>
          <w:rFonts w:ascii="Palatino Linotype" w:hAnsi="Palatino Linotype"/>
          <w:b/>
          <w:i/>
          <w:sz w:val="22"/>
          <w:szCs w:val="22"/>
          <w:lang w:val="es-ES"/>
        </w:rPr>
        <w:t xml:space="preserve">II. </w:t>
      </w:r>
      <w:r w:rsidRPr="00F93884">
        <w:rPr>
          <w:rFonts w:ascii="Palatino Linotype" w:hAnsi="Palatino Linotype"/>
          <w:b/>
          <w:i/>
          <w:sz w:val="22"/>
          <w:szCs w:val="22"/>
          <w:u w:val="single"/>
          <w:lang w:val="es-ES"/>
        </w:rPr>
        <w:t xml:space="preserve">El nombre del solicitante </w:t>
      </w:r>
      <w:r w:rsidRPr="00F93884">
        <w:rPr>
          <w:rFonts w:ascii="Palatino Linotype" w:hAnsi="Palatino Linotype" w:cs="Arial"/>
          <w:b/>
          <w:i/>
          <w:sz w:val="22"/>
          <w:szCs w:val="22"/>
          <w:u w:val="single"/>
          <w:lang w:val="es-ES"/>
        </w:rPr>
        <w:t>que</w:t>
      </w:r>
      <w:r w:rsidRPr="00F93884">
        <w:rPr>
          <w:rFonts w:ascii="Palatino Linotype" w:hAnsi="Palatino Linotype"/>
          <w:b/>
          <w:i/>
          <w:sz w:val="22"/>
          <w:szCs w:val="22"/>
          <w:u w:val="single"/>
          <w:lang w:val="es-ES"/>
        </w:rPr>
        <w:t xml:space="preserve"> recurre</w:t>
      </w:r>
      <w:r w:rsidRPr="00F93884">
        <w:rPr>
          <w:rFonts w:ascii="Palatino Linotype" w:hAnsi="Palatino Linotype"/>
          <w:i/>
          <w:sz w:val="22"/>
          <w:szCs w:val="22"/>
          <w:lang w:val="es-ES"/>
        </w:rPr>
        <w:t xml:space="preserve"> o de su representante y, en su caso, del tercero interesado, así como la dirección o medio que señale para recibir notificaciones;</w:t>
      </w:r>
      <w:r w:rsidRPr="00F93884">
        <w:rPr>
          <w:rFonts w:ascii="Palatino Linotype" w:hAnsi="Palatino Linotype"/>
          <w:b/>
          <w:i/>
          <w:sz w:val="22"/>
          <w:szCs w:val="22"/>
          <w:lang w:val="es-ES"/>
        </w:rPr>
        <w:t xml:space="preserve"> </w:t>
      </w:r>
    </w:p>
    <w:p w14:paraId="759C57ED" w14:textId="77777777" w:rsidR="004D1BCF" w:rsidRPr="00F93884" w:rsidRDefault="004D1BCF" w:rsidP="00F93884">
      <w:pPr>
        <w:tabs>
          <w:tab w:val="left" w:pos="851"/>
        </w:tabs>
        <w:ind w:left="851" w:right="901"/>
        <w:jc w:val="both"/>
        <w:rPr>
          <w:rFonts w:ascii="Palatino Linotype" w:hAnsi="Palatino Linotype"/>
          <w:b/>
          <w:i/>
          <w:sz w:val="22"/>
          <w:szCs w:val="22"/>
          <w:lang w:val="es-ES"/>
        </w:rPr>
      </w:pPr>
      <w:r w:rsidRPr="00F93884">
        <w:rPr>
          <w:rFonts w:ascii="Palatino Linotype" w:hAnsi="Palatino Linotype"/>
          <w:b/>
          <w:i/>
          <w:sz w:val="22"/>
          <w:szCs w:val="22"/>
          <w:lang w:val="es-ES"/>
        </w:rPr>
        <w:t xml:space="preserve">III. </w:t>
      </w:r>
      <w:r w:rsidRPr="00F93884">
        <w:rPr>
          <w:rFonts w:ascii="Palatino Linotype" w:hAnsi="Palatino Linotype"/>
          <w:i/>
          <w:sz w:val="22"/>
          <w:szCs w:val="22"/>
          <w:lang w:val="es-ES"/>
        </w:rPr>
        <w:t xml:space="preserve">El número de folio de </w:t>
      </w:r>
      <w:r w:rsidRPr="00F93884">
        <w:rPr>
          <w:rFonts w:ascii="Palatino Linotype" w:hAnsi="Palatino Linotype" w:cs="Arial"/>
          <w:i/>
          <w:sz w:val="22"/>
          <w:szCs w:val="22"/>
          <w:lang w:val="es-ES"/>
        </w:rPr>
        <w:t>respuesta</w:t>
      </w:r>
      <w:r w:rsidRPr="00F93884">
        <w:rPr>
          <w:rFonts w:ascii="Palatino Linotype" w:hAnsi="Palatino Linotype"/>
          <w:i/>
          <w:sz w:val="22"/>
          <w:szCs w:val="22"/>
          <w:lang w:val="es-ES"/>
        </w:rPr>
        <w:t xml:space="preserve"> de la solicitud de acceso; </w:t>
      </w:r>
    </w:p>
    <w:p w14:paraId="09E6121E" w14:textId="77777777" w:rsidR="004D1BCF" w:rsidRPr="00F93884" w:rsidRDefault="004D1BCF" w:rsidP="00F93884">
      <w:pPr>
        <w:tabs>
          <w:tab w:val="left" w:pos="851"/>
        </w:tabs>
        <w:ind w:left="851" w:right="901"/>
        <w:jc w:val="both"/>
        <w:rPr>
          <w:rFonts w:ascii="Palatino Linotype" w:hAnsi="Palatino Linotype"/>
          <w:b/>
          <w:i/>
          <w:sz w:val="22"/>
          <w:szCs w:val="22"/>
          <w:lang w:val="es-ES"/>
        </w:rPr>
      </w:pPr>
      <w:r w:rsidRPr="00F93884">
        <w:rPr>
          <w:rFonts w:ascii="Palatino Linotype" w:hAnsi="Palatino Linotype"/>
          <w:b/>
          <w:i/>
          <w:sz w:val="22"/>
          <w:szCs w:val="22"/>
          <w:lang w:val="es-ES"/>
        </w:rPr>
        <w:t xml:space="preserve">IV. </w:t>
      </w:r>
      <w:r w:rsidRPr="00F93884">
        <w:rPr>
          <w:rFonts w:ascii="Palatino Linotype" w:hAnsi="Palatino Linotype"/>
          <w:i/>
          <w:sz w:val="22"/>
          <w:szCs w:val="22"/>
          <w:lang w:val="es-ES"/>
        </w:rPr>
        <w:t xml:space="preserve">La fecha en que fue </w:t>
      </w:r>
      <w:r w:rsidRPr="00F93884">
        <w:rPr>
          <w:rFonts w:ascii="Palatino Linotype" w:hAnsi="Palatino Linotype" w:cs="Arial"/>
          <w:i/>
          <w:sz w:val="22"/>
          <w:szCs w:val="22"/>
          <w:lang w:val="es-ES"/>
        </w:rPr>
        <w:t>notificada</w:t>
      </w:r>
      <w:r w:rsidRPr="00F93884">
        <w:rPr>
          <w:rFonts w:ascii="Palatino Linotype" w:hAnsi="Palatino Linotype"/>
          <w:i/>
          <w:sz w:val="22"/>
          <w:szCs w:val="22"/>
          <w:lang w:val="es-ES"/>
        </w:rPr>
        <w:t xml:space="preserve"> la respuesta al solicitante o tuvo conocimiento del acto reclamado, o de presentación de la solicitud, en caso de falta de respuesta;</w:t>
      </w:r>
      <w:r w:rsidRPr="00F93884">
        <w:rPr>
          <w:rFonts w:ascii="Palatino Linotype" w:hAnsi="Palatino Linotype"/>
          <w:b/>
          <w:i/>
          <w:sz w:val="22"/>
          <w:szCs w:val="22"/>
          <w:lang w:val="es-ES"/>
        </w:rPr>
        <w:t xml:space="preserve"> </w:t>
      </w:r>
    </w:p>
    <w:p w14:paraId="5A51B57B" w14:textId="77777777" w:rsidR="004D1BCF" w:rsidRPr="00F93884" w:rsidRDefault="004D1BCF" w:rsidP="00F93884">
      <w:pPr>
        <w:tabs>
          <w:tab w:val="left" w:pos="851"/>
        </w:tabs>
        <w:ind w:left="851" w:right="901"/>
        <w:jc w:val="both"/>
        <w:rPr>
          <w:rFonts w:ascii="Palatino Linotype" w:hAnsi="Palatino Linotype"/>
          <w:b/>
          <w:i/>
          <w:sz w:val="22"/>
          <w:szCs w:val="22"/>
          <w:lang w:val="es-ES"/>
        </w:rPr>
      </w:pPr>
      <w:r w:rsidRPr="00F93884">
        <w:rPr>
          <w:rFonts w:ascii="Palatino Linotype" w:hAnsi="Palatino Linotype"/>
          <w:b/>
          <w:i/>
          <w:sz w:val="22"/>
          <w:szCs w:val="22"/>
          <w:lang w:val="es-ES"/>
        </w:rPr>
        <w:t xml:space="preserve">V. </w:t>
      </w:r>
      <w:r w:rsidRPr="00F93884">
        <w:rPr>
          <w:rFonts w:ascii="Palatino Linotype" w:hAnsi="Palatino Linotype"/>
          <w:i/>
          <w:sz w:val="22"/>
          <w:szCs w:val="22"/>
          <w:lang w:val="es-ES"/>
        </w:rPr>
        <w:t xml:space="preserve">El acto que se </w:t>
      </w:r>
      <w:r w:rsidRPr="00F93884">
        <w:rPr>
          <w:rFonts w:ascii="Palatino Linotype" w:hAnsi="Palatino Linotype" w:cs="Arial"/>
          <w:i/>
          <w:sz w:val="22"/>
          <w:szCs w:val="22"/>
          <w:lang w:val="es-ES"/>
        </w:rPr>
        <w:t>recurre</w:t>
      </w:r>
      <w:r w:rsidRPr="00F93884">
        <w:rPr>
          <w:rFonts w:ascii="Palatino Linotype" w:hAnsi="Palatino Linotype"/>
          <w:i/>
          <w:sz w:val="22"/>
          <w:szCs w:val="22"/>
          <w:lang w:val="es-ES"/>
        </w:rPr>
        <w:t>;</w:t>
      </w:r>
      <w:r w:rsidRPr="00F93884">
        <w:rPr>
          <w:rFonts w:ascii="Palatino Linotype" w:hAnsi="Palatino Linotype"/>
          <w:b/>
          <w:i/>
          <w:sz w:val="22"/>
          <w:szCs w:val="22"/>
          <w:lang w:val="es-ES"/>
        </w:rPr>
        <w:t xml:space="preserve"> </w:t>
      </w:r>
    </w:p>
    <w:p w14:paraId="0BAC0C73" w14:textId="77777777" w:rsidR="004D1BCF" w:rsidRPr="00F93884" w:rsidRDefault="004D1BCF" w:rsidP="00F93884">
      <w:pPr>
        <w:tabs>
          <w:tab w:val="left" w:pos="851"/>
        </w:tabs>
        <w:ind w:left="851" w:right="901"/>
        <w:jc w:val="both"/>
        <w:rPr>
          <w:rFonts w:ascii="Palatino Linotype" w:hAnsi="Palatino Linotype"/>
          <w:b/>
          <w:i/>
          <w:sz w:val="22"/>
          <w:szCs w:val="22"/>
          <w:lang w:val="es-ES"/>
        </w:rPr>
      </w:pPr>
      <w:r w:rsidRPr="00F93884">
        <w:rPr>
          <w:rFonts w:ascii="Palatino Linotype" w:hAnsi="Palatino Linotype"/>
          <w:b/>
          <w:i/>
          <w:sz w:val="22"/>
          <w:szCs w:val="22"/>
          <w:lang w:val="es-ES"/>
        </w:rPr>
        <w:t xml:space="preserve">VI. </w:t>
      </w:r>
      <w:r w:rsidRPr="00F93884">
        <w:rPr>
          <w:rFonts w:ascii="Palatino Linotype" w:hAnsi="Palatino Linotype"/>
          <w:i/>
          <w:sz w:val="22"/>
          <w:szCs w:val="22"/>
          <w:lang w:val="es-ES"/>
        </w:rPr>
        <w:t xml:space="preserve">Las razones o </w:t>
      </w:r>
      <w:r w:rsidRPr="00F93884">
        <w:rPr>
          <w:rFonts w:ascii="Palatino Linotype" w:hAnsi="Palatino Linotype" w:cs="Arial"/>
          <w:i/>
          <w:sz w:val="22"/>
          <w:szCs w:val="22"/>
          <w:lang w:val="es-ES"/>
        </w:rPr>
        <w:t>motivos</w:t>
      </w:r>
      <w:r w:rsidRPr="00F93884">
        <w:rPr>
          <w:rFonts w:ascii="Palatino Linotype" w:hAnsi="Palatino Linotype"/>
          <w:i/>
          <w:sz w:val="22"/>
          <w:szCs w:val="22"/>
          <w:lang w:val="es-ES"/>
        </w:rPr>
        <w:t xml:space="preserve"> de inconformidad;</w:t>
      </w:r>
      <w:r w:rsidRPr="00F93884">
        <w:rPr>
          <w:rFonts w:ascii="Palatino Linotype" w:hAnsi="Palatino Linotype"/>
          <w:b/>
          <w:i/>
          <w:sz w:val="22"/>
          <w:szCs w:val="22"/>
          <w:lang w:val="es-ES"/>
        </w:rPr>
        <w:t xml:space="preserve"> </w:t>
      </w:r>
    </w:p>
    <w:p w14:paraId="6266464E" w14:textId="77777777" w:rsidR="004D1BCF" w:rsidRPr="00F93884" w:rsidRDefault="004D1BCF" w:rsidP="00F93884">
      <w:pPr>
        <w:tabs>
          <w:tab w:val="left" w:pos="851"/>
        </w:tabs>
        <w:ind w:left="851" w:right="901"/>
        <w:jc w:val="both"/>
        <w:rPr>
          <w:rFonts w:ascii="Palatino Linotype" w:hAnsi="Palatino Linotype"/>
          <w:b/>
          <w:i/>
          <w:sz w:val="22"/>
          <w:szCs w:val="22"/>
          <w:lang w:val="es-ES"/>
        </w:rPr>
      </w:pPr>
      <w:r w:rsidRPr="00F93884">
        <w:rPr>
          <w:rFonts w:ascii="Palatino Linotype" w:hAnsi="Palatino Linotype"/>
          <w:b/>
          <w:i/>
          <w:sz w:val="22"/>
          <w:szCs w:val="22"/>
          <w:lang w:val="es-ES"/>
        </w:rPr>
        <w:t xml:space="preserve">VII. </w:t>
      </w:r>
      <w:r w:rsidRPr="00F93884">
        <w:rPr>
          <w:rFonts w:ascii="Palatino Linotype" w:hAnsi="Palatino Linotype"/>
          <w:i/>
          <w:sz w:val="22"/>
          <w:szCs w:val="22"/>
          <w:lang w:val="es-ES"/>
        </w:rPr>
        <w:t>La copia de la respuesta que se impugna y, en su caso, de la notificación correspondiente, en el caso de respuesta de la solicitud; y</w:t>
      </w:r>
      <w:r w:rsidRPr="00F93884">
        <w:rPr>
          <w:rFonts w:ascii="Palatino Linotype" w:hAnsi="Palatino Linotype"/>
          <w:b/>
          <w:i/>
          <w:sz w:val="22"/>
          <w:szCs w:val="22"/>
          <w:lang w:val="es-ES"/>
        </w:rPr>
        <w:t xml:space="preserve"> </w:t>
      </w:r>
    </w:p>
    <w:p w14:paraId="08A416D3" w14:textId="77777777" w:rsidR="004D1BCF" w:rsidRPr="00F93884" w:rsidRDefault="004D1BCF" w:rsidP="00F93884">
      <w:pPr>
        <w:tabs>
          <w:tab w:val="left" w:pos="851"/>
        </w:tabs>
        <w:ind w:left="851" w:right="901"/>
        <w:jc w:val="both"/>
        <w:rPr>
          <w:rFonts w:ascii="Palatino Linotype" w:hAnsi="Palatino Linotype"/>
          <w:i/>
          <w:sz w:val="22"/>
          <w:szCs w:val="22"/>
          <w:lang w:val="es-ES"/>
        </w:rPr>
      </w:pPr>
      <w:r w:rsidRPr="00F93884">
        <w:rPr>
          <w:rFonts w:ascii="Palatino Linotype" w:hAnsi="Palatino Linotype"/>
          <w:b/>
          <w:i/>
          <w:sz w:val="22"/>
          <w:szCs w:val="22"/>
          <w:lang w:val="es-ES"/>
        </w:rPr>
        <w:t xml:space="preserve">VIII. </w:t>
      </w:r>
      <w:r w:rsidRPr="00F93884">
        <w:rPr>
          <w:rFonts w:ascii="Palatino Linotype" w:hAnsi="Palatino Linotype"/>
          <w:i/>
          <w:sz w:val="22"/>
          <w:szCs w:val="22"/>
          <w:lang w:val="es-ES"/>
        </w:rPr>
        <w:t>Firma del recurrente, en su caso, cuando se presente por escrito, requisito sin el cual se dará trámite al recurso.</w:t>
      </w:r>
    </w:p>
    <w:p w14:paraId="1A0C5321" w14:textId="77777777" w:rsidR="004D1BCF" w:rsidRPr="00F93884" w:rsidRDefault="004D1BCF" w:rsidP="00F93884">
      <w:pPr>
        <w:tabs>
          <w:tab w:val="left" w:pos="851"/>
        </w:tabs>
        <w:ind w:left="851" w:right="901"/>
        <w:jc w:val="both"/>
        <w:rPr>
          <w:rFonts w:ascii="Palatino Linotype" w:hAnsi="Palatino Linotype"/>
          <w:i/>
          <w:sz w:val="22"/>
          <w:szCs w:val="22"/>
          <w:lang w:val="es-ES"/>
        </w:rPr>
      </w:pPr>
      <w:r w:rsidRPr="00F93884">
        <w:rPr>
          <w:rFonts w:ascii="Palatino Linotype" w:hAnsi="Palatino Linotype"/>
          <w:i/>
          <w:sz w:val="22"/>
          <w:szCs w:val="22"/>
          <w:lang w:val="es-ES"/>
        </w:rPr>
        <w:t xml:space="preserve">Adicionalmente, se podrán anexar las pruebas y demás elementos que considere procedentes someter a juicio del Instituto. </w:t>
      </w:r>
    </w:p>
    <w:p w14:paraId="65DDCE7C" w14:textId="77777777" w:rsidR="004D1BCF" w:rsidRPr="00F93884" w:rsidRDefault="004D1BCF" w:rsidP="00F93884">
      <w:pPr>
        <w:tabs>
          <w:tab w:val="left" w:pos="851"/>
        </w:tabs>
        <w:ind w:left="851" w:right="901"/>
        <w:jc w:val="both"/>
        <w:rPr>
          <w:rFonts w:ascii="Palatino Linotype" w:hAnsi="Palatino Linotype"/>
          <w:i/>
          <w:sz w:val="22"/>
          <w:szCs w:val="22"/>
          <w:lang w:val="es-ES"/>
        </w:rPr>
      </w:pPr>
      <w:r w:rsidRPr="00F93884">
        <w:rPr>
          <w:rFonts w:ascii="Palatino Linotype" w:hAnsi="Palatino Linotype"/>
          <w:i/>
          <w:sz w:val="22"/>
          <w:szCs w:val="22"/>
          <w:lang w:val="es-ES"/>
        </w:rPr>
        <w:t xml:space="preserve">En ningún caso será necesario que el particular ratifique el recurso de revisión interpuesto. </w:t>
      </w:r>
    </w:p>
    <w:p w14:paraId="09475F6A" w14:textId="77777777" w:rsidR="004D1BCF" w:rsidRPr="00F93884" w:rsidRDefault="004D1BCF" w:rsidP="00F93884">
      <w:pPr>
        <w:tabs>
          <w:tab w:val="left" w:pos="851"/>
        </w:tabs>
        <w:ind w:left="851" w:right="901"/>
        <w:jc w:val="both"/>
        <w:rPr>
          <w:rFonts w:ascii="Palatino Linotype" w:hAnsi="Palatino Linotype"/>
          <w:i/>
          <w:sz w:val="22"/>
          <w:szCs w:val="22"/>
          <w:lang w:val="es-ES"/>
        </w:rPr>
      </w:pPr>
      <w:r w:rsidRPr="00F93884">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F93884">
        <w:rPr>
          <w:rFonts w:ascii="Palatino Linotype" w:hAnsi="Palatino Linotype"/>
          <w:i/>
          <w:sz w:val="22"/>
          <w:szCs w:val="22"/>
          <w:lang w:val="es-ES"/>
        </w:rPr>
        <w:t>, IV, VII y VIII.”</w:t>
      </w:r>
    </w:p>
    <w:p w14:paraId="12241C5C" w14:textId="77777777" w:rsidR="004D1BCF" w:rsidRPr="00F93884" w:rsidRDefault="004D1BCF" w:rsidP="00F93884">
      <w:pPr>
        <w:tabs>
          <w:tab w:val="left" w:pos="851"/>
        </w:tabs>
        <w:ind w:left="851" w:right="901"/>
        <w:jc w:val="both"/>
        <w:rPr>
          <w:rFonts w:ascii="Palatino Linotype" w:hAnsi="Palatino Linotype"/>
          <w:lang w:val="es-ES"/>
        </w:rPr>
      </w:pPr>
      <w:r w:rsidRPr="00F93884">
        <w:rPr>
          <w:rFonts w:ascii="Palatino Linotype" w:hAnsi="Palatino Linotype"/>
          <w:b/>
          <w:i/>
          <w:sz w:val="22"/>
          <w:szCs w:val="22"/>
          <w:lang w:val="es-ES"/>
        </w:rPr>
        <w:t>(Énfasis añadido)</w:t>
      </w:r>
    </w:p>
    <w:p w14:paraId="0E60A767" w14:textId="77777777" w:rsidR="004D1BCF" w:rsidRPr="00F93884" w:rsidRDefault="004D1BCF" w:rsidP="00F93884">
      <w:pPr>
        <w:spacing w:line="360" w:lineRule="auto"/>
        <w:jc w:val="both"/>
        <w:rPr>
          <w:rFonts w:ascii="Palatino Linotype" w:eastAsia="Palatino Linotype" w:hAnsi="Palatino Linotype" w:cs="Palatino Linotype"/>
          <w:b/>
          <w:sz w:val="28"/>
          <w:szCs w:val="28"/>
        </w:rPr>
      </w:pPr>
    </w:p>
    <w:p w14:paraId="2D02D3D1" w14:textId="6D01DD2D" w:rsidR="00E3346D" w:rsidRPr="00F93884" w:rsidRDefault="00F93884" w:rsidP="00F9388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SEXTO</w:t>
      </w:r>
      <w:r w:rsidR="001929CF" w:rsidRPr="00F93884">
        <w:rPr>
          <w:rFonts w:ascii="Palatino Linotype" w:eastAsia="Palatino Linotype" w:hAnsi="Palatino Linotype" w:cs="Palatino Linotype"/>
          <w:b/>
        </w:rPr>
        <w:t xml:space="preserve">. Estudio y resolución del asunto. </w:t>
      </w:r>
    </w:p>
    <w:p w14:paraId="6084B1A5" w14:textId="77777777" w:rsidR="00E3346D" w:rsidRPr="00F93884" w:rsidRDefault="00E3346D" w:rsidP="00F93884">
      <w:pPr>
        <w:spacing w:line="360" w:lineRule="auto"/>
        <w:jc w:val="both"/>
        <w:rPr>
          <w:rFonts w:ascii="Palatino Linotype" w:hAnsi="Palatino Linotype" w:cs="Arial"/>
          <w:lang w:val="es-ES"/>
        </w:rPr>
      </w:pPr>
      <w:r w:rsidRPr="00F93884">
        <w:rPr>
          <w:rFonts w:ascii="Palatino Linotype" w:hAnsi="Palatino Linotype" w:cs="Arial"/>
        </w:rPr>
        <w:t xml:space="preserve">Una vez determinada la vía sobre la que versará el presente recurso, y previa revisión del expediente electrónico formado en </w:t>
      </w:r>
      <w:r w:rsidRPr="00F93884">
        <w:rPr>
          <w:rFonts w:ascii="Palatino Linotype" w:hAnsi="Palatino Linotype" w:cs="Arial"/>
          <w:b/>
        </w:rPr>
        <w:t>EL SAIMEX</w:t>
      </w:r>
      <w:r w:rsidRPr="00F93884">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w:t>
      </w:r>
      <w:r w:rsidRPr="00F93884">
        <w:rPr>
          <w:rFonts w:ascii="Palatino Linotype" w:hAnsi="Palatino Linotype" w:cs="Arial"/>
        </w:rPr>
        <w:lastRenderedPageBreak/>
        <w:t xml:space="preserve">publicidad consagrado en la </w:t>
      </w:r>
      <w:r w:rsidRPr="00F93884">
        <w:rPr>
          <w:rFonts w:ascii="Palatino Linotype" w:hAnsi="Palatino Linotype"/>
          <w:lang w:val="es-ES"/>
        </w:rPr>
        <w:t>Constitución Política de los Estados Unidos Mexicanos, en la Constitución Política del Estado Libre y Soberano de México</w:t>
      </w:r>
      <w:r w:rsidRPr="00F93884">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F93884">
        <w:rPr>
          <w:rFonts w:ascii="Palatino Linotype" w:hAnsi="Palatino Linotype"/>
          <w:lang w:val="es-ES"/>
        </w:rPr>
        <w:t>Constitución Política de los Estados Unidos Mexicanos</w:t>
      </w:r>
      <w:r w:rsidRPr="00F93884">
        <w:rPr>
          <w:rFonts w:ascii="Palatino Linotype" w:hAnsi="Palatino Linotype" w:cs="Arial"/>
        </w:rPr>
        <w:t xml:space="preserve"> y los numerales 8 y 9 de la </w:t>
      </w:r>
      <w:r w:rsidRPr="00F93884">
        <w:rPr>
          <w:rFonts w:ascii="Palatino Linotype" w:hAnsi="Palatino Linotype" w:cs="Arial"/>
          <w:lang w:val="es-ES"/>
        </w:rPr>
        <w:t>Ley de Transparencia y Acceso a la Información Pública del Estado de México y Municipios.</w:t>
      </w:r>
    </w:p>
    <w:p w14:paraId="5D9FF409" w14:textId="77777777" w:rsidR="00E3346D" w:rsidRPr="00F93884" w:rsidRDefault="00E3346D" w:rsidP="00F93884">
      <w:pPr>
        <w:spacing w:line="360" w:lineRule="auto"/>
        <w:jc w:val="both"/>
        <w:rPr>
          <w:rFonts w:ascii="Palatino Linotype" w:hAnsi="Palatino Linotype" w:cs="Arial"/>
          <w:lang w:val="es-ES"/>
        </w:rPr>
      </w:pPr>
    </w:p>
    <w:p w14:paraId="5C61E917" w14:textId="77777777" w:rsidR="00E3346D" w:rsidRPr="00F93884" w:rsidRDefault="00E3346D" w:rsidP="00F93884">
      <w:pPr>
        <w:spacing w:line="360" w:lineRule="auto"/>
        <w:jc w:val="both"/>
        <w:rPr>
          <w:rFonts w:ascii="Palatino Linotype" w:hAnsi="Palatino Linotype"/>
        </w:rPr>
      </w:pPr>
      <w:r w:rsidRPr="00F93884">
        <w:rPr>
          <w:rFonts w:ascii="Palatino Linotype" w:eastAsia="Arial Unicode MS" w:hAnsi="Palatino Linotype" w:cs="Arial"/>
        </w:rPr>
        <w:t>Es</w:t>
      </w:r>
      <w:r w:rsidRPr="00F93884">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3337FFCE" w14:textId="77777777" w:rsidR="00E3346D" w:rsidRPr="00F93884" w:rsidRDefault="00E3346D" w:rsidP="00F93884">
      <w:pPr>
        <w:spacing w:line="360" w:lineRule="auto"/>
        <w:jc w:val="both"/>
        <w:rPr>
          <w:rFonts w:ascii="Palatino Linotype" w:hAnsi="Palatino Linotype"/>
        </w:rPr>
      </w:pPr>
    </w:p>
    <w:p w14:paraId="065D639F" w14:textId="77777777" w:rsidR="00E3346D" w:rsidRPr="00F93884" w:rsidRDefault="00E3346D" w:rsidP="00F93884">
      <w:pPr>
        <w:ind w:left="851" w:right="901"/>
        <w:jc w:val="both"/>
        <w:rPr>
          <w:rFonts w:ascii="Palatino Linotype" w:hAnsi="Palatino Linotype" w:cs="Arial"/>
          <w:i/>
          <w:sz w:val="22"/>
        </w:rPr>
      </w:pPr>
      <w:r w:rsidRPr="00F93884">
        <w:rPr>
          <w:rFonts w:ascii="Palatino Linotype" w:hAnsi="Palatino Linotype" w:cs="Arial"/>
          <w:i/>
          <w:sz w:val="22"/>
        </w:rPr>
        <w:t xml:space="preserve"> “</w:t>
      </w:r>
      <w:r w:rsidRPr="00F93884">
        <w:rPr>
          <w:rFonts w:ascii="Palatino Linotype" w:hAnsi="Palatino Linotype" w:cs="Arial"/>
          <w:b/>
          <w:i/>
          <w:sz w:val="22"/>
        </w:rPr>
        <w:t>Artículo 6o…</w:t>
      </w:r>
    </w:p>
    <w:p w14:paraId="47C37FD0" w14:textId="77777777" w:rsidR="00E3346D" w:rsidRPr="00F93884" w:rsidRDefault="00E3346D" w:rsidP="00F93884">
      <w:pPr>
        <w:ind w:left="851" w:right="901"/>
        <w:jc w:val="both"/>
        <w:rPr>
          <w:rFonts w:ascii="Palatino Linotype" w:hAnsi="Palatino Linotype" w:cs="Arial"/>
          <w:i/>
          <w:sz w:val="22"/>
        </w:rPr>
      </w:pPr>
      <w:r w:rsidRPr="00F93884">
        <w:rPr>
          <w:rFonts w:ascii="Palatino Linotype" w:hAnsi="Palatino Linotype" w:cs="Arial"/>
          <w:b/>
          <w:bCs/>
          <w:i/>
          <w:sz w:val="22"/>
        </w:rPr>
        <w:t>A.</w:t>
      </w:r>
      <w:r w:rsidRPr="00F93884">
        <w:rPr>
          <w:rFonts w:ascii="Palatino Linotype" w:hAnsi="Palatino Linotype" w:cs="Arial"/>
          <w:i/>
          <w:sz w:val="22"/>
        </w:rPr>
        <w:t xml:space="preserve"> Para el ejercicio del </w:t>
      </w:r>
      <w:r w:rsidRPr="00F93884">
        <w:rPr>
          <w:rFonts w:ascii="Palatino Linotype" w:hAnsi="Palatino Linotype" w:cs="Arial"/>
          <w:bCs/>
          <w:i/>
          <w:sz w:val="22"/>
        </w:rPr>
        <w:t>derecho</w:t>
      </w:r>
      <w:r w:rsidRPr="00F93884">
        <w:rPr>
          <w:rFonts w:ascii="Palatino Linotype" w:hAnsi="Palatino Linotype" w:cs="Arial"/>
          <w:i/>
          <w:sz w:val="22"/>
        </w:rPr>
        <w:t xml:space="preserve"> de acceso a la información, la Federación y las entidades federativas, en el ámbito de sus respectivas competencias, se regirán por los siguientes principios y bases:</w:t>
      </w:r>
    </w:p>
    <w:p w14:paraId="320B191E" w14:textId="77777777" w:rsidR="00E3346D" w:rsidRPr="00F93884" w:rsidRDefault="00E3346D" w:rsidP="00F93884">
      <w:pPr>
        <w:ind w:left="851" w:right="901"/>
        <w:jc w:val="both"/>
        <w:rPr>
          <w:rFonts w:ascii="Palatino Linotype" w:hAnsi="Palatino Linotype" w:cs="Arial"/>
          <w:i/>
          <w:sz w:val="22"/>
        </w:rPr>
      </w:pPr>
      <w:r w:rsidRPr="00F93884">
        <w:rPr>
          <w:rFonts w:ascii="Palatino Linotype" w:hAnsi="Palatino Linotype" w:cs="Arial"/>
          <w:b/>
          <w:bCs/>
          <w:i/>
          <w:sz w:val="22"/>
        </w:rPr>
        <w:t xml:space="preserve">I. </w:t>
      </w:r>
      <w:r w:rsidRPr="00F93884">
        <w:rPr>
          <w:rFonts w:ascii="Palatino Linotype" w:hAnsi="Palatino Linotype" w:cs="Arial"/>
          <w:i/>
          <w:sz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ECF6378" w14:textId="77777777" w:rsidR="00E3346D" w:rsidRPr="00F93884" w:rsidRDefault="00E3346D" w:rsidP="00F93884">
      <w:pPr>
        <w:ind w:left="851" w:right="901"/>
        <w:jc w:val="both"/>
        <w:rPr>
          <w:rFonts w:ascii="Palatino Linotype" w:hAnsi="Palatino Linotype" w:cs="Arial"/>
          <w:i/>
          <w:sz w:val="22"/>
        </w:rPr>
      </w:pPr>
      <w:r w:rsidRPr="00F93884">
        <w:rPr>
          <w:rFonts w:ascii="Palatino Linotype" w:hAnsi="Palatino Linotype" w:cs="Arial"/>
          <w:b/>
          <w:bCs/>
          <w:i/>
          <w:sz w:val="22"/>
        </w:rPr>
        <w:lastRenderedPageBreak/>
        <w:t xml:space="preserve">II. </w:t>
      </w:r>
      <w:r w:rsidRPr="00F93884">
        <w:rPr>
          <w:rFonts w:ascii="Palatino Linotype" w:hAnsi="Palatino Linotype" w:cs="Arial"/>
          <w:i/>
          <w:sz w:val="22"/>
        </w:rPr>
        <w:t xml:space="preserve">La información que se refiere a la vida privada y los datos personales será protegida en los términos y con las excepciones que fijen las leyes. </w:t>
      </w:r>
    </w:p>
    <w:p w14:paraId="2527EF0D" w14:textId="77777777" w:rsidR="00E3346D" w:rsidRPr="00F93884" w:rsidRDefault="00E3346D" w:rsidP="00F93884">
      <w:pPr>
        <w:ind w:left="851" w:right="901"/>
        <w:jc w:val="both"/>
        <w:rPr>
          <w:rFonts w:ascii="Palatino Linotype" w:hAnsi="Palatino Linotype" w:cs="Arial"/>
          <w:i/>
          <w:sz w:val="22"/>
        </w:rPr>
      </w:pPr>
      <w:r w:rsidRPr="00F93884">
        <w:rPr>
          <w:rFonts w:ascii="Palatino Linotype" w:hAnsi="Palatino Linotype" w:cs="Arial"/>
          <w:b/>
          <w:bCs/>
          <w:i/>
          <w:sz w:val="22"/>
        </w:rPr>
        <w:t xml:space="preserve">III. </w:t>
      </w:r>
      <w:r w:rsidRPr="00F93884">
        <w:rPr>
          <w:rFonts w:ascii="Palatino Linotype" w:hAnsi="Palatino Linotype" w:cs="Arial"/>
          <w:i/>
          <w:sz w:val="22"/>
        </w:rPr>
        <w:t>Toda persona, sin necesidad de acreditar interés alguno o justificar su utilización, tendrá acceso gratuito a la Información Pública, a sus datos personales o a la rectificación de éstos.</w:t>
      </w:r>
    </w:p>
    <w:p w14:paraId="080A9454" w14:textId="77777777" w:rsidR="00E3346D" w:rsidRPr="00F93884" w:rsidRDefault="00E3346D" w:rsidP="00F93884">
      <w:pPr>
        <w:ind w:left="851" w:right="901"/>
        <w:jc w:val="both"/>
        <w:rPr>
          <w:rFonts w:ascii="Palatino Linotype" w:hAnsi="Palatino Linotype" w:cs="Arial"/>
          <w:i/>
          <w:sz w:val="22"/>
        </w:rPr>
      </w:pPr>
      <w:r w:rsidRPr="00F93884">
        <w:rPr>
          <w:rFonts w:ascii="Palatino Linotype" w:hAnsi="Palatino Linotype" w:cs="Arial"/>
          <w:b/>
          <w:bCs/>
          <w:i/>
          <w:sz w:val="22"/>
        </w:rPr>
        <w:t xml:space="preserve">IV. </w:t>
      </w:r>
      <w:r w:rsidRPr="00F93884">
        <w:rPr>
          <w:rFonts w:ascii="Palatino Linotype" w:hAnsi="Palatino Linotype" w:cs="Arial"/>
          <w:i/>
          <w:sz w:val="22"/>
        </w:rPr>
        <w:t xml:space="preserve">Se establecerán mecanismos de acceso a la información y procedimientos de revisión expeditos que se sustanciarán ante los organismos autónomos especializados e imparciales que establece esta Constitución. </w:t>
      </w:r>
    </w:p>
    <w:p w14:paraId="18E8FC63" w14:textId="77777777" w:rsidR="00E3346D" w:rsidRPr="00F93884" w:rsidRDefault="00E3346D" w:rsidP="00F93884">
      <w:pPr>
        <w:ind w:left="851" w:right="901"/>
        <w:jc w:val="both"/>
        <w:rPr>
          <w:rFonts w:ascii="Palatino Linotype" w:hAnsi="Palatino Linotype" w:cs="Arial"/>
          <w:i/>
          <w:sz w:val="22"/>
        </w:rPr>
      </w:pPr>
      <w:r w:rsidRPr="00F93884">
        <w:rPr>
          <w:rFonts w:ascii="Palatino Linotype" w:hAnsi="Palatino Linotype" w:cs="Arial"/>
          <w:b/>
          <w:bCs/>
          <w:i/>
          <w:sz w:val="22"/>
        </w:rPr>
        <w:t xml:space="preserve">V. </w:t>
      </w:r>
      <w:r w:rsidRPr="00F93884">
        <w:rPr>
          <w:rFonts w:ascii="Palatino Linotype" w:hAnsi="Palatino Linotype" w:cs="Arial"/>
          <w:i/>
          <w:sz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D271956" w14:textId="77777777" w:rsidR="00E3346D" w:rsidRPr="00F93884" w:rsidRDefault="00E3346D" w:rsidP="00F93884">
      <w:pPr>
        <w:ind w:left="851" w:right="901"/>
        <w:jc w:val="both"/>
        <w:rPr>
          <w:rFonts w:ascii="Palatino Linotype" w:hAnsi="Palatino Linotype" w:cs="Arial"/>
          <w:i/>
          <w:sz w:val="22"/>
        </w:rPr>
      </w:pPr>
      <w:r w:rsidRPr="00F93884">
        <w:rPr>
          <w:rFonts w:ascii="Palatino Linotype" w:hAnsi="Palatino Linotype" w:cs="Arial"/>
          <w:b/>
          <w:bCs/>
          <w:i/>
          <w:sz w:val="22"/>
        </w:rPr>
        <w:t xml:space="preserve">VI. </w:t>
      </w:r>
      <w:r w:rsidRPr="00F93884">
        <w:rPr>
          <w:rFonts w:ascii="Palatino Linotype" w:hAnsi="Palatino Linotype" w:cs="Arial"/>
          <w:i/>
          <w:sz w:val="22"/>
        </w:rPr>
        <w:t xml:space="preserve">Las leyes determinarán la manera en que los sujetos obligados deberán hacer pública la información relativa a los recursos públicos que entreguen a personas físicas o morales. </w:t>
      </w:r>
    </w:p>
    <w:p w14:paraId="2003DB00" w14:textId="77777777" w:rsidR="00E3346D" w:rsidRPr="00F93884" w:rsidRDefault="00E3346D" w:rsidP="00F93884">
      <w:pPr>
        <w:ind w:left="851" w:right="901"/>
        <w:jc w:val="both"/>
        <w:rPr>
          <w:rFonts w:ascii="Palatino Linotype" w:hAnsi="Palatino Linotype" w:cs="Arial"/>
          <w:i/>
          <w:sz w:val="22"/>
        </w:rPr>
      </w:pPr>
      <w:r w:rsidRPr="00F93884">
        <w:rPr>
          <w:rFonts w:ascii="Palatino Linotype" w:hAnsi="Palatino Linotype" w:cs="Arial"/>
          <w:b/>
          <w:bCs/>
          <w:i/>
          <w:sz w:val="22"/>
        </w:rPr>
        <w:t xml:space="preserve">VII. </w:t>
      </w:r>
      <w:r w:rsidRPr="00F93884">
        <w:rPr>
          <w:rFonts w:ascii="Palatino Linotype" w:hAnsi="Palatino Linotype" w:cs="Arial"/>
          <w:i/>
          <w:sz w:val="22"/>
        </w:rPr>
        <w:t xml:space="preserve">La inobservancia a las disposiciones en materia de acceso a la Información Pública será sancionada en los términos que dispongan las leyes.” </w:t>
      </w:r>
    </w:p>
    <w:p w14:paraId="4EF551E9" w14:textId="77777777" w:rsidR="00E3346D" w:rsidRPr="00F93884" w:rsidRDefault="00E3346D" w:rsidP="00F93884">
      <w:pPr>
        <w:ind w:left="851" w:right="901"/>
        <w:jc w:val="both"/>
        <w:rPr>
          <w:rFonts w:ascii="Palatino Linotype" w:hAnsi="Palatino Linotype"/>
          <w:i/>
          <w:sz w:val="22"/>
        </w:rPr>
      </w:pPr>
    </w:p>
    <w:p w14:paraId="3454395A" w14:textId="77777777" w:rsidR="00E3346D" w:rsidRPr="00F93884" w:rsidRDefault="00E3346D" w:rsidP="00F93884">
      <w:pPr>
        <w:spacing w:before="100" w:beforeAutospacing="1" w:line="360" w:lineRule="auto"/>
        <w:jc w:val="both"/>
        <w:rPr>
          <w:rFonts w:ascii="Palatino Linotype" w:hAnsi="Palatino Linotype"/>
        </w:rPr>
      </w:pPr>
      <w:r w:rsidRPr="00F93884">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1E290624" w14:textId="77777777" w:rsidR="00E3346D" w:rsidRPr="00F93884" w:rsidRDefault="00E3346D" w:rsidP="00F93884">
      <w:pPr>
        <w:ind w:left="851" w:right="901"/>
        <w:jc w:val="both"/>
        <w:rPr>
          <w:rFonts w:ascii="Palatino Linotype" w:hAnsi="Palatino Linotype" w:cs="Arial"/>
          <w:b/>
          <w:i/>
          <w:sz w:val="22"/>
          <w:szCs w:val="22"/>
        </w:rPr>
      </w:pPr>
      <w:r w:rsidRPr="00F93884">
        <w:rPr>
          <w:rFonts w:ascii="Palatino Linotype" w:hAnsi="Palatino Linotype" w:cs="Arial"/>
          <w:i/>
          <w:sz w:val="22"/>
          <w:szCs w:val="22"/>
        </w:rPr>
        <w:t>“</w:t>
      </w:r>
      <w:r w:rsidRPr="00F93884">
        <w:rPr>
          <w:rFonts w:ascii="Palatino Linotype" w:hAnsi="Palatino Linotype" w:cs="Arial"/>
          <w:b/>
          <w:i/>
          <w:sz w:val="22"/>
          <w:szCs w:val="22"/>
        </w:rPr>
        <w:t>Artículo 5…</w:t>
      </w:r>
    </w:p>
    <w:p w14:paraId="26DD61C1" w14:textId="77777777" w:rsidR="00E3346D" w:rsidRPr="00F93884" w:rsidRDefault="00E3346D" w:rsidP="00F93884">
      <w:pPr>
        <w:ind w:left="851" w:right="901"/>
        <w:jc w:val="both"/>
        <w:rPr>
          <w:rFonts w:ascii="Palatino Linotype" w:hAnsi="Palatino Linotype" w:cs="Arial"/>
          <w:i/>
          <w:sz w:val="22"/>
          <w:szCs w:val="22"/>
        </w:rPr>
      </w:pPr>
      <w:r w:rsidRPr="00F9388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5FBF851" w14:textId="77777777" w:rsidR="00E3346D" w:rsidRPr="00F93884" w:rsidRDefault="00E3346D" w:rsidP="00F93884">
      <w:pPr>
        <w:ind w:left="851" w:right="901"/>
        <w:jc w:val="both"/>
        <w:rPr>
          <w:rFonts w:ascii="Palatino Linotype" w:hAnsi="Palatino Linotype" w:cs="Arial"/>
          <w:i/>
          <w:sz w:val="22"/>
          <w:szCs w:val="22"/>
        </w:rPr>
      </w:pPr>
    </w:p>
    <w:p w14:paraId="7E71EEAC" w14:textId="77777777" w:rsidR="00E3346D" w:rsidRPr="00F93884" w:rsidRDefault="00E3346D" w:rsidP="00F93884">
      <w:pPr>
        <w:ind w:left="851" w:right="901"/>
        <w:jc w:val="both"/>
        <w:rPr>
          <w:rFonts w:ascii="Palatino Linotype" w:hAnsi="Palatino Linotype" w:cs="Arial"/>
          <w:i/>
          <w:sz w:val="22"/>
          <w:szCs w:val="22"/>
        </w:rPr>
      </w:pPr>
      <w:r w:rsidRPr="00F93884">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3DE45FA" w14:textId="77777777" w:rsidR="00E3346D" w:rsidRPr="00F93884" w:rsidRDefault="00E3346D" w:rsidP="00F93884">
      <w:pPr>
        <w:ind w:left="851" w:right="901"/>
        <w:jc w:val="both"/>
        <w:rPr>
          <w:rFonts w:ascii="Palatino Linotype" w:hAnsi="Palatino Linotype" w:cs="Arial"/>
          <w:i/>
          <w:sz w:val="22"/>
          <w:szCs w:val="22"/>
        </w:rPr>
      </w:pPr>
      <w:r w:rsidRPr="00F93884">
        <w:rPr>
          <w:rFonts w:ascii="Palatino Linotype" w:hAnsi="Palatino Linotype" w:cs="Arial"/>
          <w:i/>
          <w:sz w:val="22"/>
          <w:szCs w:val="22"/>
        </w:rPr>
        <w:t>Este derecho se regirá por los principios y bases siguientes:</w:t>
      </w:r>
    </w:p>
    <w:p w14:paraId="312F6DA6" w14:textId="77777777" w:rsidR="00E3346D" w:rsidRPr="00F93884" w:rsidRDefault="00E3346D" w:rsidP="00F93884">
      <w:pPr>
        <w:ind w:left="851" w:right="901"/>
        <w:jc w:val="both"/>
        <w:rPr>
          <w:rFonts w:ascii="Palatino Linotype" w:hAnsi="Palatino Linotype" w:cs="Arial"/>
          <w:i/>
          <w:sz w:val="22"/>
          <w:szCs w:val="22"/>
        </w:rPr>
      </w:pPr>
    </w:p>
    <w:p w14:paraId="038E4D74" w14:textId="77777777" w:rsidR="00E3346D" w:rsidRPr="00F93884" w:rsidRDefault="00E3346D" w:rsidP="00F93884">
      <w:pPr>
        <w:ind w:left="851" w:right="901"/>
        <w:jc w:val="both"/>
        <w:rPr>
          <w:rFonts w:ascii="Palatino Linotype" w:hAnsi="Palatino Linotype"/>
          <w:sz w:val="22"/>
          <w:szCs w:val="22"/>
        </w:rPr>
      </w:pPr>
      <w:r w:rsidRPr="00F93884">
        <w:rPr>
          <w:rFonts w:ascii="Palatino Linotype" w:hAnsi="Palatino Linotype" w:cs="Arial"/>
          <w:b/>
          <w:i/>
          <w:sz w:val="22"/>
          <w:szCs w:val="22"/>
          <w:u w:val="single"/>
        </w:rPr>
        <w:lastRenderedPageBreak/>
        <w:t>Toda la información en posesión de cualquier autoridad, entidad, órgano y organismos de los Poderes Ejecutivo, Legislativo y Judicial, órganos autónomos, partidos políticos, fideicomisos y fondos públicos estatales y municipales</w:t>
      </w:r>
      <w:r w:rsidRPr="00F9388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93884">
        <w:rPr>
          <w:rFonts w:ascii="Palatino Linotype" w:hAnsi="Palatino Linotype"/>
          <w:sz w:val="22"/>
          <w:szCs w:val="22"/>
        </w:rPr>
        <w:t xml:space="preserve"> </w:t>
      </w:r>
    </w:p>
    <w:p w14:paraId="053E0DF2" w14:textId="77777777" w:rsidR="00E3346D" w:rsidRPr="00F93884" w:rsidRDefault="00E3346D" w:rsidP="00F93884">
      <w:pPr>
        <w:pStyle w:val="Prrafodelista"/>
        <w:ind w:left="1571" w:right="901"/>
        <w:jc w:val="both"/>
        <w:rPr>
          <w:rFonts w:ascii="Palatino Linotype" w:hAnsi="Palatino Linotype"/>
          <w:sz w:val="22"/>
          <w:szCs w:val="22"/>
        </w:rPr>
      </w:pPr>
    </w:p>
    <w:p w14:paraId="38A9B63C" w14:textId="77777777" w:rsidR="00E3346D" w:rsidRPr="00F93884" w:rsidRDefault="00E3346D" w:rsidP="00F93884">
      <w:pPr>
        <w:spacing w:line="360" w:lineRule="auto"/>
        <w:ind w:right="49"/>
        <w:jc w:val="both"/>
        <w:rPr>
          <w:rFonts w:ascii="Palatino Linotype" w:hAnsi="Palatino Linotype" w:cs="Arial"/>
        </w:rPr>
      </w:pPr>
    </w:p>
    <w:p w14:paraId="61C0F3E9" w14:textId="77777777" w:rsidR="00E3346D" w:rsidRPr="00F93884" w:rsidRDefault="00E3346D" w:rsidP="00F93884">
      <w:pPr>
        <w:spacing w:line="360" w:lineRule="auto"/>
        <w:ind w:right="49"/>
        <w:jc w:val="both"/>
        <w:rPr>
          <w:rFonts w:ascii="Palatino Linotype" w:hAnsi="Palatino Linotype" w:cs="Arial"/>
        </w:rPr>
      </w:pPr>
      <w:r w:rsidRPr="00F93884">
        <w:rPr>
          <w:rFonts w:ascii="Palatino Linotype" w:hAnsi="Palatino Linotype" w:cs="Arial"/>
        </w:rPr>
        <w:t>Ahora bien, atendiendo a los preceptos legales a los cuales se hizo referencia, es preciso mencionar que, el Ayuntamiento de Zinacantepec, se encuentra dentro de los supuestos de obligatoriedad a transparentar y garantizar el Acceso a la Información Pública.</w:t>
      </w:r>
    </w:p>
    <w:p w14:paraId="425A22DD" w14:textId="77777777" w:rsidR="00E3346D" w:rsidRPr="00F93884" w:rsidRDefault="00E3346D" w:rsidP="00F93884">
      <w:pPr>
        <w:spacing w:line="360" w:lineRule="auto"/>
        <w:ind w:right="49"/>
        <w:jc w:val="both"/>
        <w:rPr>
          <w:rFonts w:ascii="Palatino Linotype" w:hAnsi="Palatino Linotype" w:cs="Arial"/>
        </w:rPr>
      </w:pPr>
    </w:p>
    <w:p w14:paraId="16F83D5F" w14:textId="77777777" w:rsidR="00E3346D" w:rsidRPr="00F93884" w:rsidRDefault="00E3346D" w:rsidP="00F93884">
      <w:pPr>
        <w:spacing w:line="360" w:lineRule="auto"/>
        <w:ind w:right="49"/>
        <w:jc w:val="both"/>
        <w:rPr>
          <w:rFonts w:ascii="Palatino Linotype" w:hAnsi="Palatino Linotype" w:cs="Arial"/>
        </w:rPr>
      </w:pPr>
      <w:r w:rsidRPr="00F93884">
        <w:rPr>
          <w:rFonts w:ascii="Palatino Linotype" w:hAnsi="Palatino Linotype" w:cs="Arial"/>
        </w:rPr>
        <w:t xml:space="preserve">Lo que se concatena a que las autoridades locales se encuentran constreñidas a la observancia de que toda la información que generen, administren, recopilen, procesen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w:t>
      </w:r>
      <w:r w:rsidRPr="00F93884">
        <w:rPr>
          <w:rFonts w:ascii="Palatino Linotype" w:hAnsi="Palatino Linotype" w:cs="Arial"/>
        </w:rPr>
        <w:lastRenderedPageBreak/>
        <w:t>garantía, es decir, deberán motivar la clasificación de la información que consideren susceptible de tal actuación, señalando las causas especiales que los llevaron a dicha actuación.</w:t>
      </w:r>
    </w:p>
    <w:p w14:paraId="471E1449" w14:textId="77777777" w:rsidR="00E3346D" w:rsidRPr="00F93884" w:rsidRDefault="00E3346D" w:rsidP="00F93884">
      <w:pPr>
        <w:spacing w:before="240" w:after="240" w:line="360" w:lineRule="auto"/>
        <w:ind w:right="51"/>
        <w:jc w:val="both"/>
        <w:rPr>
          <w:rFonts w:ascii="Palatino Linotype" w:eastAsia="Palatino Linotype" w:hAnsi="Palatino Linotype" w:cs="Palatino Linotype"/>
        </w:rPr>
      </w:pPr>
      <w:r w:rsidRPr="00F93884">
        <w:rPr>
          <w:rFonts w:ascii="Palatino Linotype" w:eastAsia="Palatino Linotype" w:hAnsi="Palatino Linotype" w:cs="Palatino Linotype"/>
        </w:rPr>
        <w:t>De lo anterior, conviene recordar de manera literal la solicitud del Recurrente que versa al tenor siguiente:</w:t>
      </w:r>
    </w:p>
    <w:p w14:paraId="67FD0E0F" w14:textId="77777777" w:rsidR="00A04039" w:rsidRPr="00F93884" w:rsidRDefault="00A04039" w:rsidP="00F93884">
      <w:pPr>
        <w:widowControl w:val="0"/>
        <w:spacing w:line="360" w:lineRule="auto"/>
        <w:jc w:val="both"/>
        <w:rPr>
          <w:rFonts w:ascii="Palatino Linotype" w:hAnsi="Palatino Linotype" w:cs="Arial"/>
          <w:b/>
          <w:bCs/>
        </w:rPr>
      </w:pPr>
      <w:r w:rsidRPr="00F93884">
        <w:rPr>
          <w:rFonts w:ascii="Palatino Linotype" w:hAnsi="Palatino Linotype" w:cs="Arial"/>
          <w:b/>
          <w:bCs/>
        </w:rPr>
        <w:t>01156/ZINACANT/IP/2022</w:t>
      </w:r>
    </w:p>
    <w:p w14:paraId="7211319C" w14:textId="77777777" w:rsidR="00A04039" w:rsidRPr="00F93884" w:rsidRDefault="00A04039" w:rsidP="00F93884">
      <w:pPr>
        <w:ind w:left="850" w:right="899"/>
        <w:jc w:val="both"/>
        <w:rPr>
          <w:rFonts w:ascii="Palatino Linotype" w:eastAsia="Palatino Linotype" w:hAnsi="Palatino Linotype" w:cs="Palatino Linotype"/>
          <w:i/>
          <w:sz w:val="22"/>
          <w:szCs w:val="22"/>
        </w:rPr>
      </w:pPr>
    </w:p>
    <w:p w14:paraId="18A9178C" w14:textId="77777777" w:rsidR="00A04039" w:rsidRPr="00F93884" w:rsidRDefault="00A04039" w:rsidP="00F93884">
      <w:pPr>
        <w:ind w:left="850" w:right="899"/>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“SOLICITO TODOS LOS RECIBOS DE NÓMINA DE LOS SERVIDORES PÚBLICOS DE LA ADMINISTRACIÓN PÚBLICA CENTRAL, DE LA SEGUNDA QUINCENA DE OCTUBRE 2022” (sic)</w:t>
      </w:r>
    </w:p>
    <w:p w14:paraId="29F922AA" w14:textId="77777777" w:rsidR="00A04039" w:rsidRPr="00F93884" w:rsidRDefault="00A04039" w:rsidP="00F93884">
      <w:pPr>
        <w:tabs>
          <w:tab w:val="left" w:pos="851"/>
        </w:tabs>
        <w:ind w:right="901"/>
        <w:jc w:val="both"/>
        <w:rPr>
          <w:rFonts w:ascii="Palatino Linotype" w:eastAsia="Palatino Linotype" w:hAnsi="Palatino Linotype" w:cs="Palatino Linotype"/>
          <w:sz w:val="22"/>
          <w:szCs w:val="22"/>
        </w:rPr>
      </w:pPr>
    </w:p>
    <w:p w14:paraId="55B38E33" w14:textId="77777777" w:rsidR="00A04039" w:rsidRPr="00F93884" w:rsidRDefault="00A04039" w:rsidP="00F93884">
      <w:pPr>
        <w:widowControl w:val="0"/>
        <w:spacing w:line="360" w:lineRule="auto"/>
        <w:jc w:val="both"/>
        <w:rPr>
          <w:rFonts w:ascii="Palatino Linotype" w:hAnsi="Palatino Linotype" w:cs="Arial"/>
          <w:b/>
          <w:bCs/>
        </w:rPr>
      </w:pPr>
      <w:r w:rsidRPr="00F93884">
        <w:rPr>
          <w:rFonts w:ascii="Palatino Linotype" w:hAnsi="Palatino Linotype" w:cs="Arial"/>
          <w:b/>
          <w:bCs/>
        </w:rPr>
        <w:t>01157/ZINACANT/IP/2022</w:t>
      </w:r>
    </w:p>
    <w:p w14:paraId="64632E71" w14:textId="77777777" w:rsidR="00A04039" w:rsidRPr="00F93884" w:rsidRDefault="00A04039" w:rsidP="00F93884">
      <w:pPr>
        <w:widowControl w:val="0"/>
        <w:spacing w:line="360" w:lineRule="auto"/>
        <w:jc w:val="both"/>
        <w:rPr>
          <w:rFonts w:ascii="Palatino Linotype" w:eastAsia="Palatino Linotype" w:hAnsi="Palatino Linotype" w:cs="Palatino Linotype"/>
          <w:b/>
        </w:rPr>
      </w:pPr>
    </w:p>
    <w:p w14:paraId="4BF97ED1" w14:textId="77777777" w:rsidR="00A04039" w:rsidRPr="00F93884" w:rsidRDefault="00A04039" w:rsidP="00F93884">
      <w:pPr>
        <w:ind w:left="850" w:right="899"/>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“SOLICITO TODOS LOS RECIBOS DE NÓMINA DE LA SINDICO MUNICIPAL DEL 1 DE ENERO A LA FECHA DE LA SOLICITUD” (sic)</w:t>
      </w:r>
    </w:p>
    <w:p w14:paraId="3D82E2A1" w14:textId="77777777" w:rsidR="00112DD0" w:rsidRPr="00F93884" w:rsidRDefault="00112DD0" w:rsidP="00F93884">
      <w:pPr>
        <w:ind w:right="899"/>
        <w:jc w:val="both"/>
        <w:rPr>
          <w:rFonts w:ascii="Palatino Linotype" w:eastAsia="Palatino Linotype" w:hAnsi="Palatino Linotype" w:cs="Palatino Linotype"/>
          <w:b/>
        </w:rPr>
      </w:pPr>
    </w:p>
    <w:p w14:paraId="613D17FF" w14:textId="77777777" w:rsidR="00112DD0" w:rsidRPr="00F93884" w:rsidRDefault="00112DD0" w:rsidP="00F93884">
      <w:pPr>
        <w:spacing w:before="100" w:beforeAutospacing="1" w:after="100" w:afterAutospacing="1"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Ante la falta de respuesta el </w:t>
      </w:r>
      <w:r w:rsidRPr="00F93884">
        <w:rPr>
          <w:rFonts w:ascii="Palatino Linotype" w:eastAsia="Palatino Linotype" w:hAnsi="Palatino Linotype" w:cs="Palatino Linotype"/>
          <w:b/>
        </w:rPr>
        <w:t xml:space="preserve">RECURRENTE </w:t>
      </w:r>
      <w:r w:rsidRPr="00F93884">
        <w:rPr>
          <w:rFonts w:ascii="Palatino Linotype" w:eastAsia="Palatino Linotype" w:hAnsi="Palatino Linotype" w:cs="Palatino Linotype"/>
        </w:rPr>
        <w:t>interpuso el presente medio de defensa, manifestando en ambos recursos la falta de respuesta del Sujeto Obligado.</w:t>
      </w:r>
    </w:p>
    <w:p w14:paraId="7FCE85D9" w14:textId="77777777" w:rsidR="00112DD0" w:rsidRPr="00F93884" w:rsidRDefault="00112DD0" w:rsidP="00F93884">
      <w:pPr>
        <w:spacing w:before="100" w:beforeAutospacing="1" w:after="100" w:afterAutospacing="1"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En un acto posterior </w:t>
      </w:r>
      <w:r w:rsidRPr="00F93884">
        <w:rPr>
          <w:rFonts w:ascii="Palatino Linotype" w:eastAsia="Palatino Linotype" w:hAnsi="Palatino Linotype" w:cs="Palatino Linotype"/>
          <w:b/>
        </w:rPr>
        <w:t xml:space="preserve">EL SUJETO OBLIGADO </w:t>
      </w:r>
      <w:r w:rsidRPr="00F93884">
        <w:rPr>
          <w:rFonts w:ascii="Palatino Linotype" w:eastAsia="Palatino Linotype" w:hAnsi="Palatino Linotype" w:cs="Palatino Linotype"/>
        </w:rPr>
        <w:t xml:space="preserve">remitió </w:t>
      </w:r>
      <w:r w:rsidR="001E3728" w:rsidRPr="00F93884">
        <w:rPr>
          <w:rFonts w:ascii="Palatino Linotype" w:eastAsia="Palatino Linotype" w:hAnsi="Palatino Linotype" w:cs="Palatino Linotype"/>
        </w:rPr>
        <w:t>sus informes justificados</w:t>
      </w:r>
      <w:r w:rsidRPr="00F93884">
        <w:rPr>
          <w:rFonts w:ascii="Palatino Linotype" w:eastAsia="Palatino Linotype" w:hAnsi="Palatino Linotype" w:cs="Palatino Linotype"/>
        </w:rPr>
        <w:t xml:space="preserve"> con el que se adjuntó la siguiente información:</w:t>
      </w:r>
    </w:p>
    <w:p w14:paraId="30F1CB79" w14:textId="77777777" w:rsidR="001E3728" w:rsidRPr="00F93884" w:rsidRDefault="001E3728" w:rsidP="00F93884">
      <w:pPr>
        <w:widowControl w:val="0"/>
        <w:tabs>
          <w:tab w:val="left" w:pos="0"/>
        </w:tabs>
        <w:spacing w:line="360" w:lineRule="auto"/>
        <w:jc w:val="both"/>
        <w:rPr>
          <w:rFonts w:ascii="Palatino Linotype" w:eastAsia="Palatino Linotype" w:hAnsi="Palatino Linotype" w:cs="Palatino Linotype"/>
        </w:rPr>
      </w:pPr>
      <w:r w:rsidRPr="00F93884">
        <w:rPr>
          <w:rFonts w:ascii="Palatino Linotype" w:hAnsi="Palatino Linotype" w:cs="Arial"/>
          <w:b/>
          <w:bCs/>
        </w:rPr>
        <w:t>16977/INFOEM/IP/RR/2022</w:t>
      </w:r>
      <w:r w:rsidRPr="00F93884">
        <w:rPr>
          <w:rFonts w:ascii="Palatino Linotype" w:hAnsi="Palatino Linotype" w:cs="Arial"/>
          <w:b/>
          <w:lang w:val="es-ES"/>
        </w:rPr>
        <w:t>:</w:t>
      </w:r>
    </w:p>
    <w:p w14:paraId="47179B53" w14:textId="77777777" w:rsidR="001E3728" w:rsidRPr="00F93884" w:rsidRDefault="001E3728" w:rsidP="00F93884">
      <w:pPr>
        <w:widowControl w:val="0"/>
        <w:tabs>
          <w:tab w:val="left" w:pos="0"/>
        </w:tabs>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b/>
        </w:rPr>
        <w:t>-respuesta de solicitud 1156-22.pdf-</w:t>
      </w:r>
      <w:r w:rsidRPr="00F93884">
        <w:rPr>
          <w:rFonts w:ascii="Palatino Linotype" w:eastAsia="Palatino Linotype" w:hAnsi="Palatino Linotype" w:cs="Palatino Linotype"/>
        </w:rPr>
        <w:t xml:space="preserve"> El cual contiene un oficio dirigido al solicitante y </w:t>
      </w:r>
      <w:r w:rsidRPr="00F93884">
        <w:rPr>
          <w:rFonts w:ascii="Palatino Linotype" w:eastAsia="Palatino Linotype" w:hAnsi="Palatino Linotype" w:cs="Palatino Linotype"/>
        </w:rPr>
        <w:lastRenderedPageBreak/>
        <w:t xml:space="preserve">firmado por el Titular de la Unidad de Transparencia de Zinacantepec, del cual en su contenido hace del conocimiento que este Sujeto Obligado al realizar un análisis en su solicitud procedió a turnarla al Servidor Público Habilitado poseedor de la información, mismo que nos informa que lo solicitado se encuentra dentro del Sistema de Información Pública de Oficio Mexiquense (IPOMEX), cabe hacer mención que dentro de dicho sistema se carga la información que este Sujeto Obligado debe transparentar de conformidad con la Ley de Transparencia y Acceso a la información Pública de Oficio Mexiquense del Estado de México y Municipios en su artículo 92, por lo anteriormente expuesto se proporciona enlace para la consulta de lo peticionado: </w:t>
      </w:r>
      <w:hyperlink r:id="rId10" w:history="1">
        <w:r w:rsidRPr="00F93884">
          <w:rPr>
            <w:rStyle w:val="Hipervnculo"/>
            <w:rFonts w:ascii="Palatino Linotype" w:eastAsia="Palatino Linotype" w:hAnsi="Palatino Linotype" w:cs="Palatino Linotype"/>
            <w:color w:val="auto"/>
          </w:rPr>
          <w:t>https://www.ipomex.org.mx/ipo3/lgt/indice/ZINACANTEPEC/art_92_viii.web</w:t>
        </w:r>
      </w:hyperlink>
    </w:p>
    <w:p w14:paraId="6FAEAC18" w14:textId="77777777" w:rsidR="001E3728" w:rsidRPr="00F93884" w:rsidRDefault="001E3728" w:rsidP="00F93884">
      <w:pPr>
        <w:widowControl w:val="0"/>
        <w:tabs>
          <w:tab w:val="left" w:pos="0"/>
        </w:tabs>
        <w:spacing w:line="360" w:lineRule="auto"/>
        <w:jc w:val="both"/>
        <w:rPr>
          <w:rFonts w:ascii="Palatino Linotype" w:hAnsi="Palatino Linotype" w:cs="Arial"/>
          <w:b/>
          <w:bCs/>
        </w:rPr>
      </w:pPr>
    </w:p>
    <w:p w14:paraId="1B0D18F8" w14:textId="77777777" w:rsidR="00112DD0" w:rsidRPr="00F93884" w:rsidRDefault="00112DD0" w:rsidP="00F93884">
      <w:pPr>
        <w:widowControl w:val="0"/>
        <w:tabs>
          <w:tab w:val="left" w:pos="0"/>
        </w:tabs>
        <w:spacing w:line="360" w:lineRule="auto"/>
        <w:jc w:val="both"/>
        <w:rPr>
          <w:rFonts w:ascii="Palatino Linotype" w:eastAsia="Palatino Linotype" w:hAnsi="Palatino Linotype" w:cs="Palatino Linotype"/>
        </w:rPr>
      </w:pPr>
      <w:r w:rsidRPr="00F93884">
        <w:rPr>
          <w:rFonts w:ascii="Palatino Linotype" w:hAnsi="Palatino Linotype" w:cs="Arial"/>
          <w:b/>
          <w:bCs/>
        </w:rPr>
        <w:t>16978/INFOEM/IP/RR/2022</w:t>
      </w:r>
      <w:r w:rsidRPr="00F93884">
        <w:rPr>
          <w:rFonts w:ascii="Palatino Linotype" w:hAnsi="Palatino Linotype" w:cs="Arial"/>
          <w:b/>
          <w:lang w:val="es-ES"/>
        </w:rPr>
        <w:t>:</w:t>
      </w:r>
    </w:p>
    <w:p w14:paraId="6083AC7F" w14:textId="77777777" w:rsidR="001E3728" w:rsidRPr="00F93884" w:rsidRDefault="00112DD0" w:rsidP="00F93884">
      <w:pPr>
        <w:widowControl w:val="0"/>
        <w:tabs>
          <w:tab w:val="left" w:pos="0"/>
        </w:tabs>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b/>
        </w:rPr>
        <w:t>-</w:t>
      </w:r>
      <w:r w:rsidR="001E3728" w:rsidRPr="00F93884">
        <w:rPr>
          <w:rFonts w:ascii="Palatino Linotype" w:eastAsia="Palatino Linotype" w:hAnsi="Palatino Linotype" w:cs="Palatino Linotype"/>
          <w:b/>
        </w:rPr>
        <w:t>respuesta de solicitud 1156-22</w:t>
      </w:r>
      <w:r w:rsidRPr="00F93884">
        <w:rPr>
          <w:rFonts w:ascii="Palatino Linotype" w:eastAsia="Palatino Linotype" w:hAnsi="Palatino Linotype" w:cs="Palatino Linotype"/>
          <w:b/>
        </w:rPr>
        <w:t>.pdf-</w:t>
      </w:r>
      <w:r w:rsidRPr="00F93884">
        <w:rPr>
          <w:rFonts w:ascii="Palatino Linotype" w:eastAsia="Palatino Linotype" w:hAnsi="Palatino Linotype" w:cs="Palatino Linotype"/>
        </w:rPr>
        <w:t xml:space="preserve"> El cual contiene un oficio dirigido al solicitante y firmado por el Titular de la Unidad de Transparencia de Zinacantepec, del cual en su contenido hace del conocimiento </w:t>
      </w:r>
      <w:r w:rsidR="001E3728" w:rsidRPr="00F93884">
        <w:rPr>
          <w:rFonts w:ascii="Palatino Linotype" w:eastAsia="Palatino Linotype" w:hAnsi="Palatino Linotype" w:cs="Palatino Linotype"/>
        </w:rPr>
        <w:t xml:space="preserve">que este Sujeto Obligado al realizar un análisis en su solicitud procedió a turnarla al Servidor Público Habilitado poseedor de la información, mismo que nos informa que lo solicitado se encuentra dentro del Sistema de Información Pública de Oficio Mexiquense (IPOMEX), cabe hacer mención que dentro de dicho sistema se carga la información que este Sujeto Obligado debe transparentar de conformidad con la Ley de Transparencia y Acceso a la información Pública de Oficio Mexiquense del Estado de México y Municipios en su artículo 92, por lo anteriormente expuesto se proporciona enlace para la consulta de lo peticionado: </w:t>
      </w:r>
      <w:r w:rsidR="003130CD" w:rsidRPr="00F93884">
        <w:rPr>
          <w:rFonts w:ascii="Palatino Linotype" w:eastAsia="Palatino Linotype" w:hAnsi="Palatino Linotype" w:cs="Palatino Linotype"/>
        </w:rPr>
        <w:lastRenderedPageBreak/>
        <w:t>https://www.ipomex.org.mx/ipo3/lgt/indice/ZINACANTEPEC/art_92_viii.web</w:t>
      </w:r>
    </w:p>
    <w:p w14:paraId="367D6C23" w14:textId="77777777" w:rsidR="00112DD0" w:rsidRPr="00F93884" w:rsidRDefault="00112DD0" w:rsidP="00F93884">
      <w:pPr>
        <w:ind w:right="899"/>
        <w:jc w:val="both"/>
        <w:rPr>
          <w:rFonts w:ascii="Palatino Linotype" w:eastAsia="Palatino Linotype" w:hAnsi="Palatino Linotype" w:cs="Palatino Linotype"/>
        </w:rPr>
      </w:pPr>
    </w:p>
    <w:p w14:paraId="04AA590E" w14:textId="77777777" w:rsidR="00E96E60" w:rsidRPr="00F93884" w:rsidRDefault="003130CD"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Se advierte que en ambos recursos remite al Portal de Información Pública de Oficio Mexiquense (IPOMEX) Remuneraciones fracción VIII A, del Ayuntamiento de Zinacantepec,  </w:t>
      </w:r>
      <w:r w:rsidR="00E96E60" w:rsidRPr="00F93884">
        <w:rPr>
          <w:rFonts w:ascii="Palatino Linotype" w:eastAsia="Palatino Linotype" w:hAnsi="Palatino Linotype" w:cs="Palatino Linotype"/>
        </w:rPr>
        <w:t>tal y como se muestra en la siguiente captura de pantalla:</w:t>
      </w:r>
    </w:p>
    <w:p w14:paraId="16271580" w14:textId="77777777" w:rsidR="00E96E60" w:rsidRPr="00F93884" w:rsidRDefault="00E96E60" w:rsidP="00F93884">
      <w:pPr>
        <w:spacing w:line="360" w:lineRule="auto"/>
        <w:jc w:val="both"/>
        <w:rPr>
          <w:rFonts w:ascii="Palatino Linotype" w:eastAsia="Palatino Linotype" w:hAnsi="Palatino Linotype" w:cs="Palatino Linotype"/>
        </w:rPr>
      </w:pPr>
    </w:p>
    <w:p w14:paraId="747097CE" w14:textId="77777777" w:rsidR="00E96E60" w:rsidRPr="00F93884" w:rsidRDefault="00E96E60"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noProof/>
        </w:rPr>
        <w:drawing>
          <wp:inline distT="0" distB="0" distL="0" distR="0" wp14:anchorId="18AD9B43" wp14:editId="572A1787">
            <wp:extent cx="5795010" cy="2743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5010" cy="2743200"/>
                    </a:xfrm>
                    <a:prstGeom prst="rect">
                      <a:avLst/>
                    </a:prstGeom>
                    <a:noFill/>
                    <a:ln>
                      <a:noFill/>
                    </a:ln>
                  </pic:spPr>
                </pic:pic>
              </a:graphicData>
            </a:graphic>
          </wp:inline>
        </w:drawing>
      </w:r>
    </w:p>
    <w:p w14:paraId="1E7C9E8B" w14:textId="77777777" w:rsidR="003130CD" w:rsidRPr="00F93884" w:rsidRDefault="003130CD" w:rsidP="00F93884">
      <w:pPr>
        <w:widowControl w:val="0"/>
        <w:tabs>
          <w:tab w:val="left" w:pos="0"/>
        </w:tabs>
        <w:spacing w:line="360" w:lineRule="auto"/>
        <w:jc w:val="both"/>
        <w:rPr>
          <w:rFonts w:ascii="Palatino Linotype" w:eastAsia="Palatino Linotype" w:hAnsi="Palatino Linotype" w:cs="Palatino Linotype"/>
        </w:rPr>
      </w:pPr>
    </w:p>
    <w:p w14:paraId="2DDAF2C5" w14:textId="77777777" w:rsidR="003130CD" w:rsidRPr="00F93884" w:rsidRDefault="003130CD" w:rsidP="00F93884">
      <w:pPr>
        <w:ind w:right="899"/>
        <w:jc w:val="both"/>
        <w:rPr>
          <w:rFonts w:ascii="Palatino Linotype" w:eastAsia="Palatino Linotype" w:hAnsi="Palatino Linotype" w:cs="Palatino Linotype"/>
        </w:rPr>
      </w:pPr>
    </w:p>
    <w:p w14:paraId="43A032DA" w14:textId="77777777" w:rsidR="00E96E60" w:rsidRPr="00F93884" w:rsidRDefault="00E96E60" w:rsidP="00F93884">
      <w:pPr>
        <w:spacing w:before="240" w:after="240" w:line="360" w:lineRule="auto"/>
        <w:ind w:right="51"/>
        <w:contextualSpacing/>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En este tenor,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w:t>
      </w:r>
      <w:r w:rsidRPr="00F93884">
        <w:rPr>
          <w:rFonts w:ascii="Palatino Linotype" w:eastAsia="Palatino Linotype" w:hAnsi="Palatino Linotype" w:cs="Palatino Linotype"/>
        </w:rPr>
        <w:lastRenderedPageBreak/>
        <w:t>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73CBB361" w14:textId="77777777" w:rsidR="00E96E60" w:rsidRPr="00F93884" w:rsidRDefault="00E96E60" w:rsidP="00F93884">
      <w:pPr>
        <w:spacing w:before="240" w:after="240" w:line="360" w:lineRule="auto"/>
        <w:ind w:right="51"/>
        <w:contextualSpacing/>
        <w:jc w:val="both"/>
        <w:rPr>
          <w:rFonts w:ascii="Palatino Linotype" w:eastAsia="Palatino Linotype" w:hAnsi="Palatino Linotype" w:cs="Palatino Linotype"/>
        </w:rPr>
      </w:pPr>
    </w:p>
    <w:p w14:paraId="68AD7670" w14:textId="77777777" w:rsidR="00E96E60" w:rsidRPr="00F93884" w:rsidRDefault="00E96E60" w:rsidP="00F93884">
      <w:pPr>
        <w:spacing w:before="240" w:after="240"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61A59D99" w14:textId="77777777" w:rsidR="00E96E60" w:rsidRPr="00F93884" w:rsidRDefault="00E96E60"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w:t>
      </w:r>
      <w:r w:rsidRPr="00F93884">
        <w:rPr>
          <w:rFonts w:ascii="Palatino Linotype" w:eastAsia="Palatino Linotype" w:hAnsi="Palatino Linotype" w:cs="Palatino Linotype"/>
        </w:rPr>
        <w:lastRenderedPageBreak/>
        <w:t xml:space="preserve">holográfico de conformidad con el artículo 3, fracción XI de la Ley de la materia, el cual señala lo siguiente: </w:t>
      </w:r>
    </w:p>
    <w:p w14:paraId="299BDA8A" w14:textId="6F2F0CC4" w:rsidR="00E96E60" w:rsidRDefault="00E96E60" w:rsidP="00F93884">
      <w:pPr>
        <w:ind w:left="851" w:right="899"/>
        <w:jc w:val="both"/>
        <w:rPr>
          <w:rFonts w:ascii="Palatino Linotype" w:eastAsia="Palatino Linotype" w:hAnsi="Palatino Linotype" w:cs="Palatino Linotype"/>
          <w:i/>
        </w:rPr>
      </w:pPr>
    </w:p>
    <w:p w14:paraId="7B09A333" w14:textId="77777777" w:rsidR="00F93884" w:rsidRPr="00F93884" w:rsidRDefault="00F93884" w:rsidP="00F93884">
      <w:pPr>
        <w:ind w:left="851" w:right="899"/>
        <w:jc w:val="both"/>
        <w:rPr>
          <w:rFonts w:ascii="Palatino Linotype" w:eastAsia="Palatino Linotype" w:hAnsi="Palatino Linotype" w:cs="Palatino Linotype"/>
          <w:i/>
        </w:rPr>
      </w:pPr>
    </w:p>
    <w:p w14:paraId="5B1B9F72" w14:textId="77777777" w:rsidR="00E96E60" w:rsidRPr="00F93884" w:rsidRDefault="00E96E60" w:rsidP="00F93884">
      <w:pPr>
        <w:ind w:left="851" w:right="899"/>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w:t>
      </w:r>
      <w:r w:rsidRPr="00F93884">
        <w:rPr>
          <w:rFonts w:ascii="Palatino Linotype" w:eastAsia="Palatino Linotype" w:hAnsi="Palatino Linotype" w:cs="Palatino Linotype"/>
          <w:b/>
          <w:i/>
          <w:sz w:val="22"/>
          <w:szCs w:val="22"/>
        </w:rPr>
        <w:t xml:space="preserve">Artículo 3. </w:t>
      </w:r>
      <w:r w:rsidRPr="00F93884">
        <w:rPr>
          <w:rFonts w:ascii="Palatino Linotype" w:eastAsia="Palatino Linotype" w:hAnsi="Palatino Linotype" w:cs="Palatino Linotype"/>
          <w:i/>
          <w:sz w:val="22"/>
          <w:szCs w:val="22"/>
        </w:rPr>
        <w:t>Para los efectos de la presente Ley se entenderá por:</w:t>
      </w:r>
    </w:p>
    <w:p w14:paraId="4DC0C4E9" w14:textId="77777777" w:rsidR="00E96E60" w:rsidRPr="00F93884" w:rsidRDefault="00E96E60" w:rsidP="00F93884">
      <w:pPr>
        <w:ind w:left="1134" w:right="899"/>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w:t>
      </w:r>
    </w:p>
    <w:p w14:paraId="774EF914" w14:textId="77777777" w:rsidR="00E96E60" w:rsidRPr="00F93884" w:rsidRDefault="00E96E60" w:rsidP="00F93884">
      <w:pPr>
        <w:ind w:left="1134" w:right="899"/>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XI. Documento:</w:t>
      </w:r>
      <w:r w:rsidRPr="00F93884">
        <w:rPr>
          <w:rFonts w:ascii="Palatino Linotype" w:eastAsia="Palatino Linotype" w:hAnsi="Palatino Linotype" w:cs="Palatino Linotype"/>
          <w:i/>
          <w:sz w:val="22"/>
          <w:szCs w:val="22"/>
        </w:rPr>
        <w:t xml:space="preserve"> Los expedientes, reportes, estudios, actas</w:t>
      </w:r>
      <w:r w:rsidRPr="00F93884">
        <w:rPr>
          <w:rFonts w:ascii="Palatino Linotype" w:eastAsia="Palatino Linotype" w:hAnsi="Palatino Linotype" w:cs="Palatino Linotype"/>
          <w:b/>
          <w:i/>
          <w:sz w:val="22"/>
          <w:szCs w:val="22"/>
        </w:rPr>
        <w:t>,</w:t>
      </w:r>
      <w:r w:rsidRPr="00F9388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BB67DB0" w14:textId="77777777" w:rsidR="00E96E60" w:rsidRPr="00F93884" w:rsidRDefault="00E96E60" w:rsidP="00F93884">
      <w:pPr>
        <w:ind w:left="851" w:right="899"/>
        <w:jc w:val="both"/>
        <w:rPr>
          <w:rFonts w:ascii="Palatino Linotype" w:eastAsia="Palatino Linotype" w:hAnsi="Palatino Linotype" w:cs="Palatino Linotype"/>
          <w:sz w:val="22"/>
          <w:szCs w:val="22"/>
        </w:rPr>
      </w:pPr>
    </w:p>
    <w:p w14:paraId="13008183" w14:textId="77777777" w:rsidR="00E96E60" w:rsidRPr="00F93884" w:rsidRDefault="00E96E60"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5753763" w14:textId="77777777" w:rsidR="00E96E60" w:rsidRPr="00F93884" w:rsidRDefault="00E96E60" w:rsidP="00F93884">
      <w:pPr>
        <w:ind w:left="851" w:right="899"/>
        <w:jc w:val="both"/>
        <w:rPr>
          <w:rFonts w:ascii="Palatino Linotype" w:eastAsia="Palatino Linotype" w:hAnsi="Palatino Linotype" w:cs="Palatino Linotype"/>
        </w:rPr>
      </w:pPr>
    </w:p>
    <w:p w14:paraId="4CDA9EAA" w14:textId="77777777" w:rsidR="00E96E60" w:rsidRPr="00F93884" w:rsidRDefault="00E96E60" w:rsidP="00F93884">
      <w:pPr>
        <w:ind w:left="851" w:right="899"/>
        <w:jc w:val="both"/>
        <w:rPr>
          <w:rFonts w:ascii="Palatino Linotype" w:eastAsia="Palatino Linotype" w:hAnsi="Palatino Linotype" w:cs="Palatino Linotype"/>
          <w:b/>
          <w:i/>
          <w:sz w:val="22"/>
          <w:szCs w:val="22"/>
        </w:rPr>
      </w:pPr>
      <w:r w:rsidRPr="00F93884">
        <w:rPr>
          <w:rFonts w:ascii="Palatino Linotype" w:eastAsia="Palatino Linotype" w:hAnsi="Palatino Linotype" w:cs="Palatino Linotype"/>
          <w:b/>
          <w:sz w:val="22"/>
          <w:szCs w:val="22"/>
        </w:rPr>
        <w:t>“</w:t>
      </w:r>
      <w:r w:rsidRPr="00F93884">
        <w:rPr>
          <w:rFonts w:ascii="Palatino Linotype" w:eastAsia="Palatino Linotype" w:hAnsi="Palatino Linotype" w:cs="Palatino Linotype"/>
          <w:b/>
          <w:i/>
          <w:sz w:val="22"/>
          <w:szCs w:val="22"/>
        </w:rPr>
        <w:t>CRITERIO 0002-11</w:t>
      </w:r>
    </w:p>
    <w:p w14:paraId="7A05C775" w14:textId="77777777" w:rsidR="00E96E60" w:rsidRPr="00F93884" w:rsidRDefault="00E96E60" w:rsidP="00F93884">
      <w:pPr>
        <w:ind w:left="851" w:right="899"/>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9388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AC1BC54" w14:textId="77777777" w:rsidR="00E96E60" w:rsidRPr="00F93884" w:rsidRDefault="00E96E60" w:rsidP="00F93884">
      <w:pPr>
        <w:ind w:left="851" w:right="899"/>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562C0DB" w14:textId="77777777" w:rsidR="00E96E60" w:rsidRPr="00F93884" w:rsidRDefault="00E96E60" w:rsidP="00F93884">
      <w:pPr>
        <w:ind w:left="851" w:right="899"/>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lastRenderedPageBreak/>
        <w:t>1) Que se trate de información registrada en cualquier soporte documental, que en ejercicio de las atribuciones conferidas, sea generada por los Sujetos Obligados;</w:t>
      </w:r>
    </w:p>
    <w:p w14:paraId="388D38F9" w14:textId="77777777" w:rsidR="00E96E60" w:rsidRPr="00F93884" w:rsidRDefault="00E96E60" w:rsidP="00F93884">
      <w:pPr>
        <w:ind w:left="851" w:right="899"/>
        <w:jc w:val="both"/>
        <w:rPr>
          <w:rFonts w:ascii="Palatino Linotype" w:eastAsia="Palatino Linotype" w:hAnsi="Palatino Linotype" w:cs="Palatino Linotype"/>
          <w:b/>
          <w:i/>
          <w:sz w:val="22"/>
          <w:szCs w:val="22"/>
        </w:rPr>
      </w:pPr>
      <w:r w:rsidRPr="00F93884">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1CCF70C4" w14:textId="77777777" w:rsidR="00E96E60" w:rsidRPr="00F93884" w:rsidRDefault="00E96E60" w:rsidP="00F93884">
      <w:pPr>
        <w:ind w:left="851" w:right="899"/>
        <w:jc w:val="both"/>
        <w:rPr>
          <w:rFonts w:ascii="Palatino Linotype" w:eastAsia="Palatino Linotype" w:hAnsi="Palatino Linotype" w:cs="Palatino Linotype"/>
          <w:b/>
          <w:i/>
          <w:sz w:val="22"/>
          <w:szCs w:val="22"/>
        </w:rPr>
      </w:pPr>
      <w:r w:rsidRPr="00F93884">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D25CD8B" w14:textId="77777777" w:rsidR="00E96E60" w:rsidRPr="00F93884" w:rsidRDefault="00E96E60" w:rsidP="00F93884">
      <w:pPr>
        <w:spacing w:before="240" w:after="240" w:line="360" w:lineRule="auto"/>
        <w:ind w:right="51"/>
        <w:jc w:val="both"/>
        <w:rPr>
          <w:rFonts w:ascii="Palatino Linotype" w:eastAsia="Palatino Linotype" w:hAnsi="Palatino Linotype" w:cs="Palatino Linotype"/>
        </w:rPr>
      </w:pPr>
      <w:r w:rsidRPr="00F93884">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E4B2C22" w14:textId="77777777" w:rsidR="00E96E60" w:rsidRPr="00F93884" w:rsidRDefault="00E96E60" w:rsidP="00F93884">
      <w:pPr>
        <w:spacing w:before="240" w:after="240" w:line="360" w:lineRule="auto"/>
        <w:contextualSpacing/>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w:t>
      </w:r>
      <w:r w:rsidRPr="00F93884">
        <w:rPr>
          <w:rFonts w:ascii="Palatino Linotype" w:eastAsia="Palatino Linotype" w:hAnsi="Palatino Linotype" w:cs="Palatino Linotype"/>
        </w:rPr>
        <w:lastRenderedPageBreak/>
        <w:t>autoridad en el ámbito estatal y municipal, es pública y sólo podrá ser reservada temporalmente por las razones previstas en la Constitución Federal por interés público y seguridad, en los términos que fijen las leyes de la materia.</w:t>
      </w:r>
    </w:p>
    <w:p w14:paraId="1B563D56" w14:textId="77777777" w:rsidR="00077B8D" w:rsidRPr="00F93884" w:rsidRDefault="001929CF" w:rsidP="00F93884">
      <w:pPr>
        <w:spacing w:line="360" w:lineRule="auto"/>
        <w:ind w:right="49"/>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Así, una vez analizado el contenido </w:t>
      </w:r>
      <w:r w:rsidR="00E96E60" w:rsidRPr="00F93884">
        <w:rPr>
          <w:rFonts w:ascii="Palatino Linotype" w:eastAsia="Palatino Linotype" w:hAnsi="Palatino Linotype" w:cs="Palatino Linotype"/>
        </w:rPr>
        <w:t xml:space="preserve">de la liga a la que remite </w:t>
      </w:r>
      <w:r w:rsidRPr="00F93884">
        <w:rPr>
          <w:rFonts w:ascii="Palatino Linotype" w:eastAsia="Palatino Linotype" w:hAnsi="Palatino Linotype" w:cs="Palatino Linotype"/>
          <w:b/>
        </w:rPr>
        <w:t xml:space="preserve">EL SUJETO OBLIGADO </w:t>
      </w:r>
      <w:r w:rsidR="00E96E60" w:rsidRPr="00F93884">
        <w:rPr>
          <w:rFonts w:ascii="Palatino Linotype" w:eastAsia="Palatino Linotype" w:hAnsi="Palatino Linotype" w:cs="Palatino Linotype"/>
        </w:rPr>
        <w:t xml:space="preserve">no se advierte que haya dado por cumplido lo solicitado, derivado a que es importante recordar que lo que solicito fue recibos de </w:t>
      </w:r>
      <w:r w:rsidR="00077B8D" w:rsidRPr="00F93884">
        <w:rPr>
          <w:rFonts w:ascii="Palatino Linotype" w:eastAsia="Palatino Linotype" w:hAnsi="Palatino Linotype" w:cs="Palatino Linotype"/>
        </w:rPr>
        <w:t>nómina</w:t>
      </w:r>
      <w:r w:rsidR="00E96E60" w:rsidRPr="00F93884">
        <w:rPr>
          <w:rFonts w:ascii="Palatino Linotype" w:eastAsia="Palatino Linotype" w:hAnsi="Palatino Linotype" w:cs="Palatino Linotype"/>
        </w:rPr>
        <w:t xml:space="preserve"> </w:t>
      </w:r>
      <w:r w:rsidR="00077B8D" w:rsidRPr="00F93884">
        <w:rPr>
          <w:rFonts w:ascii="Palatino Linotype" w:eastAsia="Palatino Linotype" w:hAnsi="Palatino Linotype" w:cs="Palatino Linotype"/>
        </w:rPr>
        <w:t>y a la información que remite es  la remuneración bruta y neta de los Servidores Públicos de base o de confianza.</w:t>
      </w:r>
    </w:p>
    <w:p w14:paraId="567BBD65" w14:textId="77777777" w:rsidR="00077B8D" w:rsidRPr="00F93884" w:rsidRDefault="00077B8D" w:rsidP="00F93884">
      <w:pPr>
        <w:spacing w:line="360" w:lineRule="auto"/>
        <w:ind w:right="49"/>
        <w:jc w:val="both"/>
        <w:rPr>
          <w:rFonts w:ascii="Palatino Linotype" w:eastAsia="Palatino Linotype" w:hAnsi="Palatino Linotype" w:cs="Palatino Linotype"/>
        </w:rPr>
      </w:pPr>
    </w:p>
    <w:p w14:paraId="641DAB86" w14:textId="77777777" w:rsidR="00147F2A" w:rsidRPr="00F93884" w:rsidRDefault="001929CF" w:rsidP="00F93884">
      <w:pPr>
        <w:spacing w:line="360" w:lineRule="auto"/>
        <w:ind w:right="49"/>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Bajo esta óptica, el derecho del particular de acceder a los documentos que obran en posesión del </w:t>
      </w:r>
      <w:r w:rsidRPr="00F93884">
        <w:rPr>
          <w:rFonts w:ascii="Palatino Linotype" w:eastAsia="Palatino Linotype" w:hAnsi="Palatino Linotype" w:cs="Palatino Linotype"/>
          <w:b/>
        </w:rPr>
        <w:t xml:space="preserve">Sujeto Obligado </w:t>
      </w:r>
      <w:r w:rsidRPr="00F93884">
        <w:rPr>
          <w:rFonts w:ascii="Palatino Linotype" w:eastAsia="Palatino Linotype" w:hAnsi="Palatino Linotype" w:cs="Palatino Linotype"/>
        </w:rPr>
        <w:t>se encuentra limitado, en virtud de que no le fue proporcionada la información solicitada, incumpliendo así lo previsto en el artículo 4 de la Ley de la Materia;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14:paraId="614A19BB" w14:textId="77777777" w:rsidR="00147F2A" w:rsidRPr="00F93884" w:rsidRDefault="00147F2A" w:rsidP="00F93884">
      <w:pPr>
        <w:spacing w:line="360" w:lineRule="auto"/>
        <w:ind w:right="49"/>
        <w:jc w:val="both"/>
        <w:rPr>
          <w:rFonts w:ascii="Palatino Linotype" w:eastAsia="Palatino Linotype" w:hAnsi="Palatino Linotype" w:cs="Palatino Linotype"/>
          <w:b/>
        </w:rPr>
      </w:pPr>
    </w:p>
    <w:p w14:paraId="72CA03E8" w14:textId="77777777" w:rsidR="00CE54A7" w:rsidRPr="00F93884" w:rsidRDefault="00CE54A7"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lastRenderedPageBreak/>
        <w:t xml:space="preserve">No obstante que </w:t>
      </w:r>
      <w:r w:rsidRPr="00F93884">
        <w:rPr>
          <w:rFonts w:ascii="Palatino Linotype" w:eastAsia="Palatino Linotype" w:hAnsi="Palatino Linotype" w:cs="Palatino Linotype"/>
          <w:b/>
        </w:rPr>
        <w:t>EL SUJETO OBLIGADO</w:t>
      </w:r>
      <w:r w:rsidRPr="00F93884">
        <w:rPr>
          <w:rFonts w:ascii="Palatino Linotype" w:eastAsia="Palatino Linotype" w:hAnsi="Palatino Linotype" w:cs="Palatino Linotype"/>
        </w:rPr>
        <w:t xml:space="preserve"> asume contar con la información, resulta conveniente citar el Marco Normativo que lo faculta para dotar de la información requerida por </w:t>
      </w:r>
      <w:r w:rsidRPr="00F93884">
        <w:rPr>
          <w:rFonts w:ascii="Palatino Linotype" w:eastAsia="Palatino Linotype" w:hAnsi="Palatino Linotype" w:cs="Palatino Linotype"/>
          <w:b/>
        </w:rPr>
        <w:t>LA PARTE RECURRENTE,</w:t>
      </w:r>
      <w:r w:rsidRPr="00F93884">
        <w:rPr>
          <w:rFonts w:ascii="Palatino Linotype" w:eastAsia="Palatino Linotype" w:hAnsi="Palatino Linotype" w:cs="Palatino Linotype"/>
        </w:rPr>
        <w:t xml:space="preserve"> por ello es útil invocar al estudio lo establecido en el artículo 350 del Código Financiero del Estado de México y Municipios, en el que se establece la obligación a cargo de las entidades fiscalizables, - como lo es </w:t>
      </w:r>
      <w:r w:rsidRPr="00F93884">
        <w:rPr>
          <w:rFonts w:ascii="Palatino Linotype" w:eastAsia="Palatino Linotype" w:hAnsi="Palatino Linotype" w:cs="Palatino Linotype"/>
          <w:b/>
        </w:rPr>
        <w:t xml:space="preserve">EL SUJETO OBLIGADO </w:t>
      </w:r>
      <w:r w:rsidRPr="00F93884">
        <w:rPr>
          <w:rFonts w:ascii="Palatino Linotype" w:eastAsia="Palatino Linotype" w:hAnsi="Palatino Linotype" w:cs="Palatino Linotype"/>
        </w:rPr>
        <w:t>- de comunicar al Órgano Superior de Fiscalización del Estado de México, todo lo relacionado con la información contable, presupuestal y financiera, en los términos siguientes:</w:t>
      </w:r>
    </w:p>
    <w:p w14:paraId="4B04C77A"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1657840"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 xml:space="preserve"> </w:t>
      </w:r>
      <w:r w:rsidRPr="00F93884">
        <w:rPr>
          <w:rFonts w:ascii="Palatino Linotype" w:eastAsia="Palatino Linotype" w:hAnsi="Palatino Linotype" w:cs="Palatino Linotype"/>
          <w:b/>
          <w:i/>
          <w:sz w:val="22"/>
          <w:szCs w:val="22"/>
        </w:rPr>
        <w:t>Artículo 350.-</w:t>
      </w:r>
      <w:r w:rsidRPr="00F93884">
        <w:rPr>
          <w:rFonts w:ascii="Palatino Linotype" w:eastAsia="Palatino Linotype" w:hAnsi="Palatino Linotype" w:cs="Palatino Linotype"/>
          <w:i/>
          <w:sz w:val="22"/>
          <w:szCs w:val="22"/>
        </w:rPr>
        <w:t xml:space="preserve"> La Secretaría y </w:t>
      </w:r>
      <w:r w:rsidRPr="00F93884">
        <w:rPr>
          <w:rFonts w:ascii="Palatino Linotype" w:eastAsia="Palatino Linotype" w:hAnsi="Palatino Linotype" w:cs="Palatino Linotype"/>
          <w:b/>
          <w:i/>
          <w:sz w:val="22"/>
          <w:szCs w:val="22"/>
        </w:rPr>
        <w:t>las tesorerías</w:t>
      </w:r>
      <w:r w:rsidRPr="00F93884">
        <w:rPr>
          <w:rFonts w:ascii="Palatino Linotype" w:eastAsia="Palatino Linotype" w:hAnsi="Palatino Linotype" w:cs="Palatino Linotype"/>
          <w:i/>
          <w:sz w:val="22"/>
          <w:szCs w:val="22"/>
        </w:rPr>
        <w:t xml:space="preserve"> enviarán al Órgano Superior, de manera trimestral, dentro de los primeros veinte días hábiles posteriores al término del trimestre que se informa, para su análisis, la siguiente información:</w:t>
      </w:r>
    </w:p>
    <w:p w14:paraId="7CC2FC6C"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I.</w:t>
      </w:r>
      <w:r w:rsidRPr="00F93884">
        <w:rPr>
          <w:rFonts w:ascii="Palatino Linotype" w:eastAsia="Palatino Linotype" w:hAnsi="Palatino Linotype" w:cs="Palatino Linotype"/>
          <w:i/>
          <w:sz w:val="22"/>
          <w:szCs w:val="22"/>
        </w:rPr>
        <w:t xml:space="preserve"> Patrimonial. </w:t>
      </w:r>
    </w:p>
    <w:p w14:paraId="5F5ABEE2"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II</w:t>
      </w:r>
      <w:r w:rsidRPr="00F93884">
        <w:rPr>
          <w:rFonts w:ascii="Palatino Linotype" w:eastAsia="Palatino Linotype" w:hAnsi="Palatino Linotype" w:cs="Palatino Linotype"/>
          <w:i/>
          <w:sz w:val="22"/>
          <w:szCs w:val="22"/>
        </w:rPr>
        <w:t xml:space="preserve">. Presupuestal. </w:t>
      </w:r>
    </w:p>
    <w:p w14:paraId="3759C37C"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III</w:t>
      </w:r>
      <w:r w:rsidRPr="00F93884">
        <w:rPr>
          <w:rFonts w:ascii="Palatino Linotype" w:eastAsia="Palatino Linotype" w:hAnsi="Palatino Linotype" w:cs="Palatino Linotype"/>
          <w:i/>
          <w:sz w:val="22"/>
          <w:szCs w:val="22"/>
        </w:rPr>
        <w:t>. De la obra pública.</w:t>
      </w:r>
    </w:p>
    <w:p w14:paraId="09AD4EA8"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F93884">
        <w:rPr>
          <w:rFonts w:ascii="Palatino Linotype" w:eastAsia="Palatino Linotype" w:hAnsi="Palatino Linotype" w:cs="Palatino Linotype"/>
          <w:b/>
          <w:i/>
          <w:sz w:val="22"/>
          <w:szCs w:val="22"/>
        </w:rPr>
        <w:t>IV. De nómina.</w:t>
      </w:r>
    </w:p>
    <w:p w14:paraId="58AF3801"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V</w:t>
      </w:r>
      <w:r w:rsidRPr="00F93884">
        <w:rPr>
          <w:rFonts w:ascii="Palatino Linotype" w:eastAsia="Palatino Linotype" w:hAnsi="Palatino Linotype" w:cs="Palatino Linotype"/>
          <w:i/>
          <w:sz w:val="22"/>
          <w:szCs w:val="22"/>
        </w:rPr>
        <w:t xml:space="preserve">. Avance del cumplimiento del Plan de Desarrollo del Estado de México. </w:t>
      </w:r>
    </w:p>
    <w:p w14:paraId="55046850"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Los informes trimestrales deberán contener la evolución de las finanzas públicas integradas con los comentarios correspondientes y los estados financieros consolidados, así como un reporte de los ingresos y egresos de los organismos auxiliares.</w:t>
      </w:r>
    </w:p>
    <w:p w14:paraId="252298C2"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F93884">
        <w:rPr>
          <w:rFonts w:ascii="Palatino Linotype" w:eastAsia="Palatino Linotype" w:hAnsi="Palatino Linotype" w:cs="Palatino Linotype"/>
          <w:i/>
          <w:sz w:val="22"/>
          <w:szCs w:val="22"/>
        </w:rPr>
        <w:t>El informe trimestral correspondiente al cuarto trimestre se entregará junto con las Cuentas Públicas del ejercicio fiscal de que se trate</w:t>
      </w:r>
      <w:r w:rsidRPr="00F93884">
        <w:rPr>
          <w:rFonts w:ascii="Palatino Linotype" w:eastAsia="Palatino Linotype" w:hAnsi="Palatino Linotype" w:cs="Palatino Linotype"/>
          <w:b/>
          <w:i/>
          <w:sz w:val="22"/>
          <w:szCs w:val="22"/>
        </w:rPr>
        <w:t>.</w:t>
      </w:r>
    </w:p>
    <w:p w14:paraId="3B4B2032" w14:textId="77777777" w:rsidR="00CE54A7" w:rsidRPr="00F93884" w:rsidRDefault="00CE54A7" w:rsidP="00F93884"/>
    <w:p w14:paraId="4C1EF036" w14:textId="77777777" w:rsidR="00CE54A7" w:rsidRPr="00F93884" w:rsidRDefault="00CE54A7" w:rsidP="00F93884">
      <w:pPr>
        <w:spacing w:before="240" w:after="360"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Por su parte la Ley del Trabajo de los Servidores Públicos del Estado y Municipios, en su artículo 220-K fracciones II y IV y último párrafo, establecen lo siguiente:</w:t>
      </w:r>
    </w:p>
    <w:p w14:paraId="59F21D7C"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lastRenderedPageBreak/>
        <w:t>ARTÍCULO 220 K.-</w:t>
      </w:r>
      <w:r w:rsidRPr="00F93884">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3861FE08"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w:t>
      </w:r>
    </w:p>
    <w:p w14:paraId="225B4689"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 xml:space="preserve">II. </w:t>
      </w:r>
      <w:r w:rsidRPr="00F93884">
        <w:rPr>
          <w:rFonts w:ascii="Palatino Linotype" w:eastAsia="Palatino Linotype" w:hAnsi="Palatino Linotype" w:cs="Palatino Linotype"/>
          <w:b/>
          <w:i/>
          <w:sz w:val="22"/>
          <w:szCs w:val="22"/>
        </w:rPr>
        <w:t>Recibos de pagos de salarios</w:t>
      </w:r>
      <w:r w:rsidRPr="00F93884">
        <w:rPr>
          <w:rFonts w:ascii="Palatino Linotype" w:eastAsia="Palatino Linotype" w:hAnsi="Palatino Linotype" w:cs="Palatino Linotype"/>
          <w:i/>
          <w:sz w:val="22"/>
          <w:szCs w:val="22"/>
        </w:rPr>
        <w:t xml:space="preserve"> o las constancias documentales del pago de salario cuando sea por depósito o mediante información electrónica;</w:t>
      </w:r>
    </w:p>
    <w:p w14:paraId="22ADB024"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w:t>
      </w:r>
    </w:p>
    <w:p w14:paraId="7C4B1BA8"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IV. Recibos o las constancias de depósito o del medio de información magnética o electrónica que sean utilizadas para el pago de salarios, prima vacacional, aguinaldo y demás prestaciones establecidas en la presente ley; y…</w:t>
      </w:r>
    </w:p>
    <w:p w14:paraId="68710047"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5224948F"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606419F3"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w:t>
      </w:r>
    </w:p>
    <w:p w14:paraId="7B445D9C" w14:textId="77777777" w:rsidR="00CE54A7" w:rsidRPr="00F93884" w:rsidRDefault="00CE54A7" w:rsidP="00F93884"/>
    <w:p w14:paraId="08C81DD0" w14:textId="77777777" w:rsidR="00CE54A7" w:rsidRPr="00F93884" w:rsidRDefault="00CE54A7" w:rsidP="00F93884">
      <w:pPr>
        <w:spacing w:before="120"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Sobre la base del precepto legal citado,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002C7D06" w14:textId="77777777" w:rsidR="00CE54A7" w:rsidRPr="00F93884" w:rsidRDefault="00CE54A7" w:rsidP="00F93884">
      <w:pPr>
        <w:spacing w:line="360" w:lineRule="auto"/>
        <w:jc w:val="both"/>
        <w:rPr>
          <w:rFonts w:ascii="Palatino Linotype" w:eastAsia="Palatino Linotype" w:hAnsi="Palatino Linotype" w:cs="Palatino Linotype"/>
        </w:rPr>
      </w:pPr>
    </w:p>
    <w:p w14:paraId="45C4F518" w14:textId="77777777" w:rsidR="00CE54A7" w:rsidRPr="00F93884" w:rsidRDefault="00CE54A7"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lastRenderedPageBreak/>
        <w:t>Por tanto, los recibos de nómina o comprobantes digitales por concepto de nómina tienen como objetivo presentar la información del pago de las remuneraciones de cada una de las personas servidoras públicas de la entidad fiscalizable de que se trate correspondiente a un periodo determinado.</w:t>
      </w:r>
    </w:p>
    <w:p w14:paraId="5C08DAF4" w14:textId="77777777" w:rsidR="00CE54A7" w:rsidRPr="00F93884" w:rsidRDefault="00CE54A7"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Para conocer lo que debe contener la información correspondiente a la nómina, es necesario señalar que, al Órgano Superior de Fiscalización del Estado de México, le asiste la facultad de emitir los lineamientos para la integración del informe trimestral, en términos de la fracción XI del artículo 8 de la Ley de Fiscalización Superior del Estado de México, que es del tenor literal siguiente:</w:t>
      </w:r>
    </w:p>
    <w:p w14:paraId="5AC4BB59"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rPr>
      </w:pPr>
    </w:p>
    <w:p w14:paraId="48543713"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Artículo 8.-</w:t>
      </w:r>
      <w:r w:rsidRPr="00F93884">
        <w:rPr>
          <w:rFonts w:ascii="Palatino Linotype" w:eastAsia="Palatino Linotype" w:hAnsi="Palatino Linotype" w:cs="Palatino Linotype"/>
          <w:i/>
          <w:sz w:val="22"/>
          <w:szCs w:val="22"/>
        </w:rPr>
        <w:t xml:space="preserve"> El </w:t>
      </w:r>
      <w:r w:rsidRPr="00F93884">
        <w:rPr>
          <w:rFonts w:ascii="Palatino Linotype" w:eastAsia="Palatino Linotype" w:hAnsi="Palatino Linotype" w:cs="Palatino Linotype"/>
          <w:b/>
          <w:i/>
          <w:sz w:val="22"/>
          <w:szCs w:val="22"/>
        </w:rPr>
        <w:t>Órgano Superior</w:t>
      </w:r>
      <w:r w:rsidRPr="00F93884">
        <w:rPr>
          <w:rFonts w:ascii="Palatino Linotype" w:eastAsia="Palatino Linotype" w:hAnsi="Palatino Linotype" w:cs="Palatino Linotype"/>
          <w:i/>
          <w:sz w:val="22"/>
          <w:szCs w:val="22"/>
        </w:rPr>
        <w:t xml:space="preserve"> tendrá las siguientes atribuciones:</w:t>
      </w:r>
    </w:p>
    <w:p w14:paraId="61D1A366"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w:t>
      </w:r>
    </w:p>
    <w:p w14:paraId="4276758B"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XI</w:t>
      </w:r>
      <w:r w:rsidRPr="00F93884">
        <w:rPr>
          <w:rFonts w:ascii="Palatino Linotype" w:eastAsia="Palatino Linotype" w:hAnsi="Palatino Linotype" w:cs="Palatino Linotype"/>
          <w:i/>
          <w:sz w:val="22"/>
          <w:szCs w:val="22"/>
        </w:rPr>
        <w:t>. Establecer los lineamientos, criterios, procedimientos, métodos y sistemas, así como todas aquellas disposiciones de carácter general para las acciones de control y evaluación, necesarios para la fiscalización de las cuentas públicas y los informes trimestrales;</w:t>
      </w:r>
    </w:p>
    <w:p w14:paraId="55882824"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w:t>
      </w:r>
      <w:r w:rsidRPr="00F93884">
        <w:rPr>
          <w:rFonts w:ascii="Palatino Linotype" w:eastAsia="Palatino Linotype" w:hAnsi="Palatino Linotype" w:cs="Palatino Linotype"/>
          <w:i/>
          <w:sz w:val="22"/>
          <w:szCs w:val="22"/>
        </w:rPr>
        <w:t>…)</w:t>
      </w:r>
    </w:p>
    <w:p w14:paraId="6378D454"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D767FE5" w14:textId="77777777" w:rsidR="00CE54A7" w:rsidRPr="00F93884" w:rsidRDefault="00CE54A7"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Estos lineamientos son de observancia general para las personas servidoras públicas de las entidades fiscalizables que desempeñen un empleo, cargo o comisión, de cualquier naturaleza en alguno de los poderes del Estado, en los Ayuntamientos de los Municipios y Organismos Auxiliares, así como los titulares o quienes hagan sus veces en empresas de participación estatal o municipal, sociedades o asociaciones asimiladas a éstas y en los fideicomisos públicos, y que manejen recursos públicos, como lo son los municipios; en atención a ello, el informe trimestral deberá ser presentado al </w:t>
      </w:r>
      <w:r w:rsidRPr="00F93884">
        <w:rPr>
          <w:rFonts w:ascii="Palatino Linotype" w:eastAsia="Palatino Linotype" w:hAnsi="Palatino Linotype" w:cs="Palatino Linotype"/>
        </w:rPr>
        <w:lastRenderedPageBreak/>
        <w:t>OSFEM dentro de los veinte días posteriores al término del trimestre correspondiente de acuerdo a lo establecido en el artículo 350 del Código Financiero del Estado de México citado con antelación.</w:t>
      </w:r>
    </w:p>
    <w:p w14:paraId="361544D1" w14:textId="77777777" w:rsidR="00CE54A7" w:rsidRPr="00F93884" w:rsidRDefault="00CE54A7" w:rsidP="00F93884">
      <w:pPr>
        <w:spacing w:line="360" w:lineRule="auto"/>
        <w:jc w:val="both"/>
        <w:rPr>
          <w:rFonts w:ascii="Palatino Linotype" w:eastAsia="Palatino Linotype" w:hAnsi="Palatino Linotype" w:cs="Palatino Linotype"/>
          <w:i/>
        </w:rPr>
      </w:pPr>
    </w:p>
    <w:p w14:paraId="68FDCA7C" w14:textId="77777777" w:rsidR="00CE54A7" w:rsidRPr="00F93884" w:rsidRDefault="00CE54A7"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La información documental comprobatoria de los informes trimestrales presentados, debe conservarse en los archivos de la entidad fiscalizada – en este caso el Ayuntamiento de Zinacantepec - en original y debidamente integrada en términos de los lineamientos de referencia, pues son susceptibles de revisión directa por el Órgano Superior de Fiscalización del Estado de México.</w:t>
      </w:r>
    </w:p>
    <w:p w14:paraId="6B4DD89A" w14:textId="77777777" w:rsidR="00CE54A7" w:rsidRPr="00F93884" w:rsidRDefault="00CE54A7" w:rsidP="00F93884">
      <w:pPr>
        <w:spacing w:line="360" w:lineRule="auto"/>
        <w:jc w:val="both"/>
        <w:rPr>
          <w:rFonts w:ascii="Palatino Linotype" w:eastAsia="Palatino Linotype" w:hAnsi="Palatino Linotype" w:cs="Palatino Linotype"/>
        </w:rPr>
      </w:pPr>
    </w:p>
    <w:p w14:paraId="247B78D1" w14:textId="77777777" w:rsidR="00CE54A7" w:rsidRPr="00F93884" w:rsidRDefault="00CE54A7" w:rsidP="00F93884">
      <w:pPr>
        <w:spacing w:after="80" w:line="360" w:lineRule="auto"/>
        <w:ind w:right="49"/>
        <w:jc w:val="both"/>
        <w:rPr>
          <w:rFonts w:ascii="Palatino Linotype" w:eastAsia="Palatino Linotype" w:hAnsi="Palatino Linotype" w:cs="Palatino Linotype"/>
        </w:rPr>
      </w:pPr>
      <w:r w:rsidRPr="00F93884">
        <w:rPr>
          <w:rFonts w:ascii="Palatino Linotype" w:eastAsia="Palatino Linotype" w:hAnsi="Palatino Linotype" w:cs="Palatino Linotype"/>
        </w:rPr>
        <w:t>En este contexto, el Órgano Superior de Fiscalización del Estado de México, emite en cada ejercicio fiscal los Lineamientos para la integración y entrega del Informe Trimestral Municipal, para el ejercicio 2022 y los Instructivos de llenado correspondientes, mismos que se encuentran disponibles en su sitio de internet</w:t>
      </w:r>
      <w:r w:rsidRPr="00F93884">
        <w:rPr>
          <w:rFonts w:ascii="Palatino Linotype" w:eastAsia="Palatino Linotype" w:hAnsi="Palatino Linotype" w:cs="Palatino Linotype"/>
          <w:vertAlign w:val="superscript"/>
        </w:rPr>
        <w:t xml:space="preserve"> </w:t>
      </w:r>
      <w:hyperlink r:id="rId12">
        <w:r w:rsidRPr="00F93884">
          <w:rPr>
            <w:rFonts w:ascii="Palatino Linotype" w:eastAsia="Palatino Linotype" w:hAnsi="Palatino Linotype" w:cs="Palatino Linotype"/>
            <w:u w:val="single"/>
          </w:rPr>
          <w:t>https://www.osfem.gob.mx/04_Iconografia/Ent_Fisc/Doc_Apoy/Doc_Apoy.html</w:t>
        </w:r>
      </w:hyperlink>
      <w:r w:rsidRPr="00F93884">
        <w:rPr>
          <w:rFonts w:ascii="Palatino Linotype" w:eastAsia="Palatino Linotype" w:hAnsi="Palatino Linotype" w:cs="Palatino Linotype"/>
        </w:rPr>
        <w:t xml:space="preserve"> con la finalidad de definir los criterios, los formatos y la documentación necesaria para presentar los informes trimestrales, que deben ser entregados a través de cuatro módulos, que contienen la siguiente información:</w:t>
      </w:r>
    </w:p>
    <w:p w14:paraId="2FD6C0EB" w14:textId="77777777" w:rsidR="00CE54A7" w:rsidRPr="00F93884" w:rsidRDefault="00CE54A7" w:rsidP="00F93884">
      <w:pPr>
        <w:spacing w:after="80" w:line="360" w:lineRule="auto"/>
        <w:ind w:right="49"/>
        <w:jc w:val="both"/>
        <w:rPr>
          <w:rFonts w:ascii="Palatino Linotype" w:eastAsia="Palatino Linotype" w:hAnsi="Palatino Linotype" w:cs="Palatino Linotype"/>
        </w:rPr>
      </w:pPr>
    </w:p>
    <w:p w14:paraId="5CB3CCCA" w14:textId="77777777" w:rsidR="00CE54A7" w:rsidRPr="00F93884" w:rsidRDefault="00CE54A7" w:rsidP="00F93884">
      <w:pPr>
        <w:spacing w:before="80" w:after="160" w:line="360" w:lineRule="auto"/>
        <w:ind w:right="49"/>
        <w:jc w:val="center"/>
        <w:rPr>
          <w:rFonts w:ascii="Palatino Linotype" w:eastAsia="Palatino Linotype" w:hAnsi="Palatino Linotype" w:cs="Palatino Linotype"/>
          <w:sz w:val="22"/>
          <w:szCs w:val="22"/>
        </w:rPr>
      </w:pPr>
      <w:r w:rsidRPr="00F93884">
        <w:rPr>
          <w:rFonts w:ascii="Palatino Linotype" w:eastAsia="Palatino Linotype" w:hAnsi="Palatino Linotype" w:cs="Palatino Linotype"/>
          <w:noProof/>
          <w:sz w:val="22"/>
          <w:szCs w:val="22"/>
        </w:rPr>
        <w:lastRenderedPageBreak/>
        <w:drawing>
          <wp:inline distT="0" distB="0" distL="0" distR="0" wp14:anchorId="04D58D1C" wp14:editId="0F931057">
            <wp:extent cx="5610225" cy="2324100"/>
            <wp:effectExtent l="0" t="0" r="0" b="0"/>
            <wp:docPr id="13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610225" cy="2324100"/>
                    </a:xfrm>
                    <a:prstGeom prst="rect">
                      <a:avLst/>
                    </a:prstGeom>
                    <a:ln/>
                  </pic:spPr>
                </pic:pic>
              </a:graphicData>
            </a:graphic>
          </wp:inline>
        </w:drawing>
      </w:r>
    </w:p>
    <w:p w14:paraId="78C43DEB" w14:textId="77777777" w:rsidR="00CE54A7" w:rsidRPr="00F93884" w:rsidRDefault="00CE54A7" w:rsidP="00F93884">
      <w:pPr>
        <w:spacing w:line="360" w:lineRule="auto"/>
        <w:ind w:right="49"/>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La información que con motivo de la nómina genera </w:t>
      </w:r>
      <w:r w:rsidRPr="00F93884">
        <w:rPr>
          <w:rFonts w:ascii="Palatino Linotype" w:eastAsia="Palatino Linotype" w:hAnsi="Palatino Linotype" w:cs="Palatino Linotype"/>
          <w:b/>
        </w:rPr>
        <w:t>EL SUJETO OBLIGADO,</w:t>
      </w:r>
      <w:r w:rsidRPr="00F93884">
        <w:rPr>
          <w:rFonts w:ascii="Palatino Linotype" w:eastAsia="Palatino Linotype" w:hAnsi="Palatino Linotype" w:cs="Palatino Linotype"/>
        </w:rPr>
        <w:t xml:space="preserve"> se encuentra contenida en el Módulo 4 Información administrativa, Submódulo Nómina y Comprobantes Fiscales, como se muestra a continuación:</w:t>
      </w:r>
    </w:p>
    <w:p w14:paraId="1B8846BA" w14:textId="77777777" w:rsidR="00CE54A7" w:rsidRPr="00F93884" w:rsidRDefault="00CE54A7" w:rsidP="00F93884">
      <w:pPr>
        <w:spacing w:before="240" w:after="160" w:line="360" w:lineRule="auto"/>
        <w:ind w:right="49"/>
        <w:jc w:val="center"/>
        <w:rPr>
          <w:rFonts w:ascii="Palatino Linotype" w:eastAsia="Palatino Linotype" w:hAnsi="Palatino Linotype" w:cs="Palatino Linotype"/>
          <w:sz w:val="22"/>
          <w:szCs w:val="22"/>
        </w:rPr>
      </w:pPr>
      <w:r w:rsidRPr="00F93884">
        <w:rPr>
          <w:rFonts w:ascii="Palatino Linotype" w:eastAsia="Palatino Linotype" w:hAnsi="Palatino Linotype" w:cs="Palatino Linotype"/>
          <w:noProof/>
          <w:sz w:val="22"/>
          <w:szCs w:val="22"/>
        </w:rPr>
        <w:drawing>
          <wp:inline distT="0" distB="0" distL="0" distR="0" wp14:anchorId="17E690AE" wp14:editId="03492A19">
            <wp:extent cx="5610225" cy="2495550"/>
            <wp:effectExtent l="0" t="0" r="0" b="0"/>
            <wp:docPr id="1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610225" cy="2495550"/>
                    </a:xfrm>
                    <a:prstGeom prst="rect">
                      <a:avLst/>
                    </a:prstGeom>
                    <a:ln/>
                  </pic:spPr>
                </pic:pic>
              </a:graphicData>
            </a:graphic>
          </wp:inline>
        </w:drawing>
      </w:r>
      <w:r w:rsidRPr="00F93884">
        <w:rPr>
          <w:noProof/>
        </w:rPr>
        <mc:AlternateContent>
          <mc:Choice Requires="wps">
            <w:drawing>
              <wp:anchor distT="0" distB="0" distL="114300" distR="114300" simplePos="0" relativeHeight="251659264" behindDoc="0" locked="0" layoutInCell="1" hidden="0" allowOverlap="1" wp14:anchorId="28E0AE1E" wp14:editId="4E846EBF">
                <wp:simplePos x="0" y="0"/>
                <wp:positionH relativeFrom="column">
                  <wp:posOffset>25401</wp:posOffset>
                </wp:positionH>
                <wp:positionV relativeFrom="paragraph">
                  <wp:posOffset>1739900</wp:posOffset>
                </wp:positionV>
                <wp:extent cx="5591175" cy="733425"/>
                <wp:effectExtent l="0" t="0" r="0" b="0"/>
                <wp:wrapNone/>
                <wp:docPr id="125" name="Rectángulo 125"/>
                <wp:cNvGraphicFramePr/>
                <a:graphic xmlns:a="http://schemas.openxmlformats.org/drawingml/2006/main">
                  <a:graphicData uri="http://schemas.microsoft.com/office/word/2010/wordprocessingShape">
                    <wps:wsp>
                      <wps:cNvSpPr/>
                      <wps:spPr>
                        <a:xfrm>
                          <a:off x="2626613" y="3489488"/>
                          <a:ext cx="5438775" cy="581025"/>
                        </a:xfrm>
                        <a:prstGeom prst="rect">
                          <a:avLst/>
                        </a:prstGeom>
                        <a:noFill/>
                        <a:ln w="38100" cap="flat" cmpd="sng">
                          <a:solidFill>
                            <a:srgbClr val="C00000"/>
                          </a:solidFill>
                          <a:prstDash val="solid"/>
                          <a:round/>
                          <a:headEnd type="none" w="sm" len="sm"/>
                          <a:tailEnd type="none" w="sm" len="sm"/>
                        </a:ln>
                      </wps:spPr>
                      <wps:txbx>
                        <w:txbxContent>
                          <w:p w14:paraId="02DAE9C4" w14:textId="77777777" w:rsidR="009E4B94" w:rsidRDefault="009E4B94" w:rsidP="00CE54A7">
                            <w:pPr>
                              <w:spacing w:line="258" w:lineRule="auto"/>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E0AE1E" id="Rectángulo 125" o:spid="_x0000_s1026" style="position:absolute;left:0;text-align:left;margin-left:2pt;margin-top:137pt;width:440.25pt;height:5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" filled="f" strokecolor="#c00000" strokeweight="3pt">
                <v:stroke startarrowwidth="narrow" startarrowlength="short" endarrowwidth="narrow" endarrowlength="short" joinstyle="round"/>
                <v:textbox inset="2.53958mm,2.53958mm,2.53958mm,2.53958mm">
                  <w:txbxContent>
                    <w:p w14:paraId="02DAE9C4" w14:textId="77777777" w:rsidR="009E4B94" w:rsidRDefault="009E4B94" w:rsidP="00CE54A7">
                      <w:pPr>
                        <w:spacing w:line="258" w:lineRule="auto"/>
                        <w:textDirection w:val="btLr"/>
                      </w:pPr>
                    </w:p>
                  </w:txbxContent>
                </v:textbox>
              </v:rect>
            </w:pict>
          </mc:Fallback>
        </mc:AlternateContent>
      </w:r>
    </w:p>
    <w:p w14:paraId="560E05D7" w14:textId="77777777" w:rsidR="00CE54A7" w:rsidRPr="00F93884" w:rsidRDefault="00CE54A7" w:rsidP="00F93884">
      <w:pPr>
        <w:spacing w:before="240" w:after="360" w:line="360" w:lineRule="auto"/>
        <w:jc w:val="center"/>
        <w:rPr>
          <w:rFonts w:ascii="Palatino Linotype" w:eastAsia="Palatino Linotype" w:hAnsi="Palatino Linotype" w:cs="Palatino Linotype"/>
        </w:rPr>
      </w:pPr>
      <w:r w:rsidRPr="00F93884">
        <w:rPr>
          <w:rFonts w:ascii="Calibri" w:eastAsia="Calibri" w:hAnsi="Calibri" w:cs="Calibri"/>
          <w:noProof/>
          <w:sz w:val="22"/>
          <w:szCs w:val="22"/>
        </w:rPr>
        <w:lastRenderedPageBreak/>
        <w:drawing>
          <wp:inline distT="0" distB="0" distL="0" distR="0" wp14:anchorId="4999688F" wp14:editId="1D4D0141">
            <wp:extent cx="3095826" cy="3762619"/>
            <wp:effectExtent l="0" t="0" r="0" b="0"/>
            <wp:docPr id="133" name="image7.png" descr="Interfaz de usuario gráfic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7.png" descr="Interfaz de usuario gráfica&#10;&#10;Descripción generada automáticamente"/>
                    <pic:cNvPicPr preferRelativeResize="0"/>
                  </pic:nvPicPr>
                  <pic:blipFill>
                    <a:blip r:embed="rId15"/>
                    <a:srcRect l="34623" t="19010" r="36354" b="13095"/>
                    <a:stretch>
                      <a:fillRect/>
                    </a:stretch>
                  </pic:blipFill>
                  <pic:spPr>
                    <a:xfrm>
                      <a:off x="0" y="0"/>
                      <a:ext cx="3095826" cy="3762619"/>
                    </a:xfrm>
                    <a:prstGeom prst="rect">
                      <a:avLst/>
                    </a:prstGeom>
                    <a:ln/>
                  </pic:spPr>
                </pic:pic>
              </a:graphicData>
            </a:graphic>
          </wp:inline>
        </w:drawing>
      </w:r>
    </w:p>
    <w:p w14:paraId="7302F2C0" w14:textId="77777777" w:rsidR="00CE54A7" w:rsidRPr="00F93884" w:rsidRDefault="00CE54A7"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En estas condiciones, resulta claro que la información de mérito es generada en ejercicio de las atribuciones del </w:t>
      </w:r>
      <w:r w:rsidRPr="00F93884">
        <w:rPr>
          <w:rFonts w:ascii="Palatino Linotype" w:eastAsia="Palatino Linotype" w:hAnsi="Palatino Linotype" w:cs="Palatino Linotype"/>
          <w:b/>
        </w:rPr>
        <w:t>SUJETO OBLIGADO</w:t>
      </w:r>
      <w:r w:rsidRPr="00F93884">
        <w:rPr>
          <w:rFonts w:ascii="Palatino Linotype" w:eastAsia="Palatino Linotype" w:hAnsi="Palatino Linotype" w:cs="Palatino Linotype"/>
        </w:rPr>
        <w:t xml:space="preserve"> de acuerdo a lo dispuesto por los artículos cuatro, segundo párrafo y doce, segundo párrafo de la Ley de Transparencia y Acceso a la Información Pública del Estado de México y Municipios; consecuentemente debe obrar en sus archivos de conformidad a lo que señala el artículo diecinueve de la multicitada ley que establece que debe presumirse la existencia de la información, si se refiere a las facultades, competencias y funciones que los ordenamientos jurídicos aplicables otorgan a los Sujetos Obligados.</w:t>
      </w:r>
    </w:p>
    <w:p w14:paraId="5327B44C" w14:textId="77777777" w:rsidR="00CE54A7" w:rsidRPr="00F93884" w:rsidRDefault="00CE54A7" w:rsidP="00F93884">
      <w:pPr>
        <w:spacing w:line="360" w:lineRule="auto"/>
        <w:jc w:val="both"/>
        <w:rPr>
          <w:rFonts w:ascii="Palatino Linotype" w:eastAsia="Palatino Linotype" w:hAnsi="Palatino Linotype" w:cs="Palatino Linotype"/>
        </w:rPr>
      </w:pPr>
    </w:p>
    <w:p w14:paraId="353CADE3" w14:textId="77777777" w:rsidR="00CE54A7" w:rsidRPr="00F93884" w:rsidRDefault="00CE54A7"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lastRenderedPageBreak/>
        <w:t>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siete y veintitrés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73E7B4FA"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rPr>
      </w:pPr>
    </w:p>
    <w:p w14:paraId="1B16E105"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57C33C94"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Artículo 23. Son sujetos obligados a transparentar y permitir el acceso a su información y proteger los datos personales que obren en su poder:</w:t>
      </w:r>
    </w:p>
    <w:p w14:paraId="77F7E9B5"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w:t>
      </w:r>
    </w:p>
    <w:p w14:paraId="7CCDACD3"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IV. Los ayuntamientos y las dependencias, organismos, órganos y entidades de la administración municipal;</w:t>
      </w:r>
    </w:p>
    <w:p w14:paraId="796C2664"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w:t>
      </w:r>
    </w:p>
    <w:p w14:paraId="4509C164"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24CE4EF"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lastRenderedPageBreak/>
        <w:t>Los servidores públicos deberán transparentar sus acciones así como garantizar y respetar el derecho de acceso a la información pública.</w:t>
      </w:r>
    </w:p>
    <w:p w14:paraId="7AF762DD"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F98A168" w14:textId="77777777" w:rsidR="00CE54A7" w:rsidRPr="00F93884" w:rsidRDefault="00CE54A7" w:rsidP="00F93884">
      <w:pPr>
        <w:spacing w:after="160"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w:t>
      </w:r>
      <w:r w:rsidRPr="00F93884">
        <w:rPr>
          <w:rFonts w:ascii="Palatino Linotype" w:eastAsia="Palatino Linotype" w:hAnsi="Palatino Linotype" w:cs="Palatino Linotype"/>
          <w:b/>
        </w:rPr>
        <w:t>01/2003</w:t>
      </w:r>
      <w:r w:rsidRPr="00F93884">
        <w:rPr>
          <w:rFonts w:ascii="Palatino Linotype" w:eastAsia="Palatino Linotype" w:hAnsi="Palatino Linotype" w:cs="Palatino Linotype"/>
        </w:rPr>
        <w:t xml:space="preserve"> y </w:t>
      </w:r>
      <w:r w:rsidRPr="00F93884">
        <w:rPr>
          <w:rFonts w:ascii="Palatino Linotype" w:eastAsia="Palatino Linotype" w:hAnsi="Palatino Linotype" w:cs="Palatino Linotype"/>
          <w:b/>
        </w:rPr>
        <w:t>02/2003</w:t>
      </w:r>
      <w:r w:rsidRPr="00F93884">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14:paraId="1D750CFE"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E8029A4"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F93884">
        <w:rPr>
          <w:rFonts w:ascii="Palatino Linotype" w:eastAsia="Palatino Linotype" w:hAnsi="Palatino Linotype" w:cs="Palatino Linotype"/>
          <w:b/>
          <w:i/>
          <w:sz w:val="22"/>
          <w:szCs w:val="22"/>
        </w:rPr>
        <w:t>Criterio 01/2003.</w:t>
      </w:r>
    </w:p>
    <w:p w14:paraId="05CA495B"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F93884">
        <w:rPr>
          <w:rFonts w:ascii="Palatino Linotype" w:eastAsia="Palatino Linotype" w:hAnsi="Palatino Linotype" w:cs="Palatino Linotype"/>
          <w:i/>
          <w:sz w:val="22"/>
          <w:szCs w:val="22"/>
        </w:rPr>
        <w:t xml:space="preserve"> </w:t>
      </w:r>
    </w:p>
    <w:p w14:paraId="3C6CD431"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F93884">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F93884">
        <w:rPr>
          <w:rFonts w:ascii="Palatino Linotype" w:eastAsia="Palatino Linotype" w:hAnsi="Palatino Linotype" w:cs="Palatino Linotype"/>
          <w:b/>
          <w:i/>
          <w:sz w:val="22"/>
          <w:szCs w:val="22"/>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3615351E"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w:t>
      </w:r>
    </w:p>
    <w:p w14:paraId="66A38727" w14:textId="3BC6E03A" w:rsidR="00CE54A7"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794DEEB" w14:textId="0538D303" w:rsidR="00F93884" w:rsidRDefault="00F93884"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003D44E" w14:textId="5DF4B9B5" w:rsidR="00F93884" w:rsidRDefault="00F93884"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0853AE2" w14:textId="77777777" w:rsidR="00F93884" w:rsidRPr="00F93884" w:rsidRDefault="00F93884"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A84D968"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F93884">
        <w:rPr>
          <w:rFonts w:ascii="Palatino Linotype" w:eastAsia="Palatino Linotype" w:hAnsi="Palatino Linotype" w:cs="Palatino Linotype"/>
          <w:b/>
          <w:i/>
          <w:sz w:val="22"/>
          <w:szCs w:val="22"/>
        </w:rPr>
        <w:lastRenderedPageBreak/>
        <w:t>Criterio 02/2003.</w:t>
      </w:r>
    </w:p>
    <w:p w14:paraId="45953662"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F93884">
        <w:rPr>
          <w:rFonts w:ascii="Palatino Linotype" w:eastAsia="Palatino Linotype" w:hAnsi="Palatino Linotype" w:cs="Palatino Linotype"/>
          <w:i/>
          <w:sz w:val="22"/>
          <w:szCs w:val="22"/>
        </w:rPr>
        <w:t xml:space="preserve"> </w:t>
      </w:r>
    </w:p>
    <w:p w14:paraId="08543202"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F93884">
        <w:rPr>
          <w:rFonts w:ascii="Palatino Linotype" w:eastAsia="Palatino Linotype" w:hAnsi="Palatino Linotype" w:cs="Palatino Linotype"/>
          <w:b/>
          <w:i/>
          <w:sz w:val="22"/>
          <w:szCs w:val="22"/>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3884">
        <w:rPr>
          <w:rFonts w:ascii="Palatino Linotype" w:eastAsia="Palatino Linotype" w:hAnsi="Palatino Linotype" w:cs="Palatino Linotype"/>
          <w:i/>
          <w:sz w:val="22"/>
          <w:szCs w:val="22"/>
        </w:rPr>
        <w:t xml:space="preserve"> el sistema de compensación…</w:t>
      </w:r>
    </w:p>
    <w:p w14:paraId="210F397D" w14:textId="77777777" w:rsidR="00CE54A7" w:rsidRPr="00F93884" w:rsidRDefault="00CE54A7"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w:t>
      </w:r>
    </w:p>
    <w:p w14:paraId="601D442E" w14:textId="77777777" w:rsidR="00CE54A7" w:rsidRPr="00F93884" w:rsidRDefault="00CE54A7" w:rsidP="00F93884">
      <w:pPr>
        <w:pBdr>
          <w:top w:val="nil"/>
          <w:left w:val="nil"/>
          <w:bottom w:val="nil"/>
          <w:right w:val="nil"/>
          <w:between w:val="nil"/>
        </w:pBdr>
        <w:ind w:right="864"/>
        <w:jc w:val="both"/>
        <w:rPr>
          <w:rFonts w:ascii="Palatino Linotype" w:eastAsia="Palatino Linotype" w:hAnsi="Palatino Linotype" w:cs="Palatino Linotype"/>
          <w:i/>
          <w:sz w:val="22"/>
          <w:szCs w:val="22"/>
        </w:rPr>
      </w:pPr>
    </w:p>
    <w:p w14:paraId="5DCD7565" w14:textId="03A5120C" w:rsidR="00CE54A7" w:rsidRPr="00F93884" w:rsidRDefault="00CE54A7" w:rsidP="00F93884">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De lo anterior destaca que </w:t>
      </w:r>
      <w:r w:rsidRPr="00F93884">
        <w:rPr>
          <w:rFonts w:ascii="Palatino Linotype" w:eastAsia="Palatino Linotype" w:hAnsi="Palatino Linotype" w:cs="Palatino Linotype"/>
          <w:b/>
        </w:rPr>
        <w:t>EL SUJETO OBLIGADO</w:t>
      </w:r>
      <w:r w:rsidR="005956B2" w:rsidRPr="00F93884">
        <w:rPr>
          <w:rFonts w:ascii="Palatino Linotype" w:eastAsia="Palatino Linotype" w:hAnsi="Palatino Linotype" w:cs="Palatino Linotype"/>
        </w:rPr>
        <w:t xml:space="preserve"> debe dar cumplimiento a lo </w:t>
      </w:r>
      <w:r w:rsidRPr="00F93884">
        <w:rPr>
          <w:rFonts w:ascii="Palatino Linotype" w:eastAsia="Palatino Linotype" w:hAnsi="Palatino Linotype" w:cs="Palatino Linotype"/>
        </w:rPr>
        <w:t xml:space="preserve">requerido por </w:t>
      </w:r>
      <w:r w:rsidRPr="00F93884">
        <w:rPr>
          <w:rFonts w:ascii="Palatino Linotype" w:eastAsia="Palatino Linotype" w:hAnsi="Palatino Linotype" w:cs="Palatino Linotype"/>
          <w:b/>
        </w:rPr>
        <w:t>LA PARTE RECURRENTE</w:t>
      </w:r>
      <w:r w:rsidRPr="00F93884">
        <w:rPr>
          <w:rFonts w:ascii="Palatino Linotype" w:eastAsia="Palatino Linotype" w:hAnsi="Palatino Linotype" w:cs="Palatino Linotype"/>
        </w:rPr>
        <w:t xml:space="preserve"> en razón de que cuenta con las facultades expresas para ello, sin embargo, el Ayuntamiento de Zinacantepec no negó contar con la información al grado de detalle establecido por </w:t>
      </w:r>
      <w:r w:rsidRPr="00F93884">
        <w:rPr>
          <w:rFonts w:ascii="Palatino Linotype" w:eastAsia="Palatino Linotype" w:hAnsi="Palatino Linotype" w:cs="Palatino Linotype"/>
          <w:b/>
        </w:rPr>
        <w:t>LA PARTE RECURRENTE</w:t>
      </w:r>
      <w:r w:rsidRPr="00F93884">
        <w:rPr>
          <w:rFonts w:ascii="Palatino Linotype" w:eastAsia="Palatino Linotype" w:hAnsi="Palatino Linotype" w:cs="Palatino Linotype"/>
        </w:rPr>
        <w:t xml:space="preserve"> como fue los “… </w:t>
      </w:r>
      <w:r w:rsidRPr="00F93884">
        <w:rPr>
          <w:rFonts w:ascii="Palatino Linotype" w:eastAsia="Palatino Linotype" w:hAnsi="Palatino Linotype" w:cs="Palatino Linotype"/>
          <w:i/>
        </w:rPr>
        <w:t xml:space="preserve">recibos de </w:t>
      </w:r>
      <w:proofErr w:type="spellStart"/>
      <w:r w:rsidRPr="00F93884">
        <w:rPr>
          <w:rFonts w:ascii="Palatino Linotype" w:eastAsia="Palatino Linotype" w:hAnsi="Palatino Linotype" w:cs="Palatino Linotype"/>
          <w:i/>
        </w:rPr>
        <w:t>nomina</w:t>
      </w:r>
      <w:proofErr w:type="spellEnd"/>
      <w:r w:rsidRPr="00F93884">
        <w:rPr>
          <w:rFonts w:ascii="Palatino Linotype" w:eastAsia="Palatino Linotype" w:hAnsi="Palatino Linotype" w:cs="Palatino Linotype"/>
          <w:i/>
        </w:rPr>
        <w:t xml:space="preserve">…” (Sic) </w:t>
      </w:r>
      <w:r w:rsidRPr="00F93884">
        <w:rPr>
          <w:rFonts w:ascii="Palatino Linotype" w:eastAsia="Palatino Linotype" w:hAnsi="Palatino Linotype" w:cs="Palatino Linotype"/>
        </w:rPr>
        <w:t xml:space="preserve">sino todo lo contrario, </w:t>
      </w:r>
      <w:r w:rsidR="00961E5E" w:rsidRPr="00F93884">
        <w:rPr>
          <w:rFonts w:ascii="Palatino Linotype" w:eastAsia="Palatino Linotype" w:hAnsi="Palatino Linotype" w:cs="Palatino Linotype"/>
        </w:rPr>
        <w:t>por lo que debe</w:t>
      </w:r>
      <w:r w:rsidRPr="00F93884">
        <w:rPr>
          <w:rFonts w:ascii="Palatino Linotype" w:eastAsia="Palatino Linotype" w:hAnsi="Palatino Linotype" w:cs="Palatino Linotype"/>
        </w:rPr>
        <w:t xml:space="preserve"> dar cumplimentar con la información en el estado en que se halle dentro de sus archivos. </w:t>
      </w:r>
    </w:p>
    <w:p w14:paraId="2E1D97FB" w14:textId="77777777" w:rsidR="00CE54A7" w:rsidRPr="00F93884" w:rsidRDefault="00CE54A7" w:rsidP="00F93884">
      <w:pPr>
        <w:spacing w:line="360" w:lineRule="auto"/>
        <w:ind w:right="49"/>
        <w:jc w:val="both"/>
        <w:rPr>
          <w:rFonts w:ascii="Palatino Linotype" w:eastAsia="Palatino Linotype" w:hAnsi="Palatino Linotype" w:cs="Palatino Linotype"/>
          <w:b/>
        </w:rPr>
      </w:pPr>
    </w:p>
    <w:p w14:paraId="081ECFBB" w14:textId="2F560E83" w:rsidR="004C6F65" w:rsidRPr="00F93884" w:rsidRDefault="005956B2" w:rsidP="00F93884">
      <w:pPr>
        <w:spacing w:line="360" w:lineRule="auto"/>
        <w:ind w:right="49"/>
        <w:jc w:val="both"/>
        <w:rPr>
          <w:rFonts w:ascii="Palatino Linotype" w:eastAsia="Palatino Linotype" w:hAnsi="Palatino Linotype" w:cs="Palatino Linotype"/>
          <w:bCs/>
          <w:iCs/>
        </w:rPr>
      </w:pPr>
      <w:r w:rsidRPr="00F93884">
        <w:rPr>
          <w:rFonts w:ascii="Palatino Linotype" w:eastAsia="Palatino Linotype" w:hAnsi="Palatino Linotype" w:cs="Palatino Linotype"/>
        </w:rPr>
        <w:t xml:space="preserve">Por lo que respecta a la información requerida en la solicitud número </w:t>
      </w:r>
      <w:r w:rsidRPr="00F93884">
        <w:rPr>
          <w:rFonts w:ascii="Palatino Linotype" w:eastAsia="Palatino Linotype" w:hAnsi="Palatino Linotype" w:cs="Palatino Linotype"/>
          <w:b/>
        </w:rPr>
        <w:t xml:space="preserve">01156/ZINACANT/IP/2022 </w:t>
      </w:r>
      <w:r w:rsidR="004C6F65" w:rsidRPr="00F93884">
        <w:rPr>
          <w:rFonts w:ascii="Palatino Linotype" w:eastAsia="Palatino Linotype" w:hAnsi="Palatino Linotype" w:cs="Palatino Linotype"/>
        </w:rPr>
        <w:t xml:space="preserve">relativa a todos los </w:t>
      </w:r>
      <w:r w:rsidR="004C6F65" w:rsidRPr="00F93884">
        <w:rPr>
          <w:rFonts w:ascii="Palatino Linotype" w:eastAsia="Palatino Linotype" w:hAnsi="Palatino Linotype" w:cs="Palatino Linotype"/>
          <w:i/>
        </w:rPr>
        <w:t>recibos de nómina de los servidores públicos de la administración pública central, de la segunda quincena de octubre 2022,</w:t>
      </w:r>
      <w:r w:rsidR="004C6F65" w:rsidRPr="00F93884">
        <w:rPr>
          <w:rFonts w:ascii="Palatino Linotype" w:eastAsia="Palatino Linotype" w:hAnsi="Palatino Linotype" w:cs="Palatino Linotype"/>
        </w:rPr>
        <w:t xml:space="preserve"> atentos a lo anterior </w:t>
      </w:r>
      <w:r w:rsidR="004C6F65" w:rsidRPr="00F93884">
        <w:rPr>
          <w:rFonts w:ascii="Palatino Linotype" w:eastAsia="Palatino Linotype" w:hAnsi="Palatino Linotype" w:cs="Palatino Linotype"/>
          <w:bCs/>
          <w:iCs/>
        </w:rPr>
        <w:t xml:space="preserve">el Sujeto Obligado únicamente se encuentra constreñido a entregar los documentos como obren en sus archivos, por lo que, resulta inoperante solicitar </w:t>
      </w:r>
      <w:r w:rsidR="004C6F65" w:rsidRPr="00F93884">
        <w:rPr>
          <w:rFonts w:ascii="Palatino Linotype" w:eastAsia="Palatino Linotype" w:hAnsi="Palatino Linotype" w:cs="Palatino Linotype"/>
          <w:bCs/>
          <w:iCs/>
        </w:rPr>
        <w:lastRenderedPageBreak/>
        <w:t>información de hechos o actos futuros, esto es, toda vez que la solicitud ingreso el veintisiete de octubre del dos mil veintidós, y requiere información a la segunda quincena es decir del dieciséis al treinta y uno de octubre de dos mil veintidós.</w:t>
      </w:r>
    </w:p>
    <w:p w14:paraId="69417FF8" w14:textId="0E2BF36A" w:rsidR="005956B2" w:rsidRPr="00F93884" w:rsidRDefault="005956B2" w:rsidP="00F93884">
      <w:pPr>
        <w:spacing w:line="360" w:lineRule="auto"/>
        <w:ind w:right="49"/>
        <w:jc w:val="both"/>
        <w:rPr>
          <w:rFonts w:ascii="Palatino Linotype" w:eastAsia="Palatino Linotype" w:hAnsi="Palatino Linotype" w:cs="Palatino Linotype"/>
          <w:bCs/>
          <w:iCs/>
        </w:rPr>
      </w:pPr>
    </w:p>
    <w:p w14:paraId="405C4E6D" w14:textId="01D6BF0F" w:rsidR="00AD2252" w:rsidRPr="00F93884" w:rsidRDefault="001929CF" w:rsidP="00F93884">
      <w:pPr>
        <w:tabs>
          <w:tab w:val="left" w:pos="709"/>
        </w:tabs>
        <w:spacing w:line="360" w:lineRule="auto"/>
        <w:ind w:right="49"/>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En consecuencia con la finalidad de privilegiar el derecho de acceso a la información pública del </w:t>
      </w:r>
      <w:r w:rsidRPr="00F93884">
        <w:rPr>
          <w:rFonts w:ascii="Palatino Linotype" w:eastAsia="Palatino Linotype" w:hAnsi="Palatino Linotype" w:cs="Palatino Linotype"/>
          <w:b/>
        </w:rPr>
        <w:t>RECURRENTE</w:t>
      </w:r>
      <w:r w:rsidRPr="00F93884">
        <w:rPr>
          <w:rFonts w:ascii="Palatino Linotype" w:eastAsia="Palatino Linotype" w:hAnsi="Palatino Linotype" w:cs="Palatino Linotype"/>
        </w:rPr>
        <w:t xml:space="preserve">, el Pleno de este Instituto, estima que las razones o motivos de inconformidad hechos valer por </w:t>
      </w:r>
      <w:r w:rsidRPr="00F93884">
        <w:rPr>
          <w:rFonts w:ascii="Palatino Linotype" w:eastAsia="Palatino Linotype" w:hAnsi="Palatino Linotype" w:cs="Palatino Linotype"/>
          <w:b/>
        </w:rPr>
        <w:t>EL RECURRENTE</w:t>
      </w:r>
      <w:r w:rsidRPr="00F93884">
        <w:rPr>
          <w:rFonts w:ascii="Palatino Linotype" w:eastAsia="Palatino Linotype" w:hAnsi="Palatino Linotype" w:cs="Palatino Linotype"/>
        </w:rPr>
        <w:t xml:space="preserve"> resultan fundadas y se determina</w:t>
      </w:r>
      <w:r w:rsidRPr="00F93884">
        <w:rPr>
          <w:rFonts w:ascii="Palatino Linotype" w:eastAsia="Palatino Linotype" w:hAnsi="Palatino Linotype" w:cs="Palatino Linotype"/>
          <w:b/>
        </w:rPr>
        <w:t xml:space="preserve"> </w:t>
      </w:r>
      <w:r w:rsidR="004C6F65" w:rsidRPr="00F93884">
        <w:rPr>
          <w:rFonts w:ascii="Palatino Linotype" w:eastAsia="Palatino Linotype" w:hAnsi="Palatino Linotype" w:cs="Palatino Linotype"/>
          <w:b/>
        </w:rPr>
        <w:t>ORDENAR</w:t>
      </w:r>
      <w:r w:rsidRPr="00F93884">
        <w:rPr>
          <w:rFonts w:ascii="Palatino Linotype" w:eastAsia="Palatino Linotype" w:hAnsi="Palatino Linotype" w:cs="Palatino Linotype"/>
          <w:b/>
        </w:rPr>
        <w:t xml:space="preserve"> </w:t>
      </w:r>
      <w:r w:rsidRPr="00F93884">
        <w:rPr>
          <w:rFonts w:ascii="Palatino Linotype" w:eastAsia="Palatino Linotype" w:hAnsi="Palatino Linotype" w:cs="Palatino Linotype"/>
        </w:rPr>
        <w:t xml:space="preserve"> la respuesta del </w:t>
      </w:r>
      <w:r w:rsidRPr="00F93884">
        <w:rPr>
          <w:rFonts w:ascii="Palatino Linotype" w:eastAsia="Palatino Linotype" w:hAnsi="Palatino Linotype" w:cs="Palatino Linotype"/>
          <w:b/>
        </w:rPr>
        <w:t>SUJETO OBLIGADO</w:t>
      </w:r>
      <w:r w:rsidRPr="00F93884">
        <w:rPr>
          <w:rFonts w:ascii="Palatino Linotype" w:eastAsia="Palatino Linotype" w:hAnsi="Palatino Linotype" w:cs="Palatino Linotype"/>
        </w:rPr>
        <w:t xml:space="preserve"> a la solicitud</w:t>
      </w:r>
      <w:r w:rsidR="00AD2252" w:rsidRPr="00F93884">
        <w:rPr>
          <w:rFonts w:ascii="Palatino Linotype" w:eastAsia="Palatino Linotype" w:hAnsi="Palatino Linotype" w:cs="Palatino Linotype"/>
        </w:rPr>
        <w:t xml:space="preserve"> de información recaída en </w:t>
      </w:r>
      <w:r w:rsidR="00595535" w:rsidRPr="00F93884">
        <w:rPr>
          <w:rFonts w:ascii="Palatino Linotype" w:eastAsia="Palatino Linotype" w:hAnsi="Palatino Linotype" w:cs="Palatino Linotype"/>
        </w:rPr>
        <w:t>el</w:t>
      </w:r>
      <w:r w:rsidRPr="00F93884">
        <w:rPr>
          <w:rFonts w:ascii="Palatino Linotype" w:eastAsia="Palatino Linotype" w:hAnsi="Palatino Linotype" w:cs="Palatino Linotype"/>
        </w:rPr>
        <w:t xml:space="preserve"> Recurso de Revisión número </w:t>
      </w:r>
      <w:r w:rsidR="00AD2252" w:rsidRPr="00F93884">
        <w:rPr>
          <w:rFonts w:ascii="Palatino Linotype" w:eastAsia="Palatino Linotype" w:hAnsi="Palatino Linotype" w:cs="Palatino Linotype"/>
          <w:b/>
        </w:rPr>
        <w:t>16977</w:t>
      </w:r>
      <w:r w:rsidRPr="00F93884">
        <w:rPr>
          <w:rFonts w:ascii="Palatino Linotype" w:eastAsia="Palatino Linotype" w:hAnsi="Palatino Linotype" w:cs="Palatino Linotype"/>
          <w:b/>
        </w:rPr>
        <w:t>/INFOEM/IP/RR/2022</w:t>
      </w:r>
      <w:r w:rsidR="00595535" w:rsidRPr="00F93884">
        <w:rPr>
          <w:rFonts w:ascii="Palatino Linotype" w:eastAsia="Palatino Linotype" w:hAnsi="Palatino Linotype" w:cs="Palatino Linotype"/>
          <w:b/>
        </w:rPr>
        <w:t xml:space="preserve"> </w:t>
      </w:r>
      <w:r w:rsidR="00AD2252" w:rsidRPr="00F93884">
        <w:rPr>
          <w:rFonts w:ascii="Palatino Linotype" w:eastAsia="Palatino Linotype" w:hAnsi="Palatino Linotype" w:cs="Palatino Linotype"/>
        </w:rPr>
        <w:t xml:space="preserve">por lo que es procedente </w:t>
      </w:r>
      <w:r w:rsidRPr="00F93884">
        <w:rPr>
          <w:rFonts w:ascii="Palatino Linotype" w:eastAsia="Palatino Linotype" w:hAnsi="Palatino Linotype" w:cs="Palatino Linotype"/>
        </w:rPr>
        <w:t xml:space="preserve">ordenar al </w:t>
      </w:r>
      <w:r w:rsidRPr="00F93884">
        <w:rPr>
          <w:rFonts w:ascii="Palatino Linotype" w:eastAsia="Palatino Linotype" w:hAnsi="Palatino Linotype" w:cs="Palatino Linotype"/>
          <w:b/>
        </w:rPr>
        <w:t xml:space="preserve">SUJETO OBLIGADO </w:t>
      </w:r>
      <w:r w:rsidRPr="00F93884">
        <w:rPr>
          <w:rFonts w:ascii="Palatino Linotype" w:eastAsia="Palatino Linotype" w:hAnsi="Palatino Linotype" w:cs="Palatino Linotype"/>
        </w:rPr>
        <w:t xml:space="preserve">entregue, mediante el sistema SAIMEX, en versión pública los recibos de pago por concepto de nómina </w:t>
      </w:r>
      <w:r w:rsidR="00C428DB" w:rsidRPr="00F93884">
        <w:rPr>
          <w:rFonts w:ascii="Palatino Linotype" w:eastAsia="Palatino Linotype" w:hAnsi="Palatino Linotype" w:cs="Palatino Linotype"/>
        </w:rPr>
        <w:t>de la Sín</w:t>
      </w:r>
      <w:r w:rsidR="00010462" w:rsidRPr="00F93884">
        <w:rPr>
          <w:rFonts w:ascii="Palatino Linotype" w:eastAsia="Palatino Linotype" w:hAnsi="Palatino Linotype" w:cs="Palatino Linotype"/>
        </w:rPr>
        <w:t xml:space="preserve">dico municipal del 1 de enero al quince de octubre de dos mil </w:t>
      </w:r>
      <w:r w:rsidR="00A33C4C" w:rsidRPr="00F93884">
        <w:rPr>
          <w:rFonts w:ascii="Palatino Linotype" w:eastAsia="Palatino Linotype" w:hAnsi="Palatino Linotype" w:cs="Palatino Linotype"/>
        </w:rPr>
        <w:t>veintidós</w:t>
      </w:r>
      <w:r w:rsidR="00595535" w:rsidRPr="00F93884">
        <w:rPr>
          <w:rFonts w:ascii="Palatino Linotype" w:eastAsia="Palatino Linotype" w:hAnsi="Palatino Linotype" w:cs="Palatino Linotype"/>
        </w:rPr>
        <w:t>.</w:t>
      </w:r>
    </w:p>
    <w:p w14:paraId="3039880F" w14:textId="77777777" w:rsidR="00AD2252" w:rsidRPr="00F93884" w:rsidRDefault="00AD2252" w:rsidP="00F93884">
      <w:pPr>
        <w:tabs>
          <w:tab w:val="left" w:pos="709"/>
        </w:tabs>
        <w:spacing w:line="360" w:lineRule="auto"/>
        <w:ind w:right="49"/>
        <w:jc w:val="both"/>
        <w:rPr>
          <w:rFonts w:ascii="Palatino Linotype" w:eastAsia="Palatino Linotype" w:hAnsi="Palatino Linotype" w:cs="Palatino Linotype"/>
        </w:rPr>
      </w:pPr>
    </w:p>
    <w:p w14:paraId="2A2586D6" w14:textId="77777777" w:rsidR="003C49AD" w:rsidRPr="00F93884" w:rsidRDefault="003C49AD" w:rsidP="00F93884">
      <w:pPr>
        <w:tabs>
          <w:tab w:val="left" w:pos="709"/>
        </w:tabs>
        <w:spacing w:line="360" w:lineRule="auto"/>
        <w:ind w:right="49"/>
        <w:jc w:val="both"/>
        <w:rPr>
          <w:rFonts w:ascii="Palatino Linotype" w:eastAsia="Palatino Linotype" w:hAnsi="Palatino Linotype" w:cs="Palatino Linotype"/>
          <w:b/>
        </w:rPr>
      </w:pPr>
      <w:r w:rsidRPr="00F93884">
        <w:rPr>
          <w:rFonts w:ascii="Palatino Linotype" w:eastAsia="Palatino Linotype" w:hAnsi="Palatino Linotype" w:cs="Palatino Linotype"/>
          <w:b/>
        </w:rPr>
        <w:t>De la versión Pública</w:t>
      </w:r>
    </w:p>
    <w:p w14:paraId="7CB27BFB" w14:textId="77777777" w:rsidR="003C49AD" w:rsidRPr="00F93884" w:rsidRDefault="003C49AD" w:rsidP="00F93884">
      <w:pPr>
        <w:tabs>
          <w:tab w:val="left" w:pos="709"/>
        </w:tabs>
        <w:spacing w:line="360" w:lineRule="auto"/>
        <w:ind w:right="49"/>
        <w:jc w:val="both"/>
        <w:rPr>
          <w:rFonts w:ascii="Palatino Linotype" w:eastAsia="Palatino Linotype" w:hAnsi="Palatino Linotype" w:cs="Palatino Linotype"/>
        </w:rPr>
      </w:pPr>
    </w:p>
    <w:p w14:paraId="664B4DE2" w14:textId="77777777" w:rsidR="003C49AD" w:rsidRPr="00F93884" w:rsidRDefault="003C49AD" w:rsidP="00F93884">
      <w:pPr>
        <w:spacing w:line="360" w:lineRule="auto"/>
        <w:ind w:right="51"/>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Como fue debidamente apuntado, </w:t>
      </w:r>
      <w:r w:rsidRPr="00F93884">
        <w:rPr>
          <w:rFonts w:ascii="Palatino Linotype" w:eastAsia="Palatino Linotype" w:hAnsi="Palatino Linotype" w:cs="Palatino Linotype"/>
          <w:b/>
        </w:rPr>
        <w:t>EL SUJETO OBLIGADO</w:t>
      </w:r>
      <w:r w:rsidRPr="00F93884">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71F7C11F" w14:textId="77777777" w:rsidR="003C49AD" w:rsidRPr="00F93884" w:rsidRDefault="003C49AD" w:rsidP="00F93884">
      <w:pPr>
        <w:spacing w:line="360" w:lineRule="auto"/>
        <w:ind w:right="51"/>
        <w:jc w:val="both"/>
        <w:rPr>
          <w:rFonts w:ascii="Palatino Linotype" w:eastAsia="Palatino Linotype" w:hAnsi="Palatino Linotype" w:cs="Palatino Linotype"/>
        </w:rPr>
      </w:pPr>
    </w:p>
    <w:p w14:paraId="48B8C34A" w14:textId="6230B9AE" w:rsidR="003C49AD" w:rsidRDefault="003C49AD" w:rsidP="00F93884">
      <w:pPr>
        <w:spacing w:line="360" w:lineRule="auto"/>
        <w:ind w:right="49"/>
        <w:jc w:val="both"/>
        <w:rPr>
          <w:rFonts w:ascii="Palatino Linotype" w:eastAsia="Palatino Linotype" w:hAnsi="Palatino Linotype" w:cs="Palatino Linotype"/>
        </w:rPr>
      </w:pPr>
      <w:r w:rsidRPr="00F93884">
        <w:rPr>
          <w:rFonts w:ascii="Palatino Linotype" w:eastAsia="Palatino Linotype" w:hAnsi="Palatino Linotype" w:cs="Palatino Linotype"/>
        </w:rPr>
        <w:lastRenderedPageBreak/>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0250304A" w14:textId="77777777" w:rsidR="00F93884" w:rsidRPr="00F93884" w:rsidRDefault="00F93884" w:rsidP="00F93884">
      <w:pPr>
        <w:spacing w:line="360" w:lineRule="auto"/>
        <w:ind w:right="49"/>
        <w:jc w:val="both"/>
        <w:rPr>
          <w:rFonts w:ascii="Palatino Linotype" w:eastAsia="Palatino Linotype" w:hAnsi="Palatino Linotype" w:cs="Palatino Linotype"/>
        </w:rPr>
      </w:pPr>
    </w:p>
    <w:p w14:paraId="7328BFA0" w14:textId="77777777" w:rsidR="003C49AD" w:rsidRPr="00F93884" w:rsidRDefault="003C49AD" w:rsidP="00F93884">
      <w:pPr>
        <w:spacing w:line="360" w:lineRule="auto"/>
        <w:ind w:right="49"/>
        <w:jc w:val="both"/>
        <w:rPr>
          <w:rFonts w:ascii="Palatino Linotype" w:eastAsia="Palatino Linotype" w:hAnsi="Palatino Linotype" w:cs="Palatino Linotype"/>
        </w:rPr>
      </w:pPr>
      <w:r w:rsidRPr="00F93884">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7D4C63D8" w14:textId="77777777" w:rsidR="003C49AD" w:rsidRPr="00F93884" w:rsidRDefault="003C49AD" w:rsidP="00F93884">
      <w:pPr>
        <w:spacing w:line="360" w:lineRule="auto"/>
        <w:ind w:right="49"/>
        <w:jc w:val="both"/>
        <w:rPr>
          <w:rFonts w:ascii="Palatino Linotype" w:eastAsia="Palatino Linotype" w:hAnsi="Palatino Linotype" w:cs="Palatino Linotype"/>
        </w:rPr>
      </w:pPr>
    </w:p>
    <w:p w14:paraId="769F4615" w14:textId="77777777" w:rsidR="003C49AD" w:rsidRPr="00F93884" w:rsidRDefault="003C49AD" w:rsidP="00F93884">
      <w:pPr>
        <w:spacing w:line="360" w:lineRule="auto"/>
        <w:ind w:right="49"/>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Al respecto, los artículos 3, fracciones IX, XX, XXI, XXXII, XLV; 6, 91, 137, 143 </w:t>
      </w:r>
      <w:proofErr w:type="gramStart"/>
      <w:r w:rsidRPr="00F93884">
        <w:rPr>
          <w:rFonts w:ascii="Palatino Linotype" w:eastAsia="Palatino Linotype" w:hAnsi="Palatino Linotype" w:cs="Palatino Linotype"/>
        </w:rPr>
        <w:t>fracción</w:t>
      </w:r>
      <w:proofErr w:type="gramEnd"/>
      <w:r w:rsidRPr="00F93884">
        <w:rPr>
          <w:rFonts w:ascii="Palatino Linotype" w:eastAsia="Palatino Linotype" w:hAnsi="Palatino Linotype" w:cs="Palatino Linotype"/>
        </w:rPr>
        <w:t xml:space="preserve"> I, de la Ley de Transparencia y Acceso a la Información Pública del Estado de México y Municipios vigente establecen:</w:t>
      </w:r>
    </w:p>
    <w:p w14:paraId="57509421" w14:textId="77777777" w:rsidR="003C49AD" w:rsidRPr="00F93884" w:rsidRDefault="003C49AD" w:rsidP="00F93884">
      <w:pPr>
        <w:ind w:left="864" w:right="864"/>
        <w:jc w:val="both"/>
        <w:rPr>
          <w:rFonts w:ascii="Palatino Linotype" w:eastAsia="Palatino Linotype" w:hAnsi="Palatino Linotype" w:cs="Palatino Linotype"/>
          <w:i/>
          <w:sz w:val="22"/>
          <w:szCs w:val="22"/>
        </w:rPr>
      </w:pPr>
    </w:p>
    <w:p w14:paraId="494FA39C"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 </w:t>
      </w:r>
      <w:r w:rsidRPr="00F93884">
        <w:rPr>
          <w:rFonts w:ascii="Palatino Linotype" w:eastAsia="Palatino Linotype" w:hAnsi="Palatino Linotype" w:cs="Palatino Linotype"/>
          <w:b/>
          <w:i/>
          <w:sz w:val="22"/>
          <w:szCs w:val="22"/>
        </w:rPr>
        <w:t>Artículo 3.</w:t>
      </w:r>
      <w:r w:rsidRPr="00F93884">
        <w:rPr>
          <w:rFonts w:ascii="Palatino Linotype" w:eastAsia="Palatino Linotype" w:hAnsi="Palatino Linotype" w:cs="Palatino Linotype"/>
          <w:i/>
          <w:sz w:val="22"/>
          <w:szCs w:val="22"/>
        </w:rPr>
        <w:t xml:space="preserve"> Para los efectos de la presente Ley se entenderá por:</w:t>
      </w:r>
    </w:p>
    <w:p w14:paraId="0F44678C"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w:t>
      </w:r>
    </w:p>
    <w:p w14:paraId="4E453176"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IX. Datos personales</w:t>
      </w:r>
      <w:r w:rsidRPr="00F93884">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4F876045"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w:t>
      </w:r>
    </w:p>
    <w:p w14:paraId="17852032"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XX. Información clasificada</w:t>
      </w:r>
      <w:r w:rsidRPr="00F93884">
        <w:rPr>
          <w:rFonts w:ascii="Palatino Linotype" w:eastAsia="Palatino Linotype" w:hAnsi="Palatino Linotype" w:cs="Palatino Linotype"/>
          <w:i/>
          <w:sz w:val="22"/>
          <w:szCs w:val="22"/>
        </w:rPr>
        <w:t>: Aquella considerada por la presente Ley como reservada o confidencial;</w:t>
      </w:r>
    </w:p>
    <w:p w14:paraId="6930CB92"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XXI. Información confidencial</w:t>
      </w:r>
      <w:r w:rsidRPr="00F93884">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FFE7CBB"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lastRenderedPageBreak/>
        <w:t>(…)</w:t>
      </w:r>
    </w:p>
    <w:p w14:paraId="3103B97F"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XXXII. Protección de Datos Personales</w:t>
      </w:r>
      <w:r w:rsidRPr="00F93884">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76F01360"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w:t>
      </w:r>
    </w:p>
    <w:p w14:paraId="73244CB2"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XLV. Versión pública</w:t>
      </w:r>
      <w:r w:rsidRPr="00F93884">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529F4E8F"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 Artículo 6</w:t>
      </w:r>
      <w:r w:rsidRPr="00F93884">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495B491"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 (…)</w:t>
      </w:r>
    </w:p>
    <w:p w14:paraId="3E3CF8BD"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Artículo 91.</w:t>
      </w:r>
      <w:r w:rsidRPr="00F93884">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41F513D"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w:t>
      </w:r>
    </w:p>
    <w:p w14:paraId="007C5E31"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Artículo 137.</w:t>
      </w:r>
      <w:r w:rsidRPr="00F93884">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E3626C9"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 Artículo 143.</w:t>
      </w:r>
      <w:r w:rsidRPr="00F93884">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3E7AD492"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I.</w:t>
      </w:r>
      <w:r w:rsidRPr="00F93884">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F93884">
        <w:rPr>
          <w:rFonts w:ascii="Palatino Linotype" w:eastAsia="Palatino Linotype" w:hAnsi="Palatino Linotype" w:cs="Palatino Linotype"/>
          <w:i/>
          <w:sz w:val="22"/>
          <w:szCs w:val="22"/>
        </w:rPr>
        <w:t>jurídico</w:t>
      </w:r>
      <w:proofErr w:type="gramEnd"/>
      <w:r w:rsidRPr="00F93884">
        <w:rPr>
          <w:rFonts w:ascii="Palatino Linotype" w:eastAsia="Palatino Linotype" w:hAnsi="Palatino Linotype" w:cs="Palatino Linotype"/>
          <w:i/>
          <w:sz w:val="22"/>
          <w:szCs w:val="22"/>
        </w:rPr>
        <w:t xml:space="preserve"> colectiva identificada o identificable;</w:t>
      </w:r>
    </w:p>
    <w:p w14:paraId="0939CB65"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w:t>
      </w:r>
    </w:p>
    <w:p w14:paraId="093C99D1" w14:textId="77777777" w:rsidR="003C49AD" w:rsidRPr="00F93884" w:rsidRDefault="003C49AD" w:rsidP="00F93884">
      <w:pPr>
        <w:spacing w:line="360" w:lineRule="auto"/>
        <w:ind w:right="50"/>
        <w:jc w:val="both"/>
        <w:rPr>
          <w:rFonts w:ascii="Palatino Linotype" w:eastAsia="Palatino Linotype" w:hAnsi="Palatino Linotype" w:cs="Palatino Linotype"/>
          <w:i/>
        </w:rPr>
      </w:pPr>
    </w:p>
    <w:p w14:paraId="74E59C46" w14:textId="77777777" w:rsidR="003C49AD" w:rsidRPr="00F93884" w:rsidRDefault="003C49AD" w:rsidP="00F93884">
      <w:pPr>
        <w:spacing w:line="360" w:lineRule="auto"/>
        <w:ind w:right="50"/>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w:t>
      </w:r>
      <w:r w:rsidRPr="00F93884">
        <w:rPr>
          <w:rFonts w:ascii="Palatino Linotype" w:eastAsia="Palatino Linotype" w:hAnsi="Palatino Linotype" w:cs="Palatino Linotype"/>
          <w:b/>
        </w:rPr>
        <w:t xml:space="preserve">EL SUJETO </w:t>
      </w:r>
      <w:r w:rsidRPr="00F93884">
        <w:rPr>
          <w:rFonts w:ascii="Palatino Linotype" w:eastAsia="Palatino Linotype" w:hAnsi="Palatino Linotype" w:cs="Palatino Linotype"/>
          <w:b/>
        </w:rPr>
        <w:lastRenderedPageBreak/>
        <w:t xml:space="preserve">OBLIGADO </w:t>
      </w:r>
      <w:r w:rsidRPr="00F93884">
        <w:rPr>
          <w:rFonts w:ascii="Palatino Linotype" w:eastAsia="Palatino Linotype" w:hAnsi="Palatino Linotype" w:cs="Palatino Linotype"/>
        </w:rPr>
        <w:t>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27A90FDC" w14:textId="77777777" w:rsidR="003C49AD" w:rsidRPr="00F93884" w:rsidRDefault="003C49AD" w:rsidP="00F93884">
      <w:pPr>
        <w:spacing w:line="360" w:lineRule="auto"/>
        <w:ind w:right="50"/>
        <w:jc w:val="both"/>
        <w:rPr>
          <w:rFonts w:ascii="Palatino Linotype" w:eastAsia="Palatino Linotype" w:hAnsi="Palatino Linotype" w:cs="Palatino Linotype"/>
        </w:rPr>
      </w:pPr>
    </w:p>
    <w:p w14:paraId="1BD22A17" w14:textId="77777777" w:rsidR="003C49AD" w:rsidRPr="00F93884" w:rsidRDefault="003C49AD" w:rsidP="00F93884">
      <w:pPr>
        <w:spacing w:line="360" w:lineRule="auto"/>
        <w:ind w:right="50"/>
        <w:jc w:val="both"/>
        <w:rPr>
          <w:rFonts w:ascii="Palatino Linotype" w:eastAsia="Palatino Linotype" w:hAnsi="Palatino Linotype" w:cs="Palatino Linotype"/>
        </w:rPr>
      </w:pPr>
      <w:r w:rsidRPr="00F93884">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8A56C8D" w14:textId="77777777" w:rsidR="003C49AD" w:rsidRPr="00F93884" w:rsidRDefault="003C49AD" w:rsidP="00F93884">
      <w:pPr>
        <w:spacing w:line="360" w:lineRule="auto"/>
        <w:ind w:right="50"/>
        <w:jc w:val="both"/>
        <w:rPr>
          <w:rFonts w:ascii="Palatino Linotype" w:eastAsia="Palatino Linotype" w:hAnsi="Palatino Linotype" w:cs="Palatino Linotype"/>
        </w:rPr>
      </w:pPr>
    </w:p>
    <w:p w14:paraId="2D423FE8" w14:textId="77777777" w:rsidR="003C49AD" w:rsidRPr="00F93884" w:rsidRDefault="003C49AD"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En el caso específico, dada la naturaleza de la información que se ordena, si bien tiene el carácter información pública en razón de que se trata de documentos que se encuentran en posesión del </w:t>
      </w:r>
      <w:r w:rsidRPr="00F93884">
        <w:rPr>
          <w:rFonts w:ascii="Palatino Linotype" w:eastAsia="Palatino Linotype" w:hAnsi="Palatino Linotype" w:cs="Palatino Linotype"/>
          <w:b/>
        </w:rPr>
        <w:t>SUJETO OBLIGADO</w:t>
      </w:r>
      <w:r w:rsidRPr="00F93884">
        <w:rPr>
          <w:rFonts w:ascii="Palatino Linotype" w:eastAsia="Palatino Linotype" w:hAnsi="Palatino Linotype" w:cs="Palatino Linotype"/>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w:t>
      </w:r>
      <w:r w:rsidRPr="00F93884">
        <w:rPr>
          <w:rFonts w:ascii="Palatino Linotype" w:eastAsia="Palatino Linotype" w:hAnsi="Palatino Linotype" w:cs="Palatino Linotype"/>
        </w:rPr>
        <w:lastRenderedPageBreak/>
        <w:t xml:space="preserve">se consideran confidenciales y por tanto deben testarse al momento de la elaboración de versiones públicas el </w:t>
      </w:r>
      <w:r w:rsidRPr="00F93884">
        <w:rPr>
          <w:rFonts w:ascii="Palatino Linotype" w:eastAsia="Palatino Linotype" w:hAnsi="Palatino Linotype" w:cs="Palatino Linotype"/>
          <w:b/>
        </w:rPr>
        <w:t>Registro Federal de Contribuyentes</w:t>
      </w:r>
      <w:r w:rsidRPr="00F93884">
        <w:rPr>
          <w:rFonts w:ascii="Palatino Linotype" w:eastAsia="Palatino Linotype" w:hAnsi="Palatino Linotype" w:cs="Palatino Linotype"/>
        </w:rPr>
        <w:t xml:space="preserve"> (RFC), la </w:t>
      </w:r>
      <w:r w:rsidRPr="00F93884">
        <w:rPr>
          <w:rFonts w:ascii="Palatino Linotype" w:eastAsia="Palatino Linotype" w:hAnsi="Palatino Linotype" w:cs="Palatino Linotype"/>
          <w:b/>
        </w:rPr>
        <w:t>Clave Única de Registro de Población</w:t>
      </w:r>
      <w:r w:rsidRPr="00F93884">
        <w:rPr>
          <w:rFonts w:ascii="Palatino Linotype" w:eastAsia="Palatino Linotype" w:hAnsi="Palatino Linotype" w:cs="Palatino Linotype"/>
        </w:rPr>
        <w:t xml:space="preserve"> (CURP), la </w:t>
      </w:r>
      <w:r w:rsidRPr="00F93884">
        <w:rPr>
          <w:rFonts w:ascii="Palatino Linotype" w:eastAsia="Palatino Linotype" w:hAnsi="Palatino Linotype" w:cs="Palatino Linotype"/>
          <w:b/>
        </w:rPr>
        <w:t>Clave de cualquier tipo de seguridad social</w:t>
      </w:r>
      <w:r w:rsidRPr="00F93884">
        <w:rPr>
          <w:rFonts w:ascii="Palatino Linotype" w:eastAsia="Palatino Linotype" w:hAnsi="Palatino Linotype" w:cs="Palatino Linotype"/>
        </w:rPr>
        <w:t xml:space="preserve"> (ISSEMYM, u otros), los </w:t>
      </w:r>
      <w:r w:rsidRPr="00F93884">
        <w:rPr>
          <w:rFonts w:ascii="Palatino Linotype" w:eastAsia="Palatino Linotype" w:hAnsi="Palatino Linotype" w:cs="Palatino Linotype"/>
          <w:b/>
        </w:rPr>
        <w:t>números de cuentas bancarias</w:t>
      </w:r>
      <w:r w:rsidRPr="00F93884">
        <w:rPr>
          <w:rFonts w:ascii="Palatino Linotype" w:eastAsia="Palatino Linotype" w:hAnsi="Palatino Linotype" w:cs="Palatino Linotype"/>
        </w:rPr>
        <w:t xml:space="preserve">, claves estandarizadas – interbancarias - (CLABES) y de tarjetas, los </w:t>
      </w:r>
      <w:r w:rsidRPr="00F93884">
        <w:rPr>
          <w:rFonts w:ascii="Palatino Linotype" w:eastAsia="Palatino Linotype" w:hAnsi="Palatino Linotype" w:cs="Palatino Linotype"/>
          <w:b/>
        </w:rPr>
        <w:t>préstamos o descuentos</w:t>
      </w:r>
      <w:r w:rsidRPr="00F93884">
        <w:rPr>
          <w:rFonts w:ascii="Palatino Linotype" w:eastAsia="Palatino Linotype" w:hAnsi="Palatino Linotype" w:cs="Palatino Linotype"/>
        </w:rPr>
        <w:t xml:space="preserve"> que se le hagan a la persona y que no tengan relación con los impuestos o la cuota por seguridad social, el</w:t>
      </w:r>
      <w:r w:rsidRPr="00F93884">
        <w:rPr>
          <w:rFonts w:ascii="Palatino Linotype" w:eastAsia="Palatino Linotype" w:hAnsi="Palatino Linotype" w:cs="Palatino Linotype"/>
          <w:b/>
        </w:rPr>
        <w:t xml:space="preserve"> número de empleado, </w:t>
      </w:r>
      <w:r w:rsidRPr="00F93884">
        <w:rPr>
          <w:rFonts w:ascii="Palatino Linotype" w:eastAsia="Palatino Linotype" w:hAnsi="Palatino Linotype" w:cs="Palatino Linotype"/>
        </w:rPr>
        <w:t xml:space="preserve">así como de ser el caso, el </w:t>
      </w:r>
      <w:r w:rsidRPr="00F93884">
        <w:rPr>
          <w:rFonts w:ascii="Palatino Linotype" w:eastAsia="Palatino Linotype" w:hAnsi="Palatino Linotype" w:cs="Palatino Linotype"/>
          <w:b/>
        </w:rPr>
        <w:t>folio fiscal</w:t>
      </w:r>
      <w:r w:rsidRPr="00F93884">
        <w:rPr>
          <w:rFonts w:ascii="Palatino Linotype" w:eastAsia="Palatino Linotype" w:hAnsi="Palatino Linotype" w:cs="Palatino Linotype"/>
        </w:rPr>
        <w:t xml:space="preserve">, la  </w:t>
      </w:r>
      <w:r w:rsidRPr="00F93884">
        <w:rPr>
          <w:rFonts w:ascii="Palatino Linotype" w:eastAsia="Palatino Linotype" w:hAnsi="Palatino Linotype" w:cs="Palatino Linotype"/>
          <w:b/>
        </w:rPr>
        <w:t xml:space="preserve">cadena original, </w:t>
      </w:r>
      <w:r w:rsidRPr="00F93884">
        <w:rPr>
          <w:rFonts w:ascii="Palatino Linotype" w:eastAsia="Palatino Linotype" w:hAnsi="Palatino Linotype" w:cs="Palatino Linotype"/>
        </w:rPr>
        <w:t>los</w:t>
      </w:r>
      <w:r w:rsidRPr="00F93884">
        <w:rPr>
          <w:rFonts w:ascii="Palatino Linotype" w:eastAsia="Palatino Linotype" w:hAnsi="Palatino Linotype" w:cs="Palatino Linotype"/>
          <w:b/>
        </w:rPr>
        <w:t xml:space="preserve"> códigos bidimensionales o códigos QR,</w:t>
      </w:r>
      <w:r w:rsidRPr="00F93884">
        <w:rPr>
          <w:rFonts w:ascii="Palatino Linotype" w:eastAsia="Palatino Linotype" w:hAnsi="Palatino Linotype" w:cs="Palatino Linotype"/>
        </w:rPr>
        <w:t xml:space="preserve"> y cualquier información de carácter fiscal, bajo las siguientes consideraciones. </w:t>
      </w:r>
    </w:p>
    <w:p w14:paraId="619A6339" w14:textId="77777777" w:rsidR="003C49AD" w:rsidRPr="00F93884" w:rsidRDefault="003C49AD" w:rsidP="00F93884">
      <w:pPr>
        <w:spacing w:line="360" w:lineRule="auto"/>
        <w:jc w:val="both"/>
        <w:rPr>
          <w:rFonts w:ascii="Palatino Linotype" w:eastAsia="Palatino Linotype" w:hAnsi="Palatino Linotype" w:cs="Palatino Linotype"/>
        </w:rPr>
      </w:pPr>
    </w:p>
    <w:p w14:paraId="7ADD6788" w14:textId="77777777" w:rsidR="003C49AD" w:rsidRPr="00F93884" w:rsidRDefault="003C49AD" w:rsidP="00F93884">
      <w:pPr>
        <w:spacing w:line="360" w:lineRule="auto"/>
        <w:ind w:right="50"/>
        <w:jc w:val="both"/>
        <w:rPr>
          <w:rFonts w:ascii="Palatino Linotype" w:eastAsia="Palatino Linotype" w:hAnsi="Palatino Linotype" w:cs="Palatino Linotype"/>
        </w:rPr>
      </w:pPr>
      <w:r w:rsidRPr="00F93884">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AD9C6D7" w14:textId="77777777" w:rsidR="003C49AD" w:rsidRPr="00F93884" w:rsidRDefault="003C49AD" w:rsidP="00F93884">
      <w:pPr>
        <w:spacing w:line="360" w:lineRule="auto"/>
        <w:ind w:right="50"/>
        <w:jc w:val="both"/>
        <w:rPr>
          <w:rFonts w:ascii="Palatino Linotype" w:eastAsia="Palatino Linotype" w:hAnsi="Palatino Linotype" w:cs="Palatino Linotype"/>
        </w:rPr>
      </w:pPr>
    </w:p>
    <w:p w14:paraId="2FADF874" w14:textId="595945D2" w:rsidR="003C49AD" w:rsidRDefault="003C49AD"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Por cuanto hace al Registro Federal de Contribuyentes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50D8794F" w14:textId="77777777" w:rsidR="00F93884" w:rsidRPr="00F93884" w:rsidRDefault="00F93884" w:rsidP="00F93884">
      <w:pPr>
        <w:spacing w:line="360" w:lineRule="auto"/>
        <w:jc w:val="both"/>
        <w:rPr>
          <w:rFonts w:ascii="Palatino Linotype" w:eastAsia="Palatino Linotype" w:hAnsi="Palatino Linotype" w:cs="Palatino Linotype"/>
        </w:rPr>
      </w:pPr>
    </w:p>
    <w:p w14:paraId="40214585" w14:textId="77777777" w:rsidR="003C49AD" w:rsidRPr="00F93884" w:rsidRDefault="003C49AD"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774CED0" w14:textId="77777777" w:rsidR="003C49AD" w:rsidRPr="00F93884" w:rsidRDefault="003C49AD" w:rsidP="00F93884">
      <w:pPr>
        <w:spacing w:line="360" w:lineRule="auto"/>
        <w:jc w:val="both"/>
        <w:rPr>
          <w:rFonts w:ascii="Palatino Linotype" w:eastAsia="Palatino Linotype" w:hAnsi="Palatino Linotype" w:cs="Palatino Linotype"/>
        </w:rPr>
      </w:pPr>
    </w:p>
    <w:p w14:paraId="372EF70D" w14:textId="77777777" w:rsidR="003C49AD" w:rsidRPr="00F93884" w:rsidRDefault="003C49AD"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Lo anterior es compartido por el Instituto Nacional de Transparencia, Acceso a la Información y Protección de Datos Personales, INAI, a través del Criterio 19/17, el cual es del tenor literal siguiente:</w:t>
      </w:r>
    </w:p>
    <w:p w14:paraId="1FC8805F" w14:textId="77777777" w:rsidR="003C49AD" w:rsidRPr="00F93884" w:rsidRDefault="003C49AD" w:rsidP="00F93884">
      <w:pPr>
        <w:spacing w:line="259" w:lineRule="auto"/>
        <w:ind w:left="864" w:right="864"/>
        <w:jc w:val="both"/>
        <w:rPr>
          <w:rFonts w:ascii="Palatino Linotype" w:eastAsia="Palatino Linotype" w:hAnsi="Palatino Linotype" w:cs="Palatino Linotype"/>
          <w:i/>
          <w:sz w:val="22"/>
          <w:szCs w:val="22"/>
        </w:rPr>
      </w:pPr>
    </w:p>
    <w:p w14:paraId="69F17D66" w14:textId="77777777" w:rsidR="003C49AD" w:rsidRPr="00F93884" w:rsidRDefault="003C49AD" w:rsidP="00F93884">
      <w:pPr>
        <w:spacing w:line="259" w:lineRule="auto"/>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 xml:space="preserve"> Registro Federal de Contribuyentes (RFC) de personas físicas</w:t>
      </w:r>
      <w:r w:rsidRPr="00F93884">
        <w:rPr>
          <w:rFonts w:ascii="Palatino Linotype" w:eastAsia="Palatino Linotype" w:hAnsi="Palatino Linotype" w:cs="Palatino Linotype"/>
          <w:i/>
          <w:sz w:val="22"/>
          <w:szCs w:val="22"/>
        </w:rPr>
        <w:t xml:space="preserve">. El RFC es una clave de carácter fiscal, </w:t>
      </w:r>
      <w:proofErr w:type="gramStart"/>
      <w:r w:rsidRPr="00F93884">
        <w:rPr>
          <w:rFonts w:ascii="Palatino Linotype" w:eastAsia="Palatino Linotype" w:hAnsi="Palatino Linotype" w:cs="Palatino Linotype"/>
          <w:i/>
          <w:sz w:val="22"/>
          <w:szCs w:val="22"/>
        </w:rPr>
        <w:t>única</w:t>
      </w:r>
      <w:proofErr w:type="gramEnd"/>
      <w:r w:rsidRPr="00F93884">
        <w:rPr>
          <w:rFonts w:ascii="Palatino Linotype" w:eastAsia="Palatino Linotype" w:hAnsi="Palatino Linotype" w:cs="Palatino Linotype"/>
          <w:i/>
          <w:sz w:val="22"/>
          <w:szCs w:val="22"/>
        </w:rPr>
        <w:t xml:space="preserve"> e irrepetible, que permite identificar al titular, su edad y fecha de nacimiento, por lo que es un dato personal de carácter confidencial.</w:t>
      </w:r>
    </w:p>
    <w:p w14:paraId="7064976E" w14:textId="77777777" w:rsidR="003C49AD" w:rsidRPr="00F93884" w:rsidRDefault="003C49AD" w:rsidP="00F93884">
      <w:pPr>
        <w:spacing w:line="259" w:lineRule="auto"/>
        <w:ind w:left="864" w:right="864"/>
        <w:jc w:val="both"/>
        <w:rPr>
          <w:rFonts w:ascii="Palatino Linotype" w:eastAsia="Palatino Linotype" w:hAnsi="Palatino Linotype" w:cs="Palatino Linotype"/>
          <w:i/>
          <w:sz w:val="22"/>
          <w:szCs w:val="22"/>
        </w:rPr>
      </w:pPr>
    </w:p>
    <w:p w14:paraId="5E124DF2" w14:textId="77777777" w:rsidR="003C49AD" w:rsidRPr="00F93884" w:rsidRDefault="003C49AD" w:rsidP="00F93884">
      <w:pPr>
        <w:pBdr>
          <w:top w:val="nil"/>
          <w:left w:val="nil"/>
          <w:bottom w:val="nil"/>
          <w:right w:val="nil"/>
          <w:between w:val="nil"/>
        </w:pBd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06509D6D" w14:textId="77777777" w:rsidR="008D7F89" w:rsidRPr="00F93884" w:rsidRDefault="008D7F89" w:rsidP="00F93884">
      <w:pPr>
        <w:pBdr>
          <w:top w:val="nil"/>
          <w:left w:val="nil"/>
          <w:bottom w:val="nil"/>
          <w:right w:val="nil"/>
          <w:between w:val="nil"/>
        </w:pBdr>
        <w:spacing w:line="360" w:lineRule="auto"/>
        <w:jc w:val="both"/>
        <w:rPr>
          <w:rFonts w:ascii="Palatino Linotype" w:eastAsia="Palatino Linotype" w:hAnsi="Palatino Linotype" w:cs="Palatino Linotype"/>
        </w:rPr>
      </w:pPr>
    </w:p>
    <w:p w14:paraId="7F4527D5" w14:textId="77777777" w:rsidR="003C49AD" w:rsidRPr="00F93884" w:rsidRDefault="003C49AD" w:rsidP="00F93884">
      <w:pPr>
        <w:pBdr>
          <w:top w:val="nil"/>
          <w:left w:val="nil"/>
          <w:bottom w:val="nil"/>
          <w:right w:val="nil"/>
          <w:between w:val="nil"/>
        </w:pBd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De igual manera la Clave Única de Registro de Población, CURP, constituye un dato personal, ya que tiene como finalidad registrar a cada una de las personas que integran </w:t>
      </w:r>
      <w:r w:rsidRPr="00F93884">
        <w:rPr>
          <w:rFonts w:ascii="Palatino Linotype" w:eastAsia="Palatino Linotype" w:hAnsi="Palatino Linotype" w:cs="Palatino Linotype"/>
        </w:rPr>
        <w:lastRenderedPageBreak/>
        <w:t>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1B161E4D" w14:textId="77777777" w:rsidR="003C49AD" w:rsidRPr="00F93884" w:rsidRDefault="003C49AD" w:rsidP="00F93884">
      <w:pPr>
        <w:pBdr>
          <w:top w:val="nil"/>
          <w:left w:val="nil"/>
          <w:bottom w:val="nil"/>
          <w:right w:val="nil"/>
          <w:between w:val="nil"/>
        </w:pBdr>
        <w:spacing w:line="360" w:lineRule="auto"/>
        <w:jc w:val="both"/>
        <w:rPr>
          <w:rFonts w:ascii="Palatino Linotype" w:eastAsia="Palatino Linotype" w:hAnsi="Palatino Linotype" w:cs="Palatino Linotype"/>
          <w:sz w:val="16"/>
          <w:szCs w:val="16"/>
        </w:rPr>
      </w:pPr>
    </w:p>
    <w:p w14:paraId="3A9536A1" w14:textId="77777777" w:rsidR="003C49AD" w:rsidRPr="00F93884" w:rsidRDefault="003C49AD" w:rsidP="00F93884">
      <w:pPr>
        <w:pBdr>
          <w:top w:val="nil"/>
          <w:left w:val="nil"/>
          <w:bottom w:val="nil"/>
          <w:right w:val="nil"/>
          <w:between w:val="nil"/>
        </w:pBd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Argumento que es compartido por el Instituto Nacional de Transparencia, Acceso a la Información y Protección de Datos Personales, INAI, conforme al criterio 18/17, el cual refiere:</w:t>
      </w:r>
    </w:p>
    <w:p w14:paraId="095DA358" w14:textId="77777777" w:rsidR="003C49AD" w:rsidRPr="00F93884" w:rsidRDefault="003C49AD" w:rsidP="00F93884">
      <w:pPr>
        <w:spacing w:line="259" w:lineRule="auto"/>
        <w:ind w:left="864" w:right="864"/>
        <w:jc w:val="both"/>
        <w:rPr>
          <w:rFonts w:ascii="Palatino Linotype" w:eastAsia="Palatino Linotype" w:hAnsi="Palatino Linotype" w:cs="Palatino Linotype"/>
          <w:i/>
          <w:sz w:val="16"/>
          <w:szCs w:val="16"/>
        </w:rPr>
      </w:pPr>
      <w:r w:rsidRPr="00F93884">
        <w:rPr>
          <w:rFonts w:ascii="Calibri" w:eastAsia="Calibri" w:hAnsi="Calibri" w:cs="Calibri"/>
          <w:i/>
          <w:sz w:val="16"/>
          <w:szCs w:val="16"/>
        </w:rPr>
        <w:t xml:space="preserve"> </w:t>
      </w:r>
    </w:p>
    <w:p w14:paraId="68502D2D" w14:textId="77777777" w:rsidR="003C49AD" w:rsidRPr="00F93884" w:rsidRDefault="003C49AD" w:rsidP="00F93884">
      <w:pPr>
        <w:spacing w:line="259" w:lineRule="auto"/>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Clave Única de Registro de Población (CURP).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6E1F8C1" w14:textId="77777777" w:rsidR="003C49AD" w:rsidRPr="00F93884" w:rsidRDefault="003C49AD" w:rsidP="00F93884">
      <w:pPr>
        <w:spacing w:line="259" w:lineRule="auto"/>
        <w:ind w:right="864"/>
        <w:jc w:val="both"/>
        <w:rPr>
          <w:rFonts w:ascii="Palatino Linotype" w:eastAsia="Palatino Linotype" w:hAnsi="Palatino Linotype" w:cs="Palatino Linotype"/>
          <w:i/>
          <w:sz w:val="16"/>
          <w:szCs w:val="16"/>
        </w:rPr>
      </w:pPr>
    </w:p>
    <w:p w14:paraId="0610E30D" w14:textId="77777777" w:rsidR="003C49AD" w:rsidRPr="00F93884" w:rsidRDefault="003C49AD"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50E32285" w14:textId="77777777" w:rsidR="003C49AD" w:rsidRPr="00F93884" w:rsidRDefault="003C49AD" w:rsidP="00F93884">
      <w:pPr>
        <w:spacing w:line="360" w:lineRule="auto"/>
        <w:jc w:val="both"/>
        <w:rPr>
          <w:rFonts w:ascii="Palatino Linotype" w:eastAsia="Palatino Linotype" w:hAnsi="Palatino Linotype" w:cs="Palatino Linotype"/>
          <w:sz w:val="16"/>
          <w:szCs w:val="16"/>
        </w:rPr>
      </w:pPr>
    </w:p>
    <w:p w14:paraId="34B01605" w14:textId="77777777" w:rsidR="003C49AD" w:rsidRPr="00F93884" w:rsidRDefault="003C49AD"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389FE3FE" w14:textId="77777777" w:rsidR="003C49AD" w:rsidRPr="00F93884" w:rsidRDefault="003C49AD"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lastRenderedPageBreak/>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68FA6588" w14:textId="77777777" w:rsidR="003C49AD" w:rsidRPr="00F93884" w:rsidRDefault="003C49AD" w:rsidP="00F93884">
      <w:pPr>
        <w:spacing w:line="360" w:lineRule="auto"/>
        <w:jc w:val="both"/>
        <w:rPr>
          <w:rFonts w:ascii="Palatino Linotype" w:eastAsia="Palatino Linotype" w:hAnsi="Palatino Linotype" w:cs="Palatino Linotype"/>
        </w:rPr>
      </w:pPr>
    </w:p>
    <w:p w14:paraId="6915FF93" w14:textId="77777777" w:rsidR="003C49AD" w:rsidRPr="00F93884" w:rsidRDefault="003C49AD"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0BFA9D32" w14:textId="77777777" w:rsidR="003C49AD" w:rsidRPr="00F93884" w:rsidRDefault="003C49AD" w:rsidP="00F93884">
      <w:pPr>
        <w:spacing w:line="360" w:lineRule="auto"/>
        <w:jc w:val="both"/>
        <w:rPr>
          <w:rFonts w:ascii="Palatino Linotype" w:eastAsia="Palatino Linotype" w:hAnsi="Palatino Linotype" w:cs="Palatino Linotype"/>
        </w:rPr>
      </w:pPr>
    </w:p>
    <w:p w14:paraId="286D4522" w14:textId="77777777" w:rsidR="003C49AD" w:rsidRPr="00F93884" w:rsidRDefault="003C49AD" w:rsidP="00F93884">
      <w:pPr>
        <w:pBdr>
          <w:top w:val="nil"/>
          <w:left w:val="nil"/>
          <w:bottom w:val="nil"/>
          <w:right w:val="nil"/>
          <w:between w:val="nil"/>
        </w:pBd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0301E526" w14:textId="77777777" w:rsidR="003C49AD" w:rsidRPr="00F93884" w:rsidRDefault="003C49AD" w:rsidP="00F93884">
      <w:pPr>
        <w:pBdr>
          <w:top w:val="nil"/>
          <w:left w:val="nil"/>
          <w:bottom w:val="nil"/>
          <w:right w:val="nil"/>
          <w:between w:val="nil"/>
        </w:pBdr>
        <w:spacing w:line="360" w:lineRule="auto"/>
        <w:jc w:val="both"/>
        <w:rPr>
          <w:rFonts w:ascii="Palatino Linotype" w:eastAsia="Palatino Linotype" w:hAnsi="Palatino Linotype" w:cs="Palatino Linotype"/>
        </w:rPr>
      </w:pPr>
    </w:p>
    <w:p w14:paraId="7AC09454" w14:textId="44595498" w:rsidR="003C49AD" w:rsidRDefault="003C49AD"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320F25F5" w14:textId="77777777" w:rsidR="00F93884" w:rsidRPr="00F93884" w:rsidRDefault="00F93884" w:rsidP="00F93884">
      <w:pPr>
        <w:spacing w:line="360" w:lineRule="auto"/>
        <w:jc w:val="both"/>
        <w:rPr>
          <w:rFonts w:ascii="Palatino Linotype" w:eastAsia="Palatino Linotype" w:hAnsi="Palatino Linotype" w:cs="Palatino Linotype"/>
        </w:rPr>
      </w:pPr>
    </w:p>
    <w:p w14:paraId="49075D31" w14:textId="77777777" w:rsidR="003C49AD" w:rsidRPr="00F93884" w:rsidRDefault="003C49AD"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1C659DE8"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lastRenderedPageBreak/>
        <w:t>Cuentas bancarias y/o CLABE interbancaria de personas físicas y morales privadas.</w:t>
      </w:r>
      <w:r w:rsidRPr="00F93884">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1677E37" w14:textId="77777777" w:rsidR="003C49AD" w:rsidRPr="00F93884" w:rsidRDefault="003C49AD" w:rsidP="00F93884">
      <w:pPr>
        <w:ind w:left="864" w:right="864"/>
        <w:jc w:val="both"/>
        <w:rPr>
          <w:rFonts w:ascii="Palatino Linotype" w:eastAsia="Palatino Linotype" w:hAnsi="Palatino Linotype" w:cs="Palatino Linotype"/>
          <w:i/>
          <w:sz w:val="22"/>
          <w:szCs w:val="22"/>
        </w:rPr>
      </w:pPr>
    </w:p>
    <w:p w14:paraId="7A61A88B"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F93884">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0F8BCEEB" w14:textId="77777777" w:rsidR="003C49AD" w:rsidRPr="00F93884" w:rsidRDefault="003C49AD" w:rsidP="00F93884">
      <w:pPr>
        <w:ind w:left="864" w:right="864"/>
        <w:jc w:val="both"/>
        <w:rPr>
          <w:rFonts w:ascii="Palatino Linotype" w:eastAsia="Palatino Linotype" w:hAnsi="Palatino Linotype" w:cs="Palatino Linotype"/>
          <w:i/>
          <w:sz w:val="22"/>
          <w:szCs w:val="22"/>
        </w:rPr>
      </w:pPr>
    </w:p>
    <w:p w14:paraId="018DB41D" w14:textId="77777777" w:rsidR="003C49AD" w:rsidRPr="00F93884" w:rsidRDefault="003C49AD"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Por cuanto hace a los </w:t>
      </w:r>
      <w:r w:rsidRPr="00F93884">
        <w:rPr>
          <w:rFonts w:ascii="Palatino Linotype" w:eastAsia="Palatino Linotype" w:hAnsi="Palatino Linotype" w:cs="Palatino Linotype"/>
          <w:b/>
        </w:rPr>
        <w:t>préstamos o descuentos de carácter personal</w:t>
      </w:r>
      <w:r w:rsidRPr="00F93884">
        <w:rPr>
          <w:rFonts w:ascii="Palatino Linotype" w:eastAsia="Palatino Linotype" w:hAnsi="Palatino Linotype" w:cs="Palatino Linotype"/>
        </w:rPr>
        <w:t>, en virtud de no tener relación con la prestación del servicio y al no involucrar instituciones públicas, se consideran datos confidenciales.</w:t>
      </w:r>
    </w:p>
    <w:p w14:paraId="34436C7E" w14:textId="77777777" w:rsidR="003C49AD" w:rsidRPr="00F93884" w:rsidRDefault="003C49AD" w:rsidP="00F93884">
      <w:pPr>
        <w:spacing w:line="360" w:lineRule="auto"/>
        <w:jc w:val="both"/>
        <w:rPr>
          <w:rFonts w:ascii="Palatino Linotype" w:eastAsia="Palatino Linotype" w:hAnsi="Palatino Linotype" w:cs="Palatino Linotype"/>
        </w:rPr>
      </w:pPr>
    </w:p>
    <w:p w14:paraId="19A5DAD8" w14:textId="77777777" w:rsidR="003C49AD" w:rsidRPr="00F93884" w:rsidRDefault="003C49AD"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Para entender los límites y alcances de esta restricción, es oportuno recurrir al artículo 84 de la Ley del Trabajo de los Servidores Públicos del Estado y Municipios:</w:t>
      </w:r>
    </w:p>
    <w:p w14:paraId="0AC950E0" w14:textId="77777777" w:rsidR="003C49AD" w:rsidRPr="00F93884" w:rsidRDefault="003C49AD" w:rsidP="00F93884">
      <w:pPr>
        <w:ind w:left="864" w:right="864"/>
        <w:jc w:val="both"/>
        <w:rPr>
          <w:rFonts w:ascii="Palatino Linotype" w:eastAsia="Palatino Linotype" w:hAnsi="Palatino Linotype" w:cs="Palatino Linotype"/>
          <w:i/>
          <w:sz w:val="22"/>
          <w:szCs w:val="22"/>
        </w:rPr>
      </w:pPr>
    </w:p>
    <w:p w14:paraId="68304646" w14:textId="77777777" w:rsidR="003C49AD" w:rsidRPr="00F93884" w:rsidRDefault="003C49AD" w:rsidP="00F93884">
      <w:pPr>
        <w:ind w:left="864" w:right="864"/>
        <w:jc w:val="both"/>
        <w:rPr>
          <w:rFonts w:ascii="Palatino Linotype" w:eastAsia="Palatino Linotype" w:hAnsi="Palatino Linotype" w:cs="Palatino Linotype"/>
          <w:b/>
          <w:i/>
          <w:sz w:val="22"/>
          <w:szCs w:val="22"/>
        </w:rPr>
      </w:pPr>
      <w:r w:rsidRPr="00F93884">
        <w:rPr>
          <w:rFonts w:ascii="Palatino Linotype" w:eastAsia="Palatino Linotype" w:hAnsi="Palatino Linotype" w:cs="Palatino Linotype"/>
          <w:b/>
          <w:i/>
          <w:sz w:val="22"/>
          <w:szCs w:val="22"/>
        </w:rPr>
        <w:t xml:space="preserve">ARTÍCULO 84. </w:t>
      </w:r>
      <w:r w:rsidRPr="00F93884">
        <w:rPr>
          <w:rFonts w:ascii="Palatino Linotype" w:eastAsia="Palatino Linotype" w:hAnsi="Palatino Linotype" w:cs="Palatino Linotype"/>
          <w:i/>
          <w:sz w:val="22"/>
          <w:szCs w:val="22"/>
        </w:rPr>
        <w:t>Sólo podrán hacerse retenciones, descuentos o deducciones al sueldo de los servidores públicos por concepto de:</w:t>
      </w:r>
    </w:p>
    <w:p w14:paraId="1F04EA06"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I. Gravámenes fiscales relacionados con el sueldo;</w:t>
      </w:r>
    </w:p>
    <w:p w14:paraId="1A92AA45"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II. Deudas contraídas con las instituciones públicas o dependencias por concepto de anticipos de sueldo, pagos hechos con exceso, errores o pérdidas debidamente comprobados;</w:t>
      </w:r>
    </w:p>
    <w:p w14:paraId="079AD47D"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III. Cuotas sindicales;</w:t>
      </w:r>
    </w:p>
    <w:p w14:paraId="59D67475"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lastRenderedPageBreak/>
        <w:t>IV. Cuotas de aportación a fondos para la constitución de cooperativas y de cajas de ahorro, siempre que el servidor público hubiese manifestado previamente, de manera expresa, su conformidad;</w:t>
      </w:r>
    </w:p>
    <w:p w14:paraId="133E9D6D"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642A07CE"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3B7A664B"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VII. Faltas de puntualidad o de asistencia injustificadas;</w:t>
      </w:r>
    </w:p>
    <w:p w14:paraId="61B319C5"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VIII. Pensiones alimenticias ordenadas por la autoridad judicial;</w:t>
      </w:r>
      <w:r w:rsidRPr="00F93884">
        <w:rPr>
          <w:rFonts w:ascii="Palatino Linotype" w:eastAsia="Palatino Linotype" w:hAnsi="Palatino Linotype" w:cs="Palatino Linotype"/>
          <w:i/>
          <w:sz w:val="22"/>
          <w:szCs w:val="22"/>
        </w:rPr>
        <w:t xml:space="preserve"> o</w:t>
      </w:r>
    </w:p>
    <w:p w14:paraId="2EF08232" w14:textId="77777777" w:rsidR="003C49AD" w:rsidRPr="00F93884" w:rsidRDefault="003C49AD" w:rsidP="00F93884">
      <w:pPr>
        <w:ind w:left="864" w:right="864"/>
        <w:jc w:val="both"/>
        <w:rPr>
          <w:rFonts w:ascii="Palatino Linotype" w:eastAsia="Palatino Linotype" w:hAnsi="Palatino Linotype" w:cs="Palatino Linotype"/>
          <w:b/>
          <w:i/>
          <w:sz w:val="22"/>
          <w:szCs w:val="22"/>
        </w:rPr>
      </w:pPr>
      <w:r w:rsidRPr="00F93884">
        <w:rPr>
          <w:rFonts w:ascii="Palatino Linotype" w:eastAsia="Palatino Linotype" w:hAnsi="Palatino Linotype" w:cs="Palatino Linotype"/>
          <w:b/>
          <w:i/>
          <w:sz w:val="22"/>
          <w:szCs w:val="22"/>
        </w:rPr>
        <w:t>IX. Cualquier otro convenido con instituciones de servicios y aceptado por el servidor público.</w:t>
      </w:r>
    </w:p>
    <w:p w14:paraId="5BBF73A8"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AC4D669" w14:textId="77777777" w:rsidR="003C49AD" w:rsidRPr="00F93884" w:rsidRDefault="003C49AD" w:rsidP="00F93884">
      <w:pPr>
        <w:ind w:left="864" w:right="864"/>
        <w:jc w:val="both"/>
        <w:rPr>
          <w:rFonts w:ascii="Palatino Linotype" w:eastAsia="Palatino Linotype" w:hAnsi="Palatino Linotype" w:cs="Palatino Linotype"/>
          <w:i/>
          <w:sz w:val="16"/>
          <w:szCs w:val="16"/>
        </w:rPr>
      </w:pPr>
    </w:p>
    <w:p w14:paraId="4C6266F1" w14:textId="77777777" w:rsidR="003C49AD" w:rsidRPr="00F93884" w:rsidRDefault="003C49AD"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7613FB7F" w14:textId="77777777" w:rsidR="003C49AD" w:rsidRPr="00F93884" w:rsidRDefault="003C49AD" w:rsidP="00F93884">
      <w:pPr>
        <w:spacing w:line="360" w:lineRule="auto"/>
        <w:jc w:val="both"/>
        <w:rPr>
          <w:rFonts w:ascii="Palatino Linotype" w:eastAsia="Palatino Linotype" w:hAnsi="Palatino Linotype" w:cs="Palatino Linotype"/>
          <w:sz w:val="16"/>
          <w:szCs w:val="16"/>
        </w:rPr>
      </w:pPr>
    </w:p>
    <w:p w14:paraId="77A43011" w14:textId="0A300093" w:rsidR="003C49AD" w:rsidRDefault="003C49AD"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Con relación al </w:t>
      </w:r>
      <w:r w:rsidRPr="00F93884">
        <w:rPr>
          <w:rFonts w:ascii="Palatino Linotype" w:eastAsia="Palatino Linotype" w:hAnsi="Palatino Linotype" w:cs="Palatino Linotype"/>
          <w:b/>
        </w:rPr>
        <w:t>número de empleado</w:t>
      </w:r>
      <w:r w:rsidRPr="00F93884">
        <w:rPr>
          <w:rFonts w:ascii="Palatino Linotype" w:eastAsia="Palatino Linotype" w:hAnsi="Palatino Linotype" w:cs="Palatino Linotype"/>
        </w:rPr>
        <w:t xml:space="preserve"> debe precisarse que este constituye un código, en virtud del cual, los trabajadores pueden acceder a un sistema de datos o información de la dependencia o entidad a la que pertenecen, a fin de presentar consultas </w:t>
      </w:r>
      <w:r w:rsidRPr="00F93884">
        <w:rPr>
          <w:rFonts w:ascii="Palatino Linotype" w:eastAsia="Palatino Linotype" w:hAnsi="Palatino Linotype" w:cs="Palatino Linotype"/>
        </w:rPr>
        <w:lastRenderedPageBreak/>
        <w:t>relacionadas con su situación laboral particular, siendo un número único, permanente e intransferible que se asigna para llevar un registro de los trabajadores.</w:t>
      </w:r>
    </w:p>
    <w:p w14:paraId="6E92AF56" w14:textId="77777777" w:rsidR="00F93884" w:rsidRPr="00F93884" w:rsidRDefault="00F93884" w:rsidP="00F93884">
      <w:pPr>
        <w:spacing w:line="360" w:lineRule="auto"/>
        <w:jc w:val="both"/>
        <w:rPr>
          <w:rFonts w:ascii="Palatino Linotype" w:eastAsia="Palatino Linotype" w:hAnsi="Palatino Linotype" w:cs="Palatino Linotype"/>
        </w:rPr>
      </w:pPr>
    </w:p>
    <w:p w14:paraId="70D502F8" w14:textId="77777777" w:rsidR="003C49AD" w:rsidRPr="00F93884" w:rsidRDefault="003C49AD"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INAI  se ha pronunciado sobre su publicidad, a través del criterio 06/19, que indica lo siguiente:</w:t>
      </w:r>
    </w:p>
    <w:p w14:paraId="36DFDB9B" w14:textId="77777777" w:rsidR="003C49AD" w:rsidRPr="00F93884" w:rsidRDefault="003C49AD" w:rsidP="00F93884">
      <w:pPr>
        <w:ind w:left="864" w:right="864"/>
        <w:jc w:val="both"/>
        <w:rPr>
          <w:rFonts w:ascii="Palatino Linotype" w:eastAsia="Palatino Linotype" w:hAnsi="Palatino Linotype" w:cs="Palatino Linotype"/>
          <w:i/>
          <w:sz w:val="22"/>
          <w:szCs w:val="22"/>
        </w:rPr>
      </w:pPr>
    </w:p>
    <w:p w14:paraId="44F8985C"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 xml:space="preserve">Número de empleado. </w:t>
      </w:r>
      <w:r w:rsidRPr="00F93884">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FF9CD1A" w14:textId="77777777" w:rsidR="003C49AD" w:rsidRPr="00F93884" w:rsidRDefault="003C49AD" w:rsidP="00F93884">
      <w:pPr>
        <w:ind w:left="864" w:right="864"/>
        <w:jc w:val="both"/>
        <w:rPr>
          <w:rFonts w:ascii="Palatino Linotype" w:eastAsia="Palatino Linotype" w:hAnsi="Palatino Linotype" w:cs="Palatino Linotype"/>
          <w:i/>
          <w:sz w:val="22"/>
          <w:szCs w:val="22"/>
        </w:rPr>
      </w:pPr>
    </w:p>
    <w:p w14:paraId="7D3E2373" w14:textId="77777777" w:rsidR="003C49AD" w:rsidRPr="00F93884" w:rsidRDefault="003C49AD"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F93884">
        <w:rPr>
          <w:rFonts w:ascii="Palatino Linotype" w:eastAsia="Palatino Linotype" w:hAnsi="Palatino Linotype" w:cs="Palatino Linotype"/>
          <w:b/>
        </w:rPr>
        <w:t>Sujeto Obligado</w:t>
      </w:r>
      <w:r w:rsidRPr="00F93884">
        <w:rPr>
          <w:rFonts w:ascii="Palatino Linotype" w:eastAsia="Palatino Linotype" w:hAnsi="Palatino Linotype" w:cs="Palatino Linotype"/>
        </w:rPr>
        <w:t xml:space="preserve"> deberá acatar lo establecido y de ser procedente, entregará el número de empleado o equivalente de los servidores públicos materia de la solicitud, o en su caso, </w:t>
      </w:r>
      <w:r w:rsidRPr="00F93884">
        <w:rPr>
          <w:rFonts w:ascii="Palatino Linotype" w:eastAsia="Palatino Linotype" w:hAnsi="Palatino Linotype" w:cs="Palatino Linotype"/>
        </w:rPr>
        <w:lastRenderedPageBreak/>
        <w:t>los clasificará como información confidencial, a través del Acuerdo emitido por su Comité de Transparencia conforme a la ley de la materia.</w:t>
      </w:r>
    </w:p>
    <w:p w14:paraId="53E2FE25" w14:textId="77777777" w:rsidR="003C49AD" w:rsidRPr="00F93884" w:rsidRDefault="003C49AD" w:rsidP="00F93884">
      <w:pPr>
        <w:spacing w:line="360" w:lineRule="auto"/>
        <w:jc w:val="both"/>
        <w:rPr>
          <w:rFonts w:ascii="Palatino Linotype" w:eastAsia="Palatino Linotype" w:hAnsi="Palatino Linotype" w:cs="Palatino Linotype"/>
          <w:b/>
        </w:rPr>
      </w:pPr>
    </w:p>
    <w:p w14:paraId="463CA596" w14:textId="77777777" w:rsidR="003C49AD" w:rsidRPr="00F93884" w:rsidRDefault="003C49AD"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b/>
        </w:rPr>
        <w:t>De la información fiscal</w:t>
      </w:r>
      <w:r w:rsidRPr="00F93884">
        <w:rPr>
          <w:rFonts w:ascii="Palatino Linotype" w:eastAsia="Palatino Linotype" w:hAnsi="Palatino Linotype" w:cs="Palatino Linotype"/>
        </w:rPr>
        <w:t xml:space="preserve">: </w:t>
      </w:r>
    </w:p>
    <w:p w14:paraId="1FA944A9" w14:textId="77777777" w:rsidR="003C49AD" w:rsidRPr="00F93884" w:rsidRDefault="003C49AD"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La </w:t>
      </w:r>
      <w:r w:rsidRPr="00F93884">
        <w:rPr>
          <w:rFonts w:ascii="Palatino Linotype" w:eastAsia="Palatino Linotype" w:hAnsi="Palatino Linotype" w:cs="Palatino Linotype"/>
          <w:b/>
        </w:rPr>
        <w:t>Cadena Original</w:t>
      </w:r>
      <w:r w:rsidRPr="00F93884">
        <w:rPr>
          <w:rFonts w:ascii="Palatino Linotype" w:eastAsia="Palatino Linotype" w:hAnsi="Palatino Linotype" w:cs="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F93884">
        <w:rPr>
          <w:rFonts w:ascii="Palatino Linotype" w:eastAsia="Palatino Linotype" w:hAnsi="Palatino Linotype" w:cs="Palatino Linotype"/>
          <w:b/>
        </w:rPr>
        <w:t>Sujeto Obligado</w:t>
      </w:r>
      <w:r w:rsidRPr="00F93884">
        <w:rPr>
          <w:rFonts w:ascii="Palatino Linotype" w:eastAsia="Palatino Linotype" w:hAnsi="Palatino Linotype" w:cs="Palatino Linotype"/>
        </w:rPr>
        <w:t xml:space="preserve"> analizar dicha circunstancia con la finalidad de proteger, de ser el caso, la información a través de su clasificación por actualizarse el supuesto de confidencialidad.</w:t>
      </w:r>
    </w:p>
    <w:p w14:paraId="3BBBC0B7" w14:textId="77777777" w:rsidR="003C49AD" w:rsidRPr="00F93884" w:rsidRDefault="003C49AD" w:rsidP="00F93884">
      <w:pPr>
        <w:spacing w:line="360" w:lineRule="auto"/>
        <w:jc w:val="both"/>
        <w:rPr>
          <w:rFonts w:ascii="Palatino Linotype" w:eastAsia="Palatino Linotype" w:hAnsi="Palatino Linotype" w:cs="Palatino Linotype"/>
        </w:rPr>
      </w:pPr>
    </w:p>
    <w:p w14:paraId="2CDD0499" w14:textId="77777777" w:rsidR="003C49AD" w:rsidRPr="00F93884" w:rsidRDefault="003C49AD"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Los </w:t>
      </w:r>
      <w:r w:rsidRPr="00F93884">
        <w:rPr>
          <w:rFonts w:ascii="Palatino Linotype" w:eastAsia="Palatino Linotype" w:hAnsi="Palatino Linotype" w:cs="Palatino Linotype"/>
          <w:b/>
        </w:rPr>
        <w:t>códigos bidimensionales</w:t>
      </w:r>
      <w:r w:rsidRPr="00F93884">
        <w:rPr>
          <w:rFonts w:ascii="Palatino Linotype" w:eastAsia="Palatino Linotype" w:hAnsi="Palatino Linotype" w:cs="Palatino Linotype"/>
        </w:rPr>
        <w:t xml:space="preserve"> o </w:t>
      </w:r>
      <w:r w:rsidRPr="00F93884">
        <w:rPr>
          <w:rFonts w:ascii="Palatino Linotype" w:eastAsia="Palatino Linotype" w:hAnsi="Palatino Linotype" w:cs="Palatino Linotype"/>
          <w:b/>
        </w:rPr>
        <w:t xml:space="preserve">códigos QR, </w:t>
      </w:r>
      <w:r w:rsidRPr="00F93884">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F93884">
        <w:rPr>
          <w:rFonts w:ascii="Palatino Linotype" w:eastAsia="Palatino Linotype" w:hAnsi="Palatino Linotype" w:cs="Palatino Linotype"/>
          <w:b/>
        </w:rPr>
        <w:t xml:space="preserve">Sujeto Obligado </w:t>
      </w:r>
      <w:r w:rsidRPr="00F93884">
        <w:rPr>
          <w:rFonts w:ascii="Palatino Linotype" w:eastAsia="Palatino Linotype" w:hAnsi="Palatino Linotype" w:cs="Palatino Linotype"/>
        </w:rPr>
        <w:t>analizar dicha circunstancia con la finalidad de determinar si se actualiza algún supuesto de confidencialidad.</w:t>
      </w:r>
    </w:p>
    <w:p w14:paraId="36062C70" w14:textId="77777777" w:rsidR="003C49AD" w:rsidRPr="00F93884" w:rsidRDefault="003C49AD" w:rsidP="00F93884">
      <w:pPr>
        <w:spacing w:line="360" w:lineRule="auto"/>
        <w:jc w:val="both"/>
        <w:rPr>
          <w:rFonts w:ascii="Palatino Linotype" w:eastAsia="Palatino Linotype" w:hAnsi="Palatino Linotype" w:cs="Palatino Linotype"/>
        </w:rPr>
      </w:pPr>
    </w:p>
    <w:p w14:paraId="25E389C6" w14:textId="77777777" w:rsidR="003C49AD" w:rsidRPr="00F93884" w:rsidRDefault="003C49AD"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En tal sentido, si derivado del análisis efectuado por </w:t>
      </w:r>
      <w:r w:rsidRPr="00F93884">
        <w:rPr>
          <w:rFonts w:ascii="Palatino Linotype" w:eastAsia="Palatino Linotype" w:hAnsi="Palatino Linotype" w:cs="Palatino Linotype"/>
          <w:b/>
        </w:rPr>
        <w:t xml:space="preserve">EL SUJETO OBLIGADO </w:t>
      </w:r>
      <w:r w:rsidRPr="00F93884">
        <w:rPr>
          <w:rFonts w:ascii="Palatino Linotype" w:eastAsia="Palatino Linotype" w:hAnsi="Palatino Linotype" w:cs="Palatino Linotype"/>
        </w:rPr>
        <w:t xml:space="preserve">en el presente caso, se desprende que, de la información fiscal contenida en los </w:t>
      </w:r>
      <w:r w:rsidRPr="00F93884">
        <w:rPr>
          <w:rFonts w:ascii="Palatino Linotype" w:eastAsia="Palatino Linotype" w:hAnsi="Palatino Linotype" w:cs="Palatino Linotype"/>
        </w:rPr>
        <w:lastRenderedPageBreak/>
        <w:t>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7B7FB5A2" w14:textId="77777777" w:rsidR="003C49AD" w:rsidRPr="00F93884" w:rsidRDefault="003C49AD" w:rsidP="00F93884">
      <w:pPr>
        <w:spacing w:line="360" w:lineRule="auto"/>
        <w:ind w:right="760"/>
        <w:jc w:val="both"/>
        <w:rPr>
          <w:rFonts w:ascii="Palatino Linotype" w:eastAsia="Palatino Linotype" w:hAnsi="Palatino Linotype" w:cs="Palatino Linotype"/>
          <w:i/>
        </w:rPr>
      </w:pPr>
    </w:p>
    <w:p w14:paraId="6D68002F" w14:textId="77777777" w:rsidR="003C49AD" w:rsidRPr="00F93884" w:rsidRDefault="003C49AD" w:rsidP="00F93884">
      <w:pPr>
        <w:widowControl w:val="0"/>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F93884">
        <w:rPr>
          <w:rFonts w:ascii="Palatino Linotype" w:eastAsia="Palatino Linotype" w:hAnsi="Palatino Linotype" w:cs="Palatino Linotype"/>
          <w:b/>
          <w:u w:val="single"/>
        </w:rPr>
        <w:t>razones, motivos o circunstancias especiales</w:t>
      </w:r>
      <w:r w:rsidRPr="00F93884">
        <w:rPr>
          <w:rFonts w:ascii="Palatino Linotype" w:eastAsia="Palatino Linotype" w:hAnsi="Palatino Linotype" w:cs="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w:t>
      </w:r>
      <w:r w:rsidRPr="00F93884">
        <w:rPr>
          <w:rFonts w:ascii="Palatino Linotype" w:eastAsia="Palatino Linotype" w:hAnsi="Palatino Linotype" w:cs="Palatino Linotype"/>
        </w:rPr>
        <w:lastRenderedPageBreak/>
        <w:t>perjuicio que supondría la divulgación supera el interés público general de que se difunda, y que la limitación sea adecuada al principio de proporcionalidad y representa el medio menos restrictivo disponible para evitar el perjuicio.</w:t>
      </w:r>
    </w:p>
    <w:p w14:paraId="49DC007D" w14:textId="77777777" w:rsidR="003C49AD" w:rsidRPr="00F93884" w:rsidRDefault="003C49AD" w:rsidP="00F93884">
      <w:pPr>
        <w:widowControl w:val="0"/>
        <w:spacing w:line="360" w:lineRule="auto"/>
        <w:jc w:val="both"/>
        <w:rPr>
          <w:rFonts w:ascii="Palatino Linotype" w:eastAsia="Palatino Linotype" w:hAnsi="Palatino Linotype" w:cs="Palatino Linotype"/>
        </w:rPr>
      </w:pPr>
    </w:p>
    <w:p w14:paraId="180B872A" w14:textId="77777777" w:rsidR="003C49AD" w:rsidRPr="00F93884" w:rsidRDefault="003C49AD" w:rsidP="00F93884">
      <w:pPr>
        <w:spacing w:line="360" w:lineRule="auto"/>
        <w:ind w:right="50"/>
        <w:jc w:val="both"/>
        <w:rPr>
          <w:rFonts w:ascii="Palatino Linotype" w:eastAsia="Palatino Linotype" w:hAnsi="Palatino Linotype" w:cs="Palatino Linotype"/>
        </w:rPr>
      </w:pPr>
      <w:r w:rsidRPr="00F93884">
        <w:rPr>
          <w:rFonts w:ascii="Palatino Linotype" w:eastAsia="Palatino Linotype" w:hAnsi="Palatino Linotype" w:cs="Palatino Linotype"/>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0D4D223D" w14:textId="77777777" w:rsidR="003C49AD" w:rsidRPr="00F93884" w:rsidRDefault="003C49AD" w:rsidP="00F93884">
      <w:pPr>
        <w:ind w:left="864" w:right="864"/>
        <w:jc w:val="both"/>
        <w:rPr>
          <w:rFonts w:ascii="Palatino Linotype" w:eastAsia="Palatino Linotype" w:hAnsi="Palatino Linotype" w:cs="Palatino Linotype"/>
          <w:i/>
          <w:sz w:val="22"/>
          <w:szCs w:val="22"/>
        </w:rPr>
      </w:pPr>
    </w:p>
    <w:p w14:paraId="632738AD"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Artículo 49. Los Comités de Transparencia tendrán las siguientes atribuciones:</w:t>
      </w:r>
    </w:p>
    <w:p w14:paraId="72B63FBA"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w:t>
      </w:r>
    </w:p>
    <w:p w14:paraId="54B7BE93"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VIII. Aprobar, modificar o revocar la clasificación de la información;</w:t>
      </w:r>
    </w:p>
    <w:p w14:paraId="2816FEEC"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w:t>
      </w:r>
    </w:p>
    <w:p w14:paraId="153E5E55" w14:textId="77777777" w:rsidR="003C49AD" w:rsidRPr="00F93884" w:rsidRDefault="003C49AD" w:rsidP="00F93884">
      <w:pPr>
        <w:ind w:left="864" w:right="864"/>
        <w:jc w:val="both"/>
        <w:rPr>
          <w:rFonts w:ascii="Palatino Linotype" w:eastAsia="Palatino Linotype" w:hAnsi="Palatino Linotype" w:cs="Palatino Linotype"/>
          <w:i/>
          <w:sz w:val="22"/>
          <w:szCs w:val="22"/>
        </w:rPr>
      </w:pPr>
    </w:p>
    <w:p w14:paraId="14B59802"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Artículo 53. Las Unidades de Transparencia tendrán las siguientes funciones:</w:t>
      </w:r>
    </w:p>
    <w:p w14:paraId="15952FE3"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w:t>
      </w:r>
    </w:p>
    <w:p w14:paraId="175AE2EC"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X. Presentar ante el Comité, el proyecto de clasificación de información…</w:t>
      </w:r>
    </w:p>
    <w:p w14:paraId="14C027D7"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w:t>
      </w:r>
    </w:p>
    <w:p w14:paraId="2AC52E1C" w14:textId="77777777" w:rsidR="003C49AD" w:rsidRPr="00F93884" w:rsidRDefault="003C49AD" w:rsidP="00F93884">
      <w:pPr>
        <w:ind w:left="864" w:right="864"/>
        <w:jc w:val="both"/>
        <w:rPr>
          <w:rFonts w:ascii="Palatino Linotype" w:eastAsia="Palatino Linotype" w:hAnsi="Palatino Linotype" w:cs="Palatino Linotype"/>
          <w:i/>
          <w:sz w:val="22"/>
          <w:szCs w:val="22"/>
        </w:rPr>
      </w:pPr>
    </w:p>
    <w:p w14:paraId="6986BB31"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Artículo 59. Los servidores públicos habilitados tendrán las funciones siguientes:</w:t>
      </w:r>
    </w:p>
    <w:p w14:paraId="70C82A87"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w:t>
      </w:r>
    </w:p>
    <w:p w14:paraId="4A14742E"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0DB9DB5C"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w:t>
      </w:r>
    </w:p>
    <w:p w14:paraId="2E211950" w14:textId="77777777" w:rsidR="003C49AD" w:rsidRPr="00F93884" w:rsidRDefault="003C49AD" w:rsidP="00F93884">
      <w:pPr>
        <w:ind w:left="864" w:right="864"/>
        <w:jc w:val="both"/>
        <w:rPr>
          <w:rFonts w:ascii="Palatino Linotype" w:eastAsia="Palatino Linotype" w:hAnsi="Palatino Linotype" w:cs="Palatino Linotype"/>
          <w:i/>
          <w:sz w:val="22"/>
          <w:szCs w:val="22"/>
        </w:rPr>
      </w:pPr>
    </w:p>
    <w:p w14:paraId="46D4D114" w14:textId="77777777" w:rsidR="003C49AD" w:rsidRPr="00F93884" w:rsidRDefault="003C49AD"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lastRenderedPageBreak/>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D65BCE3" w14:textId="77777777" w:rsidR="003C49AD" w:rsidRPr="00F93884" w:rsidRDefault="003C49AD" w:rsidP="00F93884">
      <w:pPr>
        <w:spacing w:line="360" w:lineRule="auto"/>
        <w:jc w:val="both"/>
        <w:rPr>
          <w:rFonts w:ascii="Palatino Linotype" w:eastAsia="Palatino Linotype" w:hAnsi="Palatino Linotype" w:cs="Palatino Linotype"/>
        </w:rPr>
      </w:pPr>
    </w:p>
    <w:p w14:paraId="730C3B62" w14:textId="77777777" w:rsidR="003C49AD" w:rsidRPr="00F93884" w:rsidRDefault="003C49AD"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374F2699" w14:textId="77777777" w:rsidR="003C49AD" w:rsidRPr="00F93884" w:rsidRDefault="003C49AD" w:rsidP="00F93884">
      <w:pPr>
        <w:ind w:left="864" w:right="864"/>
        <w:jc w:val="both"/>
        <w:rPr>
          <w:rFonts w:ascii="Palatino Linotype" w:eastAsia="Palatino Linotype" w:hAnsi="Palatino Linotype" w:cs="Palatino Linotype"/>
          <w:i/>
          <w:sz w:val="22"/>
          <w:szCs w:val="22"/>
        </w:rPr>
      </w:pPr>
    </w:p>
    <w:p w14:paraId="72888921"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Artículo 149. El acuerdo que clasifique la información como confidencial deberá contener un razonamiento lógico en el que demuestre que la información se encuentra en alguna o algunas de las hipótesis previstas en la presente Ley.</w:t>
      </w:r>
    </w:p>
    <w:p w14:paraId="7B01B71D" w14:textId="77777777" w:rsidR="003C49AD" w:rsidRPr="00F93884" w:rsidRDefault="003C49AD" w:rsidP="00F93884">
      <w:pPr>
        <w:ind w:left="864" w:right="864"/>
        <w:jc w:val="both"/>
        <w:rPr>
          <w:rFonts w:ascii="Palatino Linotype" w:eastAsia="Palatino Linotype" w:hAnsi="Palatino Linotype" w:cs="Palatino Linotype"/>
          <w:i/>
          <w:sz w:val="22"/>
          <w:szCs w:val="22"/>
        </w:rPr>
      </w:pPr>
    </w:p>
    <w:p w14:paraId="0BDAC4C1" w14:textId="77777777" w:rsidR="003C49AD" w:rsidRPr="00F93884" w:rsidRDefault="003C49AD" w:rsidP="00F93884">
      <w:pPr>
        <w:spacing w:line="360" w:lineRule="auto"/>
        <w:ind w:right="51"/>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Es decir, </w:t>
      </w:r>
      <w:r w:rsidRPr="00F93884">
        <w:rPr>
          <w:rFonts w:ascii="Palatino Linotype" w:eastAsia="Palatino Linotype" w:hAnsi="Palatino Linotype" w:cs="Palatino Linotype"/>
          <w:b/>
        </w:rPr>
        <w:t>EL SUJETO OBLIGADO</w:t>
      </w:r>
      <w:r w:rsidRPr="00F93884">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w:t>
      </w:r>
      <w:r w:rsidRPr="00F93884">
        <w:rPr>
          <w:rFonts w:ascii="Palatino Linotype" w:eastAsia="Palatino Linotype" w:hAnsi="Palatino Linotype" w:cs="Palatino Linotype"/>
        </w:rPr>
        <w:lastRenderedPageBreak/>
        <w:t>de la documentación entregada se estaría violentando el derecho de acceso a la información de la parte solicitante.</w:t>
      </w:r>
    </w:p>
    <w:p w14:paraId="62BAE545" w14:textId="77777777" w:rsidR="003C49AD" w:rsidRPr="00F93884" w:rsidRDefault="003C49AD" w:rsidP="00F93884">
      <w:pPr>
        <w:spacing w:line="360" w:lineRule="auto"/>
        <w:ind w:right="51"/>
        <w:jc w:val="both"/>
        <w:rPr>
          <w:rFonts w:ascii="Palatino Linotype" w:eastAsia="Palatino Linotype" w:hAnsi="Palatino Linotype" w:cs="Palatino Linotype"/>
        </w:rPr>
      </w:pPr>
    </w:p>
    <w:p w14:paraId="36FA7B02" w14:textId="77777777" w:rsidR="003C49AD" w:rsidRPr="00F93884" w:rsidRDefault="003C49AD" w:rsidP="00F93884">
      <w:pPr>
        <w:spacing w:line="360" w:lineRule="auto"/>
        <w:ind w:right="49"/>
        <w:jc w:val="both"/>
        <w:rPr>
          <w:rFonts w:ascii="Palatino Linotype" w:eastAsia="Palatino Linotype" w:hAnsi="Palatino Linotype" w:cs="Palatino Linotype"/>
        </w:rPr>
      </w:pPr>
      <w:bookmarkStart w:id="8" w:name="_heading=h.3dy6vkm" w:colFirst="0" w:colLast="0"/>
      <w:bookmarkEnd w:id="8"/>
      <w:r w:rsidRPr="00F93884">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sidRPr="00F93884">
        <w:rPr>
          <w:rFonts w:ascii="Palatino Linotype" w:eastAsia="Palatino Linotype" w:hAnsi="Palatino Linotype" w:cs="Palatino Linotype"/>
          <w:b/>
        </w:rPr>
        <w:t xml:space="preserve">SUJETO OBLIGADO, </w:t>
      </w:r>
      <w:r w:rsidRPr="00F93884">
        <w:rPr>
          <w:rFonts w:ascii="Palatino Linotype" w:eastAsia="Palatino Linotype" w:hAnsi="Palatino Linotype" w:cs="Palatino Linotype"/>
        </w:rPr>
        <w:t>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424DC7A1" w14:textId="77777777" w:rsidR="003C49AD" w:rsidRPr="00F93884" w:rsidRDefault="003C49AD" w:rsidP="00F93884">
      <w:pPr>
        <w:ind w:left="864" w:right="864"/>
        <w:jc w:val="both"/>
        <w:rPr>
          <w:rFonts w:ascii="Palatino Linotype" w:eastAsia="Palatino Linotype" w:hAnsi="Palatino Linotype" w:cs="Palatino Linotype"/>
          <w:i/>
          <w:sz w:val="22"/>
          <w:szCs w:val="22"/>
        </w:rPr>
      </w:pPr>
    </w:p>
    <w:p w14:paraId="3CF04567" w14:textId="77777777" w:rsidR="003C49AD" w:rsidRPr="00F93884" w:rsidRDefault="003C49AD" w:rsidP="00F93884">
      <w:pPr>
        <w:ind w:left="864" w:right="864"/>
        <w:jc w:val="both"/>
        <w:rPr>
          <w:rFonts w:ascii="Palatino Linotype" w:eastAsia="Palatino Linotype" w:hAnsi="Palatino Linotype" w:cs="Palatino Linotype"/>
          <w:b/>
          <w:i/>
          <w:sz w:val="22"/>
          <w:szCs w:val="22"/>
        </w:rPr>
      </w:pPr>
      <w:bookmarkStart w:id="9" w:name="_heading=h.1t3h5sf" w:colFirst="0" w:colLast="0"/>
      <w:bookmarkEnd w:id="9"/>
      <w:r w:rsidRPr="00F93884">
        <w:rPr>
          <w:rFonts w:ascii="Palatino Linotype" w:eastAsia="Palatino Linotype" w:hAnsi="Palatino Linotype" w:cs="Palatino Linotype"/>
          <w:b/>
          <w:i/>
          <w:sz w:val="22"/>
          <w:szCs w:val="22"/>
        </w:rPr>
        <w:t>Artículo 132.</w:t>
      </w:r>
      <w:r w:rsidRPr="00F93884">
        <w:rPr>
          <w:rFonts w:ascii="Palatino Linotype" w:eastAsia="Palatino Linotype" w:hAnsi="Palatino Linotype" w:cs="Palatino Linotype"/>
          <w:i/>
          <w:sz w:val="22"/>
          <w:szCs w:val="22"/>
        </w:rPr>
        <w:t xml:space="preserve"> </w:t>
      </w:r>
      <w:r w:rsidRPr="00F93884">
        <w:rPr>
          <w:rFonts w:ascii="Palatino Linotype" w:eastAsia="Palatino Linotype" w:hAnsi="Palatino Linotype" w:cs="Palatino Linotype"/>
          <w:b/>
          <w:i/>
          <w:sz w:val="22"/>
          <w:szCs w:val="22"/>
        </w:rPr>
        <w:t>La clasificación de la información se llevará a cabo en el momento en que:</w:t>
      </w:r>
    </w:p>
    <w:p w14:paraId="68A3590E"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w:t>
      </w:r>
    </w:p>
    <w:p w14:paraId="5D9C69B7"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II.</w:t>
      </w:r>
      <w:r w:rsidRPr="00F93884">
        <w:rPr>
          <w:rFonts w:ascii="Palatino Linotype" w:eastAsia="Palatino Linotype" w:hAnsi="Palatino Linotype" w:cs="Palatino Linotype"/>
          <w:i/>
          <w:sz w:val="22"/>
          <w:szCs w:val="22"/>
        </w:rPr>
        <w:t xml:space="preserve"> Se determine mediante resolución de autoridad competente; o</w:t>
      </w:r>
    </w:p>
    <w:p w14:paraId="54908671"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III</w:t>
      </w:r>
      <w:r w:rsidRPr="00F93884">
        <w:rPr>
          <w:rFonts w:ascii="Palatino Linotype" w:eastAsia="Palatino Linotype" w:hAnsi="Palatino Linotype" w:cs="Palatino Linotype"/>
          <w:i/>
          <w:sz w:val="22"/>
          <w:szCs w:val="22"/>
        </w:rPr>
        <w:t xml:space="preserve">. </w:t>
      </w:r>
      <w:r w:rsidRPr="00F93884">
        <w:rPr>
          <w:rFonts w:ascii="Palatino Linotype" w:eastAsia="Palatino Linotype" w:hAnsi="Palatino Linotype" w:cs="Palatino Linotype"/>
          <w:b/>
          <w:i/>
          <w:sz w:val="22"/>
          <w:szCs w:val="22"/>
        </w:rPr>
        <w:t>Se generen versiones públicas para dar cumplimiento a las obligaciones de transparencia previstas en esta Ley</w:t>
      </w:r>
      <w:r w:rsidRPr="00F93884">
        <w:rPr>
          <w:rFonts w:ascii="Palatino Linotype" w:eastAsia="Palatino Linotype" w:hAnsi="Palatino Linotype" w:cs="Palatino Linotype"/>
          <w:i/>
          <w:sz w:val="22"/>
          <w:szCs w:val="22"/>
        </w:rPr>
        <w:t>.</w:t>
      </w:r>
    </w:p>
    <w:p w14:paraId="47828BA5" w14:textId="77777777" w:rsidR="003C49AD" w:rsidRPr="00F93884" w:rsidRDefault="003C49AD" w:rsidP="00F93884">
      <w:pPr>
        <w:ind w:left="864" w:right="864"/>
        <w:jc w:val="both"/>
        <w:rPr>
          <w:rFonts w:ascii="Palatino Linotype" w:eastAsia="Palatino Linotype" w:hAnsi="Palatino Linotype" w:cs="Palatino Linotype"/>
          <w:i/>
          <w:sz w:val="22"/>
          <w:szCs w:val="22"/>
        </w:rPr>
      </w:pPr>
    </w:p>
    <w:p w14:paraId="763416AC"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Segundo.-</w:t>
      </w:r>
      <w:r w:rsidRPr="00F93884">
        <w:rPr>
          <w:rFonts w:ascii="Palatino Linotype" w:eastAsia="Palatino Linotype" w:hAnsi="Palatino Linotype" w:cs="Palatino Linotype"/>
          <w:i/>
          <w:sz w:val="22"/>
          <w:szCs w:val="22"/>
        </w:rPr>
        <w:t xml:space="preserve"> Para efectos de los presentes Lineamientos Generales, se entenderá por:</w:t>
      </w:r>
    </w:p>
    <w:p w14:paraId="4756CD9A"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w:t>
      </w:r>
      <w:r w:rsidRPr="00F93884">
        <w:rPr>
          <w:rFonts w:ascii="Palatino Linotype" w:eastAsia="Palatino Linotype" w:hAnsi="Palatino Linotype" w:cs="Palatino Linotype"/>
          <w:i/>
          <w:sz w:val="22"/>
          <w:szCs w:val="22"/>
        </w:rPr>
        <w:t>)</w:t>
      </w:r>
    </w:p>
    <w:p w14:paraId="681A765E"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XVIII.</w:t>
      </w:r>
      <w:r w:rsidRPr="00F93884">
        <w:rPr>
          <w:rFonts w:ascii="Palatino Linotype" w:eastAsia="Palatino Linotype" w:hAnsi="Palatino Linotype" w:cs="Palatino Linotype"/>
          <w:i/>
          <w:sz w:val="22"/>
          <w:szCs w:val="22"/>
        </w:rPr>
        <w:t xml:space="preserve"> </w:t>
      </w:r>
      <w:r w:rsidRPr="00F93884">
        <w:rPr>
          <w:rFonts w:ascii="Palatino Linotype" w:eastAsia="Palatino Linotype" w:hAnsi="Palatino Linotype" w:cs="Palatino Linotype"/>
          <w:b/>
          <w:i/>
          <w:sz w:val="22"/>
          <w:szCs w:val="22"/>
        </w:rPr>
        <w:t>Versión pública:</w:t>
      </w:r>
      <w:r w:rsidRPr="00F93884">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F93884">
        <w:rPr>
          <w:rFonts w:ascii="Palatino Linotype" w:eastAsia="Palatino Linotype" w:hAnsi="Palatino Linotype" w:cs="Palatino Linotype"/>
          <w:b/>
          <w:i/>
          <w:sz w:val="22"/>
          <w:szCs w:val="22"/>
        </w:rPr>
        <w:t>fundando y motivando la</w:t>
      </w:r>
      <w:r w:rsidRPr="00F93884">
        <w:rPr>
          <w:rFonts w:ascii="Palatino Linotype" w:eastAsia="Palatino Linotype" w:hAnsi="Palatino Linotype" w:cs="Palatino Linotype"/>
          <w:i/>
          <w:sz w:val="22"/>
          <w:szCs w:val="22"/>
        </w:rPr>
        <w:t xml:space="preserve"> reserva o </w:t>
      </w:r>
      <w:r w:rsidRPr="00F93884">
        <w:rPr>
          <w:rFonts w:ascii="Palatino Linotype" w:eastAsia="Palatino Linotype" w:hAnsi="Palatino Linotype" w:cs="Palatino Linotype"/>
          <w:b/>
          <w:i/>
          <w:sz w:val="22"/>
          <w:szCs w:val="22"/>
        </w:rPr>
        <w:t>confidencialidad</w:t>
      </w:r>
      <w:r w:rsidRPr="00F93884">
        <w:rPr>
          <w:rFonts w:ascii="Palatino Linotype" w:eastAsia="Palatino Linotype" w:hAnsi="Palatino Linotype" w:cs="Palatino Linotype"/>
          <w:i/>
          <w:sz w:val="22"/>
          <w:szCs w:val="22"/>
        </w:rPr>
        <w:t>, a través de la resolución que para tal efecto emita el Comité de Transparencia.</w:t>
      </w:r>
    </w:p>
    <w:p w14:paraId="5A3BE3CA"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w:t>
      </w:r>
      <w:r w:rsidRPr="00F93884">
        <w:rPr>
          <w:rFonts w:ascii="Palatino Linotype" w:eastAsia="Palatino Linotype" w:hAnsi="Palatino Linotype" w:cs="Palatino Linotype"/>
          <w:i/>
          <w:sz w:val="22"/>
          <w:szCs w:val="22"/>
        </w:rPr>
        <w:t>)</w:t>
      </w:r>
    </w:p>
    <w:p w14:paraId="50AA6FB3"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lastRenderedPageBreak/>
        <w:t>Cuarto.</w:t>
      </w:r>
      <w:r w:rsidRPr="00F93884">
        <w:rPr>
          <w:rFonts w:ascii="Palatino Linotype" w:eastAsia="Palatino Linotype" w:hAnsi="Palatino Linotype" w:cs="Palatino Linotype"/>
          <w:i/>
          <w:sz w:val="22"/>
          <w:szCs w:val="22"/>
        </w:rPr>
        <w:t xml:space="preserve"> </w:t>
      </w:r>
      <w:r w:rsidRPr="00F93884">
        <w:rPr>
          <w:rFonts w:ascii="Palatino Linotype" w:eastAsia="Palatino Linotype" w:hAnsi="Palatino Linotype" w:cs="Palatino Linotype"/>
          <w:b/>
          <w:i/>
          <w:sz w:val="22"/>
          <w:szCs w:val="22"/>
        </w:rPr>
        <w:t>Para clasificar la información como</w:t>
      </w:r>
      <w:r w:rsidRPr="00F93884">
        <w:rPr>
          <w:rFonts w:ascii="Palatino Linotype" w:eastAsia="Palatino Linotype" w:hAnsi="Palatino Linotype" w:cs="Palatino Linotype"/>
          <w:i/>
          <w:sz w:val="22"/>
          <w:szCs w:val="22"/>
        </w:rPr>
        <w:t xml:space="preserve"> reservada o </w:t>
      </w:r>
      <w:r w:rsidRPr="00F93884">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F93884">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58C148C"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9FD15A0" w14:textId="77777777" w:rsidR="003C49AD" w:rsidRPr="00F93884" w:rsidRDefault="003C49AD" w:rsidP="00F93884">
      <w:pPr>
        <w:ind w:left="864" w:right="864"/>
        <w:jc w:val="both"/>
        <w:rPr>
          <w:rFonts w:ascii="Palatino Linotype" w:eastAsia="Palatino Linotype" w:hAnsi="Palatino Linotype" w:cs="Palatino Linotype"/>
          <w:i/>
          <w:sz w:val="22"/>
          <w:szCs w:val="22"/>
        </w:rPr>
      </w:pPr>
    </w:p>
    <w:p w14:paraId="5D338200"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Quinto.</w:t>
      </w:r>
      <w:r w:rsidRPr="00F93884">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C0F22E7"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Sexto.</w:t>
      </w:r>
      <w:r w:rsidRPr="00F93884">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BBAB6C9"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1502FFB5" w14:textId="77777777" w:rsidR="003C49AD" w:rsidRPr="00F93884" w:rsidRDefault="003C49AD" w:rsidP="00F93884">
      <w:pPr>
        <w:ind w:left="864" w:right="864"/>
        <w:jc w:val="both"/>
        <w:rPr>
          <w:rFonts w:ascii="Palatino Linotype" w:eastAsia="Palatino Linotype" w:hAnsi="Palatino Linotype" w:cs="Palatino Linotype"/>
          <w:i/>
          <w:sz w:val="22"/>
          <w:szCs w:val="22"/>
        </w:rPr>
      </w:pPr>
    </w:p>
    <w:p w14:paraId="2F188F8F"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Séptimo.</w:t>
      </w:r>
      <w:r w:rsidRPr="00F93884">
        <w:rPr>
          <w:rFonts w:ascii="Palatino Linotype" w:eastAsia="Palatino Linotype" w:hAnsi="Palatino Linotype" w:cs="Palatino Linotype"/>
          <w:i/>
          <w:sz w:val="22"/>
          <w:szCs w:val="22"/>
        </w:rPr>
        <w:t xml:space="preserve"> La clasificación de la información se llevará a cabo en el momento en que:</w:t>
      </w:r>
    </w:p>
    <w:p w14:paraId="5C481B64"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I.</w:t>
      </w:r>
      <w:r w:rsidRPr="00F93884">
        <w:rPr>
          <w:rFonts w:ascii="Palatino Linotype" w:eastAsia="Palatino Linotype" w:hAnsi="Palatino Linotype" w:cs="Palatino Linotype"/>
          <w:i/>
          <w:sz w:val="22"/>
          <w:szCs w:val="22"/>
        </w:rPr>
        <w:t xml:space="preserve"> Se reciba una solicitud de acceso a la información;</w:t>
      </w:r>
    </w:p>
    <w:p w14:paraId="554FBF3E"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II.</w:t>
      </w:r>
      <w:r w:rsidRPr="00F93884">
        <w:rPr>
          <w:rFonts w:ascii="Palatino Linotype" w:eastAsia="Palatino Linotype" w:hAnsi="Palatino Linotype" w:cs="Palatino Linotype"/>
          <w:i/>
          <w:sz w:val="22"/>
          <w:szCs w:val="22"/>
        </w:rPr>
        <w:t xml:space="preserve"> Se determine mediante resolución de autoridad competente, o</w:t>
      </w:r>
    </w:p>
    <w:p w14:paraId="6F688749"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III.</w:t>
      </w:r>
      <w:r w:rsidRPr="00F93884">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181AEC97"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5BF31414" w14:textId="77777777" w:rsidR="003C49AD" w:rsidRPr="00F93884" w:rsidRDefault="003C49AD" w:rsidP="00F93884">
      <w:pPr>
        <w:ind w:left="864" w:right="864"/>
        <w:jc w:val="both"/>
        <w:rPr>
          <w:rFonts w:ascii="Palatino Linotype" w:eastAsia="Palatino Linotype" w:hAnsi="Palatino Linotype" w:cs="Palatino Linotype"/>
          <w:i/>
          <w:sz w:val="22"/>
          <w:szCs w:val="22"/>
        </w:rPr>
      </w:pPr>
    </w:p>
    <w:p w14:paraId="17561816"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lastRenderedPageBreak/>
        <w:t>Octavo.</w:t>
      </w:r>
      <w:r w:rsidRPr="00F93884">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CE6CF25"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1DA59F67"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75E0E78A"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01F9104"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660B3844" w14:textId="77777777" w:rsidR="003C49AD" w:rsidRPr="00F93884" w:rsidRDefault="003C49AD" w:rsidP="00F93884">
      <w:pPr>
        <w:ind w:left="864" w:right="864"/>
        <w:jc w:val="both"/>
        <w:rPr>
          <w:rFonts w:ascii="Palatino Linotype" w:eastAsia="Palatino Linotype" w:hAnsi="Palatino Linotype" w:cs="Palatino Linotype"/>
          <w:i/>
          <w:sz w:val="22"/>
          <w:szCs w:val="22"/>
        </w:rPr>
      </w:pPr>
    </w:p>
    <w:p w14:paraId="577A8588"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Noveno.</w:t>
      </w:r>
      <w:r w:rsidRPr="00F93884">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261A3C7" w14:textId="77777777" w:rsidR="003C49AD" w:rsidRPr="00F93884" w:rsidRDefault="003C49AD" w:rsidP="00F93884">
      <w:pPr>
        <w:ind w:left="864" w:right="864"/>
        <w:jc w:val="both"/>
        <w:rPr>
          <w:rFonts w:ascii="Palatino Linotype" w:eastAsia="Palatino Linotype" w:hAnsi="Palatino Linotype" w:cs="Palatino Linotype"/>
          <w:i/>
          <w:sz w:val="22"/>
          <w:szCs w:val="22"/>
        </w:rPr>
      </w:pPr>
    </w:p>
    <w:p w14:paraId="46D4B5F3"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Décimo.</w:t>
      </w:r>
      <w:r w:rsidRPr="00F93884">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9550F01"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7F2D907F" w14:textId="77777777" w:rsidR="003C49AD" w:rsidRPr="00F93884" w:rsidRDefault="003C49AD" w:rsidP="00F93884">
      <w:pPr>
        <w:ind w:left="864" w:right="864"/>
        <w:jc w:val="both"/>
        <w:rPr>
          <w:rFonts w:ascii="Palatino Linotype" w:eastAsia="Palatino Linotype" w:hAnsi="Palatino Linotype" w:cs="Palatino Linotype"/>
          <w:b/>
          <w:i/>
          <w:sz w:val="22"/>
          <w:szCs w:val="22"/>
        </w:rPr>
      </w:pPr>
    </w:p>
    <w:p w14:paraId="120D5100"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Décimo primero.</w:t>
      </w:r>
      <w:r w:rsidRPr="00F93884">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17E7AC5" w14:textId="77777777" w:rsidR="003C49AD" w:rsidRPr="00F93884" w:rsidRDefault="003C49AD" w:rsidP="00F93884">
      <w:pPr>
        <w:spacing w:line="360" w:lineRule="auto"/>
        <w:jc w:val="both"/>
        <w:rPr>
          <w:rFonts w:ascii="Palatino Linotype" w:eastAsia="Palatino Linotype" w:hAnsi="Palatino Linotype" w:cs="Palatino Linotype"/>
        </w:rPr>
      </w:pPr>
      <w:bookmarkStart w:id="10" w:name="_heading=h.4d34og8" w:colFirst="0" w:colLast="0"/>
      <w:bookmarkEnd w:id="10"/>
      <w:r w:rsidRPr="00F93884">
        <w:rPr>
          <w:rFonts w:ascii="Palatino Linotype" w:eastAsia="Palatino Linotype" w:hAnsi="Palatino Linotype" w:cs="Palatino Linotype"/>
        </w:rPr>
        <w:lastRenderedPageBreak/>
        <w:t xml:space="preserve">Asimismo, deberá observar los numerales Quincuagésimo tercero y Quincuagésimo quinto de los Lineamientos Generales en Materia de Clasificación y Desclasificación de la Información </w:t>
      </w:r>
      <w:proofErr w:type="spellStart"/>
      <w:r w:rsidRPr="00F93884">
        <w:rPr>
          <w:rFonts w:ascii="Palatino Linotype" w:eastAsia="Palatino Linotype" w:hAnsi="Palatino Linotype" w:cs="Palatino Linotype"/>
        </w:rPr>
        <w:t>supraindicados</w:t>
      </w:r>
      <w:proofErr w:type="spellEnd"/>
      <w:r w:rsidRPr="00F93884">
        <w:rPr>
          <w:rFonts w:ascii="Palatino Linotype" w:eastAsia="Palatino Linotype" w:hAnsi="Palatino Linotype" w:cs="Palatino Linotype"/>
        </w:rPr>
        <w:t xml:space="preserve">, que establecen los formatos para la clasificación parcial y total de los documentos, conforme a lo siguiente: </w:t>
      </w:r>
    </w:p>
    <w:p w14:paraId="2C38A352" w14:textId="77777777" w:rsidR="003C49AD" w:rsidRPr="00F93884" w:rsidRDefault="003C49AD" w:rsidP="00F93884">
      <w:pPr>
        <w:ind w:left="864" w:right="864"/>
        <w:jc w:val="both"/>
        <w:rPr>
          <w:rFonts w:ascii="Palatino Linotype" w:eastAsia="Palatino Linotype" w:hAnsi="Palatino Linotype" w:cs="Palatino Linotype"/>
          <w:i/>
          <w:sz w:val="22"/>
          <w:szCs w:val="22"/>
        </w:rPr>
      </w:pPr>
    </w:p>
    <w:p w14:paraId="13DE4CC5"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CAPÍTULO VIII</w:t>
      </w:r>
    </w:p>
    <w:p w14:paraId="5233DC16"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DE LA LEYENDA DE CLASIFICACIÓN</w:t>
      </w:r>
    </w:p>
    <w:p w14:paraId="2A8F0C83"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w:t>
      </w:r>
    </w:p>
    <w:p w14:paraId="4CDFD33C"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 xml:space="preserve">Quincuagésimo tercero. </w:t>
      </w:r>
      <w:r w:rsidRPr="00F93884">
        <w:rPr>
          <w:rFonts w:ascii="Palatino Linotype" w:eastAsia="Palatino Linotype" w:hAnsi="Palatino Linotype" w:cs="Palatino Linotype"/>
          <w:i/>
          <w:sz w:val="22"/>
          <w:szCs w:val="22"/>
          <w:u w:val="single"/>
        </w:rPr>
        <w:t>El formato para señalar la clasificación parcial de un documento</w:t>
      </w:r>
      <w:r w:rsidRPr="00F93884">
        <w:rPr>
          <w:rFonts w:ascii="Palatino Linotype" w:eastAsia="Palatino Linotype" w:hAnsi="Palatino Linotype" w:cs="Palatino Linotype"/>
          <w:i/>
          <w:sz w:val="22"/>
          <w:szCs w:val="22"/>
        </w:rPr>
        <w:t>, es el siguiente:</w:t>
      </w:r>
    </w:p>
    <w:p w14:paraId="41B76FE0"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w:t>
      </w:r>
    </w:p>
    <w:p w14:paraId="354BBE5D" w14:textId="77777777" w:rsidR="003C49AD" w:rsidRPr="00F93884" w:rsidRDefault="003C49AD" w:rsidP="00F93884">
      <w:pPr>
        <w:spacing w:after="160" w:line="259" w:lineRule="auto"/>
        <w:rPr>
          <w:rFonts w:ascii="Palatino Linotype" w:eastAsia="Palatino Linotype" w:hAnsi="Palatino Linotype" w:cs="Palatino Linotype"/>
          <w:sz w:val="22"/>
          <w:szCs w:val="22"/>
        </w:rPr>
      </w:pPr>
    </w:p>
    <w:p w14:paraId="35D2D565"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Quincuagésimo quinto. Los documentos que integren un expediente reservado o confidencial en su totalidad no deberán marcarse en lo individual.</w:t>
      </w:r>
    </w:p>
    <w:p w14:paraId="745154D6"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Una vez desclasificados los expedientes, si existieren documentos que tuvieran el carácter de reservados o confidenciales, deberán ser marcados.</w:t>
      </w:r>
    </w:p>
    <w:p w14:paraId="6F308B14" w14:textId="77777777" w:rsidR="003C49AD" w:rsidRPr="00F93884" w:rsidRDefault="003C49AD" w:rsidP="00F93884">
      <w:pP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El formato para señalar la clasificación de expedientes que por su naturaleza sean en su totalidad reservados o confidenciales, es el siguiente:</w:t>
      </w:r>
    </w:p>
    <w:p w14:paraId="3454697D" w14:textId="77777777" w:rsidR="003C49AD" w:rsidRPr="00F93884" w:rsidRDefault="003C49AD" w:rsidP="00F93884">
      <w:pPr>
        <w:spacing w:after="160" w:line="259" w:lineRule="auto"/>
        <w:rPr>
          <w:rFonts w:ascii="Palatino Linotype" w:eastAsia="Palatino Linotype" w:hAnsi="Palatino Linotype" w:cs="Palatino Linotype"/>
          <w:sz w:val="22"/>
          <w:szCs w:val="22"/>
        </w:rPr>
      </w:pPr>
    </w:p>
    <w:tbl>
      <w:tblPr>
        <w:tblW w:w="88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421"/>
        <w:gridCol w:w="968"/>
        <w:gridCol w:w="3446"/>
      </w:tblGrid>
      <w:tr w:rsidR="00F93884" w:rsidRPr="00F93884" w14:paraId="0E582510" w14:textId="77777777" w:rsidTr="00FC4E82">
        <w:tc>
          <w:tcPr>
            <w:tcW w:w="4414" w:type="dxa"/>
            <w:gridSpan w:val="2"/>
          </w:tcPr>
          <w:p w14:paraId="255FB78E" w14:textId="77777777" w:rsidR="003C49AD" w:rsidRPr="00F93884" w:rsidRDefault="003C49AD" w:rsidP="00F93884">
            <w:pPr>
              <w:jc w:val="center"/>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Parcial</w:t>
            </w:r>
          </w:p>
        </w:tc>
        <w:tc>
          <w:tcPr>
            <w:tcW w:w="4414" w:type="dxa"/>
            <w:gridSpan w:val="2"/>
          </w:tcPr>
          <w:p w14:paraId="64117F93" w14:textId="77777777" w:rsidR="003C49AD" w:rsidRPr="00F93884" w:rsidRDefault="003C49AD" w:rsidP="00F93884">
            <w:pPr>
              <w:jc w:val="center"/>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Total</w:t>
            </w:r>
          </w:p>
        </w:tc>
      </w:tr>
      <w:tr w:rsidR="00F93884" w:rsidRPr="00F93884" w14:paraId="470FE380" w14:textId="77777777" w:rsidTr="00FC4E82">
        <w:tc>
          <w:tcPr>
            <w:tcW w:w="993" w:type="dxa"/>
          </w:tcPr>
          <w:p w14:paraId="6692978C" w14:textId="77777777" w:rsidR="003C49AD" w:rsidRPr="00F93884" w:rsidRDefault="003C49AD" w:rsidP="00F93884">
            <w:pPr>
              <w:jc w:val="center"/>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Concepto</w:t>
            </w:r>
          </w:p>
        </w:tc>
        <w:tc>
          <w:tcPr>
            <w:tcW w:w="3421" w:type="dxa"/>
          </w:tcPr>
          <w:p w14:paraId="20CCD3AB" w14:textId="77777777" w:rsidR="003C49AD" w:rsidRPr="00F93884" w:rsidRDefault="003C49AD" w:rsidP="00F93884">
            <w:pPr>
              <w:jc w:val="center"/>
              <w:rPr>
                <w:rFonts w:ascii="Palatino Linotype" w:eastAsia="Palatino Linotype" w:hAnsi="Palatino Linotype" w:cs="Palatino Linotype"/>
                <w:b/>
                <w:sz w:val="12"/>
                <w:szCs w:val="12"/>
              </w:rPr>
            </w:pPr>
            <w:r w:rsidRPr="00F93884">
              <w:rPr>
                <w:rFonts w:ascii="Palatino Linotype" w:eastAsia="Palatino Linotype" w:hAnsi="Palatino Linotype" w:cs="Palatino Linotype"/>
                <w:b/>
                <w:sz w:val="12"/>
                <w:szCs w:val="12"/>
              </w:rPr>
              <w:t>Dónde</w:t>
            </w:r>
          </w:p>
        </w:tc>
        <w:tc>
          <w:tcPr>
            <w:tcW w:w="968" w:type="dxa"/>
          </w:tcPr>
          <w:p w14:paraId="6CE0F99F" w14:textId="77777777" w:rsidR="003C49AD" w:rsidRPr="00F93884" w:rsidRDefault="003C49AD" w:rsidP="00F93884">
            <w:pPr>
              <w:jc w:val="center"/>
              <w:rPr>
                <w:rFonts w:ascii="Palatino Linotype" w:eastAsia="Palatino Linotype" w:hAnsi="Palatino Linotype" w:cs="Palatino Linotype"/>
                <w:b/>
                <w:sz w:val="12"/>
                <w:szCs w:val="12"/>
              </w:rPr>
            </w:pPr>
            <w:r w:rsidRPr="00F93884">
              <w:rPr>
                <w:rFonts w:ascii="Palatino Linotype" w:eastAsia="Palatino Linotype" w:hAnsi="Palatino Linotype" w:cs="Palatino Linotype"/>
                <w:b/>
                <w:sz w:val="12"/>
                <w:szCs w:val="12"/>
              </w:rPr>
              <w:t>Concepto</w:t>
            </w:r>
          </w:p>
        </w:tc>
        <w:tc>
          <w:tcPr>
            <w:tcW w:w="3446" w:type="dxa"/>
          </w:tcPr>
          <w:p w14:paraId="0DD532F0" w14:textId="77777777" w:rsidR="003C49AD" w:rsidRPr="00F93884" w:rsidRDefault="003C49AD" w:rsidP="00F93884">
            <w:pPr>
              <w:jc w:val="center"/>
              <w:rPr>
                <w:rFonts w:ascii="Palatino Linotype" w:eastAsia="Palatino Linotype" w:hAnsi="Palatino Linotype" w:cs="Palatino Linotype"/>
                <w:b/>
                <w:sz w:val="12"/>
                <w:szCs w:val="12"/>
              </w:rPr>
            </w:pPr>
            <w:r w:rsidRPr="00F93884">
              <w:rPr>
                <w:rFonts w:ascii="Palatino Linotype" w:eastAsia="Palatino Linotype" w:hAnsi="Palatino Linotype" w:cs="Palatino Linotype"/>
                <w:b/>
                <w:sz w:val="12"/>
                <w:szCs w:val="12"/>
              </w:rPr>
              <w:t>Dónde</w:t>
            </w:r>
          </w:p>
        </w:tc>
      </w:tr>
      <w:tr w:rsidR="00F93884" w:rsidRPr="00F93884" w14:paraId="188FEEB4" w14:textId="77777777" w:rsidTr="00FC4E82">
        <w:tc>
          <w:tcPr>
            <w:tcW w:w="8828" w:type="dxa"/>
            <w:gridSpan w:val="4"/>
          </w:tcPr>
          <w:p w14:paraId="479775D3" w14:textId="77777777" w:rsidR="003C49AD" w:rsidRPr="00F93884" w:rsidRDefault="003C49AD" w:rsidP="00F93884">
            <w:pPr>
              <w:jc w:val="center"/>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Sello oficial o logotipo del sujeto obligado</w:t>
            </w:r>
          </w:p>
        </w:tc>
      </w:tr>
      <w:tr w:rsidR="00F93884" w:rsidRPr="00F93884" w14:paraId="2DFCD434" w14:textId="77777777" w:rsidTr="00FC4E82">
        <w:tc>
          <w:tcPr>
            <w:tcW w:w="993" w:type="dxa"/>
          </w:tcPr>
          <w:p w14:paraId="64C53B11" w14:textId="77777777" w:rsidR="003C49AD" w:rsidRPr="00F93884" w:rsidRDefault="003C49AD" w:rsidP="00F93884">
            <w:pPr>
              <w:jc w:val="both"/>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Fecha de clasificación</w:t>
            </w:r>
          </w:p>
        </w:tc>
        <w:tc>
          <w:tcPr>
            <w:tcW w:w="3421" w:type="dxa"/>
          </w:tcPr>
          <w:p w14:paraId="7D77E68B" w14:textId="77777777" w:rsidR="003C49AD" w:rsidRPr="00F93884" w:rsidRDefault="003C49AD" w:rsidP="00F93884">
            <w:pPr>
              <w:jc w:val="both"/>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7BD46DDC" w14:textId="77777777" w:rsidR="003C49AD" w:rsidRPr="00F93884" w:rsidRDefault="003C49AD" w:rsidP="00F93884">
            <w:pPr>
              <w:jc w:val="both"/>
              <w:rPr>
                <w:rFonts w:ascii="Palatino Linotype" w:eastAsia="Palatino Linotype" w:hAnsi="Palatino Linotype" w:cs="Palatino Linotype"/>
                <w:b/>
                <w:sz w:val="12"/>
                <w:szCs w:val="12"/>
              </w:rPr>
            </w:pPr>
            <w:r w:rsidRPr="00F93884">
              <w:rPr>
                <w:rFonts w:ascii="Palatino Linotype" w:eastAsia="Palatino Linotype" w:hAnsi="Palatino Linotype" w:cs="Palatino Linotype"/>
                <w:b/>
                <w:sz w:val="12"/>
                <w:szCs w:val="12"/>
              </w:rPr>
              <w:t>Fecha de clasificación</w:t>
            </w:r>
          </w:p>
        </w:tc>
        <w:tc>
          <w:tcPr>
            <w:tcW w:w="3446" w:type="dxa"/>
          </w:tcPr>
          <w:p w14:paraId="1F878B6F" w14:textId="77777777" w:rsidR="003C49AD" w:rsidRPr="00F93884" w:rsidRDefault="003C49AD" w:rsidP="00F93884">
            <w:pPr>
              <w:jc w:val="both"/>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F93884" w:rsidRPr="00F93884" w14:paraId="09D76B8B" w14:textId="77777777" w:rsidTr="00FC4E82">
        <w:tc>
          <w:tcPr>
            <w:tcW w:w="993" w:type="dxa"/>
          </w:tcPr>
          <w:p w14:paraId="57658F2E" w14:textId="77777777" w:rsidR="003C49AD" w:rsidRPr="00F93884" w:rsidRDefault="003C49AD" w:rsidP="00F93884">
            <w:pPr>
              <w:jc w:val="both"/>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Área</w:t>
            </w:r>
          </w:p>
        </w:tc>
        <w:tc>
          <w:tcPr>
            <w:tcW w:w="3421" w:type="dxa"/>
          </w:tcPr>
          <w:p w14:paraId="6E32ABB4" w14:textId="77777777" w:rsidR="003C49AD" w:rsidRPr="00F93884" w:rsidRDefault="003C49AD" w:rsidP="00F93884">
            <w:pPr>
              <w:jc w:val="both"/>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Se señalará el nombre del área del cual es titular quien clasifica.</w:t>
            </w:r>
          </w:p>
        </w:tc>
        <w:tc>
          <w:tcPr>
            <w:tcW w:w="968" w:type="dxa"/>
          </w:tcPr>
          <w:p w14:paraId="28F209FC" w14:textId="77777777" w:rsidR="003C49AD" w:rsidRPr="00F93884" w:rsidRDefault="003C49AD" w:rsidP="00F93884">
            <w:pPr>
              <w:jc w:val="both"/>
              <w:rPr>
                <w:rFonts w:ascii="Palatino Linotype" w:eastAsia="Palatino Linotype" w:hAnsi="Palatino Linotype" w:cs="Palatino Linotype"/>
                <w:b/>
                <w:sz w:val="12"/>
                <w:szCs w:val="12"/>
              </w:rPr>
            </w:pPr>
            <w:r w:rsidRPr="00F93884">
              <w:rPr>
                <w:rFonts w:ascii="Palatino Linotype" w:eastAsia="Palatino Linotype" w:hAnsi="Palatino Linotype" w:cs="Palatino Linotype"/>
                <w:b/>
                <w:sz w:val="12"/>
                <w:szCs w:val="12"/>
              </w:rPr>
              <w:t>Área</w:t>
            </w:r>
          </w:p>
        </w:tc>
        <w:tc>
          <w:tcPr>
            <w:tcW w:w="3446" w:type="dxa"/>
          </w:tcPr>
          <w:p w14:paraId="6875CA1B" w14:textId="77777777" w:rsidR="003C49AD" w:rsidRPr="00F93884" w:rsidRDefault="003C49AD" w:rsidP="00F93884">
            <w:pPr>
              <w:jc w:val="both"/>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Se señalará el nombre del área de la cual es el titular quien clasifica.</w:t>
            </w:r>
          </w:p>
        </w:tc>
      </w:tr>
      <w:tr w:rsidR="00F93884" w:rsidRPr="00F93884" w14:paraId="627261DE" w14:textId="77777777" w:rsidTr="00FC4E82">
        <w:tc>
          <w:tcPr>
            <w:tcW w:w="993" w:type="dxa"/>
          </w:tcPr>
          <w:p w14:paraId="28455F08" w14:textId="77777777" w:rsidR="003C49AD" w:rsidRPr="00F93884" w:rsidRDefault="003C49AD" w:rsidP="00F93884">
            <w:pPr>
              <w:jc w:val="both"/>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Información reservada</w:t>
            </w:r>
          </w:p>
        </w:tc>
        <w:tc>
          <w:tcPr>
            <w:tcW w:w="3421" w:type="dxa"/>
          </w:tcPr>
          <w:p w14:paraId="085B7DD7" w14:textId="77777777" w:rsidR="003C49AD" w:rsidRPr="00F93884" w:rsidRDefault="003C49AD" w:rsidP="00F93884">
            <w:pPr>
              <w:jc w:val="both"/>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sidRPr="00F93884">
              <w:rPr>
                <w:rFonts w:ascii="Palatino Linotype" w:eastAsia="Palatino Linotype" w:hAnsi="Palatino Linotype" w:cs="Palatino Linotype"/>
                <w:sz w:val="12"/>
                <w:szCs w:val="12"/>
              </w:rPr>
              <w:t>anotarán</w:t>
            </w:r>
            <w:proofErr w:type="gramEnd"/>
            <w:r w:rsidRPr="00F93884">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968" w:type="dxa"/>
          </w:tcPr>
          <w:p w14:paraId="38F762F8" w14:textId="77777777" w:rsidR="003C49AD" w:rsidRPr="00F93884" w:rsidRDefault="003C49AD" w:rsidP="00F93884">
            <w:pPr>
              <w:jc w:val="both"/>
              <w:rPr>
                <w:rFonts w:ascii="Palatino Linotype" w:eastAsia="Palatino Linotype" w:hAnsi="Palatino Linotype" w:cs="Palatino Linotype"/>
                <w:b/>
                <w:sz w:val="12"/>
                <w:szCs w:val="12"/>
              </w:rPr>
            </w:pPr>
            <w:r w:rsidRPr="00F93884">
              <w:rPr>
                <w:rFonts w:ascii="Palatino Linotype" w:eastAsia="Palatino Linotype" w:hAnsi="Palatino Linotype" w:cs="Palatino Linotype"/>
                <w:b/>
                <w:sz w:val="12"/>
                <w:szCs w:val="12"/>
              </w:rPr>
              <w:t>Reservado</w:t>
            </w:r>
          </w:p>
        </w:tc>
        <w:tc>
          <w:tcPr>
            <w:tcW w:w="3446" w:type="dxa"/>
          </w:tcPr>
          <w:p w14:paraId="059C90F9" w14:textId="77777777" w:rsidR="003C49AD" w:rsidRPr="00F93884" w:rsidRDefault="003C49AD" w:rsidP="00F93884">
            <w:pPr>
              <w:jc w:val="both"/>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Leyenda de información RESERVADA.</w:t>
            </w:r>
          </w:p>
        </w:tc>
      </w:tr>
      <w:tr w:rsidR="00F93884" w:rsidRPr="00F93884" w14:paraId="4C9B899B" w14:textId="77777777" w:rsidTr="00FC4E82">
        <w:tc>
          <w:tcPr>
            <w:tcW w:w="993" w:type="dxa"/>
          </w:tcPr>
          <w:p w14:paraId="59217171" w14:textId="77777777" w:rsidR="003C49AD" w:rsidRPr="00F93884" w:rsidRDefault="003C49AD" w:rsidP="00F93884">
            <w:pPr>
              <w:jc w:val="both"/>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Fundamento legal</w:t>
            </w:r>
          </w:p>
        </w:tc>
        <w:tc>
          <w:tcPr>
            <w:tcW w:w="3421" w:type="dxa"/>
          </w:tcPr>
          <w:p w14:paraId="7309D630" w14:textId="77777777" w:rsidR="003C49AD" w:rsidRPr="00F93884" w:rsidRDefault="003C49AD" w:rsidP="00F93884">
            <w:pPr>
              <w:jc w:val="both"/>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5B6ADCFB" w14:textId="77777777" w:rsidR="003C49AD" w:rsidRPr="00F93884" w:rsidRDefault="003C49AD" w:rsidP="00F93884">
            <w:pPr>
              <w:jc w:val="both"/>
              <w:rPr>
                <w:rFonts w:ascii="Palatino Linotype" w:eastAsia="Palatino Linotype" w:hAnsi="Palatino Linotype" w:cs="Palatino Linotype"/>
                <w:b/>
                <w:sz w:val="12"/>
                <w:szCs w:val="12"/>
              </w:rPr>
            </w:pPr>
            <w:r w:rsidRPr="00F93884">
              <w:rPr>
                <w:rFonts w:ascii="Palatino Linotype" w:eastAsia="Palatino Linotype" w:hAnsi="Palatino Linotype" w:cs="Palatino Linotype"/>
                <w:b/>
                <w:sz w:val="12"/>
                <w:szCs w:val="12"/>
              </w:rPr>
              <w:t>Periodo de reserva</w:t>
            </w:r>
          </w:p>
        </w:tc>
        <w:tc>
          <w:tcPr>
            <w:tcW w:w="3446" w:type="dxa"/>
          </w:tcPr>
          <w:p w14:paraId="2DAC789A" w14:textId="77777777" w:rsidR="003C49AD" w:rsidRPr="00F93884" w:rsidRDefault="003C49AD" w:rsidP="00F93884">
            <w:pPr>
              <w:jc w:val="both"/>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F93884" w:rsidRPr="00F93884" w14:paraId="6393C050" w14:textId="77777777" w:rsidTr="00FC4E82">
        <w:tc>
          <w:tcPr>
            <w:tcW w:w="993" w:type="dxa"/>
          </w:tcPr>
          <w:p w14:paraId="05FADB1A" w14:textId="77777777" w:rsidR="003C49AD" w:rsidRPr="00F93884" w:rsidRDefault="003C49AD" w:rsidP="00F93884">
            <w:pPr>
              <w:jc w:val="both"/>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Ampliación del periodo de reserva</w:t>
            </w:r>
          </w:p>
        </w:tc>
        <w:tc>
          <w:tcPr>
            <w:tcW w:w="3421" w:type="dxa"/>
          </w:tcPr>
          <w:p w14:paraId="03B4151E" w14:textId="77777777" w:rsidR="003C49AD" w:rsidRPr="00F93884" w:rsidRDefault="003C49AD" w:rsidP="00F93884">
            <w:pPr>
              <w:jc w:val="both"/>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2E9ADADE" w14:textId="77777777" w:rsidR="003C49AD" w:rsidRPr="00F93884" w:rsidRDefault="003C49AD" w:rsidP="00F93884">
            <w:pPr>
              <w:jc w:val="both"/>
              <w:rPr>
                <w:rFonts w:ascii="Palatino Linotype" w:eastAsia="Palatino Linotype" w:hAnsi="Palatino Linotype" w:cs="Palatino Linotype"/>
                <w:b/>
                <w:sz w:val="12"/>
                <w:szCs w:val="12"/>
              </w:rPr>
            </w:pPr>
            <w:r w:rsidRPr="00F93884">
              <w:rPr>
                <w:rFonts w:ascii="Palatino Linotype" w:eastAsia="Palatino Linotype" w:hAnsi="Palatino Linotype" w:cs="Palatino Linotype"/>
                <w:b/>
                <w:sz w:val="12"/>
                <w:szCs w:val="12"/>
              </w:rPr>
              <w:t>Fundamento legal</w:t>
            </w:r>
          </w:p>
        </w:tc>
        <w:tc>
          <w:tcPr>
            <w:tcW w:w="3446" w:type="dxa"/>
          </w:tcPr>
          <w:p w14:paraId="05CB4E9E" w14:textId="77777777" w:rsidR="003C49AD" w:rsidRPr="00F93884" w:rsidRDefault="003C49AD" w:rsidP="00F93884">
            <w:pPr>
              <w:jc w:val="both"/>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F93884" w:rsidRPr="00F93884" w14:paraId="55FDB097" w14:textId="77777777" w:rsidTr="00FC4E82">
        <w:tc>
          <w:tcPr>
            <w:tcW w:w="993" w:type="dxa"/>
          </w:tcPr>
          <w:p w14:paraId="3645B0C1" w14:textId="77777777" w:rsidR="003C49AD" w:rsidRPr="00F93884" w:rsidRDefault="003C49AD" w:rsidP="00F93884">
            <w:pPr>
              <w:jc w:val="both"/>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Confidencial</w:t>
            </w:r>
          </w:p>
        </w:tc>
        <w:tc>
          <w:tcPr>
            <w:tcW w:w="3421" w:type="dxa"/>
          </w:tcPr>
          <w:p w14:paraId="2A9AA0F9" w14:textId="77777777" w:rsidR="003C49AD" w:rsidRPr="00F93884" w:rsidRDefault="003C49AD" w:rsidP="00F93884">
            <w:pPr>
              <w:jc w:val="both"/>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 xml:space="preserve">Se indicarán, en su caso, las partes o páginas del documento que se clasifica como confidencial. Si el documento fuera confidencial en su totalidad, se anotarán todas las páginas </w:t>
            </w:r>
            <w:r w:rsidRPr="00F93884">
              <w:rPr>
                <w:rFonts w:ascii="Palatino Linotype" w:eastAsia="Palatino Linotype" w:hAnsi="Palatino Linotype" w:cs="Palatino Linotype"/>
                <w:sz w:val="12"/>
                <w:szCs w:val="12"/>
              </w:rPr>
              <w:lastRenderedPageBreak/>
              <w:t>que lo conforman. Si el documento no contiene información confidencial, se tachará este apartado.</w:t>
            </w:r>
          </w:p>
        </w:tc>
        <w:tc>
          <w:tcPr>
            <w:tcW w:w="968" w:type="dxa"/>
          </w:tcPr>
          <w:p w14:paraId="091E4787" w14:textId="77777777" w:rsidR="003C49AD" w:rsidRPr="00F93884" w:rsidRDefault="003C49AD" w:rsidP="00F93884">
            <w:pPr>
              <w:jc w:val="both"/>
              <w:rPr>
                <w:rFonts w:ascii="Palatino Linotype" w:eastAsia="Palatino Linotype" w:hAnsi="Palatino Linotype" w:cs="Palatino Linotype"/>
                <w:b/>
                <w:sz w:val="12"/>
                <w:szCs w:val="12"/>
              </w:rPr>
            </w:pPr>
            <w:r w:rsidRPr="00F93884">
              <w:rPr>
                <w:rFonts w:ascii="Palatino Linotype" w:eastAsia="Palatino Linotype" w:hAnsi="Palatino Linotype" w:cs="Palatino Linotype"/>
                <w:b/>
                <w:sz w:val="12"/>
                <w:szCs w:val="12"/>
              </w:rPr>
              <w:lastRenderedPageBreak/>
              <w:t>Ampliación del periodo de reserva</w:t>
            </w:r>
          </w:p>
        </w:tc>
        <w:tc>
          <w:tcPr>
            <w:tcW w:w="3446" w:type="dxa"/>
          </w:tcPr>
          <w:p w14:paraId="69AABC10" w14:textId="77777777" w:rsidR="003C49AD" w:rsidRPr="00F93884" w:rsidRDefault="003C49AD" w:rsidP="00F93884">
            <w:pPr>
              <w:jc w:val="both"/>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F93884" w:rsidRPr="00F93884" w14:paraId="6CCD87B2" w14:textId="77777777" w:rsidTr="00FC4E82">
        <w:tc>
          <w:tcPr>
            <w:tcW w:w="993" w:type="dxa"/>
          </w:tcPr>
          <w:p w14:paraId="006C7796" w14:textId="77777777" w:rsidR="003C49AD" w:rsidRPr="00F93884" w:rsidRDefault="003C49AD" w:rsidP="00F93884">
            <w:pPr>
              <w:jc w:val="both"/>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lastRenderedPageBreak/>
              <w:t>Fundamento legal</w:t>
            </w:r>
          </w:p>
        </w:tc>
        <w:tc>
          <w:tcPr>
            <w:tcW w:w="3421" w:type="dxa"/>
          </w:tcPr>
          <w:p w14:paraId="5C346A17" w14:textId="77777777" w:rsidR="003C49AD" w:rsidRPr="00F93884" w:rsidRDefault="003C49AD" w:rsidP="00F93884">
            <w:pPr>
              <w:jc w:val="both"/>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61D6E1D3" w14:textId="77777777" w:rsidR="003C49AD" w:rsidRPr="00F93884" w:rsidRDefault="003C49AD" w:rsidP="00F93884">
            <w:pPr>
              <w:jc w:val="both"/>
              <w:rPr>
                <w:rFonts w:ascii="Palatino Linotype" w:eastAsia="Palatino Linotype" w:hAnsi="Palatino Linotype" w:cs="Palatino Linotype"/>
                <w:b/>
                <w:sz w:val="12"/>
                <w:szCs w:val="12"/>
              </w:rPr>
            </w:pPr>
            <w:r w:rsidRPr="00F93884">
              <w:rPr>
                <w:rFonts w:ascii="Palatino Linotype" w:eastAsia="Palatino Linotype" w:hAnsi="Palatino Linotype" w:cs="Palatino Linotype"/>
                <w:b/>
                <w:sz w:val="12"/>
                <w:szCs w:val="12"/>
              </w:rPr>
              <w:t>Confidencial</w:t>
            </w:r>
          </w:p>
        </w:tc>
        <w:tc>
          <w:tcPr>
            <w:tcW w:w="3446" w:type="dxa"/>
          </w:tcPr>
          <w:p w14:paraId="0BA24F6C" w14:textId="77777777" w:rsidR="003C49AD" w:rsidRPr="00F93884" w:rsidRDefault="003C49AD" w:rsidP="00F93884">
            <w:pPr>
              <w:jc w:val="both"/>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Leyenda de información CONFIDENCIAL.</w:t>
            </w:r>
          </w:p>
        </w:tc>
      </w:tr>
      <w:tr w:rsidR="00F93884" w:rsidRPr="00F93884" w14:paraId="29EEA732" w14:textId="77777777" w:rsidTr="00FC4E82">
        <w:tc>
          <w:tcPr>
            <w:tcW w:w="993" w:type="dxa"/>
          </w:tcPr>
          <w:p w14:paraId="23DBB0FA" w14:textId="77777777" w:rsidR="003C49AD" w:rsidRPr="00F93884" w:rsidRDefault="003C49AD" w:rsidP="00F93884">
            <w:pPr>
              <w:jc w:val="both"/>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Rúbrica del titular del área</w:t>
            </w:r>
          </w:p>
        </w:tc>
        <w:tc>
          <w:tcPr>
            <w:tcW w:w="3421" w:type="dxa"/>
          </w:tcPr>
          <w:p w14:paraId="3E211D4B" w14:textId="77777777" w:rsidR="003C49AD" w:rsidRPr="00F93884" w:rsidRDefault="003C49AD" w:rsidP="00F93884">
            <w:pPr>
              <w:jc w:val="both"/>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Rúbrica autógrafa de quien clasifica.</w:t>
            </w:r>
          </w:p>
        </w:tc>
        <w:tc>
          <w:tcPr>
            <w:tcW w:w="968" w:type="dxa"/>
          </w:tcPr>
          <w:p w14:paraId="176DA21C" w14:textId="77777777" w:rsidR="003C49AD" w:rsidRPr="00F93884" w:rsidRDefault="003C49AD" w:rsidP="00F93884">
            <w:pPr>
              <w:jc w:val="both"/>
              <w:rPr>
                <w:rFonts w:ascii="Palatino Linotype" w:eastAsia="Palatino Linotype" w:hAnsi="Palatino Linotype" w:cs="Palatino Linotype"/>
                <w:b/>
                <w:sz w:val="12"/>
                <w:szCs w:val="12"/>
              </w:rPr>
            </w:pPr>
            <w:r w:rsidRPr="00F93884">
              <w:rPr>
                <w:rFonts w:ascii="Palatino Linotype" w:eastAsia="Palatino Linotype" w:hAnsi="Palatino Linotype" w:cs="Palatino Linotype"/>
                <w:b/>
                <w:sz w:val="12"/>
                <w:szCs w:val="12"/>
              </w:rPr>
              <w:t>Fundamento legal</w:t>
            </w:r>
          </w:p>
        </w:tc>
        <w:tc>
          <w:tcPr>
            <w:tcW w:w="3446" w:type="dxa"/>
          </w:tcPr>
          <w:p w14:paraId="63F0DA2C" w14:textId="77777777" w:rsidR="003C49AD" w:rsidRPr="00F93884" w:rsidRDefault="003C49AD" w:rsidP="00F93884">
            <w:pPr>
              <w:jc w:val="both"/>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F93884" w:rsidRPr="00F93884" w14:paraId="15FC5623" w14:textId="77777777" w:rsidTr="00FC4E82">
        <w:tc>
          <w:tcPr>
            <w:tcW w:w="993" w:type="dxa"/>
          </w:tcPr>
          <w:p w14:paraId="43910181" w14:textId="77777777" w:rsidR="003C49AD" w:rsidRPr="00F93884" w:rsidRDefault="003C49AD" w:rsidP="00F93884">
            <w:pPr>
              <w:jc w:val="both"/>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Fecha de desclasificación</w:t>
            </w:r>
          </w:p>
        </w:tc>
        <w:tc>
          <w:tcPr>
            <w:tcW w:w="3421" w:type="dxa"/>
          </w:tcPr>
          <w:p w14:paraId="2CF391A0" w14:textId="77777777" w:rsidR="003C49AD" w:rsidRPr="00F93884" w:rsidRDefault="003C49AD" w:rsidP="00F93884">
            <w:pPr>
              <w:jc w:val="both"/>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Se anotará la fecha en que se desclasifica el documento.</w:t>
            </w:r>
          </w:p>
        </w:tc>
        <w:tc>
          <w:tcPr>
            <w:tcW w:w="968" w:type="dxa"/>
          </w:tcPr>
          <w:p w14:paraId="17265FD9" w14:textId="77777777" w:rsidR="003C49AD" w:rsidRPr="00F93884" w:rsidRDefault="003C49AD" w:rsidP="00F93884">
            <w:pPr>
              <w:jc w:val="both"/>
              <w:rPr>
                <w:rFonts w:ascii="Palatino Linotype" w:eastAsia="Palatino Linotype" w:hAnsi="Palatino Linotype" w:cs="Palatino Linotype"/>
                <w:b/>
                <w:sz w:val="12"/>
                <w:szCs w:val="12"/>
              </w:rPr>
            </w:pPr>
            <w:r w:rsidRPr="00F93884">
              <w:rPr>
                <w:rFonts w:ascii="Palatino Linotype" w:eastAsia="Palatino Linotype" w:hAnsi="Palatino Linotype" w:cs="Palatino Linotype"/>
                <w:b/>
                <w:sz w:val="12"/>
                <w:szCs w:val="12"/>
              </w:rPr>
              <w:t>Rúbrica del titular del área</w:t>
            </w:r>
          </w:p>
        </w:tc>
        <w:tc>
          <w:tcPr>
            <w:tcW w:w="3446" w:type="dxa"/>
          </w:tcPr>
          <w:p w14:paraId="3637CE91" w14:textId="77777777" w:rsidR="003C49AD" w:rsidRPr="00F93884" w:rsidRDefault="003C49AD" w:rsidP="00F93884">
            <w:pPr>
              <w:jc w:val="both"/>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Rúbrica autógrafa de quien clasifica.</w:t>
            </w:r>
          </w:p>
        </w:tc>
      </w:tr>
      <w:tr w:rsidR="00F93884" w:rsidRPr="00F93884" w14:paraId="13546ABC" w14:textId="77777777" w:rsidTr="00FC4E82">
        <w:tc>
          <w:tcPr>
            <w:tcW w:w="993" w:type="dxa"/>
          </w:tcPr>
          <w:p w14:paraId="0C813ECE" w14:textId="77777777" w:rsidR="003C49AD" w:rsidRPr="00F93884" w:rsidRDefault="003C49AD" w:rsidP="00F93884">
            <w:pPr>
              <w:jc w:val="both"/>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Rúbrica y cargo del servidor público</w:t>
            </w:r>
          </w:p>
        </w:tc>
        <w:tc>
          <w:tcPr>
            <w:tcW w:w="3421" w:type="dxa"/>
          </w:tcPr>
          <w:p w14:paraId="55532041" w14:textId="77777777" w:rsidR="003C49AD" w:rsidRPr="00F93884" w:rsidRDefault="003C49AD" w:rsidP="00F93884">
            <w:pPr>
              <w:jc w:val="both"/>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Rúbrica autógrafa de quien desclasifica.</w:t>
            </w:r>
          </w:p>
        </w:tc>
        <w:tc>
          <w:tcPr>
            <w:tcW w:w="968" w:type="dxa"/>
          </w:tcPr>
          <w:p w14:paraId="71093906" w14:textId="77777777" w:rsidR="003C49AD" w:rsidRPr="00F93884" w:rsidRDefault="003C49AD" w:rsidP="00F93884">
            <w:pPr>
              <w:jc w:val="both"/>
              <w:rPr>
                <w:rFonts w:ascii="Palatino Linotype" w:eastAsia="Palatino Linotype" w:hAnsi="Palatino Linotype" w:cs="Palatino Linotype"/>
                <w:b/>
                <w:sz w:val="12"/>
                <w:szCs w:val="12"/>
              </w:rPr>
            </w:pPr>
            <w:r w:rsidRPr="00F93884">
              <w:rPr>
                <w:rFonts w:ascii="Palatino Linotype" w:eastAsia="Palatino Linotype" w:hAnsi="Palatino Linotype" w:cs="Palatino Linotype"/>
                <w:b/>
                <w:sz w:val="12"/>
                <w:szCs w:val="12"/>
              </w:rPr>
              <w:t>Fecha de desclasificación</w:t>
            </w:r>
          </w:p>
        </w:tc>
        <w:tc>
          <w:tcPr>
            <w:tcW w:w="3446" w:type="dxa"/>
          </w:tcPr>
          <w:p w14:paraId="09DD8C1A" w14:textId="77777777" w:rsidR="003C49AD" w:rsidRPr="00F93884" w:rsidRDefault="003C49AD" w:rsidP="00F93884">
            <w:pPr>
              <w:jc w:val="both"/>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Se anotará la fecha en que se desclasifica.</w:t>
            </w:r>
          </w:p>
        </w:tc>
      </w:tr>
      <w:tr w:rsidR="00F93884" w:rsidRPr="00F93884" w14:paraId="367DF837" w14:textId="77777777" w:rsidTr="00FC4E82">
        <w:tc>
          <w:tcPr>
            <w:tcW w:w="993" w:type="dxa"/>
          </w:tcPr>
          <w:p w14:paraId="288F64FF" w14:textId="77777777" w:rsidR="003C49AD" w:rsidRPr="00F93884" w:rsidRDefault="003C49AD" w:rsidP="00F93884">
            <w:pPr>
              <w:jc w:val="both"/>
              <w:rPr>
                <w:rFonts w:ascii="Palatino Linotype" w:eastAsia="Palatino Linotype" w:hAnsi="Palatino Linotype" w:cs="Palatino Linotype"/>
                <w:sz w:val="12"/>
                <w:szCs w:val="12"/>
              </w:rPr>
            </w:pPr>
          </w:p>
        </w:tc>
        <w:tc>
          <w:tcPr>
            <w:tcW w:w="3421" w:type="dxa"/>
          </w:tcPr>
          <w:p w14:paraId="2022550B" w14:textId="77777777" w:rsidR="003C49AD" w:rsidRPr="00F93884" w:rsidRDefault="003C49AD" w:rsidP="00F93884">
            <w:pPr>
              <w:jc w:val="both"/>
              <w:rPr>
                <w:rFonts w:ascii="Palatino Linotype" w:eastAsia="Palatino Linotype" w:hAnsi="Palatino Linotype" w:cs="Palatino Linotype"/>
                <w:sz w:val="12"/>
                <w:szCs w:val="12"/>
              </w:rPr>
            </w:pPr>
          </w:p>
        </w:tc>
        <w:tc>
          <w:tcPr>
            <w:tcW w:w="968" w:type="dxa"/>
          </w:tcPr>
          <w:p w14:paraId="602548A2" w14:textId="77777777" w:rsidR="003C49AD" w:rsidRPr="00F93884" w:rsidRDefault="003C49AD" w:rsidP="00F93884">
            <w:pPr>
              <w:jc w:val="both"/>
              <w:rPr>
                <w:rFonts w:ascii="Palatino Linotype" w:eastAsia="Palatino Linotype" w:hAnsi="Palatino Linotype" w:cs="Palatino Linotype"/>
                <w:b/>
                <w:sz w:val="12"/>
                <w:szCs w:val="12"/>
              </w:rPr>
            </w:pPr>
            <w:r w:rsidRPr="00F93884">
              <w:rPr>
                <w:rFonts w:ascii="Palatino Linotype" w:eastAsia="Palatino Linotype" w:hAnsi="Palatino Linotype" w:cs="Palatino Linotype"/>
                <w:b/>
                <w:sz w:val="12"/>
                <w:szCs w:val="12"/>
              </w:rPr>
              <w:t>Partes o secciones reservadas o confidenciales</w:t>
            </w:r>
          </w:p>
        </w:tc>
        <w:tc>
          <w:tcPr>
            <w:tcW w:w="3446" w:type="dxa"/>
          </w:tcPr>
          <w:p w14:paraId="11604D30" w14:textId="77777777" w:rsidR="003C49AD" w:rsidRPr="00F93884" w:rsidRDefault="003C49AD" w:rsidP="00F93884">
            <w:pPr>
              <w:jc w:val="both"/>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 xml:space="preserve">En caso que una vez desclasificado el expediente, </w:t>
            </w:r>
            <w:proofErr w:type="spellStart"/>
            <w:r w:rsidRPr="00F93884">
              <w:rPr>
                <w:rFonts w:ascii="Palatino Linotype" w:eastAsia="Palatino Linotype" w:hAnsi="Palatino Linotype" w:cs="Palatino Linotype"/>
                <w:sz w:val="12"/>
                <w:szCs w:val="12"/>
              </w:rPr>
              <w:t>subsistanpartes</w:t>
            </w:r>
            <w:proofErr w:type="spellEnd"/>
            <w:r w:rsidRPr="00F93884">
              <w:rPr>
                <w:rFonts w:ascii="Palatino Linotype" w:eastAsia="Palatino Linotype" w:hAnsi="Palatino Linotype" w:cs="Palatino Linotype"/>
                <w:sz w:val="12"/>
                <w:szCs w:val="12"/>
              </w:rPr>
              <w:t xml:space="preserve"> o secciones del mismo reservadas o confidenciales, se señalará este hecho.</w:t>
            </w:r>
          </w:p>
        </w:tc>
      </w:tr>
      <w:tr w:rsidR="00F93884" w:rsidRPr="00F93884" w14:paraId="421BFACC" w14:textId="77777777" w:rsidTr="00FC4E82">
        <w:tc>
          <w:tcPr>
            <w:tcW w:w="993" w:type="dxa"/>
          </w:tcPr>
          <w:p w14:paraId="19A81E4A" w14:textId="77777777" w:rsidR="003C49AD" w:rsidRPr="00F93884" w:rsidRDefault="003C49AD" w:rsidP="00F93884">
            <w:pPr>
              <w:jc w:val="both"/>
              <w:rPr>
                <w:rFonts w:ascii="Palatino Linotype" w:eastAsia="Palatino Linotype" w:hAnsi="Palatino Linotype" w:cs="Palatino Linotype"/>
                <w:sz w:val="12"/>
                <w:szCs w:val="12"/>
              </w:rPr>
            </w:pPr>
          </w:p>
        </w:tc>
        <w:tc>
          <w:tcPr>
            <w:tcW w:w="3421" w:type="dxa"/>
          </w:tcPr>
          <w:p w14:paraId="619EBB39" w14:textId="77777777" w:rsidR="003C49AD" w:rsidRPr="00F93884" w:rsidRDefault="003C49AD" w:rsidP="00F93884">
            <w:pPr>
              <w:jc w:val="both"/>
              <w:rPr>
                <w:rFonts w:ascii="Palatino Linotype" w:eastAsia="Palatino Linotype" w:hAnsi="Palatino Linotype" w:cs="Palatino Linotype"/>
                <w:sz w:val="12"/>
                <w:szCs w:val="12"/>
              </w:rPr>
            </w:pPr>
          </w:p>
        </w:tc>
        <w:tc>
          <w:tcPr>
            <w:tcW w:w="968" w:type="dxa"/>
          </w:tcPr>
          <w:p w14:paraId="21815858" w14:textId="77777777" w:rsidR="003C49AD" w:rsidRPr="00F93884" w:rsidRDefault="003C49AD" w:rsidP="00F93884">
            <w:pPr>
              <w:jc w:val="both"/>
              <w:rPr>
                <w:rFonts w:ascii="Palatino Linotype" w:eastAsia="Palatino Linotype" w:hAnsi="Palatino Linotype" w:cs="Palatino Linotype"/>
                <w:b/>
                <w:sz w:val="12"/>
                <w:szCs w:val="12"/>
              </w:rPr>
            </w:pPr>
            <w:r w:rsidRPr="00F93884">
              <w:rPr>
                <w:rFonts w:ascii="Palatino Linotype" w:eastAsia="Palatino Linotype" w:hAnsi="Palatino Linotype" w:cs="Palatino Linotype"/>
                <w:b/>
                <w:sz w:val="12"/>
                <w:szCs w:val="12"/>
              </w:rPr>
              <w:t>Rúbrica y cargo del servidor público</w:t>
            </w:r>
          </w:p>
        </w:tc>
        <w:tc>
          <w:tcPr>
            <w:tcW w:w="3446" w:type="dxa"/>
          </w:tcPr>
          <w:p w14:paraId="7A26EB40" w14:textId="77777777" w:rsidR="003C49AD" w:rsidRPr="00F93884" w:rsidRDefault="003C49AD" w:rsidP="00F93884">
            <w:pPr>
              <w:jc w:val="both"/>
              <w:rPr>
                <w:rFonts w:ascii="Palatino Linotype" w:eastAsia="Palatino Linotype" w:hAnsi="Palatino Linotype" w:cs="Palatino Linotype"/>
                <w:sz w:val="12"/>
                <w:szCs w:val="12"/>
              </w:rPr>
            </w:pPr>
            <w:r w:rsidRPr="00F93884">
              <w:rPr>
                <w:rFonts w:ascii="Palatino Linotype" w:eastAsia="Palatino Linotype" w:hAnsi="Palatino Linotype" w:cs="Palatino Linotype"/>
                <w:sz w:val="12"/>
                <w:szCs w:val="12"/>
              </w:rPr>
              <w:t>Rúbrica autógrafa de quien desclasifica.</w:t>
            </w:r>
          </w:p>
        </w:tc>
      </w:tr>
    </w:tbl>
    <w:p w14:paraId="46714A63" w14:textId="77777777" w:rsidR="003C49AD" w:rsidRPr="00F93884" w:rsidRDefault="003C49AD" w:rsidP="00F93884">
      <w:pPr>
        <w:keepNext/>
        <w:keepLines/>
        <w:spacing w:line="360" w:lineRule="auto"/>
        <w:rPr>
          <w:rFonts w:ascii="Calibri" w:eastAsia="Calibri" w:hAnsi="Calibri" w:cs="Calibri"/>
          <w:sz w:val="22"/>
          <w:szCs w:val="22"/>
        </w:rPr>
      </w:pPr>
    </w:p>
    <w:p w14:paraId="033F8F7C" w14:textId="77777777" w:rsidR="003C49AD" w:rsidRPr="00F93884" w:rsidRDefault="003C49AD" w:rsidP="00F93884">
      <w:pPr>
        <w:tabs>
          <w:tab w:val="left" w:pos="709"/>
        </w:tabs>
        <w:spacing w:line="360" w:lineRule="auto"/>
        <w:ind w:right="49"/>
        <w:jc w:val="both"/>
        <w:rPr>
          <w:rFonts w:ascii="Palatino Linotype" w:eastAsia="Palatino Linotype" w:hAnsi="Palatino Linotype" w:cs="Palatino Linotype"/>
        </w:rPr>
      </w:pPr>
    </w:p>
    <w:p w14:paraId="38704185" w14:textId="77777777" w:rsidR="003C49AD" w:rsidRPr="00F93884" w:rsidRDefault="003C49AD" w:rsidP="00F93884">
      <w:pPr>
        <w:keepNext/>
        <w:keepLines/>
        <w:spacing w:line="360" w:lineRule="auto"/>
        <w:jc w:val="both"/>
        <w:rPr>
          <w:rFonts w:ascii="Palatino Linotype" w:eastAsia="Palatino Linotype" w:hAnsi="Palatino Linotype" w:cs="Palatino Linotype"/>
          <w:b/>
        </w:rPr>
      </w:pPr>
      <w:r w:rsidRPr="00F93884">
        <w:rPr>
          <w:rFonts w:ascii="Palatino Linotype" w:eastAsia="Palatino Linotype" w:hAnsi="Palatino Linotype" w:cs="Palatino Linotype"/>
          <w:b/>
        </w:rPr>
        <w:t xml:space="preserve">Vista al área competente de este Instituto. </w:t>
      </w:r>
      <w:r w:rsidRPr="00F93884">
        <w:rPr>
          <w:rFonts w:ascii="Palatino Linotype" w:eastAsia="Palatino Linotype" w:hAnsi="Palatino Linotype" w:cs="Palatino Linotype"/>
        </w:rPr>
        <w:t>Con fundamento en el artículo doscientos veintidós de la Ley de Transparencia y Acceso a la Información Pública del Estado de México y Municipios, son causas de responsabilidad administrativas las siguientes:</w:t>
      </w:r>
    </w:p>
    <w:p w14:paraId="458E4B02" w14:textId="77777777" w:rsidR="003C49AD" w:rsidRPr="00F93884" w:rsidRDefault="003C49AD"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EE06556" w14:textId="77777777" w:rsidR="003C49AD" w:rsidRPr="00F93884" w:rsidRDefault="003C49AD"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Artículo 222.</w:t>
      </w:r>
      <w:r w:rsidRPr="00F93884">
        <w:rPr>
          <w:rFonts w:ascii="Palatino Linotype" w:eastAsia="Palatino Linotype" w:hAnsi="Palatino Linotype" w:cs="Palatino Linotype"/>
          <w:i/>
          <w:sz w:val="22"/>
          <w:szCs w:val="22"/>
        </w:rPr>
        <w:t xml:space="preserve"> Son causas de responsabilidad administrativa de los servidores públicos de los sujetos obligados, por incumplimiento de las obligaciones establecidas en la materia de la presente Ley, las siguientes:</w:t>
      </w:r>
    </w:p>
    <w:p w14:paraId="019C9DBD" w14:textId="77777777" w:rsidR="003C49AD" w:rsidRPr="00F93884" w:rsidRDefault="003C49AD"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I. Cualquier acto u omisión que provoque la suspensión o deficiencia en la atención de las solicitudes de información</w:t>
      </w:r>
      <w:r w:rsidRPr="00F93884">
        <w:rPr>
          <w:rFonts w:ascii="Palatino Linotype" w:eastAsia="Palatino Linotype" w:hAnsi="Palatino Linotype" w:cs="Palatino Linotype"/>
          <w:i/>
          <w:sz w:val="22"/>
          <w:szCs w:val="22"/>
        </w:rPr>
        <w:t>;</w:t>
      </w:r>
    </w:p>
    <w:p w14:paraId="705C1B1F" w14:textId="77777777" w:rsidR="003C49AD" w:rsidRPr="00F93884" w:rsidRDefault="003C49AD"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II. La falta de respuesta a las solicitudes de información en los plazos señalados en la normatividad aplicable</w:t>
      </w:r>
      <w:r w:rsidRPr="00F93884">
        <w:rPr>
          <w:rFonts w:ascii="Palatino Linotype" w:eastAsia="Palatino Linotype" w:hAnsi="Palatino Linotype" w:cs="Palatino Linotype"/>
          <w:i/>
          <w:sz w:val="22"/>
          <w:szCs w:val="22"/>
        </w:rPr>
        <w:t>;</w:t>
      </w:r>
    </w:p>
    <w:p w14:paraId="18896EB3" w14:textId="77777777" w:rsidR="003C49AD" w:rsidRPr="00F93884" w:rsidRDefault="003C49AD"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i/>
          <w:sz w:val="22"/>
          <w:szCs w:val="22"/>
        </w:rPr>
        <w:t>(…)</w:t>
      </w:r>
    </w:p>
    <w:p w14:paraId="6B688066" w14:textId="77777777" w:rsidR="003C49AD" w:rsidRPr="00F93884" w:rsidRDefault="003C49AD"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312ABD0" w14:textId="1703EE9F" w:rsidR="003C49AD" w:rsidRPr="00F93884" w:rsidRDefault="003C49AD"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Es necesario señalar que como se refirió en el estudio no existió respuesta a las solicitud </w:t>
      </w:r>
      <w:r w:rsidRPr="00F93884">
        <w:rPr>
          <w:rFonts w:ascii="Palatino Linotype" w:eastAsia="Palatino Linotype" w:hAnsi="Palatino Linotype" w:cs="Palatino Linotype"/>
          <w:b/>
          <w:bCs/>
        </w:rPr>
        <w:t>01156/ZINACANT/IP/2022 y 01157/ZINACANT/IP/</w:t>
      </w:r>
      <w:r w:rsidR="009E4B94" w:rsidRPr="00F93884">
        <w:rPr>
          <w:rFonts w:ascii="Palatino Linotype" w:eastAsia="Palatino Linotype" w:hAnsi="Palatino Linotype" w:cs="Palatino Linotype"/>
          <w:b/>
          <w:bCs/>
        </w:rPr>
        <w:t>2022,</w:t>
      </w:r>
      <w:r w:rsidR="009E4B94" w:rsidRPr="00F93884">
        <w:rPr>
          <w:rFonts w:ascii="Palatino Linotype" w:eastAsia="Palatino Linotype" w:hAnsi="Palatino Linotype" w:cs="Palatino Linotype"/>
        </w:rPr>
        <w:t xml:space="preserve"> ni</w:t>
      </w:r>
      <w:r w:rsidRPr="00F93884">
        <w:rPr>
          <w:rFonts w:ascii="Palatino Linotype" w:eastAsia="Palatino Linotype" w:hAnsi="Palatino Linotype" w:cs="Palatino Linotype"/>
        </w:rPr>
        <w:t xml:space="preserve"> tampoco un registro de </w:t>
      </w:r>
      <w:r w:rsidRPr="00F93884">
        <w:rPr>
          <w:rFonts w:ascii="Palatino Linotype" w:eastAsia="Palatino Linotype" w:hAnsi="Palatino Linotype" w:cs="Palatino Linotype"/>
          <w:b/>
        </w:rPr>
        <w:lastRenderedPageBreak/>
        <w:t>que EL SUJETO OBLIGADO</w:t>
      </w:r>
      <w:r w:rsidRPr="00F93884">
        <w:rPr>
          <w:rFonts w:ascii="Palatino Linotype" w:eastAsia="Palatino Linotype" w:hAnsi="Palatino Linotype" w:cs="Palatino Linotype"/>
        </w:rPr>
        <w:t xml:space="preserve"> hubiera realizado alguna otra actuación para dar respuesta a la solicitud de información.</w:t>
      </w:r>
    </w:p>
    <w:p w14:paraId="66557C67" w14:textId="77777777" w:rsidR="003C49AD" w:rsidRPr="00F93884" w:rsidRDefault="003C49AD" w:rsidP="00F93884">
      <w:pPr>
        <w:pBdr>
          <w:top w:val="nil"/>
          <w:left w:val="nil"/>
          <w:bottom w:val="nil"/>
          <w:right w:val="nil"/>
          <w:between w:val="nil"/>
        </w:pBdr>
        <w:ind w:right="864"/>
        <w:jc w:val="both"/>
        <w:rPr>
          <w:rFonts w:ascii="Palatino Linotype" w:eastAsia="Palatino Linotype" w:hAnsi="Palatino Linotype" w:cs="Palatino Linotype"/>
          <w:i/>
          <w:sz w:val="22"/>
          <w:szCs w:val="22"/>
        </w:rPr>
      </w:pPr>
    </w:p>
    <w:p w14:paraId="1060DE1E" w14:textId="52B9428E" w:rsidR="003773D9" w:rsidRPr="00F93884" w:rsidRDefault="00C74419" w:rsidP="00F93884">
      <w:pPr>
        <w:pBdr>
          <w:top w:val="nil"/>
          <w:left w:val="nil"/>
          <w:bottom w:val="nil"/>
          <w:right w:val="nil"/>
          <w:between w:val="nil"/>
        </w:pBd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De acuerdo con lo expuesto y, con fundamento en el artículo 186, fracción I, de la Ley de Transparencia y Acceso a la Información Pública del Estado de México y Municipios, este Instituto considera procedente </w:t>
      </w:r>
      <w:r w:rsidRPr="00F93884">
        <w:rPr>
          <w:rFonts w:ascii="Palatino Linotype" w:eastAsia="Palatino Linotype" w:hAnsi="Palatino Linotype" w:cs="Palatino Linotype"/>
          <w:b/>
        </w:rPr>
        <w:t>SOBRESEER</w:t>
      </w:r>
      <w:r w:rsidRPr="00F93884">
        <w:rPr>
          <w:rFonts w:ascii="Palatino Linotype" w:eastAsia="Palatino Linotype" w:hAnsi="Palatino Linotype" w:cs="Palatino Linotype"/>
        </w:rPr>
        <w:t xml:space="preserve"> el medio de impugnación </w:t>
      </w:r>
      <w:r w:rsidR="00D145B6" w:rsidRPr="00F93884">
        <w:rPr>
          <w:rFonts w:ascii="Palatino Linotype" w:eastAsia="Palatino Linotype" w:hAnsi="Palatino Linotype" w:cs="Palatino Linotype"/>
          <w:b/>
        </w:rPr>
        <w:t>16978</w:t>
      </w:r>
      <w:r w:rsidRPr="00F93884">
        <w:rPr>
          <w:rFonts w:ascii="Palatino Linotype" w:eastAsia="Palatino Linotype" w:hAnsi="Palatino Linotype" w:cs="Palatino Linotype"/>
          <w:b/>
        </w:rPr>
        <w:t>/INFOEM/IP/RR/2022,</w:t>
      </w:r>
      <w:r w:rsidRPr="00F93884">
        <w:rPr>
          <w:rFonts w:ascii="Palatino Linotype" w:eastAsia="Palatino Linotype" w:hAnsi="Palatino Linotype" w:cs="Palatino Linotype"/>
        </w:rPr>
        <w:t xml:space="preserve"> debido a que a la fecha en la que se requirió la información </w:t>
      </w:r>
      <w:r w:rsidRPr="00F93884">
        <w:rPr>
          <w:rFonts w:ascii="Palatino Linotype" w:eastAsia="Palatino Linotype" w:hAnsi="Palatino Linotype" w:cs="Palatino Linotype"/>
          <w:b/>
        </w:rPr>
        <w:t>EL SUJETO OBLIGADO</w:t>
      </w:r>
      <w:r w:rsidRPr="00F93884">
        <w:rPr>
          <w:rFonts w:ascii="Palatino Linotype" w:eastAsia="Palatino Linotype" w:hAnsi="Palatino Linotype" w:cs="Palatino Linotype"/>
        </w:rPr>
        <w:t xml:space="preserve"> aun no generaba, administraba y/o archivaba los recibos de nómina de los servidores públicos de la administración pública, de la segunda quincena de octubre de dos mil veintidós, </w:t>
      </w:r>
      <w:r w:rsidR="009E4B94" w:rsidRPr="00F93884">
        <w:rPr>
          <w:rFonts w:ascii="Palatino Linotype" w:eastAsia="Palatino Linotype" w:hAnsi="Palatino Linotype" w:cs="Palatino Linotype"/>
        </w:rPr>
        <w:t xml:space="preserve">es decir, el particular ingresó su solicitud el veintisiete de octubre de dos mil veintidós, por lo que, a esa fecha la información no se había generado, por tanto se deja </w:t>
      </w:r>
      <w:r w:rsidRPr="00F93884">
        <w:rPr>
          <w:rFonts w:ascii="Palatino Linotype" w:eastAsia="Palatino Linotype" w:hAnsi="Palatino Linotype" w:cs="Palatino Linotype"/>
        </w:rPr>
        <w:t>sin materia el presente Recurso de Revisión.</w:t>
      </w:r>
    </w:p>
    <w:p w14:paraId="283B1030" w14:textId="77777777" w:rsidR="003773D9" w:rsidRPr="00F93884" w:rsidRDefault="003773D9" w:rsidP="00F93884">
      <w:pPr>
        <w:pBdr>
          <w:top w:val="nil"/>
          <w:left w:val="nil"/>
          <w:bottom w:val="nil"/>
          <w:right w:val="nil"/>
          <w:between w:val="nil"/>
        </w:pBdr>
        <w:spacing w:line="360" w:lineRule="auto"/>
        <w:jc w:val="both"/>
        <w:rPr>
          <w:rFonts w:ascii="Palatino Linotype" w:eastAsia="Palatino Linotype" w:hAnsi="Palatino Linotype" w:cs="Palatino Linotype"/>
        </w:rPr>
      </w:pPr>
    </w:p>
    <w:p w14:paraId="6F35D526" w14:textId="1AB300AC" w:rsidR="003773D9" w:rsidRPr="00F93884" w:rsidRDefault="003773D9" w:rsidP="00F93884">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F93884">
        <w:rPr>
          <w:rFonts w:ascii="Palatino Linotype" w:hAnsi="Palatino Linotype" w:cs="Arial"/>
        </w:rPr>
        <w:t>En ese sentido, se advierte que, se actualizó en el presente asunto la causal de sobreseimiento previst</w:t>
      </w:r>
      <w:r w:rsidR="00BE04C7" w:rsidRPr="00F93884">
        <w:rPr>
          <w:rFonts w:ascii="Palatino Linotype" w:hAnsi="Palatino Linotype" w:cs="Arial"/>
        </w:rPr>
        <w:t xml:space="preserve">a en el artículo 192, fracción </w:t>
      </w:r>
      <w:r w:rsidRPr="00F93884">
        <w:rPr>
          <w:rFonts w:ascii="Palatino Linotype" w:hAnsi="Palatino Linotype" w:cs="Arial"/>
        </w:rPr>
        <w:t>V de la Ley de Transparencia y Acceso a la Información Pública del Estado de México y Municipios que a la letra apuntan lo siguiente:</w:t>
      </w:r>
    </w:p>
    <w:p w14:paraId="7F3F121B" w14:textId="77777777" w:rsidR="003773D9" w:rsidRPr="00F93884" w:rsidRDefault="003773D9" w:rsidP="00F93884">
      <w:pPr>
        <w:pStyle w:val="Prrafodelista"/>
        <w:widowControl w:val="0"/>
        <w:autoSpaceDE w:val="0"/>
        <w:autoSpaceDN w:val="0"/>
        <w:adjustRightInd w:val="0"/>
        <w:ind w:left="851" w:right="899"/>
        <w:jc w:val="both"/>
        <w:rPr>
          <w:rFonts w:ascii="Palatino Linotype" w:hAnsi="Palatino Linotype" w:cs="Arial"/>
          <w:i/>
          <w:sz w:val="22"/>
          <w:szCs w:val="22"/>
        </w:rPr>
      </w:pPr>
      <w:r w:rsidRPr="00F93884">
        <w:rPr>
          <w:rFonts w:ascii="Palatino Linotype" w:hAnsi="Palatino Linotype" w:cs="Arial"/>
          <w:b/>
          <w:i/>
          <w:sz w:val="22"/>
          <w:szCs w:val="22"/>
        </w:rPr>
        <w:t>Artículo 192.</w:t>
      </w:r>
      <w:r w:rsidRPr="00F93884">
        <w:rPr>
          <w:rFonts w:ascii="Palatino Linotype" w:hAnsi="Palatino Linotype" w:cs="Arial"/>
          <w:i/>
          <w:sz w:val="22"/>
          <w:szCs w:val="22"/>
        </w:rPr>
        <w:t xml:space="preserve"> El recurso será sobreseído, en todo o en parte, cuando una vez admitido, se actualicen alguno de los siguientes supuestos:</w:t>
      </w:r>
    </w:p>
    <w:p w14:paraId="31A68707" w14:textId="77777777" w:rsidR="003773D9" w:rsidRPr="00F93884" w:rsidRDefault="003773D9" w:rsidP="00F93884">
      <w:pPr>
        <w:pStyle w:val="Prrafodelista"/>
        <w:widowControl w:val="0"/>
        <w:autoSpaceDE w:val="0"/>
        <w:autoSpaceDN w:val="0"/>
        <w:adjustRightInd w:val="0"/>
        <w:ind w:left="851" w:right="899"/>
        <w:jc w:val="both"/>
        <w:rPr>
          <w:rFonts w:ascii="Palatino Linotype" w:hAnsi="Palatino Linotype" w:cs="Arial"/>
          <w:i/>
          <w:sz w:val="22"/>
          <w:szCs w:val="22"/>
        </w:rPr>
      </w:pPr>
      <w:r w:rsidRPr="00F93884">
        <w:rPr>
          <w:rFonts w:ascii="Palatino Linotype" w:hAnsi="Palatino Linotype" w:cs="Arial"/>
          <w:i/>
          <w:sz w:val="22"/>
          <w:szCs w:val="22"/>
        </w:rPr>
        <w:t>…</w:t>
      </w:r>
    </w:p>
    <w:p w14:paraId="556EA29A" w14:textId="39C1FD28" w:rsidR="003773D9" w:rsidRPr="00F93884" w:rsidRDefault="003773D9" w:rsidP="00F93884">
      <w:pPr>
        <w:pStyle w:val="Prrafodelista"/>
        <w:widowControl w:val="0"/>
        <w:autoSpaceDE w:val="0"/>
        <w:autoSpaceDN w:val="0"/>
        <w:adjustRightInd w:val="0"/>
        <w:ind w:left="851" w:right="899"/>
        <w:jc w:val="both"/>
        <w:rPr>
          <w:rFonts w:ascii="Palatino Linotype" w:hAnsi="Palatino Linotype" w:cs="Arial"/>
          <w:b/>
          <w:i/>
          <w:sz w:val="22"/>
          <w:szCs w:val="22"/>
        </w:rPr>
      </w:pPr>
      <w:r w:rsidRPr="00F93884">
        <w:rPr>
          <w:rFonts w:ascii="Palatino Linotype" w:hAnsi="Palatino Linotype" w:cs="Arial"/>
          <w:b/>
          <w:i/>
          <w:sz w:val="22"/>
          <w:szCs w:val="22"/>
        </w:rPr>
        <w:t xml:space="preserve">V. </w:t>
      </w:r>
      <w:r w:rsidR="00BE04C7" w:rsidRPr="00F93884">
        <w:rPr>
          <w:rFonts w:ascii="Palatino Linotype" w:hAnsi="Palatino Linotype" w:cs="Arial"/>
          <w:b/>
          <w:i/>
          <w:sz w:val="22"/>
          <w:szCs w:val="22"/>
        </w:rPr>
        <w:t xml:space="preserve">Cuando por cualquier motivo quede sin materia el recurso. </w:t>
      </w:r>
    </w:p>
    <w:p w14:paraId="0FC92ADD" w14:textId="77777777" w:rsidR="009E4B94" w:rsidRPr="00F93884" w:rsidRDefault="009E4B94" w:rsidP="00F93884">
      <w:pPr>
        <w:pBdr>
          <w:top w:val="nil"/>
          <w:left w:val="nil"/>
          <w:bottom w:val="nil"/>
          <w:right w:val="nil"/>
          <w:between w:val="nil"/>
        </w:pBdr>
        <w:spacing w:line="360" w:lineRule="auto"/>
        <w:jc w:val="both"/>
        <w:rPr>
          <w:rFonts w:ascii="Palatino Linotype" w:eastAsia="Palatino Linotype" w:hAnsi="Palatino Linotype" w:cs="Palatino Linotype"/>
        </w:rPr>
      </w:pPr>
    </w:p>
    <w:p w14:paraId="78926DFB" w14:textId="77777777" w:rsidR="003C49AD" w:rsidRPr="00F93884" w:rsidRDefault="003C49AD"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lastRenderedPageBreak/>
        <w:t>Asimismo, este Pleno hará del conocimiento al área competente de este Instituto esta resolución para que determine lo que a Derecho proceda, lo cual se encuentra previsto en la Ley de Transparencia Acceso a la Información Pública del Estado de México y Municipios específicamente en sus artículos 190 que señala lo siguiente:</w:t>
      </w:r>
    </w:p>
    <w:p w14:paraId="24922BF9" w14:textId="77777777" w:rsidR="003C49AD" w:rsidRPr="00F93884" w:rsidRDefault="003C49AD"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6ADB79E" w14:textId="762A6042" w:rsidR="003C49AD" w:rsidRPr="00F93884" w:rsidRDefault="003C49AD"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93884">
        <w:rPr>
          <w:rFonts w:ascii="Palatino Linotype" w:eastAsia="Palatino Linotype" w:hAnsi="Palatino Linotype" w:cs="Palatino Linotype"/>
          <w:b/>
          <w:i/>
          <w:sz w:val="22"/>
          <w:szCs w:val="22"/>
        </w:rPr>
        <w:t>Artículo 190.</w:t>
      </w:r>
      <w:r w:rsidRPr="00F93884">
        <w:rPr>
          <w:rFonts w:ascii="Palatino Linotype" w:eastAsia="Palatino Linotype" w:hAnsi="Palatino Linotype" w:cs="Palatino Linotype"/>
          <w:i/>
          <w:sz w:val="22"/>
          <w:szCs w:val="22"/>
        </w:rPr>
        <w:t xml:space="preserve"> Cuando el Instituto determine durante la sustanciación del recurso de revisión que pudo haberse incurrido en una probable responsabilidad por el incumplimiento a las obligaciones previstas en esta Ley y las demás </w:t>
      </w:r>
      <w:r w:rsidR="00A339AE" w:rsidRPr="00F93884">
        <w:rPr>
          <w:rFonts w:ascii="Palatino Linotype" w:eastAsia="Palatino Linotype" w:hAnsi="Palatino Linotype" w:cs="Palatino Linotype"/>
          <w:i/>
          <w:sz w:val="22"/>
          <w:szCs w:val="22"/>
        </w:rPr>
        <w:t xml:space="preserve">disposiciones jurídicas </w:t>
      </w:r>
      <w:proofErr w:type="spellStart"/>
      <w:r w:rsidR="00A339AE" w:rsidRPr="00F93884">
        <w:rPr>
          <w:rFonts w:ascii="Palatino Linotype" w:eastAsia="Palatino Linotype" w:hAnsi="Palatino Linotype" w:cs="Palatino Linotype"/>
          <w:i/>
          <w:sz w:val="22"/>
          <w:szCs w:val="22"/>
        </w:rPr>
        <w:t>aplica</w:t>
      </w:r>
      <w:r w:rsidRPr="00F93884">
        <w:rPr>
          <w:rFonts w:ascii="Palatino Linotype" w:eastAsia="Palatino Linotype" w:hAnsi="Palatino Linotype" w:cs="Palatino Linotype"/>
          <w:i/>
          <w:sz w:val="22"/>
          <w:szCs w:val="22"/>
        </w:rPr>
        <w:t>es</w:t>
      </w:r>
      <w:proofErr w:type="spellEnd"/>
      <w:r w:rsidRPr="00F93884">
        <w:rPr>
          <w:rFonts w:ascii="Palatino Linotype" w:eastAsia="Palatino Linotype" w:hAnsi="Palatino Linotype" w:cs="Palatino Linotype"/>
          <w:i/>
          <w:sz w:val="22"/>
          <w:szCs w:val="22"/>
        </w:rPr>
        <w:t xml:space="preserve"> en la materia, deberá hacerlo del conocimiento del órgano de control interno de la instancia competente para que éste inicie, en su caso, el procedimiento de responsabilidad respectivo, cuyo resultado deberá de ser informado al Instituto.</w:t>
      </w:r>
    </w:p>
    <w:p w14:paraId="2169D8CE" w14:textId="77777777" w:rsidR="003C49AD" w:rsidRPr="00F93884" w:rsidRDefault="003C49AD" w:rsidP="00F93884">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4AF1759" w14:textId="69D06C2A" w:rsidR="003C49AD" w:rsidRPr="00F93884" w:rsidRDefault="003C49AD"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De lo hasta aquí expuesto, se concluye que los motivos de inconformidad de </w:t>
      </w:r>
      <w:r w:rsidRPr="00F93884">
        <w:rPr>
          <w:rFonts w:ascii="Palatino Linotype" w:eastAsia="Palatino Linotype" w:hAnsi="Palatino Linotype" w:cs="Palatino Linotype"/>
          <w:b/>
        </w:rPr>
        <w:t xml:space="preserve">LA PARTE RECURRENTE </w:t>
      </w:r>
      <w:r w:rsidRPr="00F93884">
        <w:rPr>
          <w:rFonts w:ascii="Palatino Linotype" w:eastAsia="Palatino Linotype" w:hAnsi="Palatino Linotype" w:cs="Palatino Linotype"/>
        </w:rPr>
        <w:t xml:space="preserve">devienen </w:t>
      </w:r>
      <w:r w:rsidRPr="00F93884">
        <w:rPr>
          <w:rFonts w:ascii="Palatino Linotype" w:eastAsia="Palatino Linotype" w:hAnsi="Palatino Linotype" w:cs="Palatino Linotype"/>
          <w:b/>
        </w:rPr>
        <w:t>FUNDADOS,</w:t>
      </w:r>
      <w:r w:rsidRPr="00F93884">
        <w:rPr>
          <w:rFonts w:ascii="Palatino Linotype" w:eastAsia="Palatino Linotype" w:hAnsi="Palatino Linotype" w:cs="Palatino Linotype"/>
        </w:rPr>
        <w:t xml:space="preserve"> siendo procedente </w:t>
      </w:r>
      <w:r w:rsidRPr="00F93884">
        <w:rPr>
          <w:rFonts w:ascii="Palatino Linotype" w:eastAsia="Palatino Linotype" w:hAnsi="Palatino Linotype" w:cs="Palatino Linotype"/>
          <w:b/>
        </w:rPr>
        <w:t>ORDENAR</w:t>
      </w:r>
      <w:r w:rsidRPr="00F93884">
        <w:rPr>
          <w:rFonts w:ascii="Palatino Linotype" w:eastAsia="Palatino Linotype" w:hAnsi="Palatino Linotype" w:cs="Palatino Linotype"/>
        </w:rPr>
        <w:t xml:space="preserve"> al </w:t>
      </w:r>
      <w:r w:rsidRPr="00F93884">
        <w:rPr>
          <w:rFonts w:ascii="Palatino Linotype" w:eastAsia="Palatino Linotype" w:hAnsi="Palatino Linotype" w:cs="Palatino Linotype"/>
          <w:b/>
        </w:rPr>
        <w:t xml:space="preserve">SUJETO OBLIGADO </w:t>
      </w:r>
      <w:r w:rsidRPr="00F93884">
        <w:rPr>
          <w:rFonts w:ascii="Palatino Linotype" w:eastAsia="Palatino Linotype" w:hAnsi="Palatino Linotype" w:cs="Palatino Linotype"/>
        </w:rPr>
        <w:t>la entrega de la información</w:t>
      </w:r>
      <w:r w:rsidRPr="00F93884">
        <w:rPr>
          <w:rFonts w:ascii="Palatino Linotype" w:eastAsia="Palatino Linotype" w:hAnsi="Palatino Linotype" w:cs="Palatino Linotype"/>
          <w:b/>
        </w:rPr>
        <w:t xml:space="preserve"> </w:t>
      </w:r>
      <w:r w:rsidR="008D7F89" w:rsidRPr="00F93884">
        <w:rPr>
          <w:rFonts w:ascii="Palatino Linotype" w:eastAsia="Palatino Linotype" w:hAnsi="Palatino Linotype" w:cs="Palatino Linotype"/>
        </w:rPr>
        <w:t xml:space="preserve">requerida en la solicitud </w:t>
      </w:r>
      <w:hyperlink r:id="rId16" w:history="1">
        <w:r w:rsidR="008D7F89" w:rsidRPr="00F93884">
          <w:rPr>
            <w:rStyle w:val="Hipervnculo"/>
            <w:rFonts w:ascii="Palatino Linotype" w:eastAsia="Palatino Linotype" w:hAnsi="Palatino Linotype" w:cs="Palatino Linotype"/>
            <w:b/>
            <w:bCs/>
            <w:color w:val="auto"/>
          </w:rPr>
          <w:t>01157/ZINACANT/IP/2022</w:t>
        </w:r>
      </w:hyperlink>
      <w:r w:rsidR="008D7F89" w:rsidRPr="00F93884">
        <w:rPr>
          <w:rFonts w:ascii="Palatino Linotype" w:eastAsia="Palatino Linotype" w:hAnsi="Palatino Linotype" w:cs="Palatino Linotype"/>
        </w:rPr>
        <w:t xml:space="preserve">, </w:t>
      </w:r>
      <w:r w:rsidRPr="00F93884">
        <w:rPr>
          <w:rFonts w:ascii="Palatino Linotype" w:eastAsia="Palatino Linotype" w:hAnsi="Palatino Linotype" w:cs="Palatino Linotype"/>
        </w:rPr>
        <w:t>en términos del artículo 186 fracción IV de la Ley de Transparencia y Acceso a la Información Pública del Estado de México y Municipios.</w:t>
      </w:r>
    </w:p>
    <w:p w14:paraId="7C1F9A3A" w14:textId="77777777" w:rsidR="003C49AD" w:rsidRPr="00F93884" w:rsidRDefault="003C49AD" w:rsidP="00F93884">
      <w:pPr>
        <w:spacing w:line="360" w:lineRule="auto"/>
        <w:jc w:val="both"/>
        <w:rPr>
          <w:rFonts w:ascii="Palatino Linotype" w:eastAsia="Palatino Linotype" w:hAnsi="Palatino Linotype" w:cs="Palatino Linotype"/>
        </w:rPr>
      </w:pPr>
    </w:p>
    <w:p w14:paraId="636CAEA9" w14:textId="77777777" w:rsidR="003C49AD" w:rsidRPr="00F93884" w:rsidRDefault="003C49AD" w:rsidP="00F93884">
      <w:pPr>
        <w:pBdr>
          <w:top w:val="nil"/>
          <w:left w:val="nil"/>
          <w:bottom w:val="nil"/>
          <w:right w:val="nil"/>
          <w:between w:val="nil"/>
        </w:pBd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IV de la Ley de Transparencia y Acceso a la Información Pública del Estado de México y Municipios, este Pleno:</w:t>
      </w:r>
    </w:p>
    <w:p w14:paraId="5B757284" w14:textId="77777777" w:rsidR="00147F2A" w:rsidRPr="00F93884" w:rsidRDefault="00147F2A" w:rsidP="00F93884">
      <w:pPr>
        <w:spacing w:line="360" w:lineRule="auto"/>
        <w:jc w:val="center"/>
        <w:rPr>
          <w:rFonts w:ascii="Palatino Linotype" w:eastAsia="Palatino Linotype" w:hAnsi="Palatino Linotype" w:cs="Palatino Linotype"/>
          <w:b/>
          <w:sz w:val="26"/>
          <w:szCs w:val="26"/>
        </w:rPr>
      </w:pPr>
    </w:p>
    <w:p w14:paraId="6012045F" w14:textId="77777777" w:rsidR="00BE04C7" w:rsidRPr="00F93884" w:rsidRDefault="00BE04C7" w:rsidP="00F93884">
      <w:pPr>
        <w:spacing w:line="360" w:lineRule="auto"/>
        <w:jc w:val="center"/>
        <w:rPr>
          <w:rFonts w:ascii="Palatino Linotype" w:eastAsia="Palatino Linotype" w:hAnsi="Palatino Linotype" w:cs="Palatino Linotype"/>
          <w:b/>
          <w:sz w:val="26"/>
          <w:szCs w:val="26"/>
        </w:rPr>
      </w:pPr>
    </w:p>
    <w:p w14:paraId="43B72C16" w14:textId="77777777" w:rsidR="00147F2A" w:rsidRPr="00F93884" w:rsidRDefault="001929CF" w:rsidP="00F93884">
      <w:pPr>
        <w:spacing w:line="360" w:lineRule="auto"/>
        <w:jc w:val="center"/>
        <w:rPr>
          <w:rFonts w:ascii="Palatino Linotype" w:eastAsia="Palatino Linotype" w:hAnsi="Palatino Linotype" w:cs="Palatino Linotype"/>
          <w:b/>
          <w:sz w:val="26"/>
          <w:szCs w:val="26"/>
        </w:rPr>
      </w:pPr>
      <w:r w:rsidRPr="00F93884">
        <w:rPr>
          <w:rFonts w:ascii="Palatino Linotype" w:eastAsia="Palatino Linotype" w:hAnsi="Palatino Linotype" w:cs="Palatino Linotype"/>
          <w:b/>
          <w:sz w:val="26"/>
          <w:szCs w:val="26"/>
        </w:rPr>
        <w:lastRenderedPageBreak/>
        <w:t>RESUELVE</w:t>
      </w:r>
    </w:p>
    <w:p w14:paraId="652324AD" w14:textId="77777777" w:rsidR="00C428DB" w:rsidRPr="00F93884" w:rsidRDefault="00C428DB" w:rsidP="00F93884">
      <w:pPr>
        <w:spacing w:line="360" w:lineRule="auto"/>
        <w:jc w:val="both"/>
        <w:rPr>
          <w:rFonts w:ascii="Palatino Linotype" w:eastAsia="Palatino Linotype" w:hAnsi="Palatino Linotype" w:cs="Palatino Linotype"/>
          <w:b/>
          <w:sz w:val="28"/>
          <w:szCs w:val="28"/>
        </w:rPr>
      </w:pPr>
      <w:bookmarkStart w:id="11" w:name="_heading=h.1ksv4uv" w:colFirst="0" w:colLast="0"/>
      <w:bookmarkEnd w:id="11"/>
    </w:p>
    <w:p w14:paraId="789FF7C8" w14:textId="2C13797D" w:rsidR="008D7F89" w:rsidRPr="00F93884" w:rsidRDefault="001929CF" w:rsidP="00F93884">
      <w:pPr>
        <w:spacing w:line="360" w:lineRule="auto"/>
        <w:jc w:val="both"/>
        <w:rPr>
          <w:rFonts w:ascii="Palatino Linotype" w:eastAsia="Palatino Linotype" w:hAnsi="Palatino Linotype" w:cs="Palatino Linotype"/>
          <w:bCs/>
          <w:iCs/>
          <w:lang w:val="es-ES"/>
        </w:rPr>
      </w:pPr>
      <w:r w:rsidRPr="00F93884">
        <w:rPr>
          <w:rFonts w:ascii="Palatino Linotype" w:eastAsia="Palatino Linotype" w:hAnsi="Palatino Linotype" w:cs="Palatino Linotype"/>
          <w:b/>
          <w:sz w:val="28"/>
          <w:szCs w:val="28"/>
        </w:rPr>
        <w:t>PRIMERO</w:t>
      </w:r>
      <w:r w:rsidRPr="00F93884">
        <w:rPr>
          <w:rFonts w:ascii="Palatino Linotype" w:eastAsia="Palatino Linotype" w:hAnsi="Palatino Linotype" w:cs="Palatino Linotype"/>
          <w:sz w:val="28"/>
          <w:szCs w:val="28"/>
        </w:rPr>
        <w:t>.</w:t>
      </w:r>
      <w:r w:rsidRPr="00F93884">
        <w:rPr>
          <w:rFonts w:ascii="Palatino Linotype" w:eastAsia="Palatino Linotype" w:hAnsi="Palatino Linotype" w:cs="Palatino Linotype"/>
        </w:rPr>
        <w:t xml:space="preserve"> </w:t>
      </w:r>
      <w:r w:rsidR="008D7F89" w:rsidRPr="00F93884">
        <w:rPr>
          <w:rFonts w:ascii="Palatino Linotype" w:eastAsia="Palatino Linotype" w:hAnsi="Palatino Linotype" w:cs="Palatino Linotype"/>
          <w:bCs/>
          <w:iCs/>
          <w:lang w:val="es-ES"/>
        </w:rPr>
        <w:t xml:space="preserve">Se </w:t>
      </w:r>
      <w:r w:rsidR="008D7F89" w:rsidRPr="00F93884">
        <w:rPr>
          <w:rFonts w:ascii="Palatino Linotype" w:eastAsia="Palatino Linotype" w:hAnsi="Palatino Linotype" w:cs="Palatino Linotype"/>
          <w:b/>
          <w:iCs/>
          <w:lang w:val="es-ES"/>
        </w:rPr>
        <w:t>SOBRESEE</w:t>
      </w:r>
      <w:r w:rsidR="008D7F89" w:rsidRPr="00F93884">
        <w:rPr>
          <w:rFonts w:ascii="Palatino Linotype" w:eastAsia="Palatino Linotype" w:hAnsi="Palatino Linotype" w:cs="Palatino Linotype"/>
          <w:bCs/>
          <w:iCs/>
          <w:lang w:val="es-ES"/>
        </w:rPr>
        <w:t xml:space="preserve"> el Recurso de Revisión con número </w:t>
      </w:r>
      <w:r w:rsidR="00D145B6" w:rsidRPr="00F93884">
        <w:rPr>
          <w:rFonts w:ascii="Palatino Linotype" w:eastAsia="Palatino Linotype" w:hAnsi="Palatino Linotype" w:cs="Palatino Linotype"/>
          <w:b/>
          <w:iCs/>
          <w:lang w:val="es-ES"/>
        </w:rPr>
        <w:t>16978</w:t>
      </w:r>
      <w:r w:rsidR="008D7F89" w:rsidRPr="00F93884">
        <w:rPr>
          <w:rFonts w:ascii="Palatino Linotype" w:eastAsia="Palatino Linotype" w:hAnsi="Palatino Linotype" w:cs="Palatino Linotype"/>
          <w:b/>
          <w:iCs/>
          <w:lang w:val="es-ES"/>
        </w:rPr>
        <w:t>/INFOEM/IP/RR/2022</w:t>
      </w:r>
      <w:r w:rsidR="008D7F89" w:rsidRPr="00F93884">
        <w:rPr>
          <w:rFonts w:ascii="Palatino Linotype" w:eastAsia="Palatino Linotype" w:hAnsi="Palatino Linotype" w:cs="Palatino Linotype"/>
          <w:bCs/>
          <w:iCs/>
          <w:lang w:val="es-ES"/>
        </w:rPr>
        <w:t>, porque se actualiza la causal de sobreseimie</w:t>
      </w:r>
      <w:r w:rsidR="00BE04C7" w:rsidRPr="00F93884">
        <w:rPr>
          <w:rFonts w:ascii="Palatino Linotype" w:eastAsia="Palatino Linotype" w:hAnsi="Palatino Linotype" w:cs="Palatino Linotype"/>
          <w:bCs/>
          <w:iCs/>
          <w:lang w:val="es-ES"/>
        </w:rPr>
        <w:t xml:space="preserve">nto del artículo 192, fracción </w:t>
      </w:r>
      <w:r w:rsidR="008D7F89" w:rsidRPr="00F93884">
        <w:rPr>
          <w:rFonts w:ascii="Palatino Linotype" w:eastAsia="Palatino Linotype" w:hAnsi="Palatino Linotype" w:cs="Palatino Linotype"/>
          <w:bCs/>
          <w:iCs/>
          <w:lang w:val="es-ES"/>
        </w:rPr>
        <w:t xml:space="preserve">V, de la Ley de Transparencia y Acceso a la Información Pública del Estado de México y Municipios, </w:t>
      </w:r>
      <w:r w:rsidR="00BE04C7" w:rsidRPr="00F93884">
        <w:rPr>
          <w:rFonts w:ascii="Palatino Linotype" w:eastAsia="Palatino Linotype" w:hAnsi="Palatino Linotype" w:cs="Palatino Linotype"/>
          <w:bCs/>
          <w:iCs/>
          <w:lang w:val="es-ES"/>
        </w:rPr>
        <w:t>cuando por cualquier motivo quede sin materia el recurso, en términos d</w:t>
      </w:r>
      <w:r w:rsidR="00F14E5A" w:rsidRPr="00F93884">
        <w:rPr>
          <w:rFonts w:ascii="Palatino Linotype" w:eastAsia="Palatino Linotype" w:hAnsi="Palatino Linotype" w:cs="Palatino Linotype"/>
          <w:bCs/>
          <w:iCs/>
          <w:lang w:val="es-ES"/>
        </w:rPr>
        <w:t xml:space="preserve">el </w:t>
      </w:r>
      <w:r w:rsidR="008D7F89" w:rsidRPr="00F93884">
        <w:rPr>
          <w:rFonts w:ascii="Palatino Linotype" w:eastAsia="Palatino Linotype" w:hAnsi="Palatino Linotype" w:cs="Palatino Linotype"/>
          <w:bCs/>
          <w:iCs/>
          <w:lang w:val="es-ES"/>
        </w:rPr>
        <w:t xml:space="preserve">Considerando </w:t>
      </w:r>
      <w:r w:rsidR="00F93884">
        <w:rPr>
          <w:rFonts w:ascii="Palatino Linotype" w:eastAsia="Palatino Linotype" w:hAnsi="Palatino Linotype" w:cs="Palatino Linotype"/>
          <w:b/>
          <w:bCs/>
          <w:iCs/>
          <w:lang w:val="es-ES"/>
        </w:rPr>
        <w:t>SEXTO</w:t>
      </w:r>
      <w:r w:rsidR="008D7F89" w:rsidRPr="00F93884">
        <w:rPr>
          <w:rFonts w:ascii="Palatino Linotype" w:eastAsia="Palatino Linotype" w:hAnsi="Palatino Linotype" w:cs="Palatino Linotype"/>
          <w:b/>
          <w:bCs/>
          <w:iCs/>
          <w:lang w:val="es-ES"/>
        </w:rPr>
        <w:t xml:space="preserve"> </w:t>
      </w:r>
      <w:r w:rsidR="008D7F89" w:rsidRPr="00F93884">
        <w:rPr>
          <w:rFonts w:ascii="Palatino Linotype" w:eastAsia="Palatino Linotype" w:hAnsi="Palatino Linotype" w:cs="Palatino Linotype"/>
          <w:bCs/>
          <w:iCs/>
          <w:lang w:val="es-ES"/>
        </w:rPr>
        <w:t>de la presente Resolución.</w:t>
      </w:r>
    </w:p>
    <w:p w14:paraId="37F814AB" w14:textId="77777777" w:rsidR="008D7F89" w:rsidRPr="00F93884" w:rsidRDefault="008D7F89" w:rsidP="00F93884">
      <w:pPr>
        <w:spacing w:line="360" w:lineRule="auto"/>
        <w:jc w:val="both"/>
        <w:rPr>
          <w:rFonts w:ascii="Palatino Linotype" w:eastAsia="Palatino Linotype" w:hAnsi="Palatino Linotype" w:cs="Palatino Linotype"/>
        </w:rPr>
      </w:pPr>
    </w:p>
    <w:p w14:paraId="1042F524" w14:textId="6BAC2FD9" w:rsidR="00147F2A" w:rsidRPr="00F93884" w:rsidRDefault="008D7F89"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b/>
          <w:sz w:val="28"/>
          <w:szCs w:val="28"/>
        </w:rPr>
        <w:t>SEGUNDO</w:t>
      </w:r>
      <w:r w:rsidRPr="00F93884">
        <w:rPr>
          <w:rFonts w:ascii="Palatino Linotype" w:eastAsia="Palatino Linotype" w:hAnsi="Palatino Linotype" w:cs="Palatino Linotype"/>
          <w:b/>
        </w:rPr>
        <w:t>.</w:t>
      </w:r>
      <w:r w:rsidRPr="00F93884">
        <w:rPr>
          <w:rFonts w:ascii="Palatino Linotype" w:eastAsia="Palatino Linotype" w:hAnsi="Palatino Linotype" w:cs="Palatino Linotype"/>
        </w:rPr>
        <w:t xml:space="preserve"> </w:t>
      </w:r>
      <w:r w:rsidR="001929CF" w:rsidRPr="00F93884">
        <w:rPr>
          <w:rFonts w:ascii="Palatino Linotype" w:eastAsia="Palatino Linotype" w:hAnsi="Palatino Linotype" w:cs="Palatino Linotype"/>
        </w:rPr>
        <w:t>Resultan</w:t>
      </w:r>
      <w:r w:rsidR="001929CF" w:rsidRPr="00F93884">
        <w:rPr>
          <w:rFonts w:ascii="Palatino Linotype" w:eastAsia="Palatino Linotype" w:hAnsi="Palatino Linotype" w:cs="Palatino Linotype"/>
          <w:b/>
        </w:rPr>
        <w:t xml:space="preserve"> fundadas</w:t>
      </w:r>
      <w:r w:rsidR="001929CF" w:rsidRPr="00F93884">
        <w:rPr>
          <w:rFonts w:ascii="Palatino Linotype" w:eastAsia="Palatino Linotype" w:hAnsi="Palatino Linotype" w:cs="Palatino Linotype"/>
        </w:rPr>
        <w:t xml:space="preserve"> las</w:t>
      </w:r>
      <w:r w:rsidR="001929CF" w:rsidRPr="00F93884">
        <w:rPr>
          <w:rFonts w:ascii="Palatino Linotype" w:eastAsia="Palatino Linotype" w:hAnsi="Palatino Linotype" w:cs="Palatino Linotype"/>
          <w:b/>
        </w:rPr>
        <w:t xml:space="preserve"> </w:t>
      </w:r>
      <w:r w:rsidR="001929CF" w:rsidRPr="00F93884">
        <w:rPr>
          <w:rFonts w:ascii="Palatino Linotype" w:eastAsia="Palatino Linotype" w:hAnsi="Palatino Linotype" w:cs="Palatino Linotype"/>
        </w:rPr>
        <w:t xml:space="preserve">razones o motivos de inconformidad hechos valer en el Recurso de Revisión </w:t>
      </w:r>
      <w:r w:rsidR="00C428DB" w:rsidRPr="00F93884">
        <w:rPr>
          <w:rFonts w:ascii="Palatino Linotype" w:eastAsia="Palatino Linotype" w:hAnsi="Palatino Linotype" w:cs="Palatino Linotype"/>
          <w:b/>
        </w:rPr>
        <w:t>16977</w:t>
      </w:r>
      <w:r w:rsidR="001929CF" w:rsidRPr="00F93884">
        <w:rPr>
          <w:rFonts w:ascii="Palatino Linotype" w:eastAsia="Palatino Linotype" w:hAnsi="Palatino Linotype" w:cs="Palatino Linotype"/>
          <w:b/>
        </w:rPr>
        <w:t xml:space="preserve">/INFOEM/IP/RR/2022 </w:t>
      </w:r>
      <w:r w:rsidR="001929CF" w:rsidRPr="00F93884">
        <w:rPr>
          <w:rFonts w:ascii="Palatino Linotype" w:eastAsia="Palatino Linotype" w:hAnsi="Palatino Linotype" w:cs="Palatino Linotype"/>
        </w:rPr>
        <w:t xml:space="preserve">en términos del Considerando </w:t>
      </w:r>
      <w:r w:rsidR="00F93884">
        <w:rPr>
          <w:rFonts w:ascii="Palatino Linotype" w:eastAsia="Palatino Linotype" w:hAnsi="Palatino Linotype" w:cs="Palatino Linotype"/>
          <w:b/>
        </w:rPr>
        <w:t xml:space="preserve">SEXTO </w:t>
      </w:r>
      <w:r w:rsidR="001929CF" w:rsidRPr="00F93884">
        <w:rPr>
          <w:rFonts w:ascii="Palatino Linotype" w:eastAsia="Palatino Linotype" w:hAnsi="Palatino Linotype" w:cs="Palatino Linotype"/>
        </w:rPr>
        <w:t>de la presente resolución.</w:t>
      </w:r>
    </w:p>
    <w:p w14:paraId="73C315F4" w14:textId="77777777" w:rsidR="00147F2A" w:rsidRPr="00F93884" w:rsidRDefault="00147F2A" w:rsidP="00F93884">
      <w:pPr>
        <w:spacing w:before="240" w:line="360" w:lineRule="auto"/>
        <w:jc w:val="both"/>
        <w:rPr>
          <w:rFonts w:ascii="Palatino Linotype" w:eastAsia="Palatino Linotype" w:hAnsi="Palatino Linotype" w:cs="Palatino Linotype"/>
          <w:sz w:val="6"/>
          <w:szCs w:val="6"/>
        </w:rPr>
      </w:pPr>
    </w:p>
    <w:p w14:paraId="1E2E3478" w14:textId="3EA882F5" w:rsidR="00147F2A" w:rsidRPr="00F93884" w:rsidRDefault="008D7F89"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b/>
          <w:sz w:val="28"/>
          <w:szCs w:val="28"/>
        </w:rPr>
        <w:t>TERCERO</w:t>
      </w:r>
      <w:r w:rsidR="001929CF" w:rsidRPr="00F93884">
        <w:rPr>
          <w:rFonts w:ascii="Palatino Linotype" w:eastAsia="Palatino Linotype" w:hAnsi="Palatino Linotype" w:cs="Palatino Linotype"/>
        </w:rPr>
        <w:t xml:space="preserve">. Se </w:t>
      </w:r>
      <w:r w:rsidR="000C0E30" w:rsidRPr="00F93884">
        <w:rPr>
          <w:rFonts w:ascii="Palatino Linotype" w:eastAsia="Palatino Linotype" w:hAnsi="Palatino Linotype" w:cs="Palatino Linotype"/>
          <w:b/>
        </w:rPr>
        <w:t>ORDENA</w:t>
      </w:r>
      <w:r w:rsidR="001929CF" w:rsidRPr="00F93884">
        <w:rPr>
          <w:rFonts w:ascii="Palatino Linotype" w:eastAsia="Palatino Linotype" w:hAnsi="Palatino Linotype" w:cs="Palatino Linotype"/>
          <w:b/>
        </w:rPr>
        <w:t xml:space="preserve"> </w:t>
      </w:r>
      <w:r w:rsidR="001929CF" w:rsidRPr="00F93884">
        <w:rPr>
          <w:rFonts w:ascii="Palatino Linotype" w:eastAsia="Palatino Linotype" w:hAnsi="Palatino Linotype" w:cs="Palatino Linotype"/>
        </w:rPr>
        <w:t>la respuesta otorgada por</w:t>
      </w:r>
      <w:r w:rsidR="001929CF" w:rsidRPr="00F93884">
        <w:rPr>
          <w:rFonts w:ascii="Palatino Linotype" w:eastAsia="Palatino Linotype" w:hAnsi="Palatino Linotype" w:cs="Palatino Linotype"/>
          <w:b/>
        </w:rPr>
        <w:t xml:space="preserve"> EL SUJETO OBLIGADO</w:t>
      </w:r>
      <w:r w:rsidR="001929CF" w:rsidRPr="00F93884">
        <w:rPr>
          <w:rFonts w:ascii="Palatino Linotype" w:eastAsia="Palatino Linotype" w:hAnsi="Palatino Linotype" w:cs="Palatino Linotype"/>
        </w:rPr>
        <w:t xml:space="preserve">, y se le ordena entregue al </w:t>
      </w:r>
      <w:r w:rsidR="001929CF" w:rsidRPr="00F93884">
        <w:rPr>
          <w:rFonts w:ascii="Palatino Linotype" w:eastAsia="Palatino Linotype" w:hAnsi="Palatino Linotype" w:cs="Palatino Linotype"/>
          <w:b/>
        </w:rPr>
        <w:t>RECURRENTE</w:t>
      </w:r>
      <w:r w:rsidR="001929CF" w:rsidRPr="00F93884">
        <w:rPr>
          <w:rFonts w:ascii="Palatino Linotype" w:eastAsia="Palatino Linotype" w:hAnsi="Palatino Linotype" w:cs="Palatino Linotype"/>
        </w:rPr>
        <w:t xml:space="preserve"> en términos del Considerando </w:t>
      </w:r>
      <w:r w:rsidR="00F93884">
        <w:rPr>
          <w:rFonts w:ascii="Palatino Linotype" w:eastAsia="Palatino Linotype" w:hAnsi="Palatino Linotype" w:cs="Palatino Linotype"/>
          <w:b/>
        </w:rPr>
        <w:t>SEXTO</w:t>
      </w:r>
      <w:r w:rsidR="001929CF" w:rsidRPr="00F93884">
        <w:rPr>
          <w:rFonts w:ascii="Palatino Linotype" w:eastAsia="Palatino Linotype" w:hAnsi="Palatino Linotype" w:cs="Palatino Linotype"/>
          <w:b/>
        </w:rPr>
        <w:t xml:space="preserve"> </w:t>
      </w:r>
      <w:r w:rsidR="001929CF" w:rsidRPr="00F93884">
        <w:rPr>
          <w:rFonts w:ascii="Palatino Linotype" w:eastAsia="Palatino Linotype" w:hAnsi="Palatino Linotype" w:cs="Palatino Linotype"/>
        </w:rPr>
        <w:t xml:space="preserve">de la presente resolución, entregue al </w:t>
      </w:r>
      <w:r w:rsidR="001929CF" w:rsidRPr="00F93884">
        <w:rPr>
          <w:rFonts w:ascii="Palatino Linotype" w:eastAsia="Palatino Linotype" w:hAnsi="Palatino Linotype" w:cs="Palatino Linotype"/>
          <w:b/>
        </w:rPr>
        <w:t xml:space="preserve">RECURRENTE </w:t>
      </w:r>
      <w:r w:rsidR="001929CF" w:rsidRPr="00F93884">
        <w:rPr>
          <w:rFonts w:ascii="Palatino Linotype" w:eastAsia="Palatino Linotype" w:hAnsi="Palatino Linotype" w:cs="Palatino Linotype"/>
        </w:rPr>
        <w:t>vía SAIMEX, en versión pública, de lo siguiente:</w:t>
      </w:r>
    </w:p>
    <w:p w14:paraId="6D9F98C3" w14:textId="77777777" w:rsidR="00C428DB" w:rsidRPr="00F93884" w:rsidRDefault="00C428DB" w:rsidP="00F93884">
      <w:pPr>
        <w:tabs>
          <w:tab w:val="left" w:pos="709"/>
        </w:tabs>
        <w:ind w:left="1417" w:right="899"/>
        <w:jc w:val="both"/>
        <w:rPr>
          <w:rFonts w:ascii="Palatino Linotype" w:eastAsia="Palatino Linotype" w:hAnsi="Palatino Linotype" w:cs="Palatino Linotype"/>
          <w:i/>
          <w:sz w:val="22"/>
          <w:szCs w:val="22"/>
        </w:rPr>
      </w:pPr>
    </w:p>
    <w:p w14:paraId="1EB46162" w14:textId="4A13890E" w:rsidR="00C428DB" w:rsidRPr="00F93884" w:rsidRDefault="00C428DB" w:rsidP="00F93884">
      <w:pPr>
        <w:tabs>
          <w:tab w:val="left" w:pos="709"/>
        </w:tabs>
        <w:ind w:left="1417" w:right="899"/>
        <w:jc w:val="both"/>
        <w:rPr>
          <w:rFonts w:ascii="Palatino Linotype" w:eastAsia="Palatino Linotype" w:hAnsi="Palatino Linotype" w:cs="Palatino Linotype"/>
          <w:b/>
          <w:i/>
          <w:sz w:val="22"/>
          <w:szCs w:val="22"/>
        </w:rPr>
      </w:pPr>
      <w:r w:rsidRPr="00F93884">
        <w:rPr>
          <w:rFonts w:ascii="Palatino Linotype" w:eastAsia="Palatino Linotype" w:hAnsi="Palatino Linotype" w:cs="Palatino Linotype"/>
          <w:b/>
          <w:i/>
          <w:sz w:val="22"/>
          <w:szCs w:val="22"/>
        </w:rPr>
        <w:t>1.- LOS RECIBOS DE NÓMINA DE LA SÍNDICO MUNICIPAL</w:t>
      </w:r>
      <w:r w:rsidR="006D4489" w:rsidRPr="00F93884">
        <w:rPr>
          <w:rFonts w:ascii="Palatino Linotype" w:eastAsia="Palatino Linotype" w:hAnsi="Palatino Linotype" w:cs="Palatino Linotype"/>
          <w:b/>
          <w:i/>
          <w:sz w:val="22"/>
          <w:szCs w:val="22"/>
        </w:rPr>
        <w:t xml:space="preserve">, CORRESPONDIENTES DEL </w:t>
      </w:r>
      <w:r w:rsidRPr="00F93884">
        <w:rPr>
          <w:rFonts w:ascii="Palatino Linotype" w:eastAsia="Palatino Linotype" w:hAnsi="Palatino Linotype" w:cs="Palatino Linotype"/>
          <w:b/>
          <w:i/>
          <w:sz w:val="22"/>
          <w:szCs w:val="22"/>
        </w:rPr>
        <w:t xml:space="preserve">PRIMERO DE ENERO AL </w:t>
      </w:r>
      <w:r w:rsidR="006D4489" w:rsidRPr="00F93884">
        <w:rPr>
          <w:rFonts w:ascii="Palatino Linotype" w:eastAsia="Palatino Linotype" w:hAnsi="Palatino Linotype" w:cs="Palatino Linotype"/>
          <w:b/>
          <w:i/>
          <w:sz w:val="22"/>
          <w:szCs w:val="22"/>
        </w:rPr>
        <w:t>QUINCE</w:t>
      </w:r>
      <w:r w:rsidR="00D145B6" w:rsidRPr="00F93884">
        <w:rPr>
          <w:rFonts w:ascii="Palatino Linotype" w:eastAsia="Palatino Linotype" w:hAnsi="Palatino Linotype" w:cs="Palatino Linotype"/>
          <w:b/>
          <w:i/>
          <w:sz w:val="22"/>
          <w:szCs w:val="22"/>
        </w:rPr>
        <w:t xml:space="preserve"> OCTUBRE DE DOS MIL VEINTIDOS.</w:t>
      </w:r>
    </w:p>
    <w:p w14:paraId="0C59DE70" w14:textId="77777777" w:rsidR="007C714D" w:rsidRPr="00F93884" w:rsidRDefault="007C714D" w:rsidP="00F93884">
      <w:pPr>
        <w:spacing w:line="360" w:lineRule="auto"/>
        <w:jc w:val="both"/>
        <w:rPr>
          <w:rFonts w:ascii="Palatino Linotype" w:eastAsia="Palatino Linotype" w:hAnsi="Palatino Linotype" w:cs="Palatino Linotype"/>
          <w:bCs/>
          <w:iCs/>
          <w:lang w:val="es-ES"/>
        </w:rPr>
      </w:pPr>
    </w:p>
    <w:p w14:paraId="4EC270A7" w14:textId="77777777" w:rsidR="007C714D" w:rsidRPr="00F93884" w:rsidRDefault="007C714D" w:rsidP="00F93884">
      <w:pPr>
        <w:spacing w:line="360" w:lineRule="auto"/>
        <w:jc w:val="both"/>
        <w:rPr>
          <w:rFonts w:ascii="Palatino Linotype" w:eastAsia="Palatino Linotype" w:hAnsi="Palatino Linotype" w:cs="Palatino Linotype"/>
          <w:bCs/>
          <w:iCs/>
          <w:lang w:val="es-ES"/>
        </w:rPr>
      </w:pPr>
      <w:r w:rsidRPr="00F93884">
        <w:rPr>
          <w:rFonts w:ascii="Palatino Linotype" w:eastAsia="Palatino Linotype" w:hAnsi="Palatino Linotype" w:cs="Palatino Linotype"/>
          <w:bCs/>
          <w:iCs/>
          <w:lang w:val="es-ES"/>
        </w:rPr>
        <w:t xml:space="preserve">Además, de ser necesario, deberá proporcionar el Acuerdo de Clasificación donde el Comité de Transparencia, confirme la eliminación de los datos confidenciales, en la </w:t>
      </w:r>
      <w:r w:rsidRPr="00F93884">
        <w:rPr>
          <w:rFonts w:ascii="Palatino Linotype" w:eastAsia="Palatino Linotype" w:hAnsi="Palatino Linotype" w:cs="Palatino Linotype"/>
          <w:bCs/>
          <w:iCs/>
          <w:lang w:val="es-ES"/>
        </w:rPr>
        <w:lastRenderedPageBreak/>
        <w:t>versión pública, de conformidad con los artículos 49, fracciones II y VIII y 132, fracción II de la Ley de Transparencia y Acceso a la Información Pública del Estado de México y Municipios.</w:t>
      </w:r>
    </w:p>
    <w:p w14:paraId="7085F78B" w14:textId="77777777" w:rsidR="007C714D" w:rsidRPr="00F93884" w:rsidRDefault="007C714D" w:rsidP="00F93884">
      <w:pPr>
        <w:spacing w:line="360" w:lineRule="auto"/>
        <w:jc w:val="both"/>
        <w:rPr>
          <w:rFonts w:ascii="Palatino Linotype" w:eastAsia="Palatino Linotype" w:hAnsi="Palatino Linotype" w:cs="Palatino Linotype"/>
          <w:b/>
        </w:rPr>
      </w:pPr>
    </w:p>
    <w:p w14:paraId="43546238" w14:textId="21D45C39" w:rsidR="003C49AD" w:rsidRPr="00F93884" w:rsidRDefault="008D7F89"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b/>
        </w:rPr>
        <w:t>CUARTO</w:t>
      </w:r>
      <w:r w:rsidR="000C0E30" w:rsidRPr="00F93884">
        <w:rPr>
          <w:rFonts w:ascii="Palatino Linotype" w:eastAsia="Palatino Linotype" w:hAnsi="Palatino Linotype" w:cs="Palatino Linotype"/>
          <w:b/>
        </w:rPr>
        <w:t xml:space="preserve">. </w:t>
      </w:r>
      <w:r w:rsidR="003C49AD" w:rsidRPr="00F93884">
        <w:rPr>
          <w:rFonts w:ascii="Palatino Linotype" w:eastAsia="Palatino Linotype" w:hAnsi="Palatino Linotype" w:cs="Palatino Linotype"/>
          <w:b/>
        </w:rPr>
        <w:t xml:space="preserve">NOTIFÍQUESE </w:t>
      </w:r>
      <w:r w:rsidR="003C49AD" w:rsidRPr="00F93884">
        <w:rPr>
          <w:rFonts w:ascii="Palatino Linotype" w:eastAsia="Palatino Linotype" w:hAnsi="Palatino Linotype" w:cs="Palatino Linotype"/>
        </w:rPr>
        <w:t xml:space="preserve">la presente resolución al Titular de la Unidad de Transparencia del </w:t>
      </w:r>
      <w:r w:rsidR="003C49AD" w:rsidRPr="00F93884">
        <w:rPr>
          <w:rFonts w:ascii="Palatino Linotype" w:eastAsia="Palatino Linotype" w:hAnsi="Palatino Linotype" w:cs="Palatino Linotype"/>
          <w:b/>
        </w:rPr>
        <w:t>SUJETO OBLIGADO,</w:t>
      </w:r>
      <w:r w:rsidR="003C49AD" w:rsidRPr="00F93884">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748D1F7" w14:textId="77777777" w:rsidR="003C49AD" w:rsidRPr="00F93884" w:rsidRDefault="003C49AD" w:rsidP="00F93884">
      <w:pPr>
        <w:spacing w:line="360" w:lineRule="auto"/>
        <w:jc w:val="both"/>
        <w:rPr>
          <w:rFonts w:ascii="Palatino Linotype" w:eastAsia="Palatino Linotype" w:hAnsi="Palatino Linotype" w:cs="Palatino Linotype"/>
        </w:rPr>
      </w:pPr>
    </w:p>
    <w:p w14:paraId="5FABBF7A" w14:textId="18E90DBC" w:rsidR="003C49AD" w:rsidRPr="00F93884" w:rsidRDefault="008D7F89"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b/>
        </w:rPr>
        <w:t>QUINTO</w:t>
      </w:r>
      <w:r w:rsidR="003C49AD" w:rsidRPr="00F93884">
        <w:rPr>
          <w:rFonts w:ascii="Palatino Linotype" w:eastAsia="Palatino Linotype" w:hAnsi="Palatino Linotype" w:cs="Palatino Linotype"/>
          <w:b/>
        </w:rPr>
        <w:t>. NOTIFÍQUESE</w:t>
      </w:r>
      <w:r w:rsidR="003C49AD" w:rsidRPr="00F93884">
        <w:rPr>
          <w:rFonts w:ascii="Palatino Linotype" w:eastAsia="Palatino Linotype" w:hAnsi="Palatino Linotype" w:cs="Palatino Linotype"/>
        </w:rPr>
        <w:t xml:space="preserve"> vía SAIMEX,</w:t>
      </w:r>
      <w:r w:rsidR="003C49AD" w:rsidRPr="00F93884">
        <w:rPr>
          <w:rFonts w:ascii="Palatino Linotype" w:eastAsia="Palatino Linotype" w:hAnsi="Palatino Linotype" w:cs="Palatino Linotype"/>
          <w:b/>
        </w:rPr>
        <w:t xml:space="preserve"> </w:t>
      </w:r>
      <w:r w:rsidR="003C49AD" w:rsidRPr="00F93884">
        <w:rPr>
          <w:rFonts w:ascii="Palatino Linotype" w:eastAsia="Palatino Linotype" w:hAnsi="Palatino Linotype" w:cs="Palatino Linotype"/>
        </w:rPr>
        <w:t xml:space="preserve">a </w:t>
      </w:r>
      <w:r w:rsidR="003C49AD" w:rsidRPr="00F93884">
        <w:rPr>
          <w:rFonts w:ascii="Palatino Linotype" w:eastAsia="Palatino Linotype" w:hAnsi="Palatino Linotype" w:cs="Palatino Linotype"/>
          <w:b/>
        </w:rPr>
        <w:t>LA PARTE</w:t>
      </w:r>
      <w:r w:rsidR="003C49AD" w:rsidRPr="00F93884">
        <w:rPr>
          <w:rFonts w:ascii="Palatino Linotype" w:eastAsia="Palatino Linotype" w:hAnsi="Palatino Linotype" w:cs="Palatino Linotype"/>
        </w:rPr>
        <w:t xml:space="preserve"> </w:t>
      </w:r>
      <w:r w:rsidR="003C49AD" w:rsidRPr="00F93884">
        <w:rPr>
          <w:rFonts w:ascii="Palatino Linotype" w:eastAsia="Palatino Linotype" w:hAnsi="Palatino Linotype" w:cs="Palatino Linotype"/>
          <w:b/>
        </w:rPr>
        <w:t>RECURRENTE</w:t>
      </w:r>
      <w:r w:rsidR="003C49AD" w:rsidRPr="00F93884">
        <w:rPr>
          <w:rFonts w:ascii="Palatino Linotype" w:eastAsia="Palatino Linotype" w:hAnsi="Palatino Linotype" w:cs="Palatino Linotype"/>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5ADDA7DA" w14:textId="61B4C84B" w:rsidR="00147F2A" w:rsidRDefault="00147F2A" w:rsidP="00F93884">
      <w:pPr>
        <w:spacing w:line="360" w:lineRule="auto"/>
        <w:jc w:val="both"/>
        <w:rPr>
          <w:rFonts w:ascii="Palatino Linotype" w:eastAsia="Palatino Linotype" w:hAnsi="Palatino Linotype" w:cs="Palatino Linotype"/>
          <w:sz w:val="22"/>
          <w:szCs w:val="22"/>
        </w:rPr>
      </w:pPr>
    </w:p>
    <w:p w14:paraId="6F74D689" w14:textId="77777777" w:rsidR="00F93884" w:rsidRPr="00F93884" w:rsidRDefault="00F93884" w:rsidP="00F93884">
      <w:pPr>
        <w:spacing w:line="360" w:lineRule="auto"/>
        <w:jc w:val="both"/>
        <w:rPr>
          <w:rFonts w:ascii="Palatino Linotype" w:eastAsia="Palatino Linotype" w:hAnsi="Palatino Linotype" w:cs="Palatino Linotype"/>
          <w:sz w:val="22"/>
          <w:szCs w:val="22"/>
        </w:rPr>
      </w:pPr>
    </w:p>
    <w:p w14:paraId="047D2BB1" w14:textId="5C49E33C" w:rsidR="003C49AD" w:rsidRPr="00F93884" w:rsidRDefault="008D7F89"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b/>
        </w:rPr>
        <w:lastRenderedPageBreak/>
        <w:t>SEXTO</w:t>
      </w:r>
      <w:r w:rsidR="003C49AD" w:rsidRPr="00F93884">
        <w:rPr>
          <w:rFonts w:ascii="Palatino Linotype" w:eastAsia="Palatino Linotype" w:hAnsi="Palatino Linotype" w:cs="Palatino Linotype"/>
          <w:b/>
        </w:rPr>
        <w:t xml:space="preserve">. </w:t>
      </w:r>
      <w:r w:rsidR="003C49AD" w:rsidRPr="00F93884">
        <w:rPr>
          <w:rFonts w:ascii="Palatino Linotype" w:eastAsia="Palatino Linotype" w:hAnsi="Palatino Linotype" w:cs="Palatino Linotype"/>
        </w:rPr>
        <w:t xml:space="preserve">Hágase del conocimiento de </w:t>
      </w:r>
      <w:r w:rsidR="003C49AD" w:rsidRPr="00F93884">
        <w:rPr>
          <w:rFonts w:ascii="Palatino Linotype" w:eastAsia="Palatino Linotype" w:hAnsi="Palatino Linotype" w:cs="Palatino Linotype"/>
          <w:b/>
        </w:rPr>
        <w:t>LA PARTE RECURRENTE</w:t>
      </w:r>
      <w:r w:rsidR="003C49AD" w:rsidRPr="00F93884">
        <w:rPr>
          <w:rFonts w:ascii="Palatino Linotype" w:eastAsia="Palatino Linotype" w:hAnsi="Palatino Linotype" w:cs="Palatino Linotype"/>
        </w:rPr>
        <w:t xml:space="preserve"> que la respuesta que dé </w:t>
      </w:r>
      <w:r w:rsidR="003C49AD" w:rsidRPr="00F93884">
        <w:rPr>
          <w:rFonts w:ascii="Palatino Linotype" w:eastAsia="Palatino Linotype" w:hAnsi="Palatino Linotype" w:cs="Palatino Linotype"/>
          <w:b/>
        </w:rPr>
        <w:t>EL SUJETO OBLIGADO</w:t>
      </w:r>
      <w:r w:rsidR="003C49AD" w:rsidRPr="00F93884">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101E271" w14:textId="77777777" w:rsidR="00961E5E" w:rsidRPr="00F93884" w:rsidRDefault="00961E5E" w:rsidP="00F93884">
      <w:pPr>
        <w:spacing w:line="360" w:lineRule="auto"/>
        <w:jc w:val="both"/>
        <w:rPr>
          <w:rFonts w:ascii="Palatino Linotype" w:eastAsia="Palatino Linotype" w:hAnsi="Palatino Linotype" w:cs="Palatino Linotype"/>
        </w:rPr>
      </w:pPr>
    </w:p>
    <w:p w14:paraId="5058EB48" w14:textId="3E35A950" w:rsidR="00961E5E" w:rsidRPr="00F93884" w:rsidRDefault="00A339AE" w:rsidP="00F93884">
      <w:pPr>
        <w:spacing w:line="360" w:lineRule="auto"/>
        <w:jc w:val="both"/>
        <w:rPr>
          <w:rFonts w:ascii="Palatino Linotype" w:eastAsia="Calibri" w:hAnsi="Palatino Linotype"/>
        </w:rPr>
      </w:pPr>
      <w:r w:rsidRPr="00F93884">
        <w:rPr>
          <w:rFonts w:ascii="Palatino Linotype" w:hAnsi="Palatino Linotype" w:cs="Arial"/>
          <w:b/>
          <w:bCs/>
          <w:sz w:val="28"/>
        </w:rPr>
        <w:t>SÉPTIMO</w:t>
      </w:r>
      <w:r w:rsidR="00961E5E" w:rsidRPr="00F93884">
        <w:rPr>
          <w:rFonts w:ascii="Palatino Linotype" w:eastAsia="Calibri" w:hAnsi="Palatino Linotype" w:cs="Arial"/>
          <w:b/>
          <w:bCs/>
        </w:rPr>
        <w:t xml:space="preserve">. </w:t>
      </w:r>
      <w:r w:rsidR="00961E5E" w:rsidRPr="00F93884">
        <w:rPr>
          <w:rFonts w:ascii="Palatino Linotype" w:hAnsi="Palatino Linotype"/>
          <w:b/>
          <w:szCs w:val="17"/>
          <w:lang w:eastAsia="es-ES_tradnl"/>
        </w:rPr>
        <w:t>Gírese oficio</w:t>
      </w:r>
      <w:r w:rsidR="00961E5E" w:rsidRPr="00F93884">
        <w:rPr>
          <w:rFonts w:ascii="Palatino Linotype" w:hAnsi="Palatino Linotype"/>
          <w:bCs/>
          <w:szCs w:val="17"/>
          <w:lang w:eastAsia="es-ES_tradnl"/>
        </w:rPr>
        <w:t xml:space="preserve"> al área competente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w:t>
      </w:r>
      <w:r w:rsidR="00F93884">
        <w:rPr>
          <w:rFonts w:ascii="Palatino Linotype" w:hAnsi="Palatino Linotype"/>
          <w:b/>
          <w:szCs w:val="17"/>
          <w:lang w:eastAsia="es-ES_tradnl"/>
        </w:rPr>
        <w:t>SEXTO</w:t>
      </w:r>
      <w:r w:rsidR="00961E5E" w:rsidRPr="00F93884">
        <w:rPr>
          <w:rFonts w:ascii="Palatino Linotype" w:hAnsi="Palatino Linotype"/>
          <w:bCs/>
          <w:szCs w:val="17"/>
          <w:lang w:eastAsia="es-ES_tradnl"/>
        </w:rPr>
        <w:t xml:space="preserve"> de la presente resolución</w:t>
      </w:r>
      <w:r w:rsidR="00961E5E" w:rsidRPr="00F93884">
        <w:rPr>
          <w:rFonts w:ascii="Palatino Linotype" w:hAnsi="Palatino Linotype"/>
          <w:szCs w:val="17"/>
          <w:lang w:eastAsia="es-ES_tradnl"/>
        </w:rPr>
        <w:t>.</w:t>
      </w:r>
    </w:p>
    <w:p w14:paraId="7E470803" w14:textId="77777777" w:rsidR="00961E5E" w:rsidRPr="00CB1990" w:rsidRDefault="00961E5E" w:rsidP="00F93884">
      <w:pPr>
        <w:spacing w:line="360" w:lineRule="auto"/>
        <w:jc w:val="both"/>
        <w:rPr>
          <w:rFonts w:ascii="Palatino Linotype" w:eastAsia="Palatino Linotype" w:hAnsi="Palatino Linotype" w:cs="Palatino Linotype"/>
          <w:sz w:val="16"/>
          <w:szCs w:val="16"/>
        </w:rPr>
      </w:pPr>
    </w:p>
    <w:p w14:paraId="7C7AE0D6" w14:textId="16308934" w:rsidR="00147F2A" w:rsidRPr="00F93884" w:rsidRDefault="001929CF" w:rsidP="00F93884">
      <w:pPr>
        <w:spacing w:line="360" w:lineRule="auto"/>
        <w:jc w:val="both"/>
        <w:rPr>
          <w:rFonts w:ascii="Palatino Linotype" w:eastAsia="Palatino Linotype" w:hAnsi="Palatino Linotype" w:cs="Palatino Linotype"/>
        </w:rPr>
      </w:pPr>
      <w:r w:rsidRPr="00F93884">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A2C48" w:rsidRPr="00F93884">
        <w:rPr>
          <w:rFonts w:ascii="Palatino Linotype" w:eastAsia="Palatino Linotype" w:hAnsi="Palatino Linotype" w:cs="Palatino Linotype"/>
        </w:rPr>
        <w:t>DÉCIMA OCTAVA SESIÓN O</w:t>
      </w:r>
      <w:r w:rsidRPr="00F93884">
        <w:rPr>
          <w:rFonts w:ascii="Palatino Linotype" w:eastAsia="Palatino Linotype" w:hAnsi="Palatino Linotype" w:cs="Palatino Linotype"/>
        </w:rPr>
        <w:t xml:space="preserve">RDINARIA CELEBRADA EL </w:t>
      </w:r>
      <w:r w:rsidR="008D7F89" w:rsidRPr="00F93884">
        <w:rPr>
          <w:rFonts w:ascii="Palatino Linotype" w:eastAsia="Palatino Linotype" w:hAnsi="Palatino Linotype" w:cs="Palatino Linotype"/>
        </w:rPr>
        <w:t xml:space="preserve">DIECISIETE </w:t>
      </w:r>
      <w:r w:rsidR="0054604E" w:rsidRPr="00F93884">
        <w:rPr>
          <w:rFonts w:ascii="Palatino Linotype" w:eastAsia="Palatino Linotype" w:hAnsi="Palatino Linotype" w:cs="Palatino Linotype"/>
        </w:rPr>
        <w:t xml:space="preserve">DE </w:t>
      </w:r>
      <w:r w:rsidR="008D7F89" w:rsidRPr="00F93884">
        <w:rPr>
          <w:rFonts w:ascii="Palatino Linotype" w:eastAsia="Palatino Linotype" w:hAnsi="Palatino Linotype" w:cs="Palatino Linotype"/>
        </w:rPr>
        <w:t>MAYO</w:t>
      </w:r>
      <w:r w:rsidRPr="00F93884">
        <w:rPr>
          <w:rFonts w:ascii="Palatino Linotype" w:eastAsia="Palatino Linotype" w:hAnsi="Palatino Linotype" w:cs="Palatino Linotype"/>
        </w:rPr>
        <w:t xml:space="preserve"> DE DOS MIL VEINTITRÉS ANTE EL SECRETARIO TÉCNICO DEL PLENO, ALEXIS TAPIA RAMÍREZ.</w:t>
      </w:r>
    </w:p>
    <w:p w14:paraId="3C41217F" w14:textId="77777777" w:rsidR="00147F2A" w:rsidRPr="00F93884" w:rsidRDefault="0054604E" w:rsidP="00F93884">
      <w:pPr>
        <w:spacing w:line="360" w:lineRule="auto"/>
        <w:jc w:val="both"/>
        <w:rPr>
          <w:rFonts w:ascii="Palatino Linotype" w:eastAsia="Palatino Linotype" w:hAnsi="Palatino Linotype" w:cs="Palatino Linotype"/>
          <w:sz w:val="14"/>
          <w:szCs w:val="14"/>
        </w:rPr>
      </w:pPr>
      <w:r w:rsidRPr="00F93884">
        <w:rPr>
          <w:rFonts w:ascii="Palatino Linotype" w:eastAsia="Palatino Linotype" w:hAnsi="Palatino Linotype" w:cs="Palatino Linotype"/>
          <w:sz w:val="14"/>
          <w:szCs w:val="14"/>
        </w:rPr>
        <w:t>SCMM/BLA/DEMF/MRC</w:t>
      </w:r>
    </w:p>
    <w:p w14:paraId="32BBA4DE" w14:textId="77777777" w:rsidR="00147F2A" w:rsidRPr="00F93884" w:rsidRDefault="00147F2A" w:rsidP="00F93884">
      <w:pPr>
        <w:spacing w:line="360" w:lineRule="auto"/>
        <w:jc w:val="both"/>
        <w:rPr>
          <w:rFonts w:ascii="Palatino Linotype" w:eastAsia="Palatino Linotype" w:hAnsi="Palatino Linotype" w:cs="Palatino Linotype"/>
        </w:rPr>
      </w:pPr>
    </w:p>
    <w:p w14:paraId="63B0A214" w14:textId="77777777" w:rsidR="00147F2A" w:rsidRPr="00F93884" w:rsidRDefault="00147F2A" w:rsidP="00F93884">
      <w:pPr>
        <w:spacing w:line="360" w:lineRule="auto"/>
        <w:jc w:val="both"/>
        <w:rPr>
          <w:rFonts w:ascii="Palatino Linotype" w:eastAsia="Palatino Linotype" w:hAnsi="Palatino Linotype" w:cs="Palatino Linotype"/>
        </w:rPr>
      </w:pPr>
    </w:p>
    <w:p w14:paraId="0A46B368" w14:textId="77777777" w:rsidR="00147F2A" w:rsidRPr="00F93884" w:rsidRDefault="00147F2A" w:rsidP="00F93884">
      <w:pPr>
        <w:spacing w:line="360" w:lineRule="auto"/>
        <w:jc w:val="both"/>
        <w:rPr>
          <w:rFonts w:ascii="Palatino Linotype" w:eastAsia="Palatino Linotype" w:hAnsi="Palatino Linotype" w:cs="Palatino Linotype"/>
        </w:rPr>
      </w:pPr>
    </w:p>
    <w:p w14:paraId="555D63F6" w14:textId="77777777" w:rsidR="00147F2A" w:rsidRPr="00F93884" w:rsidRDefault="00147F2A" w:rsidP="00F93884">
      <w:pPr>
        <w:spacing w:line="360" w:lineRule="auto"/>
        <w:jc w:val="both"/>
        <w:rPr>
          <w:rFonts w:ascii="Palatino Linotype" w:eastAsia="Palatino Linotype" w:hAnsi="Palatino Linotype" w:cs="Palatino Linotype"/>
        </w:rPr>
      </w:pPr>
    </w:p>
    <w:p w14:paraId="7AD0C3A2" w14:textId="77777777" w:rsidR="00147F2A" w:rsidRPr="00F93884" w:rsidRDefault="00147F2A" w:rsidP="00F93884">
      <w:pPr>
        <w:spacing w:line="360" w:lineRule="auto"/>
        <w:jc w:val="both"/>
        <w:rPr>
          <w:rFonts w:ascii="Palatino Linotype" w:eastAsia="Palatino Linotype" w:hAnsi="Palatino Linotype" w:cs="Palatino Linotype"/>
        </w:rPr>
      </w:pPr>
    </w:p>
    <w:p w14:paraId="35EE13F1" w14:textId="77777777" w:rsidR="00147F2A" w:rsidRPr="00F93884" w:rsidRDefault="00147F2A" w:rsidP="00F93884">
      <w:pPr>
        <w:spacing w:line="360" w:lineRule="auto"/>
        <w:jc w:val="both"/>
        <w:rPr>
          <w:rFonts w:ascii="Palatino Linotype" w:eastAsia="Palatino Linotype" w:hAnsi="Palatino Linotype" w:cs="Palatino Linotype"/>
        </w:rPr>
      </w:pPr>
    </w:p>
    <w:p w14:paraId="097FC238" w14:textId="77777777" w:rsidR="00147F2A" w:rsidRPr="00F93884" w:rsidRDefault="00147F2A" w:rsidP="00F93884">
      <w:pPr>
        <w:spacing w:line="360" w:lineRule="auto"/>
        <w:jc w:val="both"/>
        <w:rPr>
          <w:rFonts w:ascii="Palatino Linotype" w:eastAsia="Palatino Linotype" w:hAnsi="Palatino Linotype" w:cs="Palatino Linotype"/>
        </w:rPr>
      </w:pPr>
    </w:p>
    <w:p w14:paraId="054AA4A1" w14:textId="77777777" w:rsidR="00147F2A" w:rsidRPr="00F93884" w:rsidRDefault="00147F2A" w:rsidP="00F93884">
      <w:pPr>
        <w:spacing w:line="360" w:lineRule="auto"/>
        <w:jc w:val="both"/>
        <w:rPr>
          <w:rFonts w:ascii="Palatino Linotype" w:eastAsia="Palatino Linotype" w:hAnsi="Palatino Linotype" w:cs="Palatino Linotype"/>
        </w:rPr>
      </w:pPr>
    </w:p>
    <w:p w14:paraId="1B9A7681" w14:textId="77777777" w:rsidR="00147F2A" w:rsidRPr="00F93884" w:rsidRDefault="00147F2A" w:rsidP="00F93884">
      <w:pPr>
        <w:spacing w:line="360" w:lineRule="auto"/>
        <w:jc w:val="both"/>
        <w:rPr>
          <w:rFonts w:ascii="Palatino Linotype" w:eastAsia="Palatino Linotype" w:hAnsi="Palatino Linotype" w:cs="Palatino Linotype"/>
        </w:rPr>
      </w:pPr>
      <w:bookmarkStart w:id="12" w:name="_heading=h.30j0zll" w:colFirst="0" w:colLast="0"/>
      <w:bookmarkEnd w:id="12"/>
    </w:p>
    <w:p w14:paraId="0FC0E751" w14:textId="77777777" w:rsidR="00147F2A" w:rsidRPr="00F93884" w:rsidRDefault="00147F2A" w:rsidP="00F93884">
      <w:pPr>
        <w:spacing w:line="360" w:lineRule="auto"/>
        <w:jc w:val="both"/>
        <w:rPr>
          <w:rFonts w:ascii="Palatino Linotype" w:eastAsia="Palatino Linotype" w:hAnsi="Palatino Linotype" w:cs="Palatino Linotype"/>
        </w:rPr>
      </w:pPr>
    </w:p>
    <w:p w14:paraId="7676C798" w14:textId="77777777" w:rsidR="00147F2A" w:rsidRPr="00F93884" w:rsidRDefault="00147F2A" w:rsidP="00F93884">
      <w:pPr>
        <w:spacing w:line="360" w:lineRule="auto"/>
        <w:jc w:val="both"/>
        <w:rPr>
          <w:rFonts w:ascii="Palatino Linotype" w:eastAsia="Palatino Linotype" w:hAnsi="Palatino Linotype" w:cs="Palatino Linotype"/>
        </w:rPr>
      </w:pPr>
    </w:p>
    <w:p w14:paraId="45D402C3" w14:textId="77777777" w:rsidR="00147F2A" w:rsidRPr="00F93884" w:rsidRDefault="00147F2A" w:rsidP="00F93884">
      <w:pPr>
        <w:spacing w:line="360" w:lineRule="auto"/>
        <w:jc w:val="both"/>
        <w:rPr>
          <w:rFonts w:ascii="Palatino Linotype" w:eastAsia="Palatino Linotype" w:hAnsi="Palatino Linotype" w:cs="Palatino Linotype"/>
        </w:rPr>
      </w:pPr>
    </w:p>
    <w:p w14:paraId="717AC615" w14:textId="77777777" w:rsidR="00147F2A" w:rsidRPr="00F93884" w:rsidRDefault="00147F2A" w:rsidP="00F93884">
      <w:pPr>
        <w:spacing w:line="360" w:lineRule="auto"/>
        <w:jc w:val="both"/>
        <w:rPr>
          <w:rFonts w:ascii="Palatino Linotype" w:eastAsia="Palatino Linotype" w:hAnsi="Palatino Linotype" w:cs="Palatino Linotype"/>
        </w:rPr>
      </w:pPr>
    </w:p>
    <w:p w14:paraId="0E0E0C44" w14:textId="77777777" w:rsidR="00147F2A" w:rsidRPr="00F93884" w:rsidRDefault="00147F2A" w:rsidP="00F93884">
      <w:pPr>
        <w:spacing w:line="360" w:lineRule="auto"/>
        <w:jc w:val="both"/>
        <w:rPr>
          <w:rFonts w:ascii="Palatino Linotype" w:eastAsia="Palatino Linotype" w:hAnsi="Palatino Linotype" w:cs="Palatino Linotype"/>
        </w:rPr>
      </w:pPr>
    </w:p>
    <w:p w14:paraId="4BF95143" w14:textId="77777777" w:rsidR="00147F2A" w:rsidRPr="00F93884" w:rsidRDefault="00147F2A" w:rsidP="00F93884">
      <w:pPr>
        <w:spacing w:line="360" w:lineRule="auto"/>
        <w:jc w:val="both"/>
        <w:rPr>
          <w:rFonts w:ascii="Palatino Linotype" w:eastAsia="Palatino Linotype" w:hAnsi="Palatino Linotype" w:cs="Palatino Linotype"/>
        </w:rPr>
      </w:pPr>
    </w:p>
    <w:p w14:paraId="36AF58E6" w14:textId="77777777" w:rsidR="00147F2A" w:rsidRPr="00F93884" w:rsidRDefault="00147F2A" w:rsidP="00F93884">
      <w:pPr>
        <w:spacing w:line="360" w:lineRule="auto"/>
        <w:jc w:val="both"/>
        <w:rPr>
          <w:rFonts w:ascii="Palatino Linotype" w:eastAsia="Palatino Linotype" w:hAnsi="Palatino Linotype" w:cs="Palatino Linotype"/>
        </w:rPr>
      </w:pPr>
    </w:p>
    <w:p w14:paraId="7FF2360F" w14:textId="77777777" w:rsidR="00147F2A" w:rsidRPr="00F93884" w:rsidRDefault="00147F2A" w:rsidP="00F93884">
      <w:pPr>
        <w:spacing w:line="360" w:lineRule="auto"/>
        <w:jc w:val="both"/>
        <w:rPr>
          <w:rFonts w:ascii="Palatino Linotype" w:eastAsia="Palatino Linotype" w:hAnsi="Palatino Linotype" w:cs="Palatino Linotype"/>
        </w:rPr>
      </w:pPr>
    </w:p>
    <w:p w14:paraId="0A10DABC" w14:textId="77777777" w:rsidR="00147F2A" w:rsidRPr="00F93884" w:rsidRDefault="00147F2A" w:rsidP="00F93884">
      <w:pPr>
        <w:spacing w:line="360" w:lineRule="auto"/>
        <w:jc w:val="both"/>
        <w:rPr>
          <w:rFonts w:ascii="Palatino Linotype" w:eastAsia="Palatino Linotype" w:hAnsi="Palatino Linotype" w:cs="Palatino Linotype"/>
        </w:rPr>
      </w:pPr>
    </w:p>
    <w:sectPr w:rsidR="00147F2A" w:rsidRPr="00F93884" w:rsidSect="0048641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495ED" w14:textId="77777777" w:rsidR="00515B4D" w:rsidRDefault="00515B4D">
      <w:r>
        <w:separator/>
      </w:r>
    </w:p>
  </w:endnote>
  <w:endnote w:type="continuationSeparator" w:id="0">
    <w:p w14:paraId="7BAA8034" w14:textId="77777777" w:rsidR="00515B4D" w:rsidRDefault="0051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B49CB" w14:textId="109818B4" w:rsidR="009E4B94" w:rsidRDefault="009E4B9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B6011">
      <w:rPr>
        <w:rFonts w:ascii="Palatino Linotype" w:eastAsia="Palatino Linotype" w:hAnsi="Palatino Linotype" w:cs="Palatino Linotype"/>
        <w:noProof/>
        <w:color w:val="000000"/>
        <w:sz w:val="22"/>
        <w:szCs w:val="22"/>
      </w:rPr>
      <w:t>60</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B6011">
      <w:rPr>
        <w:rFonts w:ascii="Palatino Linotype" w:eastAsia="Palatino Linotype" w:hAnsi="Palatino Linotype" w:cs="Palatino Linotype"/>
        <w:noProof/>
        <w:color w:val="000000"/>
        <w:sz w:val="22"/>
        <w:szCs w:val="22"/>
      </w:rPr>
      <w:t>62</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80297" w14:textId="1B29BBA1" w:rsidR="009E4B94" w:rsidRDefault="009E4B94">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B6011">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B6011">
      <w:rPr>
        <w:rFonts w:ascii="Palatino Linotype" w:eastAsia="Palatino Linotype" w:hAnsi="Palatino Linotype" w:cs="Palatino Linotype"/>
        <w:noProof/>
        <w:color w:val="000000"/>
        <w:sz w:val="22"/>
        <w:szCs w:val="22"/>
      </w:rPr>
      <w:t>62</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41BB1" w14:textId="77777777" w:rsidR="00515B4D" w:rsidRDefault="00515B4D">
      <w:r>
        <w:separator/>
      </w:r>
    </w:p>
  </w:footnote>
  <w:footnote w:type="continuationSeparator" w:id="0">
    <w:p w14:paraId="0A9A563A" w14:textId="77777777" w:rsidR="00515B4D" w:rsidRDefault="00515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C0615" w14:textId="77777777" w:rsidR="009E4B94" w:rsidRDefault="00BB6011">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21470B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7728;mso-position-horizontal:center;mso-position-horizontal-relative:margin;mso-position-vertical:center;mso-position-vertical-relative:margin">
          <v:imagedata r:id="rId1" o:title="image7"/>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959FF" w14:textId="77777777" w:rsidR="009E4B94" w:rsidRDefault="00BB6011">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3D838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0;margin-top:0;width:540pt;height:10in;z-index:-251659776;mso-position-horizontal:center;mso-position-horizontal-relative:margin;mso-position-vertical:center;mso-position-vertical-relative:margin">
          <v:imagedata r:id="rId1" o:title="image7"/>
          <w10:wrap anchorx="margin" anchory="margin"/>
        </v:shape>
      </w:pict>
    </w:r>
  </w:p>
  <w:tbl>
    <w:tblPr>
      <w:tblStyle w:val="affffffffff7"/>
      <w:tblW w:w="9534" w:type="dxa"/>
      <w:tblInd w:w="-142" w:type="dxa"/>
      <w:tblLayout w:type="fixed"/>
      <w:tblLook w:val="0400" w:firstRow="0" w:lastRow="0" w:firstColumn="0" w:lastColumn="0" w:noHBand="0" w:noVBand="1"/>
    </w:tblPr>
    <w:tblGrid>
      <w:gridCol w:w="3261"/>
      <w:gridCol w:w="2551"/>
      <w:gridCol w:w="3722"/>
    </w:tblGrid>
    <w:tr w:rsidR="009E4B94" w14:paraId="2BCBA299" w14:textId="77777777">
      <w:tc>
        <w:tcPr>
          <w:tcW w:w="3261" w:type="dxa"/>
          <w:vMerge w:val="restart"/>
        </w:tcPr>
        <w:p w14:paraId="33DE63D4" w14:textId="77777777" w:rsidR="009E4B94" w:rsidRDefault="009E4B94">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79485AAC" wp14:editId="67CB7277">
                <wp:extent cx="1692162" cy="852673"/>
                <wp:effectExtent l="0" t="0" r="0" b="0"/>
                <wp:docPr id="50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75A88DD6" w14:textId="77777777" w:rsidR="009E4B94" w:rsidRDefault="009E4B94">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5E563211" w14:textId="12D0CC01" w:rsidR="009E4B94" w:rsidRDefault="009E4B94">
          <w:pPr>
            <w:jc w:val="both"/>
            <w:rPr>
              <w:rFonts w:ascii="Palatino Linotype" w:eastAsia="Palatino Linotype" w:hAnsi="Palatino Linotype" w:cs="Palatino Linotype"/>
              <w:b/>
            </w:rPr>
          </w:pPr>
          <w:r>
            <w:rPr>
              <w:rFonts w:ascii="Palatino Linotype" w:eastAsia="Palatino Linotype" w:hAnsi="Palatino Linotype" w:cs="Palatino Linotype"/>
              <w:b/>
            </w:rPr>
            <w:t>16977/INFOEM/IP/RR/2022 y acumulado</w:t>
          </w:r>
        </w:p>
      </w:tc>
    </w:tr>
    <w:tr w:rsidR="009E4B94" w14:paraId="16C7217A" w14:textId="77777777">
      <w:tc>
        <w:tcPr>
          <w:tcW w:w="3261" w:type="dxa"/>
          <w:vMerge/>
        </w:tcPr>
        <w:p w14:paraId="3E299B0D" w14:textId="77777777" w:rsidR="009E4B94" w:rsidRDefault="009E4B9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D2E28E6" w14:textId="77777777" w:rsidR="009E4B94" w:rsidRDefault="009E4B94">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4EE3DDF7" w14:textId="77777777" w:rsidR="009E4B94" w:rsidRDefault="009E4B94">
          <w:pPr>
            <w:jc w:val="both"/>
            <w:rPr>
              <w:rFonts w:ascii="Palatino Linotype" w:eastAsia="Palatino Linotype" w:hAnsi="Palatino Linotype" w:cs="Palatino Linotype"/>
              <w:b/>
            </w:rPr>
          </w:pPr>
          <w:r>
            <w:rPr>
              <w:rFonts w:ascii="Palatino Linotype" w:eastAsia="Palatino Linotype" w:hAnsi="Palatino Linotype" w:cs="Palatino Linotype"/>
              <w:b/>
            </w:rPr>
            <w:t>Ayuntamiento de Zinacantepec</w:t>
          </w:r>
        </w:p>
      </w:tc>
    </w:tr>
    <w:tr w:rsidR="009E4B94" w14:paraId="61F934AC" w14:textId="77777777">
      <w:trPr>
        <w:trHeight w:val="790"/>
      </w:trPr>
      <w:tc>
        <w:tcPr>
          <w:tcW w:w="3261" w:type="dxa"/>
          <w:vMerge/>
        </w:tcPr>
        <w:p w14:paraId="705C0981" w14:textId="77777777" w:rsidR="009E4B94" w:rsidRDefault="009E4B9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5E57EF2" w14:textId="77777777" w:rsidR="009E4B94" w:rsidRDefault="009E4B94">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2043BEBE" w14:textId="77777777" w:rsidR="009E4B94" w:rsidRDefault="009E4B94">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066866C" w14:textId="77777777" w:rsidR="009E4B94" w:rsidRDefault="009E4B94">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D68AE" w14:textId="77777777" w:rsidR="009E4B94" w:rsidRDefault="00BB6011">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02F33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7"/>
          <w10:wrap anchorx="margin" anchory="margin"/>
        </v:shape>
      </w:pict>
    </w:r>
  </w:p>
  <w:tbl>
    <w:tblPr>
      <w:tblStyle w:val="affffffffff6"/>
      <w:tblW w:w="9900" w:type="dxa"/>
      <w:tblInd w:w="-833" w:type="dxa"/>
      <w:tblLayout w:type="fixed"/>
      <w:tblLook w:val="0400" w:firstRow="0" w:lastRow="0" w:firstColumn="0" w:lastColumn="0" w:noHBand="0" w:noVBand="1"/>
    </w:tblPr>
    <w:tblGrid>
      <w:gridCol w:w="3805"/>
      <w:gridCol w:w="3000"/>
      <w:gridCol w:w="3095"/>
    </w:tblGrid>
    <w:tr w:rsidR="009E4B94" w14:paraId="3630160D" w14:textId="77777777">
      <w:tc>
        <w:tcPr>
          <w:tcW w:w="3805" w:type="dxa"/>
          <w:vMerge w:val="restart"/>
          <w:shd w:val="clear" w:color="auto" w:fill="auto"/>
        </w:tcPr>
        <w:p w14:paraId="1F658F10" w14:textId="77777777" w:rsidR="009E4B94" w:rsidRDefault="009E4B94">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72BEA23" wp14:editId="7AC21635">
                <wp:extent cx="1692162" cy="852673"/>
                <wp:effectExtent l="0" t="0" r="0" b="0"/>
                <wp:docPr id="50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162E26F7" w14:textId="77777777" w:rsidR="009E4B94" w:rsidRDefault="009E4B94" w:rsidP="00F93884">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03999685" w14:textId="689AB9A5" w:rsidR="009E4B94" w:rsidRDefault="009E4B94" w:rsidP="00F93884">
          <w:pPr>
            <w:jc w:val="both"/>
            <w:rPr>
              <w:rFonts w:ascii="Palatino Linotype" w:eastAsia="Palatino Linotype" w:hAnsi="Palatino Linotype" w:cs="Palatino Linotype"/>
              <w:b/>
            </w:rPr>
          </w:pPr>
          <w:r>
            <w:rPr>
              <w:rFonts w:ascii="Palatino Linotype" w:eastAsia="Palatino Linotype" w:hAnsi="Palatino Linotype" w:cs="Palatino Linotype"/>
              <w:b/>
            </w:rPr>
            <w:t>16977/INFOEM/IP/RR/2022 y acumulado</w:t>
          </w:r>
        </w:p>
      </w:tc>
    </w:tr>
    <w:tr w:rsidR="009E4B94" w14:paraId="439E7254" w14:textId="77777777">
      <w:tc>
        <w:tcPr>
          <w:tcW w:w="3805" w:type="dxa"/>
          <w:vMerge/>
          <w:shd w:val="clear" w:color="auto" w:fill="auto"/>
        </w:tcPr>
        <w:p w14:paraId="6DCAD13A" w14:textId="77777777" w:rsidR="009E4B94" w:rsidRDefault="009E4B9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8C99C7A" w14:textId="77777777" w:rsidR="009E4B94" w:rsidRDefault="009E4B94" w:rsidP="00F93884">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0984B849" w14:textId="77777777" w:rsidR="009E4B94" w:rsidRDefault="009E4B94" w:rsidP="00F93884">
          <w:pPr>
            <w:jc w:val="both"/>
            <w:rPr>
              <w:rFonts w:ascii="Palatino Linotype" w:eastAsia="Palatino Linotype" w:hAnsi="Palatino Linotype" w:cs="Palatino Linotype"/>
              <w:b/>
            </w:rPr>
          </w:pPr>
        </w:p>
      </w:tc>
    </w:tr>
    <w:tr w:rsidR="009E4B94" w14:paraId="28EE9C48" w14:textId="77777777">
      <w:trPr>
        <w:trHeight w:val="228"/>
      </w:trPr>
      <w:tc>
        <w:tcPr>
          <w:tcW w:w="3805" w:type="dxa"/>
          <w:vMerge/>
          <w:shd w:val="clear" w:color="auto" w:fill="auto"/>
        </w:tcPr>
        <w:p w14:paraId="3094E7FE" w14:textId="77777777" w:rsidR="009E4B94" w:rsidRDefault="009E4B9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B94CF31" w14:textId="77777777" w:rsidR="009E4B94" w:rsidRDefault="009E4B94" w:rsidP="00F93884">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76DD756C" w14:textId="77777777" w:rsidR="009E4B94" w:rsidRDefault="009E4B94" w:rsidP="00F93884">
          <w:pPr>
            <w:jc w:val="both"/>
            <w:rPr>
              <w:rFonts w:ascii="Palatino Linotype" w:eastAsia="Palatino Linotype" w:hAnsi="Palatino Linotype" w:cs="Palatino Linotype"/>
              <w:b/>
            </w:rPr>
          </w:pPr>
          <w:r>
            <w:rPr>
              <w:rFonts w:ascii="Palatino Linotype" w:eastAsia="Palatino Linotype" w:hAnsi="Palatino Linotype" w:cs="Palatino Linotype"/>
              <w:b/>
            </w:rPr>
            <w:t>Ayuntamiento de Zinacantepec</w:t>
          </w:r>
        </w:p>
      </w:tc>
    </w:tr>
    <w:tr w:rsidR="009E4B94" w14:paraId="69C5BC47" w14:textId="77777777">
      <w:tc>
        <w:tcPr>
          <w:tcW w:w="3805" w:type="dxa"/>
          <w:vMerge/>
          <w:shd w:val="clear" w:color="auto" w:fill="auto"/>
        </w:tcPr>
        <w:p w14:paraId="64EE4D4C" w14:textId="77777777" w:rsidR="009E4B94" w:rsidRDefault="009E4B9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5183FF7" w14:textId="77777777" w:rsidR="009E4B94" w:rsidRDefault="009E4B94" w:rsidP="00F93884">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2E5ABB07" w14:textId="77777777" w:rsidR="009E4B94" w:rsidRDefault="009E4B94" w:rsidP="00F93884">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61D4ED99" w14:textId="77777777" w:rsidR="009E4B94" w:rsidRDefault="009E4B94">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
    <w:nsid w:val="7565635D"/>
    <w:multiLevelType w:val="multilevel"/>
    <w:tmpl w:val="74D0C7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F2A"/>
    <w:rsid w:val="00010462"/>
    <w:rsid w:val="00077B8D"/>
    <w:rsid w:val="000C0E30"/>
    <w:rsid w:val="00112DD0"/>
    <w:rsid w:val="00147F2A"/>
    <w:rsid w:val="0017628B"/>
    <w:rsid w:val="001929CF"/>
    <w:rsid w:val="001E3728"/>
    <w:rsid w:val="003130CD"/>
    <w:rsid w:val="00350A1E"/>
    <w:rsid w:val="003773D9"/>
    <w:rsid w:val="003C49AD"/>
    <w:rsid w:val="00433943"/>
    <w:rsid w:val="00486411"/>
    <w:rsid w:val="004C6F65"/>
    <w:rsid w:val="004D1BCF"/>
    <w:rsid w:val="00514D17"/>
    <w:rsid w:val="00515B4D"/>
    <w:rsid w:val="0054604E"/>
    <w:rsid w:val="00586612"/>
    <w:rsid w:val="00595535"/>
    <w:rsid w:val="005956B2"/>
    <w:rsid w:val="006337B7"/>
    <w:rsid w:val="00654F3B"/>
    <w:rsid w:val="006D4489"/>
    <w:rsid w:val="006E3729"/>
    <w:rsid w:val="00727A7C"/>
    <w:rsid w:val="0074350E"/>
    <w:rsid w:val="00771FE3"/>
    <w:rsid w:val="007C714D"/>
    <w:rsid w:val="007D05E8"/>
    <w:rsid w:val="00813C3D"/>
    <w:rsid w:val="008225F8"/>
    <w:rsid w:val="008D7F89"/>
    <w:rsid w:val="00961E5E"/>
    <w:rsid w:val="00996A3B"/>
    <w:rsid w:val="009E4B94"/>
    <w:rsid w:val="00A04039"/>
    <w:rsid w:val="00A339AE"/>
    <w:rsid w:val="00A33C4C"/>
    <w:rsid w:val="00AC660A"/>
    <w:rsid w:val="00AD2252"/>
    <w:rsid w:val="00B13699"/>
    <w:rsid w:val="00BB6011"/>
    <w:rsid w:val="00BE04C7"/>
    <w:rsid w:val="00C428DB"/>
    <w:rsid w:val="00C74419"/>
    <w:rsid w:val="00C772BF"/>
    <w:rsid w:val="00C84DE7"/>
    <w:rsid w:val="00CA2C48"/>
    <w:rsid w:val="00CB1990"/>
    <w:rsid w:val="00CB6BF3"/>
    <w:rsid w:val="00CE4909"/>
    <w:rsid w:val="00CE54A7"/>
    <w:rsid w:val="00D145B6"/>
    <w:rsid w:val="00D86478"/>
    <w:rsid w:val="00DE5ED6"/>
    <w:rsid w:val="00E3346D"/>
    <w:rsid w:val="00E9611D"/>
    <w:rsid w:val="00E96E60"/>
    <w:rsid w:val="00EF6373"/>
    <w:rsid w:val="00F14E5A"/>
    <w:rsid w:val="00F82E9C"/>
    <w:rsid w:val="00F93884"/>
    <w:rsid w:val="00FC4E82"/>
    <w:rsid w:val="00FF25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88B8AD"/>
  <w15:docId w15:val="{61F892F4-03BA-4C6E-AB20-158BCCB5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table" w:customStyle="1" w:styleId="TableNormalfff8">
    <w:name w:val="Table Normal"/>
    <w:tblPr>
      <w:tblCellMar>
        <w:top w:w="0" w:type="dxa"/>
        <w:left w:w="0" w:type="dxa"/>
        <w:bottom w:w="0" w:type="dxa"/>
        <w:right w:w="0" w:type="dxa"/>
      </w:tblCellMar>
    </w:tblPr>
  </w:style>
  <w:style w:type="table" w:customStyle="1" w:styleId="TableNormalfff9">
    <w:name w:val="Table Normal"/>
    <w:tblPr>
      <w:tblCellMar>
        <w:top w:w="0" w:type="dxa"/>
        <w:left w:w="0" w:type="dxa"/>
        <w:bottom w:w="0" w:type="dxa"/>
        <w:right w:w="0" w:type="dxa"/>
      </w:tblCellMar>
    </w:tblPr>
  </w:style>
  <w:style w:type="table" w:customStyle="1" w:styleId="TableNormalfffa">
    <w:name w:val="Table Normal"/>
    <w:tblPr>
      <w:tblCellMar>
        <w:top w:w="0" w:type="dxa"/>
        <w:left w:w="0" w:type="dxa"/>
        <w:bottom w:w="0" w:type="dxa"/>
        <w:right w:w="0" w:type="dxa"/>
      </w:tblCellMar>
    </w:tblPr>
  </w:style>
  <w:style w:type="table" w:customStyle="1" w:styleId="TableNormalfffb">
    <w:name w:val="Table Normal"/>
    <w:tblPr>
      <w:tblCellMar>
        <w:top w:w="0" w:type="dxa"/>
        <w:left w:w="0" w:type="dxa"/>
        <w:bottom w:w="0" w:type="dxa"/>
        <w:right w:w="0" w:type="dxa"/>
      </w:tblCellMar>
    </w:tblPr>
  </w:style>
  <w:style w:type="table" w:customStyle="1" w:styleId="TableNormalfffc">
    <w:name w:val="Table Normal"/>
    <w:tblPr>
      <w:tblCellMar>
        <w:top w:w="0" w:type="dxa"/>
        <w:left w:w="0" w:type="dxa"/>
        <w:bottom w:w="0" w:type="dxa"/>
        <w:right w:w="0" w:type="dxa"/>
      </w:tblCellMar>
    </w:tblPr>
  </w:style>
  <w:style w:type="table" w:customStyle="1" w:styleId="TableNormalfffd">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d"/>
    <w:tblPr>
      <w:tblStyleRowBandSize w:val="1"/>
      <w:tblStyleColBandSize w:val="1"/>
      <w:tblCellMar>
        <w:top w:w="100" w:type="dxa"/>
        <w:left w:w="100" w:type="dxa"/>
        <w:bottom w:w="100" w:type="dxa"/>
        <w:right w:w="100" w:type="dxa"/>
      </w:tblCellMar>
    </w:tblPr>
  </w:style>
  <w:style w:type="table" w:customStyle="1" w:styleId="a0">
    <w:basedOn w:val="TableNormalfffd"/>
    <w:tblPr>
      <w:tblStyleRowBandSize w:val="1"/>
      <w:tblStyleColBandSize w:val="1"/>
      <w:tblCellMar>
        <w:top w:w="0" w:type="dxa"/>
        <w:left w:w="115" w:type="dxa"/>
        <w:bottom w:w="0" w:type="dxa"/>
        <w:right w:w="115" w:type="dxa"/>
      </w:tblCellMar>
    </w:tblPr>
  </w:style>
  <w:style w:type="table" w:customStyle="1" w:styleId="a1">
    <w:basedOn w:val="TableNormalfffd"/>
    <w:tblPr>
      <w:tblStyleRowBandSize w:val="1"/>
      <w:tblStyleColBandSize w:val="1"/>
      <w:tblCellMar>
        <w:top w:w="0" w:type="dxa"/>
        <w:left w:w="115" w:type="dxa"/>
        <w:bottom w:w="0" w:type="dxa"/>
        <w:right w:w="115" w:type="dxa"/>
      </w:tblCellMar>
    </w:tblPr>
  </w:style>
  <w:style w:type="table" w:customStyle="1" w:styleId="a2">
    <w:basedOn w:val="TableNormalfffd"/>
    <w:tblPr>
      <w:tblStyleRowBandSize w:val="1"/>
      <w:tblStyleColBandSize w:val="1"/>
      <w:tblCellMar>
        <w:top w:w="0" w:type="dxa"/>
        <w:left w:w="115" w:type="dxa"/>
        <w:bottom w:w="0" w:type="dxa"/>
        <w:right w:w="115" w:type="dxa"/>
      </w:tblCellMar>
    </w:tblPr>
  </w:style>
  <w:style w:type="table" w:customStyle="1" w:styleId="a3">
    <w:basedOn w:val="TableNormalfffd"/>
    <w:tblPr>
      <w:tblStyleRowBandSize w:val="1"/>
      <w:tblStyleColBandSize w:val="1"/>
      <w:tblCellMar>
        <w:top w:w="0" w:type="dxa"/>
        <w:left w:w="115" w:type="dxa"/>
        <w:bottom w:w="0" w:type="dxa"/>
        <w:right w:w="115" w:type="dxa"/>
      </w:tblCellMar>
    </w:tblPr>
  </w:style>
  <w:style w:type="table" w:customStyle="1" w:styleId="a4">
    <w:basedOn w:val="TableNormalfffd"/>
    <w:tblPr>
      <w:tblStyleRowBandSize w:val="1"/>
      <w:tblStyleColBandSize w:val="1"/>
      <w:tblCellMar>
        <w:top w:w="0" w:type="dxa"/>
        <w:left w:w="115" w:type="dxa"/>
        <w:bottom w:w="0" w:type="dxa"/>
        <w:right w:w="115" w:type="dxa"/>
      </w:tblCellMar>
    </w:tblPr>
  </w:style>
  <w:style w:type="table" w:customStyle="1" w:styleId="a5">
    <w:basedOn w:val="TableNormalfffd"/>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6">
    <w:basedOn w:val="TableNormalfffd"/>
    <w:tblPr>
      <w:tblStyleRowBandSize w:val="1"/>
      <w:tblStyleColBandSize w:val="1"/>
      <w:tblCellMar>
        <w:top w:w="0" w:type="dxa"/>
        <w:left w:w="115" w:type="dxa"/>
        <w:bottom w:w="0" w:type="dxa"/>
        <w:right w:w="115" w:type="dxa"/>
      </w:tblCellMar>
    </w:tblPr>
  </w:style>
  <w:style w:type="table" w:customStyle="1" w:styleId="a7">
    <w:basedOn w:val="TableNormalfffd"/>
    <w:tblPr>
      <w:tblStyleRowBandSize w:val="1"/>
      <w:tblStyleColBandSize w:val="1"/>
      <w:tblCellMar>
        <w:top w:w="0" w:type="dxa"/>
        <w:left w:w="115" w:type="dxa"/>
        <w:bottom w:w="0" w:type="dxa"/>
        <w:right w:w="115" w:type="dxa"/>
      </w:tblCellMar>
    </w:tblPr>
  </w:style>
  <w:style w:type="table" w:customStyle="1" w:styleId="a8">
    <w:basedOn w:val="TableNormalfffd"/>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9">
    <w:basedOn w:val="TableNormalfffd"/>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a">
    <w:basedOn w:val="TableNormalfffa"/>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b">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c"/>
    <w:tblPr>
      <w:tblStyleRowBandSize w:val="1"/>
      <w:tblStyleColBandSize w:val="1"/>
      <w:tblCellMar>
        <w:top w:w="0" w:type="dxa"/>
        <w:left w:w="115" w:type="dxa"/>
        <w:bottom w:w="0" w:type="dxa"/>
        <w:right w:w="115" w:type="dxa"/>
      </w:tblCellMar>
    </w:tblPr>
  </w:style>
  <w:style w:type="table" w:customStyle="1" w:styleId="afff3">
    <w:basedOn w:val="TableNormalffc"/>
    <w:tblPr>
      <w:tblStyleRowBandSize w:val="1"/>
      <w:tblStyleColBandSize w:val="1"/>
      <w:tblCellMar>
        <w:top w:w="100" w:type="dxa"/>
        <w:left w:w="100" w:type="dxa"/>
        <w:bottom w:w="100" w:type="dxa"/>
        <w:right w:w="100" w:type="dxa"/>
      </w:tblCellMar>
    </w:tblPr>
  </w:style>
  <w:style w:type="table" w:customStyle="1" w:styleId="afff4">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c"/>
    <w:tblPr>
      <w:tblStyleRowBandSize w:val="1"/>
      <w:tblStyleColBandSize w:val="1"/>
      <w:tblCellMar>
        <w:top w:w="100" w:type="dxa"/>
        <w:left w:w="100" w:type="dxa"/>
        <w:bottom w:w="100" w:type="dxa"/>
        <w:right w:w="100" w:type="dxa"/>
      </w:tblCellMar>
    </w:tblPr>
  </w:style>
  <w:style w:type="table" w:customStyle="1" w:styleId="afff7">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c"/>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ffc">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c"/>
    <w:rPr>
      <w:rFonts w:ascii="Arial" w:eastAsia="Arial" w:hAnsi="Arial" w:cs="Arial"/>
      <w:sz w:val="22"/>
      <w:szCs w:val="22"/>
    </w:rPr>
    <w:tblPr>
      <w:tblStyleRowBandSize w:val="1"/>
      <w:tblStyleColBandSize w:val="1"/>
      <w:tblCellMar>
        <w:top w:w="0" w:type="dxa"/>
        <w:left w:w="108" w:type="dxa"/>
        <w:bottom w:w="0" w:type="dxa"/>
        <w:right w:w="108" w:type="dxa"/>
      </w:tblCellMar>
    </w:tblPr>
  </w:style>
  <w:style w:type="table" w:customStyle="1" w:styleId="affff">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9">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a">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b">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c">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d">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e">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0">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1">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2">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3">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4">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5">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6">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7">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paragraph" w:customStyle="1" w:styleId="Citas">
    <w:name w:val="Citas"/>
    <w:basedOn w:val="Normal"/>
    <w:qFormat/>
    <w:rsid w:val="00433943"/>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823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osfem.gob.mx/04_Iconografia/Ent_Fisc/Doc_Apoy/Doc_Apoy.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javascript:abrirAcuse(492487);"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https://www.ipomex.org.mx/ipo3/lgt/indice/ZINACANTEPEC/art_92_viii.web"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cSENU1ynzDvL4yjhawlhzimOgxA==">AMUW2mUoaTtZmb8U+jocxAsCTuTNmv7Yrmi470TXIPGR6IcNcO60/iRIIL54P4WLDDpxS9w1bF5EXPPwJh+PGljIX6fhc5r20yTg4KtecJS7cGtTIIPEvEqB5yW7OXIUqMSFYZH2TSOF0YAfr+BOAl6lKI6b9U2Wv34HdnM4PCuw7UCTHh/4lxRJMbHKT5Sgeg84NYLSIWzTfDOHdlmPr4AjSdbYpYsDorwT7ckHphZvqLK4x/A407NNUssix6ul+Sf4n2SaNNzF3C1cG+Cbn3uuBOeQPybJSr32jWP+P6C67ekyOJryHgnkop+omcNVgbriOrfnO6qT3SfKAZ+bjJuTVAd2gV0AX6yL06CNitVy5UhxDhmbes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62</Pages>
  <Words>14171</Words>
  <Characters>77942</Characters>
  <Application>Microsoft Office Word</Application>
  <DocSecurity>0</DocSecurity>
  <Lines>649</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15</cp:revision>
  <cp:lastPrinted>2023-05-19T20:51:00Z</cp:lastPrinted>
  <dcterms:created xsi:type="dcterms:W3CDTF">2023-05-16T02:18:00Z</dcterms:created>
  <dcterms:modified xsi:type="dcterms:W3CDTF">2023-05-19T20:52:00Z</dcterms:modified>
</cp:coreProperties>
</file>