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5D5C2" w14:textId="77777777" w:rsidR="00FE0AC2" w:rsidRPr="00DF34DA" w:rsidRDefault="00C3495C">
      <w:pPr>
        <w:spacing w:before="240" w:after="240" w:line="360" w:lineRule="auto"/>
        <w:jc w:val="both"/>
        <w:rPr>
          <w:rFonts w:ascii="Palatino Linotype" w:eastAsia="Palatino Linotype" w:hAnsi="Palatino Linotype" w:cs="Palatino Linotype"/>
          <w:b/>
        </w:rPr>
      </w:pPr>
      <w:bookmarkStart w:id="0" w:name="_heading=h.gjdgxs" w:colFirst="0" w:colLast="0"/>
      <w:bookmarkEnd w:id="0"/>
      <w:r w:rsidRPr="00DF34D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F46584" w:rsidRPr="00DF34DA">
        <w:rPr>
          <w:rFonts w:ascii="Palatino Linotype" w:eastAsia="Palatino Linotype" w:hAnsi="Palatino Linotype" w:cs="Palatino Linotype"/>
        </w:rPr>
        <w:t xml:space="preserve">pec, Estado de México, de fecha </w:t>
      </w:r>
      <w:r w:rsidR="003E4948" w:rsidRPr="00DF34DA">
        <w:rPr>
          <w:rFonts w:ascii="Palatino Linotype" w:eastAsia="Palatino Linotype" w:hAnsi="Palatino Linotype" w:cs="Palatino Linotype"/>
          <w:b/>
        </w:rPr>
        <w:t>veinticuatro</w:t>
      </w:r>
      <w:r w:rsidRPr="00DF34DA">
        <w:rPr>
          <w:rFonts w:ascii="Palatino Linotype" w:eastAsia="Palatino Linotype" w:hAnsi="Palatino Linotype" w:cs="Palatino Linotype"/>
          <w:b/>
        </w:rPr>
        <w:t xml:space="preserve"> d</w:t>
      </w:r>
      <w:r w:rsidR="003E4948" w:rsidRPr="00DF34DA">
        <w:rPr>
          <w:rFonts w:ascii="Palatino Linotype" w:eastAsia="Palatino Linotype" w:hAnsi="Palatino Linotype" w:cs="Palatino Linotype"/>
          <w:b/>
        </w:rPr>
        <w:t>e mayo</w:t>
      </w:r>
      <w:r w:rsidRPr="00DF34DA">
        <w:rPr>
          <w:rFonts w:ascii="Palatino Linotype" w:eastAsia="Palatino Linotype" w:hAnsi="Palatino Linotype" w:cs="Palatino Linotype"/>
          <w:b/>
        </w:rPr>
        <w:t xml:space="preserve"> del dos mil veintitrés.</w:t>
      </w:r>
    </w:p>
    <w:p w14:paraId="6436667D" w14:textId="77777777" w:rsidR="00FE0AC2" w:rsidRPr="00DF34DA" w:rsidRDefault="00C3495C">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F34DA">
        <w:rPr>
          <w:rFonts w:ascii="Palatino Linotype" w:eastAsia="Palatino Linotype" w:hAnsi="Palatino Linotype" w:cs="Palatino Linotype"/>
          <w:b/>
        </w:rPr>
        <w:t xml:space="preserve">Visto </w:t>
      </w:r>
      <w:r w:rsidRPr="00DF34DA">
        <w:rPr>
          <w:rFonts w:ascii="Palatino Linotype" w:eastAsia="Palatino Linotype" w:hAnsi="Palatino Linotype" w:cs="Palatino Linotype"/>
        </w:rPr>
        <w:t xml:space="preserve">el expediente relativo al recurso de revisión </w:t>
      </w:r>
      <w:r w:rsidR="003A2ABD" w:rsidRPr="00DF34DA">
        <w:rPr>
          <w:rFonts w:ascii="Palatino Linotype" w:eastAsia="Palatino Linotype" w:hAnsi="Palatino Linotype" w:cs="Palatino Linotype"/>
          <w:b/>
        </w:rPr>
        <w:t>16204/INFOEM/ICR-81/IP/RR/2022</w:t>
      </w:r>
      <w:r w:rsidRPr="00DF34DA">
        <w:rPr>
          <w:rFonts w:ascii="Palatino Linotype" w:eastAsia="Palatino Linotype" w:hAnsi="Palatino Linotype" w:cs="Palatino Linotype"/>
        </w:rPr>
        <w:t xml:space="preserve">, interpuesto por un </w:t>
      </w:r>
      <w:r w:rsidRPr="00DF34DA">
        <w:rPr>
          <w:rFonts w:ascii="Palatino Linotype" w:eastAsia="Palatino Linotype" w:hAnsi="Palatino Linotype" w:cs="Palatino Linotype"/>
          <w:b/>
        </w:rPr>
        <w:t>particular de manera anónima,</w:t>
      </w:r>
      <w:r w:rsidRPr="00DF34DA">
        <w:rPr>
          <w:rFonts w:ascii="Palatino Linotype" w:eastAsia="Palatino Linotype" w:hAnsi="Palatino Linotype" w:cs="Palatino Linotype"/>
        </w:rPr>
        <w:t xml:space="preserve"> en lo sucesivo la </w:t>
      </w:r>
      <w:r w:rsidRPr="00DF34DA">
        <w:rPr>
          <w:rFonts w:ascii="Palatino Linotype" w:eastAsia="Palatino Linotype" w:hAnsi="Palatino Linotype" w:cs="Palatino Linotype"/>
          <w:b/>
        </w:rPr>
        <w:t>parte Recurrente</w:t>
      </w:r>
      <w:r w:rsidRPr="00DF34DA">
        <w:rPr>
          <w:rFonts w:ascii="Palatino Linotype" w:eastAsia="Palatino Linotype" w:hAnsi="Palatino Linotype" w:cs="Palatino Linotype"/>
        </w:rPr>
        <w:t xml:space="preserve">, en contra de la falta de respuesta del </w:t>
      </w:r>
      <w:r w:rsidRPr="00DF34DA">
        <w:rPr>
          <w:rFonts w:ascii="Palatino Linotype" w:eastAsia="Palatino Linotype" w:hAnsi="Palatino Linotype" w:cs="Palatino Linotype"/>
          <w:b/>
        </w:rPr>
        <w:t xml:space="preserve">Ayuntamiento de Zinacantepec, </w:t>
      </w:r>
      <w:r w:rsidRPr="00DF34DA">
        <w:rPr>
          <w:rFonts w:ascii="Palatino Linotype" w:eastAsia="Palatino Linotype" w:hAnsi="Palatino Linotype" w:cs="Palatino Linotype"/>
        </w:rPr>
        <w:t xml:space="preserve">en lo sucesivo el </w:t>
      </w:r>
      <w:r w:rsidRPr="00DF34DA">
        <w:rPr>
          <w:rFonts w:ascii="Palatino Linotype" w:eastAsia="Palatino Linotype" w:hAnsi="Palatino Linotype" w:cs="Palatino Linotype"/>
          <w:b/>
        </w:rPr>
        <w:t xml:space="preserve">Sujeto Obligado, </w:t>
      </w:r>
      <w:r w:rsidR="00743FF2" w:rsidRPr="00DF34DA">
        <w:rPr>
          <w:rFonts w:ascii="Palatino Linotype" w:eastAsia="Palatino Linotype" w:hAnsi="Palatino Linotype" w:cs="Palatino Linotype"/>
        </w:rPr>
        <w:t>al</w:t>
      </w:r>
      <w:r w:rsidRPr="00DF34DA">
        <w:rPr>
          <w:rFonts w:ascii="Palatino Linotype" w:eastAsia="Palatino Linotype" w:hAnsi="Palatino Linotype" w:cs="Palatino Linotype"/>
        </w:rPr>
        <w:t xml:space="preserve"> cumplimiento a la determinación del diverso con número </w:t>
      </w:r>
      <w:r w:rsidR="003A2ABD" w:rsidRPr="00DF34DA">
        <w:rPr>
          <w:rFonts w:ascii="Palatino Linotype" w:eastAsia="Palatino Linotype" w:hAnsi="Palatino Linotype" w:cs="Palatino Linotype"/>
          <w:b/>
          <w:szCs w:val="22"/>
        </w:rPr>
        <w:t xml:space="preserve">16204/INFOEM/IP/RR/2022 </w:t>
      </w:r>
      <w:r w:rsidRPr="00DF34DA">
        <w:rPr>
          <w:rFonts w:ascii="Palatino Linotype" w:eastAsia="Palatino Linotype" w:hAnsi="Palatino Linotype" w:cs="Palatino Linotype"/>
        </w:rPr>
        <w:t xml:space="preserve">se procede a dictar la presente resolución con base en los siguientes: </w:t>
      </w:r>
    </w:p>
    <w:p w14:paraId="1606C2A6" w14:textId="77777777" w:rsidR="00FE0AC2" w:rsidRPr="00DF34DA" w:rsidRDefault="00C3495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F34DA">
        <w:rPr>
          <w:rFonts w:ascii="Palatino Linotype" w:eastAsia="Palatino Linotype" w:hAnsi="Palatino Linotype" w:cs="Palatino Linotype"/>
          <w:b/>
        </w:rPr>
        <w:t>I. A N T E C E D E N T E S</w:t>
      </w:r>
    </w:p>
    <w:p w14:paraId="1C6609BD"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1. Solicitud de acceso a la información. </w:t>
      </w:r>
      <w:r w:rsidRPr="00DF34DA">
        <w:rPr>
          <w:rFonts w:ascii="Palatino Linotype" w:eastAsia="Palatino Linotype" w:hAnsi="Palatino Linotype" w:cs="Palatino Linotype"/>
        </w:rPr>
        <w:t xml:space="preserve">El </w:t>
      </w:r>
      <w:r w:rsidR="003A2ABD" w:rsidRPr="00DF34DA">
        <w:rPr>
          <w:rFonts w:ascii="Palatino Linotype" w:eastAsia="Palatino Linotype" w:hAnsi="Palatino Linotype" w:cs="Palatino Linotype"/>
          <w:b/>
        </w:rPr>
        <w:t>cinco</w:t>
      </w:r>
      <w:r w:rsidRPr="00DF34DA">
        <w:rPr>
          <w:rFonts w:ascii="Palatino Linotype" w:eastAsia="Palatino Linotype" w:hAnsi="Palatino Linotype" w:cs="Palatino Linotype"/>
          <w:b/>
        </w:rPr>
        <w:t xml:space="preserve"> de</w:t>
      </w:r>
      <w:r w:rsidR="003A2ABD" w:rsidRPr="00DF34DA">
        <w:rPr>
          <w:rFonts w:ascii="Palatino Linotype" w:eastAsia="Palatino Linotype" w:hAnsi="Palatino Linotype" w:cs="Palatino Linotype"/>
          <w:b/>
        </w:rPr>
        <w:t xml:space="preserve"> octu</w:t>
      </w:r>
      <w:r w:rsidRPr="00DF34DA">
        <w:rPr>
          <w:rFonts w:ascii="Palatino Linotype" w:eastAsia="Palatino Linotype" w:hAnsi="Palatino Linotype" w:cs="Palatino Linotype"/>
          <w:b/>
        </w:rPr>
        <w:t>bre de dos mil veintidós</w:t>
      </w:r>
      <w:r w:rsidRPr="00DF34DA">
        <w:rPr>
          <w:rFonts w:ascii="Palatino Linotype" w:eastAsia="Palatino Linotype" w:hAnsi="Palatino Linotype" w:cs="Palatino Linotype"/>
        </w:rPr>
        <w:t xml:space="preserve">, la </w:t>
      </w:r>
      <w:r w:rsidRPr="00DF34DA">
        <w:rPr>
          <w:rFonts w:ascii="Palatino Linotype" w:eastAsia="Palatino Linotype" w:hAnsi="Palatino Linotype" w:cs="Palatino Linotype"/>
          <w:b/>
        </w:rPr>
        <w:t>parte Recurrente</w:t>
      </w:r>
      <w:r w:rsidRPr="00DF34DA">
        <w:rPr>
          <w:rFonts w:ascii="Palatino Linotype" w:eastAsia="Palatino Linotype" w:hAnsi="Palatino Linotype" w:cs="Palatino Linotype"/>
        </w:rPr>
        <w:t xml:space="preserve"> formuló su solicitud de acceso a información pública al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a través del Sistema de Acceso a la Información Mexiquense, en adelante </w:t>
      </w:r>
      <w:r w:rsidRPr="00DF34DA">
        <w:rPr>
          <w:rFonts w:ascii="Palatino Linotype" w:eastAsia="Palatino Linotype" w:hAnsi="Palatino Linotype" w:cs="Palatino Linotype"/>
          <w:b/>
        </w:rPr>
        <w:t>SAIMEX,</w:t>
      </w:r>
      <w:r w:rsidRPr="00DF34DA">
        <w:rPr>
          <w:rFonts w:ascii="Palatino Linotype" w:eastAsia="Palatino Linotype" w:hAnsi="Palatino Linotype" w:cs="Palatino Linotype"/>
        </w:rPr>
        <w:t xml:space="preserve"> requiriendo lo siguiente:</w:t>
      </w:r>
    </w:p>
    <w:p w14:paraId="11904A51" w14:textId="77777777" w:rsidR="00FE0AC2" w:rsidRPr="00DF34DA" w:rsidRDefault="00C3495C">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003A2ABD" w:rsidRPr="00DF34DA">
        <w:rPr>
          <w:rFonts w:ascii="Palatino Linotype" w:eastAsia="Palatino Linotype" w:hAnsi="Palatino Linotype" w:cs="Palatino Linotype"/>
          <w:i/>
          <w:sz w:val="22"/>
          <w:szCs w:val="22"/>
        </w:rPr>
        <w:t xml:space="preserve">SOLICITO COPIA DE </w:t>
      </w:r>
      <w:r w:rsidR="003A2ABD" w:rsidRPr="00DF34DA">
        <w:rPr>
          <w:rFonts w:ascii="Palatino Linotype" w:eastAsia="Palatino Linotype" w:hAnsi="Palatino Linotype" w:cs="Palatino Linotype"/>
          <w:b/>
          <w:i/>
          <w:sz w:val="22"/>
          <w:szCs w:val="22"/>
          <w:u w:val="single"/>
        </w:rPr>
        <w:t>TODOS LOS CONVENIOS SIN JUICIO DE LA MATERIA LABORAL EMITIDOS DURANTE EL AÑO 2022</w:t>
      </w:r>
      <w:r w:rsidRPr="00DF34DA">
        <w:rPr>
          <w:rFonts w:ascii="Palatino Linotype" w:eastAsia="Palatino Linotype" w:hAnsi="Palatino Linotype" w:cs="Palatino Linotype"/>
          <w:b/>
          <w:i/>
          <w:sz w:val="22"/>
          <w:szCs w:val="22"/>
        </w:rPr>
        <w:t>”</w:t>
      </w:r>
      <w:r w:rsidRPr="00DF34DA">
        <w:rPr>
          <w:rFonts w:ascii="Palatino Linotype" w:eastAsia="Palatino Linotype" w:hAnsi="Palatino Linotype" w:cs="Palatino Linotype"/>
          <w:i/>
          <w:sz w:val="22"/>
          <w:szCs w:val="22"/>
        </w:rPr>
        <w:t xml:space="preserve"> (Sic) </w:t>
      </w:r>
    </w:p>
    <w:p w14:paraId="677FB0CF" w14:textId="77777777" w:rsidR="00F46584"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Modalidad elegida para la entrega de la información: </w:t>
      </w:r>
      <w:r w:rsidRPr="00DF34DA">
        <w:rPr>
          <w:rFonts w:ascii="Palatino Linotype" w:eastAsia="Palatino Linotype" w:hAnsi="Palatino Linotype" w:cs="Palatino Linotype"/>
        </w:rPr>
        <w:t>a través del SAIMEX.</w:t>
      </w:r>
    </w:p>
    <w:p w14:paraId="28AED58F" w14:textId="77777777" w:rsidR="003A2ABD" w:rsidRPr="00DF34DA" w:rsidRDefault="00F46584" w:rsidP="00F46584">
      <w:pPr>
        <w:spacing w:before="240" w:after="240"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 xml:space="preserve">2. </w:t>
      </w:r>
      <w:r w:rsidR="003A2ABD" w:rsidRPr="00DF34DA">
        <w:rPr>
          <w:rFonts w:ascii="Palatino Linotype" w:eastAsia="Palatino Linotype" w:hAnsi="Palatino Linotype" w:cs="Palatino Linotype"/>
          <w:b/>
          <w:lang w:eastAsia="es-MX"/>
        </w:rPr>
        <w:t xml:space="preserve">Solicitud de aclaración. </w:t>
      </w:r>
      <w:r w:rsidR="003A2ABD" w:rsidRPr="00DF34DA">
        <w:rPr>
          <w:rFonts w:ascii="Palatino Linotype" w:eastAsia="Palatino Linotype" w:hAnsi="Palatino Linotype" w:cs="Palatino Linotype"/>
          <w:lang w:eastAsia="es-MX"/>
        </w:rPr>
        <w:t xml:space="preserve">El </w:t>
      </w:r>
      <w:r w:rsidR="003A2ABD" w:rsidRPr="00DF34DA">
        <w:rPr>
          <w:rFonts w:ascii="Palatino Linotype" w:eastAsia="Palatino Linotype" w:hAnsi="Palatino Linotype" w:cs="Palatino Linotype"/>
          <w:b/>
          <w:lang w:eastAsia="es-MX"/>
        </w:rPr>
        <w:t>doce de octubre de dos mil veintidós</w:t>
      </w:r>
      <w:r w:rsidR="003A2ABD" w:rsidRPr="00DF34DA">
        <w:rPr>
          <w:rFonts w:ascii="Palatino Linotype" w:eastAsia="Palatino Linotype" w:hAnsi="Palatino Linotype" w:cs="Palatino Linotype"/>
          <w:lang w:eastAsia="es-MX"/>
        </w:rPr>
        <w:t xml:space="preserve">, el </w:t>
      </w:r>
      <w:r w:rsidR="003A2ABD" w:rsidRPr="00DF34DA">
        <w:rPr>
          <w:rFonts w:ascii="Palatino Linotype" w:eastAsia="Palatino Linotype" w:hAnsi="Palatino Linotype" w:cs="Palatino Linotype"/>
          <w:b/>
          <w:lang w:eastAsia="es-MX"/>
        </w:rPr>
        <w:t xml:space="preserve">Sujeto Obligado </w:t>
      </w:r>
      <w:r w:rsidR="003A2ABD" w:rsidRPr="00DF34DA">
        <w:rPr>
          <w:rFonts w:ascii="Palatino Linotype" w:eastAsia="Palatino Linotype" w:hAnsi="Palatino Linotype" w:cs="Palatino Linotype"/>
          <w:lang w:eastAsia="es-MX"/>
        </w:rPr>
        <w:t xml:space="preserve">requirió a la parte solicitante la aclaración a su solicitud de información, medularmente en los siguientes términos: </w:t>
      </w:r>
    </w:p>
    <w:p w14:paraId="5643990D"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sz w:val="22"/>
          <w:lang w:eastAsia="es-MX"/>
        </w:rPr>
      </w:pPr>
      <w:r w:rsidRPr="00DF34DA">
        <w:rPr>
          <w:rFonts w:ascii="Palatino Linotype" w:eastAsia="Palatino Linotype" w:hAnsi="Palatino Linotype" w:cs="Palatino Linotype"/>
          <w:i/>
          <w:sz w:val="22"/>
          <w:lang w:eastAsia="es-MX"/>
        </w:rPr>
        <w:lastRenderedPageBreak/>
        <w:t xml:space="preserve">“Con fundamento en el </w:t>
      </w:r>
      <w:proofErr w:type="spellStart"/>
      <w:r w:rsidRPr="00DF34DA">
        <w:rPr>
          <w:rFonts w:ascii="Palatino Linotype" w:eastAsia="Palatino Linotype" w:hAnsi="Palatino Linotype" w:cs="Palatino Linotype"/>
          <w:i/>
          <w:sz w:val="22"/>
          <w:lang w:eastAsia="es-MX"/>
        </w:rPr>
        <w:t>articulo</w:t>
      </w:r>
      <w:proofErr w:type="spellEnd"/>
      <w:r w:rsidRPr="00DF34DA">
        <w:rPr>
          <w:rFonts w:ascii="Palatino Linotype" w:eastAsia="Palatino Linotype" w:hAnsi="Palatino Linotype" w:cs="Palatino Linotype"/>
          <w:i/>
          <w:sz w:val="22"/>
          <w:lang w:eastAsia="es-MX"/>
        </w:rPr>
        <w:t xml:space="preserve"> 159 de la Ley de Transparencia y Acceso a la Información Pública del Estado de México y Municipios, se le requiere para que dentro del plazo de diez días hábiles realice lo siguiente:</w:t>
      </w:r>
    </w:p>
    <w:p w14:paraId="7A537A36"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sz w:val="22"/>
          <w:lang w:eastAsia="es-MX"/>
        </w:rPr>
      </w:pPr>
      <w:r w:rsidRPr="00DF34DA">
        <w:rPr>
          <w:rFonts w:ascii="Palatino Linotype" w:eastAsia="Palatino Linotype" w:hAnsi="Palatino Linotype" w:cs="Palatino Linotype"/>
          <w:i/>
          <w:sz w:val="22"/>
          <w:lang w:eastAsia="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F84586F"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sz w:val="22"/>
          <w:lang w:eastAsia="es-MX"/>
        </w:rPr>
      </w:pPr>
      <w:r w:rsidRPr="00DF34DA">
        <w:rPr>
          <w:rFonts w:ascii="Palatino Linotype" w:eastAsia="Palatino Linotype" w:hAnsi="Palatino Linotype" w:cs="Palatino Linotype"/>
          <w:i/>
          <w:sz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3418D0A"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sz w:val="22"/>
          <w:lang w:eastAsia="es-MX"/>
        </w:rPr>
      </w:pPr>
      <w:r w:rsidRPr="00DF34DA">
        <w:rPr>
          <w:rFonts w:ascii="Palatino Linotype" w:eastAsia="Palatino Linotype" w:hAnsi="Palatino Linotype" w:cs="Palatino Linotype"/>
          <w:i/>
          <w:sz w:val="22"/>
          <w:lang w:eastAsia="es-MX"/>
        </w:rPr>
        <w:t>ATENTAMENTE</w:t>
      </w:r>
    </w:p>
    <w:p w14:paraId="44CC9612"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sz w:val="22"/>
          <w:lang w:eastAsia="es-MX"/>
        </w:rPr>
      </w:pPr>
      <w:r w:rsidRPr="00DF34DA">
        <w:rPr>
          <w:rFonts w:ascii="Palatino Linotype" w:eastAsia="Palatino Linotype" w:hAnsi="Palatino Linotype" w:cs="Palatino Linotype"/>
          <w:i/>
          <w:sz w:val="22"/>
          <w:lang w:eastAsia="es-MX"/>
        </w:rPr>
        <w:t xml:space="preserve">ING. JESUS EMMANUEL ENCASTIN RENDON” </w:t>
      </w:r>
    </w:p>
    <w:p w14:paraId="77A5F76B" w14:textId="77777777" w:rsidR="003A2ABD" w:rsidRPr="00DF34DA" w:rsidRDefault="003A2ABD" w:rsidP="00F46584">
      <w:pPr>
        <w:spacing w:before="240" w:after="240"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 xml:space="preserve">3. Aclaración. </w:t>
      </w:r>
      <w:r w:rsidRPr="00DF34DA">
        <w:rPr>
          <w:rFonts w:ascii="Palatino Linotype" w:eastAsia="Palatino Linotype" w:hAnsi="Palatino Linotype" w:cs="Palatino Linotype"/>
          <w:lang w:eastAsia="es-MX"/>
        </w:rPr>
        <w:t xml:space="preserve">El </w:t>
      </w:r>
      <w:r w:rsidRPr="00DF34DA">
        <w:rPr>
          <w:rFonts w:ascii="Palatino Linotype" w:eastAsia="Palatino Linotype" w:hAnsi="Palatino Linotype" w:cs="Palatino Linotype"/>
          <w:b/>
          <w:lang w:eastAsia="es-MX"/>
        </w:rPr>
        <w:t>doce de octubre de dos mil veintidós</w:t>
      </w:r>
      <w:r w:rsidRPr="00DF34DA">
        <w:rPr>
          <w:rFonts w:ascii="Palatino Linotype" w:eastAsia="Palatino Linotype" w:hAnsi="Palatino Linotype" w:cs="Palatino Linotype"/>
          <w:lang w:eastAsia="es-MX"/>
        </w:rPr>
        <w:t xml:space="preserve">, el particular desahogó el requerimiento de aclaración de la siguiente manera: </w:t>
      </w:r>
    </w:p>
    <w:p w14:paraId="3511BDA1" w14:textId="77777777" w:rsidR="003A2ABD" w:rsidRPr="00DF34DA" w:rsidRDefault="003A2ABD" w:rsidP="003A2ABD">
      <w:pPr>
        <w:spacing w:before="240" w:after="240" w:line="276" w:lineRule="auto"/>
        <w:ind w:left="567" w:right="851"/>
        <w:jc w:val="both"/>
        <w:rPr>
          <w:rFonts w:ascii="Palatino Linotype" w:eastAsia="Palatino Linotype" w:hAnsi="Palatino Linotype" w:cs="Palatino Linotype"/>
          <w:i/>
          <w:lang w:eastAsia="es-MX"/>
        </w:rPr>
      </w:pPr>
      <w:r w:rsidRPr="00DF34DA">
        <w:rPr>
          <w:rFonts w:ascii="Palatino Linotype" w:eastAsia="Palatino Linotype" w:hAnsi="Palatino Linotype" w:cs="Palatino Linotype"/>
          <w:i/>
          <w:lang w:eastAsia="es-MX"/>
        </w:rPr>
        <w:t>“NO ENTIENDO QUE REQUIERE ACLARAR, LA SOLICITUD ES MUY ESPECÍFICA”</w:t>
      </w:r>
    </w:p>
    <w:p w14:paraId="04A4A9C6" w14:textId="77777777" w:rsidR="00F46584" w:rsidRPr="00DF34DA" w:rsidRDefault="003A2ABD" w:rsidP="00F46584">
      <w:pPr>
        <w:spacing w:before="240" w:after="240" w:line="360" w:lineRule="auto"/>
        <w:jc w:val="both"/>
        <w:rPr>
          <w:rFonts w:ascii="Palatino Linotype" w:eastAsia="Palatino Linotype" w:hAnsi="Palatino Linotype" w:cs="Palatino Linotype"/>
          <w:b/>
          <w:i/>
          <w:sz w:val="22"/>
          <w:szCs w:val="22"/>
          <w:lang w:eastAsia="es-MX"/>
        </w:rPr>
      </w:pPr>
      <w:r w:rsidRPr="00DF34DA">
        <w:rPr>
          <w:rFonts w:ascii="Palatino Linotype" w:eastAsia="Palatino Linotype" w:hAnsi="Palatino Linotype" w:cs="Palatino Linotype"/>
          <w:b/>
          <w:lang w:eastAsia="es-MX"/>
        </w:rPr>
        <w:t xml:space="preserve">4. </w:t>
      </w:r>
      <w:r w:rsidR="00F46584" w:rsidRPr="00DF34DA">
        <w:rPr>
          <w:rFonts w:ascii="Palatino Linotype" w:eastAsia="Palatino Linotype" w:hAnsi="Palatino Linotype" w:cs="Palatino Linotype"/>
          <w:b/>
          <w:lang w:eastAsia="es-MX"/>
        </w:rPr>
        <w:t xml:space="preserve">Respuesta. </w:t>
      </w:r>
      <w:r w:rsidR="00F46584" w:rsidRPr="00DF34DA">
        <w:rPr>
          <w:rFonts w:ascii="Palatino Linotype" w:eastAsia="Palatino Linotype" w:hAnsi="Palatino Linotype" w:cs="Palatino Linotype"/>
          <w:lang w:eastAsia="es-MX"/>
        </w:rPr>
        <w:t xml:space="preserve">De las constancias que obran en SAIMEX, se observa que el </w:t>
      </w:r>
      <w:r w:rsidR="00F46584" w:rsidRPr="00DF34DA">
        <w:rPr>
          <w:rFonts w:ascii="Palatino Linotype" w:eastAsia="Palatino Linotype" w:hAnsi="Palatino Linotype" w:cs="Palatino Linotype"/>
          <w:b/>
          <w:lang w:eastAsia="es-MX"/>
        </w:rPr>
        <w:t>Sujeto Obligado</w:t>
      </w:r>
      <w:r w:rsidR="00F46584" w:rsidRPr="00DF34DA">
        <w:rPr>
          <w:rFonts w:ascii="Palatino Linotype" w:eastAsia="Palatino Linotype" w:hAnsi="Palatino Linotype" w:cs="Palatino Linotype"/>
          <w:lang w:eastAsia="es-MX"/>
        </w:rPr>
        <w:t xml:space="preserve"> no emitió respuesta a la solicitud de información formulada por la persona solicitante.</w:t>
      </w:r>
    </w:p>
    <w:p w14:paraId="3C11D411" w14:textId="77777777" w:rsidR="00F46584" w:rsidRPr="00DF34DA" w:rsidRDefault="003A2ABD" w:rsidP="00F46584">
      <w:pPr>
        <w:spacing w:before="240" w:after="240"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5.</w:t>
      </w:r>
      <w:r w:rsidR="00F46584" w:rsidRPr="00DF34DA">
        <w:rPr>
          <w:rFonts w:ascii="Palatino Linotype" w:eastAsia="Palatino Linotype" w:hAnsi="Palatino Linotype" w:cs="Palatino Linotype"/>
          <w:b/>
          <w:lang w:eastAsia="es-MX"/>
        </w:rPr>
        <w:t xml:space="preserve"> Interposición del recurso de revisión. </w:t>
      </w:r>
      <w:r w:rsidR="00F46584" w:rsidRPr="00DF34DA">
        <w:rPr>
          <w:rFonts w:ascii="Palatino Linotype" w:eastAsia="Palatino Linotype" w:hAnsi="Palatino Linotype" w:cs="Palatino Linotype"/>
          <w:lang w:eastAsia="es-MX"/>
        </w:rPr>
        <w:t xml:space="preserve">Inconforme la persona solicitante con la falta de respuesta del </w:t>
      </w:r>
      <w:r w:rsidR="00F46584" w:rsidRPr="00DF34DA">
        <w:rPr>
          <w:rFonts w:ascii="Palatino Linotype" w:eastAsia="Palatino Linotype" w:hAnsi="Palatino Linotype" w:cs="Palatino Linotype"/>
          <w:b/>
          <w:lang w:eastAsia="es-MX"/>
        </w:rPr>
        <w:t>Sujeto Obligado</w:t>
      </w:r>
      <w:r w:rsidR="00F46584" w:rsidRPr="00DF34DA">
        <w:rPr>
          <w:rFonts w:ascii="Palatino Linotype" w:eastAsia="Palatino Linotype" w:hAnsi="Palatino Linotype" w:cs="Palatino Linotype"/>
          <w:lang w:eastAsia="es-MX"/>
        </w:rPr>
        <w:t xml:space="preserve">, en fecha </w:t>
      </w:r>
      <w:r w:rsidR="0092190D" w:rsidRPr="00DF34DA">
        <w:rPr>
          <w:rFonts w:ascii="Palatino Linotype" w:eastAsia="Palatino Linotype" w:hAnsi="Palatino Linotype" w:cs="Palatino Linotype"/>
          <w:b/>
          <w:lang w:eastAsia="es-MX"/>
        </w:rPr>
        <w:t>siet</w:t>
      </w:r>
      <w:r w:rsidR="001F740F" w:rsidRPr="00DF34DA">
        <w:rPr>
          <w:rFonts w:ascii="Palatino Linotype" w:eastAsia="Palatino Linotype" w:hAnsi="Palatino Linotype" w:cs="Palatino Linotype"/>
          <w:b/>
          <w:lang w:eastAsia="es-MX"/>
        </w:rPr>
        <w:t>e de noviem</w:t>
      </w:r>
      <w:r w:rsidR="00F46584" w:rsidRPr="00DF34DA">
        <w:rPr>
          <w:rFonts w:ascii="Palatino Linotype" w:eastAsia="Palatino Linotype" w:hAnsi="Palatino Linotype" w:cs="Palatino Linotype"/>
          <w:b/>
          <w:lang w:eastAsia="es-MX"/>
        </w:rPr>
        <w:t xml:space="preserve">bre de dos mil </w:t>
      </w:r>
      <w:r w:rsidR="00F46584" w:rsidRPr="00DF34DA">
        <w:rPr>
          <w:rFonts w:ascii="Palatino Linotype" w:eastAsia="Palatino Linotype" w:hAnsi="Palatino Linotype" w:cs="Palatino Linotype"/>
          <w:b/>
          <w:lang w:eastAsia="es-MX"/>
        </w:rPr>
        <w:lastRenderedPageBreak/>
        <w:t>veintidós,</w:t>
      </w:r>
      <w:r w:rsidR="00F46584" w:rsidRPr="00DF34DA">
        <w:rPr>
          <w:rFonts w:ascii="Palatino Linotype" w:eastAsia="Palatino Linotype" w:hAnsi="Palatino Linotype" w:cs="Palatino Linotype"/>
          <w:lang w:eastAsia="es-MX"/>
        </w:rPr>
        <w:t xml:space="preserve"> interpuso el recurso de revisión a través de </w:t>
      </w:r>
      <w:r w:rsidR="00F46584" w:rsidRPr="00DF34DA">
        <w:rPr>
          <w:rFonts w:ascii="Palatino Linotype" w:eastAsia="Palatino Linotype" w:hAnsi="Palatino Linotype" w:cs="Palatino Linotype"/>
          <w:b/>
          <w:lang w:eastAsia="es-MX"/>
        </w:rPr>
        <w:t xml:space="preserve">SAIMEX, </w:t>
      </w:r>
      <w:r w:rsidR="00F46584" w:rsidRPr="00DF34DA">
        <w:rPr>
          <w:rFonts w:ascii="Palatino Linotype" w:eastAsia="Palatino Linotype" w:hAnsi="Palatino Linotype" w:cs="Palatino Linotype"/>
          <w:lang w:eastAsia="es-MX"/>
        </w:rPr>
        <w:t>en donde se manifestó de la siguiente manera:</w:t>
      </w:r>
    </w:p>
    <w:p w14:paraId="1301606D" w14:textId="77777777" w:rsidR="00F46584" w:rsidRPr="00DF34DA" w:rsidRDefault="00F46584" w:rsidP="00F46584">
      <w:pPr>
        <w:tabs>
          <w:tab w:val="left" w:pos="2745"/>
        </w:tabs>
        <w:spacing w:before="240" w:after="240" w:line="360" w:lineRule="auto"/>
        <w:jc w:val="both"/>
        <w:rPr>
          <w:rFonts w:ascii="Palatino Linotype" w:eastAsia="Palatino Linotype" w:hAnsi="Palatino Linotype" w:cs="Palatino Linotype"/>
          <w:b/>
          <w:lang w:eastAsia="es-MX"/>
        </w:rPr>
      </w:pPr>
      <w:r w:rsidRPr="00DF34DA">
        <w:rPr>
          <w:rFonts w:ascii="Palatino Linotype" w:eastAsia="Palatino Linotype" w:hAnsi="Palatino Linotype" w:cs="Palatino Linotype"/>
          <w:b/>
          <w:lang w:eastAsia="es-MX"/>
        </w:rPr>
        <w:t xml:space="preserve">Acto impugnado: </w:t>
      </w:r>
    </w:p>
    <w:p w14:paraId="36DCFDAE" w14:textId="77777777" w:rsidR="00F46584" w:rsidRPr="00DF34DA" w:rsidRDefault="00F46584" w:rsidP="00F46584">
      <w:pPr>
        <w:tabs>
          <w:tab w:val="left" w:pos="2745"/>
        </w:tabs>
        <w:spacing w:before="240" w:after="240"/>
        <w:ind w:left="851" w:right="900"/>
        <w:jc w:val="both"/>
        <w:rPr>
          <w:rFonts w:ascii="Palatino Linotype" w:eastAsia="Palatino Linotype" w:hAnsi="Palatino Linotype" w:cs="Palatino Linotype"/>
          <w:i/>
          <w:sz w:val="22"/>
          <w:szCs w:val="22"/>
          <w:lang w:eastAsia="es-MX"/>
        </w:rPr>
      </w:pPr>
      <w:r w:rsidRPr="00DF34DA">
        <w:rPr>
          <w:rFonts w:ascii="Palatino Linotype" w:eastAsia="Palatino Linotype" w:hAnsi="Palatino Linotype" w:cs="Palatino Linotype"/>
          <w:i/>
          <w:sz w:val="22"/>
          <w:szCs w:val="22"/>
          <w:lang w:eastAsia="es-MX"/>
        </w:rPr>
        <w:t>“</w:t>
      </w:r>
      <w:r w:rsidR="001F740F" w:rsidRPr="00DF34DA">
        <w:rPr>
          <w:rFonts w:ascii="Palatino Linotype" w:eastAsia="Palatino Linotype" w:hAnsi="Palatino Linotype" w:cs="Palatino Linotype"/>
          <w:i/>
          <w:sz w:val="22"/>
          <w:szCs w:val="22"/>
          <w:lang w:eastAsia="es-MX"/>
        </w:rPr>
        <w:t xml:space="preserve">NO ENTREGA INFORMACIÓN” </w:t>
      </w:r>
      <w:r w:rsidR="00411623" w:rsidRPr="00DF34DA">
        <w:rPr>
          <w:rFonts w:ascii="Palatino Linotype" w:eastAsia="Palatino Linotype" w:hAnsi="Palatino Linotype" w:cs="Palatino Linotype"/>
          <w:i/>
          <w:sz w:val="22"/>
          <w:szCs w:val="22"/>
          <w:lang w:eastAsia="es-MX"/>
        </w:rPr>
        <w:t>(</w:t>
      </w:r>
      <w:r w:rsidRPr="00DF34DA">
        <w:rPr>
          <w:rFonts w:ascii="Palatino Linotype" w:eastAsia="Palatino Linotype" w:hAnsi="Palatino Linotype" w:cs="Palatino Linotype"/>
          <w:i/>
          <w:sz w:val="22"/>
          <w:szCs w:val="22"/>
          <w:lang w:eastAsia="es-MX"/>
        </w:rPr>
        <w:t>Sic)</w:t>
      </w:r>
    </w:p>
    <w:p w14:paraId="56FCCC02" w14:textId="77777777" w:rsidR="00F46584" w:rsidRPr="00DF34DA" w:rsidRDefault="00F46584" w:rsidP="00F46584">
      <w:pPr>
        <w:spacing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Razones o motivos de inconformidad</w:t>
      </w:r>
      <w:r w:rsidRPr="00DF34DA">
        <w:rPr>
          <w:rFonts w:ascii="Palatino Linotype" w:eastAsia="Palatino Linotype" w:hAnsi="Palatino Linotype" w:cs="Palatino Linotype"/>
          <w:lang w:eastAsia="es-MX"/>
        </w:rPr>
        <w:t>:</w:t>
      </w:r>
    </w:p>
    <w:p w14:paraId="3B2B53BA" w14:textId="77777777" w:rsidR="00F46584" w:rsidRPr="00DF34DA" w:rsidRDefault="00F46584" w:rsidP="00F46584">
      <w:pPr>
        <w:ind w:left="851" w:right="902"/>
        <w:jc w:val="both"/>
        <w:rPr>
          <w:rFonts w:ascii="Palatino Linotype" w:eastAsia="Palatino Linotype" w:hAnsi="Palatino Linotype" w:cs="Palatino Linotype"/>
          <w:i/>
          <w:sz w:val="22"/>
          <w:szCs w:val="22"/>
          <w:lang w:eastAsia="es-MX"/>
        </w:rPr>
      </w:pPr>
      <w:r w:rsidRPr="00DF34DA">
        <w:rPr>
          <w:rFonts w:ascii="Palatino Linotype" w:eastAsia="Palatino Linotype" w:hAnsi="Palatino Linotype" w:cs="Palatino Linotype"/>
          <w:i/>
          <w:sz w:val="22"/>
          <w:szCs w:val="22"/>
          <w:lang w:eastAsia="es-MX"/>
        </w:rPr>
        <w:t xml:space="preserve"> “</w:t>
      </w:r>
      <w:r w:rsidR="001F740F" w:rsidRPr="00DF34DA">
        <w:rPr>
          <w:rFonts w:ascii="Palatino Linotype" w:eastAsia="Palatino Linotype" w:hAnsi="Palatino Linotype" w:cs="Palatino Linotype"/>
          <w:i/>
          <w:sz w:val="22"/>
          <w:szCs w:val="22"/>
          <w:lang w:eastAsia="es-MX"/>
        </w:rPr>
        <w:t>NO ENTREGA INFORMACIÓN</w:t>
      </w:r>
      <w:r w:rsidRPr="00DF34DA">
        <w:rPr>
          <w:rFonts w:ascii="Palatino Linotype" w:eastAsia="Palatino Linotype" w:hAnsi="Palatino Linotype" w:cs="Palatino Linotype"/>
          <w:i/>
          <w:sz w:val="22"/>
          <w:szCs w:val="22"/>
          <w:lang w:eastAsia="es-MX"/>
        </w:rPr>
        <w:t>” (Sic)</w:t>
      </w:r>
    </w:p>
    <w:p w14:paraId="0837C8BC" w14:textId="77777777" w:rsidR="00411623" w:rsidRPr="00DF34DA" w:rsidRDefault="0092190D" w:rsidP="00F46584">
      <w:pPr>
        <w:spacing w:before="240" w:after="240" w:line="360" w:lineRule="auto"/>
        <w:ind w:right="51"/>
        <w:jc w:val="both"/>
        <w:rPr>
          <w:rFonts w:ascii="Palatino Linotype" w:eastAsia="Palatino Linotype" w:hAnsi="Palatino Linotype" w:cs="Palatino Linotype"/>
          <w:b/>
          <w:lang w:eastAsia="es-MX"/>
        </w:rPr>
      </w:pPr>
      <w:r w:rsidRPr="00DF34DA">
        <w:rPr>
          <w:rFonts w:ascii="Palatino Linotype" w:eastAsia="Palatino Linotype" w:hAnsi="Palatino Linotype" w:cs="Palatino Linotype"/>
          <w:b/>
          <w:lang w:eastAsia="es-MX"/>
        </w:rPr>
        <w:t>4</w:t>
      </w:r>
      <w:r w:rsidR="00F46584" w:rsidRPr="00DF34DA">
        <w:rPr>
          <w:rFonts w:ascii="Palatino Linotype" w:eastAsia="Palatino Linotype" w:hAnsi="Palatino Linotype" w:cs="Palatino Linotype"/>
          <w:b/>
          <w:lang w:eastAsia="es-MX"/>
        </w:rPr>
        <w:t xml:space="preserve">. </w:t>
      </w:r>
      <w:r w:rsidR="00411623" w:rsidRPr="00DF34DA">
        <w:rPr>
          <w:rFonts w:ascii="Palatino Linotype" w:eastAsia="Palatino Linotype" w:hAnsi="Palatino Linotype" w:cs="Palatino Linotype"/>
          <w:b/>
          <w:lang w:eastAsia="es-MX"/>
        </w:rPr>
        <w:t>Trámite del Recurso de Revisión ante el Instituto.</w:t>
      </w:r>
    </w:p>
    <w:p w14:paraId="5F1C96AF" w14:textId="77777777" w:rsidR="00F46584" w:rsidRPr="00DF34DA" w:rsidRDefault="00411623" w:rsidP="00F46584">
      <w:pPr>
        <w:spacing w:before="240" w:after="240" w:line="360" w:lineRule="auto"/>
        <w:ind w:right="51"/>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 xml:space="preserve">a. </w:t>
      </w:r>
      <w:r w:rsidR="00F46584" w:rsidRPr="00DF34DA">
        <w:rPr>
          <w:rFonts w:ascii="Palatino Linotype" w:eastAsia="Palatino Linotype" w:hAnsi="Palatino Linotype" w:cs="Palatino Linotype"/>
          <w:b/>
          <w:lang w:eastAsia="es-MX"/>
        </w:rPr>
        <w:t xml:space="preserve">Turno. </w:t>
      </w:r>
      <w:r w:rsidR="00F46584" w:rsidRPr="00DF34DA">
        <w:rPr>
          <w:rFonts w:ascii="Palatino Linotype" w:eastAsia="Palatino Linotype" w:hAnsi="Palatino Linotype" w:cs="Palatino Linotype"/>
          <w:lang w:eastAsia="es-MX"/>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46584" w:rsidRPr="00DF34DA">
        <w:rPr>
          <w:rFonts w:ascii="Palatino Linotype" w:eastAsia="Palatino Linotype" w:hAnsi="Palatino Linotype" w:cs="Palatino Linotype"/>
          <w:b/>
          <w:lang w:eastAsia="es-MX"/>
        </w:rPr>
        <w:t xml:space="preserve">Guadalupe Ramírez Peña, </w:t>
      </w:r>
      <w:r w:rsidR="00F46584" w:rsidRPr="00DF34DA">
        <w:rPr>
          <w:rFonts w:ascii="Palatino Linotype" w:eastAsia="Palatino Linotype" w:hAnsi="Palatino Linotype" w:cs="Palatino Linotype"/>
          <w:lang w:eastAsia="es-MX"/>
        </w:rPr>
        <w:t xml:space="preserve">a efecto de que analizara sobre su admisión o su </w:t>
      </w:r>
      <w:proofErr w:type="spellStart"/>
      <w:r w:rsidR="00F46584" w:rsidRPr="00DF34DA">
        <w:rPr>
          <w:rFonts w:ascii="Palatino Linotype" w:eastAsia="Palatino Linotype" w:hAnsi="Palatino Linotype" w:cs="Palatino Linotype"/>
          <w:lang w:eastAsia="es-MX"/>
        </w:rPr>
        <w:t>desechamiento</w:t>
      </w:r>
      <w:proofErr w:type="spellEnd"/>
      <w:r w:rsidR="00F46584" w:rsidRPr="00DF34DA">
        <w:rPr>
          <w:rFonts w:ascii="Palatino Linotype" w:eastAsia="Palatino Linotype" w:hAnsi="Palatino Linotype" w:cs="Palatino Linotype"/>
          <w:lang w:eastAsia="es-MX"/>
        </w:rPr>
        <w:t>.</w:t>
      </w:r>
    </w:p>
    <w:p w14:paraId="66CD8EDD" w14:textId="77777777" w:rsidR="00F46584" w:rsidRPr="00DF34DA" w:rsidRDefault="00411623" w:rsidP="00F46584">
      <w:pPr>
        <w:spacing w:before="240" w:after="240"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b/>
          <w:lang w:eastAsia="es-MX"/>
        </w:rPr>
        <w:t>b</w:t>
      </w:r>
      <w:r w:rsidR="00F46584" w:rsidRPr="00DF34DA">
        <w:rPr>
          <w:rFonts w:ascii="Palatino Linotype" w:eastAsia="Palatino Linotype" w:hAnsi="Palatino Linotype" w:cs="Palatino Linotype"/>
          <w:b/>
          <w:lang w:eastAsia="es-MX"/>
        </w:rPr>
        <w:t>. Admisión del Recurso de revisión.</w:t>
      </w:r>
      <w:r w:rsidR="0092190D" w:rsidRPr="00DF34DA">
        <w:rPr>
          <w:rFonts w:ascii="Palatino Linotype" w:eastAsia="Palatino Linotype" w:hAnsi="Palatino Linotype" w:cs="Palatino Linotype"/>
          <w:lang w:eastAsia="es-MX"/>
        </w:rPr>
        <w:t xml:space="preserve"> El</w:t>
      </w:r>
      <w:r w:rsidR="001F740F" w:rsidRPr="00DF34DA">
        <w:rPr>
          <w:rFonts w:ascii="Palatino Linotype" w:eastAsia="Palatino Linotype" w:hAnsi="Palatino Linotype" w:cs="Palatino Linotype"/>
          <w:b/>
          <w:lang w:eastAsia="es-MX"/>
        </w:rPr>
        <w:t xml:space="preserve"> diez de noviem</w:t>
      </w:r>
      <w:r w:rsidR="0092190D" w:rsidRPr="00DF34DA">
        <w:rPr>
          <w:rFonts w:ascii="Palatino Linotype" w:eastAsia="Palatino Linotype" w:hAnsi="Palatino Linotype" w:cs="Palatino Linotype"/>
          <w:b/>
          <w:lang w:eastAsia="es-MX"/>
        </w:rPr>
        <w:t>bre de dos mil veintidós</w:t>
      </w:r>
      <w:r w:rsidR="00F46584" w:rsidRPr="00DF34DA">
        <w:rPr>
          <w:rFonts w:ascii="Palatino Linotype" w:eastAsia="Palatino Linotype" w:hAnsi="Palatino Linotype" w:cs="Palatino Linotype"/>
          <w:b/>
          <w:lang w:eastAsia="es-MX"/>
        </w:rPr>
        <w:t xml:space="preserve">, </w:t>
      </w:r>
      <w:r w:rsidR="00F46584" w:rsidRPr="00DF34DA">
        <w:rPr>
          <w:rFonts w:ascii="Palatino Linotype" w:eastAsia="Palatino Linotype" w:hAnsi="Palatino Linotype" w:cs="Palatino Linotype"/>
          <w:lang w:eastAsia="es-MX"/>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46584" w:rsidRPr="00DF34DA">
        <w:rPr>
          <w:rFonts w:ascii="Palatino Linotype" w:eastAsia="Palatino Linotype" w:hAnsi="Palatino Linotype" w:cs="Palatino Linotype"/>
          <w:b/>
          <w:lang w:eastAsia="es-MX"/>
        </w:rPr>
        <w:t xml:space="preserve">Sujeto Obligado </w:t>
      </w:r>
      <w:r w:rsidR="00F46584" w:rsidRPr="00DF34DA">
        <w:rPr>
          <w:rFonts w:ascii="Palatino Linotype" w:eastAsia="Palatino Linotype" w:hAnsi="Palatino Linotype" w:cs="Palatino Linotype"/>
          <w:lang w:eastAsia="es-MX"/>
        </w:rPr>
        <w:t>presentara su informe justificado.</w:t>
      </w:r>
    </w:p>
    <w:p w14:paraId="76EEA593" w14:textId="77777777" w:rsidR="00411623" w:rsidRPr="00DF34DA" w:rsidRDefault="00411623" w:rsidP="0092190D">
      <w:pPr>
        <w:spacing w:before="240" w:after="240" w:line="360" w:lineRule="auto"/>
        <w:ind w:right="49"/>
        <w:jc w:val="both"/>
        <w:rPr>
          <w:rFonts w:ascii="Palatino Linotype" w:eastAsia="Palatino Linotype" w:hAnsi="Palatino Linotype" w:cs="Palatino Linotype"/>
          <w:lang w:eastAsia="es-MX"/>
        </w:rPr>
      </w:pPr>
      <w:bookmarkStart w:id="2" w:name="_heading=h.2s8eyo1" w:colFirst="0" w:colLast="0"/>
      <w:bookmarkEnd w:id="2"/>
      <w:r w:rsidRPr="00DF34DA">
        <w:rPr>
          <w:rFonts w:ascii="Palatino Linotype" w:eastAsia="Palatino Linotype" w:hAnsi="Palatino Linotype" w:cs="Palatino Linotype"/>
          <w:b/>
          <w:lang w:eastAsia="es-MX"/>
        </w:rPr>
        <w:t>c</w:t>
      </w:r>
      <w:r w:rsidR="00F46584" w:rsidRPr="00DF34DA">
        <w:rPr>
          <w:rFonts w:ascii="Palatino Linotype" w:eastAsia="Palatino Linotype" w:hAnsi="Palatino Linotype" w:cs="Palatino Linotype"/>
          <w:b/>
          <w:lang w:eastAsia="es-MX"/>
        </w:rPr>
        <w:t>. Manifestaciones</w:t>
      </w:r>
      <w:r w:rsidR="00F46584" w:rsidRPr="00DF34DA">
        <w:rPr>
          <w:rFonts w:ascii="Palatino Linotype" w:eastAsia="Palatino Linotype" w:hAnsi="Palatino Linotype" w:cs="Palatino Linotype"/>
          <w:lang w:eastAsia="es-MX"/>
        </w:rPr>
        <w:t xml:space="preserve">. De las constancias que integran el expediente electrónico en que se actúa se advierte que </w:t>
      </w:r>
      <w:r w:rsidR="0092190D" w:rsidRPr="00DF34DA">
        <w:rPr>
          <w:rFonts w:ascii="Palatino Linotype" w:eastAsia="Palatino Linotype" w:hAnsi="Palatino Linotype" w:cs="Palatino Linotype"/>
          <w:lang w:eastAsia="es-MX"/>
        </w:rPr>
        <w:t xml:space="preserve">las partes fueron omisas en remitir su informe </w:t>
      </w:r>
      <w:r w:rsidR="0092190D" w:rsidRPr="00DF34DA">
        <w:rPr>
          <w:rFonts w:ascii="Palatino Linotype" w:eastAsia="Palatino Linotype" w:hAnsi="Palatino Linotype" w:cs="Palatino Linotype"/>
          <w:lang w:eastAsia="es-MX"/>
        </w:rPr>
        <w:lastRenderedPageBreak/>
        <w:t xml:space="preserve">justificado o cualquier manifestación que a su derecho conviniera, por lo que se tiene por precluido su derecho para tal efecto. </w:t>
      </w:r>
    </w:p>
    <w:p w14:paraId="3C52EAD2" w14:textId="77777777" w:rsidR="0092190D" w:rsidRPr="00DF34DA" w:rsidRDefault="001F740F" w:rsidP="0092190D">
      <w:pPr>
        <w:spacing w:before="240" w:after="240" w:line="360" w:lineRule="auto"/>
        <w:ind w:right="49"/>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noProof/>
          <w:lang w:eastAsia="es-MX"/>
        </w:rPr>
        <w:drawing>
          <wp:inline distT="0" distB="0" distL="0" distR="0" wp14:anchorId="7F9FC864" wp14:editId="2FD7A0A3">
            <wp:extent cx="5581015" cy="1512570"/>
            <wp:effectExtent l="19050" t="19050" r="19685"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512570"/>
                    </a:xfrm>
                    <a:prstGeom prst="rect">
                      <a:avLst/>
                    </a:prstGeom>
                    <a:ln>
                      <a:solidFill>
                        <a:schemeClr val="tx1"/>
                      </a:solidFill>
                    </a:ln>
                  </pic:spPr>
                </pic:pic>
              </a:graphicData>
            </a:graphic>
          </wp:inline>
        </w:drawing>
      </w:r>
    </w:p>
    <w:p w14:paraId="54073BDA" w14:textId="77777777" w:rsidR="00F46584" w:rsidRPr="00DF34DA" w:rsidRDefault="00411623" w:rsidP="0092190D">
      <w:pPr>
        <w:widowControl w:val="0"/>
        <w:spacing w:after="240" w:line="360" w:lineRule="auto"/>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b/>
          <w:lang w:eastAsia="es-MX"/>
        </w:rPr>
        <w:t>d</w:t>
      </w:r>
      <w:r w:rsidR="00F46584" w:rsidRPr="00DF34DA">
        <w:rPr>
          <w:rFonts w:ascii="Palatino Linotype" w:eastAsia="Palatino Linotype" w:hAnsi="Palatino Linotype" w:cs="Palatino Linotype"/>
          <w:b/>
          <w:lang w:eastAsia="es-MX"/>
        </w:rPr>
        <w:t xml:space="preserve">. Cierre de instrucción. </w:t>
      </w:r>
      <w:r w:rsidR="00F46584" w:rsidRPr="00DF34DA">
        <w:rPr>
          <w:rFonts w:ascii="Palatino Linotype" w:eastAsia="Palatino Linotype" w:hAnsi="Palatino Linotype" w:cs="Palatino Linotype"/>
          <w:lang w:eastAsia="es-MX"/>
        </w:rPr>
        <w:t>Una vez transcurrido el periodo otorgado a las partes para realizar sus manifestaciones y no habiendo documentos que in</w:t>
      </w:r>
      <w:r w:rsidR="0092190D" w:rsidRPr="00DF34DA">
        <w:rPr>
          <w:rFonts w:ascii="Palatino Linotype" w:eastAsia="Palatino Linotype" w:hAnsi="Palatino Linotype" w:cs="Palatino Linotype"/>
          <w:lang w:eastAsia="es-MX"/>
        </w:rPr>
        <w:t xml:space="preserve">tegrar al expediente, el </w:t>
      </w:r>
      <w:r w:rsidR="001F740F" w:rsidRPr="00DF34DA">
        <w:rPr>
          <w:rFonts w:ascii="Palatino Linotype" w:eastAsia="Palatino Linotype" w:hAnsi="Palatino Linotype" w:cs="Palatino Linotype"/>
          <w:b/>
          <w:lang w:eastAsia="es-MX"/>
        </w:rPr>
        <w:t>primero</w:t>
      </w:r>
      <w:r w:rsidR="0092190D" w:rsidRPr="00DF34DA">
        <w:rPr>
          <w:rFonts w:ascii="Palatino Linotype" w:eastAsia="Palatino Linotype" w:hAnsi="Palatino Linotype" w:cs="Palatino Linotype"/>
          <w:b/>
          <w:lang w:eastAsia="es-MX"/>
        </w:rPr>
        <w:t xml:space="preserve"> d</w:t>
      </w:r>
      <w:r w:rsidR="001F740F" w:rsidRPr="00DF34DA">
        <w:rPr>
          <w:rFonts w:ascii="Palatino Linotype" w:eastAsia="Palatino Linotype" w:hAnsi="Palatino Linotype" w:cs="Palatino Linotype"/>
          <w:b/>
          <w:lang w:eastAsia="es-MX"/>
        </w:rPr>
        <w:t>e diciem</w:t>
      </w:r>
      <w:r w:rsidR="0092190D" w:rsidRPr="00DF34DA">
        <w:rPr>
          <w:rFonts w:ascii="Palatino Linotype" w:eastAsia="Palatino Linotype" w:hAnsi="Palatino Linotype" w:cs="Palatino Linotype"/>
          <w:b/>
          <w:lang w:eastAsia="es-MX"/>
        </w:rPr>
        <w:t>bre de dos mil veintidó</w:t>
      </w:r>
      <w:r w:rsidR="00F46584" w:rsidRPr="00DF34DA">
        <w:rPr>
          <w:rFonts w:ascii="Palatino Linotype" w:eastAsia="Palatino Linotype" w:hAnsi="Palatino Linotype" w:cs="Palatino Linotype"/>
          <w:b/>
          <w:lang w:eastAsia="es-MX"/>
        </w:rPr>
        <w:t>s</w:t>
      </w:r>
      <w:r w:rsidR="00F46584" w:rsidRPr="00DF34DA">
        <w:rPr>
          <w:rFonts w:ascii="Palatino Linotype" w:eastAsia="Palatino Linotype" w:hAnsi="Palatino Linotype" w:cs="Palatino Linotype"/>
          <w:lang w:eastAsia="es-MX"/>
        </w:rPr>
        <w:t>, la Comisionada Ponente determinó el cierre de instrucción en términos de la fracción VI del artículo 185 de la Ley de Transparencia y Acceso a la Información Pública del Estado de México y Municipios.</w:t>
      </w:r>
    </w:p>
    <w:p w14:paraId="348FF190" w14:textId="77777777" w:rsidR="00FE0AC2" w:rsidRPr="00DF34DA" w:rsidRDefault="0092190D">
      <w:pPr>
        <w:spacing w:line="360" w:lineRule="auto"/>
        <w:jc w:val="both"/>
        <w:rPr>
          <w:rFonts w:ascii="Palatino Linotype" w:eastAsia="Palatino Linotype" w:hAnsi="Palatino Linotype" w:cs="Palatino Linotype"/>
          <w:b/>
        </w:rPr>
      </w:pPr>
      <w:r w:rsidRPr="00DF34DA">
        <w:rPr>
          <w:rFonts w:ascii="Palatino Linotype" w:eastAsia="Palatino Linotype" w:hAnsi="Palatino Linotype" w:cs="Palatino Linotype"/>
          <w:b/>
        </w:rPr>
        <w:t>e</w:t>
      </w:r>
      <w:r w:rsidR="00C3495C" w:rsidRPr="00DF34DA">
        <w:rPr>
          <w:rFonts w:ascii="Palatino Linotype" w:eastAsia="Palatino Linotype" w:hAnsi="Palatino Linotype" w:cs="Palatino Linotype"/>
          <w:b/>
        </w:rPr>
        <w:t xml:space="preserve">. Resolución del Recurso de Revisión. </w:t>
      </w:r>
      <w:r w:rsidR="00C3495C" w:rsidRPr="00DF34DA">
        <w:rPr>
          <w:rFonts w:ascii="Palatino Linotype" w:eastAsia="Palatino Linotype" w:hAnsi="Palatino Linotype" w:cs="Palatino Linotype"/>
        </w:rPr>
        <w:t xml:space="preserve">El </w:t>
      </w:r>
      <w:r w:rsidR="001F740F" w:rsidRPr="00DF34DA">
        <w:rPr>
          <w:rFonts w:ascii="Palatino Linotype" w:eastAsia="Palatino Linotype" w:hAnsi="Palatino Linotype" w:cs="Palatino Linotype"/>
          <w:b/>
        </w:rPr>
        <w:t>siete de dic</w:t>
      </w:r>
      <w:r w:rsidRPr="00DF34DA">
        <w:rPr>
          <w:rFonts w:ascii="Palatino Linotype" w:eastAsia="Palatino Linotype" w:hAnsi="Palatino Linotype" w:cs="Palatino Linotype"/>
          <w:b/>
        </w:rPr>
        <w:t>iembre de dos mil veintidó</w:t>
      </w:r>
      <w:r w:rsidR="00C3495C" w:rsidRPr="00DF34DA">
        <w:rPr>
          <w:rFonts w:ascii="Palatino Linotype" w:eastAsia="Palatino Linotype" w:hAnsi="Palatino Linotype" w:cs="Palatino Linotype"/>
          <w:b/>
        </w:rPr>
        <w:t>s</w:t>
      </w:r>
      <w:r w:rsidR="00C3495C" w:rsidRPr="00DF34DA">
        <w:rPr>
          <w:rFonts w:ascii="Palatino Linotype" w:eastAsia="Palatino Linotype" w:hAnsi="Palatino Linotype" w:cs="Palatino Linotype"/>
        </w:rPr>
        <w:t>, el Pleno del Ins</w:t>
      </w:r>
      <w:r w:rsidRPr="00DF34DA">
        <w:rPr>
          <w:rFonts w:ascii="Palatino Linotype" w:eastAsia="Palatino Linotype" w:hAnsi="Palatino Linotype" w:cs="Palatino Linotype"/>
        </w:rPr>
        <w:t>tituto de Transparencia, Acceso a</w:t>
      </w:r>
      <w:r w:rsidR="00C3495C" w:rsidRPr="00DF34DA">
        <w:rPr>
          <w:rFonts w:ascii="Palatino Linotype" w:eastAsia="Palatino Linotype" w:hAnsi="Palatino Linotype" w:cs="Palatino Linotype"/>
        </w:rPr>
        <w:t xml:space="preserve"> la Información Pública y Protección de Datos Personales del Estado de México</w:t>
      </w:r>
      <w:r w:rsidRPr="00DF34DA">
        <w:rPr>
          <w:rFonts w:ascii="Palatino Linotype" w:eastAsia="Palatino Linotype" w:hAnsi="Palatino Linotype" w:cs="Palatino Linotype"/>
        </w:rPr>
        <w:t xml:space="preserve"> y Municipios, durante la </w:t>
      </w:r>
      <w:r w:rsidRPr="00DF34DA">
        <w:rPr>
          <w:rFonts w:ascii="Palatino Linotype" w:eastAsia="Palatino Linotype" w:hAnsi="Palatino Linotype" w:cs="Palatino Linotype"/>
          <w:b/>
        </w:rPr>
        <w:t>Cuadragésima</w:t>
      </w:r>
      <w:r w:rsidR="00C3495C" w:rsidRPr="00DF34DA">
        <w:rPr>
          <w:rFonts w:ascii="Palatino Linotype" w:eastAsia="Palatino Linotype" w:hAnsi="Palatino Linotype" w:cs="Palatino Linotype"/>
          <w:b/>
        </w:rPr>
        <w:t xml:space="preserve"> </w:t>
      </w:r>
      <w:r w:rsidR="001F740F" w:rsidRPr="00DF34DA">
        <w:rPr>
          <w:rFonts w:ascii="Palatino Linotype" w:eastAsia="Palatino Linotype" w:hAnsi="Palatino Linotype" w:cs="Palatino Linotype"/>
          <w:b/>
        </w:rPr>
        <w:t xml:space="preserve">Cuarta </w:t>
      </w:r>
      <w:r w:rsidR="00C3495C" w:rsidRPr="00DF34DA">
        <w:rPr>
          <w:rFonts w:ascii="Palatino Linotype" w:eastAsia="Palatino Linotype" w:hAnsi="Palatino Linotype" w:cs="Palatino Linotype"/>
          <w:b/>
        </w:rPr>
        <w:t>Sesión Ordinaria</w:t>
      </w:r>
      <w:r w:rsidR="00C3495C" w:rsidRPr="00DF34DA">
        <w:rPr>
          <w:rFonts w:ascii="Palatino Linotype" w:eastAsia="Palatino Linotype" w:hAnsi="Palatino Linotype" w:cs="Palatino Linotype"/>
        </w:rPr>
        <w:t>,</w:t>
      </w:r>
      <w:r w:rsidR="00C75527"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rPr>
        <w:t xml:space="preserve">aprobó por unanimidad de votos, </w:t>
      </w:r>
      <w:r w:rsidR="00C3495C" w:rsidRPr="00DF34DA">
        <w:rPr>
          <w:rFonts w:ascii="Palatino Linotype" w:eastAsia="Palatino Linotype" w:hAnsi="Palatino Linotype" w:cs="Palatino Linotype"/>
        </w:rPr>
        <w:t>la Resolución del Recurso de Revisión, en la cual se determinó lo siguiente:</w:t>
      </w:r>
    </w:p>
    <w:p w14:paraId="1132F336" w14:textId="77777777" w:rsidR="001F740F" w:rsidRPr="00DF34DA" w:rsidRDefault="00C3495C" w:rsidP="001F740F">
      <w:pPr>
        <w:spacing w:before="240" w:after="240" w:line="276" w:lineRule="auto"/>
        <w:ind w:left="567" w:right="616"/>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001F740F" w:rsidRPr="00DF34DA">
        <w:rPr>
          <w:rFonts w:ascii="Palatino Linotype" w:eastAsia="Palatino Linotype" w:hAnsi="Palatino Linotype" w:cs="Palatino Linotype"/>
          <w:i/>
          <w:sz w:val="22"/>
          <w:szCs w:val="22"/>
        </w:rPr>
        <w:t>Primero. Resultan fundados los motivos de inconformidad de la parte Recurrente, en el recurso de revisión 16204/INFOEM/IP/RR/2022, en términos del Considerando Cuarto de la presente resolución.</w:t>
      </w:r>
    </w:p>
    <w:p w14:paraId="6AA9268C" w14:textId="77777777" w:rsidR="00FE0AC2" w:rsidRPr="00DF34DA" w:rsidRDefault="001F740F" w:rsidP="001F740F">
      <w:pPr>
        <w:spacing w:before="240" w:after="240" w:line="276" w:lineRule="auto"/>
        <w:ind w:left="567" w:right="616"/>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xml:space="preserve">Segundo. Se Ordena al Sujeto Obligado dé trámite, vía Sistema de Acceso a la Información Mexiquense (SAIMEX), a la solicitud de acceso a la información pública </w:t>
      </w:r>
      <w:r w:rsidRPr="00DF34DA">
        <w:rPr>
          <w:rFonts w:ascii="Palatino Linotype" w:eastAsia="Palatino Linotype" w:hAnsi="Palatino Linotype" w:cs="Palatino Linotype"/>
          <w:i/>
          <w:sz w:val="22"/>
          <w:szCs w:val="22"/>
        </w:rPr>
        <w:lastRenderedPageBreak/>
        <w:t>00949/ZINACANT/IP/2022, que dio origen al recurso de revisión 16204/INFOEM/IP/RR/2022, en términos del Considerando Cuarto de esta resolución y emita respuesta, debiendo observar las excepciones contenidas en la Ley de Transparencia y Acceso a la Información Pública del Estado de México y Municipios.</w:t>
      </w:r>
      <w:r w:rsidR="00C3495C" w:rsidRPr="00DF34DA">
        <w:rPr>
          <w:rFonts w:ascii="Palatino Linotype" w:eastAsia="Palatino Linotype" w:hAnsi="Palatino Linotype" w:cs="Palatino Linotype"/>
          <w:i/>
          <w:sz w:val="22"/>
          <w:szCs w:val="22"/>
        </w:rPr>
        <w:t xml:space="preserve">” </w:t>
      </w:r>
    </w:p>
    <w:p w14:paraId="7638B115" w14:textId="77777777" w:rsidR="00FE0AC2" w:rsidRPr="00DF34DA" w:rsidRDefault="0092190D">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f</w:t>
      </w:r>
      <w:r w:rsidR="00C3495C" w:rsidRPr="00DF34DA">
        <w:rPr>
          <w:rFonts w:ascii="Palatino Linotype" w:eastAsia="Palatino Linotype" w:hAnsi="Palatino Linotype" w:cs="Palatino Linotype"/>
          <w:b/>
        </w:rPr>
        <w:t>. Notificación de la Resoluci</w:t>
      </w:r>
      <w:r w:rsidRPr="00DF34DA">
        <w:rPr>
          <w:rFonts w:ascii="Palatino Linotype" w:eastAsia="Palatino Linotype" w:hAnsi="Palatino Linotype" w:cs="Palatino Linotype"/>
          <w:b/>
        </w:rPr>
        <w:t xml:space="preserve">ón del Recurso de Revisión </w:t>
      </w:r>
      <w:r w:rsidR="001F740F" w:rsidRPr="00DF34DA">
        <w:rPr>
          <w:rFonts w:ascii="Palatino Linotype" w:eastAsia="Palatino Linotype" w:hAnsi="Palatino Linotype" w:cs="Palatino Linotype"/>
          <w:b/>
        </w:rPr>
        <w:t>16204/INFOEM/IP/RR/2022</w:t>
      </w:r>
      <w:r w:rsidR="00C3495C" w:rsidRPr="00DF34DA">
        <w:rPr>
          <w:rFonts w:ascii="Palatino Linotype" w:eastAsia="Palatino Linotype" w:hAnsi="Palatino Linotype" w:cs="Palatino Linotype"/>
          <w:b/>
        </w:rPr>
        <w:t xml:space="preserve">. </w:t>
      </w:r>
      <w:r w:rsidR="00C3495C" w:rsidRPr="00DF34DA">
        <w:rPr>
          <w:rFonts w:ascii="Palatino Linotype" w:eastAsia="Palatino Linotype" w:hAnsi="Palatino Linotype" w:cs="Palatino Linotype"/>
        </w:rPr>
        <w:t xml:space="preserve">El </w:t>
      </w:r>
      <w:r w:rsidR="001F740F" w:rsidRPr="00DF34DA">
        <w:rPr>
          <w:rFonts w:ascii="Palatino Linotype" w:eastAsia="Palatino Linotype" w:hAnsi="Palatino Linotype" w:cs="Palatino Linotype"/>
          <w:b/>
        </w:rPr>
        <w:t>doce de dic</w:t>
      </w:r>
      <w:r w:rsidRPr="00DF34DA">
        <w:rPr>
          <w:rFonts w:ascii="Palatino Linotype" w:eastAsia="Palatino Linotype" w:hAnsi="Palatino Linotype" w:cs="Palatino Linotype"/>
          <w:b/>
        </w:rPr>
        <w:t>iembre</w:t>
      </w:r>
      <w:r w:rsidR="00C3495C"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de dos mil veintidó</w:t>
      </w:r>
      <w:r w:rsidR="00C3495C" w:rsidRPr="00DF34DA">
        <w:rPr>
          <w:rFonts w:ascii="Palatino Linotype" w:eastAsia="Palatino Linotype" w:hAnsi="Palatino Linotype" w:cs="Palatino Linotype"/>
          <w:b/>
        </w:rPr>
        <w:t>s</w:t>
      </w:r>
      <w:r w:rsidR="00C3495C" w:rsidRPr="00DF34DA">
        <w:rPr>
          <w:rFonts w:ascii="Palatino Linotype" w:eastAsia="Palatino Linotype" w:hAnsi="Palatino Linotype" w:cs="Palatino Linotype"/>
        </w:rPr>
        <w:t xml:space="preserve">, se notificó a las partes la resolución del Medio de Impugnación previamente referido, por medio del Sistema de Acceso a la Información Mexiquense (SAIMEX). </w:t>
      </w:r>
    </w:p>
    <w:p w14:paraId="77EE65DE" w14:textId="77777777" w:rsidR="00FE0AC2" w:rsidRPr="00DF34DA" w:rsidRDefault="00FE0AC2">
      <w:pPr>
        <w:spacing w:line="360" w:lineRule="auto"/>
        <w:jc w:val="both"/>
        <w:rPr>
          <w:rFonts w:ascii="Palatino Linotype" w:eastAsia="Palatino Linotype" w:hAnsi="Palatino Linotype" w:cs="Palatino Linotype"/>
        </w:rPr>
      </w:pPr>
    </w:p>
    <w:p w14:paraId="0FC6DD94" w14:textId="77777777" w:rsidR="00FE0AC2" w:rsidRPr="00DF34DA" w:rsidRDefault="0092190D">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g</w:t>
      </w:r>
      <w:r w:rsidR="00C3495C" w:rsidRPr="00DF34DA">
        <w:rPr>
          <w:rFonts w:ascii="Palatino Linotype" w:eastAsia="Palatino Linotype" w:hAnsi="Palatino Linotype" w:cs="Palatino Linotype"/>
          <w:b/>
        </w:rPr>
        <w:t xml:space="preserve">. Acuerdo de Cumplimiento/Incumplimiento del Recurso de Revisión. </w:t>
      </w:r>
      <w:r w:rsidR="00C3495C" w:rsidRPr="00DF34DA">
        <w:rPr>
          <w:rFonts w:ascii="Palatino Linotype" w:eastAsia="Palatino Linotype" w:hAnsi="Palatino Linotype" w:cs="Palatino Linotype"/>
        </w:rPr>
        <w:t xml:space="preserve">El </w:t>
      </w:r>
      <w:r w:rsidR="001F740F" w:rsidRPr="00DF34DA">
        <w:rPr>
          <w:rFonts w:ascii="Palatino Linotype" w:eastAsia="Palatino Linotype" w:hAnsi="Palatino Linotype" w:cs="Palatino Linotype"/>
          <w:b/>
        </w:rPr>
        <w:t>trece</w:t>
      </w:r>
      <w:r w:rsidR="00C3495C" w:rsidRPr="00DF34DA">
        <w:rPr>
          <w:rFonts w:ascii="Palatino Linotype" w:eastAsia="Palatino Linotype" w:hAnsi="Palatino Linotype" w:cs="Palatino Linotype"/>
          <w:b/>
        </w:rPr>
        <w:t xml:space="preserve"> </w:t>
      </w:r>
      <w:proofErr w:type="gramStart"/>
      <w:r w:rsidR="001F740F" w:rsidRPr="00DF34DA">
        <w:rPr>
          <w:rFonts w:ascii="Palatino Linotype" w:eastAsia="Palatino Linotype" w:hAnsi="Palatino Linotype" w:cs="Palatino Linotype"/>
          <w:b/>
        </w:rPr>
        <w:t>de  enero</w:t>
      </w:r>
      <w:proofErr w:type="gramEnd"/>
      <w:r w:rsidR="00C3495C" w:rsidRPr="00DF34DA">
        <w:rPr>
          <w:rFonts w:ascii="Palatino Linotype" w:eastAsia="Palatino Linotype" w:hAnsi="Palatino Linotype" w:cs="Palatino Linotype"/>
          <w:b/>
        </w:rPr>
        <w:t xml:space="preserve"> </w:t>
      </w:r>
      <w:r w:rsidR="001F740F" w:rsidRPr="00DF34DA">
        <w:rPr>
          <w:rFonts w:ascii="Palatino Linotype" w:eastAsia="Palatino Linotype" w:hAnsi="Palatino Linotype" w:cs="Palatino Linotype"/>
          <w:b/>
        </w:rPr>
        <w:t>de dos mil veintitré</w:t>
      </w:r>
      <w:r w:rsidR="00C3495C" w:rsidRPr="00DF34DA">
        <w:rPr>
          <w:rFonts w:ascii="Palatino Linotype" w:eastAsia="Palatino Linotype" w:hAnsi="Palatino Linotype" w:cs="Palatino Linotype"/>
          <w:b/>
        </w:rPr>
        <w:t>s</w:t>
      </w:r>
      <w:r w:rsidR="00C3495C" w:rsidRPr="00DF34DA">
        <w:rPr>
          <w:rFonts w:ascii="Palatino Linotype" w:eastAsia="Palatino Linotype" w:hAnsi="Palatino Linotype" w:cs="Palatino Linotype"/>
        </w:rPr>
        <w:t>, la Dirección de Cumplimientos de este Instituto notificó a las partes, el acuerdo de incumplimiento a la resolución del recurso de revisión que se resuelve.</w:t>
      </w:r>
    </w:p>
    <w:p w14:paraId="5B2F27D8" w14:textId="77777777" w:rsidR="00FE0AC2" w:rsidRPr="00DF34DA" w:rsidRDefault="00C3495C" w:rsidP="001F740F">
      <w:pPr>
        <w:ind w:left="567"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001F740F" w:rsidRPr="00DF34DA">
        <w:rPr>
          <w:rFonts w:ascii="Palatino Linotype" w:eastAsia="Palatino Linotype" w:hAnsi="Palatino Linotype" w:cs="Palatino Linotype"/>
          <w:i/>
          <w:sz w:val="22"/>
          <w:szCs w:val="22"/>
        </w:rPr>
        <w:t>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 que deriva de la solicitud de información señalada, para su conocimiento y efectos legales procedentes.</w:t>
      </w:r>
      <w:r w:rsidR="0092190D" w:rsidRPr="00DF34DA">
        <w:rPr>
          <w:rFonts w:ascii="Palatino Linotype" w:eastAsia="Palatino Linotype" w:hAnsi="Palatino Linotype" w:cs="Palatino Linotype"/>
          <w:i/>
          <w:sz w:val="22"/>
          <w:szCs w:val="22"/>
        </w:rPr>
        <w:t xml:space="preserve">” </w:t>
      </w:r>
    </w:p>
    <w:p w14:paraId="3B186256" w14:textId="77777777" w:rsidR="00FE0AC2" w:rsidRPr="00DF34DA" w:rsidRDefault="00FE0AC2">
      <w:pPr>
        <w:spacing w:line="276" w:lineRule="auto"/>
        <w:ind w:left="567" w:right="851"/>
        <w:jc w:val="both"/>
        <w:rPr>
          <w:rFonts w:ascii="Palatino Linotype" w:eastAsia="Palatino Linotype" w:hAnsi="Palatino Linotype" w:cs="Palatino Linotype"/>
          <w:i/>
          <w:sz w:val="22"/>
          <w:szCs w:val="22"/>
        </w:rPr>
      </w:pPr>
    </w:p>
    <w:p w14:paraId="3181410E" w14:textId="77777777" w:rsidR="00FE0AC2" w:rsidRPr="00DF34DA" w:rsidRDefault="00C3495C">
      <w:pPr>
        <w:spacing w:line="276" w:lineRule="auto"/>
        <w:ind w:left="567" w:right="851"/>
        <w:jc w:val="both"/>
        <w:rPr>
          <w:rFonts w:ascii="Palatino Linotype" w:eastAsia="Palatino Linotype" w:hAnsi="Palatino Linotype" w:cs="Palatino Linotype"/>
          <w:b/>
          <w:sz w:val="22"/>
          <w:szCs w:val="22"/>
        </w:rPr>
      </w:pPr>
      <w:r w:rsidRPr="00DF34DA">
        <w:rPr>
          <w:rFonts w:ascii="Palatino Linotype" w:eastAsia="Palatino Linotype" w:hAnsi="Palatino Linotype" w:cs="Palatino Linotype"/>
          <w:b/>
          <w:sz w:val="22"/>
          <w:szCs w:val="22"/>
        </w:rPr>
        <w:t>Archivos adjuntos:</w:t>
      </w:r>
    </w:p>
    <w:p w14:paraId="46A97853" w14:textId="77777777" w:rsidR="00FE0AC2" w:rsidRPr="00DF34DA" w:rsidRDefault="00C3495C" w:rsidP="00C75527">
      <w:pPr>
        <w:spacing w:line="360" w:lineRule="auto"/>
        <w:ind w:left="567" w:right="851"/>
        <w:jc w:val="both"/>
        <w:rPr>
          <w:rFonts w:ascii="Palatino Linotype" w:eastAsia="Palatino Linotype" w:hAnsi="Palatino Linotype" w:cs="Palatino Linotype"/>
          <w:sz w:val="22"/>
          <w:szCs w:val="22"/>
        </w:rPr>
      </w:pPr>
      <w:r w:rsidRPr="00DF34DA">
        <w:rPr>
          <w:rFonts w:ascii="Palatino Linotype" w:eastAsia="Palatino Linotype" w:hAnsi="Palatino Linotype" w:cs="Palatino Linotype"/>
          <w:b/>
          <w:i/>
          <w:sz w:val="22"/>
          <w:szCs w:val="22"/>
        </w:rPr>
        <w:t>“</w:t>
      </w:r>
      <w:r w:rsidR="001F740F" w:rsidRPr="00DF34DA">
        <w:rPr>
          <w:rFonts w:ascii="Palatino Linotype" w:eastAsia="Palatino Linotype" w:hAnsi="Palatino Linotype" w:cs="Palatino Linotype"/>
          <w:b/>
          <w:i/>
          <w:sz w:val="22"/>
          <w:szCs w:val="22"/>
        </w:rPr>
        <w:t>AI-RR-16204-2022.pdf</w:t>
      </w:r>
      <w:r w:rsidRPr="00DF34DA">
        <w:rPr>
          <w:rFonts w:ascii="Palatino Linotype" w:eastAsia="Palatino Linotype" w:hAnsi="Palatino Linotype" w:cs="Palatino Linotype"/>
          <w:b/>
          <w:i/>
          <w:sz w:val="22"/>
          <w:szCs w:val="22"/>
        </w:rPr>
        <w:t xml:space="preserve">”: </w:t>
      </w:r>
      <w:r w:rsidRPr="00DF34DA">
        <w:rPr>
          <w:rFonts w:ascii="Palatino Linotype" w:eastAsia="Palatino Linotype" w:hAnsi="Palatino Linotype" w:cs="Palatino Linotype"/>
          <w:sz w:val="22"/>
          <w:szCs w:val="22"/>
        </w:rPr>
        <w:t>Documento de seis fojas que consiste en el acuerdo de incumplimiento.</w:t>
      </w:r>
    </w:p>
    <w:p w14:paraId="6E79D181" w14:textId="77777777" w:rsidR="00C75527" w:rsidRPr="00DF34DA" w:rsidRDefault="00C75527">
      <w:pPr>
        <w:spacing w:line="276" w:lineRule="auto"/>
        <w:ind w:left="567" w:right="851"/>
        <w:jc w:val="both"/>
        <w:rPr>
          <w:rFonts w:ascii="Palatino Linotype" w:eastAsia="Palatino Linotype" w:hAnsi="Palatino Linotype" w:cs="Palatino Linotype"/>
        </w:rPr>
      </w:pPr>
    </w:p>
    <w:p w14:paraId="52673B65" w14:textId="77777777" w:rsidR="00C75527" w:rsidRPr="00DF34DA" w:rsidRDefault="001F740F">
      <w:pPr>
        <w:spacing w:line="276" w:lineRule="auto"/>
        <w:ind w:left="567" w:right="851"/>
        <w:jc w:val="both"/>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lastRenderedPageBreak/>
        <w:drawing>
          <wp:inline distT="0" distB="0" distL="0" distR="0" wp14:anchorId="7E3A4DE0" wp14:editId="1DCA8137">
            <wp:extent cx="4627927" cy="5876925"/>
            <wp:effectExtent l="19050" t="19050" r="203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2759" cy="5883061"/>
                    </a:xfrm>
                    <a:prstGeom prst="rect">
                      <a:avLst/>
                    </a:prstGeom>
                    <a:ln>
                      <a:solidFill>
                        <a:schemeClr val="tx1"/>
                      </a:solidFill>
                    </a:ln>
                  </pic:spPr>
                </pic:pic>
              </a:graphicData>
            </a:graphic>
          </wp:inline>
        </w:drawing>
      </w:r>
    </w:p>
    <w:p w14:paraId="5D5E8382" w14:textId="77777777" w:rsidR="00C75527" w:rsidRPr="00DF34DA" w:rsidRDefault="00C75527">
      <w:pPr>
        <w:spacing w:line="276" w:lineRule="auto"/>
        <w:ind w:left="567" w:right="851"/>
        <w:jc w:val="both"/>
        <w:rPr>
          <w:rFonts w:ascii="Palatino Linotype" w:eastAsia="Palatino Linotype" w:hAnsi="Palatino Linotype" w:cs="Palatino Linotype"/>
          <w:b/>
          <w:i/>
          <w:sz w:val="22"/>
          <w:szCs w:val="22"/>
        </w:rPr>
      </w:pPr>
    </w:p>
    <w:p w14:paraId="0DE7E8B2" w14:textId="77777777" w:rsidR="00FE0AC2" w:rsidRPr="00DF34DA" w:rsidRDefault="00C75527">
      <w:pPr>
        <w:spacing w:line="276" w:lineRule="auto"/>
        <w:ind w:left="567" w:right="851"/>
        <w:jc w:val="both"/>
        <w:rPr>
          <w:rFonts w:ascii="Palatino Linotype" w:eastAsia="Palatino Linotype" w:hAnsi="Palatino Linotype" w:cs="Palatino Linotype"/>
          <w:sz w:val="22"/>
          <w:szCs w:val="22"/>
        </w:rPr>
      </w:pPr>
      <w:r w:rsidRPr="00DF34DA">
        <w:rPr>
          <w:rFonts w:ascii="Palatino Linotype" w:eastAsia="Palatino Linotype" w:hAnsi="Palatino Linotype" w:cs="Palatino Linotype"/>
          <w:b/>
          <w:i/>
          <w:sz w:val="22"/>
          <w:szCs w:val="22"/>
        </w:rPr>
        <w:t xml:space="preserve"> </w:t>
      </w:r>
      <w:r w:rsidR="00C3495C" w:rsidRPr="00DF34DA">
        <w:rPr>
          <w:rFonts w:ascii="Palatino Linotype" w:eastAsia="Palatino Linotype" w:hAnsi="Palatino Linotype" w:cs="Palatino Linotype"/>
          <w:b/>
          <w:i/>
          <w:sz w:val="22"/>
          <w:szCs w:val="22"/>
        </w:rPr>
        <w:t>“</w:t>
      </w:r>
      <w:r w:rsidR="001F740F" w:rsidRPr="00DF34DA">
        <w:rPr>
          <w:rFonts w:ascii="Palatino Linotype" w:eastAsia="Palatino Linotype" w:hAnsi="Palatino Linotype" w:cs="Palatino Linotype"/>
          <w:b/>
          <w:i/>
          <w:sz w:val="22"/>
          <w:szCs w:val="22"/>
        </w:rPr>
        <w:t>OF-SJ-RR-16204-2022.pdf</w:t>
      </w:r>
      <w:r w:rsidR="00C3495C" w:rsidRPr="00DF34DA">
        <w:rPr>
          <w:rFonts w:ascii="Palatino Linotype" w:eastAsia="Palatino Linotype" w:hAnsi="Palatino Linotype" w:cs="Palatino Linotype"/>
          <w:b/>
          <w:i/>
          <w:sz w:val="22"/>
          <w:szCs w:val="22"/>
        </w:rPr>
        <w:t xml:space="preserve">”: </w:t>
      </w:r>
      <w:r w:rsidR="001F740F" w:rsidRPr="00DF34DA">
        <w:rPr>
          <w:rFonts w:ascii="Palatino Linotype" w:eastAsia="Palatino Linotype" w:hAnsi="Palatino Linotype" w:cs="Palatino Linotype"/>
          <w:sz w:val="22"/>
          <w:szCs w:val="22"/>
        </w:rPr>
        <w:t>Oficio INFOEM/STP/DC/0139/2023</w:t>
      </w:r>
      <w:r w:rsidR="00C3495C" w:rsidRPr="00DF34DA">
        <w:rPr>
          <w:rFonts w:ascii="Palatino Linotype" w:eastAsia="Palatino Linotype" w:hAnsi="Palatino Linotype" w:cs="Palatino Linotype"/>
          <w:sz w:val="22"/>
          <w:szCs w:val="22"/>
        </w:rPr>
        <w:t xml:space="preserve">, signado por el </w:t>
      </w:r>
      <w:proofErr w:type="gramStart"/>
      <w:r w:rsidR="00C3495C" w:rsidRPr="00DF34DA">
        <w:rPr>
          <w:rFonts w:ascii="Palatino Linotype" w:eastAsia="Palatino Linotype" w:hAnsi="Palatino Linotype" w:cs="Palatino Linotype"/>
          <w:sz w:val="22"/>
          <w:szCs w:val="22"/>
        </w:rPr>
        <w:t>Director</w:t>
      </w:r>
      <w:proofErr w:type="gramEnd"/>
      <w:r w:rsidR="00C3495C" w:rsidRPr="00DF34DA">
        <w:rPr>
          <w:rFonts w:ascii="Palatino Linotype" w:eastAsia="Palatino Linotype" w:hAnsi="Palatino Linotype" w:cs="Palatino Linotype"/>
          <w:sz w:val="22"/>
          <w:szCs w:val="22"/>
        </w:rPr>
        <w:t xml:space="preserve"> de Cumplimientos, mediante el cual solicita que se notifique al superior jerárquico del responsable de dar cumplimiento a la resolución de mérito, a efecto de que dé cumplimiento a la misma en un periodo no mayor a cinco días hábiles.</w:t>
      </w:r>
    </w:p>
    <w:p w14:paraId="14D6BFAC" w14:textId="77777777" w:rsidR="00C75527" w:rsidRPr="00DF34DA" w:rsidRDefault="00C75527">
      <w:pPr>
        <w:spacing w:line="276" w:lineRule="auto"/>
        <w:ind w:left="567" w:right="851"/>
        <w:jc w:val="both"/>
        <w:rPr>
          <w:rFonts w:ascii="Palatino Linotype" w:eastAsia="Palatino Linotype" w:hAnsi="Palatino Linotype" w:cs="Palatino Linotype"/>
          <w:sz w:val="22"/>
          <w:szCs w:val="22"/>
        </w:rPr>
      </w:pPr>
    </w:p>
    <w:p w14:paraId="0D83D625" w14:textId="77777777" w:rsidR="00C75527" w:rsidRPr="00DF34DA" w:rsidRDefault="001F740F" w:rsidP="001F740F">
      <w:pPr>
        <w:spacing w:line="276" w:lineRule="auto"/>
        <w:ind w:left="567" w:right="851"/>
        <w:jc w:val="center"/>
        <w:rPr>
          <w:rFonts w:ascii="Palatino Linotype" w:eastAsia="Palatino Linotype" w:hAnsi="Palatino Linotype" w:cs="Palatino Linotype"/>
          <w:sz w:val="22"/>
          <w:szCs w:val="22"/>
        </w:rPr>
      </w:pPr>
      <w:r w:rsidRPr="00DF34DA">
        <w:rPr>
          <w:rFonts w:ascii="Palatino Linotype" w:eastAsia="Palatino Linotype" w:hAnsi="Palatino Linotype" w:cs="Palatino Linotype"/>
          <w:noProof/>
          <w:sz w:val="22"/>
          <w:szCs w:val="22"/>
          <w:lang w:eastAsia="es-MX"/>
        </w:rPr>
        <w:lastRenderedPageBreak/>
        <w:drawing>
          <wp:inline distT="0" distB="0" distL="0" distR="0" wp14:anchorId="7CCBD1C0" wp14:editId="323AAA7D">
            <wp:extent cx="4683425" cy="5553075"/>
            <wp:effectExtent l="19050" t="19050" r="222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1007" cy="5562065"/>
                    </a:xfrm>
                    <a:prstGeom prst="rect">
                      <a:avLst/>
                    </a:prstGeom>
                    <a:ln>
                      <a:solidFill>
                        <a:schemeClr val="tx1"/>
                      </a:solidFill>
                    </a:ln>
                  </pic:spPr>
                </pic:pic>
              </a:graphicData>
            </a:graphic>
          </wp:inline>
        </w:drawing>
      </w:r>
    </w:p>
    <w:p w14:paraId="15BB06D0" w14:textId="77777777" w:rsidR="00FE0AC2" w:rsidRPr="00DF34DA" w:rsidRDefault="00FE0AC2" w:rsidP="00C75527">
      <w:pPr>
        <w:spacing w:line="276" w:lineRule="auto"/>
        <w:ind w:left="567" w:right="851"/>
        <w:jc w:val="center"/>
        <w:rPr>
          <w:rFonts w:ascii="Palatino Linotype" w:eastAsia="Palatino Linotype" w:hAnsi="Palatino Linotype" w:cs="Palatino Linotype"/>
          <w:b/>
          <w:i/>
          <w:sz w:val="22"/>
          <w:szCs w:val="22"/>
        </w:rPr>
      </w:pPr>
    </w:p>
    <w:p w14:paraId="430103F9" w14:textId="77777777" w:rsidR="00FE0AC2" w:rsidRPr="00DF34DA" w:rsidRDefault="00FE0AC2">
      <w:pPr>
        <w:spacing w:line="360" w:lineRule="auto"/>
        <w:jc w:val="both"/>
        <w:rPr>
          <w:rFonts w:ascii="Palatino Linotype" w:eastAsia="Palatino Linotype" w:hAnsi="Palatino Linotype" w:cs="Palatino Linotype"/>
        </w:rPr>
      </w:pPr>
    </w:p>
    <w:p w14:paraId="190239F5" w14:textId="77777777" w:rsidR="00286539" w:rsidRPr="00DF34DA" w:rsidRDefault="00286539">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h. Turno a la Contraloría Interna para Imposición de Medida de Apremio. </w:t>
      </w:r>
      <w:r w:rsidRPr="00DF34DA">
        <w:rPr>
          <w:rFonts w:ascii="Palatino Linotype" w:eastAsia="Palatino Linotype" w:hAnsi="Palatino Linotype" w:cs="Palatino Linotype"/>
        </w:rPr>
        <w:t xml:space="preserve">El </w:t>
      </w:r>
      <w:r w:rsidR="001F740F" w:rsidRPr="00DF34DA">
        <w:rPr>
          <w:rFonts w:ascii="Palatino Linotype" w:eastAsia="Palatino Linotype" w:hAnsi="Palatino Linotype" w:cs="Palatino Linotype"/>
          <w:b/>
        </w:rPr>
        <w:t>trece de enero de dos mil veintitré</w:t>
      </w:r>
      <w:r w:rsidRPr="00DF34DA">
        <w:rPr>
          <w:rFonts w:ascii="Palatino Linotype" w:eastAsia="Palatino Linotype" w:hAnsi="Palatino Linotype" w:cs="Palatino Linotype"/>
          <w:b/>
        </w:rPr>
        <w:t>s</w:t>
      </w:r>
      <w:r w:rsidRPr="00DF34DA">
        <w:rPr>
          <w:rFonts w:ascii="Palatino Linotype" w:eastAsia="Palatino Linotype" w:hAnsi="Palatino Linotype" w:cs="Palatino Linotype"/>
        </w:rPr>
        <w:t xml:space="preserve">, el </w:t>
      </w:r>
      <w:proofErr w:type="gramStart"/>
      <w:r w:rsidRPr="00DF34DA">
        <w:rPr>
          <w:rFonts w:ascii="Palatino Linotype" w:eastAsia="Palatino Linotype" w:hAnsi="Palatino Linotype" w:cs="Palatino Linotype"/>
        </w:rPr>
        <w:t>Director</w:t>
      </w:r>
      <w:proofErr w:type="gramEnd"/>
      <w:r w:rsidRPr="00DF34DA">
        <w:rPr>
          <w:rFonts w:ascii="Palatino Linotype" w:eastAsia="Palatino Linotype" w:hAnsi="Palatino Linotype" w:cs="Palatino Linotype"/>
        </w:rPr>
        <w:t xml:space="preserve"> de Cumplimientos de este Instituto remitió el documento electrónico “</w:t>
      </w:r>
      <w:r w:rsidR="001F740F" w:rsidRPr="00DF34DA">
        <w:rPr>
          <w:rFonts w:ascii="Palatino Linotype" w:eastAsia="Palatino Linotype" w:hAnsi="Palatino Linotype" w:cs="Palatino Linotype"/>
          <w:b/>
          <w:i/>
        </w:rPr>
        <w:t>OF-RR-16204-2022.pdf</w:t>
      </w:r>
      <w:r w:rsidRPr="00DF34DA">
        <w:rPr>
          <w:rFonts w:ascii="Palatino Linotype" w:eastAsia="Palatino Linotype" w:hAnsi="Palatino Linotype" w:cs="Palatino Linotype"/>
          <w:b/>
          <w:i/>
        </w:rPr>
        <w:t xml:space="preserve">”, </w:t>
      </w:r>
      <w:r w:rsidRPr="00DF34DA">
        <w:rPr>
          <w:rFonts w:ascii="Palatino Linotype" w:eastAsia="Palatino Linotype" w:hAnsi="Palatino Linotype" w:cs="Palatino Linotype"/>
        </w:rPr>
        <w:t>consiste</w:t>
      </w:r>
      <w:r w:rsidR="001F740F" w:rsidRPr="00DF34DA">
        <w:rPr>
          <w:rFonts w:ascii="Palatino Linotype" w:eastAsia="Palatino Linotype" w:hAnsi="Palatino Linotype" w:cs="Palatino Linotype"/>
        </w:rPr>
        <w:t>nte en el oficio INFOEM/STP/0138/2023</w:t>
      </w:r>
      <w:r w:rsidRPr="00DF34DA">
        <w:rPr>
          <w:rFonts w:ascii="Palatino Linotype" w:eastAsia="Palatino Linotype" w:hAnsi="Palatino Linotype" w:cs="Palatino Linotype"/>
        </w:rPr>
        <w:t xml:space="preserve">, en el cual se hace del conocimiento del Contralor Interno </w:t>
      </w:r>
      <w:r w:rsidRPr="00DF34DA">
        <w:rPr>
          <w:rFonts w:ascii="Palatino Linotype" w:eastAsia="Palatino Linotype" w:hAnsi="Palatino Linotype" w:cs="Palatino Linotype"/>
        </w:rPr>
        <w:lastRenderedPageBreak/>
        <w:t xml:space="preserve">de este Instituto que se emitió un Acuerdo de Incumplimiento para que en uso de sus atribuciones, se impongan al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las medidas de apremio que conforme a derecho procedan. </w:t>
      </w:r>
    </w:p>
    <w:p w14:paraId="05761EF6" w14:textId="77777777" w:rsidR="00286539" w:rsidRPr="00DF34DA" w:rsidRDefault="001F740F" w:rsidP="00286539">
      <w:pPr>
        <w:spacing w:line="360" w:lineRule="auto"/>
        <w:jc w:val="center"/>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drawing>
          <wp:inline distT="0" distB="0" distL="0" distR="0" wp14:anchorId="0FAB3B14" wp14:editId="3706348D">
            <wp:extent cx="4607649" cy="6096000"/>
            <wp:effectExtent l="19050" t="19050" r="2159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292" cy="6103466"/>
                    </a:xfrm>
                    <a:prstGeom prst="rect">
                      <a:avLst/>
                    </a:prstGeom>
                    <a:ln>
                      <a:solidFill>
                        <a:schemeClr val="tx1"/>
                      </a:solidFill>
                    </a:ln>
                  </pic:spPr>
                </pic:pic>
              </a:graphicData>
            </a:graphic>
          </wp:inline>
        </w:drawing>
      </w:r>
    </w:p>
    <w:p w14:paraId="1F8E6443" w14:textId="77777777" w:rsidR="00286539" w:rsidRPr="00DF34DA" w:rsidRDefault="00286539">
      <w:pPr>
        <w:spacing w:line="360" w:lineRule="auto"/>
        <w:jc w:val="both"/>
        <w:rPr>
          <w:rFonts w:ascii="Palatino Linotype" w:eastAsia="Palatino Linotype" w:hAnsi="Palatino Linotype" w:cs="Palatino Linotype"/>
          <w:b/>
        </w:rPr>
      </w:pPr>
    </w:p>
    <w:p w14:paraId="34A92E37"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lastRenderedPageBreak/>
        <w:t xml:space="preserve">5. Interposición del Segundo Recurso de Revisión </w:t>
      </w:r>
      <w:r w:rsidR="001F740F" w:rsidRPr="00DF34DA">
        <w:rPr>
          <w:rFonts w:ascii="Palatino Linotype" w:eastAsia="Palatino Linotype" w:hAnsi="Palatino Linotype" w:cs="Palatino Linotype"/>
          <w:b/>
          <w:sz w:val="22"/>
          <w:szCs w:val="22"/>
        </w:rPr>
        <w:t>16204/INFOEM/ICR-81/IP/RR/2022</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 xml:space="preserve">El </w:t>
      </w:r>
      <w:r w:rsidR="00286539" w:rsidRPr="00DF34DA">
        <w:rPr>
          <w:rFonts w:ascii="Palatino Linotype" w:eastAsia="Palatino Linotype" w:hAnsi="Palatino Linotype" w:cs="Palatino Linotype"/>
          <w:b/>
        </w:rPr>
        <w:t>tres de febrer</w:t>
      </w:r>
      <w:r w:rsidR="00C75527" w:rsidRPr="00DF34DA">
        <w:rPr>
          <w:rFonts w:ascii="Palatino Linotype" w:eastAsia="Palatino Linotype" w:hAnsi="Palatino Linotype" w:cs="Palatino Linotype"/>
          <w:b/>
        </w:rPr>
        <w:t>o</w:t>
      </w:r>
      <w:r w:rsidRPr="00DF34DA">
        <w:rPr>
          <w:rFonts w:ascii="Palatino Linotype" w:eastAsia="Palatino Linotype" w:hAnsi="Palatino Linotype" w:cs="Palatino Linotype"/>
          <w:b/>
        </w:rPr>
        <w:t xml:space="preserve"> de dos mil veintitrés</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la parte</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 xml:space="preserve">Recurrente </w:t>
      </w:r>
      <w:r w:rsidRPr="00DF34DA">
        <w:rPr>
          <w:rFonts w:ascii="Palatino Linotype" w:eastAsia="Palatino Linotype" w:hAnsi="Palatino Linotype" w:cs="Palatino Linotype"/>
        </w:rPr>
        <w:t xml:space="preserve">interpuso Recurso de Revisión en este Instituto, a través del Sistema de Acceso a la Información Mexiquense (SAIMEX), en contra de la falta de respuesta del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en cumplimiento a la resolución referida en el antecedente 4, expresando las siguientes manifestaciones:</w:t>
      </w:r>
    </w:p>
    <w:p w14:paraId="595EBF95" w14:textId="77777777" w:rsidR="00FE0AC2" w:rsidRPr="00DF34DA" w:rsidRDefault="00C3495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DF34DA">
        <w:rPr>
          <w:rFonts w:ascii="Palatino Linotype" w:eastAsia="Palatino Linotype" w:hAnsi="Palatino Linotype" w:cs="Palatino Linotype"/>
          <w:b/>
        </w:rPr>
        <w:t>Acto Impugnado</w:t>
      </w:r>
    </w:p>
    <w:p w14:paraId="22E89B89" w14:textId="77777777" w:rsidR="00FE0AC2" w:rsidRPr="00DF34DA" w:rsidRDefault="00C3495C">
      <w:pPr>
        <w:ind w:left="567" w:right="1013"/>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00286539" w:rsidRPr="00DF34DA">
        <w:rPr>
          <w:rFonts w:ascii="Palatino Linotype" w:eastAsia="Palatino Linotype" w:hAnsi="Palatino Linotype" w:cs="Palatino Linotype"/>
          <w:i/>
          <w:sz w:val="22"/>
          <w:szCs w:val="22"/>
        </w:rPr>
        <w:t>NO ENTREGA INFORMACIÓN</w:t>
      </w:r>
      <w:r w:rsidRPr="00DF34DA">
        <w:rPr>
          <w:rFonts w:ascii="Palatino Linotype" w:eastAsia="Palatino Linotype" w:hAnsi="Palatino Linotype" w:cs="Palatino Linotype"/>
          <w:i/>
          <w:sz w:val="22"/>
          <w:szCs w:val="22"/>
        </w:rPr>
        <w:t>” (Sic.)</w:t>
      </w:r>
    </w:p>
    <w:p w14:paraId="50A39988" w14:textId="77777777" w:rsidR="00FE0AC2" w:rsidRPr="00DF34DA" w:rsidRDefault="00FE0AC2">
      <w:pPr>
        <w:spacing w:line="360" w:lineRule="auto"/>
        <w:ind w:left="567" w:right="567"/>
        <w:jc w:val="both"/>
        <w:rPr>
          <w:rFonts w:ascii="Palatino Linotype" w:eastAsia="Palatino Linotype" w:hAnsi="Palatino Linotype" w:cs="Palatino Linotype"/>
          <w:i/>
        </w:rPr>
      </w:pPr>
    </w:p>
    <w:p w14:paraId="2F45CA2D" w14:textId="77777777" w:rsidR="00FE0AC2" w:rsidRPr="00DF34DA" w:rsidRDefault="00C3495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DF34DA">
        <w:rPr>
          <w:rFonts w:ascii="Palatino Linotype" w:eastAsia="Palatino Linotype" w:hAnsi="Palatino Linotype" w:cs="Palatino Linotype"/>
          <w:b/>
        </w:rPr>
        <w:t>Razones o Motivos de la Inconformidad</w:t>
      </w:r>
    </w:p>
    <w:p w14:paraId="2369FD09" w14:textId="77777777" w:rsidR="00FE0AC2" w:rsidRPr="00DF34DA" w:rsidRDefault="00C3495C">
      <w:pPr>
        <w:spacing w:line="276" w:lineRule="auto"/>
        <w:ind w:left="567" w:right="567"/>
        <w:jc w:val="both"/>
        <w:rPr>
          <w:rFonts w:ascii="Palatino Linotype" w:eastAsia="Palatino Linotype" w:hAnsi="Palatino Linotype" w:cs="Palatino Linotype"/>
          <w:sz w:val="22"/>
          <w:szCs w:val="22"/>
        </w:rPr>
      </w:pPr>
      <w:r w:rsidRPr="00DF34DA">
        <w:rPr>
          <w:rFonts w:ascii="Palatino Linotype" w:eastAsia="Palatino Linotype" w:hAnsi="Palatino Linotype" w:cs="Palatino Linotype"/>
          <w:i/>
          <w:sz w:val="22"/>
          <w:szCs w:val="22"/>
        </w:rPr>
        <w:t>“</w:t>
      </w:r>
      <w:r w:rsidR="00286539" w:rsidRPr="00DF34DA">
        <w:rPr>
          <w:rFonts w:ascii="Palatino Linotype" w:eastAsia="Palatino Linotype" w:hAnsi="Palatino Linotype" w:cs="Palatino Linotype"/>
          <w:i/>
          <w:sz w:val="22"/>
          <w:szCs w:val="22"/>
        </w:rPr>
        <w:t>NO ENTREGA INFORMACIÓN</w:t>
      </w:r>
      <w:r w:rsidRPr="00DF34DA">
        <w:rPr>
          <w:rFonts w:ascii="Palatino Linotype" w:eastAsia="Palatino Linotype" w:hAnsi="Palatino Linotype" w:cs="Palatino Linotype"/>
          <w:i/>
          <w:sz w:val="22"/>
          <w:szCs w:val="22"/>
        </w:rPr>
        <w:t>” (Sic)</w:t>
      </w:r>
    </w:p>
    <w:p w14:paraId="341D1032" w14:textId="77777777" w:rsidR="00FE0AC2" w:rsidRPr="00DF34DA" w:rsidRDefault="00FE0AC2">
      <w:pPr>
        <w:widowControl w:val="0"/>
        <w:spacing w:line="360" w:lineRule="auto"/>
        <w:jc w:val="both"/>
        <w:rPr>
          <w:rFonts w:ascii="Palatino Linotype" w:eastAsia="Palatino Linotype" w:hAnsi="Palatino Linotype" w:cs="Palatino Linotype"/>
          <w:b/>
        </w:rPr>
      </w:pPr>
    </w:p>
    <w:p w14:paraId="5A032468"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6. Trámite del Recurso de Revisión con número </w:t>
      </w:r>
      <w:r w:rsidR="00D65029" w:rsidRPr="00DF34DA">
        <w:rPr>
          <w:rFonts w:ascii="Palatino Linotype" w:eastAsia="Palatino Linotype" w:hAnsi="Palatino Linotype" w:cs="Palatino Linotype"/>
          <w:b/>
        </w:rPr>
        <w:t>16204/INFOEM/ICR-81/IP/RR/2022</w:t>
      </w:r>
      <w:r w:rsidR="001672AF"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b/>
        </w:rPr>
        <w:t>ante el Instituto.</w:t>
      </w:r>
    </w:p>
    <w:p w14:paraId="4598863E" w14:textId="77777777" w:rsidR="00FE0AC2" w:rsidRPr="00DF34DA" w:rsidRDefault="00FE0AC2">
      <w:pPr>
        <w:spacing w:line="360" w:lineRule="auto"/>
        <w:jc w:val="both"/>
        <w:rPr>
          <w:rFonts w:ascii="Palatino Linotype" w:eastAsia="Palatino Linotype" w:hAnsi="Palatino Linotype" w:cs="Palatino Linotype"/>
          <w:b/>
        </w:rPr>
      </w:pPr>
    </w:p>
    <w:p w14:paraId="0762D7E9"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a) Turno del Recurso de Revisión. </w:t>
      </w:r>
      <w:r w:rsidRPr="00DF34DA">
        <w:rPr>
          <w:rFonts w:ascii="Palatino Linotype" w:eastAsia="Palatino Linotype" w:hAnsi="Palatino Linotype" w:cs="Palatino Linotype"/>
        </w:rPr>
        <w:t xml:space="preserve">El </w:t>
      </w:r>
      <w:r w:rsidR="00736880" w:rsidRPr="00DF34DA">
        <w:rPr>
          <w:rFonts w:ascii="Palatino Linotype" w:eastAsia="Palatino Linotype" w:hAnsi="Palatino Linotype" w:cs="Palatino Linotype"/>
          <w:b/>
        </w:rPr>
        <w:t>tres</w:t>
      </w:r>
      <w:r w:rsidRPr="00DF34DA">
        <w:rPr>
          <w:rFonts w:ascii="Palatino Linotype" w:eastAsia="Palatino Linotype" w:hAnsi="Palatino Linotype" w:cs="Palatino Linotype"/>
          <w:b/>
        </w:rPr>
        <w:t xml:space="preserve"> de febrero de dos mil veintitrés</w:t>
      </w:r>
      <w:r w:rsidRPr="00DF34DA">
        <w:rPr>
          <w:rFonts w:ascii="Palatino Linotype" w:eastAsia="Palatino Linotype" w:hAnsi="Palatino Linotype" w:cs="Palatino Linotype"/>
        </w:rPr>
        <w:t xml:space="preserve">, el Sistema de Acceso a la Información Mexiquense (SAIMEX), asignó el número de expediente </w:t>
      </w:r>
      <w:r w:rsidR="00D65029" w:rsidRPr="00DF34DA">
        <w:rPr>
          <w:rFonts w:ascii="Palatino Linotype" w:eastAsia="Palatino Linotype" w:hAnsi="Palatino Linotype" w:cs="Palatino Linotype"/>
          <w:b/>
        </w:rPr>
        <w:t>16204/INFOEM/ICR-81/IP/RR/2022</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 xml:space="preserve">al Medio de Impugnación que nos ocupa, con base en el sistema aprobado por el Pleno de este Organismo Garante y lo turnó a la </w:t>
      </w:r>
      <w:r w:rsidRPr="00DF34DA">
        <w:rPr>
          <w:rFonts w:ascii="Palatino Linotype" w:eastAsia="Palatino Linotype" w:hAnsi="Palatino Linotype" w:cs="Palatino Linotype"/>
          <w:b/>
        </w:rPr>
        <w:t>Comisionada Ponente Guadalupe Ramírez Peña</w:t>
      </w:r>
      <w:r w:rsidRPr="00DF34DA">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7601C1E2" w14:textId="77777777" w:rsidR="00FE0AC2" w:rsidRPr="00DF34DA" w:rsidRDefault="00FE0AC2">
      <w:pPr>
        <w:spacing w:line="360" w:lineRule="auto"/>
        <w:jc w:val="both"/>
        <w:rPr>
          <w:rFonts w:ascii="Palatino Linotype" w:eastAsia="Palatino Linotype" w:hAnsi="Palatino Linotype" w:cs="Palatino Linotype"/>
        </w:rPr>
      </w:pPr>
    </w:p>
    <w:p w14:paraId="3C77FCCE" w14:textId="77777777" w:rsidR="00FE0AC2" w:rsidRPr="00DF34DA" w:rsidRDefault="00C3495C">
      <w:pPr>
        <w:spacing w:line="360" w:lineRule="auto"/>
        <w:jc w:val="both"/>
        <w:rPr>
          <w:rFonts w:ascii="Palatino Linotype" w:eastAsia="Palatino Linotype" w:hAnsi="Palatino Linotype" w:cs="Palatino Linotype"/>
          <w:b/>
        </w:rPr>
      </w:pPr>
      <w:r w:rsidRPr="00DF34DA">
        <w:rPr>
          <w:rFonts w:ascii="Palatino Linotype" w:eastAsia="Palatino Linotype" w:hAnsi="Palatino Linotype" w:cs="Palatino Linotype"/>
          <w:b/>
        </w:rPr>
        <w:t xml:space="preserve">b) Admisión del Recurso de Revisión. </w:t>
      </w:r>
      <w:r w:rsidRPr="00DF34DA">
        <w:rPr>
          <w:rFonts w:ascii="Palatino Linotype" w:eastAsia="Palatino Linotype" w:hAnsi="Palatino Linotype" w:cs="Palatino Linotype"/>
        </w:rPr>
        <w:t xml:space="preserve">El </w:t>
      </w:r>
      <w:r w:rsidR="00736880" w:rsidRPr="00DF34DA">
        <w:rPr>
          <w:rFonts w:ascii="Palatino Linotype" w:eastAsia="Palatino Linotype" w:hAnsi="Palatino Linotype" w:cs="Palatino Linotype"/>
          <w:b/>
        </w:rPr>
        <w:t>nueve de febrer</w:t>
      </w:r>
      <w:r w:rsidRPr="00DF34DA">
        <w:rPr>
          <w:rFonts w:ascii="Palatino Linotype" w:eastAsia="Palatino Linotype" w:hAnsi="Palatino Linotype" w:cs="Palatino Linotype"/>
          <w:b/>
        </w:rPr>
        <w:t>o de dos mil veintitrés</w:t>
      </w:r>
      <w:r w:rsidRPr="00DF34DA">
        <w:rPr>
          <w:rFonts w:ascii="Palatino Linotype" w:eastAsia="Palatino Linotype" w:hAnsi="Palatino Linotype" w:cs="Palatino Linotype"/>
        </w:rPr>
        <w:t>, se acordó la admisión del Recurso de Revisión interpuesto por la parte</w:t>
      </w:r>
      <w:r w:rsidRPr="00DF34DA">
        <w:rPr>
          <w:rFonts w:ascii="Palatino Linotype" w:eastAsia="Palatino Linotype" w:hAnsi="Palatino Linotype" w:cs="Palatino Linotype"/>
          <w:b/>
        </w:rPr>
        <w:t xml:space="preserve"> Recurrente</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rPr>
        <w:lastRenderedPageBreak/>
        <w:t xml:space="preserve">en contra del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DF34DA">
        <w:rPr>
          <w:rFonts w:ascii="Palatino Linotype" w:eastAsia="Palatino Linotype" w:hAnsi="Palatino Linotype" w:cs="Palatino Linotype"/>
          <w:b/>
        </w:rPr>
        <w:t xml:space="preserve"> </w:t>
      </w:r>
    </w:p>
    <w:p w14:paraId="622A2E7F" w14:textId="77777777" w:rsidR="00FE0AC2" w:rsidRPr="00DF34DA" w:rsidRDefault="00FE0AC2">
      <w:pPr>
        <w:spacing w:line="360" w:lineRule="auto"/>
        <w:jc w:val="both"/>
        <w:rPr>
          <w:rFonts w:ascii="Palatino Linotype" w:eastAsia="Palatino Linotype" w:hAnsi="Palatino Linotype" w:cs="Palatino Linotype"/>
          <w:b/>
        </w:rPr>
      </w:pPr>
    </w:p>
    <w:p w14:paraId="074698CE" w14:textId="77777777" w:rsidR="00736880" w:rsidRPr="00DF34DA" w:rsidRDefault="001672AF" w:rsidP="00736880">
      <w:pPr>
        <w:spacing w:line="360" w:lineRule="auto"/>
        <w:jc w:val="both"/>
        <w:rPr>
          <w:rFonts w:ascii="Palatino Linotype" w:eastAsia="Palatino Linotype" w:hAnsi="Palatino Linotype" w:cs="Palatino Linotype"/>
          <w:noProof/>
          <w:lang w:eastAsia="es-MX"/>
        </w:rPr>
      </w:pPr>
      <w:r w:rsidRPr="00DF34DA">
        <w:rPr>
          <w:rFonts w:ascii="Palatino Linotype" w:eastAsia="Palatino Linotype" w:hAnsi="Palatino Linotype" w:cs="Palatino Linotype"/>
          <w:b/>
        </w:rPr>
        <w:t>c)</w:t>
      </w:r>
      <w:r w:rsidR="003B3B3D" w:rsidRPr="00DF34DA">
        <w:rPr>
          <w:rFonts w:ascii="Palatino Linotype" w:eastAsia="Palatino Linotype" w:hAnsi="Palatino Linotype" w:cs="Palatino Linotype"/>
          <w:b/>
        </w:rPr>
        <w:t xml:space="preserve"> </w:t>
      </w:r>
      <w:r w:rsidR="00C3495C" w:rsidRPr="00DF34DA">
        <w:rPr>
          <w:rFonts w:ascii="Palatino Linotype" w:eastAsia="Palatino Linotype" w:hAnsi="Palatino Linotype" w:cs="Palatino Linotype"/>
          <w:b/>
        </w:rPr>
        <w:t xml:space="preserve">Manifestaciones o Informe Justificado. </w:t>
      </w:r>
      <w:r w:rsidR="00C3495C" w:rsidRPr="00DF34DA">
        <w:rPr>
          <w:rFonts w:ascii="Palatino Linotype" w:eastAsia="Palatino Linotype" w:hAnsi="Palatino Linotype" w:cs="Palatino Linotype"/>
        </w:rPr>
        <w:t xml:space="preserve">De las constancias del expediente electrónico del SAIMEX, se observa que </w:t>
      </w:r>
      <w:r w:rsidR="00736880" w:rsidRPr="00DF34DA">
        <w:rPr>
          <w:rFonts w:ascii="Palatino Linotype" w:eastAsia="Palatino Linotype" w:hAnsi="Palatino Linotype" w:cs="Palatino Linotype"/>
          <w:noProof/>
          <w:lang w:eastAsia="es-MX"/>
        </w:rPr>
        <w:t xml:space="preserve">el </w:t>
      </w:r>
      <w:r w:rsidR="00736880" w:rsidRPr="00DF34DA">
        <w:rPr>
          <w:rFonts w:ascii="Palatino Linotype" w:eastAsia="Palatino Linotype" w:hAnsi="Palatino Linotype" w:cs="Palatino Linotype"/>
          <w:b/>
          <w:noProof/>
          <w:lang w:eastAsia="es-MX"/>
        </w:rPr>
        <w:t xml:space="preserve">treinta y uno de marzo de dos mil veintitrés, </w:t>
      </w:r>
      <w:r w:rsidR="00736880" w:rsidRPr="00DF34DA">
        <w:rPr>
          <w:rFonts w:ascii="Palatino Linotype" w:eastAsia="Palatino Linotype" w:hAnsi="Palatino Linotype" w:cs="Palatino Linotype"/>
          <w:noProof/>
          <w:lang w:eastAsia="es-MX"/>
        </w:rPr>
        <w:t>el</w:t>
      </w:r>
      <w:r w:rsidR="00736880" w:rsidRPr="00DF34DA">
        <w:rPr>
          <w:rFonts w:ascii="Palatino Linotype" w:eastAsia="Palatino Linotype" w:hAnsi="Palatino Linotype" w:cs="Palatino Linotype"/>
          <w:b/>
          <w:noProof/>
          <w:lang w:eastAsia="es-MX"/>
        </w:rPr>
        <w:t xml:space="preserve"> Sujeto Obligado </w:t>
      </w:r>
      <w:r w:rsidR="00736880" w:rsidRPr="00DF34DA">
        <w:rPr>
          <w:rFonts w:ascii="Palatino Linotype" w:eastAsia="Palatino Linotype" w:hAnsi="Palatino Linotype" w:cs="Palatino Linotype"/>
          <w:noProof/>
          <w:lang w:eastAsia="es-MX"/>
        </w:rPr>
        <w:t>remitió</w:t>
      </w:r>
      <w:r w:rsidR="00736880" w:rsidRPr="00DF34DA">
        <w:rPr>
          <w:rFonts w:ascii="Palatino Linotype" w:eastAsia="Palatino Linotype" w:hAnsi="Palatino Linotype" w:cs="Palatino Linotype"/>
          <w:b/>
          <w:noProof/>
          <w:lang w:eastAsia="es-MX"/>
        </w:rPr>
        <w:t xml:space="preserve"> </w:t>
      </w:r>
      <w:r w:rsidR="00736880" w:rsidRPr="00DF34DA">
        <w:rPr>
          <w:rFonts w:ascii="Palatino Linotype" w:eastAsia="Palatino Linotype" w:hAnsi="Palatino Linotype" w:cs="Palatino Linotype"/>
          <w:noProof/>
          <w:lang w:eastAsia="es-MX"/>
        </w:rPr>
        <w:t>el</w:t>
      </w:r>
      <w:r w:rsidR="00736880" w:rsidRPr="00DF34DA">
        <w:rPr>
          <w:rFonts w:ascii="Palatino Linotype" w:eastAsia="Palatino Linotype" w:hAnsi="Palatino Linotype" w:cs="Palatino Linotype"/>
          <w:b/>
          <w:noProof/>
          <w:lang w:eastAsia="es-MX"/>
        </w:rPr>
        <w:t xml:space="preserve"> </w:t>
      </w:r>
      <w:r w:rsidR="00736880" w:rsidRPr="00DF34DA">
        <w:rPr>
          <w:rFonts w:ascii="Palatino Linotype" w:eastAsia="Palatino Linotype" w:hAnsi="Palatino Linotype" w:cs="Palatino Linotype"/>
          <w:noProof/>
          <w:lang w:eastAsia="es-MX"/>
        </w:rPr>
        <w:t>archivo electrónico</w:t>
      </w:r>
      <w:r w:rsidR="00736880" w:rsidRPr="00DF34DA">
        <w:rPr>
          <w:rFonts w:ascii="Palatino Linotype" w:eastAsia="Palatino Linotype" w:hAnsi="Palatino Linotype" w:cs="Palatino Linotype"/>
          <w:b/>
          <w:noProof/>
          <w:lang w:eastAsia="es-MX"/>
        </w:rPr>
        <w:t xml:space="preserve"> “</w:t>
      </w:r>
      <w:r w:rsidR="00D65029" w:rsidRPr="00DF34DA">
        <w:rPr>
          <w:rFonts w:ascii="Palatino Linotype" w:eastAsia="Palatino Linotype" w:hAnsi="Palatino Linotype" w:cs="Palatino Linotype"/>
          <w:b/>
          <w:i/>
          <w:noProof/>
          <w:sz w:val="22"/>
          <w:lang w:eastAsia="es-MX"/>
        </w:rPr>
        <w:t>Zinacantepec 59.pdf</w:t>
      </w:r>
      <w:r w:rsidR="00736880" w:rsidRPr="00DF34DA">
        <w:rPr>
          <w:rFonts w:ascii="Palatino Linotype" w:eastAsia="Palatino Linotype" w:hAnsi="Palatino Linotype" w:cs="Palatino Linotype"/>
          <w:b/>
          <w:i/>
          <w:noProof/>
          <w:sz w:val="22"/>
          <w:lang w:eastAsia="es-MX"/>
        </w:rPr>
        <w:t xml:space="preserve">”, </w:t>
      </w:r>
      <w:r w:rsidR="00736880" w:rsidRPr="00DF34DA">
        <w:rPr>
          <w:rFonts w:ascii="Palatino Linotype" w:eastAsia="Palatino Linotype" w:hAnsi="Palatino Linotype" w:cs="Palatino Linotype"/>
          <w:noProof/>
          <w:lang w:eastAsia="es-MX"/>
        </w:rPr>
        <w:t xml:space="preserve">en el cual obra la solicitud de ampliación de plazo formulada por el Titular de la Unidad de Transparencia al Pleno de este Instituto por un periodo de 30 días hábiles, lo anterior en virtud de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es de precisar que una vez analizada esta documentación, se determinó ponerla a la vista de </w:t>
      </w:r>
      <w:r w:rsidR="00736880" w:rsidRPr="00DF34DA">
        <w:rPr>
          <w:rFonts w:ascii="Palatino Linotype" w:eastAsia="Palatino Linotype" w:hAnsi="Palatino Linotype" w:cs="Palatino Linotype"/>
          <w:b/>
          <w:noProof/>
          <w:lang w:eastAsia="es-MX"/>
        </w:rPr>
        <w:t>la parte Recurrente</w:t>
      </w:r>
      <w:r w:rsidR="00736880" w:rsidRPr="00DF34DA">
        <w:rPr>
          <w:rFonts w:ascii="Palatino Linotype" w:eastAsia="Palatino Linotype" w:hAnsi="Palatino Linotype" w:cs="Palatino Linotype"/>
          <w:noProof/>
          <w:lang w:eastAsia="es-MX"/>
        </w:rPr>
        <w:t xml:space="preserve"> mediante acuerdo signado por la Comisionada Ponente, el </w:t>
      </w:r>
      <w:r w:rsidR="00D65029" w:rsidRPr="00DF34DA">
        <w:rPr>
          <w:rFonts w:ascii="Palatino Linotype" w:eastAsia="Palatino Linotype" w:hAnsi="Palatino Linotype" w:cs="Palatino Linotype"/>
          <w:b/>
          <w:noProof/>
          <w:lang w:eastAsia="es-MX"/>
        </w:rPr>
        <w:t>diecisiete</w:t>
      </w:r>
      <w:r w:rsidR="00736880" w:rsidRPr="00DF34DA">
        <w:rPr>
          <w:rFonts w:ascii="Palatino Linotype" w:eastAsia="Palatino Linotype" w:hAnsi="Palatino Linotype" w:cs="Palatino Linotype"/>
          <w:b/>
          <w:noProof/>
          <w:lang w:eastAsia="es-MX"/>
        </w:rPr>
        <w:t xml:space="preserve"> de mayo de dos mil veintitrés</w:t>
      </w:r>
      <w:r w:rsidR="00736880" w:rsidRPr="00DF34DA">
        <w:rPr>
          <w:rFonts w:ascii="Palatino Linotype" w:eastAsia="Palatino Linotype" w:hAnsi="Palatino Linotype" w:cs="Palatino Linotype"/>
          <w:noProof/>
          <w:lang w:eastAsia="es-MX"/>
        </w:rPr>
        <w:t xml:space="preserve">, asimismo, es necesario destacar que el particular fue omiso en emitir pronunciamiento alguno, por lo que se tiene precluido su derecho para tal efecto. </w:t>
      </w:r>
    </w:p>
    <w:p w14:paraId="3A60C212" w14:textId="77777777" w:rsidR="00736880" w:rsidRPr="00DF34DA" w:rsidRDefault="00D65029" w:rsidP="00736880">
      <w:pPr>
        <w:spacing w:line="360" w:lineRule="auto"/>
        <w:jc w:val="both"/>
        <w:rPr>
          <w:rFonts w:ascii="Palatino Linotype" w:eastAsia="Palatino Linotype" w:hAnsi="Palatino Linotype" w:cs="Palatino Linotype"/>
          <w:noProof/>
          <w:lang w:eastAsia="es-MX"/>
        </w:rPr>
      </w:pPr>
      <w:r w:rsidRPr="00DF34DA">
        <w:rPr>
          <w:rFonts w:ascii="Palatino Linotype" w:eastAsia="Palatino Linotype" w:hAnsi="Palatino Linotype" w:cs="Palatino Linotype"/>
          <w:noProof/>
          <w:lang w:eastAsia="es-MX"/>
        </w:rPr>
        <w:lastRenderedPageBreak/>
        <w:drawing>
          <wp:inline distT="0" distB="0" distL="0" distR="0" wp14:anchorId="041AC73D" wp14:editId="125A239D">
            <wp:extent cx="5581015" cy="1958975"/>
            <wp:effectExtent l="19050" t="19050" r="1968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1958975"/>
                    </a:xfrm>
                    <a:prstGeom prst="rect">
                      <a:avLst/>
                    </a:prstGeom>
                    <a:ln>
                      <a:solidFill>
                        <a:schemeClr val="tx1"/>
                      </a:solidFill>
                    </a:ln>
                  </pic:spPr>
                </pic:pic>
              </a:graphicData>
            </a:graphic>
          </wp:inline>
        </w:drawing>
      </w:r>
    </w:p>
    <w:p w14:paraId="2D01FEF6" w14:textId="77777777" w:rsidR="00FE0AC2" w:rsidRPr="00DF34DA" w:rsidRDefault="003B3B3D">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d)</w:t>
      </w:r>
      <w:r w:rsidR="00C3495C" w:rsidRPr="00DF34DA">
        <w:rPr>
          <w:rFonts w:ascii="Palatino Linotype" w:eastAsia="Palatino Linotype" w:hAnsi="Palatino Linotype" w:cs="Palatino Linotype"/>
          <w:b/>
        </w:rPr>
        <w:t xml:space="preserve"> Cierre de instrucción.</w:t>
      </w:r>
      <w:r w:rsidR="00C3495C" w:rsidRPr="00DF34DA">
        <w:rPr>
          <w:rFonts w:ascii="Palatino Linotype" w:eastAsia="Palatino Linotype" w:hAnsi="Palatino Linotype" w:cs="Palatino Linotype"/>
        </w:rPr>
        <w:t xml:space="preserve"> El </w:t>
      </w:r>
      <w:r w:rsidR="00D65029" w:rsidRPr="00DF34DA">
        <w:rPr>
          <w:rFonts w:ascii="Palatino Linotype" w:eastAsia="Palatino Linotype" w:hAnsi="Palatino Linotype" w:cs="Palatino Linotype"/>
          <w:b/>
        </w:rPr>
        <w:t>veintitrés</w:t>
      </w:r>
      <w:r w:rsidR="00736880" w:rsidRPr="00DF34DA">
        <w:rPr>
          <w:rFonts w:ascii="Palatino Linotype" w:eastAsia="Palatino Linotype" w:hAnsi="Palatino Linotype" w:cs="Palatino Linotype"/>
          <w:b/>
        </w:rPr>
        <w:t xml:space="preserve"> de mayo</w:t>
      </w:r>
      <w:r w:rsidR="00C3495C" w:rsidRPr="00DF34DA">
        <w:rPr>
          <w:rFonts w:ascii="Palatino Linotype" w:eastAsia="Palatino Linotype" w:hAnsi="Palatino Linotype" w:cs="Palatino Linotype"/>
          <w:b/>
        </w:rPr>
        <w:t xml:space="preserve"> de dos mil veintitrés</w:t>
      </w:r>
      <w:r w:rsidR="00C3495C" w:rsidRPr="00DF34DA">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409EF5B7" w14:textId="77777777" w:rsidR="00FE0AC2" w:rsidRPr="00DF34DA" w:rsidRDefault="00C3495C">
      <w:pPr>
        <w:pBdr>
          <w:top w:val="nil"/>
          <w:left w:val="nil"/>
          <w:bottom w:val="nil"/>
          <w:right w:val="nil"/>
          <w:between w:val="nil"/>
        </w:pBdr>
        <w:spacing w:before="240" w:after="240" w:line="360" w:lineRule="auto"/>
        <w:jc w:val="both"/>
      </w:pPr>
      <w:r w:rsidRPr="00DF34D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2D4538DC" w14:textId="77777777" w:rsidR="00FE0AC2" w:rsidRPr="00DF34DA" w:rsidRDefault="00C3495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F34DA">
        <w:rPr>
          <w:rFonts w:ascii="Palatino Linotype" w:eastAsia="Palatino Linotype" w:hAnsi="Palatino Linotype" w:cs="Palatino Linotype"/>
          <w:b/>
        </w:rPr>
        <w:t>II. C O N S I D E R A N D O S</w:t>
      </w:r>
    </w:p>
    <w:p w14:paraId="53A31F6B"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Primero. Competencia.</w:t>
      </w:r>
      <w:r w:rsidRPr="00DF34D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DF34DA">
        <w:rPr>
          <w:rFonts w:ascii="Palatino Linotype" w:eastAsia="Palatino Linotype" w:hAnsi="Palatino Linotype" w:cs="Palatino Linotype"/>
          <w:b/>
        </w:rPr>
        <w:t>la parte</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Recurrente</w:t>
      </w:r>
      <w:r w:rsidRPr="00DF34DA">
        <w:rPr>
          <w:rFonts w:ascii="Palatino Linotype" w:eastAsia="Palatino Linotype" w:hAnsi="Palatino Linotype" w:cs="Palatino Linotype"/>
        </w:rPr>
        <w:t xml:space="preserve">, conforme a lo dispuesto en los artículos 6, apartado A de la Constitución Política de los Estados Unidos Mexicanos; 5 párrafos trigésimo, </w:t>
      </w:r>
      <w:r w:rsidRPr="00DF34DA">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3F9415C"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Segundo. Oportunidad y Procedibilidad. </w:t>
      </w:r>
      <w:r w:rsidRPr="00DF34DA">
        <w:rPr>
          <w:rFonts w:ascii="Palatino Linotype" w:eastAsia="Palatino Linotype" w:hAnsi="Palatino Linotype" w:cs="Palatino Linotype"/>
        </w:rPr>
        <w:t>Es de precisar que la</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7C4D3910" w14:textId="77777777" w:rsidR="00FE0AC2" w:rsidRPr="00DF34DA" w:rsidRDefault="00FE0AC2">
      <w:pPr>
        <w:spacing w:line="360" w:lineRule="auto"/>
        <w:jc w:val="both"/>
        <w:rPr>
          <w:rFonts w:ascii="Palatino Linotype" w:eastAsia="Palatino Linotype" w:hAnsi="Palatino Linotype" w:cs="Palatino Linotype"/>
        </w:rPr>
      </w:pPr>
    </w:p>
    <w:p w14:paraId="3993286D" w14:textId="77777777" w:rsidR="00FE0AC2" w:rsidRPr="00DF34DA" w:rsidRDefault="00C3495C">
      <w:pPr>
        <w:spacing w:line="276" w:lineRule="auto"/>
        <w:ind w:left="851" w:right="851"/>
        <w:jc w:val="both"/>
        <w:rPr>
          <w:rFonts w:ascii="Palatino Linotype" w:eastAsia="Palatino Linotype" w:hAnsi="Palatino Linotype" w:cs="Palatino Linotype"/>
          <w:i/>
        </w:rPr>
      </w:pPr>
      <w:r w:rsidRPr="00DF34DA">
        <w:rPr>
          <w:rFonts w:ascii="Palatino Linotype" w:eastAsia="Palatino Linotype" w:hAnsi="Palatino Linotype" w:cs="Palatino Linotype"/>
          <w:i/>
          <w:sz w:val="22"/>
          <w:szCs w:val="22"/>
        </w:rPr>
        <w:t>“</w:t>
      </w:r>
      <w:r w:rsidRPr="00DF34DA">
        <w:rPr>
          <w:rFonts w:ascii="Palatino Linotype" w:eastAsia="Palatino Linotype" w:hAnsi="Palatino Linotype" w:cs="Palatino Linotype"/>
          <w:b/>
          <w:i/>
          <w:sz w:val="22"/>
          <w:szCs w:val="22"/>
        </w:rPr>
        <w:t xml:space="preserve">Artículo 163. </w:t>
      </w:r>
      <w:r w:rsidRPr="00DF34DA">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D82C320" w14:textId="77777777" w:rsidR="00FE0AC2" w:rsidRPr="00DF34DA" w:rsidRDefault="00C3495C">
      <w:pPr>
        <w:spacing w:line="276" w:lineRule="auto"/>
        <w:ind w:left="851" w:right="851"/>
        <w:jc w:val="both"/>
        <w:rPr>
          <w:rFonts w:ascii="Palatino Linotype" w:eastAsia="Palatino Linotype" w:hAnsi="Palatino Linotype" w:cs="Palatino Linotype"/>
          <w:i/>
        </w:rPr>
      </w:pPr>
      <w:r w:rsidRPr="00DF34DA">
        <w:rPr>
          <w:rFonts w:ascii="Palatino Linotype" w:eastAsia="Palatino Linotype" w:hAnsi="Palatino Linotype" w:cs="Palatino Linotype"/>
          <w:i/>
          <w:sz w:val="22"/>
          <w:szCs w:val="22"/>
        </w:rPr>
        <w:t>…</w:t>
      </w:r>
    </w:p>
    <w:p w14:paraId="7C84812E" w14:textId="77777777" w:rsidR="00FE0AC2" w:rsidRPr="00DF34DA" w:rsidRDefault="00C3495C">
      <w:pPr>
        <w:spacing w:line="276" w:lineRule="auto"/>
        <w:ind w:left="851" w:right="851"/>
        <w:jc w:val="both"/>
        <w:rPr>
          <w:rFonts w:ascii="Palatino Linotype" w:eastAsia="Palatino Linotype" w:hAnsi="Palatino Linotype" w:cs="Palatino Linotype"/>
          <w:i/>
        </w:rPr>
      </w:pPr>
      <w:r w:rsidRPr="00DF34DA">
        <w:rPr>
          <w:rFonts w:ascii="Palatino Linotype" w:eastAsia="Palatino Linotype" w:hAnsi="Palatino Linotype" w:cs="Palatino Linotype"/>
          <w:b/>
          <w:i/>
          <w:sz w:val="22"/>
          <w:szCs w:val="22"/>
        </w:rPr>
        <w:t>Artículo 166.</w:t>
      </w:r>
      <w:r w:rsidRPr="00DF34DA">
        <w:rPr>
          <w:rFonts w:ascii="Palatino Linotype" w:eastAsia="Palatino Linotype" w:hAnsi="Palatino Linotype" w:cs="Palatino Linotype"/>
          <w:i/>
          <w:sz w:val="22"/>
          <w:szCs w:val="22"/>
        </w:rPr>
        <w:t xml:space="preserve"> […]</w:t>
      </w:r>
    </w:p>
    <w:p w14:paraId="025CCAC2" w14:textId="77777777" w:rsidR="00FE0AC2" w:rsidRPr="00DF34DA" w:rsidRDefault="00C3495C">
      <w:pPr>
        <w:spacing w:line="276" w:lineRule="auto"/>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3CDB307F" w14:textId="77777777" w:rsidR="00FE0AC2" w:rsidRPr="00DF34DA" w:rsidRDefault="00FE0AC2">
      <w:pPr>
        <w:spacing w:line="276" w:lineRule="auto"/>
        <w:ind w:left="851" w:right="851"/>
        <w:jc w:val="both"/>
        <w:rPr>
          <w:rFonts w:ascii="Palatino Linotype" w:eastAsia="Palatino Linotype" w:hAnsi="Palatino Linotype" w:cs="Palatino Linotype"/>
          <w:i/>
        </w:rPr>
      </w:pPr>
    </w:p>
    <w:p w14:paraId="3FE03E92"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w:t>
      </w:r>
      <w:r w:rsidRPr="00DF34DA">
        <w:rPr>
          <w:rFonts w:ascii="Palatino Linotype" w:eastAsia="Palatino Linotype" w:hAnsi="Palatino Linotype" w:cs="Palatino Linotype"/>
        </w:rPr>
        <w:lastRenderedPageBreak/>
        <w:t>información, esta se considera negada; por lo que a la persona solicitante le asiste el derecho para presentar el recurso de revisión.</w:t>
      </w:r>
    </w:p>
    <w:p w14:paraId="18CD4DFE" w14:textId="77777777" w:rsidR="00FE0AC2" w:rsidRPr="00DF34DA" w:rsidRDefault="00FE0AC2">
      <w:pPr>
        <w:spacing w:line="360" w:lineRule="auto"/>
        <w:jc w:val="both"/>
        <w:rPr>
          <w:rFonts w:ascii="Palatino Linotype" w:eastAsia="Palatino Linotype" w:hAnsi="Palatino Linotype" w:cs="Palatino Linotype"/>
        </w:rPr>
      </w:pPr>
    </w:p>
    <w:p w14:paraId="1735D2C8"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06E3FD67" w14:textId="77777777" w:rsidR="00FE0AC2" w:rsidRPr="00DF34DA" w:rsidRDefault="00FE0AC2">
      <w:pPr>
        <w:spacing w:line="360" w:lineRule="auto"/>
        <w:jc w:val="both"/>
        <w:rPr>
          <w:rFonts w:ascii="Palatino Linotype" w:eastAsia="Palatino Linotype" w:hAnsi="Palatino Linotype" w:cs="Palatino Linotype"/>
        </w:rPr>
      </w:pPr>
    </w:p>
    <w:p w14:paraId="737D1B7A"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Por su parte, el artículo 178 del citado ordenamiento, establece:</w:t>
      </w:r>
    </w:p>
    <w:p w14:paraId="219406F7" w14:textId="77777777" w:rsidR="00FE0AC2" w:rsidRPr="00DF34DA" w:rsidRDefault="00FE0AC2">
      <w:pPr>
        <w:spacing w:line="360" w:lineRule="auto"/>
        <w:jc w:val="both"/>
        <w:rPr>
          <w:rFonts w:ascii="Palatino Linotype" w:eastAsia="Palatino Linotype" w:hAnsi="Palatino Linotype" w:cs="Palatino Linotype"/>
          <w:i/>
        </w:rPr>
      </w:pPr>
    </w:p>
    <w:p w14:paraId="46DBFE15" w14:textId="77777777" w:rsidR="00FE0AC2" w:rsidRPr="00DF34DA" w:rsidRDefault="00C3495C">
      <w:pPr>
        <w:spacing w:line="276" w:lineRule="auto"/>
        <w:ind w:left="567" w:right="616"/>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i/>
          <w:sz w:val="22"/>
          <w:szCs w:val="22"/>
        </w:rPr>
        <w:t>“</w:t>
      </w:r>
      <w:r w:rsidRPr="00DF34DA">
        <w:rPr>
          <w:rFonts w:ascii="Palatino Linotype" w:eastAsia="Palatino Linotype" w:hAnsi="Palatino Linotype" w:cs="Palatino Linotype"/>
          <w:b/>
          <w:i/>
          <w:sz w:val="22"/>
          <w:szCs w:val="22"/>
        </w:rPr>
        <w:t xml:space="preserve">Artículo 178. </w:t>
      </w:r>
      <w:r w:rsidRPr="00DF34D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F34DA">
        <w:rPr>
          <w:rFonts w:ascii="Palatino Linotype" w:eastAsia="Palatino Linotype" w:hAnsi="Palatino Linotype" w:cs="Palatino Linotype"/>
          <w:b/>
          <w:i/>
          <w:sz w:val="22"/>
          <w:szCs w:val="22"/>
        </w:rPr>
        <w:t>.</w:t>
      </w:r>
    </w:p>
    <w:p w14:paraId="00AF48FE" w14:textId="77777777" w:rsidR="00FE0AC2" w:rsidRPr="00DF34DA" w:rsidRDefault="00FE0AC2">
      <w:pPr>
        <w:spacing w:line="276" w:lineRule="auto"/>
        <w:ind w:left="567" w:right="616"/>
        <w:jc w:val="both"/>
        <w:rPr>
          <w:rFonts w:ascii="Palatino Linotype" w:eastAsia="Palatino Linotype" w:hAnsi="Palatino Linotype" w:cs="Palatino Linotype"/>
          <w:b/>
          <w:i/>
          <w:sz w:val="22"/>
          <w:szCs w:val="22"/>
        </w:rPr>
      </w:pPr>
    </w:p>
    <w:p w14:paraId="5F8FF830" w14:textId="77777777" w:rsidR="00FE0AC2" w:rsidRPr="00DF34DA" w:rsidRDefault="00C3495C">
      <w:pPr>
        <w:spacing w:line="276" w:lineRule="auto"/>
        <w:ind w:left="567" w:right="616"/>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rsidRPr="00DF34DA">
        <w:t xml:space="preserve"> </w:t>
      </w:r>
      <w:r w:rsidRPr="00DF34DA">
        <w:rPr>
          <w:rFonts w:ascii="Palatino Linotype" w:eastAsia="Palatino Linotype" w:hAnsi="Palatino Linotype" w:cs="Palatino Linotype"/>
          <w:i/>
          <w:sz w:val="22"/>
          <w:szCs w:val="22"/>
        </w:rPr>
        <w:t>acompañado con el documento que pruebe la fecha en que presentó la solicitud</w:t>
      </w:r>
      <w:r w:rsidRPr="00DF34DA">
        <w:rPr>
          <w:rFonts w:ascii="Palatino Linotype" w:eastAsia="Palatino Linotype" w:hAnsi="Palatino Linotype" w:cs="Palatino Linotype"/>
          <w:b/>
          <w:i/>
          <w:sz w:val="22"/>
          <w:szCs w:val="22"/>
        </w:rPr>
        <w:t>.”</w:t>
      </w:r>
    </w:p>
    <w:p w14:paraId="313120F5" w14:textId="77777777" w:rsidR="00FE0AC2" w:rsidRPr="00DF34DA" w:rsidRDefault="00FE0AC2">
      <w:pPr>
        <w:spacing w:line="360" w:lineRule="auto"/>
        <w:ind w:left="851" w:right="851"/>
        <w:jc w:val="both"/>
        <w:rPr>
          <w:rFonts w:ascii="Palatino Linotype" w:eastAsia="Palatino Linotype" w:hAnsi="Palatino Linotype" w:cs="Palatino Linotype"/>
          <w:i/>
        </w:rPr>
      </w:pPr>
    </w:p>
    <w:p w14:paraId="44CA1BF0"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sidRPr="00DF34DA">
        <w:rPr>
          <w:rFonts w:ascii="Palatino Linotype" w:eastAsia="Palatino Linotype" w:hAnsi="Palatino Linotype" w:cs="Palatino Linotype"/>
          <w:b/>
        </w:rPr>
        <w:t xml:space="preserve">Sujeto Obligado </w:t>
      </w:r>
      <w:r w:rsidRPr="00DF34DA">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DF34DA">
        <w:rPr>
          <w:rFonts w:ascii="Palatino Linotype" w:eastAsia="Palatino Linotype" w:hAnsi="Palatino Linotype" w:cs="Palatino Linotype"/>
          <w:b/>
          <w:u w:val="single"/>
        </w:rPr>
        <w:t>la interposición del recurso de revisión puede ser en cualquier momento.</w:t>
      </w:r>
    </w:p>
    <w:p w14:paraId="189EA43A" w14:textId="77777777" w:rsidR="00FE0AC2" w:rsidRPr="00DF34DA" w:rsidRDefault="00FE0AC2">
      <w:pPr>
        <w:spacing w:line="360" w:lineRule="auto"/>
        <w:jc w:val="both"/>
        <w:rPr>
          <w:rFonts w:ascii="Palatino Linotype" w:eastAsia="Palatino Linotype" w:hAnsi="Palatino Linotype" w:cs="Palatino Linotype"/>
        </w:rPr>
      </w:pPr>
    </w:p>
    <w:p w14:paraId="190EF6FA"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lastRenderedPageBreak/>
        <w:t xml:space="preserve">La negativa ficta constituye una presunción legal, en el entendido de que donde no hubo respuesta por parte del </w:t>
      </w:r>
      <w:r w:rsidRPr="00DF34DA">
        <w:rPr>
          <w:rFonts w:ascii="Palatino Linotype" w:eastAsia="Palatino Linotype" w:hAnsi="Palatino Linotype" w:cs="Palatino Linotype"/>
          <w:b/>
        </w:rPr>
        <w:t xml:space="preserve">Sujeto Obligado </w:t>
      </w:r>
      <w:r w:rsidRPr="00DF34DA">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6E25873F" w14:textId="77777777" w:rsidR="00FE0AC2" w:rsidRPr="00DF34DA" w:rsidRDefault="00FE0AC2">
      <w:pPr>
        <w:spacing w:line="360" w:lineRule="auto"/>
        <w:jc w:val="both"/>
        <w:rPr>
          <w:rFonts w:ascii="Palatino Linotype" w:eastAsia="Palatino Linotype" w:hAnsi="Palatino Linotype" w:cs="Palatino Linotype"/>
        </w:rPr>
      </w:pPr>
    </w:p>
    <w:p w14:paraId="30C25F18"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DF34DA">
        <w:rPr>
          <w:rFonts w:ascii="Palatino Linotype" w:eastAsia="Palatino Linotype" w:hAnsi="Palatino Linotype" w:cs="Palatino Linotype"/>
        </w:rPr>
        <w:t>desechamiento</w:t>
      </w:r>
      <w:proofErr w:type="spellEnd"/>
      <w:r w:rsidRPr="00DF34DA">
        <w:rPr>
          <w:rFonts w:ascii="Palatino Linotype" w:eastAsia="Palatino Linotype" w:hAnsi="Palatino Linotype" w:cs="Palatino Linotype"/>
        </w:rPr>
        <w:t xml:space="preserve"> del mismo.</w:t>
      </w:r>
    </w:p>
    <w:p w14:paraId="2BC6E214" w14:textId="77777777" w:rsidR="00FE0AC2" w:rsidRPr="00DF34DA" w:rsidRDefault="00FE0AC2">
      <w:pPr>
        <w:spacing w:line="360" w:lineRule="auto"/>
        <w:jc w:val="both"/>
        <w:rPr>
          <w:rFonts w:ascii="Palatino Linotype" w:eastAsia="Palatino Linotype" w:hAnsi="Palatino Linotype" w:cs="Palatino Linotype"/>
        </w:rPr>
      </w:pPr>
    </w:p>
    <w:p w14:paraId="07DBE240"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este tiene la posibilidad de impugnar dicha omisión en cualquier tiempo mediante el recurso de revisión y con ello satisfacer su pretensión; postura que ha sido adoptada mediante criterio número 001-15, </w:t>
      </w:r>
      <w:r w:rsidRPr="00DF34DA">
        <w:rPr>
          <w:rFonts w:ascii="Palatino Linotype" w:eastAsia="Palatino Linotype" w:hAnsi="Palatino Linotype" w:cs="Palatino Linotype"/>
        </w:rPr>
        <w:lastRenderedPageBreak/>
        <w:t>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9836195" w14:textId="77777777" w:rsidR="00FE0AC2" w:rsidRPr="00DF34DA" w:rsidRDefault="00FE0AC2">
      <w:pPr>
        <w:spacing w:line="276" w:lineRule="auto"/>
        <w:jc w:val="both"/>
        <w:rPr>
          <w:rFonts w:ascii="Palatino Linotype" w:eastAsia="Palatino Linotype" w:hAnsi="Palatino Linotype" w:cs="Palatino Linotype"/>
          <w:i/>
        </w:rPr>
      </w:pPr>
    </w:p>
    <w:p w14:paraId="60434AAC" w14:textId="77777777" w:rsidR="00FE0AC2" w:rsidRPr="00DF34DA" w:rsidRDefault="00C3495C">
      <w:pPr>
        <w:tabs>
          <w:tab w:val="left" w:pos="1276"/>
        </w:tabs>
        <w:spacing w:line="276" w:lineRule="auto"/>
        <w:ind w:left="567" w:right="616"/>
        <w:jc w:val="both"/>
        <w:rPr>
          <w:rFonts w:ascii="Palatino Linotype" w:eastAsia="Palatino Linotype" w:hAnsi="Palatino Linotype" w:cs="Palatino Linotype"/>
          <w:i/>
        </w:rPr>
      </w:pPr>
      <w:r w:rsidRPr="00DF34DA">
        <w:rPr>
          <w:rFonts w:ascii="Palatino Linotype" w:eastAsia="Palatino Linotype" w:hAnsi="Palatino Linotype" w:cs="Palatino Linotype"/>
          <w:b/>
          <w:i/>
          <w:sz w:val="22"/>
          <w:szCs w:val="22"/>
        </w:rPr>
        <w:t>“CRITERIO 0001-15. NEGATIVA FICTA. PLAZO PARA INTERPONER EL RECURSO DE REVISIÓN TRATÁNDOSE DE</w:t>
      </w:r>
      <w:r w:rsidRPr="00DF34DA">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F34DA">
        <w:rPr>
          <w:rFonts w:ascii="Palatino Linotype" w:eastAsia="Palatino Linotype" w:hAnsi="Palatino Linotype" w:cs="Palatino Linotype"/>
          <w:i/>
        </w:rPr>
        <w:t xml:space="preserve"> </w:t>
      </w:r>
    </w:p>
    <w:p w14:paraId="10949582" w14:textId="77777777" w:rsidR="00FE0AC2" w:rsidRPr="00DF34DA" w:rsidRDefault="00FE0AC2">
      <w:pPr>
        <w:spacing w:line="276" w:lineRule="auto"/>
        <w:ind w:left="851" w:right="851"/>
        <w:jc w:val="both"/>
        <w:rPr>
          <w:rFonts w:ascii="Palatino Linotype" w:eastAsia="Palatino Linotype" w:hAnsi="Palatino Linotype" w:cs="Palatino Linotype"/>
          <w:i/>
        </w:rPr>
      </w:pPr>
    </w:p>
    <w:p w14:paraId="2F385AB8"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FFD0B0E" w14:textId="77777777" w:rsidR="00FE0AC2" w:rsidRPr="00DF34DA" w:rsidRDefault="00C3495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Asimismo, por cuanto hace a la procedibilidad del  recurso de revisión, es de suma importancia señalar que </w:t>
      </w:r>
      <w:r w:rsidRPr="00DF34DA">
        <w:rPr>
          <w:rFonts w:ascii="Palatino Linotype" w:eastAsia="Palatino Linotype" w:hAnsi="Palatino Linotype" w:cs="Palatino Linotype"/>
          <w:b/>
        </w:rPr>
        <w:t>la parte Recurrente</w:t>
      </w:r>
      <w:r w:rsidRPr="00DF34DA">
        <w:rPr>
          <w:rFonts w:ascii="Palatino Linotype" w:eastAsia="Palatino Linotype" w:hAnsi="Palatino Linotype" w:cs="Palatino Linotype"/>
        </w:rPr>
        <w:t xml:space="preserve">, no señaló nombre o seudónimo con el </w:t>
      </w:r>
      <w:r w:rsidRPr="00DF34DA">
        <w:rPr>
          <w:rFonts w:ascii="Palatino Linotype" w:eastAsia="Palatino Linotype" w:hAnsi="Palatino Linotype" w:cs="Palatino Linotype"/>
        </w:rPr>
        <w:lastRenderedPageBreak/>
        <w:t>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9DD321" w14:textId="77777777" w:rsidR="00FE0AC2" w:rsidRPr="00DF34DA" w:rsidRDefault="00C3495C">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6B977EC" w14:textId="77777777" w:rsidR="00080058" w:rsidRPr="00DF34DA" w:rsidRDefault="00080058" w:rsidP="00080058">
      <w:pPr>
        <w:pStyle w:val="NormalWeb"/>
        <w:spacing w:before="240" w:beforeAutospacing="0" w:after="240" w:afterAutospacing="0" w:line="360" w:lineRule="auto"/>
        <w:jc w:val="both"/>
      </w:pPr>
      <w:r w:rsidRPr="00DF34DA">
        <w:rPr>
          <w:rFonts w:ascii="Palatino Linotype" w:hAnsi="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543A77E4" w14:textId="77777777" w:rsidR="00080058" w:rsidRPr="00DF34DA" w:rsidRDefault="00080058" w:rsidP="00080058">
      <w:pPr>
        <w:pStyle w:val="NormalWeb"/>
        <w:spacing w:before="0" w:beforeAutospacing="0" w:after="0" w:afterAutospacing="0"/>
        <w:ind w:left="567" w:right="851"/>
        <w:jc w:val="both"/>
      </w:pPr>
      <w:r w:rsidRPr="00DF34DA">
        <w:rPr>
          <w:rFonts w:ascii="Palatino Linotype" w:hAnsi="Palatino Linotype"/>
          <w:i/>
          <w:iCs/>
          <w:sz w:val="22"/>
          <w:szCs w:val="22"/>
        </w:rPr>
        <w:t>“</w:t>
      </w:r>
      <w:r w:rsidRPr="00DF34DA">
        <w:rPr>
          <w:rFonts w:ascii="Palatino Linotype" w:hAnsi="Palatino Linotype"/>
          <w:b/>
          <w:bCs/>
          <w:i/>
          <w:iCs/>
          <w:sz w:val="22"/>
          <w:szCs w:val="22"/>
        </w:rPr>
        <w:t xml:space="preserve">Artículo 179. </w:t>
      </w:r>
      <w:r w:rsidRPr="00DF34DA">
        <w:rPr>
          <w:rFonts w:ascii="Palatino Linotype" w:hAnsi="Palatino Linotype"/>
          <w:i/>
          <w:iCs/>
          <w:sz w:val="22"/>
          <w:szCs w:val="22"/>
        </w:rPr>
        <w:t>El recurso de revisión es un medio de protección que la Ley otorga a los particulares, para hacer valer su derecho de acceso a la información pública, y procederá en contra de las siguientes causas:</w:t>
      </w:r>
    </w:p>
    <w:p w14:paraId="621659E4" w14:textId="77777777" w:rsidR="00080058" w:rsidRPr="00DF34DA" w:rsidRDefault="00080058" w:rsidP="00080058">
      <w:pPr>
        <w:pStyle w:val="NormalWeb"/>
        <w:spacing w:before="0" w:beforeAutospacing="0" w:after="0" w:afterAutospacing="0"/>
        <w:ind w:left="567" w:right="851"/>
        <w:jc w:val="both"/>
      </w:pPr>
      <w:r w:rsidRPr="00DF34DA">
        <w:rPr>
          <w:rFonts w:ascii="Palatino Linotype" w:hAnsi="Palatino Linotype"/>
          <w:i/>
          <w:iCs/>
        </w:rPr>
        <w:t>…</w:t>
      </w:r>
    </w:p>
    <w:p w14:paraId="0E836788" w14:textId="77777777" w:rsidR="00080058" w:rsidRPr="00DF34DA" w:rsidRDefault="00080058" w:rsidP="00080058">
      <w:pPr>
        <w:pStyle w:val="NormalWeb"/>
        <w:spacing w:before="0" w:beforeAutospacing="0" w:after="0" w:afterAutospacing="0"/>
        <w:ind w:left="567" w:right="851"/>
        <w:jc w:val="both"/>
      </w:pPr>
      <w:r w:rsidRPr="00DF34DA">
        <w:rPr>
          <w:rFonts w:ascii="Palatino Linotype" w:hAnsi="Palatino Linotype"/>
          <w:b/>
          <w:bCs/>
          <w:i/>
          <w:iCs/>
          <w:sz w:val="22"/>
          <w:szCs w:val="22"/>
        </w:rPr>
        <w:t xml:space="preserve">VII. </w:t>
      </w:r>
      <w:r w:rsidRPr="00DF34DA">
        <w:rPr>
          <w:rFonts w:ascii="Palatino Linotype" w:hAnsi="Palatino Linotype"/>
          <w:i/>
          <w:iCs/>
          <w:sz w:val="22"/>
          <w:szCs w:val="22"/>
        </w:rPr>
        <w:t>La falta de respuesta a una solicitud de acceso a la información;</w:t>
      </w:r>
    </w:p>
    <w:p w14:paraId="62278EDE" w14:textId="77777777" w:rsidR="00080058" w:rsidRPr="00DF34DA" w:rsidRDefault="00080058" w:rsidP="00080058">
      <w:pPr>
        <w:pStyle w:val="NormalWeb"/>
        <w:spacing w:before="0" w:beforeAutospacing="0" w:after="0" w:afterAutospacing="0"/>
        <w:ind w:left="567" w:right="851"/>
        <w:jc w:val="both"/>
      </w:pPr>
      <w:r w:rsidRPr="00DF34DA">
        <w:rPr>
          <w:rFonts w:ascii="Palatino Linotype" w:hAnsi="Palatino Linotype"/>
          <w:b/>
          <w:bCs/>
          <w:i/>
          <w:iCs/>
          <w:sz w:val="22"/>
          <w:szCs w:val="22"/>
        </w:rPr>
        <w:t>…</w:t>
      </w:r>
    </w:p>
    <w:p w14:paraId="22A0B8E9" w14:textId="77777777" w:rsidR="00080058" w:rsidRPr="00DF34DA" w:rsidRDefault="00080058" w:rsidP="00080058">
      <w:pPr>
        <w:ind w:left="567"/>
      </w:pPr>
    </w:p>
    <w:p w14:paraId="0AE28975" w14:textId="77777777" w:rsidR="00080058" w:rsidRPr="00DF34DA" w:rsidRDefault="00080058" w:rsidP="00080058">
      <w:pPr>
        <w:pStyle w:val="NormalWeb"/>
        <w:spacing w:before="0" w:beforeAutospacing="0" w:after="0" w:afterAutospacing="0"/>
        <w:ind w:left="567" w:right="851"/>
        <w:jc w:val="both"/>
      </w:pPr>
      <w:r w:rsidRPr="00DF34DA">
        <w:rPr>
          <w:rFonts w:ascii="Palatino Linotype" w:hAnsi="Palatino Linotype"/>
          <w:i/>
          <w:iCs/>
          <w:sz w:val="22"/>
          <w:szCs w:val="22"/>
        </w:rPr>
        <w:t xml:space="preserve">La respuesta que den los sujetos obligados derivada de la resolución a un recurso de revisión que proceda por las causales señaladas en las fracciones IV, </w:t>
      </w:r>
      <w:r w:rsidRPr="00DF34DA">
        <w:rPr>
          <w:rFonts w:ascii="Palatino Linotype" w:hAnsi="Palatino Linotype"/>
          <w:b/>
          <w:bCs/>
          <w:i/>
          <w:iCs/>
          <w:sz w:val="22"/>
          <w:szCs w:val="22"/>
        </w:rPr>
        <w:t>VII,</w:t>
      </w:r>
      <w:r w:rsidRPr="00DF34DA">
        <w:rPr>
          <w:rFonts w:ascii="Palatino Linotype" w:hAnsi="Palatino Linotype"/>
          <w:i/>
          <w:iCs/>
          <w:sz w:val="22"/>
          <w:szCs w:val="22"/>
        </w:rPr>
        <w:t xml:space="preserve"> IX, X, XI y XII es susceptible de ser impugnada de nueva cuenta, mediante recurso de revisión, ante el Instituto.”</w:t>
      </w:r>
    </w:p>
    <w:p w14:paraId="2FBFF392" w14:textId="77777777" w:rsidR="00080058" w:rsidRPr="00DF34DA" w:rsidRDefault="00080058" w:rsidP="00080058">
      <w:pPr>
        <w:pStyle w:val="NormalWeb"/>
        <w:spacing w:before="240" w:beforeAutospacing="0" w:after="240" w:afterAutospacing="0" w:line="360" w:lineRule="auto"/>
        <w:jc w:val="both"/>
      </w:pPr>
      <w:r w:rsidRPr="00DF34DA">
        <w:rPr>
          <w:rFonts w:ascii="Palatino Linotype" w:hAnsi="Palatino Linotype"/>
        </w:rPr>
        <w:t xml:space="preserve">El precepto legal citado, establece como supuesto de procedencia del recurso de revisión, en aquellos casos en que la parte </w:t>
      </w:r>
      <w:r w:rsidRPr="00DF34DA">
        <w:rPr>
          <w:rFonts w:ascii="Palatino Linotype" w:hAnsi="Palatino Linotype"/>
          <w:b/>
          <w:bCs/>
        </w:rPr>
        <w:t xml:space="preserve">Recurrente </w:t>
      </w:r>
      <w:r w:rsidRPr="00DF34DA">
        <w:rPr>
          <w:rFonts w:ascii="Palatino Linotype" w:hAnsi="Palatino Linotype"/>
        </w:rPr>
        <w:t xml:space="preserve">estime negado el acceso a la información por la falta de respuesta por el </w:t>
      </w:r>
      <w:r w:rsidRPr="00DF34DA">
        <w:rPr>
          <w:rFonts w:ascii="Palatino Linotype" w:hAnsi="Palatino Linotype"/>
          <w:b/>
          <w:bCs/>
        </w:rPr>
        <w:t>Sujeto Obligado</w:t>
      </w:r>
      <w:r w:rsidRPr="00DF34DA">
        <w:rPr>
          <w:rFonts w:ascii="Palatino Linotype" w:hAnsi="Palatino Linotype"/>
        </w:rPr>
        <w:t xml:space="preserve">, en este asunto se </w:t>
      </w:r>
      <w:r w:rsidRPr="00DF34DA">
        <w:rPr>
          <w:rFonts w:ascii="Palatino Linotype" w:hAnsi="Palatino Linotype"/>
        </w:rPr>
        <w:lastRenderedPageBreak/>
        <w:t xml:space="preserve">actualiza la hipótesis jurídica citada, en atención a que la parte </w:t>
      </w:r>
      <w:r w:rsidRPr="00DF34DA">
        <w:rPr>
          <w:rFonts w:ascii="Palatino Linotype" w:hAnsi="Palatino Linotype"/>
          <w:b/>
          <w:bCs/>
        </w:rPr>
        <w:t>Recurrente</w:t>
      </w:r>
      <w:r w:rsidRPr="00DF34DA">
        <w:rPr>
          <w:rFonts w:ascii="Palatino Linotype" w:hAnsi="Palatino Linotype"/>
        </w:rPr>
        <w:t xml:space="preserve"> combate falta de trámite por el </w:t>
      </w:r>
      <w:r w:rsidRPr="00DF34DA">
        <w:rPr>
          <w:rFonts w:ascii="Palatino Linotype" w:hAnsi="Palatino Linotype"/>
          <w:b/>
          <w:bCs/>
        </w:rPr>
        <w:t>Sujeto Obligado</w:t>
      </w:r>
      <w:r w:rsidRPr="00DF34DA">
        <w:rPr>
          <w:rFonts w:ascii="Palatino Linotype" w:hAnsi="Palatino Linotype"/>
        </w:rPr>
        <w:t xml:space="preserve"> y expresa motivos de inconformidad en contra de dicha circunstancia.</w:t>
      </w:r>
    </w:p>
    <w:p w14:paraId="71EFE601" w14:textId="77777777" w:rsidR="00FE0AC2" w:rsidRPr="00DF34DA" w:rsidRDefault="00C3495C">
      <w:pPr>
        <w:pBdr>
          <w:top w:val="nil"/>
          <w:left w:val="nil"/>
          <w:bottom w:val="nil"/>
          <w:right w:val="nil"/>
          <w:between w:val="nil"/>
        </w:pBdr>
        <w:spacing w:line="360" w:lineRule="auto"/>
        <w:jc w:val="both"/>
      </w:pPr>
      <w:r w:rsidRPr="00DF34DA">
        <w:rPr>
          <w:rFonts w:ascii="Palatino Linotype" w:eastAsia="Palatino Linotype" w:hAnsi="Palatino Linotype" w:cs="Palatino Linotype"/>
          <w:b/>
        </w:rPr>
        <w:t xml:space="preserve">Tercero. Del estudio de las causas de improcedencia. </w:t>
      </w:r>
      <w:r w:rsidRPr="00DF34DA">
        <w:rPr>
          <w:rFonts w:ascii="Palatino Linotype" w:eastAsia="Palatino Linotype" w:hAnsi="Palatino Linotype" w:cs="Palatino Linotype"/>
        </w:rPr>
        <w:t>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B579686" w14:textId="77777777" w:rsidR="00FE0AC2" w:rsidRPr="00DF34DA" w:rsidRDefault="00FE0AC2">
      <w:pPr>
        <w:spacing w:line="360" w:lineRule="auto"/>
        <w:jc w:val="both"/>
        <w:rPr>
          <w:rFonts w:ascii="Palatino Linotype" w:eastAsia="Palatino Linotype" w:hAnsi="Palatino Linotype" w:cs="Palatino Linotype"/>
          <w:b/>
        </w:rPr>
      </w:pPr>
    </w:p>
    <w:p w14:paraId="0A36445C"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Cuarto. Estudio del asunto. </w:t>
      </w:r>
      <w:r w:rsidRPr="00DF34DA">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EE9414E" w14:textId="77777777" w:rsidR="00FE0AC2" w:rsidRPr="00DF34DA" w:rsidRDefault="00FE0AC2">
      <w:pPr>
        <w:spacing w:line="360" w:lineRule="auto"/>
        <w:jc w:val="both"/>
        <w:rPr>
          <w:rFonts w:ascii="Palatino Linotype" w:eastAsia="Palatino Linotype" w:hAnsi="Palatino Linotype" w:cs="Palatino Linotype"/>
        </w:rPr>
      </w:pPr>
    </w:p>
    <w:p w14:paraId="357B3CE8" w14:textId="77777777" w:rsidR="00FE0AC2" w:rsidRPr="00DF34DA" w:rsidRDefault="00C3495C">
      <w:pPr>
        <w:tabs>
          <w:tab w:val="left" w:pos="709"/>
        </w:tabs>
        <w:ind w:left="851" w:right="85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F34DA">
        <w:rPr>
          <w:rFonts w:ascii="Palatino Linotype" w:eastAsia="Palatino Linotype" w:hAnsi="Palatino Linotype" w:cs="Palatino Linotype"/>
          <w:i/>
          <w:sz w:val="22"/>
          <w:szCs w:val="22"/>
        </w:rPr>
        <w:t xml:space="preserve">, así </w:t>
      </w:r>
      <w:r w:rsidRPr="00DF34DA">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14:paraId="53DC5584" w14:textId="77777777" w:rsidR="00FE0AC2" w:rsidRPr="00DF34DA" w:rsidRDefault="00C3495C">
      <w:pPr>
        <w:tabs>
          <w:tab w:val="left" w:pos="709"/>
        </w:tabs>
        <w:ind w:left="851" w:right="850"/>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6C97C80" w14:textId="77777777" w:rsidR="00FE0AC2" w:rsidRPr="00DF34DA" w:rsidRDefault="00C3495C">
      <w:pPr>
        <w:tabs>
          <w:tab w:val="left" w:pos="709"/>
        </w:tabs>
        <w:ind w:left="851" w:right="85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F34D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ABA0248" w14:textId="77777777" w:rsidR="00FE0AC2" w:rsidRPr="00DF34DA" w:rsidRDefault="00C3495C">
      <w:pPr>
        <w:tabs>
          <w:tab w:val="left" w:pos="709"/>
        </w:tabs>
        <w:ind w:left="851" w:right="85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p>
    <w:p w14:paraId="0CF65E73" w14:textId="77777777" w:rsidR="00FE0AC2" w:rsidRPr="00DF34DA" w:rsidRDefault="00C3495C">
      <w:pPr>
        <w:ind w:left="851" w:right="90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“Artículo 6o.</w:t>
      </w:r>
    </w:p>
    <w:p w14:paraId="62921088" w14:textId="77777777" w:rsidR="00FE0AC2" w:rsidRPr="00DF34DA" w:rsidRDefault="00C3495C">
      <w:pPr>
        <w:ind w:left="851" w:right="90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p>
    <w:p w14:paraId="1891186F"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A. Para el ejercicio del derecho de acceso a la información, la Federación y </w:t>
      </w:r>
      <w:r w:rsidRPr="00DF34DA">
        <w:rPr>
          <w:rFonts w:ascii="Palatino Linotype" w:eastAsia="Palatino Linotype" w:hAnsi="Palatino Linotype" w:cs="Palatino Linotype"/>
          <w:b/>
          <w:i/>
          <w:sz w:val="22"/>
          <w:szCs w:val="22"/>
          <w:u w:val="single"/>
        </w:rPr>
        <w:t>las entidades federativas</w:t>
      </w:r>
      <w:r w:rsidRPr="00DF34DA">
        <w:rPr>
          <w:rFonts w:ascii="Palatino Linotype" w:eastAsia="Palatino Linotype" w:hAnsi="Palatino Linotype" w:cs="Palatino Linotype"/>
          <w:b/>
          <w:i/>
          <w:sz w:val="22"/>
          <w:szCs w:val="22"/>
        </w:rPr>
        <w:t>,</w:t>
      </w:r>
      <w:r w:rsidRPr="00DF34DA">
        <w:rPr>
          <w:rFonts w:ascii="Palatino Linotype" w:eastAsia="Palatino Linotype" w:hAnsi="Palatino Linotype" w:cs="Palatino Linotype"/>
          <w:i/>
          <w:sz w:val="22"/>
          <w:szCs w:val="22"/>
        </w:rPr>
        <w:t xml:space="preserve"> en el ámbito de sus respectivas competencias, se regirán por los siguientes principios y bases:</w:t>
      </w:r>
    </w:p>
    <w:p w14:paraId="11632ACD"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246DB119"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I. </w:t>
      </w:r>
      <w:r w:rsidRPr="00DF34D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F34DA">
        <w:rPr>
          <w:rFonts w:ascii="Palatino Linotype" w:eastAsia="Palatino Linotype" w:hAnsi="Palatino Linotype" w:cs="Palatino Linotype"/>
          <w:i/>
          <w:sz w:val="22"/>
          <w:szCs w:val="22"/>
        </w:rPr>
        <w:t xml:space="preserve"> Ejecutivo, Legislativo </w:t>
      </w:r>
      <w:r w:rsidRPr="00DF34DA">
        <w:rPr>
          <w:rFonts w:ascii="Palatino Linotype" w:eastAsia="Palatino Linotype" w:hAnsi="Palatino Linotype" w:cs="Palatino Linotype"/>
          <w:b/>
          <w:i/>
          <w:sz w:val="22"/>
          <w:szCs w:val="22"/>
          <w:u w:val="single"/>
        </w:rPr>
        <w:t>y Judicial</w:t>
      </w:r>
      <w:r w:rsidRPr="00DF34D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F34DA">
        <w:rPr>
          <w:rFonts w:ascii="Palatino Linotype" w:eastAsia="Palatino Linotype" w:hAnsi="Palatino Linotype" w:cs="Palatino Linotype"/>
          <w:b/>
          <w:i/>
          <w:sz w:val="22"/>
          <w:szCs w:val="22"/>
        </w:rPr>
        <w:t>es pública y sólo podrá ser reservada temporalmente por razones de interés público y seguridad nacional,</w:t>
      </w:r>
      <w:r w:rsidRPr="00DF34D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F2FCF85"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0838E714" w14:textId="77777777" w:rsidR="00FE0AC2" w:rsidRPr="00DF34DA" w:rsidRDefault="00C3495C">
      <w:pPr>
        <w:ind w:left="851" w:right="851"/>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A05A1DE"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151F6C96"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III. </w:t>
      </w:r>
      <w:r w:rsidRPr="00DF34D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F34DA">
        <w:rPr>
          <w:rFonts w:ascii="Palatino Linotype" w:eastAsia="Palatino Linotype" w:hAnsi="Palatino Linotype" w:cs="Palatino Linotype"/>
          <w:i/>
          <w:sz w:val="22"/>
          <w:szCs w:val="22"/>
        </w:rPr>
        <w:t xml:space="preserve"> a sus datos personales o a la rectificación de éstos.</w:t>
      </w:r>
    </w:p>
    <w:p w14:paraId="71956D0A"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0C84FB77"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lastRenderedPageBreak/>
        <w:t xml:space="preserve">IV. </w:t>
      </w:r>
      <w:r w:rsidRPr="00DF34D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4AFCE2F" w14:textId="77777777" w:rsidR="00FE0AC2" w:rsidRPr="00DF34DA" w:rsidRDefault="00FE0AC2">
      <w:pPr>
        <w:ind w:left="851" w:right="851"/>
        <w:jc w:val="both"/>
        <w:rPr>
          <w:rFonts w:ascii="Palatino Linotype" w:eastAsia="Palatino Linotype" w:hAnsi="Palatino Linotype" w:cs="Palatino Linotype"/>
          <w:i/>
          <w:sz w:val="22"/>
          <w:szCs w:val="22"/>
        </w:rPr>
      </w:pPr>
    </w:p>
    <w:p w14:paraId="4785C5A1"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V. </w:t>
      </w:r>
      <w:r w:rsidRPr="00DF34D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FB822F"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58BE36F7"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VI. </w:t>
      </w:r>
      <w:r w:rsidRPr="00DF34D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44F7F2B"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w:t>
      </w:r>
    </w:p>
    <w:p w14:paraId="48CE5B81"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VII. </w:t>
      </w:r>
      <w:r w:rsidRPr="00DF34D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F993743" w14:textId="77777777" w:rsidR="00FE0AC2" w:rsidRPr="00DF34DA" w:rsidRDefault="00FE0AC2">
      <w:pPr>
        <w:ind w:right="851"/>
        <w:jc w:val="both"/>
        <w:rPr>
          <w:rFonts w:ascii="Palatino Linotype" w:eastAsia="Palatino Linotype" w:hAnsi="Palatino Linotype" w:cs="Palatino Linotype"/>
          <w:i/>
          <w:sz w:val="22"/>
          <w:szCs w:val="22"/>
        </w:rPr>
      </w:pPr>
    </w:p>
    <w:p w14:paraId="23E9BF30" w14:textId="77777777" w:rsidR="00FE0AC2" w:rsidRPr="00DF34DA" w:rsidRDefault="00C3495C">
      <w:pPr>
        <w:tabs>
          <w:tab w:val="left" w:pos="709"/>
        </w:tabs>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958509B"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DF34DA">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2C191EAE" w14:textId="77777777" w:rsidR="00FE0AC2" w:rsidRPr="00DF34DA" w:rsidRDefault="00C3495C">
      <w:pPr>
        <w:spacing w:before="240"/>
        <w:ind w:left="709" w:right="76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Pr="00DF34DA">
        <w:rPr>
          <w:rFonts w:ascii="Palatino Linotype" w:eastAsia="Palatino Linotype" w:hAnsi="Palatino Linotype" w:cs="Palatino Linotype"/>
          <w:b/>
          <w:i/>
          <w:sz w:val="22"/>
          <w:szCs w:val="22"/>
        </w:rPr>
        <w:t>Artículo 4</w:t>
      </w:r>
      <w:r w:rsidRPr="00DF34D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ABAC0EA" w14:textId="77777777" w:rsidR="00FE0AC2" w:rsidRPr="00DF34DA" w:rsidRDefault="00C3495C">
      <w:pPr>
        <w:ind w:left="709" w:right="760"/>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87CAB1" w14:textId="77777777" w:rsidR="00FE0AC2" w:rsidRPr="00DF34DA" w:rsidRDefault="00C3495C">
      <w:pPr>
        <w:ind w:left="709" w:right="760"/>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F34DA">
        <w:rPr>
          <w:rFonts w:ascii="Palatino Linotype" w:eastAsia="Palatino Linotype" w:hAnsi="Palatino Linotype" w:cs="Palatino Linotype"/>
          <w:i/>
          <w:sz w:val="22"/>
          <w:szCs w:val="22"/>
        </w:rPr>
        <w:t>.”(</w:t>
      </w:r>
      <w:proofErr w:type="gramEnd"/>
      <w:r w:rsidRPr="00DF34DA">
        <w:rPr>
          <w:rFonts w:ascii="Palatino Linotype" w:eastAsia="Palatino Linotype" w:hAnsi="Palatino Linotype" w:cs="Palatino Linotype"/>
          <w:i/>
          <w:sz w:val="22"/>
          <w:szCs w:val="22"/>
        </w:rPr>
        <w:t>Sic)</w:t>
      </w:r>
    </w:p>
    <w:p w14:paraId="7977C18A" w14:textId="77777777" w:rsidR="00FE0AC2" w:rsidRPr="00DF34DA" w:rsidRDefault="00FE0AC2">
      <w:pPr>
        <w:spacing w:line="360" w:lineRule="auto"/>
        <w:jc w:val="both"/>
        <w:rPr>
          <w:rFonts w:ascii="Palatino Linotype" w:eastAsia="Palatino Linotype" w:hAnsi="Palatino Linotype" w:cs="Palatino Linotype"/>
        </w:rPr>
      </w:pPr>
    </w:p>
    <w:p w14:paraId="0248B1CA"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DF34DA">
        <w:rPr>
          <w:rFonts w:ascii="Palatino Linotype" w:eastAsia="Palatino Linotype" w:hAnsi="Palatino Linotype" w:cs="Palatino Linotype"/>
          <w:b/>
        </w:rPr>
        <w:t>artículo 12</w:t>
      </w:r>
      <w:r w:rsidRPr="00DF34DA">
        <w:rPr>
          <w:rFonts w:ascii="Palatino Linotype" w:eastAsia="Palatino Linotype" w:hAnsi="Palatino Linotype" w:cs="Palatino Linotype"/>
        </w:rPr>
        <w:t xml:space="preserve"> de la Ley de Transparencia y Acceso a la Información Pública del Estado de México y Municipios, el cual a la letra dice:</w:t>
      </w:r>
    </w:p>
    <w:p w14:paraId="39D9402A" w14:textId="77777777" w:rsidR="00FE0AC2" w:rsidRPr="00DF34DA" w:rsidRDefault="00FE0AC2">
      <w:pPr>
        <w:spacing w:line="360" w:lineRule="auto"/>
        <w:jc w:val="both"/>
        <w:rPr>
          <w:rFonts w:ascii="Palatino Linotype" w:eastAsia="Palatino Linotype" w:hAnsi="Palatino Linotype" w:cs="Palatino Linotype"/>
        </w:rPr>
      </w:pPr>
    </w:p>
    <w:p w14:paraId="5E7F646C"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w:t>
      </w:r>
      <w:r w:rsidRPr="00DF34DA">
        <w:rPr>
          <w:rFonts w:ascii="Palatino Linotype" w:eastAsia="Palatino Linotype" w:hAnsi="Palatino Linotype" w:cs="Palatino Linotype"/>
          <w:b/>
          <w:i/>
          <w:sz w:val="22"/>
          <w:szCs w:val="22"/>
        </w:rPr>
        <w:t>Artículo 12</w:t>
      </w:r>
      <w:r w:rsidRPr="00DF34D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3C79EB" w14:textId="77777777" w:rsidR="00FE0AC2" w:rsidRPr="00DF34DA" w:rsidRDefault="00FE0AC2">
      <w:pPr>
        <w:ind w:left="851" w:right="851"/>
        <w:jc w:val="both"/>
        <w:rPr>
          <w:rFonts w:ascii="Palatino Linotype" w:eastAsia="Palatino Linotype" w:hAnsi="Palatino Linotype" w:cs="Palatino Linotype"/>
          <w:i/>
          <w:sz w:val="22"/>
          <w:szCs w:val="22"/>
        </w:rPr>
      </w:pPr>
    </w:p>
    <w:p w14:paraId="231E21C9"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602E7B2" w14:textId="77777777" w:rsidR="00FE0AC2" w:rsidRPr="00DF34DA" w:rsidRDefault="00FE0AC2">
      <w:pPr>
        <w:spacing w:line="360" w:lineRule="auto"/>
        <w:jc w:val="both"/>
        <w:rPr>
          <w:rFonts w:ascii="Palatino Linotype" w:eastAsia="Palatino Linotype" w:hAnsi="Palatino Linotype" w:cs="Palatino Linotype"/>
        </w:rPr>
      </w:pPr>
    </w:p>
    <w:p w14:paraId="487F8309"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F34DA">
        <w:rPr>
          <w:rFonts w:ascii="Palatino Linotype" w:eastAsia="Palatino Linotype" w:hAnsi="Palatino Linotype" w:cs="Palatino Linotype"/>
          <w:i/>
        </w:rPr>
        <w:t>ad hoc</w:t>
      </w:r>
      <w:r w:rsidRPr="00DF34DA">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5ED2D545" w14:textId="77777777" w:rsidR="00FE0AC2" w:rsidRPr="00DF34DA" w:rsidRDefault="00FE0AC2">
      <w:pPr>
        <w:ind w:right="851"/>
        <w:jc w:val="both"/>
        <w:rPr>
          <w:rFonts w:ascii="Palatino Linotype" w:eastAsia="Palatino Linotype" w:hAnsi="Palatino Linotype" w:cs="Palatino Linotype"/>
          <w:b/>
          <w:i/>
          <w:sz w:val="22"/>
          <w:szCs w:val="22"/>
        </w:rPr>
      </w:pPr>
    </w:p>
    <w:p w14:paraId="594CB293" w14:textId="77777777" w:rsidR="00FE0AC2" w:rsidRPr="00DF34DA" w:rsidRDefault="00C3495C">
      <w:pPr>
        <w:ind w:left="851" w:right="851"/>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b/>
          <w:i/>
          <w:sz w:val="22"/>
          <w:szCs w:val="22"/>
        </w:rPr>
        <w:t>03/17</w:t>
      </w:r>
    </w:p>
    <w:p w14:paraId="6E6B8A91" w14:textId="77777777" w:rsidR="00FE0AC2" w:rsidRPr="00DF34DA" w:rsidRDefault="00C3495C">
      <w:pPr>
        <w:ind w:left="851" w:right="851"/>
        <w:jc w:val="both"/>
        <w:rPr>
          <w:rFonts w:ascii="Palatino Linotype" w:eastAsia="Palatino Linotype" w:hAnsi="Palatino Linotype" w:cs="Palatino Linotype"/>
          <w:b/>
          <w:i/>
          <w:sz w:val="22"/>
          <w:szCs w:val="22"/>
        </w:rPr>
      </w:pPr>
      <w:r w:rsidRPr="00DF34DA">
        <w:rPr>
          <w:rFonts w:ascii="Palatino Linotype" w:eastAsia="Palatino Linotype" w:hAnsi="Palatino Linotype" w:cs="Palatino Linotype"/>
          <w:b/>
          <w:i/>
          <w:sz w:val="22"/>
          <w:szCs w:val="22"/>
        </w:rPr>
        <w:t>“NO EXISTE OBLIGACIÓN DE ELABORAR DOCUMENTOS AD HOC PARA ATENDER LAS SOLICITUDES DE ACCESO A LA INFORM ACIÓN.</w:t>
      </w:r>
    </w:p>
    <w:p w14:paraId="2EAFBC5C"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6D9ED9D" w14:textId="77777777" w:rsidR="00FE0AC2" w:rsidRPr="00DF34DA" w:rsidRDefault="00FE0AC2">
      <w:pPr>
        <w:spacing w:line="360" w:lineRule="auto"/>
        <w:jc w:val="both"/>
        <w:rPr>
          <w:rFonts w:ascii="Palatino Linotype" w:eastAsia="Palatino Linotype" w:hAnsi="Palatino Linotype" w:cs="Palatino Linotype"/>
        </w:rPr>
      </w:pPr>
    </w:p>
    <w:p w14:paraId="117D71DC" w14:textId="77777777" w:rsidR="00FE0AC2" w:rsidRPr="00DF34DA" w:rsidRDefault="00C3495C">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Por otra parte, conviene mencionar que la Ley de Transparencia vigente en el Estado de México refiere: </w:t>
      </w:r>
    </w:p>
    <w:p w14:paraId="1485C5E3" w14:textId="77777777" w:rsidR="00FE0AC2" w:rsidRPr="00DF34DA" w:rsidRDefault="00FE0AC2">
      <w:pPr>
        <w:spacing w:line="360" w:lineRule="auto"/>
        <w:jc w:val="both"/>
        <w:rPr>
          <w:rFonts w:ascii="Palatino Linotype" w:eastAsia="Palatino Linotype" w:hAnsi="Palatino Linotype" w:cs="Palatino Linotype"/>
        </w:rPr>
      </w:pPr>
    </w:p>
    <w:p w14:paraId="6B055B72"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“Artículo 18.</w:t>
      </w:r>
      <w:r w:rsidRPr="00DF34DA">
        <w:rPr>
          <w:rFonts w:ascii="Palatino Linotype" w:eastAsia="Palatino Linotype" w:hAnsi="Palatino Linotype" w:cs="Palatino Linotype"/>
          <w:i/>
          <w:sz w:val="22"/>
          <w:szCs w:val="22"/>
        </w:rPr>
        <w:t xml:space="preserve"> </w:t>
      </w:r>
      <w:r w:rsidRPr="00DF34D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DF34DA">
        <w:rPr>
          <w:rFonts w:ascii="Palatino Linotype" w:eastAsia="Palatino Linotype" w:hAnsi="Palatino Linotype" w:cs="Palatino Linotype"/>
          <w:i/>
          <w:sz w:val="22"/>
          <w:szCs w:val="22"/>
        </w:rPr>
        <w:t xml:space="preserve"> y reutilización de la información que generen.</w:t>
      </w:r>
    </w:p>
    <w:p w14:paraId="47921747" w14:textId="77777777" w:rsidR="00FE0AC2" w:rsidRPr="00DF34DA" w:rsidRDefault="00FE0AC2">
      <w:pPr>
        <w:ind w:left="851" w:right="851"/>
        <w:jc w:val="both"/>
        <w:rPr>
          <w:rFonts w:ascii="Palatino Linotype" w:eastAsia="Palatino Linotype" w:hAnsi="Palatino Linotype" w:cs="Palatino Linotype"/>
          <w:b/>
          <w:i/>
          <w:sz w:val="22"/>
          <w:szCs w:val="22"/>
        </w:rPr>
      </w:pPr>
    </w:p>
    <w:p w14:paraId="4A93EA2A"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b/>
          <w:i/>
          <w:sz w:val="22"/>
          <w:szCs w:val="22"/>
        </w:rPr>
        <w:t xml:space="preserve">Artículo 19. </w:t>
      </w:r>
      <w:r w:rsidRPr="00DF34D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DF34DA">
        <w:rPr>
          <w:rFonts w:ascii="Palatino Linotype" w:eastAsia="Palatino Linotype" w:hAnsi="Palatino Linotype" w:cs="Palatino Linotype"/>
          <w:i/>
          <w:sz w:val="22"/>
          <w:szCs w:val="22"/>
        </w:rPr>
        <w:t>.</w:t>
      </w:r>
    </w:p>
    <w:p w14:paraId="278B3243" w14:textId="77777777" w:rsidR="00FE0AC2" w:rsidRPr="00DF34DA" w:rsidRDefault="00FE0AC2">
      <w:pPr>
        <w:ind w:left="851" w:right="851"/>
        <w:jc w:val="both"/>
        <w:rPr>
          <w:rFonts w:ascii="Palatino Linotype" w:eastAsia="Palatino Linotype" w:hAnsi="Palatino Linotype" w:cs="Palatino Linotype"/>
          <w:i/>
          <w:sz w:val="22"/>
          <w:szCs w:val="22"/>
        </w:rPr>
      </w:pPr>
    </w:p>
    <w:p w14:paraId="2214087D"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5965635" w14:textId="77777777" w:rsidR="00FE0AC2" w:rsidRPr="00DF34DA" w:rsidRDefault="00FE0AC2">
      <w:pPr>
        <w:ind w:left="851" w:right="851"/>
        <w:jc w:val="both"/>
        <w:rPr>
          <w:rFonts w:ascii="Palatino Linotype" w:eastAsia="Palatino Linotype" w:hAnsi="Palatino Linotype" w:cs="Palatino Linotype"/>
          <w:i/>
          <w:sz w:val="22"/>
          <w:szCs w:val="22"/>
        </w:rPr>
      </w:pPr>
    </w:p>
    <w:p w14:paraId="2376354D"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8E7A32B" w14:textId="77777777" w:rsidR="00FE0AC2" w:rsidRPr="00DF34DA" w:rsidRDefault="00FE0AC2">
      <w:pPr>
        <w:ind w:left="851" w:right="851"/>
        <w:jc w:val="both"/>
        <w:rPr>
          <w:rFonts w:ascii="Palatino Linotype" w:eastAsia="Palatino Linotype" w:hAnsi="Palatino Linotype" w:cs="Palatino Linotype"/>
          <w:i/>
          <w:sz w:val="22"/>
          <w:szCs w:val="22"/>
        </w:rPr>
      </w:pPr>
    </w:p>
    <w:p w14:paraId="396B5415" w14:textId="77777777" w:rsidR="00FE0AC2" w:rsidRPr="00DF34DA" w:rsidRDefault="00C3495C">
      <w:pPr>
        <w:ind w:left="851"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(Énfasis añadido)</w:t>
      </w:r>
    </w:p>
    <w:p w14:paraId="65856A97"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A570F34"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w:t>
      </w:r>
      <w:r w:rsidRPr="00DF34DA">
        <w:rPr>
          <w:rFonts w:ascii="Palatino Linotype" w:eastAsia="Palatino Linotype" w:hAnsi="Palatino Linotype" w:cs="Palatino Linotype"/>
        </w:rPr>
        <w:lastRenderedPageBreak/>
        <w:t xml:space="preserve">saber: expedientes, reportes, estudios, actas, resoluciones, oficios, correspondencia, acuerdos, directivas, directrices, circulares, contratos, convenios, instructivos, notas, memorandos, estadísticas o bien, </w:t>
      </w:r>
      <w:r w:rsidRPr="00DF34DA">
        <w:rPr>
          <w:rFonts w:ascii="Palatino Linotype" w:eastAsia="Palatino Linotype" w:hAnsi="Palatino Linotype" w:cs="Palatino Linotype"/>
          <w:b/>
        </w:rPr>
        <w:t>cualquier otro registro que documente el ejercicio de las facultades, funciones, obligaciones y competencias de los Sujetos Obligados</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los que, podrán estar en cualquier medio</w:t>
      </w:r>
      <w:r w:rsidRPr="00DF34DA">
        <w:rPr>
          <w:rFonts w:ascii="Palatino Linotype" w:eastAsia="Palatino Linotype" w:hAnsi="Palatino Linotype" w:cs="Palatino Linotype"/>
        </w:rPr>
        <w:t xml:space="preserve">, sea escrito, impreso, sonoro, visual, </w:t>
      </w:r>
      <w:r w:rsidRPr="00DF34DA">
        <w:rPr>
          <w:rFonts w:ascii="Palatino Linotype" w:eastAsia="Palatino Linotype" w:hAnsi="Palatino Linotype" w:cs="Palatino Linotype"/>
          <w:b/>
        </w:rPr>
        <w:t>electrónico</w:t>
      </w:r>
      <w:r w:rsidRPr="00DF34DA">
        <w:rPr>
          <w:rFonts w:ascii="Palatino Linotype" w:eastAsia="Palatino Linotype" w:hAnsi="Palatino Linotype" w:cs="Palatino Linotype"/>
        </w:rPr>
        <w:t xml:space="preserve">, informático u holográfico, esto es, </w:t>
      </w:r>
      <w:r w:rsidRPr="00DF34DA">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EF0A65" w14:textId="77777777" w:rsidR="00FE0AC2" w:rsidRPr="00DF34DA" w:rsidRDefault="00C3495C">
      <w:pPr>
        <w:spacing w:before="280" w:after="28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De ahí que 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F34DA">
        <w:rPr>
          <w:rFonts w:ascii="Palatino Linotype" w:eastAsia="Palatino Linotype" w:hAnsi="Palatino Linotype" w:cs="Palatino Linotype"/>
          <w:vertAlign w:val="superscript"/>
        </w:rPr>
        <w:footnoteReference w:id="1"/>
      </w:r>
      <w:r w:rsidRPr="00DF34DA">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sidRPr="00DF34DA">
        <w:rPr>
          <w:rFonts w:ascii="Palatino Linotype" w:eastAsia="Palatino Linotype" w:hAnsi="Palatino Linotype" w:cs="Palatino Linotype"/>
        </w:rPr>
        <w:lastRenderedPageBreak/>
        <w:t>actividades que llevan a cabo los Sujetos Obligados</w:t>
      </w:r>
      <w:r w:rsidRPr="00DF34DA">
        <w:rPr>
          <w:rFonts w:ascii="Palatino Linotype" w:eastAsia="Palatino Linotype" w:hAnsi="Palatino Linotype" w:cs="Palatino Linotype"/>
          <w:vertAlign w:val="superscript"/>
        </w:rPr>
        <w:footnoteReference w:id="2"/>
      </w:r>
      <w:r w:rsidRPr="00DF34D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556E89A0" w14:textId="77777777" w:rsidR="00FE0AC2" w:rsidRPr="00DF34DA" w:rsidRDefault="00C3495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En este sentido, es conveniente recordar y analizar las constancias que obran en el expediente electrónico para efecto de determinar si hubo una violación al derecho de acceso a la información pública del particular.</w:t>
      </w:r>
    </w:p>
    <w:p w14:paraId="0CA29D2A" w14:textId="77777777" w:rsidR="00D65029" w:rsidRPr="00DF34DA" w:rsidRDefault="00C3495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Precisado lo anterior, conviene señalar que el particular requirió al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lo siguiente:</w:t>
      </w:r>
    </w:p>
    <w:p w14:paraId="55740629" w14:textId="77777777" w:rsidR="00D65029" w:rsidRPr="00DF34DA" w:rsidRDefault="00D65029">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p>
    <w:p w14:paraId="5F1D2BAF" w14:textId="77777777" w:rsidR="00C1472C" w:rsidRPr="00DF34DA" w:rsidRDefault="00D65029" w:rsidP="00D65029">
      <w:pPr>
        <w:pStyle w:val="Prrafodelista"/>
        <w:numPr>
          <w:ilvl w:val="0"/>
          <w:numId w:val="22"/>
        </w:numPr>
        <w:tabs>
          <w:tab w:val="left" w:pos="4962"/>
        </w:tabs>
        <w:spacing w:line="360" w:lineRule="auto"/>
        <w:ind w:left="567" w:right="851" w:hanging="141"/>
        <w:jc w:val="both"/>
        <w:rPr>
          <w:rFonts w:ascii="Palatino Linotype" w:eastAsia="Palatino Linotype" w:hAnsi="Palatino Linotype" w:cs="Palatino Linotype"/>
          <w:b/>
        </w:rPr>
      </w:pPr>
      <w:r w:rsidRPr="00DF34DA">
        <w:rPr>
          <w:rFonts w:ascii="Palatino Linotype" w:eastAsia="Palatino Linotype" w:hAnsi="Palatino Linotype" w:cs="Palatino Linotype"/>
          <w:b/>
        </w:rPr>
        <w:t xml:space="preserve">Copia de todos </w:t>
      </w:r>
      <w:r w:rsidRPr="00DF34DA">
        <w:rPr>
          <w:rFonts w:ascii="Palatino Linotype" w:eastAsia="Palatino Linotype" w:hAnsi="Palatino Linotype" w:cs="Palatino Linotype"/>
          <w:b/>
          <w:u w:val="single"/>
        </w:rPr>
        <w:t>los convenios sin juicio de la materia laboral</w:t>
      </w:r>
      <w:r w:rsidRPr="00DF34DA">
        <w:rPr>
          <w:rFonts w:ascii="Palatino Linotype" w:eastAsia="Palatino Linotype" w:hAnsi="Palatino Linotype" w:cs="Palatino Linotype"/>
          <w:b/>
        </w:rPr>
        <w:t xml:space="preserve"> emitidos durante el año 2022.</w:t>
      </w:r>
    </w:p>
    <w:p w14:paraId="7D21BBC7" w14:textId="77777777" w:rsidR="00D65029" w:rsidRPr="00DF34DA" w:rsidRDefault="00D65029">
      <w:pPr>
        <w:tabs>
          <w:tab w:val="left" w:pos="4962"/>
        </w:tabs>
        <w:spacing w:line="360" w:lineRule="auto"/>
        <w:jc w:val="both"/>
        <w:rPr>
          <w:rFonts w:ascii="Palatino Linotype" w:eastAsia="Palatino Linotype" w:hAnsi="Palatino Linotype" w:cs="Palatino Linotype"/>
          <w:b/>
        </w:rPr>
      </w:pPr>
    </w:p>
    <w:p w14:paraId="122DAE04" w14:textId="77777777" w:rsidR="00FE0AC2" w:rsidRPr="00DF34DA" w:rsidRDefault="00C3495C">
      <w:pPr>
        <w:tabs>
          <w:tab w:val="left" w:pos="4962"/>
        </w:tabs>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Ante la falta de respuesta del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la parte</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Recurrente</w:t>
      </w:r>
      <w:r w:rsidRPr="00DF34DA">
        <w:rPr>
          <w:rFonts w:ascii="Palatino Linotype" w:eastAsia="Palatino Linotype" w:hAnsi="Palatino Linotype" w:cs="Palatino Linotype"/>
        </w:rPr>
        <w:t xml:space="preserve">, justamente se inconformó por la negativa de no entregar la información requerida, lo cual actualiza el supuesto previsto en el artículo 179, fracción VII, de la Ley de Transparencia y Acceso a la Información Pública del Estado de México y Municipios. </w:t>
      </w:r>
    </w:p>
    <w:p w14:paraId="7D799881" w14:textId="77777777" w:rsidR="00C1472C" w:rsidRPr="00DF34DA" w:rsidRDefault="00C1472C">
      <w:pPr>
        <w:tabs>
          <w:tab w:val="left" w:pos="4962"/>
        </w:tabs>
        <w:spacing w:line="360" w:lineRule="auto"/>
        <w:jc w:val="both"/>
        <w:rPr>
          <w:rFonts w:ascii="Palatino Linotype" w:eastAsia="Palatino Linotype" w:hAnsi="Palatino Linotype" w:cs="Palatino Linotype"/>
        </w:rPr>
      </w:pPr>
    </w:p>
    <w:p w14:paraId="3CDC90E3" w14:textId="77777777" w:rsidR="00C1472C" w:rsidRPr="00DF34DA" w:rsidRDefault="00C1472C" w:rsidP="00C1472C">
      <w:pPr>
        <w:tabs>
          <w:tab w:val="left" w:pos="4962"/>
        </w:tabs>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Así las cosas, una vez admitido y notificado el Recurso de Revisión a las partes, se tiene que 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remitió su informe justificado mediante el archivo electrónico </w:t>
      </w:r>
      <w:r w:rsidR="00D65029" w:rsidRPr="00DF34DA">
        <w:rPr>
          <w:rFonts w:ascii="Palatino Linotype" w:eastAsia="Palatino Linotype" w:hAnsi="Palatino Linotype" w:cs="Palatino Linotype"/>
          <w:b/>
          <w:i/>
        </w:rPr>
        <w:t>“Zinacantepec 59.pdf</w:t>
      </w:r>
      <w:r w:rsidRPr="00DF34DA">
        <w:rPr>
          <w:rFonts w:ascii="Palatino Linotype" w:eastAsia="Palatino Linotype" w:hAnsi="Palatino Linotype" w:cs="Palatino Linotype"/>
          <w:b/>
          <w:i/>
        </w:rPr>
        <w:t xml:space="preserve">”, </w:t>
      </w:r>
      <w:r w:rsidRPr="00DF34DA">
        <w:rPr>
          <w:rFonts w:ascii="Palatino Linotype" w:eastAsia="Palatino Linotype" w:hAnsi="Palatino Linotype" w:cs="Palatino Linotype"/>
        </w:rPr>
        <w:t xml:space="preserve">el cual consiste en un requerimiento de </w:t>
      </w:r>
      <w:r w:rsidRPr="00DF34DA">
        <w:rPr>
          <w:rFonts w:ascii="Palatino Linotype" w:eastAsia="Palatino Linotype" w:hAnsi="Palatino Linotype" w:cs="Palatino Linotype"/>
        </w:rPr>
        <w:lastRenderedPageBreak/>
        <w:t xml:space="preserve">ampliación de plazos para la atención de la solicitud, es importante señalar que dicha solicitud se presentó en un plazo que a todas luces excede el plazo para su presentación después de haberse notificado la resolución, situación que contraviene a lo dispuesto por el segundo párrafo del artículo 198 de la Ley de Transparencia Local, por lo tanto, no es procedente la petición del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w:t>
      </w:r>
    </w:p>
    <w:p w14:paraId="74AF3066" w14:textId="77777777" w:rsidR="00206436" w:rsidRPr="00DF34DA" w:rsidRDefault="00206436" w:rsidP="00206436">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Una</w:t>
      </w:r>
      <w:r w:rsidR="00B87FB6" w:rsidRPr="00DF34DA">
        <w:rPr>
          <w:rFonts w:ascii="Palatino Linotype" w:eastAsia="Palatino Linotype" w:hAnsi="Palatino Linotype" w:cs="Palatino Linotype"/>
        </w:rPr>
        <w:t xml:space="preserve"> vez precisado lo anterior, </w:t>
      </w:r>
      <w:r w:rsidRPr="00DF34DA">
        <w:rPr>
          <w:rFonts w:ascii="Palatino Linotype" w:eastAsia="Palatino Linotype" w:hAnsi="Palatino Linotype" w:cs="Palatino Linotype"/>
        </w:rPr>
        <w:t xml:space="preserve">conviene iniciar el presente estudio señalando que de las constancias que conforman el expediente electrónico, se advierte que no se turnó la solicitud a los servidores públicos habilitados, por lo que no se satisfizo en su totalidad el derecho de acceso el derecho de acceso a la información pública del ahora </w:t>
      </w:r>
      <w:r w:rsidRPr="00DF34DA">
        <w:rPr>
          <w:rFonts w:ascii="Palatino Linotype" w:eastAsia="Palatino Linotype" w:hAnsi="Palatino Linotype" w:cs="Palatino Linotype"/>
          <w:b/>
        </w:rPr>
        <w:t>Recurrente</w:t>
      </w:r>
      <w:r w:rsidRPr="00DF34DA">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FE0B462"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DF34DA">
        <w:rPr>
          <w:rFonts w:ascii="Palatino Linotype" w:eastAsia="Palatino Linotype" w:hAnsi="Palatino Linotype" w:cs="Palatino Linotype"/>
        </w:rPr>
        <w:lastRenderedPageBreak/>
        <w:t xml:space="preserve">notificaciones correspondientes, además de llevar a cabo todas las gestiones necesarias para facilitar el acceso de la información; </w:t>
      </w:r>
    </w:p>
    <w:p w14:paraId="6A751334"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86E989E"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35E1C05D"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09D76E5"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3E6F121" w14:textId="77777777" w:rsidR="00206436" w:rsidRPr="00DF34DA" w:rsidRDefault="00206436" w:rsidP="00206436">
      <w:pPr>
        <w:spacing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w:t>
      </w:r>
      <w:r w:rsidRPr="00DF34DA">
        <w:rPr>
          <w:rFonts w:ascii="Palatino Linotype" w:eastAsia="Palatino Linotype" w:hAnsi="Palatino Linotype" w:cs="Palatino Linotype"/>
        </w:rPr>
        <w:lastRenderedPageBreak/>
        <w:t>temporalidad, los Sujetos Obligados darán por concluida la solicitud y procederán de ser el caso, a la destrucción del material;</w:t>
      </w:r>
    </w:p>
    <w:p w14:paraId="6DBD52D5" w14:textId="77777777" w:rsidR="00206436" w:rsidRPr="00DF34DA" w:rsidRDefault="00206436" w:rsidP="00206436">
      <w:pPr>
        <w:shd w:val="clear" w:color="auto" w:fill="FFFFFF"/>
        <w:spacing w:before="240" w:after="240" w:line="360" w:lineRule="auto"/>
        <w:jc w:val="both"/>
        <w:rPr>
          <w:rFonts w:ascii="Palatino Linotype" w:eastAsia="Palatino Linotype" w:hAnsi="Palatino Linotype" w:cs="Palatino Linotype"/>
          <w:lang w:eastAsia="es-MX"/>
        </w:rPr>
      </w:pPr>
      <w:r w:rsidRPr="00DF34DA">
        <w:rPr>
          <w:rFonts w:ascii="Palatino Linotype" w:eastAsia="Palatino Linotype" w:hAnsi="Palatino Linotype" w:cs="Palatino Linotype"/>
        </w:rPr>
        <w:t xml:space="preserve">En este orden de ideas, se reitera que el </w:t>
      </w:r>
      <w:r w:rsidRPr="00DF34DA">
        <w:rPr>
          <w:rFonts w:ascii="Palatino Linotype" w:eastAsia="Palatino Linotype" w:hAnsi="Palatino Linotype" w:cs="Palatino Linotype"/>
          <w:b/>
        </w:rPr>
        <w:t>Sujeto Obligado</w:t>
      </w:r>
      <w:r w:rsidRPr="00DF34DA">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w:t>
      </w:r>
      <w:r w:rsidRPr="00DF34DA">
        <w:rPr>
          <w:rFonts w:ascii="Palatino Linotype" w:eastAsia="Palatino Linotype" w:hAnsi="Palatino Linotype" w:cs="Palatino Linotype"/>
          <w:lang w:eastAsia="es-MX"/>
        </w:rPr>
        <w:t xml:space="preserve">la Dirección Jurídica y a la Tesorería Municipal, ello en virtud de que cuentan con las siguientes facultades: </w:t>
      </w:r>
    </w:p>
    <w:p w14:paraId="131F9909" w14:textId="77777777" w:rsidR="00206436" w:rsidRPr="00DF34DA" w:rsidRDefault="00206436" w:rsidP="00206436">
      <w:pPr>
        <w:shd w:val="clear" w:color="auto" w:fill="FFFFFF"/>
        <w:spacing w:before="240" w:after="240" w:line="360" w:lineRule="auto"/>
        <w:jc w:val="both"/>
        <w:rPr>
          <w:rFonts w:ascii="Palatino Linotype" w:eastAsia="Palatino Linotype" w:hAnsi="Palatino Linotype" w:cs="Palatino Linotype"/>
          <w:b/>
          <w:lang w:eastAsia="es-MX"/>
        </w:rPr>
      </w:pPr>
      <w:r w:rsidRPr="00DF34DA">
        <w:rPr>
          <w:rFonts w:ascii="Palatino Linotype" w:eastAsia="Palatino Linotype" w:hAnsi="Palatino Linotype" w:cs="Palatino Linotype"/>
          <w:b/>
          <w:lang w:eastAsia="es-MX"/>
        </w:rPr>
        <w:t>Dirección Jurídica</w:t>
      </w:r>
    </w:p>
    <w:p w14:paraId="3E3EB839" w14:textId="77777777" w:rsidR="00206436" w:rsidRPr="00DF34DA" w:rsidRDefault="00746A3E">
      <w:pPr>
        <w:spacing w:before="240" w:after="240" w:line="360" w:lineRule="auto"/>
        <w:jc w:val="both"/>
        <w:rPr>
          <w:rFonts w:ascii="Palatino Linotype" w:eastAsia="Palatino Linotype" w:hAnsi="Palatino Linotype" w:cs="Palatino Linotype"/>
          <w:b/>
        </w:rPr>
      </w:pPr>
      <w:r w:rsidRPr="00DF34DA">
        <w:rPr>
          <w:rFonts w:ascii="Palatino Linotype" w:eastAsia="Palatino Linotype" w:hAnsi="Palatino Linotype" w:cs="Palatino Linotype"/>
          <w:b/>
        </w:rPr>
        <w:t>Reglamento O</w:t>
      </w:r>
      <w:r w:rsidR="00206436" w:rsidRPr="00DF34DA">
        <w:rPr>
          <w:rFonts w:ascii="Palatino Linotype" w:eastAsia="Palatino Linotype" w:hAnsi="Palatino Linotype" w:cs="Palatino Linotype"/>
          <w:b/>
        </w:rPr>
        <w:t>rgánico de Zinacantepec vigente:</w:t>
      </w:r>
    </w:p>
    <w:p w14:paraId="072E4744" w14:textId="77777777" w:rsidR="00746A3E" w:rsidRPr="00DF34DA" w:rsidRDefault="00206436"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 xml:space="preserve"> </w:t>
      </w:r>
      <w:r w:rsidR="00746A3E" w:rsidRPr="00DF34DA">
        <w:rPr>
          <w:rFonts w:ascii="Palatino Linotype" w:eastAsia="Palatino Linotype" w:hAnsi="Palatino Linotype" w:cs="Palatino Linotype"/>
          <w:i/>
          <w:sz w:val="22"/>
        </w:rPr>
        <w:t xml:space="preserve">“CAPITULO VIGESIMO SEXTO </w:t>
      </w:r>
    </w:p>
    <w:p w14:paraId="1570A60A"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 xml:space="preserve">DIRECCIÓN JURÍDICA </w:t>
      </w:r>
    </w:p>
    <w:p w14:paraId="1D9E992A"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 xml:space="preserve">Artículo 93. La Dirección Jurídica es la Unidad Administrativa encargada de atender los asuntos legales de la administración pública y para el cumplimiento de sus atribuciones se auxiliará de todas las áreas municipales y de sus organismos auxiliares cuando así los requiera. </w:t>
      </w:r>
    </w:p>
    <w:p w14:paraId="68669754"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Artículo 94. Además de las previstas en las disposiciones normativas y administrativas en la materia, la Dirección Jurídica tiene las siguientes funciones y atribuciones:</w:t>
      </w:r>
    </w:p>
    <w:p w14:paraId="42C85EC3"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b/>
          <w:i/>
          <w:sz w:val="22"/>
        </w:rPr>
        <w:t>I. Atender los asuntos jurídicos en los que sea parte el Ayuntamiento;</w:t>
      </w:r>
      <w:r w:rsidRPr="00DF34DA">
        <w:rPr>
          <w:rFonts w:ascii="Palatino Linotype" w:eastAsia="Palatino Linotype" w:hAnsi="Palatino Linotype" w:cs="Palatino Linotype"/>
          <w:b/>
          <w:i/>
          <w:sz w:val="22"/>
        </w:rPr>
        <w:cr/>
      </w:r>
      <w:r w:rsidRPr="00DF34DA">
        <w:rPr>
          <w:rFonts w:ascii="Palatino Linotype" w:eastAsia="Palatino Linotype" w:hAnsi="Palatino Linotype" w:cs="Palatino Linotype"/>
          <w:i/>
          <w:sz w:val="22"/>
        </w:rPr>
        <w:t>…</w:t>
      </w:r>
    </w:p>
    <w:p w14:paraId="1BE8323D"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b/>
          <w:i/>
          <w:sz w:val="22"/>
        </w:rPr>
      </w:pPr>
      <w:r w:rsidRPr="00DF34DA">
        <w:rPr>
          <w:rFonts w:ascii="Palatino Linotype" w:eastAsia="Palatino Linotype" w:hAnsi="Palatino Linotype" w:cs="Palatino Linotype"/>
          <w:b/>
          <w:i/>
          <w:sz w:val="22"/>
        </w:rPr>
        <w:t xml:space="preserve">IX. Efectuar trámites jurídicos en nombre del Ayuntamiento ante Dependencias y Entidades Federales, Estatales y de otros municipios, </w:t>
      </w:r>
      <w:r w:rsidRPr="00DF34DA">
        <w:rPr>
          <w:rFonts w:ascii="Palatino Linotype" w:eastAsia="Palatino Linotype" w:hAnsi="Palatino Linotype" w:cs="Palatino Linotype"/>
          <w:b/>
          <w:i/>
          <w:sz w:val="22"/>
        </w:rPr>
        <w:lastRenderedPageBreak/>
        <w:t>cuando así lo soliciten los miembros del Cabildo o las dependencias municipales;</w:t>
      </w:r>
    </w:p>
    <w:p w14:paraId="35DC0801"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w:t>
      </w:r>
    </w:p>
    <w:p w14:paraId="552BF0E5" w14:textId="77777777" w:rsidR="00746A3E" w:rsidRPr="00DF34DA" w:rsidRDefault="00746A3E" w:rsidP="00746A3E">
      <w:pPr>
        <w:spacing w:before="240" w:after="240" w:line="276" w:lineRule="auto"/>
        <w:ind w:left="567" w:right="851"/>
        <w:jc w:val="both"/>
        <w:rPr>
          <w:rFonts w:ascii="Palatino Linotype" w:eastAsia="Palatino Linotype" w:hAnsi="Palatino Linotype" w:cs="Palatino Linotype"/>
          <w:b/>
          <w:i/>
          <w:sz w:val="22"/>
          <w:u w:val="single"/>
        </w:rPr>
      </w:pPr>
      <w:r w:rsidRPr="00DF34DA">
        <w:rPr>
          <w:rFonts w:ascii="Palatino Linotype" w:eastAsia="Palatino Linotype" w:hAnsi="Palatino Linotype" w:cs="Palatino Linotype"/>
          <w:b/>
          <w:i/>
          <w:sz w:val="22"/>
          <w:u w:val="single"/>
        </w:rPr>
        <w:t>XVIII. Dar seguimiento y atención de los litigios laborales instaurados en contra del Ayuntamiento;</w:t>
      </w:r>
      <w:r w:rsidR="005B3542" w:rsidRPr="00DF34DA">
        <w:rPr>
          <w:rFonts w:ascii="Palatino Linotype" w:eastAsia="Palatino Linotype" w:hAnsi="Palatino Linotype" w:cs="Palatino Linotype"/>
          <w:b/>
          <w:i/>
          <w:sz w:val="22"/>
          <w:u w:val="single"/>
        </w:rPr>
        <w:t xml:space="preserve">” </w:t>
      </w:r>
      <w:r w:rsidR="005B3542" w:rsidRPr="00DF34DA">
        <w:rPr>
          <w:rFonts w:ascii="Palatino Linotype" w:eastAsia="Palatino Linotype" w:hAnsi="Palatino Linotype" w:cs="Palatino Linotype"/>
          <w:i/>
          <w:sz w:val="22"/>
        </w:rPr>
        <w:t>(Énfasis añadido)</w:t>
      </w:r>
    </w:p>
    <w:p w14:paraId="11C55590" w14:textId="77777777" w:rsidR="00206436" w:rsidRPr="00DF34DA" w:rsidRDefault="00206436">
      <w:pPr>
        <w:spacing w:before="240" w:after="240" w:line="360" w:lineRule="auto"/>
        <w:jc w:val="both"/>
        <w:rPr>
          <w:rFonts w:ascii="Palatino Linotype" w:eastAsia="Palatino Linotype" w:hAnsi="Palatino Linotype" w:cs="Palatino Linotype"/>
          <w:b/>
        </w:rPr>
      </w:pPr>
      <w:r w:rsidRPr="00DF34DA">
        <w:rPr>
          <w:rFonts w:ascii="Palatino Linotype" w:eastAsia="Palatino Linotype" w:hAnsi="Palatino Linotype" w:cs="Palatino Linotype"/>
          <w:b/>
        </w:rPr>
        <w:t xml:space="preserve">Tesorería Municipal: </w:t>
      </w:r>
    </w:p>
    <w:p w14:paraId="5A703D05" w14:textId="77777777" w:rsidR="00206436" w:rsidRPr="00DF34DA" w:rsidRDefault="00206436">
      <w:pPr>
        <w:spacing w:before="240" w:after="240" w:line="360" w:lineRule="auto"/>
        <w:jc w:val="both"/>
        <w:rPr>
          <w:rFonts w:ascii="Palatino Linotype" w:eastAsia="Palatino Linotype" w:hAnsi="Palatino Linotype" w:cs="Palatino Linotype"/>
          <w:b/>
        </w:rPr>
      </w:pPr>
      <w:r w:rsidRPr="00DF34DA">
        <w:rPr>
          <w:rFonts w:ascii="Palatino Linotype" w:eastAsia="Palatino Linotype" w:hAnsi="Palatino Linotype" w:cs="Palatino Linotype"/>
          <w:b/>
        </w:rPr>
        <w:t xml:space="preserve">Ley Orgánica Municipal del Estado de México: </w:t>
      </w:r>
    </w:p>
    <w:p w14:paraId="1EE1BC24" w14:textId="77777777" w:rsidR="00206436" w:rsidRPr="00DF34DA" w:rsidRDefault="00206436" w:rsidP="00206436">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“Artículo 95.- Son atribuciones del tesorero municipal:</w:t>
      </w:r>
    </w:p>
    <w:p w14:paraId="54FB63F4" w14:textId="77777777" w:rsidR="00206436" w:rsidRPr="00DF34DA" w:rsidRDefault="00206436" w:rsidP="00206436">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w:t>
      </w:r>
    </w:p>
    <w:p w14:paraId="4B366E4B" w14:textId="77777777" w:rsidR="00206436" w:rsidRPr="00DF34DA" w:rsidRDefault="00206436" w:rsidP="00206436">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b/>
          <w:i/>
          <w:sz w:val="22"/>
        </w:rPr>
        <w:t>IV. Llevar los registros contables, financieros y administrativos de los ingresos, egresos, e inventarios</w:t>
      </w:r>
      <w:r w:rsidRPr="00DF34DA">
        <w:rPr>
          <w:rFonts w:ascii="Palatino Linotype" w:eastAsia="Palatino Linotype" w:hAnsi="Palatino Linotype" w:cs="Palatino Linotype"/>
          <w:i/>
          <w:sz w:val="22"/>
        </w:rPr>
        <w:t>;”</w:t>
      </w:r>
    </w:p>
    <w:p w14:paraId="0232073F" w14:textId="77777777" w:rsidR="00746A3E" w:rsidRPr="00DF34DA" w:rsidRDefault="00206436">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Lo anterior es así, en virtud de que</w:t>
      </w:r>
      <w:r w:rsidR="005B3542" w:rsidRPr="00DF34DA">
        <w:rPr>
          <w:rFonts w:ascii="Palatino Linotype" w:eastAsia="Palatino Linotype" w:hAnsi="Palatino Linotype" w:cs="Palatino Linotype"/>
        </w:rPr>
        <w:t xml:space="preserve"> </w:t>
      </w:r>
      <w:r w:rsidR="00236DA0" w:rsidRPr="00DF34DA">
        <w:rPr>
          <w:rFonts w:ascii="Palatino Linotype" w:eastAsia="Palatino Linotype" w:hAnsi="Palatino Linotype" w:cs="Palatino Linotype"/>
        </w:rPr>
        <w:t xml:space="preserve">la Dirección Jurídica cuenta con </w:t>
      </w:r>
      <w:r w:rsidR="00236DA0" w:rsidRPr="00DF34DA">
        <w:rPr>
          <w:rFonts w:ascii="Palatino Linotype" w:eastAsia="Palatino Linotype" w:hAnsi="Palatino Linotype" w:cs="Palatino Linotype"/>
          <w:lang w:eastAsia="es-MX"/>
        </w:rPr>
        <w:t xml:space="preserve">las atribuciones de representación del ayuntamiento y la Tesorería Municipal es la encargada de las erogaciones del ayuntamiento, por lo que se estima que pudiera contar con dichos convenios derivado de que justifican el recurso erogado por pago de las prestaciones por terminación de la relación laboral y finiquito, pues </w:t>
      </w:r>
      <w:r w:rsidR="005B3542" w:rsidRPr="00DF34DA">
        <w:rPr>
          <w:rFonts w:ascii="Palatino Linotype" w:eastAsia="Palatino Linotype" w:hAnsi="Palatino Linotype" w:cs="Palatino Linotype"/>
        </w:rPr>
        <w:t xml:space="preserve">como se verá más adelante, un convenio sin juicio en materia laboral involucra forzosamente el pago de finiquito o de </w:t>
      </w:r>
      <w:r w:rsidR="00236DA0" w:rsidRPr="00DF34DA">
        <w:rPr>
          <w:rFonts w:ascii="Palatino Linotype" w:eastAsia="Palatino Linotype" w:hAnsi="Palatino Linotype" w:cs="Palatino Linotype"/>
        </w:rPr>
        <w:t>beneficios derivados de la</w:t>
      </w:r>
      <w:r w:rsidR="005B3542" w:rsidRPr="00DF34DA">
        <w:rPr>
          <w:rFonts w:ascii="Palatino Linotype" w:eastAsia="Palatino Linotype" w:hAnsi="Palatino Linotype" w:cs="Palatino Linotype"/>
        </w:rPr>
        <w:t xml:space="preserve"> terminación </w:t>
      </w:r>
      <w:r w:rsidR="00236DA0" w:rsidRPr="00DF34DA">
        <w:rPr>
          <w:rFonts w:ascii="Palatino Linotype" w:eastAsia="Palatino Linotype" w:hAnsi="Palatino Linotype" w:cs="Palatino Linotype"/>
        </w:rPr>
        <w:t xml:space="preserve">de la relación </w:t>
      </w:r>
      <w:r w:rsidR="005B3542" w:rsidRPr="00DF34DA">
        <w:rPr>
          <w:rFonts w:ascii="Palatino Linotype" w:eastAsia="Palatino Linotype" w:hAnsi="Palatino Linotype" w:cs="Palatino Linotype"/>
        </w:rPr>
        <w:t xml:space="preserve">laboral, por lo que se estima que la presente solicitud de </w:t>
      </w:r>
      <w:r w:rsidR="00236DA0" w:rsidRPr="00DF34DA">
        <w:rPr>
          <w:rFonts w:ascii="Palatino Linotype" w:eastAsia="Palatino Linotype" w:hAnsi="Palatino Linotype" w:cs="Palatino Linotype"/>
        </w:rPr>
        <w:t xml:space="preserve">información debió turnarse a las áreas anteriormente mencionadas. </w:t>
      </w:r>
    </w:p>
    <w:p w14:paraId="544CA0C0" w14:textId="77777777" w:rsidR="00A67FB0" w:rsidRPr="00DF34DA" w:rsidRDefault="00A67FB0">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Continuando con el análisis, debe señalarse </w:t>
      </w:r>
      <w:proofErr w:type="gramStart"/>
      <w:r w:rsidRPr="00DF34DA">
        <w:rPr>
          <w:rFonts w:ascii="Palatino Linotype" w:eastAsia="Palatino Linotype" w:hAnsi="Palatino Linotype" w:cs="Palatino Linotype"/>
        </w:rPr>
        <w:t>que</w:t>
      </w:r>
      <w:proofErr w:type="gramEnd"/>
      <w:r w:rsidRPr="00DF34DA">
        <w:rPr>
          <w:rFonts w:ascii="Palatino Linotype" w:eastAsia="Palatino Linotype" w:hAnsi="Palatino Linotype" w:cs="Palatino Linotype"/>
        </w:rPr>
        <w:t xml:space="preserve"> de conformidad con el Manual de Procedimientos del Tribunal Estatal de Conciliación y Arbitraje, el convenio sin juicio se define de la siguiente manera: </w:t>
      </w:r>
    </w:p>
    <w:p w14:paraId="1ABFCDAE" w14:textId="77777777" w:rsidR="00A67FB0" w:rsidRPr="00DF34DA" w:rsidRDefault="00D80628" w:rsidP="00D80628">
      <w:pPr>
        <w:spacing w:before="240" w:after="240" w:line="360" w:lineRule="auto"/>
        <w:ind w:left="567" w:right="851"/>
        <w:jc w:val="both"/>
        <w:rPr>
          <w:rFonts w:ascii="Palatino Linotype" w:eastAsia="Palatino Linotype" w:hAnsi="Palatino Linotype" w:cs="Palatino Linotype"/>
          <w:sz w:val="22"/>
        </w:rPr>
      </w:pPr>
      <w:r w:rsidRPr="00DF34DA">
        <w:rPr>
          <w:rFonts w:ascii="Palatino Linotype" w:eastAsia="Palatino Linotype" w:hAnsi="Palatino Linotype" w:cs="Palatino Linotype"/>
          <w:b/>
          <w:sz w:val="22"/>
        </w:rPr>
        <w:lastRenderedPageBreak/>
        <w:t>Convenio sin juicio</w:t>
      </w:r>
      <w:r w:rsidRPr="00DF34DA">
        <w:rPr>
          <w:rFonts w:ascii="Palatino Linotype" w:eastAsia="Palatino Linotype" w:hAnsi="Palatino Linotype" w:cs="Palatino Linotype"/>
          <w:sz w:val="22"/>
        </w:rPr>
        <w:t xml:space="preserve">: Es el acuerdo de </w:t>
      </w:r>
      <w:r w:rsidRPr="00DF34DA">
        <w:rPr>
          <w:rFonts w:ascii="Palatino Linotype" w:eastAsia="Palatino Linotype" w:hAnsi="Palatino Linotype" w:cs="Palatino Linotype"/>
          <w:b/>
          <w:sz w:val="22"/>
          <w:u w:val="single"/>
        </w:rPr>
        <w:t>dos o más personas y/o instituciones públicas</w:t>
      </w:r>
      <w:r w:rsidRPr="00DF34DA">
        <w:rPr>
          <w:rFonts w:ascii="Palatino Linotype" w:eastAsia="Palatino Linotype" w:hAnsi="Palatino Linotype" w:cs="Palatino Linotype"/>
          <w:sz w:val="22"/>
        </w:rPr>
        <w:t xml:space="preserve"> para crear, transferir, modificar o extinguir derechos y obligaciones, denunciando ante la autoridad laboral para su aprobación. </w:t>
      </w:r>
    </w:p>
    <w:p w14:paraId="4B425437" w14:textId="77777777" w:rsidR="00FF604F" w:rsidRPr="00DF34DA" w:rsidRDefault="00987365">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Ahora bien, para efecto de delimitar los sujetos que intervienen dentro de este procedimiento, conviene traer a colación lo que dispone el Manual de Procedimientos del Tribunal Estatal de Conciliación y Arbitraje respecto del procedimiento de convenios sin juicio: </w:t>
      </w:r>
    </w:p>
    <w:p w14:paraId="4AA5B12C" w14:textId="77777777" w:rsidR="00987365" w:rsidRPr="00DF34DA" w:rsidRDefault="00987365">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drawing>
          <wp:inline distT="0" distB="0" distL="0" distR="0" wp14:anchorId="2714F735" wp14:editId="6A5C766E">
            <wp:extent cx="5581015" cy="2689225"/>
            <wp:effectExtent l="19050" t="19050" r="19685" b="158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2689225"/>
                    </a:xfrm>
                    <a:prstGeom prst="rect">
                      <a:avLst/>
                    </a:prstGeom>
                    <a:ln>
                      <a:solidFill>
                        <a:schemeClr val="tx1"/>
                      </a:solidFill>
                    </a:ln>
                  </pic:spPr>
                </pic:pic>
              </a:graphicData>
            </a:graphic>
          </wp:inline>
        </w:drawing>
      </w:r>
    </w:p>
    <w:p w14:paraId="518AD41A" w14:textId="77777777" w:rsidR="00987365" w:rsidRPr="00DF34DA" w:rsidRDefault="00987365">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lastRenderedPageBreak/>
        <w:drawing>
          <wp:inline distT="0" distB="0" distL="0" distR="0" wp14:anchorId="7838536B" wp14:editId="23E51A92">
            <wp:extent cx="5581015" cy="7385685"/>
            <wp:effectExtent l="19050" t="19050" r="19685"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7385685"/>
                    </a:xfrm>
                    <a:prstGeom prst="rect">
                      <a:avLst/>
                    </a:prstGeom>
                    <a:ln>
                      <a:solidFill>
                        <a:schemeClr val="tx1"/>
                      </a:solidFill>
                    </a:ln>
                  </pic:spPr>
                </pic:pic>
              </a:graphicData>
            </a:graphic>
          </wp:inline>
        </w:drawing>
      </w:r>
    </w:p>
    <w:p w14:paraId="55F7D198" w14:textId="77777777" w:rsidR="001D4446" w:rsidRPr="00DF34DA" w:rsidRDefault="001D4446">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lastRenderedPageBreak/>
        <w:t xml:space="preserve">Como se puede vislumbrar de lo insertado con antelación, se colige lo siguiente: </w:t>
      </w:r>
    </w:p>
    <w:p w14:paraId="1F30A07E" w14:textId="77777777" w:rsidR="001D4446" w:rsidRPr="00DF34DA" w:rsidRDefault="001D4446" w:rsidP="00746A3E">
      <w:pPr>
        <w:pStyle w:val="Prrafodelista"/>
        <w:numPr>
          <w:ilvl w:val="0"/>
          <w:numId w:val="22"/>
        </w:numPr>
        <w:spacing w:before="240" w:after="240" w:line="360" w:lineRule="auto"/>
        <w:ind w:right="851"/>
        <w:jc w:val="both"/>
        <w:rPr>
          <w:rFonts w:ascii="Palatino Linotype" w:eastAsia="Palatino Linotype" w:hAnsi="Palatino Linotype" w:cs="Palatino Linotype"/>
          <w:sz w:val="24"/>
        </w:rPr>
      </w:pPr>
      <w:r w:rsidRPr="00DF34DA">
        <w:rPr>
          <w:rFonts w:ascii="Palatino Linotype" w:eastAsia="Palatino Linotype" w:hAnsi="Palatino Linotype" w:cs="Palatino Linotype"/>
          <w:sz w:val="24"/>
        </w:rPr>
        <w:t xml:space="preserve">La celebración de un convenio sin juicio implica que la parte demandante obtenga los beneficios que se estipulen en dicho acuerdo. </w:t>
      </w:r>
    </w:p>
    <w:p w14:paraId="2789C74F" w14:textId="77777777" w:rsidR="00746A3E" w:rsidRPr="00DF34DA" w:rsidRDefault="001D4446" w:rsidP="00746A3E">
      <w:pPr>
        <w:pStyle w:val="Prrafodelista"/>
        <w:numPr>
          <w:ilvl w:val="0"/>
          <w:numId w:val="22"/>
        </w:numPr>
        <w:spacing w:before="240" w:after="240" w:line="360" w:lineRule="auto"/>
        <w:ind w:right="851"/>
        <w:jc w:val="both"/>
        <w:rPr>
          <w:rFonts w:ascii="Palatino Linotype" w:eastAsia="Palatino Linotype" w:hAnsi="Palatino Linotype" w:cs="Palatino Linotype"/>
          <w:sz w:val="24"/>
        </w:rPr>
      </w:pPr>
      <w:r w:rsidRPr="00DF34DA">
        <w:rPr>
          <w:rFonts w:ascii="Palatino Linotype" w:eastAsia="Palatino Linotype" w:hAnsi="Palatino Linotype" w:cs="Palatino Linotype"/>
          <w:sz w:val="24"/>
        </w:rPr>
        <w:t xml:space="preserve">En la celebración del convenio es el </w:t>
      </w:r>
      <w:proofErr w:type="gramStart"/>
      <w:r w:rsidRPr="00DF34DA">
        <w:rPr>
          <w:rFonts w:ascii="Palatino Linotype" w:eastAsia="Palatino Linotype" w:hAnsi="Palatino Linotype" w:cs="Palatino Linotype"/>
          <w:sz w:val="24"/>
        </w:rPr>
        <w:t>Secretario</w:t>
      </w:r>
      <w:proofErr w:type="gramEnd"/>
      <w:r w:rsidRPr="00DF34DA">
        <w:rPr>
          <w:rFonts w:ascii="Palatino Linotype" w:eastAsia="Palatino Linotype" w:hAnsi="Palatino Linotype" w:cs="Palatino Linotype"/>
          <w:sz w:val="24"/>
        </w:rPr>
        <w:t xml:space="preserve"> de Acuerdos quien pregunta a las partes si dicho convenio se da por terminación de la relación laboral o </w:t>
      </w:r>
      <w:r w:rsidR="00746A3E" w:rsidRPr="00DF34DA">
        <w:rPr>
          <w:rFonts w:ascii="Palatino Linotype" w:eastAsia="Palatino Linotype" w:hAnsi="Palatino Linotype" w:cs="Palatino Linotype"/>
          <w:sz w:val="24"/>
        </w:rPr>
        <w:t xml:space="preserve">para señalar fecha para exhibir el finiquito correspondiente. </w:t>
      </w:r>
    </w:p>
    <w:p w14:paraId="6BAFEAC1" w14:textId="77777777" w:rsidR="00746A3E" w:rsidRPr="00DF34DA" w:rsidRDefault="00746A3E" w:rsidP="00746A3E">
      <w:pPr>
        <w:pStyle w:val="Prrafodelista"/>
        <w:numPr>
          <w:ilvl w:val="0"/>
          <w:numId w:val="22"/>
        </w:numPr>
        <w:spacing w:before="240" w:after="240" w:line="360" w:lineRule="auto"/>
        <w:ind w:right="851"/>
        <w:jc w:val="both"/>
        <w:rPr>
          <w:rFonts w:ascii="Palatino Linotype" w:eastAsia="Palatino Linotype" w:hAnsi="Palatino Linotype" w:cs="Palatino Linotype"/>
          <w:sz w:val="24"/>
        </w:rPr>
      </w:pPr>
      <w:r w:rsidRPr="00DF34DA">
        <w:rPr>
          <w:rFonts w:ascii="Palatino Linotype" w:eastAsia="Palatino Linotype" w:hAnsi="Palatino Linotype" w:cs="Palatino Linotype"/>
          <w:sz w:val="24"/>
        </w:rPr>
        <w:t xml:space="preserve">En caso de ser terminación de la relación laboral, el </w:t>
      </w:r>
      <w:proofErr w:type="gramStart"/>
      <w:r w:rsidRPr="00DF34DA">
        <w:rPr>
          <w:rFonts w:ascii="Palatino Linotype" w:eastAsia="Palatino Linotype" w:hAnsi="Palatino Linotype" w:cs="Palatino Linotype"/>
          <w:sz w:val="24"/>
        </w:rPr>
        <w:t>Secretario</w:t>
      </w:r>
      <w:proofErr w:type="gramEnd"/>
      <w:r w:rsidRPr="00DF34DA">
        <w:rPr>
          <w:rFonts w:ascii="Palatino Linotype" w:eastAsia="Palatino Linotype" w:hAnsi="Palatino Linotype" w:cs="Palatino Linotype"/>
          <w:sz w:val="24"/>
        </w:rPr>
        <w:t xml:space="preserve"> de Acuerdos solicitará a la Institución Pública que exhiba en ese momento el pago correspondiente: para el caso en que sea efectivo, se archiva en ese momento el expediente, para los supuestos en los que se trate de cheque, se le otorgarán tres días hábiles al trabajador para que se pronuncie respecto del buen cobro.</w:t>
      </w:r>
    </w:p>
    <w:p w14:paraId="56CDCBC6" w14:textId="77777777" w:rsidR="00987365" w:rsidRPr="00DF34DA" w:rsidRDefault="001D4446" w:rsidP="00746A3E">
      <w:pPr>
        <w:pStyle w:val="Prrafodelista"/>
        <w:numPr>
          <w:ilvl w:val="0"/>
          <w:numId w:val="22"/>
        </w:numPr>
        <w:spacing w:before="240" w:after="240" w:line="360" w:lineRule="auto"/>
        <w:ind w:right="851"/>
        <w:jc w:val="both"/>
        <w:rPr>
          <w:rFonts w:ascii="Palatino Linotype" w:eastAsia="Palatino Linotype" w:hAnsi="Palatino Linotype" w:cs="Palatino Linotype"/>
          <w:sz w:val="24"/>
        </w:rPr>
      </w:pPr>
      <w:r w:rsidRPr="00DF34DA">
        <w:rPr>
          <w:rFonts w:ascii="Palatino Linotype" w:eastAsia="Palatino Linotype" w:hAnsi="Palatino Linotype" w:cs="Palatino Linotype"/>
          <w:sz w:val="24"/>
        </w:rPr>
        <w:t xml:space="preserve"> </w:t>
      </w:r>
      <w:r w:rsidR="00746A3E" w:rsidRPr="00DF34DA">
        <w:rPr>
          <w:rFonts w:ascii="Palatino Linotype" w:eastAsia="Palatino Linotype" w:hAnsi="Palatino Linotype" w:cs="Palatino Linotype"/>
          <w:sz w:val="24"/>
        </w:rPr>
        <w:t xml:space="preserve">Para el supuesto de que se señale fecha para exhibir el finiquito, el </w:t>
      </w:r>
      <w:proofErr w:type="gramStart"/>
      <w:r w:rsidR="00746A3E" w:rsidRPr="00DF34DA">
        <w:rPr>
          <w:rFonts w:ascii="Palatino Linotype" w:eastAsia="Palatino Linotype" w:hAnsi="Palatino Linotype" w:cs="Palatino Linotype"/>
          <w:sz w:val="24"/>
        </w:rPr>
        <w:t>Secretario</w:t>
      </w:r>
      <w:proofErr w:type="gramEnd"/>
      <w:r w:rsidR="00746A3E" w:rsidRPr="00DF34DA">
        <w:rPr>
          <w:rFonts w:ascii="Palatino Linotype" w:eastAsia="Palatino Linotype" w:hAnsi="Palatino Linotype" w:cs="Palatino Linotype"/>
          <w:sz w:val="24"/>
        </w:rPr>
        <w:t xml:space="preserve"> de Acuerdos les indicará el día en el que se presentarán y la Institución Pública presentará el pago, sea en efectivo o en cheque, el expediente se archivará de manera inmediata tratándose de pago en efectivo o de manera posterior al buen cobro del cheque. </w:t>
      </w:r>
    </w:p>
    <w:p w14:paraId="300F46DE" w14:textId="77777777" w:rsidR="00244154" w:rsidRPr="00DF34DA" w:rsidRDefault="00244154">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Acotado este punto, conviene señalar que a la información solicitada le reviste el carácter de información pública, en virtud de que constituye una obligación de transparencia común, esto conforme al artículo 92, fracción XL de la Ley de </w:t>
      </w:r>
      <w:r w:rsidRPr="00DF34DA">
        <w:rPr>
          <w:rFonts w:ascii="Palatino Linotype" w:eastAsia="Palatino Linotype" w:hAnsi="Palatino Linotype" w:cs="Palatino Linotype"/>
        </w:rPr>
        <w:lastRenderedPageBreak/>
        <w:t xml:space="preserve">Transparencia y Acceso a la Información Pública del Estado de México y Municipios, </w:t>
      </w:r>
      <w:r w:rsidR="00C378B7" w:rsidRPr="00DF34DA">
        <w:rPr>
          <w:rFonts w:ascii="Palatino Linotype" w:eastAsia="Palatino Linotype" w:hAnsi="Palatino Linotype" w:cs="Palatino Linotype"/>
        </w:rPr>
        <w:t xml:space="preserve">así como a </w:t>
      </w:r>
      <w:r w:rsidRPr="00DF34DA">
        <w:rPr>
          <w:rFonts w:ascii="Palatino Linotype" w:eastAsia="Palatino Linotype" w:hAnsi="Palatino Linotype" w:cs="Palatino Linotype"/>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sobre esta obligación de transparencia, lo siguiente: </w:t>
      </w:r>
    </w:p>
    <w:p w14:paraId="551E879E" w14:textId="77777777" w:rsidR="00244154" w:rsidRPr="00DF34DA" w:rsidRDefault="00770046">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lastRenderedPageBreak/>
        <w:drawing>
          <wp:inline distT="0" distB="0" distL="0" distR="0" wp14:anchorId="27391FB1" wp14:editId="55819C2C">
            <wp:extent cx="5143500" cy="5241817"/>
            <wp:effectExtent l="19050" t="19050" r="19050" b="165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0271" cy="5248718"/>
                    </a:xfrm>
                    <a:prstGeom prst="rect">
                      <a:avLst/>
                    </a:prstGeom>
                    <a:ln>
                      <a:solidFill>
                        <a:schemeClr val="tx1"/>
                      </a:solidFill>
                    </a:ln>
                  </pic:spPr>
                </pic:pic>
              </a:graphicData>
            </a:graphic>
          </wp:inline>
        </w:drawing>
      </w:r>
    </w:p>
    <w:p w14:paraId="0F45917E" w14:textId="77777777" w:rsidR="00E24CC4" w:rsidRPr="00DF34DA" w:rsidRDefault="00E24CC4">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lastRenderedPageBreak/>
        <w:drawing>
          <wp:inline distT="0" distB="0" distL="0" distR="0" wp14:anchorId="685119C6" wp14:editId="0A56C050">
            <wp:extent cx="5581015" cy="2239645"/>
            <wp:effectExtent l="19050" t="19050" r="19685" b="273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2239645"/>
                    </a:xfrm>
                    <a:prstGeom prst="rect">
                      <a:avLst/>
                    </a:prstGeom>
                    <a:ln>
                      <a:solidFill>
                        <a:schemeClr val="tx1"/>
                      </a:solidFill>
                    </a:ln>
                  </pic:spPr>
                </pic:pic>
              </a:graphicData>
            </a:graphic>
          </wp:inline>
        </w:drawing>
      </w:r>
    </w:p>
    <w:p w14:paraId="7AEB411F" w14:textId="77777777" w:rsidR="008F51C8" w:rsidRPr="00DF34DA" w:rsidRDefault="008F51C8">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Para robustecer lo expuesto con antelación, este Instituto procedió a consultar el portal de Información Pública de Oficio Mexiquense (IPOMEX) en la fracción referenciada, obteniendo así un indicio de </w:t>
      </w:r>
      <w:proofErr w:type="gramStart"/>
      <w:r w:rsidRPr="00DF34DA">
        <w:rPr>
          <w:rFonts w:ascii="Palatino Linotype" w:eastAsia="Palatino Linotype" w:hAnsi="Palatino Linotype" w:cs="Palatino Linotype"/>
        </w:rPr>
        <w:t>que</w:t>
      </w:r>
      <w:proofErr w:type="gramEnd"/>
      <w:r w:rsidRPr="00DF34DA">
        <w:rPr>
          <w:rFonts w:ascii="Palatino Linotype" w:eastAsia="Palatino Linotype" w:hAnsi="Palatino Linotype" w:cs="Palatino Linotype"/>
        </w:rPr>
        <w:t xml:space="preserve"> a la fecha de la solicitud, es decir, al 5 de octubre de 2022, existen convenios sin juicio en materia laboral que fueron celebrados ante el Tribunal Estatal de Conciliación y Arbitraje:</w:t>
      </w:r>
    </w:p>
    <w:p w14:paraId="2E2E44DD" w14:textId="77777777" w:rsidR="008F51C8" w:rsidRPr="00DF34DA" w:rsidRDefault="008F51C8" w:rsidP="008F51C8">
      <w:pPr>
        <w:spacing w:before="240" w:after="240" w:line="360" w:lineRule="auto"/>
        <w:jc w:val="center"/>
        <w:rPr>
          <w:rFonts w:ascii="Palatino Linotype" w:eastAsia="Palatino Linotype" w:hAnsi="Palatino Linotype" w:cs="Palatino Linotype"/>
        </w:rPr>
      </w:pPr>
      <w:r w:rsidRPr="00DF34DA">
        <w:rPr>
          <w:rFonts w:ascii="Palatino Linotype" w:eastAsia="Palatino Linotype" w:hAnsi="Palatino Linotype" w:cs="Palatino Linotype"/>
          <w:noProof/>
          <w:lang w:eastAsia="es-MX"/>
        </w:rPr>
        <w:drawing>
          <wp:inline distT="0" distB="0" distL="0" distR="0" wp14:anchorId="3D1C6872" wp14:editId="05DFBDC7">
            <wp:extent cx="4416232" cy="3286125"/>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8227" cy="3287610"/>
                    </a:xfrm>
                    <a:prstGeom prst="rect">
                      <a:avLst/>
                    </a:prstGeom>
                  </pic:spPr>
                </pic:pic>
              </a:graphicData>
            </a:graphic>
          </wp:inline>
        </w:drawing>
      </w:r>
    </w:p>
    <w:p w14:paraId="40149CD7" w14:textId="77777777" w:rsidR="00236DA0" w:rsidRPr="00DF34DA" w:rsidRDefault="00236DA0" w:rsidP="00236DA0">
      <w:pPr>
        <w:spacing w:before="240" w:after="240" w:line="360" w:lineRule="auto"/>
        <w:jc w:val="both"/>
        <w:rPr>
          <w:rFonts w:ascii="Palatino Linotype" w:eastAsia="Palatino Linotype" w:hAnsi="Palatino Linotype" w:cs="Palatino Linotype"/>
        </w:rPr>
      </w:pPr>
      <w:proofErr w:type="gramStart"/>
      <w:r w:rsidRPr="00DF34DA">
        <w:rPr>
          <w:rFonts w:ascii="Palatino Linotype" w:eastAsia="Palatino Linotype" w:hAnsi="Palatino Linotype" w:cs="Palatino Linotype"/>
        </w:rPr>
        <w:lastRenderedPageBreak/>
        <w:t>Además</w:t>
      </w:r>
      <w:proofErr w:type="gramEnd"/>
      <w:r w:rsidRPr="00DF34DA">
        <w:rPr>
          <w:rFonts w:ascii="Palatino Linotype" w:eastAsia="Palatino Linotype" w:hAnsi="Palatino Linotype" w:cs="Palatino Linotype"/>
        </w:rPr>
        <w:t xml:space="preserve"> debemos resaltar el hecho de que en la captura de pantalla insertada, se advierte que la unidad administrativa encargada de alimentar esta fracción es precisamente la Dirección Jurídica, por lo que resulta pertinente que practique una nueva búsqueda exhaustiva y razonable para efecto de localizar la documentación requerida.  </w:t>
      </w:r>
    </w:p>
    <w:p w14:paraId="71D1B3AD" w14:textId="77777777" w:rsidR="00244154" w:rsidRPr="00DF34DA" w:rsidRDefault="00E03924">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En mérito de todo lo abordado, resulta de vital </w:t>
      </w:r>
      <w:r w:rsidR="008F51C8" w:rsidRPr="00DF34DA">
        <w:rPr>
          <w:rFonts w:ascii="Palatino Linotype" w:eastAsia="Palatino Linotype" w:hAnsi="Palatino Linotype" w:cs="Palatino Linotype"/>
        </w:rPr>
        <w:t xml:space="preserve">para esta autoridad </w:t>
      </w:r>
      <w:r w:rsidRPr="00DF34DA">
        <w:rPr>
          <w:rFonts w:ascii="Palatino Linotype" w:eastAsia="Palatino Linotype" w:hAnsi="Palatino Linotype" w:cs="Palatino Linotype"/>
        </w:rPr>
        <w:t xml:space="preserve">señalar </w:t>
      </w:r>
      <w:r w:rsidR="008F51C8" w:rsidRPr="00DF34DA">
        <w:rPr>
          <w:rFonts w:ascii="Palatino Linotype" w:eastAsia="Palatino Linotype" w:hAnsi="Palatino Linotype" w:cs="Palatino Linotype"/>
        </w:rPr>
        <w:t xml:space="preserve">que para efecto de dar cumplimiento a la presente resolución, deberá observarse en estricto sentido el </w:t>
      </w:r>
      <w:r w:rsidR="00E24CC4" w:rsidRPr="00DF34DA">
        <w:rPr>
          <w:rFonts w:ascii="Palatino Linotype" w:eastAsia="Palatino Linotype" w:hAnsi="Palatino Linotype" w:cs="Palatino Linotype"/>
        </w:rPr>
        <w:t xml:space="preserve">contenido del criterio orientador SO/019/2013 emitido por el Instituto Nacional de Transparencia, Acceso a la Información Pública del Estado de México y </w:t>
      </w:r>
      <w:r w:rsidR="00236DA0" w:rsidRPr="00DF34DA">
        <w:rPr>
          <w:rFonts w:ascii="Palatino Linotype" w:eastAsia="Palatino Linotype" w:hAnsi="Palatino Linotype" w:cs="Palatino Linotype"/>
        </w:rPr>
        <w:t xml:space="preserve">Municipios y no clasificar el nombre de los actores dentro de estos convenios pues recibieron recursos públicos, sirve de referencia </w:t>
      </w:r>
      <w:r w:rsidR="00E24CC4" w:rsidRPr="00DF34DA">
        <w:rPr>
          <w:rFonts w:ascii="Palatino Linotype" w:eastAsia="Palatino Linotype" w:hAnsi="Palatino Linotype" w:cs="Palatino Linotype"/>
        </w:rPr>
        <w:t>e</w:t>
      </w:r>
      <w:r w:rsidR="00236DA0" w:rsidRPr="00DF34DA">
        <w:rPr>
          <w:rFonts w:ascii="Palatino Linotype" w:eastAsia="Palatino Linotype" w:hAnsi="Palatino Linotype" w:cs="Palatino Linotype"/>
        </w:rPr>
        <w:t>l contenido del siguiente criterio</w:t>
      </w:r>
      <w:r w:rsidR="00E24CC4" w:rsidRPr="00DF34DA">
        <w:rPr>
          <w:rFonts w:ascii="Palatino Linotype" w:eastAsia="Palatino Linotype" w:hAnsi="Palatino Linotype" w:cs="Palatino Linotype"/>
        </w:rPr>
        <w:t xml:space="preserve">: </w:t>
      </w:r>
    </w:p>
    <w:p w14:paraId="14E6F04E" w14:textId="77777777" w:rsidR="00E24CC4" w:rsidRPr="00DF34DA" w:rsidRDefault="00E24CC4" w:rsidP="00E24CC4">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w:t>
      </w:r>
      <w:r w:rsidRPr="00DF34DA">
        <w:rPr>
          <w:rFonts w:ascii="Palatino Linotype" w:eastAsia="Palatino Linotype" w:hAnsi="Palatino Linotype" w:cs="Palatino Linotype"/>
          <w:b/>
          <w:i/>
          <w:sz w:val="22"/>
        </w:rPr>
        <w:t>Nombre de actores en juicios laborales constituye, en principio, información confidencial</w:t>
      </w:r>
      <w:r w:rsidRPr="00DF34DA">
        <w:rPr>
          <w:rFonts w:ascii="Palatino Linotype" w:eastAsia="Palatino Linotype" w:hAnsi="Palatino Linotype" w:cs="Palatino Linotype"/>
          <w:i/>
          <w:sz w:val="22"/>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w:t>
      </w:r>
      <w:r w:rsidRPr="00DF34DA">
        <w:rPr>
          <w:rFonts w:ascii="Palatino Linotype" w:eastAsia="Palatino Linotype" w:hAnsi="Palatino Linotype" w:cs="Palatino Linotype"/>
          <w:b/>
          <w:i/>
          <w:sz w:val="22"/>
          <w:u w:val="single"/>
        </w:rPr>
        <w:t xml:space="preserve">No obstante, procede la entrega del nombre de los actores en juicios laborales cuando, en </w:t>
      </w:r>
      <w:r w:rsidRPr="00DF34DA">
        <w:rPr>
          <w:rFonts w:ascii="Palatino Linotype" w:eastAsia="Palatino Linotype" w:hAnsi="Palatino Linotype" w:cs="Palatino Linotype"/>
          <w:b/>
          <w:i/>
          <w:sz w:val="22"/>
          <w:u w:val="single"/>
        </w:rPr>
        <w:lastRenderedPageBreak/>
        <w:t xml:space="preserve">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 </w:t>
      </w:r>
      <w:r w:rsidR="008F51C8" w:rsidRPr="00DF34DA">
        <w:rPr>
          <w:rFonts w:ascii="Palatino Linotype" w:eastAsia="Palatino Linotype" w:hAnsi="Palatino Linotype" w:cs="Palatino Linotype"/>
          <w:i/>
          <w:sz w:val="22"/>
        </w:rPr>
        <w:t>(Énfasis añadido)</w:t>
      </w:r>
    </w:p>
    <w:p w14:paraId="7A9DAEEF" w14:textId="77777777" w:rsidR="00E03924" w:rsidRPr="00DF34DA" w:rsidRDefault="00E03924" w:rsidP="00E03924">
      <w:pPr>
        <w:spacing w:before="240" w:after="240" w:line="360" w:lineRule="auto"/>
        <w:ind w:right="49"/>
        <w:jc w:val="both"/>
        <w:rPr>
          <w:rFonts w:ascii="Palatino Linotype" w:eastAsia="Palatino Linotype" w:hAnsi="Palatino Linotype" w:cs="Palatino Linotype"/>
        </w:rPr>
      </w:pPr>
      <w:r w:rsidRPr="00DF34DA">
        <w:rPr>
          <w:rFonts w:ascii="Palatino Linotype" w:eastAsia="Palatino Linotype" w:hAnsi="Palatino Linotype" w:cs="Palatino Linotype"/>
        </w:rPr>
        <w:t>Finalmente, no pasa desapercibido para este Instituto que si bien es cierto, el particular solicitó la copia de todos los convenios sin juicio de la materia laboral emitidos durante 2022, no menos cierto es que, la solicitud de información ingresó el 5 de octubre de 2022, por lo tanto, deberá ordenarse hasta esa fecha, pues  el derecho de acceso a la información consiste en la prerrogativa de los ciudadanos de hacerse de todos los documentos que, en el ejercicio de sus  funciones, los Sujetos Obligados posean, generen o administren al momento de presentar una solicitud de información, no así sobre documentos que supongan un acto futuro o un hecho incierto.</w:t>
      </w:r>
    </w:p>
    <w:p w14:paraId="0E4CF56C" w14:textId="77777777" w:rsidR="00E03924" w:rsidRPr="00DF34DA" w:rsidRDefault="00E03924" w:rsidP="00E03924">
      <w:pPr>
        <w:spacing w:before="240" w:after="240" w:line="360" w:lineRule="auto"/>
        <w:ind w:right="49"/>
        <w:jc w:val="both"/>
        <w:rPr>
          <w:rFonts w:ascii="Palatino Linotype" w:eastAsia="Palatino Linotype" w:hAnsi="Palatino Linotype" w:cs="Palatino Linotype"/>
        </w:rPr>
      </w:pPr>
      <w:r w:rsidRPr="00DF34DA">
        <w:rPr>
          <w:rFonts w:ascii="Palatino Linotype" w:eastAsia="Palatino Linotype" w:hAnsi="Palatino Linotype" w:cs="Palatino Linotype"/>
        </w:rPr>
        <w:t>Sirve como criterio orientador, por analogía, la Tesis I.7o.A.24 K (10a.), emanada del Séptimo Tribunal Colegiado en Materia Administrativa del Primer Circuito, cuyo título y contenido se comparten a continuación:</w:t>
      </w:r>
    </w:p>
    <w:p w14:paraId="396FE79B" w14:textId="77777777" w:rsidR="00E03924" w:rsidRPr="00DF34DA" w:rsidRDefault="00E03924" w:rsidP="00E03924">
      <w:pPr>
        <w:spacing w:before="240" w:after="240" w:line="276" w:lineRule="auto"/>
        <w:ind w:left="567" w:right="851"/>
        <w:jc w:val="both"/>
        <w:rPr>
          <w:rFonts w:ascii="Palatino Linotype" w:eastAsia="Palatino Linotype" w:hAnsi="Palatino Linotype" w:cs="Palatino Linotype"/>
          <w:i/>
          <w:sz w:val="22"/>
        </w:rPr>
      </w:pPr>
      <w:r w:rsidRPr="00DF34DA">
        <w:rPr>
          <w:rFonts w:ascii="Palatino Linotype" w:eastAsia="Palatino Linotype" w:hAnsi="Palatino Linotype" w:cs="Palatino Linotype"/>
          <w:i/>
          <w:sz w:val="22"/>
        </w:rPr>
        <w:t>“</w:t>
      </w:r>
      <w:r w:rsidRPr="00DF34DA">
        <w:rPr>
          <w:rFonts w:ascii="Palatino Linotype" w:eastAsia="Palatino Linotype" w:hAnsi="Palatino Linotype" w:cs="Palatino Linotype"/>
          <w:b/>
          <w:i/>
          <w:sz w:val="22"/>
        </w:rPr>
        <w:t>PRESUNCIÓN DE CERTEZA DEL ACTO RECLAMADO EN EL AMPARO. NO OPERA RESPECTO DE ACTOS FUTUROS, PROBABLES, REMOTOS O DE REALIZACIÓN INCIERTA</w:t>
      </w:r>
      <w:r w:rsidRPr="00DF34DA">
        <w:rPr>
          <w:rFonts w:ascii="Palatino Linotype" w:eastAsia="Palatino Linotype" w:hAnsi="Palatino Linotype" w:cs="Palatino Linotype"/>
          <w:i/>
          <w:sz w:val="22"/>
        </w:rPr>
        <w:t xml:space="preserve">. “La referida presunción, establecida en el  artículo 117, cuarto párrafo, de la ley de la materia, no opera tratándose de actos futuros, probables o remotos, en virtud de que, en primer lugar, </w:t>
      </w:r>
      <w:r w:rsidRPr="00DF34DA">
        <w:rPr>
          <w:rFonts w:ascii="Palatino Linotype" w:eastAsia="Palatino Linotype" w:hAnsi="Palatino Linotype" w:cs="Palatino Linotype"/>
          <w:i/>
          <w:sz w:val="22"/>
        </w:rPr>
        <w:lastRenderedPageBreak/>
        <w:t>si se presume cierto el acto por falta del informe justificado, aquél se desnaturalizaría (futuro probable), convirtiéndolo, por esa presunción, en futuro inminente y haciendo procedente un juicio que, dada la naturaleza del acto reclamado, es improcedente y, en segundo lugar, porque esa misma naturaleza actúa como prueba en contrario de la presunción de certeza. Así, para determinar lo conducente, el juzgador de amparo debe realizar el siguiente ejercicio: cerciorarse de que no exista informe justificado; ante su inexistencia, no debe, ipso facto, declarar la presunción indicada, pues antes debe analizar si está o no destruida por prueba en contrario. Para este efecto, debe estudiar integralmente la demanda, sus anexos y demás constancias de autos y, si de ese estudio advierte la confesión del quejoso en el sentido de que el acto es futuro, probable, remoto o de realización incierta, entonces concluirá, y así deberá plasmarlo en la sentencia, que la presunción de certeza está desvirtuada por confesión del propio particular, pues sería contrario a las reglas de la lógica y al raciocinio que, ante la falta de informe, se tenga por cierto un acto que no se tiene convicción de que lo sea y luego analizar si es o no inconstitucional en sí mismo.”</w:t>
      </w:r>
    </w:p>
    <w:p w14:paraId="15150811" w14:textId="77777777" w:rsidR="00080058" w:rsidRPr="00DF34DA" w:rsidRDefault="008F51C8" w:rsidP="00080058">
      <w:pPr>
        <w:spacing w:before="240" w:after="240" w:line="360" w:lineRule="auto"/>
        <w:ind w:right="49"/>
        <w:jc w:val="both"/>
        <w:rPr>
          <w:rFonts w:ascii="Palatino Linotype" w:eastAsia="Palatino Linotype" w:hAnsi="Palatino Linotype" w:cs="Palatino Linotype"/>
        </w:rPr>
      </w:pPr>
      <w:r w:rsidRPr="00DF34DA">
        <w:rPr>
          <w:rFonts w:ascii="Palatino Linotype" w:eastAsia="Palatino Linotype" w:hAnsi="Palatino Linotype" w:cs="Palatino Linotype"/>
        </w:rPr>
        <w:t>Es por todo lo expuesto que</w:t>
      </w:r>
      <w:r w:rsidR="00C3495C" w:rsidRPr="00DF34DA">
        <w:rPr>
          <w:rFonts w:ascii="Palatino Linotype" w:eastAsia="Palatino Linotype" w:hAnsi="Palatino Linotype" w:cs="Palatino Linotype"/>
        </w:rPr>
        <w:t xml:space="preserve"> resulta importante destacar </w:t>
      </w:r>
      <w:proofErr w:type="gramStart"/>
      <w:r w:rsidR="00C3495C" w:rsidRPr="00DF34DA">
        <w:rPr>
          <w:rFonts w:ascii="Palatino Linotype" w:eastAsia="Palatino Linotype" w:hAnsi="Palatino Linotype" w:cs="Palatino Linotype"/>
        </w:rPr>
        <w:t>que</w:t>
      </w:r>
      <w:proofErr w:type="gramEnd"/>
      <w:r w:rsidR="00C3495C" w:rsidRPr="00DF34DA">
        <w:rPr>
          <w:rFonts w:ascii="Palatino Linotype" w:eastAsia="Palatino Linotype" w:hAnsi="Palatino Linotype" w:cs="Palatino Linotype"/>
        </w:rPr>
        <w:t xml:space="preserve"> en efecto, el </w:t>
      </w:r>
      <w:r w:rsidR="00C3495C" w:rsidRPr="00DF34DA">
        <w:rPr>
          <w:rFonts w:ascii="Palatino Linotype" w:eastAsia="Palatino Linotype" w:hAnsi="Palatino Linotype" w:cs="Palatino Linotype"/>
          <w:b/>
        </w:rPr>
        <w:t>Sujeto Obligado</w:t>
      </w:r>
      <w:r w:rsidR="00C3495C" w:rsidRPr="00DF34DA">
        <w:rPr>
          <w:rFonts w:ascii="Palatino Linotype" w:eastAsia="Palatino Linotype" w:hAnsi="Palatino Linotype" w:cs="Palatino Linotype"/>
        </w:rPr>
        <w:t xml:space="preserve"> no garantizó el derecho de acceso a la información del particular, toda vez que dentro de los plazos establecidos por la legislación, no otorgó respuesta, aunado al hecho de que ya hubo una primera resolución que no fue atendida, por lo que en términos del marco normativo planteado, el </w:t>
      </w:r>
      <w:r w:rsidR="00C3495C" w:rsidRPr="00DF34DA">
        <w:rPr>
          <w:rFonts w:ascii="Palatino Linotype" w:eastAsia="Palatino Linotype" w:hAnsi="Palatino Linotype" w:cs="Palatino Linotype"/>
          <w:b/>
        </w:rPr>
        <w:t>Ayuntamiento de Zinacantepec</w:t>
      </w:r>
      <w:r w:rsidR="00C3495C" w:rsidRPr="00DF34DA">
        <w:rPr>
          <w:rFonts w:ascii="Palatino Linotype" w:eastAsia="Palatino Linotype" w:hAnsi="Palatino Linotype" w:cs="Palatino Linotype"/>
        </w:rPr>
        <w:t xml:space="preserve"> pued</w:t>
      </w:r>
      <w:r w:rsidR="00080058" w:rsidRPr="00DF34DA">
        <w:rPr>
          <w:rFonts w:ascii="Palatino Linotype" w:eastAsia="Palatino Linotype" w:hAnsi="Palatino Linotype" w:cs="Palatino Linotype"/>
        </w:rPr>
        <w:t>e generar, poseer o administrar, la siguiente información:</w:t>
      </w:r>
    </w:p>
    <w:p w14:paraId="62E33716" w14:textId="77777777" w:rsidR="005F7689" w:rsidRPr="00DF34DA" w:rsidRDefault="008F51C8" w:rsidP="005F7689">
      <w:pPr>
        <w:pStyle w:val="Prrafodelista"/>
        <w:tabs>
          <w:tab w:val="left" w:pos="4962"/>
        </w:tabs>
        <w:spacing w:line="276" w:lineRule="auto"/>
        <w:ind w:left="567" w:right="851"/>
        <w:jc w:val="both"/>
        <w:rPr>
          <w:rFonts w:ascii="Palatino Linotype" w:hAnsi="Palatino Linotype" w:cs="Tahoma"/>
          <w:b/>
          <w:bCs/>
          <w:i/>
          <w:iCs/>
        </w:rPr>
      </w:pPr>
      <w:r w:rsidRPr="00DF34DA">
        <w:rPr>
          <w:rFonts w:ascii="Palatino Linotype" w:hAnsi="Palatino Linotype" w:cs="Tahoma"/>
          <w:b/>
          <w:bCs/>
          <w:i/>
          <w:iCs/>
        </w:rPr>
        <w:t>•Copia de todos los convenios sin juicio de la materia laboral emitidos del 1 de enero al 5 de octubre de 2022.</w:t>
      </w:r>
    </w:p>
    <w:p w14:paraId="41C528B3" w14:textId="77777777" w:rsidR="00FE0AC2" w:rsidRPr="00DF34DA" w:rsidRDefault="00080058" w:rsidP="00080058">
      <w:pPr>
        <w:spacing w:before="240" w:after="240" w:line="360" w:lineRule="auto"/>
        <w:ind w:right="49"/>
        <w:jc w:val="both"/>
        <w:rPr>
          <w:rFonts w:ascii="Palatino Linotype" w:eastAsia="Palatino Linotype" w:hAnsi="Palatino Linotype" w:cs="Palatino Linotype"/>
        </w:rPr>
      </w:pPr>
      <w:r w:rsidRPr="00DF34DA">
        <w:rPr>
          <w:rFonts w:ascii="Palatino Linotype" w:eastAsia="Palatino Linotype" w:hAnsi="Palatino Linotype" w:cs="Palatino Linotype"/>
        </w:rPr>
        <w:t xml:space="preserve">Es por ello que se estima </w:t>
      </w:r>
      <w:r w:rsidR="00BA70CD" w:rsidRPr="00DF34DA">
        <w:rPr>
          <w:rFonts w:ascii="Palatino Linotype" w:eastAsia="Palatino Linotype" w:hAnsi="Palatino Linotype" w:cs="Palatino Linotype"/>
        </w:rPr>
        <w:t xml:space="preserve">pertinente ordenar al </w:t>
      </w:r>
      <w:r w:rsidR="00BA70CD" w:rsidRPr="00DF34DA">
        <w:rPr>
          <w:rFonts w:ascii="Palatino Linotype" w:eastAsia="Palatino Linotype" w:hAnsi="Palatino Linotype" w:cs="Palatino Linotype"/>
          <w:b/>
        </w:rPr>
        <w:t xml:space="preserve">Sujeto Obligado, la entrega de esta documentación, </w:t>
      </w:r>
      <w:r w:rsidR="00C3495C" w:rsidRPr="00DF34DA">
        <w:rPr>
          <w:rFonts w:ascii="Palatino Linotype" w:eastAsia="Palatino Linotype" w:hAnsi="Palatino Linotype" w:cs="Palatino Linotype"/>
        </w:rPr>
        <w:t xml:space="preserve">en versión pública de </w:t>
      </w:r>
      <w:r w:rsidR="00BA70CD" w:rsidRPr="00DF34DA">
        <w:rPr>
          <w:rFonts w:ascii="Palatino Linotype" w:eastAsia="Palatino Linotype" w:hAnsi="Palatino Linotype" w:cs="Palatino Linotype"/>
        </w:rPr>
        <w:t>ser procedente, ello conforme a lo que dispone el</w:t>
      </w:r>
      <w:r w:rsidR="00C3495C" w:rsidRPr="00DF34DA">
        <w:rPr>
          <w:rFonts w:ascii="Palatino Linotype" w:eastAsia="Palatino Linotype" w:hAnsi="Palatino Linotype" w:cs="Palatino Linotype"/>
        </w:rPr>
        <w:t xml:space="preserve"> siguiente considerando.</w:t>
      </w:r>
    </w:p>
    <w:p w14:paraId="43B72F79" w14:textId="77777777" w:rsidR="008F51C8" w:rsidRPr="00DF34DA" w:rsidRDefault="008F51C8" w:rsidP="008F51C8">
      <w:pPr>
        <w:spacing w:line="360" w:lineRule="auto"/>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b/>
          <w:lang w:val="es-ES" w:eastAsia="es-MX"/>
        </w:rPr>
        <w:lastRenderedPageBreak/>
        <w:t xml:space="preserve">Quinto. Versión Pública. </w:t>
      </w:r>
      <w:r w:rsidRPr="00DF34DA">
        <w:rPr>
          <w:rFonts w:ascii="Palatino Linotype" w:eastAsia="Palatino Linotype" w:hAnsi="Palatino Linotype" w:cs="Palatino Linotype"/>
          <w:lang w:val="es-ES" w:eastAsia="es-MX"/>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DF34DA">
        <w:rPr>
          <w:rFonts w:ascii="Palatino Linotype" w:eastAsia="Palatino Linotype" w:hAnsi="Palatino Linotype" w:cs="Palatino Linotype"/>
          <w:b/>
          <w:lang w:val="es-ES" w:eastAsia="es-MX"/>
        </w:rPr>
        <w:t>Sujeto Obligado</w:t>
      </w:r>
      <w:r w:rsidRPr="00DF34DA">
        <w:rPr>
          <w:rFonts w:ascii="Palatino Linotype" w:eastAsia="Palatino Linotype" w:hAnsi="Palatino Linotype" w:cs="Palatino Linotype"/>
          <w:lang w:val="es-ES" w:eastAsia="es-MX"/>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65A503A1" w14:textId="77777777" w:rsidR="008F51C8" w:rsidRPr="00DF34DA" w:rsidRDefault="008F51C8" w:rsidP="008F51C8">
      <w:pPr>
        <w:spacing w:before="240" w:after="240" w:line="360" w:lineRule="auto"/>
        <w:ind w:right="50"/>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lang w:val="es-ES"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06892D0E"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w:t>
      </w:r>
      <w:r w:rsidRPr="00DF34DA">
        <w:rPr>
          <w:rFonts w:ascii="Palatino Linotype" w:eastAsia="Palatino Linotype" w:hAnsi="Palatino Linotype" w:cs="Palatino Linotype"/>
          <w:b/>
          <w:i/>
          <w:sz w:val="22"/>
          <w:szCs w:val="22"/>
          <w:lang w:val="es-ES" w:eastAsia="es-MX"/>
        </w:rPr>
        <w:t>Artículo 3</w:t>
      </w:r>
      <w:r w:rsidRPr="00DF34DA">
        <w:rPr>
          <w:rFonts w:ascii="Palatino Linotype" w:eastAsia="Palatino Linotype" w:hAnsi="Palatino Linotype" w:cs="Palatino Linotype"/>
          <w:i/>
          <w:sz w:val="22"/>
          <w:szCs w:val="22"/>
          <w:lang w:val="es-ES" w:eastAsia="es-MX"/>
        </w:rPr>
        <w:t>. Para los efectos de la presente Ley se entenderá por:</w:t>
      </w:r>
    </w:p>
    <w:p w14:paraId="57922556"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w:t>
      </w:r>
    </w:p>
    <w:p w14:paraId="1CAF3760"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IX. Datos personales:</w:t>
      </w:r>
      <w:r w:rsidRPr="00DF34DA">
        <w:rPr>
          <w:rFonts w:ascii="Palatino Linotype" w:eastAsia="Palatino Linotype" w:hAnsi="Palatino Linotype" w:cs="Palatino Linotype"/>
          <w:i/>
          <w:sz w:val="22"/>
          <w:szCs w:val="22"/>
          <w:lang w:val="es-ES" w:eastAsia="es-MX"/>
        </w:rPr>
        <w:t xml:space="preserve"> La información concerniente a una persona, identificada o identificable según lo dispuesto por la Ley de Protección de Datos Personales del Estado de México; </w:t>
      </w:r>
    </w:p>
    <w:p w14:paraId="08EC1D45"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XX. Información clasificada</w:t>
      </w:r>
      <w:r w:rsidRPr="00DF34DA">
        <w:rPr>
          <w:rFonts w:ascii="Palatino Linotype" w:eastAsia="Palatino Linotype" w:hAnsi="Palatino Linotype" w:cs="Palatino Linotype"/>
          <w:i/>
          <w:sz w:val="22"/>
          <w:szCs w:val="22"/>
          <w:lang w:val="es-ES" w:eastAsia="es-MX"/>
        </w:rPr>
        <w:t>: Aquella considerada por la presente Ley como reservada o confidencial;</w:t>
      </w:r>
    </w:p>
    <w:p w14:paraId="652B86CD"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XXI. Información confidencial:</w:t>
      </w:r>
      <w:r w:rsidRPr="00DF34DA">
        <w:rPr>
          <w:rFonts w:ascii="Palatino Linotype" w:eastAsia="Palatino Linotype" w:hAnsi="Palatino Linotype" w:cs="Palatino Linotype"/>
          <w:i/>
          <w:sz w:val="22"/>
          <w:szCs w:val="22"/>
          <w:lang w:val="es-ES"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DF6327"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XLV. Versión pública:</w:t>
      </w:r>
      <w:r w:rsidRPr="00DF34DA">
        <w:rPr>
          <w:rFonts w:ascii="Palatino Linotype" w:eastAsia="Palatino Linotype" w:hAnsi="Palatino Linotype" w:cs="Palatino Linotype"/>
          <w:i/>
          <w:sz w:val="22"/>
          <w:szCs w:val="22"/>
          <w:lang w:val="es-ES" w:eastAsia="es-MX"/>
        </w:rPr>
        <w:t xml:space="preserve"> Documento en el que se elimine, suprime o borra la información clasificada como reservada o confidencial para permitir su acceso.</w:t>
      </w:r>
    </w:p>
    <w:p w14:paraId="01EBB29A"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w:t>
      </w:r>
    </w:p>
    <w:p w14:paraId="4A2F72D8"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lastRenderedPageBreak/>
        <w:t xml:space="preserve">Artículo 91. </w:t>
      </w:r>
      <w:r w:rsidRPr="00DF34DA">
        <w:rPr>
          <w:rFonts w:ascii="Palatino Linotype" w:eastAsia="Palatino Linotype" w:hAnsi="Palatino Linotype" w:cs="Palatino Linotype"/>
          <w:i/>
          <w:sz w:val="22"/>
          <w:szCs w:val="22"/>
          <w:lang w:val="es-ES" w:eastAsia="es-MX"/>
        </w:rPr>
        <w:t>El acceso a la información pública será restringido excepcionalmente, cuando ésta sea clasificada como reservada o confidencial.</w:t>
      </w:r>
    </w:p>
    <w:p w14:paraId="1955AB74"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 xml:space="preserve">Artículo 132. </w:t>
      </w:r>
      <w:r w:rsidRPr="00DF34DA">
        <w:rPr>
          <w:rFonts w:ascii="Palatino Linotype" w:eastAsia="Palatino Linotype" w:hAnsi="Palatino Linotype" w:cs="Palatino Linotype"/>
          <w:i/>
          <w:sz w:val="22"/>
          <w:szCs w:val="22"/>
          <w:lang w:val="es-ES" w:eastAsia="es-MX"/>
        </w:rPr>
        <w:t>La clasificación de la información se llevará a cabo en el momento en que:</w:t>
      </w:r>
    </w:p>
    <w:p w14:paraId="069F499A"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w:t>
      </w:r>
      <w:r w:rsidRPr="00DF34DA">
        <w:rPr>
          <w:rFonts w:ascii="Palatino Linotype" w:eastAsia="Palatino Linotype" w:hAnsi="Palatino Linotype" w:cs="Palatino Linotype"/>
          <w:i/>
          <w:sz w:val="22"/>
          <w:szCs w:val="22"/>
          <w:lang w:val="es-ES" w:eastAsia="es-MX"/>
        </w:rPr>
        <w:t>. Se reciba una solicitud de acceso a la información;</w:t>
      </w:r>
    </w:p>
    <w:p w14:paraId="27D73EDC"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II</w:t>
      </w:r>
      <w:r w:rsidRPr="00DF34DA">
        <w:rPr>
          <w:rFonts w:ascii="Palatino Linotype" w:eastAsia="Palatino Linotype" w:hAnsi="Palatino Linotype" w:cs="Palatino Linotype"/>
          <w:i/>
          <w:sz w:val="22"/>
          <w:szCs w:val="22"/>
          <w:lang w:val="es-ES" w:eastAsia="es-MX"/>
        </w:rPr>
        <w:t>. Se determine mediante resolución de autoridad competente; o</w:t>
      </w:r>
    </w:p>
    <w:p w14:paraId="07935451"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III</w:t>
      </w:r>
      <w:r w:rsidRPr="00DF34DA">
        <w:rPr>
          <w:rFonts w:ascii="Palatino Linotype" w:eastAsia="Palatino Linotype" w:hAnsi="Palatino Linotype" w:cs="Palatino Linotype"/>
          <w:i/>
          <w:sz w:val="22"/>
          <w:szCs w:val="22"/>
          <w:lang w:val="es-ES" w:eastAsia="es-MX"/>
        </w:rPr>
        <w:t>. Se generen versiones públicas para dar cumplimiento a las obligaciones de transparencia previstas en esta Ley.</w:t>
      </w:r>
    </w:p>
    <w:p w14:paraId="3A166B76"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w:t>
      </w:r>
    </w:p>
    <w:p w14:paraId="09256503"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Artículo 143</w:t>
      </w:r>
      <w:r w:rsidRPr="00DF34DA">
        <w:rPr>
          <w:rFonts w:ascii="Palatino Linotype" w:eastAsia="Palatino Linotype" w:hAnsi="Palatino Linotype" w:cs="Palatino Linotype"/>
          <w:i/>
          <w:sz w:val="22"/>
          <w:szCs w:val="22"/>
          <w:lang w:val="es-ES" w:eastAsia="es-MX"/>
        </w:rPr>
        <w:t>. Para los efectos de esta Ley se considera información confidencial, la clasificada como tal, de manera permanente, por su naturaleza, cuando:</w:t>
      </w:r>
    </w:p>
    <w:p w14:paraId="7AA0E114"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w:t>
      </w:r>
      <w:r w:rsidRPr="00DF34DA">
        <w:rPr>
          <w:rFonts w:ascii="Palatino Linotype" w:eastAsia="Palatino Linotype" w:hAnsi="Palatino Linotype" w:cs="Palatino Linotype"/>
          <w:i/>
          <w:sz w:val="22"/>
          <w:szCs w:val="22"/>
          <w:lang w:val="es-ES" w:eastAsia="es-MX"/>
        </w:rPr>
        <w:t xml:space="preserve"> Se refiera a la información privada y los datos personales concernientes a una persona física o jurídico colectiva identificada o identificable;</w:t>
      </w:r>
    </w:p>
    <w:p w14:paraId="08E7B6ED"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II.</w:t>
      </w:r>
      <w:r w:rsidRPr="00DF34DA">
        <w:rPr>
          <w:rFonts w:ascii="Palatino Linotype" w:eastAsia="Palatino Linotype" w:hAnsi="Palatino Linotype" w:cs="Palatino Linotype"/>
          <w:i/>
          <w:sz w:val="22"/>
          <w:szCs w:val="22"/>
          <w:lang w:val="es-ES"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C6162E9"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III</w:t>
      </w:r>
      <w:r w:rsidRPr="00DF34DA">
        <w:rPr>
          <w:rFonts w:ascii="Palatino Linotype" w:eastAsia="Palatino Linotype" w:hAnsi="Palatino Linotype" w:cs="Palatino Linotype"/>
          <w:i/>
          <w:sz w:val="22"/>
          <w:szCs w:val="22"/>
          <w:lang w:val="es-ES" w:eastAsia="es-MX"/>
        </w:rPr>
        <w:t>. La que presenten los particulares a los sujetos obligados, de conformidad con lo dispuesto por las leyes o los tratados internacionales.</w:t>
      </w:r>
    </w:p>
    <w:p w14:paraId="7F1C630D"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F10E4D4" w14:textId="77777777" w:rsidR="008F51C8" w:rsidRPr="00DF34DA" w:rsidRDefault="008F51C8" w:rsidP="008F51C8">
      <w:pPr>
        <w:spacing w:before="120" w:after="120"/>
        <w:ind w:left="567" w:right="902"/>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462783A3" w14:textId="77777777" w:rsidR="008F51C8" w:rsidRPr="00DF34DA" w:rsidRDefault="008F51C8" w:rsidP="008F51C8">
      <w:pPr>
        <w:spacing w:before="240" w:after="240" w:line="360" w:lineRule="auto"/>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lang w:val="es-ES" w:eastAsia="es-MX"/>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DF34DA">
        <w:rPr>
          <w:rFonts w:ascii="Palatino Linotype" w:eastAsia="Palatino Linotype" w:hAnsi="Palatino Linotype" w:cs="Palatino Linotype"/>
          <w:lang w:val="es-ES" w:eastAsia="es-MX"/>
        </w:rPr>
        <w:lastRenderedPageBreak/>
        <w:t>como reservada o confidencial la información que posean, desclasificarán y generarán, en su caso, versiones públicas de expedientes o documentos que contengan partes o secciones clasificadas.</w:t>
      </w:r>
    </w:p>
    <w:p w14:paraId="74F1F055" w14:textId="77777777" w:rsidR="008F51C8" w:rsidRPr="00DF34DA" w:rsidRDefault="008F51C8" w:rsidP="008F51C8">
      <w:pPr>
        <w:spacing w:line="360" w:lineRule="auto"/>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lang w:val="es-ES" w:eastAsia="es-MX"/>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DF34DA">
        <w:rPr>
          <w:rFonts w:ascii="Palatino Linotype" w:eastAsia="Palatino Linotype" w:hAnsi="Palatino Linotype" w:cs="Palatino Linotype"/>
          <w:b/>
          <w:lang w:val="es-ES" w:eastAsia="es-MX"/>
        </w:rPr>
        <w:t>Sujeto Obligado</w:t>
      </w:r>
      <w:r w:rsidRPr="00DF34DA">
        <w:rPr>
          <w:rFonts w:ascii="Palatino Linotype" w:eastAsia="Palatino Linotype" w:hAnsi="Palatino Linotype" w:cs="Palatino Linotype"/>
          <w:lang w:val="es-ES" w:eastAsia="es-MX"/>
        </w:rPr>
        <w:t>, siendo estas las siguientes:</w:t>
      </w:r>
    </w:p>
    <w:p w14:paraId="009DF135" w14:textId="77777777" w:rsidR="008F51C8" w:rsidRPr="00DF34DA" w:rsidRDefault="008F51C8" w:rsidP="008F51C8">
      <w:pPr>
        <w:spacing w:line="360" w:lineRule="auto"/>
        <w:jc w:val="both"/>
        <w:rPr>
          <w:rFonts w:ascii="Palatino Linotype" w:eastAsia="Palatino Linotype" w:hAnsi="Palatino Linotype" w:cs="Palatino Linotype"/>
          <w:lang w:val="es-ES" w:eastAsia="es-MX"/>
        </w:rPr>
      </w:pPr>
    </w:p>
    <w:p w14:paraId="463B2956" w14:textId="77777777" w:rsidR="008F51C8" w:rsidRPr="00DF34DA" w:rsidRDefault="008F51C8" w:rsidP="008F51C8">
      <w:pPr>
        <w:spacing w:line="276" w:lineRule="auto"/>
        <w:ind w:left="567"/>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“CAPÍTULO VIII </w:t>
      </w:r>
    </w:p>
    <w:p w14:paraId="66ADB317" w14:textId="77777777" w:rsidR="008F51C8" w:rsidRPr="00DF34DA" w:rsidRDefault="008F51C8" w:rsidP="008F51C8">
      <w:pPr>
        <w:spacing w:line="276" w:lineRule="auto"/>
        <w:ind w:left="567"/>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DE LOS ELEMENTOS PARA LA CLASIFICACIÓN </w:t>
      </w:r>
    </w:p>
    <w:p w14:paraId="30BC5F69" w14:textId="77777777" w:rsidR="008F51C8" w:rsidRPr="00DF34DA" w:rsidRDefault="008F51C8" w:rsidP="008F51C8">
      <w:pP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Quincuagésimo.</w:t>
      </w:r>
      <w:r w:rsidRPr="00DF34DA">
        <w:rPr>
          <w:rFonts w:ascii="Palatino Linotype" w:eastAsia="Palatino Linotype" w:hAnsi="Palatino Linotype" w:cs="Palatino Linotype"/>
          <w:i/>
          <w:sz w:val="22"/>
          <w:szCs w:val="22"/>
          <w:lang w:val="es-ES" w:eastAsia="es-MX"/>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5A501C1" w14:textId="77777777" w:rsidR="008F51C8" w:rsidRPr="00DF34DA" w:rsidRDefault="008F51C8" w:rsidP="008F51C8">
      <w:pP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Quincuagésimo primero.</w:t>
      </w:r>
      <w:r w:rsidRPr="00DF34DA">
        <w:rPr>
          <w:rFonts w:ascii="Palatino Linotype" w:eastAsia="Palatino Linotype" w:hAnsi="Palatino Linotype" w:cs="Palatino Linotype"/>
          <w:i/>
          <w:sz w:val="22"/>
          <w:szCs w:val="22"/>
          <w:lang w:val="es-ES" w:eastAsia="es-MX"/>
        </w:rPr>
        <w:t xml:space="preserve"> Toda acta del Comité de Transparencia deberá contener: </w:t>
      </w:r>
    </w:p>
    <w:p w14:paraId="6641354F" w14:textId="77777777" w:rsidR="008F51C8" w:rsidRPr="00DF34DA" w:rsidRDefault="008F51C8" w:rsidP="008F51C8">
      <w:pPr>
        <w:numPr>
          <w:ilvl w:val="1"/>
          <w:numId w:val="24"/>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El número de sesión y fecha; </w:t>
      </w:r>
    </w:p>
    <w:p w14:paraId="6EA6FCA0" w14:textId="77777777" w:rsidR="008F51C8" w:rsidRPr="00DF34DA" w:rsidRDefault="008F51C8" w:rsidP="008F51C8">
      <w:pPr>
        <w:numPr>
          <w:ilvl w:val="1"/>
          <w:numId w:val="2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El nombre del área que solicitó la clasificación de información; </w:t>
      </w:r>
    </w:p>
    <w:p w14:paraId="173679AB" w14:textId="77777777" w:rsidR="008F51C8" w:rsidRPr="00DF34DA" w:rsidRDefault="008F51C8" w:rsidP="008F51C8">
      <w:pPr>
        <w:numPr>
          <w:ilvl w:val="1"/>
          <w:numId w:val="2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La fundamentación legal y motivación correspondiente; </w:t>
      </w:r>
    </w:p>
    <w:p w14:paraId="1FE64C32" w14:textId="77777777" w:rsidR="008F51C8" w:rsidRPr="00DF34DA" w:rsidRDefault="008F51C8" w:rsidP="008F51C8">
      <w:pPr>
        <w:numPr>
          <w:ilvl w:val="1"/>
          <w:numId w:val="2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La resolución o resoluciones aprobadas; y </w:t>
      </w:r>
    </w:p>
    <w:p w14:paraId="6105E10B" w14:textId="77777777" w:rsidR="008F51C8" w:rsidRPr="00DF34DA" w:rsidRDefault="008F51C8" w:rsidP="008F51C8">
      <w:pPr>
        <w:numPr>
          <w:ilvl w:val="1"/>
          <w:numId w:val="2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La rúbrica o firma digital de cada integrante del Comité de Transparencia. </w:t>
      </w:r>
    </w:p>
    <w:p w14:paraId="39975CC1"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Las resoluciones del Comité en las que se haya determinado confirmar o modificar la clasificación de información pública como reservada, deberán incluir, cuando menos: </w:t>
      </w:r>
    </w:p>
    <w:p w14:paraId="7ECE3851"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I. Los motivos y razonamientos que sustenten la confirmación o modificación de la prueba de daño;</w:t>
      </w:r>
    </w:p>
    <w:p w14:paraId="48538452"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II. Descripción de las partes o secciones reservadas, en caso de clasificación parcial; </w:t>
      </w:r>
    </w:p>
    <w:p w14:paraId="4708123C"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III. El periodo por el que mantendrá su clasificación y fecha de expiración; y </w:t>
      </w:r>
    </w:p>
    <w:p w14:paraId="1BB05679"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 xml:space="preserve">IV. El nombre del titular y área encargada de realizar la versión pública del documento, en su caso. </w:t>
      </w:r>
    </w:p>
    <w:p w14:paraId="56F22F28"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lastRenderedPageBreak/>
        <w:t xml:space="preserve">En los casos en que se clasifique la información como reservada siempre se entregará o anexará la prueba de daño con la respuesta al solicitante. </w:t>
      </w:r>
    </w:p>
    <w:p w14:paraId="2407EB26"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eastAsia="es-MX"/>
        </w:rPr>
      </w:pPr>
      <w:r w:rsidRPr="00DF34DA">
        <w:rPr>
          <w:rFonts w:ascii="Palatino Linotype" w:eastAsia="Palatino Linotype" w:hAnsi="Palatino Linotype" w:cs="Palatino Linotype"/>
          <w:b/>
          <w:i/>
          <w:sz w:val="22"/>
          <w:szCs w:val="22"/>
          <w:lang w:val="es-ES"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5ED4CD92"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 xml:space="preserve">Quincuagésimo segundo. </w:t>
      </w:r>
      <w:r w:rsidRPr="00DF34DA">
        <w:rPr>
          <w:rFonts w:ascii="Palatino Linotype" w:eastAsia="Palatino Linotype" w:hAnsi="Palatino Linotype" w:cs="Palatino Linotype"/>
          <w:i/>
          <w:sz w:val="22"/>
          <w:szCs w:val="22"/>
          <w:lang w:val="es-ES" w:eastAsia="es-MX"/>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4DF3FCB"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En el caso específico de la clasificación y elaboración de versiones públicas de documentos que contengan información confidencial, las áreas de los sujetos obligados deberán:</w:t>
      </w:r>
    </w:p>
    <w:p w14:paraId="239F1BD9"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I. Fijar la fecha en que se elaboró la versión pública y la fecha en la cual el Comité de</w:t>
      </w:r>
    </w:p>
    <w:p w14:paraId="29FC2A27"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Transparencia confirmó dicha versión;</w:t>
      </w:r>
    </w:p>
    <w:p w14:paraId="49E9D73C"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II. Señalar dentro del documento el tipo de información confidencial que fue testada en cada caso específico, de conformidad con el lineamiento trigésimo octavo; y</w:t>
      </w:r>
    </w:p>
    <w:p w14:paraId="2AF2F410"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III. Señalar las personas o instancias autorizadas a acceder a la información clasificada.</w:t>
      </w:r>
    </w:p>
    <w:p w14:paraId="4589C66E"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i/>
          <w:sz w:val="22"/>
          <w:szCs w:val="22"/>
          <w:lang w:val="es-ES" w:eastAsia="es-MX"/>
        </w:rPr>
        <w:t>En los documentos de difusión electrónica, señalar en la primera hoja y en el nombre del archivo, que la versión pública corresponde a un documento que contiene información confidencial.</w:t>
      </w:r>
      <w:r w:rsidRPr="00DF34DA">
        <w:rPr>
          <w:noProof/>
          <w:lang w:eastAsia="es-MX"/>
        </w:rPr>
        <w:drawing>
          <wp:anchor distT="0" distB="0" distL="114300" distR="114300" simplePos="0" relativeHeight="251659264" behindDoc="0" locked="0" layoutInCell="1" hidden="0" allowOverlap="1" wp14:anchorId="73801F08" wp14:editId="15336866">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518E41C7"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eastAsia="es-MX"/>
        </w:rPr>
      </w:pPr>
      <w:r w:rsidRPr="00DF34DA">
        <w:rPr>
          <w:rFonts w:ascii="Palatino Linotype" w:eastAsia="Palatino Linotype" w:hAnsi="Palatino Linotype" w:cs="Palatino Linotype"/>
          <w:b/>
          <w:i/>
          <w:noProof/>
          <w:sz w:val="22"/>
          <w:szCs w:val="22"/>
          <w:lang w:eastAsia="es-MX"/>
        </w:rPr>
        <w:lastRenderedPageBreak/>
        <w:drawing>
          <wp:inline distT="0" distB="0" distL="0" distR="0" wp14:anchorId="7038D982" wp14:editId="4FFD42DE">
            <wp:extent cx="4576404" cy="5139653"/>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14:paraId="597E44A3"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eastAsia="es-MX"/>
        </w:rPr>
      </w:pPr>
    </w:p>
    <w:p w14:paraId="5C1BF6C8"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 xml:space="preserve">Quincuagésimo cuarto. </w:t>
      </w:r>
      <w:r w:rsidRPr="00DF34DA">
        <w:rPr>
          <w:rFonts w:ascii="Palatino Linotype" w:eastAsia="Palatino Linotype" w:hAnsi="Palatino Linotype" w:cs="Palatino Linotype"/>
          <w:i/>
          <w:sz w:val="22"/>
          <w:szCs w:val="22"/>
          <w:lang w:val="es-ES"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7D74121"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eastAsia="es-MX"/>
        </w:rPr>
      </w:pPr>
    </w:p>
    <w:p w14:paraId="57EA6D19" w14:textId="77777777" w:rsidR="008F51C8" w:rsidRPr="00DF34DA" w:rsidRDefault="008F51C8" w:rsidP="008F51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eastAsia="es-MX"/>
        </w:rPr>
      </w:pPr>
      <w:r w:rsidRPr="00DF34DA">
        <w:rPr>
          <w:rFonts w:ascii="Palatino Linotype" w:eastAsia="Palatino Linotype" w:hAnsi="Palatino Linotype" w:cs="Palatino Linotype"/>
          <w:b/>
          <w:i/>
          <w:sz w:val="22"/>
          <w:szCs w:val="22"/>
          <w:lang w:val="es-ES" w:eastAsia="es-MX"/>
        </w:rPr>
        <w:t xml:space="preserve">Quincuagésimo quinto. </w:t>
      </w:r>
      <w:r w:rsidRPr="00DF34DA">
        <w:rPr>
          <w:rFonts w:ascii="Palatino Linotype" w:eastAsia="Palatino Linotype" w:hAnsi="Palatino Linotype" w:cs="Palatino Linotype"/>
          <w:i/>
          <w:sz w:val="22"/>
          <w:szCs w:val="22"/>
          <w:lang w:val="es-ES" w:eastAsia="es-MX"/>
        </w:rPr>
        <w:t xml:space="preserve">Cada área del sujeto obligado podrá designar formalmente a una o más personas como responsables del </w:t>
      </w:r>
      <w:proofErr w:type="spellStart"/>
      <w:r w:rsidRPr="00DF34DA">
        <w:rPr>
          <w:rFonts w:ascii="Palatino Linotype" w:eastAsia="Palatino Linotype" w:hAnsi="Palatino Linotype" w:cs="Palatino Linotype"/>
          <w:i/>
          <w:sz w:val="22"/>
          <w:szCs w:val="22"/>
          <w:lang w:val="es-ES" w:eastAsia="es-MX"/>
        </w:rPr>
        <w:t>testado</w:t>
      </w:r>
      <w:proofErr w:type="spellEnd"/>
      <w:r w:rsidRPr="00DF34DA">
        <w:rPr>
          <w:rFonts w:ascii="Palatino Linotype" w:eastAsia="Palatino Linotype" w:hAnsi="Palatino Linotype" w:cs="Palatino Linotype"/>
          <w:i/>
          <w:sz w:val="22"/>
          <w:szCs w:val="22"/>
          <w:lang w:val="es-ES" w:eastAsia="es-MX"/>
        </w:rPr>
        <w:t xml:space="preserve">, que sean encargadas de la adecuada elaboración o supervisión de las versiones públicas de los documentos o expedientes, verificando que cumplan con los requisitos señalados en las Leyes </w:t>
      </w:r>
      <w:r w:rsidRPr="00DF34DA">
        <w:rPr>
          <w:rFonts w:ascii="Palatino Linotype" w:eastAsia="Palatino Linotype" w:hAnsi="Palatino Linotype" w:cs="Palatino Linotype"/>
          <w:i/>
          <w:sz w:val="22"/>
          <w:szCs w:val="22"/>
          <w:lang w:val="es-ES" w:eastAsia="es-MX"/>
        </w:rPr>
        <w:lastRenderedPageBreak/>
        <w:t xml:space="preserve">Generales, los presentes Lineamientos y demás normativa aplicable antes de su confirmación por el Comité de Transparencia.” (Sic) (Énfasis añadido) </w:t>
      </w:r>
    </w:p>
    <w:p w14:paraId="57683751" w14:textId="77777777" w:rsidR="000E76A2" w:rsidRPr="00DF34DA" w:rsidRDefault="008F51C8">
      <w:pPr>
        <w:spacing w:before="240" w:after="240" w:line="360" w:lineRule="auto"/>
        <w:jc w:val="both"/>
        <w:rPr>
          <w:rFonts w:ascii="Palatino Linotype" w:eastAsia="Palatino Linotype" w:hAnsi="Palatino Linotype" w:cs="Palatino Linotype"/>
          <w:lang w:val="es-ES" w:eastAsia="es-MX"/>
        </w:rPr>
      </w:pPr>
      <w:r w:rsidRPr="00DF34DA">
        <w:rPr>
          <w:rFonts w:ascii="Palatino Linotype" w:eastAsia="Palatino Linotype" w:hAnsi="Palatino Linotype" w:cs="Palatino Linotype"/>
          <w:lang w:val="es-ES"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F34DA">
        <w:rPr>
          <w:rFonts w:ascii="Palatino Linotype" w:eastAsia="Palatino Linotype" w:hAnsi="Palatino Linotype" w:cs="Palatino Linotype"/>
          <w:b/>
          <w:lang w:val="es-ES" w:eastAsia="es-MX"/>
        </w:rPr>
        <w:t>Sujeto Obligado</w:t>
      </w:r>
      <w:r w:rsidRPr="00DF34DA">
        <w:rPr>
          <w:rFonts w:ascii="Palatino Linotype" w:eastAsia="Palatino Linotype" w:hAnsi="Palatino Linotype" w:cs="Palatino Linotype"/>
          <w:lang w:val="es-ES" w:eastAsia="es-MX"/>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41EF318"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rPr>
        <w:t>Así, con fundamento en lo prescrito en los</w:t>
      </w:r>
      <w:r w:rsidRPr="00DF34DA">
        <w:t xml:space="preserve"> </w:t>
      </w:r>
      <w:r w:rsidRPr="00DF34DA">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260C34C" w14:textId="77777777" w:rsidR="00FE0AC2" w:rsidRPr="00DF34DA" w:rsidRDefault="00C3495C">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DF34DA">
        <w:rPr>
          <w:rFonts w:ascii="Palatino Linotype" w:eastAsia="Palatino Linotype" w:hAnsi="Palatino Linotype" w:cs="Palatino Linotype"/>
          <w:b/>
        </w:rPr>
        <w:t>III. R E S U E L V E</w:t>
      </w:r>
    </w:p>
    <w:p w14:paraId="153123D0" w14:textId="77777777" w:rsidR="00FE0AC2" w:rsidRPr="00DF34DA" w:rsidRDefault="00C3495C">
      <w:pPr>
        <w:spacing w:line="360" w:lineRule="auto"/>
        <w:ind w:right="49"/>
        <w:jc w:val="both"/>
        <w:rPr>
          <w:rFonts w:ascii="Palatino Linotype" w:eastAsia="Palatino Linotype" w:hAnsi="Palatino Linotype" w:cs="Palatino Linotype"/>
        </w:rPr>
      </w:pPr>
      <w:bookmarkStart w:id="3" w:name="_heading=h.3znysh7" w:colFirst="0" w:colLast="0"/>
      <w:bookmarkEnd w:id="3"/>
      <w:r w:rsidRPr="00DF34DA">
        <w:rPr>
          <w:rFonts w:ascii="Palatino Linotype" w:eastAsia="Palatino Linotype" w:hAnsi="Palatino Linotype" w:cs="Palatino Linotype"/>
          <w:b/>
        </w:rPr>
        <w:t>Primero.</w:t>
      </w:r>
      <w:r w:rsidRPr="00DF34DA">
        <w:rPr>
          <w:rFonts w:ascii="Palatino Linotype" w:eastAsia="Palatino Linotype" w:hAnsi="Palatino Linotype" w:cs="Palatino Linotype"/>
          <w:sz w:val="22"/>
          <w:szCs w:val="22"/>
        </w:rPr>
        <w:t xml:space="preserve"> </w:t>
      </w:r>
      <w:r w:rsidRPr="00DF34DA">
        <w:rPr>
          <w:rFonts w:ascii="Palatino Linotype" w:eastAsia="Palatino Linotype" w:hAnsi="Palatino Linotype" w:cs="Palatino Linotype"/>
        </w:rPr>
        <w:t xml:space="preserve">Resultan </w:t>
      </w:r>
      <w:r w:rsidRPr="00DF34DA">
        <w:rPr>
          <w:rFonts w:ascii="Palatino Linotype" w:eastAsia="Palatino Linotype" w:hAnsi="Palatino Linotype" w:cs="Palatino Linotype"/>
          <w:b/>
        </w:rPr>
        <w:t>fundadas</w:t>
      </w:r>
      <w:r w:rsidRPr="00DF34DA">
        <w:rPr>
          <w:rFonts w:ascii="Palatino Linotype" w:eastAsia="Palatino Linotype" w:hAnsi="Palatino Linotype" w:cs="Palatino Linotype"/>
        </w:rPr>
        <w:t xml:space="preserve"> las razones o motivos de inconformidad hechos valer por </w:t>
      </w:r>
      <w:r w:rsidRPr="00DF34DA">
        <w:rPr>
          <w:rFonts w:ascii="Palatino Linotype" w:eastAsia="Palatino Linotype" w:hAnsi="Palatino Linotype" w:cs="Palatino Linotype"/>
          <w:b/>
        </w:rPr>
        <w:t xml:space="preserve">la parte Recurrente, </w:t>
      </w:r>
      <w:r w:rsidRPr="00DF34DA">
        <w:rPr>
          <w:rFonts w:ascii="Palatino Linotype" w:eastAsia="Palatino Linotype" w:hAnsi="Palatino Linotype" w:cs="Palatino Linotype"/>
        </w:rPr>
        <w:t>en el recurso de revisión</w:t>
      </w:r>
      <w:r w:rsidRPr="00DF34DA">
        <w:rPr>
          <w:rFonts w:ascii="Palatino Linotype" w:eastAsia="Palatino Linotype" w:hAnsi="Palatino Linotype" w:cs="Palatino Linotype"/>
          <w:b/>
        </w:rPr>
        <w:t xml:space="preserve"> </w:t>
      </w:r>
      <w:r w:rsidR="008F51C8" w:rsidRPr="00DF34DA">
        <w:rPr>
          <w:rFonts w:ascii="Palatino Linotype" w:eastAsia="Palatino Linotype" w:hAnsi="Palatino Linotype" w:cs="Palatino Linotype"/>
          <w:b/>
          <w:sz w:val="22"/>
          <w:szCs w:val="22"/>
        </w:rPr>
        <w:t>16204/INFOEM/ICR-81/IP/RR/2022</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 xml:space="preserve">en términos del </w:t>
      </w:r>
      <w:r w:rsidRPr="00DF34DA">
        <w:rPr>
          <w:rFonts w:ascii="Palatino Linotype" w:eastAsia="Palatino Linotype" w:hAnsi="Palatino Linotype" w:cs="Palatino Linotype"/>
          <w:b/>
        </w:rPr>
        <w:t>Considerando</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 xml:space="preserve">Cuarto </w:t>
      </w:r>
      <w:r w:rsidRPr="00DF34DA">
        <w:rPr>
          <w:rFonts w:ascii="Palatino Linotype" w:eastAsia="Palatino Linotype" w:hAnsi="Palatino Linotype" w:cs="Palatino Linotype"/>
        </w:rPr>
        <w:t>de la presente resolución.</w:t>
      </w:r>
    </w:p>
    <w:p w14:paraId="193796F1" w14:textId="77777777" w:rsidR="00FE0AC2" w:rsidRPr="00DF34DA" w:rsidRDefault="00FE0AC2">
      <w:pPr>
        <w:spacing w:line="360" w:lineRule="auto"/>
        <w:jc w:val="both"/>
        <w:rPr>
          <w:rFonts w:ascii="Palatino Linotype" w:eastAsia="Palatino Linotype" w:hAnsi="Palatino Linotype" w:cs="Palatino Linotype"/>
          <w:b/>
        </w:rPr>
      </w:pPr>
    </w:p>
    <w:p w14:paraId="04A64DC2" w14:textId="77777777" w:rsidR="00393C65" w:rsidRPr="00DF34DA" w:rsidRDefault="00C3495C" w:rsidP="00393C65">
      <w:pPr>
        <w:spacing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lastRenderedPageBreak/>
        <w:t>Segundo</w:t>
      </w:r>
      <w:r w:rsidRPr="00DF34DA">
        <w:rPr>
          <w:rFonts w:ascii="Palatino Linotype" w:eastAsia="Palatino Linotype" w:hAnsi="Palatino Linotype" w:cs="Palatino Linotype"/>
        </w:rPr>
        <w:t>. Se</w:t>
      </w:r>
      <w:r w:rsidRPr="00DF34DA">
        <w:rPr>
          <w:rFonts w:ascii="Palatino Linotype" w:eastAsia="Palatino Linotype" w:hAnsi="Palatino Linotype" w:cs="Palatino Linotype"/>
          <w:b/>
        </w:rPr>
        <w:t> ORDENA </w:t>
      </w:r>
      <w:r w:rsidRPr="00DF34DA">
        <w:rPr>
          <w:rFonts w:ascii="Palatino Linotype" w:eastAsia="Palatino Linotype" w:hAnsi="Palatino Linotype" w:cs="Palatino Linotype"/>
        </w:rPr>
        <w:t xml:space="preserve">al </w:t>
      </w:r>
      <w:r w:rsidRPr="00DF34DA">
        <w:rPr>
          <w:rFonts w:ascii="Palatino Linotype" w:eastAsia="Palatino Linotype" w:hAnsi="Palatino Linotype" w:cs="Palatino Linotype"/>
          <w:b/>
        </w:rPr>
        <w:t xml:space="preserve">Sujeto Obligado, </w:t>
      </w:r>
      <w:r w:rsidRPr="00DF34DA">
        <w:rPr>
          <w:rFonts w:ascii="Palatino Linotype" w:eastAsia="Palatino Linotype" w:hAnsi="Palatino Linotype" w:cs="Palatino Linotype"/>
        </w:rPr>
        <w:t xml:space="preserve">que en términos de los </w:t>
      </w:r>
      <w:r w:rsidRPr="00DF34DA">
        <w:rPr>
          <w:rFonts w:ascii="Palatino Linotype" w:eastAsia="Palatino Linotype" w:hAnsi="Palatino Linotype" w:cs="Palatino Linotype"/>
          <w:b/>
        </w:rPr>
        <w:t>Considerandos</w:t>
      </w:r>
      <w:r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b/>
        </w:rPr>
        <w:t xml:space="preserve">Cuarto y Quinto </w:t>
      </w:r>
      <w:r w:rsidRPr="00DF34DA">
        <w:rPr>
          <w:rFonts w:ascii="Palatino Linotype" w:eastAsia="Palatino Linotype" w:hAnsi="Palatino Linotype" w:cs="Palatino Linotype"/>
        </w:rPr>
        <w:t xml:space="preserve">de esta resolución, entregue a la parte </w:t>
      </w:r>
      <w:proofErr w:type="gramStart"/>
      <w:r w:rsidRPr="00DF34DA">
        <w:rPr>
          <w:rFonts w:ascii="Palatino Linotype" w:eastAsia="Palatino Linotype" w:hAnsi="Palatino Linotype" w:cs="Palatino Linotype"/>
          <w:b/>
        </w:rPr>
        <w:t>Recurrente,</w:t>
      </w:r>
      <w:r w:rsidRPr="00DF34DA">
        <w:rPr>
          <w:rFonts w:ascii="Palatino Linotype" w:eastAsia="Palatino Linotype" w:hAnsi="Palatino Linotype" w:cs="Palatino Linotype"/>
        </w:rPr>
        <w:t xml:space="preserve">  vía</w:t>
      </w:r>
      <w:proofErr w:type="gramEnd"/>
      <w:r w:rsidRPr="00DF34DA">
        <w:rPr>
          <w:rFonts w:ascii="Palatino Linotype" w:eastAsia="Palatino Linotype" w:hAnsi="Palatino Linotype" w:cs="Palatino Linotype"/>
        </w:rPr>
        <w:t xml:space="preserve"> Sistema de Acceso a la Información Mexiquense (SAIMEX), </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previa búsqueda exhaustiva y razonable,</w:t>
      </w:r>
      <w:r w:rsidR="00C378B7" w:rsidRPr="00DF34DA">
        <w:rPr>
          <w:rFonts w:ascii="Palatino Linotype" w:eastAsia="Palatino Linotype" w:hAnsi="Palatino Linotype" w:cs="Palatino Linotype"/>
        </w:rPr>
        <w:t xml:space="preserve"> </w:t>
      </w:r>
      <w:r w:rsidRPr="00DF34DA">
        <w:rPr>
          <w:rFonts w:ascii="Palatino Linotype" w:eastAsia="Palatino Linotype" w:hAnsi="Palatino Linotype" w:cs="Palatino Linotype"/>
        </w:rPr>
        <w:t xml:space="preserve">en </w:t>
      </w:r>
      <w:r w:rsidRPr="00DF34DA">
        <w:rPr>
          <w:rFonts w:ascii="Palatino Linotype" w:eastAsia="Palatino Linotype" w:hAnsi="Palatino Linotype" w:cs="Palatino Linotype"/>
          <w:b/>
        </w:rPr>
        <w:t>versión pública</w:t>
      </w:r>
      <w:r w:rsidRPr="00DF34DA">
        <w:rPr>
          <w:rFonts w:ascii="Palatino Linotype" w:eastAsia="Palatino Linotype" w:hAnsi="Palatino Linotype" w:cs="Palatino Linotype"/>
        </w:rPr>
        <w:t>, de</w:t>
      </w:r>
      <w:r w:rsidRPr="00DF34DA">
        <w:rPr>
          <w:rFonts w:ascii="Palatino Linotype" w:eastAsia="Palatino Linotype" w:hAnsi="Palatino Linotype" w:cs="Palatino Linotype"/>
          <w:b/>
        </w:rPr>
        <w:t xml:space="preserve"> </w:t>
      </w:r>
      <w:r w:rsidRPr="00DF34DA">
        <w:rPr>
          <w:rFonts w:ascii="Palatino Linotype" w:eastAsia="Palatino Linotype" w:hAnsi="Palatino Linotype" w:cs="Palatino Linotype"/>
        </w:rPr>
        <w:t>lo siguiente:</w:t>
      </w:r>
    </w:p>
    <w:p w14:paraId="7B01B369" w14:textId="77777777" w:rsidR="00393C65" w:rsidRPr="00DF34DA" w:rsidRDefault="00393C65">
      <w:pPr>
        <w:spacing w:before="120" w:after="120"/>
        <w:ind w:left="567" w:right="851"/>
        <w:jc w:val="both"/>
        <w:rPr>
          <w:rFonts w:ascii="Palatino Linotype" w:eastAsia="Palatino Linotype" w:hAnsi="Palatino Linotype" w:cs="Palatino Linotype"/>
          <w:b/>
          <w:sz w:val="22"/>
        </w:rPr>
      </w:pPr>
    </w:p>
    <w:p w14:paraId="0B4CBC3B" w14:textId="77777777" w:rsidR="008F51C8" w:rsidRPr="00DF34DA" w:rsidRDefault="00C378B7" w:rsidP="008F51C8">
      <w:pPr>
        <w:pStyle w:val="Prrafodelista"/>
        <w:numPr>
          <w:ilvl w:val="0"/>
          <w:numId w:val="23"/>
        </w:numPr>
        <w:spacing w:before="120" w:after="120"/>
        <w:ind w:left="567" w:right="851" w:firstLine="0"/>
        <w:jc w:val="both"/>
        <w:rPr>
          <w:rFonts w:ascii="Palatino Linotype" w:hAnsi="Palatino Linotype" w:cs="Tahoma"/>
          <w:b/>
          <w:bCs/>
          <w:i/>
          <w:iCs/>
        </w:rPr>
      </w:pPr>
      <w:r w:rsidRPr="00DF34DA">
        <w:rPr>
          <w:rFonts w:ascii="Palatino Linotype" w:hAnsi="Palatino Linotype" w:cs="Tahoma"/>
          <w:b/>
          <w:bCs/>
          <w:i/>
          <w:iCs/>
        </w:rPr>
        <w:t>Co</w:t>
      </w:r>
      <w:r w:rsidR="008F51C8" w:rsidRPr="00DF34DA">
        <w:rPr>
          <w:rFonts w:ascii="Palatino Linotype" w:hAnsi="Palatino Linotype" w:cs="Tahoma"/>
          <w:b/>
          <w:bCs/>
          <w:i/>
          <w:iCs/>
        </w:rPr>
        <w:t xml:space="preserve">nvenios sin juicio </w:t>
      </w:r>
      <w:r w:rsidRPr="00DF34DA">
        <w:rPr>
          <w:rFonts w:ascii="Palatino Linotype" w:hAnsi="Palatino Linotype" w:cs="Tahoma"/>
          <w:b/>
          <w:bCs/>
          <w:i/>
          <w:iCs/>
        </w:rPr>
        <w:t>en</w:t>
      </w:r>
      <w:r w:rsidR="008F51C8" w:rsidRPr="00DF34DA">
        <w:rPr>
          <w:rFonts w:ascii="Palatino Linotype" w:hAnsi="Palatino Linotype" w:cs="Tahoma"/>
          <w:b/>
          <w:bCs/>
          <w:i/>
          <w:iCs/>
        </w:rPr>
        <w:t xml:space="preserve"> materia laboral </w:t>
      </w:r>
      <w:r w:rsidRPr="00DF34DA">
        <w:rPr>
          <w:rFonts w:ascii="Palatino Linotype" w:hAnsi="Palatino Linotype" w:cs="Tahoma"/>
          <w:b/>
          <w:bCs/>
          <w:i/>
          <w:iCs/>
        </w:rPr>
        <w:t>celebrados</w:t>
      </w:r>
      <w:r w:rsidR="008F51C8" w:rsidRPr="00DF34DA">
        <w:rPr>
          <w:rFonts w:ascii="Palatino Linotype" w:hAnsi="Palatino Linotype" w:cs="Tahoma"/>
          <w:b/>
          <w:bCs/>
          <w:i/>
          <w:iCs/>
        </w:rPr>
        <w:t xml:space="preserve"> del 1 de enero al 5 de octubre de 2022.</w:t>
      </w:r>
    </w:p>
    <w:p w14:paraId="19DDEB4B" w14:textId="77777777" w:rsidR="00C378B7" w:rsidRPr="00DF34DA" w:rsidRDefault="00C378B7" w:rsidP="00C378B7">
      <w:pPr>
        <w:pStyle w:val="Prrafodelista"/>
        <w:spacing w:before="120" w:after="120"/>
        <w:ind w:left="567" w:right="851"/>
        <w:jc w:val="both"/>
        <w:rPr>
          <w:rFonts w:ascii="Palatino Linotype" w:hAnsi="Palatino Linotype" w:cs="Tahoma"/>
          <w:b/>
          <w:bCs/>
          <w:i/>
          <w:iCs/>
        </w:rPr>
      </w:pPr>
    </w:p>
    <w:p w14:paraId="71985723" w14:textId="77777777" w:rsidR="00FE0AC2" w:rsidRPr="00DF34DA" w:rsidRDefault="00C3495C">
      <w:pPr>
        <w:spacing w:before="120" w:after="120"/>
        <w:ind w:left="567" w:right="851"/>
        <w:jc w:val="both"/>
        <w:rPr>
          <w:rFonts w:ascii="Palatino Linotype" w:eastAsia="Palatino Linotype" w:hAnsi="Palatino Linotype" w:cs="Palatino Linotype"/>
          <w:i/>
          <w:sz w:val="22"/>
          <w:szCs w:val="22"/>
        </w:rPr>
      </w:pPr>
      <w:r w:rsidRPr="00DF34DA">
        <w:rPr>
          <w:rFonts w:ascii="Palatino Linotype" w:eastAsia="Palatino Linotype" w:hAnsi="Palatino Linotype" w:cs="Palatino Linotype"/>
          <w:i/>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p>
    <w:p w14:paraId="7C53D112" w14:textId="77777777" w:rsidR="006846A2" w:rsidRPr="00DF34DA" w:rsidRDefault="006846A2" w:rsidP="006846A2">
      <w:pPr>
        <w:spacing w:before="240" w:after="240" w:line="360" w:lineRule="auto"/>
        <w:jc w:val="both"/>
        <w:rPr>
          <w:rFonts w:ascii="Palatino Linotype" w:eastAsia="Palatino Linotype" w:hAnsi="Palatino Linotype" w:cs="Palatino Linotype"/>
          <w:lang w:val="es-ES" w:eastAsia="es-MX"/>
        </w:rPr>
      </w:pPr>
      <w:bookmarkStart w:id="4" w:name="_heading=h.2et92p0" w:colFirst="0" w:colLast="0"/>
      <w:bookmarkEnd w:id="4"/>
      <w:r w:rsidRPr="00DF34DA">
        <w:rPr>
          <w:rFonts w:ascii="Palatino Linotype" w:eastAsia="Palatino Linotype" w:hAnsi="Palatino Linotype" w:cs="Palatino Linotype"/>
          <w:b/>
          <w:lang w:val="es-ES" w:eastAsia="es-MX"/>
        </w:rPr>
        <w:t>Tercero</w:t>
      </w:r>
      <w:r w:rsidRPr="00DF34DA">
        <w:rPr>
          <w:rFonts w:ascii="Palatino Linotype" w:eastAsia="Palatino Linotype" w:hAnsi="Palatino Linotype" w:cs="Palatino Linotype"/>
          <w:b/>
          <w:sz w:val="28"/>
          <w:szCs w:val="28"/>
          <w:lang w:val="es-ES" w:eastAsia="es-MX"/>
        </w:rPr>
        <w:t xml:space="preserve">.  </w:t>
      </w:r>
      <w:r w:rsidRPr="00DF34DA">
        <w:rPr>
          <w:rFonts w:ascii="Palatino Linotype" w:eastAsia="Palatino Linotype" w:hAnsi="Palatino Linotype" w:cs="Palatino Linotype"/>
          <w:b/>
          <w:lang w:val="es-ES" w:eastAsia="es-MX"/>
        </w:rPr>
        <w:t>Notifíquese vía SAIMEX,</w:t>
      </w:r>
      <w:r w:rsidRPr="00DF34DA">
        <w:rPr>
          <w:rFonts w:ascii="Palatino Linotype" w:eastAsia="Palatino Linotype" w:hAnsi="Palatino Linotype" w:cs="Palatino Linotype"/>
          <w:b/>
          <w:sz w:val="28"/>
          <w:szCs w:val="28"/>
          <w:lang w:val="es-ES" w:eastAsia="es-MX"/>
        </w:rPr>
        <w:t xml:space="preserve"> </w:t>
      </w:r>
      <w:r w:rsidRPr="00DF34DA">
        <w:rPr>
          <w:rFonts w:ascii="Palatino Linotype" w:eastAsia="Palatino Linotype" w:hAnsi="Palatino Linotype" w:cs="Palatino Linotype"/>
          <w:lang w:val="es-ES"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88AD61" w14:textId="77777777" w:rsidR="00FE0AC2" w:rsidRPr="00DF34DA" w:rsidRDefault="00C3495C">
      <w:pPr>
        <w:spacing w:before="240" w:after="240" w:line="360" w:lineRule="auto"/>
        <w:jc w:val="both"/>
        <w:rPr>
          <w:rFonts w:ascii="Palatino Linotype" w:eastAsia="Palatino Linotype" w:hAnsi="Palatino Linotype" w:cs="Palatino Linotype"/>
        </w:rPr>
      </w:pPr>
      <w:r w:rsidRPr="00DF34DA">
        <w:rPr>
          <w:rFonts w:ascii="Palatino Linotype" w:eastAsia="Palatino Linotype" w:hAnsi="Palatino Linotype" w:cs="Palatino Linotype"/>
          <w:b/>
        </w:rPr>
        <w:t xml:space="preserve">Cuarto. Notifíquese </w:t>
      </w:r>
      <w:r w:rsidRPr="00DF34DA">
        <w:rPr>
          <w:rFonts w:ascii="Palatino Linotype" w:eastAsia="Palatino Linotype" w:hAnsi="Palatino Linotype" w:cs="Palatino Linotype"/>
        </w:rPr>
        <w:t>la presente resolución al</w:t>
      </w:r>
      <w:r w:rsidRPr="00DF34DA">
        <w:rPr>
          <w:rFonts w:ascii="Palatino Linotype" w:eastAsia="Palatino Linotype" w:hAnsi="Palatino Linotype" w:cs="Palatino Linotype"/>
          <w:b/>
        </w:rPr>
        <w:t xml:space="preserve"> Recurrente</w:t>
      </w:r>
      <w:r w:rsidRPr="00DF34DA">
        <w:rPr>
          <w:rFonts w:ascii="Palatino Linotype" w:eastAsia="Palatino Linotype" w:hAnsi="Palatino Linotype" w:cs="Palatino Linotype"/>
        </w:rPr>
        <w:t xml:space="preserve"> mediante el Sistema de Acceso a la Información Mexiquense (SAIMEX) y hágase de su conocimiento que, </w:t>
      </w:r>
      <w:r w:rsidRPr="00DF34DA">
        <w:rPr>
          <w:rFonts w:ascii="Palatino Linotype" w:eastAsia="Palatino Linotype" w:hAnsi="Palatino Linotype" w:cs="Palatino Linotype"/>
        </w:rPr>
        <w:lastRenderedPageBreak/>
        <w:t xml:space="preserve">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 </w:t>
      </w:r>
    </w:p>
    <w:p w14:paraId="3470363C" w14:textId="77777777" w:rsidR="00FE0AC2" w:rsidRPr="00DF34DA" w:rsidRDefault="00C3495C">
      <w:pPr>
        <w:spacing w:line="360" w:lineRule="auto"/>
        <w:ind w:right="49"/>
        <w:jc w:val="both"/>
        <w:rPr>
          <w:rFonts w:ascii="Palatino Linotype" w:eastAsia="Palatino Linotype" w:hAnsi="Palatino Linotype" w:cs="Palatino Linotype"/>
        </w:rPr>
        <w:sectPr w:rsidR="00FE0AC2" w:rsidRPr="00DF34DA">
          <w:headerReference w:type="default" r:id="rId20"/>
          <w:footerReference w:type="default" r:id="rId21"/>
          <w:headerReference w:type="first" r:id="rId22"/>
          <w:footerReference w:type="first" r:id="rId23"/>
          <w:pgSz w:w="12240" w:h="15840"/>
          <w:pgMar w:top="1985" w:right="1750" w:bottom="1701" w:left="1701" w:header="709" w:footer="709" w:gutter="0"/>
          <w:pgNumType w:start="1"/>
          <w:cols w:space="720"/>
          <w:titlePg/>
        </w:sectPr>
      </w:pPr>
      <w:r w:rsidRPr="00DF34D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08477B" w:rsidRPr="00DF34DA">
        <w:rPr>
          <w:rFonts w:ascii="Palatino Linotype" w:eastAsia="Palatino Linotype" w:hAnsi="Palatino Linotype" w:cs="Palatino Linotype"/>
        </w:rPr>
        <w:t>HARON CRISTINA MORALES MARTÍNEZ</w:t>
      </w:r>
      <w:r w:rsidR="00783484" w:rsidRPr="00DF34DA">
        <w:rPr>
          <w:rFonts w:ascii="Palatino Linotype" w:eastAsia="Palatino Linotype" w:hAnsi="Palatino Linotype" w:cs="Palatino Linotype"/>
        </w:rPr>
        <w:t>,</w:t>
      </w:r>
      <w:r w:rsidRPr="00DF34DA">
        <w:rPr>
          <w:rFonts w:ascii="Palatino Linotype" w:eastAsia="Palatino Linotype" w:hAnsi="Palatino Linotype" w:cs="Palatino Linotype"/>
        </w:rPr>
        <w:t xml:space="preserve"> LUIS GUSTAVO PARRA NORIEGA Y GUADALUPE</w:t>
      </w:r>
      <w:r w:rsidR="00783484" w:rsidRPr="00DF34DA">
        <w:rPr>
          <w:rFonts w:ascii="Palatino Linotype" w:eastAsia="Palatino Linotype" w:hAnsi="Palatino Linotype" w:cs="Palatino Linotype"/>
        </w:rPr>
        <w:t xml:space="preserve"> RAMÍREZ PEÑA; EN LA DÉCIMA NOVEN</w:t>
      </w:r>
      <w:r w:rsidRPr="00DF34DA">
        <w:rPr>
          <w:rFonts w:ascii="Palatino Linotype" w:eastAsia="Palatino Linotype" w:hAnsi="Palatino Linotype" w:cs="Palatino Linotype"/>
        </w:rPr>
        <w:t>A SESIÓN O</w:t>
      </w:r>
      <w:r w:rsidR="00554AC9" w:rsidRPr="00DF34DA">
        <w:rPr>
          <w:rFonts w:ascii="Palatino Linotype" w:eastAsia="Palatino Linotype" w:hAnsi="Palatino Linotype" w:cs="Palatino Linotype"/>
        </w:rPr>
        <w:t>RDINARIA CELEB</w:t>
      </w:r>
      <w:r w:rsidR="00783484" w:rsidRPr="00DF34DA">
        <w:rPr>
          <w:rFonts w:ascii="Palatino Linotype" w:eastAsia="Palatino Linotype" w:hAnsi="Palatino Linotype" w:cs="Palatino Linotype"/>
        </w:rPr>
        <w:t>RADA EL VEINTICUATRO DE MAYO</w:t>
      </w:r>
      <w:r w:rsidRPr="00DF34DA">
        <w:rPr>
          <w:rFonts w:ascii="Palatino Linotype" w:eastAsia="Palatino Linotype" w:hAnsi="Palatino Linotype" w:cs="Palatino Linotype"/>
        </w:rPr>
        <w:t xml:space="preserve"> DE DOS MIL VEINTITRÉS, ANTE EL SECRETARIO TÉCNICO DEL PLENO ALEXIS TAPIA RAMÍREZ.</w:t>
      </w:r>
    </w:p>
    <w:p w14:paraId="4FDD6706" w14:textId="77777777" w:rsidR="00FE0AC2" w:rsidRPr="00DF34DA" w:rsidRDefault="00FE0AC2">
      <w:pPr>
        <w:tabs>
          <w:tab w:val="left" w:pos="709"/>
        </w:tabs>
        <w:spacing w:before="240" w:after="240" w:line="360" w:lineRule="auto"/>
        <w:jc w:val="both"/>
        <w:rPr>
          <w:rFonts w:ascii="Palatino Linotype" w:eastAsia="Palatino Linotype" w:hAnsi="Palatino Linotype" w:cs="Palatino Linotype"/>
        </w:rPr>
      </w:pPr>
    </w:p>
    <w:p w14:paraId="7BC6391A" w14:textId="77777777" w:rsidR="00FE0AC2" w:rsidRPr="00DF34DA" w:rsidRDefault="00FE0AC2"/>
    <w:p w14:paraId="7E89982C" w14:textId="77777777" w:rsidR="00FE0AC2" w:rsidRPr="00DF34DA" w:rsidRDefault="00FE0AC2"/>
    <w:sectPr w:rsidR="00FE0AC2" w:rsidRPr="00DF34DA">
      <w:headerReference w:type="first" r:id="rId2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9383" w14:textId="77777777" w:rsidR="008C6E12" w:rsidRDefault="008C6E12">
      <w:r>
        <w:separator/>
      </w:r>
    </w:p>
  </w:endnote>
  <w:endnote w:type="continuationSeparator" w:id="0">
    <w:p w14:paraId="4E9DF5A8" w14:textId="77777777" w:rsidR="008C6E12" w:rsidRDefault="008C6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94D" w14:textId="77777777" w:rsidR="003A2ABD" w:rsidRDefault="003A2A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716D">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716D">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32FC92DC" w14:textId="77777777" w:rsidR="003A2ABD" w:rsidRDefault="003A2ABD">
    <w:pPr>
      <w:pBdr>
        <w:top w:val="nil"/>
        <w:left w:val="nil"/>
        <w:bottom w:val="nil"/>
        <w:right w:val="nil"/>
        <w:between w:val="nil"/>
      </w:pBdr>
      <w:tabs>
        <w:tab w:val="center" w:pos="4252"/>
        <w:tab w:val="right" w:pos="8504"/>
      </w:tabs>
      <w:rPr>
        <w:color w:val="000000"/>
      </w:rPr>
    </w:pPr>
  </w:p>
  <w:p w14:paraId="1E9ACB21" w14:textId="77777777" w:rsidR="003A2ABD" w:rsidRDefault="003A2AB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EFE" w14:textId="77777777" w:rsidR="003A2ABD" w:rsidRDefault="003A2A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716D">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716D">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7A393F8B" w14:textId="77777777" w:rsidR="003A2ABD" w:rsidRDefault="003A2AB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1531" w14:textId="77777777" w:rsidR="008C6E12" w:rsidRDefault="008C6E12">
      <w:r>
        <w:separator/>
      </w:r>
    </w:p>
  </w:footnote>
  <w:footnote w:type="continuationSeparator" w:id="0">
    <w:p w14:paraId="4737DCD4" w14:textId="77777777" w:rsidR="008C6E12" w:rsidRDefault="008C6E12">
      <w:r>
        <w:continuationSeparator/>
      </w:r>
    </w:p>
  </w:footnote>
  <w:footnote w:id="1">
    <w:p w14:paraId="2DB404A1" w14:textId="77777777" w:rsidR="003A2ABD" w:rsidRDefault="003A2AB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E226722" w14:textId="77777777" w:rsidR="003A2ABD" w:rsidRDefault="003A2A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23EF" w14:textId="77777777" w:rsidR="003A2ABD" w:rsidRDefault="003A2ABD">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2059342B" wp14:editId="193327F8">
          <wp:simplePos x="0" y="0"/>
          <wp:positionH relativeFrom="column">
            <wp:posOffset>-1017902</wp:posOffset>
          </wp:positionH>
          <wp:positionV relativeFrom="paragraph">
            <wp:posOffset>-325026</wp:posOffset>
          </wp:positionV>
          <wp:extent cx="7635163" cy="9944100"/>
          <wp:effectExtent l="0" t="0" r="0" b="0"/>
          <wp:wrapNone/>
          <wp:docPr id="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163" cy="99441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9"/>
      <w:tblW w:w="6378" w:type="dxa"/>
      <w:tblInd w:w="3261" w:type="dxa"/>
      <w:tblLayout w:type="fixed"/>
      <w:tblLook w:val="0400" w:firstRow="0" w:lastRow="0" w:firstColumn="0" w:lastColumn="0" w:noHBand="0" w:noVBand="1"/>
    </w:tblPr>
    <w:tblGrid>
      <w:gridCol w:w="2552"/>
      <w:gridCol w:w="3826"/>
    </w:tblGrid>
    <w:tr w:rsidR="003A2ABD" w14:paraId="58E3DA75" w14:textId="77777777" w:rsidTr="0092190D">
      <w:tc>
        <w:tcPr>
          <w:tcW w:w="2552" w:type="dxa"/>
          <w:vAlign w:val="center"/>
        </w:tcPr>
        <w:p w14:paraId="129B5CCC"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6" w:type="dxa"/>
          <w:vAlign w:val="center"/>
        </w:tcPr>
        <w:p w14:paraId="6D43B0D5" w14:textId="77777777" w:rsidR="003A2ABD" w:rsidRDefault="003A2ABD" w:rsidP="0092190D">
          <w:pPr>
            <w:ind w:right="-540"/>
            <w:jc w:val="both"/>
            <w:rPr>
              <w:rFonts w:ascii="Palatino Linotype" w:eastAsia="Palatino Linotype" w:hAnsi="Palatino Linotype" w:cs="Palatino Linotype"/>
              <w:b/>
              <w:sz w:val="22"/>
              <w:szCs w:val="22"/>
            </w:rPr>
          </w:pPr>
          <w:r w:rsidRPr="003A2ABD">
            <w:rPr>
              <w:rFonts w:ascii="Palatino Linotype" w:eastAsia="Palatino Linotype" w:hAnsi="Palatino Linotype" w:cs="Palatino Linotype"/>
              <w:b/>
              <w:sz w:val="22"/>
              <w:szCs w:val="22"/>
            </w:rPr>
            <w:t>16204/INFOEM/ICR-81/IP/RR/2022</w:t>
          </w:r>
        </w:p>
      </w:tc>
    </w:tr>
    <w:tr w:rsidR="003A2ABD" w14:paraId="5C833A78" w14:textId="77777777" w:rsidTr="0092190D">
      <w:trPr>
        <w:trHeight w:val="228"/>
      </w:trPr>
      <w:tc>
        <w:tcPr>
          <w:tcW w:w="2552" w:type="dxa"/>
          <w:vAlign w:val="center"/>
        </w:tcPr>
        <w:p w14:paraId="384096BE"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6" w:type="dxa"/>
          <w:vAlign w:val="center"/>
        </w:tcPr>
        <w:p w14:paraId="20E3C181" w14:textId="77777777" w:rsidR="003A2ABD" w:rsidRDefault="003A2AB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3A2ABD" w14:paraId="16AE477B" w14:textId="77777777" w:rsidTr="0092190D">
      <w:tc>
        <w:tcPr>
          <w:tcW w:w="2552" w:type="dxa"/>
          <w:vAlign w:val="center"/>
        </w:tcPr>
        <w:p w14:paraId="3166E7CF"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6" w:type="dxa"/>
          <w:vAlign w:val="center"/>
        </w:tcPr>
        <w:p w14:paraId="53D7BE59" w14:textId="77777777" w:rsidR="003A2ABD" w:rsidRDefault="003A2A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F909C8" w14:textId="77777777" w:rsidR="003A2ABD" w:rsidRDefault="003A2ABD">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3C40" w14:textId="77777777" w:rsidR="003A2ABD" w:rsidRDefault="003A2ABD">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5A912078" wp14:editId="0C979176">
          <wp:simplePos x="0" y="0"/>
          <wp:positionH relativeFrom="column">
            <wp:posOffset>-1010916</wp:posOffset>
          </wp:positionH>
          <wp:positionV relativeFrom="paragraph">
            <wp:posOffset>-276221</wp:posOffset>
          </wp:positionV>
          <wp:extent cx="7635240" cy="9942830"/>
          <wp:effectExtent l="0" t="0" r="0" b="0"/>
          <wp:wrapNone/>
          <wp:docPr id="6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8"/>
      <w:tblW w:w="6460" w:type="dxa"/>
      <w:tblInd w:w="2612" w:type="dxa"/>
      <w:tblLayout w:type="fixed"/>
      <w:tblLook w:val="0400" w:firstRow="0" w:lastRow="0" w:firstColumn="0" w:lastColumn="0" w:noHBand="0" w:noVBand="1"/>
    </w:tblPr>
    <w:tblGrid>
      <w:gridCol w:w="2551"/>
      <w:gridCol w:w="3909"/>
    </w:tblGrid>
    <w:tr w:rsidR="003A2ABD" w14:paraId="04F8974E" w14:textId="77777777">
      <w:tc>
        <w:tcPr>
          <w:tcW w:w="2551" w:type="dxa"/>
          <w:vAlign w:val="center"/>
        </w:tcPr>
        <w:p w14:paraId="546F5165"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14:paraId="4D9269FB" w14:textId="77777777" w:rsidR="003A2ABD" w:rsidRDefault="003A2ABD">
          <w:pPr>
            <w:jc w:val="both"/>
            <w:rPr>
              <w:rFonts w:ascii="Palatino Linotype" w:eastAsia="Palatino Linotype" w:hAnsi="Palatino Linotype" w:cs="Palatino Linotype"/>
              <w:b/>
              <w:sz w:val="22"/>
              <w:szCs w:val="22"/>
            </w:rPr>
          </w:pPr>
          <w:r w:rsidRPr="003A2ABD">
            <w:rPr>
              <w:rFonts w:ascii="Palatino Linotype" w:eastAsia="Palatino Linotype" w:hAnsi="Palatino Linotype" w:cs="Palatino Linotype"/>
              <w:b/>
              <w:sz w:val="22"/>
              <w:szCs w:val="22"/>
            </w:rPr>
            <w:t>16204/INFOEM/ICR-81/IP/RR/2022</w:t>
          </w:r>
        </w:p>
      </w:tc>
    </w:tr>
    <w:tr w:rsidR="003A2ABD" w14:paraId="3A173AF2" w14:textId="77777777">
      <w:tc>
        <w:tcPr>
          <w:tcW w:w="2551" w:type="dxa"/>
          <w:vAlign w:val="center"/>
        </w:tcPr>
        <w:p w14:paraId="4FD14C00" w14:textId="77777777" w:rsidR="003A2ABD" w:rsidRDefault="003A2AB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14:paraId="2B5D6C79" w14:textId="77777777" w:rsidR="003A2ABD" w:rsidRDefault="003A2ABD">
          <w:pPr>
            <w:ind w:left="-45"/>
            <w:jc w:val="both"/>
            <w:rPr>
              <w:rFonts w:ascii="Palatino Linotype" w:eastAsia="Palatino Linotype" w:hAnsi="Palatino Linotype" w:cs="Palatino Linotype"/>
              <w:b/>
              <w:sz w:val="22"/>
              <w:szCs w:val="22"/>
            </w:rPr>
          </w:pPr>
        </w:p>
      </w:tc>
    </w:tr>
    <w:tr w:rsidR="003A2ABD" w14:paraId="33E1DB1A" w14:textId="77777777">
      <w:trPr>
        <w:trHeight w:val="228"/>
      </w:trPr>
      <w:tc>
        <w:tcPr>
          <w:tcW w:w="2551" w:type="dxa"/>
          <w:vAlign w:val="center"/>
        </w:tcPr>
        <w:p w14:paraId="283D195A"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14:paraId="4B025774" w14:textId="77777777" w:rsidR="003A2ABD" w:rsidRDefault="003A2ABD">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3A2ABD" w14:paraId="73D0C1A7" w14:textId="77777777">
      <w:tc>
        <w:tcPr>
          <w:tcW w:w="2551" w:type="dxa"/>
          <w:vAlign w:val="center"/>
        </w:tcPr>
        <w:p w14:paraId="7A9F45BD" w14:textId="77777777" w:rsidR="003A2ABD" w:rsidRDefault="003A2A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14:paraId="4B4366EF" w14:textId="77777777" w:rsidR="003A2ABD" w:rsidRDefault="003A2A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A213EA" w14:textId="77777777" w:rsidR="003A2ABD" w:rsidRDefault="003A2ABD">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F21F" w14:textId="77777777" w:rsidR="003A2ABD" w:rsidRDefault="003A2AB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2315DF1" w14:textId="77777777" w:rsidR="003A2ABD" w:rsidRDefault="003A2AB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FF"/>
    <w:multiLevelType w:val="multilevel"/>
    <w:tmpl w:val="5D0ADA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167AF9"/>
    <w:multiLevelType w:val="hybridMultilevel"/>
    <w:tmpl w:val="E3FE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71C93"/>
    <w:multiLevelType w:val="multilevel"/>
    <w:tmpl w:val="C9C647B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1DA726A"/>
    <w:multiLevelType w:val="multilevel"/>
    <w:tmpl w:val="5A60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B72792A"/>
    <w:multiLevelType w:val="hybridMultilevel"/>
    <w:tmpl w:val="1722CB5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BDE2337"/>
    <w:multiLevelType w:val="multilevel"/>
    <w:tmpl w:val="4E1C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E13530"/>
    <w:multiLevelType w:val="hybridMultilevel"/>
    <w:tmpl w:val="5964A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F12F45"/>
    <w:multiLevelType w:val="hybridMultilevel"/>
    <w:tmpl w:val="50680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0736F"/>
    <w:multiLevelType w:val="hybridMultilevel"/>
    <w:tmpl w:val="F94ED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CE61F65"/>
    <w:multiLevelType w:val="multilevel"/>
    <w:tmpl w:val="4DE83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41585F"/>
    <w:multiLevelType w:val="hybridMultilevel"/>
    <w:tmpl w:val="51B27B86"/>
    <w:lvl w:ilvl="0" w:tplc="386AA724">
      <w:start w:val="1"/>
      <w:numFmt w:val="bullet"/>
      <w:lvlText w:val=""/>
      <w:lvlJc w:val="left"/>
      <w:pPr>
        <w:ind w:left="1287" w:hanging="360"/>
      </w:pPr>
      <w:rPr>
        <w:rFonts w:ascii="Symbol" w:hAnsi="Symbol" w:hint="default"/>
        <w:sz w:val="2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689F7917"/>
    <w:multiLevelType w:val="hybridMultilevel"/>
    <w:tmpl w:val="F704E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45F3594"/>
    <w:multiLevelType w:val="hybridMultilevel"/>
    <w:tmpl w:val="2B909336"/>
    <w:lvl w:ilvl="0" w:tplc="386AA724">
      <w:start w:val="1"/>
      <w:numFmt w:val="bullet"/>
      <w:lvlText w:val=""/>
      <w:lvlJc w:val="left"/>
      <w:pPr>
        <w:ind w:left="1287"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E92D74"/>
    <w:multiLevelType w:val="multilevel"/>
    <w:tmpl w:val="11983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143BD0"/>
    <w:multiLevelType w:val="multilevel"/>
    <w:tmpl w:val="BA18A22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CB5679"/>
    <w:multiLevelType w:val="multilevel"/>
    <w:tmpl w:val="356AA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0"/>
  </w:num>
  <w:num w:numId="3">
    <w:abstractNumId w:val="0"/>
  </w:num>
  <w:num w:numId="4">
    <w:abstractNumId w:val="14"/>
  </w:num>
  <w:num w:numId="5">
    <w:abstractNumId w:val="9"/>
  </w:num>
  <w:num w:numId="6">
    <w:abstractNumId w:val="10"/>
  </w:num>
  <w:num w:numId="7">
    <w:abstractNumId w:val="18"/>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6"/>
  </w:num>
  <w:num w:numId="12">
    <w:abstractNumId w:val="17"/>
  </w:num>
  <w:num w:numId="13">
    <w:abstractNumId w:val="15"/>
  </w:num>
  <w:num w:numId="14">
    <w:abstractNumId w:val="16"/>
  </w:num>
  <w:num w:numId="15">
    <w:abstractNumId w:val="12"/>
  </w:num>
  <w:num w:numId="16">
    <w:abstractNumId w:val="11"/>
  </w:num>
  <w:num w:numId="17">
    <w:abstractNumId w:val="19"/>
  </w:num>
  <w:num w:numId="18">
    <w:abstractNumId w:val="8"/>
    <w:lvlOverride w:ilvl="0">
      <w:lvl w:ilvl="0">
        <w:numFmt w:val="lowerLetter"/>
        <w:lvlText w:val="%1."/>
        <w:lvlJc w:val="left"/>
      </w:lvl>
    </w:lvlOverride>
  </w:num>
  <w:num w:numId="19">
    <w:abstractNumId w:val="5"/>
  </w:num>
  <w:num w:numId="20">
    <w:abstractNumId w:val="21"/>
    <w:lvlOverride w:ilvl="0">
      <w:lvl w:ilvl="0">
        <w:numFmt w:val="lowerLetter"/>
        <w:lvlText w:val="%1."/>
        <w:lvlJc w:val="left"/>
      </w:lvl>
    </w:lvlOverride>
  </w:num>
  <w:num w:numId="21">
    <w:abstractNumId w:val="22"/>
    <w:lvlOverride w:ilvl="0">
      <w:lvl w:ilvl="0">
        <w:numFmt w:val="decimal"/>
        <w:lvlText w:val="%1."/>
        <w:lvlJc w:val="left"/>
      </w:lvl>
    </w:lvlOverride>
  </w:num>
  <w:num w:numId="22">
    <w:abstractNumId w:val="2"/>
  </w:num>
  <w:num w:numId="23">
    <w:abstractNumId w:val="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C2"/>
    <w:rsid w:val="0001092E"/>
    <w:rsid w:val="00030910"/>
    <w:rsid w:val="00080058"/>
    <w:rsid w:val="0008477B"/>
    <w:rsid w:val="000A520F"/>
    <w:rsid w:val="000B716D"/>
    <w:rsid w:val="000E76A2"/>
    <w:rsid w:val="00106B69"/>
    <w:rsid w:val="00150782"/>
    <w:rsid w:val="001672AF"/>
    <w:rsid w:val="001D4446"/>
    <w:rsid w:val="001F740F"/>
    <w:rsid w:val="00206436"/>
    <w:rsid w:val="00236DA0"/>
    <w:rsid w:val="00244154"/>
    <w:rsid w:val="00286539"/>
    <w:rsid w:val="00393C65"/>
    <w:rsid w:val="003A2ABD"/>
    <w:rsid w:val="003B39B1"/>
    <w:rsid w:val="003B3B3D"/>
    <w:rsid w:val="003E4948"/>
    <w:rsid w:val="00411623"/>
    <w:rsid w:val="00472670"/>
    <w:rsid w:val="004A0148"/>
    <w:rsid w:val="004E3DA9"/>
    <w:rsid w:val="00554AC9"/>
    <w:rsid w:val="005B33E3"/>
    <w:rsid w:val="005B3542"/>
    <w:rsid w:val="005D64B3"/>
    <w:rsid w:val="005F7689"/>
    <w:rsid w:val="00633F71"/>
    <w:rsid w:val="006646A8"/>
    <w:rsid w:val="00666C68"/>
    <w:rsid w:val="00676F9C"/>
    <w:rsid w:val="006846A2"/>
    <w:rsid w:val="006C2575"/>
    <w:rsid w:val="00736880"/>
    <w:rsid w:val="00740E3C"/>
    <w:rsid w:val="00743FF2"/>
    <w:rsid w:val="00744A98"/>
    <w:rsid w:val="00746A3E"/>
    <w:rsid w:val="00770046"/>
    <w:rsid w:val="00783484"/>
    <w:rsid w:val="007B361C"/>
    <w:rsid w:val="007C0EA3"/>
    <w:rsid w:val="00881E36"/>
    <w:rsid w:val="00885C22"/>
    <w:rsid w:val="008C6E12"/>
    <w:rsid w:val="008F10DB"/>
    <w:rsid w:val="008F51C8"/>
    <w:rsid w:val="0092190D"/>
    <w:rsid w:val="00922667"/>
    <w:rsid w:val="00932088"/>
    <w:rsid w:val="00944DF0"/>
    <w:rsid w:val="00987365"/>
    <w:rsid w:val="009D50E6"/>
    <w:rsid w:val="00A16DD0"/>
    <w:rsid w:val="00A428A6"/>
    <w:rsid w:val="00A44EC8"/>
    <w:rsid w:val="00A67FB0"/>
    <w:rsid w:val="00AA4565"/>
    <w:rsid w:val="00AC21DD"/>
    <w:rsid w:val="00AC58C7"/>
    <w:rsid w:val="00AD74EE"/>
    <w:rsid w:val="00B0360B"/>
    <w:rsid w:val="00B22E5D"/>
    <w:rsid w:val="00B87FB6"/>
    <w:rsid w:val="00BA70CD"/>
    <w:rsid w:val="00BF48A7"/>
    <w:rsid w:val="00C1472C"/>
    <w:rsid w:val="00C31121"/>
    <w:rsid w:val="00C3495C"/>
    <w:rsid w:val="00C378B7"/>
    <w:rsid w:val="00C75527"/>
    <w:rsid w:val="00CA571B"/>
    <w:rsid w:val="00CC65D4"/>
    <w:rsid w:val="00CE4458"/>
    <w:rsid w:val="00D10980"/>
    <w:rsid w:val="00D32D6E"/>
    <w:rsid w:val="00D60677"/>
    <w:rsid w:val="00D65029"/>
    <w:rsid w:val="00D80628"/>
    <w:rsid w:val="00D913F0"/>
    <w:rsid w:val="00DF34DA"/>
    <w:rsid w:val="00E004CB"/>
    <w:rsid w:val="00E03924"/>
    <w:rsid w:val="00E24CC4"/>
    <w:rsid w:val="00EE6FAA"/>
    <w:rsid w:val="00F45F49"/>
    <w:rsid w:val="00F46584"/>
    <w:rsid w:val="00FD4660"/>
    <w:rsid w:val="00FE0AC2"/>
    <w:rsid w:val="00FF3670"/>
    <w:rsid w:val="00FF60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AF85"/>
  <w15:docId w15:val="{72786D1D-EA6D-4DD0-905A-5A1066E2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0E76A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643494">
      <w:bodyDiv w:val="1"/>
      <w:marLeft w:val="0"/>
      <w:marRight w:val="0"/>
      <w:marTop w:val="0"/>
      <w:marBottom w:val="0"/>
      <w:divBdr>
        <w:top w:val="none" w:sz="0" w:space="0" w:color="auto"/>
        <w:left w:val="none" w:sz="0" w:space="0" w:color="auto"/>
        <w:bottom w:val="none" w:sz="0" w:space="0" w:color="auto"/>
        <w:right w:val="none" w:sz="0" w:space="0" w:color="auto"/>
      </w:divBdr>
    </w:div>
    <w:div w:id="1124347459">
      <w:bodyDiv w:val="1"/>
      <w:marLeft w:val="0"/>
      <w:marRight w:val="0"/>
      <w:marTop w:val="0"/>
      <w:marBottom w:val="0"/>
      <w:divBdr>
        <w:top w:val="none" w:sz="0" w:space="0" w:color="auto"/>
        <w:left w:val="none" w:sz="0" w:space="0" w:color="auto"/>
        <w:bottom w:val="none" w:sz="0" w:space="0" w:color="auto"/>
        <w:right w:val="none" w:sz="0" w:space="0" w:color="auto"/>
      </w:divBdr>
    </w:div>
    <w:div w:id="1263488222">
      <w:bodyDiv w:val="1"/>
      <w:marLeft w:val="0"/>
      <w:marRight w:val="0"/>
      <w:marTop w:val="0"/>
      <w:marBottom w:val="0"/>
      <w:divBdr>
        <w:top w:val="none" w:sz="0" w:space="0" w:color="auto"/>
        <w:left w:val="none" w:sz="0" w:space="0" w:color="auto"/>
        <w:bottom w:val="none" w:sz="0" w:space="0" w:color="auto"/>
        <w:right w:val="none" w:sz="0" w:space="0" w:color="auto"/>
      </w:divBdr>
    </w:div>
    <w:div w:id="1458908170">
      <w:bodyDiv w:val="1"/>
      <w:marLeft w:val="0"/>
      <w:marRight w:val="0"/>
      <w:marTop w:val="0"/>
      <w:marBottom w:val="0"/>
      <w:divBdr>
        <w:top w:val="none" w:sz="0" w:space="0" w:color="auto"/>
        <w:left w:val="none" w:sz="0" w:space="0" w:color="auto"/>
        <w:bottom w:val="none" w:sz="0" w:space="0" w:color="auto"/>
        <w:right w:val="none" w:sz="0" w:space="0" w:color="auto"/>
      </w:divBdr>
    </w:div>
    <w:div w:id="1556114206">
      <w:bodyDiv w:val="1"/>
      <w:marLeft w:val="0"/>
      <w:marRight w:val="0"/>
      <w:marTop w:val="0"/>
      <w:marBottom w:val="0"/>
      <w:divBdr>
        <w:top w:val="none" w:sz="0" w:space="0" w:color="auto"/>
        <w:left w:val="none" w:sz="0" w:space="0" w:color="auto"/>
        <w:bottom w:val="none" w:sz="0" w:space="0" w:color="auto"/>
        <w:right w:val="none" w:sz="0" w:space="0" w:color="auto"/>
      </w:divBdr>
    </w:div>
    <w:div w:id="1706983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ovsOQmHAP8IN/zDnVq6+GlngYA==">AMUW2mWKGLrbMRYv3d+PrPWZURqKWl11D8H7xcXi3DB1xqYjodpOw2Qdjw1JfYudm68v5XrC2A8uHi08th9Vh9JFnMnXURsD2SN4cl/jJHW3Q9SJg1EdhD8R4ga71sx0rOWX9yeo3QJAF9qzDXf2RjFFx7WXHIE9azwtLY0RGWT37UYop04puapZkxi5O6GmkbGt2qWMPn3U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9609</Words>
  <Characters>52855</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MARICELA VILLAGOMEZ</cp:lastModifiedBy>
  <cp:revision>2</cp:revision>
  <cp:lastPrinted>2023-05-26T16:54:00Z</cp:lastPrinted>
  <dcterms:created xsi:type="dcterms:W3CDTF">2023-06-06T16:15:00Z</dcterms:created>
  <dcterms:modified xsi:type="dcterms:W3CDTF">2023-06-06T16:15:00Z</dcterms:modified>
</cp:coreProperties>
</file>