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606BA" w14:textId="77777777" w:rsidR="00B63DBB" w:rsidRDefault="00DF551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tres de octubre de dos mil veintitrés. </w:t>
      </w:r>
    </w:p>
    <w:p w14:paraId="1C0CE983" w14:textId="77777777" w:rsidR="00B63DBB" w:rsidRDefault="00DF551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01324/INFOEM/IP/RR/2023</w:t>
      </w:r>
      <w:r>
        <w:rPr>
          <w:rFonts w:ascii="Palatino Linotype" w:eastAsia="Palatino Linotype" w:hAnsi="Palatino Linotype" w:cs="Palatino Linotype"/>
        </w:rPr>
        <w:t xml:space="preserve">, interpuesto </w:t>
      </w:r>
      <w:r>
        <w:rPr>
          <w:rFonts w:ascii="Palatino Linotype" w:eastAsia="Palatino Linotype" w:hAnsi="Palatino Linotype" w:cs="Palatino Linotype"/>
          <w:b/>
        </w:rPr>
        <w:t>un particular que no proporcionó su nombre,</w:t>
      </w:r>
      <w:r>
        <w:rPr>
          <w:rFonts w:ascii="Palatino Linotype" w:eastAsia="Palatino Linotype" w:hAnsi="Palatino Linotype" w:cs="Palatino Linotype"/>
        </w:rPr>
        <w:t xml:space="preserve">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Ayuntamiento de Tlalnepantla</w:t>
      </w:r>
      <w:r w:rsidR="00331732">
        <w:rPr>
          <w:rFonts w:ascii="Palatino Linotype" w:eastAsia="Palatino Linotype" w:hAnsi="Palatino Linotype" w:cs="Palatino Linotype"/>
          <w:b/>
        </w:rPr>
        <w:t xml:space="preserve"> de Baz</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3666F532" w14:textId="77777777" w:rsidR="00B63DBB" w:rsidRDefault="00DF5513">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26D95841" w14:textId="77777777" w:rsidR="00B63DBB" w:rsidRDefault="00DF551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veinticinco de enero de dos mil veintitrés,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00087/TLALNEPA/IP/2023, </w:t>
      </w:r>
      <w:r>
        <w:rPr>
          <w:rFonts w:ascii="Palatino Linotype" w:eastAsia="Palatino Linotype" w:hAnsi="Palatino Linotype" w:cs="Palatino Linotype"/>
        </w:rPr>
        <w:t xml:space="preserve">mediante la cual requirió la información siguiente: </w:t>
      </w:r>
    </w:p>
    <w:p w14:paraId="7B1B8E53" w14:textId="77777777" w:rsidR="00B63DBB" w:rsidRDefault="00DF5513">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i/>
          <w:sz w:val="22"/>
          <w:szCs w:val="22"/>
        </w:rPr>
        <w:t>“EL PRESUPUETO ASIGANDO, AUTORIDAZO Y EJERCIDO POR CAPITULO DEL AYUNTAMIENTO PARA EL AÑO 2022 Y 2023” (Sic)</w:t>
      </w:r>
    </w:p>
    <w:p w14:paraId="6B3008C0" w14:textId="77777777" w:rsidR="00B63DBB" w:rsidRDefault="00B63DBB">
      <w:pPr>
        <w:ind w:left="851" w:right="902"/>
        <w:jc w:val="both"/>
        <w:rPr>
          <w:rFonts w:ascii="Palatino Linotype" w:eastAsia="Palatino Linotype" w:hAnsi="Palatino Linotype" w:cs="Palatino Linotype"/>
          <w:i/>
          <w:sz w:val="22"/>
          <w:szCs w:val="22"/>
        </w:rPr>
      </w:pPr>
    </w:p>
    <w:p w14:paraId="2CCC9EAB"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14:paraId="40EFD5C5" w14:textId="77777777" w:rsidR="00B63DBB" w:rsidRDefault="00B63DBB">
      <w:pPr>
        <w:spacing w:line="360" w:lineRule="auto"/>
        <w:jc w:val="both"/>
        <w:rPr>
          <w:rFonts w:ascii="Palatino Linotype" w:eastAsia="Palatino Linotype" w:hAnsi="Palatino Linotype" w:cs="Palatino Linotype"/>
        </w:rPr>
      </w:pPr>
    </w:p>
    <w:p w14:paraId="4BE8C3A0" w14:textId="77777777" w:rsidR="00B63DBB" w:rsidRDefault="00DF5513">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quince de febrero de dos mil veintitrés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3BA5C1E5" w14:textId="77777777" w:rsidR="00B63DBB" w:rsidRDefault="00DF5513">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 por parte del Servidor Público Habilitado competente...” (Sic)</w:t>
      </w:r>
    </w:p>
    <w:p w14:paraId="610C2FD4" w14:textId="77777777" w:rsidR="00B63DBB" w:rsidRDefault="00DF551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el siguiente archivo:</w:t>
      </w:r>
    </w:p>
    <w:p w14:paraId="2B93B65A" w14:textId="77777777" w:rsidR="00B63DBB" w:rsidRDefault="00DF551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w:t>
      </w:r>
      <w:hyperlink r:id="rId8">
        <w:r>
          <w:rPr>
            <w:rFonts w:ascii="Palatino Linotype" w:eastAsia="Palatino Linotype" w:hAnsi="Palatino Linotype" w:cs="Palatino Linotype"/>
          </w:rPr>
          <w:t>RESP-SAIMEX-00087.zip</w:t>
        </w:r>
      </w:hyperlink>
      <w:r>
        <w:rPr>
          <w:rFonts w:ascii="Palatino Linotype" w:eastAsia="Palatino Linotype" w:hAnsi="Palatino Linotype" w:cs="Palatino Linotype"/>
        </w:rPr>
        <w:t>”, el cual a su vez contiene la siguiente documentación:</w:t>
      </w:r>
    </w:p>
    <w:p w14:paraId="5CC76878" w14:textId="77777777" w:rsidR="00B63DBB" w:rsidRDefault="00DF551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Una carpeta denominada: “RESP-SAIMEX-00087” la cual a su vez contiene los siguientes archivos electrónicos:</w:t>
      </w:r>
    </w:p>
    <w:p w14:paraId="68FFB243" w14:textId="77777777" w:rsidR="00B63DBB" w:rsidRDefault="00DF551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Una carpeta denominada “SAIMEX 0087”, la cual contiene:</w:t>
      </w:r>
    </w:p>
    <w:p w14:paraId="3466990B" w14:textId="77777777" w:rsidR="00B63DBB" w:rsidRDefault="00DF551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“ESTADO ANALITICO DEL PRESUPUESTO CLAS. POR OBJETO DEL GASTO 3 TRIMESTRE.pdf”, el cual contiene el estado analítico del ejercicio del presupuesto de egresos detallado “clasificación por objeto del gasto” del primero de enero al treinta de septiembre del año dos mil veintidós, como se observa a continuación de manera de ejemplo:</w:t>
      </w:r>
      <w:r>
        <w:rPr>
          <w:noProof/>
          <w:lang w:val="es-MX"/>
        </w:rPr>
        <mc:AlternateContent>
          <mc:Choice Requires="wpg">
            <w:drawing>
              <wp:anchor distT="0" distB="0" distL="114300" distR="114300" simplePos="0" relativeHeight="251658240" behindDoc="0" locked="0" layoutInCell="1" hidden="0" allowOverlap="1" wp14:anchorId="15D5A657" wp14:editId="405B0A85">
                <wp:simplePos x="0" y="0"/>
                <wp:positionH relativeFrom="column">
                  <wp:posOffset>-12699</wp:posOffset>
                </wp:positionH>
                <wp:positionV relativeFrom="paragraph">
                  <wp:posOffset>1460500</wp:posOffset>
                </wp:positionV>
                <wp:extent cx="5664200" cy="1238250"/>
                <wp:effectExtent l="0" t="0" r="0" b="0"/>
                <wp:wrapNone/>
                <wp:docPr id="5" name="Conector recto de flecha 5"/>
                <wp:cNvGraphicFramePr/>
                <a:graphic xmlns:a="http://schemas.openxmlformats.org/drawingml/2006/main">
                  <a:graphicData uri="http://schemas.microsoft.com/office/word/2010/wordprocessingShape">
                    <wps:wsp>
                      <wps:cNvCnPr/>
                      <wps:spPr>
                        <a:xfrm>
                          <a:off x="2539300" y="3186275"/>
                          <a:ext cx="5613400" cy="118745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1460500</wp:posOffset>
                </wp:positionV>
                <wp:extent cx="5664200" cy="1238250"/>
                <wp:effectExtent b="0" l="0" r="0" t="0"/>
                <wp:wrapNone/>
                <wp:docPr id="5"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5664200" cy="1238250"/>
                        </a:xfrm>
                        <a:prstGeom prst="rect"/>
                        <a:ln/>
                      </pic:spPr>
                    </pic:pic>
                  </a:graphicData>
                </a:graphic>
              </wp:anchor>
            </w:drawing>
          </mc:Fallback>
        </mc:AlternateContent>
      </w:r>
    </w:p>
    <w:p w14:paraId="5F0A19A1" w14:textId="77777777" w:rsidR="00B63DBB" w:rsidRDefault="00B63DBB">
      <w:pPr>
        <w:spacing w:before="240" w:after="240" w:line="360" w:lineRule="auto"/>
        <w:ind w:right="49"/>
        <w:jc w:val="both"/>
        <w:rPr>
          <w:rFonts w:ascii="Palatino Linotype" w:eastAsia="Palatino Linotype" w:hAnsi="Palatino Linotype" w:cs="Palatino Linotype"/>
        </w:rPr>
      </w:pPr>
    </w:p>
    <w:p w14:paraId="21861F24" w14:textId="77777777" w:rsidR="00B63DBB" w:rsidRDefault="00B63DBB">
      <w:pPr>
        <w:spacing w:before="240" w:after="240" w:line="360" w:lineRule="auto"/>
        <w:ind w:right="49"/>
        <w:jc w:val="both"/>
        <w:rPr>
          <w:rFonts w:ascii="Palatino Linotype" w:eastAsia="Palatino Linotype" w:hAnsi="Palatino Linotype" w:cs="Palatino Linotype"/>
        </w:rPr>
      </w:pPr>
    </w:p>
    <w:p w14:paraId="31655FE7" w14:textId="77777777" w:rsidR="00B63DBB" w:rsidRDefault="00DF551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7FAF6744" wp14:editId="0719A739">
            <wp:extent cx="5612130" cy="4166235"/>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612130" cy="4166235"/>
                    </a:xfrm>
                    <a:prstGeom prst="rect">
                      <a:avLst/>
                    </a:prstGeom>
                    <a:ln/>
                  </pic:spPr>
                </pic:pic>
              </a:graphicData>
            </a:graphic>
          </wp:inline>
        </w:drawing>
      </w:r>
    </w:p>
    <w:p w14:paraId="191CE0C2" w14:textId="77777777" w:rsidR="00B63DBB" w:rsidRDefault="00DF551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“GACETA NUMERO 12.pdf”, el cual contiene la gaceta de gobierno número 12 a través del cual se advierte el presupuesto de egresos autorizado al Ayuntamiento de Tlalnepantla de Baz en el año 2022.</w:t>
      </w:r>
    </w:p>
    <w:p w14:paraId="03E74307" w14:textId="77777777" w:rsidR="00B63DBB" w:rsidRDefault="00DF551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“SAIMEX 87 TM-383-2023.pdf”, el cual contiene a su vez dos oficios, el primero corresponde al Tesorero Municipal del Ayuntamiento de Tlalnepantla en donde informó que remite respuesta proporcionada por el Subtesorero de Egresos dependiente de esta Tesorería mediante el oficio número STE/138/2023.</w:t>
      </w:r>
    </w:p>
    <w:p w14:paraId="5A032122" w14:textId="77777777" w:rsidR="00B63DBB" w:rsidRDefault="00DF551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anexo en medio magnético la gaceta número 12 de fecha 25 de febrero del 2022 y el estado analítico del ejercicio del presupuesto de egresos detallado “clasificación por objeto del gasto” del tercer trimestre del año dos mil veintidós.</w:t>
      </w:r>
    </w:p>
    <w:p w14:paraId="451AFB07" w14:textId="77777777" w:rsidR="00B63DBB" w:rsidRDefault="00DF551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El segundo corresponde a la respuesta del Subtesorero de Egresos del Ayuntamiento de Tlalnepantla de Baz, en donde informó lo siguiente:</w:t>
      </w:r>
    </w:p>
    <w:p w14:paraId="371D280A" w14:textId="77777777" w:rsidR="00B63DBB" w:rsidRDefault="00DF551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7E30F192" wp14:editId="36B07343">
            <wp:extent cx="5740400" cy="3597275"/>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740400" cy="3597275"/>
                    </a:xfrm>
                    <a:prstGeom prst="rect">
                      <a:avLst/>
                    </a:prstGeom>
                    <a:ln/>
                  </pic:spPr>
                </pic:pic>
              </a:graphicData>
            </a:graphic>
          </wp:inline>
        </w:drawing>
      </w:r>
    </w:p>
    <w:p w14:paraId="7495E212" w14:textId="77777777" w:rsidR="00B63DBB" w:rsidRDefault="00DF551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catorce de marzo del año dos mil veintitrés,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350EAF98" w14:textId="77777777" w:rsidR="00B63DBB" w:rsidRDefault="00B63DBB">
      <w:pPr>
        <w:spacing w:before="240" w:after="240" w:line="360" w:lineRule="auto"/>
        <w:ind w:right="49"/>
        <w:jc w:val="both"/>
        <w:rPr>
          <w:rFonts w:ascii="Palatino Linotype" w:eastAsia="Palatino Linotype" w:hAnsi="Palatino Linotype" w:cs="Palatino Linotype"/>
        </w:rPr>
      </w:pPr>
    </w:p>
    <w:p w14:paraId="0F733928" w14:textId="77777777" w:rsidR="00B63DBB" w:rsidRDefault="00DF5513">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Acto impugnado: </w:t>
      </w:r>
      <w:r>
        <w:rPr>
          <w:rFonts w:ascii="Palatino Linotype" w:eastAsia="Palatino Linotype" w:hAnsi="Palatino Linotype" w:cs="Palatino Linotype"/>
          <w:b/>
        </w:rPr>
        <w:tab/>
      </w:r>
    </w:p>
    <w:p w14:paraId="52646C53" w14:textId="77777777" w:rsidR="00B63DBB" w:rsidRDefault="00DF5513">
      <w:pPr>
        <w:spacing w:line="360"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“Oculta información y no entrega lo solicitados” (Sic)</w:t>
      </w:r>
    </w:p>
    <w:p w14:paraId="719CA037" w14:textId="77777777" w:rsidR="00B63DBB" w:rsidRDefault="00B63DBB">
      <w:pPr>
        <w:spacing w:line="360" w:lineRule="auto"/>
        <w:ind w:left="851" w:right="900"/>
        <w:jc w:val="both"/>
        <w:rPr>
          <w:rFonts w:ascii="Palatino Linotype" w:eastAsia="Palatino Linotype" w:hAnsi="Palatino Linotype" w:cs="Palatino Linotype"/>
          <w:i/>
          <w:sz w:val="22"/>
          <w:szCs w:val="22"/>
        </w:rPr>
      </w:pPr>
    </w:p>
    <w:p w14:paraId="20BB45AF"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14:paraId="4B6D0D09" w14:textId="77777777" w:rsidR="00B63DBB" w:rsidRDefault="00B63DBB">
      <w:pPr>
        <w:spacing w:line="360" w:lineRule="auto"/>
        <w:ind w:left="851" w:right="900"/>
        <w:jc w:val="both"/>
        <w:rPr>
          <w:rFonts w:ascii="Palatino Linotype" w:eastAsia="Palatino Linotype" w:hAnsi="Palatino Linotype" w:cs="Palatino Linotype"/>
          <w:i/>
          <w:sz w:val="22"/>
          <w:szCs w:val="22"/>
        </w:rPr>
      </w:pPr>
      <w:bookmarkStart w:id="1" w:name="_heading=h.30j0zll" w:colFirst="0" w:colLast="0"/>
      <w:bookmarkEnd w:id="1"/>
    </w:p>
    <w:p w14:paraId="3199F088" w14:textId="77777777" w:rsidR="00B63DBB" w:rsidRDefault="00DF5513">
      <w:pPr>
        <w:spacing w:line="360"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“La unidad de transparencia son opacos </w:t>
      </w:r>
      <w:r>
        <w:rPr>
          <w:rFonts w:ascii="Palatino Linotype" w:eastAsia="Palatino Linotype" w:hAnsi="Palatino Linotype" w:cs="Palatino Linotype"/>
          <w:b/>
          <w:i/>
          <w:sz w:val="22"/>
          <w:szCs w:val="22"/>
          <w:u w:val="single"/>
        </w:rPr>
        <w:t>y no entregan la información</w:t>
      </w:r>
      <w:r>
        <w:rPr>
          <w:rFonts w:ascii="Palatino Linotype" w:eastAsia="Palatino Linotype" w:hAnsi="Palatino Linotype" w:cs="Palatino Linotype"/>
          <w:i/>
          <w:sz w:val="22"/>
          <w:szCs w:val="22"/>
        </w:rPr>
        <w:t>” (Sic)</w:t>
      </w:r>
    </w:p>
    <w:p w14:paraId="79AD5836" w14:textId="77777777" w:rsidR="00B63DBB" w:rsidRDefault="00B63DBB">
      <w:pPr>
        <w:spacing w:line="360" w:lineRule="auto"/>
        <w:ind w:right="51"/>
        <w:jc w:val="both"/>
        <w:rPr>
          <w:rFonts w:ascii="Palatino Linotype" w:eastAsia="Palatino Linotype" w:hAnsi="Palatino Linotype" w:cs="Palatino Linotype"/>
          <w:b/>
        </w:rPr>
      </w:pPr>
    </w:p>
    <w:p w14:paraId="0A1E0269" w14:textId="77777777" w:rsidR="00B63DBB" w:rsidRDefault="00DF5513">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3C4F341C" w14:textId="77777777" w:rsidR="00B63DBB" w:rsidRDefault="00B63DBB">
      <w:pPr>
        <w:spacing w:line="360" w:lineRule="auto"/>
        <w:ind w:right="51"/>
        <w:jc w:val="both"/>
        <w:rPr>
          <w:rFonts w:ascii="Palatino Linotype" w:eastAsia="Palatino Linotype" w:hAnsi="Palatino Linotype" w:cs="Palatino Linotype"/>
        </w:rPr>
      </w:pPr>
    </w:p>
    <w:p w14:paraId="458EF854" w14:textId="77777777" w:rsidR="00B63DBB" w:rsidRDefault="00DF551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diecisiete de marzo de dos mil veintitrés,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14:paraId="18D98669" w14:textId="77777777" w:rsidR="00B63DBB" w:rsidRDefault="00DF551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las constancias que obran en el expediente electrónico del SAIMEX se desprende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omitió realizar manifestaciones.</w:t>
      </w:r>
    </w:p>
    <w:p w14:paraId="6C062017"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veintisiete de marzo del año dos mil veintitrés, remitió el archivo electrónico siguiente:</w:t>
      </w:r>
    </w:p>
    <w:p w14:paraId="420A0A2A" w14:textId="77777777" w:rsidR="00B63DBB" w:rsidRDefault="00B63DBB">
      <w:pPr>
        <w:spacing w:line="360" w:lineRule="auto"/>
        <w:jc w:val="both"/>
        <w:rPr>
          <w:rFonts w:ascii="Palatino Linotype" w:eastAsia="Palatino Linotype" w:hAnsi="Palatino Linotype" w:cs="Palatino Linotype"/>
        </w:rPr>
      </w:pPr>
    </w:p>
    <w:p w14:paraId="1634D82F"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“MANIFESTACIONES RR”, el cual contiene a su vez los siguientes archivos electrónicos:</w:t>
      </w:r>
    </w:p>
    <w:p w14:paraId="04563E46" w14:textId="77777777" w:rsidR="00B63DBB" w:rsidRDefault="00B63DBB">
      <w:pPr>
        <w:spacing w:line="360" w:lineRule="auto"/>
        <w:jc w:val="both"/>
        <w:rPr>
          <w:rFonts w:ascii="Palatino Linotype" w:eastAsia="Palatino Linotype" w:hAnsi="Palatino Linotype" w:cs="Palatino Linotype"/>
        </w:rPr>
      </w:pPr>
    </w:p>
    <w:p w14:paraId="7B9FA392"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“CalendarioObligPer_2023.pdf”, el cual contiene el calendario oficial del Órgano Superior de Fiscalización del Estado de México, para el año 2023, constante de 32 fojas.</w:t>
      </w:r>
    </w:p>
    <w:p w14:paraId="36531552" w14:textId="77777777" w:rsidR="00B63DBB" w:rsidRDefault="00B63DBB">
      <w:pPr>
        <w:spacing w:line="360" w:lineRule="auto"/>
        <w:jc w:val="both"/>
        <w:rPr>
          <w:rFonts w:ascii="Palatino Linotype" w:eastAsia="Palatino Linotype" w:hAnsi="Palatino Linotype" w:cs="Palatino Linotype"/>
        </w:rPr>
      </w:pPr>
    </w:p>
    <w:p w14:paraId="2C65B93E"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“GACETA DE MUNICIPAL 8.pdf”, el cual contiene la Gaceta Municipal número del Ayuntamiento de Tlalnepantla de Baz, en donde se autorizan las adecuaciones al Presupuesto de Egresos para el Ejercicio Fiscal del año dos mil veintitrés.</w:t>
      </w:r>
    </w:p>
    <w:p w14:paraId="558039D1" w14:textId="77777777" w:rsidR="00B63DBB" w:rsidRDefault="00B63DBB">
      <w:pPr>
        <w:spacing w:line="360" w:lineRule="auto"/>
        <w:jc w:val="both"/>
        <w:rPr>
          <w:rFonts w:ascii="Palatino Linotype" w:eastAsia="Palatino Linotype" w:hAnsi="Palatino Linotype" w:cs="Palatino Linotype"/>
        </w:rPr>
      </w:pPr>
    </w:p>
    <w:p w14:paraId="3336ECE7"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“LINEAMIENTOS CUENTA PUBLICA 2022.pdf”, el cual contiene los Lineamientos para la entrega del cuarto informe trimestral 2022 de las entidades fiscalizables del Estado de México, y los lineamientos, fechas de capacitación y calendarización para la integración y entrega de la cuenta pública municipal 2022, constante de 27 fojas.</w:t>
      </w:r>
    </w:p>
    <w:p w14:paraId="5D2B3BEC" w14:textId="77777777" w:rsidR="00B63DBB" w:rsidRDefault="00B63DBB">
      <w:pPr>
        <w:spacing w:line="360" w:lineRule="auto"/>
        <w:jc w:val="both"/>
        <w:rPr>
          <w:rFonts w:ascii="Palatino Linotype" w:eastAsia="Palatino Linotype" w:hAnsi="Palatino Linotype" w:cs="Palatino Linotype"/>
        </w:rPr>
      </w:pPr>
    </w:p>
    <w:p w14:paraId="5EA6BD0D"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“MANIFESTACIONES.pdf”, el cual contiene el informe justificado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medio del cual expone que este Instituto no puede dudar de la veracidad de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aunado a que se le entregó en tiempo y forma a la parte RECURRENTE la información solicitada, refiriendo que el presente recurso de revisión sea desechado por </w:t>
      </w:r>
      <w:r>
        <w:rPr>
          <w:rFonts w:ascii="Palatino Linotype" w:eastAsia="Palatino Linotype" w:hAnsi="Palatino Linotype" w:cs="Palatino Linotype"/>
        </w:rPr>
        <w:lastRenderedPageBreak/>
        <w:t xml:space="preserve">improcedente en términos del fundamento legal que señala y finalizando con la ratificación de su respuesta primigenia. </w:t>
      </w:r>
    </w:p>
    <w:p w14:paraId="3DAF8047" w14:textId="77777777" w:rsidR="00B63DBB" w:rsidRDefault="00B63DBB">
      <w:pPr>
        <w:spacing w:line="360" w:lineRule="auto"/>
        <w:jc w:val="both"/>
        <w:rPr>
          <w:rFonts w:ascii="Palatino Linotype" w:eastAsia="Palatino Linotype" w:hAnsi="Palatino Linotype" w:cs="Palatino Linotype"/>
        </w:rPr>
      </w:pPr>
    </w:p>
    <w:p w14:paraId="10D8F47E"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“TM_942_2023.pdf”, por medio del cual el Tesorero Municipal del Ayuntamiento de Tlalnepantla informó lo siguiente:</w:t>
      </w:r>
    </w:p>
    <w:p w14:paraId="6E28514C"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2A42A9AF" wp14:editId="5A7457F8">
            <wp:extent cx="5612130" cy="1551305"/>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612130" cy="1551305"/>
                    </a:xfrm>
                    <a:prstGeom prst="rect">
                      <a:avLst/>
                    </a:prstGeom>
                    <a:ln/>
                  </pic:spPr>
                </pic:pic>
              </a:graphicData>
            </a:graphic>
          </wp:inline>
        </w:drawing>
      </w:r>
    </w:p>
    <w:p w14:paraId="1BC3D469"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3C5FA42E" wp14:editId="3C2A3F72">
            <wp:extent cx="5612130" cy="4070985"/>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612130" cy="4070985"/>
                    </a:xfrm>
                    <a:prstGeom prst="rect">
                      <a:avLst/>
                    </a:prstGeom>
                    <a:ln/>
                  </pic:spPr>
                </pic:pic>
              </a:graphicData>
            </a:graphic>
          </wp:inline>
        </w:drawing>
      </w:r>
    </w:p>
    <w:p w14:paraId="42B8871A" w14:textId="77777777" w:rsidR="00B63DBB" w:rsidRDefault="00DF5513">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lastRenderedPageBreak/>
        <w:t xml:space="preserve">7. </w:t>
      </w:r>
      <w:r>
        <w:rPr>
          <w:rFonts w:ascii="Palatino Linotype" w:eastAsia="Palatino Linotype" w:hAnsi="Palatino Linotype" w:cs="Palatino Linotype"/>
          <w:b/>
        </w:rPr>
        <w:t>Ampliación del plazo.</w:t>
      </w:r>
      <w:r>
        <w:rPr>
          <w:rFonts w:ascii="Palatino Linotype" w:eastAsia="Palatino Linotype" w:hAnsi="Palatino Linotype" w:cs="Palatino Linotype"/>
        </w:rPr>
        <w:t xml:space="preserve"> En fecha veinte de septiembre del año dos mil veintitrés, con fundamento en el artículo 181, párrafo tercero de la Ley de Transparencia y Acceso a la Información Pública del Estado de México y Municipios, se acordó la ampliación del plazo para su resolución.</w:t>
      </w:r>
    </w:p>
    <w:p w14:paraId="3C23CACF" w14:textId="77777777" w:rsidR="00B63DBB" w:rsidRDefault="00B63DBB">
      <w:pPr>
        <w:widowControl w:val="0"/>
        <w:spacing w:line="360" w:lineRule="auto"/>
        <w:jc w:val="both"/>
        <w:rPr>
          <w:rFonts w:ascii="Palatino Linotype" w:eastAsia="Palatino Linotype" w:hAnsi="Palatino Linotype" w:cs="Palatino Linotype"/>
        </w:rPr>
      </w:pPr>
    </w:p>
    <w:p w14:paraId="44284349" w14:textId="77777777" w:rsidR="00B63DBB" w:rsidRDefault="00DF5513">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57AA2A6C" w14:textId="77777777" w:rsidR="00B63DBB" w:rsidRDefault="00B63DBB">
      <w:pPr>
        <w:spacing w:line="360" w:lineRule="auto"/>
        <w:jc w:val="both"/>
        <w:rPr>
          <w:rFonts w:ascii="Palatino Linotype" w:eastAsia="Palatino Linotype" w:hAnsi="Palatino Linotype" w:cs="Palatino Linotype"/>
        </w:rPr>
      </w:pPr>
    </w:p>
    <w:p w14:paraId="362A6872"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3F5B6E2" w14:textId="77777777" w:rsidR="00B63DBB" w:rsidRDefault="00B63DBB">
      <w:pPr>
        <w:spacing w:line="360" w:lineRule="auto"/>
        <w:jc w:val="both"/>
        <w:rPr>
          <w:rFonts w:ascii="Palatino Linotype" w:eastAsia="Palatino Linotype" w:hAnsi="Palatino Linotype" w:cs="Palatino Linotype"/>
        </w:rPr>
      </w:pPr>
    </w:p>
    <w:p w14:paraId="5475AAEE"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12B5A75"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73A06DB" w14:textId="77777777" w:rsidR="00B63DBB" w:rsidRDefault="00B63DBB">
      <w:pPr>
        <w:spacing w:line="360" w:lineRule="auto"/>
        <w:jc w:val="both"/>
        <w:rPr>
          <w:rFonts w:ascii="Palatino Linotype" w:eastAsia="Palatino Linotype" w:hAnsi="Palatino Linotype" w:cs="Palatino Linotype"/>
        </w:rPr>
      </w:pPr>
    </w:p>
    <w:p w14:paraId="4825DCEB" w14:textId="77777777" w:rsidR="00B63DBB" w:rsidRDefault="00DF5513">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F9909A5" w14:textId="77777777" w:rsidR="00B63DBB" w:rsidRDefault="00B63DBB">
      <w:pPr>
        <w:spacing w:line="360" w:lineRule="auto"/>
        <w:jc w:val="both"/>
        <w:rPr>
          <w:rFonts w:ascii="Palatino Linotype" w:eastAsia="Palatino Linotype" w:hAnsi="Palatino Linotype" w:cs="Palatino Linotype"/>
        </w:rPr>
      </w:pPr>
    </w:p>
    <w:p w14:paraId="5D13FCD2" w14:textId="77777777" w:rsidR="00B63DBB" w:rsidRDefault="00DF5513">
      <w:pPr>
        <w:numPr>
          <w:ilvl w:val="0"/>
          <w:numId w:val="3"/>
        </w:numPr>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2D6E41F" w14:textId="77777777" w:rsidR="00B63DBB" w:rsidRDefault="00B63DBB">
      <w:pPr>
        <w:ind w:left="851" w:hanging="360"/>
        <w:jc w:val="both"/>
        <w:rPr>
          <w:rFonts w:ascii="Palatino Linotype" w:eastAsia="Palatino Linotype" w:hAnsi="Palatino Linotype" w:cs="Palatino Linotype"/>
        </w:rPr>
      </w:pPr>
    </w:p>
    <w:p w14:paraId="68FA5F50" w14:textId="77777777" w:rsidR="00B63DBB" w:rsidRDefault="00DF5513">
      <w:pPr>
        <w:numPr>
          <w:ilvl w:val="0"/>
          <w:numId w:val="3"/>
        </w:numPr>
        <w:ind w:left="851"/>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68276909" w14:textId="77777777" w:rsidR="00B63DBB" w:rsidRDefault="00B63DBB">
      <w:pPr>
        <w:ind w:left="851" w:hanging="360"/>
        <w:jc w:val="both"/>
        <w:rPr>
          <w:rFonts w:ascii="Palatino Linotype" w:eastAsia="Palatino Linotype" w:hAnsi="Palatino Linotype" w:cs="Palatino Linotype"/>
        </w:rPr>
      </w:pPr>
    </w:p>
    <w:p w14:paraId="4AF56A77" w14:textId="77777777" w:rsidR="00B63DBB" w:rsidRDefault="00DF5513">
      <w:pPr>
        <w:numPr>
          <w:ilvl w:val="0"/>
          <w:numId w:val="3"/>
        </w:numPr>
        <w:ind w:left="851"/>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44023C29" w14:textId="77777777" w:rsidR="00B63DBB" w:rsidRDefault="00B63DBB">
      <w:pPr>
        <w:ind w:left="851" w:hanging="360"/>
        <w:rPr>
          <w:rFonts w:ascii="Palatino Linotype" w:eastAsia="Palatino Linotype" w:hAnsi="Palatino Linotype" w:cs="Palatino Linotype"/>
        </w:rPr>
      </w:pPr>
    </w:p>
    <w:p w14:paraId="24CABE13" w14:textId="77777777" w:rsidR="00B63DBB" w:rsidRDefault="00DF5513">
      <w:pPr>
        <w:ind w:left="851" w:hanging="360"/>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10EA95D4" w14:textId="77777777" w:rsidR="00B63DBB" w:rsidRDefault="00B63DBB">
      <w:pPr>
        <w:spacing w:line="360" w:lineRule="auto"/>
        <w:jc w:val="both"/>
        <w:rPr>
          <w:rFonts w:ascii="Palatino Linotype" w:eastAsia="Palatino Linotype" w:hAnsi="Palatino Linotype" w:cs="Palatino Linotype"/>
        </w:rPr>
      </w:pPr>
    </w:p>
    <w:p w14:paraId="12829EF7"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8191F01" w14:textId="77777777" w:rsidR="00B63DBB" w:rsidRDefault="00B63DBB">
      <w:pPr>
        <w:spacing w:line="360" w:lineRule="auto"/>
        <w:jc w:val="both"/>
        <w:rPr>
          <w:rFonts w:ascii="Palatino Linotype" w:eastAsia="Palatino Linotype" w:hAnsi="Palatino Linotype" w:cs="Palatino Linotype"/>
        </w:rPr>
      </w:pPr>
    </w:p>
    <w:p w14:paraId="36C748D3" w14:textId="77777777" w:rsidR="00B63DBB" w:rsidRDefault="00DF551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164189DE" w14:textId="77777777" w:rsidR="00B63DBB" w:rsidRDefault="00B63DBB">
      <w:pPr>
        <w:spacing w:line="360" w:lineRule="auto"/>
        <w:jc w:val="both"/>
        <w:rPr>
          <w:rFonts w:ascii="Palatino Linotype" w:eastAsia="Palatino Linotype" w:hAnsi="Palatino Linotype" w:cs="Palatino Linotype"/>
        </w:rPr>
      </w:pPr>
    </w:p>
    <w:p w14:paraId="6B52BA80"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FC9AAD2" w14:textId="77777777" w:rsidR="00B63DBB" w:rsidRDefault="00B63DBB">
      <w:pPr>
        <w:spacing w:line="360" w:lineRule="auto"/>
        <w:jc w:val="both"/>
        <w:rPr>
          <w:rFonts w:ascii="Palatino Linotype" w:eastAsia="Palatino Linotype" w:hAnsi="Palatino Linotype" w:cs="Palatino Linotype"/>
        </w:rPr>
      </w:pPr>
    </w:p>
    <w:p w14:paraId="56AB30E6"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07FD601" w14:textId="77777777" w:rsidR="00B63DBB" w:rsidRDefault="00B63DBB">
      <w:pPr>
        <w:spacing w:line="360" w:lineRule="auto"/>
        <w:jc w:val="both"/>
        <w:rPr>
          <w:rFonts w:ascii="Palatino Linotype" w:eastAsia="Palatino Linotype" w:hAnsi="Palatino Linotype" w:cs="Palatino Linotype"/>
        </w:rPr>
      </w:pPr>
    </w:p>
    <w:p w14:paraId="43418DCC"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44E9B61C" w14:textId="77777777" w:rsidR="00B63DBB" w:rsidRDefault="00B63DBB">
      <w:pPr>
        <w:spacing w:line="360" w:lineRule="auto"/>
        <w:jc w:val="both"/>
        <w:rPr>
          <w:rFonts w:ascii="Palatino Linotype" w:eastAsia="Palatino Linotype" w:hAnsi="Palatino Linotype" w:cs="Palatino Linotype"/>
          <w:b/>
        </w:rPr>
      </w:pPr>
    </w:p>
    <w:p w14:paraId="54FC1DCC"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670FFBD7"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B3D540D" w14:textId="77777777" w:rsidR="00B63DBB" w:rsidRDefault="00DF551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 xml:space="preserve">tres de octubre de dos mil veintitrés, </w:t>
      </w:r>
      <w:r>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2ACE549C" w14:textId="77777777" w:rsidR="00B63DBB" w:rsidRDefault="00DF551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890AF13" w14:textId="77777777" w:rsidR="00B63DBB" w:rsidRDefault="00DF5513">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719953E6"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w:t>
      </w:r>
      <w:r>
        <w:rPr>
          <w:rFonts w:ascii="Palatino Linotype" w:eastAsia="Palatino Linotype" w:hAnsi="Palatino Linotype" w:cs="Palatino Linotype"/>
        </w:rPr>
        <w:lastRenderedPageBreak/>
        <w:t>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234A341" w14:textId="77777777" w:rsidR="00B63DBB" w:rsidRDefault="00DF5513">
      <w:pPr>
        <w:spacing w:before="240" w:after="240" w:line="360" w:lineRule="auto"/>
        <w:jc w:val="both"/>
        <w:rPr>
          <w:rFonts w:ascii="Palatino Linotype" w:eastAsia="Palatino Linotype" w:hAnsi="Palatino Linotype" w:cs="Palatino Linotype"/>
        </w:rPr>
      </w:pPr>
      <w:bookmarkStart w:id="2" w:name="_heading=h.tyjcwt" w:colFirst="0" w:colLast="0"/>
      <w:bookmarkEnd w:id="2"/>
      <w:r>
        <w:rPr>
          <w:rFonts w:ascii="Palatino Linotype" w:eastAsia="Palatino Linotype" w:hAnsi="Palatino Linotype" w:cs="Palatino Linotype"/>
          <w:b/>
        </w:rPr>
        <w:t xml:space="preserve">Segundo. Oportunidad y Procedibilidad del Recurso de Revisión. </w:t>
      </w:r>
      <w:r>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867C276" w14:textId="77777777" w:rsidR="00B63DBB" w:rsidRDefault="00DF551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establece lo siguiente:</w:t>
      </w:r>
    </w:p>
    <w:p w14:paraId="1F9C1E82" w14:textId="77777777" w:rsidR="00B63DBB" w:rsidRDefault="00DF5513">
      <w:pPr>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34B1B72" w14:textId="77777777" w:rsidR="00B63DBB" w:rsidRDefault="00DF551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w:t>
      </w:r>
      <w:r>
        <w:rPr>
          <w:rFonts w:ascii="Palatino Linotype" w:eastAsia="Palatino Linotype" w:hAnsi="Palatino Linotype" w:cs="Palatino Linotype"/>
        </w:rPr>
        <w:lastRenderedPageBreak/>
        <w:t xml:space="preserve">interponer recurso de revisión de manera directa o por medios electrónicos dentro de los quince días hábiles siguientes a la fecha de notificación de la respuesta, y,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la respuesta a la solicitud de información el día </w:t>
      </w:r>
      <w:r>
        <w:rPr>
          <w:rFonts w:ascii="Palatino Linotype" w:eastAsia="Palatino Linotype" w:hAnsi="Palatino Linotype" w:cs="Palatino Linotype"/>
          <w:b/>
        </w:rPr>
        <w:t xml:space="preserve">quince de febrero de dos mil veintitrés, </w:t>
      </w:r>
      <w:r>
        <w:rPr>
          <w:rFonts w:ascii="Palatino Linotype" w:eastAsia="Palatino Linotype" w:hAnsi="Palatino Linotype" w:cs="Palatino Linotype"/>
        </w:rPr>
        <w:t xml:space="preserve">mientras que el recurso de revisión interpuesto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rPr>
        <w:t>catorce de marzo del año dos mil veintitrés</w:t>
      </w:r>
      <w:r>
        <w:rPr>
          <w:rFonts w:ascii="Palatino Linotype" w:eastAsia="Palatino Linotype" w:hAnsi="Palatino Linotype" w:cs="Palatino Linotype"/>
        </w:rPr>
        <w:t>; esto es, al décimo segundo día hábil en que tuvo conocimiento de la respuesta.</w:t>
      </w:r>
    </w:p>
    <w:p w14:paraId="3368C36D" w14:textId="77777777" w:rsidR="00B63DBB" w:rsidRDefault="00DF551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procedibilidad del recurso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no proporcionó nombre</w:t>
      </w:r>
      <w:r>
        <w:rPr>
          <w:rFonts w:ascii="Palatino Linotype" w:eastAsia="Palatino Linotype" w:hAnsi="Palatino Linotype" w:cs="Palatino Linotype"/>
          <w:b/>
        </w:rPr>
        <w:t>,</w:t>
      </w:r>
      <w:r>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51DEC5C" w14:textId="77777777" w:rsidR="00B63DBB" w:rsidRDefault="00DF5513">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solicitante."(Sic)</w:t>
      </w:r>
    </w:p>
    <w:p w14:paraId="7801755D" w14:textId="77777777" w:rsidR="00B63DBB" w:rsidRDefault="00DF551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B0058DC" w14:textId="77777777" w:rsidR="00B63DBB" w:rsidRDefault="00DF551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 artículo 179, fracción I de la ley de la materia, que a la letra dice:</w:t>
      </w:r>
    </w:p>
    <w:p w14:paraId="075DD54E" w14:textId="77777777" w:rsidR="00B63DBB" w:rsidRDefault="00DF5513">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5CCBBAC" w14:textId="77777777" w:rsidR="00B63DBB" w:rsidRDefault="00DF5513">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La negativa a la información solicitada…” (Sic) </w:t>
      </w:r>
    </w:p>
    <w:p w14:paraId="0A488104" w14:textId="77777777" w:rsidR="00B63DBB" w:rsidRDefault="00DF551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1A8A2D87" w14:textId="77777777" w:rsidR="00B63DBB" w:rsidRDefault="00DF551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Pr>
          <w:rFonts w:ascii="Palatino Linotype" w:eastAsia="Palatino Linotype" w:hAnsi="Palatino Linotype" w:cs="Palatino Linotype"/>
        </w:rPr>
        <w:t>transcribe</w:t>
      </w:r>
      <w:r>
        <w:rPr>
          <w:rFonts w:ascii="Palatino Linotype" w:eastAsia="Palatino Linotype" w:hAnsi="Palatino Linotype" w:cs="Palatino Linotype"/>
          <w:color w:val="000000"/>
        </w:rPr>
        <w:t xml:space="preserve"> para un mejor entendimiento:</w:t>
      </w:r>
    </w:p>
    <w:p w14:paraId="42015AED" w14:textId="77777777" w:rsidR="00B63DBB" w:rsidRDefault="00DF5513">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90A097E" w14:textId="77777777" w:rsidR="00B63DBB" w:rsidRDefault="00DF5513">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11B06FC" w14:textId="77777777" w:rsidR="00B63DBB" w:rsidRDefault="00DF5513">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14:paraId="24E7ADB7" w14:textId="77777777" w:rsidR="00B63DBB" w:rsidRDefault="00DF551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70019D9" w14:textId="77777777" w:rsidR="00B63DBB" w:rsidRDefault="00DF5513">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9EC87E8" w14:textId="77777777" w:rsidR="00B63DBB" w:rsidRDefault="00DF5513">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52267C3D" w14:textId="77777777" w:rsidR="00B63DBB" w:rsidRDefault="00B63DBB">
      <w:pPr>
        <w:spacing w:line="360" w:lineRule="auto"/>
        <w:ind w:right="-93"/>
        <w:jc w:val="both"/>
        <w:rPr>
          <w:rFonts w:ascii="Palatino Linotype" w:eastAsia="Palatino Linotype" w:hAnsi="Palatino Linotype" w:cs="Palatino Linotype"/>
          <w:color w:val="000000"/>
        </w:rPr>
      </w:pPr>
    </w:p>
    <w:p w14:paraId="29790967" w14:textId="77777777" w:rsidR="00B63DBB" w:rsidRDefault="00DF5513">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236A74B5" w14:textId="77777777" w:rsidR="00B63DBB" w:rsidRDefault="00B63DBB">
      <w:pPr>
        <w:spacing w:line="360" w:lineRule="auto"/>
        <w:ind w:right="-93"/>
        <w:jc w:val="both"/>
        <w:rPr>
          <w:rFonts w:ascii="Palatino Linotype" w:eastAsia="Palatino Linotype" w:hAnsi="Palatino Linotype" w:cs="Palatino Linotype"/>
          <w:color w:val="000000"/>
        </w:rPr>
      </w:pPr>
    </w:p>
    <w:p w14:paraId="460C17C0" w14:textId="77777777" w:rsidR="00B63DBB" w:rsidRDefault="00DF551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p>
    <w:p w14:paraId="58F7EBFA" w14:textId="77777777" w:rsidR="00B63DBB" w:rsidRDefault="00DF5513">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 </w:t>
      </w:r>
    </w:p>
    <w:p w14:paraId="3A24BDBF" w14:textId="77777777" w:rsidR="00B63DBB" w:rsidRDefault="00DF5513">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E901FC1" w14:textId="77777777" w:rsidR="00B63DBB" w:rsidRDefault="00DF5513">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14:paraId="6A1F0102" w14:textId="77777777" w:rsidR="00B63DBB" w:rsidRDefault="00DF5513">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42769805" w14:textId="77777777" w:rsidR="00B63DBB" w:rsidRDefault="00DF5513">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5AB2E00A" w14:textId="77777777" w:rsidR="00B63DBB" w:rsidRDefault="00DF5513">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14:paraId="1B49D2E0" w14:textId="77777777" w:rsidR="00B63DBB" w:rsidRDefault="00B63DBB">
      <w:pPr>
        <w:spacing w:line="360" w:lineRule="auto"/>
        <w:jc w:val="both"/>
        <w:rPr>
          <w:rFonts w:ascii="Palatino Linotype" w:eastAsia="Palatino Linotype" w:hAnsi="Palatino Linotype" w:cs="Palatino Linotype"/>
        </w:rPr>
      </w:pPr>
    </w:p>
    <w:p w14:paraId="7A2B9CC9" w14:textId="77777777" w:rsidR="00B63DBB" w:rsidRDefault="00DF5513">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lastRenderedPageBreak/>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14:paraId="762ABACF" w14:textId="77777777" w:rsidR="00B63DBB" w:rsidRDefault="00B63DBB">
      <w:pPr>
        <w:spacing w:line="360" w:lineRule="auto"/>
        <w:jc w:val="both"/>
        <w:rPr>
          <w:rFonts w:ascii="Palatino Linotype" w:eastAsia="Palatino Linotype" w:hAnsi="Palatino Linotype" w:cs="Palatino Linotype"/>
          <w:color w:val="000000"/>
        </w:rPr>
      </w:pPr>
    </w:p>
    <w:p w14:paraId="604D97B3" w14:textId="77777777" w:rsidR="00B63DBB" w:rsidRDefault="00DF551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BC19BA6" w14:textId="77777777" w:rsidR="00B63DBB" w:rsidRDefault="00B63DBB">
      <w:pPr>
        <w:spacing w:line="360" w:lineRule="auto"/>
        <w:ind w:right="49"/>
        <w:jc w:val="both"/>
        <w:rPr>
          <w:rFonts w:ascii="Palatino Linotype" w:eastAsia="Palatino Linotype" w:hAnsi="Palatino Linotype" w:cs="Palatino Linotype"/>
        </w:rPr>
      </w:pPr>
    </w:p>
    <w:p w14:paraId="6D7CFF2D"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6F565350" w14:textId="77777777" w:rsidR="00B63DBB" w:rsidRDefault="00B63DBB">
      <w:pPr>
        <w:ind w:left="851" w:right="899"/>
        <w:jc w:val="both"/>
        <w:rPr>
          <w:rFonts w:ascii="Palatino Linotype" w:eastAsia="Palatino Linotype" w:hAnsi="Palatino Linotype" w:cs="Palatino Linotype"/>
          <w:i/>
          <w:sz w:val="22"/>
          <w:szCs w:val="22"/>
        </w:rPr>
      </w:pPr>
    </w:p>
    <w:p w14:paraId="5DC7088A"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379F864D"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DF00E96" w14:textId="77777777" w:rsidR="00B63DBB" w:rsidRDefault="00DF5513">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D6C8FCB" w14:textId="77777777" w:rsidR="00B63DBB" w:rsidRDefault="00B63DBB">
      <w:pPr>
        <w:ind w:left="851" w:right="899"/>
        <w:jc w:val="both"/>
        <w:rPr>
          <w:rFonts w:ascii="Palatino Linotype" w:eastAsia="Palatino Linotype" w:hAnsi="Palatino Linotype" w:cs="Palatino Linotype"/>
          <w:sz w:val="22"/>
          <w:szCs w:val="22"/>
        </w:rPr>
      </w:pPr>
    </w:p>
    <w:p w14:paraId="48D54FF6"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A697BE4" w14:textId="77777777" w:rsidR="00B63DBB" w:rsidRDefault="00B63DBB">
      <w:pPr>
        <w:ind w:left="851" w:right="899"/>
        <w:jc w:val="both"/>
        <w:rPr>
          <w:rFonts w:ascii="Palatino Linotype" w:eastAsia="Palatino Linotype" w:hAnsi="Palatino Linotype" w:cs="Palatino Linotype"/>
        </w:rPr>
      </w:pPr>
    </w:p>
    <w:p w14:paraId="7BC2A667" w14:textId="77777777" w:rsidR="00B63DBB" w:rsidRDefault="00DF551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7576AFAE"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53EA690"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F88C1FF"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C872BC1" w14:textId="77777777" w:rsidR="00B63DBB" w:rsidRDefault="00DF551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2) Que se trate de información registrada en cualquier soporte documental, que en ejercicio de las atribuciones conferidas, sea administrada por los Sujetos Obligados, y</w:t>
      </w:r>
    </w:p>
    <w:p w14:paraId="58A655F7" w14:textId="77777777" w:rsidR="00B63DBB" w:rsidRDefault="00DF551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14:paraId="003CD02F" w14:textId="77777777" w:rsidR="00B63DBB" w:rsidRDefault="00DF551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del análisis de la solicitud de información motivo del recurso de revisión que ahora se resuelve, se advierte que el particular requirió al Ayuntamiento de Tlalnepantla de Baz, lo siguiente:</w:t>
      </w:r>
    </w:p>
    <w:p w14:paraId="380B3A52" w14:textId="77777777" w:rsidR="00B63DBB" w:rsidRDefault="00DF5513">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PRESUPUESTO ASIGNADO, AUTORIZADO Y EJERCIDO POR </w:t>
      </w:r>
      <w:r>
        <w:rPr>
          <w:rFonts w:ascii="Palatino Linotype" w:eastAsia="Palatino Linotype" w:hAnsi="Palatino Linotype" w:cs="Palatino Linotype"/>
        </w:rPr>
        <w:t>CAPÍTULO</w:t>
      </w:r>
      <w:r>
        <w:rPr>
          <w:rFonts w:ascii="Palatino Linotype" w:eastAsia="Palatino Linotype" w:hAnsi="Palatino Linotype" w:cs="Palatino Linotype"/>
          <w:color w:val="000000"/>
        </w:rPr>
        <w:t xml:space="preserve"> DEL AYUNTAMIENTO PARA EL AÑO 2022 Y 2023.</w:t>
      </w:r>
    </w:p>
    <w:p w14:paraId="21C92BD1" w14:textId="77777777" w:rsidR="00B63DBB" w:rsidRDefault="00B63DBB">
      <w:pPr>
        <w:spacing w:line="360" w:lineRule="auto"/>
        <w:ind w:right="51"/>
        <w:jc w:val="both"/>
        <w:rPr>
          <w:rFonts w:ascii="Palatino Linotype" w:eastAsia="Palatino Linotype" w:hAnsi="Palatino Linotype" w:cs="Palatino Linotype"/>
          <w:color w:val="000000"/>
        </w:rPr>
      </w:pPr>
    </w:p>
    <w:p w14:paraId="3DA2B27D" w14:textId="77777777" w:rsidR="00B63DBB" w:rsidRDefault="00DF5513">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En respuesta,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señaló a través su </w:t>
      </w:r>
      <w:r>
        <w:rPr>
          <w:rFonts w:ascii="Palatino Linotype" w:eastAsia="Palatino Linotype" w:hAnsi="Palatino Linotype" w:cs="Palatino Linotype"/>
        </w:rPr>
        <w:t>Subtesorero de Egresos perteneciente a la Tesorería Municipal del Ayuntamiento de Tlalnepantla de Baz, lo siguiente:</w:t>
      </w:r>
    </w:p>
    <w:p w14:paraId="25A63CC7" w14:textId="77777777" w:rsidR="00B63DBB" w:rsidRDefault="00DF5513">
      <w:pPr>
        <w:spacing w:line="360" w:lineRule="auto"/>
        <w:ind w:right="51"/>
        <w:jc w:val="both"/>
        <w:rPr>
          <w:rFonts w:ascii="Palatino Linotype" w:eastAsia="Palatino Linotype" w:hAnsi="Palatino Linotype" w:cs="Palatino Linotype"/>
        </w:rPr>
      </w:pPr>
      <w:r>
        <w:rPr>
          <w:noProof/>
          <w:lang w:val="es-MX"/>
        </w:rPr>
        <w:drawing>
          <wp:inline distT="0" distB="0" distL="0" distR="0" wp14:anchorId="3BD0BDE0" wp14:editId="5210FC76">
            <wp:extent cx="5740400" cy="26289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740400" cy="2628900"/>
                    </a:xfrm>
                    <a:prstGeom prst="rect">
                      <a:avLst/>
                    </a:prstGeom>
                    <a:ln/>
                  </pic:spPr>
                </pic:pic>
              </a:graphicData>
            </a:graphic>
          </wp:inline>
        </w:drawing>
      </w:r>
    </w:p>
    <w:p w14:paraId="75767030" w14:textId="77777777" w:rsidR="00B63DBB" w:rsidRDefault="00DF5513">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Sin embargo, el particular de sus motivos de inconformidad se advierte que se quejó en lo medular porque </w:t>
      </w:r>
      <w:r>
        <w:rPr>
          <w:rFonts w:ascii="Palatino Linotype" w:eastAsia="Palatino Linotype" w:hAnsi="Palatino Linotype" w:cs="Palatino Linotype"/>
          <w:b/>
          <w:color w:val="000000"/>
          <w:u w:val="single"/>
        </w:rPr>
        <w:t>no se le entregó la información.</w:t>
      </w:r>
      <w:r>
        <w:rPr>
          <w:rFonts w:ascii="Palatino Linotype" w:eastAsia="Palatino Linotype" w:hAnsi="Palatino Linotype" w:cs="Palatino Linotype"/>
          <w:color w:val="000000"/>
        </w:rPr>
        <w:t xml:space="preserve"> </w:t>
      </w:r>
    </w:p>
    <w:p w14:paraId="5BBACFBB" w14:textId="77777777" w:rsidR="00B63DBB" w:rsidRDefault="00B63DBB">
      <w:pPr>
        <w:spacing w:line="360" w:lineRule="auto"/>
        <w:jc w:val="both"/>
        <w:rPr>
          <w:rFonts w:ascii="Palatino Linotype" w:eastAsia="Palatino Linotype" w:hAnsi="Palatino Linotype" w:cs="Palatino Linotype"/>
          <w:color w:val="000000"/>
        </w:rPr>
      </w:pPr>
    </w:p>
    <w:p w14:paraId="28C02129"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Una vez notificado el recurso de revisión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este rindió su informe justificado en donde manifestó a través de su</w:t>
      </w:r>
      <w:r>
        <w:rPr>
          <w:rFonts w:ascii="Palatino Linotype" w:eastAsia="Palatino Linotype" w:hAnsi="Palatino Linotype" w:cs="Palatino Linotype"/>
        </w:rPr>
        <w:t xml:space="preserve"> Tesorero Municipal del Ayuntamiento de Tlalnepantla, lo siguiente:</w:t>
      </w:r>
    </w:p>
    <w:p w14:paraId="6DC4EEC5"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70B21CA5" wp14:editId="7C01E7B7">
            <wp:extent cx="5612130" cy="1551305"/>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612130" cy="1551305"/>
                    </a:xfrm>
                    <a:prstGeom prst="rect">
                      <a:avLst/>
                    </a:prstGeom>
                    <a:ln/>
                  </pic:spPr>
                </pic:pic>
              </a:graphicData>
            </a:graphic>
          </wp:inline>
        </w:drawing>
      </w:r>
    </w:p>
    <w:p w14:paraId="3708E358"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70234865" wp14:editId="149D40B5">
            <wp:extent cx="5612130" cy="4070985"/>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612130" cy="4070985"/>
                    </a:xfrm>
                    <a:prstGeom prst="rect">
                      <a:avLst/>
                    </a:prstGeom>
                    <a:ln/>
                  </pic:spPr>
                </pic:pic>
              </a:graphicData>
            </a:graphic>
          </wp:inline>
        </w:drawing>
      </w:r>
    </w:p>
    <w:p w14:paraId="6B067079" w14:textId="77777777" w:rsidR="00B63DBB" w:rsidRDefault="00B63DBB">
      <w:pPr>
        <w:spacing w:line="360" w:lineRule="auto"/>
        <w:jc w:val="both"/>
        <w:rPr>
          <w:rFonts w:ascii="Palatino Linotype" w:eastAsia="Palatino Linotype" w:hAnsi="Palatino Linotype" w:cs="Palatino Linotype"/>
        </w:rPr>
      </w:pPr>
    </w:p>
    <w:p w14:paraId="7115B310" w14:textId="77777777" w:rsidR="00B63DBB" w:rsidRDefault="00DF551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Ahora bien, para mejor entendimiento de la información solicitada, sobre el presupuesto asignado, autorizado y ejercido por capítulo, es necesario precisar que de acuerdo con el párrafo tercero del artículo 285, del Código Financiero del Estado de México y Municipios, que precisa que el Ayuntamiento es el encargado de aprobar el Presupuesto de Egresos del Municipio, como así lo señala a continuación:</w:t>
      </w:r>
    </w:p>
    <w:p w14:paraId="6883563C" w14:textId="77777777" w:rsidR="00B63DBB" w:rsidRDefault="00B63DBB">
      <w:pPr>
        <w:spacing w:line="360" w:lineRule="auto"/>
        <w:ind w:right="49"/>
        <w:jc w:val="both"/>
        <w:rPr>
          <w:rFonts w:ascii="Palatino Linotype" w:eastAsia="Palatino Linotype" w:hAnsi="Palatino Linotype" w:cs="Palatino Linotype"/>
        </w:rPr>
      </w:pPr>
    </w:p>
    <w:p w14:paraId="11902B85" w14:textId="77777777" w:rsidR="00B63DBB" w:rsidRDefault="00DF5513">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285.- El Presupuesto de Egresos del Estado es el instrumento jurídico, de política económica y de política de gasto, que aprueba la Legislatura conforme a la iniciativa que presenta el Gobernador, en el cual se establece el ejercicio, control del gasto público y evaluación del desempeño de los Entes Públicos, de acuerdo con su naturaleza jurídica y según corresponda, con base en los objetivos, </w:t>
      </w:r>
      <w:r>
        <w:rPr>
          <w:rFonts w:ascii="Palatino Linotype" w:eastAsia="Palatino Linotype" w:hAnsi="Palatino Linotype" w:cs="Palatino Linotype"/>
          <w:i/>
          <w:sz w:val="22"/>
          <w:szCs w:val="22"/>
        </w:rPr>
        <w:lastRenderedPageBreak/>
        <w:t xml:space="preserve">parámetros e indicadores de desempeño y programas derivados del Plan de Desarrollo del Estado de México, durante el ejercicio fiscal correspondiente y en apego a lo establecido en la legislación aplicable. </w:t>
      </w:r>
    </w:p>
    <w:p w14:paraId="62E23A1F" w14:textId="77777777" w:rsidR="00B63DBB" w:rsidRDefault="00DF5513">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gasto total aprobado en el Presupuesto de Egresos, no podrá exceder al total de los ingresos autorizados en la Ley de Ingresos, de tal forma que contribuya a un balance presupuestario sostenible. </w:t>
      </w:r>
    </w:p>
    <w:p w14:paraId="1BDCA8EE" w14:textId="77777777" w:rsidR="00B63DBB" w:rsidRDefault="00DF5513">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En el caso de los municipios, el Presupuesto de Egresos, será el que se apruebe por el Ayuntamiento.</w:t>
      </w:r>
      <w:r>
        <w:rPr>
          <w:rFonts w:ascii="Palatino Linotype" w:eastAsia="Palatino Linotype" w:hAnsi="Palatino Linotype" w:cs="Palatino Linotype"/>
          <w:i/>
          <w:sz w:val="22"/>
          <w:szCs w:val="22"/>
        </w:rPr>
        <w:t xml:space="preserve"> </w:t>
      </w:r>
    </w:p>
    <w:p w14:paraId="7B497AFD" w14:textId="77777777" w:rsidR="00B63DBB" w:rsidRDefault="00DF5513">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 aprobación del presupuesto de egresos de los municipios, los ayuntamientos determinarán la remuneración que corresponda a cada empleo, cargo o comisión. Cuando se trate de la creación de un nuevo empleo cuya remuneración no hubiere sido fijada, deberá determinarse tomando como base la prevista para algún empleo similar. Las remuneraciones estarán sujetas a las modificaciones que, en su caso, sean convenidas conforme a la legislación laboral</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4D003585" w14:textId="77777777" w:rsidR="00B63DBB" w:rsidRDefault="00B63DBB">
      <w:pPr>
        <w:spacing w:line="360" w:lineRule="auto"/>
        <w:ind w:right="-93"/>
        <w:jc w:val="both"/>
        <w:rPr>
          <w:rFonts w:ascii="Palatino Linotype" w:eastAsia="Palatino Linotype" w:hAnsi="Palatino Linotype" w:cs="Palatino Linotype"/>
        </w:rPr>
      </w:pPr>
    </w:p>
    <w:p w14:paraId="1C1201AA" w14:textId="77777777" w:rsidR="00B63DBB" w:rsidRDefault="00DF5513">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En el mismo sentido, el artículo 31, fracción XIX, de la Ley Orgánica Municipal del Estado de México, establece que los Ayuntamientos serán los encargados de aprobar anualmente, el Presupuesto de Egresos, en base a los ingresos presupuestados para el ejercicio de corresponda; además de señalar la remuneración de todo tipo que corresponde a un empleo, cargo o comisión de cualquier naturaleza, cual literalidad en la siguiente:</w:t>
      </w:r>
    </w:p>
    <w:p w14:paraId="79D6A222" w14:textId="77777777" w:rsidR="00B63DBB" w:rsidRDefault="00B63DBB">
      <w:pPr>
        <w:spacing w:line="360" w:lineRule="auto"/>
        <w:ind w:right="-93"/>
        <w:jc w:val="both"/>
        <w:rPr>
          <w:rFonts w:ascii="Palatino Linotype" w:eastAsia="Palatino Linotype" w:hAnsi="Palatino Linotype" w:cs="Palatino Linotype"/>
        </w:rPr>
      </w:pPr>
    </w:p>
    <w:p w14:paraId="3A16E837" w14:textId="77777777" w:rsidR="00B63DBB" w:rsidRDefault="00DF5513">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31.- Son atribuciones de los ayuntamientos:</w:t>
      </w:r>
    </w:p>
    <w:p w14:paraId="1BD7552F" w14:textId="77777777" w:rsidR="00B63DBB" w:rsidRDefault="00DF5513">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EEB9F54" w14:textId="77777777" w:rsidR="00B63DBB" w:rsidRDefault="00DF5513">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204C1649" w14:textId="77777777" w:rsidR="00B63DBB" w:rsidRDefault="00B63DBB">
      <w:pPr>
        <w:spacing w:line="360" w:lineRule="auto"/>
        <w:ind w:right="-93"/>
        <w:jc w:val="both"/>
        <w:rPr>
          <w:rFonts w:ascii="Palatino Linotype" w:eastAsia="Palatino Linotype" w:hAnsi="Palatino Linotype" w:cs="Palatino Linotype"/>
        </w:rPr>
      </w:pPr>
    </w:p>
    <w:p w14:paraId="21FFADE9" w14:textId="77777777" w:rsidR="00B63DBB" w:rsidRDefault="00DF5513">
      <w:pPr>
        <w:spacing w:line="360" w:lineRule="auto"/>
        <w:ind w:right="-93"/>
        <w:jc w:val="both"/>
        <w:rPr>
          <w:rFonts w:ascii="Palatino Linotype" w:eastAsia="Palatino Linotype" w:hAnsi="Palatino Linotype" w:cs="Palatino Linotype"/>
          <w:b/>
        </w:rPr>
      </w:pPr>
      <w:r>
        <w:rPr>
          <w:rFonts w:ascii="Palatino Linotype" w:eastAsia="Palatino Linotype" w:hAnsi="Palatino Linotype" w:cs="Palatino Linotype"/>
        </w:rPr>
        <w:t xml:space="preserve">En ese contexto, de conformidad con el artículo 100 y 101, fracción II, de dicho ordenamiento jurídico, el Presupuesto de Egresos, deberá contener las previsiones de </w:t>
      </w:r>
      <w:r>
        <w:rPr>
          <w:rFonts w:ascii="Palatino Linotype" w:eastAsia="Palatino Linotype" w:hAnsi="Palatino Linotype" w:cs="Palatino Linotype"/>
        </w:rPr>
        <w:lastRenderedPageBreak/>
        <w:t>gasto público y se conformará, entre otras cosas, por la</w:t>
      </w:r>
      <w:r>
        <w:rPr>
          <w:rFonts w:ascii="Palatino Linotype" w:eastAsia="Palatino Linotype" w:hAnsi="Palatino Linotype" w:cs="Palatino Linotype"/>
          <w:b/>
        </w:rPr>
        <w:t xml:space="preserve"> estimación de los ingresos y gastos del ejercicio fiscal calendarizados, los cuales señalan:</w:t>
      </w:r>
    </w:p>
    <w:p w14:paraId="68BF90BE" w14:textId="77777777" w:rsidR="00B63DBB" w:rsidRDefault="00B63DBB">
      <w:pPr>
        <w:spacing w:line="360" w:lineRule="auto"/>
        <w:ind w:right="-93"/>
        <w:jc w:val="both"/>
        <w:rPr>
          <w:rFonts w:ascii="Palatino Linotype" w:eastAsia="Palatino Linotype" w:hAnsi="Palatino Linotype" w:cs="Palatino Linotype"/>
          <w:b/>
        </w:rPr>
      </w:pPr>
    </w:p>
    <w:p w14:paraId="1820C5B5" w14:textId="77777777" w:rsidR="00B63DBB" w:rsidRDefault="00DF5513">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100.- El presupuesto de egresos deberá contener las previsiones de gasto público que habrán de realizar los municipios. </w:t>
      </w:r>
    </w:p>
    <w:p w14:paraId="3C4D6DD2" w14:textId="77777777" w:rsidR="00B63DBB" w:rsidRDefault="00DF5513">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101.- El proyecto del presupuesto de egresos se integrará básicamente con:</w:t>
      </w:r>
    </w:p>
    <w:p w14:paraId="017AEC8E" w14:textId="77777777" w:rsidR="00B63DBB" w:rsidRDefault="00DF5513">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3D1C033" w14:textId="77777777" w:rsidR="00B63DBB" w:rsidRDefault="00DF5513">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Estimación de los ingresos y gastos del ejercicio fiscal calendarizados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00C762B6" w14:textId="77777777" w:rsidR="00B63DBB" w:rsidRDefault="00B63DBB">
      <w:pPr>
        <w:pBdr>
          <w:top w:val="nil"/>
          <w:left w:val="nil"/>
          <w:bottom w:val="nil"/>
          <w:right w:val="nil"/>
          <w:between w:val="nil"/>
        </w:pBdr>
        <w:ind w:left="851" w:right="899"/>
        <w:jc w:val="both"/>
        <w:rPr>
          <w:rFonts w:ascii="Palatino Linotype" w:eastAsia="Palatino Linotype" w:hAnsi="Palatino Linotype" w:cs="Palatino Linotype"/>
          <w:i/>
          <w:sz w:val="22"/>
          <w:szCs w:val="22"/>
        </w:rPr>
      </w:pPr>
    </w:p>
    <w:p w14:paraId="7C229A8F" w14:textId="77777777" w:rsidR="00B63DBB" w:rsidRDefault="00DF5513">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Así, el Manual para la Planeación, Programación y Presupuesto de Egresos Municipal para el Ejercicio Fiscal 2022, publicado en la “Gaceta del Gobierno” el diez de octubre de dos mil veintidós, establece que el Presupuesto es la estimación financiera anticipada de los ingresos y egresos del gobierno, necesarios para cumplir con los objetivos establecidos.</w:t>
      </w:r>
    </w:p>
    <w:p w14:paraId="569053DD" w14:textId="77777777" w:rsidR="00B63DBB" w:rsidRDefault="00B63DBB">
      <w:pPr>
        <w:spacing w:line="360" w:lineRule="auto"/>
        <w:ind w:right="-93"/>
        <w:jc w:val="both"/>
        <w:rPr>
          <w:rFonts w:ascii="Palatino Linotype" w:eastAsia="Palatino Linotype" w:hAnsi="Palatino Linotype" w:cs="Palatino Linotype"/>
        </w:rPr>
      </w:pPr>
    </w:p>
    <w:p w14:paraId="79EE2AA9" w14:textId="77777777" w:rsidR="00B63DBB" w:rsidRDefault="00DF5513">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Asimismo, el punto III.4 Presupuesto de Egresos Municipal, de dicho Manual, establece que Presupuesto de Egresos, contendrá la siguiente información:</w:t>
      </w:r>
    </w:p>
    <w:p w14:paraId="40E78C62" w14:textId="77777777" w:rsidR="00B63DBB" w:rsidRDefault="00B63DBB">
      <w:pPr>
        <w:spacing w:line="360" w:lineRule="auto"/>
        <w:ind w:right="-93"/>
        <w:jc w:val="both"/>
        <w:rPr>
          <w:rFonts w:ascii="Palatino Linotype" w:eastAsia="Palatino Linotype" w:hAnsi="Palatino Linotype" w:cs="Palatino Linotype"/>
        </w:rPr>
      </w:pPr>
    </w:p>
    <w:p w14:paraId="0E01502A" w14:textId="77777777" w:rsidR="00B63DBB" w:rsidRDefault="00DF5513">
      <w:pPr>
        <w:numPr>
          <w:ilvl w:val="0"/>
          <w:numId w:val="1"/>
        </w:numPr>
        <w:pBdr>
          <w:top w:val="nil"/>
          <w:left w:val="nil"/>
          <w:bottom w:val="nil"/>
          <w:right w:val="nil"/>
          <w:between w:val="nil"/>
        </w:pBdr>
        <w:spacing w:line="360" w:lineRule="auto"/>
        <w:ind w:right="-93"/>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b/>
          <w:color w:val="000000"/>
          <w:u w:val="single"/>
        </w:rPr>
        <w:t xml:space="preserve">Ingresos: Que se </w:t>
      </w:r>
      <w:r>
        <w:rPr>
          <w:rFonts w:ascii="Palatino Linotype" w:eastAsia="Palatino Linotype" w:hAnsi="Palatino Linotype" w:cs="Palatino Linotype"/>
          <w:b/>
          <w:u w:val="single"/>
        </w:rPr>
        <w:t>conformará</w:t>
      </w:r>
      <w:r>
        <w:rPr>
          <w:rFonts w:ascii="Palatino Linotype" w:eastAsia="Palatino Linotype" w:hAnsi="Palatino Linotype" w:cs="Palatino Linotype"/>
          <w:b/>
          <w:color w:val="000000"/>
          <w:u w:val="single"/>
        </w:rPr>
        <w:t xml:space="preserve"> por el Ingreso Detallado (formato PbRM-3a) y la Carátula de Presupuesto de Ingresos (PbRM-03b).</w:t>
      </w:r>
    </w:p>
    <w:p w14:paraId="636D1673" w14:textId="77777777" w:rsidR="00B63DBB" w:rsidRDefault="00B63DBB">
      <w:pPr>
        <w:pBdr>
          <w:top w:val="nil"/>
          <w:left w:val="nil"/>
          <w:bottom w:val="nil"/>
          <w:right w:val="nil"/>
          <w:between w:val="nil"/>
        </w:pBdr>
        <w:spacing w:line="360" w:lineRule="auto"/>
        <w:ind w:left="720" w:right="-93"/>
        <w:jc w:val="both"/>
        <w:rPr>
          <w:rFonts w:ascii="Palatino Linotype" w:eastAsia="Palatino Linotype" w:hAnsi="Palatino Linotype" w:cs="Palatino Linotype"/>
          <w:b/>
          <w:color w:val="000000"/>
        </w:rPr>
      </w:pPr>
    </w:p>
    <w:p w14:paraId="6B0326A5" w14:textId="77777777" w:rsidR="00B63DBB" w:rsidRDefault="00DF5513">
      <w:pPr>
        <w:numPr>
          <w:ilvl w:val="0"/>
          <w:numId w:val="1"/>
        </w:numPr>
        <w:pBdr>
          <w:top w:val="nil"/>
          <w:left w:val="nil"/>
          <w:bottom w:val="nil"/>
          <w:right w:val="nil"/>
          <w:between w:val="nil"/>
        </w:pBdr>
        <w:spacing w:line="360" w:lineRule="auto"/>
        <w:ind w:right="-93"/>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b/>
          <w:color w:val="000000"/>
          <w:u w:val="single"/>
        </w:rPr>
        <w:t xml:space="preserve">Egresos: Que se integrará por Egreso Global Calendarizado (formato </w:t>
      </w:r>
      <w:proofErr w:type="spellStart"/>
      <w:r>
        <w:rPr>
          <w:rFonts w:ascii="Palatino Linotype" w:eastAsia="Palatino Linotype" w:hAnsi="Palatino Linotype" w:cs="Palatino Linotype"/>
          <w:b/>
          <w:color w:val="000000"/>
          <w:u w:val="single"/>
        </w:rPr>
        <w:t>PbRM</w:t>
      </w:r>
      <w:proofErr w:type="spellEnd"/>
      <w:r>
        <w:rPr>
          <w:rFonts w:ascii="Palatino Linotype" w:eastAsia="Palatino Linotype" w:hAnsi="Palatino Linotype" w:cs="Palatino Linotype"/>
          <w:b/>
          <w:color w:val="000000"/>
          <w:u w:val="single"/>
        </w:rPr>
        <w:t xml:space="preserve"> E-04c) y la Carátula de Presupuesto de Egresos (formato </w:t>
      </w:r>
      <w:proofErr w:type="spellStart"/>
      <w:r>
        <w:rPr>
          <w:rFonts w:ascii="Palatino Linotype" w:eastAsia="Palatino Linotype" w:hAnsi="Palatino Linotype" w:cs="Palatino Linotype"/>
          <w:b/>
          <w:color w:val="000000"/>
          <w:u w:val="single"/>
        </w:rPr>
        <w:t>PbRM</w:t>
      </w:r>
      <w:proofErr w:type="spellEnd"/>
      <w:r>
        <w:rPr>
          <w:rFonts w:ascii="Palatino Linotype" w:eastAsia="Palatino Linotype" w:hAnsi="Palatino Linotype" w:cs="Palatino Linotype"/>
          <w:b/>
          <w:color w:val="000000"/>
          <w:u w:val="single"/>
        </w:rPr>
        <w:t xml:space="preserve"> E-04d), el Tabulador de Sueldos (formato </w:t>
      </w:r>
      <w:proofErr w:type="spellStart"/>
      <w:r>
        <w:rPr>
          <w:rFonts w:ascii="Palatino Linotype" w:eastAsia="Palatino Linotype" w:hAnsi="Palatino Linotype" w:cs="Palatino Linotype"/>
          <w:b/>
          <w:color w:val="000000"/>
          <w:u w:val="single"/>
        </w:rPr>
        <w:t>PbRM</w:t>
      </w:r>
      <w:proofErr w:type="spellEnd"/>
      <w:r>
        <w:rPr>
          <w:rFonts w:ascii="Palatino Linotype" w:eastAsia="Palatino Linotype" w:hAnsi="Palatino Linotype" w:cs="Palatino Linotype"/>
          <w:b/>
          <w:color w:val="000000"/>
          <w:u w:val="single"/>
        </w:rPr>
        <w:t xml:space="preserve"> E-05), entre otros.</w:t>
      </w:r>
    </w:p>
    <w:p w14:paraId="72EE8538" w14:textId="77777777" w:rsidR="00B63DBB" w:rsidRDefault="00B63DBB">
      <w:pPr>
        <w:spacing w:line="360" w:lineRule="auto"/>
        <w:jc w:val="both"/>
        <w:rPr>
          <w:rFonts w:ascii="Palatino Linotype" w:eastAsia="Palatino Linotype" w:hAnsi="Palatino Linotype" w:cs="Palatino Linotype"/>
          <w:strike/>
          <w:color w:val="FF0000"/>
        </w:rPr>
      </w:pPr>
    </w:p>
    <w:p w14:paraId="4379AA28" w14:textId="77777777" w:rsidR="00B63DBB" w:rsidRDefault="00DF551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Establecido lo anterior, </w:t>
      </w:r>
      <w:r>
        <w:rPr>
          <w:rFonts w:ascii="Palatino Linotype" w:eastAsia="Palatino Linotype" w:hAnsi="Palatino Linotype" w:cs="Palatino Linotype"/>
          <w:b/>
          <w:u w:val="single"/>
        </w:rPr>
        <w:t>respecto del presupuesto asignado, autorizado y ejercido por capítulo del ayuntamiento para el año 2022</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a través de su Subtesorero de Egresos perteneciente a la Tesorería Municipal del Ayuntamiento de Tlalnepantla de Baz, hizo entrega de la gaceta de gobierno número 12 la cual contiene presupuesto de egresos autorizado al Ayuntamiento de Tlalnepantla de Baz en el año 2022, como se advierte en la siguiente imagen que se inserta a continuación de manera de ejemplo:</w:t>
      </w:r>
    </w:p>
    <w:p w14:paraId="2D81A144" w14:textId="77777777" w:rsidR="00B63DBB" w:rsidRDefault="00DF551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6FC81686" wp14:editId="6A150A6A">
            <wp:extent cx="5627802" cy="2683186"/>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627802" cy="2683186"/>
                    </a:xfrm>
                    <a:prstGeom prst="rect">
                      <a:avLst/>
                    </a:prstGeom>
                    <a:ln/>
                  </pic:spPr>
                </pic:pic>
              </a:graphicData>
            </a:graphic>
          </wp:inline>
        </w:drawing>
      </w:r>
      <w:r>
        <w:rPr>
          <w:noProof/>
          <w:lang w:val="es-MX"/>
        </w:rPr>
        <mc:AlternateContent>
          <mc:Choice Requires="wpg">
            <w:drawing>
              <wp:anchor distT="0" distB="0" distL="114300" distR="114300" simplePos="0" relativeHeight="251659264" behindDoc="0" locked="0" layoutInCell="1" hidden="0" allowOverlap="1" wp14:anchorId="443D688A" wp14:editId="02E03C6B">
                <wp:simplePos x="0" y="0"/>
                <wp:positionH relativeFrom="column">
                  <wp:posOffset>5207000</wp:posOffset>
                </wp:positionH>
                <wp:positionV relativeFrom="paragraph">
                  <wp:posOffset>203200</wp:posOffset>
                </wp:positionV>
                <wp:extent cx="549781" cy="545080"/>
                <wp:effectExtent l="0" t="0" r="0" b="0"/>
                <wp:wrapNone/>
                <wp:docPr id="1" name="Flecha izquierda 1"/>
                <wp:cNvGraphicFramePr/>
                <a:graphic xmlns:a="http://schemas.openxmlformats.org/drawingml/2006/main">
                  <a:graphicData uri="http://schemas.microsoft.com/office/word/2010/wordprocessingShape">
                    <wps:wsp>
                      <wps:cNvSpPr/>
                      <wps:spPr>
                        <a:xfrm rot="-2202852">
                          <a:off x="5187250" y="3675225"/>
                          <a:ext cx="317500" cy="209550"/>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484E33EB" w14:textId="77777777" w:rsidR="00B63DBB" w:rsidRDefault="00B63DBB">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5207000</wp:posOffset>
                </wp:positionH>
                <wp:positionV relativeFrom="paragraph">
                  <wp:posOffset>203200</wp:posOffset>
                </wp:positionV>
                <wp:extent cx="549781" cy="545080"/>
                <wp:effectExtent b="0" l="0" r="0" t="0"/>
                <wp:wrapNone/>
                <wp:docPr id="1"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549781" cy="545080"/>
                        </a:xfrm>
                        <a:prstGeom prst="rect"/>
                        <a:ln/>
                      </pic:spPr>
                    </pic:pic>
                  </a:graphicData>
                </a:graphic>
              </wp:anchor>
            </w:drawing>
          </mc:Fallback>
        </mc:AlternateContent>
      </w:r>
    </w:p>
    <w:p w14:paraId="61147449" w14:textId="77777777" w:rsidR="00B63DBB" w:rsidRDefault="00DF551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6F7A96E1" wp14:editId="4CFB36EB">
            <wp:extent cx="5725660" cy="2212602"/>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25660" cy="2212602"/>
                    </a:xfrm>
                    <a:prstGeom prst="rect">
                      <a:avLst/>
                    </a:prstGeom>
                    <a:ln/>
                  </pic:spPr>
                </pic:pic>
              </a:graphicData>
            </a:graphic>
          </wp:inline>
        </w:drawing>
      </w:r>
      <w:r>
        <w:rPr>
          <w:noProof/>
          <w:lang w:val="es-MX"/>
        </w:rPr>
        <mc:AlternateContent>
          <mc:Choice Requires="wpg">
            <w:drawing>
              <wp:anchor distT="0" distB="0" distL="114300" distR="114300" simplePos="0" relativeHeight="251660288" behindDoc="0" locked="0" layoutInCell="1" hidden="0" allowOverlap="1" wp14:anchorId="5C76A59E" wp14:editId="4EBC8CD8">
                <wp:simplePos x="0" y="0"/>
                <wp:positionH relativeFrom="column">
                  <wp:posOffset>5321300</wp:posOffset>
                </wp:positionH>
                <wp:positionV relativeFrom="paragraph">
                  <wp:posOffset>1511300</wp:posOffset>
                </wp:positionV>
                <wp:extent cx="549781" cy="545080"/>
                <wp:effectExtent l="0" t="0" r="0" b="0"/>
                <wp:wrapNone/>
                <wp:docPr id="6" name="Flecha izquierda 6"/>
                <wp:cNvGraphicFramePr/>
                <a:graphic xmlns:a="http://schemas.openxmlformats.org/drawingml/2006/main">
                  <a:graphicData uri="http://schemas.microsoft.com/office/word/2010/wordprocessingShape">
                    <wps:wsp>
                      <wps:cNvSpPr/>
                      <wps:spPr>
                        <a:xfrm rot="-2202852">
                          <a:off x="5187250" y="3675225"/>
                          <a:ext cx="317500" cy="209550"/>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29AE5D5B" w14:textId="77777777" w:rsidR="00B63DBB" w:rsidRDefault="00B63DBB">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5321300</wp:posOffset>
                </wp:positionH>
                <wp:positionV relativeFrom="paragraph">
                  <wp:posOffset>1511300</wp:posOffset>
                </wp:positionV>
                <wp:extent cx="549781" cy="545080"/>
                <wp:effectExtent b="0" l="0" r="0" t="0"/>
                <wp:wrapNone/>
                <wp:docPr id="6" name="image18.png"/>
                <a:graphic>
                  <a:graphicData uri="http://schemas.openxmlformats.org/drawingml/2006/picture">
                    <pic:pic>
                      <pic:nvPicPr>
                        <pic:cNvPr id="0" name="image18.png"/>
                        <pic:cNvPicPr preferRelativeResize="0"/>
                      </pic:nvPicPr>
                      <pic:blipFill>
                        <a:blip r:embed="rId17"/>
                        <a:srcRect/>
                        <a:stretch>
                          <a:fillRect/>
                        </a:stretch>
                      </pic:blipFill>
                      <pic:spPr>
                        <a:xfrm>
                          <a:off x="0" y="0"/>
                          <a:ext cx="549781" cy="545080"/>
                        </a:xfrm>
                        <a:prstGeom prst="rect"/>
                        <a:ln/>
                      </pic:spPr>
                    </pic:pic>
                  </a:graphicData>
                </a:graphic>
              </wp:anchor>
            </w:drawing>
          </mc:Fallback>
        </mc:AlternateContent>
      </w:r>
    </w:p>
    <w:p w14:paraId="68BDF267" w14:textId="77777777" w:rsidR="00B63DBB" w:rsidRDefault="00DF5513">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Y en cuanto al presupuesto ejercido por capítulo del Ayuntamiento para el año 2022, el mismo Subtesorero de Egresos perteneciente a la Tesorería Municipal del Ayuntamiento de Tlalnepantla de Baz, hizo entrega de la siguiente información:</w:t>
      </w:r>
    </w:p>
    <w:p w14:paraId="5A094A1C" w14:textId="77777777" w:rsidR="00B63DBB" w:rsidRDefault="00B63DBB">
      <w:pPr>
        <w:spacing w:line="360" w:lineRule="auto"/>
        <w:ind w:right="51"/>
        <w:jc w:val="both"/>
        <w:rPr>
          <w:rFonts w:ascii="Palatino Linotype" w:eastAsia="Palatino Linotype" w:hAnsi="Palatino Linotype" w:cs="Palatino Linotype"/>
        </w:rPr>
      </w:pPr>
    </w:p>
    <w:p w14:paraId="316CF535" w14:textId="77777777" w:rsidR="00B63DBB" w:rsidRDefault="00DF5513">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32740A45" wp14:editId="28BABDB4">
            <wp:extent cx="5621744" cy="3636824"/>
            <wp:effectExtent l="0" t="0" r="0" b="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621744" cy="3636824"/>
                    </a:xfrm>
                    <a:prstGeom prst="rect">
                      <a:avLst/>
                    </a:prstGeom>
                    <a:ln/>
                  </pic:spPr>
                </pic:pic>
              </a:graphicData>
            </a:graphic>
          </wp:inline>
        </w:drawing>
      </w:r>
    </w:p>
    <w:p w14:paraId="3C07AE59" w14:textId="77777777" w:rsidR="00B63DBB" w:rsidRDefault="00DF551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 xml:space="preserve">El cual corresponde al </w:t>
      </w:r>
      <w:r>
        <w:rPr>
          <w:rFonts w:ascii="Palatino Linotype" w:eastAsia="Palatino Linotype" w:hAnsi="Palatino Linotype" w:cs="Palatino Linotype"/>
        </w:rPr>
        <w:t>estado analítico del ejercicio del presupuesto de egresos detallado “clasificación por objeto del gasto” del primero de enero al treinta de septiembre del año dos mil veintidós.</w:t>
      </w:r>
    </w:p>
    <w:p w14:paraId="0DB859BD" w14:textId="77777777" w:rsidR="00B63DBB" w:rsidRDefault="00DF551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se tiene por colmando el presupuesto ejercido por capítulo del gasto, pero únicamente del periodo comprendido del primero de enero al treinta de septiembre del año 2022, en razón de que el área que proporcionó la información fue la </w:t>
      </w:r>
      <w:proofErr w:type="spellStart"/>
      <w:r>
        <w:rPr>
          <w:rFonts w:ascii="Palatino Linotype" w:eastAsia="Palatino Linotype" w:hAnsi="Palatino Linotype" w:cs="Palatino Linotype"/>
        </w:rPr>
        <w:t>Subtesorería</w:t>
      </w:r>
      <w:proofErr w:type="spellEnd"/>
      <w:r>
        <w:rPr>
          <w:rFonts w:ascii="Palatino Linotype" w:eastAsia="Palatino Linotype" w:hAnsi="Palatino Linotype" w:cs="Palatino Linotype"/>
        </w:rPr>
        <w:t xml:space="preserve"> de Egresos, que en términos de lo señalado por el artículo 145 del Reglamento Interno de la Administración Pública Municipal de Tlalnepantla de Baz, México, tiene las siguientes atribuciones:</w:t>
      </w:r>
    </w:p>
    <w:p w14:paraId="74574D1F"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LA SUBTESORERÍA DE EGRESOS </w:t>
      </w:r>
    </w:p>
    <w:p w14:paraId="54369792" w14:textId="77777777" w:rsidR="00B63DBB" w:rsidRDefault="00DF551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145.- Son facultades y obligaciones de la </w:t>
      </w:r>
      <w:proofErr w:type="spellStart"/>
      <w:r>
        <w:rPr>
          <w:rFonts w:ascii="Palatino Linotype" w:eastAsia="Palatino Linotype" w:hAnsi="Palatino Linotype" w:cs="Palatino Linotype"/>
          <w:i/>
          <w:sz w:val="22"/>
          <w:szCs w:val="22"/>
        </w:rPr>
        <w:t>Subtesorería</w:t>
      </w:r>
      <w:proofErr w:type="spellEnd"/>
      <w:r>
        <w:rPr>
          <w:rFonts w:ascii="Palatino Linotype" w:eastAsia="Palatino Linotype" w:hAnsi="Palatino Linotype" w:cs="Palatino Linotype"/>
          <w:i/>
          <w:sz w:val="22"/>
          <w:szCs w:val="22"/>
        </w:rPr>
        <w:t xml:space="preserve"> de Egresos las siguientes: </w:t>
      </w:r>
    </w:p>
    <w:p w14:paraId="4D6198E0" w14:textId="77777777" w:rsidR="00B63DBB" w:rsidRDefault="00DF551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Diseñar, proponer y coordinar la política de egresos de la Tesorería; </w:t>
      </w:r>
    </w:p>
    <w:p w14:paraId="3432A53D"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Supervisar que la documentación contable cumpla con los requisitos formales y legales; </w:t>
      </w:r>
    </w:p>
    <w:p w14:paraId="15F9E32A"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Vigilar la correcta y eficaz aplicación del erario público; </w:t>
      </w:r>
    </w:p>
    <w:p w14:paraId="2E8C791B"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 Autorizar la correcta contabilización de las pólizas de egresos y la codificación de los egresos respecto al objeto del gasto</w:t>
      </w:r>
      <w:r>
        <w:rPr>
          <w:rFonts w:ascii="Palatino Linotype" w:eastAsia="Palatino Linotype" w:hAnsi="Palatino Linotype" w:cs="Palatino Linotype"/>
          <w:i/>
          <w:sz w:val="22"/>
          <w:szCs w:val="22"/>
        </w:rPr>
        <w:t xml:space="preserve">; </w:t>
      </w:r>
    </w:p>
    <w:p w14:paraId="5E0ED926"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Supervisar las conciliaciones bancarias respecto de la cuenta de recursos Federales y Estatales; </w:t>
      </w:r>
    </w:p>
    <w:p w14:paraId="7AAD668F" w14:textId="77777777" w:rsidR="00B63DBB" w:rsidRDefault="00DF551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 Elaborar el anteproyecto de egresos del Municipio; </w:t>
      </w:r>
    </w:p>
    <w:p w14:paraId="69448165"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Colaborar en la resolución de observaciones de entidades fiscalizadoras; </w:t>
      </w:r>
    </w:p>
    <w:p w14:paraId="0424ECDE"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Generar los estados financieros básicos y cuidar el ejercicio presupuestal de la Cuenta Pública Municipal; </w:t>
      </w:r>
    </w:p>
    <w:p w14:paraId="179FA6B7"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Aplicar el sistema de contabilidad gubernamental y las políticas para el registro contable y presupuestal de las operaciones financieras que realicen las dependencias y entidades de la Administración Pública Municipal; </w:t>
      </w:r>
    </w:p>
    <w:p w14:paraId="62CB7872"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 Preparar la información mensual al Tesorero Municipal para efectos de rendir el informe ante el Ayuntamiento; </w:t>
      </w:r>
    </w:p>
    <w:p w14:paraId="32D88F92"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 Proponer al Tesorero Municipal la adición líquida o compensada del presupuesto, cuando éste se requiera para evitar sobregiros; </w:t>
      </w:r>
    </w:p>
    <w:p w14:paraId="3908ABEE" w14:textId="77777777" w:rsidR="00B63DBB" w:rsidRDefault="00DF551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XII. Verificar una disciplina presupuestaria de todas las dependencias del Municipio; </w:t>
      </w:r>
    </w:p>
    <w:p w14:paraId="1CB8A5C6"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XIII. Coadyuvar en la elaboración del Programa Financiero Municipal; así como, en el establecimiento de lineamientos y procedimientos para el ejercicio del gasto público municipal, evaluando el ejercicio y aplicación del mismo, conforme a lo establecido en las normas vigentes en apego a los lineamientos del Plan de Desarrollo Municipal; </w:t>
      </w:r>
    </w:p>
    <w:p w14:paraId="72BC6E60"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XIV. Proponer y supervisar las políticas, sistemas y procedimientos para la programación y presupuestación del gasto público municipal; </w:t>
      </w:r>
    </w:p>
    <w:p w14:paraId="41E343B9"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 Integrar la documentación inherente a los egresos para su pago; </w:t>
      </w:r>
    </w:p>
    <w:p w14:paraId="46A9EAF2"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 Asistir a los comités y comisiones que se le asigne, en los que por su naturaleza se tomen decisiones que afecten al presupuesto de egresos; </w:t>
      </w:r>
    </w:p>
    <w:p w14:paraId="7FA71E7A"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XVII. Llevar los registros contables, financieros y administrativos de los ingresos, egresos e inventarios; contabilizando, clasificando y resumiendo las transacciones de carácter financiero, interpretando oportunamente la información de la situación financiera y contable del Municipio; </w:t>
      </w:r>
    </w:p>
    <w:p w14:paraId="494922FC" w14:textId="77777777" w:rsidR="00B63DBB" w:rsidRDefault="00DF551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XVIII. Supervisar y verificar la contabilización de todos los ingresos y egresos del Municipio; </w:t>
      </w:r>
    </w:p>
    <w:p w14:paraId="15CFF058"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XIX. Elaborar y presentar ante el Órgano Superior de Fiscalización del Estado de México y ante la Secretaría de Finanzas, la cuenta pública y los informes mensuales, en términos de la normatividad aplicable; </w:t>
      </w:r>
    </w:p>
    <w:p w14:paraId="65442ECB"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 Generar los informes mensuales de deuda pública y de ingresos, recabando las firmas correspondientes, para su envío a la Secretaría de Finanzas, en términos de la normatividad aplicable; </w:t>
      </w:r>
    </w:p>
    <w:p w14:paraId="03C3FEE3"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XXI. Contabilizar los costos de obras y formular el informe mensual, que se remite a la instancia estatal fiscalizadora, en términos de la normatividad aplicable; </w:t>
      </w:r>
    </w:p>
    <w:p w14:paraId="1115F57A"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XXII. Conciliar el informe mensual de obras en proceso y obras terminadas, integrando en base a estos, el informe anual de obras; </w:t>
      </w:r>
    </w:p>
    <w:p w14:paraId="127706D7"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XXIII. Presentar al Tesorero Municipal los estados financieros, informes analíticos y comparativos de la situación financiera, presupuestal y de la deuda pública municipal</w:t>
      </w:r>
      <w:r>
        <w:rPr>
          <w:rFonts w:ascii="Palatino Linotype" w:eastAsia="Palatino Linotype" w:hAnsi="Palatino Linotype" w:cs="Palatino Linotype"/>
          <w:i/>
          <w:sz w:val="22"/>
          <w:szCs w:val="22"/>
        </w:rPr>
        <w:t xml:space="preserve">; </w:t>
      </w:r>
    </w:p>
    <w:p w14:paraId="7B4E1E73"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XXIV. Proponer políticas, normas y procedimientos para el registro y control de las operaciones contables del Municipio; </w:t>
      </w:r>
    </w:p>
    <w:p w14:paraId="7EF31264"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XXV. Coadyuvar con la Coordinación de Patrimonio Municipal, en el registro y actualización de los inventarios de bienes muebles e inmuebles; </w:t>
      </w:r>
    </w:p>
    <w:p w14:paraId="4E1586D4"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XXVI. Practicar periódicamente arqueos de cajas, de acuerdo al procedimiento establecido; </w:t>
      </w:r>
    </w:p>
    <w:p w14:paraId="2AE260A3"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XXVII. Preparar las liquidaciones de pagos provisionales por retenciones de impuestos federales y cuotas de seguridad social; </w:t>
      </w:r>
    </w:p>
    <w:p w14:paraId="49A21D17"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XXVIII. Tener bajo su resguardo la información contable del Municipio, conforme a lo dispuesto por el Código Financiero del Estado de México y Municipios; </w:t>
      </w:r>
    </w:p>
    <w:p w14:paraId="6B42C6F5"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XXIX. Proporcionar la información necesaria bajo su resguardo, para solventar las observaciones de las autoridades de fiscalización superior; </w:t>
      </w:r>
    </w:p>
    <w:p w14:paraId="7BD78968"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XXX. Asistir a las reuniones que previamente le sean encomendadas por el Tesorero Municipal; y </w:t>
      </w:r>
    </w:p>
    <w:p w14:paraId="16BF43E9" w14:textId="77777777" w:rsidR="00B63DBB" w:rsidRDefault="00DF551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XXXI. Las demás que deriven de otros ordenamientos legales aplicables o le sean encomendados en el área de su competencia por sus superiores jerárquicos.” (Sic)</w:t>
      </w:r>
    </w:p>
    <w:p w14:paraId="429CEF20" w14:textId="77777777" w:rsidR="00B63DBB" w:rsidRDefault="00B63DB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98E8248" w14:textId="77777777" w:rsidR="00B63DBB" w:rsidRDefault="00DF551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el área competente para conocer de la información requerida; máxime, que este Organismo Garante no se encuentra facultado para manifestarse sobre la veracidad de la información proporcionada por parte de los </w:t>
      </w:r>
      <w:r>
        <w:rPr>
          <w:rFonts w:ascii="Palatino Linotype" w:eastAsia="Palatino Linotype" w:hAnsi="Palatino Linotype" w:cs="Palatino Linotype"/>
          <w:b/>
          <w:color w:val="000000"/>
        </w:rPr>
        <w:t>SUJETOS OBLIGADOS</w:t>
      </w:r>
      <w:r>
        <w:rPr>
          <w:rFonts w:ascii="Palatino Linotype" w:eastAsia="Palatino Linotype" w:hAnsi="Palatino Linotype" w:cs="Palatino Linotype"/>
          <w:color w:val="000000"/>
        </w:rPr>
        <w:t>, conforme a lo establecido en el Criterio 31/10 emitido por el Instituto Nacional de Transparencia, Acceso a la Información Pública y Protección de Datos Personales INAI (anteriormente IFAI) que se procede a citar a continuación:</w:t>
      </w:r>
    </w:p>
    <w:p w14:paraId="0B28CDF7" w14:textId="77777777" w:rsidR="00B63DBB" w:rsidRDefault="00B63DBB">
      <w:pPr>
        <w:tabs>
          <w:tab w:val="left" w:pos="426"/>
        </w:tabs>
        <w:spacing w:before="240" w:line="360" w:lineRule="auto"/>
        <w:jc w:val="both"/>
        <w:rPr>
          <w:rFonts w:ascii="Palatino Linotype" w:eastAsia="Palatino Linotype" w:hAnsi="Palatino Linotype" w:cs="Palatino Linotype"/>
        </w:rPr>
      </w:pPr>
    </w:p>
    <w:p w14:paraId="37722CFC" w14:textId="77777777" w:rsidR="00B63DBB" w:rsidRDefault="00DF5513">
      <w:pPr>
        <w:tabs>
          <w:tab w:val="left" w:pos="8222"/>
        </w:tabs>
        <w:spacing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w:t>
      </w:r>
      <w:r>
        <w:rPr>
          <w:rFonts w:ascii="Palatino Linotype" w:eastAsia="Palatino Linotype" w:hAnsi="Palatino Linotype" w:cs="Palatino Linotype"/>
          <w:i/>
        </w:rPr>
        <w:lastRenderedPageBreak/>
        <w:t>artículos 49 y 50 de la Ley Federal de Transparencia y Acceso a la Información Pública Gubernamental no se prevé una causal que permita al Instituto Federal de Acceso a la Información y Protección de Datos conocer, vía recurso revisión, al respecto.” (Sic)</w:t>
      </w:r>
    </w:p>
    <w:p w14:paraId="3234987D" w14:textId="77777777" w:rsidR="00B63DBB" w:rsidRDefault="00B63DBB">
      <w:pPr>
        <w:tabs>
          <w:tab w:val="left" w:pos="8222"/>
        </w:tabs>
        <w:spacing w:line="276" w:lineRule="auto"/>
        <w:ind w:left="567" w:right="567"/>
        <w:jc w:val="both"/>
        <w:rPr>
          <w:rFonts w:ascii="Palatino Linotype" w:eastAsia="Palatino Linotype" w:hAnsi="Palatino Linotype" w:cs="Palatino Linotype"/>
          <w:i/>
        </w:rPr>
      </w:pPr>
    </w:p>
    <w:p w14:paraId="26CABE31" w14:textId="77777777" w:rsidR="00B63DBB" w:rsidRDefault="00DF5513">
      <w:pP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Es así, que este Organismo Garante carece de facultades para dudar de la veracidad de la información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puso a disposición de la parte </w:t>
      </w:r>
      <w:r>
        <w:rPr>
          <w:rFonts w:ascii="Palatino Linotype" w:eastAsia="Palatino Linotype" w:hAnsi="Palatino Linotype" w:cs="Palatino Linotype"/>
          <w:b/>
          <w:color w:val="000000"/>
        </w:rPr>
        <w:t xml:space="preserve">RECURRENTE. </w:t>
      </w:r>
    </w:p>
    <w:p w14:paraId="4AEF1BEA" w14:textId="77777777" w:rsidR="00B63DBB" w:rsidRDefault="00DF5513">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b/>
          <w:u w:val="single"/>
        </w:rPr>
        <w:t>Ahora bien, sobre al presupuesto ejercido por capítulo del Ayuntamiento de Tlalnepantla del cuarto trimestre del año 2022</w:t>
      </w:r>
      <w:r>
        <w:rPr>
          <w:rFonts w:ascii="Palatino Linotype" w:eastAsia="Palatino Linotype" w:hAnsi="Palatino Linotype" w:cs="Palatino Linotype"/>
        </w:rPr>
        <w:t>, el Subtesorero de Egresos perteneciente a la Tesorería Municipal del Ayuntamiento de Tlalnepantla de Baz, informó que el cuarto trimestre se encuentra en proceso de integración; por ello, es conveniente a traer lo señalado por el artículo 350 del Código Financiero del Estado de México, que señala:</w:t>
      </w:r>
    </w:p>
    <w:p w14:paraId="520ED01A" w14:textId="77777777" w:rsidR="00B63DBB" w:rsidRDefault="00B63DBB">
      <w:pPr>
        <w:tabs>
          <w:tab w:val="left" w:pos="8222"/>
        </w:tabs>
        <w:spacing w:line="276" w:lineRule="auto"/>
        <w:ind w:left="567" w:right="567"/>
        <w:jc w:val="both"/>
        <w:rPr>
          <w:rFonts w:ascii="Palatino Linotype" w:eastAsia="Palatino Linotype" w:hAnsi="Palatino Linotype" w:cs="Palatino Linotype"/>
          <w:i/>
        </w:rPr>
      </w:pPr>
    </w:p>
    <w:p w14:paraId="1D524519" w14:textId="77777777" w:rsidR="00B63DBB" w:rsidRDefault="00DF5513">
      <w:pPr>
        <w:tabs>
          <w:tab w:val="left" w:pos="8222"/>
        </w:tabs>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350.- La Secretaría y </w:t>
      </w:r>
      <w:r>
        <w:rPr>
          <w:rFonts w:ascii="Palatino Linotype" w:eastAsia="Palatino Linotype" w:hAnsi="Palatino Linotype" w:cs="Palatino Linotype"/>
          <w:b/>
          <w:i/>
          <w:sz w:val="22"/>
          <w:szCs w:val="22"/>
        </w:rPr>
        <w:t>las tesorerías enviarán al Órgano Superior, de manera trimestral, dentro de los primeros veinte días hábiles posteriores al término del trimestre que se informa</w:t>
      </w:r>
      <w:r>
        <w:rPr>
          <w:rFonts w:ascii="Palatino Linotype" w:eastAsia="Palatino Linotype" w:hAnsi="Palatino Linotype" w:cs="Palatino Linotype"/>
          <w:i/>
          <w:sz w:val="22"/>
          <w:szCs w:val="22"/>
        </w:rPr>
        <w:t xml:space="preserve">, para su análisis, la siguiente información: </w:t>
      </w:r>
    </w:p>
    <w:p w14:paraId="783186C7" w14:textId="77777777" w:rsidR="00B63DBB" w:rsidRDefault="00DF5513">
      <w:pPr>
        <w:tabs>
          <w:tab w:val="left" w:pos="8222"/>
        </w:tabs>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Patrimonial. </w:t>
      </w:r>
    </w:p>
    <w:p w14:paraId="1F0C7110" w14:textId="77777777" w:rsidR="00B63DBB" w:rsidRDefault="00DF5513">
      <w:pPr>
        <w:tabs>
          <w:tab w:val="left" w:pos="8222"/>
        </w:tabs>
        <w:spacing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Presupuestal. </w:t>
      </w:r>
    </w:p>
    <w:p w14:paraId="3B5A3486" w14:textId="77777777" w:rsidR="00B63DBB" w:rsidRDefault="00DF5513">
      <w:pPr>
        <w:tabs>
          <w:tab w:val="left" w:pos="8222"/>
        </w:tabs>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De la obra pública. </w:t>
      </w:r>
    </w:p>
    <w:p w14:paraId="0E9DDDFC" w14:textId="77777777" w:rsidR="00B63DBB" w:rsidRDefault="00DF5513">
      <w:pPr>
        <w:tabs>
          <w:tab w:val="left" w:pos="8222"/>
        </w:tabs>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De nómina. </w:t>
      </w:r>
    </w:p>
    <w:p w14:paraId="5959D633" w14:textId="77777777" w:rsidR="00B63DBB" w:rsidRDefault="00DF5513">
      <w:pPr>
        <w:tabs>
          <w:tab w:val="left" w:pos="8222"/>
        </w:tabs>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Avance del cumplimiento del Plan de Desarrollo del Estado de México. </w:t>
      </w:r>
    </w:p>
    <w:p w14:paraId="667B5192" w14:textId="77777777" w:rsidR="00B63DBB" w:rsidRDefault="00DF5513">
      <w:pPr>
        <w:tabs>
          <w:tab w:val="left" w:pos="8222"/>
        </w:tabs>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informes trimestrales deberán contener la evolución de las finanzas públicas integradas con los comentarios correspondientes y los estados financieros consolidados, así como un reporte de los ingresos y egresos de los organismos auxiliares. </w:t>
      </w:r>
    </w:p>
    <w:p w14:paraId="23F52F39" w14:textId="77777777" w:rsidR="00B63DBB" w:rsidRDefault="00DF5513">
      <w:pPr>
        <w:tabs>
          <w:tab w:val="left" w:pos="8222"/>
        </w:tabs>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El informe trimestral correspondiente al cuarto trimestre se entregará junto con las Cuentas Públicas del ejercicio fiscal de que se trate</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102167BD" w14:textId="77777777" w:rsidR="00B63DBB" w:rsidRDefault="00B63DBB">
      <w:pPr>
        <w:spacing w:line="360" w:lineRule="auto"/>
        <w:jc w:val="both"/>
        <w:rPr>
          <w:rFonts w:ascii="Palatino Linotype" w:eastAsia="Palatino Linotype" w:hAnsi="Palatino Linotype" w:cs="Palatino Linotype"/>
        </w:rPr>
      </w:pPr>
    </w:p>
    <w:p w14:paraId="6C9582D1"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donde se advierte que la Tesorería Municipal del Ayuntamiento de Tlalnepantla, tiene la obligación de integrar y remitir el informe trimestral en materia presupuestal y Avance del cumplimiento del Plan de Desarrollo del Estado de México, dentro de los veinte días hábiles posteriores al término del trimestre que se informa; es decir, si el cuarto trimestre del año 2022 feneció el treinta y uno de diciembre del año 2022, la Tesorería Municipal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tenía hasta el veintiocho de enero  del año 2023 para tener la información presupuestal y Avance del cumplimiento del Plan de Desarrollo del Estado de México, en términos del calendario oficial del Organismo Superior de Fiscalización del Estado de México, y tomando en cuenta la fecha de la solicitud de acceso a la información pública que fue el veinticinco de enero del año en curso, es obvio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al fecha de la solicitud no contaba con la información correspondiente al cuarto trimestre del año 2022, lo que se robustece con lo señalado por acuerdo 04/2023 por el que se emiten la calendarización para la entrega del cuarto informe trimestral 2022 de las Entidades Fiscalizables del Estado de México, y los lineamientos, fechas de capacitación y calendarización para la integración y entrega de la cuenta pública municipal 2022, en donde se advierte lo siguiente:</w:t>
      </w:r>
    </w:p>
    <w:p w14:paraId="3EC87EDE" w14:textId="77777777" w:rsidR="00B63DBB" w:rsidRDefault="00DF5513">
      <w:pPr>
        <w:spacing w:line="360" w:lineRule="auto"/>
        <w:jc w:val="both"/>
        <w:rPr>
          <w:rFonts w:ascii="Palatino Linotype" w:eastAsia="Palatino Linotype" w:hAnsi="Palatino Linotype" w:cs="Palatino Linotype"/>
          <w:highlight w:val="yellow"/>
        </w:rPr>
      </w:pPr>
      <w:r>
        <w:rPr>
          <w:noProof/>
          <w:lang w:val="es-MX"/>
        </w:rPr>
        <mc:AlternateContent>
          <mc:Choice Requires="wpg">
            <w:drawing>
              <wp:anchor distT="0" distB="0" distL="114300" distR="114300" simplePos="0" relativeHeight="251661312" behindDoc="0" locked="0" layoutInCell="1" hidden="0" allowOverlap="1" wp14:anchorId="1F0C648E" wp14:editId="397A5DF9">
                <wp:simplePos x="0" y="0"/>
                <wp:positionH relativeFrom="column">
                  <wp:posOffset>50801</wp:posOffset>
                </wp:positionH>
                <wp:positionV relativeFrom="paragraph">
                  <wp:posOffset>63500</wp:posOffset>
                </wp:positionV>
                <wp:extent cx="5462137" cy="1531582"/>
                <wp:effectExtent l="0" t="0" r="0" b="0"/>
                <wp:wrapNone/>
                <wp:docPr id="7" name="Conector recto de flecha 7"/>
                <wp:cNvGraphicFramePr/>
                <a:graphic xmlns:a="http://schemas.openxmlformats.org/drawingml/2006/main">
                  <a:graphicData uri="http://schemas.microsoft.com/office/word/2010/wordprocessingShape">
                    <wps:wsp>
                      <wps:cNvCnPr/>
                      <wps:spPr>
                        <a:xfrm>
                          <a:off x="2640332" y="3039609"/>
                          <a:ext cx="5411337" cy="1480782"/>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50801</wp:posOffset>
                </wp:positionH>
                <wp:positionV relativeFrom="paragraph">
                  <wp:posOffset>63500</wp:posOffset>
                </wp:positionV>
                <wp:extent cx="5462137" cy="1531582"/>
                <wp:effectExtent b="0" l="0" r="0" t="0"/>
                <wp:wrapNone/>
                <wp:docPr id="7" name="image19.png"/>
                <a:graphic>
                  <a:graphicData uri="http://schemas.openxmlformats.org/drawingml/2006/picture">
                    <pic:pic>
                      <pic:nvPicPr>
                        <pic:cNvPr id="0" name="image19.png"/>
                        <pic:cNvPicPr preferRelativeResize="0"/>
                      </pic:nvPicPr>
                      <pic:blipFill>
                        <a:blip r:embed="rId19"/>
                        <a:srcRect/>
                        <a:stretch>
                          <a:fillRect/>
                        </a:stretch>
                      </pic:blipFill>
                      <pic:spPr>
                        <a:xfrm>
                          <a:off x="0" y="0"/>
                          <a:ext cx="5462137" cy="1531582"/>
                        </a:xfrm>
                        <a:prstGeom prst="rect"/>
                        <a:ln/>
                      </pic:spPr>
                    </pic:pic>
                  </a:graphicData>
                </a:graphic>
              </wp:anchor>
            </w:drawing>
          </mc:Fallback>
        </mc:AlternateContent>
      </w:r>
    </w:p>
    <w:p w14:paraId="2CB7D6B4" w14:textId="77777777" w:rsidR="00B63DBB" w:rsidRDefault="00B63DBB">
      <w:pPr>
        <w:spacing w:line="360" w:lineRule="auto"/>
        <w:jc w:val="both"/>
        <w:rPr>
          <w:rFonts w:ascii="Palatino Linotype" w:eastAsia="Palatino Linotype" w:hAnsi="Palatino Linotype" w:cs="Palatino Linotype"/>
          <w:highlight w:val="yellow"/>
        </w:rPr>
      </w:pPr>
    </w:p>
    <w:p w14:paraId="23B478E1" w14:textId="77777777" w:rsidR="00B63DBB" w:rsidRDefault="00B63DBB">
      <w:pPr>
        <w:spacing w:line="360" w:lineRule="auto"/>
        <w:jc w:val="both"/>
        <w:rPr>
          <w:rFonts w:ascii="Palatino Linotype" w:eastAsia="Palatino Linotype" w:hAnsi="Palatino Linotype" w:cs="Palatino Linotype"/>
          <w:highlight w:val="yellow"/>
        </w:rPr>
      </w:pPr>
    </w:p>
    <w:p w14:paraId="5D8E2023" w14:textId="77777777" w:rsidR="00B63DBB" w:rsidRDefault="00B63DBB">
      <w:pPr>
        <w:spacing w:line="360" w:lineRule="auto"/>
        <w:jc w:val="both"/>
        <w:rPr>
          <w:rFonts w:ascii="Palatino Linotype" w:eastAsia="Palatino Linotype" w:hAnsi="Palatino Linotype" w:cs="Palatino Linotype"/>
          <w:highlight w:val="yellow"/>
        </w:rPr>
      </w:pPr>
    </w:p>
    <w:p w14:paraId="3073B4BC" w14:textId="77777777" w:rsidR="00B63DBB" w:rsidRDefault="00B63DBB">
      <w:pPr>
        <w:spacing w:line="360" w:lineRule="auto"/>
        <w:jc w:val="both"/>
        <w:rPr>
          <w:rFonts w:ascii="Palatino Linotype" w:eastAsia="Palatino Linotype" w:hAnsi="Palatino Linotype" w:cs="Palatino Linotype"/>
          <w:highlight w:val="yellow"/>
        </w:rPr>
      </w:pPr>
    </w:p>
    <w:p w14:paraId="61E957DA" w14:textId="77777777" w:rsidR="00B63DBB" w:rsidRDefault="00DF5513">
      <w:pPr>
        <w:spacing w:line="360" w:lineRule="auto"/>
        <w:jc w:val="both"/>
        <w:rPr>
          <w:rFonts w:ascii="Palatino Linotype" w:eastAsia="Palatino Linotype" w:hAnsi="Palatino Linotype" w:cs="Palatino Linotype"/>
          <w:highlight w:val="yellow"/>
        </w:rPr>
      </w:pPr>
      <w:r>
        <w:rPr>
          <w:rFonts w:ascii="Palatino Linotype" w:eastAsia="Palatino Linotype" w:hAnsi="Palatino Linotype" w:cs="Palatino Linotype"/>
          <w:noProof/>
          <w:lang w:val="es-MX"/>
        </w:rPr>
        <w:drawing>
          <wp:inline distT="0" distB="0" distL="0" distR="0" wp14:anchorId="2673F0C0" wp14:editId="48E7C0AE">
            <wp:extent cx="5612130" cy="4831715"/>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612130" cy="4831715"/>
                    </a:xfrm>
                    <a:prstGeom prst="rect">
                      <a:avLst/>
                    </a:prstGeom>
                    <a:ln/>
                  </pic:spPr>
                </pic:pic>
              </a:graphicData>
            </a:graphic>
          </wp:inline>
        </w:drawing>
      </w:r>
    </w:p>
    <w:p w14:paraId="4FDC31F1" w14:textId="77777777" w:rsidR="00B63DBB" w:rsidRDefault="00B63DBB">
      <w:pPr>
        <w:spacing w:line="360" w:lineRule="auto"/>
        <w:jc w:val="both"/>
        <w:rPr>
          <w:rFonts w:ascii="Palatino Linotype" w:eastAsia="Palatino Linotype" w:hAnsi="Palatino Linotype" w:cs="Palatino Linotype"/>
          <w:highlight w:val="yellow"/>
        </w:rPr>
      </w:pPr>
    </w:p>
    <w:p w14:paraId="4D74CC08"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donde se establece que el Ayuntamiento de Tlalnepantla tiene hasta el 15 de marzo del 2023, para remitir al Órgano Superior de Fiscalización su cuarto informe trimestral del ejercicio 2022, lo que también se robustece, con lo señalado por el artículo 51 de la Ley General de Contabilidad Gubernamental, que señala: </w:t>
      </w:r>
    </w:p>
    <w:p w14:paraId="14C434D0" w14:textId="77777777" w:rsidR="00B63DBB" w:rsidRDefault="00B63DBB">
      <w:pPr>
        <w:spacing w:line="360" w:lineRule="auto"/>
        <w:jc w:val="both"/>
        <w:rPr>
          <w:rFonts w:ascii="Palatino Linotype" w:eastAsia="Palatino Linotype" w:hAnsi="Palatino Linotype" w:cs="Palatino Linotype"/>
          <w:highlight w:val="yellow"/>
        </w:rPr>
      </w:pPr>
    </w:p>
    <w:p w14:paraId="462AC43D" w14:textId="77777777" w:rsidR="00B63DBB" w:rsidRDefault="00DF5513">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“Artículo 51.- </w:t>
      </w:r>
      <w:r>
        <w:rPr>
          <w:rFonts w:ascii="Palatino Linotype" w:eastAsia="Palatino Linotype" w:hAnsi="Palatino Linotype" w:cs="Palatino Linotype"/>
          <w:b/>
          <w:i/>
          <w:sz w:val="22"/>
          <w:szCs w:val="22"/>
        </w:rPr>
        <w:t>La información financiera que generen los entes públicos en cumplimiento de esta Ley será organizada, sistematizada y difundida por cada uno de éstos, al menos, trimestralmente en sus respectivas páginas electrónicas de internet, a más tardar 30 días después del cierre del período que corresponda</w:t>
      </w:r>
      <w:r>
        <w:rPr>
          <w:rFonts w:ascii="Palatino Linotype" w:eastAsia="Palatino Linotype" w:hAnsi="Palatino Linotype" w:cs="Palatino Linotype"/>
          <w:i/>
          <w:sz w:val="22"/>
          <w:szCs w:val="22"/>
        </w:rPr>
        <w:t>,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(Sic)</w:t>
      </w:r>
    </w:p>
    <w:p w14:paraId="71B7263C" w14:textId="77777777" w:rsidR="00B63DBB" w:rsidRDefault="00B63DBB">
      <w:pPr>
        <w:spacing w:line="360" w:lineRule="auto"/>
        <w:jc w:val="both"/>
        <w:rPr>
          <w:rFonts w:ascii="Palatino Linotype" w:eastAsia="Palatino Linotype" w:hAnsi="Palatino Linotype" w:cs="Palatino Linotype"/>
          <w:highlight w:val="yellow"/>
        </w:rPr>
      </w:pPr>
    </w:p>
    <w:p w14:paraId="1A42AFFB"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donde se establece que los entes públicos en este caso el Ayuntamiento de Tlalnepantla de Baz, debe publicar en sus portales de internet su situación financiera cuando menos trimestralmente a más tardar 30 días después del término del cierre que corresponda.   </w:t>
      </w:r>
    </w:p>
    <w:p w14:paraId="0B65DE1E" w14:textId="77777777" w:rsidR="00B63DBB" w:rsidRDefault="00B63DBB">
      <w:pPr>
        <w:spacing w:line="360" w:lineRule="auto"/>
        <w:jc w:val="both"/>
        <w:rPr>
          <w:rFonts w:ascii="Palatino Linotype" w:eastAsia="Palatino Linotype" w:hAnsi="Palatino Linotype" w:cs="Palatino Linotype"/>
        </w:rPr>
      </w:pPr>
    </w:p>
    <w:p w14:paraId="5E06E5A3"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Máxime que el formato correspondiente al estado analítico del ejercicio del presupuesto de egresos detallado “clasificación por objeto del gasto”, se debe remitir al Órgano superior de Fiscalización de manera trimestral, de acuerdo a los lineamientos emitidos por este Órgano  Superior de Fiscalización, como se advierte en la siguiente imagen de manera de ejemplo:</w:t>
      </w:r>
    </w:p>
    <w:p w14:paraId="49A475A8" w14:textId="77777777" w:rsidR="00B63DBB" w:rsidRDefault="00DF5513">
      <w:pPr>
        <w:spacing w:line="360" w:lineRule="auto"/>
        <w:jc w:val="both"/>
        <w:rPr>
          <w:rFonts w:ascii="Palatino Linotype" w:eastAsia="Palatino Linotype" w:hAnsi="Palatino Linotype" w:cs="Palatino Linotype"/>
        </w:rPr>
      </w:pPr>
      <w:r>
        <w:rPr>
          <w:noProof/>
          <w:lang w:val="es-MX"/>
        </w:rPr>
        <w:drawing>
          <wp:inline distT="0" distB="0" distL="0" distR="0" wp14:anchorId="7DD79F42" wp14:editId="5405B531">
            <wp:extent cx="5543550" cy="241300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l="40620" t="17099" r="26567" b="31602"/>
                    <a:stretch>
                      <a:fillRect/>
                    </a:stretch>
                  </pic:blipFill>
                  <pic:spPr>
                    <a:xfrm>
                      <a:off x="0" y="0"/>
                      <a:ext cx="5543550" cy="2413000"/>
                    </a:xfrm>
                    <a:prstGeom prst="rect">
                      <a:avLst/>
                    </a:prstGeom>
                    <a:ln/>
                  </pic:spPr>
                </pic:pic>
              </a:graphicData>
            </a:graphic>
          </wp:inline>
        </w:drawing>
      </w:r>
      <w:r>
        <w:rPr>
          <w:noProof/>
          <w:lang w:val="es-MX"/>
        </w:rPr>
        <mc:AlternateContent>
          <mc:Choice Requires="wpg">
            <w:drawing>
              <wp:anchor distT="0" distB="0" distL="114300" distR="114300" simplePos="0" relativeHeight="251662336" behindDoc="0" locked="0" layoutInCell="1" hidden="0" allowOverlap="1" wp14:anchorId="7A04E958" wp14:editId="2978DF4A">
                <wp:simplePos x="0" y="0"/>
                <wp:positionH relativeFrom="column">
                  <wp:posOffset>5448300</wp:posOffset>
                </wp:positionH>
                <wp:positionV relativeFrom="paragraph">
                  <wp:posOffset>1460500</wp:posOffset>
                </wp:positionV>
                <wp:extent cx="244475" cy="396875"/>
                <wp:effectExtent l="0" t="0" r="0" b="0"/>
                <wp:wrapNone/>
                <wp:docPr id="2" name="Flecha izquierda 2"/>
                <wp:cNvGraphicFramePr/>
                <a:graphic xmlns:a="http://schemas.openxmlformats.org/drawingml/2006/main">
                  <a:graphicData uri="http://schemas.microsoft.com/office/word/2010/wordprocessingShape">
                    <wps:wsp>
                      <wps:cNvSpPr/>
                      <wps:spPr>
                        <a:xfrm>
                          <a:off x="5228525" y="3586325"/>
                          <a:ext cx="234950" cy="387350"/>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35C14887" w14:textId="77777777" w:rsidR="00B63DBB" w:rsidRDefault="00B63DBB">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5448300</wp:posOffset>
                </wp:positionH>
                <wp:positionV relativeFrom="paragraph">
                  <wp:posOffset>1460500</wp:posOffset>
                </wp:positionV>
                <wp:extent cx="244475" cy="396875"/>
                <wp:effectExtent b="0" l="0" r="0" t="0"/>
                <wp:wrapNone/>
                <wp:docPr id="2" name="image14.png"/>
                <a:graphic>
                  <a:graphicData uri="http://schemas.openxmlformats.org/drawingml/2006/picture">
                    <pic:pic>
                      <pic:nvPicPr>
                        <pic:cNvPr id="0" name="image14.png"/>
                        <pic:cNvPicPr preferRelativeResize="0"/>
                      </pic:nvPicPr>
                      <pic:blipFill>
                        <a:blip r:embed="rId22"/>
                        <a:srcRect/>
                        <a:stretch>
                          <a:fillRect/>
                        </a:stretch>
                      </pic:blipFill>
                      <pic:spPr>
                        <a:xfrm>
                          <a:off x="0" y="0"/>
                          <a:ext cx="244475" cy="396875"/>
                        </a:xfrm>
                        <a:prstGeom prst="rect"/>
                        <a:ln/>
                      </pic:spPr>
                    </pic:pic>
                  </a:graphicData>
                </a:graphic>
              </wp:anchor>
            </w:drawing>
          </mc:Fallback>
        </mc:AlternateContent>
      </w:r>
    </w:p>
    <w:p w14:paraId="454286E5" w14:textId="77777777" w:rsidR="00B63DBB" w:rsidRDefault="00DF551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consecuencia, es obvio que no se tiene la información requerida; ante ello, el pronunciamiento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traduce como un hecho negativo y ante un hecho negativo debe decirse que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243DE95E" w14:textId="77777777" w:rsidR="00B63DBB" w:rsidRDefault="00DF5513">
      <w:pPr>
        <w:spacing w:before="120" w:after="120"/>
        <w:ind w:left="567" w:right="851"/>
        <w:jc w:val="center"/>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b/>
          <w:i/>
          <w:sz w:val="22"/>
          <w:szCs w:val="22"/>
        </w:rPr>
        <w:t>HECHOS NEGATIVOS, NO SON SUSCEPTIBLES DE DEMOSTRACIÓN</w:t>
      </w:r>
      <w:r>
        <w:rPr>
          <w:rFonts w:ascii="Palatino Linotype" w:eastAsia="Palatino Linotype" w:hAnsi="Palatino Linotype" w:cs="Palatino Linotype"/>
          <w:i/>
          <w:sz w:val="22"/>
          <w:szCs w:val="22"/>
        </w:rPr>
        <w:t>.</w:t>
      </w:r>
    </w:p>
    <w:p w14:paraId="762E7D62" w14:textId="77777777" w:rsidR="00B63DBB" w:rsidRDefault="00DF551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708D0851" w14:textId="77777777" w:rsidR="00B63DBB" w:rsidRDefault="00B63DBB">
      <w:pPr>
        <w:ind w:left="851" w:right="851"/>
        <w:jc w:val="both"/>
        <w:rPr>
          <w:rFonts w:ascii="Palatino Linotype" w:eastAsia="Palatino Linotype" w:hAnsi="Palatino Linotype" w:cs="Palatino Linotype"/>
          <w:i/>
          <w:sz w:val="22"/>
          <w:szCs w:val="22"/>
        </w:rPr>
      </w:pPr>
    </w:p>
    <w:p w14:paraId="6D850508" w14:textId="77777777" w:rsidR="00B63DBB" w:rsidRDefault="00DF5513">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Amparo en revisión 2022/61. José García Florín (Menor). 9 de octubre de 1961. Cinco votos. Ponente: José Rivera Pérez Campos.” (Sic)</w:t>
      </w:r>
    </w:p>
    <w:p w14:paraId="231EFC9E" w14:textId="77777777" w:rsidR="00B63DBB" w:rsidRDefault="00B63DBB">
      <w:pPr>
        <w:tabs>
          <w:tab w:val="left" w:pos="7938"/>
        </w:tabs>
        <w:spacing w:line="360" w:lineRule="auto"/>
        <w:jc w:val="both"/>
        <w:rPr>
          <w:rFonts w:ascii="Palatino Linotype" w:eastAsia="Palatino Linotype" w:hAnsi="Palatino Linotype" w:cs="Palatino Linotype"/>
        </w:rPr>
      </w:pPr>
    </w:p>
    <w:p w14:paraId="76CE04D9" w14:textId="77777777" w:rsidR="00B63DBB" w:rsidRDefault="00DF551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que se desprende que es materialmente imposible realizar la entrega de alguna documental que no ha generado y, por ende, que no obra en los archivos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colmando con ello el derecho de acceso a la información pública de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ya que el área que se pronunció Tesorería Municipal, es la competente para conocer de la información solicitada en términos de lo expuesto en el presente considerando. </w:t>
      </w:r>
    </w:p>
    <w:p w14:paraId="589CF5A9" w14:textId="77777777" w:rsidR="00B63DBB" w:rsidRDefault="00B63DB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88945EA" w14:textId="77777777" w:rsidR="00B63DBB" w:rsidRDefault="00DF551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Finalmente es de señalar que este Organismo Garante no se encuentra facultado para manifestarse sobre la veracidad de la información proporcionada por parte de los </w:t>
      </w:r>
      <w:r>
        <w:rPr>
          <w:rFonts w:ascii="Palatino Linotype" w:eastAsia="Palatino Linotype" w:hAnsi="Palatino Linotype" w:cs="Palatino Linotype"/>
          <w:b/>
          <w:color w:val="000000"/>
        </w:rPr>
        <w:t>SUJETOS OBLIGADOS</w:t>
      </w:r>
      <w:r>
        <w:rPr>
          <w:rFonts w:ascii="Palatino Linotype" w:eastAsia="Palatino Linotype" w:hAnsi="Palatino Linotype" w:cs="Palatino Linotype"/>
          <w:color w:val="000000"/>
        </w:rPr>
        <w:t xml:space="preserve">, conforme a lo establecido en el Criterio 31/10 emitido por </w:t>
      </w:r>
      <w:r>
        <w:rPr>
          <w:rFonts w:ascii="Palatino Linotype" w:eastAsia="Palatino Linotype" w:hAnsi="Palatino Linotype" w:cs="Palatino Linotype"/>
          <w:color w:val="000000"/>
        </w:rPr>
        <w:lastRenderedPageBreak/>
        <w:t>el Instituto Nacional de Transparencia, Acceso a la Información Pública y Protección de Datos Personales INAI (anteriormente IFAI), alusivo en el presente considerando.</w:t>
      </w:r>
    </w:p>
    <w:p w14:paraId="654BDC9A" w14:textId="77777777" w:rsidR="00B63DBB" w:rsidRDefault="00DF5513">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En otro orden de ideas, en cuanto al</w:t>
      </w:r>
      <w:r>
        <w:rPr>
          <w:rFonts w:ascii="Palatino Linotype" w:eastAsia="Palatino Linotype" w:hAnsi="Palatino Linotype" w:cs="Palatino Linotype"/>
          <w:b/>
          <w:u w:val="single"/>
        </w:rPr>
        <w:t xml:space="preserve"> presupuesto asignado, autorizado y ejercido del Ayuntamiento para el año 2023</w:t>
      </w:r>
      <w:r>
        <w:rPr>
          <w:rFonts w:ascii="Palatino Linotype" w:eastAsia="Palatino Linotype" w:hAnsi="Palatino Linotype" w:cs="Palatino Linotype"/>
          <w:b/>
        </w:rPr>
        <w:t>.</w:t>
      </w:r>
    </w:p>
    <w:p w14:paraId="2A5ADB6F" w14:textId="77777777" w:rsidR="00B63DBB" w:rsidRDefault="00DF5513">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respuesta el Subtesorero de Egresos perteneciente a la Tesorería Municipal del Ayuntamiento de Tlalnepantla de Baz, informó que en términos del Manual para la Planeación, Programación y Presupuesto de Egresos Municipal para el Ejercicio Fiscal dos mil veintitrés, el C. Presidente Municipal del Ayuntamiento de Tlalnepantla promulgará y publicará el presupuesto de egresos a más tardar el 25 de febrero de cada año, por lo que en este momento no se puede brindar la información; lo que es correcto, toda vez que de una revisión al Manual de referencia, se estableció lo siguiente:</w:t>
      </w:r>
    </w:p>
    <w:p w14:paraId="7AA102D8" w14:textId="77777777" w:rsidR="00B63DBB" w:rsidRDefault="00B63DBB">
      <w:pPr>
        <w:tabs>
          <w:tab w:val="left" w:pos="709"/>
        </w:tabs>
        <w:spacing w:line="360" w:lineRule="auto"/>
        <w:jc w:val="both"/>
        <w:rPr>
          <w:rFonts w:ascii="Palatino Linotype" w:eastAsia="Palatino Linotype" w:hAnsi="Palatino Linotype" w:cs="Palatino Linotype"/>
        </w:rPr>
      </w:pPr>
    </w:p>
    <w:p w14:paraId="0DF70A4A" w14:textId="77777777" w:rsidR="00B63DBB" w:rsidRDefault="00DF5513">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Constitución Política del Estado Libre y Soberano de México en su artículo 125 señala que 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Pr>
          <w:rFonts w:ascii="Palatino Linotype" w:eastAsia="Palatino Linotype" w:hAnsi="Palatino Linotype" w:cs="Palatino Linotype"/>
          <w:b/>
          <w:i/>
          <w:sz w:val="22"/>
          <w:szCs w:val="22"/>
        </w:rPr>
        <w:t>El Presidente Municipal, promulgará y publicará el Presupuesto de Egresos Municipal, a más tardar el día 25 de febrero de cada año debiendo enviarlo al Órgano Superior de Fiscalización en la misma fecha</w:t>
      </w:r>
      <w:r>
        <w:rPr>
          <w:rFonts w:ascii="Palatino Linotype" w:eastAsia="Palatino Linotype" w:hAnsi="Palatino Linotype" w:cs="Palatino Linotype"/>
          <w:i/>
          <w:sz w:val="22"/>
          <w:szCs w:val="22"/>
        </w:rPr>
        <w:t>, observando asimismo lo dispuesto en el artículo 47 de la Ley de Fiscalización Superior del Estado de México vigente.” (Sic)</w:t>
      </w:r>
    </w:p>
    <w:p w14:paraId="5952690F" w14:textId="77777777" w:rsidR="00B63DBB" w:rsidRDefault="00B63DBB">
      <w:pPr>
        <w:tabs>
          <w:tab w:val="left" w:pos="709"/>
        </w:tabs>
        <w:spacing w:line="360" w:lineRule="auto"/>
        <w:jc w:val="both"/>
        <w:rPr>
          <w:rFonts w:ascii="Palatino Linotype" w:eastAsia="Palatino Linotype" w:hAnsi="Palatino Linotype" w:cs="Palatino Linotype"/>
        </w:rPr>
      </w:pPr>
    </w:p>
    <w:p w14:paraId="49955CC9" w14:textId="77777777" w:rsidR="00B63DBB" w:rsidRDefault="00DF5513">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 que se robustece con lo señalado por el artículo 47 de la Ley de Fiscalización Superior del Estado de México, que señala:</w:t>
      </w:r>
    </w:p>
    <w:p w14:paraId="021559EC" w14:textId="77777777" w:rsidR="00B63DBB" w:rsidRDefault="00B63DBB">
      <w:pPr>
        <w:tabs>
          <w:tab w:val="left" w:pos="709"/>
        </w:tabs>
        <w:spacing w:line="360" w:lineRule="auto"/>
        <w:jc w:val="both"/>
        <w:rPr>
          <w:rFonts w:ascii="Palatino Linotype" w:eastAsia="Palatino Linotype" w:hAnsi="Palatino Linotype" w:cs="Palatino Linotype"/>
        </w:rPr>
      </w:pPr>
    </w:p>
    <w:p w14:paraId="0827707B" w14:textId="77777777" w:rsidR="00B63DBB" w:rsidRDefault="00DF5513">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47.- Los Presidentes Municipales y los Síndicos estarán obligados a informar al Órgano Superior, a más tardar el 25 de febrero de cada año, el Presupuesto de Egresos Municipal que haya aprobado el Ayuntamiento correspondiente.”(Sic)</w:t>
      </w:r>
    </w:p>
    <w:p w14:paraId="6C12C592" w14:textId="77777777" w:rsidR="00B63DBB" w:rsidRDefault="00B63DBB">
      <w:pPr>
        <w:tabs>
          <w:tab w:val="left" w:pos="709"/>
        </w:tabs>
        <w:spacing w:line="360" w:lineRule="auto"/>
        <w:jc w:val="both"/>
        <w:rPr>
          <w:rFonts w:ascii="Palatino Linotype" w:eastAsia="Palatino Linotype" w:hAnsi="Palatino Linotype" w:cs="Palatino Linotype"/>
        </w:rPr>
      </w:pPr>
    </w:p>
    <w:p w14:paraId="27326D4A" w14:textId="77777777" w:rsidR="00B63DBB" w:rsidRDefault="00DF551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consiguiente, es obvio que no se tiene el </w:t>
      </w:r>
      <w:r>
        <w:rPr>
          <w:rFonts w:ascii="Palatino Linotype" w:eastAsia="Palatino Linotype" w:hAnsi="Palatino Linotype" w:cs="Palatino Linotype"/>
          <w:b/>
          <w:u w:val="single"/>
        </w:rPr>
        <w:t xml:space="preserve">presupuesto asignado o autorizado </w:t>
      </w:r>
      <w:r>
        <w:rPr>
          <w:rFonts w:ascii="Palatino Linotype" w:eastAsia="Palatino Linotype" w:hAnsi="Palatino Linotype" w:cs="Palatino Linotype"/>
        </w:rPr>
        <w:t xml:space="preserve">y por ende es indiscutible que no se tiene la información correspondiente al </w:t>
      </w:r>
      <w:r>
        <w:rPr>
          <w:rFonts w:ascii="Palatino Linotype" w:eastAsia="Palatino Linotype" w:hAnsi="Palatino Linotype" w:cs="Palatino Linotype"/>
          <w:b/>
          <w:u w:val="single"/>
        </w:rPr>
        <w:t>presupuesto ejercido por capítulo del ayuntamiento para el año 2023</w:t>
      </w:r>
      <w:r>
        <w:rPr>
          <w:rFonts w:ascii="Palatino Linotype" w:eastAsia="Palatino Linotype" w:hAnsi="Palatino Linotype" w:cs="Palatino Linotype"/>
          <w:b/>
        </w:rPr>
        <w:t>;</w:t>
      </w:r>
      <w:r>
        <w:rPr>
          <w:rFonts w:ascii="Palatino Linotype" w:eastAsia="Palatino Linotype" w:hAnsi="Palatino Linotype" w:cs="Palatino Linotype"/>
        </w:rPr>
        <w:t xml:space="preserve"> ante ello el pronunciamiento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traduce como un hecho negativo, lo que deberá estarse en lo precisado anteriormente ante un hecho negativo; colmando con ello el derecho de acceso a la información pública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máxime, que este Organismo Garante </w:t>
      </w:r>
      <w:r>
        <w:rPr>
          <w:rFonts w:ascii="Palatino Linotype" w:eastAsia="Palatino Linotype" w:hAnsi="Palatino Linotype" w:cs="Palatino Linotype"/>
          <w:color w:val="000000"/>
        </w:rPr>
        <w:t xml:space="preserve">no se encuentra facultado para manifestarse sobre la veracidad de la información proporcionada por parte de los </w:t>
      </w:r>
      <w:r>
        <w:rPr>
          <w:rFonts w:ascii="Palatino Linotype" w:eastAsia="Palatino Linotype" w:hAnsi="Palatino Linotype" w:cs="Palatino Linotype"/>
          <w:b/>
          <w:color w:val="000000"/>
        </w:rPr>
        <w:t>SUJETOS OBLIGADOS</w:t>
      </w:r>
      <w:r>
        <w:rPr>
          <w:rFonts w:ascii="Palatino Linotype" w:eastAsia="Palatino Linotype" w:hAnsi="Palatino Linotype" w:cs="Palatino Linotype"/>
          <w:color w:val="000000"/>
        </w:rPr>
        <w:t>, conforme a lo establecido en el Criterio 31/10 emitido por el Instituto Nacional de Transparencia, Acceso a la Información Pública y Protección de Datos Personales INAI (anteriormente IFAI), alusivo en el presente considerando.</w:t>
      </w:r>
    </w:p>
    <w:p w14:paraId="549772CB" w14:textId="77777777" w:rsidR="00B63DBB" w:rsidRDefault="00DF551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que se robustece con lo señalado por el Tesorero Municipal del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en donde informó a través de su informe justificado, que la información del primer trimestre del año 2023, se encuentra en proceso de revisión e integración, lo que sustento con el calendario de obligaciones de entidades fiscalizables del año 2023, del Órgano Superior de Fiscalización del Estado de México.</w:t>
      </w:r>
    </w:p>
    <w:p w14:paraId="511BB774" w14:textId="77777777" w:rsidR="00B63DBB" w:rsidRDefault="00DF551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 lo que se desprende que es materialmente imposible realizar la entrega de alguna documental que no ha generado y, por ende, que no obra en los archivos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colmando con ello el derecho de acceso a la información pública de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ya que el área que se pronunció Tesorería Municipal, es la competente para conocer de la información solicitada en términos de lo expuesto en el presente considerando. </w:t>
      </w:r>
    </w:p>
    <w:p w14:paraId="2F59B196" w14:textId="77777777" w:rsidR="00B63DBB" w:rsidRDefault="00B63DBB">
      <w:pPr>
        <w:tabs>
          <w:tab w:val="left" w:pos="709"/>
        </w:tabs>
        <w:spacing w:line="360" w:lineRule="auto"/>
        <w:jc w:val="both"/>
        <w:rPr>
          <w:rFonts w:ascii="Palatino Linotype" w:eastAsia="Palatino Linotype" w:hAnsi="Palatino Linotype" w:cs="Palatino Linotype"/>
        </w:rPr>
      </w:pPr>
    </w:p>
    <w:p w14:paraId="1EFE962B" w14:textId="77777777" w:rsidR="00B63DBB" w:rsidRDefault="00DF5513">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a través de su informe justificado en aras de garantizar el derecho de acceso a la información pública de la parte </w:t>
      </w:r>
      <w:r>
        <w:rPr>
          <w:rFonts w:ascii="Palatino Linotype" w:eastAsia="Palatino Linotype" w:hAnsi="Palatino Linotype" w:cs="Palatino Linotype"/>
          <w:b/>
        </w:rPr>
        <w:t>RECURRENTE</w:t>
      </w:r>
      <w:r>
        <w:rPr>
          <w:rFonts w:ascii="Palatino Linotype" w:eastAsia="Palatino Linotype" w:hAnsi="Palatino Linotype" w:cs="Palatino Linotype"/>
        </w:rPr>
        <w:t>, El Tesorero Municipal hizo entrega de la Gaceta Municipal número 8 del Ayuntamiento de Tlalnepantla de Baz, en donde se autoriza el Presupuesto de Egresos para el Ejercicio Fiscal del año dos mil veintitrés, como se advierte a continuación:</w:t>
      </w:r>
    </w:p>
    <w:p w14:paraId="27D3BED2" w14:textId="77777777" w:rsidR="00B63DBB" w:rsidRDefault="00DF5513">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1D1AD959" wp14:editId="2A10FF67">
            <wp:extent cx="5612130" cy="2533650"/>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5612130" cy="2533650"/>
                    </a:xfrm>
                    <a:prstGeom prst="rect">
                      <a:avLst/>
                    </a:prstGeom>
                    <a:ln/>
                  </pic:spPr>
                </pic:pic>
              </a:graphicData>
            </a:graphic>
          </wp:inline>
        </w:drawing>
      </w:r>
      <w:r>
        <w:rPr>
          <w:noProof/>
          <w:lang w:val="es-MX"/>
        </w:rPr>
        <mc:AlternateContent>
          <mc:Choice Requires="wpg">
            <w:drawing>
              <wp:anchor distT="0" distB="0" distL="114300" distR="114300" simplePos="0" relativeHeight="251663360" behindDoc="0" locked="0" layoutInCell="1" hidden="0" allowOverlap="1" wp14:anchorId="6922E49D" wp14:editId="7AA93ED6">
                <wp:simplePos x="0" y="0"/>
                <wp:positionH relativeFrom="column">
                  <wp:posOffset>5143500</wp:posOffset>
                </wp:positionH>
                <wp:positionV relativeFrom="paragraph">
                  <wp:posOffset>254000</wp:posOffset>
                </wp:positionV>
                <wp:extent cx="606521" cy="608816"/>
                <wp:effectExtent l="0" t="0" r="0" b="0"/>
                <wp:wrapNone/>
                <wp:docPr id="3" name="Flecha izquierda 3"/>
                <wp:cNvGraphicFramePr/>
                <a:graphic xmlns:a="http://schemas.openxmlformats.org/drawingml/2006/main">
                  <a:graphicData uri="http://schemas.microsoft.com/office/word/2010/wordprocessingShape">
                    <wps:wsp>
                      <wps:cNvSpPr/>
                      <wps:spPr>
                        <a:xfrm rot="-1629875">
                          <a:off x="5190425" y="3618075"/>
                          <a:ext cx="311150" cy="323850"/>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7AE42080" w14:textId="77777777" w:rsidR="00B63DBB" w:rsidRDefault="00B63DBB">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5143500</wp:posOffset>
                </wp:positionH>
                <wp:positionV relativeFrom="paragraph">
                  <wp:posOffset>254000</wp:posOffset>
                </wp:positionV>
                <wp:extent cx="606521" cy="608816"/>
                <wp:effectExtent b="0" l="0" r="0" t="0"/>
                <wp:wrapNone/>
                <wp:docPr id="3" name="image15.png"/>
                <a:graphic>
                  <a:graphicData uri="http://schemas.openxmlformats.org/drawingml/2006/picture">
                    <pic:pic>
                      <pic:nvPicPr>
                        <pic:cNvPr id="0" name="image15.png"/>
                        <pic:cNvPicPr preferRelativeResize="0"/>
                      </pic:nvPicPr>
                      <pic:blipFill>
                        <a:blip r:embed="rId24"/>
                        <a:srcRect/>
                        <a:stretch>
                          <a:fillRect/>
                        </a:stretch>
                      </pic:blipFill>
                      <pic:spPr>
                        <a:xfrm>
                          <a:off x="0" y="0"/>
                          <a:ext cx="606521" cy="608816"/>
                        </a:xfrm>
                        <a:prstGeom prst="rect"/>
                        <a:ln/>
                      </pic:spPr>
                    </pic:pic>
                  </a:graphicData>
                </a:graphic>
              </wp:anchor>
            </w:drawing>
          </mc:Fallback>
        </mc:AlternateContent>
      </w:r>
    </w:p>
    <w:p w14:paraId="014C57E8" w14:textId="77777777" w:rsidR="00B63DBB" w:rsidRDefault="00DF5513">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49DC95D9" wp14:editId="2E6D7449">
            <wp:extent cx="5657850" cy="1308100"/>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657850" cy="1308100"/>
                    </a:xfrm>
                    <a:prstGeom prst="rect">
                      <a:avLst/>
                    </a:prstGeom>
                    <a:ln/>
                  </pic:spPr>
                </pic:pic>
              </a:graphicData>
            </a:graphic>
          </wp:inline>
        </w:drawing>
      </w:r>
      <w:r>
        <w:rPr>
          <w:noProof/>
          <w:lang w:val="es-MX"/>
        </w:rPr>
        <mc:AlternateContent>
          <mc:Choice Requires="wpg">
            <w:drawing>
              <wp:anchor distT="0" distB="0" distL="114300" distR="114300" simplePos="0" relativeHeight="251664384" behindDoc="0" locked="0" layoutInCell="1" hidden="0" allowOverlap="1" wp14:anchorId="3812CED1" wp14:editId="4494E78A">
                <wp:simplePos x="0" y="0"/>
                <wp:positionH relativeFrom="column">
                  <wp:posOffset>5295900</wp:posOffset>
                </wp:positionH>
                <wp:positionV relativeFrom="paragraph">
                  <wp:posOffset>812800</wp:posOffset>
                </wp:positionV>
                <wp:extent cx="606521" cy="608816"/>
                <wp:effectExtent l="0" t="0" r="0" b="0"/>
                <wp:wrapNone/>
                <wp:docPr id="4" name="Flecha izquierda 4"/>
                <wp:cNvGraphicFramePr/>
                <a:graphic xmlns:a="http://schemas.openxmlformats.org/drawingml/2006/main">
                  <a:graphicData uri="http://schemas.microsoft.com/office/word/2010/wordprocessingShape">
                    <wps:wsp>
                      <wps:cNvSpPr/>
                      <wps:spPr>
                        <a:xfrm rot="-1629875">
                          <a:off x="5190425" y="3618075"/>
                          <a:ext cx="311150" cy="323850"/>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02840282" w14:textId="77777777" w:rsidR="00B63DBB" w:rsidRDefault="00B63DBB">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5295900</wp:posOffset>
                </wp:positionH>
                <wp:positionV relativeFrom="paragraph">
                  <wp:posOffset>812800</wp:posOffset>
                </wp:positionV>
                <wp:extent cx="606521" cy="608816"/>
                <wp:effectExtent b="0" l="0" r="0" t="0"/>
                <wp:wrapNone/>
                <wp:docPr id="4" name="image16.png"/>
                <a:graphic>
                  <a:graphicData uri="http://schemas.openxmlformats.org/drawingml/2006/picture">
                    <pic:pic>
                      <pic:nvPicPr>
                        <pic:cNvPr id="0" name="image16.png"/>
                        <pic:cNvPicPr preferRelativeResize="0"/>
                      </pic:nvPicPr>
                      <pic:blipFill>
                        <a:blip r:embed="rId26"/>
                        <a:srcRect/>
                        <a:stretch>
                          <a:fillRect/>
                        </a:stretch>
                      </pic:blipFill>
                      <pic:spPr>
                        <a:xfrm>
                          <a:off x="0" y="0"/>
                          <a:ext cx="606521" cy="608816"/>
                        </a:xfrm>
                        <a:prstGeom prst="rect"/>
                        <a:ln/>
                      </pic:spPr>
                    </pic:pic>
                  </a:graphicData>
                </a:graphic>
              </wp:anchor>
            </w:drawing>
          </mc:Fallback>
        </mc:AlternateContent>
      </w:r>
    </w:p>
    <w:p w14:paraId="68D51C0C" w14:textId="77777777" w:rsidR="00B63DBB" w:rsidRDefault="00B63DBB">
      <w:pPr>
        <w:tabs>
          <w:tab w:val="left" w:pos="709"/>
        </w:tabs>
        <w:spacing w:line="360" w:lineRule="auto"/>
        <w:jc w:val="both"/>
        <w:rPr>
          <w:rFonts w:ascii="Palatino Linotype" w:eastAsia="Palatino Linotype" w:hAnsi="Palatino Linotype" w:cs="Palatino Linotype"/>
        </w:rPr>
      </w:pPr>
    </w:p>
    <w:p w14:paraId="52A1DE1D" w14:textId="77777777" w:rsidR="00B63DBB" w:rsidRDefault="00DF5513">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 cual corresponde al presupuesto autorizado para el año 2023, además de que el área que proporcionó la información fue la Tesorería Municipal del Ayuntamiento de Tlalnepantla, que en términos de lo señalado por el artículo 131 del Reglamento Interno de la Administración Pública Municipal de Tlalnepantla de Baz, México, es el área competente para conocer de la información solicitada, en términos de lo siguiente:</w:t>
      </w:r>
    </w:p>
    <w:p w14:paraId="26D2D71A" w14:textId="77777777" w:rsidR="00B63DBB" w:rsidRDefault="00B63DBB">
      <w:pPr>
        <w:tabs>
          <w:tab w:val="left" w:pos="709"/>
        </w:tabs>
        <w:spacing w:line="360" w:lineRule="auto"/>
        <w:jc w:val="both"/>
        <w:rPr>
          <w:rFonts w:ascii="Palatino Linotype" w:eastAsia="Palatino Linotype" w:hAnsi="Palatino Linotype" w:cs="Palatino Linotype"/>
        </w:rPr>
      </w:pPr>
    </w:p>
    <w:p w14:paraId="0192CEC0" w14:textId="77777777" w:rsidR="00B63DBB" w:rsidRDefault="00DF5513">
      <w:pPr>
        <w:spacing w:before="8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LA TESORERÍA MUNICIPAL </w:t>
      </w:r>
    </w:p>
    <w:p w14:paraId="7812481B" w14:textId="77777777" w:rsidR="00B63DBB" w:rsidRDefault="00DF5513">
      <w:pPr>
        <w:spacing w:before="8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131. La Tesorería Municipal, además de cumplir con los requisitos que establecen los Artículos 32 y 96 de la LOMEM, y las atribuciones del artículo 95 de la misma Ley, tendrá las siguientes facultades y obligaciones: </w:t>
      </w:r>
    </w:p>
    <w:p w14:paraId="70652207" w14:textId="77777777" w:rsidR="00B63DBB" w:rsidRDefault="00DF5513">
      <w:pPr>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2D75369" w14:textId="77777777" w:rsidR="00B63DBB" w:rsidRDefault="00DF5513">
      <w:pPr>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Integrar y presentar al Ayuntamiento el proyecto de presupuesto de egresos municipales para su aprobación en Sesión del Ayuntamiento, en base a los ingresos presupuestados para el ejercicio que corresponda, vigilando que se ajuste a la normatividad aplicable;</w:t>
      </w:r>
    </w:p>
    <w:p w14:paraId="49A7E080" w14:textId="77777777" w:rsidR="00B63DBB" w:rsidRDefault="00DF5513">
      <w:pPr>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85C63FE" w14:textId="77777777" w:rsidR="00B63DBB" w:rsidRDefault="00DF5513">
      <w:pPr>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Presentar anualmente al Ayuntamiento por conducto del Presidente Municipal, un informe de la situación contable financiera de la Tesorería</w:t>
      </w:r>
    </w:p>
    <w:p w14:paraId="1B74EAC8" w14:textId="77777777" w:rsidR="00B63DBB" w:rsidRDefault="00DF5513">
      <w:pPr>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F5FB685" w14:textId="77777777" w:rsidR="00B63DBB" w:rsidRDefault="00DF5513">
      <w:pPr>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Elaborar políticas, lineamientos y normas para la instrumentación, implementación y modernización del proceso de planeación, programación, presupuestación, control y evaluación del gasto público municipal, acorde a lo establecido en el Plan de Desarrollo Municipal y los programas que deriven de éste, </w:t>
      </w:r>
      <w:r>
        <w:rPr>
          <w:rFonts w:ascii="Palatino Linotype" w:eastAsia="Palatino Linotype" w:hAnsi="Palatino Linotype" w:cs="Palatino Linotype"/>
          <w:i/>
          <w:sz w:val="22"/>
          <w:szCs w:val="22"/>
        </w:rPr>
        <w:lastRenderedPageBreak/>
        <w:t>observando la congruencia con el Plan Nacional de Desarrollo y el Plan de Desarrollo Estatal…”(Sic)</w:t>
      </w:r>
    </w:p>
    <w:p w14:paraId="45EA118A" w14:textId="77777777" w:rsidR="00B63DBB" w:rsidRDefault="00B63DBB">
      <w:pPr>
        <w:tabs>
          <w:tab w:val="left" w:pos="709"/>
        </w:tabs>
        <w:spacing w:line="360" w:lineRule="auto"/>
        <w:jc w:val="both"/>
        <w:rPr>
          <w:rFonts w:ascii="Palatino Linotype" w:eastAsia="Palatino Linotype" w:hAnsi="Palatino Linotype" w:cs="Palatino Linotype"/>
        </w:rPr>
      </w:pPr>
    </w:p>
    <w:p w14:paraId="3FAFB379" w14:textId="77777777" w:rsidR="00B63DBB" w:rsidRDefault="00DF5513">
      <w:pPr>
        <w:tabs>
          <w:tab w:val="left" w:pos="709"/>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Máxime </w:t>
      </w:r>
      <w:r>
        <w:rPr>
          <w:rFonts w:ascii="Palatino Linotype" w:eastAsia="Palatino Linotype" w:hAnsi="Palatino Linotype" w:cs="Palatino Linotype"/>
          <w:color w:val="000000"/>
        </w:rPr>
        <w:t>que este Organismo</w:t>
      </w:r>
      <w:r>
        <w:rPr>
          <w:rFonts w:ascii="Palatino Linotype" w:eastAsia="Palatino Linotype" w:hAnsi="Palatino Linotype" w:cs="Palatino Linotype"/>
        </w:rPr>
        <w:t xml:space="preserve"> Garante no se encuentra facultado para manifestarse sobre la veracidad de la información proporcionada por parte de los </w:t>
      </w:r>
      <w:r>
        <w:rPr>
          <w:rFonts w:ascii="Palatino Linotype" w:eastAsia="Palatino Linotype" w:hAnsi="Palatino Linotype" w:cs="Palatino Linotype"/>
          <w:b/>
        </w:rPr>
        <w:t>SUJETOS OBLIGADOS</w:t>
      </w:r>
      <w:r>
        <w:rPr>
          <w:rFonts w:ascii="Palatino Linotype" w:eastAsia="Palatino Linotype" w:hAnsi="Palatino Linotype" w:cs="Palatino Linotype"/>
        </w:rPr>
        <w:t xml:space="preserve">, conforme a lo establecido en el Criterio 31/10 emitido por el Instituto Nacional de Transparencia, Acceso a la Información Pública y Protección de Datos Personales INAI (anteriormente IFAI), ya enunciado en párrafos anteriores. </w:t>
      </w:r>
    </w:p>
    <w:p w14:paraId="528508B7" w14:textId="77777777" w:rsidR="00B63DBB" w:rsidRDefault="00DF5513">
      <w:pPr>
        <w:spacing w:before="240" w:after="240" w:line="360" w:lineRule="auto"/>
        <w:ind w:right="51"/>
        <w:jc w:val="both"/>
        <w:rPr>
          <w:rFonts w:ascii="Palatino Linotype" w:eastAsia="Palatino Linotype" w:hAnsi="Palatino Linotype" w:cs="Palatino Linotype"/>
          <w:b/>
        </w:rPr>
      </w:pPr>
      <w:bookmarkStart w:id="3" w:name="_heading=h.2s8eyo1" w:colFirst="0" w:colLast="0"/>
      <w:bookmarkEnd w:id="3"/>
      <w:r>
        <w:rPr>
          <w:rFonts w:ascii="Palatino Linotype" w:eastAsia="Palatino Linotype" w:hAnsi="Palatino Linotype" w:cs="Palatino Linotype"/>
        </w:rPr>
        <w:t xml:space="preserve">En virtud de los argumentos expuestos con anterioridad, así como del análisis realizado a las constancias que obran en el expediente electrónico del SAIMEX, identificado con el folio </w:t>
      </w:r>
      <w:r>
        <w:rPr>
          <w:rFonts w:ascii="Palatino Linotype" w:eastAsia="Palatino Linotype" w:hAnsi="Palatino Linotype" w:cs="Palatino Linotype"/>
          <w:b/>
        </w:rPr>
        <w:t xml:space="preserve">00087/TLALNEPA/IP/2023, </w:t>
      </w:r>
      <w:r>
        <w:rPr>
          <w:rFonts w:ascii="Palatino Linotype" w:eastAsia="Palatino Linotype" w:hAnsi="Palatino Linotype" w:cs="Palatino Linotype"/>
        </w:rPr>
        <w:t xml:space="preserve">se determina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p>
    <w:p w14:paraId="54AC3390" w14:textId="77777777" w:rsidR="00B63DBB" w:rsidRDefault="00DF5513">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6D430868" w14:textId="77777777" w:rsidR="00B63DBB" w:rsidRDefault="00DF5513">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14:paraId="3FA6699A" w14:textId="77777777" w:rsidR="00B63DBB" w:rsidRDefault="00DF5513">
      <w:pPr>
        <w:spacing w:after="120" w:line="403" w:lineRule="auto"/>
        <w:jc w:val="both"/>
        <w:rPr>
          <w:rFonts w:ascii="Palatino Linotype" w:eastAsia="Palatino Linotype" w:hAnsi="Palatino Linotype" w:cs="Palatino Linotype"/>
          <w:color w:val="000000"/>
        </w:rPr>
      </w:pPr>
      <w:bookmarkStart w:id="4" w:name="_heading=h.3dy6vkm" w:colFirst="0" w:colLast="0"/>
      <w:bookmarkEnd w:id="4"/>
      <w:r>
        <w:rPr>
          <w:rFonts w:ascii="Palatino Linotype" w:eastAsia="Palatino Linotype" w:hAnsi="Palatino Linotype" w:cs="Palatino Linotype"/>
          <w:b/>
          <w:color w:val="000000"/>
        </w:rPr>
        <w:t>Primero.</w:t>
      </w:r>
      <w:r>
        <w:rPr>
          <w:rFonts w:ascii="Palatino Linotype" w:eastAsia="Palatino Linotype" w:hAnsi="Palatino Linotype" w:cs="Palatino Linotype"/>
          <w:color w:val="000000"/>
        </w:rPr>
        <w:t xml:space="preserve"> Resulta infundado el motivo de inconformidad aducido por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el recurso de revisión </w:t>
      </w:r>
      <w:r>
        <w:rPr>
          <w:rFonts w:ascii="Palatino Linotype" w:eastAsia="Palatino Linotype" w:hAnsi="Palatino Linotype" w:cs="Palatino Linotype"/>
          <w:b/>
          <w:color w:val="000000"/>
        </w:rPr>
        <w:t>01324/INFOEM/IP/RR/2023</w:t>
      </w:r>
      <w:r>
        <w:rPr>
          <w:rFonts w:ascii="Palatino Linotype" w:eastAsia="Palatino Linotype" w:hAnsi="Palatino Linotype" w:cs="Palatino Linotype"/>
          <w:color w:val="000000"/>
        </w:rPr>
        <w:t xml:space="preserve">; por lo que, en términos de los argumentos señalados en el Considerando Cuarto se </w:t>
      </w:r>
      <w:r>
        <w:rPr>
          <w:rFonts w:ascii="Palatino Linotype" w:eastAsia="Palatino Linotype" w:hAnsi="Palatino Linotype" w:cs="Palatino Linotype"/>
          <w:b/>
          <w:color w:val="000000"/>
        </w:rPr>
        <w:t>CONFIRMA</w:t>
      </w:r>
      <w:r>
        <w:rPr>
          <w:rFonts w:ascii="Palatino Linotype" w:eastAsia="Palatino Linotype" w:hAnsi="Palatino Linotype" w:cs="Palatino Linotype"/>
          <w:color w:val="000000"/>
        </w:rPr>
        <w:t xml:space="preserve"> la respuesta emitida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p>
    <w:p w14:paraId="6E2E2178" w14:textId="77777777" w:rsidR="00B63DBB" w:rsidRDefault="00DF551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Segundo. Notifíquese</w:t>
      </w:r>
      <w:r>
        <w:rPr>
          <w:rFonts w:ascii="Palatino Linotype" w:eastAsia="Palatino Linotype" w:hAnsi="Palatino Linotype" w:cs="Palatino Linotype"/>
        </w:rPr>
        <w:t xml:space="preserve"> vía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la presente resolución a la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para su conocimiento, lo anterior en términos del artículo 189 de la Ley de Transparencia y Acceso a la Información Pública del Estado de México y Municipios.</w:t>
      </w:r>
    </w:p>
    <w:p w14:paraId="7AC6E157" w14:textId="77777777" w:rsidR="00B63DBB" w:rsidRDefault="00DF5513">
      <w:pPr>
        <w:tabs>
          <w:tab w:val="left" w:pos="8647"/>
        </w:tabs>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vía SAIMEX </w:t>
      </w:r>
      <w:r>
        <w:rPr>
          <w:rFonts w:ascii="Palatino Linotype" w:eastAsia="Palatino Linotype" w:hAnsi="Palatino Linotype" w:cs="Palatino Linotype"/>
        </w:rPr>
        <w:t>a</w:t>
      </w:r>
      <w:r>
        <w:rPr>
          <w:rFonts w:ascii="Palatino Linotype" w:eastAsia="Palatino Linotype" w:hAnsi="Palatino Linotype" w:cs="Palatino Linotype"/>
          <w:b/>
        </w:rPr>
        <w:t xml:space="preserve"> </w:t>
      </w:r>
      <w:r>
        <w:rPr>
          <w:rFonts w:ascii="Palatino Linotype" w:eastAsia="Palatino Linotype" w:hAnsi="Palatino Linotype" w:cs="Palatino Linotype"/>
        </w:rPr>
        <w:t>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3ABFC469" w14:textId="77777777" w:rsidR="00B63DBB" w:rsidRDefault="00DF551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TRIGÉSIMA SEXTA SESIÓN ORDINARIA CELEBRADA EL TRES DE OCTUBRE DEL DOS MIL VEINTITRÉS, ANTE EL SECRETARIO TÉCNICO DEL PLENO ALEXIS TAPIA RAMÍREZ.</w:t>
      </w:r>
    </w:p>
    <w:p w14:paraId="69DEC915" w14:textId="77777777" w:rsidR="004D1FE0" w:rsidRDefault="004D1FE0">
      <w:pPr>
        <w:spacing w:before="240" w:after="240" w:line="360" w:lineRule="auto"/>
        <w:jc w:val="both"/>
        <w:rPr>
          <w:rFonts w:ascii="Palatino Linotype" w:eastAsia="Palatino Linotype" w:hAnsi="Palatino Linotype" w:cs="Palatino Linotype"/>
        </w:rPr>
      </w:pPr>
    </w:p>
    <w:p w14:paraId="22D51BC6" w14:textId="77777777" w:rsidR="004D1FE0" w:rsidRDefault="004D1FE0">
      <w:pPr>
        <w:spacing w:before="240" w:after="240" w:line="360" w:lineRule="auto"/>
        <w:jc w:val="both"/>
        <w:rPr>
          <w:rFonts w:ascii="Palatino Linotype" w:eastAsia="Palatino Linotype" w:hAnsi="Palatino Linotype" w:cs="Palatino Linotype"/>
        </w:rPr>
      </w:pPr>
    </w:p>
    <w:p w14:paraId="6497390B" w14:textId="77777777" w:rsidR="004D1FE0" w:rsidRDefault="004D1FE0">
      <w:pPr>
        <w:spacing w:before="240" w:after="240" w:line="360" w:lineRule="auto"/>
        <w:jc w:val="both"/>
        <w:rPr>
          <w:rFonts w:ascii="Palatino Linotype" w:eastAsia="Palatino Linotype" w:hAnsi="Palatino Linotype" w:cs="Palatino Linotype"/>
        </w:rPr>
      </w:pPr>
    </w:p>
    <w:p w14:paraId="18744B17" w14:textId="77777777" w:rsidR="004D1FE0" w:rsidRDefault="004D1FE0">
      <w:pPr>
        <w:spacing w:before="240" w:after="240" w:line="360" w:lineRule="auto"/>
        <w:jc w:val="both"/>
        <w:rPr>
          <w:rFonts w:ascii="Palatino Linotype" w:eastAsia="Palatino Linotype" w:hAnsi="Palatino Linotype" w:cs="Palatino Linotype"/>
        </w:rPr>
      </w:pPr>
    </w:p>
    <w:p w14:paraId="40718101" w14:textId="77777777" w:rsidR="004D1FE0" w:rsidRDefault="004D1FE0">
      <w:pPr>
        <w:spacing w:before="240" w:after="240" w:line="360" w:lineRule="auto"/>
        <w:jc w:val="both"/>
        <w:rPr>
          <w:rFonts w:ascii="Palatino Linotype" w:eastAsia="Palatino Linotype" w:hAnsi="Palatino Linotype" w:cs="Palatino Linotype"/>
        </w:rPr>
      </w:pPr>
    </w:p>
    <w:p w14:paraId="5D6EE06C" w14:textId="77777777" w:rsidR="004D1FE0" w:rsidRDefault="004D1FE0">
      <w:pPr>
        <w:spacing w:before="240" w:after="240" w:line="360" w:lineRule="auto"/>
        <w:jc w:val="both"/>
        <w:rPr>
          <w:rFonts w:ascii="Palatino Linotype" w:eastAsia="Palatino Linotype" w:hAnsi="Palatino Linotype" w:cs="Palatino Linotype"/>
        </w:rPr>
      </w:pPr>
    </w:p>
    <w:p w14:paraId="01A48001" w14:textId="77777777" w:rsidR="004D1FE0" w:rsidRDefault="004D1FE0">
      <w:pPr>
        <w:spacing w:before="240" w:after="240" w:line="360" w:lineRule="auto"/>
        <w:jc w:val="both"/>
        <w:rPr>
          <w:rFonts w:ascii="Palatino Linotype" w:eastAsia="Palatino Linotype" w:hAnsi="Palatino Linotype" w:cs="Palatino Linotype"/>
        </w:rPr>
      </w:pPr>
    </w:p>
    <w:p w14:paraId="1ECF6801" w14:textId="77777777" w:rsidR="004D1FE0" w:rsidRDefault="004D1FE0">
      <w:pPr>
        <w:spacing w:before="240" w:after="240" w:line="360" w:lineRule="auto"/>
        <w:jc w:val="both"/>
        <w:rPr>
          <w:rFonts w:ascii="Palatino Linotype" w:eastAsia="Palatino Linotype" w:hAnsi="Palatino Linotype" w:cs="Palatino Linotype"/>
        </w:rPr>
      </w:pPr>
    </w:p>
    <w:sectPr w:rsidR="004D1FE0">
      <w:headerReference w:type="default" r:id="rId27"/>
      <w:footerReference w:type="default" r:id="rId28"/>
      <w:headerReference w:type="first" r:id="rId29"/>
      <w:footerReference w:type="first" r:id="rId3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30E34" w14:textId="77777777" w:rsidR="00ED631B" w:rsidRDefault="00ED631B">
      <w:r>
        <w:separator/>
      </w:r>
    </w:p>
  </w:endnote>
  <w:endnote w:type="continuationSeparator" w:id="0">
    <w:p w14:paraId="1C466366" w14:textId="77777777" w:rsidR="00ED631B" w:rsidRDefault="00ED6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9794E" w14:textId="77777777" w:rsidR="00B63DBB" w:rsidRDefault="00DF551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97C8F">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97C8F">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14:paraId="787F774E" w14:textId="77777777" w:rsidR="00B63DBB" w:rsidRDefault="00B63DB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08B6B" w14:textId="77777777" w:rsidR="00B63DBB" w:rsidRDefault="00DF551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97C8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97C8F">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14:paraId="5DB12BE9" w14:textId="77777777" w:rsidR="00B63DBB" w:rsidRDefault="00B63DB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37B24" w14:textId="77777777" w:rsidR="00ED631B" w:rsidRDefault="00ED631B">
      <w:r>
        <w:separator/>
      </w:r>
    </w:p>
  </w:footnote>
  <w:footnote w:type="continuationSeparator" w:id="0">
    <w:p w14:paraId="38ADBD76" w14:textId="77777777" w:rsidR="00ED631B" w:rsidRDefault="00ED63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702FD" w14:textId="77777777" w:rsidR="00B63DBB" w:rsidRDefault="00DF551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FF362A6" wp14:editId="071C2338">
          <wp:simplePos x="0" y="0"/>
          <wp:positionH relativeFrom="column">
            <wp:posOffset>-1080132</wp:posOffset>
          </wp:positionH>
          <wp:positionV relativeFrom="paragraph">
            <wp:posOffset>-488312</wp:posOffset>
          </wp:positionV>
          <wp:extent cx="7809865" cy="10165715"/>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3" w:type="dxa"/>
      <w:tblInd w:w="3261" w:type="dxa"/>
      <w:tblLayout w:type="fixed"/>
      <w:tblLook w:val="0400" w:firstRow="0" w:lastRow="0" w:firstColumn="0" w:lastColumn="0" w:noHBand="0" w:noVBand="1"/>
    </w:tblPr>
    <w:tblGrid>
      <w:gridCol w:w="2489"/>
      <w:gridCol w:w="3464"/>
    </w:tblGrid>
    <w:tr w:rsidR="00B63DBB" w14:paraId="494C3C12" w14:textId="77777777">
      <w:tc>
        <w:tcPr>
          <w:tcW w:w="2489" w:type="dxa"/>
          <w:shd w:val="clear" w:color="auto" w:fill="auto"/>
        </w:tcPr>
        <w:p w14:paraId="7E9A6013" w14:textId="77777777" w:rsidR="00B63DBB" w:rsidRDefault="00DF551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364B3A4" w14:textId="77777777" w:rsidR="00B63DBB" w:rsidRDefault="00DF551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01324/INFOEM/IP/RR/2023</w:t>
          </w:r>
        </w:p>
      </w:tc>
    </w:tr>
    <w:tr w:rsidR="00B63DBB" w14:paraId="47A48136" w14:textId="77777777">
      <w:trPr>
        <w:trHeight w:val="228"/>
      </w:trPr>
      <w:tc>
        <w:tcPr>
          <w:tcW w:w="2489" w:type="dxa"/>
          <w:shd w:val="clear" w:color="auto" w:fill="auto"/>
          <w:vAlign w:val="center"/>
        </w:tcPr>
        <w:p w14:paraId="0CA95FCD" w14:textId="77777777" w:rsidR="00B63DBB" w:rsidRDefault="00DF551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8CCE61B" w14:textId="77777777" w:rsidR="00B63DBB" w:rsidRDefault="00DF5513">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Tlalnepantla de Baz.</w:t>
          </w:r>
        </w:p>
      </w:tc>
    </w:tr>
    <w:tr w:rsidR="00B63DBB" w14:paraId="2583E28C" w14:textId="77777777">
      <w:tc>
        <w:tcPr>
          <w:tcW w:w="2489" w:type="dxa"/>
          <w:shd w:val="clear" w:color="auto" w:fill="auto"/>
          <w:vAlign w:val="center"/>
        </w:tcPr>
        <w:p w14:paraId="0CFDC192" w14:textId="77777777" w:rsidR="00B63DBB" w:rsidRDefault="00DF551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DF7C66B" w14:textId="77777777" w:rsidR="00B63DBB" w:rsidRDefault="00DF551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F96C915" w14:textId="77777777" w:rsidR="00B63DBB" w:rsidRDefault="00DF551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531C4" w14:textId="77777777" w:rsidR="00B63DBB" w:rsidRDefault="00B63DB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
      <w:tblW w:w="5670" w:type="dxa"/>
      <w:tblInd w:w="3261" w:type="dxa"/>
      <w:tblLayout w:type="fixed"/>
      <w:tblLook w:val="0400" w:firstRow="0" w:lastRow="0" w:firstColumn="0" w:lastColumn="0" w:noHBand="0" w:noVBand="1"/>
    </w:tblPr>
    <w:tblGrid>
      <w:gridCol w:w="2551"/>
      <w:gridCol w:w="3119"/>
    </w:tblGrid>
    <w:tr w:rsidR="00B63DBB" w14:paraId="3BBA9CB1" w14:textId="77777777">
      <w:tc>
        <w:tcPr>
          <w:tcW w:w="2551" w:type="dxa"/>
          <w:shd w:val="clear" w:color="auto" w:fill="auto"/>
          <w:vAlign w:val="center"/>
        </w:tcPr>
        <w:p w14:paraId="5FD2DA0F" w14:textId="77777777" w:rsidR="00B63DBB" w:rsidRDefault="00DF551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7045195" w14:textId="77777777" w:rsidR="00B63DBB" w:rsidRDefault="00DF5513">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01324/INFOEM/IP/RR/2023</w:t>
          </w:r>
        </w:p>
      </w:tc>
    </w:tr>
    <w:tr w:rsidR="00B63DBB" w14:paraId="7027371B" w14:textId="77777777">
      <w:trPr>
        <w:trHeight w:val="130"/>
      </w:trPr>
      <w:tc>
        <w:tcPr>
          <w:tcW w:w="2551" w:type="dxa"/>
          <w:shd w:val="clear" w:color="auto" w:fill="auto"/>
          <w:vAlign w:val="center"/>
        </w:tcPr>
        <w:p w14:paraId="011A0ACC" w14:textId="77777777" w:rsidR="00B63DBB" w:rsidRDefault="00DF551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F1CD514" w14:textId="77777777" w:rsidR="00B63DBB" w:rsidRDefault="00B63DBB">
          <w:pPr>
            <w:ind w:left="-45" w:right="176"/>
            <w:jc w:val="both"/>
            <w:rPr>
              <w:rFonts w:ascii="Palatino Linotype" w:eastAsia="Palatino Linotype" w:hAnsi="Palatino Linotype" w:cs="Palatino Linotype"/>
              <w:b/>
              <w:sz w:val="22"/>
              <w:szCs w:val="22"/>
            </w:rPr>
          </w:pPr>
        </w:p>
      </w:tc>
    </w:tr>
    <w:tr w:rsidR="00B63DBB" w14:paraId="38C31729" w14:textId="77777777">
      <w:trPr>
        <w:trHeight w:val="228"/>
      </w:trPr>
      <w:tc>
        <w:tcPr>
          <w:tcW w:w="2551" w:type="dxa"/>
          <w:shd w:val="clear" w:color="auto" w:fill="auto"/>
          <w:vAlign w:val="center"/>
        </w:tcPr>
        <w:p w14:paraId="2B7A001E" w14:textId="77777777" w:rsidR="00B63DBB" w:rsidRDefault="00DF551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02635BBD" w14:textId="77777777" w:rsidR="00B63DBB" w:rsidRDefault="00DF5513">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Tlalnepantla de Baz.</w:t>
          </w:r>
        </w:p>
      </w:tc>
    </w:tr>
    <w:tr w:rsidR="00B63DBB" w14:paraId="46D7EB0E" w14:textId="77777777">
      <w:tc>
        <w:tcPr>
          <w:tcW w:w="2551" w:type="dxa"/>
          <w:shd w:val="clear" w:color="auto" w:fill="auto"/>
          <w:vAlign w:val="center"/>
        </w:tcPr>
        <w:p w14:paraId="2F5C4DE6" w14:textId="77777777" w:rsidR="00B63DBB" w:rsidRDefault="00DF551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3253E69" w14:textId="77777777" w:rsidR="00B63DBB" w:rsidRDefault="00DF5513">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46158AB" w14:textId="77777777" w:rsidR="00B63DBB" w:rsidRDefault="00DF5513">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5D7FD590" wp14:editId="0C30D453">
          <wp:simplePos x="0" y="0"/>
          <wp:positionH relativeFrom="column">
            <wp:posOffset>-1089657</wp:posOffset>
          </wp:positionH>
          <wp:positionV relativeFrom="paragraph">
            <wp:posOffset>-1169667</wp:posOffset>
          </wp:positionV>
          <wp:extent cx="7809865" cy="1016571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DE0BED"/>
    <w:multiLevelType w:val="multilevel"/>
    <w:tmpl w:val="7FC04ED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43E30F79"/>
    <w:multiLevelType w:val="multilevel"/>
    <w:tmpl w:val="9B0CA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18878E6"/>
    <w:multiLevelType w:val="multilevel"/>
    <w:tmpl w:val="BDB438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DBB"/>
    <w:rsid w:val="00331732"/>
    <w:rsid w:val="00443453"/>
    <w:rsid w:val="004D1FE0"/>
    <w:rsid w:val="006F5EBB"/>
    <w:rsid w:val="0088608B"/>
    <w:rsid w:val="00997C8F"/>
    <w:rsid w:val="00B63DBB"/>
    <w:rsid w:val="00DF5513"/>
    <w:rsid w:val="00ED63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66374"/>
  <w15:docId w15:val="{B23476F5-602D-4421-865D-09C42A6A2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10470.page"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18.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7.png"/><Relationship Id="rId14" Type="http://schemas.openxmlformats.org/officeDocument/2006/relationships/image" Target="media/image5.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i3ig3cMzq37zQdS8R8BhrumMMg==">CgMxLjAyCGguZ2pkZ3hzMgloLjMwajB6bGwyCGgudHlqY3d0MgloLjJzOGV5bzEyCWguM2R5NnZrbTgAciExbl9KUWN3ZWZvSnJXRWFmQUR3Q2E5dnE5c1piQnhpdXA=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40</Pages>
  <Words>8036</Words>
  <Characters>44200</Characters>
  <Application>Microsoft Office Word</Application>
  <DocSecurity>4</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Villagomez</cp:lastModifiedBy>
  <cp:revision>2</cp:revision>
  <cp:lastPrinted>2023-10-04T16:37:00Z</cp:lastPrinted>
  <dcterms:created xsi:type="dcterms:W3CDTF">2023-10-26T21:38:00Z</dcterms:created>
  <dcterms:modified xsi:type="dcterms:W3CDTF">2023-10-26T21:38:00Z</dcterms:modified>
</cp:coreProperties>
</file>