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4C8A8" w14:textId="01759280" w:rsidR="00954120" w:rsidRPr="0042677A" w:rsidRDefault="003A2877" w:rsidP="002C59EE">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42677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w:t>
      </w:r>
      <w:r w:rsidR="00C3153A" w:rsidRPr="0042677A">
        <w:rPr>
          <w:rFonts w:ascii="Palatino Linotype" w:eastAsia="Palatino Linotype" w:hAnsi="Palatino Linotype" w:cs="Palatino Linotype"/>
        </w:rPr>
        <w:t>de veintiuno de junio</w:t>
      </w:r>
      <w:r w:rsidR="00A41EEA" w:rsidRPr="0042677A">
        <w:rPr>
          <w:rFonts w:ascii="Palatino Linotype" w:eastAsia="Palatino Linotype" w:hAnsi="Palatino Linotype" w:cs="Palatino Linotype"/>
          <w:color w:val="FF0000"/>
        </w:rPr>
        <w:t xml:space="preserve"> </w:t>
      </w:r>
      <w:r w:rsidR="00A41EEA" w:rsidRPr="0042677A">
        <w:rPr>
          <w:rFonts w:ascii="Palatino Linotype" w:eastAsia="Palatino Linotype" w:hAnsi="Palatino Linotype" w:cs="Palatino Linotype"/>
        </w:rPr>
        <w:t xml:space="preserve">de dos mil veintitrés. </w:t>
      </w:r>
    </w:p>
    <w:p w14:paraId="3652AF3F" w14:textId="77777777" w:rsidR="002C59EE" w:rsidRPr="0042677A" w:rsidRDefault="002C59EE" w:rsidP="002C59EE">
      <w:pPr>
        <w:spacing w:line="360" w:lineRule="auto"/>
        <w:jc w:val="both"/>
        <w:rPr>
          <w:rFonts w:ascii="Palatino Linotype" w:eastAsia="Palatino Linotype" w:hAnsi="Palatino Linotype" w:cs="Palatino Linotype"/>
          <w:b/>
        </w:rPr>
      </w:pPr>
    </w:p>
    <w:p w14:paraId="1D19D20A" w14:textId="79A3DFE7" w:rsidR="00954120" w:rsidRPr="0042677A" w:rsidRDefault="003A2877" w:rsidP="002C59EE">
      <w:pPr>
        <w:spacing w:line="360" w:lineRule="auto"/>
        <w:jc w:val="both"/>
        <w:rPr>
          <w:rFonts w:ascii="Palatino Linotype" w:eastAsia="Palatino Linotype" w:hAnsi="Palatino Linotype" w:cs="Palatino Linotype"/>
          <w:b/>
        </w:rPr>
      </w:pPr>
      <w:bookmarkStart w:id="2" w:name="_heading=h.30j0zll" w:colFirst="0" w:colLast="0"/>
      <w:bookmarkEnd w:id="2"/>
      <w:r w:rsidRPr="0042677A">
        <w:rPr>
          <w:rFonts w:ascii="Palatino Linotype" w:eastAsia="Palatino Linotype" w:hAnsi="Palatino Linotype" w:cs="Palatino Linotype"/>
          <w:b/>
        </w:rPr>
        <w:t xml:space="preserve">Visto </w:t>
      </w:r>
      <w:r w:rsidRPr="0042677A">
        <w:rPr>
          <w:rFonts w:ascii="Palatino Linotype" w:eastAsia="Palatino Linotype" w:hAnsi="Palatino Linotype" w:cs="Palatino Linotype"/>
        </w:rPr>
        <w:t xml:space="preserve">el expediente relativo al recurso de revisión </w:t>
      </w:r>
      <w:r w:rsidR="003653BD" w:rsidRPr="0042677A">
        <w:rPr>
          <w:rFonts w:ascii="Palatino Linotype" w:eastAsia="Palatino Linotype" w:hAnsi="Palatino Linotype" w:cs="Palatino Linotype"/>
          <w:b/>
        </w:rPr>
        <w:t>15034/INFOEM/ICR-07</w:t>
      </w:r>
      <w:r w:rsidR="00417E52" w:rsidRPr="0042677A">
        <w:rPr>
          <w:rFonts w:ascii="Palatino Linotype" w:eastAsia="Palatino Linotype" w:hAnsi="Palatino Linotype" w:cs="Palatino Linotype"/>
          <w:b/>
        </w:rPr>
        <w:t>/IP/RR/2022</w:t>
      </w:r>
      <w:r w:rsidRPr="0042677A">
        <w:rPr>
          <w:rFonts w:ascii="Palatino Linotype" w:eastAsia="Palatino Linotype" w:hAnsi="Palatino Linotype" w:cs="Palatino Linotype"/>
        </w:rPr>
        <w:t xml:space="preserve">, interpuesto por </w:t>
      </w:r>
      <w:r w:rsidR="00A41EEA" w:rsidRPr="0042677A">
        <w:rPr>
          <w:rFonts w:ascii="Palatino Linotype" w:eastAsia="Palatino Linotype" w:hAnsi="Palatino Linotype" w:cs="Palatino Linotype"/>
        </w:rPr>
        <w:t>una persona usuaria del Sistema de Acceso a la Información Mexiquense,</w:t>
      </w:r>
      <w:r w:rsidRPr="0042677A">
        <w:rPr>
          <w:rFonts w:ascii="Palatino Linotype" w:eastAsia="Palatino Linotype" w:hAnsi="Palatino Linotype" w:cs="Palatino Linotype"/>
        </w:rPr>
        <w:t xml:space="preserve"> en lo sucesivo</w:t>
      </w:r>
      <w:r w:rsidR="00676C6E" w:rsidRPr="0042677A">
        <w:rPr>
          <w:rFonts w:ascii="Palatino Linotype" w:eastAsia="Palatino Linotype" w:hAnsi="Palatino Linotype" w:cs="Palatino Linotype"/>
        </w:rPr>
        <w:t xml:space="preserve"> la parte</w:t>
      </w:r>
      <w:r w:rsidRPr="0042677A">
        <w:rPr>
          <w:rFonts w:ascii="Palatino Linotype" w:eastAsia="Palatino Linotype" w:hAnsi="Palatino Linotype" w:cs="Palatino Linotype"/>
        </w:rPr>
        <w:t xml:space="preserve"> </w:t>
      </w:r>
      <w:r w:rsidRPr="0042677A">
        <w:rPr>
          <w:rFonts w:ascii="Palatino Linotype" w:eastAsia="Palatino Linotype" w:hAnsi="Palatino Linotype" w:cs="Palatino Linotype"/>
          <w:b/>
        </w:rPr>
        <w:t>Recurrente</w:t>
      </w:r>
      <w:r w:rsidRPr="0042677A">
        <w:rPr>
          <w:rFonts w:ascii="Palatino Linotype" w:eastAsia="Palatino Linotype" w:hAnsi="Palatino Linotype" w:cs="Palatino Linotype"/>
        </w:rPr>
        <w:t xml:space="preserve">, en contra de la falta de respuesta a la solicitud de información con número de folio </w:t>
      </w:r>
      <w:r w:rsidR="003653BD" w:rsidRPr="0042677A">
        <w:rPr>
          <w:rFonts w:ascii="Palatino Linotype" w:eastAsia="Palatino Linotype" w:hAnsi="Palatino Linotype" w:cs="Palatino Linotype"/>
          <w:b/>
        </w:rPr>
        <w:t>04224</w:t>
      </w:r>
      <w:r w:rsidR="00417E52" w:rsidRPr="0042677A">
        <w:rPr>
          <w:rFonts w:ascii="Palatino Linotype" w:eastAsia="Palatino Linotype" w:hAnsi="Palatino Linotype" w:cs="Palatino Linotype"/>
          <w:b/>
        </w:rPr>
        <w:t>/</w:t>
      </w:r>
      <w:r w:rsidR="003653BD" w:rsidRPr="0042677A">
        <w:rPr>
          <w:rFonts w:ascii="Palatino Linotype" w:eastAsia="Palatino Linotype" w:hAnsi="Palatino Linotype" w:cs="Palatino Linotype"/>
          <w:b/>
        </w:rPr>
        <w:t>METEPEC</w:t>
      </w:r>
      <w:r w:rsidR="00DC039A" w:rsidRPr="0042677A">
        <w:rPr>
          <w:rFonts w:ascii="Palatino Linotype" w:eastAsia="Palatino Linotype" w:hAnsi="Palatino Linotype" w:cs="Palatino Linotype"/>
          <w:b/>
        </w:rPr>
        <w:t>/</w:t>
      </w:r>
      <w:r w:rsidR="00417E52" w:rsidRPr="0042677A">
        <w:rPr>
          <w:rFonts w:ascii="Palatino Linotype" w:eastAsia="Palatino Linotype" w:hAnsi="Palatino Linotype" w:cs="Palatino Linotype"/>
          <w:b/>
        </w:rPr>
        <w:t>I</w:t>
      </w:r>
      <w:r w:rsidR="00DC039A" w:rsidRPr="0042677A">
        <w:rPr>
          <w:rFonts w:ascii="Palatino Linotype" w:eastAsia="Palatino Linotype" w:hAnsi="Palatino Linotype" w:cs="Palatino Linotype"/>
          <w:b/>
        </w:rPr>
        <w:t>P/</w:t>
      </w:r>
      <w:r w:rsidR="00417E52" w:rsidRPr="0042677A">
        <w:rPr>
          <w:rFonts w:ascii="Palatino Linotype" w:eastAsia="Palatino Linotype" w:hAnsi="Palatino Linotype" w:cs="Palatino Linotype"/>
          <w:b/>
        </w:rPr>
        <w:t>2022</w:t>
      </w:r>
      <w:r w:rsidRPr="0042677A">
        <w:rPr>
          <w:rFonts w:ascii="Palatino Linotype" w:eastAsia="Palatino Linotype" w:hAnsi="Palatino Linotype" w:cs="Palatino Linotype"/>
        </w:rPr>
        <w:t>, por parte de</w:t>
      </w:r>
      <w:r w:rsidR="00417E52" w:rsidRPr="0042677A">
        <w:rPr>
          <w:rFonts w:ascii="Palatino Linotype" w:eastAsia="Palatino Linotype" w:hAnsi="Palatino Linotype" w:cs="Palatino Linotype"/>
        </w:rPr>
        <w:t>l</w:t>
      </w:r>
      <w:r w:rsidRPr="0042677A">
        <w:rPr>
          <w:rFonts w:ascii="Palatino Linotype" w:eastAsia="Palatino Linotype" w:hAnsi="Palatino Linotype" w:cs="Palatino Linotype"/>
        </w:rPr>
        <w:t xml:space="preserve"> </w:t>
      </w:r>
      <w:r w:rsidR="00417E52" w:rsidRPr="0042677A">
        <w:rPr>
          <w:rFonts w:ascii="Palatino Linotype" w:eastAsia="Palatino Linotype" w:hAnsi="Palatino Linotype" w:cs="Palatino Linotype"/>
          <w:b/>
        </w:rPr>
        <w:t xml:space="preserve">Ayuntamiento de </w:t>
      </w:r>
      <w:r w:rsidR="003653BD" w:rsidRPr="0042677A">
        <w:rPr>
          <w:rFonts w:ascii="Palatino Linotype" w:eastAsia="Palatino Linotype" w:hAnsi="Palatino Linotype" w:cs="Palatino Linotype"/>
          <w:b/>
        </w:rPr>
        <w:t xml:space="preserve">METEPEC </w:t>
      </w:r>
      <w:r w:rsidRPr="0042677A">
        <w:rPr>
          <w:rFonts w:ascii="Palatino Linotype" w:eastAsia="Palatino Linotype" w:hAnsi="Palatino Linotype" w:cs="Palatino Linotype"/>
        </w:rPr>
        <w:t>en lo sucesivo el Sujeto Obligado;</w:t>
      </w:r>
      <w:r w:rsidR="008B1BFE" w:rsidRPr="0042677A">
        <w:rPr>
          <w:rFonts w:ascii="Palatino Linotype" w:hAnsi="Palatino Linotype"/>
          <w:color w:val="000000"/>
        </w:rPr>
        <w:t xml:space="preserve"> en cumplimiento a la determinación del diverso con número </w:t>
      </w:r>
      <w:r w:rsidR="003653BD" w:rsidRPr="0042677A">
        <w:rPr>
          <w:rFonts w:ascii="Palatino Linotype" w:hAnsi="Palatino Linotype"/>
          <w:b/>
          <w:bCs/>
          <w:sz w:val="22"/>
          <w:szCs w:val="22"/>
        </w:rPr>
        <w:t>15034</w:t>
      </w:r>
      <w:r w:rsidR="008B1BFE" w:rsidRPr="0042677A">
        <w:rPr>
          <w:rFonts w:ascii="Palatino Linotype" w:hAnsi="Palatino Linotype"/>
          <w:b/>
          <w:bCs/>
          <w:sz w:val="22"/>
          <w:szCs w:val="22"/>
        </w:rPr>
        <w:t xml:space="preserve">/INFOEM/IP/RR/2022 </w:t>
      </w:r>
      <w:r w:rsidRPr="0042677A">
        <w:rPr>
          <w:rFonts w:ascii="Palatino Linotype" w:eastAsia="Palatino Linotype" w:hAnsi="Palatino Linotype" w:cs="Palatino Linotype"/>
        </w:rPr>
        <w:t xml:space="preserve">se procede a dictar la presente resolución, con base en lo siguiente. </w:t>
      </w:r>
    </w:p>
    <w:p w14:paraId="029B8E6C" w14:textId="77777777" w:rsidR="002C59EE" w:rsidRPr="0042677A" w:rsidRDefault="002C59EE" w:rsidP="002C59EE">
      <w:pPr>
        <w:spacing w:line="360" w:lineRule="auto"/>
        <w:jc w:val="both"/>
        <w:rPr>
          <w:rFonts w:ascii="Palatino Linotype" w:eastAsia="Palatino Linotype" w:hAnsi="Palatino Linotype" w:cs="Palatino Linotype"/>
        </w:rPr>
      </w:pPr>
    </w:p>
    <w:p w14:paraId="24B36EF9" w14:textId="77777777" w:rsidR="00954120" w:rsidRPr="0042677A" w:rsidRDefault="003A2877" w:rsidP="002C59EE">
      <w:pPr>
        <w:pBdr>
          <w:top w:val="nil"/>
          <w:left w:val="nil"/>
          <w:bottom w:val="nil"/>
          <w:right w:val="nil"/>
          <w:between w:val="nil"/>
        </w:pBdr>
        <w:spacing w:line="360" w:lineRule="auto"/>
        <w:jc w:val="center"/>
        <w:rPr>
          <w:rFonts w:ascii="Palatino Linotype" w:eastAsia="Palatino Linotype" w:hAnsi="Palatino Linotype" w:cs="Palatino Linotype"/>
          <w:b/>
        </w:rPr>
      </w:pPr>
      <w:r w:rsidRPr="0042677A">
        <w:rPr>
          <w:rFonts w:ascii="Palatino Linotype" w:eastAsia="Palatino Linotype" w:hAnsi="Palatino Linotype" w:cs="Palatino Linotype"/>
          <w:b/>
        </w:rPr>
        <w:t>I. A N T E C E D E N T E S</w:t>
      </w:r>
    </w:p>
    <w:p w14:paraId="12B5009B" w14:textId="77777777" w:rsidR="002C59EE" w:rsidRPr="0042677A" w:rsidRDefault="002C59EE" w:rsidP="002C59EE">
      <w:pPr>
        <w:pBdr>
          <w:top w:val="nil"/>
          <w:left w:val="nil"/>
          <w:bottom w:val="nil"/>
          <w:right w:val="nil"/>
          <w:between w:val="nil"/>
        </w:pBdr>
        <w:spacing w:line="360" w:lineRule="auto"/>
        <w:jc w:val="center"/>
        <w:rPr>
          <w:rFonts w:ascii="Palatino Linotype" w:eastAsia="Palatino Linotype" w:hAnsi="Palatino Linotype" w:cs="Palatino Linotype"/>
          <w:b/>
        </w:rPr>
      </w:pPr>
    </w:p>
    <w:p w14:paraId="44E502FD" w14:textId="4FB4E0FA" w:rsidR="00954120" w:rsidRPr="0042677A"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42677A">
        <w:rPr>
          <w:rFonts w:ascii="Palatino Linotype" w:eastAsia="Palatino Linotype" w:hAnsi="Palatino Linotype" w:cs="Palatino Linotype"/>
          <w:b/>
          <w:sz w:val="24"/>
        </w:rPr>
        <w:t xml:space="preserve">Solicitud de acceso a la información. </w:t>
      </w:r>
      <w:r w:rsidRPr="0042677A">
        <w:rPr>
          <w:rFonts w:ascii="Palatino Linotype" w:eastAsia="Palatino Linotype" w:hAnsi="Palatino Linotype" w:cs="Palatino Linotype"/>
          <w:sz w:val="24"/>
        </w:rPr>
        <w:t xml:space="preserve">El </w:t>
      </w:r>
      <w:r w:rsidR="003653BD" w:rsidRPr="0042677A">
        <w:rPr>
          <w:rFonts w:ascii="Palatino Linotype" w:eastAsia="Palatino Linotype" w:hAnsi="Palatino Linotype" w:cs="Palatino Linotype"/>
          <w:b/>
          <w:sz w:val="24"/>
        </w:rPr>
        <w:t>quince de agosto</w:t>
      </w:r>
      <w:r w:rsidRPr="0042677A">
        <w:rPr>
          <w:rFonts w:ascii="Palatino Linotype" w:eastAsia="Palatino Linotype" w:hAnsi="Palatino Linotype" w:cs="Palatino Linotype"/>
          <w:b/>
          <w:sz w:val="24"/>
        </w:rPr>
        <w:t xml:space="preserve"> de dos mil veintidós</w:t>
      </w:r>
      <w:r w:rsidRPr="0042677A">
        <w:rPr>
          <w:rFonts w:ascii="Palatino Linotype" w:eastAsia="Palatino Linotype" w:hAnsi="Palatino Linotype" w:cs="Palatino Linotype"/>
          <w:sz w:val="24"/>
        </w:rPr>
        <w:t xml:space="preserve">, la parte </w:t>
      </w:r>
      <w:r w:rsidRPr="0042677A">
        <w:rPr>
          <w:rFonts w:ascii="Palatino Linotype" w:eastAsia="Palatino Linotype" w:hAnsi="Palatino Linotype" w:cs="Palatino Linotype"/>
          <w:b/>
          <w:sz w:val="24"/>
        </w:rPr>
        <w:t>Recurrente</w:t>
      </w:r>
      <w:r w:rsidRPr="0042677A">
        <w:rPr>
          <w:rFonts w:ascii="Palatino Linotype" w:eastAsia="Palatino Linotype" w:hAnsi="Palatino Linotype" w:cs="Palatino Linotype"/>
          <w:sz w:val="24"/>
        </w:rPr>
        <w:t xml:space="preserve"> formuló su solicitud de acceso a información pública al </w:t>
      </w:r>
      <w:r w:rsidRPr="0042677A">
        <w:rPr>
          <w:rFonts w:ascii="Palatino Linotype" w:eastAsia="Palatino Linotype" w:hAnsi="Palatino Linotype" w:cs="Palatino Linotype"/>
          <w:b/>
          <w:sz w:val="24"/>
        </w:rPr>
        <w:t>Sujeto Obligado</w:t>
      </w:r>
      <w:r w:rsidRPr="0042677A">
        <w:rPr>
          <w:rFonts w:ascii="Palatino Linotype" w:eastAsia="Palatino Linotype" w:hAnsi="Palatino Linotype" w:cs="Palatino Linotype"/>
          <w:sz w:val="24"/>
        </w:rPr>
        <w:t xml:space="preserve"> a través del Sistema de Acceso a la Información Mexiquense, en adelante </w:t>
      </w:r>
      <w:r w:rsidRPr="0042677A">
        <w:rPr>
          <w:rFonts w:ascii="Palatino Linotype" w:eastAsia="Palatino Linotype" w:hAnsi="Palatino Linotype" w:cs="Palatino Linotype"/>
          <w:b/>
          <w:sz w:val="24"/>
        </w:rPr>
        <w:t>SAIMEX</w:t>
      </w:r>
      <w:r w:rsidRPr="0042677A">
        <w:rPr>
          <w:rFonts w:ascii="Palatino Linotype" w:eastAsia="Palatino Linotype" w:hAnsi="Palatino Linotype" w:cs="Palatino Linotype"/>
          <w:sz w:val="24"/>
        </w:rPr>
        <w:t>, requiriendo lo siguiente:</w:t>
      </w:r>
    </w:p>
    <w:p w14:paraId="20B08518" w14:textId="77777777" w:rsidR="00DC039A" w:rsidRPr="0042677A" w:rsidRDefault="00DC039A" w:rsidP="00DC039A">
      <w:pPr>
        <w:pStyle w:val="Prrafodelista"/>
        <w:spacing w:line="360" w:lineRule="auto"/>
        <w:ind w:left="0"/>
        <w:jc w:val="both"/>
        <w:rPr>
          <w:rFonts w:ascii="Palatino Linotype" w:eastAsia="Palatino Linotype" w:hAnsi="Palatino Linotype" w:cs="Palatino Linotype"/>
        </w:rPr>
      </w:pPr>
    </w:p>
    <w:p w14:paraId="2EEEB3C0" w14:textId="691A8D2B" w:rsidR="00954120" w:rsidRPr="0042677A" w:rsidRDefault="003A2877" w:rsidP="00DC039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2677A">
        <w:rPr>
          <w:rFonts w:ascii="Palatino Linotype" w:eastAsia="Palatino Linotype" w:hAnsi="Palatino Linotype" w:cs="Palatino Linotype"/>
          <w:i/>
          <w:sz w:val="22"/>
          <w:szCs w:val="22"/>
        </w:rPr>
        <w:t>“</w:t>
      </w:r>
      <w:r w:rsidR="003653BD" w:rsidRPr="0042677A">
        <w:rPr>
          <w:rFonts w:ascii="Palatino Linotype" w:eastAsia="Palatino Linotype" w:hAnsi="Palatino Linotype" w:cs="Palatino Linotype"/>
          <w:i/>
          <w:sz w:val="22"/>
          <w:szCs w:val="22"/>
        </w:rPr>
        <w:t>Se solicitan los certificados de derecho de fosa individual</w:t>
      </w:r>
      <w:r w:rsidR="00DC039A" w:rsidRPr="0042677A">
        <w:rPr>
          <w:rFonts w:ascii="Palatino Linotype" w:eastAsia="Palatino Linotype" w:hAnsi="Palatino Linotype" w:cs="Palatino Linotype"/>
          <w:i/>
          <w:sz w:val="22"/>
          <w:szCs w:val="22"/>
        </w:rPr>
        <w:t xml:space="preserve">” </w:t>
      </w:r>
    </w:p>
    <w:p w14:paraId="167291E9" w14:textId="77777777" w:rsidR="00DC039A" w:rsidRPr="0042677A" w:rsidRDefault="00DC039A" w:rsidP="00DC039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44546439" w14:textId="77777777" w:rsidR="00954120" w:rsidRPr="0042677A" w:rsidRDefault="003A2877" w:rsidP="002C59EE">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Modalidad elegida para la entrega de la información: </w:t>
      </w:r>
      <w:r w:rsidRPr="0042677A">
        <w:rPr>
          <w:rFonts w:ascii="Palatino Linotype" w:eastAsia="Palatino Linotype" w:hAnsi="Palatino Linotype" w:cs="Palatino Linotype"/>
        </w:rPr>
        <w:t>a través del SAIMEX.</w:t>
      </w:r>
    </w:p>
    <w:p w14:paraId="398DAC13" w14:textId="77777777" w:rsidR="008B1BFE" w:rsidRPr="0042677A" w:rsidRDefault="008B1BFE" w:rsidP="002C59EE">
      <w:pPr>
        <w:spacing w:line="360" w:lineRule="auto"/>
        <w:jc w:val="both"/>
        <w:rPr>
          <w:rFonts w:ascii="Palatino Linotype" w:eastAsia="Palatino Linotype" w:hAnsi="Palatino Linotype" w:cs="Palatino Linotype"/>
        </w:rPr>
      </w:pPr>
    </w:p>
    <w:p w14:paraId="7495AA9B" w14:textId="5C7B3F88" w:rsidR="00DC039A" w:rsidRPr="0042677A" w:rsidRDefault="003653BD"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42677A">
        <w:rPr>
          <w:rFonts w:ascii="Palatino Linotype" w:eastAsia="Palatino Linotype" w:hAnsi="Palatino Linotype" w:cs="Palatino Linotype"/>
          <w:b/>
          <w:sz w:val="24"/>
        </w:rPr>
        <w:lastRenderedPageBreak/>
        <w:t>Ampliación de Plazo para emitir Respuesta</w:t>
      </w:r>
      <w:r w:rsidR="00DC039A" w:rsidRPr="0042677A">
        <w:rPr>
          <w:rFonts w:ascii="Palatino Linotype" w:eastAsia="Palatino Linotype" w:hAnsi="Palatino Linotype" w:cs="Palatino Linotype"/>
          <w:b/>
          <w:sz w:val="24"/>
        </w:rPr>
        <w:t xml:space="preserve">. </w:t>
      </w:r>
      <w:r w:rsidR="00DC039A" w:rsidRPr="0042677A">
        <w:rPr>
          <w:rFonts w:ascii="Palatino Linotype" w:eastAsia="Palatino Linotype" w:hAnsi="Palatino Linotype" w:cs="Palatino Linotype"/>
          <w:sz w:val="24"/>
        </w:rPr>
        <w:t xml:space="preserve">En fecha </w:t>
      </w:r>
      <w:r w:rsidRPr="0042677A">
        <w:rPr>
          <w:rFonts w:ascii="Palatino Linotype" w:eastAsia="Palatino Linotype" w:hAnsi="Palatino Linotype" w:cs="Palatino Linotype"/>
          <w:b/>
          <w:sz w:val="24"/>
        </w:rPr>
        <w:t>cinco de septiembre</w:t>
      </w:r>
      <w:r w:rsidR="00DC039A" w:rsidRPr="0042677A">
        <w:rPr>
          <w:rFonts w:ascii="Palatino Linotype" w:eastAsia="Palatino Linotype" w:hAnsi="Palatino Linotype" w:cs="Palatino Linotype"/>
          <w:b/>
          <w:sz w:val="24"/>
        </w:rPr>
        <w:t xml:space="preserve"> de dos mil veintidós</w:t>
      </w:r>
      <w:r w:rsidR="00DC039A" w:rsidRPr="0042677A">
        <w:rPr>
          <w:rFonts w:ascii="Palatino Linotype" w:eastAsia="Palatino Linotype" w:hAnsi="Palatino Linotype" w:cs="Palatino Linotype"/>
          <w:sz w:val="24"/>
        </w:rPr>
        <w:t xml:space="preserve">, el </w:t>
      </w:r>
      <w:r w:rsidR="00DC039A" w:rsidRPr="0042677A">
        <w:rPr>
          <w:rFonts w:ascii="Palatino Linotype" w:eastAsia="Palatino Linotype" w:hAnsi="Palatino Linotype" w:cs="Palatino Linotype"/>
          <w:b/>
          <w:sz w:val="24"/>
        </w:rPr>
        <w:t xml:space="preserve">Sujeto Obligado </w:t>
      </w:r>
      <w:r w:rsidR="00DC039A" w:rsidRPr="0042677A">
        <w:rPr>
          <w:rFonts w:ascii="Palatino Linotype" w:eastAsia="Palatino Linotype" w:hAnsi="Palatino Linotype" w:cs="Palatino Linotype"/>
          <w:sz w:val="24"/>
        </w:rPr>
        <w:t xml:space="preserve">notificó al Particular una solicitud de aclaración, en la cual le pidió especificara lo siguiente: </w:t>
      </w:r>
      <w:r w:rsidR="00DC039A" w:rsidRPr="0042677A">
        <w:rPr>
          <w:rFonts w:ascii="Palatino Linotype" w:eastAsia="Palatino Linotype" w:hAnsi="Palatino Linotype" w:cs="Palatino Linotype"/>
          <w:b/>
          <w:sz w:val="24"/>
        </w:rPr>
        <w:t xml:space="preserve"> </w:t>
      </w:r>
    </w:p>
    <w:p w14:paraId="2CBEFC96" w14:textId="77777777" w:rsidR="00DC039A" w:rsidRPr="0042677A" w:rsidRDefault="00DC039A" w:rsidP="00DC039A">
      <w:pPr>
        <w:pStyle w:val="Prrafodelista"/>
        <w:spacing w:line="360" w:lineRule="auto"/>
        <w:ind w:left="0"/>
        <w:jc w:val="both"/>
        <w:rPr>
          <w:rFonts w:ascii="Palatino Linotype" w:eastAsia="Palatino Linotype" w:hAnsi="Palatino Linotype" w:cs="Palatino Linotype"/>
          <w:b/>
          <w:sz w:val="24"/>
        </w:rPr>
      </w:pPr>
    </w:p>
    <w:p w14:paraId="01A53FDC" w14:textId="77777777" w:rsidR="003653BD" w:rsidRPr="0042677A" w:rsidRDefault="00DC039A" w:rsidP="003653BD">
      <w:pPr>
        <w:pStyle w:val="Prrafodelista"/>
        <w:spacing w:line="276" w:lineRule="auto"/>
        <w:ind w:left="567" w:right="567"/>
        <w:jc w:val="both"/>
        <w:rPr>
          <w:rFonts w:ascii="Palatino Linotype" w:eastAsia="Palatino Linotype" w:hAnsi="Palatino Linotype" w:cs="Palatino Linotype"/>
          <w:i/>
        </w:rPr>
      </w:pPr>
      <w:r w:rsidRPr="0042677A">
        <w:rPr>
          <w:rFonts w:ascii="Palatino Linotype" w:eastAsia="Palatino Linotype" w:hAnsi="Palatino Linotype" w:cs="Palatino Linotype"/>
          <w:i/>
        </w:rPr>
        <w:t>“</w:t>
      </w:r>
      <w:r w:rsidR="003653BD" w:rsidRPr="0042677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273D25D" w14:textId="3B8F88DB" w:rsidR="00DC039A" w:rsidRPr="0042677A" w:rsidRDefault="003653BD" w:rsidP="003653BD">
      <w:pPr>
        <w:pStyle w:val="Prrafodelista"/>
        <w:spacing w:line="276" w:lineRule="auto"/>
        <w:ind w:left="567" w:right="567"/>
        <w:jc w:val="both"/>
        <w:rPr>
          <w:rFonts w:ascii="Palatino Linotype" w:eastAsia="Palatino Linotype" w:hAnsi="Palatino Linotype" w:cs="Palatino Linotype"/>
          <w:i/>
        </w:rPr>
      </w:pPr>
      <w:r w:rsidRPr="0042677A">
        <w:rPr>
          <w:rFonts w:ascii="Palatino Linotype" w:eastAsia="Palatino Linotype" w:hAnsi="Palatino Linotype" w:cs="Palatino Linotype"/>
          <w:i/>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trigésima séptima sesión extraordinaria de fecha 16 de agosto de 2022. Por lo anterior, se adjunta el acta del comité No CT/MET/EXT-37/2022. Sin más por el momento quedo a sus órdenes. ATENTAMENTE GERARDO ARTURO OZUNA MARTÍNEZ DIRECTOR DE TRANSPARENCIA Y GOBIERNO ABIERTO</w:t>
      </w:r>
      <w:r w:rsidR="00DC039A" w:rsidRPr="0042677A">
        <w:rPr>
          <w:rFonts w:ascii="Palatino Linotype" w:eastAsia="Palatino Linotype" w:hAnsi="Palatino Linotype" w:cs="Palatino Linotype"/>
          <w:i/>
        </w:rPr>
        <w:t xml:space="preserve">”. </w:t>
      </w:r>
    </w:p>
    <w:p w14:paraId="761E009B" w14:textId="77777777" w:rsidR="00DC039A" w:rsidRPr="0042677A" w:rsidRDefault="00DC039A" w:rsidP="00DC039A">
      <w:pPr>
        <w:pStyle w:val="Prrafodelista"/>
        <w:spacing w:line="360" w:lineRule="auto"/>
        <w:ind w:left="0"/>
        <w:jc w:val="both"/>
        <w:rPr>
          <w:rFonts w:ascii="Palatino Linotype" w:eastAsia="Palatino Linotype" w:hAnsi="Palatino Linotype" w:cs="Palatino Linotype"/>
          <w:sz w:val="24"/>
        </w:rPr>
      </w:pPr>
    </w:p>
    <w:p w14:paraId="780A351D" w14:textId="77777777" w:rsidR="00DC039A" w:rsidRPr="0042677A"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42677A">
        <w:rPr>
          <w:rFonts w:ascii="Palatino Linotype" w:eastAsia="Palatino Linotype" w:hAnsi="Palatino Linotype" w:cs="Palatino Linotype"/>
          <w:b/>
          <w:sz w:val="24"/>
        </w:rPr>
        <w:t xml:space="preserve">Respuesta. </w:t>
      </w:r>
      <w:r w:rsidRPr="0042677A">
        <w:rPr>
          <w:rFonts w:ascii="Palatino Linotype" w:eastAsia="Palatino Linotype" w:hAnsi="Palatino Linotype" w:cs="Palatino Linotype"/>
          <w:sz w:val="24"/>
        </w:rPr>
        <w:t>De las constancias que obran en S</w:t>
      </w:r>
      <w:r w:rsidR="00DC039A" w:rsidRPr="0042677A">
        <w:rPr>
          <w:rFonts w:ascii="Palatino Linotype" w:eastAsia="Palatino Linotype" w:hAnsi="Palatino Linotype" w:cs="Palatino Linotype"/>
          <w:sz w:val="24"/>
        </w:rPr>
        <w:t xml:space="preserve">istema de </w:t>
      </w:r>
      <w:r w:rsidRPr="0042677A">
        <w:rPr>
          <w:rFonts w:ascii="Palatino Linotype" w:eastAsia="Palatino Linotype" w:hAnsi="Palatino Linotype" w:cs="Palatino Linotype"/>
          <w:sz w:val="24"/>
        </w:rPr>
        <w:t>A</w:t>
      </w:r>
      <w:r w:rsidR="00DC039A" w:rsidRPr="0042677A">
        <w:rPr>
          <w:rFonts w:ascii="Palatino Linotype" w:eastAsia="Palatino Linotype" w:hAnsi="Palatino Linotype" w:cs="Palatino Linotype"/>
          <w:sz w:val="24"/>
        </w:rPr>
        <w:t xml:space="preserve">cceso a la </w:t>
      </w:r>
      <w:r w:rsidRPr="0042677A">
        <w:rPr>
          <w:rFonts w:ascii="Palatino Linotype" w:eastAsia="Palatino Linotype" w:hAnsi="Palatino Linotype" w:cs="Palatino Linotype"/>
          <w:sz w:val="24"/>
        </w:rPr>
        <w:t>I</w:t>
      </w:r>
      <w:r w:rsidR="00DC039A" w:rsidRPr="0042677A">
        <w:rPr>
          <w:rFonts w:ascii="Palatino Linotype" w:eastAsia="Palatino Linotype" w:hAnsi="Palatino Linotype" w:cs="Palatino Linotype"/>
          <w:sz w:val="24"/>
        </w:rPr>
        <w:t>nformación Mexiquense</w:t>
      </w:r>
      <w:r w:rsidRPr="0042677A">
        <w:rPr>
          <w:rFonts w:ascii="Palatino Linotype" w:eastAsia="Palatino Linotype" w:hAnsi="Palatino Linotype" w:cs="Palatino Linotype"/>
          <w:sz w:val="24"/>
        </w:rPr>
        <w:t xml:space="preserve">, se observa que el </w:t>
      </w:r>
      <w:r w:rsidRPr="0042677A">
        <w:rPr>
          <w:rFonts w:ascii="Palatino Linotype" w:eastAsia="Palatino Linotype" w:hAnsi="Palatino Linotype" w:cs="Palatino Linotype"/>
          <w:b/>
          <w:sz w:val="24"/>
        </w:rPr>
        <w:t>Sujeto Obligado</w:t>
      </w:r>
      <w:r w:rsidRPr="0042677A">
        <w:rPr>
          <w:rFonts w:ascii="Palatino Linotype" w:eastAsia="Palatino Linotype" w:hAnsi="Palatino Linotype" w:cs="Palatino Linotype"/>
          <w:sz w:val="24"/>
        </w:rPr>
        <w:t xml:space="preserve"> no emitió respuesta a la solicitud de información formulada por la parte </w:t>
      </w:r>
      <w:r w:rsidRPr="0042677A">
        <w:rPr>
          <w:rFonts w:ascii="Palatino Linotype" w:eastAsia="Palatino Linotype" w:hAnsi="Palatino Linotype" w:cs="Palatino Linotype"/>
          <w:b/>
          <w:sz w:val="24"/>
        </w:rPr>
        <w:t>Recurrente.</w:t>
      </w:r>
    </w:p>
    <w:p w14:paraId="0B0F218F" w14:textId="77777777" w:rsidR="008B1BFE" w:rsidRPr="0042677A" w:rsidRDefault="008B1BFE" w:rsidP="008B1BFE">
      <w:pPr>
        <w:pStyle w:val="Prrafodelista"/>
        <w:spacing w:line="360" w:lineRule="auto"/>
        <w:ind w:left="0"/>
        <w:jc w:val="both"/>
        <w:rPr>
          <w:rFonts w:ascii="Palatino Linotype" w:eastAsia="Palatino Linotype" w:hAnsi="Palatino Linotype" w:cs="Palatino Linotype"/>
          <w:sz w:val="24"/>
        </w:rPr>
      </w:pPr>
    </w:p>
    <w:p w14:paraId="3AA48EA6" w14:textId="310A29DD" w:rsidR="00954120" w:rsidRPr="0042677A"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8"/>
        </w:rPr>
      </w:pPr>
      <w:r w:rsidRPr="0042677A">
        <w:rPr>
          <w:rFonts w:ascii="Palatino Linotype" w:eastAsia="Palatino Linotype" w:hAnsi="Palatino Linotype" w:cs="Palatino Linotype"/>
          <w:b/>
          <w:sz w:val="24"/>
        </w:rPr>
        <w:t xml:space="preserve"> Interposición del recurso de revisión. </w:t>
      </w:r>
      <w:r w:rsidRPr="0042677A">
        <w:rPr>
          <w:rFonts w:ascii="Palatino Linotype" w:eastAsia="Palatino Linotype" w:hAnsi="Palatino Linotype" w:cs="Palatino Linotype"/>
          <w:sz w:val="24"/>
        </w:rPr>
        <w:t xml:space="preserve">Inconforme la parte solicitante con la falta de respuesta del </w:t>
      </w:r>
      <w:r w:rsidRPr="0042677A">
        <w:rPr>
          <w:rFonts w:ascii="Palatino Linotype" w:eastAsia="Palatino Linotype" w:hAnsi="Palatino Linotype" w:cs="Palatino Linotype"/>
          <w:b/>
          <w:sz w:val="24"/>
        </w:rPr>
        <w:t>Sujeto Obligado</w:t>
      </w:r>
      <w:r w:rsidRPr="0042677A">
        <w:rPr>
          <w:rFonts w:ascii="Palatino Linotype" w:eastAsia="Palatino Linotype" w:hAnsi="Palatino Linotype" w:cs="Palatino Linotype"/>
          <w:sz w:val="24"/>
        </w:rPr>
        <w:t>, interpuso recurso de revisión a través de SAIMEX</w:t>
      </w:r>
      <w:r w:rsidR="00417E52" w:rsidRPr="0042677A">
        <w:rPr>
          <w:rFonts w:ascii="Palatino Linotype" w:eastAsia="Palatino Linotype" w:hAnsi="Palatino Linotype" w:cs="Palatino Linotype"/>
          <w:sz w:val="24"/>
        </w:rPr>
        <w:t xml:space="preserve"> el</w:t>
      </w:r>
      <w:r w:rsidRPr="0042677A">
        <w:rPr>
          <w:rFonts w:ascii="Palatino Linotype" w:eastAsia="Palatino Linotype" w:hAnsi="Palatino Linotype" w:cs="Palatino Linotype"/>
          <w:sz w:val="24"/>
        </w:rPr>
        <w:t xml:space="preserve"> </w:t>
      </w:r>
      <w:r w:rsidR="003653BD" w:rsidRPr="0042677A">
        <w:rPr>
          <w:rFonts w:ascii="Palatino Linotype" w:eastAsia="Palatino Linotype" w:hAnsi="Palatino Linotype" w:cs="Palatino Linotype"/>
          <w:b/>
          <w:sz w:val="24"/>
        </w:rPr>
        <w:t>veintitrés de septiembre</w:t>
      </w:r>
      <w:r w:rsidR="00417E52" w:rsidRPr="0042677A">
        <w:rPr>
          <w:rFonts w:ascii="Palatino Linotype" w:eastAsia="Palatino Linotype" w:hAnsi="Palatino Linotype" w:cs="Palatino Linotype"/>
          <w:b/>
          <w:sz w:val="24"/>
        </w:rPr>
        <w:t xml:space="preserve"> de</w:t>
      </w:r>
      <w:r w:rsidRPr="0042677A">
        <w:rPr>
          <w:rFonts w:ascii="Palatino Linotype" w:eastAsia="Palatino Linotype" w:hAnsi="Palatino Linotype" w:cs="Palatino Linotype"/>
          <w:b/>
          <w:sz w:val="24"/>
        </w:rPr>
        <w:t xml:space="preserve"> dos mil veintidós</w:t>
      </w:r>
      <w:r w:rsidRPr="0042677A">
        <w:rPr>
          <w:rFonts w:ascii="Palatino Linotype" w:eastAsia="Palatino Linotype" w:hAnsi="Palatino Linotype" w:cs="Palatino Linotype"/>
          <w:sz w:val="24"/>
        </w:rPr>
        <w:t>, expresando lo siguiente:</w:t>
      </w:r>
    </w:p>
    <w:p w14:paraId="56014C8C" w14:textId="77777777" w:rsidR="00DC039A" w:rsidRPr="0042677A" w:rsidRDefault="00DC039A" w:rsidP="00DC039A">
      <w:pPr>
        <w:pStyle w:val="Prrafodelista"/>
        <w:spacing w:line="360" w:lineRule="auto"/>
        <w:ind w:left="0"/>
        <w:jc w:val="both"/>
        <w:rPr>
          <w:rFonts w:ascii="Palatino Linotype" w:eastAsia="Palatino Linotype" w:hAnsi="Palatino Linotype" w:cs="Palatino Linotype"/>
          <w:sz w:val="24"/>
        </w:rPr>
      </w:pPr>
    </w:p>
    <w:p w14:paraId="0AE27353" w14:textId="010D25B2" w:rsidR="00DC039A" w:rsidRPr="0042677A" w:rsidRDefault="003A2877" w:rsidP="00DC039A">
      <w:pPr>
        <w:ind w:left="567"/>
        <w:rPr>
          <w:rFonts w:ascii="Palatino Linotype" w:hAnsi="Palatino Linotype"/>
          <w:sz w:val="22"/>
          <w:szCs w:val="22"/>
          <w:lang w:eastAsia="es-MX"/>
        </w:rPr>
      </w:pPr>
      <w:r w:rsidRPr="0042677A">
        <w:rPr>
          <w:rFonts w:ascii="Palatino Linotype" w:eastAsia="Palatino Linotype" w:hAnsi="Palatino Linotype" w:cs="Palatino Linotype"/>
          <w:b/>
          <w:sz w:val="22"/>
          <w:szCs w:val="22"/>
        </w:rPr>
        <w:t>a) Acto impugnado.</w:t>
      </w:r>
      <w:r w:rsidR="00DC039A" w:rsidRPr="0042677A">
        <w:rPr>
          <w:rFonts w:ascii="Palatino Linotype" w:eastAsia="Palatino Linotype" w:hAnsi="Palatino Linotype" w:cs="Palatino Linotype"/>
          <w:b/>
          <w:sz w:val="22"/>
          <w:szCs w:val="22"/>
        </w:rPr>
        <w:t xml:space="preserve"> </w:t>
      </w:r>
      <w:r w:rsidR="00DC039A" w:rsidRPr="0042677A">
        <w:rPr>
          <w:rFonts w:ascii="Palatino Linotype" w:eastAsia="Palatino Linotype" w:hAnsi="Palatino Linotype" w:cs="Palatino Linotype"/>
          <w:i/>
          <w:sz w:val="22"/>
          <w:szCs w:val="22"/>
        </w:rPr>
        <w:t>“</w:t>
      </w:r>
      <w:r w:rsidR="003653BD" w:rsidRPr="0042677A">
        <w:rPr>
          <w:rFonts w:ascii="Palatino Linotype" w:hAnsi="Palatino Linotype"/>
          <w:i/>
          <w:sz w:val="22"/>
          <w:szCs w:val="22"/>
        </w:rPr>
        <w:t>Falta de respuesta del sujeto obligado</w:t>
      </w:r>
      <w:r w:rsidR="00DC039A" w:rsidRPr="0042677A">
        <w:rPr>
          <w:rFonts w:ascii="Palatino Linotype" w:hAnsi="Palatino Linotype"/>
          <w:i/>
          <w:sz w:val="22"/>
          <w:szCs w:val="22"/>
        </w:rPr>
        <w:t>”.</w:t>
      </w:r>
      <w:r w:rsidR="00DC039A" w:rsidRPr="0042677A">
        <w:rPr>
          <w:rFonts w:ascii="Palatino Linotype" w:hAnsi="Palatino Linotype"/>
          <w:sz w:val="22"/>
          <w:szCs w:val="22"/>
        </w:rPr>
        <w:t xml:space="preserve"> </w:t>
      </w:r>
    </w:p>
    <w:p w14:paraId="2C6EF02D" w14:textId="77777777" w:rsidR="00DC039A" w:rsidRPr="0042677A" w:rsidRDefault="00DC039A" w:rsidP="00DC039A">
      <w:pPr>
        <w:spacing w:line="360" w:lineRule="auto"/>
        <w:ind w:left="567"/>
        <w:rPr>
          <w:rFonts w:ascii="Palatino Linotype" w:eastAsia="Palatino Linotype" w:hAnsi="Palatino Linotype" w:cs="Palatino Linotype"/>
          <w:b/>
          <w:sz w:val="22"/>
          <w:szCs w:val="22"/>
        </w:rPr>
      </w:pPr>
    </w:p>
    <w:p w14:paraId="3700AA97" w14:textId="1ABAFF1D" w:rsidR="00DC039A" w:rsidRPr="0042677A" w:rsidRDefault="003A2877" w:rsidP="003653BD">
      <w:pPr>
        <w:spacing w:line="360" w:lineRule="auto"/>
        <w:ind w:left="567"/>
        <w:rPr>
          <w:rFonts w:ascii="Palatino Linotype" w:hAnsi="Palatino Linotype"/>
          <w:sz w:val="22"/>
          <w:szCs w:val="22"/>
          <w:lang w:eastAsia="es-MX"/>
        </w:rPr>
      </w:pPr>
      <w:r w:rsidRPr="0042677A">
        <w:rPr>
          <w:rFonts w:ascii="Palatino Linotype" w:eastAsia="Palatino Linotype" w:hAnsi="Palatino Linotype" w:cs="Palatino Linotype"/>
          <w:b/>
          <w:sz w:val="22"/>
          <w:szCs w:val="22"/>
        </w:rPr>
        <w:lastRenderedPageBreak/>
        <w:t>b) Motivos de inconformidad</w:t>
      </w:r>
      <w:r w:rsidRPr="0042677A">
        <w:rPr>
          <w:rFonts w:ascii="Palatino Linotype" w:eastAsia="Palatino Linotype" w:hAnsi="Palatino Linotype" w:cs="Palatino Linotype"/>
          <w:i/>
          <w:sz w:val="22"/>
          <w:szCs w:val="22"/>
        </w:rPr>
        <w:t>.</w:t>
      </w:r>
      <w:r w:rsidR="00DC039A" w:rsidRPr="0042677A">
        <w:rPr>
          <w:rFonts w:ascii="Palatino Linotype" w:eastAsia="Palatino Linotype" w:hAnsi="Palatino Linotype" w:cs="Palatino Linotype"/>
          <w:i/>
          <w:sz w:val="22"/>
          <w:szCs w:val="22"/>
        </w:rPr>
        <w:t xml:space="preserve"> “</w:t>
      </w:r>
      <w:r w:rsidR="003653BD" w:rsidRPr="0042677A">
        <w:rPr>
          <w:rFonts w:ascii="Palatino Linotype" w:hAnsi="Palatino Linotype"/>
          <w:i/>
          <w:sz w:val="22"/>
          <w:szCs w:val="22"/>
        </w:rPr>
        <w:t xml:space="preserve">Falta de respuesta del sujeto obligado, no me notifica el acta de comité con la cual se autoriza la </w:t>
      </w:r>
      <w:proofErr w:type="spellStart"/>
      <w:r w:rsidR="003653BD" w:rsidRPr="0042677A">
        <w:rPr>
          <w:rFonts w:ascii="Palatino Linotype" w:hAnsi="Palatino Linotype"/>
          <w:i/>
          <w:sz w:val="22"/>
          <w:szCs w:val="22"/>
        </w:rPr>
        <w:t>prorroga</w:t>
      </w:r>
      <w:proofErr w:type="spellEnd"/>
      <w:r w:rsidR="003653BD" w:rsidRPr="0042677A">
        <w:rPr>
          <w:rFonts w:ascii="Palatino Linotype" w:hAnsi="Palatino Linotype"/>
          <w:i/>
          <w:sz w:val="22"/>
          <w:szCs w:val="22"/>
        </w:rPr>
        <w:t xml:space="preserve"> para dar </w:t>
      </w:r>
      <w:proofErr w:type="spellStart"/>
      <w:r w:rsidR="003653BD" w:rsidRPr="0042677A">
        <w:rPr>
          <w:rFonts w:ascii="Palatino Linotype" w:hAnsi="Palatino Linotype"/>
          <w:i/>
          <w:sz w:val="22"/>
          <w:szCs w:val="22"/>
        </w:rPr>
        <w:t>contestacion</w:t>
      </w:r>
      <w:proofErr w:type="spellEnd"/>
      <w:r w:rsidR="003653BD" w:rsidRPr="0042677A">
        <w:rPr>
          <w:rFonts w:ascii="Palatino Linotype" w:hAnsi="Palatino Linotype"/>
          <w:i/>
          <w:sz w:val="22"/>
          <w:szCs w:val="22"/>
        </w:rPr>
        <w:t xml:space="preserve"> a la solicitud</w:t>
      </w:r>
      <w:r w:rsidR="00DC039A" w:rsidRPr="0042677A">
        <w:rPr>
          <w:rFonts w:ascii="Palatino Linotype" w:hAnsi="Palatino Linotype"/>
          <w:i/>
          <w:sz w:val="22"/>
          <w:szCs w:val="22"/>
        </w:rPr>
        <w:t>”.</w:t>
      </w:r>
    </w:p>
    <w:p w14:paraId="676C34EF" w14:textId="77777777" w:rsidR="003653BD" w:rsidRPr="0042677A" w:rsidRDefault="003653BD" w:rsidP="002C59EE">
      <w:pPr>
        <w:pBdr>
          <w:top w:val="nil"/>
          <w:left w:val="nil"/>
          <w:bottom w:val="nil"/>
          <w:right w:val="nil"/>
          <w:between w:val="nil"/>
        </w:pBdr>
        <w:ind w:left="851" w:right="900"/>
        <w:jc w:val="both"/>
        <w:rPr>
          <w:rFonts w:ascii="Palatino Linotype" w:eastAsia="Palatino Linotype" w:hAnsi="Palatino Linotype" w:cs="Palatino Linotype"/>
          <w:b/>
        </w:rPr>
      </w:pPr>
    </w:p>
    <w:p w14:paraId="3D37970E" w14:textId="77777777" w:rsidR="003653BD" w:rsidRPr="0042677A" w:rsidRDefault="003653BD" w:rsidP="002C59EE">
      <w:pPr>
        <w:pBdr>
          <w:top w:val="nil"/>
          <w:left w:val="nil"/>
          <w:bottom w:val="nil"/>
          <w:right w:val="nil"/>
          <w:between w:val="nil"/>
        </w:pBdr>
        <w:ind w:left="851" w:right="900"/>
        <w:jc w:val="both"/>
        <w:rPr>
          <w:rFonts w:ascii="Palatino Linotype" w:eastAsia="Palatino Linotype" w:hAnsi="Palatino Linotype" w:cs="Palatino Linotype"/>
          <w:i/>
          <w:sz w:val="22"/>
          <w:szCs w:val="22"/>
        </w:rPr>
      </w:pPr>
    </w:p>
    <w:p w14:paraId="2E66E472" w14:textId="77777777" w:rsidR="00954120" w:rsidRPr="0042677A"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b/>
          <w:sz w:val="24"/>
        </w:rPr>
      </w:pPr>
      <w:r w:rsidRPr="0042677A">
        <w:rPr>
          <w:rFonts w:ascii="Palatino Linotype" w:eastAsia="Palatino Linotype" w:hAnsi="Palatino Linotype" w:cs="Palatino Linotype"/>
          <w:b/>
          <w:sz w:val="24"/>
        </w:rPr>
        <w:t>Trámite del Recurs</w:t>
      </w:r>
      <w:r w:rsidR="00DC039A" w:rsidRPr="0042677A">
        <w:rPr>
          <w:rFonts w:ascii="Palatino Linotype" w:eastAsia="Palatino Linotype" w:hAnsi="Palatino Linotype" w:cs="Palatino Linotype"/>
          <w:b/>
          <w:sz w:val="24"/>
        </w:rPr>
        <w:t xml:space="preserve">o de Revisión ante el Instituto de Transparencia, Acceso a la Información Pública y Protección de Datos Personales del Estado de México y Municipios. </w:t>
      </w:r>
    </w:p>
    <w:p w14:paraId="3C56BF22" w14:textId="77777777" w:rsidR="00DC039A" w:rsidRPr="0042677A" w:rsidRDefault="00DC039A" w:rsidP="002C59EE">
      <w:pPr>
        <w:spacing w:line="360" w:lineRule="auto"/>
        <w:jc w:val="both"/>
        <w:rPr>
          <w:rFonts w:ascii="Palatino Linotype" w:eastAsia="Palatino Linotype" w:hAnsi="Palatino Linotype" w:cs="Palatino Linotype"/>
          <w:b/>
        </w:rPr>
      </w:pPr>
    </w:p>
    <w:p w14:paraId="66EF4D65" w14:textId="58AA4880" w:rsidR="003D7735" w:rsidRPr="0042677A"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Turno. </w:t>
      </w:r>
      <w:r w:rsidRPr="0042677A">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3653BD" w:rsidRPr="0042677A">
        <w:rPr>
          <w:rFonts w:ascii="Palatino Linotype" w:eastAsia="Palatino Linotype" w:hAnsi="Palatino Linotype" w:cs="Palatino Linotype"/>
          <w:b/>
        </w:rPr>
        <w:t>15034</w:t>
      </w:r>
      <w:r w:rsidR="00417E52" w:rsidRPr="0042677A">
        <w:rPr>
          <w:rFonts w:ascii="Palatino Linotype" w:eastAsia="Palatino Linotype" w:hAnsi="Palatino Linotype" w:cs="Palatino Linotype"/>
          <w:b/>
        </w:rPr>
        <w:t xml:space="preserve">/INFOEM/IP/RR/2022 </w:t>
      </w:r>
      <w:r w:rsidRPr="0042677A">
        <w:rPr>
          <w:rFonts w:ascii="Palatino Linotype" w:eastAsia="Palatino Linotype" w:hAnsi="Palatino Linotype" w:cs="Palatino Linotype"/>
        </w:rPr>
        <w:t xml:space="preserve">fue turnado a la Comisionada Ponente </w:t>
      </w:r>
      <w:r w:rsidRPr="0042677A">
        <w:rPr>
          <w:rFonts w:ascii="Palatino Linotype" w:eastAsia="Palatino Linotype" w:hAnsi="Palatino Linotype" w:cs="Palatino Linotype"/>
          <w:b/>
        </w:rPr>
        <w:t>Guadalupe Ramírez Peña</w:t>
      </w:r>
      <w:r w:rsidRPr="0042677A">
        <w:rPr>
          <w:rFonts w:ascii="Palatino Linotype" w:eastAsia="Palatino Linotype" w:hAnsi="Palatino Linotype" w:cs="Palatino Linotype"/>
        </w:rPr>
        <w:t>; a efecto de presentar al Pleno el proyecto de resolución correspondiente.</w:t>
      </w:r>
    </w:p>
    <w:p w14:paraId="057917ED" w14:textId="77777777" w:rsidR="003D7735" w:rsidRPr="0042677A"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119798B8" w14:textId="43D88A80" w:rsidR="003D7735" w:rsidRPr="0042677A"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Admisión. </w:t>
      </w:r>
      <w:r w:rsidRPr="0042677A">
        <w:rPr>
          <w:rFonts w:ascii="Palatino Linotype" w:eastAsia="Palatino Linotype" w:hAnsi="Palatino Linotype" w:cs="Palatino Linotype"/>
        </w:rPr>
        <w:t xml:space="preserve">El </w:t>
      </w:r>
      <w:r w:rsidR="003653BD" w:rsidRPr="0042677A">
        <w:rPr>
          <w:rFonts w:ascii="Palatino Linotype" w:eastAsia="Palatino Linotype" w:hAnsi="Palatino Linotype" w:cs="Palatino Linotype"/>
          <w:b/>
        </w:rPr>
        <w:t>veintiocho de septiembre</w:t>
      </w:r>
      <w:r w:rsidR="00DC039A" w:rsidRPr="0042677A">
        <w:rPr>
          <w:rFonts w:ascii="Palatino Linotype" w:eastAsia="Palatino Linotype" w:hAnsi="Palatino Linotype" w:cs="Palatino Linotype"/>
          <w:b/>
        </w:rPr>
        <w:t xml:space="preserve"> de dos mil veintidós</w:t>
      </w:r>
      <w:r w:rsidRPr="0042677A">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7FCA9877" w14:textId="77777777" w:rsidR="003D7735" w:rsidRPr="0042677A"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1A481454" w14:textId="77777777" w:rsidR="00954120" w:rsidRPr="0042677A" w:rsidRDefault="00DC039A"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 </w:t>
      </w:r>
      <w:r w:rsidR="003A2877" w:rsidRPr="0042677A">
        <w:rPr>
          <w:rFonts w:ascii="Palatino Linotype" w:eastAsia="Palatino Linotype" w:hAnsi="Palatino Linotype" w:cs="Palatino Linotype"/>
          <w:b/>
        </w:rPr>
        <w:t xml:space="preserve">Manifestaciones. </w:t>
      </w:r>
      <w:r w:rsidRPr="0042677A">
        <w:rPr>
          <w:rFonts w:ascii="Palatino Linotype" w:eastAsia="Palatino Linotype" w:hAnsi="Palatino Linotype" w:cs="Palatino Linotype"/>
        </w:rPr>
        <w:t xml:space="preserve">Las partes fueron omisas en rendir manifestaciones o alegatos. </w:t>
      </w:r>
    </w:p>
    <w:p w14:paraId="5A40A12C" w14:textId="5401C98E" w:rsidR="00DC039A" w:rsidRPr="0042677A" w:rsidRDefault="003653BD" w:rsidP="003D7735">
      <w:pPr>
        <w:tabs>
          <w:tab w:val="left" w:pos="567"/>
        </w:tabs>
        <w:spacing w:line="360" w:lineRule="auto"/>
        <w:ind w:left="284"/>
        <w:jc w:val="both"/>
        <w:rPr>
          <w:rFonts w:ascii="Palatino Linotype" w:eastAsia="Palatino Linotype" w:hAnsi="Palatino Linotype" w:cs="Palatino Linotype"/>
        </w:rPr>
      </w:pPr>
      <w:r w:rsidRPr="0042677A">
        <w:rPr>
          <w:rFonts w:ascii="Palatino Linotype" w:eastAsia="Palatino Linotype" w:hAnsi="Palatino Linotype" w:cs="Palatino Linotype"/>
          <w:noProof/>
          <w:lang w:eastAsia="es-MX"/>
        </w:rPr>
        <w:drawing>
          <wp:inline distT="0" distB="0" distL="0" distR="0" wp14:anchorId="639E3CD4" wp14:editId="0FE31405">
            <wp:extent cx="5581015" cy="151066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510665"/>
                    </a:xfrm>
                    <a:prstGeom prst="rect">
                      <a:avLst/>
                    </a:prstGeom>
                  </pic:spPr>
                </pic:pic>
              </a:graphicData>
            </a:graphic>
          </wp:inline>
        </w:drawing>
      </w:r>
    </w:p>
    <w:p w14:paraId="7C73F9D6" w14:textId="77777777" w:rsidR="00DC039A" w:rsidRPr="0042677A" w:rsidRDefault="00DC039A" w:rsidP="003D7735">
      <w:pPr>
        <w:tabs>
          <w:tab w:val="left" w:pos="567"/>
        </w:tabs>
        <w:spacing w:line="360" w:lineRule="auto"/>
        <w:ind w:left="284"/>
        <w:jc w:val="both"/>
        <w:rPr>
          <w:rFonts w:ascii="Palatino Linotype" w:eastAsia="Palatino Linotype" w:hAnsi="Palatino Linotype" w:cs="Palatino Linotype"/>
          <w:b/>
          <w:i/>
          <w:sz w:val="22"/>
          <w:szCs w:val="22"/>
          <w:lang w:val="es-ES" w:eastAsia="es-MX"/>
        </w:rPr>
      </w:pPr>
    </w:p>
    <w:p w14:paraId="08447351" w14:textId="55D2327A" w:rsidR="003D7735" w:rsidRPr="0042677A"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Cierre de Instrucción. </w:t>
      </w:r>
      <w:r w:rsidRPr="0042677A">
        <w:rPr>
          <w:rFonts w:ascii="Palatino Linotype" w:eastAsia="Palatino Linotype" w:hAnsi="Palatino Linotype" w:cs="Palatino Linotype"/>
        </w:rPr>
        <w:t xml:space="preserve">El </w:t>
      </w:r>
      <w:r w:rsidR="003653BD" w:rsidRPr="0042677A">
        <w:rPr>
          <w:rFonts w:ascii="Palatino Linotype" w:eastAsia="Palatino Linotype" w:hAnsi="Palatino Linotype" w:cs="Palatino Linotype"/>
          <w:b/>
        </w:rPr>
        <w:t>diez de octubre de dos mil veintidós</w:t>
      </w:r>
      <w:r w:rsidRPr="0042677A">
        <w:rPr>
          <w:rFonts w:ascii="Palatino Linotype" w:eastAsia="Palatino Linotype" w:hAnsi="Palatino Linotype" w:cs="Palatino Linotype"/>
        </w:rPr>
        <w:t xml:space="preserve">, con fundamento en lo establecido en los artículos 185, fracción VI de la Ley de Transparencia y Acceso a la </w:t>
      </w:r>
      <w:r w:rsidRPr="0042677A">
        <w:rPr>
          <w:rFonts w:ascii="Palatino Linotype" w:eastAsia="Palatino Linotype" w:hAnsi="Palatino Linotype" w:cs="Palatino Linotype"/>
        </w:rPr>
        <w:lastRenderedPageBreak/>
        <w:t>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508A58B" w14:textId="77777777" w:rsidR="003D7735" w:rsidRPr="0042677A"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77C3AB65" w14:textId="2C53D115" w:rsidR="00954120" w:rsidRPr="0042677A" w:rsidRDefault="003A2877" w:rsidP="003653BD">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Resolución del Recurso de Revisión. </w:t>
      </w:r>
      <w:r w:rsidRPr="0042677A">
        <w:rPr>
          <w:rFonts w:ascii="Palatino Linotype" w:eastAsia="Palatino Linotype" w:hAnsi="Palatino Linotype" w:cs="Palatino Linotype"/>
        </w:rPr>
        <w:t xml:space="preserve">El </w:t>
      </w:r>
      <w:r w:rsidR="003653BD" w:rsidRPr="0042677A">
        <w:rPr>
          <w:rFonts w:ascii="Palatino Linotype" w:eastAsia="Palatino Linotype" w:hAnsi="Palatino Linotype" w:cs="Palatino Linotype"/>
          <w:b/>
        </w:rPr>
        <w:t>diecinueve de octubre de dos mil veintidós</w:t>
      </w:r>
      <w:r w:rsidRPr="0042677A">
        <w:rPr>
          <w:rFonts w:ascii="Palatino Linotype" w:eastAsia="Palatino Linotype" w:hAnsi="Palatino Linotype" w:cs="Palatino Linotype"/>
        </w:rPr>
        <w:t xml:space="preserve">, el Pleno del Instituto de Transparencia, Accesos la Información Pública y Protección de Datos Personales del Estado de México y Municipios, durante la </w:t>
      </w:r>
      <w:r w:rsidR="003653BD" w:rsidRPr="0042677A">
        <w:rPr>
          <w:rFonts w:ascii="Palatino Linotype" w:eastAsia="Palatino Linotype" w:hAnsi="Palatino Linotype" w:cs="Palatino Linotype"/>
          <w:b/>
        </w:rPr>
        <w:t>Trigésima Octava</w:t>
      </w:r>
      <w:r w:rsidR="003D7735" w:rsidRPr="0042677A">
        <w:rPr>
          <w:rFonts w:ascii="Palatino Linotype" w:eastAsia="Palatino Linotype" w:hAnsi="Palatino Linotype" w:cs="Palatino Linotype"/>
          <w:b/>
        </w:rPr>
        <w:t xml:space="preserve"> </w:t>
      </w:r>
      <w:r w:rsidRPr="0042677A">
        <w:rPr>
          <w:rFonts w:ascii="Palatino Linotype" w:eastAsia="Palatino Linotype" w:hAnsi="Palatino Linotype" w:cs="Palatino Linotype"/>
          <w:b/>
        </w:rPr>
        <w:t>Sesión Ordinaria</w:t>
      </w:r>
      <w:r w:rsidRPr="0042677A">
        <w:rPr>
          <w:rFonts w:ascii="Palatino Linotype" w:eastAsia="Palatino Linotype" w:hAnsi="Palatino Linotype" w:cs="Palatino Linotype"/>
        </w:rPr>
        <w:t>, apro</w:t>
      </w:r>
      <w:r w:rsidR="00616EF4" w:rsidRPr="0042677A">
        <w:rPr>
          <w:rFonts w:ascii="Palatino Linotype" w:eastAsia="Palatino Linotype" w:hAnsi="Palatino Linotype" w:cs="Palatino Linotype"/>
        </w:rPr>
        <w:t>bó por unanimidad de votos, la resolución del recurso de r</w:t>
      </w:r>
      <w:r w:rsidRPr="0042677A">
        <w:rPr>
          <w:rFonts w:ascii="Palatino Linotype" w:eastAsia="Palatino Linotype" w:hAnsi="Palatino Linotype" w:cs="Palatino Linotype"/>
        </w:rPr>
        <w:t>evisión, en la cual se determinó lo siguiente:</w:t>
      </w:r>
    </w:p>
    <w:p w14:paraId="28934318" w14:textId="77777777" w:rsidR="003D7735" w:rsidRPr="0042677A" w:rsidRDefault="003D7735" w:rsidP="003D7735">
      <w:pPr>
        <w:tabs>
          <w:tab w:val="left" w:pos="567"/>
        </w:tabs>
        <w:spacing w:line="360" w:lineRule="auto"/>
        <w:ind w:left="284"/>
        <w:jc w:val="both"/>
        <w:rPr>
          <w:rFonts w:ascii="Palatino Linotype" w:eastAsia="Palatino Linotype" w:hAnsi="Palatino Linotype" w:cs="Palatino Linotype"/>
          <w:i/>
          <w:sz w:val="22"/>
          <w:szCs w:val="22"/>
        </w:rPr>
      </w:pPr>
    </w:p>
    <w:p w14:paraId="3481BDDF" w14:textId="77777777" w:rsidR="003D7735" w:rsidRPr="0042677A" w:rsidRDefault="003D7735" w:rsidP="003D7735">
      <w:pPr>
        <w:tabs>
          <w:tab w:val="left" w:pos="567"/>
          <w:tab w:val="left" w:pos="7938"/>
        </w:tabs>
        <w:ind w:left="567" w:right="851"/>
        <w:jc w:val="both"/>
        <w:rPr>
          <w:rFonts w:ascii="Palatino Linotype" w:hAnsi="Palatino Linotype"/>
          <w:i/>
          <w:sz w:val="22"/>
        </w:rPr>
      </w:pPr>
      <w:r w:rsidRPr="0042677A">
        <w:rPr>
          <w:rFonts w:ascii="Palatino Linotype" w:hAnsi="Palatino Linotype"/>
          <w:i/>
          <w:sz w:val="22"/>
        </w:rPr>
        <w:t>“</w:t>
      </w:r>
      <w:r w:rsidRPr="0042677A">
        <w:rPr>
          <w:rFonts w:ascii="Palatino Linotype" w:hAnsi="Palatino Linotype"/>
          <w:b/>
          <w:i/>
          <w:sz w:val="22"/>
        </w:rPr>
        <w:t>Primero.</w:t>
      </w:r>
      <w:r w:rsidRPr="0042677A">
        <w:rPr>
          <w:rFonts w:ascii="Palatino Linotype" w:hAnsi="Palatino Linotype"/>
          <w:i/>
          <w:sz w:val="22"/>
        </w:rPr>
        <w:t xml:space="preserve"> Resultan </w:t>
      </w:r>
      <w:r w:rsidRPr="0042677A">
        <w:rPr>
          <w:rFonts w:ascii="Palatino Linotype" w:hAnsi="Palatino Linotype"/>
          <w:b/>
          <w:i/>
          <w:sz w:val="22"/>
        </w:rPr>
        <w:t>FUNDADOS</w:t>
      </w:r>
      <w:r w:rsidRPr="0042677A">
        <w:rPr>
          <w:rFonts w:ascii="Palatino Linotype" w:hAnsi="Palatino Linotype"/>
          <w:i/>
          <w:sz w:val="22"/>
        </w:rPr>
        <w:t xml:space="preserve"> los motivos de inconformidad de la parte Recurrente, en términos del Considerando Cuarto de la presente resolución. </w:t>
      </w:r>
    </w:p>
    <w:p w14:paraId="705DD8CB" w14:textId="77777777" w:rsidR="003D7735" w:rsidRPr="0042677A" w:rsidRDefault="003D7735" w:rsidP="003D7735">
      <w:pPr>
        <w:tabs>
          <w:tab w:val="left" w:pos="567"/>
          <w:tab w:val="left" w:pos="7938"/>
        </w:tabs>
        <w:ind w:left="567" w:right="851"/>
        <w:jc w:val="both"/>
        <w:rPr>
          <w:rFonts w:ascii="Palatino Linotype" w:hAnsi="Palatino Linotype"/>
          <w:i/>
          <w:sz w:val="22"/>
        </w:rPr>
      </w:pPr>
    </w:p>
    <w:p w14:paraId="148A03D7" w14:textId="381694D5" w:rsidR="003D7735" w:rsidRPr="0042677A" w:rsidRDefault="003653BD" w:rsidP="003653BD">
      <w:pPr>
        <w:tabs>
          <w:tab w:val="left" w:pos="567"/>
          <w:tab w:val="left" w:pos="7938"/>
        </w:tabs>
        <w:ind w:left="567" w:right="851"/>
        <w:jc w:val="both"/>
        <w:rPr>
          <w:rFonts w:ascii="Palatino Linotype" w:hAnsi="Palatino Linotype"/>
          <w:i/>
          <w:sz w:val="22"/>
        </w:rPr>
      </w:pPr>
      <w:r w:rsidRPr="0042677A">
        <w:rPr>
          <w:rFonts w:ascii="Palatino Linotype" w:hAnsi="Palatino Linotype"/>
          <w:b/>
          <w:i/>
          <w:sz w:val="22"/>
        </w:rPr>
        <w:t xml:space="preserve">Segundo. </w:t>
      </w:r>
      <w:r w:rsidRPr="0042677A">
        <w:rPr>
          <w:rFonts w:ascii="Palatino Linotype" w:hAnsi="Palatino Linotype"/>
          <w:i/>
          <w:sz w:val="22"/>
        </w:rPr>
        <w:t xml:space="preserve">Se </w:t>
      </w:r>
      <w:r w:rsidRPr="0042677A">
        <w:rPr>
          <w:rFonts w:ascii="Palatino Linotype" w:hAnsi="Palatino Linotype"/>
          <w:b/>
          <w:i/>
          <w:sz w:val="22"/>
        </w:rPr>
        <w:t xml:space="preserve">Ordena </w:t>
      </w:r>
      <w:r w:rsidRPr="0042677A">
        <w:rPr>
          <w:rFonts w:ascii="Palatino Linotype" w:hAnsi="Palatino Linotype"/>
          <w:i/>
          <w:sz w:val="22"/>
        </w:rPr>
        <w:t>al</w:t>
      </w:r>
      <w:r w:rsidRPr="0042677A">
        <w:rPr>
          <w:rFonts w:ascii="Palatino Linotype" w:hAnsi="Palatino Linotype"/>
          <w:b/>
          <w:i/>
          <w:sz w:val="22"/>
        </w:rPr>
        <w:t xml:space="preserve"> Sujeto Obligado </w:t>
      </w:r>
      <w:r w:rsidRPr="0042677A">
        <w:rPr>
          <w:rFonts w:ascii="Palatino Linotype" w:hAnsi="Palatino Linotype"/>
          <w:i/>
          <w:sz w:val="22"/>
        </w:rPr>
        <w:t>dé trámite,</w:t>
      </w:r>
      <w:r w:rsidRPr="0042677A">
        <w:rPr>
          <w:rFonts w:ascii="Palatino Linotype" w:hAnsi="Palatino Linotype"/>
          <w:b/>
          <w:i/>
          <w:sz w:val="22"/>
        </w:rPr>
        <w:t xml:space="preserve"> vía Sistema de Acceso a la Información Mexiquense, SAIMEX, </w:t>
      </w:r>
      <w:r w:rsidRPr="0042677A">
        <w:rPr>
          <w:rFonts w:ascii="Palatino Linotype" w:hAnsi="Palatino Linotype"/>
          <w:i/>
          <w:sz w:val="22"/>
        </w:rPr>
        <w:t xml:space="preserve">a la solicitud de acceso a la información pública </w:t>
      </w:r>
      <w:r w:rsidRPr="0042677A">
        <w:rPr>
          <w:rFonts w:ascii="Palatino Linotype" w:hAnsi="Palatino Linotype"/>
          <w:b/>
          <w:i/>
          <w:sz w:val="22"/>
        </w:rPr>
        <w:t>04224/METEPEC/IP/2022 que</w:t>
      </w:r>
      <w:r w:rsidRPr="0042677A">
        <w:rPr>
          <w:rFonts w:ascii="Palatino Linotype" w:hAnsi="Palatino Linotype"/>
          <w:i/>
          <w:sz w:val="22"/>
        </w:rPr>
        <w:t xml:space="preserve"> dio origen al recurso de revisión </w:t>
      </w:r>
      <w:r w:rsidRPr="0042677A">
        <w:rPr>
          <w:rFonts w:ascii="Palatino Linotype" w:hAnsi="Palatino Linotype"/>
          <w:b/>
          <w:i/>
          <w:sz w:val="22"/>
        </w:rPr>
        <w:t>15034/INFOEM/IP/RR/2022</w:t>
      </w:r>
      <w:r w:rsidRPr="0042677A">
        <w:rPr>
          <w:rFonts w:ascii="Palatino Linotype" w:hAnsi="Palatino Linotype"/>
          <w:i/>
          <w:sz w:val="22"/>
        </w:rPr>
        <w:t>, en términos del Considerando Cuarto de esta resolución y emita respuesta, debiendo observar las excepciones contenidas en la Ley de Transparencia y Acceso a la Información Pública del Estado de México y Municipios.</w:t>
      </w:r>
    </w:p>
    <w:p w14:paraId="43B489D2" w14:textId="77777777" w:rsidR="003653BD" w:rsidRPr="0042677A" w:rsidRDefault="003653BD" w:rsidP="003653BD">
      <w:pPr>
        <w:tabs>
          <w:tab w:val="left" w:pos="567"/>
          <w:tab w:val="left" w:pos="7938"/>
        </w:tabs>
        <w:ind w:left="567" w:right="851"/>
        <w:jc w:val="both"/>
        <w:rPr>
          <w:rFonts w:ascii="Palatino Linotype" w:hAnsi="Palatino Linotype"/>
          <w:i/>
          <w:sz w:val="22"/>
        </w:rPr>
      </w:pPr>
    </w:p>
    <w:p w14:paraId="0DC207C1" w14:textId="77777777" w:rsidR="003D7735" w:rsidRPr="0042677A" w:rsidRDefault="003D7735" w:rsidP="003D7735">
      <w:pPr>
        <w:tabs>
          <w:tab w:val="left" w:pos="567"/>
          <w:tab w:val="left" w:pos="7938"/>
        </w:tabs>
        <w:ind w:left="567" w:right="851"/>
        <w:jc w:val="both"/>
        <w:rPr>
          <w:rFonts w:ascii="Palatino Linotype" w:hAnsi="Palatino Linotype"/>
          <w:i/>
          <w:sz w:val="22"/>
        </w:rPr>
      </w:pPr>
      <w:r w:rsidRPr="0042677A">
        <w:rPr>
          <w:rFonts w:ascii="Palatino Linotype" w:hAnsi="Palatino Linotype"/>
          <w:b/>
          <w:i/>
          <w:sz w:val="22"/>
        </w:rPr>
        <w:t>Tercero. Notifíquese</w:t>
      </w:r>
      <w:r w:rsidRPr="0042677A">
        <w:rPr>
          <w:rFonts w:ascii="Palatino Linotype" w:hAnsi="Palatino Linotype"/>
          <w:i/>
          <w:sz w:val="22"/>
        </w:rPr>
        <w:t xml:space="preserve">, vía </w:t>
      </w:r>
      <w:r w:rsidRPr="0042677A">
        <w:rPr>
          <w:rFonts w:ascii="Palatino Linotype" w:hAnsi="Palatino Linotype"/>
          <w:b/>
          <w:i/>
          <w:sz w:val="22"/>
        </w:rPr>
        <w:t>SAIMEX</w:t>
      </w:r>
      <w:r w:rsidRPr="0042677A">
        <w:rPr>
          <w:rFonts w:ascii="Palatino Linotype" w:hAnsi="Palatino Linotype"/>
          <w:i/>
          <w:sz w:val="22"/>
        </w:rPr>
        <w:t xml:space="preserve">,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67B036E0" w14:textId="77777777" w:rsidR="003D7735" w:rsidRPr="0042677A" w:rsidRDefault="003D7735" w:rsidP="003D7735">
      <w:pPr>
        <w:tabs>
          <w:tab w:val="left" w:pos="567"/>
          <w:tab w:val="left" w:pos="7938"/>
        </w:tabs>
        <w:ind w:left="567" w:right="851"/>
        <w:jc w:val="both"/>
        <w:rPr>
          <w:rFonts w:ascii="Palatino Linotype" w:hAnsi="Palatino Linotype"/>
          <w:i/>
          <w:sz w:val="22"/>
        </w:rPr>
      </w:pPr>
    </w:p>
    <w:p w14:paraId="6E361F51" w14:textId="77777777" w:rsidR="003D7735" w:rsidRPr="0042677A" w:rsidRDefault="003D7735" w:rsidP="003D7735">
      <w:pPr>
        <w:tabs>
          <w:tab w:val="left" w:pos="567"/>
          <w:tab w:val="left" w:pos="7938"/>
        </w:tabs>
        <w:ind w:left="567" w:right="851"/>
        <w:jc w:val="both"/>
        <w:rPr>
          <w:rFonts w:ascii="Palatino Linotype" w:hAnsi="Palatino Linotype"/>
          <w:i/>
          <w:sz w:val="22"/>
        </w:rPr>
      </w:pPr>
      <w:r w:rsidRPr="0042677A">
        <w:rPr>
          <w:rFonts w:ascii="Palatino Linotype" w:hAnsi="Palatino Linotype"/>
          <w:b/>
          <w:i/>
          <w:sz w:val="22"/>
        </w:rPr>
        <w:t>Cuarto. Notifíquese</w:t>
      </w:r>
      <w:r w:rsidRPr="0042677A">
        <w:rPr>
          <w:rFonts w:ascii="Palatino Linotype" w:hAnsi="Palatino Linotype"/>
          <w:i/>
          <w:sz w:val="22"/>
        </w:rPr>
        <w:t xml:space="preserve">, vía SAIMEX, a la parte </w:t>
      </w:r>
      <w:r w:rsidRPr="0042677A">
        <w:rPr>
          <w:rFonts w:ascii="Palatino Linotype" w:hAnsi="Palatino Linotype"/>
          <w:b/>
          <w:i/>
          <w:sz w:val="22"/>
        </w:rPr>
        <w:t>Recurrente</w:t>
      </w:r>
      <w:r w:rsidRPr="0042677A">
        <w:rPr>
          <w:rFonts w:ascii="Palatino Linotype" w:hAnsi="Palatino Linotype"/>
          <w:i/>
          <w:sz w:val="22"/>
        </w:rPr>
        <w:t xml:space="preserve"> la presente resolución, así como, que de conformidad con lo establecido en el artículo 196 de la Ley de Transparencia y Acceso a la Información Pública del Estado de México y Municipios, </w:t>
      </w:r>
      <w:r w:rsidRPr="0042677A">
        <w:rPr>
          <w:rFonts w:ascii="Palatino Linotype" w:hAnsi="Palatino Linotype"/>
          <w:i/>
          <w:sz w:val="22"/>
        </w:rPr>
        <w:lastRenderedPageBreak/>
        <w:t xml:space="preserve">en caso de que considere que le causa algún perjuicio podrá impugnarla vía Juicio de Amparo en los términos de las leyes aplicables. </w:t>
      </w:r>
    </w:p>
    <w:p w14:paraId="2D5C4E81" w14:textId="77777777" w:rsidR="003D7735" w:rsidRPr="0042677A" w:rsidRDefault="003D7735" w:rsidP="003D7735">
      <w:pPr>
        <w:tabs>
          <w:tab w:val="left" w:pos="567"/>
          <w:tab w:val="left" w:pos="7938"/>
        </w:tabs>
        <w:ind w:left="567" w:right="851"/>
        <w:jc w:val="both"/>
        <w:rPr>
          <w:rFonts w:ascii="Palatino Linotype" w:hAnsi="Palatino Linotype"/>
          <w:i/>
          <w:sz w:val="22"/>
        </w:rPr>
      </w:pPr>
    </w:p>
    <w:p w14:paraId="493C69E1" w14:textId="77777777" w:rsidR="003D7735" w:rsidRPr="0042677A" w:rsidRDefault="003D7735" w:rsidP="003D7735">
      <w:pPr>
        <w:tabs>
          <w:tab w:val="left" w:pos="567"/>
          <w:tab w:val="left" w:pos="7938"/>
        </w:tabs>
        <w:ind w:left="567" w:right="851"/>
        <w:jc w:val="both"/>
        <w:rPr>
          <w:rFonts w:ascii="Palatino Linotype" w:hAnsi="Palatino Linotype"/>
          <w:i/>
          <w:sz w:val="22"/>
        </w:rPr>
      </w:pPr>
      <w:r w:rsidRPr="0042677A">
        <w:rPr>
          <w:rFonts w:ascii="Palatino Linotype" w:hAnsi="Palatino Linotype"/>
          <w:b/>
          <w:i/>
          <w:sz w:val="22"/>
        </w:rPr>
        <w:t>Quinto.</w:t>
      </w:r>
      <w:r w:rsidRPr="0042677A">
        <w:rPr>
          <w:rFonts w:ascii="Palatino Linotype" w:hAnsi="Palatino Linotype"/>
          <w:i/>
          <w:sz w:val="22"/>
        </w:rPr>
        <w:t xml:space="preserve"> </w:t>
      </w:r>
      <w:r w:rsidRPr="0042677A">
        <w:rPr>
          <w:rFonts w:ascii="Palatino Linotype" w:hAnsi="Palatino Linotype"/>
          <w:b/>
          <w:i/>
          <w:sz w:val="22"/>
        </w:rPr>
        <w:t>Notifíquese</w:t>
      </w:r>
      <w:r w:rsidRPr="0042677A">
        <w:rPr>
          <w:rFonts w:ascii="Palatino Linotype" w:hAnsi="Palatino Linotype"/>
          <w:i/>
          <w:sz w:val="22"/>
        </w:rPr>
        <w:t xml:space="preserve">, a la parte </w:t>
      </w:r>
      <w:r w:rsidRPr="0042677A">
        <w:rPr>
          <w:rFonts w:ascii="Palatino Linotype" w:hAnsi="Palatino Linotype"/>
          <w:b/>
          <w:i/>
          <w:sz w:val="22"/>
        </w:rPr>
        <w:t>Recurrente</w:t>
      </w:r>
      <w:r w:rsidRPr="0042677A">
        <w:rPr>
          <w:rFonts w:ascii="Palatino Linotype" w:hAnsi="Palatino Linotype"/>
          <w:i/>
          <w:sz w:val="22"/>
        </w:rPr>
        <w:t xml:space="preserv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2DB6AD5D" w14:textId="77777777" w:rsidR="003D7735" w:rsidRPr="0042677A" w:rsidRDefault="003D7735" w:rsidP="003D7735">
      <w:pPr>
        <w:tabs>
          <w:tab w:val="left" w:pos="567"/>
          <w:tab w:val="left" w:pos="7938"/>
        </w:tabs>
        <w:ind w:left="567" w:right="851"/>
        <w:jc w:val="both"/>
        <w:rPr>
          <w:rFonts w:ascii="Palatino Linotype" w:hAnsi="Palatino Linotype"/>
          <w:i/>
          <w:sz w:val="22"/>
        </w:rPr>
      </w:pPr>
    </w:p>
    <w:p w14:paraId="54258D58" w14:textId="77777777" w:rsidR="003D7735" w:rsidRPr="0042677A" w:rsidRDefault="003D7735" w:rsidP="003D7735">
      <w:pPr>
        <w:tabs>
          <w:tab w:val="left" w:pos="567"/>
          <w:tab w:val="left" w:pos="7938"/>
        </w:tabs>
        <w:ind w:left="567" w:right="851"/>
        <w:jc w:val="both"/>
        <w:rPr>
          <w:rFonts w:ascii="Palatino Linotype" w:hAnsi="Palatino Linotype"/>
          <w:i/>
          <w:sz w:val="22"/>
        </w:rPr>
      </w:pPr>
      <w:r w:rsidRPr="0042677A">
        <w:rPr>
          <w:rFonts w:ascii="Palatino Linotype" w:hAnsi="Palatino Linotype"/>
          <w:b/>
          <w:i/>
          <w:sz w:val="22"/>
        </w:rPr>
        <w:t>Sexto. Gírese oficio al Contralor Interno y Órgano de Control y Vigilancia</w:t>
      </w:r>
      <w:r w:rsidRPr="0042677A">
        <w:rPr>
          <w:rFonts w:ascii="Palatino Linotype" w:hAnsi="Palatino Linotype"/>
          <w:i/>
          <w:sz w:val="22"/>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3FAC4A87" w14:textId="77777777" w:rsidR="003D7735" w:rsidRPr="0042677A" w:rsidRDefault="003D7735" w:rsidP="003D7735">
      <w:pPr>
        <w:tabs>
          <w:tab w:val="left" w:pos="567"/>
          <w:tab w:val="left" w:pos="7938"/>
        </w:tabs>
        <w:ind w:left="567" w:right="851"/>
        <w:jc w:val="both"/>
        <w:rPr>
          <w:rFonts w:ascii="Palatino Linotype" w:hAnsi="Palatino Linotype"/>
          <w:i/>
          <w:sz w:val="22"/>
        </w:rPr>
      </w:pPr>
    </w:p>
    <w:p w14:paraId="4FB3E38D" w14:textId="77777777" w:rsidR="003D7735" w:rsidRPr="0042677A" w:rsidRDefault="003D7735" w:rsidP="003D7735">
      <w:pPr>
        <w:tabs>
          <w:tab w:val="left" w:pos="567"/>
          <w:tab w:val="left" w:pos="7938"/>
        </w:tabs>
        <w:ind w:left="567" w:right="851"/>
        <w:jc w:val="both"/>
        <w:rPr>
          <w:rFonts w:ascii="Palatino Linotype" w:eastAsia="Palatino Linotype" w:hAnsi="Palatino Linotype" w:cs="Palatino Linotype"/>
          <w:i/>
          <w:sz w:val="20"/>
          <w:szCs w:val="22"/>
        </w:rPr>
      </w:pPr>
      <w:r w:rsidRPr="0042677A">
        <w:rPr>
          <w:rFonts w:ascii="Palatino Linotype" w:hAnsi="Palatino Linotype"/>
          <w:b/>
          <w:i/>
          <w:sz w:val="22"/>
        </w:rPr>
        <w:t>Séptimo.</w:t>
      </w:r>
      <w:r w:rsidRPr="0042677A">
        <w:rPr>
          <w:rFonts w:ascii="Palatino Linotype" w:hAnsi="Palatino Linotype"/>
          <w:i/>
          <w:sz w:val="22"/>
        </w:rPr>
        <w:t xml:space="preserve">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w:t>
      </w:r>
    </w:p>
    <w:p w14:paraId="432D6F24" w14:textId="77777777" w:rsidR="003D7735" w:rsidRPr="0042677A" w:rsidRDefault="003D7735" w:rsidP="003D7735">
      <w:pPr>
        <w:tabs>
          <w:tab w:val="left" w:pos="567"/>
        </w:tabs>
        <w:spacing w:line="360" w:lineRule="auto"/>
        <w:ind w:left="284"/>
        <w:jc w:val="both"/>
        <w:rPr>
          <w:rFonts w:ascii="Palatino Linotype" w:eastAsia="Palatino Linotype" w:hAnsi="Palatino Linotype" w:cs="Palatino Linotype"/>
          <w:i/>
          <w:sz w:val="22"/>
          <w:szCs w:val="22"/>
        </w:rPr>
      </w:pPr>
    </w:p>
    <w:p w14:paraId="410D8687" w14:textId="74014A9F" w:rsidR="003D7735" w:rsidRPr="0042677A" w:rsidRDefault="003A2877" w:rsidP="003D7735">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Notificación de la Resolución del Recurso de Revisión </w:t>
      </w:r>
      <w:r w:rsidR="003653BD" w:rsidRPr="0042677A">
        <w:rPr>
          <w:rFonts w:ascii="Palatino Linotype" w:eastAsia="Palatino Linotype" w:hAnsi="Palatino Linotype" w:cs="Palatino Linotype"/>
          <w:b/>
        </w:rPr>
        <w:t>15034</w:t>
      </w:r>
      <w:r w:rsidR="00616EF4" w:rsidRPr="0042677A">
        <w:rPr>
          <w:rFonts w:ascii="Palatino Linotype" w:eastAsia="Palatino Linotype" w:hAnsi="Palatino Linotype" w:cs="Palatino Linotype"/>
          <w:b/>
        </w:rPr>
        <w:t>/INFOEM/IP/RR/2022</w:t>
      </w:r>
      <w:r w:rsidRPr="0042677A">
        <w:rPr>
          <w:rFonts w:ascii="Palatino Linotype" w:eastAsia="Palatino Linotype" w:hAnsi="Palatino Linotype" w:cs="Palatino Linotype"/>
          <w:b/>
        </w:rPr>
        <w:t xml:space="preserve">. </w:t>
      </w:r>
      <w:r w:rsidRPr="0042677A">
        <w:rPr>
          <w:rFonts w:ascii="Palatino Linotype" w:eastAsia="Palatino Linotype" w:hAnsi="Palatino Linotype" w:cs="Palatino Linotype"/>
        </w:rPr>
        <w:t xml:space="preserve">El </w:t>
      </w:r>
      <w:r w:rsidR="003D7735" w:rsidRPr="0042677A">
        <w:rPr>
          <w:rFonts w:ascii="Palatino Linotype" w:eastAsia="Palatino Linotype" w:hAnsi="Palatino Linotype" w:cs="Palatino Linotype"/>
          <w:b/>
        </w:rPr>
        <w:t>ve</w:t>
      </w:r>
      <w:r w:rsidR="003653BD" w:rsidRPr="0042677A">
        <w:rPr>
          <w:rFonts w:ascii="Palatino Linotype" w:eastAsia="Palatino Linotype" w:hAnsi="Palatino Linotype" w:cs="Palatino Linotype"/>
          <w:b/>
        </w:rPr>
        <w:t>inticuatro de octubre de dos mil veintidós</w:t>
      </w:r>
      <w:r w:rsidRPr="0042677A">
        <w:rPr>
          <w:rFonts w:ascii="Palatino Linotype" w:eastAsia="Palatino Linotype" w:hAnsi="Palatino Linotype" w:cs="Palatino Linotype"/>
        </w:rPr>
        <w:t xml:space="preserve">, se notificó </w:t>
      </w:r>
      <w:r w:rsidR="003D7735" w:rsidRPr="0042677A">
        <w:rPr>
          <w:rFonts w:ascii="Palatino Linotype" w:eastAsia="Palatino Linotype" w:hAnsi="Palatino Linotype" w:cs="Palatino Linotype"/>
        </w:rPr>
        <w:t>a las partes la R</w:t>
      </w:r>
      <w:r w:rsidRPr="0042677A">
        <w:rPr>
          <w:rFonts w:ascii="Palatino Linotype" w:eastAsia="Palatino Linotype" w:hAnsi="Palatino Linotype" w:cs="Palatino Linotype"/>
        </w:rPr>
        <w:t xml:space="preserve">esolución del Medio de Impugnación previamente referido, por medio del Sistema de Acceso a la Información Mexiquense (SAIMEX). </w:t>
      </w:r>
    </w:p>
    <w:p w14:paraId="3EEEC9B3" w14:textId="77777777" w:rsidR="003D7735" w:rsidRPr="0042677A" w:rsidRDefault="003D7735" w:rsidP="003D7735">
      <w:pPr>
        <w:pStyle w:val="Prrafodelista"/>
        <w:tabs>
          <w:tab w:val="left" w:pos="567"/>
          <w:tab w:val="left" w:pos="851"/>
          <w:tab w:val="left" w:pos="1134"/>
        </w:tabs>
        <w:spacing w:line="360" w:lineRule="auto"/>
        <w:ind w:left="284"/>
        <w:jc w:val="both"/>
        <w:rPr>
          <w:rFonts w:ascii="Palatino Linotype" w:eastAsia="Palatino Linotype" w:hAnsi="Palatino Linotype" w:cs="Palatino Linotype"/>
        </w:rPr>
      </w:pPr>
    </w:p>
    <w:p w14:paraId="7098B1D7" w14:textId="575C6D93" w:rsidR="003653BD" w:rsidRPr="0042677A" w:rsidRDefault="003653BD" w:rsidP="003D7735">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Ampliación de plazo para Responder el Recurso de Revisión.</w:t>
      </w:r>
      <w:r w:rsidRPr="0042677A">
        <w:rPr>
          <w:rFonts w:ascii="Palatino Linotype" w:eastAsia="Palatino Linotype" w:hAnsi="Palatino Linotype" w:cs="Palatino Linotype"/>
        </w:rPr>
        <w:t xml:space="preserve"> El </w:t>
      </w:r>
      <w:r w:rsidRPr="0042677A">
        <w:rPr>
          <w:rFonts w:ascii="Palatino Linotype" w:eastAsia="Palatino Linotype" w:hAnsi="Palatino Linotype" w:cs="Palatino Linotype"/>
          <w:b/>
        </w:rPr>
        <w:t>veinticinco de octubre de dos mil veintidós</w:t>
      </w:r>
      <w:r w:rsidRPr="0042677A">
        <w:rPr>
          <w:rFonts w:ascii="Palatino Linotype" w:eastAsia="Palatino Linotype" w:hAnsi="Palatino Linotype" w:cs="Palatino Linotype"/>
        </w:rPr>
        <w:t xml:space="preserve">, el Sujeto Obligado solicitó una ampliación de plazo de treinta días hábiles adicionales, con la finalidad de dar cumplimiento a la resolución. </w:t>
      </w:r>
    </w:p>
    <w:p w14:paraId="3EC4084D" w14:textId="77777777" w:rsidR="003653BD" w:rsidRPr="0042677A" w:rsidRDefault="003653BD" w:rsidP="003653BD">
      <w:pPr>
        <w:pStyle w:val="Prrafodelista"/>
        <w:tabs>
          <w:tab w:val="left" w:pos="567"/>
          <w:tab w:val="left" w:pos="851"/>
          <w:tab w:val="left" w:pos="1134"/>
        </w:tabs>
        <w:spacing w:line="360" w:lineRule="auto"/>
        <w:ind w:left="284"/>
        <w:jc w:val="both"/>
        <w:rPr>
          <w:rFonts w:ascii="Palatino Linotype" w:eastAsia="Palatino Linotype" w:hAnsi="Palatino Linotype" w:cs="Palatino Linotype"/>
        </w:rPr>
      </w:pPr>
    </w:p>
    <w:p w14:paraId="0FE47B72" w14:textId="7E041A80" w:rsidR="003653BD" w:rsidRPr="0042677A" w:rsidRDefault="003653BD" w:rsidP="003D7735">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bCs/>
        </w:rPr>
        <w:t>Acuerdo de Procedencia de la ampliación de plazo para Resolver</w:t>
      </w:r>
      <w:r w:rsidRPr="0042677A">
        <w:rPr>
          <w:rFonts w:ascii="Palatino Linotype" w:eastAsia="Palatino Linotype" w:hAnsi="Palatino Linotype" w:cs="Palatino Linotype"/>
        </w:rPr>
        <w:t xml:space="preserve">. El </w:t>
      </w:r>
      <w:r w:rsidRPr="0042677A">
        <w:rPr>
          <w:rFonts w:ascii="Palatino Linotype" w:eastAsia="Palatino Linotype" w:hAnsi="Palatino Linotype" w:cs="Palatino Linotype"/>
          <w:b/>
        </w:rPr>
        <w:t>treinta y uno de octubre de dos mil veintidós</w:t>
      </w:r>
      <w:r w:rsidRPr="0042677A">
        <w:rPr>
          <w:rFonts w:ascii="Palatino Linotype" w:eastAsia="Palatino Linotype" w:hAnsi="Palatino Linotype" w:cs="Palatino Linotype"/>
        </w:rPr>
        <w:t xml:space="preserve">, se notificó el acuerdo mediante el cual resultó </w:t>
      </w:r>
      <w:r w:rsidRPr="0042677A">
        <w:rPr>
          <w:rFonts w:ascii="Palatino Linotype" w:eastAsia="Palatino Linotype" w:hAnsi="Palatino Linotype" w:cs="Palatino Linotype"/>
        </w:rPr>
        <w:lastRenderedPageBreak/>
        <w:t xml:space="preserve">procedente la solicitud de ampliación del plazo para dar cumplimiento a la resolución emitida en el recurso de revisión que ahora nos ocupa. </w:t>
      </w:r>
    </w:p>
    <w:p w14:paraId="67428563" w14:textId="77777777" w:rsidR="003653BD" w:rsidRPr="0042677A" w:rsidRDefault="003653BD" w:rsidP="003653BD">
      <w:pPr>
        <w:pStyle w:val="Prrafodelista"/>
        <w:tabs>
          <w:tab w:val="left" w:pos="567"/>
          <w:tab w:val="left" w:pos="851"/>
          <w:tab w:val="left" w:pos="1134"/>
        </w:tabs>
        <w:spacing w:line="360" w:lineRule="auto"/>
        <w:ind w:left="284"/>
        <w:jc w:val="both"/>
        <w:rPr>
          <w:rFonts w:ascii="Palatino Linotype" w:eastAsia="Palatino Linotype" w:hAnsi="Palatino Linotype" w:cs="Palatino Linotype"/>
        </w:rPr>
      </w:pPr>
    </w:p>
    <w:p w14:paraId="14A1623C" w14:textId="62BAB388" w:rsidR="00B23F13" w:rsidRPr="0042677A" w:rsidRDefault="003653BD" w:rsidP="00B23F13">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bCs/>
        </w:rPr>
        <w:t>Respuesta del Recurso de Revisión.</w:t>
      </w:r>
      <w:r w:rsidRPr="0042677A">
        <w:rPr>
          <w:rFonts w:ascii="Palatino Linotype" w:eastAsia="Palatino Linotype" w:hAnsi="Palatino Linotype" w:cs="Palatino Linotype"/>
        </w:rPr>
        <w:t xml:space="preserve"> El </w:t>
      </w:r>
      <w:r w:rsidRPr="0042677A">
        <w:rPr>
          <w:rFonts w:ascii="Palatino Linotype" w:eastAsia="Palatino Linotype" w:hAnsi="Palatino Linotype" w:cs="Palatino Linotype"/>
          <w:b/>
        </w:rPr>
        <w:t>dieciséis de diciembre de dos mil veintidós</w:t>
      </w:r>
      <w:r w:rsidRPr="0042677A">
        <w:rPr>
          <w:rFonts w:ascii="Palatino Linotype" w:eastAsia="Palatino Linotype" w:hAnsi="Palatino Linotype" w:cs="Palatino Linotype"/>
        </w:rPr>
        <w:t xml:space="preserve">, el Sujeto Obligado </w:t>
      </w:r>
      <w:r w:rsidR="00B23F13" w:rsidRPr="0042677A">
        <w:rPr>
          <w:rFonts w:ascii="Palatino Linotype" w:eastAsia="Palatino Linotype" w:hAnsi="Palatino Linotype" w:cs="Palatino Linotype"/>
        </w:rPr>
        <w:t xml:space="preserve">dio cumplimiento </w:t>
      </w:r>
      <w:r w:rsidR="006372D7" w:rsidRPr="0042677A">
        <w:rPr>
          <w:rFonts w:ascii="Palatino Linotype" w:eastAsia="Palatino Linotype" w:hAnsi="Palatino Linotype" w:cs="Palatino Linotype"/>
        </w:rPr>
        <w:t xml:space="preserve">a la resolución, al tenor de lo siguiente: </w:t>
      </w:r>
    </w:p>
    <w:p w14:paraId="4F995AAD" w14:textId="77777777" w:rsidR="006372D7" w:rsidRPr="0042677A" w:rsidRDefault="006372D7" w:rsidP="006372D7">
      <w:pPr>
        <w:pStyle w:val="Prrafodelista"/>
        <w:tabs>
          <w:tab w:val="left" w:pos="567"/>
          <w:tab w:val="left" w:pos="851"/>
          <w:tab w:val="left" w:pos="1134"/>
        </w:tabs>
        <w:spacing w:line="360" w:lineRule="auto"/>
        <w:ind w:left="720"/>
        <w:jc w:val="both"/>
        <w:rPr>
          <w:rFonts w:ascii="Palatino Linotype" w:eastAsia="Palatino Linotype" w:hAnsi="Palatino Linotype" w:cs="Palatino Linotype"/>
        </w:rPr>
      </w:pPr>
    </w:p>
    <w:p w14:paraId="5E97C05D" w14:textId="77777777" w:rsidR="006372D7" w:rsidRPr="0042677A" w:rsidRDefault="006372D7" w:rsidP="006372D7">
      <w:pPr>
        <w:pStyle w:val="Prrafodelista"/>
        <w:tabs>
          <w:tab w:val="left" w:pos="567"/>
          <w:tab w:val="left" w:pos="851"/>
          <w:tab w:val="left" w:pos="1134"/>
        </w:tabs>
        <w:spacing w:line="360" w:lineRule="auto"/>
        <w:ind w:left="720"/>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Oficio de fecha dieciséis de diciembre de dos mil veintidós, signado por el Director de Servicios Públicos, mediante el cual informó que el Departamento de Panteones de la Dirección de Servicios Público refirió que los Certificados de Derecho de Fosa Individual se expiden en un formato establecido, el cual contiene el nombre y firma del titular de la fosa y del suplente de ésta, la cual se anexa. </w:t>
      </w:r>
    </w:p>
    <w:p w14:paraId="7E253391" w14:textId="77777777" w:rsidR="006372D7" w:rsidRPr="0042677A" w:rsidRDefault="006372D7" w:rsidP="006372D7">
      <w:pPr>
        <w:pStyle w:val="Prrafodelista"/>
        <w:tabs>
          <w:tab w:val="left" w:pos="567"/>
          <w:tab w:val="left" w:pos="851"/>
          <w:tab w:val="left" w:pos="1134"/>
        </w:tabs>
        <w:spacing w:line="360" w:lineRule="auto"/>
        <w:ind w:left="720"/>
        <w:jc w:val="both"/>
        <w:rPr>
          <w:rFonts w:ascii="Palatino Linotype" w:eastAsia="Palatino Linotype" w:hAnsi="Palatino Linotype" w:cs="Palatino Linotype"/>
        </w:rPr>
      </w:pPr>
    </w:p>
    <w:p w14:paraId="35985246" w14:textId="4542D9AA" w:rsidR="006372D7" w:rsidRPr="0042677A" w:rsidRDefault="006372D7" w:rsidP="006372D7">
      <w:pPr>
        <w:pStyle w:val="Prrafodelista"/>
        <w:tabs>
          <w:tab w:val="left" w:pos="567"/>
          <w:tab w:val="left" w:pos="851"/>
          <w:tab w:val="left" w:pos="1134"/>
        </w:tabs>
        <w:spacing w:line="360" w:lineRule="auto"/>
        <w:ind w:left="720"/>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Formato de Derechos y Obligaciones de usuarios de Fosas Individuales Adquiridas por temporalidad, en versión pública.  </w:t>
      </w:r>
    </w:p>
    <w:p w14:paraId="23DAE53D" w14:textId="77777777" w:rsidR="00B23F13" w:rsidRPr="0042677A" w:rsidRDefault="00B23F13" w:rsidP="00B23F13">
      <w:pPr>
        <w:pStyle w:val="Prrafodelista"/>
        <w:tabs>
          <w:tab w:val="left" w:pos="567"/>
          <w:tab w:val="left" w:pos="851"/>
          <w:tab w:val="left" w:pos="1134"/>
        </w:tabs>
        <w:spacing w:line="360" w:lineRule="auto"/>
        <w:ind w:left="284"/>
        <w:jc w:val="both"/>
        <w:rPr>
          <w:rFonts w:ascii="Palatino Linotype" w:eastAsia="Palatino Linotype" w:hAnsi="Palatino Linotype" w:cs="Palatino Linotype"/>
        </w:rPr>
      </w:pPr>
    </w:p>
    <w:p w14:paraId="69BCBE01" w14:textId="41445800" w:rsidR="00954120" w:rsidRPr="0042677A" w:rsidRDefault="0017486A" w:rsidP="00B23F13">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Informe de cumplimiento a la resolución. </w:t>
      </w:r>
      <w:r w:rsidRPr="0042677A">
        <w:rPr>
          <w:rFonts w:ascii="Palatino Linotype" w:eastAsia="Palatino Linotype" w:hAnsi="Palatino Linotype" w:cs="Palatino Linotype"/>
          <w:bCs/>
        </w:rPr>
        <w:t xml:space="preserve">El </w:t>
      </w:r>
      <w:r w:rsidRPr="0042677A">
        <w:rPr>
          <w:rFonts w:ascii="Palatino Linotype" w:eastAsia="Palatino Linotype" w:hAnsi="Palatino Linotype" w:cs="Palatino Linotype"/>
          <w:b/>
        </w:rPr>
        <w:t>nueve de enero de dos mil veintitrés</w:t>
      </w:r>
      <w:r w:rsidRPr="0042677A">
        <w:rPr>
          <w:rFonts w:ascii="Palatino Linotype" w:eastAsia="Palatino Linotype" w:hAnsi="Palatino Linotype" w:cs="Palatino Linotype"/>
          <w:bCs/>
        </w:rPr>
        <w:t xml:space="preserve">, </w:t>
      </w:r>
      <w:r w:rsidR="00616EF4" w:rsidRPr="0042677A">
        <w:rPr>
          <w:rFonts w:ascii="Palatino Linotype" w:eastAsia="Palatino Linotype" w:hAnsi="Palatino Linotype" w:cs="Palatino Linotype"/>
        </w:rPr>
        <w:t>la Dirección de Cumplimientos de este Instituto notificó a las partes</w:t>
      </w:r>
      <w:r w:rsidRPr="0042677A">
        <w:rPr>
          <w:rFonts w:ascii="Palatino Linotype" w:eastAsia="Palatino Linotype" w:hAnsi="Palatino Linotype" w:cs="Palatino Linotype"/>
        </w:rPr>
        <w:t xml:space="preserve"> un plazo de cinco días hábiles para que manifestaran lo que a su derecho convinieran, al tenor de lo siguiente:</w:t>
      </w:r>
    </w:p>
    <w:p w14:paraId="08D20E60" w14:textId="77777777" w:rsidR="004E618D" w:rsidRPr="0042677A" w:rsidRDefault="004E618D" w:rsidP="002C59EE">
      <w:pPr>
        <w:spacing w:line="360" w:lineRule="auto"/>
        <w:jc w:val="both"/>
        <w:rPr>
          <w:rFonts w:ascii="Palatino Linotype" w:eastAsia="Palatino Linotype" w:hAnsi="Palatino Linotype" w:cs="Palatino Linotype"/>
        </w:rPr>
      </w:pPr>
    </w:p>
    <w:p w14:paraId="6A16E5C8" w14:textId="26717DEA" w:rsidR="00D63A38" w:rsidRPr="0042677A" w:rsidRDefault="003D7735" w:rsidP="0017486A">
      <w:pPr>
        <w:ind w:left="567" w:right="851"/>
        <w:jc w:val="both"/>
        <w:rPr>
          <w:rFonts w:ascii="Palatino Linotype" w:eastAsia="Palatino Linotype" w:hAnsi="Palatino Linotype" w:cs="Palatino Linotype"/>
          <w:i/>
          <w:sz w:val="22"/>
        </w:rPr>
      </w:pPr>
      <w:r w:rsidRPr="0042677A">
        <w:rPr>
          <w:rFonts w:ascii="Palatino Linotype" w:eastAsia="Palatino Linotype" w:hAnsi="Palatino Linotype" w:cs="Palatino Linotype"/>
          <w:i/>
          <w:sz w:val="22"/>
        </w:rPr>
        <w:t>“</w:t>
      </w:r>
      <w:r w:rsidR="0017486A" w:rsidRPr="0042677A">
        <w:rPr>
          <w:rFonts w:ascii="Palatino Linotype" w:eastAsia="Palatino Linotype" w:hAnsi="Palatino Linotype" w:cs="Palatino Linotype"/>
          <w:i/>
          <w:sz w:val="22"/>
        </w:rPr>
        <w:t>Con fundamento en el artículo 199 párrafo segundo de la Ley de Transparencia y Acceso a la Información Pública del Estado de México y Municipios, se otorga vista de la información remitida por el Sujeto Obligado, para que dentro del plazo de cinco días hábiles siguientes a la recepción del presente, manifieste lo que a su derecho convenga”.</w:t>
      </w:r>
    </w:p>
    <w:p w14:paraId="4A3FD04A" w14:textId="77777777" w:rsidR="0017486A" w:rsidRPr="0042677A" w:rsidRDefault="0017486A" w:rsidP="0017486A">
      <w:pPr>
        <w:ind w:left="567" w:right="851"/>
        <w:jc w:val="both"/>
        <w:rPr>
          <w:rFonts w:ascii="Palatino Linotype" w:eastAsia="Palatino Linotype" w:hAnsi="Palatino Linotype" w:cs="Palatino Linotype"/>
          <w:i/>
          <w:sz w:val="22"/>
        </w:rPr>
      </w:pPr>
    </w:p>
    <w:p w14:paraId="53C1A35E" w14:textId="3547E7C1" w:rsidR="0017486A" w:rsidRPr="0042677A" w:rsidRDefault="0017486A" w:rsidP="00AD0435">
      <w:pPr>
        <w:pStyle w:val="Prrafodelista"/>
        <w:numPr>
          <w:ilvl w:val="1"/>
          <w:numId w:val="19"/>
        </w:numPr>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bCs/>
        </w:rPr>
        <w:t xml:space="preserve">Manifestaciones sobre el informe de cumplimiento. </w:t>
      </w:r>
      <w:r w:rsidRPr="0042677A">
        <w:rPr>
          <w:rFonts w:ascii="Palatino Linotype" w:eastAsia="Palatino Linotype" w:hAnsi="Palatino Linotype" w:cs="Palatino Linotype"/>
        </w:rPr>
        <w:t xml:space="preserve">Las partes fueron omisas en rendir manifestaciones. </w:t>
      </w:r>
    </w:p>
    <w:p w14:paraId="6A55CC31" w14:textId="77777777" w:rsidR="00106EEF" w:rsidRPr="0042677A" w:rsidRDefault="00106EEF" w:rsidP="0017486A">
      <w:pPr>
        <w:spacing w:line="360" w:lineRule="auto"/>
        <w:jc w:val="both"/>
        <w:rPr>
          <w:rFonts w:ascii="Palatino Linotype" w:eastAsia="Palatino Linotype" w:hAnsi="Palatino Linotype" w:cs="Palatino Linotype"/>
        </w:rPr>
      </w:pPr>
    </w:p>
    <w:p w14:paraId="788771AD" w14:textId="102F9AE0" w:rsidR="00954120" w:rsidRPr="0042677A" w:rsidRDefault="003A2877" w:rsidP="00106EEF">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42677A">
        <w:rPr>
          <w:rFonts w:ascii="Palatino Linotype" w:eastAsia="Palatino Linotype" w:hAnsi="Palatino Linotype" w:cs="Palatino Linotype"/>
          <w:b/>
          <w:sz w:val="24"/>
        </w:rPr>
        <w:lastRenderedPageBreak/>
        <w:t xml:space="preserve">Interposición del Segundo Recurso de Revisión </w:t>
      </w:r>
      <w:r w:rsidR="00106EEF" w:rsidRPr="0042677A">
        <w:rPr>
          <w:rFonts w:ascii="Palatino Linotype" w:eastAsia="Palatino Linotype" w:hAnsi="Palatino Linotype" w:cs="Palatino Linotype"/>
          <w:b/>
          <w:sz w:val="24"/>
        </w:rPr>
        <w:t>1</w:t>
      </w:r>
      <w:r w:rsidR="0017486A" w:rsidRPr="0042677A">
        <w:rPr>
          <w:rFonts w:ascii="Palatino Linotype" w:eastAsia="Palatino Linotype" w:hAnsi="Palatino Linotype" w:cs="Palatino Linotype"/>
          <w:b/>
          <w:sz w:val="24"/>
        </w:rPr>
        <w:t>5034</w:t>
      </w:r>
      <w:r w:rsidR="00FA2E5F" w:rsidRPr="0042677A">
        <w:rPr>
          <w:rFonts w:ascii="Palatino Linotype" w:eastAsia="Palatino Linotype" w:hAnsi="Palatino Linotype" w:cs="Palatino Linotype"/>
          <w:b/>
          <w:sz w:val="24"/>
        </w:rPr>
        <w:t>/INFOEM/ICR-</w:t>
      </w:r>
      <w:r w:rsidR="0017486A" w:rsidRPr="0042677A">
        <w:rPr>
          <w:rFonts w:ascii="Palatino Linotype" w:eastAsia="Palatino Linotype" w:hAnsi="Palatino Linotype" w:cs="Palatino Linotype"/>
          <w:b/>
          <w:sz w:val="24"/>
        </w:rPr>
        <w:t>07</w:t>
      </w:r>
      <w:r w:rsidR="00106EEF" w:rsidRPr="0042677A">
        <w:rPr>
          <w:rFonts w:ascii="Palatino Linotype" w:eastAsia="Palatino Linotype" w:hAnsi="Palatino Linotype" w:cs="Palatino Linotype"/>
          <w:b/>
          <w:sz w:val="24"/>
        </w:rPr>
        <w:t>/IP/RR/2022</w:t>
      </w:r>
      <w:r w:rsidRPr="0042677A">
        <w:rPr>
          <w:rFonts w:ascii="Palatino Linotype" w:eastAsia="Palatino Linotype" w:hAnsi="Palatino Linotype" w:cs="Palatino Linotype"/>
          <w:b/>
          <w:sz w:val="24"/>
        </w:rPr>
        <w:t xml:space="preserve">. </w:t>
      </w:r>
      <w:r w:rsidRPr="0042677A">
        <w:rPr>
          <w:rFonts w:ascii="Palatino Linotype" w:eastAsia="Palatino Linotype" w:hAnsi="Palatino Linotype" w:cs="Palatino Linotype"/>
          <w:sz w:val="24"/>
        </w:rPr>
        <w:t xml:space="preserve">El </w:t>
      </w:r>
      <w:r w:rsidR="0017486A" w:rsidRPr="0042677A">
        <w:rPr>
          <w:rFonts w:ascii="Palatino Linotype" w:eastAsia="Palatino Linotype" w:hAnsi="Palatino Linotype" w:cs="Palatino Linotype"/>
          <w:b/>
          <w:sz w:val="24"/>
        </w:rPr>
        <w:t>once de enero de dos mil veintitrés</w:t>
      </w:r>
      <w:r w:rsidRPr="0042677A">
        <w:rPr>
          <w:rFonts w:ascii="Palatino Linotype" w:eastAsia="Palatino Linotype" w:hAnsi="Palatino Linotype" w:cs="Palatino Linotype"/>
          <w:sz w:val="24"/>
        </w:rPr>
        <w:t xml:space="preserve">, </w:t>
      </w:r>
      <w:r w:rsidRPr="0042677A">
        <w:rPr>
          <w:rFonts w:ascii="Palatino Linotype" w:eastAsia="Palatino Linotype" w:hAnsi="Palatino Linotype" w:cs="Palatino Linotype"/>
          <w:b/>
          <w:sz w:val="24"/>
        </w:rPr>
        <w:t>la parte</w:t>
      </w:r>
      <w:r w:rsidRPr="0042677A">
        <w:rPr>
          <w:rFonts w:ascii="Palatino Linotype" w:eastAsia="Palatino Linotype" w:hAnsi="Palatino Linotype" w:cs="Palatino Linotype"/>
          <w:sz w:val="24"/>
        </w:rPr>
        <w:t xml:space="preserve"> </w:t>
      </w:r>
      <w:r w:rsidRPr="0042677A">
        <w:rPr>
          <w:rFonts w:ascii="Palatino Linotype" w:eastAsia="Palatino Linotype" w:hAnsi="Palatino Linotype" w:cs="Palatino Linotype"/>
          <w:b/>
          <w:sz w:val="24"/>
        </w:rPr>
        <w:t xml:space="preserve">Recurrente </w:t>
      </w:r>
      <w:r w:rsidRPr="0042677A">
        <w:rPr>
          <w:rFonts w:ascii="Palatino Linotype" w:eastAsia="Palatino Linotype" w:hAnsi="Palatino Linotype" w:cs="Palatino Linotype"/>
          <w:sz w:val="24"/>
        </w:rPr>
        <w:t xml:space="preserve">interpuso Recurso de Revisión en este Instituto, a través del Sistema de Acceso a la Información Mexiquense (SAIMEX), en contra de la respuesta del </w:t>
      </w:r>
      <w:r w:rsidRPr="0042677A">
        <w:rPr>
          <w:rFonts w:ascii="Palatino Linotype" w:eastAsia="Palatino Linotype" w:hAnsi="Palatino Linotype" w:cs="Palatino Linotype"/>
          <w:b/>
          <w:sz w:val="24"/>
        </w:rPr>
        <w:t>Sujeto Obligado</w:t>
      </w:r>
      <w:r w:rsidRPr="0042677A">
        <w:rPr>
          <w:rFonts w:ascii="Palatino Linotype" w:eastAsia="Palatino Linotype" w:hAnsi="Palatino Linotype" w:cs="Palatino Linotype"/>
          <w:sz w:val="24"/>
        </w:rPr>
        <w:t>,</w:t>
      </w:r>
      <w:r w:rsidR="001D414C" w:rsidRPr="0042677A">
        <w:rPr>
          <w:rFonts w:ascii="Palatino Linotype" w:eastAsia="Palatino Linotype" w:hAnsi="Palatino Linotype" w:cs="Palatino Linotype"/>
          <w:sz w:val="24"/>
        </w:rPr>
        <w:t xml:space="preserve"> </w:t>
      </w:r>
      <w:r w:rsidRPr="0042677A">
        <w:rPr>
          <w:rFonts w:ascii="Palatino Linotype" w:eastAsia="Palatino Linotype" w:hAnsi="Palatino Linotype" w:cs="Palatino Linotype"/>
          <w:sz w:val="24"/>
        </w:rPr>
        <w:t>en donde se agravió de lo siguiente</w:t>
      </w:r>
      <w:r w:rsidRPr="0042677A">
        <w:rPr>
          <w:rFonts w:ascii="Palatino Linotype" w:eastAsia="Palatino Linotype" w:hAnsi="Palatino Linotype" w:cs="Palatino Linotype"/>
          <w:b/>
          <w:sz w:val="24"/>
        </w:rPr>
        <w:t>:</w:t>
      </w:r>
    </w:p>
    <w:p w14:paraId="7F21000A" w14:textId="77777777" w:rsidR="00954120" w:rsidRPr="0042677A" w:rsidRDefault="00954120" w:rsidP="002C59EE">
      <w:pPr>
        <w:widowControl w:val="0"/>
        <w:spacing w:line="360" w:lineRule="auto"/>
        <w:jc w:val="both"/>
        <w:rPr>
          <w:rFonts w:ascii="Palatino Linotype" w:eastAsia="Palatino Linotype" w:hAnsi="Palatino Linotype" w:cs="Palatino Linotype"/>
          <w:b/>
        </w:rPr>
      </w:pPr>
    </w:p>
    <w:p w14:paraId="300B8C20" w14:textId="2E3D955E" w:rsidR="00954120" w:rsidRPr="0042677A" w:rsidRDefault="003A2877" w:rsidP="00106EEF">
      <w:pPr>
        <w:numPr>
          <w:ilvl w:val="0"/>
          <w:numId w:val="3"/>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b/>
          <w:sz w:val="22"/>
          <w:szCs w:val="22"/>
        </w:rPr>
      </w:pPr>
      <w:r w:rsidRPr="0042677A">
        <w:rPr>
          <w:rFonts w:ascii="Palatino Linotype" w:eastAsia="Palatino Linotype" w:hAnsi="Palatino Linotype" w:cs="Palatino Linotype"/>
          <w:b/>
          <w:sz w:val="22"/>
          <w:szCs w:val="22"/>
        </w:rPr>
        <w:t>Acto Impugnado</w:t>
      </w:r>
      <w:r w:rsidR="00106EEF" w:rsidRPr="0042677A">
        <w:rPr>
          <w:rFonts w:ascii="Palatino Linotype" w:eastAsia="Palatino Linotype" w:hAnsi="Palatino Linotype" w:cs="Palatino Linotype"/>
          <w:b/>
          <w:sz w:val="22"/>
          <w:szCs w:val="22"/>
        </w:rPr>
        <w:t xml:space="preserve">. </w:t>
      </w:r>
      <w:r w:rsidR="00106EEF" w:rsidRPr="0042677A">
        <w:rPr>
          <w:rFonts w:ascii="Palatino Linotype" w:eastAsia="Palatino Linotype" w:hAnsi="Palatino Linotype" w:cs="Palatino Linotype"/>
          <w:i/>
          <w:sz w:val="22"/>
          <w:szCs w:val="22"/>
        </w:rPr>
        <w:t>“</w:t>
      </w:r>
      <w:r w:rsidR="0017486A" w:rsidRPr="0042677A">
        <w:rPr>
          <w:rFonts w:ascii="Palatino Linotype" w:eastAsia="Palatino Linotype" w:hAnsi="Palatino Linotype" w:cs="Palatino Linotype"/>
          <w:i/>
          <w:sz w:val="22"/>
          <w:szCs w:val="22"/>
        </w:rPr>
        <w:t>La respuesta del sujeto obligado</w:t>
      </w:r>
      <w:r w:rsidR="00106EEF" w:rsidRPr="0042677A">
        <w:rPr>
          <w:rFonts w:ascii="Palatino Linotype" w:eastAsia="Palatino Linotype" w:hAnsi="Palatino Linotype" w:cs="Palatino Linotype"/>
          <w:i/>
          <w:sz w:val="22"/>
          <w:szCs w:val="22"/>
        </w:rPr>
        <w:t>”</w:t>
      </w:r>
    </w:p>
    <w:p w14:paraId="460B7148" w14:textId="77777777" w:rsidR="00106EEF" w:rsidRPr="0042677A" w:rsidRDefault="00106EEF" w:rsidP="00106EEF">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b/>
          <w:sz w:val="22"/>
          <w:szCs w:val="22"/>
        </w:rPr>
      </w:pPr>
    </w:p>
    <w:p w14:paraId="40059FD6" w14:textId="42A693D9" w:rsidR="00106EEF" w:rsidRPr="0042677A" w:rsidRDefault="003A2877" w:rsidP="00106EEF">
      <w:pPr>
        <w:numPr>
          <w:ilvl w:val="0"/>
          <w:numId w:val="3"/>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b/>
          <w:i/>
          <w:sz w:val="22"/>
          <w:szCs w:val="22"/>
        </w:rPr>
      </w:pPr>
      <w:r w:rsidRPr="0042677A">
        <w:rPr>
          <w:rFonts w:ascii="Palatino Linotype" w:eastAsia="Palatino Linotype" w:hAnsi="Palatino Linotype" w:cs="Palatino Linotype"/>
          <w:b/>
          <w:sz w:val="22"/>
          <w:szCs w:val="22"/>
        </w:rPr>
        <w:t>Razones o Motivos de la Inconformidad</w:t>
      </w:r>
      <w:r w:rsidR="00106EEF" w:rsidRPr="0042677A">
        <w:rPr>
          <w:rFonts w:ascii="Palatino Linotype" w:eastAsia="Palatino Linotype" w:hAnsi="Palatino Linotype" w:cs="Palatino Linotype"/>
          <w:b/>
          <w:sz w:val="22"/>
          <w:szCs w:val="22"/>
        </w:rPr>
        <w:t xml:space="preserve">. </w:t>
      </w:r>
      <w:r w:rsidR="00106EEF" w:rsidRPr="0042677A">
        <w:rPr>
          <w:rFonts w:ascii="Palatino Linotype" w:eastAsia="Palatino Linotype" w:hAnsi="Palatino Linotype" w:cs="Palatino Linotype"/>
          <w:sz w:val="22"/>
          <w:szCs w:val="22"/>
        </w:rPr>
        <w:t>“</w:t>
      </w:r>
      <w:r w:rsidR="009737A0" w:rsidRPr="0042677A">
        <w:rPr>
          <w:rFonts w:ascii="Palatino Linotype" w:hAnsi="Palatino Linotype"/>
          <w:i/>
          <w:sz w:val="22"/>
          <w:szCs w:val="22"/>
        </w:rPr>
        <w:t>Solo entregan un certificado, de seguro hay una sola tumba en el panteón municipal</w:t>
      </w:r>
      <w:r w:rsidR="00106EEF" w:rsidRPr="0042677A">
        <w:rPr>
          <w:rFonts w:ascii="Palatino Linotype" w:hAnsi="Palatino Linotype"/>
          <w:i/>
          <w:sz w:val="22"/>
          <w:szCs w:val="22"/>
        </w:rPr>
        <w:t>”</w:t>
      </w:r>
    </w:p>
    <w:p w14:paraId="32D1B5ED" w14:textId="77777777" w:rsidR="00106EEF" w:rsidRPr="0042677A" w:rsidRDefault="00106EEF" w:rsidP="00106EEF">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b/>
          <w:i/>
          <w:sz w:val="22"/>
          <w:szCs w:val="22"/>
        </w:rPr>
      </w:pPr>
    </w:p>
    <w:p w14:paraId="323D0F21" w14:textId="77777777" w:rsidR="00106EEF" w:rsidRPr="0042677A" w:rsidRDefault="003A2877" w:rsidP="00106EEF">
      <w:pPr>
        <w:pStyle w:val="Prrafodelista"/>
        <w:numPr>
          <w:ilvl w:val="0"/>
          <w:numId w:val="17"/>
        </w:numPr>
        <w:spacing w:line="360" w:lineRule="auto"/>
        <w:ind w:left="0" w:firstLine="0"/>
        <w:jc w:val="both"/>
        <w:rPr>
          <w:rFonts w:ascii="Palatino Linotype" w:eastAsia="Palatino Linotype" w:hAnsi="Palatino Linotype" w:cs="Palatino Linotype"/>
          <w:b/>
          <w:sz w:val="24"/>
        </w:rPr>
      </w:pPr>
      <w:r w:rsidRPr="0042677A">
        <w:rPr>
          <w:rFonts w:ascii="Palatino Linotype" w:eastAsia="Palatino Linotype" w:hAnsi="Palatino Linotype" w:cs="Palatino Linotype"/>
          <w:b/>
          <w:sz w:val="24"/>
        </w:rPr>
        <w:t xml:space="preserve">Trámite del Recurso </w:t>
      </w:r>
      <w:r w:rsidR="00106EEF" w:rsidRPr="0042677A">
        <w:rPr>
          <w:rFonts w:ascii="Palatino Linotype" w:eastAsia="Palatino Linotype" w:hAnsi="Palatino Linotype" w:cs="Palatino Linotype"/>
          <w:b/>
          <w:sz w:val="24"/>
        </w:rPr>
        <w:t xml:space="preserve">Trámite del Segundo Recurso de Revisión ante el Instituto de Transparencia, Acceso a la Información Pública y Protección de Datos Personales del Estado de México y Municipios. </w:t>
      </w:r>
    </w:p>
    <w:p w14:paraId="48AFC062" w14:textId="77777777" w:rsidR="00FA2E5F" w:rsidRPr="0042677A" w:rsidRDefault="00FA2E5F" w:rsidP="002C59EE">
      <w:pPr>
        <w:spacing w:line="360" w:lineRule="auto"/>
        <w:jc w:val="both"/>
        <w:rPr>
          <w:rFonts w:ascii="Palatino Linotype" w:eastAsia="Palatino Linotype" w:hAnsi="Palatino Linotype" w:cs="Palatino Linotype"/>
        </w:rPr>
      </w:pPr>
    </w:p>
    <w:p w14:paraId="19743BA8" w14:textId="2E871954" w:rsidR="00106EEF" w:rsidRPr="0042677A" w:rsidRDefault="003A2877" w:rsidP="002C59EE">
      <w:pPr>
        <w:pStyle w:val="Prrafodelista"/>
        <w:numPr>
          <w:ilvl w:val="2"/>
          <w:numId w:val="27"/>
        </w:numPr>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Turno del Recurso de Revisión. </w:t>
      </w:r>
      <w:r w:rsidRPr="0042677A">
        <w:rPr>
          <w:rFonts w:ascii="Palatino Linotype" w:eastAsia="Palatino Linotype" w:hAnsi="Palatino Linotype" w:cs="Palatino Linotype"/>
        </w:rPr>
        <w:t xml:space="preserve">El </w:t>
      </w:r>
      <w:r w:rsidR="009737A0" w:rsidRPr="0042677A">
        <w:rPr>
          <w:rFonts w:ascii="Palatino Linotype" w:eastAsia="Palatino Linotype" w:hAnsi="Palatino Linotype" w:cs="Palatino Linotype"/>
          <w:b/>
        </w:rPr>
        <w:t xml:space="preserve">once de enero </w:t>
      </w:r>
      <w:r w:rsidR="00FA2E5F" w:rsidRPr="0042677A">
        <w:rPr>
          <w:rFonts w:ascii="Palatino Linotype" w:eastAsia="Palatino Linotype" w:hAnsi="Palatino Linotype" w:cs="Palatino Linotype"/>
          <w:b/>
        </w:rPr>
        <w:t>de dos mil veintitrés</w:t>
      </w:r>
      <w:r w:rsidRPr="0042677A">
        <w:rPr>
          <w:rFonts w:ascii="Palatino Linotype" w:eastAsia="Palatino Linotype" w:hAnsi="Palatino Linotype" w:cs="Palatino Linotype"/>
        </w:rPr>
        <w:t xml:space="preserve">, el Sistema de Acceso a la Información Mexiquense (SAIMEX), asignó el número de expediente </w:t>
      </w:r>
      <w:r w:rsidR="00106EEF" w:rsidRPr="0042677A">
        <w:rPr>
          <w:rFonts w:ascii="Palatino Linotype" w:eastAsia="Palatino Linotype" w:hAnsi="Palatino Linotype" w:cs="Palatino Linotype"/>
          <w:b/>
        </w:rPr>
        <w:t>1</w:t>
      </w:r>
      <w:r w:rsidR="00C3153A" w:rsidRPr="0042677A">
        <w:rPr>
          <w:rFonts w:ascii="Palatino Linotype" w:eastAsia="Palatino Linotype" w:hAnsi="Palatino Linotype" w:cs="Palatino Linotype"/>
          <w:b/>
        </w:rPr>
        <w:t>5034</w:t>
      </w:r>
      <w:r w:rsidR="00106EEF" w:rsidRPr="0042677A">
        <w:rPr>
          <w:rFonts w:ascii="Palatino Linotype" w:eastAsia="Palatino Linotype" w:hAnsi="Palatino Linotype" w:cs="Palatino Linotype"/>
          <w:b/>
        </w:rPr>
        <w:t>/INFOEM/ICR-</w:t>
      </w:r>
      <w:r w:rsidR="00C3153A" w:rsidRPr="0042677A">
        <w:rPr>
          <w:rFonts w:ascii="Palatino Linotype" w:eastAsia="Palatino Linotype" w:hAnsi="Palatino Linotype" w:cs="Palatino Linotype"/>
          <w:b/>
        </w:rPr>
        <w:t>07</w:t>
      </w:r>
      <w:r w:rsidR="00FA2E5F" w:rsidRPr="0042677A">
        <w:rPr>
          <w:rFonts w:ascii="Palatino Linotype" w:eastAsia="Palatino Linotype" w:hAnsi="Palatino Linotype" w:cs="Palatino Linotype"/>
          <w:b/>
        </w:rPr>
        <w:t>/IP/RR/2022</w:t>
      </w:r>
      <w:r w:rsidRPr="0042677A">
        <w:rPr>
          <w:rFonts w:ascii="Palatino Linotype" w:eastAsia="Palatino Linotype" w:hAnsi="Palatino Linotype" w:cs="Palatino Linotype"/>
        </w:rPr>
        <w:t>,</w:t>
      </w:r>
      <w:r w:rsidRPr="0042677A">
        <w:rPr>
          <w:rFonts w:ascii="Palatino Linotype" w:eastAsia="Palatino Linotype" w:hAnsi="Palatino Linotype" w:cs="Palatino Linotype"/>
          <w:b/>
        </w:rPr>
        <w:t xml:space="preserve"> </w:t>
      </w:r>
      <w:r w:rsidRPr="0042677A">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42677A">
        <w:rPr>
          <w:rFonts w:ascii="Palatino Linotype" w:eastAsia="Palatino Linotype" w:hAnsi="Palatino Linotype" w:cs="Palatino Linotype"/>
          <w:b/>
        </w:rPr>
        <w:t>Comisionada Ponente Guadalupe Ramírez Peña</w:t>
      </w:r>
      <w:r w:rsidRPr="0042677A">
        <w:rPr>
          <w:rFonts w:ascii="Palatino Linotype" w:eastAsia="Palatino Linotype" w:hAnsi="Palatino Linotype" w:cs="Palatino Linotype"/>
        </w:rPr>
        <w:t>, para los efectos del artículo 185, fracción I de la Ley de Transparencia y Acceso a la Información Pública del Estado de México y Municipios.</w:t>
      </w:r>
    </w:p>
    <w:p w14:paraId="1B215D85" w14:textId="77777777" w:rsidR="00106EEF" w:rsidRPr="0042677A" w:rsidRDefault="00106EEF" w:rsidP="00106EEF">
      <w:pPr>
        <w:pStyle w:val="Prrafodelista"/>
        <w:spacing w:line="360" w:lineRule="auto"/>
        <w:ind w:left="284"/>
        <w:jc w:val="both"/>
        <w:rPr>
          <w:rFonts w:ascii="Palatino Linotype" w:eastAsia="Palatino Linotype" w:hAnsi="Palatino Linotype" w:cs="Palatino Linotype"/>
        </w:rPr>
      </w:pPr>
    </w:p>
    <w:p w14:paraId="6A0D87B6" w14:textId="3063627D" w:rsidR="00AD0435" w:rsidRPr="0042677A" w:rsidRDefault="003A2877" w:rsidP="002C59EE">
      <w:pPr>
        <w:pStyle w:val="Prrafodelista"/>
        <w:numPr>
          <w:ilvl w:val="2"/>
          <w:numId w:val="27"/>
        </w:numPr>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 Admisión del Recurso de Revisión. </w:t>
      </w:r>
      <w:r w:rsidRPr="0042677A">
        <w:rPr>
          <w:rFonts w:ascii="Palatino Linotype" w:eastAsia="Palatino Linotype" w:hAnsi="Palatino Linotype" w:cs="Palatino Linotype"/>
        </w:rPr>
        <w:t xml:space="preserve">El </w:t>
      </w:r>
      <w:r w:rsidR="009737A0" w:rsidRPr="0042677A">
        <w:rPr>
          <w:rFonts w:ascii="Palatino Linotype" w:eastAsia="Palatino Linotype" w:hAnsi="Palatino Linotype" w:cs="Palatino Linotype"/>
          <w:b/>
        </w:rPr>
        <w:t>dieciséis de enero</w:t>
      </w:r>
      <w:r w:rsidR="00FA2E5F" w:rsidRPr="0042677A">
        <w:rPr>
          <w:rFonts w:ascii="Palatino Linotype" w:eastAsia="Palatino Linotype" w:hAnsi="Palatino Linotype" w:cs="Palatino Linotype"/>
          <w:b/>
        </w:rPr>
        <w:t xml:space="preserve"> de dos mil veintitré</w:t>
      </w:r>
      <w:r w:rsidRPr="0042677A">
        <w:rPr>
          <w:rFonts w:ascii="Palatino Linotype" w:eastAsia="Palatino Linotype" w:hAnsi="Palatino Linotype" w:cs="Palatino Linotype"/>
          <w:b/>
        </w:rPr>
        <w:t>s</w:t>
      </w:r>
      <w:r w:rsidRPr="0042677A">
        <w:rPr>
          <w:rFonts w:ascii="Palatino Linotype" w:eastAsia="Palatino Linotype" w:hAnsi="Palatino Linotype" w:cs="Palatino Linotype"/>
        </w:rPr>
        <w:t>, se acordó la admisión del Recurso de Revisión interpuesto por la parte</w:t>
      </w:r>
      <w:r w:rsidRPr="0042677A">
        <w:rPr>
          <w:rFonts w:ascii="Palatino Linotype" w:eastAsia="Palatino Linotype" w:hAnsi="Palatino Linotype" w:cs="Palatino Linotype"/>
          <w:b/>
        </w:rPr>
        <w:t xml:space="preserve"> Recurrente</w:t>
      </w:r>
      <w:r w:rsidRPr="0042677A">
        <w:rPr>
          <w:rFonts w:ascii="Palatino Linotype" w:eastAsia="Palatino Linotype" w:hAnsi="Palatino Linotype" w:cs="Palatino Linotype"/>
        </w:rPr>
        <w:t xml:space="preserve"> en contra del </w:t>
      </w:r>
      <w:r w:rsidRPr="0042677A">
        <w:rPr>
          <w:rFonts w:ascii="Palatino Linotype" w:eastAsia="Palatino Linotype" w:hAnsi="Palatino Linotype" w:cs="Palatino Linotype"/>
          <w:b/>
        </w:rPr>
        <w:t>Sujeto Obligado</w:t>
      </w:r>
      <w:r w:rsidRPr="0042677A">
        <w:rPr>
          <w:rFonts w:ascii="Palatino Linotype" w:eastAsia="Palatino Linotype" w:hAnsi="Palatino Linotype" w:cs="Palatino Linotype"/>
        </w:rPr>
        <w:t xml:space="preserve">, en términos del artículo 185, fracciones I, II y IV de la Ley de </w:t>
      </w:r>
      <w:r w:rsidRPr="0042677A">
        <w:rPr>
          <w:rFonts w:ascii="Palatino Linotype" w:eastAsia="Palatino Linotype" w:hAnsi="Palatino Linotype" w:cs="Palatino Linotype"/>
        </w:rPr>
        <w:lastRenderedPageBreak/>
        <w:t>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42677A">
        <w:rPr>
          <w:rFonts w:ascii="Palatino Linotype" w:eastAsia="Palatino Linotype" w:hAnsi="Palatino Linotype" w:cs="Palatino Linotype"/>
          <w:b/>
        </w:rPr>
        <w:t xml:space="preserve"> </w:t>
      </w:r>
    </w:p>
    <w:p w14:paraId="241C4D80" w14:textId="77777777" w:rsidR="00AD0435" w:rsidRPr="0042677A" w:rsidRDefault="00AD0435" w:rsidP="00AD0435">
      <w:pPr>
        <w:pStyle w:val="Prrafodelista"/>
        <w:spacing w:line="360" w:lineRule="auto"/>
        <w:ind w:left="284"/>
        <w:jc w:val="both"/>
        <w:rPr>
          <w:rFonts w:ascii="Palatino Linotype" w:eastAsia="Palatino Linotype" w:hAnsi="Palatino Linotype" w:cs="Palatino Linotype"/>
        </w:rPr>
      </w:pPr>
    </w:p>
    <w:p w14:paraId="6CD5EF0E" w14:textId="09844A3F" w:rsidR="00AD0435" w:rsidRPr="0042677A" w:rsidRDefault="009737A0" w:rsidP="00AD0435">
      <w:pPr>
        <w:pStyle w:val="Prrafodelista"/>
        <w:numPr>
          <w:ilvl w:val="2"/>
          <w:numId w:val="27"/>
        </w:numPr>
        <w:spacing w:line="360" w:lineRule="auto"/>
        <w:ind w:left="284" w:firstLine="0"/>
        <w:jc w:val="both"/>
        <w:rPr>
          <w:rFonts w:ascii="Palatino Linotype" w:eastAsia="Palatino Linotype" w:hAnsi="Palatino Linotype" w:cs="Palatino Linotype"/>
        </w:rPr>
      </w:pPr>
      <w:r w:rsidRPr="0042677A">
        <w:rPr>
          <w:rFonts w:ascii="Palatino Linotype" w:eastAsia="Palatino Linotype" w:hAnsi="Palatino Linotype" w:cs="Palatino Linotype"/>
          <w:b/>
        </w:rPr>
        <w:t xml:space="preserve">Informe Justificado. </w:t>
      </w:r>
      <w:r w:rsidRPr="0042677A">
        <w:rPr>
          <w:rFonts w:ascii="Palatino Linotype" w:eastAsia="Palatino Linotype" w:hAnsi="Palatino Linotype" w:cs="Palatino Linotype"/>
          <w:bCs/>
        </w:rPr>
        <w:t xml:space="preserve">En fecha </w:t>
      </w:r>
      <w:r w:rsidRPr="0042677A">
        <w:rPr>
          <w:rFonts w:ascii="Palatino Linotype" w:eastAsia="Palatino Linotype" w:hAnsi="Palatino Linotype" w:cs="Palatino Linotype"/>
          <w:b/>
        </w:rPr>
        <w:t>uno y veintidós de febrero y, tres de marzo de dos mil veintitrés</w:t>
      </w:r>
      <w:r w:rsidRPr="0042677A">
        <w:rPr>
          <w:rFonts w:ascii="Palatino Linotype" w:eastAsia="Palatino Linotype" w:hAnsi="Palatino Linotype" w:cs="Palatino Linotype"/>
          <w:bCs/>
        </w:rPr>
        <w:t>, el Sujeto Obligado rindió su informe justificado al tenor de lo siguiente:</w:t>
      </w:r>
    </w:p>
    <w:p w14:paraId="154B8BF8" w14:textId="77777777" w:rsidR="009737A0" w:rsidRPr="0042677A" w:rsidRDefault="009737A0" w:rsidP="009737A0">
      <w:pPr>
        <w:spacing w:line="360" w:lineRule="auto"/>
        <w:jc w:val="both"/>
        <w:rPr>
          <w:rFonts w:ascii="Palatino Linotype" w:eastAsia="Palatino Linotype" w:hAnsi="Palatino Linotype" w:cs="Palatino Linotype"/>
        </w:rPr>
      </w:pPr>
    </w:p>
    <w:p w14:paraId="786A2F25" w14:textId="0010EBF4" w:rsidR="009737A0" w:rsidRPr="0042677A" w:rsidRDefault="009737A0" w:rsidP="009737A0">
      <w:pPr>
        <w:pStyle w:val="Prrafodelista"/>
        <w:numPr>
          <w:ilvl w:val="0"/>
          <w:numId w:val="34"/>
        </w:num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Acta de la Novena Sesión Extraordinaria del Comité de Transparencia de fecha seis de junio de dos mil veintidós, mediante la cual se aprueba la clasificación de la información relacionada con el certificado de fosa individual. </w:t>
      </w:r>
    </w:p>
    <w:p w14:paraId="2D0739DD" w14:textId="7497C9AC" w:rsidR="009737A0" w:rsidRPr="0042677A" w:rsidRDefault="009737A0" w:rsidP="009737A0">
      <w:pPr>
        <w:pStyle w:val="Prrafodelista"/>
        <w:numPr>
          <w:ilvl w:val="0"/>
          <w:numId w:val="34"/>
        </w:num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Oficio de fecha veinte de febrero de dos mil veintitrés, signado por el Director de Servicios Públicos, mediante el cual informa que se anexan 57 certificados de derecho de fosa individual del Panteón Municipal, contemplados del 15 de agosto de dos mil veintiuno al 15 de agosto de dos mil veintidós.</w:t>
      </w:r>
    </w:p>
    <w:p w14:paraId="4B32F0AF" w14:textId="25F4A485" w:rsidR="009737A0" w:rsidRPr="0042677A" w:rsidRDefault="009737A0" w:rsidP="009737A0">
      <w:pPr>
        <w:pStyle w:val="Prrafodelista"/>
        <w:numPr>
          <w:ilvl w:val="0"/>
          <w:numId w:val="34"/>
        </w:num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Cuadro de Clasificación de Datos Personales conferidos en los documentos en respuesta a la solicitud de información 04224/METEPEC/IP/2022 del Recurso de Revisión 15034/INFOEM/IP/RR/2022</w:t>
      </w:r>
      <w:r w:rsidR="00FF1389" w:rsidRPr="0042677A">
        <w:rPr>
          <w:rFonts w:ascii="Palatino Linotype" w:eastAsia="Palatino Linotype" w:hAnsi="Palatino Linotype" w:cs="Palatino Linotype"/>
        </w:rPr>
        <w:t xml:space="preserve">. </w:t>
      </w:r>
    </w:p>
    <w:p w14:paraId="60A4E802" w14:textId="731EE645" w:rsidR="00954120" w:rsidRPr="0042677A" w:rsidRDefault="00FF1389" w:rsidP="002C59EE">
      <w:pPr>
        <w:pStyle w:val="Prrafodelista"/>
        <w:numPr>
          <w:ilvl w:val="0"/>
          <w:numId w:val="34"/>
        </w:num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Cincuenta y siete formatos de derechos y obligaciones de usuarios de fosas individuales adquiridas por temporalidad, en versión pública, del quince de agosto de dos mil veintiuno al quince de agosto de dos mil veintidós. </w:t>
      </w:r>
    </w:p>
    <w:p w14:paraId="3413F644" w14:textId="77777777" w:rsidR="00FF1389" w:rsidRPr="0042677A" w:rsidRDefault="00FF1389" w:rsidP="00FF1389">
      <w:pPr>
        <w:pStyle w:val="Prrafodelista"/>
        <w:spacing w:line="360" w:lineRule="auto"/>
        <w:ind w:left="720"/>
        <w:jc w:val="both"/>
        <w:rPr>
          <w:rFonts w:ascii="Palatino Linotype" w:eastAsia="Palatino Linotype" w:hAnsi="Palatino Linotype" w:cs="Palatino Linotype"/>
        </w:rPr>
      </w:pPr>
    </w:p>
    <w:p w14:paraId="07241B3C" w14:textId="67B43CEE" w:rsidR="00FF1389" w:rsidRPr="0042677A" w:rsidRDefault="00FF1389" w:rsidP="00FF1389">
      <w:pPr>
        <w:pStyle w:val="Prrafodelista"/>
        <w:spacing w:line="360" w:lineRule="auto"/>
        <w:ind w:left="720"/>
        <w:jc w:val="both"/>
        <w:rPr>
          <w:rFonts w:ascii="Palatino Linotype" w:eastAsia="Palatino Linotype" w:hAnsi="Palatino Linotype" w:cs="Palatino Linotype"/>
          <w:b/>
          <w:bCs/>
        </w:rPr>
      </w:pPr>
      <w:r w:rsidRPr="0042677A">
        <w:rPr>
          <w:rFonts w:ascii="Palatino Linotype" w:eastAsia="Palatino Linotype" w:hAnsi="Palatino Linotype" w:cs="Palatino Linotype"/>
        </w:rPr>
        <w:t xml:space="preserve">Documentos que se hicieron del conocimiento del Particular en fecha </w:t>
      </w:r>
      <w:r w:rsidRPr="0042677A">
        <w:rPr>
          <w:rFonts w:ascii="Palatino Linotype" w:eastAsia="Palatino Linotype" w:hAnsi="Palatino Linotype" w:cs="Palatino Linotype"/>
          <w:b/>
          <w:bCs/>
        </w:rPr>
        <w:t xml:space="preserve">veintiuno de febrero de dos mil veintitrés. </w:t>
      </w:r>
    </w:p>
    <w:p w14:paraId="749A580A" w14:textId="77777777" w:rsidR="00FF1389" w:rsidRPr="0042677A" w:rsidRDefault="00FF1389" w:rsidP="00FF1389">
      <w:pPr>
        <w:pStyle w:val="Prrafodelista"/>
        <w:spacing w:line="360" w:lineRule="auto"/>
        <w:ind w:left="720"/>
        <w:jc w:val="both"/>
        <w:rPr>
          <w:rFonts w:ascii="Palatino Linotype" w:eastAsia="Palatino Linotype" w:hAnsi="Palatino Linotype" w:cs="Palatino Linotype"/>
          <w:b/>
          <w:bCs/>
        </w:rPr>
      </w:pPr>
    </w:p>
    <w:p w14:paraId="3F2CF602" w14:textId="402A4717" w:rsidR="00FF1389" w:rsidRPr="0042677A" w:rsidRDefault="00FF1389" w:rsidP="00FF1389">
      <w:pPr>
        <w:pStyle w:val="Prrafodelista"/>
        <w:spacing w:line="360" w:lineRule="auto"/>
        <w:ind w:left="720"/>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El Particular no realizó manifestaciones. </w:t>
      </w:r>
    </w:p>
    <w:p w14:paraId="6D8857F4" w14:textId="77777777" w:rsidR="00FF1389" w:rsidRPr="0042677A" w:rsidRDefault="00FF1389" w:rsidP="00FF1389">
      <w:pPr>
        <w:pStyle w:val="Prrafodelista"/>
        <w:spacing w:line="360" w:lineRule="auto"/>
        <w:ind w:left="720"/>
        <w:jc w:val="both"/>
        <w:rPr>
          <w:rFonts w:ascii="Palatino Linotype" w:eastAsia="Palatino Linotype" w:hAnsi="Palatino Linotype" w:cs="Palatino Linotype"/>
        </w:rPr>
      </w:pPr>
    </w:p>
    <w:p w14:paraId="04A354F5" w14:textId="398D8886" w:rsidR="008F7E26" w:rsidRPr="0042677A" w:rsidRDefault="008F7E26" w:rsidP="008F7E26">
      <w:pPr>
        <w:widowControl w:val="0"/>
        <w:spacing w:line="360" w:lineRule="auto"/>
        <w:jc w:val="both"/>
        <w:rPr>
          <w:rFonts w:ascii="Palatino Linotype" w:eastAsia="Palatino Linotype" w:hAnsi="Palatino Linotype" w:cs="Palatino Linotype"/>
          <w:b/>
        </w:rPr>
      </w:pPr>
      <w:r w:rsidRPr="0042677A">
        <w:rPr>
          <w:rFonts w:ascii="Palatino Linotype" w:eastAsia="Palatino Linotype" w:hAnsi="Palatino Linotype" w:cs="Palatino Linotype"/>
          <w:b/>
        </w:rPr>
        <w:lastRenderedPageBreak/>
        <w:t xml:space="preserve">9. </w:t>
      </w:r>
      <w:r w:rsidRPr="0042677A">
        <w:rPr>
          <w:rFonts w:ascii="Palatino Linotype" w:eastAsia="Palatino Linotype" w:hAnsi="Palatino Linotype" w:cs="Palatino Linotype"/>
          <w:b/>
          <w:color w:val="000000"/>
        </w:rPr>
        <w:t>Ampliación del plazo.</w:t>
      </w:r>
      <w:r w:rsidRPr="0042677A">
        <w:rPr>
          <w:rFonts w:ascii="Palatino Linotype" w:eastAsia="Palatino Linotype" w:hAnsi="Palatino Linotype" w:cs="Palatino Linotype"/>
          <w:color w:val="000000"/>
        </w:rPr>
        <w:t xml:space="preserve"> En fech</w:t>
      </w:r>
      <w:r w:rsidR="00C3153A" w:rsidRPr="0042677A">
        <w:rPr>
          <w:rFonts w:ascii="Palatino Linotype" w:eastAsia="Palatino Linotype" w:hAnsi="Palatino Linotype" w:cs="Palatino Linotype"/>
          <w:color w:val="000000"/>
        </w:rPr>
        <w:t xml:space="preserve">a </w:t>
      </w:r>
      <w:r w:rsidR="00E73E4F" w:rsidRPr="0042677A">
        <w:rPr>
          <w:rFonts w:ascii="Palatino Linotype" w:eastAsia="Palatino Linotype" w:hAnsi="Palatino Linotype" w:cs="Palatino Linotype"/>
          <w:b/>
          <w:bCs/>
          <w:color w:val="000000"/>
        </w:rPr>
        <w:t>veinte</w:t>
      </w:r>
      <w:r w:rsidR="00C3153A" w:rsidRPr="0042677A">
        <w:rPr>
          <w:rFonts w:ascii="Palatino Linotype" w:eastAsia="Palatino Linotype" w:hAnsi="Palatino Linotype" w:cs="Palatino Linotype"/>
          <w:b/>
          <w:bCs/>
          <w:color w:val="000000"/>
        </w:rPr>
        <w:t xml:space="preserve"> de junio </w:t>
      </w:r>
      <w:r w:rsidRPr="0042677A">
        <w:rPr>
          <w:rFonts w:ascii="Palatino Linotype" w:eastAsia="Palatino Linotype" w:hAnsi="Palatino Linotype" w:cs="Palatino Linotype"/>
          <w:b/>
          <w:color w:val="000000"/>
        </w:rPr>
        <w:t>dos mil veintitrés</w:t>
      </w:r>
      <w:r w:rsidRPr="0042677A">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acordó la ampliación del plazo para su resolución.</w:t>
      </w:r>
    </w:p>
    <w:p w14:paraId="08FEE20C" w14:textId="77777777" w:rsidR="008F7E26" w:rsidRPr="0042677A" w:rsidRDefault="008F7E26" w:rsidP="008F7E26">
      <w:pPr>
        <w:widowControl w:val="0"/>
        <w:spacing w:line="360" w:lineRule="auto"/>
        <w:jc w:val="both"/>
        <w:rPr>
          <w:rFonts w:ascii="Palatino Linotype" w:eastAsia="Palatino Linotype" w:hAnsi="Palatino Linotype" w:cs="Palatino Linotype"/>
        </w:rPr>
      </w:pPr>
    </w:p>
    <w:p w14:paraId="35328BD3" w14:textId="77777777" w:rsidR="008F7E26" w:rsidRPr="0042677A" w:rsidRDefault="008F7E26" w:rsidP="008F7E26">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F2AF098" w14:textId="77777777" w:rsidR="008F7E26" w:rsidRPr="0042677A" w:rsidRDefault="008F7E26" w:rsidP="008F7E26">
      <w:pPr>
        <w:spacing w:line="360" w:lineRule="auto"/>
        <w:jc w:val="both"/>
        <w:rPr>
          <w:rFonts w:ascii="Palatino Linotype" w:eastAsia="Palatino Linotype" w:hAnsi="Palatino Linotype" w:cs="Palatino Linotype"/>
        </w:rPr>
      </w:pPr>
    </w:p>
    <w:p w14:paraId="52FCD703" w14:textId="0781F645" w:rsidR="008F7E26" w:rsidRPr="0042677A" w:rsidRDefault="008F7E26" w:rsidP="008F7E26">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D16E26" w14:textId="77777777" w:rsidR="008F7E26" w:rsidRPr="0042677A" w:rsidRDefault="008F7E26" w:rsidP="008F7E26">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7B7C67" w14:textId="77777777" w:rsidR="008F7E26" w:rsidRPr="0042677A" w:rsidRDefault="008F7E26" w:rsidP="008F7E26">
      <w:pPr>
        <w:spacing w:line="360" w:lineRule="auto"/>
        <w:jc w:val="both"/>
        <w:rPr>
          <w:rFonts w:ascii="Palatino Linotype" w:eastAsia="Palatino Linotype" w:hAnsi="Palatino Linotype" w:cs="Palatino Linotype"/>
        </w:rPr>
      </w:pPr>
    </w:p>
    <w:p w14:paraId="0D6031AB" w14:textId="77777777" w:rsidR="008F7E26" w:rsidRPr="0042677A" w:rsidRDefault="008F7E26" w:rsidP="008F7E26">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5E3414" w14:textId="77777777" w:rsidR="008F7E26" w:rsidRPr="0042677A" w:rsidRDefault="008F7E26" w:rsidP="008F7E26">
      <w:pPr>
        <w:spacing w:line="360" w:lineRule="auto"/>
        <w:jc w:val="both"/>
        <w:rPr>
          <w:rFonts w:ascii="Palatino Linotype" w:eastAsia="Palatino Linotype" w:hAnsi="Palatino Linotype" w:cs="Palatino Linotype"/>
        </w:rPr>
      </w:pPr>
    </w:p>
    <w:p w14:paraId="3F00BDA1" w14:textId="77777777" w:rsidR="008F7E26" w:rsidRPr="0042677A" w:rsidRDefault="008F7E26" w:rsidP="008F7E26">
      <w:pPr>
        <w:spacing w:line="360" w:lineRule="auto"/>
        <w:jc w:val="both"/>
        <w:rPr>
          <w:rFonts w:ascii="Palatino Linotype" w:eastAsia="Palatino Linotype" w:hAnsi="Palatino Linotype" w:cs="Palatino Linotype"/>
          <w:strike/>
          <w:color w:val="FF0000"/>
        </w:rPr>
      </w:pPr>
      <w:r w:rsidRPr="0042677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77A594" w14:textId="77777777" w:rsidR="008F7E26" w:rsidRPr="0042677A" w:rsidRDefault="008F7E26" w:rsidP="008F7E26">
      <w:pPr>
        <w:spacing w:line="360" w:lineRule="auto"/>
        <w:jc w:val="both"/>
        <w:rPr>
          <w:rFonts w:ascii="Palatino Linotype" w:eastAsia="Palatino Linotype" w:hAnsi="Palatino Linotype" w:cs="Palatino Linotype"/>
        </w:rPr>
      </w:pPr>
    </w:p>
    <w:p w14:paraId="7B17DB4E" w14:textId="77777777" w:rsidR="008F7E26" w:rsidRPr="0042677A"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42677A">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D45368C" w14:textId="77777777" w:rsidR="008F7E26" w:rsidRPr="0042677A" w:rsidRDefault="008F7E26" w:rsidP="008F7E26">
      <w:pPr>
        <w:spacing w:line="360" w:lineRule="auto"/>
        <w:ind w:left="927"/>
        <w:jc w:val="both"/>
        <w:rPr>
          <w:rFonts w:ascii="Palatino Linotype" w:eastAsia="Palatino Linotype" w:hAnsi="Palatino Linotype" w:cs="Palatino Linotype"/>
          <w:sz w:val="22"/>
          <w:szCs w:val="22"/>
        </w:rPr>
      </w:pPr>
    </w:p>
    <w:p w14:paraId="434A7266" w14:textId="77777777" w:rsidR="008F7E26" w:rsidRPr="0042677A"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42677A">
        <w:rPr>
          <w:rFonts w:ascii="Palatino Linotype" w:eastAsia="Palatino Linotype" w:hAnsi="Palatino Linotype" w:cs="Palatino Linotype"/>
          <w:sz w:val="22"/>
          <w:szCs w:val="22"/>
        </w:rPr>
        <w:t>Actividad Procesal del interesado. Acciones u omisiones del interesado.</w:t>
      </w:r>
    </w:p>
    <w:p w14:paraId="1A138F38" w14:textId="77777777" w:rsidR="008F7E26" w:rsidRPr="0042677A" w:rsidRDefault="008F7E26" w:rsidP="008F7E26">
      <w:pPr>
        <w:spacing w:line="360" w:lineRule="auto"/>
        <w:ind w:left="927"/>
        <w:jc w:val="both"/>
        <w:rPr>
          <w:rFonts w:ascii="Palatino Linotype" w:eastAsia="Palatino Linotype" w:hAnsi="Palatino Linotype" w:cs="Palatino Linotype"/>
          <w:sz w:val="22"/>
          <w:szCs w:val="22"/>
        </w:rPr>
      </w:pPr>
    </w:p>
    <w:p w14:paraId="7B6A1ADA" w14:textId="77777777" w:rsidR="008F7E26" w:rsidRPr="0042677A"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42677A">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30951049" w14:textId="77777777" w:rsidR="008F7E26" w:rsidRPr="0042677A" w:rsidRDefault="008F7E26" w:rsidP="008F7E26">
      <w:pPr>
        <w:spacing w:line="360" w:lineRule="auto"/>
        <w:ind w:left="927"/>
        <w:jc w:val="both"/>
        <w:rPr>
          <w:rFonts w:ascii="Palatino Linotype" w:eastAsia="Palatino Linotype" w:hAnsi="Palatino Linotype" w:cs="Palatino Linotype"/>
          <w:sz w:val="22"/>
          <w:szCs w:val="22"/>
        </w:rPr>
      </w:pPr>
    </w:p>
    <w:p w14:paraId="619E9A5B" w14:textId="77777777" w:rsidR="008F7E26" w:rsidRPr="0042677A"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42677A">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1C948D19" w14:textId="77777777" w:rsidR="008F7E26" w:rsidRPr="0042677A" w:rsidRDefault="008F7E26" w:rsidP="008F7E26">
      <w:pPr>
        <w:spacing w:line="360" w:lineRule="auto"/>
        <w:jc w:val="both"/>
        <w:rPr>
          <w:rFonts w:ascii="Palatino Linotype" w:eastAsia="Palatino Linotype" w:hAnsi="Palatino Linotype" w:cs="Palatino Linotype"/>
        </w:rPr>
      </w:pPr>
    </w:p>
    <w:p w14:paraId="09F5AB1D" w14:textId="77777777" w:rsidR="008F7E26" w:rsidRPr="0042677A" w:rsidRDefault="008F7E26" w:rsidP="008F7E26">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B21F66" w14:textId="77777777" w:rsidR="008F7E26" w:rsidRPr="0042677A" w:rsidRDefault="008F7E26" w:rsidP="008F7E26">
      <w:pPr>
        <w:spacing w:line="360" w:lineRule="auto"/>
        <w:jc w:val="both"/>
        <w:rPr>
          <w:rFonts w:ascii="Palatino Linotype" w:eastAsia="Palatino Linotype" w:hAnsi="Palatino Linotype" w:cs="Palatino Linotype"/>
        </w:rPr>
      </w:pPr>
    </w:p>
    <w:p w14:paraId="3C6B57CF" w14:textId="77777777" w:rsidR="008F7E26" w:rsidRPr="0042677A" w:rsidRDefault="008F7E26" w:rsidP="008F7E26">
      <w:pPr>
        <w:spacing w:line="360" w:lineRule="auto"/>
        <w:jc w:val="both"/>
        <w:rPr>
          <w:rFonts w:ascii="Palatino Linotype" w:eastAsia="Palatino Linotype" w:hAnsi="Palatino Linotype" w:cs="Palatino Linotype"/>
          <w:b/>
        </w:rPr>
      </w:pPr>
      <w:r w:rsidRPr="0042677A">
        <w:rPr>
          <w:rFonts w:ascii="Palatino Linotype" w:eastAsia="Palatino Linotype" w:hAnsi="Palatino Linotype" w:cs="Palatino Linotype"/>
        </w:rPr>
        <w:t>Argumento que encuentra sustento en la jurisprudencia P</w:t>
      </w:r>
      <w:proofErr w:type="gramStart"/>
      <w:r w:rsidRPr="0042677A">
        <w:rPr>
          <w:rFonts w:ascii="Palatino Linotype" w:eastAsia="Palatino Linotype" w:hAnsi="Palatino Linotype" w:cs="Palatino Linotype"/>
        </w:rPr>
        <w:t>./</w:t>
      </w:r>
      <w:proofErr w:type="gramEnd"/>
      <w:r w:rsidRPr="0042677A">
        <w:rPr>
          <w:rFonts w:ascii="Palatino Linotype" w:eastAsia="Palatino Linotype" w:hAnsi="Palatino Linotype" w:cs="Palatino Linotype"/>
        </w:rPr>
        <w:t xml:space="preserve">J. 32/92 emitida por el Pleno de la Suprema Corte de Justicia de la Nación de rubro </w:t>
      </w:r>
      <w:r w:rsidRPr="0042677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2677A">
        <w:rPr>
          <w:rFonts w:ascii="Palatino Linotype" w:eastAsia="Palatino Linotype" w:hAnsi="Palatino Linotype" w:cs="Palatino Linotype"/>
        </w:rPr>
        <w:t>, visible en la Gaceta del Seminario Judicial de la Federación con el registro digital 205635.</w:t>
      </w:r>
    </w:p>
    <w:p w14:paraId="7D146C2C" w14:textId="77777777" w:rsidR="008F7E26" w:rsidRPr="0042677A" w:rsidRDefault="008F7E26" w:rsidP="008F7E26">
      <w:pPr>
        <w:spacing w:line="360" w:lineRule="auto"/>
        <w:jc w:val="both"/>
        <w:rPr>
          <w:rFonts w:ascii="Palatino Linotype" w:eastAsia="Palatino Linotype" w:hAnsi="Palatino Linotype" w:cs="Palatino Linotype"/>
        </w:rPr>
      </w:pPr>
    </w:p>
    <w:p w14:paraId="1386DB3C" w14:textId="77777777" w:rsidR="008F7E26" w:rsidRPr="0042677A" w:rsidRDefault="008F7E26" w:rsidP="008F7E26">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953B07" w14:textId="77777777" w:rsidR="008F7E26" w:rsidRPr="0042677A" w:rsidRDefault="008F7E26" w:rsidP="008F7E26">
      <w:pPr>
        <w:spacing w:line="360" w:lineRule="auto"/>
        <w:jc w:val="both"/>
        <w:rPr>
          <w:rFonts w:ascii="Palatino Linotype" w:eastAsia="Palatino Linotype" w:hAnsi="Palatino Linotype" w:cs="Palatino Linotype"/>
        </w:rPr>
      </w:pPr>
    </w:p>
    <w:p w14:paraId="73065827" w14:textId="77777777" w:rsidR="008F7E26" w:rsidRPr="0042677A" w:rsidRDefault="008F7E26" w:rsidP="008F7E26">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70BD7D" w14:textId="77777777" w:rsidR="008F7E26" w:rsidRPr="0042677A" w:rsidRDefault="008F7E26" w:rsidP="008F7E26">
      <w:pPr>
        <w:spacing w:line="360" w:lineRule="auto"/>
        <w:jc w:val="both"/>
        <w:rPr>
          <w:rFonts w:ascii="Palatino Linotype" w:eastAsia="Palatino Linotype" w:hAnsi="Palatino Linotype" w:cs="Palatino Linotype"/>
        </w:rPr>
      </w:pPr>
    </w:p>
    <w:p w14:paraId="61223ED9" w14:textId="77777777" w:rsidR="008F7E26" w:rsidRPr="0042677A" w:rsidRDefault="008F7E26" w:rsidP="008F7E26">
      <w:pPr>
        <w:spacing w:line="360" w:lineRule="auto"/>
        <w:ind w:left="567" w:right="616"/>
        <w:jc w:val="both"/>
        <w:rPr>
          <w:rFonts w:ascii="Palatino Linotype" w:eastAsia="Palatino Linotype" w:hAnsi="Palatino Linotype" w:cs="Palatino Linotype"/>
          <w:sz w:val="22"/>
          <w:szCs w:val="22"/>
        </w:rPr>
      </w:pPr>
      <w:r w:rsidRPr="0042677A">
        <w:rPr>
          <w:rFonts w:ascii="Palatino Linotype" w:eastAsia="Palatino Linotype" w:hAnsi="Palatino Linotype" w:cs="Palatino Linotype"/>
          <w:sz w:val="22"/>
          <w:szCs w:val="22"/>
        </w:rPr>
        <w:lastRenderedPageBreak/>
        <w:t xml:space="preserve"> </w:t>
      </w:r>
      <w:r w:rsidRPr="0042677A">
        <w:rPr>
          <w:rFonts w:ascii="Palatino Linotype" w:eastAsia="Palatino Linotype" w:hAnsi="Palatino Linotype" w:cs="Palatino Linotype"/>
          <w:i/>
          <w:sz w:val="22"/>
          <w:szCs w:val="22"/>
        </w:rPr>
        <w:t>“PLAZO RAZONABLE PARA RESOLVER. DIMENSIÓN Y EFECTOS DE ESTE CONCEPTO CUANDO SE ADUCE EXCESIVA CARGA DE TRABAJO.”</w:t>
      </w:r>
      <w:r w:rsidRPr="0042677A">
        <w:rPr>
          <w:rFonts w:ascii="Palatino Linotype" w:eastAsia="Palatino Linotype" w:hAnsi="Palatino Linotype" w:cs="Palatino Linotype"/>
          <w:sz w:val="22"/>
          <w:szCs w:val="22"/>
        </w:rPr>
        <w:t xml:space="preserve"> consultable en el Seminario Judicial de la Federación y su gaceta, con el registro digital 2002351.</w:t>
      </w:r>
    </w:p>
    <w:p w14:paraId="79D1EDE2" w14:textId="77777777" w:rsidR="008F7E26" w:rsidRPr="0042677A" w:rsidRDefault="008F7E26" w:rsidP="008F7E26">
      <w:pPr>
        <w:spacing w:line="360" w:lineRule="auto"/>
        <w:ind w:left="567" w:right="616"/>
        <w:jc w:val="both"/>
        <w:rPr>
          <w:rFonts w:ascii="Palatino Linotype" w:eastAsia="Palatino Linotype" w:hAnsi="Palatino Linotype" w:cs="Palatino Linotype"/>
          <w:b/>
          <w:sz w:val="22"/>
          <w:szCs w:val="22"/>
        </w:rPr>
      </w:pPr>
    </w:p>
    <w:p w14:paraId="059FFC41" w14:textId="77777777" w:rsidR="008F7E26" w:rsidRPr="0042677A" w:rsidRDefault="008F7E26" w:rsidP="008F7E26">
      <w:pPr>
        <w:spacing w:line="360" w:lineRule="auto"/>
        <w:ind w:left="567" w:right="616"/>
        <w:jc w:val="both"/>
        <w:rPr>
          <w:rFonts w:ascii="Palatino Linotype" w:eastAsia="Palatino Linotype" w:hAnsi="Palatino Linotype" w:cs="Palatino Linotype"/>
          <w:sz w:val="22"/>
          <w:szCs w:val="22"/>
        </w:rPr>
      </w:pPr>
      <w:r w:rsidRPr="0042677A">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42677A">
        <w:rPr>
          <w:rFonts w:ascii="Palatino Linotype" w:eastAsia="Palatino Linotype" w:hAnsi="Palatino Linotype" w:cs="Palatino Linotype"/>
          <w:sz w:val="22"/>
          <w:szCs w:val="22"/>
        </w:rPr>
        <w:t>, visible en el Seminario Judicial de la Federación y su gaceta, con el registro digital 2002350.</w:t>
      </w:r>
    </w:p>
    <w:p w14:paraId="659CF48C" w14:textId="77777777" w:rsidR="008F7E26" w:rsidRPr="0042677A" w:rsidRDefault="008F7E26" w:rsidP="008F7E26">
      <w:pPr>
        <w:spacing w:line="360" w:lineRule="auto"/>
        <w:ind w:left="567" w:right="616"/>
        <w:jc w:val="both"/>
        <w:rPr>
          <w:rFonts w:ascii="Palatino Linotype" w:eastAsia="Palatino Linotype" w:hAnsi="Palatino Linotype" w:cs="Palatino Linotype"/>
          <w:sz w:val="22"/>
          <w:szCs w:val="22"/>
        </w:rPr>
      </w:pPr>
    </w:p>
    <w:p w14:paraId="515E7BC5" w14:textId="39B98C2D" w:rsidR="008F7E26" w:rsidRPr="0042677A" w:rsidRDefault="008F7E26" w:rsidP="008F7E26">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2586826" w14:textId="11EFED60" w:rsidR="008F7E26" w:rsidRPr="0042677A" w:rsidRDefault="003A2877" w:rsidP="002C59EE">
      <w:pPr>
        <w:widowControl w:val="0"/>
        <w:spacing w:line="360" w:lineRule="auto"/>
        <w:jc w:val="both"/>
        <w:rPr>
          <w:rFonts w:ascii="Palatino Linotype" w:eastAsia="Palatino Linotype" w:hAnsi="Palatino Linotype" w:cs="Palatino Linotype"/>
          <w:b/>
        </w:rPr>
      </w:pPr>
      <w:r w:rsidRPr="0042677A">
        <w:rPr>
          <w:rFonts w:ascii="Palatino Linotype" w:eastAsia="Palatino Linotype" w:hAnsi="Palatino Linotype" w:cs="Palatino Linotype"/>
          <w:b/>
        </w:rPr>
        <w:t xml:space="preserve"> </w:t>
      </w:r>
    </w:p>
    <w:p w14:paraId="1F34F579" w14:textId="2366EF7B" w:rsidR="00AD0435" w:rsidRPr="0042677A" w:rsidRDefault="00E73E4F" w:rsidP="002C59EE">
      <w:pPr>
        <w:widowControl w:val="0"/>
        <w:spacing w:line="360" w:lineRule="auto"/>
        <w:jc w:val="both"/>
        <w:rPr>
          <w:rFonts w:ascii="Palatino Linotype" w:eastAsia="Palatino Linotype" w:hAnsi="Palatino Linotype" w:cs="Palatino Linotype"/>
          <w:b/>
          <w:color w:val="FF0000"/>
        </w:rPr>
      </w:pPr>
      <w:r w:rsidRPr="0042677A">
        <w:rPr>
          <w:rFonts w:ascii="Palatino Linotype" w:eastAsia="Palatino Linotype" w:hAnsi="Palatino Linotype" w:cs="Palatino Linotype"/>
          <w:b/>
        </w:rPr>
        <w:t xml:space="preserve">10. </w:t>
      </w:r>
      <w:r w:rsidR="003A2877" w:rsidRPr="0042677A">
        <w:rPr>
          <w:rFonts w:ascii="Palatino Linotype" w:eastAsia="Palatino Linotype" w:hAnsi="Palatino Linotype" w:cs="Palatino Linotype"/>
          <w:b/>
        </w:rPr>
        <w:t>Cierre de instrucción.</w:t>
      </w:r>
      <w:r w:rsidR="00C3153A" w:rsidRPr="0042677A">
        <w:rPr>
          <w:rFonts w:ascii="Palatino Linotype" w:eastAsia="Palatino Linotype" w:hAnsi="Palatino Linotype" w:cs="Palatino Linotype"/>
        </w:rPr>
        <w:t xml:space="preserve"> En fecha </w:t>
      </w:r>
      <w:r w:rsidRPr="0042677A">
        <w:rPr>
          <w:rFonts w:ascii="Palatino Linotype" w:eastAsia="Palatino Linotype" w:hAnsi="Palatino Linotype" w:cs="Palatino Linotype"/>
          <w:b/>
          <w:bCs/>
        </w:rPr>
        <w:t>veinte</w:t>
      </w:r>
      <w:r w:rsidR="00C3153A" w:rsidRPr="0042677A">
        <w:rPr>
          <w:rFonts w:ascii="Palatino Linotype" w:eastAsia="Palatino Linotype" w:hAnsi="Palatino Linotype" w:cs="Palatino Linotype"/>
          <w:b/>
          <w:bCs/>
        </w:rPr>
        <w:t xml:space="preserve"> de junio </w:t>
      </w:r>
      <w:r w:rsidR="003A2877" w:rsidRPr="0042677A">
        <w:rPr>
          <w:rFonts w:ascii="Palatino Linotype" w:eastAsia="Palatino Linotype" w:hAnsi="Palatino Linotype" w:cs="Palatino Linotype"/>
          <w:b/>
        </w:rPr>
        <w:t>de dos mil veinti</w:t>
      </w:r>
      <w:r w:rsidR="00FF1389" w:rsidRPr="0042677A">
        <w:rPr>
          <w:rFonts w:ascii="Palatino Linotype" w:eastAsia="Palatino Linotype" w:hAnsi="Palatino Linotype" w:cs="Palatino Linotype"/>
          <w:b/>
        </w:rPr>
        <w:t>trés</w:t>
      </w:r>
      <w:r w:rsidR="003A2877" w:rsidRPr="0042677A">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14:paraId="3D5ED9E5" w14:textId="77777777" w:rsidR="001D414C" w:rsidRPr="0042677A" w:rsidRDefault="001D414C" w:rsidP="002C59EE">
      <w:pPr>
        <w:widowControl w:val="0"/>
        <w:spacing w:line="360" w:lineRule="auto"/>
        <w:jc w:val="both"/>
        <w:rPr>
          <w:rFonts w:ascii="Palatino Linotype" w:eastAsia="Palatino Linotype" w:hAnsi="Palatino Linotype" w:cs="Palatino Linotype"/>
        </w:rPr>
      </w:pPr>
    </w:p>
    <w:p w14:paraId="4DB9F1C8" w14:textId="77777777" w:rsidR="00954120" w:rsidRPr="0042677A" w:rsidRDefault="003A2877" w:rsidP="002C59EE">
      <w:pPr>
        <w:pBdr>
          <w:top w:val="nil"/>
          <w:left w:val="nil"/>
          <w:bottom w:val="nil"/>
          <w:right w:val="nil"/>
          <w:between w:val="nil"/>
        </w:pBd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14:paraId="717D62CA" w14:textId="77777777" w:rsidR="00AD0435" w:rsidRPr="0042677A" w:rsidRDefault="00AD0435" w:rsidP="002C59EE">
      <w:pPr>
        <w:pBdr>
          <w:top w:val="nil"/>
          <w:left w:val="nil"/>
          <w:bottom w:val="nil"/>
          <w:right w:val="nil"/>
          <w:between w:val="nil"/>
        </w:pBdr>
        <w:spacing w:line="360" w:lineRule="auto"/>
        <w:jc w:val="both"/>
      </w:pPr>
    </w:p>
    <w:p w14:paraId="7243D71E" w14:textId="77777777" w:rsidR="00954120" w:rsidRPr="0042677A" w:rsidRDefault="003A2877" w:rsidP="002C59EE">
      <w:pPr>
        <w:pBdr>
          <w:top w:val="nil"/>
          <w:left w:val="nil"/>
          <w:bottom w:val="nil"/>
          <w:right w:val="nil"/>
          <w:between w:val="nil"/>
        </w:pBdr>
        <w:spacing w:line="360" w:lineRule="auto"/>
        <w:jc w:val="center"/>
        <w:rPr>
          <w:rFonts w:ascii="Palatino Linotype" w:eastAsia="Palatino Linotype" w:hAnsi="Palatino Linotype" w:cs="Palatino Linotype"/>
          <w:b/>
        </w:rPr>
      </w:pPr>
      <w:r w:rsidRPr="0042677A">
        <w:rPr>
          <w:rFonts w:ascii="Palatino Linotype" w:eastAsia="Palatino Linotype" w:hAnsi="Palatino Linotype" w:cs="Palatino Linotype"/>
          <w:b/>
        </w:rPr>
        <w:lastRenderedPageBreak/>
        <w:t>II. C O N S I D E R A N D O S</w:t>
      </w:r>
    </w:p>
    <w:p w14:paraId="2FA07DEE" w14:textId="77777777" w:rsidR="00AD0435" w:rsidRPr="0042677A" w:rsidRDefault="00AD0435" w:rsidP="002C59EE">
      <w:pPr>
        <w:pBdr>
          <w:top w:val="nil"/>
          <w:left w:val="nil"/>
          <w:bottom w:val="nil"/>
          <w:right w:val="nil"/>
          <w:between w:val="nil"/>
        </w:pBdr>
        <w:spacing w:line="360" w:lineRule="auto"/>
        <w:jc w:val="center"/>
        <w:rPr>
          <w:rFonts w:ascii="Palatino Linotype" w:eastAsia="Palatino Linotype" w:hAnsi="Palatino Linotype" w:cs="Palatino Linotype"/>
          <w:b/>
        </w:rPr>
      </w:pPr>
    </w:p>
    <w:p w14:paraId="3B0BD9D2" w14:textId="77777777" w:rsidR="00954120" w:rsidRPr="0042677A" w:rsidRDefault="003A2877" w:rsidP="002C59EE">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b/>
        </w:rPr>
        <w:t>Primero. Competencia.</w:t>
      </w:r>
      <w:r w:rsidRPr="0042677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42677A">
        <w:rPr>
          <w:rFonts w:ascii="Palatino Linotype" w:eastAsia="Palatino Linotype" w:hAnsi="Palatino Linotype" w:cs="Palatino Linotype"/>
          <w:b/>
        </w:rPr>
        <w:t>la parte</w:t>
      </w:r>
      <w:r w:rsidRPr="0042677A">
        <w:rPr>
          <w:rFonts w:ascii="Palatino Linotype" w:eastAsia="Palatino Linotype" w:hAnsi="Palatino Linotype" w:cs="Palatino Linotype"/>
        </w:rPr>
        <w:t xml:space="preserve"> </w:t>
      </w:r>
      <w:r w:rsidRPr="0042677A">
        <w:rPr>
          <w:rFonts w:ascii="Palatino Linotype" w:eastAsia="Palatino Linotype" w:hAnsi="Palatino Linotype" w:cs="Palatino Linotype"/>
          <w:b/>
        </w:rPr>
        <w:t>Recurrente</w:t>
      </w:r>
      <w:r w:rsidRPr="0042677A">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D0435" w:rsidRPr="0042677A">
        <w:rPr>
          <w:rFonts w:ascii="Palatino Linotype" w:eastAsia="Palatino Linotype" w:hAnsi="Palatino Linotype" w:cs="Palatino Linotype"/>
        </w:rPr>
        <w:t>nicipios; 9, fracciones I y XXIII</w:t>
      </w:r>
      <w:r w:rsidRPr="0042677A">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6BB4D65B" w14:textId="77777777" w:rsidR="008F7E26" w:rsidRPr="0042677A" w:rsidRDefault="008F7E26" w:rsidP="002C59EE">
      <w:pPr>
        <w:spacing w:line="360" w:lineRule="auto"/>
        <w:jc w:val="both"/>
        <w:rPr>
          <w:rFonts w:ascii="Palatino Linotype" w:eastAsia="Palatino Linotype" w:hAnsi="Palatino Linotype" w:cs="Palatino Linotype"/>
        </w:rPr>
      </w:pPr>
    </w:p>
    <w:p w14:paraId="50B01645" w14:textId="77777777" w:rsidR="00954120" w:rsidRPr="0042677A" w:rsidRDefault="003A2877" w:rsidP="002C59EE">
      <w:pPr>
        <w:spacing w:line="360" w:lineRule="auto"/>
        <w:jc w:val="both"/>
        <w:rPr>
          <w:rFonts w:ascii="Palatino Linotype" w:eastAsia="Palatino Linotype" w:hAnsi="Palatino Linotype" w:cs="Palatino Linotype"/>
          <w:b/>
        </w:rPr>
      </w:pPr>
      <w:r w:rsidRPr="0042677A">
        <w:rPr>
          <w:rFonts w:ascii="Palatino Linotype" w:eastAsia="Palatino Linotype" w:hAnsi="Palatino Linotype" w:cs="Palatino Linotype"/>
          <w:b/>
        </w:rPr>
        <w:t>Segundo</w:t>
      </w:r>
      <w:r w:rsidRPr="0042677A">
        <w:rPr>
          <w:rFonts w:ascii="Palatino Linotype" w:eastAsia="Palatino Linotype" w:hAnsi="Palatino Linotype" w:cs="Palatino Linotype"/>
          <w:b/>
          <w:sz w:val="28"/>
          <w:szCs w:val="28"/>
        </w:rPr>
        <w:t xml:space="preserve">. </w:t>
      </w:r>
      <w:r w:rsidRPr="0042677A">
        <w:rPr>
          <w:rFonts w:ascii="Palatino Linotype" w:eastAsia="Palatino Linotype" w:hAnsi="Palatino Linotype" w:cs="Palatino Linotype"/>
          <w:b/>
        </w:rPr>
        <w:t xml:space="preserve"> De los alcances del Recurso de Revisión. </w:t>
      </w:r>
      <w:r w:rsidRPr="0042677A">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E532BC3" w14:textId="77777777" w:rsidR="00954120" w:rsidRPr="0042677A" w:rsidRDefault="00954120" w:rsidP="002C59EE">
      <w:pPr>
        <w:spacing w:line="360" w:lineRule="auto"/>
        <w:jc w:val="both"/>
        <w:rPr>
          <w:rFonts w:ascii="Palatino Linotype" w:eastAsia="Palatino Linotype" w:hAnsi="Palatino Linotype" w:cs="Palatino Linotype"/>
          <w:b/>
        </w:rPr>
      </w:pPr>
    </w:p>
    <w:p w14:paraId="59743E24" w14:textId="51DF11D4" w:rsidR="00FF1389" w:rsidRPr="0042677A" w:rsidRDefault="003A2877" w:rsidP="00FF1389">
      <w:pPr>
        <w:pBdr>
          <w:top w:val="nil"/>
          <w:left w:val="nil"/>
          <w:bottom w:val="nil"/>
          <w:right w:val="nil"/>
          <w:between w:val="nil"/>
        </w:pBdr>
        <w:spacing w:line="360" w:lineRule="auto"/>
        <w:jc w:val="both"/>
        <w:rPr>
          <w:rFonts w:ascii="Palatino Linotype" w:eastAsia="Palatino Linotype" w:hAnsi="Palatino Linotype" w:cs="Palatino Linotype"/>
          <w:b/>
        </w:rPr>
      </w:pPr>
      <w:r w:rsidRPr="0042677A">
        <w:rPr>
          <w:rFonts w:ascii="Palatino Linotype" w:eastAsia="Palatino Linotype" w:hAnsi="Palatino Linotype" w:cs="Palatino Linotype"/>
          <w:b/>
        </w:rPr>
        <w:t xml:space="preserve">Tercero. </w:t>
      </w:r>
      <w:r w:rsidR="00FF1389" w:rsidRPr="0042677A">
        <w:rPr>
          <w:rFonts w:ascii="Palatino Linotype" w:eastAsia="Palatino Linotype" w:hAnsi="Palatino Linotype" w:cs="Palatino Linotype"/>
          <w:b/>
        </w:rPr>
        <w:t>Análisis de las causales de improcedencia y sobreseimiento del recurso de revisión.</w:t>
      </w:r>
      <w:r w:rsidR="00FF1389" w:rsidRPr="0042677A">
        <w:t xml:space="preserve"> </w:t>
      </w:r>
      <w:r w:rsidR="00FF1389" w:rsidRPr="0042677A">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w:t>
      </w:r>
      <w:r w:rsidR="00FF1389" w:rsidRPr="0042677A">
        <w:rPr>
          <w:rFonts w:ascii="Palatino Linotype" w:eastAsia="Palatino Linotype" w:hAnsi="Palatino Linotype" w:cs="Palatino Linotype"/>
        </w:rPr>
        <w:lastRenderedPageBreak/>
        <w:t xml:space="preserve">supuestos de </w:t>
      </w:r>
      <w:proofErr w:type="spellStart"/>
      <w:r w:rsidR="00FF1389" w:rsidRPr="0042677A">
        <w:rPr>
          <w:rFonts w:ascii="Palatino Linotype" w:eastAsia="Palatino Linotype" w:hAnsi="Palatino Linotype" w:cs="Palatino Linotype"/>
        </w:rPr>
        <w:t>procedibilidad</w:t>
      </w:r>
      <w:proofErr w:type="spellEnd"/>
      <w:r w:rsidR="00FF1389" w:rsidRPr="0042677A">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80DF4A" w14:textId="77777777" w:rsidR="00FF1389" w:rsidRPr="0042677A" w:rsidRDefault="00FF1389" w:rsidP="00FF1389">
      <w:pPr>
        <w:tabs>
          <w:tab w:val="left" w:pos="1350"/>
        </w:tabs>
        <w:spacing w:line="360" w:lineRule="auto"/>
        <w:jc w:val="both"/>
        <w:rPr>
          <w:rFonts w:ascii="Palatino Linotype" w:hAnsi="Palatino Linotype"/>
        </w:rPr>
      </w:pPr>
      <w:r w:rsidRPr="0042677A">
        <w:tab/>
      </w:r>
    </w:p>
    <w:p w14:paraId="7A030F84" w14:textId="77777777" w:rsidR="00FF1389" w:rsidRPr="0042677A" w:rsidRDefault="00FF1389" w:rsidP="00FF1389">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F0173D2" w14:textId="77777777" w:rsidR="00FF1389" w:rsidRPr="0042677A" w:rsidRDefault="00FF1389" w:rsidP="00FF1389">
      <w:pPr>
        <w:spacing w:line="360" w:lineRule="auto"/>
        <w:jc w:val="both"/>
        <w:rPr>
          <w:rFonts w:ascii="Palatino Linotype" w:eastAsia="Palatino Linotype" w:hAnsi="Palatino Linotype" w:cs="Palatino Linotype"/>
        </w:rPr>
      </w:pPr>
    </w:p>
    <w:p w14:paraId="627741E6" w14:textId="77777777" w:rsidR="00FF1389" w:rsidRPr="0042677A" w:rsidRDefault="00FF1389" w:rsidP="00FF1389">
      <w:pPr>
        <w:spacing w:line="360" w:lineRule="auto"/>
        <w:ind w:right="51"/>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De manera preliminar en el caso concreto conviene analizar si se actualiza alguna de las causales de sobreseimiento del Recurso de Revisión, al tenor de lo siguiente: </w:t>
      </w:r>
    </w:p>
    <w:p w14:paraId="1427F3A4" w14:textId="77777777" w:rsidR="00FF1389" w:rsidRPr="0042677A" w:rsidRDefault="00FF1389" w:rsidP="00FF138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BBAA14F" w14:textId="77777777" w:rsidR="00FF1389" w:rsidRPr="0042677A" w:rsidRDefault="00FF1389" w:rsidP="00FF138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En principio, resulta conveniente recordar que la pretensión del Particular es obtener la siguiente información: </w:t>
      </w:r>
    </w:p>
    <w:p w14:paraId="21CB3F86" w14:textId="77777777" w:rsidR="00FF1389" w:rsidRPr="0042677A" w:rsidRDefault="00FF1389" w:rsidP="00FF138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390EAED" w14:textId="5F7F79C4" w:rsidR="00FF1389" w:rsidRPr="0042677A" w:rsidRDefault="00FF1389" w:rsidP="00FF1389">
      <w:pPr>
        <w:pStyle w:val="Prrafodelista"/>
        <w:numPr>
          <w:ilvl w:val="0"/>
          <w:numId w:val="37"/>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Certificados de derecho de fosa individual. </w:t>
      </w:r>
    </w:p>
    <w:p w14:paraId="1CA50967" w14:textId="77777777" w:rsidR="00FF1389" w:rsidRPr="0042677A" w:rsidRDefault="00FF1389" w:rsidP="00FF1389">
      <w:pPr>
        <w:pStyle w:val="Prrafodelista"/>
        <w:pBdr>
          <w:top w:val="nil"/>
          <w:left w:val="nil"/>
          <w:bottom w:val="nil"/>
          <w:right w:val="nil"/>
          <w:between w:val="nil"/>
        </w:pBdr>
        <w:spacing w:line="360" w:lineRule="auto"/>
        <w:ind w:left="720" w:right="-150"/>
        <w:jc w:val="both"/>
        <w:rPr>
          <w:rFonts w:ascii="Palatino Linotype" w:eastAsia="Palatino Linotype" w:hAnsi="Palatino Linotype" w:cs="Palatino Linotype"/>
        </w:rPr>
      </w:pPr>
    </w:p>
    <w:p w14:paraId="39912F4F" w14:textId="6D490F26" w:rsidR="00FF1389" w:rsidRPr="0042677A" w:rsidRDefault="00FF1389" w:rsidP="00FF138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2677A">
        <w:rPr>
          <w:rFonts w:ascii="Palatino Linotype" w:eastAsia="Palatino Linotype" w:hAnsi="Palatino Linotype" w:cs="Palatino Linotype"/>
        </w:rPr>
        <w:lastRenderedPageBreak/>
        <w:t xml:space="preserve">El Sujeto Obligado, en cumplimiento a la resolución dictada en el Recurso de Revisión 15034/INFOEM/IP/RR/2022, hizo entrega </w:t>
      </w:r>
      <w:r w:rsidR="00CA2A48" w:rsidRPr="0042677A">
        <w:rPr>
          <w:rFonts w:ascii="Palatino Linotype" w:eastAsia="Palatino Linotype" w:hAnsi="Palatino Linotype" w:cs="Palatino Linotype"/>
        </w:rPr>
        <w:t xml:space="preserve">a través de la Dirección de Servicios Públicos un certificado de derechos y obligaciones de usuarios de fosa individual adquirida por temporalidad, en versión pública, en donde clasificó el nombre firma del ciudadano y la ubicación de la fosa. </w:t>
      </w:r>
    </w:p>
    <w:p w14:paraId="6367BF77" w14:textId="77777777" w:rsidR="00CA2A48" w:rsidRPr="0042677A" w:rsidRDefault="00CA2A48" w:rsidP="00FF138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BA6319C" w14:textId="720CBC21" w:rsidR="00CA2A48" w:rsidRPr="0042677A" w:rsidRDefault="00CA2A48" w:rsidP="00FF138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No obstante, en el segundo Recurso de Revisión interpuesto por el Particular se inconformó medularmente por la entrega de información incompleta. </w:t>
      </w:r>
    </w:p>
    <w:p w14:paraId="5202E787" w14:textId="77777777" w:rsidR="00CA2A48" w:rsidRPr="0042677A" w:rsidRDefault="00CA2A48" w:rsidP="00FF138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3EE70E4" w14:textId="1ED19057" w:rsidR="00CA2A48" w:rsidRPr="0042677A" w:rsidRDefault="00CA2A48" w:rsidP="00FF138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Es así, que mediante informe justificado la Dirección de Servicios Públicos, remitió cincuenta y siete certificados de derecho de fosa individual del Panteón Municipal </w:t>
      </w:r>
      <w:r w:rsidR="00676C6E" w:rsidRPr="0042677A">
        <w:rPr>
          <w:rFonts w:ascii="Palatino Linotype" w:eastAsia="Palatino Linotype" w:hAnsi="Palatino Linotype" w:cs="Palatino Linotype"/>
        </w:rPr>
        <w:t xml:space="preserve">emitidos </w:t>
      </w:r>
      <w:r w:rsidRPr="0042677A">
        <w:rPr>
          <w:rFonts w:ascii="Palatino Linotype" w:eastAsia="Palatino Linotype" w:hAnsi="Palatino Linotype" w:cs="Palatino Linotype"/>
        </w:rPr>
        <w:t xml:space="preserve">del quince agosto de dos mil veintiuno al quince de agosto de dos mil veintidós y el cuadro de clasificación de datos, en el cual se puede advertir la </w:t>
      </w:r>
      <w:r w:rsidR="00830F42" w:rsidRPr="0042677A">
        <w:rPr>
          <w:rFonts w:ascii="Palatino Linotype" w:eastAsia="Palatino Linotype" w:hAnsi="Palatino Linotype" w:cs="Palatino Linotype"/>
        </w:rPr>
        <w:t>clasificación</w:t>
      </w:r>
      <w:r w:rsidRPr="0042677A">
        <w:rPr>
          <w:rFonts w:ascii="Palatino Linotype" w:eastAsia="Palatino Linotype" w:hAnsi="Palatino Linotype" w:cs="Palatino Linotype"/>
        </w:rPr>
        <w:t xml:space="preserve"> del nombre y firma del titular de la fosa, nombre y firma del suplente de la fosa y la ubicación de la fosa. </w:t>
      </w:r>
    </w:p>
    <w:p w14:paraId="45DB3328" w14:textId="77777777" w:rsidR="00FF1389" w:rsidRPr="0042677A" w:rsidRDefault="00FF1389" w:rsidP="00FF138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05466811" w14:textId="1E521C4C" w:rsidR="00FF1389" w:rsidRPr="0042677A" w:rsidRDefault="00FF1389" w:rsidP="00FF138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42677A">
        <w:rPr>
          <w:rFonts w:ascii="Palatino Linotype" w:eastAsia="Palatino Linotype" w:hAnsi="Palatino Linotype" w:cs="Palatino Linotype"/>
          <w:color w:val="000000"/>
        </w:rPr>
        <w:t xml:space="preserve">Dicho lo anterior, resulta procedente contextualizar la información solicitada, para ello, es importante traer a colación lo que establece la Ley </w:t>
      </w:r>
      <w:r w:rsidR="00CA2A48" w:rsidRPr="0042677A">
        <w:rPr>
          <w:rFonts w:ascii="Palatino Linotype" w:eastAsia="Palatino Linotype" w:hAnsi="Palatino Linotype" w:cs="Palatino Linotype"/>
          <w:color w:val="000000"/>
        </w:rPr>
        <w:t xml:space="preserve">Orgánica Municipal del Estado del Estado de México establece que los municipios tendrán a su cargo la prestación de diversos servicios públicos, como a la literalidad se precisa: </w:t>
      </w:r>
    </w:p>
    <w:p w14:paraId="571977C4" w14:textId="77777777" w:rsidR="00CA2A48" w:rsidRPr="0042677A" w:rsidRDefault="00CA2A48" w:rsidP="00FF138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7EBA3632" w14:textId="77777777"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t xml:space="preserve">Artículo 125.- Los municipios tendrán a su cargo la prestación, explotación, administración y conservación de los servicios públicos municipales, considerándose enunciativa y no limitativamente, los siguientes: </w:t>
      </w:r>
    </w:p>
    <w:p w14:paraId="13770C02" w14:textId="591466D7"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t xml:space="preserve">I. Agua potable, alcantarillado, saneamiento y aguas residuales; </w:t>
      </w:r>
    </w:p>
    <w:p w14:paraId="3ECC257C" w14:textId="77777777"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t xml:space="preserve">II. Alumbrado público; </w:t>
      </w:r>
    </w:p>
    <w:p w14:paraId="3C242CCB" w14:textId="77777777"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lastRenderedPageBreak/>
        <w:t>III. Limpia, recolección, segregada, traslado, tratamiento y disposición final de los residuos sólidos urbanos; debiendo emprender acciones para la identificación y prevención de la creación de nuevos tiraderos a cielo abierto o sitios de disposición clandestina de residuos de cualquier índole. En la recolección segregada, con la finalidad de fomentar la economía circular y promover la valorización de los residuos sólidos urbanos, se observará la siguiente clasificación:</w:t>
      </w:r>
    </w:p>
    <w:p w14:paraId="791B2977" w14:textId="77777777"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t xml:space="preserve">a) Orgánicos </w:t>
      </w:r>
    </w:p>
    <w:p w14:paraId="3FE68FC5" w14:textId="77777777"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t xml:space="preserve">b) Inorgánicos </w:t>
      </w:r>
    </w:p>
    <w:p w14:paraId="56656646" w14:textId="77777777"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t xml:space="preserve">IV. Mercados y centrales de abasto; </w:t>
      </w:r>
    </w:p>
    <w:p w14:paraId="3F4307C0" w14:textId="0B264658"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b/>
          <w:bCs/>
          <w:i/>
          <w:iCs/>
          <w:sz w:val="22"/>
          <w:szCs w:val="22"/>
        </w:rPr>
      </w:pPr>
      <w:r w:rsidRPr="0042677A">
        <w:rPr>
          <w:rFonts w:ascii="Palatino Linotype" w:hAnsi="Palatino Linotype"/>
          <w:b/>
          <w:bCs/>
          <w:i/>
          <w:iCs/>
          <w:sz w:val="22"/>
          <w:szCs w:val="22"/>
        </w:rPr>
        <w:t xml:space="preserve">V. Panteones; </w:t>
      </w:r>
    </w:p>
    <w:p w14:paraId="08628C20" w14:textId="77777777"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t xml:space="preserve">VI. Rastro; </w:t>
      </w:r>
    </w:p>
    <w:p w14:paraId="0BEC43B8" w14:textId="77777777"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t xml:space="preserve">VII. Calles, parques, jardines, áreas verdes y recreativas; </w:t>
      </w:r>
    </w:p>
    <w:p w14:paraId="540A65BA" w14:textId="2DED83F6" w:rsidR="00CA2A48" w:rsidRPr="0042677A" w:rsidRDefault="00CA2A48" w:rsidP="00CA2A48">
      <w:pPr>
        <w:pBdr>
          <w:top w:val="nil"/>
          <w:left w:val="nil"/>
          <w:bottom w:val="nil"/>
          <w:right w:val="nil"/>
          <w:between w:val="nil"/>
        </w:pBdr>
        <w:spacing w:line="276" w:lineRule="auto"/>
        <w:ind w:left="567" w:right="567"/>
        <w:jc w:val="both"/>
        <w:rPr>
          <w:rFonts w:ascii="Palatino Linotype" w:hAnsi="Palatino Linotype"/>
          <w:i/>
          <w:iCs/>
          <w:sz w:val="22"/>
          <w:szCs w:val="22"/>
        </w:rPr>
      </w:pPr>
      <w:r w:rsidRPr="0042677A">
        <w:rPr>
          <w:rFonts w:ascii="Palatino Linotype" w:hAnsi="Palatino Linotype"/>
          <w:i/>
          <w:iCs/>
          <w:sz w:val="22"/>
          <w:szCs w:val="22"/>
        </w:rPr>
        <w:t xml:space="preserve">VIII. Seguridad pública y tránsito; </w:t>
      </w:r>
    </w:p>
    <w:p w14:paraId="37418593" w14:textId="77777777" w:rsidR="00CA2A48" w:rsidRPr="0042677A" w:rsidRDefault="00CA2A48" w:rsidP="00FF138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p>
    <w:p w14:paraId="297ACE4F" w14:textId="2BD1C518" w:rsidR="00FF1389" w:rsidRPr="0042677A" w:rsidRDefault="00FF1389" w:rsidP="00FF138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42677A">
        <w:rPr>
          <w:rFonts w:ascii="Palatino Linotype" w:eastAsia="Palatino Linotype" w:hAnsi="Palatino Linotype" w:cs="Palatino Linotype"/>
          <w:color w:val="000000"/>
        </w:rPr>
        <w:t xml:space="preserve">En lo que compete al Ayuntamiento de </w:t>
      </w:r>
      <w:r w:rsidR="00CA2A48" w:rsidRPr="0042677A">
        <w:rPr>
          <w:rFonts w:ascii="Palatino Linotype" w:eastAsia="Palatino Linotype" w:hAnsi="Palatino Linotype" w:cs="Palatino Linotype"/>
          <w:color w:val="000000"/>
        </w:rPr>
        <w:t>Metepec, el Código de Reglamentación Municipal de Metepec, precisa en sus artículo</w:t>
      </w:r>
      <w:r w:rsidR="0083422B" w:rsidRPr="0042677A">
        <w:rPr>
          <w:rFonts w:ascii="Palatino Linotype" w:eastAsia="Palatino Linotype" w:hAnsi="Palatino Linotype" w:cs="Palatino Linotype"/>
          <w:color w:val="000000"/>
        </w:rPr>
        <w:t xml:space="preserve">s </w:t>
      </w:r>
      <w:r w:rsidR="00CA2A48" w:rsidRPr="0042677A">
        <w:rPr>
          <w:rFonts w:ascii="Palatino Linotype" w:eastAsia="Palatino Linotype" w:hAnsi="Palatino Linotype" w:cs="Palatino Linotype"/>
          <w:color w:val="000000"/>
        </w:rPr>
        <w:t xml:space="preserve">3.236 y subsecuentes lo siguiente: </w:t>
      </w:r>
    </w:p>
    <w:p w14:paraId="67496EB5" w14:textId="77777777" w:rsidR="00FF1389" w:rsidRPr="0042677A" w:rsidRDefault="00FF1389" w:rsidP="00FF138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rPr>
      </w:pPr>
    </w:p>
    <w:p w14:paraId="5BE566C6"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b/>
          <w:bCs/>
          <w:i/>
          <w:iCs/>
          <w:sz w:val="22"/>
          <w:szCs w:val="22"/>
        </w:rPr>
        <w:t>Artículo 3.236.-</w:t>
      </w:r>
      <w:r w:rsidRPr="0042677A">
        <w:rPr>
          <w:rFonts w:ascii="Palatino Linotype" w:hAnsi="Palatino Linotype"/>
          <w:i/>
          <w:iCs/>
          <w:sz w:val="22"/>
          <w:szCs w:val="22"/>
        </w:rPr>
        <w:t xml:space="preserve"> La Dirección de Servicios Públicos, es la dependencia encargada de la prestación de servicios públicos municipales de alumbrado, limpia, recolección, traslado y disposición final de residuos sólidos, </w:t>
      </w:r>
      <w:r w:rsidRPr="0042677A">
        <w:rPr>
          <w:rFonts w:ascii="Palatino Linotype" w:hAnsi="Palatino Linotype"/>
          <w:b/>
          <w:bCs/>
          <w:i/>
          <w:iCs/>
          <w:sz w:val="22"/>
          <w:szCs w:val="22"/>
          <w:u w:val="single"/>
        </w:rPr>
        <w:t>mantenimiento de panteones, parques</w:t>
      </w:r>
      <w:r w:rsidRPr="0042677A">
        <w:rPr>
          <w:rFonts w:ascii="Palatino Linotype" w:hAnsi="Palatino Linotype"/>
          <w:i/>
          <w:iCs/>
          <w:sz w:val="22"/>
          <w:szCs w:val="22"/>
        </w:rPr>
        <w:t xml:space="preserve">, jardines, áreas verdes recreativas, embellecimiento y conservación de los poblados y centros urbanos en el territorio municipal de conformidad con lo dispuesto en la Ley Orgánica, el Bando, el presente ordenamiento y demás disposiciones jurídicas aplicables. </w:t>
      </w:r>
    </w:p>
    <w:p w14:paraId="67A5F426"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27757644"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b/>
          <w:bCs/>
          <w:i/>
          <w:iCs/>
          <w:sz w:val="22"/>
          <w:szCs w:val="22"/>
        </w:rPr>
        <w:t>Artículo 3.237.-</w:t>
      </w:r>
      <w:r w:rsidRPr="0042677A">
        <w:rPr>
          <w:rFonts w:ascii="Palatino Linotype" w:hAnsi="Palatino Linotype"/>
          <w:i/>
          <w:iCs/>
          <w:sz w:val="22"/>
          <w:szCs w:val="22"/>
        </w:rPr>
        <w:t xml:space="preserve"> La Dirección de Servicios Públicos tiene las siguientes atribuciones: </w:t>
      </w:r>
    </w:p>
    <w:p w14:paraId="184BD117"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5150C791"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I. Coordinar los servicios de limpia, recolección, transporte, transferencia y disposición final de residuos sólidos urbanos y de manejo especial, alumbrado público, parques, jardines, panteones y mantenimiento urbano, así como propiciar el mejoramiento y ampliación de la cobertura de los mismos; </w:t>
      </w:r>
    </w:p>
    <w:p w14:paraId="0F66C0F4"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7F7BC491"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lastRenderedPageBreak/>
        <w:t xml:space="preserve">II. Proporcionar mantenimiento a las instalaciones y equipo necesario para la prestación de los servicios públicos municipales que tiene a su cargo, desarrollando acciones de carácter preventivo y correctivo; </w:t>
      </w:r>
    </w:p>
    <w:p w14:paraId="523D8000"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5449D713"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III. Administrar y brindar adecuadamente los servicios públicos que le encomiende el Ayuntamiento; </w:t>
      </w:r>
    </w:p>
    <w:p w14:paraId="5F0C230C"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52014153"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b/>
          <w:bCs/>
          <w:i/>
          <w:iCs/>
          <w:sz w:val="22"/>
          <w:szCs w:val="22"/>
          <w:u w:val="single"/>
        </w:rPr>
      </w:pPr>
      <w:r w:rsidRPr="0042677A">
        <w:rPr>
          <w:rFonts w:ascii="Palatino Linotype" w:hAnsi="Palatino Linotype"/>
          <w:b/>
          <w:bCs/>
          <w:i/>
          <w:iCs/>
          <w:sz w:val="22"/>
          <w:szCs w:val="22"/>
          <w:u w:val="single"/>
        </w:rPr>
        <w:t xml:space="preserve">IV. Coordinar las actividades en las delegaciones municipales en lo referente al mantenimiento de parques, panteones, jardines e infraestructura urbana; V. Evitar que los residuos sólidos urbanos, tanto orgánicos como inorgánicos, originen focos de infección, peligro o molestias para la ciudadanía o la propagación de enfermedades; </w:t>
      </w:r>
    </w:p>
    <w:p w14:paraId="0434244F"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40D560CF"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VI. Establecer e instrumentar programas, en coordinación con las autoridades estatales competentes, para mantener en buenas condiciones tratándose de limpieza y aseo a las calles, caminos y vialidades del Municipio; </w:t>
      </w:r>
    </w:p>
    <w:p w14:paraId="0EA2DBBC"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2BFD4D53"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VII. Proponer la planeación estratégica del alumbrado público en el Municipio; </w:t>
      </w:r>
    </w:p>
    <w:p w14:paraId="52C46814"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2231469E"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VIII. Programar la realización de todas las obras de instalación y trabajos que requieran la planeación, ejecución, operación y mantenimiento del sistema de alumbrado público; </w:t>
      </w:r>
    </w:p>
    <w:p w14:paraId="54AC4EE3"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4E6187FE" w14:textId="576EE74D" w:rsidR="00FF1389"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0"/>
          <w:szCs w:val="22"/>
        </w:rPr>
      </w:pPr>
      <w:r w:rsidRPr="0042677A">
        <w:rPr>
          <w:rFonts w:ascii="Palatino Linotype" w:hAnsi="Palatino Linotype"/>
          <w:i/>
          <w:iCs/>
          <w:sz w:val="22"/>
          <w:szCs w:val="22"/>
        </w:rPr>
        <w:t>IX. Supervisar permanentemente las redes e instalaciones de alumbrado público, así como su mantenimiento y buen estado, asimismo apoyar las acciones necesarias para dotar de alumbrado público a las poblaciones rurales del Municipio;</w:t>
      </w:r>
    </w:p>
    <w:p w14:paraId="52F12405" w14:textId="77777777" w:rsidR="00FF1389" w:rsidRPr="0042677A" w:rsidRDefault="00FF1389" w:rsidP="0083422B">
      <w:pPr>
        <w:pBdr>
          <w:top w:val="nil"/>
          <w:left w:val="nil"/>
          <w:bottom w:val="nil"/>
          <w:right w:val="nil"/>
          <w:between w:val="nil"/>
        </w:pBdr>
        <w:spacing w:line="276" w:lineRule="auto"/>
        <w:ind w:left="567" w:right="900"/>
        <w:jc w:val="both"/>
        <w:rPr>
          <w:rFonts w:ascii="Palatino Linotype" w:hAnsi="Palatino Linotype"/>
          <w:i/>
          <w:iCs/>
          <w:sz w:val="20"/>
          <w:szCs w:val="22"/>
        </w:rPr>
      </w:pPr>
    </w:p>
    <w:p w14:paraId="5A2F1104"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b/>
          <w:bCs/>
          <w:i/>
          <w:iCs/>
          <w:sz w:val="22"/>
          <w:szCs w:val="22"/>
        </w:rPr>
        <w:t>Artículo 3.241.-</w:t>
      </w:r>
      <w:r w:rsidRPr="0042677A">
        <w:rPr>
          <w:rFonts w:ascii="Palatino Linotype" w:hAnsi="Palatino Linotype"/>
          <w:i/>
          <w:iCs/>
          <w:sz w:val="22"/>
          <w:szCs w:val="22"/>
        </w:rPr>
        <w:t xml:space="preserve"> Para el cumplimiento de sus atribuciones y facultades la Subdirección de Servicios Públicos contará con las siguientes áreas: </w:t>
      </w:r>
    </w:p>
    <w:p w14:paraId="106AF73E" w14:textId="729BB301"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I. Alumbrado Público;</w:t>
      </w:r>
    </w:p>
    <w:p w14:paraId="18C27399" w14:textId="5AACB6C5"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II. Limpia; </w:t>
      </w:r>
    </w:p>
    <w:p w14:paraId="432EDDF6"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b/>
          <w:bCs/>
          <w:i/>
          <w:iCs/>
          <w:sz w:val="22"/>
          <w:szCs w:val="22"/>
          <w:u w:val="single"/>
        </w:rPr>
      </w:pPr>
      <w:r w:rsidRPr="0042677A">
        <w:rPr>
          <w:rFonts w:ascii="Palatino Linotype" w:hAnsi="Palatino Linotype"/>
          <w:b/>
          <w:bCs/>
          <w:i/>
          <w:iCs/>
          <w:sz w:val="22"/>
          <w:szCs w:val="22"/>
          <w:u w:val="single"/>
        </w:rPr>
        <w:t xml:space="preserve">III. Panteones; </w:t>
      </w:r>
    </w:p>
    <w:p w14:paraId="171DBBA1"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IV. Podas y Derribos; </w:t>
      </w:r>
    </w:p>
    <w:p w14:paraId="1036ADC8"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V. Parques y Jardines; </w:t>
      </w:r>
    </w:p>
    <w:p w14:paraId="7B177724"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VI. Barrido Manual; </w:t>
      </w:r>
    </w:p>
    <w:p w14:paraId="6BB2CB6B"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lastRenderedPageBreak/>
        <w:t xml:space="preserve">VII. Calidad; y </w:t>
      </w:r>
    </w:p>
    <w:p w14:paraId="793C9A9A" w14:textId="4E42974A" w:rsidR="00FF1389"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VIII. Administrativa</w:t>
      </w:r>
    </w:p>
    <w:p w14:paraId="2EDB236B"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p>
    <w:p w14:paraId="6AED8609"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b/>
          <w:bCs/>
          <w:i/>
          <w:iCs/>
          <w:sz w:val="22"/>
          <w:szCs w:val="22"/>
        </w:rPr>
        <w:t>Artículo 3.244.-</w:t>
      </w:r>
      <w:r w:rsidRPr="0042677A">
        <w:rPr>
          <w:rFonts w:ascii="Palatino Linotype" w:hAnsi="Palatino Linotype"/>
          <w:i/>
          <w:iCs/>
          <w:sz w:val="22"/>
          <w:szCs w:val="22"/>
        </w:rPr>
        <w:t xml:space="preserve"> El Área de Panteones; tendrá las siguientes funciones: </w:t>
      </w:r>
    </w:p>
    <w:p w14:paraId="488B6EB7" w14:textId="28233D25"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b/>
          <w:bCs/>
          <w:i/>
          <w:iCs/>
          <w:sz w:val="22"/>
          <w:szCs w:val="22"/>
          <w:u w:val="single"/>
        </w:rPr>
      </w:pPr>
      <w:r w:rsidRPr="0042677A">
        <w:rPr>
          <w:rFonts w:ascii="Palatino Linotype" w:hAnsi="Palatino Linotype"/>
          <w:b/>
          <w:bCs/>
          <w:i/>
          <w:iCs/>
          <w:sz w:val="22"/>
          <w:szCs w:val="22"/>
          <w:u w:val="single"/>
        </w:rPr>
        <w:t xml:space="preserve">I. Administrar de manera correcta y oportuna los trámites y servicios que presta el Panteón Municipal, solicitados por la ciudadanía; </w:t>
      </w:r>
    </w:p>
    <w:p w14:paraId="5467E4E3"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II. Dar mantenimiento a los diferentes panteones del Municipio realizando los trabajos de recolección de residuos sólidos y verdes, así como el mantenimiento preventivo y correctivo del alumbrado, así como el mantenimiento de áreas verdes; III. Autorizar la construcción de lapidas, jardineras, monumentos, capillas o criptas; </w:t>
      </w:r>
      <w:r w:rsidRPr="0042677A">
        <w:rPr>
          <w:rFonts w:ascii="Palatino Linotype" w:hAnsi="Palatino Linotype"/>
          <w:b/>
          <w:bCs/>
          <w:i/>
          <w:iCs/>
          <w:sz w:val="22"/>
          <w:szCs w:val="22"/>
          <w:u w:val="single"/>
        </w:rPr>
        <w:t>IV. Asignar fosas;</w:t>
      </w:r>
      <w:r w:rsidRPr="0042677A">
        <w:rPr>
          <w:rFonts w:ascii="Palatino Linotype" w:hAnsi="Palatino Linotype"/>
          <w:i/>
          <w:iCs/>
          <w:sz w:val="22"/>
          <w:szCs w:val="22"/>
        </w:rPr>
        <w:t xml:space="preserve"> </w:t>
      </w:r>
    </w:p>
    <w:p w14:paraId="59DAEB6E" w14:textId="3E86CCB4"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V. Planear, programar, organizar, supervisar, evaluar y llevar un estricto control del desarrollo de los trabajos inherentes al panteón; </w:t>
      </w:r>
    </w:p>
    <w:p w14:paraId="091DDC4A"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VI. Ordenar la puntual apertura y cierre del Panteón Municipal; </w:t>
      </w:r>
    </w:p>
    <w:p w14:paraId="549B41F2"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VII. Ejecutar las órdenes de pago de los trámites o servicios que ofrece el Panteón Municipal; </w:t>
      </w:r>
    </w:p>
    <w:p w14:paraId="50D0BFB1"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VIII. Supervisar el desempeño laboral de las y los servidores públicos que laboran en el Panteón Municipal, así como el manejo de los recursos materiales; </w:t>
      </w:r>
    </w:p>
    <w:p w14:paraId="63B1206D"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IX. Realizar inspecciones mensuales en coordinación con las delegadas(os) o encargadas(os) de los panteones para poder verificar los trabajos realizados e identificar las necesidades que existen en cada panteón, de las cuales se crea evidencia fotográfica y documental; </w:t>
      </w:r>
    </w:p>
    <w:p w14:paraId="39B6500F"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X. Contar con una base de datos de todos los usuarios que han realizado algún trámite o servicio;</w:t>
      </w:r>
    </w:p>
    <w:p w14:paraId="46E648E6"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 XI. Programar con el encargado del Área de Alumbrado Público, el mantenimiento de luminarias existentes en los panteones municipales; y </w:t>
      </w:r>
    </w:p>
    <w:p w14:paraId="6D9EF238" w14:textId="222A2BFD"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2"/>
          <w:szCs w:val="22"/>
        </w:rPr>
      </w:pPr>
      <w:r w:rsidRPr="0042677A">
        <w:rPr>
          <w:rFonts w:ascii="Palatino Linotype" w:hAnsi="Palatino Linotype"/>
          <w:i/>
          <w:iCs/>
          <w:sz w:val="22"/>
          <w:szCs w:val="22"/>
        </w:rPr>
        <w:t xml:space="preserve">XII. Las demás funciones inherentes al área de su competencia o que le instruya la Subdirección de Servicios Públicos. </w:t>
      </w:r>
    </w:p>
    <w:p w14:paraId="67FB2158" w14:textId="77777777" w:rsidR="0083422B" w:rsidRPr="0042677A" w:rsidRDefault="0083422B" w:rsidP="0083422B">
      <w:pPr>
        <w:pBdr>
          <w:top w:val="nil"/>
          <w:left w:val="nil"/>
          <w:bottom w:val="nil"/>
          <w:right w:val="nil"/>
          <w:between w:val="nil"/>
        </w:pBdr>
        <w:spacing w:line="276" w:lineRule="auto"/>
        <w:ind w:left="567" w:right="900"/>
        <w:jc w:val="both"/>
        <w:rPr>
          <w:rFonts w:ascii="Palatino Linotype" w:hAnsi="Palatino Linotype"/>
          <w:i/>
          <w:iCs/>
          <w:sz w:val="20"/>
          <w:szCs w:val="22"/>
        </w:rPr>
      </w:pPr>
    </w:p>
    <w:p w14:paraId="09BF81FF" w14:textId="5673A7D5" w:rsidR="00FF1389" w:rsidRPr="0042677A" w:rsidRDefault="00FF1389" w:rsidP="00FF1389">
      <w:pPr>
        <w:pBdr>
          <w:top w:val="nil"/>
          <w:left w:val="nil"/>
          <w:bottom w:val="nil"/>
          <w:right w:val="nil"/>
          <w:between w:val="nil"/>
        </w:pBdr>
        <w:spacing w:line="360" w:lineRule="auto"/>
        <w:ind w:right="-150"/>
        <w:jc w:val="both"/>
        <w:rPr>
          <w:rFonts w:ascii="Palatino Linotype" w:hAnsi="Palatino Linotype"/>
        </w:rPr>
      </w:pPr>
      <w:r w:rsidRPr="0042677A">
        <w:rPr>
          <w:rFonts w:ascii="Palatino Linotype" w:hAnsi="Palatino Linotype"/>
        </w:rPr>
        <w:t xml:space="preserve">En ese orden de ideas, se advierte que el </w:t>
      </w:r>
      <w:r w:rsidR="0083422B" w:rsidRPr="0042677A">
        <w:rPr>
          <w:rFonts w:ascii="Palatino Linotype" w:hAnsi="Palatino Linotype"/>
        </w:rPr>
        <w:t>Ayuntamiento de Metepec</w:t>
      </w:r>
      <w:r w:rsidRPr="0042677A">
        <w:rPr>
          <w:rFonts w:ascii="Palatino Linotype" w:hAnsi="Palatino Linotype"/>
        </w:rPr>
        <w:t xml:space="preserve"> cuenta con facultades, atribuciones y competencias para generar, administrar y poseer la información solicitada, siendo que la </w:t>
      </w:r>
      <w:r w:rsidR="0083422B" w:rsidRPr="0042677A">
        <w:rPr>
          <w:rFonts w:ascii="Palatino Linotype" w:hAnsi="Palatino Linotype"/>
        </w:rPr>
        <w:t xml:space="preserve">Dirección de Servicios Públicos, a través del </w:t>
      </w:r>
      <w:r w:rsidR="0083422B" w:rsidRPr="0042677A">
        <w:rPr>
          <w:rFonts w:ascii="Palatino Linotype" w:hAnsi="Palatino Linotype"/>
        </w:rPr>
        <w:lastRenderedPageBreak/>
        <w:t>Área de Panteones,</w:t>
      </w:r>
      <w:r w:rsidRPr="0042677A">
        <w:rPr>
          <w:rFonts w:ascii="Palatino Linotype" w:hAnsi="Palatino Linotype"/>
        </w:rPr>
        <w:t xml:space="preserve"> en específico es la dependencia cuyas atribuciones se relacionan con l</w:t>
      </w:r>
      <w:r w:rsidR="0083422B" w:rsidRPr="0042677A">
        <w:rPr>
          <w:rFonts w:ascii="Palatino Linotype" w:hAnsi="Palatino Linotype"/>
        </w:rPr>
        <w:t>a asignación de las fosas.</w:t>
      </w:r>
    </w:p>
    <w:p w14:paraId="12EADC78" w14:textId="77777777" w:rsidR="00FF1389" w:rsidRPr="0042677A" w:rsidRDefault="00FF1389" w:rsidP="00FF1389">
      <w:pPr>
        <w:pBdr>
          <w:top w:val="nil"/>
          <w:left w:val="nil"/>
          <w:bottom w:val="nil"/>
          <w:right w:val="nil"/>
          <w:between w:val="nil"/>
        </w:pBdr>
        <w:spacing w:line="360" w:lineRule="auto"/>
        <w:ind w:right="-150"/>
        <w:jc w:val="both"/>
        <w:rPr>
          <w:rFonts w:ascii="Palatino Linotype" w:hAnsi="Palatino Linotype"/>
        </w:rPr>
      </w:pPr>
    </w:p>
    <w:p w14:paraId="177E1331" w14:textId="0232D5AE" w:rsidR="00FF1389" w:rsidRPr="0042677A" w:rsidRDefault="00FF1389" w:rsidP="00FF1389">
      <w:pPr>
        <w:pBdr>
          <w:top w:val="nil"/>
          <w:left w:val="nil"/>
          <w:bottom w:val="nil"/>
          <w:right w:val="nil"/>
          <w:between w:val="nil"/>
        </w:pBdr>
        <w:spacing w:line="360" w:lineRule="auto"/>
        <w:ind w:right="-150"/>
        <w:jc w:val="both"/>
        <w:rPr>
          <w:rFonts w:ascii="Palatino Linotype" w:hAnsi="Palatino Linotype"/>
        </w:rPr>
      </w:pPr>
      <w:r w:rsidRPr="0042677A">
        <w:rPr>
          <w:rFonts w:ascii="Palatino Linotype" w:hAnsi="Palatino Linotype"/>
        </w:rPr>
        <w:t>Dicho esto, en atención a los agravios hechos valer por la</w:t>
      </w:r>
      <w:r w:rsidR="00676C6E" w:rsidRPr="0042677A">
        <w:rPr>
          <w:rFonts w:ascii="Palatino Linotype" w:hAnsi="Palatino Linotype"/>
        </w:rPr>
        <w:t xml:space="preserve"> persona</w:t>
      </w:r>
      <w:r w:rsidRPr="0042677A">
        <w:rPr>
          <w:rFonts w:ascii="Palatino Linotype" w:hAnsi="Palatino Linotype"/>
        </w:rPr>
        <w:t xml:space="preserve"> solicitante en su </w:t>
      </w:r>
      <w:r w:rsidR="0083422B" w:rsidRPr="0042677A">
        <w:rPr>
          <w:rFonts w:ascii="Palatino Linotype" w:hAnsi="Palatino Linotype"/>
        </w:rPr>
        <w:t xml:space="preserve">segundo </w:t>
      </w:r>
      <w:r w:rsidRPr="0042677A">
        <w:rPr>
          <w:rFonts w:ascii="Palatino Linotype" w:hAnsi="Palatino Linotype"/>
        </w:rPr>
        <w:t>Recurs</w:t>
      </w:r>
      <w:r w:rsidR="00676C6E" w:rsidRPr="0042677A">
        <w:rPr>
          <w:rFonts w:ascii="Palatino Linotype" w:hAnsi="Palatino Linotype"/>
        </w:rPr>
        <w:t>o de Revisión, se tiene que esta</w:t>
      </w:r>
      <w:r w:rsidRPr="0042677A">
        <w:rPr>
          <w:rFonts w:ascii="Palatino Linotype" w:hAnsi="Palatino Linotype"/>
        </w:rPr>
        <w:t xml:space="preserve"> se inconformó porque </w:t>
      </w:r>
      <w:r w:rsidR="0083422B" w:rsidRPr="0042677A">
        <w:rPr>
          <w:rFonts w:ascii="Palatino Linotype" w:hAnsi="Palatino Linotype"/>
        </w:rPr>
        <w:t xml:space="preserve">en cumplimiento a la resolución recaída en el Recurso de Revisión </w:t>
      </w:r>
      <w:r w:rsidR="0083422B" w:rsidRPr="0042677A">
        <w:rPr>
          <w:rFonts w:ascii="Palatino Linotype" w:hAnsi="Palatino Linotype"/>
          <w:b/>
          <w:bCs/>
        </w:rPr>
        <w:t>15034/INFOEM/IP/RR/2022</w:t>
      </w:r>
      <w:r w:rsidR="0083422B" w:rsidRPr="0042677A">
        <w:rPr>
          <w:rFonts w:ascii="Palatino Linotype" w:hAnsi="Palatino Linotype"/>
        </w:rPr>
        <w:t xml:space="preserve"> se le proporcionó únicamente un certificado, por lo que, consideró que la información se entregó de manera incompleta. </w:t>
      </w:r>
    </w:p>
    <w:p w14:paraId="5AB2F619" w14:textId="77777777" w:rsidR="00FF1389" w:rsidRPr="0042677A" w:rsidRDefault="00FF1389" w:rsidP="00FF1389">
      <w:pPr>
        <w:pBdr>
          <w:top w:val="nil"/>
          <w:left w:val="nil"/>
          <w:bottom w:val="nil"/>
          <w:right w:val="nil"/>
          <w:between w:val="nil"/>
        </w:pBdr>
        <w:spacing w:line="360" w:lineRule="auto"/>
        <w:ind w:right="-150"/>
        <w:jc w:val="both"/>
        <w:rPr>
          <w:rFonts w:ascii="Palatino Linotype" w:hAnsi="Palatino Linotype"/>
        </w:rPr>
      </w:pPr>
    </w:p>
    <w:p w14:paraId="1E97F8DF" w14:textId="107B3440" w:rsidR="00FF1389" w:rsidRPr="0042677A" w:rsidRDefault="00FF1389" w:rsidP="00FF1389">
      <w:pPr>
        <w:pBdr>
          <w:top w:val="nil"/>
          <w:left w:val="nil"/>
          <w:bottom w:val="nil"/>
          <w:right w:val="nil"/>
          <w:between w:val="nil"/>
        </w:pBdr>
        <w:spacing w:line="360" w:lineRule="auto"/>
        <w:ind w:right="-150"/>
        <w:jc w:val="both"/>
        <w:rPr>
          <w:rFonts w:ascii="Palatino Linotype" w:hAnsi="Palatino Linotype"/>
        </w:rPr>
      </w:pPr>
      <w:r w:rsidRPr="0042677A">
        <w:rPr>
          <w:rFonts w:ascii="Palatino Linotype" w:hAnsi="Palatino Linotype"/>
        </w:rPr>
        <w:t xml:space="preserve">Es así que, mediante informe justificado, el Sujeto Obligado </w:t>
      </w:r>
      <w:r w:rsidR="0083422B" w:rsidRPr="0042677A">
        <w:rPr>
          <w:rFonts w:ascii="Palatino Linotype" w:hAnsi="Palatino Linotype"/>
        </w:rPr>
        <w:t>remitió, a través de la unidad administrativa competente, a saber, la Dirección de Servicios Públicos, cincuenta y siete certificados de derechos y obligaciones de usuarios de fosas individuales adquiridas por temporalidad, en los que se clasificaron datos que actualizan la hipótesis I del artículo 143 de la Ley de Transparencia y Acceso a la Información Pública del Estado de México y Municipios,</w:t>
      </w:r>
      <w:r w:rsidR="00D6332C" w:rsidRPr="0042677A">
        <w:rPr>
          <w:rFonts w:ascii="Palatino Linotype" w:hAnsi="Palatino Linotype"/>
        </w:rPr>
        <w:t xml:space="preserve"> tales como:</w:t>
      </w:r>
    </w:p>
    <w:p w14:paraId="2025138B" w14:textId="77777777" w:rsidR="00D6332C" w:rsidRPr="0042677A" w:rsidRDefault="00D6332C" w:rsidP="00FF1389">
      <w:pPr>
        <w:pBdr>
          <w:top w:val="nil"/>
          <w:left w:val="nil"/>
          <w:bottom w:val="nil"/>
          <w:right w:val="nil"/>
          <w:between w:val="nil"/>
        </w:pBdr>
        <w:spacing w:line="360" w:lineRule="auto"/>
        <w:ind w:right="-150"/>
        <w:jc w:val="both"/>
        <w:rPr>
          <w:rFonts w:ascii="Palatino Linotype" w:hAnsi="Palatino Linotype"/>
        </w:rPr>
      </w:pPr>
    </w:p>
    <w:p w14:paraId="301860C3" w14:textId="26E6A15F" w:rsidR="00D6332C" w:rsidRPr="0042677A" w:rsidRDefault="00D6332C" w:rsidP="00D6332C">
      <w:pPr>
        <w:pStyle w:val="Prrafodelista"/>
        <w:numPr>
          <w:ilvl w:val="0"/>
          <w:numId w:val="38"/>
        </w:numPr>
        <w:spacing w:line="360" w:lineRule="auto"/>
        <w:ind w:left="567" w:right="49"/>
        <w:contextualSpacing/>
        <w:jc w:val="both"/>
        <w:rPr>
          <w:rFonts w:ascii="Palatino Linotype" w:hAnsi="Palatino Linotype" w:cs="Tahoma"/>
          <w:b/>
        </w:rPr>
      </w:pPr>
      <w:r w:rsidRPr="0042677A">
        <w:rPr>
          <w:rFonts w:ascii="Palatino Linotype" w:hAnsi="Palatino Linotype" w:cs="Tahoma"/>
          <w:b/>
        </w:rPr>
        <w:t xml:space="preserve">Ubicación de la fosa individual. </w:t>
      </w:r>
      <w:r w:rsidRPr="0042677A">
        <w:rPr>
          <w:rFonts w:ascii="Palatino Linotype" w:hAnsi="Palatino Linotype"/>
        </w:rPr>
        <w:t xml:space="preserve">La ubicación de la fosa individual es un espacio personal y familiar que contienen los restos de un individuo o individuos de una persona física que por voluntad dispuso dicha ubicación, el proporcionar este dato permite hacer identificado y ubicable y, por ende, se considera que es un dato confidencial, ya que incide directamente en la privacidad y voluntad de decisión de personas físicas, siendo que su difusión podría afectar la esfera privada de las mismas. </w:t>
      </w:r>
    </w:p>
    <w:p w14:paraId="3244E472" w14:textId="77777777" w:rsidR="00D6332C" w:rsidRPr="0042677A" w:rsidRDefault="00D6332C" w:rsidP="00D6332C">
      <w:pPr>
        <w:spacing w:line="360" w:lineRule="auto"/>
        <w:ind w:left="567" w:right="49"/>
        <w:jc w:val="both"/>
        <w:rPr>
          <w:rFonts w:ascii="Palatino Linotype" w:hAnsi="Palatino Linotype"/>
          <w:sz w:val="22"/>
        </w:rPr>
      </w:pPr>
      <w:r w:rsidRPr="0042677A">
        <w:rPr>
          <w:rFonts w:ascii="Palatino Linotype" w:hAnsi="Palatino Linotype"/>
          <w:sz w:val="22"/>
        </w:rPr>
        <w:t xml:space="preserve">Por lo tanto, se actualiza la clasificación, de conformidad con la fracción I, del artículo 143 de la Ley de Transparencia y Acceso a la Información Pública del Estado de México y Municipios. </w:t>
      </w:r>
    </w:p>
    <w:p w14:paraId="17FCA775" w14:textId="77777777" w:rsidR="00D6332C" w:rsidRPr="0042677A" w:rsidRDefault="00D6332C" w:rsidP="00D6332C">
      <w:pPr>
        <w:pStyle w:val="Prrafodelista"/>
        <w:numPr>
          <w:ilvl w:val="0"/>
          <w:numId w:val="38"/>
        </w:numPr>
        <w:spacing w:line="360" w:lineRule="auto"/>
        <w:ind w:left="567" w:right="49"/>
        <w:jc w:val="both"/>
        <w:rPr>
          <w:rFonts w:ascii="Palatino Linotype" w:hAnsi="Palatino Linotype" w:cs="Tahoma"/>
          <w:b/>
          <w:sz w:val="20"/>
        </w:rPr>
      </w:pPr>
      <w:r w:rsidRPr="0042677A">
        <w:rPr>
          <w:rFonts w:ascii="Palatino Linotype" w:hAnsi="Palatino Linotype"/>
          <w:b/>
        </w:rPr>
        <w:lastRenderedPageBreak/>
        <w:t>Nombre de particulares.</w:t>
      </w:r>
      <w:r w:rsidRPr="0042677A">
        <w:rPr>
          <w:rFonts w:ascii="Palatino Linotype" w:hAnsi="Palatino Linotype"/>
          <w:sz w:val="24"/>
        </w:rPr>
        <w:t xml:space="preserve"> </w:t>
      </w:r>
      <w:r w:rsidRPr="0042677A">
        <w:rPr>
          <w:rFonts w:ascii="Palatino Linotype" w:hAnsi="Palatino Linotype"/>
        </w:rPr>
        <w:t xml:space="preserve">En principio es de señalar que </w:t>
      </w:r>
      <w:r w:rsidRPr="0042677A">
        <w:rPr>
          <w:rFonts w:ascii="Palatino Linotype" w:hAnsi="Palatino Linotype" w:cs="Tahoma"/>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w:t>
      </w:r>
    </w:p>
    <w:p w14:paraId="52B0F644" w14:textId="029E5231" w:rsidR="00D6332C" w:rsidRPr="0042677A" w:rsidRDefault="00D6332C" w:rsidP="00D6332C">
      <w:pPr>
        <w:pStyle w:val="Prrafodelista"/>
        <w:spacing w:line="360" w:lineRule="auto"/>
        <w:ind w:left="567" w:right="49"/>
        <w:jc w:val="both"/>
        <w:rPr>
          <w:rFonts w:ascii="Palatino Linotype" w:hAnsi="Palatino Linotype"/>
        </w:rPr>
      </w:pPr>
      <w:r w:rsidRPr="0042677A">
        <w:rPr>
          <w:rFonts w:ascii="Palatino Linotype" w:hAnsi="Palatino Linotype"/>
        </w:rPr>
        <w:t>El nombre es un atributo de la personalidad, esto es la manifestación del derecho a la identidad, de tal manera que proporcionar el nombre, permite identificar a una persona física, es por lo que este dato actualiza su clasificación, de conformidad con la fracción I, del artículo 143 de la Ley de Transparencia y Acceso a la Información Pública del Estado de México y Municipios.</w:t>
      </w:r>
    </w:p>
    <w:p w14:paraId="21847DEA" w14:textId="77777777" w:rsidR="00676C6E" w:rsidRPr="0042677A" w:rsidRDefault="00676C6E" w:rsidP="00D6332C">
      <w:pPr>
        <w:pStyle w:val="Prrafodelista"/>
        <w:spacing w:line="360" w:lineRule="auto"/>
        <w:ind w:left="567" w:right="49"/>
        <w:jc w:val="both"/>
        <w:rPr>
          <w:rFonts w:ascii="Palatino Linotype" w:hAnsi="Palatino Linotype"/>
        </w:rPr>
      </w:pPr>
    </w:p>
    <w:p w14:paraId="642BA90E" w14:textId="7CA6AD9B" w:rsidR="00FF1389" w:rsidRPr="0042677A" w:rsidRDefault="00D6332C" w:rsidP="00D26D10">
      <w:pPr>
        <w:pStyle w:val="Prrafodelista"/>
        <w:spacing w:line="360" w:lineRule="auto"/>
        <w:ind w:left="567" w:right="49"/>
        <w:jc w:val="both"/>
        <w:rPr>
          <w:rFonts w:ascii="Palatino Linotype" w:hAnsi="Palatino Linotype"/>
        </w:rPr>
      </w:pPr>
      <w:r w:rsidRPr="0042677A">
        <w:rPr>
          <w:rFonts w:ascii="Palatino Linotype" w:hAnsi="Palatino Linotype"/>
          <w:b/>
          <w:bCs/>
        </w:rPr>
        <w:t>Firma de particulares. L</w:t>
      </w:r>
      <w:r w:rsidRPr="0042677A">
        <w:rPr>
          <w:rFonts w:ascii="Palatino Linotype" w:hAnsi="Palatino Linotype"/>
        </w:rPr>
        <w:t>a firma es considerada como un atributo de la personalidad de los individuos, en virtud de que a través de esta se puede identificar a una persona, por lo que se considera un dato personal y, dado que para otorgar su acceso se necesita el consentimiento de su titular, es información clasificada como confidencial conforme al artículo 14</w:t>
      </w:r>
      <w:r w:rsidR="00D26D10" w:rsidRPr="0042677A">
        <w:rPr>
          <w:rFonts w:ascii="Palatino Linotype" w:hAnsi="Palatino Linotype"/>
        </w:rPr>
        <w:t>3</w:t>
      </w:r>
      <w:r w:rsidRPr="0042677A">
        <w:rPr>
          <w:rFonts w:ascii="Palatino Linotype" w:hAnsi="Palatino Linotype"/>
        </w:rPr>
        <w:t xml:space="preserve">, fracción I de la </w:t>
      </w:r>
      <w:r w:rsidR="00D26D10" w:rsidRPr="0042677A">
        <w:rPr>
          <w:rFonts w:ascii="Palatino Linotype" w:hAnsi="Palatino Linotype"/>
        </w:rPr>
        <w:t xml:space="preserve">Ley en la materia. </w:t>
      </w:r>
    </w:p>
    <w:p w14:paraId="5714DEFE" w14:textId="77777777" w:rsidR="00D26D10" w:rsidRPr="0042677A" w:rsidRDefault="00D26D10" w:rsidP="00D26D10">
      <w:pPr>
        <w:pStyle w:val="Prrafodelista"/>
        <w:spacing w:line="360" w:lineRule="auto"/>
        <w:ind w:left="567" w:right="49"/>
        <w:jc w:val="both"/>
        <w:rPr>
          <w:rFonts w:ascii="Palatino Linotype" w:hAnsi="Palatino Linotype"/>
          <w:b/>
          <w:bCs/>
        </w:rPr>
      </w:pPr>
    </w:p>
    <w:p w14:paraId="05BED6E7" w14:textId="05CFD805" w:rsidR="00D26D10" w:rsidRPr="0042677A" w:rsidRDefault="00D26D10" w:rsidP="00D26D10">
      <w:pPr>
        <w:pStyle w:val="Prrafodelista"/>
        <w:spacing w:line="360" w:lineRule="auto"/>
        <w:ind w:left="0" w:right="49"/>
        <w:jc w:val="both"/>
        <w:rPr>
          <w:rFonts w:ascii="Palatino Linotype" w:hAnsi="Palatino Linotype"/>
          <w:sz w:val="24"/>
          <w:szCs w:val="24"/>
        </w:rPr>
      </w:pPr>
      <w:r w:rsidRPr="0042677A">
        <w:rPr>
          <w:rFonts w:ascii="Palatino Linotype" w:hAnsi="Palatino Linotype"/>
          <w:sz w:val="24"/>
          <w:szCs w:val="24"/>
        </w:rPr>
        <w:t xml:space="preserve">Asimismo, el Sujeto Obligado remitió su debido Acuerdo de Clasificación emitido por el Comité de Transparencia, en el que se avaló la clasificación de los datos contenidos en los certificados de fosa individual. </w:t>
      </w:r>
    </w:p>
    <w:p w14:paraId="1892EF79" w14:textId="77777777" w:rsidR="00D26D10" w:rsidRPr="0042677A" w:rsidRDefault="00D26D10" w:rsidP="00D26D10">
      <w:pPr>
        <w:pStyle w:val="Prrafodelista"/>
        <w:spacing w:line="360" w:lineRule="auto"/>
        <w:ind w:left="0" w:right="49"/>
        <w:jc w:val="both"/>
        <w:rPr>
          <w:rFonts w:ascii="Palatino Linotype" w:hAnsi="Palatino Linotype"/>
        </w:rPr>
      </w:pPr>
    </w:p>
    <w:p w14:paraId="7A01694E" w14:textId="4B2938CC" w:rsidR="00FF1389" w:rsidRPr="0042677A" w:rsidRDefault="00D26D10" w:rsidP="00FF1389">
      <w:pPr>
        <w:spacing w:line="360" w:lineRule="auto"/>
        <w:ind w:right="49"/>
        <w:jc w:val="both"/>
        <w:rPr>
          <w:rFonts w:ascii="Palatino Linotype" w:eastAsia="Palatino Linotype" w:hAnsi="Palatino Linotype" w:cs="Palatino Linotype"/>
        </w:rPr>
      </w:pPr>
      <w:r w:rsidRPr="0042677A">
        <w:rPr>
          <w:rFonts w:ascii="Palatino Linotype" w:eastAsia="Palatino Linotype" w:hAnsi="Palatino Linotype" w:cs="Palatino Linotype"/>
        </w:rPr>
        <w:t>Por otro lado, es de destacar</w:t>
      </w:r>
      <w:r w:rsidR="00FF1389" w:rsidRPr="0042677A">
        <w:rPr>
          <w:rFonts w:ascii="Palatino Linotype" w:eastAsia="Palatino Linotype" w:hAnsi="Palatino Linotype" w:cs="Palatino Linotype"/>
        </w:rPr>
        <w:t xml:space="preserve">, lo que señala el artículo 12 de la Ley de Transparencia y Acceso a la Información Pública del Estado de México y Municipios, el cual precisa lo siguiente:  </w:t>
      </w:r>
    </w:p>
    <w:p w14:paraId="2331D2C5" w14:textId="77777777" w:rsidR="00FF1389" w:rsidRPr="0042677A" w:rsidRDefault="00FF1389" w:rsidP="00FF1389">
      <w:pPr>
        <w:ind w:right="49"/>
        <w:jc w:val="both"/>
        <w:rPr>
          <w:rFonts w:ascii="Palatino Linotype" w:eastAsia="Palatino Linotype" w:hAnsi="Palatino Linotype" w:cs="Palatino Linotype"/>
        </w:rPr>
      </w:pPr>
    </w:p>
    <w:p w14:paraId="496F85BD" w14:textId="77777777" w:rsidR="00FF1389" w:rsidRPr="0042677A" w:rsidRDefault="00FF1389" w:rsidP="00FF1389">
      <w:pPr>
        <w:ind w:left="567" w:right="900"/>
        <w:jc w:val="both"/>
        <w:rPr>
          <w:rFonts w:ascii="Palatino Linotype" w:eastAsia="Palatino Linotype" w:hAnsi="Palatino Linotype" w:cs="Palatino Linotype"/>
          <w:i/>
          <w:sz w:val="22"/>
          <w:szCs w:val="22"/>
        </w:rPr>
      </w:pPr>
      <w:r w:rsidRPr="0042677A">
        <w:rPr>
          <w:rFonts w:ascii="Palatino Linotype" w:eastAsia="Palatino Linotype" w:hAnsi="Palatino Linotype" w:cs="Palatino Linotype"/>
          <w:b/>
          <w:i/>
          <w:sz w:val="22"/>
          <w:szCs w:val="22"/>
        </w:rPr>
        <w:lastRenderedPageBreak/>
        <w:t>Artículo 12.</w:t>
      </w:r>
      <w:r w:rsidRPr="0042677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6A8A03" w14:textId="77777777" w:rsidR="00FF1389" w:rsidRPr="0042677A" w:rsidRDefault="00FF1389" w:rsidP="00FF1389">
      <w:pPr>
        <w:ind w:left="567" w:right="900"/>
        <w:jc w:val="both"/>
        <w:rPr>
          <w:rFonts w:ascii="Palatino Linotype" w:eastAsia="Palatino Linotype" w:hAnsi="Palatino Linotype" w:cs="Palatino Linotype"/>
          <w:i/>
          <w:sz w:val="22"/>
          <w:szCs w:val="22"/>
        </w:rPr>
      </w:pPr>
    </w:p>
    <w:p w14:paraId="503D7393" w14:textId="77777777" w:rsidR="00FF1389" w:rsidRPr="0042677A" w:rsidRDefault="00FF1389" w:rsidP="00FF1389">
      <w:pPr>
        <w:ind w:left="567" w:right="900"/>
        <w:jc w:val="both"/>
        <w:rPr>
          <w:rFonts w:ascii="Palatino Linotype" w:eastAsia="Palatino Linotype" w:hAnsi="Palatino Linotype" w:cs="Palatino Linotype"/>
          <w:i/>
          <w:sz w:val="22"/>
          <w:szCs w:val="22"/>
        </w:rPr>
      </w:pPr>
      <w:r w:rsidRPr="0042677A">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42677A">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6087AA1D" w14:textId="77777777" w:rsidR="00FF1389" w:rsidRPr="0042677A" w:rsidRDefault="00FF1389" w:rsidP="00FF1389">
      <w:pPr>
        <w:spacing w:line="360" w:lineRule="auto"/>
        <w:jc w:val="both"/>
        <w:rPr>
          <w:rFonts w:ascii="Palatino Linotype" w:eastAsia="Palatino Linotype" w:hAnsi="Palatino Linotype" w:cs="Palatino Linotype"/>
        </w:rPr>
      </w:pPr>
    </w:p>
    <w:p w14:paraId="4F9600F6" w14:textId="77777777" w:rsidR="00FF1389" w:rsidRPr="0042677A" w:rsidRDefault="00FF1389" w:rsidP="00FF1389">
      <w:pPr>
        <w:spacing w:line="360" w:lineRule="auto"/>
        <w:ind w:right="49"/>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Así, el Sujeto Obligado sólo puede proporcionar la información que obra en sus archivos, lo que a </w:t>
      </w:r>
      <w:r w:rsidRPr="0042677A">
        <w:rPr>
          <w:rFonts w:ascii="Palatino Linotype" w:eastAsia="Palatino Linotype" w:hAnsi="Palatino Linotype" w:cs="Palatino Linotype"/>
          <w:i/>
        </w:rPr>
        <w:t xml:space="preserve">contrario sensu </w:t>
      </w:r>
      <w:r w:rsidRPr="0042677A">
        <w:rPr>
          <w:rFonts w:ascii="Palatino Linotype" w:eastAsia="Palatino Linotype" w:hAnsi="Palatino Linotype" w:cs="Palatino Linotype"/>
        </w:rPr>
        <w:t xml:space="preserve">significa que no se está obligado a proporcionar lo que no obre en los mismos. </w:t>
      </w:r>
    </w:p>
    <w:p w14:paraId="48AFC2D2" w14:textId="77777777" w:rsidR="00FF1389" w:rsidRPr="0042677A" w:rsidRDefault="00FF1389" w:rsidP="00FF1389">
      <w:pPr>
        <w:spacing w:line="360" w:lineRule="auto"/>
        <w:ind w:right="49"/>
        <w:jc w:val="both"/>
        <w:rPr>
          <w:rFonts w:ascii="Palatino Linotype" w:hAnsi="Palatino Linotype"/>
        </w:rPr>
      </w:pPr>
    </w:p>
    <w:p w14:paraId="19D1C9E2" w14:textId="77777777" w:rsidR="00FF1389" w:rsidRPr="0042677A" w:rsidRDefault="00FF1389" w:rsidP="00FF1389">
      <w:pPr>
        <w:spacing w:line="360" w:lineRule="auto"/>
        <w:ind w:right="49"/>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203AA38B" w14:textId="77777777" w:rsidR="00FF1389" w:rsidRPr="0042677A" w:rsidRDefault="00FF1389" w:rsidP="00FF1389">
      <w:pPr>
        <w:spacing w:line="360" w:lineRule="auto"/>
        <w:ind w:right="49"/>
        <w:jc w:val="both"/>
        <w:rPr>
          <w:rFonts w:ascii="Palatino Linotype" w:eastAsia="Palatino Linotype" w:hAnsi="Palatino Linotype" w:cs="Palatino Linotype"/>
        </w:rPr>
      </w:pPr>
    </w:p>
    <w:p w14:paraId="04A0C711" w14:textId="77777777" w:rsidR="00FF1389" w:rsidRPr="0042677A" w:rsidRDefault="00FF1389" w:rsidP="00FF1389">
      <w:pPr>
        <w:ind w:left="567" w:right="843"/>
        <w:jc w:val="both"/>
        <w:rPr>
          <w:rFonts w:ascii="Palatino Linotype" w:eastAsia="Palatino Linotype" w:hAnsi="Palatino Linotype" w:cs="Palatino Linotype"/>
          <w:i/>
          <w:color w:val="000000"/>
          <w:sz w:val="22"/>
          <w:szCs w:val="22"/>
        </w:rPr>
      </w:pPr>
      <w:r w:rsidRPr="0042677A">
        <w:rPr>
          <w:rFonts w:ascii="Palatino Linotype" w:eastAsia="Palatino Linotype" w:hAnsi="Palatino Linotype" w:cs="Palatino Linotype"/>
          <w:b/>
          <w:i/>
          <w:color w:val="000000"/>
          <w:sz w:val="22"/>
          <w:szCs w:val="22"/>
        </w:rPr>
        <w:t xml:space="preserve">El Instituto Federal de Acceso a la Información y Protección de Datos no cuenta con facultades para pronunciarse respecto de la veracidad de los documentos proporcionados por los sujetos obligados. </w:t>
      </w:r>
      <w:r w:rsidRPr="0042677A">
        <w:rPr>
          <w:rFonts w:ascii="Palatino Linotype" w:eastAsia="Palatino Linotype" w:hAnsi="Palatino Linotype" w:cs="Palatino Linotype"/>
          <w:i/>
          <w:color w:val="000000"/>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7019A2A" w14:textId="77777777" w:rsidR="00FF1389" w:rsidRPr="0042677A" w:rsidRDefault="00FF1389" w:rsidP="00FF1389">
      <w:pPr>
        <w:spacing w:line="360" w:lineRule="auto"/>
        <w:ind w:right="49"/>
        <w:jc w:val="both"/>
        <w:rPr>
          <w:rFonts w:ascii="Palatino Linotype" w:eastAsia="Palatino Linotype" w:hAnsi="Palatino Linotype" w:cs="Palatino Linotype"/>
        </w:rPr>
      </w:pPr>
    </w:p>
    <w:p w14:paraId="13E142D6" w14:textId="2CD1D791" w:rsidR="00FF1389" w:rsidRPr="0042677A" w:rsidRDefault="00FF1389" w:rsidP="00FF1389">
      <w:pPr>
        <w:spacing w:line="360" w:lineRule="auto"/>
        <w:ind w:right="49"/>
        <w:jc w:val="both"/>
        <w:rPr>
          <w:rFonts w:ascii="Palatino Linotype" w:eastAsia="Palatino Linotype" w:hAnsi="Palatino Linotype" w:cs="Palatino Linotype"/>
        </w:rPr>
      </w:pPr>
      <w:r w:rsidRPr="0042677A">
        <w:rPr>
          <w:rFonts w:ascii="Palatino Linotype" w:eastAsia="Palatino Linotype" w:hAnsi="Palatino Linotype" w:cs="Palatino Linotype"/>
        </w:rPr>
        <w:lastRenderedPageBreak/>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w:t>
      </w:r>
      <w:r w:rsidR="00676C6E" w:rsidRPr="0042677A">
        <w:rPr>
          <w:rFonts w:ascii="Palatino Linotype" w:eastAsia="Palatino Linotype" w:hAnsi="Palatino Linotype" w:cs="Palatino Linotype"/>
        </w:rPr>
        <w:t xml:space="preserve">hace entrega de la información que obra en sus archivos y que corresponde con lo solicitado por el particular, es que </w:t>
      </w:r>
      <w:r w:rsidRPr="0042677A">
        <w:rPr>
          <w:rFonts w:ascii="Palatino Linotype" w:eastAsia="Palatino Linotype" w:hAnsi="Palatino Linotype" w:cs="Palatino Linotype"/>
        </w:rPr>
        <w:t>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3CDD77F" w14:textId="77777777" w:rsidR="00FF1389" w:rsidRPr="0042677A" w:rsidRDefault="00FF1389" w:rsidP="00FF1389">
      <w:pPr>
        <w:spacing w:line="360" w:lineRule="auto"/>
        <w:ind w:right="900" w:firstLine="567"/>
        <w:jc w:val="both"/>
      </w:pPr>
      <w:r w:rsidRPr="0042677A">
        <w:rPr>
          <w:rFonts w:ascii="Palatino Linotype" w:eastAsia="Palatino Linotype" w:hAnsi="Palatino Linotype" w:cs="Palatino Linotype"/>
        </w:rPr>
        <w:t>a) Cuando el sujeto obligado modifique el acto impugnado y;</w:t>
      </w:r>
    </w:p>
    <w:p w14:paraId="4AD0EF1D" w14:textId="77777777" w:rsidR="00FF1389" w:rsidRPr="0042677A" w:rsidRDefault="00FF1389" w:rsidP="00FF1389">
      <w:pPr>
        <w:spacing w:line="360" w:lineRule="auto"/>
        <w:ind w:right="900" w:firstLine="567"/>
        <w:jc w:val="both"/>
      </w:pPr>
      <w:r w:rsidRPr="0042677A">
        <w:rPr>
          <w:rFonts w:ascii="Palatino Linotype" w:eastAsia="Palatino Linotype" w:hAnsi="Palatino Linotype" w:cs="Palatino Linotype"/>
        </w:rPr>
        <w:t>b) Cuando el sujeto obligado revoque el acto impugnado.</w:t>
      </w:r>
    </w:p>
    <w:p w14:paraId="4C720C6B" w14:textId="77777777" w:rsidR="00FF1389" w:rsidRPr="0042677A" w:rsidRDefault="00FF1389" w:rsidP="00FF1389">
      <w:pPr>
        <w:spacing w:line="360" w:lineRule="auto"/>
        <w:jc w:val="both"/>
        <w:rPr>
          <w:rFonts w:ascii="Palatino Linotype" w:eastAsia="Palatino Linotype" w:hAnsi="Palatino Linotype" w:cs="Palatino Linotype"/>
        </w:rPr>
      </w:pPr>
    </w:p>
    <w:p w14:paraId="4E533964" w14:textId="77777777" w:rsidR="00FF1389" w:rsidRPr="0042677A" w:rsidRDefault="00FF1389" w:rsidP="00FF1389">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Quedando en ambos casos el acto combatido sin materia o sin efectos.</w:t>
      </w:r>
    </w:p>
    <w:p w14:paraId="69CD86F8" w14:textId="77777777" w:rsidR="00FF1389" w:rsidRPr="0042677A" w:rsidRDefault="00FF1389" w:rsidP="00FF1389">
      <w:pPr>
        <w:spacing w:line="360" w:lineRule="auto"/>
        <w:jc w:val="both"/>
      </w:pPr>
    </w:p>
    <w:p w14:paraId="0CBFC98A" w14:textId="77777777" w:rsidR="00FF1389" w:rsidRPr="0042677A" w:rsidRDefault="00FF1389" w:rsidP="00FF1389">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 xml:space="preserve">Como se observa de lo anterior, un acto impugnado es </w:t>
      </w:r>
      <w:r w:rsidRPr="0042677A">
        <w:rPr>
          <w:rFonts w:ascii="Palatino Linotype" w:eastAsia="Palatino Linotype" w:hAnsi="Palatino Linotype" w:cs="Palatino Linotype"/>
          <w:b/>
        </w:rPr>
        <w:t>modificado</w:t>
      </w:r>
      <w:r w:rsidRPr="0042677A">
        <w:rPr>
          <w:rFonts w:ascii="Palatino Linotype" w:eastAsia="Palatino Linotype" w:hAnsi="Palatino Linotype" w:cs="Palatino Linotype"/>
        </w:rPr>
        <w:t xml:space="preserve"> en aquellos casos en los que el sujeto obligado subsana las deficiencias que hubiera tenido en primer momento, quedando satisfecho el derecho subjetivo accionado por la parte recurrente. </w:t>
      </w:r>
    </w:p>
    <w:p w14:paraId="34A366C2" w14:textId="77777777" w:rsidR="00FF1389" w:rsidRPr="0042677A" w:rsidRDefault="00FF1389" w:rsidP="00FF1389">
      <w:pPr>
        <w:spacing w:line="360" w:lineRule="auto"/>
        <w:jc w:val="both"/>
        <w:rPr>
          <w:rFonts w:ascii="Palatino Linotype" w:eastAsia="Palatino Linotype" w:hAnsi="Palatino Linotype" w:cs="Palatino Linotype"/>
        </w:rPr>
      </w:pPr>
    </w:p>
    <w:p w14:paraId="7BAA0015" w14:textId="77777777" w:rsidR="00FF1389" w:rsidRPr="0042677A" w:rsidRDefault="00FF1389" w:rsidP="00FF1389">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t>Por lo que hace a la</w:t>
      </w:r>
      <w:r w:rsidRPr="0042677A">
        <w:rPr>
          <w:rFonts w:ascii="Palatino Linotype" w:eastAsia="Palatino Linotype" w:hAnsi="Palatino Linotype" w:cs="Palatino Linotype"/>
          <w:b/>
        </w:rPr>
        <w:t xml:space="preserve"> revocación</w:t>
      </w:r>
      <w:r w:rsidRPr="0042677A">
        <w:rPr>
          <w:rFonts w:ascii="Palatino Linotype" w:eastAsia="Palatino Linotype" w:hAnsi="Palatino Linotype" w:cs="Palatino Linotype"/>
        </w:rPr>
        <w:t>, esta se actualiza cuando el sujeto obligado</w:t>
      </w:r>
      <w:r w:rsidRPr="0042677A">
        <w:rPr>
          <w:rFonts w:ascii="Palatino Linotype" w:eastAsia="Palatino Linotype" w:hAnsi="Palatino Linotype" w:cs="Palatino Linotype"/>
          <w:b/>
        </w:rPr>
        <w:t xml:space="preserve"> </w:t>
      </w:r>
      <w:r w:rsidRPr="0042677A">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43D21D24" w14:textId="77777777" w:rsidR="00FF1389" w:rsidRPr="0042677A" w:rsidRDefault="00FF1389" w:rsidP="00FF1389">
      <w:pPr>
        <w:spacing w:line="360" w:lineRule="auto"/>
        <w:jc w:val="both"/>
        <w:rPr>
          <w:rFonts w:ascii="Palatino Linotype" w:eastAsia="Palatino Linotype" w:hAnsi="Palatino Linotype" w:cs="Palatino Linotype"/>
        </w:rPr>
      </w:pPr>
    </w:p>
    <w:p w14:paraId="6EB4BD20" w14:textId="77777777" w:rsidR="00FF1389" w:rsidRPr="0042677A" w:rsidRDefault="00FF1389" w:rsidP="00FF1389">
      <w:pPr>
        <w:spacing w:line="360" w:lineRule="auto"/>
        <w:jc w:val="both"/>
        <w:rPr>
          <w:rFonts w:ascii="Palatino Linotype" w:eastAsia="Palatino Linotype" w:hAnsi="Palatino Linotype" w:cs="Palatino Linotype"/>
        </w:rPr>
      </w:pPr>
      <w:r w:rsidRPr="0042677A">
        <w:rPr>
          <w:rFonts w:ascii="Palatino Linotype" w:eastAsia="Palatino Linotype" w:hAnsi="Palatino Linotype" w:cs="Palatino Linotype"/>
        </w:rPr>
        <w:lastRenderedPageBreak/>
        <w:t>En ese tenor, un acto impugnado queda sin efectos, cuando aun existiendo jurídicamente ya no genera ninguna consecuencia legal.</w:t>
      </w:r>
    </w:p>
    <w:p w14:paraId="26C866AB" w14:textId="77777777" w:rsidR="00FF1389" w:rsidRPr="0042677A" w:rsidRDefault="00FF1389" w:rsidP="00FF1389">
      <w:pPr>
        <w:spacing w:line="360" w:lineRule="auto"/>
        <w:jc w:val="both"/>
        <w:rPr>
          <w:rFonts w:ascii="Palatino Linotype" w:eastAsia="Palatino Linotype" w:hAnsi="Palatino Linotype" w:cs="Palatino Linotype"/>
        </w:rPr>
      </w:pPr>
    </w:p>
    <w:p w14:paraId="71177347" w14:textId="0E0B21E2" w:rsidR="00FF1389" w:rsidRPr="0042677A" w:rsidRDefault="00FF1389" w:rsidP="00FF1389">
      <w:pPr>
        <w:spacing w:line="360" w:lineRule="auto"/>
        <w:ind w:right="49"/>
        <w:jc w:val="both"/>
        <w:rPr>
          <w:rFonts w:ascii="Palatino Linotype" w:eastAsia="Palatino Linotype" w:hAnsi="Palatino Linotype" w:cs="Palatino Linotype"/>
          <w:color w:val="000000"/>
        </w:rPr>
      </w:pPr>
      <w:r w:rsidRPr="0042677A">
        <w:rPr>
          <w:rFonts w:ascii="Palatino Linotype" w:eastAsia="Palatino Linotype" w:hAnsi="Palatino Linotype" w:cs="Palatino Linotype"/>
        </w:rPr>
        <w:t xml:space="preserve">En tanto, en el presente caso toda vez que el Sujeto Obligado mediante informe justificado </w:t>
      </w:r>
      <w:r w:rsidR="00D26D10" w:rsidRPr="0042677A">
        <w:rPr>
          <w:rFonts w:ascii="Palatino Linotype" w:eastAsia="Palatino Linotype" w:hAnsi="Palatino Linotype" w:cs="Palatino Linotype"/>
        </w:rPr>
        <w:t>remitió los certificados de derechos y obligaciones de fosa individual</w:t>
      </w:r>
      <w:r w:rsidRPr="0042677A">
        <w:rPr>
          <w:rFonts w:ascii="Palatino Linotype" w:eastAsia="Palatino Linotype" w:hAnsi="Palatino Linotype" w:cs="Palatino Linotype"/>
        </w:rPr>
        <w:t xml:space="preserve">; dejó sin materia el presente recurso de revisión, actualizándose entonces la causal prevista en la fracción III del artículo 192 de la Ley de la Materia vigente en la Entidad. </w:t>
      </w:r>
    </w:p>
    <w:p w14:paraId="2BAE5DBC" w14:textId="77777777" w:rsidR="00FF1389" w:rsidRPr="0042677A" w:rsidRDefault="00FF1389" w:rsidP="00FF1389">
      <w:pPr>
        <w:spacing w:line="360" w:lineRule="auto"/>
        <w:ind w:right="49"/>
        <w:jc w:val="both"/>
        <w:rPr>
          <w:rFonts w:ascii="Palatino Linotype" w:eastAsia="Palatino Linotype" w:hAnsi="Palatino Linotype" w:cs="Palatino Linotype"/>
        </w:rPr>
      </w:pPr>
    </w:p>
    <w:p w14:paraId="5B4EC159" w14:textId="77777777" w:rsidR="00FF1389" w:rsidRPr="0042677A" w:rsidRDefault="00FF1389" w:rsidP="00FF1389">
      <w:pPr>
        <w:spacing w:line="360" w:lineRule="auto"/>
        <w:ind w:right="49"/>
        <w:jc w:val="both"/>
        <w:rPr>
          <w:rFonts w:ascii="Palatino Linotype" w:eastAsia="Palatino Linotype" w:hAnsi="Palatino Linotype" w:cs="Palatino Linotype"/>
        </w:rPr>
      </w:pPr>
      <w:r w:rsidRPr="0042677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75C5B2E" w14:textId="77777777" w:rsidR="00FF1389" w:rsidRPr="0042677A" w:rsidRDefault="00FF1389" w:rsidP="00FF1389">
      <w:pPr>
        <w:tabs>
          <w:tab w:val="left" w:pos="709"/>
        </w:tabs>
        <w:spacing w:line="360" w:lineRule="auto"/>
        <w:jc w:val="both"/>
        <w:rPr>
          <w:rFonts w:ascii="Palatino Linotype" w:eastAsia="Palatino Linotype" w:hAnsi="Palatino Linotype" w:cs="Palatino Linotype"/>
        </w:rPr>
      </w:pPr>
    </w:p>
    <w:p w14:paraId="2D22EA79" w14:textId="77777777" w:rsidR="00FF1389" w:rsidRPr="0042677A" w:rsidRDefault="00FF1389" w:rsidP="00FF1389">
      <w:pPr>
        <w:numPr>
          <w:ilvl w:val="0"/>
          <w:numId w:val="35"/>
        </w:numPr>
        <w:spacing w:line="360" w:lineRule="auto"/>
        <w:ind w:left="567"/>
        <w:jc w:val="center"/>
        <w:rPr>
          <w:rFonts w:ascii="Palatino Linotype" w:eastAsia="Palatino Linotype" w:hAnsi="Palatino Linotype" w:cs="Palatino Linotype"/>
          <w:b/>
        </w:rPr>
      </w:pPr>
      <w:r w:rsidRPr="0042677A">
        <w:rPr>
          <w:rFonts w:ascii="Palatino Linotype" w:eastAsia="Palatino Linotype" w:hAnsi="Palatino Linotype" w:cs="Palatino Linotype"/>
          <w:b/>
        </w:rPr>
        <w:t>R E S U E L V E</w:t>
      </w:r>
    </w:p>
    <w:p w14:paraId="2F89FA0D" w14:textId="77777777" w:rsidR="00FF1389" w:rsidRPr="0042677A" w:rsidRDefault="00FF1389" w:rsidP="00FF1389">
      <w:pPr>
        <w:spacing w:line="360" w:lineRule="auto"/>
        <w:jc w:val="center"/>
        <w:rPr>
          <w:rFonts w:ascii="Palatino Linotype" w:eastAsia="Palatino Linotype" w:hAnsi="Palatino Linotype" w:cs="Palatino Linotype"/>
          <w:b/>
        </w:rPr>
      </w:pPr>
    </w:p>
    <w:p w14:paraId="5B4A933F" w14:textId="67F3638B" w:rsidR="00FF1389" w:rsidRPr="0042677A" w:rsidRDefault="00FF1389" w:rsidP="00FF1389">
      <w:pPr>
        <w:spacing w:line="360" w:lineRule="auto"/>
        <w:jc w:val="both"/>
        <w:rPr>
          <w:rFonts w:ascii="Palatino Linotype" w:eastAsia="Palatino Linotype" w:hAnsi="Palatino Linotype" w:cs="Palatino Linotype"/>
          <w:b/>
        </w:rPr>
      </w:pPr>
      <w:r w:rsidRPr="0042677A">
        <w:rPr>
          <w:rFonts w:ascii="Palatino Linotype" w:eastAsia="Palatino Linotype" w:hAnsi="Palatino Linotype" w:cs="Palatino Linotype"/>
          <w:b/>
        </w:rPr>
        <w:t xml:space="preserve">PRIMERO. </w:t>
      </w:r>
      <w:r w:rsidRPr="0042677A">
        <w:rPr>
          <w:rFonts w:ascii="Palatino Linotype" w:eastAsia="Palatino Linotype" w:hAnsi="Palatino Linotype" w:cs="Palatino Linotype"/>
        </w:rPr>
        <w:t xml:space="preserve">Se </w:t>
      </w:r>
      <w:r w:rsidRPr="0042677A">
        <w:rPr>
          <w:rFonts w:ascii="Palatino Linotype" w:eastAsia="Palatino Linotype" w:hAnsi="Palatino Linotype" w:cs="Palatino Linotype"/>
          <w:b/>
        </w:rPr>
        <w:t xml:space="preserve">SOBRESEE </w:t>
      </w:r>
      <w:r w:rsidRPr="0042677A">
        <w:rPr>
          <w:rFonts w:ascii="Palatino Linotype" w:eastAsia="Palatino Linotype" w:hAnsi="Palatino Linotype" w:cs="Palatino Linotype"/>
        </w:rPr>
        <w:t>el recurso de revisión número</w:t>
      </w:r>
      <w:r w:rsidRPr="0042677A">
        <w:rPr>
          <w:rFonts w:ascii="Palatino Linotype" w:eastAsia="Palatino Linotype" w:hAnsi="Palatino Linotype" w:cs="Palatino Linotype"/>
          <w:b/>
        </w:rPr>
        <w:t xml:space="preserve"> </w:t>
      </w:r>
      <w:r w:rsidR="00D26D10" w:rsidRPr="0042677A">
        <w:rPr>
          <w:rFonts w:ascii="Palatino Linotype" w:eastAsia="Palatino Linotype" w:hAnsi="Palatino Linotype" w:cs="Palatino Linotype"/>
          <w:b/>
        </w:rPr>
        <w:t>15034/INFOEM/ICR-07/IP/RR/2022</w:t>
      </w:r>
      <w:r w:rsidRPr="0042677A">
        <w:rPr>
          <w:rFonts w:ascii="Palatino Linotype" w:eastAsia="Palatino Linotype" w:hAnsi="Palatino Linotype" w:cs="Palatino Linotype"/>
        </w:rPr>
        <w:t>, de conformidad con lo dispuesto en la fracción III del artículo 192 de la Ley de Transparencia de la Entidad, porque al modificar la respuesta a la solicitud de acceso a la información</w:t>
      </w:r>
      <w:r w:rsidRPr="0042677A">
        <w:rPr>
          <w:rFonts w:ascii="Palatino Linotype" w:eastAsia="Palatino Linotype" w:hAnsi="Palatino Linotype" w:cs="Palatino Linotype"/>
          <w:b/>
        </w:rPr>
        <w:t xml:space="preserve"> 0</w:t>
      </w:r>
      <w:r w:rsidR="00D26D10" w:rsidRPr="0042677A">
        <w:rPr>
          <w:rFonts w:ascii="Palatino Linotype" w:eastAsia="Palatino Linotype" w:hAnsi="Palatino Linotype" w:cs="Palatino Linotype"/>
          <w:b/>
        </w:rPr>
        <w:t>4224</w:t>
      </w:r>
      <w:r w:rsidRPr="0042677A">
        <w:rPr>
          <w:rFonts w:ascii="Palatino Linotype" w:eastAsia="Palatino Linotype" w:hAnsi="Palatino Linotype" w:cs="Palatino Linotype"/>
          <w:b/>
        </w:rPr>
        <w:t>/</w:t>
      </w:r>
      <w:r w:rsidR="00D26D10" w:rsidRPr="0042677A">
        <w:rPr>
          <w:rFonts w:ascii="Palatino Linotype" w:eastAsia="Palatino Linotype" w:hAnsi="Palatino Linotype" w:cs="Palatino Linotype"/>
          <w:b/>
        </w:rPr>
        <w:t>METEPEC</w:t>
      </w:r>
      <w:r w:rsidRPr="0042677A">
        <w:rPr>
          <w:rFonts w:ascii="Palatino Linotype" w:eastAsia="Palatino Linotype" w:hAnsi="Palatino Linotype" w:cs="Palatino Linotype"/>
          <w:b/>
        </w:rPr>
        <w:t xml:space="preserve">/IP/2022 </w:t>
      </w:r>
      <w:r w:rsidRPr="0042677A">
        <w:rPr>
          <w:rFonts w:ascii="Palatino Linotype" w:eastAsia="Palatino Linotype" w:hAnsi="Palatino Linotype" w:cs="Palatino Linotype"/>
        </w:rPr>
        <w:t xml:space="preserve">el recurso de revisión quedó sin materia en términos del </w:t>
      </w:r>
      <w:r w:rsidRPr="0042677A">
        <w:rPr>
          <w:rFonts w:ascii="Palatino Linotype" w:eastAsia="Palatino Linotype" w:hAnsi="Palatino Linotype" w:cs="Palatino Linotype"/>
          <w:b/>
        </w:rPr>
        <w:t>Considerando Tercero</w:t>
      </w:r>
      <w:r w:rsidRPr="0042677A">
        <w:rPr>
          <w:rFonts w:ascii="Palatino Linotype" w:eastAsia="Palatino Linotype" w:hAnsi="Palatino Linotype" w:cs="Palatino Linotype"/>
        </w:rPr>
        <w:t xml:space="preserve"> de la presente resolución.</w:t>
      </w:r>
    </w:p>
    <w:p w14:paraId="56FFBF83" w14:textId="77777777" w:rsidR="00FF1389" w:rsidRPr="0042677A" w:rsidRDefault="00FF1389" w:rsidP="00FF1389">
      <w:pPr>
        <w:spacing w:line="360" w:lineRule="auto"/>
        <w:jc w:val="both"/>
        <w:rPr>
          <w:rFonts w:ascii="Palatino Linotype" w:eastAsia="Palatino Linotype" w:hAnsi="Palatino Linotype" w:cs="Palatino Linotype"/>
        </w:rPr>
      </w:pPr>
    </w:p>
    <w:p w14:paraId="2C62E673" w14:textId="0F4EBED5" w:rsidR="00FF1389" w:rsidRPr="0042677A" w:rsidRDefault="00FF1389" w:rsidP="00FF1389">
      <w:pPr>
        <w:spacing w:line="360" w:lineRule="auto"/>
        <w:jc w:val="both"/>
        <w:rPr>
          <w:rFonts w:ascii="Palatino Linotype" w:eastAsia="Palatino Linotype" w:hAnsi="Palatino Linotype" w:cs="Palatino Linotype"/>
          <w:color w:val="000000"/>
        </w:rPr>
      </w:pPr>
      <w:r w:rsidRPr="0042677A">
        <w:rPr>
          <w:rFonts w:ascii="Palatino Linotype" w:eastAsia="Palatino Linotype" w:hAnsi="Palatino Linotype" w:cs="Palatino Linotype"/>
          <w:b/>
          <w:color w:val="000000"/>
        </w:rPr>
        <w:t>SEGUNDO. Notifíquese</w:t>
      </w:r>
      <w:r w:rsidR="00D26D10" w:rsidRPr="0042677A">
        <w:rPr>
          <w:rFonts w:ascii="Palatino Linotype" w:eastAsia="Palatino Linotype" w:hAnsi="Palatino Linotype" w:cs="Palatino Linotype"/>
          <w:b/>
          <w:color w:val="000000"/>
        </w:rPr>
        <w:t xml:space="preserve"> </w:t>
      </w:r>
      <w:r w:rsidRPr="0042677A">
        <w:rPr>
          <w:rFonts w:ascii="Palatino Linotype" w:eastAsia="Palatino Linotype" w:hAnsi="Palatino Linotype" w:cs="Palatino Linotype"/>
          <w:color w:val="000000"/>
        </w:rPr>
        <w:t xml:space="preserve">vía </w:t>
      </w:r>
      <w:r w:rsidRPr="0042677A">
        <w:rPr>
          <w:rFonts w:ascii="Palatino Linotype" w:eastAsia="Palatino Linotype" w:hAnsi="Palatino Linotype" w:cs="Palatino Linotype"/>
          <w:b/>
          <w:color w:val="000000"/>
        </w:rPr>
        <w:t xml:space="preserve">SAIMEX, </w:t>
      </w:r>
      <w:r w:rsidRPr="0042677A">
        <w:rPr>
          <w:rFonts w:ascii="Palatino Linotype" w:eastAsia="Palatino Linotype" w:hAnsi="Palatino Linotype" w:cs="Palatino Linotype"/>
          <w:color w:val="000000"/>
        </w:rPr>
        <w:t xml:space="preserve">al </w:t>
      </w:r>
      <w:r w:rsidRPr="0042677A">
        <w:rPr>
          <w:rFonts w:ascii="Palatino Linotype" w:eastAsia="Palatino Linotype" w:hAnsi="Palatino Linotype" w:cs="Palatino Linotype"/>
        </w:rPr>
        <w:t>Titular</w:t>
      </w:r>
      <w:r w:rsidRPr="0042677A">
        <w:rPr>
          <w:rFonts w:ascii="Palatino Linotype" w:eastAsia="Palatino Linotype" w:hAnsi="Palatino Linotype" w:cs="Palatino Linotype"/>
          <w:color w:val="000000"/>
        </w:rPr>
        <w:t xml:space="preserve"> de la Unidad de Transparencia del </w:t>
      </w:r>
      <w:r w:rsidRPr="0042677A">
        <w:rPr>
          <w:rFonts w:ascii="Palatino Linotype" w:eastAsia="Palatino Linotype" w:hAnsi="Palatino Linotype" w:cs="Palatino Linotype"/>
          <w:b/>
          <w:color w:val="000000"/>
        </w:rPr>
        <w:t>SUJETO OBLIGADO</w:t>
      </w:r>
      <w:r w:rsidRPr="0042677A">
        <w:rPr>
          <w:rFonts w:ascii="Palatino Linotype" w:eastAsia="Palatino Linotype" w:hAnsi="Palatino Linotype" w:cs="Palatino Linotype"/>
          <w:color w:val="000000"/>
        </w:rPr>
        <w:t xml:space="preserve"> la presente resolución, para su conocimiento.</w:t>
      </w:r>
    </w:p>
    <w:p w14:paraId="21E95F73" w14:textId="77777777" w:rsidR="00D26D10" w:rsidRPr="0042677A" w:rsidRDefault="00D26D10" w:rsidP="00FF1389">
      <w:pPr>
        <w:spacing w:line="360" w:lineRule="auto"/>
        <w:jc w:val="both"/>
        <w:rPr>
          <w:rFonts w:ascii="Palatino Linotype" w:eastAsia="Palatino Linotype" w:hAnsi="Palatino Linotype" w:cs="Palatino Linotype"/>
          <w:b/>
        </w:rPr>
      </w:pPr>
    </w:p>
    <w:p w14:paraId="62F6AF6C" w14:textId="1B7ECB26" w:rsidR="008035F4" w:rsidRPr="0042677A" w:rsidRDefault="00FF1389" w:rsidP="002C59EE">
      <w:pPr>
        <w:spacing w:line="360" w:lineRule="auto"/>
        <w:jc w:val="both"/>
        <w:rPr>
          <w:rFonts w:ascii="Palatino Linotype" w:eastAsia="Palatino Linotype" w:hAnsi="Palatino Linotype" w:cs="Palatino Linotype"/>
          <w:color w:val="000000"/>
        </w:rPr>
      </w:pPr>
      <w:r w:rsidRPr="0042677A">
        <w:rPr>
          <w:rFonts w:ascii="Palatino Linotype" w:eastAsia="Palatino Linotype" w:hAnsi="Palatino Linotype" w:cs="Palatino Linotype"/>
          <w:b/>
          <w:color w:val="000000"/>
        </w:rPr>
        <w:t>TERCERO. Notifíquese vía SAIMEX</w:t>
      </w:r>
      <w:r w:rsidRPr="0042677A">
        <w:rPr>
          <w:rFonts w:ascii="Palatino Linotype" w:eastAsia="Palatino Linotype" w:hAnsi="Palatino Linotype" w:cs="Palatino Linotype"/>
          <w:color w:val="000000"/>
        </w:rPr>
        <w:t xml:space="preserve"> </w:t>
      </w:r>
      <w:r w:rsidR="00676C6E" w:rsidRPr="0042677A">
        <w:rPr>
          <w:rFonts w:ascii="Palatino Linotype" w:eastAsia="Palatino Linotype" w:hAnsi="Palatino Linotype" w:cs="Palatino Linotype"/>
          <w:color w:val="000000"/>
        </w:rPr>
        <w:t>a la parte</w:t>
      </w:r>
      <w:r w:rsidRPr="0042677A">
        <w:rPr>
          <w:rFonts w:ascii="Palatino Linotype" w:eastAsia="Palatino Linotype" w:hAnsi="Palatino Linotype" w:cs="Palatino Linotype"/>
          <w:color w:val="000000"/>
        </w:rPr>
        <w:t xml:space="preserve"> </w:t>
      </w:r>
      <w:r w:rsidRPr="0042677A">
        <w:rPr>
          <w:rFonts w:ascii="Palatino Linotype" w:eastAsia="Palatino Linotype" w:hAnsi="Palatino Linotype" w:cs="Palatino Linotype"/>
          <w:b/>
          <w:color w:val="000000"/>
        </w:rPr>
        <w:t>RECURRENTE</w:t>
      </w:r>
      <w:r w:rsidRPr="0042677A">
        <w:rPr>
          <w:rFonts w:ascii="Palatino Linotype" w:eastAsia="Palatino Linotype" w:hAnsi="Palatino Linotype" w:cs="Palatino Linotype"/>
          <w:color w:val="000000"/>
        </w:rPr>
        <w:t xml:space="preserve"> la presente resolución; así como, que de conformidad con lo establecido en el artículo 196 de la Ley de Transparencia y Acceso a la Información Pública del Estado de México y Municipios, podrá </w:t>
      </w:r>
      <w:r w:rsidRPr="0042677A">
        <w:rPr>
          <w:rFonts w:ascii="Palatino Linotype" w:eastAsia="Palatino Linotype" w:hAnsi="Palatino Linotype" w:cs="Palatino Linotype"/>
        </w:rPr>
        <w:t>impugnar vía</w:t>
      </w:r>
      <w:r w:rsidRPr="0042677A">
        <w:rPr>
          <w:rFonts w:ascii="Palatino Linotype" w:eastAsia="Palatino Linotype" w:hAnsi="Palatino Linotype" w:cs="Palatino Linotype"/>
          <w:color w:val="000000"/>
        </w:rPr>
        <w:t xml:space="preserve"> Juicio de Amparo en los términos de las leyes aplicables.</w:t>
      </w:r>
      <w:bookmarkStart w:id="3" w:name="_heading=h.17dp8vu" w:colFirst="0" w:colLast="0"/>
      <w:bookmarkEnd w:id="3"/>
    </w:p>
    <w:p w14:paraId="1239A404" w14:textId="77777777" w:rsidR="00D26D10" w:rsidRPr="0042677A" w:rsidRDefault="00D26D10" w:rsidP="002C59EE">
      <w:pPr>
        <w:spacing w:line="360" w:lineRule="auto"/>
        <w:jc w:val="both"/>
        <w:rPr>
          <w:rFonts w:ascii="Palatino Linotype" w:eastAsia="Palatino Linotype" w:hAnsi="Palatino Linotype" w:cs="Palatino Linotype"/>
          <w:color w:val="000000"/>
        </w:rPr>
      </w:pPr>
    </w:p>
    <w:p w14:paraId="6898EF20" w14:textId="77777777" w:rsidR="0029428A" w:rsidRDefault="0029428A" w:rsidP="0029428A">
      <w:pPr>
        <w:spacing w:before="240" w:after="240" w:line="360" w:lineRule="auto"/>
        <w:jc w:val="both"/>
        <w:rPr>
          <w:rFonts w:ascii="Palatino Linotype" w:eastAsia="Palatino Linotype" w:hAnsi="Palatino Linotype" w:cs="Palatino Linotype"/>
          <w:lang w:eastAsia="es-MX"/>
        </w:rPr>
      </w:pPr>
      <w:r w:rsidRPr="0042677A">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 ALEXIS TAPIA RAMÍREZ.</w:t>
      </w:r>
    </w:p>
    <w:p w14:paraId="2D045AD4" w14:textId="77777777" w:rsidR="00954120" w:rsidRPr="00344EC4" w:rsidRDefault="00954120" w:rsidP="002C59EE">
      <w:pPr>
        <w:tabs>
          <w:tab w:val="left" w:pos="709"/>
        </w:tabs>
        <w:spacing w:line="360" w:lineRule="auto"/>
        <w:jc w:val="both"/>
        <w:rPr>
          <w:rFonts w:ascii="Palatino Linotype" w:eastAsia="Palatino Linotype" w:hAnsi="Palatino Linotype" w:cs="Palatino Linotype"/>
        </w:rPr>
      </w:pPr>
    </w:p>
    <w:p w14:paraId="1B1D3848" w14:textId="77777777" w:rsidR="00954120" w:rsidRPr="00344EC4" w:rsidRDefault="00954120" w:rsidP="002C59EE"/>
    <w:p w14:paraId="4B04DDA6" w14:textId="77777777" w:rsidR="00954120" w:rsidRDefault="00954120" w:rsidP="002C59EE"/>
    <w:p w14:paraId="1E9570CF" w14:textId="77777777" w:rsidR="00632712" w:rsidRDefault="00632712" w:rsidP="002C59EE"/>
    <w:p w14:paraId="661566E0" w14:textId="77777777" w:rsidR="00632712" w:rsidRDefault="00632712" w:rsidP="002C59EE"/>
    <w:p w14:paraId="5E18899F" w14:textId="77777777" w:rsidR="00632712" w:rsidRDefault="00632712" w:rsidP="002C59EE"/>
    <w:p w14:paraId="6E648854" w14:textId="77777777" w:rsidR="00632712" w:rsidRDefault="00632712" w:rsidP="002C59EE"/>
    <w:p w14:paraId="21CEEA1D" w14:textId="77777777" w:rsidR="00632712" w:rsidRDefault="00632712" w:rsidP="002C59EE"/>
    <w:p w14:paraId="19F82E15" w14:textId="77777777" w:rsidR="00632712" w:rsidRDefault="00632712" w:rsidP="002C59EE"/>
    <w:p w14:paraId="610CA369" w14:textId="77777777" w:rsidR="00632712" w:rsidRDefault="00632712" w:rsidP="002C59EE"/>
    <w:p w14:paraId="3CE5CD6F" w14:textId="77777777" w:rsidR="00632712" w:rsidRPr="00344EC4" w:rsidRDefault="00632712" w:rsidP="002C59EE"/>
    <w:sectPr w:rsidR="00632712" w:rsidRPr="00344EC4" w:rsidSect="00431C29">
      <w:headerReference w:type="default" r:id="rId9"/>
      <w:footerReference w:type="default" r:id="rId10"/>
      <w:headerReference w:type="first" r:id="rId11"/>
      <w:footerReference w:type="first" r:id="rId12"/>
      <w:pgSz w:w="12240" w:h="15840"/>
      <w:pgMar w:top="1985" w:right="1701" w:bottom="1701" w:left="1701" w:header="284"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B0A32" w14:textId="77777777" w:rsidR="002B7A2D" w:rsidRDefault="002B7A2D">
      <w:r>
        <w:separator/>
      </w:r>
    </w:p>
  </w:endnote>
  <w:endnote w:type="continuationSeparator" w:id="0">
    <w:p w14:paraId="1649E702" w14:textId="77777777" w:rsidR="002B7A2D" w:rsidRDefault="002B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CBF9C" w14:textId="77777777" w:rsidR="002A5AF6" w:rsidRDefault="002A5AF6" w:rsidP="002A5AF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4D9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4D92">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5D1F908C" w14:textId="77777777" w:rsidR="002A5AF6" w:rsidRDefault="002A5AF6" w:rsidP="002A5AF6">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29D33B81" w14:textId="77777777" w:rsidR="002A5AF6" w:rsidRDefault="002A5AF6" w:rsidP="002A5AF6">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7FA58" w14:textId="77777777" w:rsidR="002A5AF6" w:rsidRDefault="002A5AF6" w:rsidP="002A5AF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4D9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4D92">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098B1CC9" w14:textId="29A41FE2" w:rsidR="002A5AF6" w:rsidRDefault="002A5AF6" w:rsidP="002A5AF6">
    <w:pPr>
      <w:pStyle w:val="Piedepgina"/>
      <w:tabs>
        <w:tab w:val="clear" w:pos="4252"/>
        <w:tab w:val="clear" w:pos="8504"/>
        <w:tab w:val="left" w:pos="66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6519F" w14:textId="77777777" w:rsidR="002B7A2D" w:rsidRDefault="002B7A2D">
      <w:r>
        <w:separator/>
      </w:r>
    </w:p>
  </w:footnote>
  <w:footnote w:type="continuationSeparator" w:id="0">
    <w:p w14:paraId="4E07B2E3" w14:textId="77777777" w:rsidR="002B7A2D" w:rsidRDefault="002B7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F0C8" w14:textId="71C21CAA" w:rsidR="000E6B14" w:rsidRDefault="000E6B14">
    <w:r>
      <w:rPr>
        <w:noProof/>
        <w:lang w:eastAsia="es-MX"/>
      </w:rPr>
      <w:drawing>
        <wp:anchor distT="0" distB="0" distL="0" distR="0" simplePos="0" relativeHeight="251661312" behindDoc="1" locked="0" layoutInCell="1" hidden="0" allowOverlap="1" wp14:anchorId="614072BE" wp14:editId="405644D1">
          <wp:simplePos x="0" y="0"/>
          <wp:positionH relativeFrom="page">
            <wp:posOffset>161925</wp:posOffset>
          </wp:positionH>
          <wp:positionV relativeFrom="paragraph">
            <wp:posOffset>-418465</wp:posOffset>
          </wp:positionV>
          <wp:extent cx="7809865" cy="10165715"/>
          <wp:effectExtent l="0" t="0" r="635" b="6985"/>
          <wp:wrapNone/>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1796F8E8" w14:textId="77777777" w:rsidR="000E6B14" w:rsidRDefault="000E6B14"/>
  <w:tbl>
    <w:tblPr>
      <w:tblW w:w="6459" w:type="dxa"/>
      <w:tblInd w:w="2897" w:type="dxa"/>
      <w:tblLayout w:type="fixed"/>
      <w:tblLook w:val="0400" w:firstRow="0" w:lastRow="0" w:firstColumn="0" w:lastColumn="0" w:noHBand="0" w:noVBand="1"/>
    </w:tblPr>
    <w:tblGrid>
      <w:gridCol w:w="2489"/>
      <w:gridCol w:w="3970"/>
    </w:tblGrid>
    <w:tr w:rsidR="00431C29" w14:paraId="35A2EC4F" w14:textId="77777777" w:rsidTr="002A4994">
      <w:tc>
        <w:tcPr>
          <w:tcW w:w="2489" w:type="dxa"/>
          <w:shd w:val="clear" w:color="auto" w:fill="auto"/>
        </w:tcPr>
        <w:p w14:paraId="34E75FFB" w14:textId="77777777" w:rsidR="00431C29" w:rsidRDefault="00431C29" w:rsidP="00431C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70" w:type="dxa"/>
          <w:shd w:val="clear" w:color="auto" w:fill="auto"/>
          <w:vAlign w:val="center"/>
        </w:tcPr>
        <w:p w14:paraId="2B59F89A" w14:textId="5D60F1D6" w:rsidR="00431C29" w:rsidRDefault="00E545E8" w:rsidP="00431C2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15034/INFOEM/ICR-07/IP/RR/2022</w:t>
          </w:r>
        </w:p>
      </w:tc>
    </w:tr>
    <w:tr w:rsidR="00431C29" w14:paraId="0E31DB97" w14:textId="77777777" w:rsidTr="002A4994">
      <w:trPr>
        <w:trHeight w:val="228"/>
      </w:trPr>
      <w:tc>
        <w:tcPr>
          <w:tcW w:w="2489" w:type="dxa"/>
          <w:shd w:val="clear" w:color="auto" w:fill="auto"/>
          <w:vAlign w:val="center"/>
        </w:tcPr>
        <w:p w14:paraId="46506DA9" w14:textId="77777777" w:rsidR="00431C29" w:rsidRDefault="00431C29" w:rsidP="00431C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70" w:type="dxa"/>
          <w:shd w:val="clear" w:color="auto" w:fill="auto"/>
          <w:vAlign w:val="center"/>
        </w:tcPr>
        <w:p w14:paraId="168BD9DE" w14:textId="722FBFFF" w:rsidR="00431C29" w:rsidRDefault="002A4994" w:rsidP="00431C2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431C29" w14:paraId="134FB45D" w14:textId="77777777" w:rsidTr="002A4994">
      <w:tc>
        <w:tcPr>
          <w:tcW w:w="2489" w:type="dxa"/>
          <w:shd w:val="clear" w:color="auto" w:fill="auto"/>
          <w:vAlign w:val="center"/>
        </w:tcPr>
        <w:p w14:paraId="29C1DD57" w14:textId="77777777" w:rsidR="00431C29" w:rsidRDefault="00431C29" w:rsidP="00431C2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70" w:type="dxa"/>
          <w:shd w:val="clear" w:color="auto" w:fill="auto"/>
          <w:vAlign w:val="center"/>
        </w:tcPr>
        <w:p w14:paraId="0D550FE6" w14:textId="77777777" w:rsidR="00431C29" w:rsidRDefault="00431C29" w:rsidP="00431C2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3DF6CE" w14:textId="213462E1" w:rsidR="00AE026E" w:rsidRDefault="00AE02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DBF0" w14:textId="77777777" w:rsidR="00B23F13" w:rsidRDefault="00AE026E">
    <w:pPr>
      <w:pBdr>
        <w:top w:val="nil"/>
        <w:left w:val="nil"/>
        <w:bottom w:val="nil"/>
        <w:right w:val="nil"/>
        <w:between w:val="nil"/>
      </w:pBdr>
      <w:tabs>
        <w:tab w:val="center" w:pos="4252"/>
        <w:tab w:val="right" w:pos="8504"/>
      </w:tabs>
      <w:jc w:val="both"/>
      <w:rPr>
        <w:rFonts w:ascii="Calibri" w:eastAsia="Calibri" w:hAnsi="Calibri" w:cs="Calibri"/>
        <w:color w:val="000000"/>
      </w:rPr>
    </w:pPr>
    <w:r w:rsidRPr="00AE026E">
      <w:rPr>
        <w:noProof/>
        <w:lang w:eastAsia="es-MX"/>
      </w:rPr>
      <w:drawing>
        <wp:anchor distT="0" distB="0" distL="0" distR="0" simplePos="0" relativeHeight="251659264" behindDoc="1" locked="0" layoutInCell="1" hidden="0" allowOverlap="1" wp14:anchorId="4B782446" wp14:editId="684E7A10">
          <wp:simplePos x="0" y="0"/>
          <wp:positionH relativeFrom="column">
            <wp:posOffset>-742950</wp:posOffset>
          </wp:positionH>
          <wp:positionV relativeFrom="paragraph">
            <wp:posOffset>-367030</wp:posOffset>
          </wp:positionV>
          <wp:extent cx="7809865" cy="10165715"/>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B23F13">
      <w:rPr>
        <w:rFonts w:ascii="Calibri" w:eastAsia="Calibri" w:hAnsi="Calibri" w:cs="Calibri"/>
        <w:color w:val="000000"/>
      </w:rPr>
      <w:t xml:space="preserve">                                  </w:t>
    </w:r>
  </w:p>
  <w:tbl>
    <w:tblPr>
      <w:tblW w:w="6940" w:type="dxa"/>
      <w:tblInd w:w="2814" w:type="dxa"/>
      <w:tblLayout w:type="fixed"/>
      <w:tblLook w:val="0400" w:firstRow="0" w:lastRow="0" w:firstColumn="0" w:lastColumn="0" w:noHBand="0" w:noVBand="1"/>
    </w:tblPr>
    <w:tblGrid>
      <w:gridCol w:w="2551"/>
      <w:gridCol w:w="4389"/>
    </w:tblGrid>
    <w:tr w:rsidR="00431C29" w14:paraId="26136FE1" w14:textId="77777777" w:rsidTr="00C01CC5">
      <w:tc>
        <w:tcPr>
          <w:tcW w:w="2551" w:type="dxa"/>
          <w:shd w:val="clear" w:color="auto" w:fill="auto"/>
          <w:vAlign w:val="center"/>
        </w:tcPr>
        <w:p w14:paraId="0AFBE727" w14:textId="77777777" w:rsidR="00431C29" w:rsidRDefault="00431C29" w:rsidP="00431C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89" w:type="dxa"/>
          <w:shd w:val="clear" w:color="auto" w:fill="auto"/>
          <w:vAlign w:val="center"/>
        </w:tcPr>
        <w:p w14:paraId="7CDF858D" w14:textId="6C0C1778" w:rsidR="00431C29" w:rsidRDefault="00D10300" w:rsidP="00D1030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15034</w:t>
          </w:r>
          <w:r w:rsidR="00431C29">
            <w:rPr>
              <w:rFonts w:ascii="Palatino Linotype" w:eastAsia="Palatino Linotype" w:hAnsi="Palatino Linotype" w:cs="Palatino Linotype"/>
              <w:b/>
              <w:sz w:val="22"/>
              <w:szCs w:val="22"/>
            </w:rPr>
            <w:t>/INFOEM/</w:t>
          </w:r>
          <w:r>
            <w:rPr>
              <w:rFonts w:ascii="Palatino Linotype" w:eastAsia="Palatino Linotype" w:hAnsi="Palatino Linotype" w:cs="Palatino Linotype"/>
              <w:b/>
              <w:sz w:val="22"/>
              <w:szCs w:val="22"/>
            </w:rPr>
            <w:t>ICR-07/IP/RR/2022</w:t>
          </w:r>
        </w:p>
      </w:tc>
    </w:tr>
    <w:tr w:rsidR="00431C29" w14:paraId="2FEE62BA" w14:textId="77777777" w:rsidTr="00C01CC5">
      <w:trPr>
        <w:trHeight w:val="130"/>
      </w:trPr>
      <w:tc>
        <w:tcPr>
          <w:tcW w:w="2551" w:type="dxa"/>
          <w:shd w:val="clear" w:color="auto" w:fill="auto"/>
          <w:vAlign w:val="center"/>
        </w:tcPr>
        <w:p w14:paraId="52B7D5BE" w14:textId="77777777" w:rsidR="00431C29" w:rsidRDefault="00431C29" w:rsidP="00431C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89" w:type="dxa"/>
          <w:shd w:val="clear" w:color="auto" w:fill="auto"/>
          <w:vAlign w:val="center"/>
        </w:tcPr>
        <w:p w14:paraId="718FAD0B" w14:textId="77777777" w:rsidR="00431C29" w:rsidRDefault="00431C29" w:rsidP="00431C29">
          <w:pPr>
            <w:ind w:left="-45"/>
            <w:jc w:val="both"/>
            <w:rPr>
              <w:rFonts w:ascii="Palatino Linotype" w:eastAsia="Palatino Linotype" w:hAnsi="Palatino Linotype" w:cs="Palatino Linotype"/>
              <w:b/>
              <w:sz w:val="22"/>
              <w:szCs w:val="22"/>
            </w:rPr>
          </w:pPr>
        </w:p>
      </w:tc>
    </w:tr>
    <w:tr w:rsidR="00431C29" w14:paraId="5D3DEC6F" w14:textId="77777777" w:rsidTr="00C01CC5">
      <w:trPr>
        <w:trHeight w:val="228"/>
      </w:trPr>
      <w:tc>
        <w:tcPr>
          <w:tcW w:w="2551" w:type="dxa"/>
          <w:shd w:val="clear" w:color="auto" w:fill="auto"/>
          <w:vAlign w:val="center"/>
        </w:tcPr>
        <w:p w14:paraId="674E4A6A" w14:textId="278C26B1" w:rsidR="00431C29" w:rsidRDefault="00C01CC5" w:rsidP="00431C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431C29">
            <w:rPr>
              <w:rFonts w:ascii="Palatino Linotype" w:eastAsia="Palatino Linotype" w:hAnsi="Palatino Linotype" w:cs="Palatino Linotype"/>
              <w:b/>
              <w:sz w:val="22"/>
              <w:szCs w:val="22"/>
            </w:rPr>
            <w:t>bligado:</w:t>
          </w:r>
        </w:p>
      </w:tc>
      <w:tc>
        <w:tcPr>
          <w:tcW w:w="4389" w:type="dxa"/>
          <w:shd w:val="clear" w:color="auto" w:fill="auto"/>
          <w:vAlign w:val="center"/>
        </w:tcPr>
        <w:p w14:paraId="4189C456" w14:textId="4D3807AB" w:rsidR="00431C29" w:rsidRDefault="00C01CC5" w:rsidP="00431C2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431C29" w14:paraId="708EEC70" w14:textId="77777777" w:rsidTr="00C01CC5">
      <w:tc>
        <w:tcPr>
          <w:tcW w:w="2551" w:type="dxa"/>
          <w:shd w:val="clear" w:color="auto" w:fill="auto"/>
          <w:vAlign w:val="center"/>
        </w:tcPr>
        <w:p w14:paraId="2BA44C52" w14:textId="77777777" w:rsidR="00431C29" w:rsidRDefault="00431C29" w:rsidP="00431C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89" w:type="dxa"/>
          <w:shd w:val="clear" w:color="auto" w:fill="auto"/>
          <w:vAlign w:val="center"/>
        </w:tcPr>
        <w:p w14:paraId="5910B224" w14:textId="77777777" w:rsidR="00431C29" w:rsidRDefault="00431C29" w:rsidP="00431C2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056ECA" w14:textId="16211D73" w:rsidR="00B23F13" w:rsidRDefault="00B23F1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133"/>
    <w:multiLevelType w:val="multilevel"/>
    <w:tmpl w:val="15221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4549F8"/>
    <w:multiLevelType w:val="multilevel"/>
    <w:tmpl w:val="CE5E84DE"/>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E7A7A"/>
    <w:multiLevelType w:val="multilevel"/>
    <w:tmpl w:val="FDEA7D5C"/>
    <w:lvl w:ilvl="0">
      <w:numFmt w:val="decimal"/>
      <w:pStyle w:val="Listaconvietas"/>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AC67074"/>
    <w:multiLevelType w:val="multilevel"/>
    <w:tmpl w:val="A7DA02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194072F"/>
    <w:multiLevelType w:val="hybridMultilevel"/>
    <w:tmpl w:val="7A88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6E2F8F"/>
    <w:multiLevelType w:val="multilevel"/>
    <w:tmpl w:val="8710F1E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92965C3"/>
    <w:multiLevelType w:val="multilevel"/>
    <w:tmpl w:val="662AE5A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nsid w:val="19C55B7A"/>
    <w:multiLevelType w:val="multilevel"/>
    <w:tmpl w:val="3F4E1E2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C7305A"/>
    <w:multiLevelType w:val="hybridMultilevel"/>
    <w:tmpl w:val="E3B2A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10">
    <w:nsid w:val="280B55E2"/>
    <w:multiLevelType w:val="hybridMultilevel"/>
    <w:tmpl w:val="B3600EBA"/>
    <w:lvl w:ilvl="0" w:tplc="5FCA4F34">
      <w:start w:val="1"/>
      <w:numFmt w:val="decimal"/>
      <w:lvlText w:val="%1."/>
      <w:lvlJc w:val="left"/>
      <w:pPr>
        <w:ind w:left="720" w:hanging="360"/>
      </w:pPr>
      <w:rPr>
        <w:rFonts w:hint="default"/>
        <w:b/>
        <w:sz w:val="24"/>
      </w:rPr>
    </w:lvl>
    <w:lvl w:ilvl="1" w:tplc="C3DC45E2">
      <w:start w:val="1"/>
      <w:numFmt w:val="lowerLetter"/>
      <w:lvlText w:val="%2."/>
      <w:lvlJc w:val="left"/>
      <w:pPr>
        <w:ind w:left="1440" w:hanging="360"/>
      </w:pPr>
      <w:rPr>
        <w:rFonts w:hint="default"/>
        <w:b/>
      </w:rPr>
    </w:lvl>
    <w:lvl w:ilvl="2" w:tplc="46EE9E58">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2BB91F55"/>
    <w:multiLevelType w:val="hybridMultilevel"/>
    <w:tmpl w:val="94A4E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6768B7"/>
    <w:multiLevelType w:val="hybridMultilevel"/>
    <w:tmpl w:val="F80CB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2015FA"/>
    <w:multiLevelType w:val="multilevel"/>
    <w:tmpl w:val="AE3E2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E2D0257"/>
    <w:multiLevelType w:val="hybridMultilevel"/>
    <w:tmpl w:val="0344C3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1C864A9"/>
    <w:multiLevelType w:val="multilevel"/>
    <w:tmpl w:val="DF4600B6"/>
    <w:lvl w:ilvl="0">
      <w:numFmt w:val="lowerLetter"/>
      <w:pStyle w:val="Listaconvietas2"/>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44077DF6"/>
    <w:multiLevelType w:val="multilevel"/>
    <w:tmpl w:val="1DA49B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44443923"/>
    <w:multiLevelType w:val="hybridMultilevel"/>
    <w:tmpl w:val="4C8E46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D959FD"/>
    <w:multiLevelType w:val="multilevel"/>
    <w:tmpl w:val="135E41F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491D2FCE"/>
    <w:multiLevelType w:val="hybridMultilevel"/>
    <w:tmpl w:val="D91EE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99A6D7A"/>
    <w:multiLevelType w:val="hybridMultilevel"/>
    <w:tmpl w:val="5C64D6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7B0E27"/>
    <w:multiLevelType w:val="hybridMultilevel"/>
    <w:tmpl w:val="4850BC4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47013F1"/>
    <w:multiLevelType w:val="hybridMultilevel"/>
    <w:tmpl w:val="88B8A1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B35264"/>
    <w:multiLevelType w:val="multilevel"/>
    <w:tmpl w:val="129AD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7D2564C"/>
    <w:multiLevelType w:val="hybridMultilevel"/>
    <w:tmpl w:val="EA5A1D70"/>
    <w:lvl w:ilvl="0" w:tplc="BA26C3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D53BFE"/>
    <w:multiLevelType w:val="hybridMultilevel"/>
    <w:tmpl w:val="55C4DB04"/>
    <w:lvl w:ilvl="0" w:tplc="080A000F">
      <w:start w:val="1"/>
      <w:numFmt w:val="decimal"/>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8049E6"/>
    <w:multiLevelType w:val="hybridMultilevel"/>
    <w:tmpl w:val="98A2E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DEC72AE"/>
    <w:multiLevelType w:val="hybridMultilevel"/>
    <w:tmpl w:val="BC905F94"/>
    <w:lvl w:ilvl="0" w:tplc="080A0015">
      <w:start w:val="1"/>
      <w:numFmt w:val="upperLetter"/>
      <w:lvlText w:val="%1."/>
      <w:lvlJc w:val="left"/>
      <w:pPr>
        <w:ind w:left="1004" w:hanging="360"/>
      </w:pPr>
    </w:lvl>
    <w:lvl w:ilvl="1" w:tplc="080A0019">
      <w:start w:val="1"/>
      <w:numFmt w:val="lowerLetter"/>
      <w:lvlText w:val="%2."/>
      <w:lvlJc w:val="left"/>
      <w:pPr>
        <w:ind w:left="1724" w:hanging="360"/>
      </w:pPr>
    </w:lvl>
    <w:lvl w:ilvl="2" w:tplc="0B122906">
      <w:start w:val="1"/>
      <w:numFmt w:val="lowerLetter"/>
      <w:lvlText w:val="%3)"/>
      <w:lvlJc w:val="left"/>
      <w:pPr>
        <w:ind w:left="2444" w:hanging="180"/>
      </w:pPr>
      <w:rPr>
        <w:b/>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0">
    <w:nsid w:val="62523482"/>
    <w:multiLevelType w:val="multilevel"/>
    <w:tmpl w:val="404E799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63306280"/>
    <w:multiLevelType w:val="multilevel"/>
    <w:tmpl w:val="D8724D44"/>
    <w:lvl w:ilvl="0">
      <w:start w:val="1"/>
      <w:numFmt w:val="lowerLetter"/>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nsid w:val="64CF2999"/>
    <w:multiLevelType w:val="multilevel"/>
    <w:tmpl w:val="F4C8458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3">
    <w:nsid w:val="65746F10"/>
    <w:multiLevelType w:val="hybridMultilevel"/>
    <w:tmpl w:val="3188A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E26163"/>
    <w:multiLevelType w:val="hybridMultilevel"/>
    <w:tmpl w:val="55C4DB04"/>
    <w:lvl w:ilvl="0" w:tplc="080A000F">
      <w:start w:val="1"/>
      <w:numFmt w:val="decimal"/>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3A5560"/>
    <w:multiLevelType w:val="hybridMultilevel"/>
    <w:tmpl w:val="D00AA7D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nsid w:val="6CC6339A"/>
    <w:multiLevelType w:val="hybridMultilevel"/>
    <w:tmpl w:val="70B8D672"/>
    <w:lvl w:ilvl="0" w:tplc="080A0017">
      <w:start w:val="1"/>
      <w:numFmt w:val="lowerLetter"/>
      <w:lvlText w:val="%1)"/>
      <w:lvlJc w:val="left"/>
      <w:pPr>
        <w:ind w:left="720" w:hanging="360"/>
      </w:pPr>
    </w:lvl>
    <w:lvl w:ilvl="1" w:tplc="E78EE40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19"/>
  </w:num>
  <w:num w:numId="2">
    <w:abstractNumId w:val="25"/>
  </w:num>
  <w:num w:numId="3">
    <w:abstractNumId w:val="31"/>
  </w:num>
  <w:num w:numId="4">
    <w:abstractNumId w:val="5"/>
  </w:num>
  <w:num w:numId="5">
    <w:abstractNumId w:val="6"/>
  </w:num>
  <w:num w:numId="6">
    <w:abstractNumId w:val="14"/>
  </w:num>
  <w:num w:numId="7">
    <w:abstractNumId w:val="0"/>
  </w:num>
  <w:num w:numId="8">
    <w:abstractNumId w:val="3"/>
  </w:num>
  <w:num w:numId="9">
    <w:abstractNumId w:val="8"/>
  </w:num>
  <w:num w:numId="10">
    <w:abstractNumId w:val="16"/>
  </w:num>
  <w:num w:numId="11">
    <w:abstractNumId w:val="17"/>
  </w:num>
  <w:num w:numId="12">
    <w:abstractNumId w:val="2"/>
  </w:num>
  <w:num w:numId="13">
    <w:abstractNumId w:val="30"/>
  </w:num>
  <w:num w:numId="14">
    <w:abstractNumId w:val="1"/>
  </w:num>
  <w:num w:numId="15">
    <w:abstractNumId w:val="32"/>
  </w:num>
  <w:num w:numId="16">
    <w:abstractNumId w:val="33"/>
  </w:num>
  <w:num w:numId="17">
    <w:abstractNumId w:val="10"/>
  </w:num>
  <w:num w:numId="18">
    <w:abstractNumId w:val="26"/>
  </w:num>
  <w:num w:numId="19">
    <w:abstractNumId w:val="36"/>
  </w:num>
  <w:num w:numId="20">
    <w:abstractNumId w:val="24"/>
  </w:num>
  <w:num w:numId="21">
    <w:abstractNumId w:val="13"/>
  </w:num>
  <w:num w:numId="22">
    <w:abstractNumId w:val="23"/>
  </w:num>
  <w:num w:numId="23">
    <w:abstractNumId w:val="18"/>
  </w:num>
  <w:num w:numId="24">
    <w:abstractNumId w:val="27"/>
  </w:num>
  <w:num w:numId="25">
    <w:abstractNumId w:val="34"/>
  </w:num>
  <w:num w:numId="26">
    <w:abstractNumId w:val="21"/>
  </w:num>
  <w:num w:numId="27">
    <w:abstractNumId w:val="29"/>
  </w:num>
  <w:num w:numId="28">
    <w:abstractNumId w:val="15"/>
  </w:num>
  <w:num w:numId="29">
    <w:abstractNumId w:val="37"/>
  </w:num>
  <w:num w:numId="30">
    <w:abstractNumId w:val="9"/>
  </w:num>
  <w:num w:numId="31">
    <w:abstractNumId w:val="20"/>
  </w:num>
  <w:num w:numId="32">
    <w:abstractNumId w:val="22"/>
  </w:num>
  <w:num w:numId="33">
    <w:abstractNumId w:val="11"/>
  </w:num>
  <w:num w:numId="34">
    <w:abstractNumId w:val="28"/>
  </w:num>
  <w:num w:numId="35">
    <w:abstractNumId w:val="7"/>
  </w:num>
  <w:num w:numId="36">
    <w:abstractNumId w:val="12"/>
  </w:num>
  <w:num w:numId="37">
    <w:abstractNumId w:val="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20"/>
    <w:rsid w:val="00050DC4"/>
    <w:rsid w:val="00066EAA"/>
    <w:rsid w:val="000778AE"/>
    <w:rsid w:val="000E4619"/>
    <w:rsid w:val="000E6B14"/>
    <w:rsid w:val="000F2BF8"/>
    <w:rsid w:val="00103ABE"/>
    <w:rsid w:val="00106EEF"/>
    <w:rsid w:val="0011381B"/>
    <w:rsid w:val="0011526F"/>
    <w:rsid w:val="001227EF"/>
    <w:rsid w:val="00155A40"/>
    <w:rsid w:val="001624AE"/>
    <w:rsid w:val="0017486A"/>
    <w:rsid w:val="00193A07"/>
    <w:rsid w:val="001B6040"/>
    <w:rsid w:val="001C10F1"/>
    <w:rsid w:val="001D414C"/>
    <w:rsid w:val="001E7EA8"/>
    <w:rsid w:val="00200946"/>
    <w:rsid w:val="00213B9C"/>
    <w:rsid w:val="0026648D"/>
    <w:rsid w:val="0029428A"/>
    <w:rsid w:val="002A4994"/>
    <w:rsid w:val="002A5AF6"/>
    <w:rsid w:val="002B7A2D"/>
    <w:rsid w:val="002C59EE"/>
    <w:rsid w:val="002E6057"/>
    <w:rsid w:val="00335EE4"/>
    <w:rsid w:val="00344EC4"/>
    <w:rsid w:val="003653BD"/>
    <w:rsid w:val="00397A41"/>
    <w:rsid w:val="003A2877"/>
    <w:rsid w:val="003D7735"/>
    <w:rsid w:val="00417E52"/>
    <w:rsid w:val="0042677A"/>
    <w:rsid w:val="00431C29"/>
    <w:rsid w:val="0044056C"/>
    <w:rsid w:val="0048000B"/>
    <w:rsid w:val="00484403"/>
    <w:rsid w:val="004952F3"/>
    <w:rsid w:val="004C4DBE"/>
    <w:rsid w:val="004D14B7"/>
    <w:rsid w:val="004E618D"/>
    <w:rsid w:val="005114D8"/>
    <w:rsid w:val="00531C83"/>
    <w:rsid w:val="00543D0F"/>
    <w:rsid w:val="00544BB0"/>
    <w:rsid w:val="005A0CA2"/>
    <w:rsid w:val="005A350E"/>
    <w:rsid w:val="005D5990"/>
    <w:rsid w:val="00616EF4"/>
    <w:rsid w:val="00632712"/>
    <w:rsid w:val="006372D7"/>
    <w:rsid w:val="00640942"/>
    <w:rsid w:val="00643FE2"/>
    <w:rsid w:val="00676C6E"/>
    <w:rsid w:val="00684148"/>
    <w:rsid w:val="00710CF3"/>
    <w:rsid w:val="0079034E"/>
    <w:rsid w:val="007F39BD"/>
    <w:rsid w:val="008035F4"/>
    <w:rsid w:val="00830F42"/>
    <w:rsid w:val="0083422B"/>
    <w:rsid w:val="00893AAB"/>
    <w:rsid w:val="008A0627"/>
    <w:rsid w:val="008B1BFE"/>
    <w:rsid w:val="008B4B3D"/>
    <w:rsid w:val="008E391D"/>
    <w:rsid w:val="008F20CA"/>
    <w:rsid w:val="008F7E26"/>
    <w:rsid w:val="00904FF1"/>
    <w:rsid w:val="00905C7D"/>
    <w:rsid w:val="00910BF5"/>
    <w:rsid w:val="00954120"/>
    <w:rsid w:val="009737A0"/>
    <w:rsid w:val="00984D2B"/>
    <w:rsid w:val="009B35CE"/>
    <w:rsid w:val="009D2BFF"/>
    <w:rsid w:val="00A03401"/>
    <w:rsid w:val="00A41EEA"/>
    <w:rsid w:val="00AB17F3"/>
    <w:rsid w:val="00AD0435"/>
    <w:rsid w:val="00AE026E"/>
    <w:rsid w:val="00AE1307"/>
    <w:rsid w:val="00B00EEF"/>
    <w:rsid w:val="00B15F8D"/>
    <w:rsid w:val="00B23F13"/>
    <w:rsid w:val="00B42D85"/>
    <w:rsid w:val="00B46147"/>
    <w:rsid w:val="00B51003"/>
    <w:rsid w:val="00B559C8"/>
    <w:rsid w:val="00B61EC6"/>
    <w:rsid w:val="00B84D92"/>
    <w:rsid w:val="00B903CA"/>
    <w:rsid w:val="00BD22DD"/>
    <w:rsid w:val="00C01CC5"/>
    <w:rsid w:val="00C051D2"/>
    <w:rsid w:val="00C113BE"/>
    <w:rsid w:val="00C13FFD"/>
    <w:rsid w:val="00C3153A"/>
    <w:rsid w:val="00C71DC4"/>
    <w:rsid w:val="00C74C55"/>
    <w:rsid w:val="00C905FE"/>
    <w:rsid w:val="00CA2A48"/>
    <w:rsid w:val="00CE5044"/>
    <w:rsid w:val="00CE7AA3"/>
    <w:rsid w:val="00CF17E5"/>
    <w:rsid w:val="00D10300"/>
    <w:rsid w:val="00D260BA"/>
    <w:rsid w:val="00D26D10"/>
    <w:rsid w:val="00D3011C"/>
    <w:rsid w:val="00D340C7"/>
    <w:rsid w:val="00D6332C"/>
    <w:rsid w:val="00D63A38"/>
    <w:rsid w:val="00DC039A"/>
    <w:rsid w:val="00DF134D"/>
    <w:rsid w:val="00E06F87"/>
    <w:rsid w:val="00E213A7"/>
    <w:rsid w:val="00E477E9"/>
    <w:rsid w:val="00E545E8"/>
    <w:rsid w:val="00E73E4F"/>
    <w:rsid w:val="00E95408"/>
    <w:rsid w:val="00EC0C52"/>
    <w:rsid w:val="00F43A80"/>
    <w:rsid w:val="00F564DC"/>
    <w:rsid w:val="00F76EE2"/>
    <w:rsid w:val="00FA2E5F"/>
    <w:rsid w:val="00FA5629"/>
    <w:rsid w:val="00FA6657"/>
    <w:rsid w:val="00FF13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DE700"/>
  <w15:docId w15:val="{107DE3D3-5A81-45B8-BAE3-59EB39C2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D3011C"/>
    <w:pPr>
      <w:numPr>
        <w:numId w:val="10"/>
      </w:numPr>
      <w:contextualSpacing/>
    </w:pPr>
    <w:rPr>
      <w:lang w:eastAsia="es-MX"/>
    </w:rPr>
  </w:style>
  <w:style w:type="paragraph" w:styleId="Listaconvietas">
    <w:name w:val="List Bullet"/>
    <w:basedOn w:val="Normal"/>
    <w:uiPriority w:val="99"/>
    <w:unhideWhenUsed/>
    <w:rsid w:val="00D3011C"/>
    <w:pPr>
      <w:numPr>
        <w:numId w:val="12"/>
      </w:numPr>
      <w:contextualSpacing/>
    </w:pPr>
    <w:rPr>
      <w:lang w:eastAsia="es-MX"/>
    </w:rPr>
  </w:style>
  <w:style w:type="paragraph" w:styleId="Listaconvietas3">
    <w:name w:val="List Bullet 3"/>
    <w:basedOn w:val="Normal"/>
    <w:uiPriority w:val="99"/>
    <w:unhideWhenUsed/>
    <w:rsid w:val="00D3011C"/>
    <w:pPr>
      <w:numPr>
        <w:numId w:val="14"/>
      </w:numPr>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170">
      <w:bodyDiv w:val="1"/>
      <w:marLeft w:val="0"/>
      <w:marRight w:val="0"/>
      <w:marTop w:val="0"/>
      <w:marBottom w:val="0"/>
      <w:divBdr>
        <w:top w:val="none" w:sz="0" w:space="0" w:color="auto"/>
        <w:left w:val="none" w:sz="0" w:space="0" w:color="auto"/>
        <w:bottom w:val="none" w:sz="0" w:space="0" w:color="auto"/>
        <w:right w:val="none" w:sz="0" w:space="0" w:color="auto"/>
      </w:divBdr>
    </w:div>
    <w:div w:id="175850206">
      <w:bodyDiv w:val="1"/>
      <w:marLeft w:val="0"/>
      <w:marRight w:val="0"/>
      <w:marTop w:val="0"/>
      <w:marBottom w:val="0"/>
      <w:divBdr>
        <w:top w:val="none" w:sz="0" w:space="0" w:color="auto"/>
        <w:left w:val="none" w:sz="0" w:space="0" w:color="auto"/>
        <w:bottom w:val="none" w:sz="0" w:space="0" w:color="auto"/>
        <w:right w:val="none" w:sz="0" w:space="0" w:color="auto"/>
      </w:divBdr>
    </w:div>
    <w:div w:id="235673958">
      <w:bodyDiv w:val="1"/>
      <w:marLeft w:val="0"/>
      <w:marRight w:val="0"/>
      <w:marTop w:val="0"/>
      <w:marBottom w:val="0"/>
      <w:divBdr>
        <w:top w:val="none" w:sz="0" w:space="0" w:color="auto"/>
        <w:left w:val="none" w:sz="0" w:space="0" w:color="auto"/>
        <w:bottom w:val="none" w:sz="0" w:space="0" w:color="auto"/>
        <w:right w:val="none" w:sz="0" w:space="0" w:color="auto"/>
      </w:divBdr>
    </w:div>
    <w:div w:id="309287582">
      <w:bodyDiv w:val="1"/>
      <w:marLeft w:val="0"/>
      <w:marRight w:val="0"/>
      <w:marTop w:val="0"/>
      <w:marBottom w:val="0"/>
      <w:divBdr>
        <w:top w:val="none" w:sz="0" w:space="0" w:color="auto"/>
        <w:left w:val="none" w:sz="0" w:space="0" w:color="auto"/>
        <w:bottom w:val="none" w:sz="0" w:space="0" w:color="auto"/>
        <w:right w:val="none" w:sz="0" w:space="0" w:color="auto"/>
      </w:divBdr>
    </w:div>
    <w:div w:id="472794411">
      <w:bodyDiv w:val="1"/>
      <w:marLeft w:val="0"/>
      <w:marRight w:val="0"/>
      <w:marTop w:val="0"/>
      <w:marBottom w:val="0"/>
      <w:divBdr>
        <w:top w:val="none" w:sz="0" w:space="0" w:color="auto"/>
        <w:left w:val="none" w:sz="0" w:space="0" w:color="auto"/>
        <w:bottom w:val="none" w:sz="0" w:space="0" w:color="auto"/>
        <w:right w:val="none" w:sz="0" w:space="0" w:color="auto"/>
      </w:divBdr>
    </w:div>
    <w:div w:id="674771952">
      <w:bodyDiv w:val="1"/>
      <w:marLeft w:val="0"/>
      <w:marRight w:val="0"/>
      <w:marTop w:val="0"/>
      <w:marBottom w:val="0"/>
      <w:divBdr>
        <w:top w:val="none" w:sz="0" w:space="0" w:color="auto"/>
        <w:left w:val="none" w:sz="0" w:space="0" w:color="auto"/>
        <w:bottom w:val="none" w:sz="0" w:space="0" w:color="auto"/>
        <w:right w:val="none" w:sz="0" w:space="0" w:color="auto"/>
      </w:divBdr>
    </w:div>
    <w:div w:id="715588054">
      <w:bodyDiv w:val="1"/>
      <w:marLeft w:val="0"/>
      <w:marRight w:val="0"/>
      <w:marTop w:val="0"/>
      <w:marBottom w:val="0"/>
      <w:divBdr>
        <w:top w:val="none" w:sz="0" w:space="0" w:color="auto"/>
        <w:left w:val="none" w:sz="0" w:space="0" w:color="auto"/>
        <w:bottom w:val="none" w:sz="0" w:space="0" w:color="auto"/>
        <w:right w:val="none" w:sz="0" w:space="0" w:color="auto"/>
      </w:divBdr>
    </w:div>
    <w:div w:id="972255135">
      <w:bodyDiv w:val="1"/>
      <w:marLeft w:val="0"/>
      <w:marRight w:val="0"/>
      <w:marTop w:val="0"/>
      <w:marBottom w:val="0"/>
      <w:divBdr>
        <w:top w:val="none" w:sz="0" w:space="0" w:color="auto"/>
        <w:left w:val="none" w:sz="0" w:space="0" w:color="auto"/>
        <w:bottom w:val="none" w:sz="0" w:space="0" w:color="auto"/>
        <w:right w:val="none" w:sz="0" w:space="0" w:color="auto"/>
      </w:divBdr>
    </w:div>
    <w:div w:id="1003553993">
      <w:bodyDiv w:val="1"/>
      <w:marLeft w:val="0"/>
      <w:marRight w:val="0"/>
      <w:marTop w:val="0"/>
      <w:marBottom w:val="0"/>
      <w:divBdr>
        <w:top w:val="none" w:sz="0" w:space="0" w:color="auto"/>
        <w:left w:val="none" w:sz="0" w:space="0" w:color="auto"/>
        <w:bottom w:val="none" w:sz="0" w:space="0" w:color="auto"/>
        <w:right w:val="none" w:sz="0" w:space="0" w:color="auto"/>
      </w:divBdr>
    </w:div>
    <w:div w:id="1083139996">
      <w:bodyDiv w:val="1"/>
      <w:marLeft w:val="0"/>
      <w:marRight w:val="0"/>
      <w:marTop w:val="0"/>
      <w:marBottom w:val="0"/>
      <w:divBdr>
        <w:top w:val="none" w:sz="0" w:space="0" w:color="auto"/>
        <w:left w:val="none" w:sz="0" w:space="0" w:color="auto"/>
        <w:bottom w:val="none" w:sz="0" w:space="0" w:color="auto"/>
        <w:right w:val="none" w:sz="0" w:space="0" w:color="auto"/>
      </w:divBdr>
    </w:div>
    <w:div w:id="1109928385">
      <w:bodyDiv w:val="1"/>
      <w:marLeft w:val="0"/>
      <w:marRight w:val="0"/>
      <w:marTop w:val="0"/>
      <w:marBottom w:val="0"/>
      <w:divBdr>
        <w:top w:val="none" w:sz="0" w:space="0" w:color="auto"/>
        <w:left w:val="none" w:sz="0" w:space="0" w:color="auto"/>
        <w:bottom w:val="none" w:sz="0" w:space="0" w:color="auto"/>
        <w:right w:val="none" w:sz="0" w:space="0" w:color="auto"/>
      </w:divBdr>
    </w:div>
    <w:div w:id="1121731982">
      <w:bodyDiv w:val="1"/>
      <w:marLeft w:val="0"/>
      <w:marRight w:val="0"/>
      <w:marTop w:val="0"/>
      <w:marBottom w:val="0"/>
      <w:divBdr>
        <w:top w:val="none" w:sz="0" w:space="0" w:color="auto"/>
        <w:left w:val="none" w:sz="0" w:space="0" w:color="auto"/>
        <w:bottom w:val="none" w:sz="0" w:space="0" w:color="auto"/>
        <w:right w:val="none" w:sz="0" w:space="0" w:color="auto"/>
      </w:divBdr>
    </w:div>
    <w:div w:id="1188446414">
      <w:bodyDiv w:val="1"/>
      <w:marLeft w:val="0"/>
      <w:marRight w:val="0"/>
      <w:marTop w:val="0"/>
      <w:marBottom w:val="0"/>
      <w:divBdr>
        <w:top w:val="none" w:sz="0" w:space="0" w:color="auto"/>
        <w:left w:val="none" w:sz="0" w:space="0" w:color="auto"/>
        <w:bottom w:val="none" w:sz="0" w:space="0" w:color="auto"/>
        <w:right w:val="none" w:sz="0" w:space="0" w:color="auto"/>
      </w:divBdr>
    </w:div>
    <w:div w:id="1197158525">
      <w:bodyDiv w:val="1"/>
      <w:marLeft w:val="0"/>
      <w:marRight w:val="0"/>
      <w:marTop w:val="0"/>
      <w:marBottom w:val="0"/>
      <w:divBdr>
        <w:top w:val="none" w:sz="0" w:space="0" w:color="auto"/>
        <w:left w:val="none" w:sz="0" w:space="0" w:color="auto"/>
        <w:bottom w:val="none" w:sz="0" w:space="0" w:color="auto"/>
        <w:right w:val="none" w:sz="0" w:space="0" w:color="auto"/>
      </w:divBdr>
    </w:div>
    <w:div w:id="1357538417">
      <w:bodyDiv w:val="1"/>
      <w:marLeft w:val="0"/>
      <w:marRight w:val="0"/>
      <w:marTop w:val="0"/>
      <w:marBottom w:val="0"/>
      <w:divBdr>
        <w:top w:val="none" w:sz="0" w:space="0" w:color="auto"/>
        <w:left w:val="none" w:sz="0" w:space="0" w:color="auto"/>
        <w:bottom w:val="none" w:sz="0" w:space="0" w:color="auto"/>
        <w:right w:val="none" w:sz="0" w:space="0" w:color="auto"/>
      </w:divBdr>
    </w:div>
    <w:div w:id="1437292225">
      <w:bodyDiv w:val="1"/>
      <w:marLeft w:val="0"/>
      <w:marRight w:val="0"/>
      <w:marTop w:val="0"/>
      <w:marBottom w:val="0"/>
      <w:divBdr>
        <w:top w:val="none" w:sz="0" w:space="0" w:color="auto"/>
        <w:left w:val="none" w:sz="0" w:space="0" w:color="auto"/>
        <w:bottom w:val="none" w:sz="0" w:space="0" w:color="auto"/>
        <w:right w:val="none" w:sz="0" w:space="0" w:color="auto"/>
      </w:divBdr>
    </w:div>
    <w:div w:id="1576889055">
      <w:bodyDiv w:val="1"/>
      <w:marLeft w:val="0"/>
      <w:marRight w:val="0"/>
      <w:marTop w:val="0"/>
      <w:marBottom w:val="0"/>
      <w:divBdr>
        <w:top w:val="none" w:sz="0" w:space="0" w:color="auto"/>
        <w:left w:val="none" w:sz="0" w:space="0" w:color="auto"/>
        <w:bottom w:val="none" w:sz="0" w:space="0" w:color="auto"/>
        <w:right w:val="none" w:sz="0" w:space="0" w:color="auto"/>
      </w:divBdr>
    </w:div>
    <w:div w:id="1624575504">
      <w:bodyDiv w:val="1"/>
      <w:marLeft w:val="0"/>
      <w:marRight w:val="0"/>
      <w:marTop w:val="0"/>
      <w:marBottom w:val="0"/>
      <w:divBdr>
        <w:top w:val="none" w:sz="0" w:space="0" w:color="auto"/>
        <w:left w:val="none" w:sz="0" w:space="0" w:color="auto"/>
        <w:bottom w:val="none" w:sz="0" w:space="0" w:color="auto"/>
        <w:right w:val="none" w:sz="0" w:space="0" w:color="auto"/>
      </w:divBdr>
    </w:div>
    <w:div w:id="2005084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1yqN8uJPvcBJQmC9LlDKQuJw6w==">AMUW2mUNKbBiDIU1AmmmRYXjUm99sa6KSj6avm2QwK/xpFuLTJHOp1/jpm69+X9ua5qNPPesAXUwwtou0Cqj4Gpbz+lxEkf2W2eFHus3WgTKlfapSnCZQWxDA9jmTi9siE9wR7GhhF7udHg0DNeo3Nkx0sHDRdKIaw0HJMHSiy7PwBaD2jwtov2yEI3AT8QGtzOrhH2RCClo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5840</Words>
  <Characters>32120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2023-06-23T20:30:00Z</cp:lastPrinted>
  <dcterms:created xsi:type="dcterms:W3CDTF">2023-06-29T18:08:00Z</dcterms:created>
  <dcterms:modified xsi:type="dcterms:W3CDTF">2023-06-29T18:08:00Z</dcterms:modified>
</cp:coreProperties>
</file>