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964A"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veintiocho de junio de dos mil veintitrés. </w:t>
      </w:r>
    </w:p>
    <w:p w14:paraId="045696BD" w14:textId="77777777" w:rsidR="006051C4" w:rsidRPr="006E2688" w:rsidRDefault="006051C4">
      <w:pPr>
        <w:spacing w:line="360" w:lineRule="auto"/>
        <w:jc w:val="both"/>
        <w:rPr>
          <w:rFonts w:ascii="Palatino Linotype" w:eastAsia="Palatino Linotype" w:hAnsi="Palatino Linotype" w:cs="Palatino Linotype"/>
        </w:rPr>
      </w:pPr>
    </w:p>
    <w:p w14:paraId="08E17BD3" w14:textId="59DE569E"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VISTO</w:t>
      </w:r>
      <w:r w:rsidRPr="006E2688">
        <w:rPr>
          <w:rFonts w:ascii="Palatino Linotype" w:eastAsia="Palatino Linotype" w:hAnsi="Palatino Linotype" w:cs="Palatino Linotype"/>
        </w:rPr>
        <w:t xml:space="preserve"> el expediente formado con motivo del recurso de revisión </w:t>
      </w:r>
      <w:r w:rsidRPr="006E2688">
        <w:rPr>
          <w:rFonts w:ascii="Palatino Linotype" w:eastAsia="Palatino Linotype" w:hAnsi="Palatino Linotype" w:cs="Palatino Linotype"/>
          <w:b/>
        </w:rPr>
        <w:t>00039/INFOEM/IP/RR/2023</w:t>
      </w:r>
      <w:r w:rsidRPr="006E2688">
        <w:rPr>
          <w:rFonts w:ascii="Palatino Linotype" w:eastAsia="Palatino Linotype" w:hAnsi="Palatino Linotype" w:cs="Palatino Linotype"/>
        </w:rPr>
        <w:t>, interpuesto por</w:t>
      </w:r>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 xml:space="preserve">quien dijo ser </w:t>
      </w:r>
      <w:r w:rsidR="005D4511">
        <w:rPr>
          <w:rFonts w:ascii="Palatino Linotype" w:eastAsia="Palatino Linotype" w:hAnsi="Palatino Linotype" w:cs="Palatino Linotype"/>
          <w:b/>
        </w:rPr>
        <w:t>XXXXXX XXXXX XXXX</w:t>
      </w:r>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a quien</w:t>
      </w:r>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en lo sucesivo se le denominará como</w:t>
      </w:r>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 xml:space="preserve">la parte </w:t>
      </w:r>
      <w:r w:rsidRPr="006E2688">
        <w:rPr>
          <w:rFonts w:ascii="Palatino Linotype" w:eastAsia="Palatino Linotype" w:hAnsi="Palatino Linotype" w:cs="Palatino Linotype"/>
          <w:b/>
        </w:rPr>
        <w:t>Recurrente,</w:t>
      </w:r>
      <w:r w:rsidRPr="006E2688">
        <w:rPr>
          <w:rFonts w:ascii="Palatino Linotype" w:eastAsia="Palatino Linotype" w:hAnsi="Palatino Linotype" w:cs="Palatino Linotype"/>
        </w:rPr>
        <w:t xml:space="preserve"> en contra de la respuesta a su solicitud </w:t>
      </w:r>
      <w:r w:rsidRPr="006E2688">
        <w:rPr>
          <w:rFonts w:ascii="Palatino Linotype" w:eastAsia="Palatino Linotype" w:hAnsi="Palatino Linotype" w:cs="Palatino Linotype"/>
          <w:b/>
        </w:rPr>
        <w:t>02681/TOLUCA/IP/2022</w:t>
      </w:r>
      <w:r w:rsidRPr="006E2688">
        <w:rPr>
          <w:rFonts w:ascii="Palatino Linotype" w:eastAsia="Palatino Linotype" w:hAnsi="Palatino Linotype" w:cs="Palatino Linotype"/>
        </w:rPr>
        <w:t xml:space="preserve"> por parte del </w:t>
      </w:r>
      <w:r w:rsidRPr="006E2688">
        <w:rPr>
          <w:rFonts w:ascii="Palatino Linotype" w:eastAsia="Palatino Linotype" w:hAnsi="Palatino Linotype" w:cs="Palatino Linotype"/>
          <w:b/>
        </w:rPr>
        <w:t xml:space="preserve">Ayuntamiento de Toluca, </w:t>
      </w:r>
      <w:r w:rsidRPr="006E2688">
        <w:rPr>
          <w:rFonts w:ascii="Palatino Linotype" w:eastAsia="Palatino Linotype" w:hAnsi="Palatino Linotype" w:cs="Palatino Linotype"/>
        </w:rPr>
        <w:t xml:space="preserve">en lo sucesivo el </w:t>
      </w:r>
      <w:r w:rsidRPr="006E2688">
        <w:rPr>
          <w:rFonts w:ascii="Palatino Linotype" w:eastAsia="Palatino Linotype" w:hAnsi="Palatino Linotype" w:cs="Palatino Linotype"/>
          <w:b/>
        </w:rPr>
        <w:t xml:space="preserve">Sujeto Obligado, </w:t>
      </w:r>
      <w:r w:rsidRPr="006E2688">
        <w:rPr>
          <w:rFonts w:ascii="Palatino Linotype" w:eastAsia="Palatino Linotype" w:hAnsi="Palatino Linotype" w:cs="Palatino Linotype"/>
        </w:rPr>
        <w:t>se procede a dictar la presente resolución con base en los siguientes</w:t>
      </w:r>
    </w:p>
    <w:p w14:paraId="4D57F2BE" w14:textId="77777777" w:rsidR="006051C4" w:rsidRPr="006E2688" w:rsidRDefault="006051C4">
      <w:pPr>
        <w:spacing w:line="360" w:lineRule="auto"/>
        <w:jc w:val="both"/>
        <w:rPr>
          <w:rFonts w:ascii="Palatino Linotype" w:eastAsia="Palatino Linotype" w:hAnsi="Palatino Linotype" w:cs="Palatino Linotype"/>
        </w:rPr>
      </w:pPr>
    </w:p>
    <w:p w14:paraId="4208397E" w14:textId="77777777" w:rsidR="006051C4" w:rsidRPr="006E2688" w:rsidRDefault="006E2688">
      <w:pPr>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rPr>
      </w:pPr>
      <w:r w:rsidRPr="006E2688">
        <w:rPr>
          <w:rFonts w:ascii="Palatino Linotype" w:eastAsia="Palatino Linotype" w:hAnsi="Palatino Linotype" w:cs="Palatino Linotype"/>
          <w:b/>
        </w:rPr>
        <w:t xml:space="preserve">A N T E C E D E N T E S: </w:t>
      </w:r>
    </w:p>
    <w:p w14:paraId="509261C7" w14:textId="77777777" w:rsidR="006051C4" w:rsidRPr="006E2688" w:rsidRDefault="006051C4">
      <w:pPr>
        <w:spacing w:line="360" w:lineRule="auto"/>
        <w:ind w:left="360"/>
        <w:rPr>
          <w:rFonts w:ascii="Palatino Linotype" w:eastAsia="Palatino Linotype" w:hAnsi="Palatino Linotype" w:cs="Palatino Linotype"/>
          <w:b/>
        </w:rPr>
      </w:pPr>
    </w:p>
    <w:p w14:paraId="1ABDE251" w14:textId="77777777" w:rsidR="006051C4" w:rsidRPr="006E2688" w:rsidRDefault="006E2688">
      <w:pPr>
        <w:spacing w:line="360" w:lineRule="auto"/>
        <w:jc w:val="both"/>
        <w:rPr>
          <w:rFonts w:ascii="Palatino Linotype" w:eastAsia="Palatino Linotype" w:hAnsi="Palatino Linotype" w:cs="Palatino Linotype"/>
        </w:rPr>
      </w:pPr>
      <w:bookmarkStart w:id="0" w:name="_heading=h.gjdgxs" w:colFirst="0" w:colLast="0"/>
      <w:bookmarkEnd w:id="0"/>
      <w:r w:rsidRPr="006E2688">
        <w:rPr>
          <w:rFonts w:ascii="Palatino Linotype" w:eastAsia="Palatino Linotype" w:hAnsi="Palatino Linotype" w:cs="Palatino Linotype"/>
          <w:b/>
        </w:rPr>
        <w:t>1. Solicitud de acceso a la información.</w:t>
      </w:r>
      <w:r w:rsidRPr="006E2688">
        <w:rPr>
          <w:rFonts w:ascii="Palatino Linotype" w:eastAsia="Palatino Linotype" w:hAnsi="Palatino Linotype" w:cs="Palatino Linotype"/>
        </w:rPr>
        <w:t xml:space="preserve"> Con fecha </w:t>
      </w:r>
      <w:r w:rsidRPr="006E2688">
        <w:rPr>
          <w:rFonts w:ascii="Palatino Linotype" w:eastAsia="Palatino Linotype" w:hAnsi="Palatino Linotype" w:cs="Palatino Linotype"/>
          <w:b/>
        </w:rPr>
        <w:t>veintinueve de noviembre de dos mil veintidós,</w:t>
      </w:r>
      <w:r w:rsidRPr="006E2688">
        <w:rPr>
          <w:rFonts w:ascii="Palatino Linotype" w:eastAsia="Palatino Linotype" w:hAnsi="Palatino Linotype" w:cs="Palatino Linotype"/>
        </w:rPr>
        <w:t xml:space="preserve"> la parte</w:t>
      </w:r>
      <w:r w:rsidRPr="006E2688">
        <w:rPr>
          <w:rFonts w:ascii="Palatino Linotype" w:eastAsia="Palatino Linotype" w:hAnsi="Palatino Linotype" w:cs="Palatino Linotype"/>
          <w:b/>
        </w:rPr>
        <w:t xml:space="preserve"> Recurrente </w:t>
      </w:r>
      <w:r w:rsidRPr="006E2688">
        <w:rPr>
          <w:rFonts w:ascii="Palatino Linotype" w:eastAsia="Palatino Linotype" w:hAnsi="Palatino Linotype" w:cs="Palatino Linotype"/>
        </w:rPr>
        <w:t>presentó, través del Sistema de Acceso a la Información Mexiquense</w:t>
      </w:r>
      <w:r w:rsidRPr="006E2688">
        <w:rPr>
          <w:rFonts w:ascii="Palatino Linotype" w:eastAsia="Palatino Linotype" w:hAnsi="Palatino Linotype" w:cs="Palatino Linotype"/>
          <w:b/>
        </w:rPr>
        <w:t>,</w:t>
      </w:r>
      <w:r w:rsidRPr="006E2688">
        <w:rPr>
          <w:rFonts w:ascii="Palatino Linotype" w:eastAsia="Palatino Linotype" w:hAnsi="Palatino Linotype" w:cs="Palatino Linotype"/>
        </w:rPr>
        <w:t xml:space="preserve"> ante </w:t>
      </w:r>
      <w:r w:rsidRPr="006E2688">
        <w:rPr>
          <w:rFonts w:ascii="Palatino Linotype" w:eastAsia="Palatino Linotype" w:hAnsi="Palatino Linotype" w:cs="Palatino Linotype"/>
          <w:b/>
        </w:rPr>
        <w:t>Sujeto Obligado</w:t>
      </w:r>
      <w:r w:rsidRPr="006E2688">
        <w:rPr>
          <w:rFonts w:ascii="Palatino Linotype" w:eastAsia="Palatino Linotype" w:hAnsi="Palatino Linotype" w:cs="Palatino Linotype"/>
        </w:rPr>
        <w:t>, la solicitud de acceso a la información pública, a la que se le asignó el número</w:t>
      </w:r>
      <w:r w:rsidRPr="006E2688">
        <w:rPr>
          <w:rFonts w:ascii="Palatino Linotype" w:eastAsia="Palatino Linotype" w:hAnsi="Palatino Linotype" w:cs="Palatino Linotype"/>
          <w:b/>
        </w:rPr>
        <w:t xml:space="preserve"> 02681/TOLUCA/IP/2022, </w:t>
      </w:r>
      <w:r w:rsidRPr="006E2688">
        <w:rPr>
          <w:rFonts w:ascii="Palatino Linotype" w:eastAsia="Palatino Linotype" w:hAnsi="Palatino Linotype" w:cs="Palatino Linotype"/>
        </w:rPr>
        <w:t xml:space="preserve">mediante la cual requirió la información siguiente: </w:t>
      </w:r>
    </w:p>
    <w:p w14:paraId="019FFACC" w14:textId="77777777" w:rsidR="006051C4" w:rsidRPr="006E2688" w:rsidRDefault="006051C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1650E84" w14:textId="77777777" w:rsidR="006051C4" w:rsidRPr="006E2688" w:rsidRDefault="006E268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“Solicito el listado de espacios públicos que se encuentran dentro del territorio del municipio de Toluca.” (sic)</w:t>
      </w:r>
    </w:p>
    <w:p w14:paraId="4CEAD6D0" w14:textId="77777777" w:rsidR="006051C4" w:rsidRPr="006E2688" w:rsidRDefault="006051C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83FCE7D"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Modalidad de Entrega:</w:t>
      </w:r>
      <w:r w:rsidRPr="006E2688">
        <w:rPr>
          <w:rFonts w:ascii="Palatino Linotype" w:eastAsia="Palatino Linotype" w:hAnsi="Palatino Linotype" w:cs="Palatino Linotype"/>
        </w:rPr>
        <w:t xml:space="preserve"> A través de SAIMEX.</w:t>
      </w:r>
    </w:p>
    <w:p w14:paraId="72E184F2" w14:textId="77777777" w:rsidR="006051C4" w:rsidRPr="006E2688" w:rsidRDefault="006051C4">
      <w:pPr>
        <w:spacing w:line="360" w:lineRule="auto"/>
        <w:jc w:val="both"/>
        <w:rPr>
          <w:rFonts w:ascii="Palatino Linotype" w:eastAsia="Palatino Linotype" w:hAnsi="Palatino Linotype" w:cs="Palatino Linotype"/>
        </w:rPr>
      </w:pPr>
    </w:p>
    <w:p w14:paraId="50B63B90"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lastRenderedPageBreak/>
        <w:t xml:space="preserve">2. Respuesta. </w:t>
      </w:r>
      <w:r w:rsidRPr="006E2688">
        <w:rPr>
          <w:rFonts w:ascii="Palatino Linotype" w:eastAsia="Palatino Linotype" w:hAnsi="Palatino Linotype" w:cs="Palatino Linotype"/>
        </w:rPr>
        <w:t>Con fecha</w:t>
      </w:r>
      <w:r w:rsidRPr="006E2688">
        <w:rPr>
          <w:rFonts w:ascii="Palatino Linotype" w:eastAsia="Palatino Linotype" w:hAnsi="Palatino Linotype" w:cs="Palatino Linotype"/>
          <w:b/>
        </w:rPr>
        <w:t xml:space="preserve"> veinte de diciembre de dos mil </w:t>
      </w:r>
      <w:proofErr w:type="gramStart"/>
      <w:r w:rsidRPr="006E2688">
        <w:rPr>
          <w:rFonts w:ascii="Palatino Linotype" w:eastAsia="Palatino Linotype" w:hAnsi="Palatino Linotype" w:cs="Palatino Linotype"/>
          <w:b/>
        </w:rPr>
        <w:t>veintidós</w:t>
      </w:r>
      <w:r w:rsidRPr="006E2688">
        <w:rPr>
          <w:rFonts w:ascii="Palatino Linotype" w:eastAsia="Palatino Linotype" w:hAnsi="Palatino Linotype" w:cs="Palatino Linotype"/>
        </w:rPr>
        <w:t>,  el</w:t>
      </w:r>
      <w:proofErr w:type="gramEnd"/>
      <w:r w:rsidRPr="006E2688">
        <w:rPr>
          <w:rFonts w:ascii="Palatino Linotype" w:eastAsia="Palatino Linotype" w:hAnsi="Palatino Linotype" w:cs="Palatino Linotype"/>
        </w:rPr>
        <w:t xml:space="preserve"> </w:t>
      </w:r>
      <w:r w:rsidRPr="006E2688">
        <w:rPr>
          <w:rFonts w:ascii="Palatino Linotype" w:eastAsia="Palatino Linotype" w:hAnsi="Palatino Linotype" w:cs="Palatino Linotype"/>
          <w:b/>
        </w:rPr>
        <w:t xml:space="preserve">Sujeto Obligado </w:t>
      </w:r>
      <w:r w:rsidRPr="006E2688">
        <w:rPr>
          <w:rFonts w:ascii="Palatino Linotype" w:eastAsia="Palatino Linotype" w:hAnsi="Palatino Linotype" w:cs="Palatino Linotype"/>
        </w:rPr>
        <w:t xml:space="preserve">envió su respuesta a la solicitud de acceso a la información a través de SAIMEX, adjuntando los siguientes archivos: </w:t>
      </w:r>
    </w:p>
    <w:p w14:paraId="7A17E2B1" w14:textId="77777777" w:rsidR="006051C4" w:rsidRPr="006E2688" w:rsidRDefault="006051C4">
      <w:pPr>
        <w:spacing w:line="360" w:lineRule="auto"/>
        <w:jc w:val="both"/>
        <w:rPr>
          <w:rFonts w:ascii="Palatino Linotype" w:eastAsia="Palatino Linotype" w:hAnsi="Palatino Linotype" w:cs="Palatino Linotype"/>
        </w:rPr>
      </w:pPr>
    </w:p>
    <w:p w14:paraId="0160A946" w14:textId="77777777" w:rsidR="006051C4" w:rsidRPr="006E2688" w:rsidRDefault="005D4511">
      <w:pPr>
        <w:numPr>
          <w:ilvl w:val="0"/>
          <w:numId w:val="1"/>
        </w:numPr>
        <w:pBdr>
          <w:top w:val="nil"/>
          <w:left w:val="nil"/>
          <w:bottom w:val="nil"/>
          <w:right w:val="nil"/>
          <w:between w:val="nil"/>
        </w:pBdr>
        <w:spacing w:line="360" w:lineRule="auto"/>
        <w:rPr>
          <w:rFonts w:ascii="Palatino Linotype" w:eastAsia="Palatino Linotype" w:hAnsi="Palatino Linotype" w:cs="Palatino Linotype"/>
          <w:b/>
        </w:rPr>
      </w:pPr>
      <w:hyperlink r:id="rId8">
        <w:r w:rsidR="006E2688" w:rsidRPr="006E2688">
          <w:rPr>
            <w:rFonts w:ascii="Palatino Linotype" w:eastAsia="Palatino Linotype" w:hAnsi="Palatino Linotype" w:cs="Palatino Linotype"/>
            <w:b/>
          </w:rPr>
          <w:t>SA anexo SAIMEX 2681.pdf</w:t>
        </w:r>
      </w:hyperlink>
    </w:p>
    <w:p w14:paraId="744A9767"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Contiene una tabla elaborada por la Secretaría del Ayuntamiento de Toluca, en nueve hojas, las cuales describen los espacios públicos del Municipio, así como la localidad en la que se ubican y su uso. </w:t>
      </w:r>
    </w:p>
    <w:p w14:paraId="6C9F345E" w14:textId="77777777" w:rsidR="006051C4" w:rsidRPr="006E2688" w:rsidRDefault="006051C4">
      <w:pPr>
        <w:spacing w:line="360" w:lineRule="auto"/>
        <w:rPr>
          <w:rFonts w:ascii="Palatino Linotype" w:eastAsia="Palatino Linotype" w:hAnsi="Palatino Linotype" w:cs="Palatino Linotype"/>
          <w:b/>
        </w:rPr>
      </w:pPr>
    </w:p>
    <w:p w14:paraId="32A8D962" w14:textId="77777777" w:rsidR="006051C4" w:rsidRPr="006E2688" w:rsidRDefault="005D4511">
      <w:pPr>
        <w:numPr>
          <w:ilvl w:val="0"/>
          <w:numId w:val="1"/>
        </w:numPr>
        <w:pBdr>
          <w:top w:val="nil"/>
          <w:left w:val="nil"/>
          <w:bottom w:val="nil"/>
          <w:right w:val="nil"/>
          <w:between w:val="nil"/>
        </w:pBdr>
        <w:spacing w:line="360" w:lineRule="auto"/>
        <w:rPr>
          <w:rFonts w:ascii="Palatino Linotype" w:eastAsia="Palatino Linotype" w:hAnsi="Palatino Linotype" w:cs="Palatino Linotype"/>
          <w:b/>
        </w:rPr>
      </w:pPr>
      <w:hyperlink r:id="rId9">
        <w:r w:rsidR="006E2688" w:rsidRPr="006E2688">
          <w:rPr>
            <w:rFonts w:ascii="Palatino Linotype" w:eastAsia="Palatino Linotype" w:hAnsi="Palatino Linotype" w:cs="Palatino Linotype"/>
            <w:b/>
          </w:rPr>
          <w:t>02681.pdf</w:t>
        </w:r>
      </w:hyperlink>
    </w:p>
    <w:p w14:paraId="12A85959"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Contiene el documento de seis hojas donde se describe, en primer lugar, una tabla de tres hojas donde aparecen veintiún unidades deportivas, el nombre de las instalaciones y su ubicación; </w:t>
      </w:r>
      <w:proofErr w:type="gramStart"/>
      <w:r w:rsidRPr="006E2688">
        <w:rPr>
          <w:rFonts w:ascii="Palatino Linotype" w:eastAsia="Palatino Linotype" w:hAnsi="Palatino Linotype" w:cs="Palatino Linotype"/>
        </w:rPr>
        <w:t>y</w:t>
      </w:r>
      <w:proofErr w:type="gramEnd"/>
      <w:r w:rsidRPr="006E2688">
        <w:rPr>
          <w:rFonts w:ascii="Palatino Linotype" w:eastAsia="Palatino Linotype" w:hAnsi="Palatino Linotype" w:cs="Palatino Linotype"/>
        </w:rPr>
        <w:t xml:space="preserve"> en segundo lugar, otra tabla con treinta y cuatro espacios deportivos, su nombre y ubicación. Ambas tablas elaboradas por el Instituto Municipal de Cultura Física y Deporte de Toluca. </w:t>
      </w:r>
    </w:p>
    <w:p w14:paraId="5F786F84" w14:textId="77777777" w:rsidR="006051C4" w:rsidRPr="006E2688" w:rsidRDefault="006051C4">
      <w:pPr>
        <w:spacing w:line="360" w:lineRule="auto"/>
        <w:jc w:val="both"/>
        <w:rPr>
          <w:rFonts w:ascii="Palatino Linotype" w:eastAsia="Palatino Linotype" w:hAnsi="Palatino Linotype" w:cs="Palatino Linotype"/>
        </w:rPr>
      </w:pPr>
    </w:p>
    <w:p w14:paraId="2A5B0008" w14:textId="77777777" w:rsidR="006051C4" w:rsidRPr="006E2688" w:rsidRDefault="005D4511">
      <w:pPr>
        <w:numPr>
          <w:ilvl w:val="0"/>
          <w:numId w:val="1"/>
        </w:numPr>
        <w:pBdr>
          <w:top w:val="nil"/>
          <w:left w:val="nil"/>
          <w:bottom w:val="nil"/>
          <w:right w:val="nil"/>
          <w:between w:val="nil"/>
        </w:pBdr>
        <w:spacing w:line="360" w:lineRule="auto"/>
        <w:rPr>
          <w:rFonts w:ascii="Palatino Linotype" w:eastAsia="Palatino Linotype" w:hAnsi="Palatino Linotype" w:cs="Palatino Linotype"/>
          <w:b/>
        </w:rPr>
      </w:pPr>
      <w:hyperlink r:id="rId10">
        <w:r w:rsidR="006E2688" w:rsidRPr="006E2688">
          <w:rPr>
            <w:rFonts w:ascii="Palatino Linotype" w:eastAsia="Palatino Linotype" w:hAnsi="Palatino Linotype" w:cs="Palatino Linotype"/>
            <w:b/>
          </w:rPr>
          <w:t>SAIMEX 02681.pdf</w:t>
        </w:r>
      </w:hyperlink>
    </w:p>
    <w:p w14:paraId="001D0E06"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Documento generado por el Departamento de Mantenimiento al Equipamiento y Mobiliario Urbano de la Dirección de Mantenimiento Urbano dependiente de la Dirección General de Servicios Públicos del Ayuntamiento de Toluca, en la cual se describen tres tablas correspondientes a el listado de los monumentos del Municipio de Toluca con sesenta y un registros; otra tabla con el listado de las plazas del mismo Municipio con siete registros; y por último, la tabla de cuarenta y cinco registros con el listado de las fuentes del Municipio de Toluca. </w:t>
      </w:r>
    </w:p>
    <w:p w14:paraId="75AFAADB" w14:textId="77777777" w:rsidR="006051C4" w:rsidRPr="006E2688" w:rsidRDefault="005D4511">
      <w:pPr>
        <w:numPr>
          <w:ilvl w:val="0"/>
          <w:numId w:val="1"/>
        </w:numPr>
        <w:pBdr>
          <w:top w:val="nil"/>
          <w:left w:val="nil"/>
          <w:bottom w:val="nil"/>
          <w:right w:val="nil"/>
          <w:between w:val="nil"/>
        </w:pBdr>
        <w:spacing w:line="360" w:lineRule="auto"/>
        <w:rPr>
          <w:rFonts w:ascii="Palatino Linotype" w:eastAsia="Palatino Linotype" w:hAnsi="Palatino Linotype" w:cs="Palatino Linotype"/>
          <w:b/>
        </w:rPr>
      </w:pPr>
      <w:hyperlink r:id="rId11">
        <w:r w:rsidR="006E2688" w:rsidRPr="006E2688">
          <w:rPr>
            <w:rFonts w:ascii="Palatino Linotype" w:eastAsia="Palatino Linotype" w:hAnsi="Palatino Linotype" w:cs="Palatino Linotype"/>
            <w:b/>
          </w:rPr>
          <w:t>Respuesta 2681.pdf</w:t>
        </w:r>
      </w:hyperlink>
    </w:p>
    <w:p w14:paraId="6F3A99FB"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Escrito de fecha veinte de diciembre de dos mil veintidós, signado por la Unidad de Transparencia del Ayuntamiento de Toluca, donde se refiere a que el primer documento descrito </w:t>
      </w:r>
      <w:r w:rsidRPr="006E2688">
        <w:rPr>
          <w:rFonts w:ascii="Palatino Linotype" w:eastAsia="Palatino Linotype" w:hAnsi="Palatino Linotype" w:cs="Palatino Linotype"/>
          <w:i/>
        </w:rPr>
        <w:t>SA anexo SAIMEX 2681.pdf</w:t>
      </w:r>
      <w:r w:rsidRPr="006E2688">
        <w:rPr>
          <w:rFonts w:ascii="Palatino Linotype" w:eastAsia="Palatino Linotype" w:hAnsi="Palatino Linotype" w:cs="Palatino Linotype"/>
        </w:rPr>
        <w:t xml:space="preserve">, se remitió por parte de la Secretaría del Ayuntamiento con motivo de la búsqueda exhaustiva en el inventario de bienes inmuebles propiedad del Ayuntamiento. </w:t>
      </w:r>
    </w:p>
    <w:p w14:paraId="3632152A" w14:textId="77777777" w:rsidR="006051C4" w:rsidRPr="006E2688" w:rsidRDefault="006051C4">
      <w:pPr>
        <w:spacing w:line="360" w:lineRule="auto"/>
        <w:jc w:val="both"/>
        <w:rPr>
          <w:rFonts w:ascii="Palatino Linotype" w:eastAsia="Palatino Linotype" w:hAnsi="Palatino Linotype" w:cs="Palatino Linotype"/>
        </w:rPr>
      </w:pPr>
    </w:p>
    <w:p w14:paraId="3A62C426"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Además, informó que la Dirección General de Servicios Públicos advirtió la existencia de diecinueve parques, nueve unidades deportivas, setenta y un jardines, ciento cuarenta y siete áreas deportivas, tres paseos, diez glorietas, ocho plazas, veintiséis plazas públicas delegacionales, una plaza subdelegacional, cinco vialidades, y sesenta y un camellones. Y señaló al archivo </w:t>
      </w:r>
      <w:r w:rsidRPr="006E2688">
        <w:rPr>
          <w:rFonts w:ascii="Palatino Linotype" w:eastAsia="Palatino Linotype" w:hAnsi="Palatino Linotype" w:cs="Palatino Linotype"/>
          <w:i/>
        </w:rPr>
        <w:t xml:space="preserve">SAIMEX 02681.pdf </w:t>
      </w:r>
      <w:r w:rsidRPr="006E2688">
        <w:rPr>
          <w:rFonts w:ascii="Palatino Linotype" w:eastAsia="Palatino Linotype" w:hAnsi="Palatino Linotype" w:cs="Palatino Linotype"/>
        </w:rPr>
        <w:t xml:space="preserve">como su anexo. </w:t>
      </w:r>
    </w:p>
    <w:p w14:paraId="7A0BC21D" w14:textId="77777777" w:rsidR="006051C4" w:rsidRPr="006E2688" w:rsidRDefault="006051C4">
      <w:pPr>
        <w:spacing w:line="360" w:lineRule="auto"/>
        <w:jc w:val="both"/>
        <w:rPr>
          <w:rFonts w:ascii="Palatino Linotype" w:eastAsia="Palatino Linotype" w:hAnsi="Palatino Linotype" w:cs="Palatino Linotype"/>
        </w:rPr>
      </w:pPr>
    </w:p>
    <w:p w14:paraId="3022CA59"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Por último, señaló que el Instituto Municipal de Cultura Física y Deporte de Toluca remitió la información mediante el archivo </w:t>
      </w:r>
      <w:r w:rsidRPr="006E2688">
        <w:rPr>
          <w:rFonts w:ascii="Palatino Linotype" w:eastAsia="Palatino Linotype" w:hAnsi="Palatino Linotype" w:cs="Palatino Linotype"/>
          <w:i/>
        </w:rPr>
        <w:t>SAIMEX 02681.pdf.</w:t>
      </w:r>
      <w:r w:rsidRPr="006E2688">
        <w:rPr>
          <w:rFonts w:ascii="Palatino Linotype" w:eastAsia="Palatino Linotype" w:hAnsi="Palatino Linotype" w:cs="Palatino Linotype"/>
        </w:rPr>
        <w:t xml:space="preserve"> </w:t>
      </w:r>
    </w:p>
    <w:p w14:paraId="41B97CE4" w14:textId="77777777" w:rsidR="006051C4" w:rsidRPr="006E2688" w:rsidRDefault="006051C4">
      <w:pPr>
        <w:pBdr>
          <w:top w:val="nil"/>
          <w:left w:val="nil"/>
          <w:bottom w:val="nil"/>
          <w:right w:val="nil"/>
          <w:between w:val="nil"/>
        </w:pBdr>
        <w:spacing w:before="200" w:after="160"/>
        <w:ind w:right="864"/>
        <w:jc w:val="both"/>
        <w:rPr>
          <w:rFonts w:ascii="Palatino Linotype" w:eastAsia="Palatino Linotype" w:hAnsi="Palatino Linotype" w:cs="Palatino Linotype"/>
          <w:b/>
          <w:i/>
        </w:rPr>
      </w:pPr>
    </w:p>
    <w:p w14:paraId="03F91864" w14:textId="77777777" w:rsidR="006051C4" w:rsidRPr="006E2688" w:rsidRDefault="006E2688">
      <w:pPr>
        <w:spacing w:line="360" w:lineRule="auto"/>
        <w:ind w:right="49"/>
        <w:jc w:val="both"/>
        <w:rPr>
          <w:rFonts w:ascii="Palatino Linotype" w:eastAsia="Palatino Linotype" w:hAnsi="Palatino Linotype" w:cs="Palatino Linotype"/>
        </w:rPr>
      </w:pPr>
      <w:r w:rsidRPr="006E2688">
        <w:rPr>
          <w:rFonts w:ascii="Palatino Linotype" w:eastAsia="Palatino Linotype" w:hAnsi="Palatino Linotype" w:cs="Palatino Linotype"/>
          <w:b/>
        </w:rPr>
        <w:t xml:space="preserve">5. Interposición del recurso de revisión. </w:t>
      </w:r>
      <w:r w:rsidRPr="006E2688">
        <w:rPr>
          <w:rFonts w:ascii="Palatino Linotype" w:eastAsia="Palatino Linotype" w:hAnsi="Palatino Linotype" w:cs="Palatino Linotype"/>
        </w:rPr>
        <w:t xml:space="preserve">Inconforme con los términos de la respuesta emitida a la solicitud </w:t>
      </w:r>
      <w:r w:rsidRPr="006E2688">
        <w:rPr>
          <w:rFonts w:ascii="Palatino Linotype" w:eastAsia="Palatino Linotype" w:hAnsi="Palatino Linotype" w:cs="Palatino Linotype"/>
          <w:b/>
        </w:rPr>
        <w:t>02681/TOLUCA/IP/2022</w:t>
      </w:r>
      <w:r w:rsidRPr="006E2688">
        <w:rPr>
          <w:rFonts w:ascii="Palatino Linotype" w:eastAsia="Palatino Linotype" w:hAnsi="Palatino Linotype" w:cs="Palatino Linotype"/>
        </w:rPr>
        <w:t xml:space="preserve"> por parte del </w:t>
      </w:r>
      <w:r w:rsidRPr="006E2688">
        <w:rPr>
          <w:rFonts w:ascii="Palatino Linotype" w:eastAsia="Palatino Linotype" w:hAnsi="Palatino Linotype" w:cs="Palatino Linotype"/>
          <w:b/>
        </w:rPr>
        <w:t>Sujeto Obligado</w:t>
      </w:r>
      <w:r w:rsidRPr="006E2688">
        <w:rPr>
          <w:rFonts w:ascii="Palatino Linotype" w:eastAsia="Palatino Linotype" w:hAnsi="Palatino Linotype" w:cs="Palatino Linotype"/>
        </w:rPr>
        <w:t xml:space="preserve">, el </w:t>
      </w:r>
      <w:r w:rsidRPr="006E2688">
        <w:rPr>
          <w:rFonts w:ascii="Palatino Linotype" w:eastAsia="Palatino Linotype" w:hAnsi="Palatino Linotype" w:cs="Palatino Linotype"/>
          <w:b/>
        </w:rPr>
        <w:t>veintitrés de diciembre</w:t>
      </w:r>
      <w:r w:rsidRPr="006E2688">
        <w:rPr>
          <w:rFonts w:ascii="Palatino Linotype" w:eastAsia="Palatino Linotype" w:hAnsi="Palatino Linotype" w:cs="Palatino Linotype"/>
        </w:rPr>
        <w:t xml:space="preserve"> </w:t>
      </w:r>
      <w:r w:rsidRPr="006E2688">
        <w:rPr>
          <w:rFonts w:ascii="Palatino Linotype" w:eastAsia="Palatino Linotype" w:hAnsi="Palatino Linotype" w:cs="Palatino Linotype"/>
          <w:b/>
        </w:rPr>
        <w:t>de dos mil veintidós,</w:t>
      </w:r>
      <w:r w:rsidRPr="006E2688">
        <w:rPr>
          <w:rFonts w:ascii="Palatino Linotype" w:eastAsia="Palatino Linotype" w:hAnsi="Palatino Linotype" w:cs="Palatino Linotype"/>
        </w:rPr>
        <w:t xml:space="preserve"> la parte </w:t>
      </w:r>
      <w:r w:rsidRPr="006E2688">
        <w:rPr>
          <w:rFonts w:ascii="Palatino Linotype" w:eastAsia="Palatino Linotype" w:hAnsi="Palatino Linotype" w:cs="Palatino Linotype"/>
          <w:b/>
        </w:rPr>
        <w:t>Recurrente</w:t>
      </w:r>
      <w:r w:rsidRPr="006E2688">
        <w:rPr>
          <w:rFonts w:ascii="Palatino Linotype" w:eastAsia="Palatino Linotype" w:hAnsi="Palatino Linotype" w:cs="Palatino Linotype"/>
        </w:rPr>
        <w:t xml:space="preserve"> interpuso el recurso de revisión a través de SAIMEX</w:t>
      </w:r>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sin embargo, este no se tuvo por presentado hasta el</w:t>
      </w:r>
      <w:r w:rsidRPr="006E2688">
        <w:rPr>
          <w:rFonts w:ascii="Palatino Linotype" w:eastAsia="Palatino Linotype" w:hAnsi="Palatino Linotype" w:cs="Palatino Linotype"/>
          <w:b/>
        </w:rPr>
        <w:t xml:space="preserve"> nueve de enero de dos mil veintitrés, </w:t>
      </w:r>
      <w:r w:rsidRPr="006E2688">
        <w:rPr>
          <w:rFonts w:ascii="Palatino Linotype" w:eastAsia="Palatino Linotype" w:hAnsi="Palatino Linotype" w:cs="Palatino Linotype"/>
        </w:rPr>
        <w:t xml:space="preserve">en razón de los calendarios oficiales dos mil veintidós y dos mil veintitrés aprobados por el Pleno del </w:t>
      </w:r>
      <w:proofErr w:type="spellStart"/>
      <w:r w:rsidRPr="006E2688">
        <w:rPr>
          <w:rFonts w:ascii="Palatino Linotype" w:eastAsia="Palatino Linotype" w:hAnsi="Palatino Linotype" w:cs="Palatino Linotype"/>
        </w:rPr>
        <w:t>Infoem</w:t>
      </w:r>
      <w:proofErr w:type="spellEnd"/>
      <w:r w:rsidRPr="006E2688">
        <w:rPr>
          <w:rFonts w:ascii="Palatino Linotype" w:eastAsia="Palatino Linotype" w:hAnsi="Palatino Linotype" w:cs="Palatino Linotype"/>
        </w:rPr>
        <w:t xml:space="preserve"> en materia de Transparencia, Acceso a la Información Pública y </w:t>
      </w:r>
      <w:r w:rsidRPr="006E2688">
        <w:rPr>
          <w:rFonts w:ascii="Palatino Linotype" w:eastAsia="Palatino Linotype" w:hAnsi="Palatino Linotype" w:cs="Palatino Linotype"/>
        </w:rPr>
        <w:lastRenderedPageBreak/>
        <w:t>Protección de Datos Personales del Estado de México y Municipios</w:t>
      </w:r>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en donde se manifestó de la siguiente manera:</w:t>
      </w:r>
    </w:p>
    <w:p w14:paraId="0629547A" w14:textId="77777777" w:rsidR="006051C4" w:rsidRPr="006E2688" w:rsidRDefault="006051C4">
      <w:pPr>
        <w:tabs>
          <w:tab w:val="left" w:pos="2745"/>
        </w:tabs>
        <w:spacing w:line="360" w:lineRule="auto"/>
        <w:jc w:val="both"/>
        <w:rPr>
          <w:rFonts w:ascii="Palatino Linotype" w:eastAsia="Palatino Linotype" w:hAnsi="Palatino Linotype" w:cs="Palatino Linotype"/>
          <w:b/>
          <w:sz w:val="22"/>
          <w:szCs w:val="22"/>
        </w:rPr>
      </w:pPr>
    </w:p>
    <w:p w14:paraId="7A9A7CDF" w14:textId="77777777" w:rsidR="006051C4" w:rsidRPr="006E2688" w:rsidRDefault="006E2688">
      <w:pPr>
        <w:tabs>
          <w:tab w:val="left" w:pos="2745"/>
        </w:tabs>
        <w:spacing w:line="360" w:lineRule="auto"/>
        <w:jc w:val="both"/>
        <w:rPr>
          <w:rFonts w:ascii="Palatino Linotype" w:eastAsia="Palatino Linotype" w:hAnsi="Palatino Linotype" w:cs="Palatino Linotype"/>
          <w:b/>
        </w:rPr>
      </w:pPr>
      <w:r w:rsidRPr="006E2688">
        <w:rPr>
          <w:rFonts w:ascii="Palatino Linotype" w:eastAsia="Palatino Linotype" w:hAnsi="Palatino Linotype" w:cs="Palatino Linotype"/>
          <w:b/>
        </w:rPr>
        <w:t xml:space="preserve">Acto impugnado: </w:t>
      </w:r>
    </w:p>
    <w:p w14:paraId="13B56BD4" w14:textId="77777777" w:rsidR="006051C4" w:rsidRPr="006E2688" w:rsidRDefault="006051C4">
      <w:pPr>
        <w:pBdr>
          <w:top w:val="nil"/>
          <w:left w:val="nil"/>
          <w:bottom w:val="nil"/>
          <w:right w:val="nil"/>
          <w:between w:val="nil"/>
        </w:pBdr>
        <w:ind w:left="864" w:right="864"/>
        <w:jc w:val="both"/>
        <w:rPr>
          <w:i/>
        </w:rPr>
      </w:pPr>
    </w:p>
    <w:p w14:paraId="31F65E63" w14:textId="77777777" w:rsidR="006051C4" w:rsidRPr="006E2688" w:rsidRDefault="006E2688">
      <w:pPr>
        <w:pBdr>
          <w:top w:val="nil"/>
          <w:left w:val="nil"/>
          <w:bottom w:val="nil"/>
          <w:right w:val="nil"/>
          <w:between w:val="nil"/>
        </w:pBdr>
        <w:ind w:left="864" w:right="864"/>
        <w:jc w:val="both"/>
        <w:rPr>
          <w:i/>
          <w:sz w:val="22"/>
          <w:szCs w:val="22"/>
        </w:rPr>
      </w:pPr>
      <w:r w:rsidRPr="006E2688">
        <w:rPr>
          <w:i/>
          <w:sz w:val="22"/>
          <w:szCs w:val="22"/>
        </w:rPr>
        <w:t>“LA RESPUESTA” (Sic)</w:t>
      </w:r>
    </w:p>
    <w:p w14:paraId="538FC28C" w14:textId="77777777" w:rsidR="006051C4" w:rsidRPr="006E2688" w:rsidRDefault="006051C4">
      <w:pPr>
        <w:pBdr>
          <w:top w:val="nil"/>
          <w:left w:val="nil"/>
          <w:bottom w:val="nil"/>
          <w:right w:val="nil"/>
          <w:between w:val="nil"/>
        </w:pBdr>
        <w:ind w:left="864" w:right="864"/>
        <w:jc w:val="both"/>
        <w:rPr>
          <w:i/>
          <w:sz w:val="22"/>
          <w:szCs w:val="22"/>
        </w:rPr>
      </w:pPr>
    </w:p>
    <w:p w14:paraId="4D2752BE" w14:textId="77777777" w:rsidR="006051C4" w:rsidRPr="006E2688" w:rsidRDefault="006E2688">
      <w:pPr>
        <w:spacing w:line="360" w:lineRule="auto"/>
        <w:jc w:val="both"/>
        <w:rPr>
          <w:rFonts w:ascii="Palatino Linotype" w:eastAsia="Palatino Linotype" w:hAnsi="Palatino Linotype" w:cs="Palatino Linotype"/>
        </w:rPr>
      </w:pPr>
      <w:bookmarkStart w:id="1" w:name="_heading=h.30j0zll" w:colFirst="0" w:colLast="0"/>
      <w:bookmarkEnd w:id="1"/>
      <w:r w:rsidRPr="006E2688">
        <w:rPr>
          <w:rFonts w:ascii="Palatino Linotype" w:eastAsia="Palatino Linotype" w:hAnsi="Palatino Linotype" w:cs="Palatino Linotype"/>
          <w:b/>
        </w:rPr>
        <w:t>Y razones o motivos de inconformidad</w:t>
      </w:r>
      <w:r w:rsidRPr="006E2688">
        <w:rPr>
          <w:rFonts w:ascii="Palatino Linotype" w:eastAsia="Palatino Linotype" w:hAnsi="Palatino Linotype" w:cs="Palatino Linotype"/>
        </w:rPr>
        <w:t>:</w:t>
      </w:r>
    </w:p>
    <w:p w14:paraId="789E33B6" w14:textId="77777777" w:rsidR="006051C4" w:rsidRPr="006E2688" w:rsidRDefault="006051C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6832D483" w14:textId="77777777" w:rsidR="006051C4" w:rsidRPr="006E2688" w:rsidRDefault="006E268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“La Titular de la Unidad de Transparencia no me entregó la información de manera completa.” (Sic)</w:t>
      </w:r>
    </w:p>
    <w:p w14:paraId="010F8820" w14:textId="77777777" w:rsidR="006051C4" w:rsidRPr="006E2688" w:rsidRDefault="006051C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4BE5E1A1" w14:textId="77777777" w:rsidR="006051C4" w:rsidRPr="006E2688" w:rsidRDefault="006E2688">
      <w:pPr>
        <w:spacing w:line="360" w:lineRule="auto"/>
        <w:ind w:right="51"/>
        <w:jc w:val="both"/>
        <w:rPr>
          <w:rFonts w:ascii="Palatino Linotype" w:eastAsia="Palatino Linotype" w:hAnsi="Palatino Linotype" w:cs="Palatino Linotype"/>
        </w:rPr>
      </w:pPr>
      <w:r w:rsidRPr="006E2688">
        <w:rPr>
          <w:rFonts w:ascii="Palatino Linotype" w:eastAsia="Palatino Linotype" w:hAnsi="Palatino Linotype" w:cs="Palatino Linotype"/>
          <w:b/>
        </w:rPr>
        <w:t xml:space="preserve">6. Turno. </w:t>
      </w:r>
      <w:r w:rsidRPr="006E2688">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presente recurso de revisión se turnó por el sistema electrónico del </w:t>
      </w:r>
      <w:proofErr w:type="spellStart"/>
      <w:r w:rsidRPr="006E2688">
        <w:rPr>
          <w:rFonts w:ascii="Palatino Linotype" w:eastAsia="Palatino Linotype" w:hAnsi="Palatino Linotype" w:cs="Palatino Linotype"/>
        </w:rPr>
        <w:t>Infoem</w:t>
      </w:r>
      <w:proofErr w:type="spellEnd"/>
      <w:r w:rsidRPr="006E2688">
        <w:rPr>
          <w:rFonts w:ascii="Palatino Linotype" w:eastAsia="Palatino Linotype" w:hAnsi="Palatino Linotype" w:cs="Palatino Linotype"/>
        </w:rPr>
        <w:t xml:space="preserve">, a la </w:t>
      </w:r>
      <w:r w:rsidRPr="006E2688">
        <w:rPr>
          <w:rFonts w:ascii="Palatino Linotype" w:eastAsia="Palatino Linotype" w:hAnsi="Palatino Linotype" w:cs="Palatino Linotype"/>
          <w:b/>
        </w:rPr>
        <w:t xml:space="preserve">Comisionada Guadalupe Ramírez Peña, </w:t>
      </w:r>
      <w:r w:rsidRPr="006E2688">
        <w:rPr>
          <w:rFonts w:ascii="Palatino Linotype" w:eastAsia="Palatino Linotype" w:hAnsi="Palatino Linotype" w:cs="Palatino Linotype"/>
        </w:rPr>
        <w:t xml:space="preserve">a efecto de que analizara sobre su admisión o su </w:t>
      </w:r>
      <w:proofErr w:type="spellStart"/>
      <w:r w:rsidRPr="006E2688">
        <w:rPr>
          <w:rFonts w:ascii="Palatino Linotype" w:eastAsia="Palatino Linotype" w:hAnsi="Palatino Linotype" w:cs="Palatino Linotype"/>
        </w:rPr>
        <w:t>desechamiento</w:t>
      </w:r>
      <w:proofErr w:type="spellEnd"/>
      <w:r w:rsidRPr="006E2688">
        <w:rPr>
          <w:rFonts w:ascii="Palatino Linotype" w:eastAsia="Palatino Linotype" w:hAnsi="Palatino Linotype" w:cs="Palatino Linotype"/>
        </w:rPr>
        <w:t>.</w:t>
      </w:r>
    </w:p>
    <w:p w14:paraId="4D0DCB8F" w14:textId="77777777" w:rsidR="006051C4" w:rsidRPr="006E2688" w:rsidRDefault="006051C4">
      <w:pPr>
        <w:spacing w:line="360" w:lineRule="auto"/>
        <w:jc w:val="both"/>
        <w:rPr>
          <w:rFonts w:ascii="Palatino Linotype" w:eastAsia="Palatino Linotype" w:hAnsi="Palatino Linotype" w:cs="Palatino Linotype"/>
          <w:b/>
        </w:rPr>
      </w:pPr>
    </w:p>
    <w:p w14:paraId="25470BBC"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7. Admisión del Recurso de revisión.</w:t>
      </w:r>
      <w:r w:rsidRPr="006E2688">
        <w:rPr>
          <w:rFonts w:ascii="Palatino Linotype" w:eastAsia="Palatino Linotype" w:hAnsi="Palatino Linotype" w:cs="Palatino Linotype"/>
        </w:rPr>
        <w:t xml:space="preserve"> Con fecha</w:t>
      </w:r>
      <w:r w:rsidRPr="006E2688">
        <w:rPr>
          <w:rFonts w:ascii="Palatino Linotype" w:eastAsia="Palatino Linotype" w:hAnsi="Palatino Linotype" w:cs="Palatino Linotype"/>
          <w:b/>
        </w:rPr>
        <w:t xml:space="preserve"> doce de enero de dos mil veintitrés, </w:t>
      </w:r>
      <w:r w:rsidRPr="006E2688">
        <w:rPr>
          <w:rFonts w:ascii="Palatino Linotype" w:eastAsia="Palatino Linotype" w:hAnsi="Palatino Linotype" w:cs="Palatino Linotype"/>
        </w:rPr>
        <w:t>este Instituto admitió a trámite el recurso de revisión que ahora se resuelve, dando un plazo máximo de siete días hábiles para que las partes manifestaran lo que a su derecho resultara conveniente, ofrecieran pruebas, formularan alegatos y el</w:t>
      </w:r>
      <w:r w:rsidRPr="006E2688">
        <w:rPr>
          <w:rFonts w:ascii="Palatino Linotype" w:eastAsia="Palatino Linotype" w:hAnsi="Palatino Linotype" w:cs="Palatino Linotype"/>
          <w:b/>
        </w:rPr>
        <w:t xml:space="preserve"> Sujeto Obligado </w:t>
      </w:r>
      <w:r w:rsidRPr="006E2688">
        <w:rPr>
          <w:rFonts w:ascii="Palatino Linotype" w:eastAsia="Palatino Linotype" w:hAnsi="Palatino Linotype" w:cs="Palatino Linotype"/>
        </w:rPr>
        <w:t>presentara su Informe Justificado.</w:t>
      </w:r>
    </w:p>
    <w:p w14:paraId="3199FC85" w14:textId="77777777" w:rsidR="006051C4" w:rsidRPr="006E2688" w:rsidRDefault="006051C4">
      <w:pPr>
        <w:spacing w:line="360" w:lineRule="auto"/>
        <w:jc w:val="both"/>
        <w:rPr>
          <w:rFonts w:ascii="Palatino Linotype" w:eastAsia="Palatino Linotype" w:hAnsi="Palatino Linotype" w:cs="Palatino Linotype"/>
          <w:b/>
        </w:rPr>
      </w:pPr>
      <w:bookmarkStart w:id="2" w:name="_heading=h.2s8eyo1" w:colFirst="0" w:colLast="0"/>
      <w:bookmarkEnd w:id="2"/>
    </w:p>
    <w:p w14:paraId="7B795041" w14:textId="77777777" w:rsidR="006051C4" w:rsidRPr="006E2688" w:rsidRDefault="006E2688">
      <w:pPr>
        <w:spacing w:line="360" w:lineRule="auto"/>
        <w:jc w:val="both"/>
        <w:rPr>
          <w:rFonts w:ascii="Palatino Linotype" w:eastAsia="Palatino Linotype" w:hAnsi="Palatino Linotype" w:cs="Palatino Linotype"/>
          <w:b/>
        </w:rPr>
      </w:pPr>
      <w:r w:rsidRPr="006E2688">
        <w:rPr>
          <w:rFonts w:ascii="Palatino Linotype" w:eastAsia="Palatino Linotype" w:hAnsi="Palatino Linotype" w:cs="Palatino Linotype"/>
          <w:b/>
        </w:rPr>
        <w:t>8. Manifestaciones</w:t>
      </w:r>
      <w:r w:rsidRPr="006E2688">
        <w:rPr>
          <w:rFonts w:ascii="Palatino Linotype" w:eastAsia="Palatino Linotype" w:hAnsi="Palatino Linotype" w:cs="Palatino Linotype"/>
        </w:rPr>
        <w:t>. De las constancias que obran en el expediente electrónico del SAIMEX, se desprende que el</w:t>
      </w:r>
      <w:r w:rsidRPr="006E2688">
        <w:rPr>
          <w:rFonts w:ascii="Palatino Linotype" w:eastAsia="Palatino Linotype" w:hAnsi="Palatino Linotype" w:cs="Palatino Linotype"/>
          <w:b/>
        </w:rPr>
        <w:t xml:space="preserve"> Sujeto Obligado</w:t>
      </w:r>
      <w:r w:rsidRPr="006E2688">
        <w:rPr>
          <w:rFonts w:ascii="Palatino Linotype" w:eastAsia="Palatino Linotype" w:hAnsi="Palatino Linotype" w:cs="Palatino Linotype"/>
        </w:rPr>
        <w:t xml:space="preserve"> rindió el Informe Justificado el día</w:t>
      </w:r>
      <w:r w:rsidRPr="006E2688">
        <w:rPr>
          <w:rFonts w:ascii="Palatino Linotype" w:eastAsia="Palatino Linotype" w:hAnsi="Palatino Linotype" w:cs="Palatino Linotype"/>
          <w:b/>
        </w:rPr>
        <w:t xml:space="preserve"> veintitrés de enero de dos mil veintitrés</w:t>
      </w:r>
      <w:r w:rsidRPr="006E2688">
        <w:rPr>
          <w:rFonts w:ascii="Palatino Linotype" w:eastAsia="Palatino Linotype" w:hAnsi="Palatino Linotype" w:cs="Palatino Linotype"/>
        </w:rPr>
        <w:t>, mismo que fue hecho del conocimiento de la parte</w:t>
      </w:r>
      <w:r w:rsidRPr="006E2688">
        <w:rPr>
          <w:rFonts w:ascii="Palatino Linotype" w:eastAsia="Palatino Linotype" w:hAnsi="Palatino Linotype" w:cs="Palatino Linotype"/>
          <w:b/>
        </w:rPr>
        <w:t xml:space="preserve"> Recurrente</w:t>
      </w:r>
      <w:r w:rsidRPr="006E2688">
        <w:rPr>
          <w:rFonts w:ascii="Palatino Linotype" w:eastAsia="Palatino Linotype" w:hAnsi="Palatino Linotype" w:cs="Palatino Linotype"/>
        </w:rPr>
        <w:t xml:space="preserve">, el </w:t>
      </w:r>
      <w:r w:rsidRPr="006E2688">
        <w:rPr>
          <w:rFonts w:ascii="Palatino Linotype" w:eastAsia="Palatino Linotype" w:hAnsi="Palatino Linotype" w:cs="Palatino Linotype"/>
          <w:b/>
        </w:rPr>
        <w:t>diecisiete de mayo de dos mil veintitrés.</w:t>
      </w:r>
    </w:p>
    <w:p w14:paraId="7808DAED" w14:textId="77777777" w:rsidR="006051C4" w:rsidRPr="006E2688" w:rsidRDefault="006051C4">
      <w:pPr>
        <w:spacing w:line="360" w:lineRule="auto"/>
        <w:jc w:val="both"/>
        <w:rPr>
          <w:rFonts w:ascii="Palatino Linotype" w:eastAsia="Palatino Linotype" w:hAnsi="Palatino Linotype" w:cs="Palatino Linotype"/>
        </w:rPr>
      </w:pPr>
    </w:p>
    <w:p w14:paraId="06C3A61F"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El Informe Justificado se emitió por la Unidad de Transparencia del Ayuntamiento de Toluca con el oficio </w:t>
      </w:r>
      <w:r w:rsidRPr="006E2688">
        <w:rPr>
          <w:rFonts w:ascii="Palatino Linotype" w:eastAsia="Palatino Linotype" w:hAnsi="Palatino Linotype" w:cs="Palatino Linotype"/>
          <w:i/>
        </w:rPr>
        <w:t>2010A4000/UT/RR/0101/2023</w:t>
      </w:r>
      <w:r w:rsidRPr="006E2688">
        <w:rPr>
          <w:rFonts w:ascii="Palatino Linotype" w:eastAsia="Palatino Linotype" w:hAnsi="Palatino Linotype" w:cs="Palatino Linotype"/>
        </w:rPr>
        <w:t xml:space="preserve"> de fecha veintitrés de enero de dos mil veintitrés, dirigido a la </w:t>
      </w:r>
      <w:r w:rsidRPr="006E2688">
        <w:rPr>
          <w:rFonts w:ascii="Palatino Linotype" w:eastAsia="Palatino Linotype" w:hAnsi="Palatino Linotype" w:cs="Palatino Linotype"/>
          <w:b/>
        </w:rPr>
        <w:t>Comisionada Guadalupe Ramírez Peña,</w:t>
      </w:r>
      <w:r w:rsidRPr="006E2688">
        <w:rPr>
          <w:rFonts w:ascii="Palatino Linotype" w:eastAsia="Palatino Linotype" w:hAnsi="Palatino Linotype" w:cs="Palatino Linotype"/>
        </w:rPr>
        <w:t xml:space="preserve"> en donde se ratificó todos y cada uno de los puntos de la respuesta a la solicitud </w:t>
      </w:r>
      <w:r w:rsidRPr="006E2688">
        <w:rPr>
          <w:rFonts w:ascii="Palatino Linotype" w:eastAsia="Palatino Linotype" w:hAnsi="Palatino Linotype" w:cs="Palatino Linotype"/>
          <w:b/>
        </w:rPr>
        <w:t xml:space="preserve">02681/TOLUCA/IP/2022. </w:t>
      </w:r>
    </w:p>
    <w:p w14:paraId="1AC895A8" w14:textId="77777777" w:rsidR="006051C4" w:rsidRPr="006E2688" w:rsidRDefault="006051C4">
      <w:pPr>
        <w:spacing w:line="360" w:lineRule="auto"/>
        <w:jc w:val="both"/>
        <w:rPr>
          <w:rFonts w:ascii="Palatino Linotype" w:eastAsia="Palatino Linotype" w:hAnsi="Palatino Linotype" w:cs="Palatino Linotype"/>
        </w:rPr>
      </w:pPr>
    </w:p>
    <w:p w14:paraId="1C220FD2"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Por su cuenta, la parte</w:t>
      </w:r>
      <w:r w:rsidRPr="006E2688">
        <w:rPr>
          <w:rFonts w:ascii="Palatino Linotype" w:eastAsia="Palatino Linotype" w:hAnsi="Palatino Linotype" w:cs="Palatino Linotype"/>
          <w:b/>
        </w:rPr>
        <w:t xml:space="preserve"> Recurrente</w:t>
      </w:r>
      <w:r w:rsidRPr="006E2688">
        <w:rPr>
          <w:rFonts w:ascii="Palatino Linotype" w:eastAsia="Palatino Linotype" w:hAnsi="Palatino Linotype" w:cs="Palatino Linotype"/>
        </w:rPr>
        <w:t xml:space="preserve"> omitió realizar manifestaciones, como se observa a continuación:</w:t>
      </w:r>
    </w:p>
    <w:p w14:paraId="61C5B132" w14:textId="77777777" w:rsidR="006051C4" w:rsidRPr="006E2688" w:rsidRDefault="006051C4">
      <w:pPr>
        <w:spacing w:line="360" w:lineRule="auto"/>
        <w:jc w:val="both"/>
        <w:rPr>
          <w:rFonts w:ascii="Palatino Linotype" w:eastAsia="Palatino Linotype" w:hAnsi="Palatino Linotype" w:cs="Palatino Linotype"/>
        </w:rPr>
      </w:pPr>
    </w:p>
    <w:p w14:paraId="782BB70F" w14:textId="77777777" w:rsidR="006051C4" w:rsidRPr="006E2688" w:rsidRDefault="006E2688">
      <w:pPr>
        <w:spacing w:line="360" w:lineRule="auto"/>
        <w:jc w:val="center"/>
        <w:rPr>
          <w:rFonts w:ascii="Palatino Linotype" w:eastAsia="Palatino Linotype" w:hAnsi="Palatino Linotype" w:cs="Palatino Linotype"/>
        </w:rPr>
      </w:pPr>
      <w:r w:rsidRPr="006E2688">
        <w:rPr>
          <w:noProof/>
        </w:rPr>
        <w:drawing>
          <wp:inline distT="0" distB="0" distL="0" distR="0" wp14:anchorId="11041E1D" wp14:editId="6603F78E">
            <wp:extent cx="5232330" cy="1651503"/>
            <wp:effectExtent l="0" t="0" r="0" b="0"/>
            <wp:docPr id="15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l="8876" t="22266" r="8679" b="31465"/>
                    <a:stretch>
                      <a:fillRect/>
                    </a:stretch>
                  </pic:blipFill>
                  <pic:spPr>
                    <a:xfrm>
                      <a:off x="0" y="0"/>
                      <a:ext cx="5232330" cy="1651503"/>
                    </a:xfrm>
                    <a:prstGeom prst="rect">
                      <a:avLst/>
                    </a:prstGeom>
                    <a:ln/>
                  </pic:spPr>
                </pic:pic>
              </a:graphicData>
            </a:graphic>
          </wp:inline>
        </w:drawing>
      </w:r>
    </w:p>
    <w:p w14:paraId="401AA9DE" w14:textId="77777777" w:rsidR="006051C4" w:rsidRPr="006E2688" w:rsidRDefault="006051C4">
      <w:pPr>
        <w:spacing w:line="360" w:lineRule="auto"/>
        <w:jc w:val="center"/>
        <w:rPr>
          <w:rFonts w:ascii="Palatino Linotype" w:eastAsia="Palatino Linotype" w:hAnsi="Palatino Linotype" w:cs="Palatino Linotype"/>
        </w:rPr>
      </w:pPr>
    </w:p>
    <w:p w14:paraId="59F38762"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 xml:space="preserve">9. Ampliación del plazo para emitir resolución. </w:t>
      </w:r>
      <w:r w:rsidRPr="006E2688">
        <w:rPr>
          <w:rFonts w:ascii="Palatino Linotype" w:eastAsia="Palatino Linotype" w:hAnsi="Palatino Linotype" w:cs="Palatino Linotype"/>
        </w:rPr>
        <w:t xml:space="preserve">El </w:t>
      </w:r>
      <w:r w:rsidRPr="006E2688">
        <w:rPr>
          <w:rFonts w:ascii="Palatino Linotype" w:eastAsia="Palatino Linotype" w:hAnsi="Palatino Linotype" w:cs="Palatino Linotype"/>
          <w:b/>
        </w:rPr>
        <w:t>primero de junio de dos mil veintitrés</w:t>
      </w:r>
      <w:r w:rsidRPr="006E2688">
        <w:rPr>
          <w:rFonts w:ascii="Palatino Linotype" w:eastAsia="Palatino Linotype" w:hAnsi="Palatino Linotype" w:cs="Palatino Linotype"/>
        </w:rPr>
        <w:t>, el Instituto de Transparencia, Acceso a la Información Pública y Protección de Datos Personales del Estado de México y Municipios, con fundamento en el artículo 181, párrafo tercero, de la Ley de Transparencia y Acceso a la Información Pública del Estado de México y Municipios, determinó ampliar el plazo para emitir la presente resolución.</w:t>
      </w:r>
    </w:p>
    <w:p w14:paraId="6E9D9D5B" w14:textId="77777777" w:rsidR="006051C4" w:rsidRPr="006E2688" w:rsidRDefault="006051C4">
      <w:pPr>
        <w:widowControl w:val="0"/>
        <w:spacing w:line="360" w:lineRule="auto"/>
        <w:jc w:val="both"/>
        <w:rPr>
          <w:rFonts w:ascii="Palatino Linotype" w:eastAsia="Palatino Linotype" w:hAnsi="Palatino Linotype" w:cs="Palatino Linotype"/>
        </w:rPr>
      </w:pPr>
    </w:p>
    <w:p w14:paraId="2FAA9556"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Este organismo garante no pasa por alto justificar, que el plazo para emitir la </w:t>
      </w:r>
      <w:r w:rsidRPr="006E2688">
        <w:rPr>
          <w:rFonts w:ascii="Palatino Linotype" w:eastAsia="Palatino Linotype" w:hAnsi="Palatino Linotype" w:cs="Palatino Linotype"/>
        </w:rPr>
        <w:lastRenderedPageBreak/>
        <w:t>resolución en el presente asunto encuentra justificación en el alto número de recursos de revisión recibidos dentro del año dos mil veintidós, que, en comparación con los recibidos el año dos mil veintiuno, incrementó aproximadamente un 300%, circunstancia atípica que ha rebasado las capacidades técnicas y humanas del personal encargado de la proyección de las resoluciones a dichos medios de impugnación.</w:t>
      </w:r>
    </w:p>
    <w:p w14:paraId="3E2FBFA9" w14:textId="77777777" w:rsidR="006051C4" w:rsidRPr="006E2688" w:rsidRDefault="006051C4">
      <w:pPr>
        <w:widowControl w:val="0"/>
        <w:spacing w:line="360" w:lineRule="auto"/>
        <w:jc w:val="both"/>
        <w:rPr>
          <w:rFonts w:ascii="Palatino Linotype" w:eastAsia="Palatino Linotype" w:hAnsi="Palatino Linotype" w:cs="Palatino Linotype"/>
        </w:rPr>
      </w:pPr>
    </w:p>
    <w:p w14:paraId="48D891CF"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375E7CC1" w14:textId="77777777" w:rsidR="006051C4" w:rsidRPr="006E2688" w:rsidRDefault="006051C4">
      <w:pPr>
        <w:widowControl w:val="0"/>
        <w:spacing w:line="360" w:lineRule="auto"/>
        <w:jc w:val="both"/>
        <w:rPr>
          <w:rFonts w:ascii="Palatino Linotype" w:eastAsia="Palatino Linotype" w:hAnsi="Palatino Linotype" w:cs="Palatino Linotype"/>
        </w:rPr>
      </w:pPr>
    </w:p>
    <w:p w14:paraId="3EE4C7B0"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9CD8107" w14:textId="77777777" w:rsidR="006051C4" w:rsidRPr="006E2688" w:rsidRDefault="006051C4">
      <w:pPr>
        <w:widowControl w:val="0"/>
        <w:spacing w:line="360" w:lineRule="auto"/>
        <w:jc w:val="both"/>
        <w:rPr>
          <w:rFonts w:ascii="Palatino Linotype" w:eastAsia="Palatino Linotype" w:hAnsi="Palatino Linotype" w:cs="Palatino Linotype"/>
        </w:rPr>
      </w:pPr>
    </w:p>
    <w:p w14:paraId="0BDBDE6F"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CF10997" w14:textId="77777777" w:rsidR="006051C4" w:rsidRPr="006E2688" w:rsidRDefault="006051C4">
      <w:pPr>
        <w:widowControl w:val="0"/>
        <w:spacing w:line="360" w:lineRule="auto"/>
        <w:jc w:val="both"/>
        <w:rPr>
          <w:rFonts w:ascii="Palatino Linotype" w:eastAsia="Palatino Linotype" w:hAnsi="Palatino Linotype" w:cs="Palatino Linotype"/>
        </w:rPr>
      </w:pPr>
    </w:p>
    <w:p w14:paraId="1609A15A"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0A7FB5B7" w14:textId="77777777" w:rsidR="006051C4" w:rsidRPr="006E2688" w:rsidRDefault="006051C4">
      <w:pPr>
        <w:widowControl w:val="0"/>
        <w:spacing w:line="360" w:lineRule="auto"/>
        <w:jc w:val="both"/>
        <w:rPr>
          <w:rFonts w:ascii="Palatino Linotype" w:eastAsia="Palatino Linotype" w:hAnsi="Palatino Linotype" w:cs="Palatino Linotype"/>
        </w:rPr>
      </w:pPr>
    </w:p>
    <w:p w14:paraId="606AF3E9" w14:textId="77777777" w:rsidR="006051C4" w:rsidRPr="006E2688" w:rsidRDefault="006E2688">
      <w:pPr>
        <w:widowControl w:val="0"/>
        <w:numPr>
          <w:ilvl w:val="0"/>
          <w:numId w:val="2"/>
        </w:num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 xml:space="preserve">Complejidad del Asunto: </w:t>
      </w:r>
      <w:r w:rsidRPr="006E2688">
        <w:rPr>
          <w:rFonts w:ascii="Palatino Linotype" w:eastAsia="Palatino Linotype" w:hAnsi="Palatino Linotype" w:cs="Palatino Linotype"/>
        </w:rPr>
        <w:t xml:space="preserve">La complejidad de la prueba, la pluralidad de sujetos procesales, el tiempo transcurrido, las características y contexto del recurso. </w:t>
      </w:r>
    </w:p>
    <w:p w14:paraId="021C27F6" w14:textId="77777777" w:rsidR="006051C4" w:rsidRPr="006E2688" w:rsidRDefault="006E2688">
      <w:pPr>
        <w:widowControl w:val="0"/>
        <w:numPr>
          <w:ilvl w:val="0"/>
          <w:numId w:val="2"/>
        </w:num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Actividad Procesal del interesado:</w:t>
      </w:r>
      <w:r w:rsidRPr="006E2688">
        <w:rPr>
          <w:rFonts w:ascii="Palatino Linotype" w:eastAsia="Palatino Linotype" w:hAnsi="Palatino Linotype" w:cs="Palatino Linotype"/>
        </w:rPr>
        <w:t xml:space="preserve"> Acciones u omisiones del interesado.</w:t>
      </w:r>
    </w:p>
    <w:p w14:paraId="0D35B494" w14:textId="77777777" w:rsidR="006051C4" w:rsidRPr="006E2688" w:rsidRDefault="006E2688">
      <w:pPr>
        <w:widowControl w:val="0"/>
        <w:numPr>
          <w:ilvl w:val="0"/>
          <w:numId w:val="2"/>
        </w:num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Conducta de la Autoridad:</w:t>
      </w:r>
      <w:r w:rsidRPr="006E2688">
        <w:rPr>
          <w:rFonts w:ascii="Palatino Linotype" w:eastAsia="Palatino Linotype" w:hAnsi="Palatino Linotype" w:cs="Palatino Linotype"/>
        </w:rPr>
        <w:t xml:space="preserve"> Las Acciones u omisiones realizadas en el procedimiento. Así como si la autoridad actuó con la debida diligencia.</w:t>
      </w:r>
      <w:r w:rsidRPr="006E2688">
        <w:rPr>
          <w:rFonts w:ascii="Palatino Linotype" w:eastAsia="Palatino Linotype" w:hAnsi="Palatino Linotype" w:cs="Palatino Linotype"/>
          <w:b/>
        </w:rPr>
        <w:t xml:space="preserve"> </w:t>
      </w:r>
    </w:p>
    <w:p w14:paraId="605D4BB0" w14:textId="77777777" w:rsidR="006051C4" w:rsidRPr="006E2688" w:rsidRDefault="006E2688">
      <w:pPr>
        <w:widowControl w:val="0"/>
        <w:numPr>
          <w:ilvl w:val="0"/>
          <w:numId w:val="2"/>
        </w:num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La afectación generada en la situación jurídica de la persona involucrada en el proceso:</w:t>
      </w:r>
      <w:r w:rsidRPr="006E2688">
        <w:rPr>
          <w:rFonts w:ascii="Palatino Linotype" w:eastAsia="Palatino Linotype" w:hAnsi="Palatino Linotype" w:cs="Palatino Linotype"/>
        </w:rPr>
        <w:t xml:space="preserve"> Violación a sus derechos humanos.</w:t>
      </w:r>
    </w:p>
    <w:p w14:paraId="762D7910" w14:textId="77777777" w:rsidR="006051C4" w:rsidRPr="006E2688" w:rsidRDefault="006051C4">
      <w:pPr>
        <w:widowControl w:val="0"/>
        <w:spacing w:line="360" w:lineRule="auto"/>
        <w:jc w:val="both"/>
        <w:rPr>
          <w:rFonts w:ascii="Palatino Linotype" w:eastAsia="Palatino Linotype" w:hAnsi="Palatino Linotype" w:cs="Palatino Linotype"/>
        </w:rPr>
      </w:pPr>
    </w:p>
    <w:p w14:paraId="498A5F6F"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C7C12A5" w14:textId="77777777" w:rsidR="006051C4" w:rsidRPr="006E2688" w:rsidRDefault="006051C4">
      <w:pPr>
        <w:widowControl w:val="0"/>
        <w:spacing w:line="360" w:lineRule="auto"/>
        <w:jc w:val="both"/>
        <w:rPr>
          <w:rFonts w:ascii="Palatino Linotype" w:eastAsia="Palatino Linotype" w:hAnsi="Palatino Linotype" w:cs="Palatino Linotype"/>
        </w:rPr>
      </w:pPr>
    </w:p>
    <w:p w14:paraId="1EE41E4F"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6E2688">
        <w:rPr>
          <w:rFonts w:ascii="Palatino Linotype" w:eastAsia="Palatino Linotype" w:hAnsi="Palatino Linotype" w:cs="Palatino Linotype"/>
          <w:b/>
          <w:i/>
        </w:rPr>
        <w:t xml:space="preserve">“TÉRMINOS PROCESALES. PARA DETERMINAR SI UN FUNCIONARIO JUDICIAL ACTUÓ INDEBIDAMENTE POR NO RESPETARLOS SE DEBE ATENDER AL </w:t>
      </w:r>
      <w:r w:rsidRPr="006E2688">
        <w:rPr>
          <w:rFonts w:ascii="Palatino Linotype" w:eastAsia="Palatino Linotype" w:hAnsi="Palatino Linotype" w:cs="Palatino Linotype"/>
          <w:b/>
          <w:i/>
        </w:rPr>
        <w:lastRenderedPageBreak/>
        <w:t>PRESUPUESTO QUE CONSIDERÓ EL LEGISLADOR AL FIJARLOS Y LAS CARACTERÍSTICAS DEL CASO.”</w:t>
      </w:r>
      <w:r w:rsidRPr="006E2688">
        <w:rPr>
          <w:rFonts w:ascii="Palatino Linotype" w:eastAsia="Palatino Linotype" w:hAnsi="Palatino Linotype" w:cs="Palatino Linotype"/>
          <w:b/>
        </w:rPr>
        <w:t>,</w:t>
      </w:r>
      <w:r w:rsidRPr="006E2688">
        <w:rPr>
          <w:rFonts w:ascii="Palatino Linotype" w:eastAsia="Palatino Linotype" w:hAnsi="Palatino Linotype" w:cs="Palatino Linotype"/>
        </w:rPr>
        <w:t xml:space="preserve"> visible en la Gaceta del Seminario Judicial de la Federación con el registro digital 205635.</w:t>
      </w:r>
    </w:p>
    <w:p w14:paraId="306B726D" w14:textId="77777777" w:rsidR="006051C4" w:rsidRPr="006E2688" w:rsidRDefault="006051C4">
      <w:pPr>
        <w:widowControl w:val="0"/>
        <w:spacing w:line="360" w:lineRule="auto"/>
        <w:jc w:val="both"/>
        <w:rPr>
          <w:rFonts w:ascii="Palatino Linotype" w:eastAsia="Palatino Linotype" w:hAnsi="Palatino Linotype" w:cs="Palatino Linotype"/>
          <w:b/>
        </w:rPr>
      </w:pPr>
    </w:p>
    <w:p w14:paraId="25117C24"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D441ED" w14:textId="77777777" w:rsidR="006051C4" w:rsidRPr="006E2688" w:rsidRDefault="006051C4">
      <w:pPr>
        <w:widowControl w:val="0"/>
        <w:spacing w:line="360" w:lineRule="auto"/>
        <w:jc w:val="both"/>
        <w:rPr>
          <w:rFonts w:ascii="Palatino Linotype" w:eastAsia="Palatino Linotype" w:hAnsi="Palatino Linotype" w:cs="Palatino Linotype"/>
        </w:rPr>
      </w:pPr>
    </w:p>
    <w:p w14:paraId="2BF1FA90"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7D263B81" w14:textId="77777777" w:rsidR="006051C4" w:rsidRPr="006E2688" w:rsidRDefault="006051C4">
      <w:pPr>
        <w:widowControl w:val="0"/>
        <w:spacing w:line="360" w:lineRule="auto"/>
        <w:jc w:val="both"/>
        <w:rPr>
          <w:rFonts w:ascii="Palatino Linotype" w:eastAsia="Palatino Linotype" w:hAnsi="Palatino Linotype" w:cs="Palatino Linotype"/>
        </w:rPr>
      </w:pPr>
    </w:p>
    <w:p w14:paraId="3EC5B1DC"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i/>
        </w:rPr>
        <w:t>“PLAZO RAZONABLE PARA RESOLVER. DIMENSIÓN Y EFECTOS DE ESTE CONCEPTO CUANDO SE ADUCE EXCESIVA CARGA DE TRABAJO.”</w:t>
      </w:r>
      <w:r w:rsidRPr="006E2688">
        <w:rPr>
          <w:rFonts w:ascii="Palatino Linotype" w:eastAsia="Palatino Linotype" w:hAnsi="Palatino Linotype" w:cs="Palatino Linotype"/>
        </w:rPr>
        <w:t xml:space="preserve"> consultable en el Seminario Judicial de la Federación y su gaceta, con el registro digital 2002351.</w:t>
      </w:r>
    </w:p>
    <w:p w14:paraId="41451146" w14:textId="77777777" w:rsidR="006051C4" w:rsidRPr="006E2688" w:rsidRDefault="006051C4">
      <w:pPr>
        <w:widowControl w:val="0"/>
        <w:spacing w:line="360" w:lineRule="auto"/>
        <w:jc w:val="both"/>
        <w:rPr>
          <w:rFonts w:ascii="Palatino Linotype" w:eastAsia="Palatino Linotype" w:hAnsi="Palatino Linotype" w:cs="Palatino Linotype"/>
        </w:rPr>
      </w:pPr>
    </w:p>
    <w:p w14:paraId="11B487CB"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i/>
        </w:rPr>
        <w:lastRenderedPageBreak/>
        <w:t>“PLAZO RAZONABLE PARA RESOLVER. CONCEPTO Y ELEMENTOS QUE LO INTEGRAN A LA LUZ DEL DERECHO INTERNACIONAL DE LOS DERECHOS HUMANOS.”</w:t>
      </w:r>
      <w:r w:rsidRPr="006E2688">
        <w:rPr>
          <w:rFonts w:ascii="Palatino Linotype" w:eastAsia="Palatino Linotype" w:hAnsi="Palatino Linotype" w:cs="Palatino Linotype"/>
          <w:b/>
        </w:rPr>
        <w:t>,</w:t>
      </w:r>
      <w:r w:rsidRPr="006E2688">
        <w:rPr>
          <w:rFonts w:ascii="Palatino Linotype" w:eastAsia="Palatino Linotype" w:hAnsi="Palatino Linotype" w:cs="Palatino Linotype"/>
        </w:rPr>
        <w:t xml:space="preserve"> visible en el Seminario Judicial de la Federación y su gaceta, con el registro digital 2002350.</w:t>
      </w:r>
    </w:p>
    <w:p w14:paraId="55CA36A9" w14:textId="77777777" w:rsidR="006051C4" w:rsidRPr="006E2688" w:rsidRDefault="006051C4">
      <w:pPr>
        <w:widowControl w:val="0"/>
        <w:spacing w:line="360" w:lineRule="auto"/>
        <w:jc w:val="both"/>
        <w:rPr>
          <w:rFonts w:ascii="Palatino Linotype" w:eastAsia="Palatino Linotype" w:hAnsi="Palatino Linotype" w:cs="Palatino Linotype"/>
        </w:rPr>
      </w:pPr>
    </w:p>
    <w:p w14:paraId="499FC8E9" w14:textId="77777777" w:rsidR="006051C4" w:rsidRPr="006E2688" w:rsidRDefault="006E2688">
      <w:pPr>
        <w:widowControl w:val="0"/>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11EB727B" w14:textId="77777777" w:rsidR="006051C4" w:rsidRPr="006E2688" w:rsidRDefault="006051C4">
      <w:pPr>
        <w:spacing w:line="360" w:lineRule="auto"/>
        <w:jc w:val="both"/>
        <w:rPr>
          <w:rFonts w:ascii="Palatino Linotype" w:eastAsia="Palatino Linotype" w:hAnsi="Palatino Linotype" w:cs="Palatino Linotype"/>
        </w:rPr>
      </w:pPr>
    </w:p>
    <w:p w14:paraId="10939860"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 xml:space="preserve">10. Cierre de instrucción. </w:t>
      </w:r>
      <w:r w:rsidRPr="006E2688">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6E2688">
        <w:rPr>
          <w:rFonts w:ascii="Palatino Linotype" w:eastAsia="Palatino Linotype" w:hAnsi="Palatino Linotype" w:cs="Palatino Linotype"/>
          <w:b/>
        </w:rPr>
        <w:t>veintidós de junio de dos mil veintitrés</w:t>
      </w:r>
      <w:r w:rsidRPr="006E2688">
        <w:rPr>
          <w:rFonts w:ascii="Palatino Linotype" w:eastAsia="Palatino Linotype" w:hAnsi="Palatino Linotype" w:cs="Palatino Linotype"/>
        </w:rPr>
        <w:t xml:space="preserve">, la </w:t>
      </w:r>
      <w:r w:rsidRPr="006E2688">
        <w:rPr>
          <w:rFonts w:ascii="Palatino Linotype" w:eastAsia="Palatino Linotype" w:hAnsi="Palatino Linotype" w:cs="Palatino Linotype"/>
          <w:b/>
        </w:rPr>
        <w:t>Comisionada Ponente</w:t>
      </w:r>
      <w:r w:rsidRPr="006E2688">
        <w:rPr>
          <w:rFonts w:ascii="Palatino Linotype" w:eastAsia="Palatino Linotype" w:hAnsi="Palatino Linotype" w:cs="Palatino Linotype"/>
        </w:rPr>
        <w:t xml:space="preserve"> determinó el cierre de instrucción en términos de la fracción VI del artículo 185 de la Ley de Transparencia y Acceso a la Información Pública del Estado de México y Municipios.</w:t>
      </w:r>
    </w:p>
    <w:p w14:paraId="09495D7D" w14:textId="77777777" w:rsidR="006051C4" w:rsidRPr="006E2688" w:rsidRDefault="006051C4">
      <w:pPr>
        <w:spacing w:line="360" w:lineRule="auto"/>
        <w:jc w:val="both"/>
        <w:rPr>
          <w:rFonts w:ascii="Palatino Linotype" w:eastAsia="Palatino Linotype" w:hAnsi="Palatino Linotype" w:cs="Palatino Linotype"/>
        </w:rPr>
      </w:pPr>
    </w:p>
    <w:p w14:paraId="5E944A3E"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En razón de que fue debidamente sustanciado el expediente electrónico y no existe diligencia pendiente de desahogo, se emite la Resolución que conforme a Derecho proceda.</w:t>
      </w:r>
    </w:p>
    <w:p w14:paraId="79F11173" w14:textId="77777777" w:rsidR="006051C4" w:rsidRPr="006E2688" w:rsidRDefault="006E2688">
      <w:pPr>
        <w:widowControl w:val="0"/>
        <w:numPr>
          <w:ilvl w:val="0"/>
          <w:numId w:val="4"/>
        </w:numPr>
        <w:pBdr>
          <w:top w:val="nil"/>
          <w:left w:val="nil"/>
          <w:bottom w:val="nil"/>
          <w:right w:val="nil"/>
          <w:between w:val="nil"/>
        </w:pBdr>
        <w:spacing w:line="360" w:lineRule="auto"/>
        <w:jc w:val="center"/>
        <w:rPr>
          <w:rFonts w:ascii="Palatino Linotype" w:eastAsia="Palatino Linotype" w:hAnsi="Palatino Linotype" w:cs="Palatino Linotype"/>
          <w:b/>
        </w:rPr>
      </w:pPr>
      <w:r w:rsidRPr="006E2688">
        <w:rPr>
          <w:rFonts w:ascii="Palatino Linotype" w:eastAsia="Palatino Linotype" w:hAnsi="Palatino Linotype" w:cs="Palatino Linotype"/>
          <w:b/>
        </w:rPr>
        <w:t>C O N S I D E R A N D O S:</w:t>
      </w:r>
    </w:p>
    <w:p w14:paraId="30375C51" w14:textId="77777777" w:rsidR="006051C4" w:rsidRPr="006E2688" w:rsidRDefault="006051C4">
      <w:pPr>
        <w:widowControl w:val="0"/>
        <w:pBdr>
          <w:top w:val="nil"/>
          <w:left w:val="nil"/>
          <w:bottom w:val="nil"/>
          <w:right w:val="nil"/>
          <w:between w:val="nil"/>
        </w:pBdr>
        <w:spacing w:line="360" w:lineRule="auto"/>
        <w:ind w:left="1080"/>
        <w:rPr>
          <w:rFonts w:ascii="Palatino Linotype" w:eastAsia="Palatino Linotype" w:hAnsi="Palatino Linotype" w:cs="Palatino Linotype"/>
          <w:b/>
        </w:rPr>
      </w:pPr>
    </w:p>
    <w:p w14:paraId="56DD6CDC"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Primero. Competencia.</w:t>
      </w:r>
      <w:r w:rsidRPr="006E268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6E2688">
        <w:rPr>
          <w:rFonts w:ascii="Palatino Linotype" w:eastAsia="Palatino Linotype" w:hAnsi="Palatino Linotype" w:cs="Palatino Linotype"/>
        </w:rPr>
        <w:lastRenderedPageBreak/>
        <w:t>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7A6212C" w14:textId="77777777" w:rsidR="006051C4" w:rsidRPr="006E2688" w:rsidRDefault="006051C4">
      <w:pPr>
        <w:spacing w:line="360" w:lineRule="auto"/>
        <w:jc w:val="both"/>
        <w:rPr>
          <w:rFonts w:ascii="Palatino Linotype" w:eastAsia="Palatino Linotype" w:hAnsi="Palatino Linotype" w:cs="Palatino Linotype"/>
          <w:b/>
        </w:rPr>
      </w:pPr>
      <w:bookmarkStart w:id="3" w:name="_heading=h.tyjcwt" w:colFirst="0" w:colLast="0"/>
      <w:bookmarkEnd w:id="3"/>
    </w:p>
    <w:p w14:paraId="0B534205"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Segundo. Oportunidad Y Procedibilidad Del Recurso De Revisión.</w:t>
      </w:r>
      <w:r w:rsidRPr="006E2688">
        <w:rPr>
          <w:rFonts w:ascii="Palatino Linotype" w:eastAsia="Palatino Linotype" w:hAnsi="Palatino Linotype" w:cs="Palatino Linotype"/>
        </w:rPr>
        <w:t xml:space="preserve">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41873AA" w14:textId="77777777" w:rsidR="006051C4" w:rsidRPr="006E2688" w:rsidRDefault="006051C4">
      <w:pPr>
        <w:spacing w:line="360" w:lineRule="auto"/>
        <w:jc w:val="both"/>
        <w:rPr>
          <w:rFonts w:ascii="Palatino Linotype" w:eastAsia="Palatino Linotype" w:hAnsi="Palatino Linotype" w:cs="Palatino Linotype"/>
        </w:rPr>
      </w:pPr>
    </w:p>
    <w:p w14:paraId="0919FCEE" w14:textId="77777777" w:rsidR="006051C4" w:rsidRPr="006E2688" w:rsidRDefault="006E2688">
      <w:pPr>
        <w:spacing w:line="360" w:lineRule="auto"/>
        <w:jc w:val="both"/>
        <w:rPr>
          <w:rFonts w:ascii="Palatino Linotype" w:eastAsia="Palatino Linotype" w:hAnsi="Palatino Linotype" w:cs="Palatino Linotype"/>
        </w:rPr>
      </w:pPr>
      <w:bookmarkStart w:id="4" w:name="_heading=h.3znysh7" w:colFirst="0" w:colLast="0"/>
      <w:bookmarkEnd w:id="4"/>
      <w:r w:rsidRPr="006E2688">
        <w:rPr>
          <w:rFonts w:ascii="Palatino Linotype" w:eastAsia="Palatino Linotype" w:hAnsi="Palatino Linotype" w:cs="Palatino Linotype"/>
        </w:rPr>
        <w:t>El recurso de revisión fue interpuesto dentro del plazo de quince días hábiles, previsto en el artículo 178 de la Ley de Transparencia y Acceso a la Información Pública del Estado de México y Municipios, toda vez que el</w:t>
      </w:r>
      <w:r w:rsidRPr="006E2688">
        <w:rPr>
          <w:rFonts w:ascii="Palatino Linotype" w:eastAsia="Palatino Linotype" w:hAnsi="Palatino Linotype" w:cs="Palatino Linotype"/>
          <w:b/>
        </w:rPr>
        <w:t xml:space="preserve"> Sujeto Obligado </w:t>
      </w:r>
      <w:r w:rsidRPr="006E2688">
        <w:rPr>
          <w:rFonts w:ascii="Palatino Linotype" w:eastAsia="Palatino Linotype" w:hAnsi="Palatino Linotype" w:cs="Palatino Linotype"/>
        </w:rPr>
        <w:t xml:space="preserve">remitió la respuesta a la solicitud de información el día </w:t>
      </w:r>
      <w:r w:rsidRPr="006E2688">
        <w:rPr>
          <w:rFonts w:ascii="Palatino Linotype" w:eastAsia="Palatino Linotype" w:hAnsi="Palatino Linotype" w:cs="Palatino Linotype"/>
          <w:b/>
        </w:rPr>
        <w:t xml:space="preserve">veinte de diciembre de dos mil veintidós, </w:t>
      </w:r>
      <w:r w:rsidRPr="006E2688">
        <w:rPr>
          <w:rFonts w:ascii="Palatino Linotype" w:eastAsia="Palatino Linotype" w:hAnsi="Palatino Linotype" w:cs="Palatino Linotype"/>
        </w:rPr>
        <w:t>mientras que el recurso de revisión interpuesto por la parte</w:t>
      </w:r>
      <w:r w:rsidRPr="006E2688">
        <w:rPr>
          <w:rFonts w:ascii="Palatino Linotype" w:eastAsia="Palatino Linotype" w:hAnsi="Palatino Linotype" w:cs="Palatino Linotype"/>
          <w:b/>
        </w:rPr>
        <w:t xml:space="preserve"> Recurrente </w:t>
      </w:r>
      <w:r w:rsidRPr="006E2688">
        <w:rPr>
          <w:rFonts w:ascii="Palatino Linotype" w:eastAsia="Palatino Linotype" w:hAnsi="Palatino Linotype" w:cs="Palatino Linotype"/>
        </w:rPr>
        <w:t xml:space="preserve">se tuvo por presentado el día </w:t>
      </w:r>
      <w:r w:rsidRPr="006E2688">
        <w:rPr>
          <w:rFonts w:ascii="Palatino Linotype" w:eastAsia="Palatino Linotype" w:hAnsi="Palatino Linotype" w:cs="Palatino Linotype"/>
          <w:b/>
        </w:rPr>
        <w:t>nueve de enero de dos mil veintitrés,</w:t>
      </w:r>
      <w:r w:rsidRPr="006E2688">
        <w:rPr>
          <w:rFonts w:ascii="Palatino Linotype" w:eastAsia="Palatino Linotype" w:hAnsi="Palatino Linotype" w:cs="Palatino Linotype"/>
        </w:rPr>
        <w:t xml:space="preserve"> por lo que se concluye que el presente recurso de revisión se encuentra dentro de los márgenes temporales previstos las disposiciones legales referidas, en virtud de que la segunda garantía del Derecho al Acceso a la Información Pública en el Estado de México se </w:t>
      </w:r>
      <w:r w:rsidRPr="006E2688">
        <w:rPr>
          <w:rFonts w:ascii="Palatino Linotype" w:eastAsia="Palatino Linotype" w:hAnsi="Palatino Linotype" w:cs="Palatino Linotype"/>
        </w:rPr>
        <w:lastRenderedPageBreak/>
        <w:t xml:space="preserve">interpuso al segundo día de los quince días hábiles que la Ley de Transparencia da como plazo a la ciudadanía para acceder a este medio de defensa. </w:t>
      </w:r>
    </w:p>
    <w:p w14:paraId="4508E478" w14:textId="77777777" w:rsidR="006051C4" w:rsidRPr="006E2688" w:rsidRDefault="006051C4">
      <w:pPr>
        <w:spacing w:line="360" w:lineRule="auto"/>
        <w:jc w:val="both"/>
        <w:rPr>
          <w:rFonts w:ascii="Palatino Linotype" w:eastAsia="Palatino Linotype" w:hAnsi="Palatino Linotype" w:cs="Palatino Linotype"/>
        </w:rPr>
      </w:pPr>
    </w:p>
    <w:p w14:paraId="0131974E"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686384A" w14:textId="77777777" w:rsidR="006051C4" w:rsidRPr="006E2688" w:rsidRDefault="006051C4">
      <w:pPr>
        <w:spacing w:line="360" w:lineRule="auto"/>
        <w:jc w:val="both"/>
        <w:rPr>
          <w:rFonts w:ascii="Palatino Linotype" w:eastAsia="Palatino Linotype" w:hAnsi="Palatino Linotype" w:cs="Palatino Linotype"/>
        </w:rPr>
      </w:pPr>
    </w:p>
    <w:p w14:paraId="462A6E7D"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Finalmente, se advierte que resulta procedente la interposición del recurso, según lo manifestado por la parte</w:t>
      </w:r>
      <w:r w:rsidRPr="006E2688">
        <w:rPr>
          <w:rFonts w:ascii="Palatino Linotype" w:eastAsia="Palatino Linotype" w:hAnsi="Palatino Linotype" w:cs="Palatino Linotype"/>
          <w:b/>
        </w:rPr>
        <w:t xml:space="preserve"> Recurrente</w:t>
      </w:r>
      <w:r w:rsidRPr="006E2688">
        <w:rPr>
          <w:rFonts w:ascii="Palatino Linotype" w:eastAsia="Palatino Linotype" w:hAnsi="Palatino Linotype" w:cs="Palatino Linotype"/>
        </w:rPr>
        <w:t xml:space="preserve"> en sus motivos de inconformidad, de acuerdo al artículo 179 fracción I del ordenamiento legal citado, que a la letra dice: </w:t>
      </w:r>
    </w:p>
    <w:p w14:paraId="64DD7D29" w14:textId="77777777" w:rsidR="006051C4" w:rsidRPr="006E2688" w:rsidRDefault="006051C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2017803D" w14:textId="77777777" w:rsidR="006051C4" w:rsidRPr="006E2688" w:rsidRDefault="006E268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Artículo 179. El recurso de revisión es un medio de protección que la Ley otorga a los particulares, para hacer valer su derecho de acceso a la información pública, y procederá en contra de las siguientes causas:</w:t>
      </w:r>
    </w:p>
    <w:p w14:paraId="409F5EAE" w14:textId="77777777" w:rsidR="006051C4" w:rsidRPr="006E2688" w:rsidRDefault="006E268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3D000DBB" w14:textId="77777777" w:rsidR="006051C4" w:rsidRPr="006E2688" w:rsidRDefault="006E2688">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6E2688">
        <w:rPr>
          <w:rFonts w:ascii="Palatino Linotype" w:eastAsia="Palatino Linotype" w:hAnsi="Palatino Linotype" w:cs="Palatino Linotype"/>
          <w:b/>
          <w:i/>
          <w:sz w:val="22"/>
          <w:szCs w:val="22"/>
        </w:rPr>
        <w:t>V. La entrega de información incompleta;</w:t>
      </w:r>
    </w:p>
    <w:p w14:paraId="461B9494" w14:textId="77777777" w:rsidR="006051C4" w:rsidRPr="006E2688" w:rsidRDefault="006E2688">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2B1FBCD8" w14:textId="77777777" w:rsidR="006051C4" w:rsidRPr="006E2688" w:rsidRDefault="006051C4">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14:paraId="7B9C8474" w14:textId="77777777" w:rsidR="006051C4" w:rsidRPr="006E2688" w:rsidRDefault="006E2688">
      <w:pPr>
        <w:spacing w:line="360" w:lineRule="auto"/>
        <w:jc w:val="both"/>
        <w:rPr>
          <w:rFonts w:ascii="Palatino Linotype" w:eastAsia="Palatino Linotype" w:hAnsi="Palatino Linotype" w:cs="Palatino Linotype"/>
        </w:rPr>
      </w:pPr>
      <w:bookmarkStart w:id="5" w:name="_heading=h.2et92p0" w:colFirst="0" w:colLast="0"/>
      <w:bookmarkEnd w:id="5"/>
      <w:r w:rsidRPr="006E2688">
        <w:rPr>
          <w:rFonts w:ascii="Palatino Linotype" w:eastAsia="Palatino Linotype" w:hAnsi="Palatino Linotype" w:cs="Palatino Linotype"/>
          <w:b/>
        </w:rPr>
        <w:t xml:space="preserve">Tercero. Materia De La Revisión. </w:t>
      </w:r>
      <w:r w:rsidRPr="006E2688">
        <w:rPr>
          <w:rFonts w:ascii="Palatino Linotype" w:eastAsia="Palatino Linotype" w:hAnsi="Palatino Linotype" w:cs="Palatino Linotype"/>
        </w:rPr>
        <w:t>De la revisión a las constancias y documentos que obran en el expediente electrónico se advierte, que el tema sobre el que este Órgano Garante se pronunciará será: verificar si la respuesta otorgada por</w:t>
      </w:r>
      <w:r w:rsidRPr="006E2688">
        <w:rPr>
          <w:rFonts w:ascii="Palatino Linotype" w:eastAsia="Palatino Linotype" w:hAnsi="Palatino Linotype" w:cs="Palatino Linotype"/>
          <w:b/>
        </w:rPr>
        <w:t xml:space="preserve"> el Sujeto Obligado </w:t>
      </w:r>
      <w:r w:rsidRPr="006E2688">
        <w:rPr>
          <w:rFonts w:ascii="Palatino Linotype" w:eastAsia="Palatino Linotype" w:hAnsi="Palatino Linotype" w:cs="Palatino Linotype"/>
        </w:rPr>
        <w:t>es adecuada y suficiente para satisfacer el derecho de acceso a la información pública</w:t>
      </w:r>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 xml:space="preserve">de la parte </w:t>
      </w:r>
      <w:r w:rsidRPr="006E2688">
        <w:rPr>
          <w:rFonts w:ascii="Palatino Linotype" w:eastAsia="Palatino Linotype" w:hAnsi="Palatino Linotype" w:cs="Palatino Linotype"/>
          <w:b/>
        </w:rPr>
        <w:t>Recurrente</w:t>
      </w:r>
      <w:r w:rsidRPr="006E2688">
        <w:rPr>
          <w:rFonts w:ascii="Palatino Linotype" w:eastAsia="Palatino Linotype" w:hAnsi="Palatino Linotype" w:cs="Palatino Linotype"/>
        </w:rPr>
        <w:t>, o en su defecto, en caso de ser procedente, ordenar la entrega de información oportuna.</w:t>
      </w:r>
    </w:p>
    <w:p w14:paraId="3E925C1D" w14:textId="77777777" w:rsidR="006051C4" w:rsidRPr="006E2688" w:rsidRDefault="006051C4">
      <w:pPr>
        <w:spacing w:line="360" w:lineRule="auto"/>
        <w:ind w:right="51"/>
        <w:jc w:val="both"/>
        <w:rPr>
          <w:rFonts w:ascii="Palatino Linotype" w:eastAsia="Palatino Linotype" w:hAnsi="Palatino Linotype" w:cs="Palatino Linotype"/>
          <w:b/>
        </w:rPr>
      </w:pPr>
    </w:p>
    <w:p w14:paraId="0FE495B0" w14:textId="77777777" w:rsidR="006051C4" w:rsidRPr="006E2688" w:rsidRDefault="006E2688">
      <w:pPr>
        <w:spacing w:line="360" w:lineRule="auto"/>
        <w:ind w:right="51"/>
        <w:jc w:val="both"/>
        <w:rPr>
          <w:rFonts w:ascii="Palatino Linotype" w:eastAsia="Palatino Linotype" w:hAnsi="Palatino Linotype" w:cs="Palatino Linotype"/>
          <w:b/>
        </w:rPr>
      </w:pPr>
      <w:r w:rsidRPr="006E2688">
        <w:rPr>
          <w:rFonts w:ascii="Palatino Linotype" w:eastAsia="Palatino Linotype" w:hAnsi="Palatino Linotype" w:cs="Palatino Linotype"/>
          <w:b/>
        </w:rPr>
        <w:lastRenderedPageBreak/>
        <w:t xml:space="preserve">Cuarto. Estudio del asunto. </w:t>
      </w:r>
      <w:r w:rsidRPr="006E2688">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F4F298C" w14:textId="77777777" w:rsidR="006051C4" w:rsidRPr="006E2688" w:rsidRDefault="006051C4">
      <w:pPr>
        <w:tabs>
          <w:tab w:val="left" w:pos="709"/>
        </w:tabs>
        <w:ind w:left="851" w:right="616"/>
        <w:jc w:val="both"/>
        <w:rPr>
          <w:rFonts w:ascii="Palatino Linotype" w:eastAsia="Palatino Linotype" w:hAnsi="Palatino Linotype" w:cs="Palatino Linotype"/>
          <w:b/>
          <w:i/>
          <w:sz w:val="22"/>
          <w:szCs w:val="22"/>
          <w:u w:val="single"/>
        </w:rPr>
      </w:pPr>
    </w:p>
    <w:p w14:paraId="2AF9CAEF" w14:textId="77777777" w:rsidR="006051C4" w:rsidRPr="006E2688" w:rsidRDefault="006E2688">
      <w:pPr>
        <w:tabs>
          <w:tab w:val="left" w:pos="709"/>
        </w:tabs>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E268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BEAFBF4" w14:textId="77777777" w:rsidR="006051C4" w:rsidRPr="006E2688" w:rsidRDefault="006E2688">
      <w:pPr>
        <w:tabs>
          <w:tab w:val="left" w:pos="709"/>
        </w:tabs>
        <w:ind w:left="851" w:right="616"/>
        <w:jc w:val="both"/>
        <w:rPr>
          <w:rFonts w:ascii="Palatino Linotype" w:eastAsia="Palatino Linotype" w:hAnsi="Palatino Linotype" w:cs="Palatino Linotype"/>
          <w:b/>
          <w:i/>
          <w:sz w:val="22"/>
          <w:szCs w:val="22"/>
        </w:rPr>
      </w:pPr>
      <w:r w:rsidRPr="006E268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10D0A446" w14:textId="77777777" w:rsidR="006051C4" w:rsidRPr="006E2688" w:rsidRDefault="006E2688">
      <w:pPr>
        <w:tabs>
          <w:tab w:val="left" w:pos="709"/>
        </w:tabs>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E268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F3AC2BC" w14:textId="77777777" w:rsidR="006051C4" w:rsidRPr="006E2688" w:rsidRDefault="006E2688">
      <w:pPr>
        <w:tabs>
          <w:tab w:val="left" w:pos="709"/>
        </w:tabs>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7C4D6DB3" w14:textId="77777777" w:rsidR="006051C4" w:rsidRPr="006E2688" w:rsidRDefault="006051C4">
      <w:pPr>
        <w:ind w:left="851" w:right="616"/>
        <w:jc w:val="both"/>
        <w:rPr>
          <w:rFonts w:ascii="Palatino Linotype" w:eastAsia="Palatino Linotype" w:hAnsi="Palatino Linotype" w:cs="Palatino Linotype"/>
          <w:b/>
          <w:i/>
          <w:sz w:val="22"/>
          <w:szCs w:val="22"/>
        </w:rPr>
      </w:pPr>
    </w:p>
    <w:p w14:paraId="41767033"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Artículo 6o.</w:t>
      </w:r>
    </w:p>
    <w:p w14:paraId="77BB3E40"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65500267"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A. Para el ejercicio del derecho de acceso a la información, la Federación y </w:t>
      </w:r>
      <w:r w:rsidRPr="006E2688">
        <w:rPr>
          <w:rFonts w:ascii="Palatino Linotype" w:eastAsia="Palatino Linotype" w:hAnsi="Palatino Linotype" w:cs="Palatino Linotype"/>
          <w:b/>
          <w:i/>
          <w:sz w:val="22"/>
          <w:szCs w:val="22"/>
          <w:u w:val="single"/>
        </w:rPr>
        <w:t>las entidades federativas</w:t>
      </w:r>
      <w:r w:rsidRPr="006E2688">
        <w:rPr>
          <w:rFonts w:ascii="Palatino Linotype" w:eastAsia="Palatino Linotype" w:hAnsi="Palatino Linotype" w:cs="Palatino Linotype"/>
          <w:b/>
          <w:i/>
          <w:sz w:val="22"/>
          <w:szCs w:val="22"/>
        </w:rPr>
        <w:t>,</w:t>
      </w:r>
      <w:r w:rsidRPr="006E2688">
        <w:rPr>
          <w:rFonts w:ascii="Palatino Linotype" w:eastAsia="Palatino Linotype" w:hAnsi="Palatino Linotype" w:cs="Palatino Linotype"/>
          <w:i/>
          <w:sz w:val="22"/>
          <w:szCs w:val="22"/>
        </w:rPr>
        <w:t xml:space="preserve"> en el ámbito de sus respectivas competencias, se regirán por los siguientes principios y bases:</w:t>
      </w:r>
    </w:p>
    <w:p w14:paraId="49790BA6"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I. </w:t>
      </w:r>
      <w:r w:rsidRPr="006E268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E2688">
        <w:rPr>
          <w:rFonts w:ascii="Palatino Linotype" w:eastAsia="Palatino Linotype" w:hAnsi="Palatino Linotype" w:cs="Palatino Linotype"/>
          <w:i/>
          <w:sz w:val="22"/>
          <w:szCs w:val="22"/>
        </w:rPr>
        <w:t xml:space="preserve"> Ejecutivo, Legislativo </w:t>
      </w:r>
      <w:r w:rsidRPr="006E2688">
        <w:rPr>
          <w:rFonts w:ascii="Palatino Linotype" w:eastAsia="Palatino Linotype" w:hAnsi="Palatino Linotype" w:cs="Palatino Linotype"/>
          <w:b/>
          <w:i/>
          <w:sz w:val="22"/>
          <w:szCs w:val="22"/>
          <w:u w:val="single"/>
        </w:rPr>
        <w:t>y Judicial</w:t>
      </w:r>
      <w:r w:rsidRPr="006E268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6E2688">
        <w:rPr>
          <w:rFonts w:ascii="Palatino Linotype" w:eastAsia="Palatino Linotype" w:hAnsi="Palatino Linotype" w:cs="Palatino Linotype"/>
          <w:b/>
          <w:i/>
          <w:sz w:val="22"/>
          <w:szCs w:val="22"/>
        </w:rPr>
        <w:t xml:space="preserve">es pública y sólo podrá ser </w:t>
      </w:r>
      <w:r w:rsidRPr="006E2688">
        <w:rPr>
          <w:rFonts w:ascii="Palatino Linotype" w:eastAsia="Palatino Linotype" w:hAnsi="Palatino Linotype" w:cs="Palatino Linotype"/>
          <w:b/>
          <w:i/>
          <w:sz w:val="22"/>
          <w:szCs w:val="22"/>
        </w:rPr>
        <w:lastRenderedPageBreak/>
        <w:t>reservada temporalmente por razones de interés público y seguridad nacional,</w:t>
      </w:r>
      <w:r w:rsidRPr="006E268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3C0BE2A"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w:t>
      </w:r>
    </w:p>
    <w:p w14:paraId="544C2973" w14:textId="77777777" w:rsidR="006051C4" w:rsidRPr="006E2688" w:rsidRDefault="006E2688">
      <w:pPr>
        <w:ind w:left="851" w:right="616"/>
        <w:jc w:val="both"/>
        <w:rPr>
          <w:rFonts w:ascii="Palatino Linotype" w:eastAsia="Palatino Linotype" w:hAnsi="Palatino Linotype" w:cs="Palatino Linotype"/>
          <w:b/>
          <w:i/>
          <w:sz w:val="22"/>
          <w:szCs w:val="22"/>
        </w:rPr>
      </w:pPr>
      <w:r w:rsidRPr="006E268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08DEF29A"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w:t>
      </w:r>
    </w:p>
    <w:p w14:paraId="6C0DBEE8"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III. </w:t>
      </w:r>
      <w:r w:rsidRPr="006E268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E2688">
        <w:rPr>
          <w:rFonts w:ascii="Palatino Linotype" w:eastAsia="Palatino Linotype" w:hAnsi="Palatino Linotype" w:cs="Palatino Linotype"/>
          <w:i/>
          <w:sz w:val="22"/>
          <w:szCs w:val="22"/>
        </w:rPr>
        <w:t xml:space="preserve"> a sus datos personales o a la rectificación de éstos.</w:t>
      </w:r>
    </w:p>
    <w:p w14:paraId="6661B6A0"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w:t>
      </w:r>
    </w:p>
    <w:p w14:paraId="4DA80B24"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IV. </w:t>
      </w:r>
      <w:r w:rsidRPr="006E268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2C036F3" w14:textId="77777777" w:rsidR="006051C4" w:rsidRPr="006E2688" w:rsidRDefault="006051C4">
      <w:pPr>
        <w:ind w:left="851" w:right="616"/>
        <w:jc w:val="both"/>
        <w:rPr>
          <w:rFonts w:ascii="Palatino Linotype" w:eastAsia="Palatino Linotype" w:hAnsi="Palatino Linotype" w:cs="Palatino Linotype"/>
          <w:i/>
          <w:sz w:val="22"/>
          <w:szCs w:val="22"/>
        </w:rPr>
      </w:pPr>
    </w:p>
    <w:p w14:paraId="6308DE12"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V. </w:t>
      </w:r>
      <w:r w:rsidRPr="006E268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63C318D"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w:t>
      </w:r>
    </w:p>
    <w:p w14:paraId="2E45E656"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VI. </w:t>
      </w:r>
      <w:r w:rsidRPr="006E268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4AA22B3D"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w:t>
      </w:r>
    </w:p>
    <w:p w14:paraId="4A618D44"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VII. </w:t>
      </w:r>
      <w:r w:rsidRPr="006E2688">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14:paraId="1B7535D5"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 </w:t>
      </w:r>
    </w:p>
    <w:p w14:paraId="7A9EF4D5" w14:textId="77777777" w:rsidR="006051C4" w:rsidRPr="006E2688" w:rsidRDefault="006E2688">
      <w:pPr>
        <w:ind w:left="851" w:right="616"/>
        <w:jc w:val="both"/>
        <w:rPr>
          <w:rFonts w:ascii="Palatino Linotype" w:eastAsia="Palatino Linotype" w:hAnsi="Palatino Linotype" w:cs="Palatino Linotype"/>
          <w:b/>
          <w:i/>
          <w:sz w:val="22"/>
          <w:szCs w:val="22"/>
        </w:rPr>
      </w:pPr>
      <w:r w:rsidRPr="006E2688">
        <w:rPr>
          <w:rFonts w:ascii="Palatino Linotype" w:eastAsia="Palatino Linotype" w:hAnsi="Palatino Linotype" w:cs="Palatino Linotype"/>
          <w:b/>
          <w:i/>
          <w:sz w:val="22"/>
          <w:szCs w:val="22"/>
        </w:rPr>
        <w:t xml:space="preserve">Énfasis añadido </w:t>
      </w:r>
    </w:p>
    <w:p w14:paraId="3F238205" w14:textId="77777777" w:rsidR="006051C4" w:rsidRPr="006E2688" w:rsidRDefault="006051C4">
      <w:pPr>
        <w:tabs>
          <w:tab w:val="left" w:pos="709"/>
        </w:tabs>
        <w:spacing w:line="360" w:lineRule="auto"/>
        <w:jc w:val="both"/>
        <w:rPr>
          <w:rFonts w:ascii="Palatino Linotype" w:eastAsia="Palatino Linotype" w:hAnsi="Palatino Linotype" w:cs="Palatino Linotype"/>
        </w:rPr>
      </w:pPr>
    </w:p>
    <w:p w14:paraId="503FD05C" w14:textId="77777777" w:rsidR="006051C4" w:rsidRPr="006E2688" w:rsidRDefault="006E2688">
      <w:pPr>
        <w:tabs>
          <w:tab w:val="left" w:pos="709"/>
        </w:tabs>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w:t>
      </w:r>
      <w:r w:rsidRPr="006E2688">
        <w:rPr>
          <w:rFonts w:ascii="Palatino Linotype" w:eastAsia="Palatino Linotype" w:hAnsi="Palatino Linotype" w:cs="Palatino Linotype"/>
        </w:rPr>
        <w:lastRenderedPageBreak/>
        <w:t>que reciba y ejerza recursos públicos, siendo pública toda la información que posean con las excepciones enmarcadas, para lo cual queda demostrado que el presente sujeto obligado debe cumplir con dichos dispositivos legales.</w:t>
      </w:r>
    </w:p>
    <w:p w14:paraId="3B292B65" w14:textId="77777777" w:rsidR="006051C4" w:rsidRPr="006E2688" w:rsidRDefault="006051C4">
      <w:pPr>
        <w:tabs>
          <w:tab w:val="left" w:pos="709"/>
        </w:tabs>
        <w:spacing w:line="360" w:lineRule="auto"/>
        <w:jc w:val="both"/>
        <w:rPr>
          <w:rFonts w:ascii="Palatino Linotype" w:eastAsia="Palatino Linotype" w:hAnsi="Palatino Linotype" w:cs="Palatino Linotype"/>
        </w:rPr>
      </w:pPr>
    </w:p>
    <w:p w14:paraId="35729098"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En primer lugar, es conveniente analizar si la respuesta del </w:t>
      </w:r>
      <w:r w:rsidRPr="006E2688">
        <w:rPr>
          <w:rFonts w:ascii="Palatino Linotype" w:eastAsia="Palatino Linotype" w:hAnsi="Palatino Linotype" w:cs="Palatino Linotype"/>
          <w:b/>
        </w:rPr>
        <w:t>Sujeto Obligado</w:t>
      </w:r>
      <w:r w:rsidRPr="006E2688">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721D4F7" w14:textId="77777777" w:rsidR="006051C4" w:rsidRPr="006E2688" w:rsidRDefault="006051C4">
      <w:pPr>
        <w:spacing w:line="360" w:lineRule="auto"/>
        <w:jc w:val="both"/>
        <w:rPr>
          <w:rFonts w:ascii="Palatino Linotype" w:eastAsia="Palatino Linotype" w:hAnsi="Palatino Linotype" w:cs="Palatino Linotype"/>
        </w:rPr>
      </w:pPr>
    </w:p>
    <w:p w14:paraId="37F3AE9E"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Artículo 4.</w:t>
      </w:r>
      <w:r w:rsidRPr="006E2688">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A7EC7A8"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E2688">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0CBE2CDC"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E2688">
        <w:rPr>
          <w:rFonts w:ascii="Palatino Linotype" w:eastAsia="Palatino Linotype" w:hAnsi="Palatino Linotype" w:cs="Palatino Linotype"/>
          <w:i/>
          <w:sz w:val="22"/>
          <w:szCs w:val="22"/>
        </w:rPr>
        <w:t>.</w:t>
      </w:r>
    </w:p>
    <w:p w14:paraId="76CBA991"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Énfasis añadido </w:t>
      </w:r>
    </w:p>
    <w:p w14:paraId="7E3521F9" w14:textId="77777777" w:rsidR="006051C4" w:rsidRPr="006E2688" w:rsidRDefault="006051C4">
      <w:pPr>
        <w:ind w:left="851" w:right="760"/>
        <w:jc w:val="both"/>
        <w:rPr>
          <w:rFonts w:ascii="Palatino Linotype" w:eastAsia="Palatino Linotype" w:hAnsi="Palatino Linotype" w:cs="Palatino Linotype"/>
          <w:i/>
        </w:rPr>
      </w:pPr>
    </w:p>
    <w:p w14:paraId="576548DD"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lastRenderedPageBreak/>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63A9266B" w14:textId="77777777" w:rsidR="006051C4" w:rsidRPr="006E2688" w:rsidRDefault="006051C4">
      <w:pPr>
        <w:ind w:left="851" w:right="616"/>
        <w:jc w:val="both"/>
        <w:rPr>
          <w:rFonts w:ascii="Palatino Linotype" w:eastAsia="Palatino Linotype" w:hAnsi="Palatino Linotype" w:cs="Palatino Linotype"/>
          <w:b/>
          <w:i/>
          <w:sz w:val="22"/>
          <w:szCs w:val="22"/>
        </w:rPr>
      </w:pPr>
    </w:p>
    <w:p w14:paraId="6B33B26E"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Artículo 12.-</w:t>
      </w:r>
      <w:r w:rsidRPr="006E2688">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395124D1"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E2688">
        <w:rPr>
          <w:rFonts w:ascii="Palatino Linotype" w:eastAsia="Palatino Linotype" w:hAnsi="Palatino Linotype" w:cs="Palatino Linotype"/>
          <w:i/>
          <w:sz w:val="22"/>
          <w:szCs w:val="22"/>
        </w:rPr>
        <w:t xml:space="preserve">. </w:t>
      </w:r>
      <w:r w:rsidRPr="006E2688">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78FE2D54" w14:textId="77777777" w:rsidR="006051C4" w:rsidRPr="006E2688" w:rsidRDefault="006E2688">
      <w:pPr>
        <w:ind w:left="851" w:right="616"/>
        <w:jc w:val="both"/>
        <w:rPr>
          <w:rFonts w:ascii="Palatino Linotype" w:eastAsia="Palatino Linotype" w:hAnsi="Palatino Linotype" w:cs="Palatino Linotype"/>
          <w:b/>
          <w:i/>
          <w:sz w:val="22"/>
          <w:szCs w:val="22"/>
        </w:rPr>
      </w:pPr>
      <w:r w:rsidRPr="006E2688">
        <w:rPr>
          <w:rFonts w:ascii="Palatino Linotype" w:eastAsia="Palatino Linotype" w:hAnsi="Palatino Linotype" w:cs="Palatino Linotype"/>
          <w:b/>
          <w:i/>
          <w:sz w:val="22"/>
          <w:szCs w:val="22"/>
        </w:rPr>
        <w:t xml:space="preserve">Énfasis añadido </w:t>
      </w:r>
    </w:p>
    <w:p w14:paraId="4A1DF3B0" w14:textId="77777777" w:rsidR="006051C4" w:rsidRPr="006E2688" w:rsidRDefault="006051C4">
      <w:pPr>
        <w:spacing w:line="360" w:lineRule="auto"/>
        <w:ind w:right="-93"/>
        <w:jc w:val="both"/>
        <w:rPr>
          <w:rFonts w:ascii="Palatino Linotype" w:eastAsia="Palatino Linotype" w:hAnsi="Palatino Linotype" w:cs="Palatino Linotype"/>
        </w:rPr>
      </w:pPr>
    </w:p>
    <w:p w14:paraId="7A1A90A8"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w:t>
      </w:r>
    </w:p>
    <w:p w14:paraId="682C888C" w14:textId="77777777" w:rsidR="006051C4" w:rsidRPr="006E2688" w:rsidRDefault="006051C4">
      <w:pPr>
        <w:spacing w:line="360" w:lineRule="auto"/>
        <w:jc w:val="both"/>
        <w:rPr>
          <w:rFonts w:ascii="Palatino Linotype" w:eastAsia="Palatino Linotype" w:hAnsi="Palatino Linotype" w:cs="Palatino Linotype"/>
        </w:rPr>
      </w:pPr>
    </w:p>
    <w:p w14:paraId="0F7F4518" w14:textId="77777777" w:rsidR="006051C4" w:rsidRPr="006E2688" w:rsidRDefault="006E2688">
      <w:pPr>
        <w:spacing w:line="360" w:lineRule="auto"/>
        <w:ind w:right="49"/>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Siempre y cuando no se trate de información reservada o clasificada, que difundirla pondría en riesgo la seguridad jurídica y física del titular de la información, debiendo tener audacia los Sujetos Obligados para cuidar esta información a través </w:t>
      </w:r>
      <w:r w:rsidRPr="006E2688">
        <w:rPr>
          <w:rFonts w:ascii="Palatino Linotype" w:eastAsia="Palatino Linotype" w:hAnsi="Palatino Linotype" w:cs="Palatino Linotype"/>
        </w:rPr>
        <w:lastRenderedPageBreak/>
        <w:t>del acuerdo clasificatorio del Comité de Transparencia y la versión pública que emita la Persona Servidora Público Habilitada de cada Sujeto Obligado; como así se establece en la Ley de Transparencia y Acceso a la Información Pública del Estado de México y Municipios.</w:t>
      </w:r>
    </w:p>
    <w:p w14:paraId="208A6238" w14:textId="77777777" w:rsidR="006051C4" w:rsidRPr="006E2688" w:rsidRDefault="006051C4">
      <w:pPr>
        <w:spacing w:line="360" w:lineRule="auto"/>
        <w:ind w:right="49"/>
        <w:jc w:val="both"/>
        <w:rPr>
          <w:rFonts w:ascii="Palatino Linotype" w:eastAsia="Palatino Linotype" w:hAnsi="Palatino Linotype" w:cs="Palatino Linotype"/>
        </w:rPr>
      </w:pPr>
    </w:p>
    <w:p w14:paraId="77E6B02B"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Por otra parte, conviene mencionar que la Ley de Transparencia vigente en el Estado de México refiere: </w:t>
      </w:r>
    </w:p>
    <w:p w14:paraId="680159CE" w14:textId="77777777" w:rsidR="006051C4" w:rsidRPr="006E2688" w:rsidRDefault="006051C4">
      <w:pPr>
        <w:ind w:left="851" w:right="616"/>
        <w:jc w:val="both"/>
        <w:rPr>
          <w:rFonts w:ascii="Palatino Linotype" w:eastAsia="Palatino Linotype" w:hAnsi="Palatino Linotype" w:cs="Palatino Linotype"/>
          <w:b/>
          <w:i/>
          <w:sz w:val="22"/>
          <w:szCs w:val="22"/>
        </w:rPr>
      </w:pPr>
    </w:p>
    <w:p w14:paraId="16DF1B2A"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Artículo 18.</w:t>
      </w:r>
      <w:r w:rsidRPr="006E2688">
        <w:rPr>
          <w:rFonts w:ascii="Palatino Linotype" w:eastAsia="Palatino Linotype" w:hAnsi="Palatino Linotype" w:cs="Palatino Linotype"/>
          <w:i/>
          <w:sz w:val="22"/>
          <w:szCs w:val="22"/>
        </w:rPr>
        <w:t xml:space="preserve"> </w:t>
      </w:r>
      <w:r w:rsidRPr="006E2688">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sidRPr="006E2688">
        <w:rPr>
          <w:rFonts w:ascii="Palatino Linotype" w:eastAsia="Palatino Linotype" w:hAnsi="Palatino Linotype" w:cs="Palatino Linotype"/>
          <w:i/>
          <w:sz w:val="22"/>
          <w:szCs w:val="22"/>
        </w:rPr>
        <w:t xml:space="preserve"> y reutilización de la información que generen.</w:t>
      </w:r>
    </w:p>
    <w:p w14:paraId="0821E03F" w14:textId="77777777" w:rsidR="006051C4" w:rsidRPr="006E2688" w:rsidRDefault="006051C4">
      <w:pPr>
        <w:ind w:left="851" w:right="616"/>
        <w:jc w:val="both"/>
        <w:rPr>
          <w:rFonts w:ascii="Palatino Linotype" w:eastAsia="Palatino Linotype" w:hAnsi="Palatino Linotype" w:cs="Palatino Linotype"/>
          <w:b/>
          <w:i/>
          <w:sz w:val="22"/>
          <w:szCs w:val="22"/>
        </w:rPr>
      </w:pPr>
    </w:p>
    <w:p w14:paraId="16A47707"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Artículo 19. </w:t>
      </w:r>
      <w:r w:rsidRPr="006E2688">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sidRPr="006E2688">
        <w:rPr>
          <w:rFonts w:ascii="Palatino Linotype" w:eastAsia="Palatino Linotype" w:hAnsi="Palatino Linotype" w:cs="Palatino Linotype"/>
          <w:i/>
          <w:sz w:val="22"/>
          <w:szCs w:val="22"/>
        </w:rPr>
        <w:t>.</w:t>
      </w:r>
    </w:p>
    <w:p w14:paraId="3E770C7A" w14:textId="77777777" w:rsidR="006051C4" w:rsidRPr="006E2688" w:rsidRDefault="006051C4">
      <w:pPr>
        <w:ind w:left="851" w:right="616"/>
        <w:jc w:val="both"/>
        <w:rPr>
          <w:rFonts w:ascii="Palatino Linotype" w:eastAsia="Palatino Linotype" w:hAnsi="Palatino Linotype" w:cs="Palatino Linotype"/>
          <w:i/>
          <w:sz w:val="22"/>
          <w:szCs w:val="22"/>
        </w:rPr>
      </w:pPr>
    </w:p>
    <w:p w14:paraId="7826825A"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7863B552" w14:textId="77777777" w:rsidR="006051C4" w:rsidRPr="006E2688" w:rsidRDefault="006051C4">
      <w:pPr>
        <w:ind w:left="851" w:right="616"/>
        <w:jc w:val="both"/>
        <w:rPr>
          <w:rFonts w:ascii="Palatino Linotype" w:eastAsia="Palatino Linotype" w:hAnsi="Palatino Linotype" w:cs="Palatino Linotype"/>
          <w:i/>
          <w:sz w:val="22"/>
          <w:szCs w:val="22"/>
        </w:rPr>
      </w:pPr>
    </w:p>
    <w:p w14:paraId="24300A18"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62000592" w14:textId="77777777" w:rsidR="006051C4" w:rsidRPr="006E2688" w:rsidRDefault="006E2688">
      <w:pPr>
        <w:ind w:left="851" w:right="616"/>
        <w:jc w:val="both"/>
        <w:rPr>
          <w:rFonts w:ascii="Palatino Linotype" w:eastAsia="Palatino Linotype" w:hAnsi="Palatino Linotype" w:cs="Palatino Linotype"/>
          <w:b/>
          <w:i/>
          <w:sz w:val="22"/>
          <w:szCs w:val="22"/>
        </w:rPr>
      </w:pPr>
      <w:r w:rsidRPr="006E2688">
        <w:rPr>
          <w:rFonts w:ascii="Palatino Linotype" w:eastAsia="Palatino Linotype" w:hAnsi="Palatino Linotype" w:cs="Palatino Linotype"/>
          <w:b/>
          <w:i/>
          <w:sz w:val="22"/>
          <w:szCs w:val="22"/>
        </w:rPr>
        <w:t xml:space="preserve">Énfasis añadido </w:t>
      </w:r>
    </w:p>
    <w:p w14:paraId="35E29D7D" w14:textId="77777777" w:rsidR="006051C4" w:rsidRPr="006E2688" w:rsidRDefault="006051C4">
      <w:pPr>
        <w:spacing w:line="360" w:lineRule="auto"/>
        <w:jc w:val="both"/>
        <w:rPr>
          <w:rFonts w:ascii="Palatino Linotype" w:eastAsia="Palatino Linotype" w:hAnsi="Palatino Linotype" w:cs="Palatino Linotype"/>
        </w:rPr>
      </w:pPr>
    </w:p>
    <w:p w14:paraId="51C08A05"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De los dispositivos legales en comento, se aprecia que todo acto de autoridad en el ejercicio de sus funciones y atribuciones debe estar documentado, por lo que para dar atención a una solicitud de información el </w:t>
      </w:r>
      <w:r w:rsidRPr="006E2688">
        <w:rPr>
          <w:rFonts w:ascii="Palatino Linotype" w:eastAsia="Palatino Linotype" w:hAnsi="Palatino Linotype" w:cs="Palatino Linotype"/>
          <w:b/>
        </w:rPr>
        <w:t>Sujeto Obligado</w:t>
      </w:r>
      <w:r w:rsidRPr="006E2688">
        <w:rPr>
          <w:rFonts w:ascii="Palatino Linotype" w:eastAsia="Palatino Linotype" w:hAnsi="Palatino Linotype" w:cs="Palatino Linotype"/>
        </w:rPr>
        <w:t xml:space="preserve"> debe entregar el soporte documental en donde conste la información requerida, debiendo contemplar que no se trate de información reservada o confidencial, por lo que debe cuidar dicha información a través del acuerdo clasificatorio del Comité de </w:t>
      </w:r>
      <w:r w:rsidRPr="006E2688">
        <w:rPr>
          <w:rFonts w:ascii="Palatino Linotype" w:eastAsia="Palatino Linotype" w:hAnsi="Palatino Linotype" w:cs="Palatino Linotype"/>
        </w:rPr>
        <w:lastRenderedPageBreak/>
        <w:t>Transparencia y la versión pública que emita cada Sujeto Obligado; como así se establece en la Ley de Transparencia y Acceso a la Información Pública del Estado de México y Municipios.</w:t>
      </w:r>
    </w:p>
    <w:p w14:paraId="627BB1D7" w14:textId="77777777" w:rsidR="006051C4" w:rsidRPr="006E2688" w:rsidRDefault="006051C4">
      <w:pPr>
        <w:spacing w:line="360" w:lineRule="auto"/>
        <w:jc w:val="both"/>
        <w:rPr>
          <w:rFonts w:ascii="Palatino Linotype" w:eastAsia="Palatino Linotype" w:hAnsi="Palatino Linotype" w:cs="Palatino Linotype"/>
        </w:rPr>
      </w:pPr>
    </w:p>
    <w:p w14:paraId="3E625EA5"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ED5BC1A" w14:textId="77777777" w:rsidR="006051C4" w:rsidRPr="006E2688" w:rsidRDefault="006051C4">
      <w:pPr>
        <w:spacing w:line="360" w:lineRule="auto"/>
        <w:jc w:val="both"/>
        <w:rPr>
          <w:rFonts w:ascii="Palatino Linotype" w:eastAsia="Palatino Linotype" w:hAnsi="Palatino Linotype" w:cs="Palatino Linotype"/>
        </w:rPr>
      </w:pPr>
    </w:p>
    <w:p w14:paraId="489E1B52" w14:textId="77777777" w:rsidR="006051C4" w:rsidRPr="006E2688" w:rsidRDefault="006E2688">
      <w:pPr>
        <w:ind w:left="851" w:right="899"/>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Artículo 3. </w:t>
      </w:r>
      <w:r w:rsidRPr="006E2688">
        <w:rPr>
          <w:rFonts w:ascii="Palatino Linotype" w:eastAsia="Palatino Linotype" w:hAnsi="Palatino Linotype" w:cs="Palatino Linotype"/>
          <w:i/>
          <w:sz w:val="22"/>
          <w:szCs w:val="22"/>
        </w:rPr>
        <w:t>Para los efectos de la presente Ley se entenderá por:</w:t>
      </w:r>
    </w:p>
    <w:p w14:paraId="748AE583" w14:textId="77777777" w:rsidR="006051C4" w:rsidRPr="006E2688" w:rsidRDefault="006E2688">
      <w:pPr>
        <w:ind w:left="851" w:right="899"/>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0F93D2CC"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XI. Documento:</w:t>
      </w:r>
      <w:r w:rsidRPr="006E2688">
        <w:rPr>
          <w:rFonts w:ascii="Palatino Linotype" w:eastAsia="Palatino Linotype" w:hAnsi="Palatino Linotype" w:cs="Palatino Linotype"/>
          <w:i/>
          <w:sz w:val="22"/>
          <w:szCs w:val="22"/>
        </w:rPr>
        <w:t xml:space="preserve"> Los expedientes, reportes, estudios, actas</w:t>
      </w:r>
      <w:r w:rsidRPr="006E2688">
        <w:rPr>
          <w:rFonts w:ascii="Palatino Linotype" w:eastAsia="Palatino Linotype" w:hAnsi="Palatino Linotype" w:cs="Palatino Linotype"/>
          <w:b/>
          <w:i/>
          <w:sz w:val="22"/>
          <w:szCs w:val="22"/>
        </w:rPr>
        <w:t>,</w:t>
      </w:r>
      <w:r w:rsidRPr="006E2688">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w:t>
      </w:r>
      <w:r w:rsidRPr="006E2688">
        <w:rPr>
          <w:rFonts w:ascii="Palatino Linotype" w:eastAsia="Palatino Linotype" w:hAnsi="Palatino Linotype" w:cs="Palatino Linotype"/>
          <w:b/>
          <w:i/>
          <w:sz w:val="22"/>
          <w:szCs w:val="22"/>
          <w:u w:val="single"/>
        </w:rPr>
        <w:t>registro que documente el ejercicio de las facultades, funciones y competencias de los sujetos obligados</w:t>
      </w:r>
      <w:r w:rsidRPr="006E2688">
        <w:rPr>
          <w:rFonts w:ascii="Palatino Linotype" w:eastAsia="Palatino Linotype" w:hAnsi="Palatino Linotype" w:cs="Palatino Linotype"/>
          <w:i/>
          <w:sz w:val="22"/>
          <w:szCs w:val="22"/>
        </w:rPr>
        <w:t xml:space="preserve">, sus servidores públicos e integrantes, sin importar su fuente o fecha de elaboración. Los documentos podrán estar en cualquier medio, sea escrito, impreso, sonoro, visual, </w:t>
      </w:r>
      <w:r w:rsidRPr="006E2688">
        <w:rPr>
          <w:rFonts w:ascii="Palatino Linotype" w:eastAsia="Palatino Linotype" w:hAnsi="Palatino Linotype" w:cs="Palatino Linotype"/>
          <w:b/>
          <w:i/>
          <w:sz w:val="22"/>
          <w:szCs w:val="22"/>
          <w:u w:val="single"/>
        </w:rPr>
        <w:t>electrónico, informático</w:t>
      </w:r>
      <w:r w:rsidRPr="006E2688">
        <w:rPr>
          <w:rFonts w:ascii="Palatino Linotype" w:eastAsia="Palatino Linotype" w:hAnsi="Palatino Linotype" w:cs="Palatino Linotype"/>
          <w:i/>
          <w:sz w:val="22"/>
          <w:szCs w:val="22"/>
        </w:rPr>
        <w:t xml:space="preserve"> u holográfico</w:t>
      </w:r>
    </w:p>
    <w:p w14:paraId="350A877E"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w:t>
      </w:r>
      <w:r w:rsidRPr="006E2688">
        <w:rPr>
          <w:rFonts w:ascii="Palatino Linotype" w:eastAsia="Palatino Linotype" w:hAnsi="Palatino Linotype" w:cs="Palatino Linotype"/>
          <w:i/>
          <w:sz w:val="22"/>
          <w:szCs w:val="22"/>
        </w:rPr>
        <w:t>)</w:t>
      </w:r>
    </w:p>
    <w:p w14:paraId="6FFCCD21"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Énfasis añadido</w:t>
      </w:r>
    </w:p>
    <w:p w14:paraId="50565B74" w14:textId="77777777" w:rsidR="006051C4" w:rsidRPr="006E2688" w:rsidRDefault="006051C4">
      <w:pPr>
        <w:ind w:left="851" w:right="899"/>
        <w:jc w:val="both"/>
        <w:rPr>
          <w:rFonts w:ascii="Palatino Linotype" w:eastAsia="Palatino Linotype" w:hAnsi="Palatino Linotype" w:cs="Palatino Linotype"/>
          <w:sz w:val="22"/>
          <w:szCs w:val="22"/>
        </w:rPr>
      </w:pPr>
    </w:p>
    <w:p w14:paraId="1BFF63B5"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Siendo aplicable, el Criterio de interpretación en el orden administrativo número 0002-11, emitido por Acuerdo del Pleno del Instituto de Transparencia y Acceso a la Información Pública del Estado de México y Municipios; publicado en el Periódico </w:t>
      </w:r>
      <w:r w:rsidRPr="006E2688">
        <w:rPr>
          <w:rFonts w:ascii="Palatino Linotype" w:eastAsia="Palatino Linotype" w:hAnsi="Palatino Linotype" w:cs="Palatino Linotype"/>
        </w:rPr>
        <w:lastRenderedPageBreak/>
        <w:t>Oficial del Gobierno del Estado Libre y Soberano de México “Gaceta del Gobierno”, el diecinueve de octubre de dos mil once, cuyo rubro y texto refieren lo siguiente:</w:t>
      </w:r>
    </w:p>
    <w:p w14:paraId="2FA0E62E" w14:textId="77777777" w:rsidR="006051C4" w:rsidRPr="006E2688" w:rsidRDefault="006051C4">
      <w:pPr>
        <w:ind w:left="851" w:right="899"/>
        <w:jc w:val="both"/>
        <w:rPr>
          <w:rFonts w:ascii="Palatino Linotype" w:eastAsia="Palatino Linotype" w:hAnsi="Palatino Linotype" w:cs="Palatino Linotype"/>
        </w:rPr>
      </w:pPr>
    </w:p>
    <w:p w14:paraId="4AAB3ADE" w14:textId="77777777" w:rsidR="006051C4" w:rsidRPr="006E2688" w:rsidRDefault="006E2688">
      <w:pPr>
        <w:ind w:left="851" w:right="616"/>
        <w:jc w:val="both"/>
        <w:rPr>
          <w:rFonts w:ascii="Palatino Linotype" w:eastAsia="Palatino Linotype" w:hAnsi="Palatino Linotype" w:cs="Palatino Linotype"/>
          <w:b/>
          <w:i/>
          <w:sz w:val="22"/>
          <w:szCs w:val="22"/>
        </w:rPr>
      </w:pPr>
      <w:r w:rsidRPr="006E2688">
        <w:rPr>
          <w:rFonts w:ascii="Palatino Linotype" w:eastAsia="Palatino Linotype" w:hAnsi="Palatino Linotype" w:cs="Palatino Linotype"/>
          <w:b/>
          <w:i/>
          <w:sz w:val="22"/>
          <w:szCs w:val="22"/>
        </w:rPr>
        <w:t>CRITERIO 0002-11</w:t>
      </w:r>
    </w:p>
    <w:p w14:paraId="25FE2D6B"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6E2688">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3212263"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En </w:t>
      </w:r>
      <w:proofErr w:type="gramStart"/>
      <w:r w:rsidRPr="006E2688">
        <w:rPr>
          <w:rFonts w:ascii="Palatino Linotype" w:eastAsia="Palatino Linotype" w:hAnsi="Palatino Linotype" w:cs="Palatino Linotype"/>
          <w:i/>
          <w:sz w:val="22"/>
          <w:szCs w:val="22"/>
        </w:rPr>
        <w:t>consecuencia</w:t>
      </w:r>
      <w:proofErr w:type="gramEnd"/>
      <w:r w:rsidRPr="006E2688">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4930F280"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E2688">
        <w:rPr>
          <w:rFonts w:ascii="Palatino Linotype" w:eastAsia="Palatino Linotype" w:hAnsi="Palatino Linotype" w:cs="Palatino Linotype"/>
          <w:i/>
          <w:sz w:val="22"/>
          <w:szCs w:val="22"/>
        </w:rPr>
        <w:t>que</w:t>
      </w:r>
      <w:proofErr w:type="gramEnd"/>
      <w:r w:rsidRPr="006E2688">
        <w:rPr>
          <w:rFonts w:ascii="Palatino Linotype" w:eastAsia="Palatino Linotype" w:hAnsi="Palatino Linotype" w:cs="Palatino Linotype"/>
          <w:i/>
          <w:sz w:val="22"/>
          <w:szCs w:val="22"/>
        </w:rPr>
        <w:t xml:space="preserve"> en ejercicio de las atribuciones conferidas, sea generada por los Sujetos Obligados;</w:t>
      </w:r>
    </w:p>
    <w:p w14:paraId="75D3FDBA"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2) Que se trate de información registrada en cualquier soporte documental, </w:t>
      </w:r>
      <w:proofErr w:type="gramStart"/>
      <w:r w:rsidRPr="006E2688">
        <w:rPr>
          <w:rFonts w:ascii="Palatino Linotype" w:eastAsia="Palatino Linotype" w:hAnsi="Palatino Linotype" w:cs="Palatino Linotype"/>
          <w:i/>
          <w:sz w:val="22"/>
          <w:szCs w:val="22"/>
        </w:rPr>
        <w:t>que</w:t>
      </w:r>
      <w:proofErr w:type="gramEnd"/>
      <w:r w:rsidRPr="006E2688">
        <w:rPr>
          <w:rFonts w:ascii="Palatino Linotype" w:eastAsia="Palatino Linotype" w:hAnsi="Palatino Linotype" w:cs="Palatino Linotype"/>
          <w:i/>
          <w:sz w:val="22"/>
          <w:szCs w:val="22"/>
        </w:rPr>
        <w:t xml:space="preserve"> en ejercicio de las atribuciones conferidas, sea administrada por los Sujetos Obligados, y</w:t>
      </w:r>
    </w:p>
    <w:p w14:paraId="60B9B19E" w14:textId="77777777" w:rsidR="006051C4" w:rsidRPr="006E2688" w:rsidRDefault="006E2688">
      <w:pPr>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3) Que se trate de información registrada en cualquier soporte documental, </w:t>
      </w:r>
      <w:proofErr w:type="gramStart"/>
      <w:r w:rsidRPr="006E2688">
        <w:rPr>
          <w:rFonts w:ascii="Palatino Linotype" w:eastAsia="Palatino Linotype" w:hAnsi="Palatino Linotype" w:cs="Palatino Linotype"/>
          <w:i/>
          <w:sz w:val="22"/>
          <w:szCs w:val="22"/>
        </w:rPr>
        <w:t>que</w:t>
      </w:r>
      <w:proofErr w:type="gramEnd"/>
      <w:r w:rsidRPr="006E2688">
        <w:rPr>
          <w:rFonts w:ascii="Palatino Linotype" w:eastAsia="Palatino Linotype" w:hAnsi="Palatino Linotype" w:cs="Palatino Linotype"/>
          <w:i/>
          <w:sz w:val="22"/>
          <w:szCs w:val="22"/>
        </w:rPr>
        <w:t xml:space="preserve"> en ejercicio de las atribuciones conferidas, se encuentre en posesión de los Sujetos Obligados.</w:t>
      </w:r>
    </w:p>
    <w:p w14:paraId="4EDFEDB6" w14:textId="77777777" w:rsidR="006051C4" w:rsidRPr="006E2688" w:rsidRDefault="006051C4">
      <w:pPr>
        <w:spacing w:line="360" w:lineRule="auto"/>
        <w:jc w:val="both"/>
        <w:rPr>
          <w:rFonts w:ascii="Palatino Linotype" w:eastAsia="Palatino Linotype" w:hAnsi="Palatino Linotype" w:cs="Palatino Linotype"/>
        </w:rPr>
      </w:pPr>
    </w:p>
    <w:p w14:paraId="7FAF4DDC"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De ahí que el </w:t>
      </w:r>
      <w:r w:rsidRPr="006E2688">
        <w:rPr>
          <w:rFonts w:ascii="Palatino Linotype" w:eastAsia="Palatino Linotype" w:hAnsi="Palatino Linotype" w:cs="Palatino Linotype"/>
          <w:b/>
        </w:rPr>
        <w:t xml:space="preserve"> Sujeto Obligado</w:t>
      </w:r>
      <w:r w:rsidRPr="006E2688">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 como pudiera tratarse de </w:t>
      </w:r>
      <w:r w:rsidRPr="006E2688">
        <w:rPr>
          <w:rFonts w:ascii="Palatino Linotype" w:eastAsia="Palatino Linotype" w:hAnsi="Palatino Linotype" w:cs="Palatino Linotype"/>
        </w:rPr>
        <w:lastRenderedPageBreak/>
        <w:t>aquella relacionada con las obligaciones de transparencia señaladas en los artículos 92 y 100 de la Ley de la Materia.</w:t>
      </w:r>
    </w:p>
    <w:p w14:paraId="034ADC99" w14:textId="77777777" w:rsidR="006051C4" w:rsidRPr="006E2688" w:rsidRDefault="006051C4">
      <w:pPr>
        <w:spacing w:line="360" w:lineRule="auto"/>
        <w:ind w:right="51"/>
        <w:jc w:val="both"/>
        <w:rPr>
          <w:rFonts w:ascii="Palatino Linotype" w:eastAsia="Palatino Linotype" w:hAnsi="Palatino Linotype" w:cs="Palatino Linotype"/>
          <w:b/>
        </w:rPr>
      </w:pPr>
    </w:p>
    <w:p w14:paraId="69FD8DCE" w14:textId="77777777" w:rsidR="006051C4" w:rsidRPr="006E2688" w:rsidRDefault="006E2688">
      <w:pPr>
        <w:spacing w:line="360" w:lineRule="auto"/>
        <w:ind w:right="51"/>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Ahora bien, este Pleno centrará su atención en el análisis de la solicitud de </w:t>
      </w:r>
      <w:proofErr w:type="gramStart"/>
      <w:r w:rsidRPr="006E2688">
        <w:rPr>
          <w:rFonts w:ascii="Palatino Linotype" w:eastAsia="Palatino Linotype" w:hAnsi="Palatino Linotype" w:cs="Palatino Linotype"/>
        </w:rPr>
        <w:t xml:space="preserve">información </w:t>
      </w:r>
      <w:r w:rsidRPr="006E2688">
        <w:rPr>
          <w:rFonts w:ascii="Palatino Linotype" w:eastAsia="Palatino Linotype" w:hAnsi="Palatino Linotype" w:cs="Palatino Linotype"/>
          <w:b/>
        </w:rPr>
        <w:t> 02681</w:t>
      </w:r>
      <w:proofErr w:type="gramEnd"/>
      <w:r w:rsidRPr="006E2688">
        <w:rPr>
          <w:rFonts w:ascii="Palatino Linotype" w:eastAsia="Palatino Linotype" w:hAnsi="Palatino Linotype" w:cs="Palatino Linotype"/>
          <w:b/>
        </w:rPr>
        <w:t>/TOLUCA/IP/2022</w:t>
      </w:r>
      <w:r w:rsidRPr="006E2688">
        <w:rPr>
          <w:rFonts w:ascii="Palatino Linotype" w:eastAsia="Palatino Linotype" w:hAnsi="Palatino Linotype" w:cs="Palatino Linotype"/>
        </w:rPr>
        <w:t>, pues tenemos que la parte</w:t>
      </w:r>
      <w:r w:rsidRPr="006E2688">
        <w:rPr>
          <w:rFonts w:ascii="Palatino Linotype" w:eastAsia="Palatino Linotype" w:hAnsi="Palatino Linotype" w:cs="Palatino Linotype"/>
          <w:b/>
        </w:rPr>
        <w:t xml:space="preserve"> Recurrente</w:t>
      </w:r>
      <w:r w:rsidRPr="006E2688">
        <w:rPr>
          <w:rFonts w:ascii="Palatino Linotype" w:eastAsia="Palatino Linotype" w:hAnsi="Palatino Linotype" w:cs="Palatino Linotype"/>
        </w:rPr>
        <w:t xml:space="preserve"> requirió al </w:t>
      </w:r>
      <w:r w:rsidRPr="006E2688">
        <w:rPr>
          <w:rFonts w:ascii="Palatino Linotype" w:eastAsia="Palatino Linotype" w:hAnsi="Palatino Linotype" w:cs="Palatino Linotype"/>
          <w:b/>
        </w:rPr>
        <w:t xml:space="preserve">Sujeto Obligado </w:t>
      </w:r>
      <w:r w:rsidRPr="006E2688">
        <w:rPr>
          <w:rFonts w:ascii="Palatino Linotype" w:eastAsia="Palatino Linotype" w:hAnsi="Palatino Linotype" w:cs="Palatino Linotype"/>
        </w:rPr>
        <w:t xml:space="preserve">le proporcionara la siguiente información:  </w:t>
      </w:r>
    </w:p>
    <w:p w14:paraId="3F3608D5" w14:textId="77777777" w:rsidR="006051C4" w:rsidRPr="006E2688" w:rsidRDefault="006051C4">
      <w:pPr>
        <w:spacing w:line="360" w:lineRule="auto"/>
        <w:ind w:right="51"/>
        <w:jc w:val="both"/>
        <w:rPr>
          <w:rFonts w:ascii="Palatino Linotype" w:eastAsia="Palatino Linotype" w:hAnsi="Palatino Linotype" w:cs="Palatino Linotype"/>
        </w:rPr>
      </w:pPr>
    </w:p>
    <w:p w14:paraId="16FD9A90" w14:textId="77777777" w:rsidR="006051C4" w:rsidRPr="006E2688" w:rsidRDefault="006E2688">
      <w:pPr>
        <w:numPr>
          <w:ilvl w:val="0"/>
          <w:numId w:val="5"/>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6E2688">
        <w:rPr>
          <w:rFonts w:ascii="Palatino Linotype" w:eastAsia="Palatino Linotype" w:hAnsi="Palatino Linotype" w:cs="Palatino Linotype"/>
        </w:rPr>
        <w:t xml:space="preserve">El listado de espacios públicos que se encuentran dentro del territorio municipal. </w:t>
      </w:r>
    </w:p>
    <w:p w14:paraId="1A1F4F38" w14:textId="77777777" w:rsidR="006051C4" w:rsidRPr="006E2688" w:rsidRDefault="006051C4">
      <w:pPr>
        <w:spacing w:line="360" w:lineRule="auto"/>
        <w:ind w:right="51"/>
        <w:jc w:val="both"/>
        <w:rPr>
          <w:rFonts w:ascii="Palatino Linotype" w:eastAsia="Palatino Linotype" w:hAnsi="Palatino Linotype" w:cs="Palatino Linotype"/>
          <w:b/>
        </w:rPr>
      </w:pPr>
    </w:p>
    <w:p w14:paraId="3E2EE711" w14:textId="77777777" w:rsidR="006051C4" w:rsidRPr="006E2688" w:rsidRDefault="006E2688">
      <w:pPr>
        <w:spacing w:line="360" w:lineRule="auto"/>
        <w:ind w:right="51"/>
        <w:jc w:val="both"/>
        <w:rPr>
          <w:rFonts w:ascii="Palatino Linotype" w:eastAsia="Palatino Linotype" w:hAnsi="Palatino Linotype" w:cs="Palatino Linotype"/>
        </w:rPr>
      </w:pPr>
      <w:r w:rsidRPr="006E2688">
        <w:rPr>
          <w:rFonts w:ascii="Palatino Linotype" w:eastAsia="Palatino Linotype" w:hAnsi="Palatino Linotype" w:cs="Palatino Linotype"/>
        </w:rPr>
        <w:t>Es conveniente enfatizar que el</w:t>
      </w:r>
      <w:r w:rsidRPr="006E2688">
        <w:rPr>
          <w:rFonts w:ascii="Palatino Linotype" w:eastAsia="Palatino Linotype" w:hAnsi="Palatino Linotype" w:cs="Palatino Linotype"/>
          <w:b/>
        </w:rPr>
        <w:t xml:space="preserve"> Sujeto Obligado</w:t>
      </w:r>
      <w:r w:rsidRPr="006E2688">
        <w:rPr>
          <w:rFonts w:ascii="Palatino Linotype" w:eastAsia="Palatino Linotype" w:hAnsi="Palatino Linotype" w:cs="Palatino Linotype"/>
        </w:rPr>
        <w:t xml:space="preserve"> mediante la Unidad de Transparencia, refirió la información que tanto la Secretaría del Ayuntamiento, la Dirección General de Servicios Públicos y el Instituto Municipal de Cultura Física y Deporte le entregaron, destacándose que cada Unidad Administrativa señaló a nivel de detalle los espacios públicos que están bajo su encargo. </w:t>
      </w:r>
    </w:p>
    <w:p w14:paraId="28635B35" w14:textId="77777777" w:rsidR="006051C4" w:rsidRPr="006E2688" w:rsidRDefault="006051C4">
      <w:pPr>
        <w:spacing w:line="360" w:lineRule="auto"/>
        <w:ind w:right="51"/>
        <w:jc w:val="both"/>
        <w:rPr>
          <w:rFonts w:ascii="Palatino Linotype" w:eastAsia="Palatino Linotype" w:hAnsi="Palatino Linotype" w:cs="Palatino Linotype"/>
        </w:rPr>
      </w:pPr>
    </w:p>
    <w:p w14:paraId="06AEC68A" w14:textId="77777777" w:rsidR="006051C4" w:rsidRPr="006E2688" w:rsidRDefault="006E2688">
      <w:pPr>
        <w:spacing w:line="360" w:lineRule="auto"/>
        <w:ind w:right="51"/>
        <w:jc w:val="both"/>
        <w:rPr>
          <w:rFonts w:ascii="Palatino Linotype" w:eastAsia="Palatino Linotype" w:hAnsi="Palatino Linotype" w:cs="Palatino Linotype"/>
        </w:rPr>
      </w:pPr>
      <w:r w:rsidRPr="006E2688">
        <w:rPr>
          <w:rFonts w:ascii="Palatino Linotype" w:eastAsia="Palatino Linotype" w:hAnsi="Palatino Linotype" w:cs="Palatino Linotype"/>
        </w:rPr>
        <w:t>Una vez conocida la respuesta, tenemos que la parte</w:t>
      </w:r>
      <w:r w:rsidRPr="006E2688">
        <w:rPr>
          <w:rFonts w:ascii="Palatino Linotype" w:eastAsia="Palatino Linotype" w:hAnsi="Palatino Linotype" w:cs="Palatino Linotype"/>
          <w:b/>
        </w:rPr>
        <w:t xml:space="preserve"> Recurrente</w:t>
      </w:r>
      <w:r w:rsidRPr="006E2688">
        <w:rPr>
          <w:rFonts w:ascii="Palatino Linotype" w:eastAsia="Palatino Linotype" w:hAnsi="Palatino Linotype" w:cs="Palatino Linotype"/>
        </w:rPr>
        <w:t xml:space="preserve"> decidió accionar este medio de defensa en contra de la información incompleta, pues desde su óptica se actualiza dicha causal de procedencia prevista en la Ley de Transparencia local. </w:t>
      </w:r>
    </w:p>
    <w:p w14:paraId="7A035E24" w14:textId="77777777" w:rsidR="006051C4" w:rsidRPr="006E2688" w:rsidRDefault="006051C4">
      <w:pPr>
        <w:spacing w:line="360" w:lineRule="auto"/>
        <w:ind w:right="51"/>
        <w:jc w:val="both"/>
        <w:rPr>
          <w:rFonts w:ascii="Palatino Linotype" w:eastAsia="Palatino Linotype" w:hAnsi="Palatino Linotype" w:cs="Palatino Linotype"/>
        </w:rPr>
      </w:pPr>
    </w:p>
    <w:p w14:paraId="6E3F8C41"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Cabe precisar que, una vez notificado el recurso de revisión al </w:t>
      </w:r>
      <w:r w:rsidRPr="006E2688">
        <w:rPr>
          <w:rFonts w:ascii="Palatino Linotype" w:eastAsia="Palatino Linotype" w:hAnsi="Palatino Linotype" w:cs="Palatino Linotype"/>
          <w:b/>
        </w:rPr>
        <w:t>Sujeto Obligado</w:t>
      </w:r>
      <w:r w:rsidRPr="006E2688">
        <w:rPr>
          <w:rFonts w:ascii="Palatino Linotype" w:eastAsia="Palatino Linotype" w:hAnsi="Palatino Linotype" w:cs="Palatino Linotype"/>
        </w:rPr>
        <w:t xml:space="preserve">, remitió su informe justificado en donde describe las constancias que obran en el SAIMEX y ratifica en términos generales su respuesta inicial, por lo que corresponde a la parte Recurrente no realizó manifestaciones conforme a derecho le corresponde. </w:t>
      </w:r>
    </w:p>
    <w:p w14:paraId="16F47926" w14:textId="77777777" w:rsidR="006051C4" w:rsidRPr="006E2688" w:rsidRDefault="006051C4">
      <w:pPr>
        <w:spacing w:line="360" w:lineRule="auto"/>
        <w:jc w:val="both"/>
        <w:rPr>
          <w:rFonts w:ascii="Palatino Linotype" w:eastAsia="Palatino Linotype" w:hAnsi="Palatino Linotype" w:cs="Palatino Linotype"/>
        </w:rPr>
      </w:pPr>
    </w:p>
    <w:p w14:paraId="3BD8710F" w14:textId="77777777" w:rsidR="006051C4" w:rsidRPr="006E2688" w:rsidRDefault="006E2688">
      <w:pPr>
        <w:spacing w:after="240"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Bajo las premisas anteriores, se concluye que en la especie será motivo de análisis si efectivamente, la respuesta otorgada por parte del </w:t>
      </w:r>
      <w:r w:rsidRPr="006E2688">
        <w:rPr>
          <w:rFonts w:ascii="Palatino Linotype" w:eastAsia="Palatino Linotype" w:hAnsi="Palatino Linotype" w:cs="Palatino Linotype"/>
          <w:b/>
        </w:rPr>
        <w:t>Sujeto Obligado</w:t>
      </w:r>
      <w:r w:rsidRPr="006E2688">
        <w:rPr>
          <w:rFonts w:ascii="Palatino Linotype" w:eastAsia="Palatino Linotype" w:hAnsi="Palatino Linotype" w:cs="Palatino Linotype"/>
        </w:rPr>
        <w:t xml:space="preserve"> satisface los requisitos establecidos por la Ley de la materia. </w:t>
      </w:r>
    </w:p>
    <w:p w14:paraId="79762683" w14:textId="77777777" w:rsidR="006051C4" w:rsidRPr="006E2688" w:rsidRDefault="006E2688">
      <w:pPr>
        <w:spacing w:before="240" w:after="240"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Señalado lo anterior, resulta oportuno referir que, si bien, la Titular de la Unidad de Transparencia es el encargado de dar atención a las solicitudes de información con fundamento en los artículos 50 y 53 fracciones II, V y VI  de la Ley de Transparencia y Acceso a la Información Pública del Estado de México y Municipios, también lo es que, dentro de sus propias funciones se encuentra la de </w:t>
      </w:r>
      <w:r w:rsidRPr="006E2688">
        <w:rPr>
          <w:rFonts w:ascii="Palatino Linotype" w:eastAsia="Palatino Linotype" w:hAnsi="Palatino Linotype" w:cs="Palatino Linotype"/>
          <w:b/>
        </w:rPr>
        <w:t>tramitar ante las Áreas poseedoras de la información lo que se solicita</w:t>
      </w:r>
      <w:r w:rsidRPr="006E2688">
        <w:rPr>
          <w:rFonts w:ascii="Palatino Linotype" w:eastAsia="Palatino Linotype" w:hAnsi="Palatino Linotype" w:cs="Palatino Linotype"/>
        </w:rPr>
        <w:t>, a efecto de entregarla al solicitante, de acuerdo a la forma en que la Unidad Administrativa correspondiente, la genere, recopile, administre, maneje, procese, archive o conserve, esto de conformidad con los artículos 51 y 53 fracción IV de la Ley en cita, que refieren:</w:t>
      </w:r>
    </w:p>
    <w:p w14:paraId="44B0562B" w14:textId="77777777" w:rsidR="006051C4" w:rsidRPr="006E2688" w:rsidRDefault="006E2688">
      <w:pPr>
        <w:tabs>
          <w:tab w:val="left" w:pos="709"/>
        </w:tabs>
        <w:spacing w:before="240" w:after="240" w:line="276" w:lineRule="auto"/>
        <w:ind w:left="851" w:right="760"/>
        <w:jc w:val="center"/>
        <w:rPr>
          <w:rFonts w:ascii="Palatino Linotype" w:eastAsia="Palatino Linotype" w:hAnsi="Palatino Linotype" w:cs="Palatino Linotype"/>
          <w:b/>
          <w:i/>
          <w:sz w:val="22"/>
          <w:szCs w:val="22"/>
        </w:rPr>
      </w:pPr>
      <w:r w:rsidRPr="006E2688">
        <w:rPr>
          <w:rFonts w:ascii="Palatino Linotype" w:eastAsia="Palatino Linotype" w:hAnsi="Palatino Linotype" w:cs="Palatino Linotype"/>
          <w:b/>
          <w:sz w:val="22"/>
          <w:szCs w:val="22"/>
        </w:rPr>
        <w:t>Ley de Transparencia y Acceso a la Información Pública del Estado de México y Municipios</w:t>
      </w:r>
    </w:p>
    <w:p w14:paraId="3BE67CB9" w14:textId="77777777" w:rsidR="006051C4" w:rsidRPr="006E2688" w:rsidRDefault="006E2688">
      <w:pPr>
        <w:tabs>
          <w:tab w:val="left" w:pos="709"/>
        </w:tabs>
        <w:spacing w:before="240" w:after="240" w:line="276" w:lineRule="auto"/>
        <w:ind w:left="851" w:right="760"/>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“Artículo 50. Los sujetos obligados contarán con un área responsable para la atención de las solicitudes de información, a la que se le denominará Unidad de Transparencia. </w:t>
      </w:r>
    </w:p>
    <w:p w14:paraId="144B9B87" w14:textId="77777777" w:rsidR="006051C4" w:rsidRPr="006E2688" w:rsidRDefault="006E2688">
      <w:pPr>
        <w:tabs>
          <w:tab w:val="left" w:pos="709"/>
        </w:tabs>
        <w:spacing w:before="240" w:after="240" w:line="276" w:lineRule="auto"/>
        <w:ind w:left="851" w:right="760"/>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Artículo 51. Los sujetos obligados designaran a un responsable para atender la Unidad de Transparencia, quien fungirá como enlace entre éstos y los solicitantes. </w:t>
      </w:r>
      <w:r w:rsidRPr="006E2688">
        <w:rPr>
          <w:rFonts w:ascii="Palatino Linotype" w:eastAsia="Palatino Linotype" w:hAnsi="Palatino Linotype" w:cs="Palatino Linotype"/>
          <w:b/>
          <w:i/>
          <w:sz w:val="22"/>
          <w:szCs w:val="22"/>
          <w:u w:val="single"/>
        </w:rPr>
        <w:t>Dicha Unidad será la encargada de tramitar internamente la solicitud de información</w:t>
      </w:r>
      <w:r w:rsidRPr="006E2688">
        <w:rPr>
          <w:rFonts w:ascii="Palatino Linotype" w:eastAsia="Palatino Linotype" w:hAnsi="Palatino Linotype" w:cs="Palatino Linotype"/>
          <w:i/>
          <w:sz w:val="22"/>
          <w:szCs w:val="22"/>
        </w:rPr>
        <w:t xml:space="preserve">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339A471C" w14:textId="77777777" w:rsidR="006051C4" w:rsidRPr="006E2688" w:rsidRDefault="006E2688">
      <w:pPr>
        <w:tabs>
          <w:tab w:val="left" w:pos="709"/>
        </w:tabs>
        <w:spacing w:before="240" w:after="240" w:line="276" w:lineRule="auto"/>
        <w:ind w:left="851" w:right="760"/>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40A6D86F" w14:textId="77777777" w:rsidR="006051C4" w:rsidRPr="006E2688" w:rsidRDefault="006E2688">
      <w:pPr>
        <w:tabs>
          <w:tab w:val="left" w:pos="709"/>
        </w:tabs>
        <w:spacing w:before="240" w:after="240" w:line="276" w:lineRule="auto"/>
        <w:ind w:left="851" w:right="760"/>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lastRenderedPageBreak/>
        <w:t>Artículo 53. Las Unidades de Transparencia tendrán las siguientes funciones:</w:t>
      </w:r>
    </w:p>
    <w:p w14:paraId="5BC9FD4E" w14:textId="77777777" w:rsidR="006051C4" w:rsidRPr="006E2688" w:rsidRDefault="006E2688">
      <w:pPr>
        <w:tabs>
          <w:tab w:val="left" w:pos="709"/>
        </w:tabs>
        <w:spacing w:before="240" w:after="240" w:line="276" w:lineRule="auto"/>
        <w:ind w:left="851" w:right="760"/>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6F077126" w14:textId="77777777" w:rsidR="006051C4" w:rsidRPr="006E2688" w:rsidRDefault="006E2688">
      <w:pPr>
        <w:tabs>
          <w:tab w:val="left" w:pos="709"/>
        </w:tabs>
        <w:spacing w:before="240" w:after="240" w:line="276" w:lineRule="auto"/>
        <w:ind w:left="851" w:right="760"/>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II. Recibir, tramitar y dar respuesta a las solicitudes de acceso a la información; </w:t>
      </w:r>
    </w:p>
    <w:p w14:paraId="0B8CBA84" w14:textId="77777777" w:rsidR="006051C4" w:rsidRPr="006E2688" w:rsidRDefault="006E2688">
      <w:pPr>
        <w:tabs>
          <w:tab w:val="left" w:pos="709"/>
        </w:tabs>
        <w:spacing w:before="240" w:after="240" w:line="276" w:lineRule="auto"/>
        <w:ind w:left="851" w:right="760"/>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30DC093C" w14:textId="77777777" w:rsidR="006051C4" w:rsidRPr="006E2688" w:rsidRDefault="006E2688">
      <w:pPr>
        <w:tabs>
          <w:tab w:val="left" w:pos="709"/>
        </w:tabs>
        <w:spacing w:before="240" w:after="240" w:line="276" w:lineRule="auto"/>
        <w:ind w:left="851" w:right="760"/>
        <w:jc w:val="both"/>
        <w:rPr>
          <w:rFonts w:ascii="Palatino Linotype" w:eastAsia="Palatino Linotype" w:hAnsi="Palatino Linotype" w:cs="Palatino Linotype"/>
          <w:b/>
          <w:i/>
          <w:sz w:val="22"/>
          <w:szCs w:val="22"/>
          <w:u w:val="single"/>
        </w:rPr>
      </w:pPr>
      <w:r w:rsidRPr="006E2688">
        <w:rPr>
          <w:rFonts w:ascii="Palatino Linotype" w:eastAsia="Palatino Linotype" w:hAnsi="Palatino Linotype" w:cs="Palatino Linotype"/>
          <w:b/>
          <w:i/>
          <w:sz w:val="22"/>
          <w:szCs w:val="22"/>
          <w:u w:val="single"/>
        </w:rPr>
        <w:t xml:space="preserve">IV. Realizar, con efectividad, los trámites internos necesarios para la atención de las solicitudes de acceso a la información; </w:t>
      </w:r>
    </w:p>
    <w:p w14:paraId="045B0DE1" w14:textId="77777777" w:rsidR="006051C4" w:rsidRPr="006E2688" w:rsidRDefault="006E2688">
      <w:pPr>
        <w:tabs>
          <w:tab w:val="left" w:pos="709"/>
        </w:tabs>
        <w:spacing w:before="240" w:after="240" w:line="276" w:lineRule="auto"/>
        <w:ind w:left="851" w:right="760"/>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V. Entregar, en su caso, a los particulares la información solicitada; </w:t>
      </w:r>
    </w:p>
    <w:p w14:paraId="3430245D" w14:textId="77777777" w:rsidR="006051C4" w:rsidRPr="006E2688" w:rsidRDefault="006E2688">
      <w:pPr>
        <w:tabs>
          <w:tab w:val="left" w:pos="709"/>
        </w:tabs>
        <w:spacing w:before="240" w:after="240" w:line="276" w:lineRule="auto"/>
        <w:ind w:left="851" w:right="760"/>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VI. Efectuar las notificaciones a los solicitantes;”</w:t>
      </w:r>
    </w:p>
    <w:p w14:paraId="35EFE365" w14:textId="77777777" w:rsidR="006051C4" w:rsidRPr="006E2688" w:rsidRDefault="006E2688">
      <w:pPr>
        <w:spacing w:before="240" w:after="240"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Aunado a lo anterior, se debe señalar que aunque la solicitud de información y la respuesta estén dirigidas y atendidas por un </w:t>
      </w:r>
      <w:r w:rsidRPr="006E2688">
        <w:rPr>
          <w:rFonts w:ascii="Palatino Linotype" w:eastAsia="Palatino Linotype" w:hAnsi="Palatino Linotype" w:cs="Palatino Linotype"/>
          <w:b/>
        </w:rPr>
        <w:t>Sujeto Obligado</w:t>
      </w:r>
      <w:r w:rsidRPr="006E2688">
        <w:rPr>
          <w:rFonts w:ascii="Palatino Linotype" w:eastAsia="Palatino Linotype" w:hAnsi="Palatino Linotype" w:cs="Palatino Linotype"/>
        </w:rPr>
        <w:t xml:space="preserve">, lo cierto es que también tienen diversas Unidades Administrativas y cada área cuenta con un </w:t>
      </w:r>
      <w:r w:rsidRPr="006E2688">
        <w:rPr>
          <w:rFonts w:ascii="Palatino Linotype" w:eastAsia="Palatino Linotype" w:hAnsi="Palatino Linotype" w:cs="Palatino Linotype"/>
          <w:b/>
        </w:rPr>
        <w:t>Servidor Público Habilitado</w:t>
      </w:r>
      <w:r w:rsidRPr="006E2688">
        <w:rPr>
          <w:rFonts w:ascii="Palatino Linotype" w:eastAsia="Palatino Linotype" w:hAnsi="Palatino Linotype" w:cs="Palatino Linotype"/>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4EF36AD7"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Artículo 3.</w:t>
      </w:r>
      <w:r w:rsidRPr="006E2688">
        <w:rPr>
          <w:rFonts w:ascii="Palatino Linotype" w:eastAsia="Palatino Linotype" w:hAnsi="Palatino Linotype" w:cs="Palatino Linotype"/>
          <w:i/>
          <w:sz w:val="22"/>
          <w:szCs w:val="22"/>
        </w:rPr>
        <w:t xml:space="preserve"> Para los efectos de la presente Ley se entenderá por:</w:t>
      </w:r>
    </w:p>
    <w:p w14:paraId="6B568914"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71D5AF56"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 xml:space="preserve">XXXIX. Servidor público habilitado: </w:t>
      </w:r>
      <w:r w:rsidRPr="006E2688">
        <w:rPr>
          <w:rFonts w:ascii="Palatino Linotype" w:eastAsia="Palatino Linotype" w:hAnsi="Palatino Linotype" w:cs="Palatino Linotype"/>
          <w:i/>
          <w:sz w:val="22"/>
          <w:szCs w:val="22"/>
        </w:rPr>
        <w:t xml:space="preserve">Persona encargada dentro de las diversas unidades administrativas o áreas del sujeto obligado, de apoyar, gestionar y entregar la información o datos personales que se ubiquen en la misma, a sus respectivas </w:t>
      </w:r>
      <w:r w:rsidRPr="006E2688">
        <w:rPr>
          <w:rFonts w:ascii="Palatino Linotype" w:eastAsia="Palatino Linotype" w:hAnsi="Palatino Linotype" w:cs="Palatino Linotype"/>
          <w:i/>
          <w:sz w:val="22"/>
          <w:szCs w:val="22"/>
        </w:rPr>
        <w:lastRenderedPageBreak/>
        <w:t>unidades de transparencia; respecto de las solicitudes presentadas y aportar en primera instancia el fundamento y motivación de la clasificación de la información;</w:t>
      </w:r>
    </w:p>
    <w:p w14:paraId="2DB465D0"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7CB2A1DE"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Artículo 58.</w:t>
      </w:r>
      <w:r w:rsidRPr="006E2688">
        <w:rPr>
          <w:rFonts w:ascii="Palatino Linotype" w:eastAsia="Palatino Linotype" w:hAnsi="Palatino Linotype" w:cs="Palatino Linotype"/>
          <w:i/>
          <w:sz w:val="22"/>
          <w:szCs w:val="22"/>
        </w:rPr>
        <w:t xml:space="preserve"> Los servidores públicos habilitados serán designados por el titular del sujeto obligado a propuesta del responsable de la Unidad de Transparencia.</w:t>
      </w:r>
    </w:p>
    <w:p w14:paraId="6BF8C286"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Artículo 59.</w:t>
      </w:r>
      <w:r w:rsidRPr="006E2688">
        <w:rPr>
          <w:rFonts w:ascii="Palatino Linotype" w:eastAsia="Palatino Linotype" w:hAnsi="Palatino Linotype" w:cs="Palatino Linotype"/>
          <w:i/>
          <w:sz w:val="22"/>
          <w:szCs w:val="22"/>
        </w:rPr>
        <w:t xml:space="preserve"> </w:t>
      </w:r>
      <w:r w:rsidRPr="006E2688">
        <w:rPr>
          <w:rFonts w:ascii="Palatino Linotype" w:eastAsia="Palatino Linotype" w:hAnsi="Palatino Linotype" w:cs="Palatino Linotype"/>
          <w:b/>
          <w:i/>
          <w:sz w:val="22"/>
          <w:szCs w:val="22"/>
          <w:u w:val="single"/>
        </w:rPr>
        <w:t>Los servidores públicos habilitados</w:t>
      </w:r>
      <w:r w:rsidRPr="006E2688">
        <w:rPr>
          <w:rFonts w:ascii="Palatino Linotype" w:eastAsia="Palatino Linotype" w:hAnsi="Palatino Linotype" w:cs="Palatino Linotype"/>
          <w:i/>
          <w:sz w:val="22"/>
          <w:szCs w:val="22"/>
        </w:rPr>
        <w:t xml:space="preserve"> tendrán las funciones siguientes:</w:t>
      </w:r>
    </w:p>
    <w:p w14:paraId="414B78B4"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I. </w:t>
      </w:r>
      <w:r w:rsidRPr="006E2688">
        <w:rPr>
          <w:rFonts w:ascii="Palatino Linotype" w:eastAsia="Palatino Linotype" w:hAnsi="Palatino Linotype" w:cs="Palatino Linotype"/>
          <w:b/>
          <w:i/>
          <w:sz w:val="22"/>
          <w:szCs w:val="22"/>
          <w:u w:val="single"/>
        </w:rPr>
        <w:t>Localizar la información que le solicite la Unidad de Transparencia</w:t>
      </w:r>
      <w:r w:rsidRPr="006E2688">
        <w:rPr>
          <w:rFonts w:ascii="Palatino Linotype" w:eastAsia="Palatino Linotype" w:hAnsi="Palatino Linotype" w:cs="Palatino Linotype"/>
          <w:i/>
          <w:sz w:val="22"/>
          <w:szCs w:val="22"/>
        </w:rPr>
        <w:t>;</w:t>
      </w:r>
    </w:p>
    <w:p w14:paraId="07626C22"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II. </w:t>
      </w:r>
      <w:r w:rsidRPr="006E2688">
        <w:rPr>
          <w:rFonts w:ascii="Palatino Linotype" w:eastAsia="Palatino Linotype" w:hAnsi="Palatino Linotype" w:cs="Palatino Linotype"/>
          <w:b/>
          <w:i/>
          <w:sz w:val="22"/>
          <w:szCs w:val="22"/>
          <w:u w:val="single"/>
        </w:rPr>
        <w:t>Proporcionar la información que obre en los archivos y que le sea solicitada por la Unidad de Transparencia</w:t>
      </w:r>
      <w:r w:rsidRPr="006E2688">
        <w:rPr>
          <w:rFonts w:ascii="Palatino Linotype" w:eastAsia="Palatino Linotype" w:hAnsi="Palatino Linotype" w:cs="Palatino Linotype"/>
          <w:i/>
          <w:sz w:val="22"/>
          <w:szCs w:val="22"/>
        </w:rPr>
        <w:t>;</w:t>
      </w:r>
    </w:p>
    <w:p w14:paraId="65DB068D"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III. Apoyar a la Unidad de Transparencia en lo que esta le solicite para el cumplimiento de sus funciones;</w:t>
      </w:r>
    </w:p>
    <w:p w14:paraId="1E9743E3"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IV. Proporcionar a la Unidad de Transparencia, las modificaciones a la información pública de oficio que obre en su poder;</w:t>
      </w:r>
    </w:p>
    <w:p w14:paraId="2C142E30"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1D3CAF4C"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VI. Verificar, una vez analizado el contenido de la información, que no se encuentre en los supuestos de información clasificada; y</w:t>
      </w:r>
    </w:p>
    <w:p w14:paraId="3C1DB181" w14:textId="77777777" w:rsidR="006051C4" w:rsidRPr="006E2688" w:rsidRDefault="006E2688">
      <w:pPr>
        <w:spacing w:before="240" w:after="240"/>
        <w:ind w:left="567" w:right="708"/>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VII. Dar cuenta a la Unidad de Transparencia del vencimiento de los plazos de reserva.</w:t>
      </w:r>
    </w:p>
    <w:p w14:paraId="5A2F72DC" w14:textId="77777777" w:rsidR="006051C4" w:rsidRPr="006E2688" w:rsidRDefault="006E2688">
      <w:pPr>
        <w:spacing w:before="240" w:after="240"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En otras palabras, se cumplió con lo </w:t>
      </w:r>
      <w:proofErr w:type="gramStart"/>
      <w:r w:rsidRPr="006E2688">
        <w:rPr>
          <w:rFonts w:ascii="Palatino Linotype" w:eastAsia="Palatino Linotype" w:hAnsi="Palatino Linotype" w:cs="Palatino Linotype"/>
        </w:rPr>
        <w:t>que</w:t>
      </w:r>
      <w:proofErr w:type="gramEnd"/>
      <w:r w:rsidRPr="006E2688">
        <w:rPr>
          <w:rFonts w:ascii="Palatino Linotype" w:eastAsia="Palatino Linotype" w:hAnsi="Palatino Linotype" w:cs="Palatino Linotype"/>
        </w:rPr>
        <w:t xml:space="preserve"> para tal efecto, dispone el artículo 162 de la Ley de Transparencia y Acceso a la Información Pública del Estado de México y Municipios, que índica: </w:t>
      </w:r>
    </w:p>
    <w:p w14:paraId="69564952" w14:textId="77777777" w:rsidR="006051C4" w:rsidRPr="006E2688" w:rsidRDefault="006E2688">
      <w:pPr>
        <w:spacing w:before="240" w:after="240" w:line="276" w:lineRule="auto"/>
        <w:ind w:left="567"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r w:rsidRPr="006E2688">
        <w:rPr>
          <w:rFonts w:ascii="Palatino Linotype" w:eastAsia="Palatino Linotype" w:hAnsi="Palatino Linotype" w:cs="Palatino Linotype"/>
          <w:b/>
          <w:i/>
          <w:sz w:val="22"/>
          <w:szCs w:val="22"/>
        </w:rPr>
        <w:t xml:space="preserve">Artículo 162. </w:t>
      </w:r>
      <w:r w:rsidRPr="006E2688">
        <w:rPr>
          <w:rFonts w:ascii="Palatino Linotype" w:eastAsia="Palatino Linotype" w:hAnsi="Palatino Linotype" w:cs="Palatino Linotype"/>
          <w:i/>
          <w:sz w:val="22"/>
          <w:szCs w:val="22"/>
          <w:u w:val="single"/>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E2688">
        <w:rPr>
          <w:rFonts w:ascii="Palatino Linotype" w:eastAsia="Palatino Linotype" w:hAnsi="Palatino Linotype" w:cs="Palatino Linotype"/>
          <w:i/>
          <w:sz w:val="22"/>
          <w:szCs w:val="22"/>
        </w:rPr>
        <w:t>”</w:t>
      </w:r>
    </w:p>
    <w:p w14:paraId="2E47C21B" w14:textId="77777777" w:rsidR="006051C4" w:rsidRPr="006E2688" w:rsidRDefault="006E2688">
      <w:pPr>
        <w:spacing w:before="240" w:after="240"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lastRenderedPageBreak/>
        <w:t>Conforme a ello, en el caso que nos ocupa el Titular de la Unidad de Transparencia del Sujeto Obligado, realizó el turno de la solicitud a las áreas competentes, por lo que, se colige que el Titular de la Unidad de Transparencia atendió lo dispuesto en el artículo 162 de la Ley de Transparencia de la Entidad, pues realizó las gestiones internas correspondientes con el objeto de que el área competente emitiera el pronunciamiento respectivo.</w:t>
      </w:r>
    </w:p>
    <w:p w14:paraId="11EE4E31" w14:textId="77777777" w:rsidR="006051C4" w:rsidRPr="006E2688" w:rsidRDefault="006E2688">
      <w:pPr>
        <w:spacing w:before="240"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Lo anterior se afirma, pues la respuesta fue remitida por la Secretaría del Ayuntamiento, el Instituto Municipal de Cultura Física y Deporte de Toluca y la Dirección se Servicios públicos, quienes de acuerdo con el Código Reglamentario del Sujeto Obligado en sus artículos 3.12, 3.57, fracciones XXIV y XXV, 3.80</w:t>
      </w:r>
      <w:proofErr w:type="gramStart"/>
      <w:r w:rsidRPr="006E2688">
        <w:rPr>
          <w:rFonts w:ascii="Palatino Linotype" w:eastAsia="Palatino Linotype" w:hAnsi="Palatino Linotype" w:cs="Palatino Linotype"/>
        </w:rPr>
        <w:t>,  tienen</w:t>
      </w:r>
      <w:proofErr w:type="gramEnd"/>
      <w:r w:rsidRPr="006E2688">
        <w:rPr>
          <w:rFonts w:ascii="Palatino Linotype" w:eastAsia="Palatino Linotype" w:hAnsi="Palatino Linotype" w:cs="Palatino Linotype"/>
        </w:rPr>
        <w:t xml:space="preserve"> las siguientes atribuciones:</w:t>
      </w:r>
    </w:p>
    <w:p w14:paraId="7E3A731B" w14:textId="77777777" w:rsidR="006051C4" w:rsidRPr="006E2688" w:rsidRDefault="006E2688">
      <w:pPr>
        <w:spacing w:before="240" w:line="276" w:lineRule="auto"/>
        <w:ind w:left="851" w:right="616"/>
        <w:jc w:val="center"/>
        <w:rPr>
          <w:rFonts w:ascii="Palatino Linotype" w:eastAsia="Palatino Linotype" w:hAnsi="Palatino Linotype" w:cs="Palatino Linotype"/>
          <w:b/>
          <w:i/>
          <w:sz w:val="22"/>
          <w:szCs w:val="22"/>
        </w:rPr>
      </w:pPr>
      <w:r w:rsidRPr="006E2688">
        <w:rPr>
          <w:rFonts w:ascii="Palatino Linotype" w:eastAsia="Palatino Linotype" w:hAnsi="Palatino Linotype" w:cs="Palatino Linotype"/>
          <w:b/>
          <w:i/>
          <w:sz w:val="22"/>
          <w:szCs w:val="22"/>
        </w:rPr>
        <w:t>DE LA SECRETARÍA DEL AYUNTAMIENTO</w:t>
      </w:r>
    </w:p>
    <w:p w14:paraId="235ED3B0" w14:textId="77777777" w:rsidR="006051C4" w:rsidRPr="006E2688" w:rsidRDefault="006E2688">
      <w:pPr>
        <w:spacing w:before="240"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r w:rsidRPr="006E2688">
        <w:rPr>
          <w:rFonts w:ascii="Palatino Linotype" w:eastAsia="Palatino Linotype" w:hAnsi="Palatino Linotype" w:cs="Palatino Linotype"/>
          <w:b/>
          <w:i/>
          <w:sz w:val="22"/>
          <w:szCs w:val="22"/>
        </w:rPr>
        <w:t>Artículo 3.12.</w:t>
      </w:r>
      <w:r w:rsidRPr="006E2688">
        <w:rPr>
          <w:rFonts w:ascii="Palatino Linotype" w:eastAsia="Palatino Linotype" w:hAnsi="Palatino Linotype" w:cs="Palatino Linotype"/>
          <w:i/>
          <w:sz w:val="22"/>
          <w:szCs w:val="22"/>
        </w:rPr>
        <w:t xml:space="preserve"> A la o el titular de la Secretaría del Ayuntamiento le corresponde, además de las atribuciones que le confiere la Ley Orgánica Municipal, el despacho de los siguientes asuntos:</w:t>
      </w:r>
    </w:p>
    <w:p w14:paraId="07EBCA9A" w14:textId="77777777" w:rsidR="006051C4" w:rsidRPr="006E2688" w:rsidRDefault="006E2688">
      <w:pPr>
        <w:spacing w:before="240"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7BC82A3E" w14:textId="77777777" w:rsidR="006051C4" w:rsidRPr="006E2688" w:rsidRDefault="006E2688">
      <w:pPr>
        <w:spacing w:before="240"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XXIV. Mantener actualizado el inventario general de bienes muebles e inmuebles propiedad del municipio, en coordinación con la o el tercer síndico, en términos de la normatividad aplicable; </w:t>
      </w:r>
    </w:p>
    <w:p w14:paraId="4909847C" w14:textId="77777777" w:rsidR="006051C4" w:rsidRPr="006E2688" w:rsidRDefault="006E2688">
      <w:pPr>
        <w:spacing w:before="240"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XXV. Verificar la integración y actualización permanente de los libros de patrimonio inmobiliario, registrando las modificaciones por enajenación, cancelación, permutas, o cualquier circunstancia que se derive de los movimientos efectuados con los predios o inmuebles propiedad del municipio; y</w:t>
      </w:r>
    </w:p>
    <w:p w14:paraId="0D2C5B8C" w14:textId="77777777" w:rsidR="006051C4" w:rsidRPr="006E2688" w:rsidRDefault="006E2688">
      <w:pPr>
        <w:spacing w:before="240"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w:t>
      </w:r>
    </w:p>
    <w:p w14:paraId="79C0BCCF" w14:textId="77777777" w:rsidR="006051C4" w:rsidRPr="006E2688" w:rsidRDefault="006E2688">
      <w:pPr>
        <w:spacing w:before="240"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lastRenderedPageBreak/>
        <w:t>Artículo 3.57</w:t>
      </w:r>
      <w:r w:rsidRPr="006E2688">
        <w:rPr>
          <w:rFonts w:ascii="Palatino Linotype" w:eastAsia="Palatino Linotype" w:hAnsi="Palatino Linotype" w:cs="Palatino Linotype"/>
          <w:i/>
          <w:sz w:val="22"/>
          <w:szCs w:val="22"/>
        </w:rPr>
        <w:t>. La o el titular de la Dirección General de Servicios Públicos tendrá las siguientes atribuciones:</w:t>
      </w:r>
    </w:p>
    <w:p w14:paraId="72183ED1" w14:textId="77777777" w:rsidR="006051C4" w:rsidRPr="006E2688" w:rsidRDefault="006E2688">
      <w:pPr>
        <w:spacing w:before="240"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XI. Dirigir, coordinar y administrar el mantenimiento de las instalaciones y el equipo necesario para la prestación de los servicios públicos municipales que tiene a su cargo;</w:t>
      </w:r>
    </w:p>
    <w:p w14:paraId="272ECE3D" w14:textId="77777777" w:rsidR="006051C4" w:rsidRPr="006E2688" w:rsidRDefault="006E2688">
      <w:pPr>
        <w:spacing w:before="240" w:line="276" w:lineRule="auto"/>
        <w:ind w:left="851" w:right="616"/>
        <w:jc w:val="both"/>
        <w:rPr>
          <w:rFonts w:ascii="Palatino Linotype" w:eastAsia="Palatino Linotype" w:hAnsi="Palatino Linotype" w:cs="Palatino Linotype"/>
          <w:b/>
          <w:i/>
          <w:sz w:val="22"/>
          <w:szCs w:val="22"/>
        </w:rPr>
      </w:pPr>
      <w:r w:rsidRPr="006E2688">
        <w:rPr>
          <w:rFonts w:ascii="Palatino Linotype" w:eastAsia="Palatino Linotype" w:hAnsi="Palatino Linotype" w:cs="Palatino Linotype"/>
          <w:i/>
          <w:sz w:val="22"/>
          <w:szCs w:val="22"/>
        </w:rPr>
        <w:t>XXV. Coordinar y vigilar las acciones de instalación, conservación y mantenimiento de la infraestructura urbana municipal; y</w:t>
      </w:r>
    </w:p>
    <w:p w14:paraId="49AACCCE" w14:textId="77777777" w:rsidR="006051C4" w:rsidRPr="006E2688" w:rsidRDefault="006E2688">
      <w:pPr>
        <w:spacing w:before="240"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Artículo 3.80</w:t>
      </w:r>
      <w:r w:rsidRPr="006E2688">
        <w:rPr>
          <w:rFonts w:ascii="Palatino Linotype" w:eastAsia="Palatino Linotype" w:hAnsi="Palatino Linotype" w:cs="Palatino Linotype"/>
          <w:i/>
          <w:sz w:val="22"/>
          <w:szCs w:val="22"/>
        </w:rPr>
        <w:t>. La organización y funcionamiento del Instituto Municipal de Cultura Física y Deporte de Toluca estarán sujetos a la Ley de Cultura Física y Deporte del Estado de México, la Ley que Crea al Instituto Municipal de Cultura Física y Deporte de Toluca, la Ley Orgánica Municipal, el Bando Municipal, el presente ordenamiento, su reglamentación interna y demás preceptos jurídicos que resulten aplicables.</w:t>
      </w:r>
    </w:p>
    <w:p w14:paraId="387FE217" w14:textId="77777777" w:rsidR="006051C4" w:rsidRPr="006E2688" w:rsidRDefault="006051C4">
      <w:pPr>
        <w:spacing w:line="360" w:lineRule="auto"/>
        <w:jc w:val="both"/>
        <w:rPr>
          <w:rFonts w:ascii="Palatino Linotype" w:eastAsia="Palatino Linotype" w:hAnsi="Palatino Linotype" w:cs="Palatino Linotype"/>
        </w:rPr>
      </w:pPr>
    </w:p>
    <w:p w14:paraId="1D114B5F"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A mayor abundamiento, La Ley que crea el Organismo Público Descentralizado Denominado el Instituto Municipal de Cultura Física y Deporte de Toluca; establece en primer término que cuenta con personalidad jurídica y patrimonio propios, el cual estará integrado en términos de lo dispuesto en el artículo 13 del ordenamiento en cita, a saber: </w:t>
      </w:r>
    </w:p>
    <w:p w14:paraId="3B854C23" w14:textId="77777777" w:rsidR="006051C4" w:rsidRPr="006E2688" w:rsidRDefault="006051C4">
      <w:pPr>
        <w:spacing w:line="360" w:lineRule="auto"/>
        <w:jc w:val="both"/>
        <w:rPr>
          <w:rFonts w:ascii="Palatino Linotype" w:eastAsia="Palatino Linotype" w:hAnsi="Palatino Linotype" w:cs="Palatino Linotype"/>
        </w:rPr>
      </w:pPr>
    </w:p>
    <w:p w14:paraId="03C69F47" w14:textId="77777777" w:rsidR="006051C4" w:rsidRPr="006E2688" w:rsidRDefault="006E2688">
      <w:pPr>
        <w:spacing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b/>
          <w:i/>
          <w:sz w:val="22"/>
          <w:szCs w:val="22"/>
        </w:rPr>
        <w:t>Artículo 13</w:t>
      </w:r>
      <w:r w:rsidRPr="006E2688">
        <w:rPr>
          <w:rFonts w:ascii="Palatino Linotype" w:eastAsia="Palatino Linotype" w:hAnsi="Palatino Linotype" w:cs="Palatino Linotype"/>
          <w:i/>
          <w:sz w:val="22"/>
          <w:szCs w:val="22"/>
        </w:rPr>
        <w:t>.- El patrimonio del Instituto se integra por:</w:t>
      </w:r>
    </w:p>
    <w:p w14:paraId="75D921FC" w14:textId="77777777" w:rsidR="006051C4" w:rsidRPr="006E2688" w:rsidRDefault="006E2688">
      <w:pPr>
        <w:spacing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I. </w:t>
      </w:r>
      <w:r w:rsidRPr="006E2688">
        <w:rPr>
          <w:rFonts w:ascii="Palatino Linotype" w:eastAsia="Palatino Linotype" w:hAnsi="Palatino Linotype" w:cs="Palatino Linotype"/>
          <w:b/>
          <w:i/>
          <w:sz w:val="22"/>
          <w:szCs w:val="22"/>
        </w:rPr>
        <w:t>Los bienes muebles e inmuebles que le asigne el Ayuntamiento</w:t>
      </w:r>
      <w:r w:rsidRPr="006E2688">
        <w:rPr>
          <w:rFonts w:ascii="Palatino Linotype" w:eastAsia="Palatino Linotype" w:hAnsi="Palatino Linotype" w:cs="Palatino Linotype"/>
          <w:i/>
          <w:sz w:val="22"/>
          <w:szCs w:val="22"/>
        </w:rPr>
        <w:t xml:space="preserve">; </w:t>
      </w:r>
    </w:p>
    <w:p w14:paraId="25F9AD6B" w14:textId="77777777" w:rsidR="006051C4" w:rsidRPr="006E2688" w:rsidRDefault="006E2688">
      <w:pPr>
        <w:spacing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II. Los ingresos que, en el ejercicio de sus atribuciones, obtenga por la prestación de los servicios que establece la presente Ley y su Reglamento; </w:t>
      </w:r>
    </w:p>
    <w:p w14:paraId="767EB8DC" w14:textId="77777777" w:rsidR="006051C4" w:rsidRPr="006E2688" w:rsidRDefault="006E2688">
      <w:pPr>
        <w:spacing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III. Las aportaciones, participaciones, subsidios y apoyos que obtenga de los gobiernos federal, estatal y municipal, así como del sector privado; </w:t>
      </w:r>
    </w:p>
    <w:p w14:paraId="7686CBB3" w14:textId="77777777" w:rsidR="006051C4" w:rsidRPr="006E2688" w:rsidRDefault="006E2688">
      <w:pPr>
        <w:spacing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IV. Los recursos del presupuesto de egresos del Municipio que el Ayuntamiento le asigne anualmente; </w:t>
      </w:r>
    </w:p>
    <w:p w14:paraId="2C4194EE" w14:textId="77777777" w:rsidR="006051C4" w:rsidRPr="006E2688" w:rsidRDefault="006E2688">
      <w:pPr>
        <w:spacing w:line="276" w:lineRule="auto"/>
        <w:ind w:left="851" w:right="616"/>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lastRenderedPageBreak/>
        <w:t xml:space="preserve">V. </w:t>
      </w:r>
      <w:r w:rsidRPr="006E2688">
        <w:rPr>
          <w:rFonts w:ascii="Palatino Linotype" w:eastAsia="Palatino Linotype" w:hAnsi="Palatino Linotype" w:cs="Palatino Linotype"/>
          <w:b/>
          <w:i/>
          <w:sz w:val="22"/>
          <w:szCs w:val="22"/>
        </w:rPr>
        <w:t>Los legados, donaciones, derechos y demás bienes muebles o inmuebles que adquiera por cualquier título legal o jurídico, para el cumplimiento de su objeto;</w:t>
      </w:r>
      <w:r w:rsidRPr="006E2688">
        <w:rPr>
          <w:rFonts w:ascii="Palatino Linotype" w:eastAsia="Palatino Linotype" w:hAnsi="Palatino Linotype" w:cs="Palatino Linotype"/>
          <w:i/>
          <w:sz w:val="22"/>
          <w:szCs w:val="22"/>
        </w:rPr>
        <w:t xml:space="preserve"> y </w:t>
      </w:r>
    </w:p>
    <w:p w14:paraId="6AFB2E86" w14:textId="77777777" w:rsidR="006051C4" w:rsidRPr="006E2688" w:rsidRDefault="006E2688">
      <w:pPr>
        <w:spacing w:line="276" w:lineRule="auto"/>
        <w:ind w:left="851" w:right="616"/>
        <w:jc w:val="both"/>
      </w:pPr>
      <w:r w:rsidRPr="006E2688">
        <w:rPr>
          <w:rFonts w:ascii="Palatino Linotype" w:eastAsia="Palatino Linotype" w:hAnsi="Palatino Linotype" w:cs="Palatino Linotype"/>
          <w:i/>
          <w:sz w:val="22"/>
          <w:szCs w:val="22"/>
        </w:rPr>
        <w:t xml:space="preserve">VI. Las utilidades, intereses, dividendos, rendimiento de sus bienes y demás ingresos que obtenga por cualquier título legal. </w:t>
      </w:r>
      <w:r w:rsidRPr="006E2688">
        <w:rPr>
          <w:rFonts w:ascii="Palatino Linotype" w:eastAsia="Palatino Linotype" w:hAnsi="Palatino Linotype" w:cs="Palatino Linotype"/>
          <w:b/>
          <w:i/>
          <w:sz w:val="22"/>
          <w:szCs w:val="22"/>
        </w:rPr>
        <w:t>Los bienes inmuebles que formen parte del patrimonio del Instituto, serán inembargables, inalienables e imprescriptibles, y en ningún caso podrá constituirse gravamen sobre ellos</w:t>
      </w:r>
      <w:r w:rsidRPr="006E2688">
        <w:t>.</w:t>
      </w:r>
    </w:p>
    <w:p w14:paraId="4134B022" w14:textId="77777777" w:rsidR="006051C4" w:rsidRPr="006E2688" w:rsidRDefault="006051C4">
      <w:pPr>
        <w:spacing w:line="360" w:lineRule="auto"/>
        <w:ind w:left="851" w:right="616"/>
        <w:jc w:val="both"/>
        <w:rPr>
          <w:rFonts w:ascii="Palatino Linotype" w:eastAsia="Palatino Linotype" w:hAnsi="Palatino Linotype" w:cs="Palatino Linotype"/>
          <w:i/>
          <w:sz w:val="22"/>
          <w:szCs w:val="22"/>
        </w:rPr>
      </w:pPr>
    </w:p>
    <w:p w14:paraId="1D55E018"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Como se advierte, la respuesta fue emitida por la Titular de la Unidad de Transparencia una vez realizada la búsqueda en las áreas que de acuerdo a sus facultades, competencias y funciones generan, administran y poseen la información pública solicitada, remitiendo el listado de los espacios públicos que se encuentran dentro del territorio municipal, de los cuales, para efectos ejemplificativos se inserta la primera página de cada archivo. </w:t>
      </w:r>
    </w:p>
    <w:p w14:paraId="0282C719" w14:textId="77777777" w:rsidR="006051C4" w:rsidRPr="006E2688" w:rsidRDefault="006051C4">
      <w:pPr>
        <w:spacing w:line="360" w:lineRule="auto"/>
        <w:jc w:val="both"/>
        <w:rPr>
          <w:rFonts w:ascii="Palatino Linotype" w:eastAsia="Palatino Linotype" w:hAnsi="Palatino Linotype" w:cs="Palatino Linotype"/>
        </w:rPr>
      </w:pPr>
    </w:p>
    <w:p w14:paraId="6E1CBD68"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noProof/>
        </w:rPr>
        <w:lastRenderedPageBreak/>
        <w:drawing>
          <wp:inline distT="0" distB="0" distL="0" distR="0" wp14:anchorId="413CE531" wp14:editId="58316423">
            <wp:extent cx="5487168" cy="5811063"/>
            <wp:effectExtent l="0" t="0" r="0" b="0"/>
            <wp:docPr id="15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487168" cy="5811063"/>
                    </a:xfrm>
                    <a:prstGeom prst="rect">
                      <a:avLst/>
                    </a:prstGeom>
                    <a:ln/>
                  </pic:spPr>
                </pic:pic>
              </a:graphicData>
            </a:graphic>
          </wp:inline>
        </w:drawing>
      </w:r>
    </w:p>
    <w:p w14:paraId="5F9B28E1" w14:textId="77777777" w:rsidR="006051C4" w:rsidRPr="006E2688" w:rsidRDefault="006051C4">
      <w:pPr>
        <w:spacing w:line="360" w:lineRule="auto"/>
        <w:jc w:val="both"/>
        <w:rPr>
          <w:rFonts w:ascii="Palatino Linotype" w:eastAsia="Palatino Linotype" w:hAnsi="Palatino Linotype" w:cs="Palatino Linotype"/>
        </w:rPr>
      </w:pPr>
    </w:p>
    <w:p w14:paraId="5E7C3872"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noProof/>
        </w:rPr>
        <w:lastRenderedPageBreak/>
        <w:drawing>
          <wp:inline distT="0" distB="0" distL="0" distR="0" wp14:anchorId="79DB7CA9" wp14:editId="744A5973">
            <wp:extent cx="5525277" cy="6782754"/>
            <wp:effectExtent l="0" t="0" r="0" b="0"/>
            <wp:docPr id="15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4"/>
                    <a:srcRect/>
                    <a:stretch>
                      <a:fillRect/>
                    </a:stretch>
                  </pic:blipFill>
                  <pic:spPr>
                    <a:xfrm>
                      <a:off x="0" y="0"/>
                      <a:ext cx="5525277" cy="6782754"/>
                    </a:xfrm>
                    <a:prstGeom prst="rect">
                      <a:avLst/>
                    </a:prstGeom>
                    <a:ln/>
                  </pic:spPr>
                </pic:pic>
              </a:graphicData>
            </a:graphic>
          </wp:inline>
        </w:drawing>
      </w:r>
    </w:p>
    <w:p w14:paraId="5E8E5F27"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noProof/>
        </w:rPr>
        <w:lastRenderedPageBreak/>
        <w:drawing>
          <wp:inline distT="0" distB="0" distL="0" distR="0" wp14:anchorId="63568CEF" wp14:editId="0A6985EB">
            <wp:extent cx="5204502" cy="6862393"/>
            <wp:effectExtent l="0" t="0" r="0" b="0"/>
            <wp:docPr id="15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204502" cy="6862393"/>
                    </a:xfrm>
                    <a:prstGeom prst="rect">
                      <a:avLst/>
                    </a:prstGeom>
                    <a:ln/>
                  </pic:spPr>
                </pic:pic>
              </a:graphicData>
            </a:graphic>
          </wp:inline>
        </w:drawing>
      </w:r>
    </w:p>
    <w:p w14:paraId="16E55108" w14:textId="77777777" w:rsidR="006051C4" w:rsidRPr="006E2688" w:rsidRDefault="006051C4">
      <w:pPr>
        <w:spacing w:line="360" w:lineRule="auto"/>
        <w:jc w:val="both"/>
        <w:rPr>
          <w:rFonts w:ascii="Palatino Linotype" w:eastAsia="Palatino Linotype" w:hAnsi="Palatino Linotype" w:cs="Palatino Linotype"/>
        </w:rPr>
      </w:pPr>
    </w:p>
    <w:p w14:paraId="76626F07" w14:textId="77777777" w:rsidR="006051C4" w:rsidRPr="006E2688" w:rsidRDefault="006051C4">
      <w:pPr>
        <w:spacing w:line="360" w:lineRule="auto"/>
        <w:jc w:val="both"/>
        <w:rPr>
          <w:rFonts w:ascii="Palatino Linotype" w:eastAsia="Palatino Linotype" w:hAnsi="Palatino Linotype" w:cs="Palatino Linotype"/>
        </w:rPr>
      </w:pPr>
    </w:p>
    <w:p w14:paraId="394A588E" w14:textId="77777777" w:rsidR="006051C4" w:rsidRPr="006E2688" w:rsidRDefault="006E2688">
      <w:pPr>
        <w:spacing w:line="360" w:lineRule="auto"/>
        <w:ind w:right="-93"/>
        <w:jc w:val="both"/>
        <w:rPr>
          <w:rFonts w:ascii="Palatino Linotype" w:eastAsia="Palatino Linotype" w:hAnsi="Palatino Linotype" w:cs="Palatino Linotype"/>
          <w:b/>
        </w:rPr>
      </w:pPr>
      <w:r w:rsidRPr="006E2688">
        <w:rPr>
          <w:rFonts w:ascii="Palatino Linotype" w:eastAsia="Palatino Linotype" w:hAnsi="Palatino Linotype" w:cs="Palatino Linotype"/>
        </w:rPr>
        <w:lastRenderedPageBreak/>
        <w:t xml:space="preserve">Analizado lo anterior, se tiene que el derecho de acceso a la información pública se satisface en aquellos casos en que se entregue el soporte documental en que conste la información pública, sin la necesidad de elaborar documentos </w:t>
      </w:r>
      <w:r w:rsidRPr="006E2688">
        <w:rPr>
          <w:rFonts w:ascii="Palatino Linotype" w:eastAsia="Palatino Linotype" w:hAnsi="Palatino Linotype" w:cs="Palatino Linotype"/>
          <w:i/>
        </w:rPr>
        <w:t>ad hoc</w:t>
      </w:r>
      <w:r w:rsidRPr="006E2688">
        <w:rPr>
          <w:rFonts w:ascii="Palatino Linotype" w:eastAsia="Palatino Linotype" w:hAnsi="Palatino Linotype" w:cs="Palatino Linotype"/>
        </w:rPr>
        <w:t xml:space="preserve">; lo cual, toma sustento en el artículo 160 de la Ley de Transparencia y Acceso a la Información Pública del Estado de México y Municipios, el cual refiere que los sujetos obligados deberán entregar la información que obre en sus archivos; sin embargo, se aprecia que el Sujeto Obligado, elaboró un documento ad hoc para dar cabal cumplimiento al derecho de acceso a la información del particular aún y </w:t>
      </w:r>
      <w:r w:rsidRPr="006E2688">
        <w:rPr>
          <w:rFonts w:ascii="Palatino Linotype" w:eastAsia="Palatino Linotype" w:hAnsi="Palatino Linotype" w:cs="Palatino Linotype"/>
          <w:b/>
        </w:rPr>
        <w:t>cuando no es una obligación de las autoridades</w:t>
      </w:r>
      <w:r w:rsidRPr="006E2688">
        <w:rPr>
          <w:rFonts w:ascii="Palatino Linotype" w:eastAsia="Palatino Linotype" w:hAnsi="Palatino Linotype" w:cs="Palatino Linotype"/>
        </w:rPr>
        <w:t xml:space="preserve"> tal y como lo señala el Criterio 09-10, emitido por el Pleno del entonces Instituto Federal de Acceso a la Información y Protección de Datos, ahora Instituto Nacional de Transparencia, Acceso a la Información y Protección de Datos Personales, que dice:</w:t>
      </w:r>
      <w:r w:rsidRPr="006E2688">
        <w:rPr>
          <w:rFonts w:ascii="Palatino Linotype" w:eastAsia="Palatino Linotype" w:hAnsi="Palatino Linotype" w:cs="Palatino Linotype"/>
          <w:b/>
        </w:rPr>
        <w:t xml:space="preserve"> </w:t>
      </w:r>
    </w:p>
    <w:p w14:paraId="7434008C" w14:textId="77777777" w:rsidR="006051C4" w:rsidRPr="006E2688" w:rsidRDefault="006051C4">
      <w:pPr>
        <w:spacing w:line="360" w:lineRule="auto"/>
        <w:ind w:right="-93"/>
        <w:jc w:val="both"/>
        <w:rPr>
          <w:rFonts w:ascii="Palatino Linotype" w:eastAsia="Palatino Linotype" w:hAnsi="Palatino Linotype" w:cs="Palatino Linotype"/>
        </w:rPr>
      </w:pPr>
    </w:p>
    <w:p w14:paraId="0A05E736" w14:textId="77777777" w:rsidR="006051C4" w:rsidRPr="006E2688" w:rsidRDefault="006E2688">
      <w:pPr>
        <w:spacing w:line="276" w:lineRule="auto"/>
        <w:ind w:left="851" w:right="851"/>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Las dependencias y entidades no están obligadas a generar documentos ad hoc para responder una solicitud de acceso a la información. 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w:t>
      </w:r>
    </w:p>
    <w:p w14:paraId="1F83A8E8" w14:textId="77777777" w:rsidR="006051C4" w:rsidRPr="006E2688" w:rsidRDefault="006E2688">
      <w:pPr>
        <w:spacing w:line="276" w:lineRule="auto"/>
        <w:ind w:left="851" w:right="851"/>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Expedientes:</w:t>
      </w:r>
    </w:p>
    <w:p w14:paraId="18F39F28" w14:textId="77777777" w:rsidR="006051C4" w:rsidRPr="006E2688" w:rsidRDefault="006E2688">
      <w:pPr>
        <w:spacing w:line="276" w:lineRule="auto"/>
        <w:ind w:left="851" w:right="851"/>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0438/08 Pemex Exploración y Producción – Alonso Lujambio Irazábal</w:t>
      </w:r>
    </w:p>
    <w:p w14:paraId="552D70F6" w14:textId="77777777" w:rsidR="006051C4" w:rsidRPr="006E2688" w:rsidRDefault="006E2688">
      <w:pPr>
        <w:spacing w:line="276" w:lineRule="auto"/>
        <w:ind w:left="851" w:right="851"/>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1751/09 Laboratorios de Biológicos y Reactivos de México S.A. de C.V. –</w:t>
      </w:r>
    </w:p>
    <w:p w14:paraId="4B536662" w14:textId="77777777" w:rsidR="006051C4" w:rsidRPr="006E2688" w:rsidRDefault="006E2688">
      <w:pPr>
        <w:spacing w:line="276" w:lineRule="auto"/>
        <w:ind w:left="851" w:right="851"/>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María </w:t>
      </w:r>
      <w:proofErr w:type="spellStart"/>
      <w:r w:rsidRPr="006E2688">
        <w:rPr>
          <w:rFonts w:ascii="Palatino Linotype" w:eastAsia="Palatino Linotype" w:hAnsi="Palatino Linotype" w:cs="Palatino Linotype"/>
          <w:i/>
          <w:sz w:val="22"/>
          <w:szCs w:val="22"/>
        </w:rPr>
        <w:t>Marván</w:t>
      </w:r>
      <w:proofErr w:type="spellEnd"/>
      <w:r w:rsidRPr="006E2688">
        <w:rPr>
          <w:rFonts w:ascii="Palatino Linotype" w:eastAsia="Palatino Linotype" w:hAnsi="Palatino Linotype" w:cs="Palatino Linotype"/>
          <w:i/>
          <w:sz w:val="22"/>
          <w:szCs w:val="22"/>
        </w:rPr>
        <w:t xml:space="preserve"> Laborde</w:t>
      </w:r>
    </w:p>
    <w:p w14:paraId="598B8F59" w14:textId="77777777" w:rsidR="006051C4" w:rsidRPr="006E2688" w:rsidRDefault="006E2688">
      <w:pPr>
        <w:spacing w:line="276" w:lineRule="auto"/>
        <w:ind w:left="851" w:right="851"/>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2868/09 Consejo Nacional de Ciencia y Tecnología – Jacqueline </w:t>
      </w:r>
      <w:proofErr w:type="spellStart"/>
      <w:r w:rsidRPr="006E2688">
        <w:rPr>
          <w:rFonts w:ascii="Palatino Linotype" w:eastAsia="Palatino Linotype" w:hAnsi="Palatino Linotype" w:cs="Palatino Linotype"/>
          <w:i/>
          <w:sz w:val="22"/>
          <w:szCs w:val="22"/>
        </w:rPr>
        <w:t>Peschard</w:t>
      </w:r>
      <w:proofErr w:type="spellEnd"/>
    </w:p>
    <w:p w14:paraId="5A0729B0" w14:textId="77777777" w:rsidR="006051C4" w:rsidRPr="006E2688" w:rsidRDefault="006E2688">
      <w:pPr>
        <w:spacing w:line="276" w:lineRule="auto"/>
        <w:ind w:left="851" w:right="851"/>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Mariscal</w:t>
      </w:r>
    </w:p>
    <w:p w14:paraId="5FD73567" w14:textId="77777777" w:rsidR="006051C4" w:rsidRPr="006E2688" w:rsidRDefault="006E2688">
      <w:pPr>
        <w:spacing w:line="276" w:lineRule="auto"/>
        <w:ind w:left="851" w:right="851"/>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lastRenderedPageBreak/>
        <w:t>5160/09 Secretaría de Hacienda y Crédito Público – Ángel Trinidad Zaldívar</w:t>
      </w:r>
    </w:p>
    <w:p w14:paraId="5E28A2E8" w14:textId="77777777" w:rsidR="006051C4" w:rsidRPr="006E2688" w:rsidRDefault="006E2688">
      <w:pPr>
        <w:spacing w:line="276" w:lineRule="auto"/>
        <w:ind w:left="851" w:right="851"/>
        <w:jc w:val="both"/>
        <w:rPr>
          <w:rFonts w:ascii="Palatino Linotype" w:eastAsia="Palatino Linotype" w:hAnsi="Palatino Linotype" w:cs="Palatino Linotype"/>
          <w:i/>
          <w:sz w:val="22"/>
          <w:szCs w:val="22"/>
        </w:rPr>
      </w:pPr>
      <w:r w:rsidRPr="006E2688">
        <w:rPr>
          <w:rFonts w:ascii="Palatino Linotype" w:eastAsia="Palatino Linotype" w:hAnsi="Palatino Linotype" w:cs="Palatino Linotype"/>
          <w:i/>
          <w:sz w:val="22"/>
          <w:szCs w:val="22"/>
        </w:rPr>
        <w:t xml:space="preserve">0304/10 Instituto Nacional de Cancerología – Jacqueline </w:t>
      </w:r>
      <w:proofErr w:type="spellStart"/>
      <w:r w:rsidRPr="006E2688">
        <w:rPr>
          <w:rFonts w:ascii="Palatino Linotype" w:eastAsia="Palatino Linotype" w:hAnsi="Palatino Linotype" w:cs="Palatino Linotype"/>
          <w:i/>
          <w:sz w:val="22"/>
          <w:szCs w:val="22"/>
        </w:rPr>
        <w:t>Peschard</w:t>
      </w:r>
      <w:proofErr w:type="spellEnd"/>
      <w:r w:rsidRPr="006E2688">
        <w:rPr>
          <w:rFonts w:ascii="Palatino Linotype" w:eastAsia="Palatino Linotype" w:hAnsi="Palatino Linotype" w:cs="Palatino Linotype"/>
          <w:i/>
          <w:sz w:val="22"/>
          <w:szCs w:val="22"/>
        </w:rPr>
        <w:t xml:space="preserve"> Mariscal</w:t>
      </w:r>
    </w:p>
    <w:p w14:paraId="57FE8D19" w14:textId="77777777" w:rsidR="006051C4" w:rsidRPr="006E2688" w:rsidRDefault="006051C4">
      <w:pPr>
        <w:spacing w:line="360" w:lineRule="auto"/>
        <w:ind w:right="-93"/>
        <w:jc w:val="both"/>
        <w:rPr>
          <w:rFonts w:ascii="Palatino Linotype" w:eastAsia="Palatino Linotype" w:hAnsi="Palatino Linotype" w:cs="Palatino Linotype"/>
        </w:rPr>
      </w:pPr>
    </w:p>
    <w:p w14:paraId="5B77EAB9" w14:textId="77777777" w:rsidR="006051C4" w:rsidRPr="006E2688" w:rsidRDefault="006E2688">
      <w:pPr>
        <w:spacing w:line="360" w:lineRule="auto"/>
        <w:ind w:right="-93"/>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Entonces, dado a que el criterio en mención establece que las autoridades </w:t>
      </w:r>
      <w:r w:rsidRPr="006E2688">
        <w:rPr>
          <w:rFonts w:ascii="Palatino Linotype" w:eastAsia="Palatino Linotype" w:hAnsi="Palatino Linotype" w:cs="Palatino Linotype"/>
          <w:b/>
        </w:rPr>
        <w:t xml:space="preserve">no están obligadas a generar documentos “ad hoc” </w:t>
      </w:r>
      <w:r w:rsidRPr="006E2688">
        <w:rPr>
          <w:rFonts w:ascii="Palatino Linotype" w:eastAsia="Palatino Linotype" w:hAnsi="Palatino Linotype" w:cs="Palatino Linotype"/>
        </w:rPr>
        <w:t>en contrario sensu, dicho criterio se puede interpretar resultando que las autoridades no están impedidas a generar documentos “ad hoc”, esto, siempre que con dicho documento elaborado se dé cabal cumplimiento a los requerimientos planteados.</w:t>
      </w:r>
    </w:p>
    <w:p w14:paraId="2274919A" w14:textId="77777777" w:rsidR="006051C4" w:rsidRPr="006E2688" w:rsidRDefault="006E2688">
      <w:pPr>
        <w:pBdr>
          <w:top w:val="nil"/>
          <w:left w:val="nil"/>
          <w:bottom w:val="nil"/>
          <w:right w:val="nil"/>
          <w:between w:val="nil"/>
        </w:pBdr>
        <w:spacing w:before="240"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 xml:space="preserve">Así mismo, es necesario señalar que </w:t>
      </w:r>
      <w:proofErr w:type="gramStart"/>
      <w:r w:rsidRPr="006E2688">
        <w:rPr>
          <w:rFonts w:ascii="Palatino Linotype" w:eastAsia="Palatino Linotype" w:hAnsi="Palatino Linotype" w:cs="Palatino Linotype"/>
        </w:rPr>
        <w:t>éste</w:t>
      </w:r>
      <w:proofErr w:type="gramEnd"/>
      <w:r w:rsidRPr="006E2688">
        <w:rPr>
          <w:rFonts w:ascii="Palatino Linotype" w:eastAsia="Palatino Linotype" w:hAnsi="Palatino Linotype" w:cs="Palatino Linotype"/>
        </w:rPr>
        <w:t xml:space="preserve"> Organismo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6D0284FA" w14:textId="77777777" w:rsidR="006051C4" w:rsidRPr="006E2688" w:rsidRDefault="006051C4">
      <w:pPr>
        <w:pBdr>
          <w:top w:val="nil"/>
          <w:left w:val="nil"/>
          <w:bottom w:val="nil"/>
          <w:right w:val="nil"/>
          <w:between w:val="nil"/>
        </w:pBdr>
        <w:spacing w:line="360" w:lineRule="auto"/>
        <w:jc w:val="both"/>
        <w:rPr>
          <w:rFonts w:ascii="Palatino Linotype" w:eastAsia="Palatino Linotype" w:hAnsi="Palatino Linotype" w:cs="Palatino Linotype"/>
        </w:rPr>
      </w:pPr>
    </w:p>
    <w:p w14:paraId="14B46854" w14:textId="77777777" w:rsidR="006051C4" w:rsidRPr="006E2688" w:rsidRDefault="006E2688">
      <w:pPr>
        <w:pBdr>
          <w:top w:val="nil"/>
          <w:left w:val="nil"/>
          <w:bottom w:val="nil"/>
          <w:right w:val="nil"/>
          <w:between w:val="nil"/>
        </w:pBdr>
        <w:spacing w:after="360" w:line="360" w:lineRule="auto"/>
        <w:ind w:right="49"/>
        <w:jc w:val="both"/>
        <w:rPr>
          <w:rFonts w:ascii="Palatino Linotype" w:eastAsia="Palatino Linotype" w:hAnsi="Palatino Linotype" w:cs="Palatino Linotype"/>
        </w:rPr>
      </w:pPr>
      <w:r w:rsidRPr="006E2688">
        <w:rPr>
          <w:rFonts w:ascii="Palatino Linotype" w:eastAsia="Palatino Linotype" w:hAnsi="Palatino Linotype" w:cs="Palatino Linotype"/>
        </w:rPr>
        <w:t>Sirviendo de apoyo a lo anterior por analogía, el criterio 31-10 emitido por el ahora Instituto Nacional de Transparencia, Acceso a la Información y Protección de Datos Personales, que a la letra dice:</w:t>
      </w:r>
    </w:p>
    <w:p w14:paraId="68131B94" w14:textId="77777777" w:rsidR="006051C4" w:rsidRPr="006E2688" w:rsidRDefault="006E2688">
      <w:pPr>
        <w:spacing w:before="240" w:after="360" w:line="276" w:lineRule="auto"/>
        <w:ind w:left="567" w:right="616"/>
        <w:jc w:val="both"/>
        <w:rPr>
          <w:rFonts w:ascii="Palatino Linotype" w:eastAsia="Palatino Linotype" w:hAnsi="Palatino Linotype" w:cs="Palatino Linotype"/>
          <w:sz w:val="22"/>
          <w:szCs w:val="22"/>
        </w:rPr>
      </w:pPr>
      <w:r w:rsidRPr="006E2688">
        <w:rPr>
          <w:rFonts w:ascii="Palatino Linotype" w:eastAsia="Palatino Linotype" w:hAnsi="Palatino Linotype" w:cs="Palatino Linotype"/>
          <w:i/>
          <w:sz w:val="22"/>
          <w:szCs w:val="22"/>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w:t>
      </w:r>
      <w:r w:rsidRPr="006E2688">
        <w:rPr>
          <w:rFonts w:ascii="Palatino Linotype" w:eastAsia="Palatino Linotype" w:hAnsi="Palatino Linotype" w:cs="Palatino Linotype"/>
          <w:i/>
          <w:sz w:val="22"/>
          <w:szCs w:val="22"/>
        </w:rPr>
        <w:lastRenderedPageBreak/>
        <w:t>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015FE64" w14:textId="77777777" w:rsidR="006051C4" w:rsidRPr="006E2688" w:rsidRDefault="006E2688">
      <w:pPr>
        <w:pBdr>
          <w:top w:val="nil"/>
          <w:left w:val="nil"/>
          <w:bottom w:val="nil"/>
          <w:right w:val="nil"/>
          <w:between w:val="nil"/>
        </w:pBd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En razón de que los requerimientos formulados por la parte Recurrente</w:t>
      </w:r>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 xml:space="preserve">fueron atendidos por el </w:t>
      </w:r>
      <w:r w:rsidRPr="006E2688">
        <w:rPr>
          <w:rFonts w:ascii="Palatino Linotype" w:eastAsia="Palatino Linotype" w:hAnsi="Palatino Linotype" w:cs="Palatino Linotype"/>
          <w:b/>
        </w:rPr>
        <w:t xml:space="preserve">Sujeto Obligado, </w:t>
      </w:r>
      <w:r w:rsidRPr="006E2688">
        <w:rPr>
          <w:rFonts w:ascii="Palatino Linotype" w:eastAsia="Palatino Linotype" w:hAnsi="Palatino Linotype" w:cs="Palatino Linotype"/>
        </w:rPr>
        <w:t>este Órgano Garante determina infundados</w:t>
      </w:r>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los motivos o razones de inconformidad manifestados por la parte Recurrente</w:t>
      </w:r>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 xml:space="preserve">y lo procedente es </w:t>
      </w:r>
      <w:r w:rsidRPr="006E2688">
        <w:rPr>
          <w:rFonts w:ascii="Palatino Linotype" w:eastAsia="Palatino Linotype" w:hAnsi="Palatino Linotype" w:cs="Palatino Linotype"/>
          <w:b/>
        </w:rPr>
        <w:t xml:space="preserve">Confirmar, </w:t>
      </w:r>
      <w:r w:rsidRPr="006E2688">
        <w:rPr>
          <w:rFonts w:ascii="Palatino Linotype" w:eastAsia="Palatino Linotype" w:hAnsi="Palatino Linotype" w:cs="Palatino Linotype"/>
        </w:rPr>
        <w:t>la respuesta emitida a la solicitud de información.</w:t>
      </w:r>
    </w:p>
    <w:p w14:paraId="26CD254F" w14:textId="77777777" w:rsidR="006051C4" w:rsidRPr="006E2688" w:rsidRDefault="006051C4">
      <w:pPr>
        <w:pBdr>
          <w:top w:val="nil"/>
          <w:left w:val="nil"/>
          <w:bottom w:val="nil"/>
          <w:right w:val="nil"/>
          <w:between w:val="nil"/>
        </w:pBdr>
        <w:spacing w:line="360" w:lineRule="auto"/>
        <w:jc w:val="both"/>
        <w:rPr>
          <w:rFonts w:ascii="Palatino Linotype" w:eastAsia="Palatino Linotype" w:hAnsi="Palatino Linotype" w:cs="Palatino Linotype"/>
        </w:rPr>
      </w:pPr>
    </w:p>
    <w:p w14:paraId="271D1F84" w14:textId="77777777" w:rsidR="006051C4" w:rsidRPr="006E2688" w:rsidRDefault="006E2688">
      <w:pPr>
        <w:pBdr>
          <w:top w:val="nil"/>
          <w:left w:val="nil"/>
          <w:bottom w:val="nil"/>
          <w:right w:val="nil"/>
          <w:between w:val="nil"/>
        </w:pBdr>
        <w:spacing w:line="360" w:lineRule="auto"/>
        <w:jc w:val="both"/>
        <w:rPr>
          <w:rFonts w:ascii="Palatino Linotype" w:eastAsia="Palatino Linotype" w:hAnsi="Palatino Linotype" w:cs="Palatino Linotype"/>
        </w:rPr>
      </w:pPr>
      <w:bookmarkStart w:id="6" w:name="_heading=h.1t3h5sf" w:colFirst="0" w:colLast="0"/>
      <w:bookmarkEnd w:id="6"/>
      <w:r w:rsidRPr="006E2688">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181, 185 y 186 fracción III de la Ley de Transparencia y Acceso a la Información Pública del Estado de México y Municipios, este Pleno,</w:t>
      </w:r>
    </w:p>
    <w:p w14:paraId="234EE04C" w14:textId="77777777" w:rsidR="006051C4" w:rsidRPr="006E2688" w:rsidRDefault="006051C4">
      <w:pPr>
        <w:pBdr>
          <w:top w:val="nil"/>
          <w:left w:val="nil"/>
          <w:bottom w:val="nil"/>
          <w:right w:val="nil"/>
          <w:between w:val="nil"/>
        </w:pBdr>
        <w:spacing w:line="360" w:lineRule="auto"/>
        <w:jc w:val="both"/>
        <w:rPr>
          <w:rFonts w:ascii="Palatino Linotype" w:eastAsia="Palatino Linotype" w:hAnsi="Palatino Linotype" w:cs="Palatino Linotype"/>
        </w:rPr>
      </w:pPr>
      <w:bookmarkStart w:id="7" w:name="_heading=h.3dy6vkm" w:colFirst="0" w:colLast="0"/>
      <w:bookmarkEnd w:id="7"/>
    </w:p>
    <w:p w14:paraId="23FF992E" w14:textId="77777777" w:rsidR="006051C4" w:rsidRPr="006E2688" w:rsidRDefault="006E2688">
      <w:pPr>
        <w:numPr>
          <w:ilvl w:val="0"/>
          <w:numId w:val="3"/>
        </w:numPr>
        <w:pBdr>
          <w:top w:val="nil"/>
          <w:left w:val="nil"/>
          <w:bottom w:val="nil"/>
          <w:right w:val="nil"/>
          <w:between w:val="nil"/>
        </w:pBdr>
        <w:spacing w:line="360" w:lineRule="auto"/>
        <w:jc w:val="center"/>
        <w:rPr>
          <w:rFonts w:ascii="Palatino Linotype" w:eastAsia="Palatino Linotype" w:hAnsi="Palatino Linotype" w:cs="Palatino Linotype"/>
          <w:b/>
        </w:rPr>
      </w:pPr>
      <w:r w:rsidRPr="006E2688">
        <w:rPr>
          <w:rFonts w:ascii="Palatino Linotype" w:eastAsia="Palatino Linotype" w:hAnsi="Palatino Linotype" w:cs="Palatino Linotype"/>
          <w:b/>
        </w:rPr>
        <w:t>R E S U E L V E:</w:t>
      </w:r>
    </w:p>
    <w:p w14:paraId="1FA43DD3" w14:textId="77777777" w:rsidR="006051C4" w:rsidRPr="006E2688" w:rsidRDefault="006051C4">
      <w:pPr>
        <w:pBdr>
          <w:top w:val="nil"/>
          <w:left w:val="nil"/>
          <w:bottom w:val="nil"/>
          <w:right w:val="nil"/>
          <w:between w:val="nil"/>
        </w:pBdr>
        <w:spacing w:line="360" w:lineRule="auto"/>
        <w:ind w:left="1224"/>
        <w:rPr>
          <w:rFonts w:ascii="Palatino Linotype" w:eastAsia="Palatino Linotype" w:hAnsi="Palatino Linotype" w:cs="Palatino Linotype"/>
          <w:b/>
        </w:rPr>
      </w:pPr>
    </w:p>
    <w:p w14:paraId="7AE47F65" w14:textId="77777777" w:rsidR="006051C4" w:rsidRPr="006E2688" w:rsidRDefault="006E2688">
      <w:pPr>
        <w:spacing w:line="360" w:lineRule="auto"/>
        <w:jc w:val="both"/>
      </w:pPr>
      <w:bookmarkStart w:id="8" w:name="_heading=h.4d34og8" w:colFirst="0" w:colLast="0"/>
      <w:bookmarkEnd w:id="8"/>
      <w:r w:rsidRPr="006E2688">
        <w:rPr>
          <w:rFonts w:ascii="Palatino Linotype" w:eastAsia="Palatino Linotype" w:hAnsi="Palatino Linotype" w:cs="Palatino Linotype"/>
          <w:b/>
        </w:rPr>
        <w:t>Primero.</w:t>
      </w:r>
      <w:r w:rsidRPr="006E2688">
        <w:rPr>
          <w:rFonts w:ascii="Palatino Linotype" w:eastAsia="Palatino Linotype" w:hAnsi="Palatino Linotype" w:cs="Palatino Linotype"/>
        </w:rPr>
        <w:t xml:space="preserve"> Resultan </w:t>
      </w:r>
      <w:r w:rsidRPr="006E2688">
        <w:rPr>
          <w:rFonts w:ascii="Palatino Linotype" w:eastAsia="Palatino Linotype" w:hAnsi="Palatino Linotype" w:cs="Palatino Linotype"/>
          <w:b/>
        </w:rPr>
        <w:t>infundados</w:t>
      </w:r>
      <w:r w:rsidRPr="006E2688">
        <w:rPr>
          <w:rFonts w:ascii="Palatino Linotype" w:eastAsia="Palatino Linotype" w:hAnsi="Palatino Linotype" w:cs="Palatino Linotype"/>
        </w:rPr>
        <w:t xml:space="preserve"> los motivos de inconformidad manifestados por </w:t>
      </w:r>
      <w:r w:rsidRPr="006E2688">
        <w:rPr>
          <w:rFonts w:ascii="Palatino Linotype" w:eastAsia="Palatino Linotype" w:hAnsi="Palatino Linotype" w:cs="Palatino Linotype"/>
          <w:b/>
        </w:rPr>
        <w:t xml:space="preserve">la </w:t>
      </w:r>
      <w:proofErr w:type="gramStart"/>
      <w:r w:rsidRPr="006E2688">
        <w:rPr>
          <w:rFonts w:ascii="Palatino Linotype" w:eastAsia="Palatino Linotype" w:hAnsi="Palatino Linotype" w:cs="Palatino Linotype"/>
          <w:b/>
        </w:rPr>
        <w:t>parte  Recurrente</w:t>
      </w:r>
      <w:proofErr w:type="gramEnd"/>
      <w:r w:rsidRPr="006E2688">
        <w:rPr>
          <w:rFonts w:ascii="Palatino Linotype" w:eastAsia="Palatino Linotype" w:hAnsi="Palatino Linotype" w:cs="Palatino Linotype"/>
          <w:b/>
        </w:rPr>
        <w:t xml:space="preserve"> </w:t>
      </w:r>
      <w:r w:rsidRPr="006E2688">
        <w:rPr>
          <w:rFonts w:ascii="Palatino Linotype" w:eastAsia="Palatino Linotype" w:hAnsi="Palatino Linotype" w:cs="Palatino Linotype"/>
        </w:rPr>
        <w:t xml:space="preserve">en el recurso de revisión </w:t>
      </w:r>
      <w:r w:rsidRPr="006E2688">
        <w:rPr>
          <w:rFonts w:ascii="Palatino Linotype" w:eastAsia="Palatino Linotype" w:hAnsi="Palatino Linotype" w:cs="Palatino Linotype"/>
          <w:b/>
        </w:rPr>
        <w:t>00039/INFOEM/IP/RR/2023</w:t>
      </w:r>
      <w:r w:rsidRPr="006E2688">
        <w:rPr>
          <w:rFonts w:ascii="Palatino Linotype" w:eastAsia="Palatino Linotype" w:hAnsi="Palatino Linotype" w:cs="Palatino Linotype"/>
        </w:rPr>
        <w:t xml:space="preserve">; por lo que, en términos de los argumentos señalados en el </w:t>
      </w:r>
      <w:r w:rsidRPr="006E2688">
        <w:rPr>
          <w:rFonts w:ascii="Palatino Linotype" w:eastAsia="Palatino Linotype" w:hAnsi="Palatino Linotype" w:cs="Palatino Linotype"/>
          <w:b/>
        </w:rPr>
        <w:t>Considerando Cuarto</w:t>
      </w:r>
      <w:r w:rsidRPr="006E2688">
        <w:rPr>
          <w:rFonts w:ascii="Palatino Linotype" w:eastAsia="Palatino Linotype" w:hAnsi="Palatino Linotype" w:cs="Palatino Linotype"/>
        </w:rPr>
        <w:t xml:space="preserve">, se </w:t>
      </w:r>
      <w:r w:rsidRPr="006E2688">
        <w:rPr>
          <w:rFonts w:ascii="Palatino Linotype" w:eastAsia="Palatino Linotype" w:hAnsi="Palatino Linotype" w:cs="Palatino Linotype"/>
          <w:b/>
        </w:rPr>
        <w:t>Confirma</w:t>
      </w:r>
      <w:r w:rsidRPr="006E2688">
        <w:rPr>
          <w:rFonts w:ascii="Palatino Linotype" w:eastAsia="Palatino Linotype" w:hAnsi="Palatino Linotype" w:cs="Palatino Linotype"/>
        </w:rPr>
        <w:t xml:space="preserve"> la respuesta emitida por el </w:t>
      </w:r>
      <w:r w:rsidRPr="006E2688">
        <w:rPr>
          <w:rFonts w:ascii="Palatino Linotype" w:eastAsia="Palatino Linotype" w:hAnsi="Palatino Linotype" w:cs="Palatino Linotype"/>
          <w:b/>
        </w:rPr>
        <w:t>Sujeto Obligado.</w:t>
      </w:r>
    </w:p>
    <w:p w14:paraId="2AF84B4A" w14:textId="77777777" w:rsidR="006051C4" w:rsidRPr="006E2688" w:rsidRDefault="006051C4">
      <w:pPr>
        <w:spacing w:line="360" w:lineRule="auto"/>
      </w:pPr>
    </w:p>
    <w:p w14:paraId="126D2AA1" w14:textId="77777777" w:rsidR="006051C4" w:rsidRPr="006E2688" w:rsidRDefault="006E2688">
      <w:pPr>
        <w:spacing w:line="360" w:lineRule="auto"/>
        <w:jc w:val="both"/>
      </w:pPr>
      <w:r w:rsidRPr="006E2688">
        <w:rPr>
          <w:rFonts w:ascii="Palatino Linotype" w:eastAsia="Palatino Linotype" w:hAnsi="Palatino Linotype" w:cs="Palatino Linotype"/>
          <w:b/>
        </w:rPr>
        <w:t>Segundo</w:t>
      </w:r>
      <w:r w:rsidRPr="006E2688">
        <w:rPr>
          <w:rFonts w:ascii="Palatino Linotype" w:eastAsia="Palatino Linotype" w:hAnsi="Palatino Linotype" w:cs="Palatino Linotype"/>
        </w:rPr>
        <w:t xml:space="preserve">. Notifíquese, vía </w:t>
      </w:r>
      <w:r w:rsidRPr="006E2688">
        <w:rPr>
          <w:rFonts w:ascii="Palatino Linotype" w:eastAsia="Palatino Linotype" w:hAnsi="Palatino Linotype" w:cs="Palatino Linotype"/>
          <w:b/>
        </w:rPr>
        <w:t>SAIMEX</w:t>
      </w:r>
      <w:r w:rsidRPr="006E2688">
        <w:rPr>
          <w:rFonts w:ascii="Palatino Linotype" w:eastAsia="Palatino Linotype" w:hAnsi="Palatino Linotype" w:cs="Palatino Linotype"/>
        </w:rPr>
        <w:t xml:space="preserve">, </w:t>
      </w:r>
      <w:proofErr w:type="gramStart"/>
      <w:r w:rsidRPr="006E2688">
        <w:rPr>
          <w:rFonts w:ascii="Palatino Linotype" w:eastAsia="Palatino Linotype" w:hAnsi="Palatino Linotype" w:cs="Palatino Linotype"/>
        </w:rPr>
        <w:t>al  Titular</w:t>
      </w:r>
      <w:proofErr w:type="gramEnd"/>
      <w:r w:rsidRPr="006E2688">
        <w:rPr>
          <w:rFonts w:ascii="Palatino Linotype" w:eastAsia="Palatino Linotype" w:hAnsi="Palatino Linotype" w:cs="Palatino Linotype"/>
        </w:rPr>
        <w:t xml:space="preserve">  de la Unidad de Transparencia del </w:t>
      </w:r>
      <w:r w:rsidRPr="006E2688">
        <w:rPr>
          <w:rFonts w:ascii="Palatino Linotype" w:eastAsia="Palatino Linotype" w:hAnsi="Palatino Linotype" w:cs="Palatino Linotype"/>
          <w:b/>
        </w:rPr>
        <w:t>Sujeto Obligado</w:t>
      </w:r>
      <w:r w:rsidRPr="006E2688">
        <w:rPr>
          <w:rFonts w:ascii="Palatino Linotype" w:eastAsia="Palatino Linotype" w:hAnsi="Palatino Linotype" w:cs="Palatino Linotype"/>
        </w:rPr>
        <w:t>, la presente resolución para su conocimiento.</w:t>
      </w:r>
    </w:p>
    <w:p w14:paraId="010926AD" w14:textId="77777777" w:rsidR="006051C4" w:rsidRPr="006E2688" w:rsidRDefault="006051C4">
      <w:pPr>
        <w:spacing w:line="360" w:lineRule="auto"/>
      </w:pPr>
    </w:p>
    <w:p w14:paraId="571D7990"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b/>
        </w:rPr>
        <w:t xml:space="preserve">Tercero.  Notifíquese, </w:t>
      </w:r>
      <w:r w:rsidRPr="006E2688">
        <w:rPr>
          <w:rFonts w:ascii="Palatino Linotype" w:eastAsia="Palatino Linotype" w:hAnsi="Palatino Linotype" w:cs="Palatino Linotype"/>
        </w:rPr>
        <w:t xml:space="preserve">a la parte Recurrente la presente resolución vía </w:t>
      </w:r>
      <w:r w:rsidRPr="006E2688">
        <w:rPr>
          <w:rFonts w:ascii="Palatino Linotype" w:eastAsia="Palatino Linotype" w:hAnsi="Palatino Linotype" w:cs="Palatino Linotype"/>
          <w:b/>
        </w:rPr>
        <w:t>SAIMEX</w:t>
      </w:r>
      <w:r w:rsidRPr="006E2688">
        <w:rPr>
          <w:rFonts w:ascii="Palatino Linotype" w:eastAsia="Palatino Linotype" w:hAnsi="Palatino Linotype" w:cs="Palatino Linotype"/>
        </w:rPr>
        <w:t>, así como que de conformidad con lo establecido en el artículo 196 de la Ley de Transparencia y Acceso a la Información Pública del Estado de México y Municipios podrá impugnarla vía Juicio de Amparo en los términos de las leyes aplicables.</w:t>
      </w:r>
    </w:p>
    <w:p w14:paraId="20CD646E" w14:textId="77777777" w:rsidR="006051C4" w:rsidRPr="006E2688" w:rsidRDefault="006051C4">
      <w:pPr>
        <w:spacing w:line="360" w:lineRule="auto"/>
        <w:jc w:val="both"/>
        <w:rPr>
          <w:rFonts w:ascii="Palatino Linotype" w:eastAsia="Palatino Linotype" w:hAnsi="Palatino Linotype" w:cs="Palatino Linotype"/>
        </w:rPr>
      </w:pPr>
    </w:p>
    <w:p w14:paraId="02928A1C" w14:textId="77777777" w:rsidR="006051C4" w:rsidRPr="006E2688" w:rsidRDefault="006E2688">
      <w:pPr>
        <w:spacing w:line="360" w:lineRule="auto"/>
        <w:jc w:val="both"/>
        <w:rPr>
          <w:rFonts w:ascii="Palatino Linotype" w:eastAsia="Palatino Linotype" w:hAnsi="Palatino Linotype" w:cs="Palatino Linotype"/>
        </w:rPr>
      </w:pPr>
      <w:r w:rsidRPr="006E268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CUARTA SESIÓN ORDINARIA CELEBRADA EL VEINTIOCHO DE JUNIO DE DOS MIL VEINTITRÉS, ANTE EL SECRETARIO TÉCNICO DEL PLENO ALEXIS TAPIA RAMÍREZ.</w:t>
      </w:r>
    </w:p>
    <w:p w14:paraId="4AC905D9" w14:textId="77777777" w:rsidR="006051C4" w:rsidRPr="006E2688" w:rsidRDefault="006051C4">
      <w:pPr>
        <w:spacing w:line="360" w:lineRule="auto"/>
        <w:jc w:val="both"/>
        <w:rPr>
          <w:rFonts w:ascii="Palatino Linotype" w:eastAsia="Palatino Linotype" w:hAnsi="Palatino Linotype" w:cs="Palatino Linotype"/>
        </w:rPr>
      </w:pPr>
    </w:p>
    <w:p w14:paraId="1CF24016" w14:textId="77777777" w:rsidR="006051C4" w:rsidRPr="006E2688" w:rsidRDefault="006051C4">
      <w:pPr>
        <w:spacing w:line="360" w:lineRule="auto"/>
        <w:jc w:val="both"/>
        <w:rPr>
          <w:rFonts w:ascii="Palatino Linotype" w:eastAsia="Palatino Linotype" w:hAnsi="Palatino Linotype" w:cs="Palatino Linotype"/>
        </w:rPr>
      </w:pPr>
    </w:p>
    <w:p w14:paraId="149145D7" w14:textId="77777777" w:rsidR="006051C4" w:rsidRPr="006E2688" w:rsidRDefault="006051C4">
      <w:pPr>
        <w:spacing w:line="360" w:lineRule="auto"/>
        <w:jc w:val="both"/>
        <w:rPr>
          <w:rFonts w:ascii="Palatino Linotype" w:eastAsia="Palatino Linotype" w:hAnsi="Palatino Linotype" w:cs="Palatino Linotype"/>
        </w:rPr>
      </w:pPr>
    </w:p>
    <w:p w14:paraId="24310546" w14:textId="77777777" w:rsidR="006051C4" w:rsidRPr="006E2688" w:rsidRDefault="006051C4">
      <w:pPr>
        <w:spacing w:line="360" w:lineRule="auto"/>
        <w:jc w:val="both"/>
        <w:rPr>
          <w:rFonts w:ascii="Palatino Linotype" w:eastAsia="Palatino Linotype" w:hAnsi="Palatino Linotype" w:cs="Palatino Linotype"/>
        </w:rPr>
      </w:pPr>
    </w:p>
    <w:p w14:paraId="07A422CD" w14:textId="77777777" w:rsidR="006051C4" w:rsidRPr="006E2688" w:rsidRDefault="006051C4">
      <w:pPr>
        <w:spacing w:line="360" w:lineRule="auto"/>
        <w:jc w:val="both"/>
        <w:rPr>
          <w:rFonts w:ascii="Palatino Linotype" w:eastAsia="Palatino Linotype" w:hAnsi="Palatino Linotype" w:cs="Palatino Linotype"/>
        </w:rPr>
      </w:pPr>
    </w:p>
    <w:p w14:paraId="3ED7DA2E" w14:textId="77777777" w:rsidR="006051C4" w:rsidRPr="006E2688" w:rsidRDefault="006051C4">
      <w:pPr>
        <w:spacing w:line="360" w:lineRule="auto"/>
        <w:jc w:val="both"/>
        <w:rPr>
          <w:rFonts w:ascii="Palatino Linotype" w:eastAsia="Palatino Linotype" w:hAnsi="Palatino Linotype" w:cs="Palatino Linotype"/>
        </w:rPr>
      </w:pPr>
    </w:p>
    <w:p w14:paraId="79D9EA07" w14:textId="77777777" w:rsidR="006051C4" w:rsidRPr="006E2688" w:rsidRDefault="006051C4">
      <w:pPr>
        <w:spacing w:line="360" w:lineRule="auto"/>
        <w:jc w:val="both"/>
        <w:rPr>
          <w:rFonts w:ascii="Palatino Linotype" w:eastAsia="Palatino Linotype" w:hAnsi="Palatino Linotype" w:cs="Palatino Linotype"/>
        </w:rPr>
      </w:pPr>
    </w:p>
    <w:p w14:paraId="37F40E26" w14:textId="77777777" w:rsidR="006051C4" w:rsidRPr="006E2688" w:rsidRDefault="006051C4">
      <w:pPr>
        <w:spacing w:line="360" w:lineRule="auto"/>
        <w:jc w:val="both"/>
        <w:rPr>
          <w:rFonts w:ascii="Palatino Linotype" w:eastAsia="Palatino Linotype" w:hAnsi="Palatino Linotype" w:cs="Palatino Linotype"/>
        </w:rPr>
      </w:pPr>
    </w:p>
    <w:p w14:paraId="28CF882B" w14:textId="77777777" w:rsidR="006051C4" w:rsidRPr="006E2688" w:rsidRDefault="006051C4">
      <w:pPr>
        <w:spacing w:line="360" w:lineRule="auto"/>
        <w:jc w:val="both"/>
        <w:rPr>
          <w:rFonts w:ascii="Palatino Linotype" w:eastAsia="Palatino Linotype" w:hAnsi="Palatino Linotype" w:cs="Palatino Linotype"/>
        </w:rPr>
      </w:pPr>
    </w:p>
    <w:p w14:paraId="3CA7B496" w14:textId="77777777" w:rsidR="006051C4" w:rsidRPr="006E2688" w:rsidRDefault="006051C4">
      <w:pPr>
        <w:spacing w:line="360" w:lineRule="auto"/>
        <w:jc w:val="both"/>
        <w:rPr>
          <w:rFonts w:ascii="Palatino Linotype" w:eastAsia="Palatino Linotype" w:hAnsi="Palatino Linotype" w:cs="Palatino Linotype"/>
        </w:rPr>
      </w:pPr>
    </w:p>
    <w:p w14:paraId="08C7A59A" w14:textId="77777777" w:rsidR="006051C4" w:rsidRPr="006E2688" w:rsidRDefault="006051C4">
      <w:pPr>
        <w:spacing w:line="360" w:lineRule="auto"/>
        <w:jc w:val="both"/>
        <w:rPr>
          <w:rFonts w:ascii="Palatino Linotype" w:eastAsia="Palatino Linotype" w:hAnsi="Palatino Linotype" w:cs="Palatino Linotype"/>
        </w:rPr>
      </w:pPr>
    </w:p>
    <w:p w14:paraId="6E28C6E1" w14:textId="77777777" w:rsidR="006051C4" w:rsidRPr="006E2688" w:rsidRDefault="006051C4">
      <w:pPr>
        <w:spacing w:line="360" w:lineRule="auto"/>
        <w:jc w:val="both"/>
        <w:rPr>
          <w:rFonts w:ascii="Palatino Linotype" w:eastAsia="Palatino Linotype" w:hAnsi="Palatino Linotype" w:cs="Palatino Linotype"/>
        </w:rPr>
      </w:pPr>
    </w:p>
    <w:p w14:paraId="2D629FF3" w14:textId="77777777" w:rsidR="006051C4" w:rsidRPr="006E2688" w:rsidRDefault="006051C4">
      <w:pPr>
        <w:spacing w:line="360" w:lineRule="auto"/>
        <w:ind w:right="51"/>
        <w:jc w:val="both"/>
        <w:rPr>
          <w:rFonts w:ascii="Palatino Linotype" w:eastAsia="Palatino Linotype" w:hAnsi="Palatino Linotype" w:cs="Palatino Linotype"/>
        </w:rPr>
      </w:pPr>
    </w:p>
    <w:p w14:paraId="3B9EEAA5" w14:textId="77777777" w:rsidR="006051C4" w:rsidRPr="006E2688" w:rsidRDefault="006051C4">
      <w:pPr>
        <w:spacing w:line="360" w:lineRule="auto"/>
        <w:ind w:right="51"/>
        <w:jc w:val="both"/>
        <w:rPr>
          <w:rFonts w:ascii="Palatino Linotype" w:eastAsia="Palatino Linotype" w:hAnsi="Palatino Linotype" w:cs="Palatino Linotype"/>
          <w:b/>
        </w:rPr>
      </w:pPr>
    </w:p>
    <w:p w14:paraId="5A9C8CB6" w14:textId="77777777" w:rsidR="006051C4" w:rsidRPr="006E2688" w:rsidRDefault="006051C4">
      <w:pPr>
        <w:spacing w:line="360" w:lineRule="auto"/>
        <w:ind w:right="51"/>
        <w:jc w:val="both"/>
        <w:rPr>
          <w:rFonts w:ascii="Palatino Linotype" w:eastAsia="Palatino Linotype" w:hAnsi="Palatino Linotype" w:cs="Palatino Linotype"/>
          <w:b/>
        </w:rPr>
      </w:pPr>
    </w:p>
    <w:p w14:paraId="42CF1AFA" w14:textId="77777777" w:rsidR="006051C4" w:rsidRPr="006E2688" w:rsidRDefault="006051C4">
      <w:pPr>
        <w:spacing w:line="360" w:lineRule="auto"/>
        <w:ind w:right="51"/>
        <w:jc w:val="both"/>
        <w:rPr>
          <w:rFonts w:ascii="Palatino Linotype" w:eastAsia="Palatino Linotype" w:hAnsi="Palatino Linotype" w:cs="Palatino Linotype"/>
          <w:b/>
        </w:rPr>
      </w:pPr>
    </w:p>
    <w:p w14:paraId="1E4AC223" w14:textId="77777777" w:rsidR="006051C4" w:rsidRPr="006E2688" w:rsidRDefault="006051C4">
      <w:pPr>
        <w:spacing w:line="360" w:lineRule="auto"/>
        <w:ind w:right="51"/>
        <w:jc w:val="both"/>
        <w:rPr>
          <w:rFonts w:ascii="Palatino Linotype" w:eastAsia="Palatino Linotype" w:hAnsi="Palatino Linotype" w:cs="Palatino Linotype"/>
          <w:b/>
        </w:rPr>
      </w:pPr>
    </w:p>
    <w:p w14:paraId="35067FF9" w14:textId="77777777" w:rsidR="006051C4" w:rsidRPr="006E2688" w:rsidRDefault="006051C4">
      <w:pPr>
        <w:spacing w:line="360" w:lineRule="auto"/>
        <w:ind w:right="51"/>
        <w:jc w:val="both"/>
        <w:rPr>
          <w:rFonts w:ascii="Palatino Linotype" w:eastAsia="Palatino Linotype" w:hAnsi="Palatino Linotype" w:cs="Palatino Linotype"/>
          <w:b/>
        </w:rPr>
      </w:pPr>
    </w:p>
    <w:p w14:paraId="55684354" w14:textId="77777777" w:rsidR="006051C4" w:rsidRPr="006E2688" w:rsidRDefault="006051C4">
      <w:pPr>
        <w:spacing w:line="360" w:lineRule="auto"/>
        <w:ind w:right="51"/>
        <w:jc w:val="both"/>
        <w:rPr>
          <w:rFonts w:ascii="Palatino Linotype" w:eastAsia="Palatino Linotype" w:hAnsi="Palatino Linotype" w:cs="Palatino Linotype"/>
          <w:b/>
        </w:rPr>
      </w:pPr>
    </w:p>
    <w:p w14:paraId="1BEBDF7C" w14:textId="77777777" w:rsidR="006051C4" w:rsidRPr="006E2688" w:rsidRDefault="006051C4">
      <w:pPr>
        <w:spacing w:line="360" w:lineRule="auto"/>
        <w:ind w:right="51"/>
        <w:jc w:val="both"/>
        <w:rPr>
          <w:rFonts w:ascii="Palatino Linotype" w:eastAsia="Palatino Linotype" w:hAnsi="Palatino Linotype" w:cs="Palatino Linotype"/>
          <w:b/>
        </w:rPr>
      </w:pPr>
    </w:p>
    <w:p w14:paraId="42E95616" w14:textId="77777777" w:rsidR="006051C4" w:rsidRPr="006E2688" w:rsidRDefault="006051C4">
      <w:pPr>
        <w:spacing w:line="360" w:lineRule="auto"/>
        <w:ind w:right="51"/>
        <w:jc w:val="both"/>
        <w:rPr>
          <w:rFonts w:ascii="Palatino Linotype" w:eastAsia="Palatino Linotype" w:hAnsi="Palatino Linotype" w:cs="Palatino Linotype"/>
          <w:b/>
        </w:rPr>
      </w:pPr>
    </w:p>
    <w:p w14:paraId="0C98731F" w14:textId="77777777" w:rsidR="006051C4" w:rsidRPr="006E2688" w:rsidRDefault="006051C4">
      <w:pPr>
        <w:spacing w:line="360" w:lineRule="auto"/>
        <w:ind w:right="51"/>
        <w:jc w:val="both"/>
        <w:rPr>
          <w:rFonts w:ascii="Palatino Linotype" w:eastAsia="Palatino Linotype" w:hAnsi="Palatino Linotype" w:cs="Palatino Linotype"/>
          <w:b/>
        </w:rPr>
      </w:pPr>
    </w:p>
    <w:p w14:paraId="4F8519AB" w14:textId="77777777" w:rsidR="006051C4" w:rsidRPr="006E2688" w:rsidRDefault="006051C4">
      <w:pPr>
        <w:spacing w:line="360" w:lineRule="auto"/>
        <w:ind w:right="51"/>
        <w:jc w:val="both"/>
        <w:rPr>
          <w:rFonts w:ascii="Palatino Linotype" w:eastAsia="Palatino Linotype" w:hAnsi="Palatino Linotype" w:cs="Palatino Linotype"/>
          <w:b/>
        </w:rPr>
      </w:pPr>
    </w:p>
    <w:p w14:paraId="403691CF" w14:textId="77777777" w:rsidR="006051C4" w:rsidRPr="006E2688" w:rsidRDefault="006051C4">
      <w:pPr>
        <w:spacing w:line="360" w:lineRule="auto"/>
        <w:ind w:right="51"/>
        <w:jc w:val="both"/>
        <w:rPr>
          <w:rFonts w:ascii="Palatino Linotype" w:eastAsia="Palatino Linotype" w:hAnsi="Palatino Linotype" w:cs="Palatino Linotype"/>
          <w:b/>
        </w:rPr>
      </w:pPr>
    </w:p>
    <w:p w14:paraId="08848021" w14:textId="77777777" w:rsidR="006051C4" w:rsidRPr="006E2688" w:rsidRDefault="006051C4">
      <w:pPr>
        <w:spacing w:line="360" w:lineRule="auto"/>
        <w:ind w:right="51"/>
        <w:jc w:val="both"/>
        <w:rPr>
          <w:rFonts w:ascii="Palatino Linotype" w:eastAsia="Palatino Linotype" w:hAnsi="Palatino Linotype" w:cs="Palatino Linotype"/>
          <w:b/>
        </w:rPr>
      </w:pPr>
    </w:p>
    <w:p w14:paraId="5E3421DE" w14:textId="77777777" w:rsidR="006051C4" w:rsidRPr="006E2688" w:rsidRDefault="006051C4">
      <w:pPr>
        <w:pBdr>
          <w:top w:val="nil"/>
          <w:left w:val="nil"/>
          <w:bottom w:val="nil"/>
          <w:right w:val="nil"/>
          <w:between w:val="nil"/>
        </w:pBdr>
        <w:spacing w:line="360" w:lineRule="auto"/>
        <w:rPr>
          <w:rFonts w:ascii="Palatino Linotype" w:eastAsia="Palatino Linotype" w:hAnsi="Palatino Linotype" w:cs="Palatino Linotype"/>
        </w:rPr>
      </w:pPr>
    </w:p>
    <w:sectPr w:rsidR="006051C4" w:rsidRPr="006E2688">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A0EC22" w14:textId="77777777" w:rsidR="003C635F" w:rsidRDefault="003C635F">
      <w:r>
        <w:separator/>
      </w:r>
    </w:p>
  </w:endnote>
  <w:endnote w:type="continuationSeparator" w:id="0">
    <w:p w14:paraId="14AEFF33" w14:textId="77777777" w:rsidR="003C635F" w:rsidRDefault="003C6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35667" w14:textId="77777777" w:rsidR="006051C4" w:rsidRDefault="006E26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85002">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85002">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548679B2" w14:textId="77777777" w:rsidR="006051C4" w:rsidRDefault="006051C4">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0DFE6" w14:textId="77777777" w:rsidR="006051C4" w:rsidRDefault="006E268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38500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385002">
      <w:rPr>
        <w:rFonts w:ascii="Palatino Linotype" w:eastAsia="Palatino Linotype" w:hAnsi="Palatino Linotype" w:cs="Palatino Linotype"/>
        <w:b/>
        <w:noProof/>
        <w:color w:val="000000"/>
        <w:sz w:val="20"/>
        <w:szCs w:val="20"/>
      </w:rPr>
      <w:t>33</w:t>
    </w:r>
    <w:r>
      <w:rPr>
        <w:rFonts w:ascii="Palatino Linotype" w:eastAsia="Palatino Linotype" w:hAnsi="Palatino Linotype" w:cs="Palatino Linotype"/>
        <w:b/>
        <w:color w:val="000000"/>
        <w:sz w:val="20"/>
        <w:szCs w:val="20"/>
      </w:rPr>
      <w:fldChar w:fldCharType="end"/>
    </w:r>
  </w:p>
  <w:p w14:paraId="2B2A46D5" w14:textId="77777777" w:rsidR="006051C4" w:rsidRDefault="006051C4">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CCA86" w14:textId="77777777" w:rsidR="003C635F" w:rsidRDefault="003C635F">
      <w:r>
        <w:separator/>
      </w:r>
    </w:p>
  </w:footnote>
  <w:footnote w:type="continuationSeparator" w:id="0">
    <w:p w14:paraId="0EAA2755" w14:textId="77777777" w:rsidR="003C635F" w:rsidRDefault="003C63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08EE" w14:textId="77777777" w:rsidR="006051C4" w:rsidRDefault="006E2688">
    <w:pPr>
      <w:rPr>
        <w:rFonts w:ascii="Cambria" w:eastAsia="Cambria" w:hAnsi="Cambria" w:cs="Cambria"/>
        <w:color w:val="000000"/>
      </w:rPr>
    </w:pPr>
    <w:r>
      <w:rPr>
        <w:noProof/>
      </w:rPr>
      <w:drawing>
        <wp:anchor distT="0" distB="0" distL="0" distR="0" simplePos="0" relativeHeight="251658240" behindDoc="1" locked="0" layoutInCell="1" hidden="0" allowOverlap="1" wp14:anchorId="363A14DF" wp14:editId="6D3F9270">
          <wp:simplePos x="0" y="0"/>
          <wp:positionH relativeFrom="column">
            <wp:posOffset>-1080120</wp:posOffset>
          </wp:positionH>
          <wp:positionV relativeFrom="paragraph">
            <wp:posOffset>-488298</wp:posOffset>
          </wp:positionV>
          <wp:extent cx="7809865" cy="10165715"/>
          <wp:effectExtent l="0" t="0" r="0" b="0"/>
          <wp:wrapNone/>
          <wp:docPr id="15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7"/>
      <w:tblW w:w="5953" w:type="dxa"/>
      <w:tblInd w:w="3261" w:type="dxa"/>
      <w:tblLayout w:type="fixed"/>
      <w:tblLook w:val="0400" w:firstRow="0" w:lastRow="0" w:firstColumn="0" w:lastColumn="0" w:noHBand="0" w:noVBand="1"/>
    </w:tblPr>
    <w:tblGrid>
      <w:gridCol w:w="2489"/>
      <w:gridCol w:w="3464"/>
    </w:tblGrid>
    <w:tr w:rsidR="006051C4" w14:paraId="55CC80F4" w14:textId="77777777">
      <w:tc>
        <w:tcPr>
          <w:tcW w:w="2489" w:type="dxa"/>
          <w:shd w:val="clear" w:color="auto" w:fill="auto"/>
        </w:tcPr>
        <w:p w14:paraId="3FAD6A81" w14:textId="77777777" w:rsidR="006051C4" w:rsidRDefault="006E26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7ADB9ABF" w14:textId="77777777" w:rsidR="006051C4" w:rsidRDefault="006E268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00039/INFOEM/IP/RR/2023</w:t>
          </w:r>
        </w:p>
      </w:tc>
    </w:tr>
    <w:tr w:rsidR="006051C4" w14:paraId="7A77E86C" w14:textId="77777777">
      <w:trPr>
        <w:trHeight w:val="228"/>
      </w:trPr>
      <w:tc>
        <w:tcPr>
          <w:tcW w:w="2489" w:type="dxa"/>
          <w:shd w:val="clear" w:color="auto" w:fill="auto"/>
          <w:vAlign w:val="center"/>
        </w:tcPr>
        <w:p w14:paraId="217BFC51" w14:textId="77777777" w:rsidR="006051C4" w:rsidRDefault="006E26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C8B6394" w14:textId="77777777" w:rsidR="006051C4" w:rsidRDefault="006E268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6051C4" w14:paraId="46F8505A" w14:textId="77777777">
      <w:tc>
        <w:tcPr>
          <w:tcW w:w="2489" w:type="dxa"/>
          <w:shd w:val="clear" w:color="auto" w:fill="auto"/>
          <w:vAlign w:val="center"/>
        </w:tcPr>
        <w:p w14:paraId="651C7842" w14:textId="77777777" w:rsidR="006051C4" w:rsidRDefault="006E268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103E7417" w14:textId="77777777" w:rsidR="006051C4" w:rsidRDefault="006E268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F2F56CD" w14:textId="77777777" w:rsidR="006051C4" w:rsidRDefault="006E2688">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59B7C" w14:textId="77777777" w:rsidR="006051C4" w:rsidRDefault="006051C4">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f6"/>
      <w:tblW w:w="5670" w:type="dxa"/>
      <w:tblInd w:w="3261" w:type="dxa"/>
      <w:tblLayout w:type="fixed"/>
      <w:tblLook w:val="0400" w:firstRow="0" w:lastRow="0" w:firstColumn="0" w:lastColumn="0" w:noHBand="0" w:noVBand="1"/>
    </w:tblPr>
    <w:tblGrid>
      <w:gridCol w:w="2551"/>
      <w:gridCol w:w="3119"/>
    </w:tblGrid>
    <w:tr w:rsidR="006051C4" w14:paraId="69CA570A" w14:textId="77777777">
      <w:tc>
        <w:tcPr>
          <w:tcW w:w="2551" w:type="dxa"/>
          <w:shd w:val="clear" w:color="auto" w:fill="auto"/>
          <w:vAlign w:val="center"/>
        </w:tcPr>
        <w:p w14:paraId="54EABB30" w14:textId="77777777" w:rsidR="006051C4" w:rsidRDefault="006E26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4C1C03CB" w14:textId="77777777" w:rsidR="006051C4" w:rsidRDefault="006E268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00039/INFOEM/IP/RR/2023</w:t>
          </w:r>
        </w:p>
      </w:tc>
    </w:tr>
    <w:tr w:rsidR="006051C4" w14:paraId="63090B86" w14:textId="77777777">
      <w:trPr>
        <w:trHeight w:val="130"/>
      </w:trPr>
      <w:tc>
        <w:tcPr>
          <w:tcW w:w="2551" w:type="dxa"/>
          <w:shd w:val="clear" w:color="auto" w:fill="auto"/>
          <w:vAlign w:val="center"/>
        </w:tcPr>
        <w:p w14:paraId="127A01BD" w14:textId="77777777" w:rsidR="006051C4" w:rsidRDefault="006E26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6DA160BC" w14:textId="7ED2BE33" w:rsidR="006051C4" w:rsidRDefault="005D4511">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w:t>
          </w:r>
        </w:p>
      </w:tc>
    </w:tr>
    <w:tr w:rsidR="006051C4" w14:paraId="564B3B65" w14:textId="77777777">
      <w:trPr>
        <w:trHeight w:val="228"/>
      </w:trPr>
      <w:tc>
        <w:tcPr>
          <w:tcW w:w="2551" w:type="dxa"/>
          <w:shd w:val="clear" w:color="auto" w:fill="auto"/>
          <w:vAlign w:val="center"/>
        </w:tcPr>
        <w:p w14:paraId="6D0BFE00" w14:textId="77777777" w:rsidR="006051C4" w:rsidRDefault="006E26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001C3C8A" w14:textId="77777777" w:rsidR="006051C4" w:rsidRDefault="006E268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6051C4" w14:paraId="09DC8C21" w14:textId="77777777">
      <w:tc>
        <w:tcPr>
          <w:tcW w:w="2551" w:type="dxa"/>
          <w:shd w:val="clear" w:color="auto" w:fill="auto"/>
          <w:vAlign w:val="center"/>
        </w:tcPr>
        <w:p w14:paraId="1F32738D" w14:textId="77777777" w:rsidR="006051C4" w:rsidRDefault="006E268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6D87B2A0" w14:textId="77777777" w:rsidR="006051C4" w:rsidRDefault="006E268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CF885F5" w14:textId="77777777" w:rsidR="006051C4" w:rsidRDefault="006E2688">
    <w:pPr>
      <w:pBdr>
        <w:top w:val="nil"/>
        <w:left w:val="nil"/>
        <w:bottom w:val="nil"/>
        <w:right w:val="nil"/>
        <w:between w:val="nil"/>
      </w:pBdr>
      <w:tabs>
        <w:tab w:val="center" w:pos="4252"/>
        <w:tab w:val="right" w:pos="8504"/>
      </w:tabs>
      <w:rPr>
        <w:rFonts w:ascii="Cambria" w:eastAsia="Cambria" w:hAnsi="Cambria" w:cs="Cambria"/>
        <w:color w:val="000000"/>
      </w:rPr>
    </w:pPr>
    <w:r>
      <w:rPr>
        <w:noProof/>
      </w:rPr>
      <w:drawing>
        <wp:anchor distT="0" distB="0" distL="0" distR="0" simplePos="0" relativeHeight="251659264" behindDoc="1" locked="0" layoutInCell="1" hidden="0" allowOverlap="1" wp14:anchorId="3AE1D450" wp14:editId="049AE432">
          <wp:simplePos x="0" y="0"/>
          <wp:positionH relativeFrom="column">
            <wp:posOffset>-1089645</wp:posOffset>
          </wp:positionH>
          <wp:positionV relativeFrom="paragraph">
            <wp:posOffset>-1169655</wp:posOffset>
          </wp:positionV>
          <wp:extent cx="7809865" cy="10165715"/>
          <wp:effectExtent l="0" t="0" r="0" b="0"/>
          <wp:wrapNone/>
          <wp:docPr id="15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D149B"/>
    <w:multiLevelType w:val="multilevel"/>
    <w:tmpl w:val="66A8C9DC"/>
    <w:lvl w:ilvl="0">
      <w:start w:val="1"/>
      <w:numFmt w:val="lowerLetter"/>
      <w:pStyle w:val="Listaconvietas3"/>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9314D79"/>
    <w:multiLevelType w:val="multilevel"/>
    <w:tmpl w:val="AF365A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0D6128"/>
    <w:multiLevelType w:val="multilevel"/>
    <w:tmpl w:val="E8C44BC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59F18BF"/>
    <w:multiLevelType w:val="multilevel"/>
    <w:tmpl w:val="38161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AB779CB"/>
    <w:multiLevelType w:val="multilevel"/>
    <w:tmpl w:val="76C4D558"/>
    <w:lvl w:ilvl="0">
      <w:start w:val="3"/>
      <w:numFmt w:val="upperRoman"/>
      <w:pStyle w:val="Listaconvietas2"/>
      <w:lvlText w:val="%1."/>
      <w:lvlJc w:val="right"/>
      <w:pPr>
        <w:ind w:left="158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1C4"/>
    <w:rsid w:val="000A4F8D"/>
    <w:rsid w:val="00110C6D"/>
    <w:rsid w:val="001164C2"/>
    <w:rsid w:val="00385002"/>
    <w:rsid w:val="003C635F"/>
    <w:rsid w:val="005D4511"/>
    <w:rsid w:val="006051C4"/>
    <w:rsid w:val="006E2688"/>
    <w:rsid w:val="00715D5D"/>
    <w:rsid w:val="008E5709"/>
    <w:rsid w:val="00C418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B41B1"/>
  <w15:docId w15:val="{B16A56FC-CFD8-4B79-A28D-90A83F18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uiPriority w:val="9"/>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603D72"/>
    <w:pPr>
      <w:spacing w:after="120"/>
      <w:ind w:left="283"/>
    </w:pPr>
  </w:style>
  <w:style w:type="character" w:customStyle="1" w:styleId="SangradetextonormalCar">
    <w:name w:val="Sangría de texto normal Car"/>
    <w:basedOn w:val="Fuentedeprrafopredeter"/>
    <w:link w:val="Sangradetextonormal"/>
    <w:uiPriority w:val="99"/>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1">
    <w:name w:val="11"/>
    <w:basedOn w:val="TableNormal1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10">
    <w:name w:val="10"/>
    <w:basedOn w:val="TableNormal10"/>
    <w:tblPr>
      <w:tblStyleRowBandSize w:val="1"/>
      <w:tblStyleColBandSize w:val="1"/>
      <w:tblCellMar>
        <w:left w:w="115" w:type="dxa"/>
        <w:right w:w="115" w:type="dxa"/>
      </w:tblCellMar>
    </w:tblPr>
  </w:style>
  <w:style w:type="table" w:customStyle="1" w:styleId="9">
    <w:name w:val="9"/>
    <w:basedOn w:val="TableNormal10"/>
    <w:tblPr>
      <w:tblStyleRowBandSize w:val="1"/>
      <w:tblStyleColBandSize w:val="1"/>
      <w:tblCellMar>
        <w:left w:w="115"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8">
    <w:name w:val="8"/>
    <w:basedOn w:val="TableNormal10"/>
    <w:tblPr>
      <w:tblStyleRowBandSize w:val="1"/>
      <w:tblStyleColBandSize w:val="1"/>
      <w:tblCellMar>
        <w:left w:w="115" w:type="dxa"/>
        <w:right w:w="115" w:type="dxa"/>
      </w:tblCellMar>
    </w:tblPr>
  </w:style>
  <w:style w:type="table" w:customStyle="1" w:styleId="7">
    <w:name w:val="7"/>
    <w:basedOn w:val="TableNormal10"/>
    <w:tblPr>
      <w:tblStyleRowBandSize w:val="1"/>
      <w:tblStyleColBandSize w:val="1"/>
      <w:tblCellMar>
        <w:left w:w="115" w:type="dxa"/>
        <w:right w:w="115" w:type="dxa"/>
      </w:tblCellMar>
    </w:tblPr>
  </w:style>
  <w:style w:type="table" w:customStyle="1" w:styleId="6">
    <w:name w:val="6"/>
    <w:basedOn w:val="TableNormal20"/>
    <w:tblPr>
      <w:tblStyleRowBandSize w:val="1"/>
      <w:tblStyleColBandSize w:val="1"/>
      <w:tblCellMar>
        <w:left w:w="115" w:type="dxa"/>
        <w:right w:w="115" w:type="dxa"/>
      </w:tblCellMar>
    </w:tblPr>
  </w:style>
  <w:style w:type="table" w:customStyle="1" w:styleId="5">
    <w:name w:val="5"/>
    <w:basedOn w:val="TableNormal20"/>
    <w:tblPr>
      <w:tblStyleRowBandSize w:val="1"/>
      <w:tblStyleColBandSize w:val="1"/>
      <w:tblCellMar>
        <w:left w:w="115" w:type="dxa"/>
        <w:right w:w="115" w:type="dxa"/>
      </w:tblCellMar>
    </w:tblPr>
  </w:style>
  <w:style w:type="table" w:customStyle="1" w:styleId="4">
    <w:name w:val="4"/>
    <w:basedOn w:val="TableNormal30"/>
    <w:tblPr>
      <w:tblStyleRowBandSize w:val="1"/>
      <w:tblStyleColBandSize w:val="1"/>
      <w:tblCellMar>
        <w:left w:w="115" w:type="dxa"/>
        <w:right w:w="115" w:type="dxa"/>
      </w:tblCellMar>
    </w:tblPr>
  </w:style>
  <w:style w:type="table" w:customStyle="1" w:styleId="3">
    <w:name w:val="3"/>
    <w:basedOn w:val="TableNormal30"/>
    <w:tblPr>
      <w:tblStyleRowBandSize w:val="1"/>
      <w:tblStyleColBandSize w:val="1"/>
      <w:tblCellMar>
        <w:left w:w="115" w:type="dxa"/>
        <w:right w:w="115" w:type="dxa"/>
      </w:tblCellMar>
    </w:tblPr>
  </w:style>
  <w:style w:type="paragraph" w:styleId="Saludo">
    <w:name w:val="Salutation"/>
    <w:basedOn w:val="Normal"/>
    <w:next w:val="Normal"/>
    <w:link w:val="SaludoCar"/>
    <w:uiPriority w:val="99"/>
    <w:unhideWhenUsed/>
    <w:rsid w:val="00A34A66"/>
  </w:style>
  <w:style w:type="character" w:customStyle="1" w:styleId="SaludoCar">
    <w:name w:val="Saludo Car"/>
    <w:basedOn w:val="Fuentedeprrafopredeter"/>
    <w:link w:val="Saludo"/>
    <w:uiPriority w:val="99"/>
    <w:rsid w:val="00A34A66"/>
  </w:style>
  <w:style w:type="paragraph" w:styleId="Listaconvietas2">
    <w:name w:val="List Bullet 2"/>
    <w:basedOn w:val="Normal"/>
    <w:uiPriority w:val="99"/>
    <w:unhideWhenUsed/>
    <w:rsid w:val="00A34A66"/>
    <w:pPr>
      <w:numPr>
        <w:numId w:val="3"/>
      </w:numPr>
      <w:contextualSpacing/>
    </w:pPr>
  </w:style>
  <w:style w:type="table" w:customStyle="1" w:styleId="2">
    <w:name w:val="2"/>
    <w:basedOn w:val="TableNormal40"/>
    <w:tblPr>
      <w:tblStyleRowBandSize w:val="1"/>
      <w:tblStyleColBandSize w:val="1"/>
      <w:tblCellMar>
        <w:left w:w="115" w:type="dxa"/>
        <w:right w:w="115" w:type="dxa"/>
      </w:tblCellMar>
    </w:tblPr>
  </w:style>
  <w:style w:type="table" w:customStyle="1" w:styleId="1">
    <w:name w:val="1"/>
    <w:basedOn w:val="TableNormal40"/>
    <w:tblPr>
      <w:tblStyleRowBandSize w:val="1"/>
      <w:tblStyleColBandSize w:val="1"/>
      <w:tblCellMar>
        <w:left w:w="115" w:type="dxa"/>
        <w:right w:w="115" w:type="dxa"/>
      </w:tblCellMar>
    </w:tblPr>
  </w:style>
  <w:style w:type="table" w:customStyle="1" w:styleId="a">
    <w:basedOn w:val="TableNormal9"/>
    <w:tblPr>
      <w:tblStyleRowBandSize w:val="1"/>
      <w:tblStyleColBandSize w:val="1"/>
      <w:tblCellMar>
        <w:left w:w="115" w:type="dxa"/>
        <w:right w:w="115" w:type="dxa"/>
      </w:tblCellMar>
    </w:tblPr>
  </w:style>
  <w:style w:type="table" w:customStyle="1" w:styleId="a0">
    <w:basedOn w:val="TableNormal9"/>
    <w:tblPr>
      <w:tblStyleRowBandSize w:val="1"/>
      <w:tblStyleColBandSize w:val="1"/>
      <w:tblCellMar>
        <w:left w:w="115" w:type="dxa"/>
        <w:right w:w="115" w:type="dxa"/>
      </w:tblCellMar>
    </w:tblPr>
  </w:style>
  <w:style w:type="table" w:customStyle="1" w:styleId="a2">
    <w:basedOn w:val="TableNormal8"/>
    <w:tblPr>
      <w:tblStyleRowBandSize w:val="1"/>
      <w:tblStyleColBandSize w:val="1"/>
      <w:tblCellMar>
        <w:left w:w="115" w:type="dxa"/>
        <w:right w:w="115" w:type="dxa"/>
      </w:tblCellMar>
    </w:tblPr>
  </w:style>
  <w:style w:type="table" w:customStyle="1" w:styleId="a3">
    <w:basedOn w:val="TableNormal8"/>
    <w:tblPr>
      <w:tblStyleRowBandSize w:val="1"/>
      <w:tblStyleColBandSize w:val="1"/>
      <w:tblCellMar>
        <w:left w:w="115" w:type="dxa"/>
        <w:right w:w="115" w:type="dxa"/>
      </w:tblCellMar>
    </w:tblPr>
  </w:style>
  <w:style w:type="table" w:customStyle="1" w:styleId="a4">
    <w:basedOn w:val="TableNormal7"/>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5">
    <w:basedOn w:val="TableNormal7"/>
    <w:tblPr>
      <w:tblStyleRowBandSize w:val="1"/>
      <w:tblStyleColBandSize w:val="1"/>
      <w:tblCellMar>
        <w:left w:w="115" w:type="dxa"/>
        <w:right w:w="115" w:type="dxa"/>
      </w:tblCellMar>
    </w:tblPr>
  </w:style>
  <w:style w:type="table" w:customStyle="1" w:styleId="a6">
    <w:basedOn w:val="TableNormal7"/>
    <w:tblPr>
      <w:tblStyleRowBandSize w:val="1"/>
      <w:tblStyleColBandSize w:val="1"/>
      <w:tblCellMar>
        <w:left w:w="115" w:type="dxa"/>
        <w:right w:w="115" w:type="dxa"/>
      </w:tblCellMar>
    </w:tblPr>
  </w:style>
  <w:style w:type="table" w:customStyle="1" w:styleId="a7">
    <w:basedOn w:val="TableNormal6"/>
    <w:tblPr>
      <w:tblStyleRowBandSize w:val="1"/>
      <w:tblStyleColBandSize w:val="1"/>
      <w:tblCellMar>
        <w:left w:w="115" w:type="dxa"/>
        <w:right w:w="115" w:type="dxa"/>
      </w:tblCellMar>
    </w:tblPr>
  </w:style>
  <w:style w:type="table" w:customStyle="1" w:styleId="a8">
    <w:basedOn w:val="TableNormal6"/>
    <w:tblPr>
      <w:tblStyleRowBandSize w:val="1"/>
      <w:tblStyleColBandSize w:val="1"/>
      <w:tblCellMar>
        <w:left w:w="115" w:type="dxa"/>
        <w:right w:w="115" w:type="dxa"/>
      </w:tblCellMar>
    </w:tblPr>
  </w:style>
  <w:style w:type="table" w:customStyle="1" w:styleId="a9">
    <w:basedOn w:val="TableNormal6"/>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a">
    <w:basedOn w:val="TableNormal6"/>
    <w:tblPr>
      <w:tblStyleRowBandSize w:val="1"/>
      <w:tblStyleColBandSize w:val="1"/>
      <w:tblCellMar>
        <w:left w:w="115" w:type="dxa"/>
        <w:right w:w="115" w:type="dxa"/>
      </w:tblCellMar>
    </w:tblPr>
  </w:style>
  <w:style w:type="table" w:customStyle="1" w:styleId="ab">
    <w:basedOn w:val="TableNormal6"/>
    <w:tblPr>
      <w:tblStyleRowBandSize w:val="1"/>
      <w:tblStyleColBandSize w:val="1"/>
      <w:tblCellMar>
        <w:left w:w="115" w:type="dxa"/>
        <w:right w:w="115" w:type="dxa"/>
      </w:tblCellMar>
    </w:tblPr>
  </w:style>
  <w:style w:type="table" w:customStyle="1" w:styleId="ac">
    <w:basedOn w:val="TableNormal5"/>
    <w:tblPr>
      <w:tblStyleRowBandSize w:val="1"/>
      <w:tblStyleColBandSize w:val="1"/>
      <w:tblCellMar>
        <w:left w:w="115" w:type="dxa"/>
        <w:right w:w="115" w:type="dxa"/>
      </w:tblCellMar>
    </w:tblPr>
  </w:style>
  <w:style w:type="table" w:customStyle="1" w:styleId="ad">
    <w:basedOn w:val="TableNormal5"/>
    <w:tblPr>
      <w:tblStyleRowBandSize w:val="1"/>
      <w:tblStyleColBandSize w:val="1"/>
      <w:tblCellMar>
        <w:left w:w="115" w:type="dxa"/>
        <w:right w:w="115" w:type="dxa"/>
      </w:tblCellMar>
    </w:tblPr>
  </w:style>
  <w:style w:type="paragraph" w:styleId="Cita">
    <w:name w:val="Quote"/>
    <w:basedOn w:val="Normal"/>
    <w:next w:val="Normal"/>
    <w:link w:val="CitaCar"/>
    <w:uiPriority w:val="29"/>
    <w:qFormat/>
    <w:rsid w:val="0021391B"/>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21391B"/>
    <w:rPr>
      <w:i/>
      <w:iCs/>
      <w:color w:val="404040" w:themeColor="text1" w:themeTint="BF"/>
    </w:rPr>
  </w:style>
  <w:style w:type="table" w:customStyle="1" w:styleId="ae">
    <w:basedOn w:val="TableNormal4"/>
    <w:tblPr>
      <w:tblStyleRowBandSize w:val="1"/>
      <w:tblStyleColBandSize w:val="1"/>
      <w:tblCellMar>
        <w:left w:w="115" w:type="dxa"/>
        <w:right w:w="115" w:type="dxa"/>
      </w:tblCellMar>
    </w:tblPr>
  </w:style>
  <w:style w:type="table" w:customStyle="1" w:styleId="af">
    <w:basedOn w:val="TableNormal4"/>
    <w:tblPr>
      <w:tblStyleRowBandSize w:val="1"/>
      <w:tblStyleColBandSize w:val="1"/>
      <w:tblCellMar>
        <w:left w:w="115" w:type="dxa"/>
        <w:right w:w="115" w:type="dxa"/>
      </w:tblCellMar>
    </w:tblPr>
  </w:style>
  <w:style w:type="table" w:customStyle="1" w:styleId="af0">
    <w:basedOn w:val="TableNormal3"/>
    <w:tblPr>
      <w:tblStyleRowBandSize w:val="1"/>
      <w:tblStyleColBandSize w:val="1"/>
      <w:tblCellMar>
        <w:left w:w="115" w:type="dxa"/>
        <w:right w:w="115" w:type="dxa"/>
      </w:tblCellMar>
    </w:tblPr>
  </w:style>
  <w:style w:type="table" w:customStyle="1" w:styleId="af1">
    <w:basedOn w:val="TableNormal3"/>
    <w:tblPr>
      <w:tblStyleRowBandSize w:val="1"/>
      <w:tblStyleColBandSize w:val="1"/>
      <w:tblCellMar>
        <w:left w:w="115" w:type="dxa"/>
        <w:right w:w="115" w:type="dxa"/>
      </w:tblCellMar>
    </w:tblPr>
  </w:style>
  <w:style w:type="table" w:customStyle="1" w:styleId="af2">
    <w:basedOn w:val="TableNormal2"/>
    <w:tblPr>
      <w:tblStyleRowBandSize w:val="1"/>
      <w:tblStyleColBandSize w:val="1"/>
      <w:tblCellMar>
        <w:left w:w="115" w:type="dxa"/>
        <w:right w:w="115" w:type="dxa"/>
      </w:tblCellMar>
    </w:tblPr>
  </w:style>
  <w:style w:type="table" w:customStyle="1" w:styleId="af3">
    <w:basedOn w:val="TableNormal2"/>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0"/>
    <w:tblPr>
      <w:tblStyleRowBandSize w:val="1"/>
      <w:tblStyleColBandSize w:val="1"/>
      <w:tblCellMar>
        <w:left w:w="115" w:type="dxa"/>
        <w:right w:w="115" w:type="dxa"/>
      </w:tblCellMar>
    </w:tblPr>
  </w:style>
  <w:style w:type="table" w:customStyle="1" w:styleId="af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71359.page" TargetMode="Externa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71632.page"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saimex.org.mx/saimex/solicitud/downloadAttach/1671631.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1671630.page"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UNQ2R0g5RT/pVZSy7RhxlOhVXg==">CgMxLjAyCWguMWZvYjl0ZTIIaC5namRneHMyCWguMzBqMHpsbDIJaC4yczhleW8xMghoLnR5amN3dDIJaC4zem55c2g3MgloLjJldDkycDAyCWguMXQzaDVzZjIJaC4zZHk2dmttMgloLjRkMzRvZzg4AHIhMUpOX3FZSXNRakpxTGk2OENiLXBUamlYSk9NbThGeDdI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33</Pages>
  <Words>7048</Words>
  <Characters>38764</Characters>
  <Application>Microsoft Office Word</Application>
  <DocSecurity>4</DocSecurity>
  <Lines>323</Lines>
  <Paragraphs>91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2023-07-01T05:45:00Z</cp:lastPrinted>
  <dcterms:created xsi:type="dcterms:W3CDTF">2023-07-03T18:20:00Z</dcterms:created>
  <dcterms:modified xsi:type="dcterms:W3CDTF">2023-07-03T18:20:00Z</dcterms:modified>
</cp:coreProperties>
</file>