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B17" w:rsidRPr="001B02F9" w:rsidRDefault="00490B17" w:rsidP="00490B17">
      <w:pPr>
        <w:spacing w:before="240" w:after="240" w:line="360" w:lineRule="auto"/>
        <w:jc w:val="both"/>
      </w:pPr>
      <w:r w:rsidRPr="001B02F9">
        <w:rPr>
          <w:rFonts w:ascii="Palatino Linotype" w:hAnsi="Palatino Linotype"/>
        </w:rPr>
        <w:t>Resolución del Pleno del Instituto de Transparencia, Acceso a la Información Pública y Protección de Datos Personales del Estado de México y Municipios, con domicilio en Metepec, Estado de México;  de veintisiete (27) de septiembre de dos mil veintitrés.</w:t>
      </w:r>
    </w:p>
    <w:p w:rsidR="00490B17" w:rsidRPr="001B02F9" w:rsidRDefault="00490B17" w:rsidP="00490B17">
      <w:pPr>
        <w:spacing w:before="240" w:after="360" w:line="360" w:lineRule="auto"/>
        <w:jc w:val="both"/>
        <w:rPr>
          <w:rFonts w:ascii="Palatino Linotype" w:hAnsi="Palatino Linotype"/>
          <w:b/>
        </w:rPr>
      </w:pPr>
      <w:r w:rsidRPr="001B02F9">
        <w:rPr>
          <w:rFonts w:ascii="Palatino Linotype" w:hAnsi="Palatino Linotype"/>
          <w:b/>
        </w:rPr>
        <w:t>VISTO</w:t>
      </w:r>
      <w:r w:rsidRPr="001B02F9">
        <w:rPr>
          <w:rFonts w:ascii="Palatino Linotype" w:hAnsi="Palatino Linotype"/>
        </w:rPr>
        <w:t xml:space="preserve"> el expediente electrónico formado con motivo del recurso de revisión </w:t>
      </w:r>
      <w:r w:rsidRPr="001B02F9">
        <w:rPr>
          <w:rFonts w:ascii="Palatino Linotype" w:hAnsi="Palatino Linotype"/>
          <w:b/>
        </w:rPr>
        <w:t>01728/INFOEM/IP/RR/2023</w:t>
      </w:r>
      <w:r w:rsidRPr="001B02F9">
        <w:rPr>
          <w:rFonts w:ascii="Palatino Linotype" w:hAnsi="Palatino Linotype" w:cs="Arial"/>
          <w:b/>
          <w:bCs/>
        </w:rPr>
        <w:t xml:space="preserve">; </w:t>
      </w:r>
      <w:r w:rsidR="00F343F9" w:rsidRPr="001B02F9">
        <w:rPr>
          <w:rFonts w:ascii="Palatino Linotype" w:hAnsi="Palatino Linotype"/>
        </w:rPr>
        <w:t>promovido</w:t>
      </w:r>
      <w:r w:rsidRPr="001B02F9">
        <w:rPr>
          <w:rFonts w:ascii="Palatino Linotype" w:hAnsi="Palatino Linotype"/>
        </w:rPr>
        <w:t xml:space="preserve"> por</w:t>
      </w:r>
      <w:r w:rsidRPr="001B02F9">
        <w:rPr>
          <w:rFonts w:ascii="Palatino Linotype" w:hAnsi="Palatino Linotype"/>
          <w:b/>
        </w:rPr>
        <w:t xml:space="preserve"> </w:t>
      </w:r>
      <w:r w:rsidR="007E7C8F">
        <w:rPr>
          <w:rFonts w:ascii="Palatino Linotype" w:hAnsi="Palatino Linotype"/>
          <w:b/>
          <w:bCs/>
        </w:rPr>
        <w:t xml:space="preserve">XXX </w:t>
      </w:r>
      <w:proofErr w:type="spellStart"/>
      <w:r w:rsidR="007E7C8F">
        <w:rPr>
          <w:rFonts w:ascii="Palatino Linotype" w:hAnsi="Palatino Linotype"/>
          <w:b/>
          <w:bCs/>
        </w:rPr>
        <w:t>XXX</w:t>
      </w:r>
      <w:proofErr w:type="spellEnd"/>
      <w:r w:rsidR="007E7C8F">
        <w:rPr>
          <w:rFonts w:ascii="Palatino Linotype" w:hAnsi="Palatino Linotype"/>
          <w:b/>
          <w:bCs/>
        </w:rPr>
        <w:t xml:space="preserve"> </w:t>
      </w:r>
      <w:proofErr w:type="spellStart"/>
      <w:r w:rsidR="007E7C8F">
        <w:rPr>
          <w:rFonts w:ascii="Palatino Linotype" w:hAnsi="Palatino Linotype"/>
          <w:b/>
          <w:bCs/>
        </w:rPr>
        <w:t>XXX</w:t>
      </w:r>
      <w:proofErr w:type="spellEnd"/>
      <w:r w:rsidRPr="001B02F9">
        <w:rPr>
          <w:rFonts w:ascii="Palatino Linotype" w:hAnsi="Palatino Linotype"/>
          <w:b/>
        </w:rPr>
        <w:t xml:space="preserve">, </w:t>
      </w:r>
      <w:r w:rsidRPr="001B02F9">
        <w:rPr>
          <w:rFonts w:ascii="Palatino Linotype" w:hAnsi="Palatino Linotype" w:cs="Arial"/>
        </w:rPr>
        <w:t xml:space="preserve">en su calidad de </w:t>
      </w:r>
      <w:r w:rsidRPr="001B02F9">
        <w:rPr>
          <w:rFonts w:ascii="Palatino Linotype" w:hAnsi="Palatino Linotype" w:cs="Arial"/>
          <w:b/>
        </w:rPr>
        <w:t>RECURRENTE</w:t>
      </w:r>
      <w:r w:rsidRPr="001B02F9">
        <w:rPr>
          <w:rFonts w:ascii="Palatino Linotype" w:hAnsi="Palatino Linotype" w:cs="Arial"/>
        </w:rPr>
        <w:t>, en contra de la respuesta del</w:t>
      </w:r>
      <w:r w:rsidRPr="001B02F9">
        <w:rPr>
          <w:rFonts w:ascii="Palatino Linotype" w:hAnsi="Palatino Linotype"/>
        </w:rPr>
        <w:t xml:space="preserve"> </w:t>
      </w:r>
      <w:r w:rsidRPr="001B02F9">
        <w:rPr>
          <w:rFonts w:ascii="Palatino Linotype" w:hAnsi="Palatino Linotype"/>
          <w:b/>
        </w:rPr>
        <w:t xml:space="preserve">Ayuntamiento de </w:t>
      </w:r>
      <w:r w:rsidRPr="001B02F9">
        <w:rPr>
          <w:rFonts w:ascii="Palatino Linotype" w:hAnsi="Palatino Linotype"/>
          <w:b/>
          <w:bCs/>
        </w:rPr>
        <w:t>Nezahualcóyotl</w:t>
      </w:r>
      <w:r w:rsidRPr="001B02F9">
        <w:rPr>
          <w:rFonts w:ascii="Palatino Linotype" w:hAnsi="Palatino Linotype"/>
          <w:b/>
        </w:rPr>
        <w:t xml:space="preserve">, </w:t>
      </w:r>
      <w:r w:rsidRPr="001B02F9">
        <w:rPr>
          <w:rFonts w:ascii="Palatino Linotype" w:hAnsi="Palatino Linotype"/>
        </w:rPr>
        <w:t>en lo sucesivo el</w:t>
      </w:r>
      <w:r w:rsidRPr="001B02F9">
        <w:rPr>
          <w:rFonts w:ascii="Palatino Linotype" w:hAnsi="Palatino Linotype"/>
          <w:b/>
        </w:rPr>
        <w:t xml:space="preserve"> SUJETO OBLIGADO, </w:t>
      </w:r>
      <w:r w:rsidRPr="001B02F9">
        <w:rPr>
          <w:rFonts w:ascii="Palatino Linotype" w:hAnsi="Palatino Linotype"/>
        </w:rPr>
        <w:t>se procede a dictar la presente resolución, con base en los siguientes:</w:t>
      </w:r>
    </w:p>
    <w:p w:rsidR="00490B17" w:rsidRPr="001B02F9" w:rsidRDefault="00490B17" w:rsidP="00490B17">
      <w:pPr>
        <w:pStyle w:val="Ttulo1"/>
        <w:spacing w:line="360" w:lineRule="auto"/>
        <w:jc w:val="center"/>
        <w:rPr>
          <w:b/>
          <w:color w:val="auto"/>
        </w:rPr>
      </w:pPr>
      <w:bookmarkStart w:id="0" w:name="_Toc461555884"/>
      <w:bookmarkStart w:id="1" w:name="_Toc466371847"/>
      <w:bookmarkStart w:id="2" w:name="_Toc61470696"/>
      <w:r w:rsidRPr="001B02F9">
        <w:rPr>
          <w:b/>
          <w:color w:val="auto"/>
        </w:rPr>
        <w:t>ANTECEDENTES</w:t>
      </w:r>
      <w:bookmarkEnd w:id="0"/>
      <w:bookmarkEnd w:id="1"/>
      <w:bookmarkEnd w:id="2"/>
    </w:p>
    <w:p w:rsidR="00490B17" w:rsidRPr="001B02F9" w:rsidRDefault="00490B17" w:rsidP="00490B17">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1B02F9">
        <w:rPr>
          <w:rFonts w:ascii="Palatino Linotype" w:eastAsia="Calibri" w:hAnsi="Palatino Linotype" w:cs="Arial"/>
          <w:sz w:val="24"/>
          <w:lang w:val="es-ES"/>
        </w:rPr>
        <w:t>El veinte (20) de febrero de dos mil veintitrés</w:t>
      </w:r>
      <w:r w:rsidRPr="001B02F9">
        <w:rPr>
          <w:rFonts w:ascii="Palatino Linotype" w:hAnsi="Palatino Linotype"/>
          <w:b/>
          <w:sz w:val="24"/>
        </w:rPr>
        <w:t xml:space="preserve">, </w:t>
      </w:r>
      <w:r w:rsidRPr="001B02F9">
        <w:rPr>
          <w:rFonts w:ascii="Palatino Linotype" w:eastAsia="Calibri" w:hAnsi="Palatino Linotype" w:cs="Arial"/>
          <w:sz w:val="24"/>
          <w:lang w:val="es-ES"/>
        </w:rPr>
        <w:t xml:space="preserve">se presentó ante el </w:t>
      </w:r>
      <w:r w:rsidRPr="001B02F9">
        <w:rPr>
          <w:rFonts w:ascii="Palatino Linotype" w:eastAsia="Calibri" w:hAnsi="Palatino Linotype" w:cs="Arial"/>
          <w:b/>
          <w:sz w:val="24"/>
          <w:lang w:val="es-ES"/>
        </w:rPr>
        <w:t>SUJETO OBLIGADO</w:t>
      </w:r>
      <w:r w:rsidRPr="001B02F9">
        <w:rPr>
          <w:rFonts w:ascii="Palatino Linotype" w:eastAsia="Calibri" w:hAnsi="Palatino Linotype" w:cs="Arial"/>
          <w:sz w:val="24"/>
        </w:rPr>
        <w:t xml:space="preserve"> vía </w:t>
      </w:r>
      <w:r w:rsidRPr="001B02F9">
        <w:rPr>
          <w:rFonts w:ascii="Palatino Linotype" w:eastAsia="Calibri" w:hAnsi="Palatino Linotype" w:cs="Arial"/>
          <w:sz w:val="24"/>
          <w:lang w:val="es-ES"/>
        </w:rPr>
        <w:t xml:space="preserve">Sistema de Acceso a la Información Mexiquense </w:t>
      </w:r>
      <w:r w:rsidRPr="001B02F9">
        <w:rPr>
          <w:rFonts w:ascii="Palatino Linotype" w:eastAsia="Calibri" w:hAnsi="Palatino Linotype" w:cs="Arial"/>
          <w:b/>
          <w:i/>
          <w:sz w:val="24"/>
          <w:lang w:val="es-ES"/>
        </w:rPr>
        <w:t>SAIMEX</w:t>
      </w:r>
      <w:r w:rsidRPr="001B02F9">
        <w:rPr>
          <w:rFonts w:ascii="Palatino Linotype" w:eastAsia="Calibri" w:hAnsi="Palatino Linotype" w:cs="Arial"/>
          <w:sz w:val="24"/>
          <w:lang w:val="es-ES"/>
        </w:rPr>
        <w:t xml:space="preserve">, la solicitud de información pública registrada con el número </w:t>
      </w:r>
      <w:r w:rsidRPr="001B02F9">
        <w:rPr>
          <w:rFonts w:ascii="Palatino Linotype" w:hAnsi="Palatino Linotype"/>
          <w:b/>
          <w:bCs/>
          <w:sz w:val="24"/>
        </w:rPr>
        <w:t xml:space="preserve">00064/NEZA/IP/2023, </w:t>
      </w:r>
      <w:r w:rsidR="00F343F9" w:rsidRPr="001B02F9">
        <w:rPr>
          <w:rFonts w:ascii="Palatino Linotype" w:eastAsia="Calibri" w:hAnsi="Palatino Linotype" w:cs="Arial"/>
          <w:sz w:val="24"/>
          <w:lang w:val="es-ES"/>
        </w:rPr>
        <w:t xml:space="preserve">en la que </w:t>
      </w:r>
      <w:r w:rsidRPr="001B02F9">
        <w:rPr>
          <w:rFonts w:ascii="Palatino Linotype" w:eastAsia="Calibri" w:hAnsi="Palatino Linotype" w:cs="Arial"/>
          <w:sz w:val="24"/>
          <w:lang w:val="es-ES"/>
        </w:rPr>
        <w:t xml:space="preserve"> solicitó:</w:t>
      </w:r>
    </w:p>
    <w:p w:rsidR="00490B17" w:rsidRPr="001B02F9" w:rsidRDefault="00490B17" w:rsidP="00490B17">
      <w:pPr>
        <w:pStyle w:val="Prrafodelista"/>
        <w:spacing w:line="276" w:lineRule="auto"/>
        <w:ind w:left="567" w:right="567"/>
        <w:jc w:val="both"/>
        <w:rPr>
          <w:rFonts w:ascii="Palatino Linotype" w:hAnsi="Palatino Linotype"/>
          <w:sz w:val="24"/>
        </w:rPr>
      </w:pPr>
      <w:r w:rsidRPr="001B02F9">
        <w:rPr>
          <w:rFonts w:ascii="Palatino Linotype" w:hAnsi="Palatino Linotype"/>
          <w:i/>
          <w:sz w:val="24"/>
          <w:szCs w:val="22"/>
        </w:rPr>
        <w:t>“Del municipio de Nezahualcóyotl solicitó de manera digital, los expedientes por clausuras en el municipio por falta de licencia por venta de bebidas alcoholicas de lo que va en la presente administración, en caso de sobrepasar la capacidad de la herramienta de transparencia, solicito me sea puesto a disposición de manera digital para ser grabado en un dispositivo extravíele de mi propiedad.</w:t>
      </w:r>
      <w:r w:rsidRPr="001B02F9">
        <w:rPr>
          <w:rFonts w:ascii="Palatino Linotype" w:hAnsi="Palatino Linotype"/>
          <w:i/>
          <w:sz w:val="24"/>
        </w:rPr>
        <w:t>”</w:t>
      </w:r>
      <w:r w:rsidRPr="001B02F9">
        <w:rPr>
          <w:rFonts w:ascii="Palatino Linotype" w:hAnsi="Palatino Linotype"/>
          <w:sz w:val="24"/>
        </w:rPr>
        <w:t xml:space="preserve"> (Sic)</w:t>
      </w:r>
    </w:p>
    <w:p w:rsidR="00490B17" w:rsidRPr="001B02F9" w:rsidRDefault="00490B17" w:rsidP="00490B17">
      <w:pPr>
        <w:pStyle w:val="Prrafodelista"/>
        <w:spacing w:line="276" w:lineRule="auto"/>
        <w:ind w:left="567" w:right="567"/>
        <w:jc w:val="both"/>
        <w:rPr>
          <w:rFonts w:ascii="Palatino Linotype" w:hAnsi="Palatino Linotype"/>
          <w:sz w:val="24"/>
        </w:rPr>
      </w:pPr>
    </w:p>
    <w:p w:rsidR="00490B17" w:rsidRPr="001B02F9" w:rsidRDefault="00490B17" w:rsidP="00490B17">
      <w:pPr>
        <w:pStyle w:val="Prrafodelista"/>
        <w:tabs>
          <w:tab w:val="left" w:pos="284"/>
        </w:tabs>
        <w:spacing w:before="240" w:after="240" w:line="360" w:lineRule="auto"/>
        <w:ind w:left="0"/>
        <w:jc w:val="both"/>
        <w:rPr>
          <w:rFonts w:ascii="Palatino Linotype" w:eastAsia="MS Mincho" w:hAnsi="Palatino Linotype"/>
          <w:sz w:val="24"/>
        </w:rPr>
      </w:pPr>
    </w:p>
    <w:p w:rsidR="00490B17" w:rsidRPr="001B02F9" w:rsidRDefault="00490B17" w:rsidP="00490B17">
      <w:pPr>
        <w:pStyle w:val="Prrafodelista"/>
        <w:numPr>
          <w:ilvl w:val="0"/>
          <w:numId w:val="2"/>
        </w:numPr>
        <w:tabs>
          <w:tab w:val="left" w:pos="284"/>
        </w:tabs>
        <w:spacing w:before="240" w:after="240" w:line="360" w:lineRule="auto"/>
        <w:ind w:left="0" w:firstLine="0"/>
        <w:jc w:val="both"/>
        <w:rPr>
          <w:rFonts w:ascii="Palatino Linotype" w:eastAsia="MS Mincho" w:hAnsi="Palatino Linotype"/>
          <w:sz w:val="24"/>
        </w:rPr>
      </w:pPr>
      <w:r w:rsidRPr="001B02F9">
        <w:rPr>
          <w:rFonts w:ascii="Palatino Linotype" w:eastAsia="Calibri" w:hAnsi="Palatino Linotype" w:cs="Arial"/>
          <w:sz w:val="24"/>
          <w:lang w:val="es-AR"/>
        </w:rPr>
        <w:t xml:space="preserve">De las constancias </w:t>
      </w:r>
      <w:r w:rsidRPr="001B02F9">
        <w:rPr>
          <w:rFonts w:ascii="Palatino Linotype" w:hAnsi="Palatino Linotype" w:cs="Arial"/>
          <w:sz w:val="24"/>
          <w:lang w:val="es-ES"/>
        </w:rPr>
        <w:t xml:space="preserve">que obran en el expediente, se aprecia que el entonces </w:t>
      </w:r>
      <w:r w:rsidRPr="001B02F9">
        <w:rPr>
          <w:rFonts w:ascii="Palatino Linotype" w:hAnsi="Palatino Linotype" w:cs="Arial"/>
          <w:b/>
          <w:sz w:val="24"/>
          <w:lang w:val="es-ES"/>
        </w:rPr>
        <w:t>SOLICITANTE</w:t>
      </w:r>
      <w:r w:rsidRPr="001B02F9">
        <w:rPr>
          <w:rFonts w:ascii="Palatino Linotype" w:hAnsi="Palatino Linotype" w:cs="Arial"/>
          <w:sz w:val="24"/>
          <w:lang w:val="es-ES"/>
        </w:rPr>
        <w:t xml:space="preserve"> señaló como modalidad de entrega de la información “</w:t>
      </w:r>
      <w:r w:rsidRPr="001B02F9">
        <w:rPr>
          <w:rFonts w:ascii="Palatino Linotype" w:hAnsi="Palatino Linotype"/>
          <w:sz w:val="24"/>
          <w:szCs w:val="14"/>
        </w:rPr>
        <w:t xml:space="preserve">A través del </w:t>
      </w:r>
      <w:r w:rsidRPr="001B02F9">
        <w:rPr>
          <w:rFonts w:ascii="Palatino Linotype" w:hAnsi="Palatino Linotype"/>
          <w:b/>
          <w:sz w:val="24"/>
          <w:szCs w:val="14"/>
        </w:rPr>
        <w:t>SAIMEX”</w:t>
      </w:r>
      <w:r w:rsidRPr="001B02F9">
        <w:rPr>
          <w:rFonts w:ascii="Palatino Linotype" w:hAnsi="Palatino Linotype"/>
          <w:sz w:val="24"/>
          <w:szCs w:val="14"/>
        </w:rPr>
        <w:t>.</w:t>
      </w:r>
    </w:p>
    <w:p w:rsidR="00490B17" w:rsidRPr="001B02F9" w:rsidRDefault="00490B17" w:rsidP="00490B17">
      <w:pPr>
        <w:pStyle w:val="Prrafodelista"/>
        <w:numPr>
          <w:ilvl w:val="0"/>
          <w:numId w:val="2"/>
        </w:numPr>
        <w:tabs>
          <w:tab w:val="left" w:pos="284"/>
        </w:tabs>
        <w:spacing w:line="360" w:lineRule="auto"/>
        <w:ind w:left="0" w:right="34" w:firstLine="0"/>
        <w:jc w:val="both"/>
        <w:rPr>
          <w:rFonts w:ascii="Palatino Linotype" w:hAnsi="Palatino Linotype" w:cs="Arial"/>
          <w:sz w:val="24"/>
          <w:szCs w:val="22"/>
        </w:rPr>
      </w:pPr>
      <w:r w:rsidRPr="001B02F9">
        <w:rPr>
          <w:rFonts w:ascii="Palatino Linotype" w:hAnsi="Palatino Linotype" w:cs="Arial"/>
          <w:sz w:val="24"/>
          <w:szCs w:val="22"/>
        </w:rPr>
        <w:lastRenderedPageBreak/>
        <w:t xml:space="preserve">El veintiuno (21) de febrero de dos mil veintitrés, se realizó un requerimiento al servidor público habilitado. </w:t>
      </w:r>
    </w:p>
    <w:p w:rsidR="00490B17" w:rsidRPr="001B02F9" w:rsidRDefault="00490B17" w:rsidP="00490B17">
      <w:pPr>
        <w:pStyle w:val="Prrafodelista"/>
        <w:tabs>
          <w:tab w:val="left" w:pos="284"/>
        </w:tabs>
        <w:spacing w:line="360" w:lineRule="auto"/>
        <w:ind w:left="0" w:right="34"/>
        <w:jc w:val="both"/>
        <w:rPr>
          <w:rFonts w:ascii="Palatino Linotype" w:hAnsi="Palatino Linotype" w:cs="Arial"/>
          <w:i/>
          <w:sz w:val="24"/>
          <w:szCs w:val="22"/>
        </w:rPr>
      </w:pPr>
    </w:p>
    <w:p w:rsidR="00490B17" w:rsidRPr="001B02F9" w:rsidRDefault="00490B17" w:rsidP="00490B17">
      <w:pPr>
        <w:pStyle w:val="Prrafodelista"/>
        <w:numPr>
          <w:ilvl w:val="0"/>
          <w:numId w:val="2"/>
        </w:numPr>
        <w:tabs>
          <w:tab w:val="left" w:pos="284"/>
        </w:tabs>
        <w:spacing w:line="360" w:lineRule="auto"/>
        <w:ind w:left="0" w:right="34" w:firstLine="0"/>
        <w:jc w:val="both"/>
        <w:rPr>
          <w:rFonts w:ascii="Palatino Linotype" w:hAnsi="Palatino Linotype" w:cs="Arial"/>
          <w:i/>
          <w:sz w:val="24"/>
          <w:szCs w:val="22"/>
        </w:rPr>
      </w:pPr>
      <w:r w:rsidRPr="001B02F9">
        <w:rPr>
          <w:rFonts w:ascii="Palatino Linotype" w:eastAsia="Calibri" w:hAnsi="Palatino Linotype" w:cs="Arial"/>
          <w:sz w:val="24"/>
          <w:lang w:val="es-AR"/>
        </w:rPr>
        <w:t>El nueve (09) de marzo de dos mil veintitrés, el SUJETO OBLIGADO dio respuesta a la solicitud de información en el siguiente sentido:</w:t>
      </w:r>
    </w:p>
    <w:p w:rsidR="00490B17" w:rsidRPr="001B02F9" w:rsidRDefault="00490B17" w:rsidP="00490B17">
      <w:pPr>
        <w:pStyle w:val="Prrafodelista"/>
        <w:tabs>
          <w:tab w:val="left" w:pos="284"/>
        </w:tabs>
        <w:spacing w:line="360" w:lineRule="auto"/>
        <w:ind w:left="0" w:right="34"/>
        <w:jc w:val="both"/>
        <w:rPr>
          <w:rFonts w:ascii="Palatino Linotype" w:hAnsi="Palatino Linotype" w:cs="Arial"/>
          <w:i/>
          <w:sz w:val="24"/>
          <w:szCs w:val="22"/>
        </w:rPr>
      </w:pPr>
    </w:p>
    <w:tbl>
      <w:tblPr>
        <w:tblW w:w="8277" w:type="dxa"/>
        <w:jc w:val="center"/>
        <w:tblCellSpacing w:w="0" w:type="dxa"/>
        <w:tblCellMar>
          <w:left w:w="0" w:type="dxa"/>
          <w:right w:w="0" w:type="dxa"/>
        </w:tblCellMar>
        <w:tblLook w:val="04A0" w:firstRow="1" w:lastRow="0" w:firstColumn="1" w:lastColumn="0" w:noHBand="0" w:noVBand="1"/>
      </w:tblPr>
      <w:tblGrid>
        <w:gridCol w:w="8277"/>
      </w:tblGrid>
      <w:tr w:rsidR="00490B17" w:rsidRPr="001B02F9" w:rsidTr="00490B17">
        <w:trPr>
          <w:trHeight w:val="353"/>
          <w:tblCellSpacing w:w="0" w:type="dxa"/>
          <w:jc w:val="center"/>
        </w:trPr>
        <w:tc>
          <w:tcPr>
            <w:tcW w:w="0" w:type="auto"/>
            <w:vAlign w:val="center"/>
            <w:hideMark/>
          </w:tcPr>
          <w:p w:rsidR="00490B17" w:rsidRPr="001B02F9" w:rsidRDefault="00490B17" w:rsidP="00490B17">
            <w:pPr>
              <w:jc w:val="right"/>
              <w:rPr>
                <w:rFonts w:ascii="Palatino Linotype" w:hAnsi="Palatino Linotype"/>
                <w:i/>
                <w:sz w:val="22"/>
                <w:lang w:val="es-ES" w:eastAsia="es-ES"/>
              </w:rPr>
            </w:pPr>
            <w:r w:rsidRPr="001B02F9">
              <w:rPr>
                <w:rFonts w:ascii="Palatino Linotype" w:hAnsi="Palatino Linotype"/>
                <w:i/>
                <w:sz w:val="22"/>
                <w:szCs w:val="18"/>
                <w:lang w:val="es-ES" w:eastAsia="es-ES"/>
              </w:rPr>
              <w:br/>
              <w:t>“Nezahualcóyotl, México a 09 de Marzo de 2023</w:t>
            </w:r>
          </w:p>
        </w:tc>
      </w:tr>
      <w:tr w:rsidR="00490B17" w:rsidRPr="001B02F9" w:rsidTr="00490B17">
        <w:trPr>
          <w:trHeight w:val="353"/>
          <w:tblCellSpacing w:w="0" w:type="dxa"/>
          <w:jc w:val="center"/>
        </w:trPr>
        <w:tc>
          <w:tcPr>
            <w:tcW w:w="0" w:type="auto"/>
            <w:vAlign w:val="center"/>
            <w:hideMark/>
          </w:tcPr>
          <w:p w:rsidR="00490B17" w:rsidRPr="001B02F9" w:rsidRDefault="00490B17" w:rsidP="00490B17">
            <w:pPr>
              <w:jc w:val="right"/>
              <w:rPr>
                <w:rFonts w:ascii="Palatino Linotype" w:hAnsi="Palatino Linotype"/>
                <w:i/>
                <w:sz w:val="22"/>
                <w:lang w:val="es-ES" w:eastAsia="es-ES"/>
              </w:rPr>
            </w:pPr>
            <w:r w:rsidRPr="001B02F9">
              <w:rPr>
                <w:rFonts w:ascii="Palatino Linotype" w:hAnsi="Palatino Linotype"/>
                <w:i/>
                <w:sz w:val="22"/>
                <w:szCs w:val="18"/>
                <w:lang w:val="es-ES" w:eastAsia="es-ES"/>
              </w:rPr>
              <w:t>Nombre del solicitante: C. Solicitante</w:t>
            </w:r>
          </w:p>
        </w:tc>
      </w:tr>
      <w:tr w:rsidR="00490B17" w:rsidRPr="001B02F9" w:rsidTr="00490B17">
        <w:trPr>
          <w:trHeight w:val="353"/>
          <w:tblCellSpacing w:w="0" w:type="dxa"/>
          <w:jc w:val="center"/>
        </w:trPr>
        <w:tc>
          <w:tcPr>
            <w:tcW w:w="0" w:type="auto"/>
            <w:vAlign w:val="center"/>
            <w:hideMark/>
          </w:tcPr>
          <w:p w:rsidR="00490B17" w:rsidRPr="001B02F9" w:rsidRDefault="00490B17" w:rsidP="00490B17">
            <w:pPr>
              <w:jc w:val="right"/>
              <w:rPr>
                <w:rFonts w:ascii="Palatino Linotype" w:hAnsi="Palatino Linotype"/>
                <w:i/>
                <w:sz w:val="22"/>
                <w:lang w:val="es-ES" w:eastAsia="es-ES"/>
              </w:rPr>
            </w:pPr>
            <w:r w:rsidRPr="001B02F9">
              <w:rPr>
                <w:rFonts w:ascii="Palatino Linotype" w:hAnsi="Palatino Linotype"/>
                <w:i/>
                <w:sz w:val="22"/>
                <w:szCs w:val="18"/>
                <w:lang w:val="es-ES" w:eastAsia="es-ES"/>
              </w:rPr>
              <w:t>Folio de la solicitud: 00064/NEZA/IP/2023</w:t>
            </w:r>
          </w:p>
        </w:tc>
      </w:tr>
      <w:tr w:rsidR="00490B17" w:rsidRPr="001B02F9" w:rsidTr="00490B17">
        <w:trPr>
          <w:trHeight w:val="530"/>
          <w:tblCellSpacing w:w="0" w:type="dxa"/>
          <w:jc w:val="center"/>
        </w:trPr>
        <w:tc>
          <w:tcPr>
            <w:tcW w:w="0" w:type="auto"/>
            <w:vAlign w:val="center"/>
            <w:hideMark/>
          </w:tcPr>
          <w:p w:rsidR="00490B17" w:rsidRPr="001B02F9" w:rsidRDefault="00490B17" w:rsidP="00490B17">
            <w:pPr>
              <w:jc w:val="right"/>
              <w:rPr>
                <w:rFonts w:ascii="Palatino Linotype" w:hAnsi="Palatino Linotype"/>
                <w:i/>
                <w:sz w:val="22"/>
                <w:lang w:val="es-ES" w:eastAsia="es-ES"/>
              </w:rPr>
            </w:pPr>
          </w:p>
        </w:tc>
      </w:tr>
      <w:tr w:rsidR="00490B17" w:rsidRPr="001B02F9" w:rsidTr="00490B17">
        <w:trPr>
          <w:trHeight w:val="176"/>
          <w:tblCellSpacing w:w="0" w:type="dxa"/>
          <w:jc w:val="center"/>
        </w:trPr>
        <w:tc>
          <w:tcPr>
            <w:tcW w:w="0" w:type="auto"/>
            <w:vAlign w:val="center"/>
            <w:hideMark/>
          </w:tcPr>
          <w:p w:rsidR="00490B17" w:rsidRPr="001B02F9" w:rsidRDefault="00490B17" w:rsidP="00490B17">
            <w:pPr>
              <w:rPr>
                <w:rFonts w:ascii="Palatino Linotype" w:hAnsi="Palatino Linotype"/>
                <w:i/>
                <w:sz w:val="22"/>
                <w:lang w:val="es-ES" w:eastAsia="es-ES"/>
              </w:rPr>
            </w:pPr>
            <w:r w:rsidRPr="001B02F9">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90B17" w:rsidRPr="001B02F9" w:rsidTr="00490B17">
        <w:trPr>
          <w:trHeight w:val="441"/>
          <w:tblCellSpacing w:w="0" w:type="dxa"/>
          <w:jc w:val="center"/>
        </w:trPr>
        <w:tc>
          <w:tcPr>
            <w:tcW w:w="0" w:type="auto"/>
            <w:vAlign w:val="center"/>
            <w:hideMark/>
          </w:tcPr>
          <w:p w:rsidR="00490B17" w:rsidRPr="001B02F9" w:rsidRDefault="00490B17" w:rsidP="00490B17">
            <w:pPr>
              <w:rPr>
                <w:rFonts w:ascii="Palatino Linotype" w:hAnsi="Palatino Linotype"/>
                <w:i/>
                <w:sz w:val="22"/>
                <w:lang w:val="es-ES" w:eastAsia="es-ES"/>
              </w:rPr>
            </w:pPr>
          </w:p>
        </w:tc>
      </w:tr>
      <w:tr w:rsidR="00490B17" w:rsidRPr="001B02F9" w:rsidTr="00490B17">
        <w:trPr>
          <w:trHeight w:val="176"/>
          <w:tblCellSpacing w:w="0" w:type="dxa"/>
          <w:jc w:val="center"/>
        </w:trPr>
        <w:tc>
          <w:tcPr>
            <w:tcW w:w="0" w:type="auto"/>
            <w:vAlign w:val="center"/>
            <w:hideMark/>
          </w:tcPr>
          <w:p w:rsidR="00490B17" w:rsidRPr="001B02F9" w:rsidRDefault="00490B17" w:rsidP="00490B17">
            <w:pPr>
              <w:rPr>
                <w:rFonts w:ascii="Palatino Linotype" w:hAnsi="Palatino Linotype"/>
                <w:i/>
                <w:sz w:val="22"/>
                <w:lang w:val="es-ES" w:eastAsia="es-ES"/>
              </w:rPr>
            </w:pPr>
            <w:r w:rsidRPr="001B02F9">
              <w:rPr>
                <w:rFonts w:ascii="Palatino Linotype" w:hAnsi="Palatino Linotype"/>
                <w:i/>
                <w:sz w:val="22"/>
                <w:szCs w:val="18"/>
                <w:lang w:val="es-ES" w:eastAsia="es-ES"/>
              </w:rPr>
              <w:t>me permito remitir a usted, la respuesta generada bajo su más estricta responsabilidad por el Servidor Público Habilitado de la Consejería Jurídica, mediante el oficio CJ/0225/2023, así como, el Acta correspondiente a la Octava Sesión Extraordinaria del Comité de Transparencia del H. Ayuntamiento de Nezahualcóyotl 2023; ACT/CT/NEZA/EXT/VIII/2023 mismos que se anexan a la presente.</w:t>
            </w:r>
          </w:p>
        </w:tc>
      </w:tr>
      <w:tr w:rsidR="00490B17" w:rsidRPr="001B02F9" w:rsidTr="00490B17">
        <w:trPr>
          <w:trHeight w:val="441"/>
          <w:tblCellSpacing w:w="0" w:type="dxa"/>
          <w:jc w:val="center"/>
        </w:trPr>
        <w:tc>
          <w:tcPr>
            <w:tcW w:w="0" w:type="auto"/>
            <w:vAlign w:val="center"/>
            <w:hideMark/>
          </w:tcPr>
          <w:p w:rsidR="00490B17" w:rsidRPr="001B02F9" w:rsidRDefault="00490B17" w:rsidP="00490B17">
            <w:pPr>
              <w:rPr>
                <w:rFonts w:ascii="Palatino Linotype" w:hAnsi="Palatino Linotype"/>
                <w:i/>
                <w:sz w:val="22"/>
                <w:lang w:val="es-ES" w:eastAsia="es-ES"/>
              </w:rPr>
            </w:pPr>
          </w:p>
        </w:tc>
      </w:tr>
      <w:tr w:rsidR="00490B17" w:rsidRPr="001B02F9" w:rsidTr="00490B17">
        <w:trPr>
          <w:trHeight w:val="176"/>
          <w:tblCellSpacing w:w="0" w:type="dxa"/>
          <w:jc w:val="center"/>
        </w:trPr>
        <w:tc>
          <w:tcPr>
            <w:tcW w:w="0" w:type="auto"/>
            <w:vAlign w:val="center"/>
            <w:hideMark/>
          </w:tcPr>
          <w:p w:rsidR="00490B17" w:rsidRPr="001B02F9" w:rsidRDefault="00490B17" w:rsidP="00490B17">
            <w:pPr>
              <w:jc w:val="center"/>
              <w:rPr>
                <w:rFonts w:ascii="Palatino Linotype" w:hAnsi="Palatino Linotype"/>
                <w:i/>
                <w:sz w:val="22"/>
                <w:szCs w:val="20"/>
                <w:lang w:val="es-ES" w:eastAsia="es-ES"/>
              </w:rPr>
            </w:pPr>
          </w:p>
        </w:tc>
      </w:tr>
      <w:tr w:rsidR="00490B17" w:rsidRPr="001B02F9" w:rsidTr="00490B17">
        <w:trPr>
          <w:trHeight w:val="176"/>
          <w:tblCellSpacing w:w="0" w:type="dxa"/>
          <w:jc w:val="center"/>
        </w:trPr>
        <w:tc>
          <w:tcPr>
            <w:tcW w:w="0" w:type="auto"/>
            <w:vAlign w:val="center"/>
            <w:hideMark/>
          </w:tcPr>
          <w:p w:rsidR="00490B17" w:rsidRPr="001B02F9" w:rsidRDefault="00490B17" w:rsidP="00490B17">
            <w:pPr>
              <w:rPr>
                <w:rFonts w:ascii="Palatino Linotype" w:hAnsi="Palatino Linotype"/>
                <w:i/>
                <w:sz w:val="22"/>
                <w:szCs w:val="20"/>
                <w:lang w:val="es-ES" w:eastAsia="es-ES"/>
              </w:rPr>
            </w:pPr>
          </w:p>
        </w:tc>
      </w:tr>
      <w:tr w:rsidR="00490B17" w:rsidRPr="001B02F9" w:rsidTr="00490B17">
        <w:trPr>
          <w:trHeight w:val="176"/>
          <w:tblCellSpacing w:w="0" w:type="dxa"/>
          <w:jc w:val="center"/>
        </w:trPr>
        <w:tc>
          <w:tcPr>
            <w:tcW w:w="0" w:type="auto"/>
            <w:vAlign w:val="center"/>
            <w:hideMark/>
          </w:tcPr>
          <w:p w:rsidR="00490B17" w:rsidRPr="001B02F9" w:rsidRDefault="00490B17" w:rsidP="00490B17">
            <w:pPr>
              <w:rPr>
                <w:rFonts w:ascii="Palatino Linotype" w:hAnsi="Palatino Linotype"/>
                <w:i/>
                <w:sz w:val="22"/>
                <w:lang w:val="es-ES" w:eastAsia="es-ES"/>
              </w:rPr>
            </w:pPr>
            <w:r w:rsidRPr="001B02F9">
              <w:rPr>
                <w:rFonts w:ascii="Palatino Linotype" w:hAnsi="Palatino Linotype"/>
                <w:i/>
                <w:sz w:val="22"/>
                <w:szCs w:val="18"/>
                <w:lang w:val="es-ES" w:eastAsia="es-ES"/>
              </w:rPr>
              <w:t>ATENTAMENTE</w:t>
            </w:r>
          </w:p>
        </w:tc>
      </w:tr>
      <w:tr w:rsidR="00490B17" w:rsidRPr="001B02F9" w:rsidTr="00490B17">
        <w:trPr>
          <w:trHeight w:val="265"/>
          <w:tblCellSpacing w:w="0" w:type="dxa"/>
          <w:jc w:val="center"/>
        </w:trPr>
        <w:tc>
          <w:tcPr>
            <w:tcW w:w="0" w:type="auto"/>
            <w:vAlign w:val="center"/>
            <w:hideMark/>
          </w:tcPr>
          <w:p w:rsidR="00490B17" w:rsidRPr="001B02F9" w:rsidRDefault="00490B17" w:rsidP="00490B17">
            <w:pPr>
              <w:rPr>
                <w:rFonts w:ascii="Palatino Linotype" w:hAnsi="Palatino Linotype"/>
                <w:i/>
                <w:sz w:val="22"/>
                <w:lang w:val="es-ES" w:eastAsia="es-ES"/>
              </w:rPr>
            </w:pPr>
          </w:p>
        </w:tc>
      </w:tr>
      <w:tr w:rsidR="00490B17" w:rsidRPr="001B02F9" w:rsidTr="00490B17">
        <w:trPr>
          <w:trHeight w:val="176"/>
          <w:tblCellSpacing w:w="0" w:type="dxa"/>
          <w:jc w:val="center"/>
        </w:trPr>
        <w:tc>
          <w:tcPr>
            <w:tcW w:w="0" w:type="auto"/>
            <w:vAlign w:val="center"/>
            <w:hideMark/>
          </w:tcPr>
          <w:p w:rsidR="00490B17" w:rsidRPr="001B02F9" w:rsidRDefault="00490B17" w:rsidP="00490B17">
            <w:pPr>
              <w:rPr>
                <w:rFonts w:ascii="Palatino Linotype" w:hAnsi="Palatino Linotype"/>
                <w:i/>
                <w:sz w:val="22"/>
                <w:lang w:val="es-ES" w:eastAsia="es-ES"/>
              </w:rPr>
            </w:pPr>
            <w:r w:rsidRPr="001B02F9">
              <w:rPr>
                <w:rFonts w:ascii="Palatino Linotype" w:hAnsi="Palatino Linotype"/>
                <w:i/>
                <w:sz w:val="22"/>
                <w:szCs w:val="18"/>
                <w:lang w:val="es-ES" w:eastAsia="es-ES"/>
              </w:rPr>
              <w:t>C. MARIA GUADALUPE PÉREZ HERNÁNDEZ”</w:t>
            </w:r>
          </w:p>
        </w:tc>
      </w:tr>
    </w:tbl>
    <w:p w:rsidR="00490B17" w:rsidRPr="001B02F9" w:rsidRDefault="00490B17" w:rsidP="00490B17">
      <w:pPr>
        <w:pStyle w:val="Prrafodelista"/>
        <w:spacing w:line="360" w:lineRule="auto"/>
        <w:ind w:left="0" w:right="34"/>
        <w:jc w:val="both"/>
        <w:rPr>
          <w:rFonts w:ascii="Palatino Linotype" w:hAnsi="Palatino Linotype"/>
          <w:b/>
          <w:bCs/>
        </w:rPr>
      </w:pPr>
    </w:p>
    <w:p w:rsidR="00490B17" w:rsidRPr="001B02F9" w:rsidRDefault="00490B17" w:rsidP="00490B17">
      <w:pPr>
        <w:pStyle w:val="Prrafodelista"/>
        <w:spacing w:line="360" w:lineRule="auto"/>
        <w:ind w:left="0" w:right="34"/>
        <w:jc w:val="both"/>
        <w:rPr>
          <w:rFonts w:ascii="Palatino Linotype" w:hAnsi="Palatino Linotype"/>
          <w:b/>
          <w:bCs/>
        </w:rPr>
      </w:pPr>
    </w:p>
    <w:p w:rsidR="00490B17" w:rsidRPr="001B02F9" w:rsidRDefault="00490B17" w:rsidP="00490B17">
      <w:pPr>
        <w:spacing w:line="360" w:lineRule="auto"/>
        <w:ind w:right="34"/>
        <w:jc w:val="both"/>
        <w:rPr>
          <w:rFonts w:ascii="Palatino Linotype" w:hAnsi="Palatino Linotype"/>
          <w:bCs/>
        </w:rPr>
      </w:pPr>
      <w:r w:rsidRPr="001B02F9">
        <w:rPr>
          <w:rFonts w:ascii="Palatino Linotype" w:hAnsi="Palatino Linotype"/>
          <w:bCs/>
        </w:rPr>
        <w:t xml:space="preserve">A la respuesta se adjuntaron los documentos que se describen enseguida: </w:t>
      </w:r>
    </w:p>
    <w:p w:rsidR="00490B17" w:rsidRPr="001B02F9" w:rsidRDefault="00490B17" w:rsidP="00490B17">
      <w:pPr>
        <w:spacing w:line="360" w:lineRule="auto"/>
        <w:ind w:right="34"/>
        <w:jc w:val="both"/>
        <w:rPr>
          <w:rFonts w:ascii="Palatino Linotype" w:hAnsi="Palatino Linotype"/>
          <w:bCs/>
        </w:rPr>
      </w:pPr>
    </w:p>
    <w:p w:rsidR="00490B17" w:rsidRPr="001B02F9" w:rsidRDefault="00490B17" w:rsidP="00490B17">
      <w:pPr>
        <w:pStyle w:val="Prrafodelista"/>
        <w:numPr>
          <w:ilvl w:val="0"/>
          <w:numId w:val="5"/>
        </w:numPr>
        <w:spacing w:line="360" w:lineRule="auto"/>
        <w:ind w:right="34"/>
        <w:jc w:val="both"/>
        <w:rPr>
          <w:rFonts w:ascii="Palatino Linotype" w:hAnsi="Palatino Linotype"/>
          <w:bCs/>
        </w:rPr>
      </w:pPr>
      <w:r w:rsidRPr="001B02F9">
        <w:rPr>
          <w:rFonts w:ascii="Palatino Linotype" w:hAnsi="Palatino Linotype"/>
          <w:bCs/>
          <w:sz w:val="24"/>
        </w:rPr>
        <w:t xml:space="preserve"> </w:t>
      </w:r>
      <w:hyperlink r:id="rId8" w:tgtFrame="_blank" w:history="1">
        <w:r w:rsidRPr="001B02F9">
          <w:rPr>
            <w:rStyle w:val="Hipervnculo"/>
            <w:rFonts w:ascii="Palatino Linotype" w:hAnsi="Palatino Linotype"/>
            <w:b/>
            <w:bCs/>
            <w:color w:val="auto"/>
          </w:rPr>
          <w:t>ACT-CT-NEZA-EXT-VIII-2023.pdf</w:t>
        </w:r>
      </w:hyperlink>
      <w:r w:rsidRPr="001B02F9">
        <w:rPr>
          <w:rFonts w:ascii="Palatino Linotype" w:hAnsi="Palatino Linotype"/>
          <w:bCs/>
        </w:rPr>
        <w:t xml:space="preserve">: acta de la octava sesión extraordinaria del comité de transparencia mediante la cual se clasifica como reservada la información referente a los expedientes por clausura </w:t>
      </w:r>
      <w:r w:rsidR="00B34ACA" w:rsidRPr="001B02F9">
        <w:rPr>
          <w:rFonts w:ascii="Palatino Linotype" w:hAnsi="Palatino Linotype"/>
          <w:bCs/>
        </w:rPr>
        <w:t xml:space="preserve">por falta de licencia por venta de bebidas alcohólicas; oficio suscrito por el Consejero Jurídico mediante el cual propone la clasificación de la información solicitada en su modalidad de reservada. </w:t>
      </w:r>
    </w:p>
    <w:p w:rsidR="00B34ACA" w:rsidRPr="001B02F9" w:rsidRDefault="00B34ACA" w:rsidP="00B34ACA">
      <w:pPr>
        <w:pStyle w:val="Prrafodelista"/>
        <w:spacing w:line="360" w:lineRule="auto"/>
        <w:ind w:right="34"/>
        <w:jc w:val="both"/>
        <w:rPr>
          <w:rFonts w:ascii="Palatino Linotype" w:hAnsi="Palatino Linotype"/>
          <w:bCs/>
        </w:rPr>
      </w:pPr>
    </w:p>
    <w:p w:rsidR="00490B17" w:rsidRPr="001B02F9" w:rsidRDefault="0068557F" w:rsidP="00490B17">
      <w:pPr>
        <w:pStyle w:val="Prrafodelista"/>
        <w:numPr>
          <w:ilvl w:val="0"/>
          <w:numId w:val="5"/>
        </w:numPr>
        <w:spacing w:line="360" w:lineRule="auto"/>
        <w:ind w:right="34"/>
        <w:jc w:val="both"/>
        <w:rPr>
          <w:rFonts w:ascii="Palatino Linotype" w:hAnsi="Palatino Linotype"/>
          <w:bCs/>
          <w:sz w:val="24"/>
        </w:rPr>
      </w:pPr>
      <w:hyperlink r:id="rId9" w:tgtFrame="_blank" w:history="1">
        <w:r w:rsidR="00490B17" w:rsidRPr="001B02F9">
          <w:rPr>
            <w:rStyle w:val="Hipervnculo"/>
            <w:rFonts w:ascii="Palatino Linotype" w:hAnsi="Palatino Linotype"/>
            <w:b/>
            <w:bCs/>
            <w:color w:val="auto"/>
          </w:rPr>
          <w:t>CONTESTACION 64.pdf</w:t>
        </w:r>
      </w:hyperlink>
      <w:r w:rsidR="00490B17" w:rsidRPr="001B02F9">
        <w:rPr>
          <w:rFonts w:ascii="Palatino Linotype" w:hAnsi="Palatino Linotype"/>
          <w:bCs/>
        </w:rPr>
        <w:t xml:space="preserve">: </w:t>
      </w:r>
      <w:r w:rsidR="00B34ACA" w:rsidRPr="001B02F9">
        <w:rPr>
          <w:rFonts w:ascii="Palatino Linotype" w:hAnsi="Palatino Linotype"/>
          <w:bCs/>
        </w:rPr>
        <w:t>oficio suscrito por el Titular de la Unidad de Transparencia mediante el cual manifestó adjuntar respuesta emitida por el servidor público habilitado; oficio suscrito por el Consejero Jurídico mediante el cual propone la clasificación de la información solicitada en su modalidad de reservada.</w:t>
      </w:r>
    </w:p>
    <w:p w:rsidR="00490B17" w:rsidRPr="001B02F9" w:rsidRDefault="00490B17" w:rsidP="00490B17">
      <w:pPr>
        <w:pStyle w:val="Prrafodelista"/>
        <w:spacing w:line="360" w:lineRule="auto"/>
        <w:ind w:left="0" w:right="34"/>
        <w:jc w:val="both"/>
        <w:rPr>
          <w:rFonts w:ascii="Palatino Linotype" w:hAnsi="Palatino Linotype"/>
          <w:bCs/>
          <w:sz w:val="24"/>
        </w:rPr>
      </w:pPr>
      <w:r w:rsidRPr="001B02F9">
        <w:rPr>
          <w:rFonts w:ascii="Palatino Linotype" w:hAnsi="Palatino Linotype"/>
          <w:bCs/>
          <w:sz w:val="24"/>
        </w:rPr>
        <w:t xml:space="preserve"> </w:t>
      </w:r>
    </w:p>
    <w:p w:rsidR="00490B17" w:rsidRPr="001B02F9" w:rsidRDefault="00490B17" w:rsidP="00490B17">
      <w:pPr>
        <w:pStyle w:val="Prrafodelista"/>
        <w:numPr>
          <w:ilvl w:val="0"/>
          <w:numId w:val="2"/>
        </w:numPr>
        <w:tabs>
          <w:tab w:val="left" w:pos="284"/>
        </w:tabs>
        <w:spacing w:line="360" w:lineRule="auto"/>
        <w:ind w:left="0" w:firstLine="0"/>
        <w:jc w:val="both"/>
        <w:rPr>
          <w:rFonts w:ascii="Palatino Linotype" w:hAnsi="Palatino Linotype"/>
          <w:b/>
          <w:i/>
          <w:sz w:val="24"/>
          <w:szCs w:val="22"/>
        </w:rPr>
      </w:pPr>
      <w:r w:rsidRPr="001B02F9">
        <w:rPr>
          <w:rFonts w:ascii="Palatino Linotype" w:hAnsi="Palatino Linotype" w:cs="Arial"/>
          <w:sz w:val="24"/>
        </w:rPr>
        <w:t xml:space="preserve">Derivado de la respuesta, el </w:t>
      </w:r>
      <w:r w:rsidR="00B34ACA" w:rsidRPr="001B02F9">
        <w:rPr>
          <w:rFonts w:ascii="Palatino Linotype" w:hAnsi="Palatino Linotype" w:cs="Arial"/>
          <w:sz w:val="24"/>
        </w:rPr>
        <w:t>veintinueve (29) de marzo</w:t>
      </w:r>
      <w:r w:rsidRPr="001B02F9">
        <w:rPr>
          <w:rFonts w:ascii="Palatino Linotype" w:hAnsi="Palatino Linotype" w:cs="Arial"/>
          <w:sz w:val="24"/>
        </w:rPr>
        <w:t xml:space="preserve"> de dos mil veintitrés</w:t>
      </w:r>
      <w:r w:rsidRPr="001B02F9">
        <w:rPr>
          <w:rFonts w:ascii="Palatino Linotype" w:hAnsi="Palatino Linotype" w:cs="Arial"/>
          <w:sz w:val="24"/>
          <w:lang w:val="es-ES"/>
        </w:rPr>
        <w:t>, el particular interpuso  recurso de revisión señalando:</w:t>
      </w:r>
    </w:p>
    <w:p w:rsidR="00490B17" w:rsidRPr="001B02F9" w:rsidRDefault="00490B17" w:rsidP="00490B17">
      <w:pPr>
        <w:pStyle w:val="Prrafodelista"/>
        <w:tabs>
          <w:tab w:val="left" w:pos="284"/>
        </w:tabs>
        <w:spacing w:line="360" w:lineRule="auto"/>
        <w:ind w:left="0"/>
        <w:jc w:val="both"/>
        <w:rPr>
          <w:rFonts w:ascii="Palatino Linotype" w:hAnsi="Palatino Linotype" w:cs="Arial"/>
          <w:lang w:val="es-ES"/>
        </w:rPr>
      </w:pPr>
    </w:p>
    <w:p w:rsidR="00490B17" w:rsidRPr="001B02F9" w:rsidRDefault="00490B17" w:rsidP="00490B17">
      <w:pPr>
        <w:pStyle w:val="Prrafodelista"/>
        <w:tabs>
          <w:tab w:val="left" w:pos="284"/>
        </w:tabs>
        <w:spacing w:line="360" w:lineRule="auto"/>
        <w:ind w:left="0"/>
        <w:jc w:val="both"/>
        <w:rPr>
          <w:rFonts w:ascii="Palatino Linotype" w:hAnsi="Palatino Linotype"/>
          <w:b/>
          <w:i/>
          <w:sz w:val="10"/>
          <w:szCs w:val="22"/>
        </w:rPr>
      </w:pPr>
    </w:p>
    <w:p w:rsidR="00490B17" w:rsidRPr="001B02F9" w:rsidRDefault="00490B17" w:rsidP="00490B17">
      <w:pPr>
        <w:pStyle w:val="Prrafodelista"/>
        <w:tabs>
          <w:tab w:val="left" w:pos="426"/>
          <w:tab w:val="left" w:pos="993"/>
        </w:tabs>
        <w:spacing w:line="360" w:lineRule="auto"/>
        <w:ind w:left="1004"/>
        <w:jc w:val="both"/>
        <w:rPr>
          <w:rFonts w:ascii="Palatino Linotype" w:hAnsi="Palatino Linotype" w:cs="Arial"/>
          <w:lang w:val="es-ES"/>
        </w:rPr>
      </w:pPr>
      <w:r w:rsidRPr="001B02F9">
        <w:rPr>
          <w:rFonts w:ascii="Palatino Linotype" w:hAnsi="Palatino Linotype" w:cs="Arial"/>
          <w:b/>
          <w:lang w:val="es-ES"/>
        </w:rPr>
        <w:t>Acto impugnado:</w:t>
      </w:r>
      <w:r w:rsidRPr="001B02F9">
        <w:rPr>
          <w:rFonts w:ascii="Palatino Linotype" w:hAnsi="Palatino Linotype" w:cs="Arial"/>
          <w:lang w:val="es-ES"/>
        </w:rPr>
        <w:t xml:space="preserve"> “</w:t>
      </w:r>
      <w:r w:rsidR="00B34ACA" w:rsidRPr="001B02F9">
        <w:rPr>
          <w:rFonts w:ascii="Palatino Linotype" w:hAnsi="Palatino Linotype" w:cs="Arial"/>
          <w:i/>
        </w:rPr>
        <w:t>se clasifica de manera indebida todos los expedientes como manera de ocultar la información, no olvidar que la transparencia es un mecanismo de fiscalización por lo que al clasificar la información además de vulnerar mi derecho de acceso a al información no permite la fiscalización del proceder de la autoridad municipal respecto a las clausuras, por lo que respecta a la 'prueba de daño presentada es muy carente de información y argumentación, ya que el daño aparente se desencadena con la fiscalización y no por la simple existencia de la información la cual de contener datos personales es factible testarla y preservar los derechos de terceras personas.</w:t>
      </w:r>
      <w:r w:rsidRPr="001B02F9">
        <w:rPr>
          <w:rFonts w:ascii="Palatino Linotype" w:hAnsi="Palatino Linotype" w:cs="Arial"/>
          <w:i/>
          <w:lang w:val="es-ES"/>
        </w:rPr>
        <w:t>”</w:t>
      </w:r>
      <w:r w:rsidRPr="001B02F9">
        <w:rPr>
          <w:rFonts w:ascii="Palatino Linotype" w:hAnsi="Palatino Linotype" w:cs="Arial"/>
          <w:lang w:val="es-ES"/>
        </w:rPr>
        <w:t xml:space="preserve"> (Sic).</w:t>
      </w:r>
    </w:p>
    <w:p w:rsidR="00490B17" w:rsidRPr="001B02F9" w:rsidRDefault="00490B17" w:rsidP="00490B17">
      <w:pPr>
        <w:pStyle w:val="Prrafodelista"/>
        <w:tabs>
          <w:tab w:val="left" w:pos="426"/>
          <w:tab w:val="left" w:pos="993"/>
        </w:tabs>
        <w:spacing w:line="360" w:lineRule="auto"/>
        <w:ind w:left="567"/>
        <w:jc w:val="both"/>
        <w:rPr>
          <w:rFonts w:ascii="Palatino Linotype" w:hAnsi="Palatino Linotype" w:cs="Arial"/>
          <w:lang w:val="es-ES"/>
        </w:rPr>
      </w:pPr>
    </w:p>
    <w:p w:rsidR="00490B17" w:rsidRPr="001B02F9" w:rsidRDefault="00490B17" w:rsidP="00490B17">
      <w:pPr>
        <w:pStyle w:val="Prrafodelista"/>
        <w:tabs>
          <w:tab w:val="left" w:pos="426"/>
          <w:tab w:val="left" w:pos="993"/>
        </w:tabs>
        <w:spacing w:line="360" w:lineRule="auto"/>
        <w:ind w:left="1004"/>
        <w:jc w:val="both"/>
        <w:rPr>
          <w:rStyle w:val="Ttulo2Car"/>
          <w:rFonts w:ascii="Palatino Linotype" w:hAnsi="Palatino Linotype" w:cs="Arial"/>
          <w:color w:val="auto"/>
          <w:sz w:val="24"/>
          <w:lang w:val="es-ES" w:eastAsia="es-ES"/>
        </w:rPr>
      </w:pPr>
      <w:r w:rsidRPr="001B02F9">
        <w:rPr>
          <w:rFonts w:ascii="Palatino Linotype" w:hAnsi="Palatino Linotype" w:cs="Arial"/>
          <w:b/>
          <w:lang w:val="es-ES"/>
        </w:rPr>
        <w:lastRenderedPageBreak/>
        <w:t>Razones o motivos de inconformidad:</w:t>
      </w:r>
      <w:r w:rsidRPr="001B02F9">
        <w:rPr>
          <w:rFonts w:ascii="Palatino Linotype" w:hAnsi="Palatino Linotype" w:cs="Arial"/>
          <w:lang w:val="es-ES"/>
        </w:rPr>
        <w:t xml:space="preserve"> “</w:t>
      </w:r>
      <w:r w:rsidR="00B34ACA" w:rsidRPr="001B02F9">
        <w:rPr>
          <w:rFonts w:ascii="Palatino Linotype" w:hAnsi="Palatino Linotype" w:cs="Arial"/>
          <w:i/>
        </w:rPr>
        <w:t>se clasifica de manera indebida todos los expedientes como manera de ocultar la información, no olvidar que la transparencia es un mecanismo de fiscalización por lo que al clasificar la información además de vulnerar mi derecho de acceso a al información no permite la fiscalización del proceder de la autoridad municipal respecto a las clausuras, por lo que respecta a la 'prueba de daño presentada es muy carente de información y argumentación, ya que el daño aparente se desencadena con la fiscalización y no por la simple existencia de la información la cual de contener datos personales es factible testarla y preservar los derechos de terceras personas.</w:t>
      </w:r>
      <w:r w:rsidRPr="001B02F9">
        <w:rPr>
          <w:rFonts w:ascii="Palatino Linotype" w:hAnsi="Palatino Linotype" w:cs="Arial"/>
          <w:i/>
          <w:lang w:val="es-ES"/>
        </w:rPr>
        <w:t>”</w:t>
      </w:r>
      <w:r w:rsidRPr="001B02F9">
        <w:rPr>
          <w:rFonts w:ascii="Palatino Linotype" w:hAnsi="Palatino Linotype" w:cs="Arial"/>
          <w:lang w:val="es-ES"/>
        </w:rPr>
        <w:t xml:space="preserve"> (Sic).</w:t>
      </w:r>
    </w:p>
    <w:p w:rsidR="00490B17" w:rsidRPr="001B02F9" w:rsidRDefault="00490B17" w:rsidP="00490B17">
      <w:pPr>
        <w:spacing w:line="276" w:lineRule="auto"/>
        <w:ind w:right="34"/>
        <w:jc w:val="both"/>
        <w:rPr>
          <w:rStyle w:val="Ttulo2Car"/>
          <w:rFonts w:ascii="Palatino Linotype" w:hAnsi="Palatino Linotype"/>
          <w:b/>
          <w:color w:val="auto"/>
          <w:lang w:val="es-ES"/>
        </w:rPr>
      </w:pPr>
    </w:p>
    <w:p w:rsidR="00490B17" w:rsidRPr="001B02F9" w:rsidRDefault="00490B17" w:rsidP="00490B17">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1B02F9">
        <w:rPr>
          <w:rFonts w:ascii="Palatino Linotype" w:eastAsia="Calibri" w:hAnsi="Palatino Linotype" w:cs="Arial"/>
          <w:sz w:val="24"/>
          <w:lang w:val="es-ES"/>
        </w:rPr>
        <w:t xml:space="preserve">Se registró el recurso de revisión bajo el número de expediente al rubro indicado, asimismo, con fundamento en lo dispuesto por el artículo 185 fracción I de la </w:t>
      </w:r>
      <w:r w:rsidRPr="001B02F9">
        <w:rPr>
          <w:rFonts w:ascii="Palatino Linotype" w:eastAsia="Calibri" w:hAnsi="Palatino Linotype" w:cs="Arial"/>
          <w:b/>
          <w:sz w:val="24"/>
          <w:lang w:val="es-ES"/>
        </w:rPr>
        <w:t>Ley de Transparencia y Acceso a la Información Pública del Estado de México y Municipios</w:t>
      </w:r>
      <w:r w:rsidRPr="001B02F9">
        <w:rPr>
          <w:rFonts w:ascii="Palatino Linotype" w:eastAsia="Calibri" w:hAnsi="Palatino Linotype" w:cs="Arial"/>
          <w:sz w:val="24"/>
          <w:lang w:val="es-ES"/>
        </w:rPr>
        <w:t xml:space="preserve">, se turnó a la </w:t>
      </w:r>
      <w:r w:rsidRPr="001B02F9">
        <w:rPr>
          <w:rFonts w:ascii="Palatino Linotype" w:eastAsia="Calibri" w:hAnsi="Palatino Linotype" w:cs="Arial"/>
          <w:b/>
          <w:sz w:val="24"/>
          <w:lang w:val="es-ES"/>
        </w:rPr>
        <w:t>Comisionada María del Rosario Mejía Ayala</w:t>
      </w:r>
      <w:r w:rsidRPr="001B02F9">
        <w:rPr>
          <w:rFonts w:ascii="Palatino Linotype" w:eastAsia="Calibri" w:hAnsi="Palatino Linotype" w:cs="Arial"/>
          <w:sz w:val="24"/>
          <w:lang w:val="es-ES"/>
        </w:rPr>
        <w:t xml:space="preserve">, </w:t>
      </w:r>
      <w:r w:rsidR="00F343F9" w:rsidRPr="001B02F9">
        <w:rPr>
          <w:rFonts w:ascii="Palatino Linotype" w:eastAsia="Calibri" w:hAnsi="Palatino Linotype" w:cs="Arial"/>
          <w:sz w:val="24"/>
          <w:lang w:val="es-ES"/>
        </w:rPr>
        <w:t>para</w:t>
      </w:r>
      <w:r w:rsidRPr="001B02F9">
        <w:rPr>
          <w:rFonts w:ascii="Palatino Linotype" w:eastAsia="Calibri" w:hAnsi="Palatino Linotype" w:cs="Arial"/>
          <w:sz w:val="24"/>
          <w:lang w:val="es-ES"/>
        </w:rPr>
        <w:t xml:space="preserve"> su análisis.</w:t>
      </w:r>
    </w:p>
    <w:p w:rsidR="00490B17" w:rsidRPr="001B02F9" w:rsidRDefault="00490B17" w:rsidP="00490B17">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490B17" w:rsidRPr="001B02F9" w:rsidRDefault="00490B17" w:rsidP="00490B17">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1B02F9">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w:t>
      </w:r>
      <w:r w:rsidR="00B34ACA" w:rsidRPr="001B02F9">
        <w:rPr>
          <w:rFonts w:ascii="Palatino Linotype" w:eastAsia="Calibri" w:hAnsi="Palatino Linotype" w:cs="Arial"/>
          <w:sz w:val="24"/>
          <w:lang w:val="es-ES"/>
        </w:rPr>
        <w:t>diecisiete (17) de abril</w:t>
      </w:r>
      <w:r w:rsidRPr="001B02F9">
        <w:rPr>
          <w:rFonts w:ascii="Palatino Linotype" w:eastAsia="Calibri" w:hAnsi="Palatino Linotype" w:cs="Arial"/>
          <w:sz w:val="24"/>
          <w:lang w:val="es-ES"/>
        </w:rPr>
        <w:t xml:space="preserve"> de dos mil veintitrés, puso a disposición de las partes el expediente electrónico </w:t>
      </w:r>
      <w:r w:rsidRPr="001B02F9">
        <w:rPr>
          <w:rFonts w:ascii="Palatino Linotype" w:eastAsia="Calibri" w:hAnsi="Palatino Linotype" w:cs="Arial"/>
          <w:sz w:val="24"/>
        </w:rPr>
        <w:t xml:space="preserve">vía </w:t>
      </w:r>
      <w:r w:rsidRPr="001B02F9">
        <w:rPr>
          <w:rFonts w:ascii="Palatino Linotype" w:eastAsia="Calibri" w:hAnsi="Palatino Linotype" w:cs="Arial"/>
          <w:sz w:val="24"/>
          <w:lang w:val="es-ES"/>
        </w:rPr>
        <w:t xml:space="preserve">Sistema de Acceso a la Información Mexiquense </w:t>
      </w:r>
      <w:r w:rsidRPr="001B02F9">
        <w:rPr>
          <w:rFonts w:ascii="Palatino Linotype" w:eastAsia="Calibri" w:hAnsi="Palatino Linotype" w:cs="Arial"/>
          <w:b/>
          <w:sz w:val="24"/>
          <w:lang w:val="es-ES"/>
        </w:rPr>
        <w:t xml:space="preserve">SAIMEX </w:t>
      </w:r>
      <w:r w:rsidRPr="001B02F9">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el </w:t>
      </w:r>
      <w:r w:rsidRPr="001B02F9">
        <w:rPr>
          <w:rFonts w:ascii="Palatino Linotype" w:eastAsia="Calibri" w:hAnsi="Palatino Linotype" w:cs="Arial"/>
          <w:b/>
          <w:sz w:val="24"/>
          <w:lang w:val="es-ES"/>
        </w:rPr>
        <w:t>SUJETO OBLIGADO</w:t>
      </w:r>
      <w:r w:rsidRPr="001B02F9">
        <w:rPr>
          <w:rFonts w:ascii="Palatino Linotype" w:eastAsia="Calibri" w:hAnsi="Palatino Linotype" w:cs="Arial"/>
          <w:sz w:val="24"/>
          <w:lang w:val="es-ES"/>
        </w:rPr>
        <w:t xml:space="preserve"> presentara el Informe Justificado procedente. </w:t>
      </w:r>
    </w:p>
    <w:p w:rsidR="00490B17" w:rsidRPr="001B02F9" w:rsidRDefault="00490B17" w:rsidP="00490B17">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490B17" w:rsidRPr="001B02F9" w:rsidRDefault="00490B17" w:rsidP="00B34ACA">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1B02F9">
        <w:rPr>
          <w:rFonts w:ascii="Palatino Linotype" w:eastAsia="Calibri" w:hAnsi="Palatino Linotype" w:cs="Arial"/>
          <w:sz w:val="24"/>
          <w:lang w:val="es-ES"/>
        </w:rPr>
        <w:t xml:space="preserve">De las constancias del archivo electrónico SAIMEX, se advierte que el Recurrente no realizó manifestaciones; por su parte el Sujeto Obligado remitió informe justificado </w:t>
      </w:r>
      <w:r w:rsidRPr="001B02F9">
        <w:rPr>
          <w:rFonts w:ascii="Palatino Linotype" w:eastAsia="Calibri" w:hAnsi="Palatino Linotype" w:cs="Arial"/>
          <w:sz w:val="24"/>
          <w:lang w:val="es-ES"/>
        </w:rPr>
        <w:lastRenderedPageBreak/>
        <w:t>el veintiséis (26) de mayo de dos mil veintitrés, el cual no se puso a la vista del particular por haberse desistido, sin embargo, se describe enseguida:</w:t>
      </w:r>
    </w:p>
    <w:p w:rsidR="00B34ACA" w:rsidRPr="001B02F9" w:rsidRDefault="00B34ACA" w:rsidP="00B34ACA">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490B17" w:rsidRPr="001B02F9" w:rsidRDefault="00B34ACA" w:rsidP="00B34ACA">
      <w:pPr>
        <w:pStyle w:val="Prrafodelista"/>
        <w:numPr>
          <w:ilvl w:val="0"/>
          <w:numId w:val="6"/>
        </w:numPr>
        <w:tabs>
          <w:tab w:val="left" w:pos="284"/>
        </w:tabs>
        <w:spacing w:before="240" w:after="240" w:line="360" w:lineRule="auto"/>
        <w:jc w:val="both"/>
        <w:rPr>
          <w:rFonts w:ascii="Palatino Linotype" w:eastAsia="Calibri" w:hAnsi="Palatino Linotype" w:cs="Arial"/>
          <w:sz w:val="24"/>
          <w:lang w:val="es-ES"/>
        </w:rPr>
      </w:pPr>
      <w:r w:rsidRPr="001B02F9">
        <w:rPr>
          <w:rStyle w:val="Hipervnculo"/>
          <w:rFonts w:ascii="Palatino Linotype" w:eastAsia="Calibri" w:hAnsi="Palatino Linotype" w:cs="Arial"/>
          <w:b/>
          <w:bCs/>
          <w:color w:val="auto"/>
        </w:rPr>
        <w:t xml:space="preserve">INFORME_JUSTIFICADO_RR01728_SOL_64.pdf: </w:t>
      </w:r>
      <w:r w:rsidRPr="001B02F9">
        <w:rPr>
          <w:rStyle w:val="Hipervnculo"/>
          <w:rFonts w:ascii="Palatino Linotype" w:eastAsia="Calibri" w:hAnsi="Palatino Linotype" w:cs="Arial"/>
          <w:bCs/>
          <w:color w:val="auto"/>
          <w:u w:val="none"/>
        </w:rPr>
        <w:t xml:space="preserve">oficio remitido por el Titular de la Unidad de Transparencia mediante el cual manifestó dar respuesta emitida por la Consejería Jurídica; oficio emitido por la Consejería Jurídica, mediante el cual confirma su respuesta. </w:t>
      </w:r>
    </w:p>
    <w:p w:rsidR="00490B17" w:rsidRPr="001B02F9" w:rsidRDefault="00490B17" w:rsidP="00490B17">
      <w:pPr>
        <w:pStyle w:val="Prrafodelista"/>
        <w:tabs>
          <w:tab w:val="left" w:pos="284"/>
        </w:tabs>
        <w:spacing w:before="240" w:after="240" w:line="360" w:lineRule="auto"/>
        <w:ind w:left="0"/>
        <w:jc w:val="both"/>
        <w:rPr>
          <w:rFonts w:ascii="Palatino Linotype" w:eastAsia="Calibri" w:hAnsi="Palatino Linotype" w:cs="Arial"/>
          <w:sz w:val="24"/>
          <w:lang w:val="es-ES"/>
        </w:rPr>
      </w:pPr>
    </w:p>
    <w:p w:rsidR="00B34ACA" w:rsidRPr="001B02F9" w:rsidRDefault="00B34ACA" w:rsidP="00B34ACA">
      <w:pPr>
        <w:pStyle w:val="Prrafodelista"/>
        <w:numPr>
          <w:ilvl w:val="0"/>
          <w:numId w:val="2"/>
        </w:numPr>
        <w:tabs>
          <w:tab w:val="left" w:pos="709"/>
        </w:tabs>
        <w:spacing w:before="240" w:after="240" w:line="360" w:lineRule="auto"/>
        <w:ind w:left="0" w:firstLine="0"/>
        <w:jc w:val="both"/>
        <w:rPr>
          <w:rFonts w:ascii="Palatino Linotype" w:eastAsia="Calibri" w:hAnsi="Palatino Linotype" w:cs="Arial"/>
          <w:sz w:val="24"/>
          <w:lang w:val="es-ES"/>
        </w:rPr>
      </w:pPr>
      <w:r w:rsidRPr="001B02F9">
        <w:rPr>
          <w:rFonts w:ascii="Palatino Linotype" w:eastAsia="Calibri" w:hAnsi="Palatino Linotype" w:cs="Arial"/>
          <w:sz w:val="24"/>
          <w:lang w:val="es-ES"/>
        </w:rPr>
        <w:t>El veinticinco (25) de mayo de dos mil veintitrés, se notificó el acuerdo mediante el cual se aprobó la ampliación de plazo para emitir resolución.</w:t>
      </w:r>
    </w:p>
    <w:p w:rsidR="006F3D8E" w:rsidRPr="001B02F9" w:rsidRDefault="006F3D8E" w:rsidP="006F3D8E">
      <w:pPr>
        <w:pStyle w:val="Prrafodelista"/>
        <w:tabs>
          <w:tab w:val="left" w:pos="709"/>
        </w:tabs>
        <w:spacing w:before="240" w:after="240" w:line="360" w:lineRule="auto"/>
        <w:ind w:left="0"/>
        <w:jc w:val="both"/>
        <w:rPr>
          <w:rFonts w:ascii="Palatino Linotype" w:eastAsia="Calibri" w:hAnsi="Palatino Linotype" w:cs="Arial"/>
          <w:sz w:val="24"/>
          <w:lang w:val="es-ES"/>
        </w:rPr>
      </w:pPr>
    </w:p>
    <w:p w:rsidR="006F3D8E" w:rsidRPr="001B02F9"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1B02F9">
        <w:rPr>
          <w:rFonts w:ascii="Palatino Linotype" w:eastAsiaTheme="minorEastAsia" w:hAnsi="Palatino Linotype"/>
          <w:lang w:val="es-ES_tradnl" w:eastAsia="es-E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6F3D8E" w:rsidRPr="001B02F9" w:rsidRDefault="006F3D8E" w:rsidP="006F3D8E">
      <w:pPr>
        <w:spacing w:line="360" w:lineRule="auto"/>
        <w:contextualSpacing/>
        <w:jc w:val="both"/>
        <w:rPr>
          <w:rFonts w:ascii="Palatino Linotype" w:eastAsiaTheme="minorEastAsia" w:hAnsi="Palatino Linotype"/>
          <w:lang w:val="es-ES_tradnl" w:eastAsia="es-ES"/>
        </w:rPr>
      </w:pPr>
    </w:p>
    <w:p w:rsidR="006F3D8E" w:rsidRPr="001B02F9"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1B02F9">
        <w:rPr>
          <w:rFonts w:ascii="Palatino Linotype" w:eastAsiaTheme="minorEastAsia" w:hAnsi="Palatino Linotype"/>
          <w:lang w:val="es-ES_tradnl" w:eastAsia="es-ES"/>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1B02F9">
        <w:rPr>
          <w:rFonts w:ascii="Palatino Linotype" w:eastAsiaTheme="minorEastAsia" w:hAnsi="Palatino Linotype"/>
          <w:lang w:val="es-ES_tradnl" w:eastAsia="es-ES"/>
        </w:rPr>
        <w:lastRenderedPageBreak/>
        <w:t>establecidos por diversos órganos jurisdiccionales federales, aplicables también en procedimientos análogos, como el que nos ocupa.</w:t>
      </w:r>
    </w:p>
    <w:p w:rsidR="006F3D8E" w:rsidRPr="001B02F9" w:rsidRDefault="006F3D8E" w:rsidP="006F3D8E">
      <w:pPr>
        <w:spacing w:line="360" w:lineRule="auto"/>
        <w:contextualSpacing/>
        <w:jc w:val="both"/>
        <w:rPr>
          <w:rFonts w:ascii="Palatino Linotype" w:eastAsiaTheme="minorEastAsia" w:hAnsi="Palatino Linotype"/>
          <w:lang w:val="es-ES_tradnl" w:eastAsia="es-ES"/>
        </w:rPr>
      </w:pPr>
    </w:p>
    <w:p w:rsidR="006F3D8E" w:rsidRPr="001B02F9"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1B02F9">
        <w:rPr>
          <w:rFonts w:ascii="Palatino Linotype" w:eastAsiaTheme="minorEastAsia" w:hAnsi="Palatino Linotype"/>
          <w:lang w:val="es-ES_tradnl"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6F3D8E" w:rsidRPr="001B02F9" w:rsidRDefault="006F3D8E" w:rsidP="006F3D8E">
      <w:pPr>
        <w:spacing w:line="360" w:lineRule="auto"/>
        <w:contextualSpacing/>
        <w:jc w:val="both"/>
        <w:rPr>
          <w:rFonts w:ascii="Palatino Linotype" w:eastAsiaTheme="minorEastAsia" w:hAnsi="Palatino Linotype"/>
          <w:lang w:val="es-ES_tradnl" w:eastAsia="es-ES"/>
        </w:rPr>
      </w:pPr>
    </w:p>
    <w:p w:rsidR="006F3D8E" w:rsidRPr="001B02F9"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1B02F9">
        <w:rPr>
          <w:rFonts w:ascii="Palatino Linotype" w:eastAsiaTheme="minorEastAsia" w:hAnsi="Palatino Linotype"/>
          <w:lang w:val="es-ES_tradnl" w:eastAsia="es-E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6F3D8E" w:rsidRPr="001B02F9" w:rsidRDefault="006F3D8E" w:rsidP="006F3D8E">
      <w:pPr>
        <w:spacing w:line="360" w:lineRule="auto"/>
        <w:contextualSpacing/>
        <w:jc w:val="both"/>
        <w:rPr>
          <w:rFonts w:ascii="Palatino Linotype" w:eastAsiaTheme="minorEastAsia" w:hAnsi="Palatino Linotype"/>
          <w:lang w:val="es-ES_tradnl" w:eastAsia="es-ES"/>
        </w:rPr>
      </w:pPr>
    </w:p>
    <w:p w:rsidR="006F3D8E" w:rsidRPr="001B02F9"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1B02F9">
        <w:rPr>
          <w:rFonts w:ascii="Palatino Linotype" w:eastAsiaTheme="minorEastAsia" w:hAnsi="Palatino Linotype"/>
          <w:lang w:val="es-ES_tradnl" w:eastAsia="es-ES"/>
        </w:rPr>
        <w:t xml:space="preserve">Por ello, excepcionalmente, si un asunto es resuelto con posterioridad a los plazos señalados por la norma debe analizarse la razonabilidad de dicha dilación atendiendo a los siguientes criterios:   </w:t>
      </w:r>
    </w:p>
    <w:p w:rsidR="006F3D8E" w:rsidRPr="001B02F9" w:rsidRDefault="006F3D8E" w:rsidP="006F3D8E">
      <w:pPr>
        <w:spacing w:line="360" w:lineRule="auto"/>
        <w:contextualSpacing/>
        <w:jc w:val="both"/>
        <w:rPr>
          <w:rFonts w:ascii="Palatino Linotype" w:eastAsiaTheme="minorEastAsia" w:hAnsi="Palatino Linotype"/>
          <w:sz w:val="22"/>
          <w:szCs w:val="22"/>
          <w:lang w:val="es-ES_tradnl" w:eastAsia="es-ES"/>
        </w:rPr>
      </w:pPr>
    </w:p>
    <w:p w:rsidR="006F3D8E" w:rsidRPr="001B02F9" w:rsidRDefault="006F3D8E" w:rsidP="006F3D8E">
      <w:pPr>
        <w:spacing w:line="360" w:lineRule="auto"/>
        <w:ind w:left="851"/>
        <w:contextualSpacing/>
        <w:jc w:val="both"/>
        <w:rPr>
          <w:rFonts w:ascii="Palatino Linotype" w:eastAsiaTheme="minorEastAsia" w:hAnsi="Palatino Linotype"/>
          <w:sz w:val="22"/>
          <w:szCs w:val="22"/>
          <w:lang w:val="es-ES_tradnl" w:eastAsia="es-ES"/>
        </w:rPr>
      </w:pPr>
      <w:r w:rsidRPr="001B02F9">
        <w:rPr>
          <w:rFonts w:ascii="Palatino Linotype" w:eastAsiaTheme="minorEastAsia" w:hAnsi="Palatino Linotype"/>
          <w:sz w:val="22"/>
          <w:szCs w:val="22"/>
          <w:lang w:val="es-ES_tradnl" w:eastAsia="es-ES"/>
        </w:rPr>
        <w:t xml:space="preserve">a) Complejidad del Asunto: La complejidad de la prueba, la pluralidad de sujetos procesales, el tiempo transcurrido, las características y contexto del recurso. </w:t>
      </w:r>
    </w:p>
    <w:p w:rsidR="006F3D8E" w:rsidRPr="001B02F9" w:rsidRDefault="006F3D8E" w:rsidP="006F3D8E">
      <w:pPr>
        <w:spacing w:line="360" w:lineRule="auto"/>
        <w:ind w:left="851"/>
        <w:contextualSpacing/>
        <w:jc w:val="both"/>
        <w:rPr>
          <w:rFonts w:ascii="Palatino Linotype" w:eastAsiaTheme="minorEastAsia" w:hAnsi="Palatino Linotype"/>
          <w:sz w:val="22"/>
          <w:szCs w:val="22"/>
          <w:lang w:val="es-ES_tradnl" w:eastAsia="es-ES"/>
        </w:rPr>
      </w:pPr>
    </w:p>
    <w:p w:rsidR="006F3D8E" w:rsidRPr="001B02F9" w:rsidRDefault="006F3D8E" w:rsidP="006F3D8E">
      <w:pPr>
        <w:spacing w:line="360" w:lineRule="auto"/>
        <w:ind w:left="851"/>
        <w:contextualSpacing/>
        <w:jc w:val="both"/>
        <w:rPr>
          <w:rFonts w:ascii="Palatino Linotype" w:eastAsiaTheme="minorEastAsia" w:hAnsi="Palatino Linotype"/>
          <w:sz w:val="22"/>
          <w:szCs w:val="22"/>
          <w:lang w:val="es-ES_tradnl" w:eastAsia="es-ES"/>
        </w:rPr>
      </w:pPr>
      <w:r w:rsidRPr="001B02F9">
        <w:rPr>
          <w:rFonts w:ascii="Palatino Linotype" w:eastAsiaTheme="minorEastAsia" w:hAnsi="Palatino Linotype"/>
          <w:sz w:val="22"/>
          <w:szCs w:val="22"/>
          <w:lang w:val="es-ES_tradnl" w:eastAsia="es-ES"/>
        </w:rPr>
        <w:t>b) Actividad Procesal del interesado. Acciones u omisiones del interesado.</w:t>
      </w:r>
    </w:p>
    <w:p w:rsidR="006F3D8E" w:rsidRPr="001B02F9" w:rsidRDefault="006F3D8E" w:rsidP="006F3D8E">
      <w:pPr>
        <w:spacing w:line="360" w:lineRule="auto"/>
        <w:ind w:left="851"/>
        <w:contextualSpacing/>
        <w:jc w:val="both"/>
        <w:rPr>
          <w:rFonts w:ascii="Palatino Linotype" w:eastAsiaTheme="minorEastAsia" w:hAnsi="Palatino Linotype"/>
          <w:sz w:val="22"/>
          <w:szCs w:val="22"/>
          <w:lang w:val="es-ES_tradnl" w:eastAsia="es-ES"/>
        </w:rPr>
      </w:pPr>
    </w:p>
    <w:p w:rsidR="006F3D8E" w:rsidRPr="001B02F9" w:rsidRDefault="006F3D8E" w:rsidP="006F3D8E">
      <w:pPr>
        <w:spacing w:line="360" w:lineRule="auto"/>
        <w:ind w:left="851"/>
        <w:contextualSpacing/>
        <w:jc w:val="both"/>
        <w:rPr>
          <w:rFonts w:ascii="Palatino Linotype" w:eastAsiaTheme="minorEastAsia" w:hAnsi="Palatino Linotype"/>
          <w:sz w:val="22"/>
          <w:szCs w:val="22"/>
          <w:lang w:val="es-ES_tradnl" w:eastAsia="es-ES"/>
        </w:rPr>
      </w:pPr>
      <w:r w:rsidRPr="001B02F9">
        <w:rPr>
          <w:rFonts w:ascii="Palatino Linotype" w:eastAsiaTheme="minorEastAsia" w:hAnsi="Palatino Linotype"/>
          <w:sz w:val="22"/>
          <w:szCs w:val="22"/>
          <w:lang w:val="es-ES_tradnl" w:eastAsia="es-ES"/>
        </w:rPr>
        <w:t>c) Conducta de la Autoridad: Las Acciones u omisiones realizadas en el procedimiento. Así como si la autoridad actuó con la debida diligencia.</w:t>
      </w:r>
    </w:p>
    <w:p w:rsidR="006F3D8E" w:rsidRPr="001B02F9" w:rsidRDefault="006F3D8E" w:rsidP="006F3D8E">
      <w:pPr>
        <w:spacing w:line="360" w:lineRule="auto"/>
        <w:ind w:left="851"/>
        <w:contextualSpacing/>
        <w:jc w:val="both"/>
        <w:rPr>
          <w:rFonts w:ascii="Palatino Linotype" w:eastAsiaTheme="minorEastAsia" w:hAnsi="Palatino Linotype"/>
          <w:sz w:val="22"/>
          <w:szCs w:val="22"/>
          <w:lang w:val="es-ES_tradnl" w:eastAsia="es-ES"/>
        </w:rPr>
      </w:pPr>
    </w:p>
    <w:p w:rsidR="006F3D8E" w:rsidRPr="001B02F9" w:rsidRDefault="006F3D8E" w:rsidP="006F3D8E">
      <w:pPr>
        <w:spacing w:line="360" w:lineRule="auto"/>
        <w:ind w:left="851"/>
        <w:contextualSpacing/>
        <w:jc w:val="both"/>
        <w:rPr>
          <w:rFonts w:ascii="Palatino Linotype" w:eastAsiaTheme="minorEastAsia" w:hAnsi="Palatino Linotype"/>
          <w:sz w:val="22"/>
          <w:szCs w:val="22"/>
          <w:lang w:val="es-ES_tradnl" w:eastAsia="es-ES"/>
        </w:rPr>
      </w:pPr>
      <w:r w:rsidRPr="001B02F9">
        <w:rPr>
          <w:rFonts w:ascii="Palatino Linotype" w:eastAsiaTheme="minorEastAsia" w:hAnsi="Palatino Linotype"/>
          <w:sz w:val="22"/>
          <w:szCs w:val="22"/>
          <w:lang w:val="es-ES_tradnl" w:eastAsia="es-ES"/>
        </w:rPr>
        <w:lastRenderedPageBreak/>
        <w:t>d) La afectación generada en la situación jurídica de la persona involucrada en el proceso: Violación a sus derechos humanos.</w:t>
      </w:r>
    </w:p>
    <w:p w:rsidR="006F3D8E" w:rsidRPr="001B02F9" w:rsidRDefault="006F3D8E" w:rsidP="006F3D8E">
      <w:pPr>
        <w:spacing w:line="360" w:lineRule="auto"/>
        <w:contextualSpacing/>
        <w:jc w:val="both"/>
        <w:rPr>
          <w:rFonts w:ascii="Palatino Linotype" w:eastAsiaTheme="minorEastAsia" w:hAnsi="Palatino Linotype"/>
          <w:lang w:val="es-ES_tradnl" w:eastAsia="es-ES"/>
        </w:rPr>
      </w:pPr>
    </w:p>
    <w:p w:rsidR="006F3D8E" w:rsidRPr="001B02F9"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1B02F9">
        <w:rPr>
          <w:rFonts w:ascii="Palatino Linotype" w:eastAsiaTheme="minorEastAsia" w:hAnsi="Palatino Linotype"/>
          <w:lang w:val="es-ES_tradnl"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6F3D8E" w:rsidRPr="001B02F9" w:rsidRDefault="006F3D8E" w:rsidP="006F3D8E">
      <w:pPr>
        <w:spacing w:line="360" w:lineRule="auto"/>
        <w:contextualSpacing/>
        <w:jc w:val="both"/>
        <w:rPr>
          <w:rFonts w:ascii="Palatino Linotype" w:eastAsiaTheme="minorEastAsia" w:hAnsi="Palatino Linotype"/>
          <w:lang w:val="es-ES_tradnl" w:eastAsia="es-ES"/>
        </w:rPr>
      </w:pPr>
    </w:p>
    <w:p w:rsidR="006F3D8E" w:rsidRPr="001B02F9"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1B02F9">
        <w:rPr>
          <w:rFonts w:ascii="Palatino Linotype" w:eastAsiaTheme="minorEastAsia" w:hAnsi="Palatino Linotype"/>
          <w:lang w:val="es-ES_tradnl" w:eastAsia="es-ES"/>
        </w:rPr>
        <w:t xml:space="preserve">Argumento que encuentra sustento en la jurisprudencia P./J. 32/92 emitida por el Pleno de la Suprema Corte de Justicia de la Nación de rubro </w:t>
      </w:r>
      <w:r w:rsidRPr="001B02F9">
        <w:rPr>
          <w:rFonts w:ascii="Palatino Linotype" w:eastAsiaTheme="minorEastAsia" w:hAnsi="Palatino Linotype"/>
          <w:i/>
          <w:lang w:val="es-ES_tradnl" w:eastAsia="es-ES"/>
        </w:rPr>
        <w:t>“TÉRMINOS PROCESALES. PARA DETERMINAR SI UN FUNCIONARIO JUDICIAL ACTUÓ INDEBIDAMENTE POR NO RESPETARLOS SE DEBE ATENDER AL PRESUPUESTO QUE CONSIDERÓ EL LEGISLADOR AL FIJARLOS Y LAS CARACTERÍSTICAS DEL CASO.”</w:t>
      </w:r>
      <w:r w:rsidRPr="001B02F9">
        <w:rPr>
          <w:rFonts w:ascii="Palatino Linotype" w:eastAsiaTheme="minorEastAsia" w:hAnsi="Palatino Linotype"/>
          <w:lang w:val="es-ES_tradnl" w:eastAsia="es-ES"/>
        </w:rPr>
        <w:t>, visible en la Gaceta del Seminario Judicial de la Federación con el registro digital 205635.</w:t>
      </w:r>
    </w:p>
    <w:p w:rsidR="006F3D8E" w:rsidRPr="001B02F9" w:rsidRDefault="006F3D8E" w:rsidP="006F3D8E">
      <w:pPr>
        <w:spacing w:line="360" w:lineRule="auto"/>
        <w:contextualSpacing/>
        <w:jc w:val="both"/>
        <w:rPr>
          <w:rFonts w:ascii="Palatino Linotype" w:eastAsiaTheme="minorEastAsia" w:hAnsi="Palatino Linotype"/>
          <w:lang w:val="es-ES_tradnl" w:eastAsia="es-ES"/>
        </w:rPr>
      </w:pPr>
    </w:p>
    <w:p w:rsidR="006F3D8E" w:rsidRPr="001B02F9"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1B02F9">
        <w:rPr>
          <w:rFonts w:ascii="Palatino Linotype" w:eastAsiaTheme="minorEastAsia" w:hAnsi="Palatino Linotype"/>
          <w:lang w:val="es-ES_tradnl"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1B02F9">
        <w:rPr>
          <w:rFonts w:ascii="Palatino Linotype" w:eastAsiaTheme="minorEastAsia" w:hAnsi="Palatino Linotype"/>
          <w:lang w:val="es-ES_tradnl" w:eastAsia="es-ES"/>
        </w:rPr>
        <w:lastRenderedPageBreak/>
        <w:t>desahogadas por las partes; lo que impide la tramitación de los recursos dentro de los términos legales previamente establecidos por la Ley, por tratarse de causas de fuerza mayor.</w:t>
      </w:r>
    </w:p>
    <w:p w:rsidR="006F3D8E" w:rsidRPr="001B02F9"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1B02F9">
        <w:rPr>
          <w:rFonts w:ascii="Palatino Linotype" w:eastAsiaTheme="minorEastAsia" w:hAnsi="Palatino Linotype"/>
          <w:lang w:val="es-ES_tradnl" w:eastAsia="es-ES"/>
        </w:rPr>
        <w:t>Por ello, este organismo garante comprometido con la tutela de los derechos humanos confiados, señala que este exceso del plazo legal para resolver el presente asunto, resulta de carácter excepcional.</w:t>
      </w:r>
    </w:p>
    <w:p w:rsidR="006F3D8E" w:rsidRPr="001B02F9" w:rsidRDefault="006F3D8E" w:rsidP="006F3D8E">
      <w:pPr>
        <w:spacing w:line="360" w:lineRule="auto"/>
        <w:contextualSpacing/>
        <w:jc w:val="both"/>
        <w:rPr>
          <w:rFonts w:ascii="Palatino Linotype" w:eastAsiaTheme="minorEastAsia" w:hAnsi="Palatino Linotype"/>
          <w:lang w:val="es-ES_tradnl" w:eastAsia="es-ES"/>
        </w:rPr>
      </w:pPr>
    </w:p>
    <w:p w:rsidR="006F3D8E" w:rsidRPr="001B02F9"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1B02F9">
        <w:rPr>
          <w:rFonts w:ascii="Palatino Linotype" w:eastAsiaTheme="minorEastAsia" w:hAnsi="Palatino Linotype"/>
          <w:lang w:val="es-ES_tradnl" w:eastAsia="es-ES"/>
        </w:rPr>
        <w:t>Al respecto, también son de considerar los criterios sostenidos por el Cuarto Tribunal Colegiado en Materia Administrativa del Primer Circuito, cuyos rubros y datos de identificación son los siguientes:</w:t>
      </w:r>
    </w:p>
    <w:p w:rsidR="006F3D8E" w:rsidRPr="001B02F9" w:rsidRDefault="006F3D8E" w:rsidP="006F3D8E">
      <w:pPr>
        <w:spacing w:line="360" w:lineRule="auto"/>
        <w:contextualSpacing/>
        <w:jc w:val="both"/>
        <w:rPr>
          <w:rFonts w:ascii="Palatino Linotype" w:eastAsiaTheme="minorEastAsia" w:hAnsi="Palatino Linotype"/>
          <w:sz w:val="22"/>
          <w:lang w:val="es-ES_tradnl" w:eastAsia="es-ES"/>
        </w:rPr>
      </w:pPr>
    </w:p>
    <w:p w:rsidR="006F3D8E" w:rsidRPr="001B02F9" w:rsidRDefault="006F3D8E" w:rsidP="006F3D8E">
      <w:pPr>
        <w:spacing w:line="360" w:lineRule="auto"/>
        <w:ind w:left="851" w:right="822"/>
        <w:contextualSpacing/>
        <w:jc w:val="both"/>
        <w:rPr>
          <w:rFonts w:ascii="Palatino Linotype" w:eastAsiaTheme="minorEastAsia" w:hAnsi="Palatino Linotype"/>
          <w:sz w:val="22"/>
          <w:lang w:val="es-ES_tradnl" w:eastAsia="es-ES"/>
        </w:rPr>
      </w:pPr>
      <w:r w:rsidRPr="001B02F9">
        <w:rPr>
          <w:rFonts w:ascii="Palatino Linotype" w:eastAsiaTheme="minorEastAsia" w:hAnsi="Palatino Linotype"/>
          <w:i/>
          <w:sz w:val="22"/>
          <w:lang w:val="es-ES_tradnl" w:eastAsia="es-ES"/>
        </w:rPr>
        <w:t>“PLAZO RAZONABLE PARA RESOLVER. DIMENSIÓN Y EFECTOS DE ESTE CONCEPTO CUANDO SE ADUCE EXCESIVA CARGA DE TRABAJO.”</w:t>
      </w:r>
      <w:r w:rsidRPr="001B02F9">
        <w:rPr>
          <w:rFonts w:ascii="Palatino Linotype" w:eastAsiaTheme="minorEastAsia" w:hAnsi="Palatino Linotype"/>
          <w:sz w:val="22"/>
          <w:lang w:val="es-ES_tradnl" w:eastAsia="es-ES"/>
        </w:rPr>
        <w:t xml:space="preserve"> consultable en el Seminario Judicial de la Federación y su gaceta, con el registro digital 2002351.</w:t>
      </w:r>
    </w:p>
    <w:p w:rsidR="006F3D8E" w:rsidRPr="001B02F9" w:rsidRDefault="006F3D8E" w:rsidP="006F3D8E">
      <w:pPr>
        <w:spacing w:line="360" w:lineRule="auto"/>
        <w:ind w:left="851" w:right="822"/>
        <w:contextualSpacing/>
        <w:jc w:val="both"/>
        <w:rPr>
          <w:rFonts w:ascii="Palatino Linotype" w:eastAsiaTheme="minorEastAsia" w:hAnsi="Palatino Linotype"/>
          <w:b/>
          <w:sz w:val="22"/>
          <w:lang w:val="es-ES_tradnl" w:eastAsia="es-ES"/>
        </w:rPr>
      </w:pPr>
    </w:p>
    <w:p w:rsidR="006F3D8E" w:rsidRPr="001B02F9" w:rsidRDefault="006F3D8E" w:rsidP="006F3D8E">
      <w:pPr>
        <w:spacing w:line="360" w:lineRule="auto"/>
        <w:ind w:left="851" w:right="822"/>
        <w:contextualSpacing/>
        <w:jc w:val="both"/>
        <w:rPr>
          <w:rFonts w:ascii="Palatino Linotype" w:eastAsiaTheme="minorEastAsia" w:hAnsi="Palatino Linotype"/>
          <w:sz w:val="22"/>
          <w:lang w:val="es-ES_tradnl" w:eastAsia="es-ES"/>
        </w:rPr>
      </w:pPr>
      <w:r w:rsidRPr="001B02F9">
        <w:rPr>
          <w:rFonts w:ascii="Palatino Linotype" w:eastAsiaTheme="minorEastAsia" w:hAnsi="Palatino Linotype"/>
          <w:i/>
          <w:sz w:val="22"/>
          <w:lang w:val="es-ES_tradnl" w:eastAsia="es-ES"/>
        </w:rPr>
        <w:t>“PLAZO RAZONABLE PARA RESOLVER. CONCEPTO Y ELEMENTOS QUE LO INTEGRAN A LA LUZ DEL DERECHO INTERNACIONAL DE LOS DERECHOS HUMANOS.”</w:t>
      </w:r>
      <w:r w:rsidRPr="001B02F9">
        <w:rPr>
          <w:rFonts w:ascii="Palatino Linotype" w:eastAsiaTheme="minorEastAsia" w:hAnsi="Palatino Linotype"/>
          <w:sz w:val="22"/>
          <w:lang w:val="es-ES_tradnl" w:eastAsia="es-ES"/>
        </w:rPr>
        <w:t>, visible en el Seminario Judicial de la Federación y su gaceta, con el registro digital 2002350.</w:t>
      </w:r>
    </w:p>
    <w:p w:rsidR="006F3D8E" w:rsidRPr="001B02F9" w:rsidRDefault="006F3D8E" w:rsidP="006F3D8E">
      <w:pPr>
        <w:spacing w:line="360" w:lineRule="auto"/>
        <w:contextualSpacing/>
        <w:jc w:val="both"/>
        <w:rPr>
          <w:rFonts w:ascii="Palatino Linotype" w:eastAsiaTheme="minorEastAsia" w:hAnsi="Palatino Linotype"/>
          <w:sz w:val="22"/>
          <w:lang w:val="es-ES_tradnl" w:eastAsia="es-ES"/>
        </w:rPr>
      </w:pPr>
    </w:p>
    <w:p w:rsidR="00B34ACA" w:rsidRPr="001B02F9" w:rsidRDefault="006F3D8E" w:rsidP="006F3D8E">
      <w:pPr>
        <w:numPr>
          <w:ilvl w:val="0"/>
          <w:numId w:val="2"/>
        </w:numPr>
        <w:spacing w:line="360" w:lineRule="auto"/>
        <w:ind w:left="0" w:firstLine="0"/>
        <w:contextualSpacing/>
        <w:jc w:val="both"/>
        <w:rPr>
          <w:rFonts w:ascii="Palatino Linotype" w:eastAsiaTheme="minorEastAsia" w:hAnsi="Palatino Linotype"/>
          <w:lang w:val="es-ES_tradnl" w:eastAsia="es-ES"/>
        </w:rPr>
      </w:pPr>
      <w:r w:rsidRPr="001B02F9">
        <w:rPr>
          <w:rFonts w:ascii="Palatino Linotype" w:eastAsiaTheme="minorEastAsia" w:hAnsi="Palatino Linotype"/>
          <w:lang w:val="es-ES_tradnl" w:eastAsia="es-ES"/>
        </w:rPr>
        <w:t xml:space="preserve">Por ello, este Organismo Garante comprometido con la tutela de los derechos humanos confiados, señala que este exceso de plazo legal para resolver el presente asunto, resulta de carácter excepcional. </w:t>
      </w:r>
    </w:p>
    <w:p w:rsidR="00490B17" w:rsidRPr="001B02F9" w:rsidRDefault="00490B17" w:rsidP="00490B17">
      <w:pPr>
        <w:pStyle w:val="Prrafodelista"/>
        <w:numPr>
          <w:ilvl w:val="0"/>
          <w:numId w:val="2"/>
        </w:numPr>
        <w:tabs>
          <w:tab w:val="left" w:pos="284"/>
        </w:tabs>
        <w:spacing w:before="240" w:after="240" w:line="360" w:lineRule="auto"/>
        <w:ind w:left="0" w:firstLine="0"/>
        <w:jc w:val="both"/>
        <w:rPr>
          <w:rFonts w:ascii="Palatino Linotype" w:eastAsia="Calibri" w:hAnsi="Palatino Linotype" w:cs="Arial"/>
          <w:sz w:val="24"/>
          <w:lang w:val="es-ES"/>
        </w:rPr>
      </w:pPr>
      <w:r w:rsidRPr="001B02F9">
        <w:rPr>
          <w:rFonts w:ascii="Palatino Linotype" w:eastAsia="Calibri" w:hAnsi="Palatino Linotype" w:cs="Arial"/>
          <w:sz w:val="24"/>
          <w:lang w:val="es-ES"/>
        </w:rPr>
        <w:lastRenderedPageBreak/>
        <w:t xml:space="preserve">El </w:t>
      </w:r>
      <w:r w:rsidR="006F3D8E" w:rsidRPr="001B02F9">
        <w:rPr>
          <w:rFonts w:ascii="Palatino Linotype" w:eastAsia="Calibri" w:hAnsi="Palatino Linotype" w:cs="Arial"/>
          <w:sz w:val="24"/>
          <w:lang w:val="es-ES"/>
        </w:rPr>
        <w:t>veintiuno (21) de septiembre</w:t>
      </w:r>
      <w:r w:rsidRPr="001B02F9">
        <w:rPr>
          <w:rFonts w:ascii="Palatino Linotype" w:eastAsia="Calibri" w:hAnsi="Palatino Linotype" w:cs="Arial"/>
          <w:sz w:val="24"/>
          <w:lang w:val="es-ES"/>
        </w:rPr>
        <w:t xml:space="preserve"> de dos mil veintitrés, el Recurrente se desistió del recurso de revisión. </w:t>
      </w:r>
      <w:bookmarkStart w:id="3" w:name="_Toc461555889"/>
      <w:bookmarkStart w:id="4" w:name="_Toc466371858"/>
    </w:p>
    <w:p w:rsidR="00F343F9" w:rsidRPr="001B02F9" w:rsidRDefault="00F343F9" w:rsidP="00F343F9">
      <w:pPr>
        <w:tabs>
          <w:tab w:val="left" w:pos="284"/>
        </w:tabs>
        <w:spacing w:before="240" w:after="240" w:line="360" w:lineRule="auto"/>
        <w:jc w:val="both"/>
        <w:rPr>
          <w:rFonts w:ascii="Palatino Linotype" w:eastAsia="Calibri" w:hAnsi="Palatino Linotype" w:cs="Arial"/>
          <w:lang w:val="es-ES"/>
        </w:rPr>
      </w:pPr>
    </w:p>
    <w:p w:rsidR="00490B17" w:rsidRPr="001B02F9" w:rsidRDefault="00490B17" w:rsidP="00490B17">
      <w:pPr>
        <w:pStyle w:val="Prrafodelista"/>
        <w:numPr>
          <w:ilvl w:val="0"/>
          <w:numId w:val="2"/>
        </w:numPr>
        <w:tabs>
          <w:tab w:val="left" w:pos="426"/>
        </w:tabs>
        <w:spacing w:line="360" w:lineRule="auto"/>
        <w:ind w:left="0" w:firstLine="0"/>
        <w:jc w:val="both"/>
        <w:rPr>
          <w:rFonts w:ascii="Palatino Linotype" w:hAnsi="Palatino Linotype"/>
          <w:sz w:val="24"/>
        </w:rPr>
      </w:pPr>
      <w:r w:rsidRPr="001B02F9">
        <w:rPr>
          <w:rFonts w:ascii="Palatino Linotype" w:eastAsia="Calibri" w:hAnsi="Palatino Linotype" w:cs="Arial"/>
          <w:sz w:val="24"/>
        </w:rPr>
        <w:t>E</w:t>
      </w:r>
      <w:r w:rsidRPr="001B02F9">
        <w:rPr>
          <w:rFonts w:ascii="Palatino Linotype" w:eastAsia="Calibri" w:hAnsi="Palatino Linotype" w:cs="Arial"/>
          <w:sz w:val="24"/>
          <w:lang w:val="es-ES"/>
        </w:rPr>
        <w:t>l</w:t>
      </w:r>
      <w:r w:rsidRPr="001B02F9">
        <w:rPr>
          <w:rFonts w:ascii="Palatino Linotype" w:hAnsi="Palatino Linotype"/>
          <w:sz w:val="24"/>
        </w:rPr>
        <w:t xml:space="preserve"> Comisionado Ponente notificó el acuerdo de cierre de instrucción en fecha </w:t>
      </w:r>
      <w:r w:rsidR="006F3D8E" w:rsidRPr="001B02F9">
        <w:rPr>
          <w:rFonts w:ascii="Palatino Linotype" w:hAnsi="Palatino Linotype"/>
          <w:sz w:val="24"/>
        </w:rPr>
        <w:t xml:space="preserve">veintiuno (21) de septiembre </w:t>
      </w:r>
      <w:r w:rsidRPr="001B02F9">
        <w:rPr>
          <w:rFonts w:ascii="Palatino Linotype" w:hAnsi="Palatino Linotype"/>
          <w:sz w:val="24"/>
        </w:rPr>
        <w:t xml:space="preserve">de dos mil veintitrés. </w:t>
      </w:r>
    </w:p>
    <w:p w:rsidR="00490B17" w:rsidRPr="001B02F9" w:rsidRDefault="00490B17" w:rsidP="00490B17">
      <w:pPr>
        <w:pStyle w:val="Prrafodelista"/>
        <w:spacing w:line="360" w:lineRule="auto"/>
        <w:ind w:left="0" w:right="113"/>
        <w:jc w:val="both"/>
        <w:rPr>
          <w:rFonts w:ascii="Palatino Linotype" w:hAnsi="Palatino Linotype"/>
        </w:rPr>
      </w:pPr>
    </w:p>
    <w:p w:rsidR="00490B17" w:rsidRPr="001B02F9" w:rsidRDefault="00490B17" w:rsidP="00490B17">
      <w:pPr>
        <w:pStyle w:val="Ttulo2"/>
        <w:jc w:val="center"/>
        <w:rPr>
          <w:rFonts w:ascii="Palatino Linotype" w:hAnsi="Palatino Linotype"/>
          <w:b/>
          <w:color w:val="auto"/>
          <w:sz w:val="24"/>
        </w:rPr>
      </w:pPr>
      <w:bookmarkStart w:id="5" w:name="_Toc61470697"/>
      <w:r w:rsidRPr="001B02F9">
        <w:rPr>
          <w:rFonts w:ascii="Palatino Linotype" w:hAnsi="Palatino Linotype"/>
          <w:b/>
          <w:color w:val="auto"/>
          <w:sz w:val="24"/>
        </w:rPr>
        <w:t>CONSIDERANDO</w:t>
      </w:r>
      <w:bookmarkEnd w:id="3"/>
      <w:bookmarkEnd w:id="4"/>
      <w:bookmarkEnd w:id="5"/>
    </w:p>
    <w:p w:rsidR="00490B17" w:rsidRPr="001B02F9" w:rsidRDefault="00490B17" w:rsidP="00490B17">
      <w:pPr>
        <w:rPr>
          <w:lang w:eastAsia="en-US"/>
        </w:rPr>
      </w:pPr>
    </w:p>
    <w:p w:rsidR="00490B17" w:rsidRPr="001B02F9" w:rsidRDefault="00490B17" w:rsidP="00490B17">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1B02F9">
        <w:rPr>
          <w:rFonts w:ascii="Palatino Linotype" w:hAnsi="Palatino Linotype"/>
          <w:b/>
          <w:color w:val="auto"/>
          <w:sz w:val="24"/>
        </w:rPr>
        <w:t>PRIMERO. De la competencia</w:t>
      </w:r>
      <w:bookmarkEnd w:id="6"/>
      <w:bookmarkEnd w:id="7"/>
      <w:bookmarkEnd w:id="8"/>
    </w:p>
    <w:p w:rsidR="00490B17" w:rsidRPr="001B02F9" w:rsidRDefault="00490B17" w:rsidP="00490B17"/>
    <w:p w:rsidR="00490B17" w:rsidRPr="001B02F9" w:rsidRDefault="00490B17" w:rsidP="00490B17">
      <w:pPr>
        <w:pStyle w:val="Prrafodelista"/>
        <w:numPr>
          <w:ilvl w:val="0"/>
          <w:numId w:val="2"/>
        </w:numPr>
        <w:spacing w:line="360" w:lineRule="auto"/>
        <w:ind w:left="0" w:firstLine="0"/>
        <w:jc w:val="both"/>
        <w:rPr>
          <w:rFonts w:ascii="Palatino Linotype" w:hAnsi="Palatino Linotype"/>
          <w:sz w:val="24"/>
        </w:rPr>
      </w:pPr>
      <w:r w:rsidRPr="001B02F9">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00CC6BB5" w:rsidRPr="001B02F9">
        <w:rPr>
          <w:rFonts w:ascii="Palatino Linotype" w:hAnsi="Palatino Linotype"/>
          <w:sz w:val="24"/>
        </w:rPr>
        <w:t xml:space="preserve">párrafos trigésimo segundo y trigésimo tercero, fracciones IV y V,  </w:t>
      </w:r>
      <w:r w:rsidRPr="001B02F9">
        <w:rPr>
          <w:rFonts w:ascii="Palatino Linotype" w:hAnsi="Palatino Linotype"/>
          <w:sz w:val="24"/>
        </w:rPr>
        <w:t xml:space="preserve">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490B17" w:rsidRPr="001B02F9" w:rsidRDefault="00490B17" w:rsidP="00490B17">
      <w:pPr>
        <w:pStyle w:val="Prrafodelista"/>
        <w:tabs>
          <w:tab w:val="left" w:pos="284"/>
          <w:tab w:val="left" w:pos="426"/>
        </w:tabs>
        <w:spacing w:line="360" w:lineRule="auto"/>
        <w:ind w:left="0"/>
        <w:jc w:val="both"/>
        <w:rPr>
          <w:rFonts w:ascii="Palatino Linotype" w:eastAsia="Calibri" w:hAnsi="Palatino Linotype"/>
          <w:b/>
          <w:lang w:val="es-ES"/>
        </w:rPr>
      </w:pPr>
    </w:p>
    <w:p w:rsidR="00490B17" w:rsidRPr="001B02F9" w:rsidRDefault="00490B17" w:rsidP="00490B17">
      <w:pPr>
        <w:pStyle w:val="Ttulo2"/>
        <w:tabs>
          <w:tab w:val="left" w:pos="284"/>
          <w:tab w:val="left" w:pos="426"/>
        </w:tabs>
        <w:spacing w:line="360" w:lineRule="auto"/>
        <w:rPr>
          <w:rFonts w:ascii="Palatino Linotype" w:hAnsi="Palatino Linotype"/>
          <w:b/>
          <w:color w:val="auto"/>
          <w:sz w:val="24"/>
          <w:szCs w:val="24"/>
        </w:rPr>
      </w:pPr>
      <w:bookmarkStart w:id="9" w:name="_Toc461555891"/>
      <w:bookmarkStart w:id="10" w:name="_Toc466371860"/>
      <w:bookmarkStart w:id="11" w:name="_Toc61470699"/>
      <w:r w:rsidRPr="001B02F9">
        <w:rPr>
          <w:rFonts w:ascii="Palatino Linotype" w:hAnsi="Palatino Linotype"/>
          <w:b/>
          <w:color w:val="auto"/>
          <w:sz w:val="24"/>
          <w:szCs w:val="24"/>
        </w:rPr>
        <w:t>SEGUNDO. De la oportunidad y procedencia.</w:t>
      </w:r>
      <w:bookmarkEnd w:id="9"/>
      <w:bookmarkEnd w:id="10"/>
      <w:bookmarkEnd w:id="11"/>
    </w:p>
    <w:p w:rsidR="00490B17" w:rsidRPr="001B02F9" w:rsidRDefault="00490B17" w:rsidP="00490B17">
      <w:pPr>
        <w:rPr>
          <w:lang w:eastAsia="en-US"/>
        </w:rPr>
      </w:pPr>
    </w:p>
    <w:p w:rsidR="00490B17" w:rsidRPr="001B02F9" w:rsidRDefault="00490B17" w:rsidP="00490B17">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1B02F9">
        <w:rPr>
          <w:rFonts w:ascii="Palatino Linotype" w:eastAsia="Calibri" w:hAnsi="Palatino Linotype" w:cs="Arial"/>
          <w:lang w:val="es-ES_tradnl" w:eastAsia="es-ES"/>
        </w:rPr>
        <w:lastRenderedPageBreak/>
        <w:t xml:space="preserve">El medio de impugnación fue presentado a través del </w:t>
      </w:r>
      <w:r w:rsidRPr="001B02F9">
        <w:rPr>
          <w:rFonts w:ascii="Palatino Linotype" w:eastAsia="Calibri" w:hAnsi="Palatino Linotype" w:cs="Arial"/>
          <w:b/>
          <w:lang w:val="es-ES_tradnl" w:eastAsia="es-ES"/>
        </w:rPr>
        <w:t>SAIMEX,</w:t>
      </w:r>
      <w:r w:rsidRPr="001B02F9">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1B02F9">
        <w:rPr>
          <w:rFonts w:ascii="Palatino Linotype" w:eastAsia="Calibri" w:hAnsi="Palatino Linotype" w:cs="Arial"/>
          <w:b/>
          <w:lang w:val="es-ES_tradnl" w:eastAsia="es-ES"/>
        </w:rPr>
        <w:t>SUJETO OBLIGADO</w:t>
      </w:r>
      <w:r w:rsidRPr="001B02F9">
        <w:rPr>
          <w:rFonts w:ascii="Palatino Linotype" w:eastAsia="Calibri" w:hAnsi="Palatino Linotype" w:cs="Arial"/>
          <w:lang w:val="es-ES_tradnl" w:eastAsia="es-ES"/>
        </w:rPr>
        <w:t xml:space="preserve"> entregó respuesta a la solicitud el día </w:t>
      </w:r>
      <w:r w:rsidR="006F3D8E" w:rsidRPr="001B02F9">
        <w:rPr>
          <w:rFonts w:ascii="Palatino Linotype" w:eastAsia="Calibri" w:hAnsi="Palatino Linotype" w:cs="Arial"/>
          <w:lang w:val="es-ES_tradnl" w:eastAsia="es-ES"/>
        </w:rPr>
        <w:t>nueve (09) de marzo</w:t>
      </w:r>
      <w:r w:rsidRPr="001B02F9">
        <w:rPr>
          <w:rFonts w:ascii="Palatino Linotype" w:eastAsia="Calibri" w:hAnsi="Palatino Linotype" w:cs="Arial"/>
          <w:lang w:val="es-ES_tradnl" w:eastAsia="es-ES"/>
        </w:rPr>
        <w:t xml:space="preserve"> de dos mil veintitrés, </w:t>
      </w:r>
      <w:r w:rsidRPr="001B02F9">
        <w:rPr>
          <w:rFonts w:ascii="Palatino Linotype" w:eastAsiaTheme="minorEastAsia" w:hAnsi="Palatino Linotype" w:cs="Arial"/>
          <w:lang w:val="es-ES_tradnl" w:eastAsia="es-ES"/>
        </w:rPr>
        <w:t xml:space="preserve">de tal forma que el plazo para interponer el recurso de revisión transcurrió del </w:t>
      </w:r>
      <w:r w:rsidR="006F3D8E" w:rsidRPr="001B02F9">
        <w:rPr>
          <w:rFonts w:ascii="Palatino Linotype" w:eastAsiaTheme="minorEastAsia" w:hAnsi="Palatino Linotype" w:cs="Arial"/>
          <w:lang w:val="es-ES_tradnl" w:eastAsia="es-ES"/>
        </w:rPr>
        <w:t>quince (15) de marzo</w:t>
      </w:r>
      <w:r w:rsidRPr="001B02F9">
        <w:rPr>
          <w:rFonts w:ascii="Palatino Linotype" w:eastAsiaTheme="minorEastAsia" w:hAnsi="Palatino Linotype" w:cs="Arial"/>
          <w:lang w:val="es-ES_tradnl" w:eastAsia="es-ES"/>
        </w:rPr>
        <w:t xml:space="preserve"> al </w:t>
      </w:r>
      <w:r w:rsidR="006F3D8E" w:rsidRPr="001B02F9">
        <w:rPr>
          <w:rFonts w:ascii="Palatino Linotype" w:eastAsiaTheme="minorEastAsia" w:hAnsi="Palatino Linotype" w:cs="Arial"/>
          <w:lang w:val="es-ES_tradnl" w:eastAsia="es-ES"/>
        </w:rPr>
        <w:t>doce (12) de abril</w:t>
      </w:r>
      <w:r w:rsidRPr="001B02F9">
        <w:rPr>
          <w:rFonts w:ascii="Palatino Linotype" w:eastAsiaTheme="minorEastAsia" w:hAnsi="Palatino Linotype" w:cs="Arial"/>
          <w:lang w:val="es-ES_tradnl" w:eastAsia="es-ES"/>
        </w:rPr>
        <w:t xml:space="preserve"> de dos mil veintitrés; en consecuencia, presentó su inconformidad el </w:t>
      </w:r>
      <w:r w:rsidR="006F3D8E" w:rsidRPr="001B02F9">
        <w:rPr>
          <w:rFonts w:ascii="Palatino Linotype" w:eastAsiaTheme="minorEastAsia" w:hAnsi="Palatino Linotype" w:cs="Arial"/>
          <w:lang w:val="es-ES_tradnl" w:eastAsia="es-ES"/>
        </w:rPr>
        <w:t>veintinueve (29) de marzo</w:t>
      </w:r>
      <w:r w:rsidRPr="001B02F9">
        <w:rPr>
          <w:rFonts w:ascii="Palatino Linotype" w:eastAsiaTheme="minorEastAsia" w:hAnsi="Palatino Linotype" w:cs="Arial"/>
          <w:lang w:val="es-ES_tradnl" w:eastAsia="es-ES"/>
        </w:rPr>
        <w:t xml:space="preserve"> de dos mil veintitrés, por lo que se encuentra dentro de los márgenes temporales previstos en el artículo 178 de la </w:t>
      </w:r>
      <w:r w:rsidRPr="001B02F9">
        <w:rPr>
          <w:rFonts w:ascii="Palatino Linotype" w:eastAsiaTheme="minorEastAsia" w:hAnsi="Palatino Linotype" w:cs="Arial"/>
          <w:b/>
          <w:lang w:val="es-ES_tradnl" w:eastAsia="es-ES"/>
        </w:rPr>
        <w:t xml:space="preserve">Ley de Transparencia y Acceso a la Información Pública del Estado de México y Municipios </w:t>
      </w:r>
      <w:r w:rsidRPr="001B02F9">
        <w:rPr>
          <w:rFonts w:ascii="Palatino Linotype" w:eastAsiaTheme="minorEastAsia" w:hAnsi="Palatino Linotype" w:cs="Arial"/>
          <w:lang w:val="es-ES_tradnl" w:eastAsia="es-ES"/>
        </w:rPr>
        <w:t>vigente.</w:t>
      </w:r>
    </w:p>
    <w:p w:rsidR="00490B17" w:rsidRPr="001B02F9" w:rsidRDefault="00490B17" w:rsidP="00490B17">
      <w:pPr>
        <w:pStyle w:val="Prrafodelista"/>
        <w:numPr>
          <w:ilvl w:val="0"/>
          <w:numId w:val="2"/>
        </w:numPr>
        <w:tabs>
          <w:tab w:val="left" w:pos="284"/>
          <w:tab w:val="left" w:pos="426"/>
        </w:tabs>
        <w:spacing w:before="240" w:after="240" w:line="360" w:lineRule="auto"/>
        <w:ind w:left="0" w:right="49" w:firstLine="0"/>
        <w:jc w:val="both"/>
        <w:rPr>
          <w:rFonts w:ascii="Palatino Linotype" w:hAnsi="Palatino Linotype"/>
          <w:sz w:val="24"/>
        </w:rPr>
      </w:pPr>
      <w:r w:rsidRPr="001B02F9">
        <w:rPr>
          <w:rFonts w:ascii="Palatino Linotype" w:hAnsi="Palatino Linotype" w:cs="Arial"/>
          <w:sz w:val="24"/>
        </w:rPr>
        <w:t xml:space="preserve">Consecuencia </w:t>
      </w:r>
      <w:r w:rsidRPr="001B02F9">
        <w:rPr>
          <w:rFonts w:ascii="Palatino Linotype" w:eastAsia="Calibri" w:hAnsi="Palatino Linotype" w:cs="Arial"/>
          <w:sz w:val="24"/>
        </w:rPr>
        <w:t>de lo anterior, esta Ponencia Resolutora reconoce que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90B17" w:rsidRPr="001B02F9" w:rsidRDefault="00490B17" w:rsidP="00490B17">
      <w:pPr>
        <w:pStyle w:val="Prrafodelista"/>
        <w:tabs>
          <w:tab w:val="left" w:pos="284"/>
          <w:tab w:val="left" w:pos="426"/>
        </w:tabs>
        <w:ind w:left="0"/>
        <w:rPr>
          <w:rFonts w:ascii="Palatino Linotype" w:hAnsi="Palatino Linotype"/>
        </w:rPr>
      </w:pPr>
    </w:p>
    <w:p w:rsidR="00490B17" w:rsidRPr="001B02F9" w:rsidRDefault="00490B17" w:rsidP="00490B17">
      <w:pPr>
        <w:pStyle w:val="Ttulo1"/>
        <w:tabs>
          <w:tab w:val="left" w:pos="284"/>
          <w:tab w:val="left" w:pos="426"/>
        </w:tabs>
        <w:spacing w:line="360" w:lineRule="auto"/>
        <w:rPr>
          <w:rFonts w:ascii="Palatino Linotype" w:hAnsi="Palatino Linotype"/>
          <w:b/>
          <w:color w:val="auto"/>
          <w:sz w:val="24"/>
          <w:szCs w:val="24"/>
        </w:rPr>
      </w:pPr>
      <w:bookmarkStart w:id="12" w:name="_Toc500360400"/>
      <w:bookmarkStart w:id="13" w:name="_Toc61470700"/>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1B02F9">
        <w:rPr>
          <w:rFonts w:ascii="Palatino Linotype" w:hAnsi="Palatino Linotype"/>
          <w:b/>
          <w:color w:val="auto"/>
          <w:sz w:val="24"/>
          <w:szCs w:val="24"/>
        </w:rPr>
        <w:t>TERCERO. De las causales del sobreseimiento.</w:t>
      </w:r>
      <w:bookmarkEnd w:id="12"/>
      <w:bookmarkEnd w:id="13"/>
    </w:p>
    <w:p w:rsidR="00490B17" w:rsidRPr="001B02F9" w:rsidRDefault="00490B17" w:rsidP="00490B17">
      <w:pPr>
        <w:pStyle w:val="Prrafodelista"/>
        <w:numPr>
          <w:ilvl w:val="0"/>
          <w:numId w:val="2"/>
        </w:numPr>
        <w:tabs>
          <w:tab w:val="left" w:pos="284"/>
          <w:tab w:val="left" w:pos="426"/>
        </w:tabs>
        <w:spacing w:before="240" w:after="240" w:line="360" w:lineRule="auto"/>
        <w:ind w:left="0" w:right="49" w:firstLine="0"/>
        <w:jc w:val="both"/>
        <w:rPr>
          <w:rFonts w:ascii="Palatino Linotype" w:hAnsi="Palatino Linotype" w:cs="Arial"/>
          <w:sz w:val="24"/>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1B02F9">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1B02F9">
        <w:rPr>
          <w:rFonts w:ascii="Palatino Linotype" w:eastAsia="Calibri" w:hAnsi="Palatino Linotype" w:cs="Arial"/>
          <w:sz w:val="24"/>
        </w:rPr>
        <w:t>Transparencia, Acceso a la Información Pública del Estado de México y Municipios</w:t>
      </w:r>
      <w:r w:rsidRPr="001B02F9">
        <w:rPr>
          <w:rFonts w:ascii="Palatino Linotype" w:hAnsi="Palatino Linotype" w:cs="Arial"/>
          <w:sz w:val="24"/>
          <w:szCs w:val="23"/>
        </w:rPr>
        <w:t xml:space="preserve">, y determinar la confirmación; revocación o modificación; desechamiento o </w:t>
      </w:r>
      <w:r w:rsidRPr="001B02F9">
        <w:rPr>
          <w:rFonts w:ascii="Palatino Linotype" w:hAnsi="Palatino Linotype" w:cs="Arial"/>
          <w:b/>
          <w:sz w:val="24"/>
          <w:szCs w:val="23"/>
          <w:u w:val="single"/>
        </w:rPr>
        <w:t>sobreseimiento</w:t>
      </w:r>
      <w:r w:rsidRPr="001B02F9">
        <w:rPr>
          <w:rFonts w:ascii="Palatino Linotype" w:hAnsi="Palatino Linotype" w:cs="Arial"/>
          <w:sz w:val="24"/>
          <w:szCs w:val="23"/>
        </w:rPr>
        <w:t xml:space="preserve">; y, en su caso, ordenar la entrega de la información respecto a la falta de respuesta por parte del </w:t>
      </w:r>
      <w:r w:rsidRPr="001B02F9">
        <w:rPr>
          <w:rFonts w:ascii="Palatino Linotype" w:hAnsi="Palatino Linotype" w:cs="Arial"/>
          <w:b/>
          <w:sz w:val="24"/>
          <w:szCs w:val="23"/>
        </w:rPr>
        <w:t>SUJETO</w:t>
      </w:r>
      <w:r w:rsidRPr="001B02F9">
        <w:rPr>
          <w:rFonts w:ascii="Palatino Linotype" w:hAnsi="Palatino Linotype" w:cs="Arial"/>
          <w:sz w:val="24"/>
          <w:szCs w:val="23"/>
        </w:rPr>
        <w:t xml:space="preserve"> </w:t>
      </w:r>
      <w:r w:rsidRPr="001B02F9">
        <w:rPr>
          <w:rFonts w:ascii="Palatino Linotype" w:hAnsi="Palatino Linotype" w:cs="Arial"/>
          <w:b/>
          <w:sz w:val="24"/>
          <w:szCs w:val="23"/>
        </w:rPr>
        <w:t>OBLIGADO</w:t>
      </w:r>
      <w:r w:rsidRPr="001B02F9">
        <w:rPr>
          <w:rFonts w:ascii="Palatino Linotype" w:hAnsi="Palatino Linotype" w:cs="Arial"/>
          <w:sz w:val="24"/>
          <w:szCs w:val="23"/>
        </w:rPr>
        <w:t>.</w:t>
      </w:r>
    </w:p>
    <w:p w:rsidR="00490B17" w:rsidRPr="001B02F9" w:rsidRDefault="00490B17" w:rsidP="00490B17">
      <w:pPr>
        <w:pStyle w:val="Prrafodelista"/>
        <w:tabs>
          <w:tab w:val="left" w:pos="284"/>
          <w:tab w:val="left" w:pos="426"/>
        </w:tabs>
        <w:spacing w:before="240" w:after="240" w:line="360" w:lineRule="auto"/>
        <w:ind w:left="0" w:right="49"/>
        <w:jc w:val="both"/>
        <w:rPr>
          <w:rFonts w:ascii="Palatino Linotype" w:hAnsi="Palatino Linotype" w:cs="Arial"/>
          <w:sz w:val="24"/>
        </w:rPr>
      </w:pPr>
    </w:p>
    <w:p w:rsidR="00490B17" w:rsidRPr="001B02F9" w:rsidRDefault="00490B17" w:rsidP="00490B17">
      <w:pPr>
        <w:pStyle w:val="Prrafodelista"/>
        <w:numPr>
          <w:ilvl w:val="0"/>
          <w:numId w:val="2"/>
        </w:numPr>
        <w:tabs>
          <w:tab w:val="left" w:pos="284"/>
          <w:tab w:val="left" w:pos="426"/>
        </w:tabs>
        <w:spacing w:before="240" w:after="240" w:line="360" w:lineRule="auto"/>
        <w:ind w:left="0" w:right="49" w:firstLine="0"/>
        <w:jc w:val="both"/>
        <w:rPr>
          <w:rFonts w:ascii="Palatino Linotype" w:eastAsia="MS Mincho" w:hAnsi="Palatino Linotype"/>
          <w:sz w:val="24"/>
        </w:rPr>
      </w:pPr>
      <w:r w:rsidRPr="001B02F9">
        <w:rPr>
          <w:rFonts w:ascii="Palatino Linotype" w:eastAsia="Calibri" w:hAnsi="Palatino Linotype" w:cs="Arial"/>
          <w:sz w:val="24"/>
          <w:szCs w:val="22"/>
          <w:lang w:eastAsia="en-US"/>
        </w:rPr>
        <w:lastRenderedPageBreak/>
        <w:t xml:space="preserve">Asimismo, es de señalar que </w:t>
      </w:r>
      <w:r w:rsidRPr="001B02F9">
        <w:rPr>
          <w:rFonts w:ascii="Palatino Linotype" w:eastAsia="MS Mincho" w:hAnsi="Palatino Linotype"/>
          <w:sz w:val="24"/>
        </w:rPr>
        <w:t xml:space="preserve">para actualizar el sobreseimiento de un recurso de revisión, el </w:t>
      </w:r>
      <w:r w:rsidRPr="001B02F9">
        <w:rPr>
          <w:rFonts w:ascii="Palatino Linotype" w:eastAsia="MS Mincho" w:hAnsi="Palatino Linotype"/>
          <w:b/>
          <w:sz w:val="24"/>
        </w:rPr>
        <w:t>SUJETO OBLIGADO</w:t>
      </w:r>
      <w:r w:rsidRPr="001B02F9">
        <w:rPr>
          <w:rFonts w:ascii="Palatino Linotype" w:eastAsia="MS Mincho" w:hAnsi="Palatino Linotype"/>
          <w:sz w:val="24"/>
        </w:rPr>
        <w:t xml:space="preserve"> puede entregar o completar la información al momento de rendir su informe justificado o, dentro de los siete días previstos para manifestar lo que a su derecho convenga</w:t>
      </w:r>
      <w:r w:rsidRPr="001B02F9">
        <w:rPr>
          <w:rFonts w:ascii="Palatino Linotype" w:eastAsia="Calibri" w:hAnsi="Palatino Linotype" w:cs="Arial"/>
          <w:sz w:val="24"/>
          <w:lang w:val="es-ES"/>
        </w:rPr>
        <w:t>, ofrecer pruebas y alegatos; como se refiriera en párrafos anteriores.</w:t>
      </w:r>
    </w:p>
    <w:p w:rsidR="00490B17" w:rsidRPr="001B02F9" w:rsidRDefault="00490B17" w:rsidP="00490B17">
      <w:pPr>
        <w:pStyle w:val="Prrafodelista"/>
        <w:tabs>
          <w:tab w:val="left" w:pos="284"/>
          <w:tab w:val="left" w:pos="426"/>
        </w:tabs>
        <w:ind w:left="0"/>
        <w:rPr>
          <w:rFonts w:ascii="Palatino Linotype" w:eastAsia="MS Mincho" w:hAnsi="Palatino Linotype"/>
          <w:sz w:val="24"/>
        </w:rPr>
      </w:pPr>
    </w:p>
    <w:p w:rsidR="00490B17" w:rsidRPr="001B02F9" w:rsidRDefault="00490B17" w:rsidP="00F343F9">
      <w:pPr>
        <w:pStyle w:val="Prrafodelista"/>
        <w:numPr>
          <w:ilvl w:val="0"/>
          <w:numId w:val="2"/>
        </w:numPr>
        <w:tabs>
          <w:tab w:val="left" w:pos="284"/>
          <w:tab w:val="left" w:pos="426"/>
        </w:tabs>
        <w:spacing w:before="240" w:after="240" w:line="360" w:lineRule="auto"/>
        <w:ind w:left="0" w:right="49" w:firstLine="0"/>
        <w:jc w:val="both"/>
        <w:rPr>
          <w:rFonts w:ascii="Palatino Linotype" w:eastAsia="MS Mincho" w:hAnsi="Palatino Linotype"/>
          <w:sz w:val="24"/>
        </w:rPr>
      </w:pPr>
      <w:r w:rsidRPr="001B02F9">
        <w:rPr>
          <w:rFonts w:ascii="Palatino Linotype" w:eastAsia="MS Mincho" w:hAnsi="Palatino Linotype"/>
          <w:sz w:val="24"/>
        </w:rPr>
        <w:t xml:space="preserve">Cabe destacar que el motivo de inconformidad del RECURRENTE sobre la </w:t>
      </w:r>
      <w:r w:rsidR="003E61A2" w:rsidRPr="001B02F9">
        <w:rPr>
          <w:rFonts w:ascii="Palatino Linotype" w:eastAsia="MS Mincho" w:hAnsi="Palatino Linotype"/>
          <w:sz w:val="24"/>
        </w:rPr>
        <w:t>clasificación</w:t>
      </w:r>
      <w:r w:rsidRPr="001B02F9">
        <w:rPr>
          <w:rFonts w:ascii="Palatino Linotype" w:eastAsia="MS Mincho" w:hAnsi="Palatino Linotype"/>
          <w:sz w:val="24"/>
        </w:rPr>
        <w:t xml:space="preserve"> de la información, actualiza la causal e improcedencia</w:t>
      </w:r>
      <w:r w:rsidR="003E61A2" w:rsidRPr="001B02F9">
        <w:rPr>
          <w:rFonts w:ascii="Palatino Linotype" w:eastAsia="MS Mincho" w:hAnsi="Palatino Linotype"/>
          <w:sz w:val="24"/>
        </w:rPr>
        <w:t xml:space="preserve"> contenida en la fracción II</w:t>
      </w:r>
      <w:r w:rsidRPr="001B02F9">
        <w:rPr>
          <w:rFonts w:ascii="Palatino Linotype" w:eastAsia="MS Mincho" w:hAnsi="Palatino Linotype"/>
          <w:sz w:val="24"/>
        </w:rPr>
        <w:t xml:space="preserve"> del artículo 179 de la Ley de Transparencia y Acceso a la Información Pública del Estado de México y Municipios, por lo que este Órgano Garante estaría en la posibilidad de analizar  el presente asunto;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1B02F9">
        <w:rPr>
          <w:rFonts w:ascii="Palatino Linotype" w:eastAsia="MS Mincho" w:hAnsi="Palatino Linotype"/>
          <w:sz w:val="24"/>
        </w:rPr>
        <w:t xml:space="preserve">sin embargo, será inminentemente excusado el ingreso al estudio y análisis de la controversia en consecuencia de que, como quedara establecido, el particular, por propio derecho, </w:t>
      </w:r>
      <w:r w:rsidR="003E61A2" w:rsidRPr="001B02F9">
        <w:rPr>
          <w:rFonts w:ascii="Palatino Linotype" w:eastAsia="MS Mincho" w:hAnsi="Palatino Linotype"/>
          <w:b/>
          <w:sz w:val="24"/>
        </w:rPr>
        <w:t>se desistió del recurso</w:t>
      </w:r>
      <w:r w:rsidRPr="001B02F9">
        <w:rPr>
          <w:rFonts w:ascii="Palatino Linotype" w:eastAsia="MS Mincho" w:hAnsi="Palatino Linotype"/>
          <w:b/>
          <w:sz w:val="24"/>
        </w:rPr>
        <w:t xml:space="preserve"> de revisión</w:t>
      </w:r>
      <w:r w:rsidRPr="001B02F9">
        <w:rPr>
          <w:rFonts w:ascii="Palatino Linotype" w:eastAsia="MS Mincho" w:hAnsi="Palatino Linotype"/>
          <w:sz w:val="24"/>
        </w:rPr>
        <w:t xml:space="preserve"> que nos ocupa, vía </w:t>
      </w:r>
      <w:r w:rsidRPr="001B02F9">
        <w:rPr>
          <w:rFonts w:ascii="Palatino Linotype" w:eastAsia="MS Mincho" w:hAnsi="Palatino Linotype"/>
          <w:i/>
          <w:sz w:val="24"/>
        </w:rPr>
        <w:t>SAIMEX</w:t>
      </w:r>
      <w:r w:rsidRPr="001B02F9">
        <w:rPr>
          <w:rFonts w:ascii="Palatino Linotype" w:eastAsia="MS Mincho" w:hAnsi="Palatino Linotype"/>
          <w:sz w:val="24"/>
        </w:rPr>
        <w:t xml:space="preserve">, el </w:t>
      </w:r>
      <w:r w:rsidR="003E61A2" w:rsidRPr="001B02F9">
        <w:rPr>
          <w:rFonts w:ascii="Palatino Linotype" w:eastAsia="MS Mincho" w:hAnsi="Palatino Linotype"/>
          <w:sz w:val="24"/>
        </w:rPr>
        <w:t>veintiuno (21) de septiembre</w:t>
      </w:r>
      <w:r w:rsidRPr="001B02F9">
        <w:rPr>
          <w:rFonts w:ascii="Palatino Linotype" w:eastAsia="MS Mincho" w:hAnsi="Palatino Linotype"/>
          <w:sz w:val="24"/>
        </w:rPr>
        <w:t xml:space="preserve"> de dos mil veintitrés, como se ilustra a continuación:</w:t>
      </w:r>
    </w:p>
    <w:p w:rsidR="00490B17" w:rsidRPr="001B02F9" w:rsidRDefault="00490B17" w:rsidP="00490B17">
      <w:pPr>
        <w:pStyle w:val="Prrafodelista"/>
        <w:spacing w:before="240" w:after="240" w:line="360" w:lineRule="auto"/>
        <w:ind w:left="426" w:right="49"/>
        <w:jc w:val="center"/>
        <w:rPr>
          <w:rFonts w:ascii="Palatino Linotype" w:eastAsia="MS Mincho" w:hAnsi="Palatino Linotype"/>
        </w:rPr>
      </w:pPr>
    </w:p>
    <w:p w:rsidR="00490B17" w:rsidRPr="001B02F9" w:rsidRDefault="00936341" w:rsidP="00490B17">
      <w:pPr>
        <w:spacing w:before="240" w:after="240" w:line="360" w:lineRule="auto"/>
        <w:ind w:right="49"/>
        <w:jc w:val="center"/>
        <w:rPr>
          <w:rFonts w:ascii="Palatino Linotype" w:eastAsia="MS Mincho" w:hAnsi="Palatino Linotype"/>
        </w:rPr>
      </w:pPr>
      <w:r>
        <w:rPr>
          <w:noProof/>
        </w:rPr>
        <w:lastRenderedPageBreak/>
        <mc:AlternateContent>
          <mc:Choice Requires="wps">
            <w:drawing>
              <wp:anchor distT="0" distB="0" distL="114300" distR="114300" simplePos="0" relativeHeight="251665408" behindDoc="0" locked="0" layoutInCell="1" allowOverlap="1" wp14:anchorId="644AF84C" wp14:editId="2B247418">
                <wp:simplePos x="0" y="0"/>
                <wp:positionH relativeFrom="column">
                  <wp:posOffset>3033502</wp:posOffset>
                </wp:positionH>
                <wp:positionV relativeFrom="paragraph">
                  <wp:posOffset>2577944</wp:posOffset>
                </wp:positionV>
                <wp:extent cx="793630" cy="69011"/>
                <wp:effectExtent l="0" t="0" r="26035" b="26670"/>
                <wp:wrapNone/>
                <wp:docPr id="7" name="Rectángulo 7"/>
                <wp:cNvGraphicFramePr/>
                <a:graphic xmlns:a="http://schemas.openxmlformats.org/drawingml/2006/main">
                  <a:graphicData uri="http://schemas.microsoft.com/office/word/2010/wordprocessingShape">
                    <wps:wsp>
                      <wps:cNvSpPr/>
                      <wps:spPr>
                        <a:xfrm>
                          <a:off x="0" y="0"/>
                          <a:ext cx="793630" cy="6901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94236B" id="Rectángulo 7" o:spid="_x0000_s1026" style="position:absolute;margin-left:238.85pt;margin-top:203pt;width:62.5pt;height:5.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" fillcolor="black [3200]" strokecolor="black [1600]" strokeweight="1pt"/>
            </w:pict>
          </mc:Fallback>
        </mc:AlternateContent>
      </w:r>
      <w:r w:rsidRPr="001B02F9">
        <w:rPr>
          <w:noProof/>
        </w:rPr>
        <mc:AlternateContent>
          <mc:Choice Requires="wps">
            <w:drawing>
              <wp:anchor distT="0" distB="0" distL="114300" distR="114300" simplePos="0" relativeHeight="251659264" behindDoc="0" locked="0" layoutInCell="1" allowOverlap="1" wp14:anchorId="344FF197" wp14:editId="79F401C6">
                <wp:simplePos x="0" y="0"/>
                <wp:positionH relativeFrom="margin">
                  <wp:posOffset>238496</wp:posOffset>
                </wp:positionH>
                <wp:positionV relativeFrom="paragraph">
                  <wp:posOffset>2506453</wp:posOffset>
                </wp:positionV>
                <wp:extent cx="5295900" cy="236305"/>
                <wp:effectExtent l="76200" t="38100" r="38100" b="87630"/>
                <wp:wrapNone/>
                <wp:docPr id="4" name="Rectángulo redondeado 4"/>
                <wp:cNvGraphicFramePr/>
                <a:graphic xmlns:a="http://schemas.openxmlformats.org/drawingml/2006/main">
                  <a:graphicData uri="http://schemas.microsoft.com/office/word/2010/wordprocessingShape">
                    <wps:wsp>
                      <wps:cNvSpPr/>
                      <wps:spPr>
                        <a:xfrm>
                          <a:off x="0" y="0"/>
                          <a:ext cx="5295900" cy="236305"/>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D783CE2" id="Rectángulo redondeado 4" o:spid="_x0000_s1026" style="position:absolute;margin-left:18.8pt;margin-top:197.35pt;width:417pt;height:18.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" filled="f" strokecolor="red" strokeweight="3pt">
                <v:shadow on="t" color="black" opacity="22937f" origin=",.5" offset="0,.63889mm"/>
                <w10:wrap anchorx="margin"/>
              </v:roundrect>
            </w:pict>
          </mc:Fallback>
        </mc:AlternateContent>
      </w:r>
      <w:r>
        <w:rPr>
          <w:noProof/>
        </w:rPr>
        <mc:AlternateContent>
          <mc:Choice Requires="wps">
            <w:drawing>
              <wp:anchor distT="0" distB="0" distL="114300" distR="114300" simplePos="0" relativeHeight="251663360" behindDoc="0" locked="0" layoutInCell="1" allowOverlap="1" wp14:anchorId="644AF84C" wp14:editId="2B247418">
                <wp:simplePos x="0" y="0"/>
                <wp:positionH relativeFrom="column">
                  <wp:posOffset>3025439</wp:posOffset>
                </wp:positionH>
                <wp:positionV relativeFrom="paragraph">
                  <wp:posOffset>1646879</wp:posOffset>
                </wp:positionV>
                <wp:extent cx="793630" cy="69011"/>
                <wp:effectExtent l="0" t="0" r="26035" b="26670"/>
                <wp:wrapNone/>
                <wp:docPr id="6" name="Rectángulo 6"/>
                <wp:cNvGraphicFramePr/>
                <a:graphic xmlns:a="http://schemas.openxmlformats.org/drawingml/2006/main">
                  <a:graphicData uri="http://schemas.microsoft.com/office/word/2010/wordprocessingShape">
                    <wps:wsp>
                      <wps:cNvSpPr/>
                      <wps:spPr>
                        <a:xfrm>
                          <a:off x="0" y="0"/>
                          <a:ext cx="793630" cy="6901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1F4E9B" id="Rectángulo 6" o:spid="_x0000_s1026" style="position:absolute;margin-left:238.2pt;margin-top:129.7pt;width:62.5pt;height:5.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" fillcolor="black [3200]" strokecolor="black [1600]" strokeweight="1p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3028207</wp:posOffset>
                </wp:positionH>
                <wp:positionV relativeFrom="paragraph">
                  <wp:posOffset>1442348</wp:posOffset>
                </wp:positionV>
                <wp:extent cx="793630" cy="69011"/>
                <wp:effectExtent l="0" t="0" r="26035" b="26670"/>
                <wp:wrapNone/>
                <wp:docPr id="5" name="Rectángulo 5"/>
                <wp:cNvGraphicFramePr/>
                <a:graphic xmlns:a="http://schemas.openxmlformats.org/drawingml/2006/main">
                  <a:graphicData uri="http://schemas.microsoft.com/office/word/2010/wordprocessingShape">
                    <wps:wsp>
                      <wps:cNvSpPr/>
                      <wps:spPr>
                        <a:xfrm>
                          <a:off x="0" y="0"/>
                          <a:ext cx="793630" cy="69011"/>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820BDE" id="Rectángulo 5" o:spid="_x0000_s1026" style="position:absolute;margin-left:238.45pt;margin-top:113.55pt;width:62.5pt;height:5.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" fillcolor="black [3200]" strokecolor="black [1600]" strokeweight="1pt"/>
            </w:pict>
          </mc:Fallback>
        </mc:AlternateContent>
      </w:r>
      <w:r w:rsidR="00490B17" w:rsidRPr="001B02F9">
        <w:rPr>
          <w:noProof/>
          <w:lang w:val="es-ES" w:eastAsia="es-ES"/>
        </w:rPr>
        <w:t xml:space="preserve"> </w:t>
      </w:r>
      <w:r w:rsidR="003E61A2" w:rsidRPr="001B02F9">
        <w:rPr>
          <w:noProof/>
        </w:rPr>
        <w:drawing>
          <wp:inline distT="0" distB="0" distL="0" distR="0" wp14:anchorId="20F4F38E" wp14:editId="70305457">
            <wp:extent cx="5353579" cy="2876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533" t="31551" r="28018" b="25987"/>
                    <a:stretch/>
                  </pic:blipFill>
                  <pic:spPr bwMode="auto">
                    <a:xfrm>
                      <a:off x="0" y="0"/>
                      <a:ext cx="5360633" cy="2880340"/>
                    </a:xfrm>
                    <a:prstGeom prst="rect">
                      <a:avLst/>
                    </a:prstGeom>
                    <a:ln>
                      <a:noFill/>
                    </a:ln>
                    <a:extLst>
                      <a:ext uri="{53640926-AAD7-44D8-BBD7-CCE9431645EC}">
                        <a14:shadowObscured xmlns:a14="http://schemas.microsoft.com/office/drawing/2010/main"/>
                      </a:ext>
                    </a:extLst>
                  </pic:spPr>
                </pic:pic>
              </a:graphicData>
            </a:graphic>
          </wp:inline>
        </w:drawing>
      </w:r>
      <w:bookmarkStart w:id="42" w:name="_GoBack"/>
      <w:bookmarkEnd w:id="42"/>
    </w:p>
    <w:p w:rsidR="00490B17" w:rsidRPr="001B02F9" w:rsidRDefault="00490B17" w:rsidP="00F343F9">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1B02F9">
        <w:rPr>
          <w:rFonts w:ascii="Palatino Linotype" w:eastAsia="MS Mincho" w:hAnsi="Palatino Linotype"/>
          <w:sz w:val="24"/>
        </w:rPr>
        <w:t xml:space="preserve">De las imágenes, se advierte que efectivamente el particular hizo uso de la opción </w:t>
      </w:r>
      <w:r w:rsidRPr="001B02F9">
        <w:rPr>
          <w:rFonts w:ascii="Palatino Linotype" w:eastAsia="MS Mincho" w:hAnsi="Palatino Linotype"/>
          <w:b/>
          <w:i/>
          <w:sz w:val="24"/>
        </w:rPr>
        <w:t>“Desistir”</w:t>
      </w:r>
      <w:r w:rsidRPr="001B02F9">
        <w:rPr>
          <w:rFonts w:ascii="Palatino Linotype" w:eastAsia="MS Mincho" w:hAnsi="Palatino Linotype"/>
          <w:sz w:val="24"/>
        </w:rPr>
        <w:t xml:space="preserve"> al recurso de revisión en el propio </w:t>
      </w:r>
      <w:r w:rsidRPr="001B02F9">
        <w:rPr>
          <w:rFonts w:ascii="Palatino Linotype" w:eastAsia="MS Mincho" w:hAnsi="Palatino Linotype"/>
          <w:i/>
          <w:sz w:val="24"/>
        </w:rPr>
        <w:t>SAIMEX</w:t>
      </w:r>
      <w:r w:rsidRPr="001B02F9">
        <w:rPr>
          <w:rFonts w:ascii="Palatino Linotype" w:eastAsia="MS Mincho" w:hAnsi="Palatino Linotype"/>
          <w:sz w:val="24"/>
        </w:rPr>
        <w:t xml:space="preserve">, opción que </w:t>
      </w:r>
      <w:r w:rsidRPr="001B02F9">
        <w:rPr>
          <w:rFonts w:ascii="Palatino Linotype" w:eastAsia="MS Mincho" w:hAnsi="Palatino Linotype"/>
          <w:b/>
          <w:sz w:val="24"/>
          <w:u w:val="single"/>
        </w:rPr>
        <w:t>ÚNICAMENTE</w:t>
      </w:r>
      <w:r w:rsidRPr="001B02F9">
        <w:rPr>
          <w:rFonts w:ascii="Palatino Linotype" w:eastAsia="MS Mincho" w:hAnsi="Palatino Linotype"/>
          <w:sz w:val="24"/>
        </w:rPr>
        <w:t xml:space="preserve"> puede hacer uso el usuario dueño de la cuenta, previo ingreso de su nombre de usuario y contraseña; así las cosas, cabe resaltar de igual manera que, al seleccionar la opción de </w:t>
      </w:r>
      <w:r w:rsidRPr="001B02F9">
        <w:rPr>
          <w:rFonts w:ascii="Palatino Linotype" w:eastAsia="MS Mincho" w:hAnsi="Palatino Linotype"/>
          <w:b/>
          <w:sz w:val="24"/>
        </w:rPr>
        <w:t>desistimiento</w:t>
      </w:r>
      <w:r w:rsidRPr="001B02F9">
        <w:rPr>
          <w:rFonts w:ascii="Palatino Linotype" w:eastAsia="MS Mincho" w:hAnsi="Palatino Linotype"/>
          <w:sz w:val="24"/>
        </w:rPr>
        <w:t xml:space="preserve">, aparece al usuario una ventana de alerta con el objeto de que confirme que efectivamente es su deseo </w:t>
      </w:r>
      <w:r w:rsidRPr="001B02F9">
        <w:rPr>
          <w:rFonts w:ascii="Palatino Linotype" w:eastAsia="MS Mincho" w:hAnsi="Palatino Linotype"/>
          <w:b/>
          <w:sz w:val="24"/>
        </w:rPr>
        <w:t>desistirse</w:t>
      </w:r>
      <w:r w:rsidRPr="001B02F9">
        <w:rPr>
          <w:rFonts w:ascii="Palatino Linotype" w:eastAsia="MS Mincho" w:hAnsi="Palatino Linotype"/>
          <w:sz w:val="24"/>
        </w:rPr>
        <w:t xml:space="preserve"> del recurso; </w:t>
      </w:r>
      <w:r w:rsidRPr="001B02F9">
        <w:rPr>
          <w:rFonts w:ascii="Palatino Linotype" w:eastAsia="MS Mincho" w:hAnsi="Palatino Linotype"/>
          <w:b/>
          <w:sz w:val="24"/>
        </w:rPr>
        <w:t>luego entonces no es hacedero suponer que fue por error involuntario, lo que se constituye como un desistimiento expreso</w:t>
      </w:r>
      <w:r w:rsidRPr="001B02F9">
        <w:rPr>
          <w:rFonts w:ascii="Palatino Linotype" w:eastAsia="MS Mincho" w:hAnsi="Palatino Linotype"/>
          <w:sz w:val="24"/>
        </w:rPr>
        <w:t>.</w:t>
      </w:r>
    </w:p>
    <w:p w:rsidR="00490B17" w:rsidRPr="001B02F9" w:rsidRDefault="00490B17" w:rsidP="00490B17">
      <w:pPr>
        <w:pStyle w:val="Prrafodelista"/>
        <w:tabs>
          <w:tab w:val="left" w:pos="426"/>
        </w:tabs>
        <w:spacing w:before="240" w:after="240" w:line="360" w:lineRule="auto"/>
        <w:ind w:left="0" w:right="49"/>
        <w:jc w:val="both"/>
        <w:rPr>
          <w:rFonts w:ascii="Palatino Linotype" w:eastAsia="MS Mincho" w:hAnsi="Palatino Linotype"/>
          <w:sz w:val="24"/>
        </w:rPr>
      </w:pPr>
    </w:p>
    <w:p w:rsidR="00490B17" w:rsidRPr="001B02F9" w:rsidRDefault="00490B17" w:rsidP="00F343F9">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1B02F9">
        <w:rPr>
          <w:rFonts w:ascii="Palatino Linotype" w:eastAsia="MS Mincho" w:hAnsi="Palatino Linotype"/>
          <w:sz w:val="24"/>
        </w:rPr>
        <w:t>En ese orden de ideas el articulo 192</w:t>
      </w:r>
      <w:r w:rsidRPr="001B02F9">
        <w:rPr>
          <w:sz w:val="24"/>
        </w:rPr>
        <w:t xml:space="preserve"> </w:t>
      </w:r>
      <w:r w:rsidRPr="001B02F9">
        <w:rPr>
          <w:rFonts w:ascii="Palatino Linotype" w:eastAsia="MS Mincho" w:hAnsi="Palatino Linotype"/>
          <w:sz w:val="24"/>
        </w:rPr>
        <w:t>Ley de Transparencia y Acceso a la Información Pública del Estado de México y Municipios, establece lo siguiente:</w:t>
      </w:r>
    </w:p>
    <w:p w:rsidR="00490B17" w:rsidRPr="001B02F9" w:rsidRDefault="00490B17" w:rsidP="00490B17">
      <w:pPr>
        <w:pStyle w:val="Prrafodelista"/>
        <w:rPr>
          <w:rFonts w:ascii="Palatino Linotype" w:eastAsia="MS Mincho" w:hAnsi="Palatino Linotype"/>
        </w:rPr>
      </w:pPr>
    </w:p>
    <w:p w:rsidR="00490B17" w:rsidRPr="001B02F9" w:rsidRDefault="00490B17" w:rsidP="00490B17">
      <w:pPr>
        <w:pStyle w:val="Prrafodelista"/>
        <w:spacing w:before="240" w:after="240" w:line="360" w:lineRule="auto"/>
        <w:ind w:left="851" w:right="822"/>
        <w:jc w:val="both"/>
        <w:rPr>
          <w:rFonts w:ascii="Palatino Linotype" w:eastAsia="MS Mincho" w:hAnsi="Palatino Linotype"/>
          <w:i/>
        </w:rPr>
      </w:pPr>
      <w:r w:rsidRPr="001B02F9">
        <w:rPr>
          <w:rFonts w:ascii="Palatino Linotype" w:eastAsia="MS Mincho" w:hAnsi="Palatino Linotype"/>
          <w:i/>
        </w:rPr>
        <w:t>“</w:t>
      </w:r>
      <w:r w:rsidRPr="001B02F9">
        <w:rPr>
          <w:rFonts w:ascii="Palatino Linotype" w:eastAsia="MS Mincho" w:hAnsi="Palatino Linotype"/>
          <w:b/>
          <w:i/>
        </w:rPr>
        <w:t>Artículo 192.</w:t>
      </w:r>
      <w:r w:rsidRPr="001B02F9">
        <w:rPr>
          <w:rFonts w:ascii="Palatino Linotype" w:eastAsia="MS Mincho" w:hAnsi="Palatino Linotype"/>
          <w:i/>
        </w:rPr>
        <w:t xml:space="preserve"> El recurso será sobreseído, en todo o en parte, cuando una vez admitido, se actualicen alguno de los siguientes supuestos:</w:t>
      </w:r>
    </w:p>
    <w:p w:rsidR="00490B17" w:rsidRPr="001B02F9" w:rsidRDefault="00490B17" w:rsidP="00490B17">
      <w:pPr>
        <w:pStyle w:val="Prrafodelista"/>
        <w:spacing w:before="240" w:after="240" w:line="360" w:lineRule="auto"/>
        <w:ind w:left="851" w:right="822"/>
        <w:jc w:val="both"/>
        <w:rPr>
          <w:rFonts w:ascii="Palatino Linotype" w:eastAsia="MS Mincho" w:hAnsi="Palatino Linotype"/>
          <w:i/>
        </w:rPr>
      </w:pPr>
      <w:r w:rsidRPr="001B02F9">
        <w:rPr>
          <w:rFonts w:ascii="Palatino Linotype" w:eastAsia="MS Mincho" w:hAnsi="Palatino Linotype"/>
          <w:b/>
          <w:i/>
        </w:rPr>
        <w:t>I.</w:t>
      </w:r>
      <w:r w:rsidRPr="001B02F9">
        <w:rPr>
          <w:rFonts w:ascii="Palatino Linotype" w:eastAsia="MS Mincho" w:hAnsi="Palatino Linotype"/>
          <w:i/>
        </w:rPr>
        <w:t xml:space="preserve"> El recurrente se desista expresamente del recurso;</w:t>
      </w:r>
    </w:p>
    <w:p w:rsidR="00490B17" w:rsidRPr="001B02F9" w:rsidRDefault="00490B17" w:rsidP="00490B17">
      <w:pPr>
        <w:pStyle w:val="Prrafodelista"/>
        <w:spacing w:before="240" w:after="240" w:line="360" w:lineRule="auto"/>
        <w:ind w:left="851" w:right="822"/>
        <w:jc w:val="both"/>
        <w:rPr>
          <w:rFonts w:ascii="Palatino Linotype" w:eastAsia="MS Mincho" w:hAnsi="Palatino Linotype"/>
          <w:i/>
        </w:rPr>
      </w:pPr>
      <w:r w:rsidRPr="001B02F9">
        <w:rPr>
          <w:rFonts w:ascii="Palatino Linotype" w:eastAsia="MS Mincho" w:hAnsi="Palatino Linotype"/>
          <w:i/>
        </w:rPr>
        <w:lastRenderedPageBreak/>
        <w:t>(…)”</w:t>
      </w:r>
    </w:p>
    <w:p w:rsidR="00490B17" w:rsidRPr="001B02F9" w:rsidRDefault="00490B17" w:rsidP="00490B17">
      <w:pPr>
        <w:pStyle w:val="Prrafodelista"/>
        <w:spacing w:before="240" w:after="240" w:line="360" w:lineRule="auto"/>
        <w:ind w:left="426" w:right="49"/>
        <w:jc w:val="both"/>
        <w:rPr>
          <w:rFonts w:ascii="Palatino Linotype" w:eastAsia="MS Mincho" w:hAnsi="Palatino Linotype"/>
        </w:rPr>
      </w:pPr>
    </w:p>
    <w:p w:rsidR="00490B17" w:rsidRPr="001B02F9" w:rsidRDefault="00490B17" w:rsidP="00F343F9">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1B02F9">
        <w:rPr>
          <w:rFonts w:ascii="Palatino Linotype" w:eastAsia="MS Mincho" w:hAnsi="Palatino Linotype"/>
          <w:sz w:val="24"/>
        </w:rPr>
        <w:t>Robustece lo anterior la tesis aislada I.15o.T.2 K (10a.), del Décimo Quinto Tribunal Colegiado en Materia de Trabajo del Primer Circuito, misma que se anexa a continuación:</w:t>
      </w:r>
    </w:p>
    <w:p w:rsidR="00490B17" w:rsidRPr="001B02F9" w:rsidRDefault="00490B17" w:rsidP="00490B17">
      <w:pPr>
        <w:pStyle w:val="Sinespaciado"/>
        <w:spacing w:line="360" w:lineRule="auto"/>
        <w:ind w:left="567" w:right="567"/>
        <w:jc w:val="both"/>
        <w:rPr>
          <w:rFonts w:ascii="Palatino Linotype" w:hAnsi="Palatino Linotype"/>
          <w:i/>
          <w:sz w:val="22"/>
        </w:rPr>
      </w:pPr>
      <w:r w:rsidRPr="001B02F9">
        <w:rPr>
          <w:rFonts w:ascii="Palatino Linotype" w:hAnsi="Palatino Linotype"/>
          <w:b/>
          <w:i/>
          <w:sz w:val="22"/>
        </w:rPr>
        <w:t>DESISTIMIENTO DEL RECURSO DE REVISIÓN EN AMPARO INDIRECTO. ES INNECESARIO QUE SE RATIFIQUE EL ESCRITO CORRESPONDIENTE, CUANDO SU REQUERIMIENTO SE NOTIFICÓ PERSONALMENTE.</w:t>
      </w:r>
      <w:r w:rsidRPr="001B02F9">
        <w:rPr>
          <w:rFonts w:ascii="Palatino Linotype" w:hAnsi="Palatino Linotype"/>
          <w:i/>
          <w:sz w:val="22"/>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rsidR="00490B17" w:rsidRPr="001B02F9" w:rsidRDefault="00490B17" w:rsidP="00490B17">
      <w:pPr>
        <w:pStyle w:val="Sinespaciado"/>
        <w:spacing w:line="360" w:lineRule="auto"/>
        <w:ind w:left="567" w:right="567"/>
        <w:jc w:val="both"/>
        <w:rPr>
          <w:rFonts w:ascii="Palatino Linotype" w:hAnsi="Palatino Linotype"/>
          <w:i/>
          <w:sz w:val="22"/>
        </w:rPr>
      </w:pPr>
    </w:p>
    <w:p w:rsidR="00490B17" w:rsidRPr="001B02F9" w:rsidRDefault="00490B17" w:rsidP="00F343F9">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1B02F9">
        <w:rPr>
          <w:rFonts w:ascii="Palatino Linotype" w:eastAsia="MS Mincho" w:hAnsi="Palatino Linotype"/>
          <w:sz w:val="24"/>
        </w:rPr>
        <w:t xml:space="preserve">Por consiguiente, al existir un desistimiento expreso por parte del </w:t>
      </w:r>
      <w:r w:rsidRPr="001B02F9">
        <w:rPr>
          <w:rFonts w:ascii="Palatino Linotype" w:eastAsia="MS Mincho" w:hAnsi="Palatino Linotype"/>
          <w:b/>
          <w:sz w:val="24"/>
        </w:rPr>
        <w:t>RECURRENTE</w:t>
      </w:r>
      <w:r w:rsidRPr="001B02F9">
        <w:rPr>
          <w:rFonts w:ascii="Palatino Linotype" w:eastAsia="MS Mincho" w:hAnsi="Palatino Linotype"/>
          <w:sz w:val="24"/>
        </w:rPr>
        <w:t xml:space="preserve">, este Pleno determina el </w:t>
      </w:r>
      <w:r w:rsidRPr="001B02F9">
        <w:rPr>
          <w:rFonts w:ascii="Palatino Linotype" w:eastAsia="MS Mincho" w:hAnsi="Palatino Linotype"/>
          <w:b/>
          <w:sz w:val="24"/>
        </w:rPr>
        <w:t>SOBRESEIMIENTO</w:t>
      </w:r>
      <w:r w:rsidRPr="001B02F9">
        <w:rPr>
          <w:rFonts w:ascii="Palatino Linotype" w:eastAsia="MS Mincho" w:hAnsi="Palatino Linotype"/>
          <w:sz w:val="24"/>
        </w:rPr>
        <w:t xml:space="preserve"> de los recursos de revisión.</w:t>
      </w:r>
    </w:p>
    <w:p w:rsidR="00490B17" w:rsidRPr="001B02F9" w:rsidRDefault="00490B17" w:rsidP="00490B17">
      <w:pPr>
        <w:pStyle w:val="Prrafodelista"/>
        <w:tabs>
          <w:tab w:val="left" w:pos="426"/>
        </w:tabs>
        <w:spacing w:before="240" w:after="240" w:line="360" w:lineRule="auto"/>
        <w:ind w:left="0" w:right="51"/>
        <w:jc w:val="both"/>
        <w:rPr>
          <w:rFonts w:ascii="Palatino Linotype" w:hAnsi="Palatino Linotype"/>
          <w:sz w:val="24"/>
        </w:rPr>
      </w:pPr>
    </w:p>
    <w:p w:rsidR="00490B17" w:rsidRPr="001B02F9" w:rsidRDefault="00490B17" w:rsidP="00F343F9">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1B02F9">
        <w:rPr>
          <w:rFonts w:ascii="Palatino Linotype" w:eastAsia="MS Mincho" w:hAnsi="Palatino Linotype"/>
          <w:sz w:val="24"/>
        </w:rPr>
        <w:t xml:space="preserve">Bajo </w:t>
      </w:r>
      <w:r w:rsidRPr="001B02F9">
        <w:rPr>
          <w:rFonts w:ascii="Palatino Linotype" w:hAnsi="Palatino Linotype" w:cs="Arial"/>
          <w:sz w:val="24"/>
          <w:lang w:val="es-CO"/>
        </w:rPr>
        <w:t xml:space="preserve">ese tenor y, en términos del artículo 186, fracción I, de la Ley de Transparencia y Acceso a la Información Pública del Estado de México y Municipios, este Pleno determina el </w:t>
      </w:r>
      <w:r w:rsidRPr="001B02F9">
        <w:rPr>
          <w:rFonts w:ascii="Palatino Linotype" w:hAnsi="Palatino Linotype" w:cs="Arial"/>
          <w:b/>
          <w:sz w:val="24"/>
          <w:lang w:val="es-CO"/>
        </w:rPr>
        <w:t xml:space="preserve">SOBRESEIMIENTO </w:t>
      </w:r>
      <w:r w:rsidRPr="001B02F9">
        <w:rPr>
          <w:rFonts w:ascii="Palatino Linotype" w:hAnsi="Palatino Linotype" w:cs="Arial"/>
          <w:sz w:val="24"/>
          <w:lang w:val="es-CO"/>
        </w:rPr>
        <w:t>del presente recurso de revisión, por resultar improcedente, en términos de la fracción I, del artículo 192, de la Ley de Transparencia y Acceso a la Información Pública Estatal.</w:t>
      </w:r>
    </w:p>
    <w:p w:rsidR="00490B17" w:rsidRPr="001B02F9" w:rsidRDefault="00490B17" w:rsidP="00490B17">
      <w:pPr>
        <w:pStyle w:val="Prrafodelista"/>
        <w:tabs>
          <w:tab w:val="left" w:pos="426"/>
        </w:tabs>
        <w:spacing w:before="240" w:after="240" w:line="360" w:lineRule="auto"/>
        <w:ind w:left="0" w:right="49"/>
        <w:jc w:val="both"/>
        <w:rPr>
          <w:rFonts w:ascii="Palatino Linotype" w:eastAsia="MS Mincho" w:hAnsi="Palatino Linotype"/>
          <w:sz w:val="24"/>
        </w:rPr>
      </w:pPr>
    </w:p>
    <w:p w:rsidR="00490B17" w:rsidRPr="001B02F9" w:rsidRDefault="00490B17" w:rsidP="00F343F9">
      <w:pPr>
        <w:pStyle w:val="Prrafodelista"/>
        <w:numPr>
          <w:ilvl w:val="0"/>
          <w:numId w:val="2"/>
        </w:numPr>
        <w:tabs>
          <w:tab w:val="left" w:pos="426"/>
        </w:tabs>
        <w:spacing w:before="240" w:after="240" w:line="360" w:lineRule="auto"/>
        <w:ind w:left="0" w:right="49" w:firstLine="0"/>
        <w:jc w:val="both"/>
        <w:rPr>
          <w:rFonts w:ascii="Palatino Linotype" w:eastAsia="MS Mincho" w:hAnsi="Palatino Linotype"/>
          <w:sz w:val="24"/>
        </w:rPr>
      </w:pPr>
      <w:r w:rsidRPr="001B02F9">
        <w:rPr>
          <w:rFonts w:ascii="Palatino Linotype" w:eastAsia="MS Mincho" w:hAnsi="Palatino Linotype"/>
          <w:sz w:val="24"/>
        </w:rPr>
        <w:t>Por lo anteriormente expuesto, este Órgano Garante emite los siguientes: --------------------------------------------------------------------------------------------------------------------------</w:t>
      </w:r>
    </w:p>
    <w:p w:rsidR="00490B17" w:rsidRPr="001B02F9" w:rsidRDefault="00490B17" w:rsidP="00490B17">
      <w:pPr>
        <w:pStyle w:val="Prrafodelista"/>
        <w:tabs>
          <w:tab w:val="left" w:pos="426"/>
        </w:tabs>
        <w:spacing w:before="240" w:after="240" w:line="360" w:lineRule="auto"/>
        <w:ind w:left="0" w:right="49"/>
        <w:jc w:val="both"/>
        <w:rPr>
          <w:rFonts w:ascii="Palatino Linotype" w:eastAsia="MS Mincho" w:hAnsi="Palatino Linotype"/>
          <w:sz w:val="24"/>
        </w:rPr>
      </w:pPr>
    </w:p>
    <w:p w:rsidR="00490B17" w:rsidRPr="001B02F9" w:rsidRDefault="00490B17" w:rsidP="00490B17">
      <w:pPr>
        <w:rPr>
          <w:rFonts w:ascii="Palatino Linotype" w:eastAsia="MS Mincho" w:hAnsi="Palatino Linotype"/>
        </w:rPr>
      </w:pPr>
    </w:p>
    <w:p w:rsidR="00490B17" w:rsidRPr="001B02F9" w:rsidRDefault="00490B17" w:rsidP="00490B17">
      <w:pPr>
        <w:rPr>
          <w:rFonts w:ascii="Palatino Linotype" w:eastAsia="MS Mincho" w:hAnsi="Palatino Linotype"/>
        </w:rPr>
      </w:pPr>
    </w:p>
    <w:p w:rsidR="00490B17" w:rsidRPr="001B02F9" w:rsidRDefault="00490B17" w:rsidP="00490B17">
      <w:pPr>
        <w:rPr>
          <w:rFonts w:ascii="Palatino Linotype" w:eastAsia="MS Mincho" w:hAnsi="Palatino Linotype"/>
        </w:rPr>
      </w:pPr>
    </w:p>
    <w:p w:rsidR="00490B17" w:rsidRPr="001B02F9" w:rsidRDefault="00490B17" w:rsidP="00490B17">
      <w:pPr>
        <w:rPr>
          <w:rFonts w:ascii="Palatino Linotype" w:eastAsia="MS Mincho" w:hAnsi="Palatino Linotype"/>
        </w:rPr>
      </w:pPr>
    </w:p>
    <w:p w:rsidR="00490B17" w:rsidRPr="001B02F9" w:rsidRDefault="00490B17" w:rsidP="00490B17">
      <w:pPr>
        <w:pStyle w:val="Ttulo1"/>
        <w:spacing w:line="360" w:lineRule="auto"/>
        <w:jc w:val="center"/>
        <w:rPr>
          <w:rFonts w:ascii="Palatino Linotype" w:hAnsi="Palatino Linotype"/>
          <w:b/>
          <w:color w:val="auto"/>
          <w:sz w:val="24"/>
          <w:szCs w:val="24"/>
        </w:rPr>
      </w:pPr>
      <w:bookmarkStart w:id="43" w:name="_Toc61470701"/>
      <w:r w:rsidRPr="001B02F9">
        <w:rPr>
          <w:rFonts w:ascii="Palatino Linotype" w:hAnsi="Palatino Linotype"/>
          <w:b/>
          <w:color w:val="auto"/>
          <w:sz w:val="24"/>
          <w:szCs w:val="24"/>
        </w:rPr>
        <w:t>R E S O L U T I V O S</w:t>
      </w:r>
      <w:bookmarkEnd w:id="38"/>
      <w:bookmarkEnd w:id="39"/>
      <w:bookmarkEnd w:id="40"/>
      <w:bookmarkEnd w:id="41"/>
      <w:bookmarkEnd w:id="43"/>
    </w:p>
    <w:p w:rsidR="00490B17" w:rsidRPr="001B02F9" w:rsidRDefault="00490B17" w:rsidP="00490B17">
      <w:pPr>
        <w:rPr>
          <w:lang w:eastAsia="en-US"/>
        </w:rPr>
      </w:pPr>
    </w:p>
    <w:p w:rsidR="00490B17" w:rsidRPr="001B02F9" w:rsidRDefault="00490B17" w:rsidP="00490B17">
      <w:pPr>
        <w:spacing w:after="240" w:line="360" w:lineRule="auto"/>
        <w:jc w:val="both"/>
        <w:rPr>
          <w:rFonts w:ascii="Palatino Linotype" w:hAnsi="Palatino Linotype"/>
        </w:rPr>
      </w:pPr>
      <w:r w:rsidRPr="001B02F9">
        <w:rPr>
          <w:rFonts w:ascii="Palatino Linotype" w:hAnsi="Palatino Linotype"/>
          <w:b/>
        </w:rPr>
        <w:t>PRIMERO.</w:t>
      </w:r>
      <w:r w:rsidRPr="001B02F9">
        <w:rPr>
          <w:rFonts w:ascii="Palatino Linotype" w:hAnsi="Palatino Linotype"/>
        </w:rPr>
        <w:t xml:space="preserve"> Se </w:t>
      </w:r>
      <w:r w:rsidRPr="001B02F9">
        <w:rPr>
          <w:rFonts w:ascii="Palatino Linotype" w:hAnsi="Palatino Linotype"/>
          <w:b/>
        </w:rPr>
        <w:t>SOBRESEE</w:t>
      </w:r>
      <w:r w:rsidRPr="001B02F9">
        <w:rPr>
          <w:rFonts w:ascii="Palatino Linotype" w:hAnsi="Palatino Linotype"/>
        </w:rPr>
        <w:t xml:space="preserve"> el recurso de revisión número </w:t>
      </w:r>
      <w:r w:rsidR="003E61A2" w:rsidRPr="001B02F9">
        <w:rPr>
          <w:rFonts w:ascii="Palatino Linotype" w:hAnsi="Palatino Linotype"/>
          <w:b/>
        </w:rPr>
        <w:t>01728</w:t>
      </w:r>
      <w:r w:rsidRPr="001B02F9">
        <w:rPr>
          <w:rFonts w:ascii="Palatino Linotype" w:hAnsi="Palatino Linotype"/>
          <w:b/>
        </w:rPr>
        <w:t xml:space="preserve">/INFOEM/IP/RR/2023, </w:t>
      </w:r>
      <w:r w:rsidRPr="001B02F9">
        <w:rPr>
          <w:rFonts w:ascii="Palatino Linotype" w:hAnsi="Palatino Linotype"/>
        </w:rPr>
        <w:t xml:space="preserve">en términos de lo establecido en el artículo 192 fracción I de la Ley de Transparencia y Acceso a la Información Pública del Estado de México y Municipios, </w:t>
      </w:r>
      <w:r w:rsidRPr="001B02F9">
        <w:rPr>
          <w:rFonts w:ascii="Palatino Linotype" w:hAnsi="Palatino Linotype"/>
          <w:b/>
        </w:rPr>
        <w:t>por haberse desistido expresamente el</w:t>
      </w:r>
      <w:r w:rsidRPr="001B02F9">
        <w:rPr>
          <w:rFonts w:ascii="Palatino Linotype" w:hAnsi="Palatino Linotype"/>
        </w:rPr>
        <w:t xml:space="preserve"> </w:t>
      </w:r>
      <w:r w:rsidRPr="001B02F9">
        <w:rPr>
          <w:rFonts w:ascii="Palatino Linotype" w:hAnsi="Palatino Linotype"/>
          <w:b/>
        </w:rPr>
        <w:t>RECURRENTE</w:t>
      </w:r>
      <w:r w:rsidRPr="001B02F9">
        <w:rPr>
          <w:rFonts w:ascii="Palatino Linotype" w:hAnsi="Palatino Linotype"/>
        </w:rPr>
        <w:t xml:space="preserve">, en términos del </w:t>
      </w:r>
      <w:r w:rsidR="00F343F9" w:rsidRPr="001B02F9">
        <w:rPr>
          <w:rFonts w:ascii="Palatino Linotype" w:hAnsi="Palatino Linotype"/>
          <w:b/>
        </w:rPr>
        <w:t>c</w:t>
      </w:r>
      <w:r w:rsidRPr="001B02F9">
        <w:rPr>
          <w:rFonts w:ascii="Palatino Linotype" w:hAnsi="Palatino Linotype"/>
          <w:b/>
        </w:rPr>
        <w:t>onsiderando TERCERO</w:t>
      </w:r>
      <w:r w:rsidRPr="001B02F9">
        <w:rPr>
          <w:rFonts w:ascii="Palatino Linotype" w:hAnsi="Palatino Linotype"/>
        </w:rPr>
        <w:t xml:space="preserve"> de la presente resolución.</w:t>
      </w:r>
    </w:p>
    <w:p w:rsidR="00490B17" w:rsidRPr="001B02F9" w:rsidRDefault="00490B17" w:rsidP="00490B17">
      <w:pPr>
        <w:pStyle w:val="Sinespaciado"/>
        <w:spacing w:after="240" w:line="360" w:lineRule="auto"/>
        <w:jc w:val="both"/>
        <w:rPr>
          <w:rFonts w:ascii="Palatino Linotype" w:eastAsia="Calibri" w:hAnsi="Palatino Linotype" w:cs="Arial"/>
          <w:b/>
          <w:bCs/>
          <w:lang w:val="es-ES"/>
        </w:rPr>
      </w:pPr>
      <w:r w:rsidRPr="001B02F9">
        <w:rPr>
          <w:rFonts w:ascii="Palatino Linotype" w:eastAsia="Calibri" w:hAnsi="Palatino Linotype" w:cs="Arial"/>
          <w:b/>
          <w:bCs/>
          <w:lang w:val="es-ES"/>
        </w:rPr>
        <w:t xml:space="preserve">SEGUNDO. REMÍTASE </w:t>
      </w:r>
      <w:r w:rsidRPr="001B02F9">
        <w:rPr>
          <w:rFonts w:ascii="Palatino Linotype" w:eastAsia="Calibri" w:hAnsi="Palatino Linotype" w:cs="Arial"/>
          <w:bCs/>
          <w:lang w:val="es-ES"/>
        </w:rPr>
        <w:t xml:space="preserve">a través del Sistema de Acceso a la Información Mexiquense </w:t>
      </w:r>
      <w:r w:rsidRPr="001B02F9">
        <w:rPr>
          <w:rFonts w:ascii="Palatino Linotype" w:eastAsia="Calibri" w:hAnsi="Palatino Linotype" w:cs="Arial"/>
          <w:b/>
          <w:bCs/>
          <w:lang w:val="es-ES"/>
        </w:rPr>
        <w:t>(SAIMEX)</w:t>
      </w:r>
      <w:r w:rsidR="00F343F9" w:rsidRPr="001B02F9">
        <w:rPr>
          <w:rFonts w:ascii="Palatino Linotype" w:eastAsia="Calibri" w:hAnsi="Palatino Linotype" w:cs="Arial"/>
          <w:b/>
          <w:bCs/>
          <w:lang w:val="es-ES"/>
        </w:rPr>
        <w:t>,</w:t>
      </w:r>
      <w:r w:rsidRPr="001B02F9">
        <w:rPr>
          <w:rFonts w:ascii="Palatino Linotype" w:eastAsia="Calibri" w:hAnsi="Palatino Linotype" w:cs="Arial"/>
          <w:b/>
          <w:bCs/>
          <w:lang w:val="es-ES"/>
        </w:rPr>
        <w:t xml:space="preserve"> </w:t>
      </w:r>
      <w:r w:rsidRPr="001B02F9">
        <w:rPr>
          <w:rFonts w:ascii="Palatino Linotype" w:eastAsia="Calibri" w:hAnsi="Palatino Linotype" w:cs="Arial"/>
          <w:bCs/>
          <w:lang w:val="es-ES"/>
        </w:rPr>
        <w:t>la presente resolución al Titular de la Unidad de Transparencia del</w:t>
      </w:r>
      <w:r w:rsidRPr="001B02F9">
        <w:rPr>
          <w:rFonts w:ascii="Palatino Linotype" w:eastAsia="Calibri" w:hAnsi="Palatino Linotype" w:cs="Arial"/>
          <w:b/>
          <w:bCs/>
          <w:lang w:val="es-ES"/>
        </w:rPr>
        <w:t xml:space="preserve"> SUJETO OBLIGADO. </w:t>
      </w:r>
    </w:p>
    <w:p w:rsidR="00490B17" w:rsidRPr="001B02F9" w:rsidRDefault="00490B17" w:rsidP="00490B17">
      <w:pPr>
        <w:pStyle w:val="Sinespaciado"/>
        <w:spacing w:after="240" w:line="360" w:lineRule="auto"/>
        <w:jc w:val="both"/>
        <w:rPr>
          <w:rFonts w:ascii="Palatino Linotype" w:eastAsia="Times New Roman" w:hAnsi="Palatino Linotype" w:cs="Times New Roman"/>
          <w:lang w:val="es-ES" w:eastAsia="es-MX"/>
        </w:rPr>
      </w:pPr>
      <w:r w:rsidRPr="001B02F9">
        <w:rPr>
          <w:rFonts w:ascii="Palatino Linotype" w:eastAsia="Times New Roman" w:hAnsi="Palatino Linotype" w:cs="Arial"/>
          <w:b/>
        </w:rPr>
        <w:lastRenderedPageBreak/>
        <w:t xml:space="preserve">TERCERO. </w:t>
      </w:r>
      <w:r w:rsidRPr="001B02F9">
        <w:rPr>
          <w:rFonts w:ascii="Palatino Linotype" w:eastAsia="Times New Roman" w:hAnsi="Palatino Linotype" w:cs="Times New Roman"/>
          <w:b/>
          <w:bCs/>
          <w:lang w:val="es-ES"/>
        </w:rPr>
        <w:t>Notifíquese al RECURRENTE</w:t>
      </w:r>
      <w:r w:rsidRPr="001B02F9">
        <w:rPr>
          <w:rFonts w:ascii="Palatino Linotype" w:hAnsi="Palatino Linotype"/>
          <w:b/>
        </w:rPr>
        <w:t xml:space="preserve"> </w:t>
      </w:r>
      <w:r w:rsidRPr="001B02F9">
        <w:rPr>
          <w:rFonts w:ascii="Palatino Linotype" w:eastAsia="Times New Roman" w:hAnsi="Palatino Linotype" w:cs="Times New Roman"/>
          <w:lang w:val="es-ES" w:eastAsia="es-MX"/>
        </w:rPr>
        <w:t>la presente resolución.</w:t>
      </w:r>
    </w:p>
    <w:p w:rsidR="00490B17" w:rsidRPr="001B02F9" w:rsidRDefault="00490B17" w:rsidP="00490B17">
      <w:pPr>
        <w:pStyle w:val="Prrafodelista"/>
        <w:spacing w:after="240" w:line="360" w:lineRule="auto"/>
        <w:ind w:left="0"/>
        <w:jc w:val="both"/>
        <w:rPr>
          <w:rFonts w:ascii="Palatino Linotype" w:eastAsia="MS Mincho" w:hAnsi="Palatino Linotype"/>
          <w:sz w:val="24"/>
          <w:lang w:val="es-ES"/>
        </w:rPr>
      </w:pPr>
      <w:r w:rsidRPr="001B02F9">
        <w:rPr>
          <w:rFonts w:ascii="Palatino Linotype" w:eastAsia="MS Mincho" w:hAnsi="Palatino Linotype"/>
          <w:b/>
          <w:sz w:val="24"/>
        </w:rPr>
        <w:t>CUARTO.</w:t>
      </w:r>
      <w:r w:rsidRPr="001B02F9">
        <w:rPr>
          <w:rFonts w:ascii="Palatino Linotype" w:eastAsia="MS Mincho" w:hAnsi="Palatino Linotype"/>
          <w:sz w:val="24"/>
        </w:rPr>
        <w:t xml:space="preserve"> </w:t>
      </w:r>
      <w:r w:rsidRPr="001B02F9">
        <w:rPr>
          <w:rFonts w:ascii="Palatino Linotype" w:eastAsia="MS Mincho" w:hAnsi="Palatino Linotype"/>
          <w:sz w:val="24"/>
          <w:lang w:val="es-ES"/>
        </w:rPr>
        <w:t xml:space="preserve">Se hace del conocimiento del </w:t>
      </w:r>
      <w:r w:rsidRPr="001B02F9">
        <w:rPr>
          <w:rFonts w:ascii="Palatino Linotype" w:hAnsi="Palatino Linotype"/>
          <w:b/>
          <w:sz w:val="24"/>
        </w:rPr>
        <w:t xml:space="preserve">RECURRENTE </w:t>
      </w:r>
      <w:r w:rsidRPr="001B02F9">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1B02F9">
        <w:rPr>
          <w:rFonts w:ascii="Palatino Linotype" w:eastAsia="MS Mincho" w:hAnsi="Palatino Linotype"/>
          <w:bCs/>
          <w:sz w:val="24"/>
          <w:lang w:val="es-ES"/>
        </w:rPr>
        <w:t xml:space="preserve">vía juicio de amparo </w:t>
      </w:r>
      <w:r w:rsidRPr="001B02F9">
        <w:rPr>
          <w:rFonts w:ascii="Palatino Linotype" w:eastAsia="MS Mincho" w:hAnsi="Palatino Linotype"/>
          <w:sz w:val="24"/>
          <w:lang w:val="es-ES"/>
        </w:rPr>
        <w:t>en los términos de las leyes aplicables.</w:t>
      </w:r>
    </w:p>
    <w:p w:rsidR="00490B17" w:rsidRPr="001B02F9" w:rsidRDefault="00490B17" w:rsidP="00490B17">
      <w:pPr>
        <w:pStyle w:val="Prrafodelista"/>
        <w:spacing w:line="360" w:lineRule="auto"/>
        <w:ind w:left="0"/>
        <w:jc w:val="both"/>
        <w:rPr>
          <w:rFonts w:ascii="Palatino Linotype" w:hAnsi="Palatino Linotype"/>
        </w:rPr>
      </w:pPr>
    </w:p>
    <w:p w:rsidR="003E29C4" w:rsidRPr="00DD6266" w:rsidRDefault="003E29C4" w:rsidP="003E29C4">
      <w:pPr>
        <w:spacing w:before="240" w:after="240" w:line="360" w:lineRule="auto"/>
        <w:ind w:firstLine="1"/>
        <w:jc w:val="both"/>
        <w:rPr>
          <w:rFonts w:ascii="Palatino Linotype" w:hAnsi="Palatino Linotype"/>
          <w:smallCaps/>
          <w:sz w:val="22"/>
        </w:rPr>
      </w:pPr>
      <w:bookmarkStart w:id="44" w:name="_Hlk129792997"/>
      <w:r w:rsidRPr="001B02F9">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TRIGÉSIMA QUINTA SESIÓN ORDINARIA CELEBRADA EL VEINTISIETE (27) DE SEPTIEMBRE DE DOS MIL VEINTITRÉS, ANTE EL SECRETARIO TÉCNICO </w:t>
      </w:r>
      <w:r w:rsidR="004172CC">
        <w:rPr>
          <w:rFonts w:ascii="Palatino Linotype" w:eastAsiaTheme="majorEastAsia" w:hAnsi="Palatino Linotype"/>
          <w:smallCaps/>
          <w:noProof/>
        </w:rPr>
        <mc:AlternateContent>
          <mc:Choice Requires="wps">
            <w:drawing>
              <wp:anchor distT="0" distB="0" distL="114300" distR="114300" simplePos="0" relativeHeight="251660288" behindDoc="0" locked="0" layoutInCell="1" allowOverlap="1">
                <wp:simplePos x="0" y="0"/>
                <wp:positionH relativeFrom="column">
                  <wp:posOffset>-212734</wp:posOffset>
                </wp:positionH>
                <wp:positionV relativeFrom="paragraph">
                  <wp:posOffset>857983</wp:posOffset>
                </wp:positionV>
                <wp:extent cx="6234545" cy="6590805"/>
                <wp:effectExtent l="0" t="0" r="33020" b="19685"/>
                <wp:wrapNone/>
                <wp:docPr id="2" name="Conector recto 2"/>
                <wp:cNvGraphicFramePr/>
                <a:graphic xmlns:a="http://schemas.openxmlformats.org/drawingml/2006/main">
                  <a:graphicData uri="http://schemas.microsoft.com/office/word/2010/wordprocessingShape">
                    <wps:wsp>
                      <wps:cNvCnPr/>
                      <wps:spPr>
                        <a:xfrm>
                          <a:off x="0" y="0"/>
                          <a:ext cx="6234545" cy="65908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7A03A7"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75pt,67.55pt" to="474.1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" strokecolor="#5b9bd5 [3204]" strokeweight=".5pt">
                <v:stroke joinstyle="miter"/>
              </v:line>
            </w:pict>
          </mc:Fallback>
        </mc:AlternateContent>
      </w:r>
      <w:r w:rsidRPr="001B02F9">
        <w:rPr>
          <w:rStyle w:val="Referenciasutil"/>
          <w:rFonts w:ascii="Palatino Linotype" w:eastAsiaTheme="majorEastAsia" w:hAnsi="Palatino Linotype"/>
          <w:color w:val="auto"/>
        </w:rPr>
        <w:t>DEL PLENO ALEXIS TAPIA RAMÍREZ.</w:t>
      </w:r>
      <w:r w:rsidRPr="00DD6266">
        <w:rPr>
          <w:rStyle w:val="Referenciasutil"/>
          <w:rFonts w:ascii="Palatino Linotype" w:eastAsiaTheme="majorEastAsia" w:hAnsi="Palatino Linotype"/>
          <w:color w:val="auto"/>
        </w:rPr>
        <w:t xml:space="preserve"> </w:t>
      </w:r>
      <w:bookmarkEnd w:id="44"/>
    </w:p>
    <w:p w:rsidR="00490B17" w:rsidRPr="0050481C" w:rsidRDefault="00490B17" w:rsidP="00490B17">
      <w:pPr>
        <w:rPr>
          <w:rFonts w:ascii="Palatino Linotype" w:hAnsi="Palatino Linotype"/>
        </w:rPr>
      </w:pPr>
      <w:r w:rsidRPr="0050481C">
        <w:rPr>
          <w:rFonts w:ascii="Palatino Linotype" w:hAnsi="Palatino Linotype"/>
        </w:rPr>
        <w:br w:type="page"/>
      </w:r>
    </w:p>
    <w:p w:rsidR="00490B17" w:rsidRPr="0050481C" w:rsidRDefault="00490B17" w:rsidP="00490B17">
      <w:pPr>
        <w:spacing w:before="240" w:after="240" w:line="360" w:lineRule="auto"/>
        <w:ind w:right="49"/>
        <w:jc w:val="both"/>
        <w:rPr>
          <w:rFonts w:ascii="Palatino Linotype" w:hAnsi="Palatino Linotype"/>
        </w:rPr>
      </w:pPr>
    </w:p>
    <w:p w:rsidR="00490B17" w:rsidRPr="0050481C" w:rsidRDefault="00490B17" w:rsidP="00490B17">
      <w:pPr>
        <w:spacing w:before="240" w:after="240" w:line="360" w:lineRule="auto"/>
        <w:ind w:right="49"/>
        <w:jc w:val="both"/>
        <w:rPr>
          <w:rFonts w:ascii="Palatino Linotype" w:hAnsi="Palatino Linotype"/>
        </w:rPr>
      </w:pPr>
    </w:p>
    <w:p w:rsidR="00490B17" w:rsidRPr="0050481C" w:rsidRDefault="00490B17" w:rsidP="00490B17"/>
    <w:p w:rsidR="00490B17" w:rsidRDefault="00490B17" w:rsidP="00490B17"/>
    <w:p w:rsidR="00490B17" w:rsidRDefault="00490B17" w:rsidP="00490B17"/>
    <w:p w:rsidR="004E1710" w:rsidRDefault="0068557F"/>
    <w:sectPr w:rsidR="004E1710" w:rsidSect="0026086D">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57F" w:rsidRDefault="0068557F" w:rsidP="00490B17">
      <w:r>
        <w:separator/>
      </w:r>
    </w:p>
  </w:endnote>
  <w:endnote w:type="continuationSeparator" w:id="0">
    <w:p w:rsidR="0068557F" w:rsidRDefault="0068557F" w:rsidP="0049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321F0F">
    <w:pPr>
      <w:pStyle w:val="Piedepgina"/>
      <w:jc w:val="right"/>
    </w:pPr>
    <w:r>
      <w:rPr>
        <w:lang w:val="es-ES"/>
      </w:rPr>
      <w:t xml:space="preserve">Página </w:t>
    </w:r>
    <w:r>
      <w:rPr>
        <w:b/>
        <w:bCs/>
      </w:rPr>
      <w:fldChar w:fldCharType="begin"/>
    </w:r>
    <w:r>
      <w:rPr>
        <w:b/>
        <w:bCs/>
      </w:rPr>
      <w:instrText>PAGE</w:instrText>
    </w:r>
    <w:r>
      <w:rPr>
        <w:b/>
        <w:bCs/>
      </w:rPr>
      <w:fldChar w:fldCharType="separate"/>
    </w:r>
    <w:r w:rsidR="00936341">
      <w:rPr>
        <w:b/>
        <w:bCs/>
        <w:noProof/>
      </w:rPr>
      <w:t>15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36341">
      <w:rPr>
        <w:b/>
        <w:bCs/>
        <w:noProof/>
      </w:rPr>
      <w:t>16</w:t>
    </w:r>
    <w:r>
      <w:rPr>
        <w:b/>
        <w:bCs/>
      </w:rPr>
      <w:fldChar w:fldCharType="end"/>
    </w:r>
  </w:p>
  <w:p w:rsidR="0026086D" w:rsidRDefault="0068557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321F0F">
    <w:pPr>
      <w:pStyle w:val="Piedepgina"/>
      <w:jc w:val="right"/>
    </w:pPr>
    <w:r>
      <w:rPr>
        <w:lang w:val="es-ES"/>
      </w:rPr>
      <w:t xml:space="preserve">Página </w:t>
    </w:r>
    <w:r>
      <w:rPr>
        <w:b/>
        <w:bCs/>
      </w:rPr>
      <w:fldChar w:fldCharType="begin"/>
    </w:r>
    <w:r>
      <w:rPr>
        <w:b/>
        <w:bCs/>
      </w:rPr>
      <w:instrText>PAGE</w:instrText>
    </w:r>
    <w:r>
      <w:rPr>
        <w:b/>
        <w:bCs/>
      </w:rPr>
      <w:fldChar w:fldCharType="separate"/>
    </w:r>
    <w:r w:rsidR="0093634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36341">
      <w:rPr>
        <w:b/>
        <w:bCs/>
        <w:noProof/>
      </w:rPr>
      <w:t>16</w:t>
    </w:r>
    <w:r>
      <w:rPr>
        <w:b/>
        <w:bCs/>
      </w:rPr>
      <w:fldChar w:fldCharType="end"/>
    </w:r>
  </w:p>
  <w:p w:rsidR="0026086D" w:rsidRDefault="006855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57F" w:rsidRDefault="0068557F" w:rsidP="00490B17">
      <w:r>
        <w:separator/>
      </w:r>
    </w:p>
  </w:footnote>
  <w:footnote w:type="continuationSeparator" w:id="0">
    <w:p w:rsidR="0068557F" w:rsidRDefault="0068557F" w:rsidP="00490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68557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68557F" w:rsidP="0026086D">
          <w:pPr>
            <w:tabs>
              <w:tab w:val="right" w:pos="4273"/>
            </w:tabs>
            <w:rPr>
              <w:rFonts w:ascii="Garamond" w:eastAsia="Calibri" w:hAnsi="Garamond"/>
              <w:sz w:val="16"/>
              <w:szCs w:val="16"/>
              <w:lang w:eastAsia="en-US"/>
            </w:rPr>
          </w:pPr>
        </w:p>
      </w:tc>
      <w:tc>
        <w:tcPr>
          <w:tcW w:w="6946" w:type="dxa"/>
          <w:shd w:val="clear" w:color="auto" w:fill="auto"/>
        </w:tcPr>
        <w:p w:rsidR="0026086D" w:rsidRDefault="0068557F" w:rsidP="0026086D"/>
        <w:tbl>
          <w:tblPr>
            <w:tblW w:w="6662" w:type="dxa"/>
            <w:tblInd w:w="885" w:type="dxa"/>
            <w:tblLayout w:type="fixed"/>
            <w:tblLook w:val="0420" w:firstRow="1" w:lastRow="0" w:firstColumn="0" w:lastColumn="0" w:noHBand="0" w:noVBand="1"/>
          </w:tblPr>
          <w:tblGrid>
            <w:gridCol w:w="2551"/>
            <w:gridCol w:w="4111"/>
          </w:tblGrid>
          <w:tr w:rsidR="0026086D" w:rsidTr="00F343F9">
            <w:trPr>
              <w:trHeight w:val="150"/>
            </w:trPr>
            <w:tc>
              <w:tcPr>
                <w:tcW w:w="2551" w:type="dxa"/>
                <w:shd w:val="clear" w:color="auto" w:fill="auto"/>
              </w:tcPr>
              <w:p w:rsidR="0026086D" w:rsidRPr="00020E73" w:rsidRDefault="00321F0F"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6086D" w:rsidRPr="00020E73" w:rsidRDefault="00490B17" w:rsidP="000E3B9A">
                <w:pPr>
                  <w:tabs>
                    <w:tab w:val="right" w:pos="8838"/>
                  </w:tabs>
                  <w:ind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01728</w:t>
                </w:r>
                <w:r w:rsidR="00321F0F">
                  <w:rPr>
                    <w:rFonts w:ascii="Palatino Linotype" w:eastAsia="Calibri" w:hAnsi="Palatino Linotype" w:cs="Tahoma"/>
                    <w:bCs/>
                    <w:sz w:val="22"/>
                    <w:szCs w:val="22"/>
                    <w:lang w:eastAsia="en-US"/>
                  </w:rPr>
                  <w:t>/INFOEM/IP/RR/2023</w:t>
                </w:r>
              </w:p>
            </w:tc>
          </w:tr>
          <w:tr w:rsidR="0026086D" w:rsidTr="00F343F9">
            <w:trPr>
              <w:trHeight w:val="295"/>
            </w:trPr>
            <w:tc>
              <w:tcPr>
                <w:tcW w:w="2551" w:type="dxa"/>
                <w:shd w:val="clear" w:color="auto" w:fill="auto"/>
              </w:tcPr>
              <w:p w:rsidR="0026086D" w:rsidRPr="00020E73" w:rsidRDefault="00321F0F"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6086D" w:rsidRPr="00020E73" w:rsidRDefault="00F343F9"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  </w:t>
                </w:r>
                <w:r w:rsidR="00321F0F">
                  <w:rPr>
                    <w:rFonts w:ascii="Palatino Linotype" w:eastAsia="Calibri" w:hAnsi="Palatino Linotype" w:cs="Tahoma"/>
                    <w:sz w:val="22"/>
                    <w:szCs w:val="22"/>
                    <w:lang w:eastAsia="en-US"/>
                  </w:rPr>
                  <w:t xml:space="preserve">Ayuntamiento de </w:t>
                </w:r>
                <w:r w:rsidR="00490B17" w:rsidRPr="00490B17">
                  <w:rPr>
                    <w:rFonts w:ascii="Palatino Linotype" w:eastAsia="Calibri" w:hAnsi="Palatino Linotype" w:cs="Tahoma"/>
                    <w:bCs/>
                    <w:sz w:val="22"/>
                    <w:szCs w:val="22"/>
                    <w:lang w:eastAsia="en-US"/>
                  </w:rPr>
                  <w:t>Nezahualcóyotl</w:t>
                </w:r>
              </w:p>
            </w:tc>
          </w:tr>
          <w:tr w:rsidR="0026086D" w:rsidTr="00F343F9">
            <w:trPr>
              <w:trHeight w:val="295"/>
            </w:trPr>
            <w:tc>
              <w:tcPr>
                <w:tcW w:w="2551" w:type="dxa"/>
                <w:shd w:val="clear" w:color="auto" w:fill="auto"/>
              </w:tcPr>
              <w:p w:rsidR="0026086D" w:rsidRPr="00020E73" w:rsidRDefault="00321F0F"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6086D" w:rsidRPr="00020E73" w:rsidRDefault="00F343F9"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  </w:t>
                </w:r>
                <w:r w:rsidR="00321F0F">
                  <w:rPr>
                    <w:rFonts w:ascii="Palatino Linotype" w:eastAsia="Calibri" w:hAnsi="Palatino Linotype" w:cs="Tahoma"/>
                    <w:sz w:val="22"/>
                    <w:szCs w:val="22"/>
                    <w:lang w:val="es-ES" w:eastAsia="en-US"/>
                  </w:rPr>
                  <w:t>María del Rosario Mejía Ayala</w:t>
                </w:r>
              </w:p>
              <w:p w:rsidR="0026086D" w:rsidRPr="00020E73" w:rsidRDefault="0068557F"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68557F" w:rsidP="0026086D">
          <w:pPr>
            <w:tabs>
              <w:tab w:val="right" w:pos="8838"/>
            </w:tabs>
            <w:ind w:left="-28"/>
            <w:jc w:val="both"/>
            <w:rPr>
              <w:rFonts w:ascii="Arial" w:eastAsia="Calibri" w:hAnsi="Arial" w:cs="Arial"/>
              <w:b/>
              <w:sz w:val="22"/>
              <w:szCs w:val="22"/>
              <w:lang w:eastAsia="en-US"/>
            </w:rPr>
          </w:pPr>
        </w:p>
      </w:tc>
    </w:tr>
  </w:tbl>
  <w:p w:rsidR="0026086D" w:rsidRPr="00443C6B" w:rsidRDefault="0068557F"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68557F" w:rsidP="0026086D">
          <w:pPr>
            <w:tabs>
              <w:tab w:val="right" w:pos="4273"/>
            </w:tabs>
            <w:rPr>
              <w:rFonts w:ascii="Garamond" w:eastAsia="Calibri" w:hAnsi="Garamond"/>
              <w:sz w:val="22"/>
              <w:szCs w:val="22"/>
              <w:lang w:eastAsia="en-US"/>
            </w:rPr>
          </w:pPr>
        </w:p>
      </w:tc>
      <w:tc>
        <w:tcPr>
          <w:tcW w:w="6804" w:type="dxa"/>
          <w:shd w:val="clear" w:color="auto" w:fill="auto"/>
        </w:tcPr>
        <w:tbl>
          <w:tblPr>
            <w:tblW w:w="7649" w:type="dxa"/>
            <w:tblInd w:w="885" w:type="dxa"/>
            <w:tblLayout w:type="fixed"/>
            <w:tblLook w:val="0420" w:firstRow="1" w:lastRow="0" w:firstColumn="0" w:lastColumn="0" w:noHBand="0" w:noVBand="1"/>
          </w:tblPr>
          <w:tblGrid>
            <w:gridCol w:w="2444"/>
            <w:gridCol w:w="5205"/>
          </w:tblGrid>
          <w:tr w:rsidR="0026086D" w:rsidRPr="00330DA7" w:rsidTr="00F343F9">
            <w:trPr>
              <w:trHeight w:val="144"/>
            </w:trPr>
            <w:tc>
              <w:tcPr>
                <w:tcW w:w="2444" w:type="dxa"/>
                <w:shd w:val="clear" w:color="auto" w:fill="auto"/>
              </w:tcPr>
              <w:p w:rsidR="0026086D" w:rsidRPr="00020E73" w:rsidRDefault="00321F0F"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5205" w:type="dxa"/>
                <w:shd w:val="clear" w:color="auto" w:fill="auto"/>
              </w:tcPr>
              <w:p w:rsidR="0026086D" w:rsidRPr="00020E73" w:rsidRDefault="00490B17"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01728/INFOEM/IP/RR/2023</w:t>
                </w:r>
              </w:p>
            </w:tc>
          </w:tr>
          <w:tr w:rsidR="0026086D" w:rsidRPr="00330DA7" w:rsidTr="00F343F9">
            <w:trPr>
              <w:trHeight w:val="144"/>
            </w:trPr>
            <w:tc>
              <w:tcPr>
                <w:tcW w:w="2444" w:type="dxa"/>
                <w:shd w:val="clear" w:color="auto" w:fill="auto"/>
              </w:tcPr>
              <w:p w:rsidR="0026086D" w:rsidRPr="00020E73" w:rsidRDefault="00321F0F"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5205" w:type="dxa"/>
                <w:shd w:val="clear" w:color="auto" w:fill="auto"/>
              </w:tcPr>
              <w:p w:rsidR="0026086D" w:rsidRPr="00490B17" w:rsidRDefault="007E7C8F"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XXX </w:t>
                </w:r>
                <w:proofErr w:type="spellStart"/>
                <w:r>
                  <w:rPr>
                    <w:rFonts w:ascii="Palatino Linotype" w:eastAsia="Calibri" w:hAnsi="Palatino Linotype" w:cs="Tahoma"/>
                    <w:bCs/>
                    <w:sz w:val="22"/>
                    <w:szCs w:val="22"/>
                    <w:lang w:eastAsia="en-US"/>
                  </w:rPr>
                  <w:t>XXX</w:t>
                </w:r>
                <w:proofErr w:type="spellEnd"/>
                <w:r>
                  <w:rPr>
                    <w:rFonts w:ascii="Palatino Linotype" w:eastAsia="Calibri" w:hAnsi="Palatino Linotype" w:cs="Tahoma"/>
                    <w:bCs/>
                    <w:sz w:val="22"/>
                    <w:szCs w:val="22"/>
                    <w:lang w:eastAsia="en-US"/>
                  </w:rPr>
                  <w:t xml:space="preserve"> </w:t>
                </w:r>
                <w:proofErr w:type="spellStart"/>
                <w:r>
                  <w:rPr>
                    <w:rFonts w:ascii="Palatino Linotype" w:eastAsia="Calibri" w:hAnsi="Palatino Linotype" w:cs="Tahoma"/>
                    <w:bCs/>
                    <w:sz w:val="22"/>
                    <w:szCs w:val="22"/>
                    <w:lang w:eastAsia="en-US"/>
                  </w:rPr>
                  <w:t>XXX</w:t>
                </w:r>
                <w:proofErr w:type="spellEnd"/>
              </w:p>
            </w:tc>
          </w:tr>
          <w:tr w:rsidR="0026086D" w:rsidRPr="00330DA7" w:rsidTr="00F343F9">
            <w:trPr>
              <w:trHeight w:val="283"/>
            </w:trPr>
            <w:tc>
              <w:tcPr>
                <w:tcW w:w="2444" w:type="dxa"/>
                <w:shd w:val="clear" w:color="auto" w:fill="auto"/>
              </w:tcPr>
              <w:p w:rsidR="0026086D" w:rsidRPr="00020E73" w:rsidRDefault="00321F0F"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5205" w:type="dxa"/>
                <w:shd w:val="clear" w:color="auto" w:fill="auto"/>
              </w:tcPr>
              <w:p w:rsidR="0026086D" w:rsidRPr="009E7B0A" w:rsidRDefault="00321F0F" w:rsidP="000A5E4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490B17" w:rsidRPr="00490B17">
                  <w:rPr>
                    <w:rFonts w:ascii="Palatino Linotype" w:eastAsia="Calibri" w:hAnsi="Palatino Linotype" w:cs="Tahoma"/>
                    <w:bCs/>
                    <w:sz w:val="22"/>
                    <w:szCs w:val="22"/>
                    <w:lang w:eastAsia="en-US"/>
                  </w:rPr>
                  <w:t>Nezahualcóyotl</w:t>
                </w:r>
              </w:p>
            </w:tc>
          </w:tr>
          <w:tr w:rsidR="0026086D" w:rsidRPr="00330DA7" w:rsidTr="00F343F9">
            <w:trPr>
              <w:trHeight w:val="283"/>
            </w:trPr>
            <w:tc>
              <w:tcPr>
                <w:tcW w:w="2444" w:type="dxa"/>
                <w:shd w:val="clear" w:color="auto" w:fill="auto"/>
              </w:tcPr>
              <w:p w:rsidR="0026086D" w:rsidRPr="00020E73" w:rsidRDefault="00321F0F"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5205" w:type="dxa"/>
                <w:shd w:val="clear" w:color="auto" w:fill="auto"/>
              </w:tcPr>
              <w:p w:rsidR="0026086D" w:rsidRPr="00020E73" w:rsidRDefault="00321F0F"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68557F"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68557F" w:rsidP="0026086D">
          <w:pPr>
            <w:tabs>
              <w:tab w:val="right" w:pos="8838"/>
            </w:tabs>
            <w:ind w:left="-28"/>
            <w:jc w:val="both"/>
            <w:rPr>
              <w:rFonts w:ascii="Arial" w:eastAsia="Calibri" w:hAnsi="Arial" w:cs="Arial"/>
              <w:b/>
              <w:sz w:val="22"/>
              <w:szCs w:val="22"/>
              <w:lang w:eastAsia="en-US"/>
            </w:rPr>
          </w:pPr>
        </w:p>
      </w:tc>
    </w:tr>
  </w:tbl>
  <w:p w:rsidR="0026086D" w:rsidRPr="00827FA0" w:rsidRDefault="0068557F"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26D3"/>
    <w:multiLevelType w:val="hybridMultilevel"/>
    <w:tmpl w:val="31585DCC"/>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BE87284"/>
    <w:multiLevelType w:val="hybridMultilevel"/>
    <w:tmpl w:val="375E81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91A6FBFE"/>
    <w:lvl w:ilvl="0" w:tplc="E36EB920">
      <w:start w:val="1"/>
      <w:numFmt w:val="decimal"/>
      <w:lvlText w:val="%1."/>
      <w:lvlJc w:val="left"/>
      <w:pPr>
        <w:ind w:left="2204"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CF23E40"/>
    <w:multiLevelType w:val="hybridMultilevel"/>
    <w:tmpl w:val="E1DC47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402433"/>
    <w:multiLevelType w:val="hybridMultilevel"/>
    <w:tmpl w:val="C35C5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B17"/>
    <w:rsid w:val="0000587C"/>
    <w:rsid w:val="00007A3C"/>
    <w:rsid w:val="00181C8A"/>
    <w:rsid w:val="001B02F9"/>
    <w:rsid w:val="00214EBE"/>
    <w:rsid w:val="002D4A72"/>
    <w:rsid w:val="00321F0F"/>
    <w:rsid w:val="003E29C4"/>
    <w:rsid w:val="003E61A2"/>
    <w:rsid w:val="004172CC"/>
    <w:rsid w:val="00490B17"/>
    <w:rsid w:val="00601E1B"/>
    <w:rsid w:val="0068557F"/>
    <w:rsid w:val="006F3D8E"/>
    <w:rsid w:val="0076643E"/>
    <w:rsid w:val="007E7C8F"/>
    <w:rsid w:val="00936341"/>
    <w:rsid w:val="009A7912"/>
    <w:rsid w:val="00B34ACA"/>
    <w:rsid w:val="00BA2D20"/>
    <w:rsid w:val="00CC6BB5"/>
    <w:rsid w:val="00F343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4BC9F61-0CD9-4749-9BE3-5B6357F5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B17"/>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490B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90B1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0B17"/>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490B17"/>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490B17"/>
    <w:pPr>
      <w:tabs>
        <w:tab w:val="center" w:pos="4419"/>
        <w:tab w:val="right" w:pos="8838"/>
      </w:tabs>
    </w:pPr>
  </w:style>
  <w:style w:type="character" w:customStyle="1" w:styleId="EncabezadoCar">
    <w:name w:val="Encabezado Car"/>
    <w:basedOn w:val="Fuentedeprrafopredeter"/>
    <w:link w:val="Encabezado"/>
    <w:uiPriority w:val="99"/>
    <w:rsid w:val="00490B1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490B17"/>
    <w:pPr>
      <w:tabs>
        <w:tab w:val="center" w:pos="4419"/>
        <w:tab w:val="right" w:pos="8838"/>
      </w:tabs>
    </w:pPr>
  </w:style>
  <w:style w:type="character" w:customStyle="1" w:styleId="PiedepginaCar">
    <w:name w:val="Pie de página Car"/>
    <w:basedOn w:val="Fuentedeprrafopredeter"/>
    <w:link w:val="Piedepgina"/>
    <w:uiPriority w:val="99"/>
    <w:rsid w:val="00490B17"/>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90B1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90B17"/>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490B17"/>
    <w:rPr>
      <w:color w:val="0563C1"/>
      <w:u w:val="single"/>
    </w:rPr>
  </w:style>
  <w:style w:type="paragraph" w:styleId="Sinespaciado">
    <w:name w:val="No Spacing"/>
    <w:aliases w:val="Francesa"/>
    <w:link w:val="SinespaciadoCar"/>
    <w:uiPriority w:val="1"/>
    <w:qFormat/>
    <w:rsid w:val="00490B1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490B17"/>
    <w:rPr>
      <w:rFonts w:eastAsiaTheme="minorEastAsia"/>
      <w:sz w:val="24"/>
      <w:szCs w:val="24"/>
      <w:lang w:val="es-ES_tradnl" w:eastAsia="es-ES"/>
    </w:rPr>
  </w:style>
  <w:style w:type="character" w:styleId="Referenciasutil">
    <w:name w:val="Subtle Reference"/>
    <w:basedOn w:val="Fuentedeprrafopredeter"/>
    <w:uiPriority w:val="31"/>
    <w:qFormat/>
    <w:rsid w:val="00F343F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6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28681.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728682.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5F085-12CC-4F0F-A1C1-5264942EB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3104</Words>
  <Characters>17075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2023-09-29T01:53:00Z</cp:lastPrinted>
  <dcterms:created xsi:type="dcterms:W3CDTF">2023-09-21T18:00:00Z</dcterms:created>
  <dcterms:modified xsi:type="dcterms:W3CDTF">2023-10-03T16:43:00Z</dcterms:modified>
</cp:coreProperties>
</file>