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40616D" w:rsidRDefault="009F09BC" w:rsidP="00855290">
      <w:pPr>
        <w:tabs>
          <w:tab w:val="left" w:pos="3465"/>
        </w:tabs>
        <w:spacing w:line="360" w:lineRule="auto"/>
        <w:jc w:val="both"/>
        <w:rPr>
          <w:rFonts w:ascii="Palatino Linotype" w:hAnsi="Palatino Linotype"/>
        </w:rPr>
      </w:pPr>
      <w:r w:rsidRPr="0040616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B3617" w:rsidRPr="0040616D">
        <w:rPr>
          <w:rFonts w:ascii="Palatino Linotype" w:hAnsi="Palatino Linotype"/>
        </w:rPr>
        <w:t>nueve</w:t>
      </w:r>
      <w:r w:rsidR="00906E4A" w:rsidRPr="0040616D">
        <w:rPr>
          <w:rFonts w:ascii="Palatino Linotype" w:hAnsi="Palatino Linotype"/>
        </w:rPr>
        <w:t xml:space="preserve"> (09)</w:t>
      </w:r>
      <w:r w:rsidRPr="0040616D">
        <w:rPr>
          <w:rFonts w:ascii="Palatino Linotype" w:hAnsi="Palatino Linotype"/>
        </w:rPr>
        <w:t xml:space="preserve"> de </w:t>
      </w:r>
      <w:r w:rsidR="007B3617" w:rsidRPr="0040616D">
        <w:rPr>
          <w:rFonts w:ascii="Palatino Linotype" w:hAnsi="Palatino Linotype"/>
        </w:rPr>
        <w:t>febrero de dos mil veintitrés</w:t>
      </w:r>
      <w:r w:rsidRPr="0040616D">
        <w:rPr>
          <w:rFonts w:ascii="Palatino Linotype" w:hAnsi="Palatino Linotype"/>
        </w:rPr>
        <w:t>.</w:t>
      </w:r>
    </w:p>
    <w:p w:rsidR="00A054B6" w:rsidRPr="0040616D" w:rsidRDefault="00A054B6" w:rsidP="00855290">
      <w:pPr>
        <w:tabs>
          <w:tab w:val="left" w:pos="3465"/>
        </w:tabs>
        <w:spacing w:line="360" w:lineRule="auto"/>
        <w:jc w:val="both"/>
        <w:rPr>
          <w:rFonts w:ascii="Palatino Linotype" w:hAnsi="Palatino Linotype"/>
        </w:rPr>
      </w:pPr>
    </w:p>
    <w:p w:rsidR="009F09BC" w:rsidRPr="0040616D" w:rsidRDefault="009F09BC" w:rsidP="00855290">
      <w:pPr>
        <w:spacing w:line="360" w:lineRule="auto"/>
        <w:jc w:val="both"/>
        <w:rPr>
          <w:rFonts w:ascii="Palatino Linotype" w:hAnsi="Palatino Linotype"/>
        </w:rPr>
      </w:pPr>
      <w:r w:rsidRPr="0040616D">
        <w:rPr>
          <w:rFonts w:ascii="Palatino Linotype" w:hAnsi="Palatino Linotype"/>
          <w:b/>
        </w:rPr>
        <w:t>VISTO</w:t>
      </w:r>
      <w:r w:rsidRPr="0040616D">
        <w:rPr>
          <w:rFonts w:ascii="Palatino Linotype" w:hAnsi="Palatino Linotype"/>
        </w:rPr>
        <w:t xml:space="preserve"> </w:t>
      </w:r>
      <w:r w:rsidR="008A699B" w:rsidRPr="0040616D">
        <w:rPr>
          <w:rFonts w:ascii="Palatino Linotype" w:hAnsi="Palatino Linotype"/>
        </w:rPr>
        <w:t>e</w:t>
      </w:r>
      <w:r w:rsidRPr="0040616D">
        <w:rPr>
          <w:rFonts w:ascii="Palatino Linotype" w:hAnsi="Palatino Linotype"/>
        </w:rPr>
        <w:t xml:space="preserve">l expediente electrónico formado con motivo del recurso de revisión </w:t>
      </w:r>
      <w:r w:rsidR="007B3617" w:rsidRPr="0040616D">
        <w:rPr>
          <w:rFonts w:ascii="Palatino Linotype" w:hAnsi="Palatino Linotype"/>
          <w:b/>
        </w:rPr>
        <w:t>17523/INFOEM/IP/RR/2022</w:t>
      </w:r>
      <w:r w:rsidRPr="0040616D">
        <w:rPr>
          <w:rFonts w:ascii="Palatino Linotype" w:hAnsi="Palatino Linotype"/>
        </w:rPr>
        <w:t>,</w:t>
      </w:r>
      <w:r w:rsidRPr="0040616D">
        <w:rPr>
          <w:rFonts w:ascii="Palatino Linotype" w:hAnsi="Palatino Linotype" w:cs="Arial"/>
          <w:b/>
          <w:bCs/>
        </w:rPr>
        <w:t xml:space="preserve"> </w:t>
      </w:r>
      <w:r w:rsidRPr="0040616D">
        <w:rPr>
          <w:rFonts w:ascii="Palatino Linotype" w:hAnsi="Palatino Linotype"/>
        </w:rPr>
        <w:t>promovido</w:t>
      </w:r>
      <w:r w:rsidR="00E65521" w:rsidRPr="0040616D">
        <w:rPr>
          <w:rFonts w:ascii="Palatino Linotype" w:hAnsi="Palatino Linotype"/>
        </w:rPr>
        <w:t xml:space="preserve"> por</w:t>
      </w:r>
      <w:r w:rsidRPr="0040616D">
        <w:rPr>
          <w:rFonts w:ascii="Palatino Linotype" w:hAnsi="Palatino Linotype"/>
        </w:rPr>
        <w:t xml:space="preserve"> </w:t>
      </w:r>
      <w:r w:rsidR="007B3617" w:rsidRPr="0040616D">
        <w:rPr>
          <w:rFonts w:ascii="Palatino Linotype" w:hAnsi="Palatino Linotype"/>
          <w:b/>
        </w:rPr>
        <w:t>una persona que no proporciono datos de identificación</w:t>
      </w:r>
      <w:r w:rsidRPr="0040616D">
        <w:rPr>
          <w:rFonts w:ascii="Palatino Linotype" w:hAnsi="Palatino Linotype"/>
        </w:rPr>
        <w:t xml:space="preserve">, a quien en lo sucesivo se le identificará como </w:t>
      </w:r>
      <w:r w:rsidRPr="0040616D">
        <w:rPr>
          <w:rFonts w:ascii="Palatino Linotype" w:hAnsi="Palatino Linotype"/>
          <w:b/>
        </w:rPr>
        <w:t>EL RECURRENTE</w:t>
      </w:r>
      <w:r w:rsidRPr="0040616D">
        <w:rPr>
          <w:rFonts w:ascii="Palatino Linotype" w:hAnsi="Palatino Linotype" w:cs="Arial"/>
        </w:rPr>
        <w:t>, en contra de la respuesta de</w:t>
      </w:r>
      <w:r w:rsidR="007B3617" w:rsidRPr="0040616D">
        <w:rPr>
          <w:rFonts w:ascii="Palatino Linotype" w:hAnsi="Palatino Linotype" w:cs="Arial"/>
        </w:rPr>
        <w:t xml:space="preserve"> </w:t>
      </w:r>
      <w:r w:rsidRPr="0040616D">
        <w:rPr>
          <w:rFonts w:ascii="Palatino Linotype" w:hAnsi="Palatino Linotype" w:cs="Arial"/>
        </w:rPr>
        <w:t>l</w:t>
      </w:r>
      <w:r w:rsidR="007B3617" w:rsidRPr="0040616D">
        <w:rPr>
          <w:rFonts w:ascii="Palatino Linotype" w:hAnsi="Palatino Linotype" w:cs="Arial"/>
        </w:rPr>
        <w:t>a</w:t>
      </w:r>
      <w:r w:rsidRPr="0040616D">
        <w:rPr>
          <w:rFonts w:ascii="Palatino Linotype" w:hAnsi="Palatino Linotype" w:cs="Arial"/>
        </w:rPr>
        <w:t xml:space="preserve"> </w:t>
      </w:r>
      <w:r w:rsidR="007B3617" w:rsidRPr="0040616D">
        <w:rPr>
          <w:rFonts w:ascii="Palatino Linotype" w:hAnsi="Palatino Linotype" w:cs="Arial"/>
          <w:b/>
        </w:rPr>
        <w:t>Procuraduría de Protección al Ambiente del Estado de México</w:t>
      </w:r>
      <w:r w:rsidRPr="0040616D">
        <w:rPr>
          <w:rFonts w:ascii="Palatino Linotype" w:hAnsi="Palatino Linotype" w:cs="Arial"/>
          <w:b/>
        </w:rPr>
        <w:t>,</w:t>
      </w:r>
      <w:r w:rsidRPr="0040616D">
        <w:rPr>
          <w:rFonts w:ascii="Palatino Linotype" w:hAnsi="Palatino Linotype"/>
          <w:b/>
        </w:rPr>
        <w:t xml:space="preserve"> </w:t>
      </w:r>
      <w:r w:rsidRPr="0040616D">
        <w:rPr>
          <w:rFonts w:ascii="Palatino Linotype" w:hAnsi="Palatino Linotype"/>
        </w:rPr>
        <w:t>en lo sucesivo el</w:t>
      </w:r>
      <w:r w:rsidRPr="0040616D">
        <w:rPr>
          <w:rFonts w:ascii="Palatino Linotype" w:hAnsi="Palatino Linotype"/>
          <w:b/>
        </w:rPr>
        <w:t xml:space="preserve"> SUJETO OBLIGADO</w:t>
      </w:r>
      <w:r w:rsidRPr="0040616D">
        <w:rPr>
          <w:rFonts w:ascii="Palatino Linotype" w:hAnsi="Palatino Linotype"/>
        </w:rPr>
        <w:t>, se procede a dictar la presente resolución, con base en los siguientes:</w:t>
      </w:r>
    </w:p>
    <w:p w:rsidR="007C3761" w:rsidRPr="0040616D" w:rsidRDefault="007C3761" w:rsidP="00855290">
      <w:pPr>
        <w:spacing w:line="360" w:lineRule="auto"/>
        <w:jc w:val="both"/>
        <w:rPr>
          <w:rFonts w:ascii="Palatino Linotype" w:hAnsi="Palatino Linotype"/>
          <w:b/>
        </w:rPr>
      </w:pPr>
    </w:p>
    <w:p w:rsidR="009F09BC" w:rsidRPr="0040616D"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0616D">
        <w:rPr>
          <w:rFonts w:ascii="Palatino Linotype" w:hAnsi="Palatino Linotype"/>
          <w:b/>
          <w:color w:val="000000" w:themeColor="text1"/>
          <w:sz w:val="24"/>
          <w:szCs w:val="24"/>
        </w:rPr>
        <w:t>ANTECEDENTES</w:t>
      </w:r>
      <w:bookmarkEnd w:id="0"/>
      <w:bookmarkEnd w:id="1"/>
      <w:bookmarkEnd w:id="2"/>
    </w:p>
    <w:p w:rsidR="007C3761" w:rsidRPr="0040616D" w:rsidRDefault="007C3761" w:rsidP="00855290">
      <w:pPr>
        <w:spacing w:line="360" w:lineRule="auto"/>
        <w:rPr>
          <w:rFonts w:ascii="Palatino Linotype" w:hAnsi="Palatino Linotype"/>
        </w:rPr>
      </w:pPr>
    </w:p>
    <w:p w:rsidR="009F09BC" w:rsidRPr="0040616D" w:rsidRDefault="009F09BC" w:rsidP="00B7267C">
      <w:pPr>
        <w:pStyle w:val="Prrafodelista"/>
        <w:numPr>
          <w:ilvl w:val="0"/>
          <w:numId w:val="1"/>
        </w:numPr>
        <w:spacing w:line="360" w:lineRule="auto"/>
        <w:ind w:left="0" w:firstLine="0"/>
        <w:jc w:val="both"/>
        <w:rPr>
          <w:rFonts w:ascii="Palatino Linotype" w:eastAsia="Calibri" w:hAnsi="Palatino Linotype" w:cs="Arial"/>
          <w:lang w:val="es-ES"/>
        </w:rPr>
      </w:pPr>
      <w:r w:rsidRPr="0040616D">
        <w:rPr>
          <w:rFonts w:ascii="Palatino Linotype" w:eastAsia="Calibri" w:hAnsi="Palatino Linotype" w:cs="Arial"/>
          <w:lang w:val="es-ES"/>
        </w:rPr>
        <w:t xml:space="preserve">El día </w:t>
      </w:r>
      <w:r w:rsidR="004264B6" w:rsidRPr="0040616D">
        <w:rPr>
          <w:rFonts w:ascii="Palatino Linotype" w:eastAsia="Calibri" w:hAnsi="Palatino Linotype" w:cs="Arial"/>
          <w:b/>
          <w:lang w:val="es-ES"/>
        </w:rPr>
        <w:t>veintitrés</w:t>
      </w:r>
      <w:r w:rsidR="007B3617" w:rsidRPr="0040616D">
        <w:rPr>
          <w:rFonts w:ascii="Palatino Linotype" w:eastAsia="Calibri" w:hAnsi="Palatino Linotype" w:cs="Arial"/>
          <w:b/>
          <w:lang w:val="es-ES"/>
        </w:rPr>
        <w:t xml:space="preserve"> </w:t>
      </w:r>
      <w:r w:rsidRPr="0040616D">
        <w:rPr>
          <w:rFonts w:ascii="Palatino Linotype" w:eastAsia="Calibri" w:hAnsi="Palatino Linotype" w:cs="Arial"/>
          <w:b/>
          <w:lang w:val="es-ES"/>
        </w:rPr>
        <w:t xml:space="preserve">de </w:t>
      </w:r>
      <w:r w:rsidR="007B3617" w:rsidRPr="0040616D">
        <w:rPr>
          <w:rFonts w:ascii="Palatino Linotype" w:eastAsia="Calibri" w:hAnsi="Palatino Linotype" w:cs="Arial"/>
          <w:b/>
          <w:lang w:val="es-ES"/>
        </w:rPr>
        <w:t>noviembre</w:t>
      </w:r>
      <w:r w:rsidR="00065792" w:rsidRPr="0040616D">
        <w:rPr>
          <w:rFonts w:ascii="Palatino Linotype" w:eastAsia="Calibri" w:hAnsi="Palatino Linotype" w:cs="Arial"/>
          <w:b/>
          <w:lang w:val="es-ES"/>
        </w:rPr>
        <w:t xml:space="preserve"> de dos mil veintidós</w:t>
      </w:r>
      <w:r w:rsidRPr="0040616D">
        <w:rPr>
          <w:rFonts w:ascii="Palatino Linotype" w:hAnsi="Palatino Linotype"/>
          <w:b/>
        </w:rPr>
        <w:t xml:space="preserve">, </w:t>
      </w:r>
      <w:r w:rsidRPr="0040616D">
        <w:rPr>
          <w:rFonts w:ascii="Palatino Linotype" w:eastAsia="Calibri" w:hAnsi="Palatino Linotype" w:cs="Arial"/>
          <w:lang w:val="es-ES"/>
        </w:rPr>
        <w:t xml:space="preserve">se presentó ante el </w:t>
      </w:r>
      <w:r w:rsidRPr="0040616D">
        <w:rPr>
          <w:rFonts w:ascii="Palatino Linotype" w:eastAsia="Calibri" w:hAnsi="Palatino Linotype" w:cs="Arial"/>
          <w:b/>
          <w:lang w:val="es-ES"/>
        </w:rPr>
        <w:t>SUJETO OBLIGADO</w:t>
      </w:r>
      <w:r w:rsidRPr="0040616D">
        <w:rPr>
          <w:rFonts w:ascii="Palatino Linotype" w:eastAsia="Calibri" w:hAnsi="Palatino Linotype" w:cs="Arial"/>
        </w:rPr>
        <w:t xml:space="preserve"> vía </w:t>
      </w:r>
      <w:r w:rsidR="00A03F8F" w:rsidRPr="0040616D">
        <w:rPr>
          <w:rFonts w:ascii="Palatino Linotype" w:eastAsia="Calibri" w:hAnsi="Palatino Linotype" w:cs="Arial"/>
        </w:rPr>
        <w:t>Sistema de Acceso a la Información Mexiquense (</w:t>
      </w:r>
      <w:r w:rsidR="008A699B" w:rsidRPr="0040616D">
        <w:rPr>
          <w:rFonts w:ascii="Palatino Linotype" w:eastAsia="Calibri" w:hAnsi="Palatino Linotype" w:cs="Arial"/>
          <w:b/>
          <w:lang w:val="es-ES"/>
        </w:rPr>
        <w:t>SAIMEX</w:t>
      </w:r>
      <w:r w:rsidR="00A03F8F" w:rsidRPr="0040616D">
        <w:rPr>
          <w:rFonts w:ascii="Palatino Linotype" w:eastAsia="Calibri" w:hAnsi="Palatino Linotype" w:cs="Arial"/>
          <w:lang w:val="es-ES"/>
        </w:rPr>
        <w:t>)</w:t>
      </w:r>
      <w:r w:rsidR="008A699B" w:rsidRPr="0040616D">
        <w:rPr>
          <w:rFonts w:ascii="Palatino Linotype" w:eastAsia="Calibri" w:hAnsi="Palatino Linotype" w:cs="Arial"/>
          <w:lang w:val="es-ES"/>
        </w:rPr>
        <w:t>, la solicitud</w:t>
      </w:r>
      <w:r w:rsidRPr="0040616D">
        <w:rPr>
          <w:rFonts w:ascii="Palatino Linotype" w:eastAsia="Calibri" w:hAnsi="Palatino Linotype" w:cs="Arial"/>
          <w:lang w:val="es-ES"/>
        </w:rPr>
        <w:t xml:space="preserve"> de información pública</w:t>
      </w:r>
      <w:r w:rsidR="008A699B" w:rsidRPr="0040616D">
        <w:rPr>
          <w:rFonts w:ascii="Palatino Linotype" w:eastAsia="Calibri" w:hAnsi="Palatino Linotype" w:cs="Arial"/>
          <w:lang w:val="es-ES"/>
        </w:rPr>
        <w:t xml:space="preserve"> registrada</w:t>
      </w:r>
      <w:r w:rsidRPr="0040616D">
        <w:rPr>
          <w:rFonts w:ascii="Palatino Linotype" w:eastAsia="Calibri" w:hAnsi="Palatino Linotype" w:cs="Arial"/>
          <w:lang w:val="es-ES"/>
        </w:rPr>
        <w:t xml:space="preserve"> con </w:t>
      </w:r>
      <w:r w:rsidR="008A699B" w:rsidRPr="0040616D">
        <w:rPr>
          <w:rFonts w:ascii="Palatino Linotype" w:eastAsia="Calibri" w:hAnsi="Palatino Linotype" w:cs="Arial"/>
          <w:lang w:val="es-ES"/>
        </w:rPr>
        <w:t xml:space="preserve">el </w:t>
      </w:r>
      <w:r w:rsidRPr="0040616D">
        <w:rPr>
          <w:rFonts w:ascii="Palatino Linotype" w:eastAsia="Calibri" w:hAnsi="Palatino Linotype" w:cs="Arial"/>
          <w:lang w:val="es-ES"/>
        </w:rPr>
        <w:t>número</w:t>
      </w:r>
      <w:r w:rsidRPr="0040616D">
        <w:rPr>
          <w:rFonts w:ascii="Palatino Linotype" w:hAnsi="Palatino Linotype"/>
          <w:b/>
          <w:bCs/>
          <w:color w:val="000000" w:themeColor="text1"/>
        </w:rPr>
        <w:t xml:space="preserve"> </w:t>
      </w:r>
      <w:r w:rsidR="007B3617" w:rsidRPr="0040616D">
        <w:rPr>
          <w:rFonts w:ascii="Palatino Linotype" w:hAnsi="Palatino Linotype"/>
          <w:b/>
          <w:bCs/>
          <w:color w:val="000000" w:themeColor="text1"/>
        </w:rPr>
        <w:t>00164/PROPAEM/IP/2022</w:t>
      </w:r>
      <w:r w:rsidRPr="0040616D">
        <w:rPr>
          <w:rFonts w:ascii="Palatino Linotype" w:hAnsi="Palatino Linotype"/>
          <w:b/>
          <w:bCs/>
          <w:color w:val="000000" w:themeColor="text1"/>
        </w:rPr>
        <w:t xml:space="preserve">; </w:t>
      </w:r>
      <w:r w:rsidR="00711788" w:rsidRPr="0040616D">
        <w:rPr>
          <w:rFonts w:ascii="Palatino Linotype" w:eastAsia="Calibri" w:hAnsi="Palatino Linotype" w:cs="Arial"/>
          <w:lang w:val="es-ES"/>
        </w:rPr>
        <w:t>mediante la cual</w:t>
      </w:r>
      <w:r w:rsidRPr="0040616D">
        <w:rPr>
          <w:rFonts w:ascii="Palatino Linotype" w:eastAsia="Calibri" w:hAnsi="Palatino Linotype" w:cs="Arial"/>
          <w:lang w:val="es-ES"/>
        </w:rPr>
        <w:t xml:space="preserve"> se solicitó la siguiente información:</w:t>
      </w:r>
    </w:p>
    <w:p w:rsidR="008A699B" w:rsidRPr="0040616D" w:rsidRDefault="008A699B" w:rsidP="00855290">
      <w:pPr>
        <w:pStyle w:val="Prrafodelista"/>
        <w:spacing w:line="360" w:lineRule="auto"/>
        <w:ind w:left="0"/>
        <w:jc w:val="both"/>
        <w:rPr>
          <w:rFonts w:ascii="Palatino Linotype" w:eastAsia="Calibri" w:hAnsi="Palatino Linotype" w:cs="Arial"/>
          <w:lang w:val="es-ES"/>
        </w:rPr>
      </w:pPr>
    </w:p>
    <w:p w:rsidR="009F09BC" w:rsidRPr="0040616D" w:rsidRDefault="005B0E26" w:rsidP="007B3617">
      <w:pPr>
        <w:ind w:left="426" w:right="616"/>
        <w:jc w:val="both"/>
        <w:rPr>
          <w:rFonts w:ascii="Palatino Linotype" w:hAnsi="Palatino Linotype"/>
          <w:i/>
        </w:rPr>
      </w:pPr>
      <w:r w:rsidRPr="0040616D">
        <w:rPr>
          <w:rFonts w:ascii="Palatino Linotype" w:hAnsi="Palatino Linotype"/>
          <w:i/>
        </w:rPr>
        <w:t>"</w:t>
      </w:r>
      <w:r w:rsidR="007B3617" w:rsidRPr="0040616D">
        <w:rPr>
          <w:rFonts w:ascii="Palatino Linotype" w:hAnsi="Palatino Linotype"/>
          <w:i/>
        </w:rPr>
        <w:t>Copia digital de cada uno de los convenios que la Procuraduría de Protección al Ambiente del Estado de México ha firmado mediante el programa “Compensadores Ambientales”, desde el 1 enero de 2015 hasta la fecha.”</w:t>
      </w:r>
    </w:p>
    <w:p w:rsidR="009D10FD" w:rsidRPr="0040616D" w:rsidRDefault="009D10FD" w:rsidP="009D10FD">
      <w:pPr>
        <w:pStyle w:val="Prrafodelista"/>
        <w:spacing w:line="360" w:lineRule="auto"/>
        <w:ind w:left="709" w:right="34"/>
        <w:jc w:val="both"/>
        <w:rPr>
          <w:rFonts w:ascii="Palatino Linotype" w:hAnsi="Palatino Linotype"/>
        </w:rPr>
      </w:pPr>
    </w:p>
    <w:p w:rsidR="009F09BC" w:rsidRPr="0040616D" w:rsidRDefault="009F09BC" w:rsidP="00E65521">
      <w:pPr>
        <w:pStyle w:val="Prrafodelista"/>
        <w:numPr>
          <w:ilvl w:val="0"/>
          <w:numId w:val="2"/>
        </w:numPr>
        <w:spacing w:line="360" w:lineRule="auto"/>
        <w:ind w:left="709" w:right="34"/>
        <w:jc w:val="both"/>
        <w:rPr>
          <w:rFonts w:ascii="Palatino Linotype" w:hAnsi="Palatino Linotype"/>
        </w:rPr>
      </w:pPr>
      <w:r w:rsidRPr="0040616D">
        <w:rPr>
          <w:rFonts w:ascii="Palatino Linotype" w:eastAsia="Times New Roman" w:hAnsi="Palatino Linotype" w:cs="Arial"/>
          <w:lang w:val="es-ES"/>
        </w:rPr>
        <w:t>Se eligió como modalidad de entrega de la información</w:t>
      </w:r>
      <w:r w:rsidRPr="0040616D">
        <w:rPr>
          <w:rFonts w:ascii="Palatino Linotype" w:hAnsi="Palatino Linotype"/>
        </w:rPr>
        <w:t>: A través de</w:t>
      </w:r>
      <w:r w:rsidR="00B72462" w:rsidRPr="0040616D">
        <w:rPr>
          <w:rFonts w:ascii="Palatino Linotype" w:hAnsi="Palatino Linotype"/>
        </w:rPr>
        <w:t>l</w:t>
      </w:r>
      <w:r w:rsidR="005B0E26" w:rsidRPr="0040616D">
        <w:rPr>
          <w:rFonts w:ascii="Palatino Linotype" w:hAnsi="Palatino Linotype"/>
          <w:b/>
        </w:rPr>
        <w:t xml:space="preserve"> SAIMEX.</w:t>
      </w:r>
    </w:p>
    <w:p w:rsidR="008A699B" w:rsidRPr="0040616D" w:rsidRDefault="008A699B" w:rsidP="00855290">
      <w:pPr>
        <w:pStyle w:val="Prrafodelista"/>
        <w:spacing w:line="360" w:lineRule="auto"/>
        <w:ind w:left="851" w:right="34"/>
        <w:jc w:val="both"/>
        <w:rPr>
          <w:rFonts w:ascii="Palatino Linotype" w:hAnsi="Palatino Linotype"/>
        </w:rPr>
      </w:pPr>
    </w:p>
    <w:p w:rsidR="009D10FD" w:rsidRPr="0040616D" w:rsidRDefault="00B72462" w:rsidP="00B7246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0616D">
        <w:rPr>
          <w:rFonts w:ascii="Palatino Linotype" w:hAnsi="Palatino Linotype" w:cs="Arial"/>
          <w:color w:val="000000" w:themeColor="text1"/>
        </w:rPr>
        <w:lastRenderedPageBreak/>
        <w:t xml:space="preserve">El </w:t>
      </w:r>
      <w:r w:rsidRPr="0040616D">
        <w:rPr>
          <w:rFonts w:ascii="Palatino Linotype" w:hAnsi="Palatino Linotype" w:cs="Arial"/>
          <w:b/>
          <w:color w:val="000000" w:themeColor="text1"/>
        </w:rPr>
        <w:t>catorce de diciembre</w:t>
      </w:r>
      <w:r w:rsidR="005B0E26" w:rsidRPr="0040616D">
        <w:rPr>
          <w:rFonts w:ascii="Palatino Linotype" w:hAnsi="Palatino Linotype" w:cs="Arial"/>
          <w:b/>
          <w:color w:val="000000" w:themeColor="text1"/>
        </w:rPr>
        <w:t xml:space="preserve"> </w:t>
      </w:r>
      <w:r w:rsidR="00103A3A" w:rsidRPr="0040616D">
        <w:rPr>
          <w:rFonts w:ascii="Palatino Linotype" w:hAnsi="Palatino Linotype" w:cs="Arial"/>
          <w:b/>
          <w:color w:val="000000" w:themeColor="text1"/>
        </w:rPr>
        <w:t>de dos mil veintidós</w:t>
      </w:r>
      <w:r w:rsidR="00103A3A" w:rsidRPr="0040616D">
        <w:rPr>
          <w:rFonts w:ascii="Palatino Linotype" w:hAnsi="Palatino Linotype" w:cs="Arial"/>
          <w:color w:val="000000" w:themeColor="text1"/>
        </w:rPr>
        <w:t xml:space="preserve">, el </w:t>
      </w:r>
      <w:r w:rsidR="00103A3A" w:rsidRPr="0040616D">
        <w:rPr>
          <w:rFonts w:ascii="Palatino Linotype" w:hAnsi="Palatino Linotype" w:cs="Arial"/>
          <w:b/>
          <w:color w:val="000000" w:themeColor="text1"/>
        </w:rPr>
        <w:t>SUJETO OBLIGADO</w:t>
      </w:r>
      <w:r w:rsidR="00103A3A" w:rsidRPr="0040616D">
        <w:rPr>
          <w:rFonts w:ascii="Palatino Linotype" w:hAnsi="Palatino Linotype" w:cs="Arial"/>
          <w:color w:val="000000" w:themeColor="text1"/>
        </w:rPr>
        <w:t xml:space="preserve"> </w:t>
      </w:r>
      <w:r w:rsidR="006F1C39" w:rsidRPr="0040616D">
        <w:rPr>
          <w:rFonts w:ascii="Palatino Linotype" w:hAnsi="Palatino Linotype" w:cs="Arial"/>
          <w:color w:val="000000" w:themeColor="text1"/>
        </w:rPr>
        <w:t xml:space="preserve">dio respuesta a través </w:t>
      </w:r>
      <w:r w:rsidR="005B0E26" w:rsidRPr="0040616D">
        <w:rPr>
          <w:rFonts w:ascii="Palatino Linotype" w:hAnsi="Palatino Linotype" w:cs="Arial"/>
          <w:color w:val="000000" w:themeColor="text1"/>
        </w:rPr>
        <w:t>de</w:t>
      </w:r>
      <w:r w:rsidRPr="0040616D">
        <w:rPr>
          <w:rFonts w:ascii="Palatino Linotype" w:hAnsi="Palatino Linotype" w:cs="Arial"/>
          <w:color w:val="000000" w:themeColor="text1"/>
        </w:rPr>
        <w:t xml:space="preserve"> </w:t>
      </w:r>
      <w:r w:rsidR="005B0E26" w:rsidRPr="0040616D">
        <w:rPr>
          <w:rFonts w:ascii="Palatino Linotype" w:hAnsi="Palatino Linotype" w:cs="Arial"/>
          <w:color w:val="000000" w:themeColor="text1"/>
        </w:rPr>
        <w:t>l</w:t>
      </w:r>
      <w:r w:rsidRPr="0040616D">
        <w:rPr>
          <w:rFonts w:ascii="Palatino Linotype" w:hAnsi="Palatino Linotype" w:cs="Arial"/>
          <w:color w:val="000000" w:themeColor="text1"/>
        </w:rPr>
        <w:t>os</w:t>
      </w:r>
      <w:r w:rsidR="00103F2A" w:rsidRPr="0040616D">
        <w:rPr>
          <w:rFonts w:ascii="Palatino Linotype" w:hAnsi="Palatino Linotype" w:cs="Arial"/>
          <w:color w:val="000000" w:themeColor="text1"/>
        </w:rPr>
        <w:t xml:space="preserve"> archivo</w:t>
      </w:r>
      <w:r w:rsidRPr="0040616D">
        <w:rPr>
          <w:rFonts w:ascii="Palatino Linotype" w:hAnsi="Palatino Linotype" w:cs="Arial"/>
          <w:color w:val="000000" w:themeColor="text1"/>
        </w:rPr>
        <w:t>s</w:t>
      </w:r>
      <w:r w:rsidR="00103F2A" w:rsidRPr="0040616D">
        <w:rPr>
          <w:rFonts w:ascii="Palatino Linotype" w:hAnsi="Palatino Linotype" w:cs="Arial"/>
          <w:color w:val="000000" w:themeColor="text1"/>
        </w:rPr>
        <w:t xml:space="preserve"> electrónico</w:t>
      </w:r>
      <w:r w:rsidRPr="0040616D">
        <w:rPr>
          <w:rFonts w:ascii="Palatino Linotype" w:hAnsi="Palatino Linotype" w:cs="Arial"/>
          <w:color w:val="000000" w:themeColor="text1"/>
        </w:rPr>
        <w:t>s</w:t>
      </w:r>
      <w:r w:rsidR="005B0E26" w:rsidRPr="0040616D">
        <w:rPr>
          <w:rFonts w:ascii="Palatino Linotype" w:hAnsi="Palatino Linotype" w:cs="Arial"/>
          <w:color w:val="000000" w:themeColor="text1"/>
        </w:rPr>
        <w:t xml:space="preserve"> de </w:t>
      </w:r>
      <w:r w:rsidR="005B0E26" w:rsidRPr="0040616D">
        <w:rPr>
          <w:rFonts w:ascii="Palatino Linotype" w:hAnsi="Palatino Linotype" w:cs="Arial"/>
          <w:i/>
          <w:color w:val="000000" w:themeColor="text1"/>
        </w:rPr>
        <w:t>nombre</w:t>
      </w:r>
      <w:r w:rsidRPr="0040616D">
        <w:rPr>
          <w:rFonts w:ascii="Palatino Linotype" w:hAnsi="Palatino Linotype" w:cs="Arial"/>
          <w:i/>
          <w:color w:val="000000" w:themeColor="text1"/>
        </w:rPr>
        <w:t>s</w:t>
      </w:r>
      <w:r w:rsidR="005B0E26" w:rsidRPr="0040616D">
        <w:rPr>
          <w:rFonts w:ascii="Palatino Linotype" w:hAnsi="Palatino Linotype" w:cs="Arial"/>
          <w:i/>
          <w:color w:val="000000" w:themeColor="text1"/>
        </w:rPr>
        <w:t xml:space="preserve"> </w:t>
      </w:r>
      <w:r w:rsidRPr="0040616D">
        <w:rPr>
          <w:rFonts w:ascii="Palatino Linotype" w:hAnsi="Palatino Linotype" w:cs="Arial"/>
          <w:b/>
          <w:i/>
          <w:color w:val="000000" w:themeColor="text1"/>
        </w:rPr>
        <w:t>SAIMEX 164 - 3. Respuesta para el solicitante - ST.pdf</w:t>
      </w:r>
      <w:r w:rsidRPr="0040616D">
        <w:rPr>
          <w:rFonts w:ascii="Palatino Linotype" w:hAnsi="Palatino Linotype" w:cs="Arial"/>
          <w:b/>
          <w:color w:val="000000" w:themeColor="text1"/>
        </w:rPr>
        <w:t xml:space="preserve"> </w:t>
      </w:r>
      <w:r w:rsidRPr="0040616D">
        <w:rPr>
          <w:rFonts w:ascii="Palatino Linotype" w:hAnsi="Palatino Linotype" w:cs="Arial"/>
          <w:color w:val="000000" w:themeColor="text1"/>
        </w:rPr>
        <w:t>y</w:t>
      </w:r>
      <w:r w:rsidRPr="0040616D">
        <w:rPr>
          <w:rFonts w:ascii="Palatino Linotype" w:hAnsi="Palatino Linotype" w:cs="Arial"/>
          <w:b/>
          <w:color w:val="000000" w:themeColor="text1"/>
        </w:rPr>
        <w:t xml:space="preserve"> </w:t>
      </w:r>
      <w:r w:rsidRPr="0040616D">
        <w:rPr>
          <w:rFonts w:ascii="Palatino Linotype" w:hAnsi="Palatino Linotype" w:cs="Arial"/>
          <w:b/>
          <w:i/>
          <w:color w:val="000000" w:themeColor="text1"/>
        </w:rPr>
        <w:t>SAIMEX 164 - 3. Respuesta para el solicitante - SASP.pdf</w:t>
      </w:r>
      <w:r w:rsidR="006F1C39" w:rsidRPr="0040616D">
        <w:rPr>
          <w:rFonts w:ascii="Palatino Linotype" w:hAnsi="Palatino Linotype" w:cs="Arial"/>
          <w:b/>
          <w:color w:val="000000" w:themeColor="text1"/>
        </w:rPr>
        <w:t xml:space="preserve">, </w:t>
      </w:r>
      <w:r w:rsidRPr="0040616D">
        <w:rPr>
          <w:rFonts w:ascii="Palatino Linotype" w:hAnsi="Palatino Linotype" w:cs="Arial"/>
          <w:color w:val="000000" w:themeColor="text1"/>
        </w:rPr>
        <w:t xml:space="preserve">mediante los cuales </w:t>
      </w:r>
      <w:r w:rsidRPr="0040616D">
        <w:rPr>
          <w:rFonts w:ascii="Palatino Linotype" w:hAnsi="Palatino Linotype" w:cs="Arial"/>
          <w:i/>
          <w:color w:val="000000" w:themeColor="text1"/>
        </w:rPr>
        <w:t xml:space="preserve">grosso modo, </w:t>
      </w:r>
      <w:r w:rsidRPr="0040616D">
        <w:rPr>
          <w:rFonts w:ascii="Palatino Linotype" w:hAnsi="Palatino Linotype" w:cs="Arial"/>
          <w:color w:val="000000" w:themeColor="text1"/>
        </w:rPr>
        <w:t>se clasificó la información como reservada por estar contenido en expedientes administrativos seguidos en forma de juicio que no han causado estado.</w:t>
      </w:r>
    </w:p>
    <w:p w:rsidR="00B72462" w:rsidRPr="0040616D" w:rsidRDefault="00B72462" w:rsidP="00B72462">
      <w:pPr>
        <w:pStyle w:val="Prrafodelista"/>
        <w:spacing w:line="360" w:lineRule="auto"/>
        <w:ind w:left="0"/>
        <w:jc w:val="both"/>
        <w:rPr>
          <w:rFonts w:ascii="Palatino Linotype" w:hAnsi="Palatino Linotype" w:cs="Arial"/>
          <w:i/>
          <w:color w:val="000000" w:themeColor="text1"/>
        </w:rPr>
      </w:pPr>
    </w:p>
    <w:p w:rsidR="009F09BC" w:rsidRPr="0040616D"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0616D">
        <w:rPr>
          <w:rFonts w:ascii="Palatino Linotype" w:eastAsia="Times New Roman" w:hAnsi="Palatino Linotype" w:cs="Arial"/>
          <w:color w:val="000000" w:themeColor="text1"/>
          <w:lang w:val="es-ES"/>
        </w:rPr>
        <w:t>E</w:t>
      </w:r>
      <w:r w:rsidR="002C4997" w:rsidRPr="0040616D">
        <w:rPr>
          <w:rFonts w:ascii="Palatino Linotype" w:eastAsia="Times New Roman" w:hAnsi="Palatino Linotype" w:cs="Arial"/>
          <w:color w:val="000000" w:themeColor="text1"/>
          <w:lang w:val="es-ES"/>
        </w:rPr>
        <w:t xml:space="preserve">l </w:t>
      </w:r>
      <w:r w:rsidR="00B72462" w:rsidRPr="0040616D">
        <w:rPr>
          <w:rFonts w:ascii="Palatino Linotype" w:eastAsia="Times New Roman" w:hAnsi="Palatino Linotype" w:cs="Arial"/>
          <w:color w:val="000000" w:themeColor="text1"/>
          <w:lang w:val="es-ES"/>
        </w:rPr>
        <w:t>veinte</w:t>
      </w:r>
      <w:r w:rsidRPr="0040616D">
        <w:rPr>
          <w:rFonts w:ascii="Palatino Linotype" w:eastAsia="Times New Roman" w:hAnsi="Palatino Linotype" w:cs="Arial"/>
          <w:color w:val="000000" w:themeColor="text1"/>
          <w:lang w:val="es-ES"/>
        </w:rPr>
        <w:t xml:space="preserve"> de </w:t>
      </w:r>
      <w:r w:rsidR="00B72462" w:rsidRPr="0040616D">
        <w:rPr>
          <w:rFonts w:ascii="Palatino Linotype" w:eastAsia="Times New Roman" w:hAnsi="Palatino Linotype" w:cs="Arial"/>
          <w:color w:val="000000" w:themeColor="text1"/>
          <w:lang w:val="es-ES"/>
        </w:rPr>
        <w:t>diciembre</w:t>
      </w:r>
      <w:r w:rsidRPr="0040616D">
        <w:rPr>
          <w:rFonts w:ascii="Palatino Linotype" w:eastAsia="Times New Roman" w:hAnsi="Palatino Linotype" w:cs="Arial"/>
          <w:color w:val="000000" w:themeColor="text1"/>
          <w:lang w:val="es-ES"/>
        </w:rPr>
        <w:t xml:space="preserve"> de </w:t>
      </w:r>
      <w:r w:rsidR="007C3761" w:rsidRPr="0040616D">
        <w:rPr>
          <w:rFonts w:ascii="Palatino Linotype" w:eastAsia="Times New Roman" w:hAnsi="Palatino Linotype" w:cs="Arial"/>
          <w:color w:val="000000" w:themeColor="text1"/>
          <w:lang w:val="es-ES"/>
        </w:rPr>
        <w:t>dos mil veintidós</w:t>
      </w:r>
      <w:r w:rsidRPr="0040616D">
        <w:rPr>
          <w:rFonts w:ascii="Palatino Linotype" w:eastAsia="Times New Roman" w:hAnsi="Palatino Linotype" w:cs="Arial"/>
          <w:color w:val="000000" w:themeColor="text1"/>
          <w:lang w:val="es-ES"/>
        </w:rPr>
        <w:t xml:space="preserve">, el particular interpuso </w:t>
      </w:r>
      <w:r w:rsidR="002C4997" w:rsidRPr="0040616D">
        <w:rPr>
          <w:rFonts w:ascii="Palatino Linotype" w:eastAsia="Times New Roman" w:hAnsi="Palatino Linotype" w:cs="Arial"/>
          <w:color w:val="000000" w:themeColor="text1"/>
          <w:lang w:val="es-ES"/>
        </w:rPr>
        <w:t>e</w:t>
      </w:r>
      <w:r w:rsidRPr="0040616D">
        <w:rPr>
          <w:rFonts w:ascii="Palatino Linotype" w:eastAsia="Times New Roman" w:hAnsi="Palatino Linotype" w:cs="Arial"/>
          <w:color w:val="000000" w:themeColor="text1"/>
          <w:lang w:val="es-ES"/>
        </w:rPr>
        <w:t>l recurso de revisión en contra de la respuesta,</w:t>
      </w:r>
      <w:r w:rsidR="00C23EB6" w:rsidRPr="0040616D">
        <w:rPr>
          <w:rFonts w:ascii="Palatino Linotype" w:eastAsia="Times New Roman" w:hAnsi="Palatino Linotype" w:cs="Arial"/>
          <w:color w:val="000000" w:themeColor="text1"/>
          <w:lang w:val="es-ES"/>
        </w:rPr>
        <w:t xml:space="preserve"> en el que se establecieron</w:t>
      </w:r>
      <w:r w:rsidRPr="0040616D">
        <w:rPr>
          <w:rFonts w:ascii="Palatino Linotype" w:eastAsia="Times New Roman" w:hAnsi="Palatino Linotype" w:cs="Arial"/>
          <w:color w:val="000000" w:themeColor="text1"/>
          <w:lang w:val="es-ES"/>
        </w:rPr>
        <w:t xml:space="preserve"> l</w:t>
      </w:r>
      <w:r w:rsidR="002C4997" w:rsidRPr="0040616D">
        <w:rPr>
          <w:rFonts w:ascii="Palatino Linotype" w:eastAsia="Times New Roman" w:hAnsi="Palatino Linotype" w:cs="Arial"/>
          <w:color w:val="000000" w:themeColor="text1"/>
          <w:lang w:val="es-ES"/>
        </w:rPr>
        <w:t>a</w:t>
      </w:r>
      <w:r w:rsidRPr="0040616D">
        <w:rPr>
          <w:rFonts w:ascii="Palatino Linotype" w:eastAsia="Times New Roman" w:hAnsi="Palatino Linotype" w:cs="Arial"/>
          <w:color w:val="000000" w:themeColor="text1"/>
          <w:lang w:val="es-ES"/>
        </w:rPr>
        <w:t xml:space="preserve">s </w:t>
      </w:r>
      <w:r w:rsidR="002C4997" w:rsidRPr="0040616D">
        <w:rPr>
          <w:rFonts w:ascii="Palatino Linotype" w:eastAsia="Times New Roman" w:hAnsi="Palatino Linotype" w:cs="Arial"/>
          <w:color w:val="000000" w:themeColor="text1"/>
          <w:lang w:val="es-ES"/>
        </w:rPr>
        <w:t>siguientes</w:t>
      </w:r>
      <w:r w:rsidRPr="0040616D">
        <w:rPr>
          <w:rFonts w:ascii="Palatino Linotype" w:eastAsia="Times New Roman" w:hAnsi="Palatino Linotype" w:cs="Arial"/>
          <w:color w:val="000000" w:themeColor="text1"/>
          <w:lang w:val="es-ES"/>
        </w:rPr>
        <w:t xml:space="preserve"> razones o motivos de inconformidad:</w:t>
      </w:r>
    </w:p>
    <w:p w:rsidR="00E65C7F" w:rsidRPr="0040616D" w:rsidRDefault="00E65C7F" w:rsidP="00E65C7F">
      <w:pPr>
        <w:pStyle w:val="Prrafodelista"/>
        <w:tabs>
          <w:tab w:val="left" w:pos="0"/>
        </w:tabs>
        <w:spacing w:line="360" w:lineRule="auto"/>
        <w:ind w:left="0" w:right="49"/>
        <w:jc w:val="both"/>
        <w:rPr>
          <w:rFonts w:ascii="Palatino Linotype" w:hAnsi="Palatino Linotype" w:cs="Arial"/>
          <w:i/>
          <w:color w:val="000000" w:themeColor="text1"/>
        </w:rPr>
      </w:pPr>
    </w:p>
    <w:p w:rsidR="009F09BC" w:rsidRPr="0040616D" w:rsidRDefault="009F09BC" w:rsidP="00B72462">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40616D">
        <w:rPr>
          <w:rStyle w:val="Ttulo2Car"/>
          <w:rFonts w:ascii="Palatino Linotype" w:hAnsi="Palatino Linotype"/>
          <w:b/>
          <w:color w:val="auto"/>
          <w:sz w:val="24"/>
          <w:szCs w:val="24"/>
        </w:rPr>
        <w:t>Acto impugnado</w:t>
      </w:r>
      <w:bookmarkEnd w:id="3"/>
      <w:r w:rsidRPr="0040616D">
        <w:rPr>
          <w:rStyle w:val="Ttulo2Car"/>
          <w:rFonts w:ascii="Palatino Linotype" w:hAnsi="Palatino Linotype"/>
          <w:b/>
          <w:color w:val="000000" w:themeColor="text1"/>
          <w:sz w:val="24"/>
          <w:szCs w:val="24"/>
        </w:rPr>
        <w:t xml:space="preserve">: </w:t>
      </w:r>
      <w:r w:rsidRPr="0040616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B72462" w:rsidRPr="0040616D">
        <w:rPr>
          <w:rStyle w:val="Ttulo2Car"/>
          <w:rFonts w:ascii="Palatino Linotype" w:hAnsi="Palatino Linotype"/>
          <w:i/>
          <w:color w:val="000000" w:themeColor="text1"/>
          <w:sz w:val="24"/>
          <w:szCs w:val="24"/>
        </w:rPr>
        <w:t>Negativa de información</w:t>
      </w:r>
      <w:r w:rsidRPr="0040616D">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F7EE0" w:rsidRPr="0040616D" w:rsidRDefault="002F7EE0" w:rsidP="002F7EE0">
      <w:pPr>
        <w:pStyle w:val="Prrafodelista"/>
        <w:spacing w:line="360" w:lineRule="auto"/>
        <w:ind w:left="1004"/>
        <w:jc w:val="both"/>
        <w:rPr>
          <w:rFonts w:ascii="Palatino Linotype" w:hAnsi="Palatino Linotype"/>
          <w:i/>
          <w:color w:val="000000" w:themeColor="text1"/>
        </w:rPr>
      </w:pPr>
    </w:p>
    <w:p w:rsidR="009F09BC" w:rsidRPr="0040616D" w:rsidRDefault="009F09BC" w:rsidP="00D02221">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40616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40616D">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D3321E" w:rsidRPr="0040616D">
        <w:rPr>
          <w:rFonts w:ascii="Palatino Linotype" w:hAnsi="Palatino Linotype"/>
          <w:i/>
          <w:color w:val="000000" w:themeColor="text1"/>
        </w:rPr>
        <w:t>“</w:t>
      </w:r>
      <w:r w:rsidR="00D02221" w:rsidRPr="0040616D">
        <w:rPr>
          <w:rFonts w:ascii="Palatino Linotype" w:hAnsi="Palatino Linotype"/>
          <w:i/>
          <w:color w:val="000000" w:themeColor="text1"/>
        </w:rPr>
        <w:t>Considero que el Sujeto debe entregar la información solicitada dado que es de interés al tratarse de temas relacionados con el medio ambiente.</w:t>
      </w:r>
      <w:r w:rsidR="00D3321E" w:rsidRPr="0040616D">
        <w:rPr>
          <w:rFonts w:ascii="Palatino Linotype" w:hAnsi="Palatino Linotype"/>
          <w:i/>
          <w:color w:val="000000" w:themeColor="text1"/>
        </w:rPr>
        <w:t>”</w:t>
      </w:r>
    </w:p>
    <w:p w:rsidR="00E80237" w:rsidRPr="0040616D" w:rsidRDefault="00E80237" w:rsidP="00E80237">
      <w:pPr>
        <w:pStyle w:val="Prrafodelista"/>
        <w:spacing w:line="360" w:lineRule="auto"/>
        <w:ind w:left="1004"/>
        <w:jc w:val="both"/>
        <w:rPr>
          <w:rFonts w:ascii="Palatino Linotype" w:hAnsi="Palatino Linotype"/>
          <w:color w:val="000000" w:themeColor="text1"/>
        </w:rPr>
      </w:pPr>
    </w:p>
    <w:p w:rsidR="009F09BC" w:rsidRPr="0040616D" w:rsidRDefault="00CC5B2F" w:rsidP="00855290">
      <w:pPr>
        <w:pStyle w:val="Prrafodelista"/>
        <w:numPr>
          <w:ilvl w:val="0"/>
          <w:numId w:val="1"/>
        </w:numPr>
        <w:spacing w:line="360" w:lineRule="auto"/>
        <w:ind w:left="0" w:firstLine="0"/>
        <w:jc w:val="both"/>
        <w:rPr>
          <w:rFonts w:ascii="Palatino Linotype" w:hAnsi="Palatino Linotype"/>
          <w:i/>
        </w:rPr>
      </w:pPr>
      <w:r w:rsidRPr="0040616D">
        <w:rPr>
          <w:rFonts w:ascii="Palatino Linotype" w:eastAsia="Calibri" w:hAnsi="Palatino Linotype" w:cs="Arial"/>
          <w:lang w:val="es-ES"/>
        </w:rPr>
        <w:t>La Comisionada</w:t>
      </w:r>
      <w:r w:rsidR="009F09BC" w:rsidRPr="0040616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3321E" w:rsidRPr="0040616D">
        <w:rPr>
          <w:rFonts w:ascii="Palatino Linotype" w:eastAsia="Calibri" w:hAnsi="Palatino Linotype" w:cs="Arial"/>
          <w:b/>
          <w:lang w:val="es-ES"/>
        </w:rPr>
        <w:t>nueve</w:t>
      </w:r>
      <w:r w:rsidR="00D02221" w:rsidRPr="0040616D">
        <w:rPr>
          <w:rFonts w:ascii="Palatino Linotype" w:eastAsia="Calibri" w:hAnsi="Palatino Linotype" w:cs="Arial"/>
          <w:b/>
          <w:lang w:val="es-ES"/>
        </w:rPr>
        <w:t xml:space="preserve"> de enero </w:t>
      </w:r>
      <w:r w:rsidR="00A03F8F" w:rsidRPr="0040616D">
        <w:rPr>
          <w:rFonts w:ascii="Palatino Linotype" w:eastAsia="Calibri" w:hAnsi="Palatino Linotype" w:cs="Arial"/>
          <w:b/>
          <w:lang w:val="es-ES"/>
        </w:rPr>
        <w:t>de</w:t>
      </w:r>
      <w:r w:rsidR="00D02221" w:rsidRPr="0040616D">
        <w:rPr>
          <w:rFonts w:ascii="Palatino Linotype" w:eastAsia="Calibri" w:hAnsi="Palatino Linotype" w:cs="Arial"/>
          <w:b/>
          <w:lang w:val="es-ES"/>
        </w:rPr>
        <w:t xml:space="preserve"> dos mil veintitrés</w:t>
      </w:r>
      <w:r w:rsidR="00A03F8F" w:rsidRPr="0040616D">
        <w:rPr>
          <w:rFonts w:ascii="Palatino Linotype" w:eastAsia="Calibri" w:hAnsi="Palatino Linotype" w:cs="Arial"/>
          <w:lang w:val="es-ES"/>
        </w:rPr>
        <w:t>,</w:t>
      </w:r>
      <w:r w:rsidR="00DA782E" w:rsidRPr="0040616D">
        <w:rPr>
          <w:rFonts w:ascii="Palatino Linotype" w:eastAsia="Calibri" w:hAnsi="Palatino Linotype" w:cs="Arial"/>
          <w:lang w:val="es-ES"/>
        </w:rPr>
        <w:t xml:space="preserve"> </w:t>
      </w:r>
      <w:r w:rsidR="009F09BC" w:rsidRPr="0040616D">
        <w:rPr>
          <w:rFonts w:ascii="Palatino Linotype" w:eastAsia="Calibri" w:hAnsi="Palatino Linotype" w:cs="Arial"/>
          <w:lang w:val="es-ES"/>
        </w:rPr>
        <w:t xml:space="preserve">puso a disposición de las partes el expediente electrónico </w:t>
      </w:r>
      <w:r w:rsidR="009F09BC" w:rsidRPr="0040616D">
        <w:rPr>
          <w:rFonts w:ascii="Palatino Linotype" w:eastAsia="Calibri" w:hAnsi="Palatino Linotype" w:cs="Arial"/>
        </w:rPr>
        <w:t xml:space="preserve">vía </w:t>
      </w:r>
      <w:r w:rsidR="009F09BC" w:rsidRPr="0040616D">
        <w:rPr>
          <w:rFonts w:ascii="Palatino Linotype" w:eastAsia="Calibri" w:hAnsi="Palatino Linotype" w:cs="Arial"/>
          <w:b/>
          <w:lang w:val="es-ES"/>
        </w:rPr>
        <w:t xml:space="preserve">SAIMEX </w:t>
      </w:r>
      <w:r w:rsidR="009F09BC" w:rsidRPr="0040616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40616D">
        <w:rPr>
          <w:rFonts w:ascii="Palatino Linotype" w:eastAsia="Calibri" w:hAnsi="Palatino Linotype" w:cs="Arial"/>
          <w:b/>
          <w:lang w:val="es-ES"/>
        </w:rPr>
        <w:t>SUJETO OBLIGADO</w:t>
      </w:r>
      <w:r w:rsidR="009F09BC" w:rsidRPr="0040616D">
        <w:rPr>
          <w:rFonts w:ascii="Palatino Linotype" w:eastAsia="Calibri" w:hAnsi="Palatino Linotype" w:cs="Arial"/>
          <w:lang w:val="es-ES"/>
        </w:rPr>
        <w:t xml:space="preserve"> presentará el Informe Justificado procedente.</w:t>
      </w:r>
    </w:p>
    <w:p w:rsidR="009F09BC" w:rsidRPr="0040616D" w:rsidRDefault="009F09BC" w:rsidP="00B7267C">
      <w:pPr>
        <w:pStyle w:val="Prrafodelista"/>
        <w:numPr>
          <w:ilvl w:val="0"/>
          <w:numId w:val="1"/>
        </w:numPr>
        <w:spacing w:line="360" w:lineRule="auto"/>
        <w:ind w:left="0" w:firstLine="0"/>
        <w:jc w:val="both"/>
        <w:rPr>
          <w:rFonts w:ascii="Palatino Linotype" w:hAnsi="Palatino Linotype"/>
        </w:rPr>
      </w:pPr>
      <w:r w:rsidRPr="0040616D">
        <w:rPr>
          <w:rFonts w:ascii="Palatino Linotype" w:hAnsi="Palatino Linotype"/>
          <w:color w:val="000000"/>
        </w:rPr>
        <w:lastRenderedPageBreak/>
        <w:t xml:space="preserve">El </w:t>
      </w:r>
      <w:r w:rsidRPr="0040616D">
        <w:rPr>
          <w:rFonts w:ascii="Palatino Linotype" w:hAnsi="Palatino Linotype"/>
          <w:b/>
          <w:color w:val="000000"/>
        </w:rPr>
        <w:t>SUJETO OBLIGADO</w:t>
      </w:r>
      <w:r w:rsidR="007A6A1A" w:rsidRPr="0040616D">
        <w:rPr>
          <w:rFonts w:ascii="Palatino Linotype" w:hAnsi="Palatino Linotype"/>
          <w:color w:val="000000"/>
        </w:rPr>
        <w:t xml:space="preserve"> </w:t>
      </w:r>
      <w:r w:rsidR="00103F2A" w:rsidRPr="0040616D">
        <w:rPr>
          <w:rFonts w:ascii="Palatino Linotype" w:hAnsi="Palatino Linotype"/>
          <w:color w:val="000000"/>
        </w:rPr>
        <w:t xml:space="preserve">en fecha </w:t>
      </w:r>
      <w:r w:rsidR="00D3321E" w:rsidRPr="0040616D">
        <w:rPr>
          <w:rFonts w:ascii="Palatino Linotype" w:hAnsi="Palatino Linotype"/>
          <w:b/>
          <w:color w:val="000000"/>
        </w:rPr>
        <w:t>dieciocho</w:t>
      </w:r>
      <w:r w:rsidR="00103F2A" w:rsidRPr="0040616D">
        <w:rPr>
          <w:rFonts w:ascii="Palatino Linotype" w:hAnsi="Palatino Linotype"/>
          <w:b/>
          <w:color w:val="000000"/>
        </w:rPr>
        <w:t xml:space="preserve"> </w:t>
      </w:r>
      <w:r w:rsidR="00D02221" w:rsidRPr="0040616D">
        <w:rPr>
          <w:rFonts w:ascii="Palatino Linotype" w:hAnsi="Palatino Linotype"/>
          <w:b/>
          <w:color w:val="000000"/>
        </w:rPr>
        <w:t xml:space="preserve">de enero </w:t>
      </w:r>
      <w:r w:rsidR="00103F2A" w:rsidRPr="0040616D">
        <w:rPr>
          <w:rFonts w:ascii="Palatino Linotype" w:hAnsi="Palatino Linotype"/>
          <w:b/>
          <w:color w:val="000000"/>
        </w:rPr>
        <w:t>de</w:t>
      </w:r>
      <w:r w:rsidR="00D02221" w:rsidRPr="0040616D">
        <w:rPr>
          <w:rFonts w:ascii="Palatino Linotype" w:hAnsi="Palatino Linotype"/>
          <w:b/>
          <w:color w:val="000000"/>
        </w:rPr>
        <w:t xml:space="preserve"> dos mil veintitrés</w:t>
      </w:r>
      <w:r w:rsidR="00103F2A" w:rsidRPr="0040616D">
        <w:rPr>
          <w:rFonts w:ascii="Palatino Linotype" w:hAnsi="Palatino Linotype"/>
          <w:color w:val="000000"/>
        </w:rPr>
        <w:t>, rindió</w:t>
      </w:r>
      <w:r w:rsidR="004E05B2" w:rsidRPr="0040616D">
        <w:rPr>
          <w:rFonts w:ascii="Palatino Linotype" w:hAnsi="Palatino Linotype"/>
          <w:color w:val="000000"/>
        </w:rPr>
        <w:t xml:space="preserve"> el informe justificado correspondiente</w:t>
      </w:r>
      <w:r w:rsidR="00103F2A" w:rsidRPr="0040616D">
        <w:rPr>
          <w:rFonts w:ascii="Palatino Linotype" w:hAnsi="Palatino Linotype"/>
          <w:color w:val="000000"/>
        </w:rPr>
        <w:t xml:space="preserve">, </w:t>
      </w:r>
      <w:r w:rsidR="00D02221" w:rsidRPr="0040616D">
        <w:rPr>
          <w:rFonts w:ascii="Palatino Linotype" w:hAnsi="Palatino Linotype"/>
          <w:color w:val="000000"/>
        </w:rPr>
        <w:t>mismo que</w:t>
      </w:r>
      <w:r w:rsidR="00D3321E" w:rsidRPr="0040616D">
        <w:rPr>
          <w:rFonts w:ascii="Palatino Linotype" w:hAnsi="Palatino Linotype"/>
          <w:color w:val="000000"/>
        </w:rPr>
        <w:t xml:space="preserve"> </w:t>
      </w:r>
      <w:r w:rsidR="00A7007A" w:rsidRPr="0040616D">
        <w:rPr>
          <w:rFonts w:ascii="Palatino Linotype" w:hAnsi="Palatino Linotype"/>
          <w:color w:val="000000"/>
        </w:rPr>
        <w:t xml:space="preserve">no </w:t>
      </w:r>
      <w:r w:rsidR="00D3321E" w:rsidRPr="0040616D">
        <w:rPr>
          <w:rFonts w:ascii="Palatino Linotype" w:hAnsi="Palatino Linotype"/>
          <w:color w:val="000000"/>
        </w:rPr>
        <w:t>se hizo del conocimiento del solicitante</w:t>
      </w:r>
      <w:r w:rsidR="00A7007A" w:rsidRPr="0040616D">
        <w:rPr>
          <w:rFonts w:ascii="Palatino Linotype" w:hAnsi="Palatino Linotype"/>
          <w:color w:val="000000"/>
        </w:rPr>
        <w:t>, toda vez que en el mismo tiene inmerso un Formato Único de Movimiento de una servidora pública adscrita a la Procuraduría, que no se encuentra protegido y del cual se advierten sus datos personales</w:t>
      </w:r>
      <w:r w:rsidR="002C4997" w:rsidRPr="0040616D">
        <w:rPr>
          <w:rFonts w:ascii="Palatino Linotype" w:hAnsi="Palatino Linotype"/>
          <w:color w:val="000000"/>
        </w:rPr>
        <w:t xml:space="preserve">. </w:t>
      </w:r>
      <w:r w:rsidRPr="0040616D">
        <w:rPr>
          <w:rFonts w:ascii="Palatino Linotype" w:hAnsi="Palatino Linotype"/>
          <w:color w:val="000000"/>
        </w:rPr>
        <w:t xml:space="preserve">Por su parte </w:t>
      </w:r>
      <w:r w:rsidR="0068467A" w:rsidRPr="0040616D">
        <w:rPr>
          <w:rFonts w:ascii="Palatino Linotype" w:hAnsi="Palatino Linotype"/>
          <w:b/>
          <w:color w:val="000000"/>
        </w:rPr>
        <w:t xml:space="preserve">EL RECURRENTE </w:t>
      </w:r>
      <w:r w:rsidR="00103F2A" w:rsidRPr="0040616D">
        <w:rPr>
          <w:rFonts w:ascii="Palatino Linotype" w:hAnsi="Palatino Linotype"/>
          <w:color w:val="000000"/>
        </w:rPr>
        <w:t>dejó de realizar manifestaciones que a su derecho conviniera y asistiera</w:t>
      </w:r>
      <w:r w:rsidRPr="0040616D">
        <w:rPr>
          <w:rFonts w:ascii="Palatino Linotype" w:hAnsi="Palatino Linotype"/>
          <w:color w:val="000000"/>
        </w:rPr>
        <w:t>.</w:t>
      </w:r>
    </w:p>
    <w:p w:rsidR="00ED6E75" w:rsidRPr="0040616D" w:rsidRDefault="00ED6E75" w:rsidP="00855290">
      <w:pPr>
        <w:pStyle w:val="Prrafodelista"/>
        <w:spacing w:line="360" w:lineRule="auto"/>
        <w:ind w:left="0"/>
        <w:jc w:val="both"/>
        <w:rPr>
          <w:rFonts w:ascii="Palatino Linotype" w:hAnsi="Palatino Linotype"/>
        </w:rPr>
      </w:pPr>
    </w:p>
    <w:p w:rsidR="009F09BC" w:rsidRPr="0040616D" w:rsidRDefault="004E05B2" w:rsidP="00D3321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40616D">
        <w:rPr>
          <w:rFonts w:ascii="Palatino Linotype" w:hAnsi="Palatino Linotype"/>
        </w:rPr>
        <w:t>Mediante acuerdo</w:t>
      </w:r>
      <w:r w:rsidR="00FF161F" w:rsidRPr="0040616D">
        <w:rPr>
          <w:rFonts w:ascii="Palatino Linotype" w:hAnsi="Palatino Linotype"/>
        </w:rPr>
        <w:t xml:space="preserve"> de fecha</w:t>
      </w:r>
      <w:r w:rsidR="0001674C" w:rsidRPr="0040616D">
        <w:rPr>
          <w:rFonts w:ascii="Palatino Linotype" w:hAnsi="Palatino Linotype"/>
        </w:rPr>
        <w:t xml:space="preserve"> </w:t>
      </w:r>
      <w:r w:rsidR="00D02221" w:rsidRPr="0040616D">
        <w:rPr>
          <w:rFonts w:ascii="Palatino Linotype" w:hAnsi="Palatino Linotype"/>
        </w:rPr>
        <w:t>seis de febrero d</w:t>
      </w:r>
      <w:r w:rsidR="0001674C" w:rsidRPr="0040616D">
        <w:rPr>
          <w:rFonts w:ascii="Palatino Linotype" w:hAnsi="Palatino Linotype"/>
        </w:rPr>
        <w:t>e</w:t>
      </w:r>
      <w:r w:rsidR="00D02221" w:rsidRPr="0040616D">
        <w:rPr>
          <w:rFonts w:ascii="Palatino Linotype" w:hAnsi="Palatino Linotype"/>
        </w:rPr>
        <w:t xml:space="preserve"> dos mil veintitrés</w:t>
      </w:r>
      <w:r w:rsidR="0001674C" w:rsidRPr="0040616D">
        <w:rPr>
          <w:rFonts w:ascii="Palatino Linotype" w:hAnsi="Palatino Linotype"/>
        </w:rPr>
        <w:t xml:space="preserve">, </w:t>
      </w:r>
      <w:r w:rsidR="00FF161F" w:rsidRPr="0040616D">
        <w:rPr>
          <w:rFonts w:ascii="Palatino Linotype" w:hAnsi="Palatino Linotype"/>
        </w:rPr>
        <w:t xml:space="preserve">se </w:t>
      </w:r>
      <w:r w:rsidR="00A03F8F" w:rsidRPr="0040616D">
        <w:rPr>
          <w:rFonts w:ascii="Palatino Linotype" w:hAnsi="Palatino Linotype"/>
        </w:rPr>
        <w:t>decretó el cierre de in</w:t>
      </w:r>
      <w:r w:rsidR="00D02221" w:rsidRPr="0040616D">
        <w:rPr>
          <w:rFonts w:ascii="Palatino Linotype" w:hAnsi="Palatino Linotype"/>
        </w:rPr>
        <w:t>strucción</w:t>
      </w:r>
      <w:r w:rsidR="00933A28" w:rsidRPr="0040616D">
        <w:rPr>
          <w:rFonts w:ascii="Palatino Linotype" w:hAnsi="Palatino Linotype"/>
        </w:rPr>
        <w:t>;</w:t>
      </w:r>
      <w:r w:rsidR="0001674C" w:rsidRPr="0040616D">
        <w:rPr>
          <w:rFonts w:ascii="Palatino Linotype" w:hAnsi="Palatino Linotype"/>
        </w:rPr>
        <w:t xml:space="preserve"> </w:t>
      </w:r>
      <w:r w:rsidR="009F09BC" w:rsidRPr="0040616D">
        <w:rPr>
          <w:rFonts w:ascii="Palatino Linotype" w:hAnsi="Palatino Linotype" w:cs="Arial"/>
        </w:rPr>
        <w:t>por lo que no habiendo más que hacer constar, y ----</w:t>
      </w:r>
      <w:r w:rsidR="00D3321E" w:rsidRPr="0040616D">
        <w:rPr>
          <w:rFonts w:ascii="Palatino Linotype" w:hAnsi="Palatino Linotype" w:cs="Arial"/>
        </w:rPr>
        <w:t>-------------</w:t>
      </w:r>
    </w:p>
    <w:p w:rsidR="00D3321E" w:rsidRPr="0040616D" w:rsidRDefault="00D3321E" w:rsidP="00D3321E">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p>
    <w:p w:rsidR="009F09BC" w:rsidRPr="0040616D" w:rsidRDefault="009F09BC" w:rsidP="00D3321E">
      <w:pPr>
        <w:pStyle w:val="Ttulo1"/>
        <w:spacing w:before="0" w:line="360" w:lineRule="auto"/>
        <w:jc w:val="center"/>
        <w:rPr>
          <w:rFonts w:ascii="Palatino Linotype" w:hAnsi="Palatino Linotype"/>
          <w:b/>
          <w:color w:val="000000" w:themeColor="text1"/>
          <w:sz w:val="24"/>
          <w:szCs w:val="24"/>
        </w:rPr>
      </w:pPr>
      <w:r w:rsidRPr="0040616D">
        <w:rPr>
          <w:rFonts w:ascii="Palatino Linotype" w:hAnsi="Palatino Linotype"/>
          <w:b/>
          <w:color w:val="000000" w:themeColor="text1"/>
          <w:sz w:val="24"/>
          <w:szCs w:val="24"/>
        </w:rPr>
        <w:t>CONSIDERANDO</w:t>
      </w:r>
      <w:bookmarkEnd w:id="133"/>
      <w:bookmarkEnd w:id="134"/>
    </w:p>
    <w:p w:rsidR="009F09BC" w:rsidRPr="0040616D" w:rsidRDefault="009F09BC" w:rsidP="00D3321E">
      <w:pPr>
        <w:spacing w:line="360" w:lineRule="auto"/>
        <w:rPr>
          <w:rFonts w:ascii="Palatino Linotype" w:hAnsi="Palatino Linotype"/>
          <w:lang w:val="es-MX" w:eastAsia="en-US"/>
        </w:rPr>
      </w:pPr>
    </w:p>
    <w:p w:rsidR="009F09BC" w:rsidRPr="0040616D" w:rsidRDefault="009F09BC" w:rsidP="00D3321E">
      <w:pPr>
        <w:pStyle w:val="Ttulo2"/>
        <w:spacing w:before="0" w:line="360" w:lineRule="auto"/>
        <w:rPr>
          <w:rFonts w:ascii="Palatino Linotype" w:hAnsi="Palatino Linotype"/>
          <w:b/>
          <w:color w:val="auto"/>
          <w:sz w:val="24"/>
          <w:szCs w:val="24"/>
        </w:rPr>
      </w:pPr>
      <w:bookmarkStart w:id="135" w:name="_Toc491791303"/>
      <w:bookmarkStart w:id="136" w:name="_Toc83128579"/>
      <w:r w:rsidRPr="0040616D">
        <w:rPr>
          <w:rFonts w:ascii="Palatino Linotype" w:hAnsi="Palatino Linotype"/>
          <w:b/>
          <w:color w:val="auto"/>
          <w:sz w:val="24"/>
          <w:szCs w:val="24"/>
        </w:rPr>
        <w:t>PRIMERO. De la competencia</w:t>
      </w:r>
      <w:bookmarkEnd w:id="135"/>
      <w:bookmarkEnd w:id="136"/>
    </w:p>
    <w:p w:rsidR="009F09BC" w:rsidRPr="0040616D" w:rsidRDefault="009F09BC" w:rsidP="00D3321E">
      <w:pPr>
        <w:spacing w:line="360" w:lineRule="auto"/>
        <w:rPr>
          <w:rFonts w:ascii="Palatino Linotype" w:hAnsi="Palatino Linotype"/>
          <w:lang w:val="es-MX" w:eastAsia="en-US"/>
        </w:rPr>
      </w:pPr>
    </w:p>
    <w:p w:rsidR="00353F1D" w:rsidRPr="0040616D" w:rsidRDefault="00353F1D" w:rsidP="00D3321E">
      <w:pPr>
        <w:pStyle w:val="Prrafodelista"/>
        <w:numPr>
          <w:ilvl w:val="0"/>
          <w:numId w:val="1"/>
        </w:numPr>
        <w:spacing w:line="360" w:lineRule="auto"/>
        <w:ind w:left="0" w:firstLine="0"/>
        <w:jc w:val="both"/>
        <w:rPr>
          <w:rFonts w:ascii="Palatino Linotype" w:hAnsi="Palatino Linotype"/>
          <w:color w:val="000000" w:themeColor="text1"/>
        </w:rPr>
      </w:pPr>
      <w:r w:rsidRPr="0040616D">
        <w:rPr>
          <w:rFonts w:ascii="Palatino Linotype" w:hAnsi="Palatino Linotype"/>
          <w:color w:val="000000" w:themeColor="text1"/>
        </w:rPr>
        <w:t xml:space="preserve">El </w:t>
      </w:r>
      <w:r w:rsidRPr="0040616D">
        <w:rPr>
          <w:rFonts w:ascii="Palatino Linotype" w:hAnsi="Palatino Linotype"/>
        </w:rPr>
        <w:t>Instituto</w:t>
      </w:r>
      <w:r w:rsidRPr="0040616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40616D">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40616D" w:rsidRDefault="007210B9" w:rsidP="007210B9">
      <w:pPr>
        <w:pStyle w:val="Prrafodelista"/>
        <w:spacing w:line="360" w:lineRule="auto"/>
        <w:ind w:left="0"/>
        <w:jc w:val="both"/>
        <w:rPr>
          <w:rFonts w:ascii="Palatino Linotype" w:hAnsi="Palatino Linotype"/>
          <w:color w:val="000000" w:themeColor="text1"/>
        </w:rPr>
      </w:pPr>
    </w:p>
    <w:p w:rsidR="009F09BC" w:rsidRPr="0040616D"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40616D">
        <w:rPr>
          <w:rFonts w:ascii="Palatino Linotype" w:hAnsi="Palatino Linotype"/>
          <w:b/>
          <w:color w:val="auto"/>
          <w:sz w:val="24"/>
          <w:szCs w:val="24"/>
        </w:rPr>
        <w:t>SEGUNDO. De la oportunidad y procedencia.</w:t>
      </w:r>
      <w:bookmarkEnd w:id="137"/>
      <w:bookmarkEnd w:id="138"/>
    </w:p>
    <w:p w:rsidR="009F09BC" w:rsidRPr="0040616D" w:rsidRDefault="009F09BC" w:rsidP="00855290">
      <w:pPr>
        <w:spacing w:line="360" w:lineRule="auto"/>
        <w:rPr>
          <w:rFonts w:ascii="Palatino Linotype" w:hAnsi="Palatino Linotype"/>
          <w:lang w:val="es-MX" w:eastAsia="en-US"/>
        </w:rPr>
      </w:pPr>
    </w:p>
    <w:p w:rsidR="009F09BC" w:rsidRPr="0040616D" w:rsidRDefault="00425842" w:rsidP="00B7267C">
      <w:pPr>
        <w:pStyle w:val="Prrafodelista"/>
        <w:numPr>
          <w:ilvl w:val="0"/>
          <w:numId w:val="1"/>
        </w:numPr>
        <w:spacing w:line="360" w:lineRule="auto"/>
        <w:ind w:left="0" w:firstLine="0"/>
        <w:jc w:val="both"/>
        <w:rPr>
          <w:rFonts w:ascii="Palatino Linotype" w:hAnsi="Palatino Linotype"/>
        </w:rPr>
      </w:pPr>
      <w:r w:rsidRPr="0040616D">
        <w:rPr>
          <w:rFonts w:ascii="Palatino Linotype" w:eastAsia="Calibri" w:hAnsi="Palatino Linotype" w:cs="Arial"/>
        </w:rPr>
        <w:t>El</w:t>
      </w:r>
      <w:r w:rsidR="00AD63B4" w:rsidRPr="0040616D">
        <w:rPr>
          <w:rFonts w:ascii="Palatino Linotype" w:eastAsia="Calibri" w:hAnsi="Palatino Linotype" w:cs="Arial"/>
        </w:rPr>
        <w:t xml:space="preserve"> </w:t>
      </w:r>
      <w:r w:rsidR="009F09BC" w:rsidRPr="0040616D">
        <w:rPr>
          <w:rFonts w:ascii="Palatino Linotype" w:eastAsia="Calibri" w:hAnsi="Palatino Linotype" w:cs="Arial"/>
        </w:rPr>
        <w:t xml:space="preserve">medio de impugnación fue presentado a través del </w:t>
      </w:r>
      <w:r w:rsidR="009F09BC" w:rsidRPr="0040616D">
        <w:rPr>
          <w:rFonts w:ascii="Palatino Linotype" w:eastAsia="Calibri" w:hAnsi="Palatino Linotype" w:cs="Arial"/>
          <w:b/>
        </w:rPr>
        <w:t>SAIMEX,</w:t>
      </w:r>
      <w:r w:rsidR="009F09BC" w:rsidRPr="0040616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40616D">
        <w:rPr>
          <w:rFonts w:ascii="Palatino Linotype" w:eastAsia="Calibri" w:hAnsi="Palatino Linotype" w:cs="Arial"/>
          <w:b/>
        </w:rPr>
        <w:t>SUJETO OBLIGADO</w:t>
      </w:r>
      <w:r w:rsidRPr="0040616D">
        <w:rPr>
          <w:rFonts w:ascii="Palatino Linotype" w:eastAsia="Calibri" w:hAnsi="Palatino Linotype" w:cs="Arial"/>
        </w:rPr>
        <w:t xml:space="preserve"> entregó su</w:t>
      </w:r>
      <w:r w:rsidR="009F09BC" w:rsidRPr="0040616D">
        <w:rPr>
          <w:rFonts w:ascii="Palatino Linotype" w:eastAsia="Calibri" w:hAnsi="Palatino Linotype" w:cs="Arial"/>
        </w:rPr>
        <w:t xml:space="preserve"> respuesta </w:t>
      </w:r>
      <w:r w:rsidRPr="0040616D">
        <w:rPr>
          <w:rFonts w:ascii="Palatino Linotype" w:eastAsia="Calibri" w:hAnsi="Palatino Linotype" w:cs="Arial"/>
        </w:rPr>
        <w:t>e</w:t>
      </w:r>
      <w:r w:rsidR="00672571" w:rsidRPr="0040616D">
        <w:rPr>
          <w:rFonts w:ascii="Palatino Linotype" w:eastAsia="Calibri" w:hAnsi="Palatino Linotype" w:cs="Arial"/>
        </w:rPr>
        <w:t xml:space="preserve">l </w:t>
      </w:r>
      <w:r w:rsidR="00D02221" w:rsidRPr="0040616D">
        <w:rPr>
          <w:rFonts w:ascii="Palatino Linotype" w:eastAsia="Calibri" w:hAnsi="Palatino Linotype" w:cs="Arial"/>
          <w:b/>
        </w:rPr>
        <w:t>catorce</w:t>
      </w:r>
      <w:r w:rsidR="009F09BC" w:rsidRPr="0040616D">
        <w:rPr>
          <w:rFonts w:ascii="Palatino Linotype" w:eastAsia="Calibri" w:hAnsi="Palatino Linotype" w:cs="Arial"/>
          <w:b/>
        </w:rPr>
        <w:t xml:space="preserve"> de </w:t>
      </w:r>
      <w:r w:rsidR="00D02221" w:rsidRPr="0040616D">
        <w:rPr>
          <w:rFonts w:ascii="Palatino Linotype" w:eastAsia="Calibri" w:hAnsi="Palatino Linotype" w:cs="Arial"/>
          <w:b/>
        </w:rPr>
        <w:t xml:space="preserve">diciembre </w:t>
      </w:r>
      <w:r w:rsidRPr="0040616D">
        <w:rPr>
          <w:rFonts w:ascii="Palatino Linotype" w:eastAsia="Calibri" w:hAnsi="Palatino Linotype" w:cs="Arial"/>
          <w:b/>
        </w:rPr>
        <w:t>de dos mil veintidós</w:t>
      </w:r>
      <w:r w:rsidR="009F09BC" w:rsidRPr="0040616D">
        <w:rPr>
          <w:rFonts w:ascii="Palatino Linotype" w:eastAsia="Calibri" w:hAnsi="Palatino Linotype" w:cs="Arial"/>
        </w:rPr>
        <w:t xml:space="preserve">, </w:t>
      </w:r>
      <w:r w:rsidR="009F09BC" w:rsidRPr="0040616D">
        <w:rPr>
          <w:rFonts w:ascii="Palatino Linotype" w:hAnsi="Palatino Linotype" w:cs="Arial"/>
        </w:rPr>
        <w:t xml:space="preserve">de tal forma que </w:t>
      </w:r>
      <w:r w:rsidRPr="0040616D">
        <w:rPr>
          <w:rFonts w:ascii="Palatino Linotype" w:hAnsi="Palatino Linotype" w:cs="Arial"/>
        </w:rPr>
        <w:t>e</w:t>
      </w:r>
      <w:r w:rsidR="009F09BC" w:rsidRPr="0040616D">
        <w:rPr>
          <w:rFonts w:ascii="Palatino Linotype" w:hAnsi="Palatino Linotype" w:cs="Arial"/>
        </w:rPr>
        <w:t xml:space="preserve">l plazo para interponer </w:t>
      </w:r>
      <w:r w:rsidRPr="0040616D">
        <w:rPr>
          <w:rFonts w:ascii="Palatino Linotype" w:hAnsi="Palatino Linotype" w:cs="Arial"/>
        </w:rPr>
        <w:t>e</w:t>
      </w:r>
      <w:r w:rsidR="009F09BC" w:rsidRPr="0040616D">
        <w:rPr>
          <w:rFonts w:ascii="Palatino Linotype" w:hAnsi="Palatino Linotype" w:cs="Arial"/>
        </w:rPr>
        <w:t xml:space="preserve">l recurso de revisión </w:t>
      </w:r>
      <w:r w:rsidRPr="0040616D">
        <w:rPr>
          <w:rFonts w:ascii="Palatino Linotype" w:hAnsi="Palatino Linotype" w:cs="Arial"/>
        </w:rPr>
        <w:t>transcurrió</w:t>
      </w:r>
      <w:r w:rsidR="009F09BC" w:rsidRPr="0040616D">
        <w:rPr>
          <w:rFonts w:ascii="Palatino Linotype" w:hAnsi="Palatino Linotype" w:cs="Arial"/>
        </w:rPr>
        <w:t xml:space="preserve"> del día </w:t>
      </w:r>
      <w:r w:rsidR="00D02221" w:rsidRPr="0040616D">
        <w:rPr>
          <w:rFonts w:ascii="Palatino Linotype" w:hAnsi="Palatino Linotype" w:cs="Arial"/>
          <w:b/>
        </w:rPr>
        <w:t>quince</w:t>
      </w:r>
      <w:r w:rsidR="006F3EF7" w:rsidRPr="0040616D">
        <w:rPr>
          <w:rFonts w:ascii="Palatino Linotype" w:hAnsi="Palatino Linotype" w:cs="Arial"/>
          <w:b/>
        </w:rPr>
        <w:t xml:space="preserve"> </w:t>
      </w:r>
      <w:r w:rsidR="008E34A5" w:rsidRPr="0040616D">
        <w:rPr>
          <w:rFonts w:ascii="Palatino Linotype" w:hAnsi="Palatino Linotype" w:cs="Arial"/>
          <w:b/>
        </w:rPr>
        <w:t xml:space="preserve">de </w:t>
      </w:r>
      <w:r w:rsidR="00D02221" w:rsidRPr="0040616D">
        <w:rPr>
          <w:rFonts w:ascii="Palatino Linotype" w:hAnsi="Palatino Linotype" w:cs="Arial"/>
          <w:b/>
        </w:rPr>
        <w:t>diciembre</w:t>
      </w:r>
      <w:r w:rsidR="00EF0CCB" w:rsidRPr="0040616D">
        <w:rPr>
          <w:rFonts w:ascii="Palatino Linotype" w:hAnsi="Palatino Linotype" w:cs="Arial"/>
          <w:b/>
        </w:rPr>
        <w:t xml:space="preserve"> </w:t>
      </w:r>
      <w:r w:rsidR="0001674C" w:rsidRPr="0040616D">
        <w:rPr>
          <w:rFonts w:ascii="Palatino Linotype" w:hAnsi="Palatino Linotype" w:cs="Arial"/>
          <w:b/>
        </w:rPr>
        <w:t xml:space="preserve">de dos mil </w:t>
      </w:r>
      <w:r w:rsidRPr="0040616D">
        <w:rPr>
          <w:rFonts w:ascii="Palatino Linotype" w:hAnsi="Palatino Linotype" w:cs="Arial"/>
          <w:b/>
        </w:rPr>
        <w:t>veintidós</w:t>
      </w:r>
      <w:r w:rsidR="00D02221" w:rsidRPr="0040616D">
        <w:rPr>
          <w:rFonts w:ascii="Palatino Linotype" w:hAnsi="Palatino Linotype" w:cs="Arial"/>
          <w:b/>
        </w:rPr>
        <w:t xml:space="preserve"> </w:t>
      </w:r>
      <w:r w:rsidR="00D02221" w:rsidRPr="0040616D">
        <w:rPr>
          <w:rFonts w:ascii="Palatino Linotype" w:hAnsi="Palatino Linotype" w:cs="Arial"/>
        </w:rPr>
        <w:t xml:space="preserve">al </w:t>
      </w:r>
      <w:r w:rsidR="00020FFF" w:rsidRPr="0040616D">
        <w:rPr>
          <w:rFonts w:ascii="Palatino Linotype" w:hAnsi="Palatino Linotype" w:cs="Arial"/>
          <w:b/>
        </w:rPr>
        <w:t>veinte de enero de dos mil veintitrés</w:t>
      </w:r>
      <w:r w:rsidR="0001674C" w:rsidRPr="0040616D">
        <w:rPr>
          <w:rFonts w:ascii="Palatino Linotype" w:hAnsi="Palatino Linotype" w:cs="Arial"/>
        </w:rPr>
        <w:t>; e</w:t>
      </w:r>
      <w:r w:rsidR="009F09BC" w:rsidRPr="0040616D">
        <w:rPr>
          <w:rFonts w:ascii="Palatino Linotype" w:hAnsi="Palatino Linotype" w:cs="Arial"/>
        </w:rPr>
        <w:t xml:space="preserve">n consecuencia, el ahora </w:t>
      </w:r>
      <w:r w:rsidR="009F09BC" w:rsidRPr="0040616D">
        <w:rPr>
          <w:rFonts w:ascii="Palatino Linotype" w:hAnsi="Palatino Linotype" w:cs="Arial"/>
          <w:b/>
        </w:rPr>
        <w:t>RECURRENTE</w:t>
      </w:r>
      <w:r w:rsidR="009F09BC" w:rsidRPr="0040616D">
        <w:rPr>
          <w:rFonts w:ascii="Palatino Linotype" w:hAnsi="Palatino Linotype" w:cs="Arial"/>
        </w:rPr>
        <w:t xml:space="preserve"> presentó </w:t>
      </w:r>
      <w:r w:rsidR="00CA1063" w:rsidRPr="0040616D">
        <w:rPr>
          <w:rFonts w:ascii="Palatino Linotype" w:hAnsi="Palatino Linotype" w:cs="Arial"/>
        </w:rPr>
        <w:t xml:space="preserve">su inconformidad el día </w:t>
      </w:r>
      <w:r w:rsidR="00020FFF" w:rsidRPr="0040616D">
        <w:rPr>
          <w:rFonts w:ascii="Palatino Linotype" w:hAnsi="Palatino Linotype" w:cs="Arial"/>
          <w:b/>
        </w:rPr>
        <w:t>veinte</w:t>
      </w:r>
      <w:r w:rsidR="00672571" w:rsidRPr="0040616D">
        <w:rPr>
          <w:rFonts w:ascii="Palatino Linotype" w:hAnsi="Palatino Linotype" w:cs="Arial"/>
          <w:b/>
        </w:rPr>
        <w:t xml:space="preserve"> de </w:t>
      </w:r>
      <w:r w:rsidR="00020FFF" w:rsidRPr="0040616D">
        <w:rPr>
          <w:rFonts w:ascii="Palatino Linotype" w:hAnsi="Palatino Linotype" w:cs="Arial"/>
          <w:b/>
        </w:rPr>
        <w:t>diciembre</w:t>
      </w:r>
      <w:r w:rsidR="00672571" w:rsidRPr="0040616D">
        <w:rPr>
          <w:rFonts w:ascii="Palatino Linotype" w:hAnsi="Palatino Linotype" w:cs="Arial"/>
          <w:b/>
        </w:rPr>
        <w:t xml:space="preserve"> de dos mil veintidós</w:t>
      </w:r>
      <w:r w:rsidR="00780124" w:rsidRPr="0040616D">
        <w:rPr>
          <w:rFonts w:ascii="Palatino Linotype" w:hAnsi="Palatino Linotype" w:cs="Arial"/>
        </w:rPr>
        <w:t xml:space="preserve">; es decir </w:t>
      </w:r>
      <w:r w:rsidR="00EF0CCB" w:rsidRPr="0040616D">
        <w:rPr>
          <w:rFonts w:ascii="Palatino Linotype" w:hAnsi="Palatino Linotype" w:cs="Arial"/>
        </w:rPr>
        <w:t>dentro d</w:t>
      </w:r>
      <w:r w:rsidR="00780124" w:rsidRPr="0040616D">
        <w:rPr>
          <w:rFonts w:ascii="Palatino Linotype" w:hAnsi="Palatino Linotype" w:cs="Arial"/>
        </w:rPr>
        <w:t>el plazo legalmente establecido para tal efecto.</w:t>
      </w:r>
    </w:p>
    <w:p w:rsidR="008E34A5" w:rsidRPr="0040616D" w:rsidRDefault="008E34A5" w:rsidP="008E34A5">
      <w:pPr>
        <w:pStyle w:val="Prrafodelista"/>
        <w:spacing w:line="360" w:lineRule="auto"/>
        <w:ind w:left="0"/>
        <w:jc w:val="both"/>
        <w:rPr>
          <w:rFonts w:ascii="Palatino Linotype" w:hAnsi="Palatino Linotype"/>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hAnsi="Palatino Linotype"/>
        </w:rPr>
        <w:t xml:space="preserve">Por </w:t>
      </w:r>
      <w:r w:rsidRPr="0040616D">
        <w:rPr>
          <w:rFonts w:ascii="Palatino Linotype" w:eastAsia="Calibri" w:hAnsi="Palatino Linotype" w:cs="Arial"/>
        </w:rPr>
        <w:t>otro</w:t>
      </w:r>
      <w:r w:rsidRPr="0040616D">
        <w:rPr>
          <w:rFonts w:ascii="Palatino Linotype" w:hAnsi="Palatino Linotype"/>
        </w:rPr>
        <w:t xml:space="preserve"> lado, </w:t>
      </w:r>
      <w:r w:rsidRPr="0040616D">
        <w:rPr>
          <w:rFonts w:ascii="Palatino Linotype" w:eastAsia="Calibri" w:hAnsi="Palatino Linotype" w:cs="Arial"/>
        </w:rPr>
        <w:t>es</w:t>
      </w:r>
      <w:r w:rsidRPr="0040616D">
        <w:rPr>
          <w:rFonts w:ascii="Palatino Linotype" w:eastAsia="Palatino Linotype" w:hAnsi="Palatino Linotype" w:cs="Palatino Linotype"/>
        </w:rPr>
        <w:t xml:space="preserve"> de suma importancia señalar que la parte recurrente no </w:t>
      </w:r>
      <w:r w:rsidRPr="0040616D">
        <w:rPr>
          <w:rFonts w:ascii="Palatino Linotype" w:eastAsia="Calibri" w:hAnsi="Palatino Linotype" w:cs="Arial"/>
        </w:rPr>
        <w:t>proporciona</w:t>
      </w:r>
      <w:r w:rsidRPr="0040616D">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lastRenderedPageBreak/>
        <w:t>"</w:t>
      </w:r>
      <w:r w:rsidRPr="0040616D">
        <w:rPr>
          <w:rFonts w:ascii="Palatino Linotype" w:eastAsia="Palatino Linotype" w:hAnsi="Palatino Linotype" w:cs="Palatino Linotype"/>
          <w:b/>
          <w:i/>
        </w:rPr>
        <w:t>Las solicitudes anónimas</w:t>
      </w:r>
      <w:r w:rsidRPr="0040616D">
        <w:rPr>
          <w:rFonts w:ascii="Palatino Linotype" w:eastAsia="Palatino Linotype" w:hAnsi="Palatino Linotype" w:cs="Palatino Linotype"/>
          <w:i/>
        </w:rPr>
        <w:t xml:space="preserve">, con nombre incompleto o seudónimo </w:t>
      </w:r>
      <w:r w:rsidRPr="0040616D">
        <w:rPr>
          <w:rFonts w:ascii="Palatino Linotype" w:eastAsia="Palatino Linotype" w:hAnsi="Palatino Linotype" w:cs="Palatino Linotype"/>
          <w:b/>
          <w:i/>
        </w:rPr>
        <w:t>serán procedentes para su trámite por parte del sujeto obligado ante quien se presente</w:t>
      </w:r>
      <w:r w:rsidRPr="0040616D">
        <w:rPr>
          <w:rFonts w:ascii="Palatino Linotype" w:eastAsia="Palatino Linotype" w:hAnsi="Palatino Linotype" w:cs="Palatino Linotype"/>
          <w:i/>
        </w:rPr>
        <w:t>. No podrá requerirse información adicional con motivo del nombre proporcionado por el solicitante."</w:t>
      </w:r>
    </w:p>
    <w:p w:rsidR="008E34A5" w:rsidRPr="0040616D" w:rsidRDefault="008E34A5" w:rsidP="008E34A5">
      <w:pPr>
        <w:spacing w:line="360" w:lineRule="auto"/>
        <w:jc w:val="both"/>
        <w:rPr>
          <w:rFonts w:ascii="Palatino Linotype" w:eastAsia="Palatino Linotype" w:hAnsi="Palatino Linotype" w:cs="Palatino Linotype"/>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hAnsi="Palatino Linotype"/>
        </w:rPr>
        <w:t>Robusteciendo</w:t>
      </w:r>
      <w:r w:rsidRPr="0040616D">
        <w:rPr>
          <w:rFonts w:ascii="Palatino Linotype" w:eastAsia="Palatino Linotype" w:hAnsi="Palatino Linotype" w:cs="Palatino Linotype"/>
        </w:rPr>
        <w:t xml:space="preserve"> lo anterior se encuentra lo dispuesto en el artículo 6, Apartado A, </w:t>
      </w:r>
      <w:r w:rsidRPr="0040616D">
        <w:rPr>
          <w:rFonts w:ascii="Palatino Linotype" w:hAnsi="Palatino Linotype"/>
        </w:rPr>
        <w:t>fracciones</w:t>
      </w:r>
      <w:r w:rsidRPr="0040616D">
        <w:rPr>
          <w:rFonts w:ascii="Palatino Linotype" w:eastAsia="Palatino Linotype" w:hAnsi="Palatino Linotype" w:cs="Palatino Linotype"/>
        </w:rPr>
        <w:t xml:space="preserve"> III de la Constitución Política de los Estados Unidos Mexicanos que establece:</w:t>
      </w:r>
    </w:p>
    <w:p w:rsidR="008E34A5" w:rsidRPr="0040616D" w:rsidRDefault="008E34A5" w:rsidP="008E34A5">
      <w:pPr>
        <w:spacing w:line="360" w:lineRule="auto"/>
        <w:ind w:right="474"/>
        <w:jc w:val="both"/>
        <w:rPr>
          <w:rFonts w:ascii="Palatino Linotype" w:eastAsia="Palatino Linotype" w:hAnsi="Palatino Linotype" w:cs="Palatino Linotype"/>
          <w:i/>
        </w:rPr>
      </w:pP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r w:rsidRPr="0040616D">
        <w:rPr>
          <w:rFonts w:ascii="Palatino Linotype" w:eastAsia="Palatino Linotype" w:hAnsi="Palatino Linotype" w:cs="Palatino Linotype"/>
          <w:b/>
          <w:i/>
        </w:rPr>
        <w:t>Artículo 6.-</w:t>
      </w:r>
      <w:r w:rsidRPr="0040616D">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Para efectos de lo dispuesto en el presente artículo se observará lo siguiente:</w:t>
      </w:r>
    </w:p>
    <w:p w:rsidR="008E34A5" w:rsidRPr="0040616D" w:rsidRDefault="008E34A5" w:rsidP="00020FFF">
      <w:pPr>
        <w:ind w:left="567" w:right="476"/>
        <w:jc w:val="both"/>
        <w:rPr>
          <w:rFonts w:ascii="Palatino Linotype" w:eastAsia="Palatino Linotype" w:hAnsi="Palatino Linotype" w:cs="Palatino Linotype"/>
          <w:i/>
        </w:rPr>
      </w:pP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8E34A5" w:rsidRPr="0040616D" w:rsidRDefault="008E34A5" w:rsidP="00020FFF">
      <w:pPr>
        <w:ind w:left="567" w:right="476"/>
        <w:jc w:val="both"/>
        <w:rPr>
          <w:rFonts w:ascii="Palatino Linotype" w:eastAsia="Palatino Linotype" w:hAnsi="Palatino Linotype" w:cs="Palatino Linotype"/>
          <w:i/>
        </w:rPr>
      </w:pP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w:t>
      </w:r>
      <w:r w:rsidR="00020FFF" w:rsidRPr="0040616D">
        <w:rPr>
          <w:rFonts w:ascii="Palatino Linotype" w:eastAsia="Palatino Linotype" w:hAnsi="Palatino Linotype" w:cs="Palatino Linotype"/>
          <w:i/>
        </w:rPr>
        <w:t>a rectificación de éstos.”</w:t>
      </w:r>
    </w:p>
    <w:p w:rsidR="008E34A5" w:rsidRPr="0040616D" w:rsidRDefault="008E34A5" w:rsidP="008E34A5">
      <w:pPr>
        <w:spacing w:line="360" w:lineRule="auto"/>
        <w:ind w:left="567" w:right="474"/>
        <w:jc w:val="both"/>
        <w:rPr>
          <w:rFonts w:ascii="Palatino Linotype" w:eastAsia="Palatino Linotype" w:hAnsi="Palatino Linotype" w:cs="Palatino Linotype"/>
          <w:i/>
        </w:rPr>
      </w:pPr>
    </w:p>
    <w:p w:rsidR="008E34A5" w:rsidRPr="0040616D" w:rsidRDefault="008E34A5" w:rsidP="00020FFF">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eastAsia="Palatino Linotype" w:hAnsi="Palatino Linotype" w:cs="Palatino Linotype"/>
        </w:rPr>
        <w:t xml:space="preserve">Así como el artículo 5 fracción III, párrafo vigésimo noveno, trigésimo y </w:t>
      </w:r>
      <w:r w:rsidRPr="0040616D">
        <w:rPr>
          <w:rFonts w:ascii="Palatino Linotype" w:hAnsi="Palatino Linotype"/>
        </w:rPr>
        <w:t>trigésimo</w:t>
      </w:r>
      <w:r w:rsidRPr="0040616D">
        <w:rPr>
          <w:rFonts w:ascii="Palatino Linotype" w:eastAsia="Palatino Linotype" w:hAnsi="Palatino Linotype" w:cs="Palatino Linotype"/>
        </w:rPr>
        <w:t xml:space="preserve"> primero, de la Constitución Política del Estado Libre y Soberano de México, que determina lo siguiente:</w:t>
      </w:r>
    </w:p>
    <w:p w:rsidR="000845EF" w:rsidRPr="0040616D" w:rsidRDefault="000845EF" w:rsidP="000845EF">
      <w:pPr>
        <w:pStyle w:val="Prrafodelista"/>
        <w:spacing w:line="360" w:lineRule="auto"/>
        <w:ind w:left="0"/>
        <w:jc w:val="both"/>
        <w:rPr>
          <w:rFonts w:ascii="Palatino Linotype" w:eastAsia="Palatino Linotype" w:hAnsi="Palatino Linotype" w:cs="Palatino Linotype"/>
        </w:rPr>
      </w:pP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r w:rsidRPr="0040616D">
        <w:rPr>
          <w:rFonts w:ascii="Palatino Linotype" w:eastAsia="Palatino Linotype" w:hAnsi="Palatino Linotype" w:cs="Palatino Linotype"/>
          <w:b/>
          <w:i/>
        </w:rPr>
        <w:t>Artículo 5.-</w:t>
      </w:r>
      <w:r w:rsidRPr="0040616D">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w:t>
      </w:r>
      <w:r w:rsidRPr="0040616D">
        <w:rPr>
          <w:rFonts w:ascii="Palatino Linotype" w:eastAsia="Palatino Linotype" w:hAnsi="Palatino Linotype" w:cs="Palatino Linotype"/>
          <w:i/>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8E34A5" w:rsidRPr="0040616D" w:rsidRDefault="008E34A5" w:rsidP="00020FFF">
      <w:pPr>
        <w:ind w:left="567"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p>
    <w:p w:rsidR="008E34A5" w:rsidRPr="0040616D" w:rsidRDefault="008E34A5" w:rsidP="00020FFF">
      <w:pPr>
        <w:ind w:left="426"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sidR="00020FFF" w:rsidRPr="0040616D">
        <w:rPr>
          <w:rFonts w:ascii="Palatino Linotype" w:eastAsia="Palatino Linotype" w:hAnsi="Palatino Linotype" w:cs="Palatino Linotype"/>
          <w:i/>
        </w:rPr>
        <w:t>os que establezca la ley.”</w:t>
      </w:r>
    </w:p>
    <w:p w:rsidR="00BC18CF" w:rsidRPr="0040616D" w:rsidRDefault="00BC18CF" w:rsidP="008E34A5">
      <w:pPr>
        <w:spacing w:line="360" w:lineRule="auto"/>
        <w:ind w:left="426" w:right="474"/>
        <w:jc w:val="both"/>
        <w:rPr>
          <w:rFonts w:ascii="Palatino Linotype" w:eastAsia="Palatino Linotype" w:hAnsi="Palatino Linotype" w:cs="Palatino Linotype"/>
          <w:i/>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eastAsia="Palatino Linotype" w:hAnsi="Palatino Linotype" w:cs="Palatino Linotype"/>
        </w:rPr>
        <w:t>Por otra parte, del contenido del artículo 1 de la Constitución Política de los Estados Unidos mexicanos, se destaca lo siguiente:</w:t>
      </w:r>
    </w:p>
    <w:p w:rsidR="000845EF" w:rsidRPr="0040616D" w:rsidRDefault="000845EF" w:rsidP="000845EF">
      <w:pPr>
        <w:pStyle w:val="Prrafodelista"/>
        <w:spacing w:line="360" w:lineRule="auto"/>
        <w:ind w:left="0"/>
        <w:jc w:val="both"/>
        <w:rPr>
          <w:rFonts w:ascii="Palatino Linotype" w:eastAsia="Palatino Linotype" w:hAnsi="Palatino Linotype" w:cs="Palatino Linotype"/>
        </w:rPr>
      </w:pPr>
    </w:p>
    <w:p w:rsidR="008E34A5" w:rsidRPr="0040616D" w:rsidRDefault="008E34A5" w:rsidP="00020FFF">
      <w:pPr>
        <w:ind w:left="425"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w:t>
      </w:r>
      <w:r w:rsidRPr="0040616D">
        <w:rPr>
          <w:rFonts w:ascii="Palatino Linotype" w:eastAsia="Palatino Linotype" w:hAnsi="Palatino Linotype" w:cs="Palatino Linotype"/>
          <w:b/>
          <w:i/>
        </w:rPr>
        <w:t>Artículo 1</w:t>
      </w:r>
      <w:r w:rsidRPr="0040616D">
        <w:rPr>
          <w:rFonts w:ascii="Palatino Linotype" w:eastAsia="Palatino Linotype" w:hAnsi="Palatino Linotype" w:cs="Palatino Linotype"/>
          <w:i/>
        </w:rPr>
        <w:t xml:space="preserve">. En los Estados Unidos Mexicanos todas las personas gozarán de los derechos humanos reconocidos en esta Constitución y en los tratados  </w:t>
      </w:r>
      <w:r w:rsidRPr="0040616D">
        <w:rPr>
          <w:rFonts w:ascii="Palatino Linotype" w:eastAsia="Palatino Linotype" w:hAnsi="Palatino Linotype" w:cs="Palatino Linotype"/>
          <w:i/>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8E34A5" w:rsidRPr="0040616D" w:rsidRDefault="008E34A5" w:rsidP="00020FFF">
      <w:pPr>
        <w:ind w:left="425"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8E34A5" w:rsidRPr="0040616D" w:rsidRDefault="008E34A5" w:rsidP="00020FFF">
      <w:pPr>
        <w:ind w:left="425" w:right="476"/>
        <w:jc w:val="both"/>
        <w:rPr>
          <w:rFonts w:ascii="Palatino Linotype" w:eastAsia="Palatino Linotype" w:hAnsi="Palatino Linotype" w:cs="Palatino Linotype"/>
          <w:i/>
        </w:rPr>
      </w:pPr>
      <w:r w:rsidRPr="0040616D">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w:t>
      </w:r>
      <w:r w:rsidR="00020FFF" w:rsidRPr="0040616D">
        <w:rPr>
          <w:rFonts w:ascii="Palatino Linotype" w:eastAsia="Palatino Linotype" w:hAnsi="Palatino Linotype" w:cs="Palatino Linotype"/>
          <w:i/>
        </w:rPr>
        <w:t>nos que establezca la ley."</w:t>
      </w:r>
    </w:p>
    <w:p w:rsidR="00020FFF" w:rsidRPr="0040616D" w:rsidRDefault="00020FFF" w:rsidP="00020FFF">
      <w:pPr>
        <w:ind w:left="425" w:right="476"/>
        <w:jc w:val="both"/>
        <w:rPr>
          <w:rFonts w:ascii="Palatino Linotype" w:eastAsia="Palatino Linotype" w:hAnsi="Palatino Linotype" w:cs="Palatino Linotype"/>
          <w:i/>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40616D">
        <w:rPr>
          <w:rFonts w:ascii="Palatino Linotype" w:eastAsia="Palatino Linotype" w:hAnsi="Palatino Linotype" w:cs="Palatino Linotype"/>
          <w:i/>
        </w:rPr>
        <w:t>derecho fundamental exime a quien lo ejerce</w:t>
      </w:r>
      <w:r w:rsidRPr="0040616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C18CF" w:rsidRPr="0040616D" w:rsidRDefault="00BC18CF" w:rsidP="00BC18CF">
      <w:pPr>
        <w:pStyle w:val="Prrafodelista"/>
        <w:spacing w:line="360" w:lineRule="auto"/>
        <w:ind w:left="0"/>
        <w:jc w:val="both"/>
        <w:rPr>
          <w:rFonts w:ascii="Palatino Linotype" w:eastAsia="Palatino Linotype" w:hAnsi="Palatino Linotype" w:cs="Palatino Linotype"/>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E34A5" w:rsidRPr="0040616D" w:rsidRDefault="008E34A5" w:rsidP="008E34A5">
      <w:pPr>
        <w:spacing w:line="360" w:lineRule="auto"/>
        <w:jc w:val="both"/>
        <w:rPr>
          <w:rFonts w:ascii="Palatino Linotype" w:eastAsia="Palatino Linotype" w:hAnsi="Palatino Linotype" w:cs="Palatino Linotype"/>
        </w:rPr>
      </w:pPr>
    </w:p>
    <w:p w:rsidR="008E34A5" w:rsidRPr="0040616D" w:rsidRDefault="008E34A5" w:rsidP="00020FFF">
      <w:pPr>
        <w:ind w:left="567" w:right="760"/>
        <w:jc w:val="both"/>
        <w:rPr>
          <w:rFonts w:ascii="Palatino Linotype" w:eastAsia="Palatino Linotype" w:hAnsi="Palatino Linotype" w:cs="Palatino Linotype"/>
          <w:i/>
        </w:rPr>
      </w:pPr>
      <w:r w:rsidRPr="0040616D">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w:t>
      </w:r>
      <w:r w:rsidRPr="0040616D">
        <w:rPr>
          <w:rFonts w:ascii="Palatino Linotype" w:eastAsia="Palatino Linotype" w:hAnsi="Palatino Linotype" w:cs="Palatino Linotype"/>
          <w:i/>
        </w:rPr>
        <w:lastRenderedPageBreak/>
        <w:t>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w:t>
      </w:r>
      <w:r w:rsidR="00020FFF" w:rsidRPr="0040616D">
        <w:rPr>
          <w:rFonts w:ascii="Palatino Linotype" w:eastAsia="Palatino Linotype" w:hAnsi="Palatino Linotype" w:cs="Palatino Linotype"/>
          <w:i/>
        </w:rPr>
        <w:t>el recibo correspondiente.”</w:t>
      </w:r>
    </w:p>
    <w:p w:rsidR="008E34A5" w:rsidRPr="0040616D" w:rsidRDefault="008E34A5" w:rsidP="008E34A5">
      <w:pPr>
        <w:spacing w:line="360" w:lineRule="auto"/>
        <w:ind w:left="851" w:right="758"/>
        <w:jc w:val="both"/>
        <w:rPr>
          <w:rFonts w:ascii="Palatino Linotype" w:eastAsia="Palatino Linotype" w:hAnsi="Palatino Linotype" w:cs="Palatino Linotype"/>
          <w:i/>
        </w:rPr>
      </w:pPr>
    </w:p>
    <w:p w:rsidR="008E34A5" w:rsidRPr="0040616D"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40616D">
        <w:rPr>
          <w:rFonts w:ascii="Palatino Linotype" w:eastAsia="Palatino Linotype" w:hAnsi="Palatino Linotype" w:cs="Palatino Linotype"/>
        </w:rPr>
        <w:t xml:space="preserve">En consecuencia, dado lo expuesto y fundado con anterioridad, se estima que el requisito relativo al nombre del </w:t>
      </w:r>
      <w:r w:rsidRPr="0040616D">
        <w:rPr>
          <w:rFonts w:ascii="Palatino Linotype" w:eastAsia="Palatino Linotype" w:hAnsi="Palatino Linotype" w:cs="Palatino Linotype"/>
          <w:b/>
        </w:rPr>
        <w:t>RECURRENTE</w:t>
      </w:r>
      <w:r w:rsidRPr="0040616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E34A5" w:rsidRPr="0040616D" w:rsidRDefault="008E34A5" w:rsidP="008E34A5">
      <w:pPr>
        <w:pStyle w:val="Prrafodelista"/>
        <w:spacing w:line="360" w:lineRule="auto"/>
        <w:ind w:left="0"/>
        <w:jc w:val="both"/>
        <w:rPr>
          <w:rFonts w:ascii="Palatino Linotype" w:hAnsi="Palatino Linotype"/>
        </w:rPr>
      </w:pPr>
    </w:p>
    <w:p w:rsidR="00E57A52" w:rsidRPr="0040616D" w:rsidRDefault="00E57A52" w:rsidP="00B7267C">
      <w:pPr>
        <w:pStyle w:val="Prrafodelista"/>
        <w:numPr>
          <w:ilvl w:val="0"/>
          <w:numId w:val="1"/>
        </w:numPr>
        <w:spacing w:line="360" w:lineRule="auto"/>
        <w:ind w:left="0" w:firstLine="0"/>
        <w:jc w:val="both"/>
        <w:rPr>
          <w:rFonts w:ascii="Palatino Linotype" w:hAnsi="Palatino Linotype"/>
        </w:rPr>
      </w:pPr>
      <w:r w:rsidRPr="0040616D">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de Transparencia, Acceso a la Información Pública y Protección de Datos </w:t>
      </w:r>
      <w:r w:rsidRPr="0040616D">
        <w:rPr>
          <w:rFonts w:ascii="Palatino Linotype" w:eastAsia="Calibri" w:hAnsi="Palatino Linotype" w:cs="Arial"/>
        </w:rPr>
        <w:lastRenderedPageBreak/>
        <w:t>Personales del Estado de México y Municipios, conozca y resuelva el presente recurso.</w:t>
      </w:r>
    </w:p>
    <w:p w:rsidR="00CF0D2B" w:rsidRPr="0040616D" w:rsidRDefault="00CF0D2B" w:rsidP="00A1757E">
      <w:pPr>
        <w:spacing w:line="360" w:lineRule="auto"/>
        <w:rPr>
          <w:rFonts w:ascii="Palatino Linotype" w:hAnsi="Palatino Linotype"/>
        </w:rPr>
      </w:pPr>
    </w:p>
    <w:p w:rsidR="009F09BC" w:rsidRPr="0040616D" w:rsidRDefault="00A1757E" w:rsidP="00855290">
      <w:pPr>
        <w:pStyle w:val="Ttulo1"/>
        <w:spacing w:before="0" w:line="360" w:lineRule="auto"/>
        <w:rPr>
          <w:rFonts w:ascii="Palatino Linotype" w:hAnsi="Palatino Linotype"/>
          <w:b/>
          <w:color w:val="000000" w:themeColor="text1"/>
          <w:sz w:val="24"/>
          <w:szCs w:val="24"/>
        </w:rPr>
      </w:pPr>
      <w:bookmarkStart w:id="139" w:name="_Toc87274189"/>
      <w:r w:rsidRPr="0040616D">
        <w:rPr>
          <w:rFonts w:ascii="Palatino Linotype" w:hAnsi="Palatino Linotype" w:cs="Arial"/>
          <w:b/>
          <w:color w:val="000000" w:themeColor="text1"/>
          <w:sz w:val="24"/>
        </w:rPr>
        <w:t xml:space="preserve">TERCERO. </w:t>
      </w:r>
      <w:bookmarkStart w:id="140" w:name="_Toc34246179"/>
      <w:bookmarkStart w:id="141" w:name="_Toc50033991"/>
      <w:bookmarkStart w:id="142" w:name="_Toc51259588"/>
      <w:bookmarkStart w:id="143" w:name="_Toc83128581"/>
      <w:bookmarkStart w:id="144" w:name="_Toc501021589"/>
      <w:bookmarkEnd w:id="139"/>
      <w:r w:rsidR="009F09BC" w:rsidRPr="0040616D">
        <w:rPr>
          <w:rFonts w:ascii="Palatino Linotype" w:hAnsi="Palatino Linotype"/>
          <w:b/>
          <w:color w:val="000000" w:themeColor="text1"/>
          <w:sz w:val="24"/>
          <w:szCs w:val="24"/>
        </w:rPr>
        <w:t xml:space="preserve">Del planteamiento de la </w:t>
      </w:r>
      <w:r w:rsidR="009F09BC" w:rsidRPr="0040616D">
        <w:rPr>
          <w:rFonts w:ascii="Palatino Linotype" w:hAnsi="Palatino Linotype"/>
          <w:b/>
          <w:i/>
          <w:color w:val="000000" w:themeColor="text1"/>
          <w:sz w:val="24"/>
          <w:szCs w:val="24"/>
        </w:rPr>
        <w:t>Litis</w:t>
      </w:r>
      <w:r w:rsidR="009F09BC" w:rsidRPr="0040616D">
        <w:rPr>
          <w:rFonts w:ascii="Palatino Linotype" w:hAnsi="Palatino Linotype"/>
          <w:b/>
          <w:color w:val="000000" w:themeColor="text1"/>
          <w:sz w:val="24"/>
          <w:szCs w:val="24"/>
        </w:rPr>
        <w:t>.</w:t>
      </w:r>
      <w:bookmarkEnd w:id="140"/>
      <w:bookmarkEnd w:id="141"/>
      <w:bookmarkEnd w:id="142"/>
      <w:bookmarkEnd w:id="143"/>
      <w:bookmarkEnd w:id="144"/>
    </w:p>
    <w:p w:rsidR="009F09BC" w:rsidRPr="0040616D" w:rsidRDefault="009F09BC" w:rsidP="00855290">
      <w:pPr>
        <w:spacing w:line="360" w:lineRule="auto"/>
        <w:rPr>
          <w:rFonts w:ascii="Palatino Linotype" w:hAnsi="Palatino Linotype"/>
          <w:lang w:val="es-MX" w:eastAsia="en-US"/>
        </w:rPr>
      </w:pPr>
    </w:p>
    <w:p w:rsidR="009F09BC" w:rsidRPr="0040616D" w:rsidRDefault="009F09BC" w:rsidP="00B7267C">
      <w:pPr>
        <w:pStyle w:val="Prrafodelista"/>
        <w:numPr>
          <w:ilvl w:val="0"/>
          <w:numId w:val="1"/>
        </w:numPr>
        <w:spacing w:line="360" w:lineRule="auto"/>
        <w:ind w:left="0" w:firstLine="0"/>
        <w:jc w:val="both"/>
        <w:rPr>
          <w:rFonts w:ascii="Palatino Linotype" w:hAnsi="Palatino Linotype" w:cs="Arial"/>
        </w:rPr>
      </w:pPr>
      <w:r w:rsidRPr="0040616D">
        <w:rPr>
          <w:rFonts w:ascii="Palatino Linotype" w:hAnsi="Palatino Linotype" w:cs="Arial"/>
        </w:rPr>
        <w:t xml:space="preserve">Se </w:t>
      </w:r>
      <w:r w:rsidRPr="0040616D">
        <w:rPr>
          <w:rFonts w:ascii="Palatino Linotype" w:hAnsi="Palatino Linotype"/>
        </w:rPr>
        <w:t>solicitó</w:t>
      </w:r>
      <w:r w:rsidRPr="0040616D">
        <w:rPr>
          <w:rFonts w:ascii="Palatino Linotype" w:hAnsi="Palatino Linotype" w:cs="Arial"/>
        </w:rPr>
        <w:t xml:space="preserve"> </w:t>
      </w:r>
      <w:r w:rsidR="00AD63B4" w:rsidRPr="0040616D">
        <w:rPr>
          <w:rFonts w:ascii="Palatino Linotype" w:hAnsi="Palatino Linotype" w:cs="Arial"/>
        </w:rPr>
        <w:t>tener acceso,</w:t>
      </w:r>
      <w:r w:rsidR="008E34A5" w:rsidRPr="0040616D">
        <w:rPr>
          <w:rFonts w:ascii="Palatino Linotype" w:hAnsi="Palatino Linotype" w:cs="Arial"/>
        </w:rPr>
        <w:t xml:space="preserve"> al soporte documental donde conste o se advierta</w:t>
      </w:r>
      <w:r w:rsidR="00AD63B4" w:rsidRPr="0040616D">
        <w:rPr>
          <w:rFonts w:ascii="Palatino Linotype" w:hAnsi="Palatino Linotype" w:cs="Arial"/>
        </w:rPr>
        <w:t xml:space="preserve"> la</w:t>
      </w:r>
      <w:r w:rsidR="008E34A5" w:rsidRPr="0040616D">
        <w:rPr>
          <w:rFonts w:ascii="Palatino Linotype" w:hAnsi="Palatino Linotype" w:cs="Arial"/>
        </w:rPr>
        <w:t xml:space="preserve"> siguiente</w:t>
      </w:r>
      <w:r w:rsidR="00AD63B4" w:rsidRPr="0040616D">
        <w:rPr>
          <w:rFonts w:ascii="Palatino Linotype" w:hAnsi="Palatino Linotype" w:cs="Arial"/>
        </w:rPr>
        <w:t xml:space="preserve"> </w:t>
      </w:r>
      <w:r w:rsidRPr="0040616D">
        <w:rPr>
          <w:rFonts w:ascii="Palatino Linotype" w:hAnsi="Palatino Linotype" w:cs="Arial"/>
        </w:rPr>
        <w:t>información que a continuación se desagrega:</w:t>
      </w:r>
    </w:p>
    <w:p w:rsidR="009F09BC" w:rsidRPr="0040616D" w:rsidRDefault="009F09BC" w:rsidP="00855290">
      <w:pPr>
        <w:pStyle w:val="Prrafodelista"/>
        <w:spacing w:line="360" w:lineRule="auto"/>
        <w:ind w:left="0"/>
        <w:jc w:val="both"/>
        <w:rPr>
          <w:rFonts w:ascii="Palatino Linotype" w:hAnsi="Palatino Linotype" w:cs="Arial"/>
        </w:rPr>
      </w:pPr>
    </w:p>
    <w:p w:rsidR="00BC18CF" w:rsidRPr="0040616D" w:rsidRDefault="00A2738F" w:rsidP="00A2738F">
      <w:pPr>
        <w:pStyle w:val="Prrafodelista"/>
        <w:numPr>
          <w:ilvl w:val="0"/>
          <w:numId w:val="6"/>
        </w:numPr>
        <w:spacing w:line="360" w:lineRule="auto"/>
        <w:jc w:val="both"/>
        <w:rPr>
          <w:rFonts w:ascii="Palatino Linotype" w:hAnsi="Palatino Linotype" w:cs="Arial"/>
        </w:rPr>
      </w:pPr>
      <w:r w:rsidRPr="0040616D">
        <w:rPr>
          <w:rFonts w:ascii="Palatino Linotype" w:hAnsi="Palatino Linotype" w:cs="Arial"/>
        </w:rPr>
        <w:t xml:space="preserve">Convenios que la Procuraduría de Protección al Ambiente del Estado de México ha firmado mediante el programa </w:t>
      </w:r>
      <w:r w:rsidRPr="0040616D">
        <w:rPr>
          <w:rFonts w:ascii="Palatino Linotype" w:hAnsi="Palatino Linotype" w:cs="Arial"/>
          <w:i/>
        </w:rPr>
        <w:t>“Compensadores Ambientales”</w:t>
      </w:r>
      <w:r w:rsidRPr="0040616D">
        <w:rPr>
          <w:rFonts w:ascii="Palatino Linotype" w:hAnsi="Palatino Linotype" w:cs="Arial"/>
        </w:rPr>
        <w:t xml:space="preserve"> del 1 enero de 2015 al 23 de noviembre de 2022.</w:t>
      </w:r>
    </w:p>
    <w:p w:rsidR="00BC18CF" w:rsidRPr="0040616D" w:rsidRDefault="00BC18CF" w:rsidP="00855290">
      <w:pPr>
        <w:pStyle w:val="Prrafodelista"/>
        <w:spacing w:line="360" w:lineRule="auto"/>
        <w:rPr>
          <w:rFonts w:ascii="Palatino Linotype" w:hAnsi="Palatino Linotype" w:cs="Arial"/>
          <w:b/>
        </w:rPr>
      </w:pPr>
    </w:p>
    <w:p w:rsidR="00780124" w:rsidRPr="0040616D" w:rsidRDefault="006F3EF7" w:rsidP="0096209D">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En respuesta, el </w:t>
      </w:r>
      <w:r w:rsidRPr="0040616D">
        <w:rPr>
          <w:rFonts w:ascii="Palatino Linotype" w:hAnsi="Palatino Linotype" w:cs="Arial"/>
          <w:b/>
        </w:rPr>
        <w:t>SUJETO OBLIGADO</w:t>
      </w:r>
      <w:r w:rsidRPr="0040616D">
        <w:rPr>
          <w:rFonts w:ascii="Palatino Linotype" w:hAnsi="Palatino Linotype" w:cs="Arial"/>
        </w:rPr>
        <w:t xml:space="preserve"> </w:t>
      </w:r>
      <w:r w:rsidR="00A2738F" w:rsidRPr="0040616D">
        <w:rPr>
          <w:rFonts w:ascii="Palatino Linotype" w:hAnsi="Palatino Linotype" w:cs="Arial"/>
        </w:rPr>
        <w:t>clasificó la información por estar contenida en expedientes seguidos en forma de juicio que no han causado estado</w:t>
      </w:r>
      <w:r w:rsidR="00E54AAE" w:rsidRPr="0040616D">
        <w:rPr>
          <w:rFonts w:ascii="Palatino Linotype" w:hAnsi="Palatino Linotype" w:cs="Arial"/>
        </w:rPr>
        <w:t xml:space="preserve">; </w:t>
      </w:r>
      <w:r w:rsidR="00A2738F" w:rsidRPr="0040616D">
        <w:rPr>
          <w:rFonts w:ascii="Palatino Linotype" w:hAnsi="Palatino Linotype" w:cs="Arial"/>
        </w:rPr>
        <w:t>inconforme</w:t>
      </w:r>
      <w:r w:rsidR="006F6482" w:rsidRPr="0040616D">
        <w:rPr>
          <w:rFonts w:ascii="Palatino Linotype" w:hAnsi="Palatino Linotype" w:cs="Arial"/>
        </w:rPr>
        <w:t>,</w:t>
      </w:r>
      <w:r w:rsidR="00E54AAE" w:rsidRPr="0040616D">
        <w:rPr>
          <w:rFonts w:ascii="Palatino Linotype" w:hAnsi="Palatino Linotype" w:cs="Arial"/>
        </w:rPr>
        <w:t xml:space="preserve"> </w:t>
      </w:r>
      <w:r w:rsidR="009F09BC" w:rsidRPr="0040616D">
        <w:rPr>
          <w:rFonts w:ascii="Palatino Linotype" w:hAnsi="Palatino Linotype" w:cs="Arial"/>
          <w:b/>
        </w:rPr>
        <w:t>EL PARTICULAR</w:t>
      </w:r>
      <w:r w:rsidR="00112D7E" w:rsidRPr="0040616D">
        <w:rPr>
          <w:rFonts w:ascii="Palatino Linotype" w:hAnsi="Palatino Linotype" w:cs="Arial"/>
          <w:b/>
        </w:rPr>
        <w:t>,</w:t>
      </w:r>
      <w:r w:rsidR="009F09BC" w:rsidRPr="0040616D">
        <w:rPr>
          <w:rFonts w:ascii="Palatino Linotype" w:hAnsi="Palatino Linotype" w:cs="Arial"/>
          <w:b/>
        </w:rPr>
        <w:t xml:space="preserve"> </w:t>
      </w:r>
      <w:r w:rsidR="00402466" w:rsidRPr="0040616D">
        <w:rPr>
          <w:rFonts w:ascii="Palatino Linotype" w:hAnsi="Palatino Linotype" w:cs="Arial"/>
        </w:rPr>
        <w:t>interpuso recurso de revisión</w:t>
      </w:r>
      <w:r w:rsidR="009F09BC" w:rsidRPr="0040616D">
        <w:rPr>
          <w:rFonts w:ascii="Palatino Linotype" w:hAnsi="Palatino Linotype" w:cs="Arial"/>
        </w:rPr>
        <w:t xml:space="preserve">, </w:t>
      </w:r>
      <w:r w:rsidR="00A2738F" w:rsidRPr="0040616D">
        <w:rPr>
          <w:rFonts w:ascii="Palatino Linotype" w:hAnsi="Palatino Linotype" w:cs="Arial"/>
        </w:rPr>
        <w:t xml:space="preserve">en contra de la respuesta </w:t>
      </w:r>
      <w:r w:rsidR="00402466" w:rsidRPr="0040616D">
        <w:rPr>
          <w:rFonts w:ascii="Palatino Linotype" w:hAnsi="Palatino Linotype" w:cs="Arial"/>
        </w:rPr>
        <w:t>señalando</w:t>
      </w:r>
      <w:r w:rsidR="009F09BC" w:rsidRPr="0040616D">
        <w:rPr>
          <w:rFonts w:ascii="Palatino Linotype" w:hAnsi="Palatino Linotype" w:cs="Arial"/>
        </w:rPr>
        <w:t xml:space="preserve"> </w:t>
      </w:r>
      <w:r w:rsidR="00CF0D2B" w:rsidRPr="0040616D">
        <w:rPr>
          <w:rFonts w:ascii="Palatino Linotype" w:hAnsi="Palatino Linotype" w:cs="Arial"/>
          <w:i/>
        </w:rPr>
        <w:t>grosso modo</w:t>
      </w:r>
      <w:r w:rsidR="00780124" w:rsidRPr="0040616D">
        <w:rPr>
          <w:rFonts w:ascii="Palatino Linotype" w:hAnsi="Palatino Linotype" w:cs="Arial"/>
        </w:rPr>
        <w:t xml:space="preserve">, </w:t>
      </w:r>
      <w:r w:rsidR="00A2738F" w:rsidRPr="0040616D">
        <w:rPr>
          <w:rFonts w:ascii="Palatino Linotype" w:hAnsi="Palatino Linotype" w:cs="Arial"/>
        </w:rPr>
        <w:t>la negativa a la entrega de la información</w:t>
      </w:r>
      <w:r w:rsidR="00846C1E" w:rsidRPr="0040616D">
        <w:rPr>
          <w:rFonts w:ascii="Palatino Linotype" w:hAnsi="Palatino Linotype" w:cs="Arial"/>
        </w:rPr>
        <w:t>.</w:t>
      </w:r>
    </w:p>
    <w:p w:rsidR="00846C1E" w:rsidRPr="0040616D" w:rsidRDefault="00846C1E" w:rsidP="00846C1E">
      <w:pPr>
        <w:spacing w:line="360" w:lineRule="auto"/>
        <w:contextualSpacing/>
        <w:jc w:val="both"/>
        <w:rPr>
          <w:rFonts w:ascii="Palatino Linotype" w:hAnsi="Palatino Linotype" w:cs="Arial"/>
        </w:rPr>
      </w:pPr>
    </w:p>
    <w:p w:rsidR="009F09BC" w:rsidRPr="0040616D" w:rsidRDefault="009F09BC" w:rsidP="00B7267C">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En </w:t>
      </w:r>
      <w:r w:rsidRPr="0040616D">
        <w:rPr>
          <w:rFonts w:ascii="Palatino Linotype" w:hAnsi="Palatino Linotype" w:cs="Arial"/>
          <w:lang w:eastAsia="es-MX"/>
        </w:rPr>
        <w:t>dichas</w:t>
      </w:r>
      <w:r w:rsidRPr="0040616D">
        <w:rPr>
          <w:rFonts w:ascii="Palatino Linotype" w:eastAsia="Times New Roman" w:hAnsi="Palatino Linotype" w:cs="Arial"/>
        </w:rPr>
        <w:t xml:space="preserve"> condiciones, la </w:t>
      </w:r>
      <w:r w:rsidRPr="0040616D">
        <w:rPr>
          <w:rFonts w:ascii="Palatino Linotype" w:eastAsia="Times New Roman" w:hAnsi="Palatino Linotype" w:cs="Arial"/>
          <w:i/>
        </w:rPr>
        <w:t>Litis</w:t>
      </w:r>
      <w:r w:rsidRPr="0040616D">
        <w:rPr>
          <w:rFonts w:ascii="Palatino Linotype" w:eastAsia="Times New Roman" w:hAnsi="Palatino Linotype" w:cs="Arial"/>
        </w:rPr>
        <w:t xml:space="preserve"> a resolver en este recurso se circunscribe a </w:t>
      </w:r>
      <w:r w:rsidRPr="0040616D">
        <w:rPr>
          <w:rFonts w:ascii="Palatino Linotype" w:hAnsi="Palatino Linotype" w:cs="Arial"/>
        </w:rPr>
        <w:t>determinar</w:t>
      </w:r>
      <w:r w:rsidRPr="0040616D">
        <w:rPr>
          <w:rFonts w:ascii="Palatino Linotype" w:eastAsia="Times New Roman" w:hAnsi="Palatino Linotype" w:cs="Arial"/>
        </w:rPr>
        <w:t xml:space="preserve"> </w:t>
      </w:r>
      <w:r w:rsidRPr="0040616D">
        <w:rPr>
          <w:rFonts w:ascii="Palatino Linotype" w:hAnsi="Palatino Linotype" w:cs="Arial"/>
        </w:rPr>
        <w:t>si</w:t>
      </w:r>
      <w:r w:rsidRPr="0040616D">
        <w:rPr>
          <w:rFonts w:ascii="Palatino Linotype" w:eastAsia="Times New Roman" w:hAnsi="Palatino Linotype" w:cs="Arial"/>
        </w:rPr>
        <w:t xml:space="preserve"> </w:t>
      </w:r>
      <w:r w:rsidR="009A1604" w:rsidRPr="0040616D">
        <w:rPr>
          <w:rFonts w:ascii="Palatino Linotype" w:eastAsia="MS Mincho" w:hAnsi="Palatino Linotype" w:cs="Arial"/>
        </w:rPr>
        <w:t>se actualizan la causal</w:t>
      </w:r>
      <w:r w:rsidRPr="0040616D">
        <w:rPr>
          <w:rFonts w:ascii="Palatino Linotype" w:eastAsia="MS Mincho" w:hAnsi="Palatino Linotype" w:cs="Arial"/>
        </w:rPr>
        <w:t xml:space="preserve"> de procedencia prevista en el artículo 179, fracción </w:t>
      </w:r>
      <w:r w:rsidR="00A2738F" w:rsidRPr="0040616D">
        <w:rPr>
          <w:rFonts w:ascii="Palatino Linotype" w:eastAsia="MS Mincho" w:hAnsi="Palatino Linotype" w:cs="Arial"/>
          <w:b/>
        </w:rPr>
        <w:t>l</w:t>
      </w:r>
      <w:r w:rsidR="001C0503" w:rsidRPr="0040616D">
        <w:rPr>
          <w:rFonts w:ascii="Palatino Linotype" w:eastAsia="MS Mincho" w:hAnsi="Palatino Linotype" w:cs="Arial"/>
        </w:rPr>
        <w:t xml:space="preserve"> </w:t>
      </w:r>
      <w:r w:rsidRPr="0040616D">
        <w:rPr>
          <w:rFonts w:ascii="Palatino Linotype" w:eastAsia="MS Mincho" w:hAnsi="Palatino Linotype" w:cs="Arial"/>
        </w:rPr>
        <w:t xml:space="preserve">de la </w:t>
      </w:r>
      <w:r w:rsidRPr="0040616D">
        <w:rPr>
          <w:rFonts w:ascii="Palatino Linotype" w:eastAsia="MS Mincho" w:hAnsi="Palatino Linotype" w:cs="Arial"/>
          <w:b/>
        </w:rPr>
        <w:t>Ley de Transparencia y Acceso a la Información Pública del Estado de México y Municipios</w:t>
      </w:r>
      <w:r w:rsidRPr="0040616D">
        <w:rPr>
          <w:rFonts w:ascii="Palatino Linotype" w:eastAsia="MS Mincho" w:hAnsi="Palatino Linotype" w:cs="Arial"/>
        </w:rPr>
        <w:t xml:space="preserve">; </w:t>
      </w:r>
      <w:r w:rsidR="009A1604" w:rsidRPr="0040616D">
        <w:rPr>
          <w:rFonts w:ascii="Palatino Linotype" w:eastAsia="Times New Roman" w:hAnsi="Palatino Linotype" w:cs="Arial"/>
          <w:color w:val="000000" w:themeColor="text1"/>
          <w:lang w:val="es-ES" w:eastAsia="es-MX"/>
        </w:rPr>
        <w:t>fracción</w:t>
      </w:r>
      <w:r w:rsidRPr="0040616D">
        <w:rPr>
          <w:rFonts w:ascii="Palatino Linotype" w:eastAsia="Times New Roman" w:hAnsi="Palatino Linotype" w:cs="Arial"/>
          <w:color w:val="000000" w:themeColor="text1"/>
          <w:lang w:val="es-ES" w:eastAsia="es-MX"/>
        </w:rPr>
        <w:t xml:space="preserve"> que determina </w:t>
      </w:r>
      <w:r w:rsidR="009A1604" w:rsidRPr="0040616D">
        <w:rPr>
          <w:rFonts w:ascii="Palatino Linotype" w:eastAsia="Times New Roman" w:hAnsi="Palatino Linotype" w:cs="Arial"/>
          <w:color w:val="000000" w:themeColor="text1"/>
          <w:lang w:val="es-ES" w:eastAsia="es-MX"/>
        </w:rPr>
        <w:t>la hipótesis jurídica</w:t>
      </w:r>
      <w:r w:rsidRPr="0040616D">
        <w:rPr>
          <w:rFonts w:ascii="Palatino Linotype" w:eastAsia="Times New Roman" w:hAnsi="Palatino Linotype" w:cs="Arial"/>
          <w:color w:val="000000" w:themeColor="text1"/>
          <w:lang w:val="es-ES" w:eastAsia="es-MX"/>
        </w:rPr>
        <w:t xml:space="preserve"> </w:t>
      </w:r>
      <w:r w:rsidR="00A2738F" w:rsidRPr="0040616D">
        <w:rPr>
          <w:rFonts w:ascii="Palatino Linotype" w:eastAsia="Times New Roman" w:hAnsi="Palatino Linotype" w:cs="Arial"/>
          <w:color w:val="000000" w:themeColor="text1"/>
          <w:lang w:val="es-ES" w:eastAsia="es-MX"/>
        </w:rPr>
        <w:t>relativa a la negativa a la información solicitada</w:t>
      </w:r>
      <w:r w:rsidRPr="0040616D">
        <w:rPr>
          <w:rFonts w:ascii="Palatino Linotype" w:eastAsia="Times New Roman" w:hAnsi="Palatino Linotype" w:cs="Arial"/>
          <w:color w:val="000000" w:themeColor="text1"/>
          <w:lang w:val="es-ES" w:eastAsia="es-MX"/>
        </w:rPr>
        <w:t xml:space="preserve">; </w:t>
      </w:r>
      <w:r w:rsidRPr="0040616D">
        <w:rPr>
          <w:rFonts w:ascii="Palatino Linotype" w:eastAsia="MS Mincho" w:hAnsi="Palatino Linotype" w:cs="Arial"/>
        </w:rPr>
        <w:t xml:space="preserve">contexto del cual se dolió </w:t>
      </w:r>
      <w:r w:rsidRPr="0040616D">
        <w:rPr>
          <w:rFonts w:ascii="Palatino Linotype" w:eastAsia="MS Mincho" w:hAnsi="Palatino Linotype" w:cs="Arial"/>
          <w:b/>
        </w:rPr>
        <w:t xml:space="preserve">EL RECURRENTE </w:t>
      </w:r>
      <w:r w:rsidRPr="0040616D">
        <w:rPr>
          <w:rFonts w:ascii="Palatino Linotype" w:eastAsia="MS Mincho" w:hAnsi="Palatino Linotype" w:cs="Arial"/>
        </w:rPr>
        <w:t>al momento de interponer su inconformidad.</w:t>
      </w:r>
      <w:r w:rsidRPr="0040616D">
        <w:rPr>
          <w:rFonts w:ascii="Palatino Linotype" w:eastAsia="Times New Roman" w:hAnsi="Palatino Linotype" w:cs="Arial"/>
          <w:color w:val="000000" w:themeColor="text1"/>
          <w:lang w:val="es-ES" w:eastAsia="es-MX"/>
        </w:rPr>
        <w:t xml:space="preserve"> De modo tal </w:t>
      </w:r>
      <w:r w:rsidRPr="0040616D">
        <w:rPr>
          <w:rFonts w:ascii="Palatino Linotype" w:hAnsi="Palatino Linotype" w:cs="Arial"/>
          <w:color w:val="000000" w:themeColor="text1"/>
        </w:rPr>
        <w:t xml:space="preserve">que el presente recurso de revisión se abocara en determinar si el </w:t>
      </w:r>
      <w:r w:rsidRPr="0040616D">
        <w:rPr>
          <w:rFonts w:ascii="Palatino Linotype" w:hAnsi="Palatino Linotype" w:cs="Arial"/>
          <w:b/>
          <w:color w:val="000000" w:themeColor="text1"/>
        </w:rPr>
        <w:t>SUJETO</w:t>
      </w:r>
      <w:r w:rsidRPr="0040616D">
        <w:rPr>
          <w:rFonts w:ascii="Palatino Linotype" w:hAnsi="Palatino Linotype" w:cs="Arial"/>
          <w:color w:val="000000" w:themeColor="text1"/>
        </w:rPr>
        <w:t xml:space="preserve"> </w:t>
      </w:r>
      <w:r w:rsidRPr="0040616D">
        <w:rPr>
          <w:rFonts w:ascii="Palatino Linotype" w:hAnsi="Palatino Linotype" w:cs="Arial"/>
          <w:b/>
          <w:color w:val="000000" w:themeColor="text1"/>
        </w:rPr>
        <w:t>OBLIGADO</w:t>
      </w:r>
      <w:r w:rsidRPr="0040616D">
        <w:rPr>
          <w:rFonts w:ascii="Palatino Linotype" w:hAnsi="Palatino Linotype" w:cs="Arial"/>
          <w:color w:val="000000" w:themeColor="text1"/>
        </w:rPr>
        <w:t xml:space="preserve"> con su respuesta </w:t>
      </w:r>
      <w:r w:rsidRPr="0040616D">
        <w:rPr>
          <w:rFonts w:ascii="Palatino Linotype" w:hAnsi="Palatino Linotype" w:cs="Arial"/>
          <w:color w:val="000000" w:themeColor="text1"/>
        </w:rPr>
        <w:lastRenderedPageBreak/>
        <w:t xml:space="preserve">ciertamente </w:t>
      </w:r>
      <w:r w:rsidRPr="0040616D">
        <w:rPr>
          <w:rFonts w:ascii="Palatino Linotype" w:eastAsia="Times New Roman" w:hAnsi="Palatino Linotype"/>
          <w:color w:val="000000" w:themeColor="text1"/>
        </w:rPr>
        <w:t>actualiza la causal de procedencia</w:t>
      </w:r>
      <w:r w:rsidRPr="0040616D">
        <w:rPr>
          <w:rFonts w:ascii="Palatino Linotype" w:eastAsia="Times New Roman" w:hAnsi="Palatino Linotype"/>
          <w:b/>
          <w:color w:val="000000" w:themeColor="text1"/>
        </w:rPr>
        <w:t xml:space="preserve"> </w:t>
      </w:r>
      <w:r w:rsidRPr="0040616D">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40616D" w:rsidRDefault="007210B9" w:rsidP="007210B9">
      <w:pPr>
        <w:pStyle w:val="Prrafodelista"/>
        <w:rPr>
          <w:rFonts w:ascii="Palatino Linotype" w:eastAsia="MS Mincho" w:hAnsi="Palatino Linotype" w:cs="Arial"/>
        </w:rPr>
      </w:pPr>
    </w:p>
    <w:p w:rsidR="009F09BC" w:rsidRPr="0040616D" w:rsidRDefault="00A2738F" w:rsidP="00855290">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40616D">
        <w:rPr>
          <w:rFonts w:ascii="Palatino Linotype" w:hAnsi="Palatino Linotype"/>
          <w:b/>
          <w:color w:val="000000" w:themeColor="text1"/>
          <w:sz w:val="24"/>
          <w:szCs w:val="24"/>
        </w:rPr>
        <w:t>CUAR</w:t>
      </w:r>
      <w:r w:rsidR="009F09BC" w:rsidRPr="0040616D">
        <w:rPr>
          <w:rFonts w:ascii="Palatino Linotype" w:hAnsi="Palatino Linotype"/>
          <w:b/>
          <w:color w:val="000000" w:themeColor="text1"/>
          <w:sz w:val="24"/>
          <w:szCs w:val="24"/>
        </w:rPr>
        <w:t>TO. Del estudio y resolución del asunto.</w:t>
      </w:r>
      <w:bookmarkEnd w:id="145"/>
      <w:bookmarkEnd w:id="146"/>
      <w:bookmarkEnd w:id="147"/>
      <w:bookmarkEnd w:id="148"/>
      <w:bookmarkEnd w:id="149"/>
    </w:p>
    <w:p w:rsidR="00B54047" w:rsidRPr="0040616D" w:rsidRDefault="00B54047" w:rsidP="00855290">
      <w:pPr>
        <w:pStyle w:val="Prrafodelista"/>
        <w:spacing w:line="360" w:lineRule="auto"/>
        <w:ind w:left="0"/>
        <w:jc w:val="both"/>
        <w:rPr>
          <w:rFonts w:ascii="Palatino Linotype" w:eastAsia="MS Mincho" w:hAnsi="Palatino Linotype" w:cs="Arial"/>
        </w:rPr>
      </w:pPr>
    </w:p>
    <w:p w:rsidR="00041530" w:rsidRPr="0040616D" w:rsidRDefault="000845EF" w:rsidP="00041530">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Como se señaló, el hoy </w:t>
      </w:r>
      <w:r w:rsidRPr="0040616D">
        <w:rPr>
          <w:rFonts w:ascii="Palatino Linotype" w:eastAsia="MS Mincho" w:hAnsi="Palatino Linotype" w:cs="Arial"/>
          <w:b/>
        </w:rPr>
        <w:t xml:space="preserve">RECURRENTE, </w:t>
      </w:r>
      <w:r w:rsidRPr="0040616D">
        <w:rPr>
          <w:rFonts w:ascii="Palatino Linotype" w:eastAsia="MS Mincho" w:hAnsi="Palatino Linotype" w:cs="Arial"/>
        </w:rPr>
        <w:t xml:space="preserve">pretende acceder al soporte documental integro de convenios signados por el </w:t>
      </w:r>
      <w:r w:rsidRPr="0040616D">
        <w:rPr>
          <w:rFonts w:ascii="Palatino Linotype" w:eastAsia="MS Mincho" w:hAnsi="Palatino Linotype" w:cs="Arial"/>
          <w:b/>
        </w:rPr>
        <w:t>SUJETO OBLIGADO</w:t>
      </w:r>
      <w:r w:rsidRPr="0040616D">
        <w:rPr>
          <w:rFonts w:ascii="Palatino Linotype" w:eastAsia="MS Mincho" w:hAnsi="Palatino Linotype" w:cs="Arial"/>
        </w:rPr>
        <w:t xml:space="preserve">, en respuesta como ya se mencionó, se clasificó la información </w:t>
      </w:r>
      <w:r w:rsidR="00041530" w:rsidRPr="0040616D">
        <w:rPr>
          <w:rFonts w:ascii="Palatino Linotype" w:eastAsia="MS Mincho" w:hAnsi="Palatino Linotype" w:cs="Arial"/>
        </w:rPr>
        <w:t>sumado a que se subrayó, que la Procuraduría de Protección al Ambiente del Estado de México no celebra convenidos dentro del Programa de referencia, sino que los convenios de compensación ambiental, forman parte del procedimiento administrativo en materia ambiental.</w:t>
      </w:r>
    </w:p>
    <w:p w:rsidR="00041530" w:rsidRPr="0040616D" w:rsidRDefault="00041530" w:rsidP="00A7007A">
      <w:pPr>
        <w:spacing w:line="360" w:lineRule="auto"/>
        <w:ind w:left="360"/>
        <w:contextualSpacing/>
        <w:jc w:val="both"/>
        <w:rPr>
          <w:rFonts w:ascii="Palatino Linotype" w:eastAsia="MS Mincho" w:hAnsi="Palatino Linotype" w:cs="Arial"/>
        </w:rPr>
      </w:pPr>
    </w:p>
    <w:p w:rsidR="000845EF" w:rsidRPr="0040616D" w:rsidRDefault="00041530" w:rsidP="00041530">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Lo anterior, no implica que no deba ser procedente la solicitud de información, al otorgar el solicitante una clara expresión documental de la información a la que se desea acceder, por lo que en un correcto actuar la </w:t>
      </w:r>
      <w:r w:rsidR="0068467A" w:rsidRPr="0040616D">
        <w:rPr>
          <w:rFonts w:ascii="Palatino Linotype" w:eastAsia="MS Mincho" w:hAnsi="Palatino Linotype" w:cs="Arial"/>
        </w:rPr>
        <w:t>P</w:t>
      </w:r>
      <w:r w:rsidRPr="0040616D">
        <w:rPr>
          <w:rFonts w:ascii="Palatino Linotype" w:eastAsia="MS Mincho" w:hAnsi="Palatino Linotype" w:cs="Arial"/>
        </w:rPr>
        <w:t>rocuraduría dio curso a la atención de la solicitud conforme a lo establecido en diversos criterios emitidos por el Órgano Garante Nacional.</w:t>
      </w:r>
    </w:p>
    <w:p w:rsidR="00041530" w:rsidRPr="0040616D" w:rsidRDefault="00041530" w:rsidP="00041530">
      <w:pPr>
        <w:spacing w:line="360" w:lineRule="auto"/>
        <w:contextualSpacing/>
        <w:jc w:val="both"/>
        <w:rPr>
          <w:rFonts w:ascii="Palatino Linotype" w:eastAsia="MS Mincho" w:hAnsi="Palatino Linotype" w:cs="Arial"/>
        </w:rPr>
      </w:pPr>
    </w:p>
    <w:p w:rsidR="000845EF" w:rsidRPr="0040616D" w:rsidRDefault="00041530" w:rsidP="00041530">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En esa tesitura, si bien es cierto lo requerido no son en estricto sentido los procedimientos sustanciados; también lo es que se solicita información contenidos dentro de los mismos, como se desprende del articulo 2.237 del </w:t>
      </w:r>
      <w:r w:rsidRPr="0040616D">
        <w:rPr>
          <w:rFonts w:ascii="Palatino Linotype" w:eastAsia="MS Mincho" w:hAnsi="Palatino Linotype" w:cs="Arial"/>
          <w:b/>
        </w:rPr>
        <w:t>Código para la Biodiversidad del Estado de México</w:t>
      </w:r>
      <w:r w:rsidRPr="0040616D">
        <w:rPr>
          <w:rFonts w:ascii="Palatino Linotype" w:eastAsia="MS Mincho" w:hAnsi="Palatino Linotype" w:cs="Arial"/>
        </w:rPr>
        <w:t>, a saber:</w:t>
      </w:r>
    </w:p>
    <w:p w:rsidR="00041530" w:rsidRPr="0040616D" w:rsidRDefault="006F066D" w:rsidP="006F066D">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lastRenderedPageBreak/>
        <w:t xml:space="preserve">“Artículo 2.237. Una vez recibidos los alegatos o transcurrido el término para presentarlos, la Secretaría o el Ayuntamiento correspondiente procederán dentro de los veinte días hábiles siguientes a dictar por escrito la resolución respectiva, misma que se notificará al interesado personalmente o por correo certificado con acuse de recibo. Durante el procedimiento y antes de que se dicte resolución, el interesado y la Secretaría o el Ayuntamiento a petición del primero </w:t>
      </w:r>
      <w:r w:rsidRPr="0040616D">
        <w:rPr>
          <w:rFonts w:ascii="Palatino Linotype" w:eastAsia="MS Mincho" w:hAnsi="Palatino Linotype" w:cs="Arial"/>
          <w:b/>
          <w:i/>
        </w:rPr>
        <w:t>podrán convenir la realización de las acciones de restauración o compensación de daños necesarias para la corrección de las presuntas irregularidades observadas. La instrumentación, evaluación y sanción de dicho convenio se llevará a cabo en los términos del artículo 2.251 siguiente</w:t>
      </w:r>
      <w:r w:rsidRPr="0040616D">
        <w:rPr>
          <w:rFonts w:ascii="Palatino Linotype" w:eastAsia="MS Mincho" w:hAnsi="Palatino Linotype" w:cs="Arial"/>
          <w:i/>
        </w:rPr>
        <w:t>.”</w:t>
      </w:r>
    </w:p>
    <w:p w:rsidR="006F066D" w:rsidRPr="0040616D" w:rsidRDefault="006F066D" w:rsidP="006F066D">
      <w:pPr>
        <w:ind w:left="426" w:right="474"/>
        <w:contextualSpacing/>
        <w:jc w:val="both"/>
        <w:rPr>
          <w:rFonts w:ascii="Palatino Linotype" w:eastAsia="MS Mincho" w:hAnsi="Palatino Linotype" w:cs="Arial"/>
          <w:i/>
        </w:rPr>
      </w:pPr>
    </w:p>
    <w:p w:rsidR="006F066D" w:rsidRPr="0040616D" w:rsidRDefault="006F066D" w:rsidP="006F066D">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Artículo 2.251. Cuando se presenten emergencias ecológicas o contingencias ambientales que no rebasen el territorio del Estado y no requieran de la acción exclusiva de la Federación o en casos de contaminación con repercusiones peligrosas para la biodiversidad, los ecosistemas y sus componentes, la salud pública, el titular del Poder Ejecutivo a través de la Secretaría y los Ayuntamientos podrán ordenar como medida de seguridad la retención de sustancias o materiales contaminantes, la clausura temporal, parcial o total de las fuentes contaminantes y promoverán ante las autoridades competentes en los términos de las disposiciones aplicables, la ejecución de las medidas de seguridad que se establezcan para tal efecto.</w:t>
      </w:r>
    </w:p>
    <w:p w:rsidR="006F066D" w:rsidRPr="0040616D" w:rsidRDefault="006F066D" w:rsidP="006F066D">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Cuando los ordenamientos a que se refiere el párrafo anterior, no incluyan medidas de seguridad para hacer frente a los riesgos de desequilibrio ecológico, la Secretaría o los Ayuntamientos previa opinión de las autoridades competentes, emitirán las disposiciones conducentes.</w:t>
      </w:r>
    </w:p>
    <w:p w:rsidR="006F066D" w:rsidRPr="0040616D" w:rsidRDefault="006F066D" w:rsidP="006F066D">
      <w:pPr>
        <w:ind w:left="426" w:right="474"/>
        <w:contextualSpacing/>
        <w:jc w:val="both"/>
        <w:rPr>
          <w:rFonts w:ascii="Palatino Linotype" w:eastAsia="MS Mincho" w:hAnsi="Palatino Linotype" w:cs="Arial"/>
          <w:i/>
        </w:rPr>
      </w:pPr>
    </w:p>
    <w:p w:rsidR="006F066D" w:rsidRPr="0040616D" w:rsidRDefault="006F066D" w:rsidP="006F066D">
      <w:pPr>
        <w:ind w:left="426" w:right="474"/>
        <w:contextualSpacing/>
        <w:jc w:val="both"/>
        <w:rPr>
          <w:rFonts w:ascii="Palatino Linotype" w:eastAsia="MS Mincho" w:hAnsi="Palatino Linotype" w:cs="Arial"/>
        </w:rPr>
      </w:pPr>
      <w:r w:rsidRPr="0040616D">
        <w:rPr>
          <w:rFonts w:ascii="Palatino Linotype" w:eastAsia="MS Mincho" w:hAnsi="Palatino Linotype" w:cs="Arial"/>
        </w:rPr>
        <w:t>(Énfasis añadido)</w:t>
      </w:r>
    </w:p>
    <w:p w:rsidR="006F066D" w:rsidRPr="0040616D" w:rsidRDefault="006F066D" w:rsidP="00041530">
      <w:pPr>
        <w:spacing w:line="360" w:lineRule="auto"/>
        <w:contextualSpacing/>
        <w:jc w:val="both"/>
        <w:rPr>
          <w:rFonts w:ascii="Palatino Linotype" w:eastAsia="MS Mincho" w:hAnsi="Palatino Linotype" w:cs="Arial"/>
        </w:rPr>
      </w:pPr>
    </w:p>
    <w:p w:rsidR="00041530" w:rsidRPr="0040616D" w:rsidRDefault="006F066D" w:rsidP="006F066D">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Como se aprecia, lo solicitado ciertamente forma parte de los procedimientos administrativos, motivo por el cual el </w:t>
      </w:r>
      <w:r w:rsidRPr="0040616D">
        <w:rPr>
          <w:rFonts w:ascii="Palatino Linotype" w:eastAsia="MS Mincho" w:hAnsi="Palatino Linotype" w:cs="Arial"/>
          <w:b/>
        </w:rPr>
        <w:t>SUJETO OBLIGADO</w:t>
      </w:r>
      <w:r w:rsidRPr="0040616D">
        <w:rPr>
          <w:rFonts w:ascii="Palatino Linotype" w:eastAsia="MS Mincho" w:hAnsi="Palatino Linotype" w:cs="Arial"/>
        </w:rPr>
        <w:t xml:space="preserve"> arguye una imposibilidad de hacerla pública por no causar estado, al no existir una resolución. En ese sentido, la Ley de Transparencia y Acceso a la Información Pública del Estado de México y Municipios, establece en su artículo 140 </w:t>
      </w:r>
      <w:r w:rsidR="00D52DAB" w:rsidRPr="0040616D">
        <w:rPr>
          <w:rFonts w:ascii="Palatino Linotype" w:eastAsia="MS Mincho" w:hAnsi="Palatino Linotype" w:cs="Arial"/>
        </w:rPr>
        <w:t xml:space="preserve">fracción VIII, </w:t>
      </w:r>
      <w:r w:rsidRPr="0040616D">
        <w:rPr>
          <w:rFonts w:ascii="Palatino Linotype" w:eastAsia="MS Mincho" w:hAnsi="Palatino Linotype" w:cs="Arial"/>
        </w:rPr>
        <w:t>lo siguiente:</w:t>
      </w:r>
    </w:p>
    <w:p w:rsidR="006F066D" w:rsidRPr="0040616D" w:rsidRDefault="006F066D" w:rsidP="006F066D">
      <w:pPr>
        <w:spacing w:line="360" w:lineRule="auto"/>
        <w:contextualSpacing/>
        <w:jc w:val="both"/>
        <w:rPr>
          <w:rFonts w:ascii="Palatino Linotype" w:eastAsia="MS Mincho" w:hAnsi="Palatino Linotype" w:cs="Arial"/>
        </w:rPr>
      </w:pPr>
    </w:p>
    <w:p w:rsidR="006F066D" w:rsidRPr="0040616D" w:rsidRDefault="006F066D" w:rsidP="006F066D">
      <w:pPr>
        <w:ind w:left="567" w:right="618"/>
        <w:contextualSpacing/>
        <w:jc w:val="both"/>
        <w:rPr>
          <w:rFonts w:ascii="Palatino Linotype" w:eastAsia="MS Mincho" w:hAnsi="Palatino Linotype" w:cs="Arial"/>
          <w:i/>
        </w:rPr>
      </w:pPr>
      <w:r w:rsidRPr="0040616D">
        <w:rPr>
          <w:rFonts w:ascii="Palatino Linotype" w:eastAsia="MS Mincho" w:hAnsi="Palatino Linotype" w:cs="Arial"/>
          <w:i/>
        </w:rPr>
        <w:lastRenderedPageBreak/>
        <w:t>“Artículo 140. El acceso a la información pública será restringido excepcionalmente, cuando por razones de interés público, ésta sea clasificada como reservada, conforme a los criterios siguientes:</w:t>
      </w:r>
    </w:p>
    <w:p w:rsidR="006F066D" w:rsidRPr="0040616D" w:rsidRDefault="006F066D" w:rsidP="006F066D">
      <w:pPr>
        <w:ind w:left="567" w:right="618"/>
        <w:contextualSpacing/>
        <w:jc w:val="both"/>
        <w:rPr>
          <w:rFonts w:ascii="Palatino Linotype" w:eastAsia="MS Mincho" w:hAnsi="Palatino Linotype" w:cs="Arial"/>
          <w:i/>
        </w:rPr>
      </w:pPr>
      <w:r w:rsidRPr="0040616D">
        <w:rPr>
          <w:rFonts w:ascii="Palatino Linotype" w:eastAsia="MS Mincho" w:hAnsi="Palatino Linotype" w:cs="Arial"/>
          <w:i/>
        </w:rPr>
        <w:t>...</w:t>
      </w:r>
    </w:p>
    <w:p w:rsidR="006F066D" w:rsidRPr="0040616D" w:rsidRDefault="006F066D" w:rsidP="006F066D">
      <w:pPr>
        <w:ind w:left="567" w:right="618"/>
        <w:contextualSpacing/>
        <w:jc w:val="both"/>
        <w:rPr>
          <w:rFonts w:ascii="Palatino Linotype" w:eastAsia="MS Mincho" w:hAnsi="Palatino Linotype" w:cs="Arial"/>
          <w:i/>
        </w:rPr>
      </w:pPr>
      <w:r w:rsidRPr="0040616D">
        <w:rPr>
          <w:rFonts w:ascii="Palatino Linotype" w:eastAsia="MS Mincho" w:hAnsi="Palatino Linotype" w:cs="Arial"/>
          <w:i/>
        </w:rPr>
        <w:t xml:space="preserve">VIII. </w:t>
      </w:r>
      <w:r w:rsidRPr="0040616D">
        <w:rPr>
          <w:rFonts w:ascii="Palatino Linotype" w:eastAsia="MS Mincho" w:hAnsi="Palatino Linotype" w:cs="Arial"/>
          <w:b/>
          <w:i/>
        </w:rPr>
        <w:t>Vulnere la conducción de los expedientes judiciales o de los procedimientos administrativos seguidos en forma de juicio, en tanto no hayan quedado firmes</w:t>
      </w:r>
      <w:r w:rsidRPr="0040616D">
        <w:rPr>
          <w:rFonts w:ascii="Palatino Linotype" w:eastAsia="MS Mincho" w:hAnsi="Palatino Linotype" w:cs="Arial"/>
          <w:i/>
        </w:rPr>
        <w:t>;</w:t>
      </w:r>
    </w:p>
    <w:p w:rsidR="006F066D" w:rsidRPr="0040616D" w:rsidRDefault="006F066D" w:rsidP="006F066D">
      <w:pPr>
        <w:ind w:left="567" w:right="618"/>
        <w:contextualSpacing/>
        <w:jc w:val="both"/>
        <w:rPr>
          <w:rFonts w:ascii="Palatino Linotype" w:eastAsia="MS Mincho" w:hAnsi="Palatino Linotype" w:cs="Arial"/>
          <w:i/>
        </w:rPr>
      </w:pPr>
      <w:r w:rsidRPr="0040616D">
        <w:rPr>
          <w:rFonts w:ascii="Palatino Linotype" w:eastAsia="MS Mincho" w:hAnsi="Palatino Linotype" w:cs="Arial"/>
          <w:i/>
        </w:rPr>
        <w:t>…”</w:t>
      </w:r>
    </w:p>
    <w:p w:rsidR="006F066D" w:rsidRPr="0040616D" w:rsidRDefault="006F066D" w:rsidP="006F066D">
      <w:pPr>
        <w:spacing w:line="360" w:lineRule="auto"/>
        <w:contextualSpacing/>
        <w:jc w:val="both"/>
        <w:rPr>
          <w:rFonts w:ascii="Palatino Linotype" w:eastAsia="MS Mincho" w:hAnsi="Palatino Linotype" w:cs="Arial"/>
        </w:rPr>
      </w:pPr>
    </w:p>
    <w:p w:rsidR="00D52DAB" w:rsidRPr="0040616D" w:rsidRDefault="00D52DAB" w:rsidP="00D52DAB">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Por su parte los Lineamientos Generales Para la Clasificación y Desclasificación de da Información Pública, señalan al respecto lo siguiente:</w:t>
      </w:r>
    </w:p>
    <w:p w:rsidR="00D52DAB" w:rsidRPr="0040616D" w:rsidRDefault="00D52DAB" w:rsidP="00D52DAB">
      <w:pPr>
        <w:spacing w:line="360" w:lineRule="auto"/>
        <w:contextualSpacing/>
        <w:jc w:val="both"/>
        <w:rPr>
          <w:rFonts w:ascii="Palatino Linotype" w:eastAsia="MS Mincho" w:hAnsi="Palatino Linotype" w:cs="Arial"/>
        </w:rPr>
      </w:pP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“VIGÉSIMO SEXTO. La información se clasificará como reservada en los términos de la fracción IV del artículo 41 de la Ley, siempre que se trate de expedientes de juicioso procedimientos que no hayan causado estado, con excepción de los casos en los que sea inexcusable la tutela del derecho de protección de datos personales, tales como:</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 xml:space="preserve">I. </w:t>
      </w:r>
      <w:r w:rsidRPr="0040616D">
        <w:rPr>
          <w:rFonts w:ascii="Palatino Linotype" w:eastAsia="MS Mincho" w:hAnsi="Palatino Linotype" w:cs="Arial"/>
          <w:b/>
          <w:i/>
        </w:rPr>
        <w:t>Procesos y procedimientos sustanciados ante los tribunales judiciales y administrativos del Estado</w:t>
      </w:r>
      <w:r w:rsidRPr="0040616D">
        <w:rPr>
          <w:rFonts w:ascii="Palatino Linotype" w:eastAsia="MS Mincho" w:hAnsi="Palatino Linotype" w:cs="Arial"/>
          <w:i/>
        </w:rPr>
        <w:t>;</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II. Procedimientos de responsabilidad laboral;</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III. Procedimientos de responsabilidad administrativa;</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IV. Procedimientos de queja ante las áreas de inspección general de policía, asuntos internos o Comisión de Honor y Justicia;</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V. Las actuaciones derivadas del procedimiento en materia de medios de justicia alternativa;</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VI. Los procedimientos de queja ante la Comisión Estatal de Derechos Humanos: y</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VII. Procedimientos de responsabilidad patrimonial.</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En todos los casos se deberá fundamentar y motivar, informando del estado procesal que guarda.</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i/>
        </w:rPr>
        <w:t>Para los efectos de la fracción IV del artículo 41 de la Ley, se entiende que una resolución es definitiva, cuando pone fin al procedimiento en términos de las disposiciones legales aplicables y haya sido dictada por la autoridad competente para conocer de éste.</w:t>
      </w:r>
    </w:p>
    <w:p w:rsidR="00D52DAB" w:rsidRPr="0040616D" w:rsidRDefault="00D52DAB" w:rsidP="00D52DAB">
      <w:pPr>
        <w:ind w:left="426" w:right="474"/>
        <w:contextualSpacing/>
        <w:jc w:val="both"/>
        <w:rPr>
          <w:rFonts w:ascii="Palatino Linotype" w:eastAsia="MS Mincho" w:hAnsi="Palatino Linotype" w:cs="Arial"/>
          <w:i/>
        </w:rPr>
      </w:pPr>
      <w:r w:rsidRPr="0040616D">
        <w:rPr>
          <w:rFonts w:ascii="Palatino Linotype" w:eastAsia="MS Mincho" w:hAnsi="Palatino Linotype" w:cs="Arial"/>
          <w:b/>
          <w:i/>
        </w:rPr>
        <w:lastRenderedPageBreak/>
        <w:t>Para el caso de los procedimientos administrativos seguidos en forma de juicio en los que no se hubiere dictado una resolución definitiva, pero que hayan sido archivados de manera definitiva por medio de un acuerdo, éstos no se considerarán como información reservada, y por lo tanto, las actuaciones que deriven de los mismos, será información de libre acceso, ya que se les tendrá por concluidos</w:t>
      </w:r>
      <w:r w:rsidRPr="0040616D">
        <w:rPr>
          <w:rFonts w:ascii="Palatino Linotype" w:eastAsia="MS Mincho" w:hAnsi="Palatino Linotype" w:cs="Arial"/>
          <w:i/>
        </w:rPr>
        <w:t>.”</w:t>
      </w:r>
    </w:p>
    <w:p w:rsidR="00D52DAB" w:rsidRPr="0040616D" w:rsidRDefault="00D52DAB" w:rsidP="00D52DAB">
      <w:pPr>
        <w:spacing w:line="360" w:lineRule="auto"/>
        <w:contextualSpacing/>
        <w:jc w:val="both"/>
        <w:rPr>
          <w:rFonts w:ascii="Palatino Linotype" w:eastAsia="MS Mincho" w:hAnsi="Palatino Linotype" w:cs="Arial"/>
        </w:rPr>
      </w:pPr>
    </w:p>
    <w:p w:rsidR="006F066D" w:rsidRPr="0040616D" w:rsidRDefault="003F5298" w:rsidP="00D45D1F">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Luego entonces, como bien se refiere en la respuesta, el derecho de acceso a la información pública, encuentra una excepción cuando lo solicitado corresponde o forma parte de un procedimiento administrativo seguido en forma de </w:t>
      </w:r>
      <w:r w:rsidR="00B6795A" w:rsidRPr="0040616D">
        <w:rPr>
          <w:rFonts w:ascii="Palatino Linotype" w:eastAsia="MS Mincho" w:hAnsi="Palatino Linotype" w:cs="Arial"/>
        </w:rPr>
        <w:t>juicio no concluido</w:t>
      </w:r>
      <w:r w:rsidRPr="0040616D">
        <w:rPr>
          <w:rFonts w:ascii="Palatino Linotype" w:eastAsia="MS Mincho" w:hAnsi="Palatino Linotype" w:cs="Arial"/>
        </w:rPr>
        <w:t>, como se desprende del caso concreto.</w:t>
      </w:r>
    </w:p>
    <w:p w:rsidR="00D52DAB" w:rsidRPr="0040616D" w:rsidRDefault="00D52DAB" w:rsidP="00D52DAB">
      <w:pPr>
        <w:spacing w:line="360" w:lineRule="auto"/>
        <w:contextualSpacing/>
        <w:jc w:val="both"/>
        <w:rPr>
          <w:rFonts w:ascii="Palatino Linotype" w:eastAsia="MS Mincho" w:hAnsi="Palatino Linotype" w:cs="Arial"/>
        </w:rPr>
      </w:pPr>
    </w:p>
    <w:p w:rsidR="00D52DAB" w:rsidRPr="0040616D" w:rsidRDefault="00D52DAB" w:rsidP="00D45D1F">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Asimismo, si bien se solicitó, y existe, informaciòn con más de 7 años de antigüedad, esta no se encuentra archivada aunque no haya causado estado, pues existe un pronunciamiento expreso de la Procuraduría en el sentido de que se encuentran en trámite, por lo que no resulta aplicable la excepción de Lineamiento en comento.</w:t>
      </w:r>
    </w:p>
    <w:p w:rsidR="003F5298" w:rsidRPr="0040616D" w:rsidRDefault="003F5298" w:rsidP="003F5298">
      <w:pPr>
        <w:spacing w:line="360" w:lineRule="auto"/>
        <w:contextualSpacing/>
        <w:jc w:val="both"/>
        <w:rPr>
          <w:rFonts w:ascii="Palatino Linotype" w:eastAsia="MS Mincho" w:hAnsi="Palatino Linotype" w:cs="Arial"/>
        </w:rPr>
      </w:pPr>
    </w:p>
    <w:p w:rsidR="006F066D" w:rsidRPr="0040616D" w:rsidRDefault="003F5298" w:rsidP="00D45D1F">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Ahora bien, debe establecerse que resulta ocioso realizar un estudio pormenorizado de la fuente obligacional de la Procuraduría, para determinar si genera, posee o administra los convenios solicitados, en virtud de que esta ya asumió que cuenta con ellos, tan es así que los clasificó como reservados; asimismo indico el número de convenios con los que cuenta, atendiendo al lapso temporal de la información establecido por el particular.</w:t>
      </w:r>
    </w:p>
    <w:p w:rsidR="003F5298" w:rsidRPr="0040616D" w:rsidRDefault="003F5298" w:rsidP="003F5298">
      <w:pPr>
        <w:pStyle w:val="Prrafodelista"/>
        <w:rPr>
          <w:rFonts w:ascii="Palatino Linotype" w:eastAsia="MS Mincho" w:hAnsi="Palatino Linotype" w:cs="Arial"/>
        </w:rPr>
      </w:pPr>
    </w:p>
    <w:p w:rsidR="00C1546B" w:rsidRPr="0040616D" w:rsidRDefault="003F5298" w:rsidP="00C1546B">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lastRenderedPageBreak/>
        <w:t>Al respecto</w:t>
      </w:r>
      <w:r w:rsidR="00C1546B" w:rsidRPr="0040616D">
        <w:rPr>
          <w:rFonts w:ascii="Palatino Linotype" w:eastAsia="MS Mincho" w:hAnsi="Palatino Linotype" w:cs="Arial"/>
        </w:rPr>
        <w:t>,</w:t>
      </w:r>
      <w:r w:rsidRPr="0040616D">
        <w:rPr>
          <w:rFonts w:ascii="Palatino Linotype" w:eastAsia="MS Mincho" w:hAnsi="Palatino Linotype" w:cs="Arial"/>
        </w:rPr>
        <w:t xml:space="preserve"> la Procuraduría </w:t>
      </w:r>
      <w:r w:rsidR="00C1546B" w:rsidRPr="0040616D">
        <w:rPr>
          <w:rFonts w:ascii="Palatino Linotype" w:eastAsia="MS Mincho" w:hAnsi="Palatino Linotype" w:cs="Arial"/>
        </w:rPr>
        <w:t xml:space="preserve">informó que del </w:t>
      </w:r>
      <w:r w:rsidR="00C1546B" w:rsidRPr="0040616D">
        <w:rPr>
          <w:rFonts w:ascii="Palatino Linotype" w:eastAsia="MS Mincho" w:hAnsi="Palatino Linotype" w:cs="Arial"/>
          <w:b/>
        </w:rPr>
        <w:t>uno de enero de dos mil quince</w:t>
      </w:r>
      <w:r w:rsidR="00C1546B" w:rsidRPr="0040616D">
        <w:rPr>
          <w:rFonts w:ascii="Palatino Linotype" w:eastAsia="MS Mincho" w:hAnsi="Palatino Linotype" w:cs="Arial"/>
        </w:rPr>
        <w:t xml:space="preserve"> al </w:t>
      </w:r>
      <w:r w:rsidR="00C1546B" w:rsidRPr="0040616D">
        <w:rPr>
          <w:rFonts w:ascii="Palatino Linotype" w:eastAsia="MS Mincho" w:hAnsi="Palatino Linotype" w:cs="Arial"/>
          <w:b/>
        </w:rPr>
        <w:t>veintinueve de mayo de dos veinte,</w:t>
      </w:r>
      <w:r w:rsidR="00C1546B" w:rsidRPr="0040616D">
        <w:rPr>
          <w:rFonts w:ascii="Palatino Linotype" w:eastAsia="MS Mincho" w:hAnsi="Palatino Linotype" w:cs="Arial"/>
        </w:rPr>
        <w:t xml:space="preserve"> suscribió cincuenta y tres convenios de compensación con diversas empresas infractoras de la normatividad ambiental, los cuales cuentan con expedientes en trámite, que no han causado estado; que del </w:t>
      </w:r>
      <w:r w:rsidR="00C1546B" w:rsidRPr="0040616D">
        <w:rPr>
          <w:rFonts w:ascii="Palatino Linotype" w:eastAsia="MS Mincho" w:hAnsi="Palatino Linotype" w:cs="Arial"/>
          <w:b/>
        </w:rPr>
        <w:t>treinta de mayo de dos mil veinte</w:t>
      </w:r>
      <w:r w:rsidR="00C1546B" w:rsidRPr="0040616D">
        <w:rPr>
          <w:rFonts w:ascii="Palatino Linotype" w:eastAsia="MS Mincho" w:hAnsi="Palatino Linotype" w:cs="Arial"/>
        </w:rPr>
        <w:t xml:space="preserve"> al </w:t>
      </w:r>
      <w:r w:rsidR="00C1546B" w:rsidRPr="0040616D">
        <w:rPr>
          <w:rFonts w:ascii="Palatino Linotype" w:eastAsia="MS Mincho" w:hAnsi="Palatino Linotype" w:cs="Arial"/>
          <w:b/>
        </w:rPr>
        <w:t>uno de abril de dos mil veintidós</w:t>
      </w:r>
      <w:r w:rsidR="00C1546B" w:rsidRPr="0040616D">
        <w:rPr>
          <w:rFonts w:ascii="Palatino Linotype" w:eastAsia="MS Mincho" w:hAnsi="Palatino Linotype" w:cs="Arial"/>
        </w:rPr>
        <w:t xml:space="preserve">, se suscribieron dos convenios de compensación que se encuentran en sustanciación dentro de la Subdirección de Atención y Seguimiento de Procedimientos; y que del </w:t>
      </w:r>
      <w:r w:rsidR="00C1546B" w:rsidRPr="0040616D">
        <w:rPr>
          <w:rFonts w:ascii="Palatino Linotype" w:eastAsia="MS Mincho" w:hAnsi="Palatino Linotype" w:cs="Arial"/>
          <w:b/>
        </w:rPr>
        <w:t>dos de abril</w:t>
      </w:r>
      <w:r w:rsidR="00C1546B" w:rsidRPr="0040616D">
        <w:rPr>
          <w:rFonts w:ascii="Palatino Linotype" w:eastAsia="MS Mincho" w:hAnsi="Palatino Linotype" w:cs="Arial"/>
        </w:rPr>
        <w:t xml:space="preserve"> al </w:t>
      </w:r>
      <w:r w:rsidR="00C1546B" w:rsidRPr="0040616D">
        <w:rPr>
          <w:rFonts w:ascii="Palatino Linotype" w:eastAsia="MS Mincho" w:hAnsi="Palatino Linotype" w:cs="Arial"/>
          <w:b/>
        </w:rPr>
        <w:t>veintitrés de noviembre de dos mil veintidós</w:t>
      </w:r>
      <w:r w:rsidR="00C1546B" w:rsidRPr="0040616D">
        <w:rPr>
          <w:rFonts w:ascii="Palatino Linotype" w:eastAsia="MS Mincho" w:hAnsi="Palatino Linotype" w:cs="Arial"/>
        </w:rPr>
        <w:t>, no se han suscrito convenios.</w:t>
      </w:r>
    </w:p>
    <w:p w:rsidR="00C1546B" w:rsidRPr="0040616D" w:rsidRDefault="00C1546B" w:rsidP="00C1546B">
      <w:pPr>
        <w:pStyle w:val="Prrafodelista"/>
        <w:rPr>
          <w:rFonts w:ascii="Palatino Linotype" w:eastAsia="MS Mincho" w:hAnsi="Palatino Linotype" w:cs="Arial"/>
        </w:rPr>
      </w:pPr>
    </w:p>
    <w:p w:rsidR="00D45D1F" w:rsidRPr="0040616D" w:rsidRDefault="00C1546B" w:rsidP="00C1546B">
      <w:pPr>
        <w:numPr>
          <w:ilvl w:val="0"/>
          <w:numId w:val="1"/>
        </w:numPr>
        <w:spacing w:line="360" w:lineRule="auto"/>
        <w:ind w:left="0" w:firstLine="0"/>
        <w:contextualSpacing/>
        <w:jc w:val="both"/>
        <w:rPr>
          <w:rFonts w:ascii="Palatino Linotype" w:eastAsia="MS Mincho" w:hAnsi="Palatino Linotype" w:cs="Arial"/>
        </w:rPr>
      </w:pPr>
      <w:r w:rsidRPr="0040616D">
        <w:rPr>
          <w:rFonts w:ascii="Palatino Linotype" w:eastAsia="MS Mincho" w:hAnsi="Palatino Linotype" w:cs="Arial"/>
        </w:rPr>
        <w:t xml:space="preserve">Luego entonces, se advierte que el </w:t>
      </w:r>
      <w:r w:rsidRPr="0040616D">
        <w:rPr>
          <w:rFonts w:ascii="Palatino Linotype" w:eastAsia="MS Mincho" w:hAnsi="Palatino Linotype" w:cs="Arial"/>
          <w:b/>
        </w:rPr>
        <w:t>SUJETO OBLIGADO</w:t>
      </w:r>
      <w:r w:rsidRPr="0040616D">
        <w:rPr>
          <w:rFonts w:ascii="Palatino Linotype" w:eastAsia="MS Mincho" w:hAnsi="Palatino Linotype" w:cs="Arial"/>
        </w:rPr>
        <w:t xml:space="preserve">, abarcó el lapso temporal de la informaciòn solicitada. Ahora bien, respecto de sus pronunciamientos, relativos al número de procedimientos y de su estado procesal, debe señalarse que este Instituto no cuenta con facultades para dudar de su </w:t>
      </w:r>
      <w:r w:rsidR="00D45D1F" w:rsidRPr="0040616D">
        <w:rPr>
          <w:rFonts w:ascii="Palatino Linotype" w:eastAsia="Palatino Linotype" w:hAnsi="Palatino Linotype" w:cs="Palatino Linotype"/>
          <w:color w:val="000000"/>
        </w:rPr>
        <w:t xml:space="preserve">veracidad de la </w:t>
      </w:r>
      <w:r w:rsidR="00D45D1F" w:rsidRPr="0040616D">
        <w:rPr>
          <w:rFonts w:ascii="Palatino Linotype" w:eastAsia="MS Mincho" w:hAnsi="Palatino Linotype" w:cs="Arial"/>
        </w:rPr>
        <w:t>información</w:t>
      </w:r>
      <w:r w:rsidR="00D45D1F" w:rsidRPr="0040616D">
        <w:rPr>
          <w:rFonts w:ascii="Palatino Linotype" w:eastAsia="Palatino Linotype" w:hAnsi="Palatino Linotype" w:cs="Palatino Linotype"/>
          <w:color w:val="000000"/>
        </w:rPr>
        <w:t xml:space="preserve"> que le fue entregada al hoy </w:t>
      </w:r>
      <w:r w:rsidR="00D45D1F" w:rsidRPr="0040616D">
        <w:rPr>
          <w:rFonts w:ascii="Palatino Linotype" w:eastAsia="Palatino Linotype" w:hAnsi="Palatino Linotype" w:cs="Palatino Linotype"/>
          <w:b/>
          <w:color w:val="000000"/>
        </w:rPr>
        <w:t>RECURRENTE</w:t>
      </w:r>
      <w:r w:rsidR="00D45D1F" w:rsidRPr="0040616D">
        <w:rPr>
          <w:rFonts w:ascii="Palatino Linotype" w:eastAsia="Palatino Linotype" w:hAnsi="Palatino Linotype" w:cs="Palatino Linotype"/>
          <w:color w:val="000000"/>
        </w:rPr>
        <w:t xml:space="preserve">, </w:t>
      </w:r>
      <w:r w:rsidR="00D45D1F" w:rsidRPr="0040616D">
        <w:rPr>
          <w:rFonts w:ascii="Palatino Linotype" w:hAnsi="Palatino Linotype" w:cs="Arial"/>
        </w:rPr>
        <w:t xml:space="preserve">situación que se aleja de las atribuciones de este </w:t>
      </w:r>
      <w:r w:rsidR="00944522" w:rsidRPr="0040616D">
        <w:rPr>
          <w:rFonts w:ascii="Palatino Linotype" w:hAnsi="Palatino Linotype" w:cs="Arial"/>
        </w:rPr>
        <w:t>Órgano</w:t>
      </w:r>
      <w:r w:rsidR="00B14295" w:rsidRPr="0040616D">
        <w:rPr>
          <w:rFonts w:ascii="Palatino Linotype" w:hAnsi="Palatino Linotype" w:cs="Arial"/>
        </w:rPr>
        <w:t xml:space="preserve"> Garante,</w:t>
      </w:r>
      <w:r w:rsidR="00D45D1F" w:rsidRPr="0040616D">
        <w:rPr>
          <w:rFonts w:ascii="Palatino Linotype" w:hAnsi="Palatino Linotype" w:cs="Arial"/>
        </w:rPr>
        <w:t xml:space="preserve"> </w:t>
      </w:r>
      <w:r w:rsidR="00D45D1F" w:rsidRPr="0040616D">
        <w:rPr>
          <w:rFonts w:ascii="Palatino Linotype" w:hAnsi="Palatino Linotype"/>
          <w:i/>
          <w:color w:val="000000"/>
        </w:rPr>
        <w:t>máxime</w:t>
      </w:r>
      <w:r w:rsidR="00D45D1F" w:rsidRPr="0040616D">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98151A" w:rsidRPr="0040616D" w:rsidRDefault="0098151A" w:rsidP="0098151A">
      <w:pPr>
        <w:pStyle w:val="Prrafodelista"/>
        <w:rPr>
          <w:rFonts w:ascii="Palatino Linotype" w:hAnsi="Palatino Linotype"/>
        </w:rPr>
      </w:pPr>
    </w:p>
    <w:p w:rsidR="00D45D1F" w:rsidRPr="0040616D" w:rsidRDefault="00D45D1F" w:rsidP="00D45D1F">
      <w:pPr>
        <w:numPr>
          <w:ilvl w:val="0"/>
          <w:numId w:val="1"/>
        </w:numPr>
        <w:spacing w:line="360" w:lineRule="auto"/>
        <w:ind w:left="0" w:firstLine="0"/>
        <w:contextualSpacing/>
        <w:jc w:val="both"/>
        <w:rPr>
          <w:rFonts w:ascii="Palatino Linotype" w:hAnsi="Palatino Linotype"/>
        </w:rPr>
      </w:pPr>
      <w:r w:rsidRPr="0040616D">
        <w:rPr>
          <w:rFonts w:ascii="Palatino Linotype" w:eastAsia="Palatino Linotype" w:hAnsi="Palatino Linotype" w:cs="Palatino Linotype"/>
          <w:color w:val="000000"/>
        </w:rPr>
        <w:t>Sirviendo</w:t>
      </w:r>
      <w:r w:rsidRPr="0040616D">
        <w:rPr>
          <w:rFonts w:ascii="Palatino Linotype" w:hAnsi="Palatino Linotype"/>
        </w:rPr>
        <w:t xml:space="preserve"> de apoyo a lo anterior por analogía, el criterio 31-10 emitido por el ahora </w:t>
      </w:r>
      <w:r w:rsidRPr="0040616D">
        <w:rPr>
          <w:rFonts w:ascii="Palatino Linotype" w:hAnsi="Palatino Linotype"/>
          <w:color w:val="000000" w:themeColor="text1"/>
        </w:rPr>
        <w:t>Instituto</w:t>
      </w:r>
      <w:r w:rsidRPr="0040616D">
        <w:rPr>
          <w:rFonts w:ascii="Palatino Linotype" w:hAnsi="Palatino Linotype"/>
        </w:rPr>
        <w:t xml:space="preserve"> </w:t>
      </w:r>
      <w:r w:rsidRPr="0040616D">
        <w:rPr>
          <w:rFonts w:ascii="Palatino Linotype" w:eastAsia="Palatino Linotype" w:hAnsi="Palatino Linotype" w:cs="Palatino Linotype"/>
          <w:color w:val="000000"/>
        </w:rPr>
        <w:t>Nacional</w:t>
      </w:r>
      <w:r w:rsidRPr="0040616D">
        <w:rPr>
          <w:rFonts w:ascii="Palatino Linotype" w:hAnsi="Palatino Linotype"/>
        </w:rPr>
        <w:t xml:space="preserve"> de Transparencia, Acceso a la Información y Protección de Datos Personales, que a la letra dice:</w:t>
      </w:r>
    </w:p>
    <w:p w:rsidR="00D45D1F" w:rsidRPr="0040616D" w:rsidRDefault="00D45D1F" w:rsidP="00D45D1F">
      <w:pPr>
        <w:pStyle w:val="Prrafodelista"/>
        <w:rPr>
          <w:rFonts w:ascii="Palatino Linotype" w:hAnsi="Palatino Linotype"/>
        </w:rPr>
      </w:pPr>
    </w:p>
    <w:p w:rsidR="00D45D1F" w:rsidRPr="0040616D" w:rsidRDefault="00D45D1F" w:rsidP="00B14295">
      <w:pPr>
        <w:pStyle w:val="Default"/>
        <w:ind w:left="851" w:right="851"/>
        <w:jc w:val="both"/>
        <w:rPr>
          <w:rFonts w:ascii="Palatino Linotype" w:hAnsi="Palatino Linotype"/>
          <w:i/>
        </w:rPr>
      </w:pPr>
      <w:r w:rsidRPr="0040616D">
        <w:rPr>
          <w:rFonts w:ascii="Palatino Linotype" w:hAnsi="Palatino Linotype"/>
          <w:i/>
        </w:rPr>
        <w:lastRenderedPageBreak/>
        <w:t xml:space="preserve">“El Instituto Federal de Acceso a la Información y Protección de Datos </w:t>
      </w:r>
      <w:r w:rsidRPr="0040616D">
        <w:rPr>
          <w:rFonts w:ascii="Palatino Linotype" w:hAnsi="Palatino Linotype"/>
          <w:b/>
          <w:i/>
        </w:rPr>
        <w:t>no cuenta con facultades para pronunciarse respecto de la veracidad de los documentos proporcionados por los sujetos obligados.</w:t>
      </w:r>
      <w:r w:rsidRPr="0040616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45D1F" w:rsidRPr="0040616D" w:rsidRDefault="00D45D1F" w:rsidP="00D45D1F">
      <w:pPr>
        <w:pStyle w:val="Default"/>
        <w:spacing w:line="360" w:lineRule="auto"/>
        <w:ind w:left="851" w:right="850"/>
        <w:jc w:val="both"/>
        <w:rPr>
          <w:rFonts w:ascii="Palatino Linotype" w:hAnsi="Palatino Linotype"/>
          <w:i/>
        </w:rPr>
      </w:pPr>
    </w:p>
    <w:p w:rsidR="00D45D1F" w:rsidRPr="0040616D" w:rsidRDefault="00D45D1F" w:rsidP="00D45D1F">
      <w:pPr>
        <w:numPr>
          <w:ilvl w:val="0"/>
          <w:numId w:val="1"/>
        </w:numPr>
        <w:spacing w:line="360" w:lineRule="auto"/>
        <w:ind w:left="0" w:firstLine="0"/>
        <w:contextualSpacing/>
        <w:jc w:val="both"/>
        <w:rPr>
          <w:rFonts w:ascii="Palatino Linotype" w:hAnsi="Palatino Linotype"/>
          <w:i/>
        </w:rPr>
      </w:pPr>
      <w:r w:rsidRPr="0040616D">
        <w:rPr>
          <w:rFonts w:ascii="Palatino Linotype" w:hAnsi="Palatino Linotype" w:cs="Arial"/>
        </w:rPr>
        <w:t>Así como lo dispuesto por</w:t>
      </w:r>
      <w:r w:rsidRPr="0040616D">
        <w:rPr>
          <w:rFonts w:ascii="Palatino Linotype" w:hAnsi="Palatino Linotype"/>
        </w:rPr>
        <w:t xml:space="preserve"> la </w:t>
      </w:r>
      <w:r w:rsidRPr="0040616D">
        <w:rPr>
          <w:rFonts w:ascii="Palatino Linotype" w:hAnsi="Palatino Linotype"/>
          <w:b/>
        </w:rPr>
        <w:t xml:space="preserve">Ley de Transparencia y Acceso a la Información Pública del </w:t>
      </w:r>
      <w:r w:rsidRPr="0040616D">
        <w:rPr>
          <w:rFonts w:ascii="Palatino Linotype" w:hAnsi="Palatino Linotype" w:cs="Arial"/>
        </w:rPr>
        <w:t>Estado</w:t>
      </w:r>
      <w:r w:rsidRPr="0040616D">
        <w:rPr>
          <w:rFonts w:ascii="Palatino Linotype" w:hAnsi="Palatino Linotype"/>
          <w:b/>
        </w:rPr>
        <w:t xml:space="preserve"> de México y Municipios</w:t>
      </w:r>
      <w:r w:rsidRPr="0040616D">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45D1F" w:rsidRPr="0040616D" w:rsidRDefault="00D45D1F" w:rsidP="00D45D1F">
      <w:pPr>
        <w:pStyle w:val="Prrafodelista"/>
        <w:spacing w:line="360" w:lineRule="auto"/>
        <w:ind w:left="0"/>
        <w:jc w:val="both"/>
        <w:rPr>
          <w:rFonts w:ascii="Palatino Linotype" w:hAnsi="Palatino Linotype"/>
          <w:i/>
        </w:rPr>
      </w:pPr>
    </w:p>
    <w:p w:rsidR="00D45D1F" w:rsidRPr="0040616D" w:rsidRDefault="00D45D1F" w:rsidP="00B14295">
      <w:pPr>
        <w:pStyle w:val="Prrafodelista"/>
        <w:ind w:left="567" w:right="680"/>
        <w:jc w:val="both"/>
        <w:rPr>
          <w:rFonts w:ascii="Palatino Linotype" w:hAnsi="Palatino Linotype" w:cs="Arial"/>
          <w:b/>
          <w:i/>
        </w:rPr>
      </w:pPr>
      <w:r w:rsidRPr="0040616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0616D">
        <w:rPr>
          <w:rFonts w:ascii="Palatino Linotype" w:hAnsi="Palatino Linotype" w:cs="Arial"/>
          <w:b/>
          <w:i/>
        </w:rPr>
        <w:t xml:space="preserve">Los Sujetos Obligados deben poner en práctica, políticas y programas de acceso a la información que se </w:t>
      </w:r>
      <w:r w:rsidRPr="0040616D">
        <w:rPr>
          <w:rFonts w:ascii="Palatino Linotype" w:hAnsi="Palatino Linotype" w:cs="Arial"/>
          <w:b/>
          <w:i/>
        </w:rPr>
        <w:lastRenderedPageBreak/>
        <w:t>apeguen a criterios de publicidad, veracidad, oportunidad, precisión y suficiencia en beneficio de los solicitantes.</w:t>
      </w:r>
    </w:p>
    <w:p w:rsidR="00D45D1F" w:rsidRPr="0040616D" w:rsidRDefault="00D45D1F" w:rsidP="00D45D1F">
      <w:pPr>
        <w:spacing w:line="360" w:lineRule="auto"/>
        <w:ind w:right="902"/>
        <w:jc w:val="both"/>
        <w:rPr>
          <w:rFonts w:ascii="Palatino Linotype" w:hAnsi="Palatino Linotype" w:cs="Arial"/>
          <w:b/>
        </w:rPr>
      </w:pPr>
    </w:p>
    <w:p w:rsidR="00D45D1F" w:rsidRPr="0040616D" w:rsidRDefault="00D45D1F" w:rsidP="0098151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0616D">
        <w:rPr>
          <w:rFonts w:ascii="Palatino Linotype" w:hAnsi="Palatino Linotype" w:cs="Arial"/>
        </w:rPr>
        <w:t>Numerales</w:t>
      </w:r>
      <w:r w:rsidRPr="0040616D">
        <w:rPr>
          <w:rFonts w:ascii="Palatino Linotype" w:hAnsi="Palatino Linotype" w:cs="Arial"/>
          <w:noProof/>
          <w:lang w:eastAsia="es-MX"/>
        </w:rPr>
        <w:t xml:space="preserve"> que compelen al </w:t>
      </w:r>
      <w:r w:rsidRPr="0040616D">
        <w:rPr>
          <w:rFonts w:ascii="Palatino Linotype" w:hAnsi="Palatino Linotype" w:cs="Arial"/>
          <w:b/>
          <w:noProof/>
          <w:lang w:eastAsia="es-MX"/>
        </w:rPr>
        <w:t>SUJETO OBLIGADO</w:t>
      </w:r>
      <w:r w:rsidRPr="0040616D">
        <w:rPr>
          <w:rFonts w:ascii="Palatino Linotype" w:hAnsi="Palatino Linotype" w:cs="Arial"/>
          <w:noProof/>
          <w:lang w:eastAsia="es-MX"/>
        </w:rPr>
        <w:t xml:space="preserve"> apegarse en todo momento a los </w:t>
      </w:r>
      <w:r w:rsidRPr="0040616D">
        <w:rPr>
          <w:rFonts w:ascii="Palatino Linotype" w:hAnsi="Palatino Linotype" w:cs="Arial"/>
        </w:rPr>
        <w:t>criterios</w:t>
      </w:r>
      <w:r w:rsidRPr="0040616D">
        <w:rPr>
          <w:rFonts w:ascii="Palatino Linotype" w:hAnsi="Palatino Linotype" w:cs="Arial"/>
          <w:noProof/>
          <w:lang w:eastAsia="es-MX"/>
        </w:rPr>
        <w:t xml:space="preserve"> ya expuestos, impidiendo a este Órgano Colegiado cuestionar la veracidad de la información;</w:t>
      </w:r>
      <w:r w:rsidRPr="0040616D">
        <w:rPr>
          <w:rFonts w:ascii="Palatino Linotype" w:eastAsia="Palatino Linotype" w:hAnsi="Palatino Linotype" w:cs="Palatino Linotype"/>
          <w:color w:val="000000"/>
        </w:rPr>
        <w:t xml:space="preserve"> luego entonces, se tienen por colmadas las solicitudes de información de mérito.</w:t>
      </w:r>
    </w:p>
    <w:p w:rsidR="00B14295" w:rsidRPr="0040616D" w:rsidRDefault="00B14295" w:rsidP="00B14295">
      <w:pPr>
        <w:spacing w:line="360" w:lineRule="auto"/>
        <w:contextualSpacing/>
        <w:jc w:val="both"/>
        <w:rPr>
          <w:rFonts w:ascii="Palatino Linotype" w:eastAsia="Palatino Linotype" w:hAnsi="Palatino Linotype" w:cs="Palatino Linotype"/>
          <w:color w:val="000000"/>
        </w:rPr>
      </w:pPr>
    </w:p>
    <w:p w:rsidR="0098151A" w:rsidRPr="0040616D" w:rsidRDefault="00B14295" w:rsidP="00280FDC">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0616D">
        <w:rPr>
          <w:rFonts w:ascii="Palatino Linotype" w:eastAsia="Palatino Linotype" w:hAnsi="Palatino Linotype" w:cs="Palatino Linotype"/>
          <w:color w:val="000000"/>
        </w:rPr>
        <w:t>En ese orden de ideas</w:t>
      </w:r>
      <w:r w:rsidR="00A7007A" w:rsidRPr="0040616D">
        <w:rPr>
          <w:rFonts w:ascii="Palatino Linotype" w:eastAsia="Palatino Linotype" w:hAnsi="Palatino Linotype" w:cs="Palatino Linotype"/>
          <w:color w:val="000000"/>
        </w:rPr>
        <w:t xml:space="preserve">, </w:t>
      </w:r>
      <w:r w:rsidR="00467EA7" w:rsidRPr="0040616D">
        <w:rPr>
          <w:rFonts w:ascii="Palatino Linotype" w:eastAsia="Palatino Linotype" w:hAnsi="Palatino Linotype" w:cs="Palatino Linotype"/>
          <w:color w:val="000000"/>
        </w:rPr>
        <w:t>el</w:t>
      </w:r>
      <w:r w:rsidR="00B6795A" w:rsidRPr="0040616D">
        <w:rPr>
          <w:rFonts w:ascii="Palatino Linotype" w:eastAsia="Palatino Linotype" w:hAnsi="Palatino Linotype" w:cs="Palatino Linotype"/>
          <w:color w:val="000000"/>
        </w:rPr>
        <w:t xml:space="preserve"> particular tampoco aportó</w:t>
      </w:r>
      <w:r w:rsidRPr="0040616D">
        <w:rPr>
          <w:rFonts w:ascii="Palatino Linotype" w:eastAsia="Palatino Linotype" w:hAnsi="Palatino Linotype" w:cs="Palatino Linotype"/>
          <w:color w:val="000000"/>
        </w:rPr>
        <w:t xml:space="preserve"> medios de prueba que adujeran lo contrario durante la etapa de manifestaciones</w:t>
      </w:r>
      <w:r w:rsidR="00A7007A" w:rsidRPr="0040616D">
        <w:rPr>
          <w:rFonts w:ascii="Palatino Linotype" w:eastAsia="Palatino Linotype" w:hAnsi="Palatino Linotype" w:cs="Palatino Linotype"/>
          <w:color w:val="000000"/>
        </w:rPr>
        <w:t xml:space="preserve">. </w:t>
      </w:r>
      <w:r w:rsidR="005F0B96" w:rsidRPr="0040616D">
        <w:rPr>
          <w:rFonts w:ascii="Palatino Linotype" w:eastAsia="Palatino Linotype" w:hAnsi="Palatino Linotype" w:cs="Palatino Linotype"/>
          <w:color w:val="000000"/>
        </w:rPr>
        <w:t>Ahora bien, respecto a las formalidades que implica la reserva de informaciòn</w:t>
      </w:r>
      <w:r w:rsidR="00137491" w:rsidRPr="0040616D">
        <w:rPr>
          <w:rFonts w:ascii="Palatino Linotype" w:eastAsia="Palatino Linotype" w:hAnsi="Palatino Linotype" w:cs="Palatino Linotype"/>
          <w:color w:val="000000"/>
        </w:rPr>
        <w:t xml:space="preserve">, el </w:t>
      </w:r>
      <w:r w:rsidR="00A7007A" w:rsidRPr="0040616D">
        <w:rPr>
          <w:rFonts w:ascii="Palatino Linotype" w:eastAsia="Palatino Linotype" w:hAnsi="Palatino Linotype" w:cs="Palatino Linotype"/>
          <w:b/>
          <w:color w:val="000000"/>
        </w:rPr>
        <w:t>SUJETO OBLIADO,</w:t>
      </w:r>
      <w:r w:rsidR="00A40414" w:rsidRPr="0040616D">
        <w:rPr>
          <w:rFonts w:ascii="Palatino Linotype" w:eastAsia="Palatino Linotype" w:hAnsi="Palatino Linotype" w:cs="Palatino Linotype"/>
          <w:color w:val="000000"/>
        </w:rPr>
        <w:t xml:space="preserve"> en su respuesta adjuntó</w:t>
      </w:r>
      <w:r w:rsidR="00A7007A" w:rsidRPr="0040616D">
        <w:rPr>
          <w:rFonts w:ascii="Palatino Linotype" w:eastAsia="Palatino Linotype" w:hAnsi="Palatino Linotype" w:cs="Palatino Linotype"/>
          <w:color w:val="000000"/>
        </w:rPr>
        <w:t xml:space="preserve"> como anexos </w:t>
      </w:r>
      <w:r w:rsidR="00A40414" w:rsidRPr="0040616D">
        <w:rPr>
          <w:rFonts w:ascii="Palatino Linotype" w:eastAsia="Palatino Linotype" w:hAnsi="Palatino Linotype" w:cs="Palatino Linotype"/>
          <w:color w:val="000000"/>
        </w:rPr>
        <w:t>las Actas de la Tercera y Cuarta Sesión Extraordinarias 2020 del Comité de Transparencia de la procuraduría de Protección al Ambiente del Estado de México, mediante la cual se aprobó la reserva de información correspondiente a los expedientes administrativos con convenios de compensación ambiental celebrados por la Procuraduría de Protección al Ambiente del Estado de México.</w:t>
      </w:r>
    </w:p>
    <w:p w:rsidR="00A40414" w:rsidRPr="0040616D" w:rsidRDefault="00A40414" w:rsidP="00A40414">
      <w:pPr>
        <w:pStyle w:val="Prrafodelista"/>
        <w:rPr>
          <w:rFonts w:ascii="Palatino Linotype" w:eastAsia="Palatino Linotype" w:hAnsi="Palatino Linotype" w:cs="Palatino Linotype"/>
          <w:color w:val="000000"/>
        </w:rPr>
      </w:pPr>
    </w:p>
    <w:p w:rsidR="00A40414" w:rsidRPr="0040616D" w:rsidRDefault="00A40414" w:rsidP="00B6795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0616D">
        <w:rPr>
          <w:rFonts w:ascii="Palatino Linotype" w:eastAsia="Palatino Linotype" w:hAnsi="Palatino Linotype" w:cs="Palatino Linotype"/>
          <w:color w:val="000000"/>
        </w:rPr>
        <w:t xml:space="preserve">Luego entonces, se advierte que </w:t>
      </w:r>
      <w:r w:rsidR="00DE3E5E" w:rsidRPr="0040616D">
        <w:rPr>
          <w:rFonts w:ascii="Palatino Linotype" w:eastAsia="Palatino Linotype" w:hAnsi="Palatino Linotype" w:cs="Palatino Linotype"/>
          <w:color w:val="000000"/>
        </w:rPr>
        <w:t xml:space="preserve">lo solicitado en la solicitud de información de mérito, </w:t>
      </w:r>
      <w:r w:rsidRPr="0040616D">
        <w:rPr>
          <w:rFonts w:ascii="Palatino Linotype" w:eastAsia="Palatino Linotype" w:hAnsi="Palatino Linotype" w:cs="Palatino Linotype"/>
          <w:color w:val="000000"/>
        </w:rPr>
        <w:t xml:space="preserve">corresponde a información inmersa en soporte documental clasificado como reservado con anterioridad a la respuesta de la solicitud; no obstante los acuerdos remitidos se desestiman </w:t>
      </w:r>
      <w:r w:rsidR="00B6795A" w:rsidRPr="0040616D">
        <w:rPr>
          <w:rFonts w:ascii="Palatino Linotype" w:eastAsia="Palatino Linotype" w:hAnsi="Palatino Linotype" w:cs="Palatino Linotype"/>
          <w:color w:val="000000"/>
        </w:rPr>
        <w:t>(</w:t>
      </w:r>
      <w:r w:rsidR="00B6795A" w:rsidRPr="0040616D">
        <w:rPr>
          <w:rFonts w:ascii="Palatino Linotype" w:eastAsia="Palatino Linotype" w:hAnsi="Palatino Linotype" w:cs="Palatino Linotype"/>
          <w:i/>
          <w:color w:val="000000"/>
        </w:rPr>
        <w:t>suponiendo sin conceder resultara procedente la clasificación como se precisara más adelante</w:t>
      </w:r>
      <w:r w:rsidR="00B6795A" w:rsidRPr="0040616D">
        <w:rPr>
          <w:rFonts w:ascii="Palatino Linotype" w:eastAsia="Palatino Linotype" w:hAnsi="Palatino Linotype" w:cs="Palatino Linotype"/>
          <w:color w:val="000000"/>
        </w:rPr>
        <w:t xml:space="preserve">) </w:t>
      </w:r>
      <w:r w:rsidRPr="0040616D">
        <w:rPr>
          <w:rFonts w:ascii="Palatino Linotype" w:eastAsia="Palatino Linotype" w:hAnsi="Palatino Linotype" w:cs="Palatino Linotype"/>
          <w:color w:val="000000"/>
        </w:rPr>
        <w:t>como soporte para el presente asunto, en los que se sustente una clasificación de la informaciòn por las siguientes consideraciones.</w:t>
      </w:r>
    </w:p>
    <w:p w:rsidR="00A40414" w:rsidRPr="0040616D" w:rsidRDefault="00A40414" w:rsidP="00A40414">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lastRenderedPageBreak/>
        <w:t xml:space="preserve">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w:t>
      </w:r>
      <w:r w:rsidRPr="0040616D">
        <w:rPr>
          <w:rFonts w:ascii="Palatino Linotype" w:hAnsi="Palatino Linotype"/>
          <w:b/>
          <w:color w:val="000000"/>
        </w:rPr>
        <w:t>no se puede hacer una prueba de daño de un expediente completo, sino de cada uno de los documentos que lo integran</w:t>
      </w:r>
      <w:r w:rsidRPr="0040616D">
        <w:rPr>
          <w:rFonts w:ascii="Palatino Linotype" w:hAnsi="Palatino Linotype"/>
          <w:color w:val="000000"/>
        </w:rPr>
        <w:t>.</w:t>
      </w:r>
    </w:p>
    <w:p w:rsidR="00EF581A" w:rsidRPr="0040616D" w:rsidRDefault="00EF581A" w:rsidP="00EF581A">
      <w:pPr>
        <w:pStyle w:val="Prrafodelista"/>
        <w:rPr>
          <w:rFonts w:ascii="Palatino Linotype" w:hAnsi="Palatino Linotype"/>
          <w:color w:val="000000"/>
        </w:rPr>
      </w:pPr>
    </w:p>
    <w:p w:rsidR="00EF581A" w:rsidRPr="0040616D" w:rsidRDefault="00EF581A" w:rsidP="00A40414">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t xml:space="preserve">En esa tesitura, como se desprende de las actas entregadas, se clasifican expedientes completos; </w:t>
      </w:r>
      <w:r w:rsidRPr="0040616D">
        <w:rPr>
          <w:rFonts w:ascii="Palatino Linotype" w:hAnsi="Palatino Linotype"/>
          <w:b/>
          <w:color w:val="000000"/>
        </w:rPr>
        <w:t>no así el soporte documental requerido en la solicitud de información que nos ocupa</w:t>
      </w:r>
      <w:r w:rsidRPr="0040616D">
        <w:rPr>
          <w:rFonts w:ascii="Palatino Linotype" w:hAnsi="Palatino Linotype"/>
          <w:color w:val="000000"/>
        </w:rPr>
        <w:t>.</w:t>
      </w:r>
    </w:p>
    <w:p w:rsidR="00EF581A" w:rsidRPr="0040616D" w:rsidRDefault="00EF581A" w:rsidP="00EF581A">
      <w:pPr>
        <w:pStyle w:val="Prrafodelista"/>
        <w:rPr>
          <w:rFonts w:ascii="Palatino Linotype" w:hAnsi="Palatino Linotype"/>
          <w:color w:val="000000"/>
        </w:rPr>
      </w:pPr>
    </w:p>
    <w:p w:rsidR="00EF581A" w:rsidRPr="0040616D"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t>Para aplicar la prueba de daño, se deberán de precisar las razones objetivas por las que la apertura genera una afectación, acreditando que:</w:t>
      </w:r>
    </w:p>
    <w:p w:rsidR="00EF581A" w:rsidRPr="0040616D" w:rsidRDefault="00EF581A" w:rsidP="00EF581A">
      <w:pPr>
        <w:pStyle w:val="Prrafodelista"/>
        <w:tabs>
          <w:tab w:val="left" w:pos="0"/>
          <w:tab w:val="left" w:pos="142"/>
        </w:tabs>
        <w:spacing w:line="360" w:lineRule="auto"/>
        <w:ind w:left="0"/>
        <w:jc w:val="both"/>
        <w:rPr>
          <w:rFonts w:ascii="Palatino Linotype" w:hAnsi="Palatino Linotype"/>
          <w:color w:val="000000"/>
        </w:rPr>
      </w:pPr>
    </w:p>
    <w:p w:rsidR="00EF581A" w:rsidRPr="0040616D" w:rsidRDefault="00EF581A" w:rsidP="00EF581A">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40616D">
        <w:rPr>
          <w:rFonts w:ascii="Palatino Linotype" w:hAnsi="Palatino Linotype"/>
          <w:color w:val="000000"/>
        </w:rPr>
        <w:t xml:space="preserve">La </w:t>
      </w:r>
      <w:r w:rsidRPr="0040616D">
        <w:rPr>
          <w:rFonts w:ascii="Palatino Linotype" w:hAnsi="Palatino Linotype"/>
          <w:iCs/>
          <w:color w:val="000000"/>
        </w:rPr>
        <w:t xml:space="preserve">divulgación de la información representa un riesgo real, demostrable e identificable del perjuicio significativo al interés público o a la seguridad pública; </w:t>
      </w:r>
    </w:p>
    <w:p w:rsidR="0068467A" w:rsidRPr="0040616D" w:rsidRDefault="0068467A" w:rsidP="0068467A">
      <w:pPr>
        <w:tabs>
          <w:tab w:val="left" w:pos="426"/>
        </w:tabs>
        <w:spacing w:after="160" w:line="360" w:lineRule="auto"/>
        <w:ind w:left="1134"/>
        <w:contextualSpacing/>
        <w:jc w:val="both"/>
        <w:rPr>
          <w:rFonts w:ascii="Palatino Linotype" w:hAnsi="Palatino Linotype"/>
          <w:iCs/>
          <w:color w:val="000000"/>
        </w:rPr>
      </w:pPr>
    </w:p>
    <w:p w:rsidR="00EF581A" w:rsidRPr="0040616D" w:rsidRDefault="00EF581A" w:rsidP="00EF581A">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40616D">
        <w:rPr>
          <w:rFonts w:ascii="Palatino Linotype" w:hAnsi="Palatino Linotype"/>
          <w:iCs/>
          <w:color w:val="000000"/>
        </w:rPr>
        <w:t xml:space="preserve">El riesgo de perjuicio que supondría la divulgación supera el interés público general de que se difunda; y </w:t>
      </w:r>
    </w:p>
    <w:p w:rsidR="0068467A" w:rsidRPr="0040616D" w:rsidRDefault="0068467A" w:rsidP="0068467A">
      <w:pPr>
        <w:tabs>
          <w:tab w:val="left" w:pos="426"/>
        </w:tabs>
        <w:spacing w:after="160" w:line="360" w:lineRule="auto"/>
        <w:contextualSpacing/>
        <w:jc w:val="both"/>
        <w:rPr>
          <w:rFonts w:ascii="Palatino Linotype" w:hAnsi="Palatino Linotype"/>
          <w:iCs/>
          <w:color w:val="000000"/>
        </w:rPr>
      </w:pPr>
    </w:p>
    <w:p w:rsidR="00EF581A" w:rsidRPr="0040616D" w:rsidRDefault="00EF581A" w:rsidP="00D52DAB">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40616D">
        <w:rPr>
          <w:rFonts w:ascii="Palatino Linotype" w:hAnsi="Palatino Linotype"/>
          <w:iCs/>
          <w:color w:val="000000"/>
        </w:rPr>
        <w:t>La limitación se adecua al principio de proporcionalidad y representa el medio menos restrictivo disponible para evitar el perjuicio.</w:t>
      </w:r>
    </w:p>
    <w:p w:rsidR="00EF581A" w:rsidRPr="0040616D" w:rsidRDefault="00EF581A" w:rsidP="00EF58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40616D">
        <w:rPr>
          <w:rFonts w:ascii="Palatino Linotype" w:hAnsi="Palatino Linotype"/>
          <w:color w:val="000000"/>
        </w:rPr>
        <w:lastRenderedPageBreak/>
        <w:t>Sobre</w:t>
      </w:r>
      <w:r w:rsidRPr="0040616D">
        <w:rPr>
          <w:rFonts w:ascii="Palatino Linotype" w:eastAsia="Calibri" w:hAnsi="Palatino Linotype"/>
          <w:color w:val="000000"/>
          <w:lang w:eastAsia="es-ES_tradnl"/>
        </w:rPr>
        <w:t xml:space="preserve"> el primer supuesto consideremos que según el diccionario del español jurídico, por riesgo podemos entender “la contingencia o proximidad de un daño”,</w:t>
      </w:r>
      <w:r w:rsidRPr="0040616D">
        <w:rPr>
          <w:rFonts w:ascii="Palatino Linotype" w:eastAsia="Calibri" w:hAnsi="Palatino Linotype"/>
          <w:color w:val="000000"/>
          <w:vertAlign w:val="superscript"/>
          <w:lang w:eastAsia="es-ES_tradnl"/>
        </w:rPr>
        <w:footnoteReference w:id="1"/>
      </w:r>
      <w:r w:rsidRPr="0040616D">
        <w:rPr>
          <w:rFonts w:ascii="Palatino Linotype" w:eastAsia="Calibri" w:hAnsi="Palatino Linotype"/>
          <w:color w:val="000000"/>
          <w:lang w:eastAsia="es-ES_tradnl"/>
        </w:rPr>
        <w:t xml:space="preserve"> mientras que el daño es considerado como un “perjuicio o lesión”</w:t>
      </w:r>
      <w:r w:rsidRPr="0040616D">
        <w:rPr>
          <w:rFonts w:ascii="Palatino Linotype" w:eastAsia="Calibri" w:hAnsi="Palatino Linotype"/>
          <w:color w:val="000000"/>
          <w:vertAlign w:val="superscript"/>
          <w:lang w:eastAsia="es-ES_tradnl"/>
        </w:rPr>
        <w:footnoteReference w:id="2"/>
      </w:r>
      <w:r w:rsidRPr="0040616D">
        <w:rPr>
          <w:rFonts w:ascii="Palatino Linotype" w:eastAsia="Calibri" w:hAnsi="Palatino Linotype"/>
          <w:color w:val="000000"/>
          <w:lang w:eastAsia="es-ES_tradnl"/>
        </w:rPr>
        <w:t>, mientras que según el Diccionario de la Lengua Española, lo real es</w:t>
      </w:r>
      <w:r w:rsidRPr="0040616D">
        <w:rPr>
          <w:rFonts w:ascii="Palatino Linotype" w:eastAsia="Arial Unicode MS" w:hAnsi="Palatino Linotype" w:cs="Arial Unicode MS"/>
          <w:color w:val="000000"/>
          <w:spacing w:val="4"/>
          <w:shd w:val="clear" w:color="auto" w:fill="FFFFFF"/>
          <w:lang w:eastAsia="es-ES_tradnl"/>
        </w:rPr>
        <w:t xml:space="preserve"> lo “</w:t>
      </w:r>
      <w:r w:rsidRPr="0040616D">
        <w:rPr>
          <w:rFonts w:ascii="Palatino Linotype" w:hAnsi="Palatino Linotype"/>
          <w:color w:val="000000"/>
          <w:lang w:eastAsia="es-ES_tradnl"/>
        </w:rPr>
        <w:t>(que</w:t>
      </w:r>
      <w:r w:rsidRPr="0040616D">
        <w:rPr>
          <w:rFonts w:ascii="Palatino Linotype" w:eastAsia="Arial Unicode MS" w:hAnsi="Palatino Linotype" w:cs="Arial Unicode MS"/>
          <w:color w:val="000000"/>
          <w:spacing w:val="4"/>
          <w:shd w:val="clear" w:color="auto" w:fill="FFFFFF"/>
          <w:lang w:eastAsia="es-ES_tradnl"/>
        </w:rPr>
        <w:t xml:space="preserve"> </w:t>
      </w:r>
      <w:r w:rsidRPr="0040616D">
        <w:rPr>
          <w:rFonts w:ascii="Palatino Linotype" w:hAnsi="Palatino Linotype"/>
          <w:color w:val="000000"/>
          <w:lang w:eastAsia="es-ES_tradnl"/>
        </w:rPr>
        <w:t>tiene</w:t>
      </w:r>
      <w:r w:rsidRPr="0040616D">
        <w:rPr>
          <w:rFonts w:ascii="Palatino Linotype" w:eastAsia="Arial Unicode MS" w:hAnsi="Palatino Linotype" w:cs="Arial Unicode MS"/>
          <w:color w:val="000000"/>
          <w:spacing w:val="4"/>
          <w:shd w:val="clear" w:color="auto" w:fill="FFFFFF"/>
          <w:lang w:eastAsia="es-ES_tradnl"/>
        </w:rPr>
        <w:t xml:space="preserve"> </w:t>
      </w:r>
      <w:r w:rsidRPr="0040616D">
        <w:rPr>
          <w:rFonts w:ascii="Palatino Linotype" w:hAnsi="Palatino Linotype"/>
          <w:color w:val="000000"/>
          <w:lang w:eastAsia="es-ES_tradnl"/>
        </w:rPr>
        <w:t>existencia</w:t>
      </w:r>
      <w:r w:rsidRPr="0040616D">
        <w:rPr>
          <w:rFonts w:ascii="Palatino Linotype" w:eastAsia="Arial Unicode MS" w:hAnsi="Palatino Linotype" w:cs="Arial Unicode MS"/>
          <w:color w:val="000000"/>
          <w:spacing w:val="4"/>
          <w:shd w:val="clear" w:color="auto" w:fill="FFFFFF"/>
          <w:lang w:eastAsia="es-ES_tradnl"/>
        </w:rPr>
        <w:t xml:space="preserve"> </w:t>
      </w:r>
      <w:r w:rsidRPr="0040616D">
        <w:rPr>
          <w:rFonts w:ascii="Palatino Linotype" w:hAnsi="Palatino Linotype"/>
          <w:color w:val="000000"/>
          <w:lang w:eastAsia="es-ES_tradnl"/>
        </w:rPr>
        <w:t>objetiva”,</w:t>
      </w:r>
      <w:r w:rsidRPr="0040616D">
        <w:rPr>
          <w:rFonts w:ascii="Palatino Linotype" w:hAnsi="Palatino Linotype"/>
          <w:color w:val="000000"/>
          <w:vertAlign w:val="superscript"/>
          <w:lang w:eastAsia="es-ES_tradnl"/>
        </w:rPr>
        <w:footnoteReference w:id="3"/>
      </w:r>
      <w:r w:rsidRPr="0040616D">
        <w:rPr>
          <w:rFonts w:ascii="Palatino Linotype" w:hAnsi="Palatino Linotype"/>
          <w:color w:val="000000"/>
          <w:lang w:eastAsia="es-ES_tradnl"/>
        </w:rPr>
        <w:t xml:space="preserve"> </w:t>
      </w:r>
      <w:r w:rsidRPr="0040616D">
        <w:rPr>
          <w:rFonts w:ascii="Palatino Linotype" w:hAnsi="Palatino Linotype"/>
          <w:color w:val="000000"/>
        </w:rPr>
        <w:t>mientras</w:t>
      </w:r>
      <w:r w:rsidRPr="0040616D">
        <w:rPr>
          <w:rFonts w:ascii="Palatino Linotype" w:eastAsia="Arial Unicode MS" w:hAnsi="Palatino Linotype" w:cs="Arial Unicode MS"/>
          <w:color w:val="000000"/>
          <w:spacing w:val="4"/>
          <w:shd w:val="clear" w:color="auto" w:fill="FFFFFF"/>
          <w:lang w:eastAsia="es-ES_tradnl"/>
        </w:rPr>
        <w:t xml:space="preserve"> que lo demostrables es, según la misma fuente, aquello que se puede demostrar,</w:t>
      </w:r>
      <w:r w:rsidRPr="0040616D">
        <w:rPr>
          <w:rFonts w:ascii="Palatino Linotype" w:eastAsia="Arial Unicode MS" w:hAnsi="Palatino Linotype" w:cs="Arial Unicode MS"/>
          <w:color w:val="000000"/>
          <w:spacing w:val="4"/>
          <w:shd w:val="clear" w:color="auto" w:fill="FFFFFF"/>
          <w:vertAlign w:val="superscript"/>
          <w:lang w:eastAsia="es-ES_tradnl"/>
        </w:rPr>
        <w:footnoteReference w:id="4"/>
      </w:r>
      <w:r w:rsidRPr="0040616D">
        <w:rPr>
          <w:rFonts w:ascii="Palatino Linotype" w:eastAsia="Arial Unicode MS" w:hAnsi="Palatino Linotype" w:cs="Arial Unicode MS"/>
          <w:color w:val="000000"/>
          <w:spacing w:val="4"/>
          <w:shd w:val="clear" w:color="auto" w:fill="FFFFFF"/>
          <w:lang w:eastAsia="es-ES_tradnl"/>
        </w:rPr>
        <w:t xml:space="preserve"> es decir, </w:t>
      </w:r>
      <w:r w:rsidRPr="0040616D">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40616D">
          <w:rPr>
            <w:rFonts w:ascii="Palatino Linotype" w:eastAsia="Calibri" w:hAnsi="Palatino Linotype"/>
            <w:color w:val="000000"/>
            <w:lang w:eastAsia="en-US"/>
          </w:rPr>
          <w:t>enseñar</w:t>
        </w:r>
      </w:hyperlink>
      <w:r w:rsidRPr="0040616D">
        <w:rPr>
          <w:rFonts w:ascii="Palatino Linotype" w:eastAsia="Calibri" w:hAnsi="Palatino Linotype"/>
          <w:color w:val="000000"/>
          <w:lang w:eastAsia="en-US"/>
        </w:rPr>
        <w:t xml:space="preserve"> mostrar o exponer algo)”.</w:t>
      </w:r>
      <w:r w:rsidRPr="0040616D">
        <w:rPr>
          <w:rFonts w:ascii="Palatino Linotype" w:eastAsia="Calibri" w:hAnsi="Palatino Linotype"/>
          <w:color w:val="000000"/>
          <w:vertAlign w:val="superscript"/>
          <w:lang w:eastAsia="en-US"/>
        </w:rPr>
        <w:footnoteReference w:id="5"/>
      </w:r>
      <w:r w:rsidRPr="0040616D">
        <w:rPr>
          <w:rFonts w:ascii="Palatino Linotype" w:eastAsia="Calibri" w:hAnsi="Palatino Linotype"/>
          <w:color w:val="000000"/>
          <w:lang w:eastAsia="en-US"/>
        </w:rPr>
        <w:t xml:space="preserve"> Mientras que lo identificable es lo que puede ser identificado,</w:t>
      </w:r>
      <w:r w:rsidRPr="0040616D">
        <w:rPr>
          <w:rFonts w:ascii="Palatino Linotype" w:eastAsia="Calibri" w:hAnsi="Palatino Linotype"/>
          <w:color w:val="000000"/>
          <w:vertAlign w:val="superscript"/>
          <w:lang w:eastAsia="en-US"/>
        </w:rPr>
        <w:footnoteReference w:id="6"/>
      </w:r>
      <w:r w:rsidRPr="0040616D">
        <w:rPr>
          <w:rFonts w:ascii="Palatino Linotype" w:eastAsia="Calibri" w:hAnsi="Palatino Linotype"/>
          <w:color w:val="000000"/>
          <w:lang w:eastAsia="en-US"/>
        </w:rPr>
        <w:t xml:space="preserve"> esto es,</w:t>
      </w:r>
      <w:r w:rsidRPr="0040616D">
        <w:rPr>
          <w:rFonts w:ascii="Palatino Linotype" w:eastAsia="Calibri" w:hAnsi="Palatino Linotype"/>
          <w:color w:val="000000"/>
          <w:lang w:eastAsia="es-ES_tradnl"/>
        </w:rPr>
        <w:t xml:space="preserve"> “(dar los datos necesarios para ser reconocido”.</w:t>
      </w:r>
      <w:r w:rsidRPr="0040616D">
        <w:rPr>
          <w:rFonts w:ascii="Palatino Linotype" w:eastAsia="Calibri" w:hAnsi="Palatino Linotype"/>
          <w:color w:val="000000"/>
          <w:vertAlign w:val="superscript"/>
          <w:lang w:eastAsia="es-ES_tradnl"/>
        </w:rPr>
        <w:footnoteReference w:id="7"/>
      </w:r>
    </w:p>
    <w:p w:rsidR="00EF581A" w:rsidRPr="0040616D" w:rsidRDefault="00EF581A" w:rsidP="00EF581A">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rsidR="00EF581A" w:rsidRPr="0040616D"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EF581A" w:rsidRPr="0040616D" w:rsidRDefault="00EF581A" w:rsidP="00EF581A">
      <w:pPr>
        <w:pStyle w:val="Prrafodelista"/>
        <w:rPr>
          <w:rFonts w:ascii="Palatino Linotype" w:hAnsi="Palatino Linotype"/>
          <w:color w:val="000000"/>
        </w:rPr>
      </w:pPr>
    </w:p>
    <w:p w:rsidR="00EF581A" w:rsidRPr="0040616D"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t xml:space="preserve">Identificado ese riesgo, se debe demostrar que el mismo </w:t>
      </w:r>
      <w:r w:rsidRPr="0040616D">
        <w:rPr>
          <w:rFonts w:ascii="Palatino Linotype" w:hAnsi="Palatino Linotype"/>
          <w:b/>
          <w:color w:val="000000"/>
        </w:rPr>
        <w:t>supera el interés público general</w:t>
      </w:r>
      <w:r w:rsidRPr="0040616D">
        <w:rPr>
          <w:rFonts w:ascii="Palatino Linotype" w:hAnsi="Palatino Linotype"/>
          <w:color w:val="000000"/>
        </w:rPr>
        <w:t xml:space="preserve"> porque se difunda dicha información. </w:t>
      </w:r>
    </w:p>
    <w:p w:rsidR="00EF581A" w:rsidRPr="0040616D" w:rsidRDefault="00EF581A" w:rsidP="00EF581A">
      <w:pPr>
        <w:pStyle w:val="Prrafodelista"/>
        <w:rPr>
          <w:rFonts w:ascii="Palatino Linotype" w:hAnsi="Palatino Linotype"/>
          <w:color w:val="000000"/>
        </w:rPr>
      </w:pPr>
    </w:p>
    <w:p w:rsidR="00EF581A" w:rsidRPr="0040616D"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40616D">
        <w:rPr>
          <w:rFonts w:ascii="Palatino Linotype" w:hAnsi="Palatino Linotype"/>
          <w:color w:val="000000"/>
        </w:rPr>
        <w:lastRenderedPageBreak/>
        <w:t>Y, por último,  que la limitación es acorde con el principio de proporcionalidad, para ello, se sugiere emplear los tres juicios propuestos por la Corte Constitucional Colombiana</w:t>
      </w:r>
      <w:r w:rsidRPr="0040616D">
        <w:rPr>
          <w:rFonts w:ascii="Palatino Linotype" w:hAnsi="Palatino Linotype"/>
          <w:color w:val="000000"/>
          <w:vertAlign w:val="superscript"/>
        </w:rPr>
        <w:footnoteReference w:id="8"/>
      </w:r>
      <w:r w:rsidRPr="0040616D">
        <w:rPr>
          <w:rFonts w:ascii="Palatino Linotype" w:hAnsi="Palatino Linotype"/>
          <w:color w:val="000000"/>
        </w:rPr>
        <w:t>, siguiendo el principio de ponderación propuesto por el Tribunal Constitucional Alemán,</w:t>
      </w:r>
      <w:r w:rsidRPr="0040616D">
        <w:rPr>
          <w:rFonts w:ascii="Palatino Linotype" w:hAnsi="Palatino Linotype"/>
          <w:color w:val="000000"/>
          <w:vertAlign w:val="superscript"/>
        </w:rPr>
        <w:footnoteReference w:id="9"/>
      </w:r>
      <w:r w:rsidRPr="0040616D">
        <w:rPr>
          <w:rFonts w:ascii="Palatino Linotype" w:hAnsi="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A40414" w:rsidRPr="0040616D" w:rsidRDefault="00A40414" w:rsidP="00A40414">
      <w:pPr>
        <w:spacing w:line="360" w:lineRule="auto"/>
        <w:contextualSpacing/>
        <w:jc w:val="both"/>
        <w:rPr>
          <w:rFonts w:ascii="Palatino Linotype" w:eastAsia="Palatino Linotype" w:hAnsi="Palatino Linotype" w:cs="Palatino Linotype"/>
          <w:color w:val="000000"/>
        </w:rPr>
      </w:pPr>
    </w:p>
    <w:p w:rsidR="00B6795A" w:rsidRPr="0040616D" w:rsidRDefault="00B6795A" w:rsidP="0072660E">
      <w:pPr>
        <w:pStyle w:val="Prrafodelista"/>
        <w:numPr>
          <w:ilvl w:val="0"/>
          <w:numId w:val="1"/>
        </w:numPr>
        <w:tabs>
          <w:tab w:val="left" w:pos="0"/>
          <w:tab w:val="left" w:pos="142"/>
        </w:tabs>
        <w:spacing w:line="360" w:lineRule="auto"/>
        <w:ind w:left="0" w:firstLine="0"/>
        <w:jc w:val="both"/>
        <w:rPr>
          <w:rFonts w:ascii="Palatino Linotype" w:eastAsia="MS Mincho" w:hAnsi="Palatino Linotype" w:cs="Arial"/>
          <w:color w:val="000000" w:themeColor="text1"/>
          <w:lang w:val="es-MX"/>
        </w:rPr>
      </w:pPr>
      <w:r w:rsidRPr="0040616D">
        <w:rPr>
          <w:rFonts w:ascii="Palatino Linotype" w:eastAsia="MS Mincho" w:hAnsi="Palatino Linotype" w:cs="Arial"/>
          <w:color w:val="000000" w:themeColor="text1"/>
          <w:lang w:val="es-MX"/>
        </w:rPr>
        <w:t xml:space="preserve">Acotado lo anterior, es de señalar que </w:t>
      </w:r>
      <w:r w:rsidR="00467EA7" w:rsidRPr="0040616D">
        <w:rPr>
          <w:rFonts w:ascii="Palatino Linotype" w:eastAsia="MS Mincho" w:hAnsi="Palatino Linotype" w:cs="Arial"/>
          <w:color w:val="000000" w:themeColor="text1"/>
          <w:lang w:val="es-MX"/>
        </w:rPr>
        <w:t xml:space="preserve">se desestima la pretendida clasificación y la aplicabilidad de la prueba de daño, ya que </w:t>
      </w:r>
      <w:r w:rsidRPr="0040616D">
        <w:rPr>
          <w:rFonts w:ascii="Palatino Linotype" w:eastAsia="MS Mincho" w:hAnsi="Palatino Linotype" w:cs="Arial"/>
          <w:color w:val="000000" w:themeColor="text1"/>
          <w:lang w:val="es-MX"/>
        </w:rPr>
        <w:t xml:space="preserve">como tuvo a bien referir el hoy </w:t>
      </w:r>
      <w:r w:rsidRPr="0040616D">
        <w:rPr>
          <w:rFonts w:ascii="Palatino Linotype" w:eastAsia="MS Mincho" w:hAnsi="Palatino Linotype" w:cs="Arial"/>
          <w:b/>
          <w:color w:val="000000" w:themeColor="text1"/>
          <w:lang w:val="es-MX"/>
        </w:rPr>
        <w:t>RECURRENTE</w:t>
      </w:r>
      <w:r w:rsidRPr="0040616D">
        <w:rPr>
          <w:rFonts w:ascii="Palatino Linotype" w:eastAsia="MS Mincho" w:hAnsi="Palatino Linotype" w:cs="Arial"/>
          <w:color w:val="000000" w:themeColor="text1"/>
          <w:lang w:val="es-MX"/>
        </w:rPr>
        <w:t xml:space="preserve"> en su escrito recursal en su parte relativa a: </w:t>
      </w:r>
      <w:r w:rsidRPr="0040616D">
        <w:rPr>
          <w:rFonts w:ascii="Palatino Linotype" w:eastAsia="MS Mincho" w:hAnsi="Palatino Linotype" w:cs="Arial"/>
          <w:i/>
          <w:color w:val="000000" w:themeColor="text1"/>
          <w:lang w:val="es-MX"/>
        </w:rPr>
        <w:t xml:space="preserve">“Considero que el Sujeto </w:t>
      </w:r>
      <w:r w:rsidRPr="0040616D">
        <w:rPr>
          <w:rFonts w:ascii="Palatino Linotype" w:eastAsia="MS Mincho" w:hAnsi="Palatino Linotype" w:cs="Arial"/>
          <w:i/>
          <w:color w:val="000000" w:themeColor="text1"/>
          <w:lang w:val="es-MX"/>
        </w:rPr>
        <w:lastRenderedPageBreak/>
        <w:t>debe entregar la información solicitada dado que es de interés al tratarse de temas relacionados con el medio ambiente.”</w:t>
      </w:r>
    </w:p>
    <w:p w:rsidR="00467EA7" w:rsidRPr="0040616D" w:rsidRDefault="00467EA7" w:rsidP="00467EA7">
      <w:pPr>
        <w:pStyle w:val="Prrafodelista"/>
        <w:rPr>
          <w:rFonts w:ascii="Palatino Linotype" w:eastAsia="MS Mincho" w:hAnsi="Palatino Linotype" w:cs="Arial"/>
          <w:color w:val="000000" w:themeColor="text1"/>
          <w:lang w:val="es-MX"/>
        </w:rPr>
      </w:pPr>
    </w:p>
    <w:p w:rsidR="00B6795A" w:rsidRPr="0040616D" w:rsidRDefault="00467EA7" w:rsidP="0072660E">
      <w:pPr>
        <w:pStyle w:val="Prrafodelista"/>
        <w:numPr>
          <w:ilvl w:val="0"/>
          <w:numId w:val="1"/>
        </w:numPr>
        <w:tabs>
          <w:tab w:val="left" w:pos="0"/>
          <w:tab w:val="left" w:pos="142"/>
        </w:tabs>
        <w:spacing w:line="360" w:lineRule="auto"/>
        <w:ind w:left="0" w:firstLine="0"/>
        <w:jc w:val="both"/>
        <w:rPr>
          <w:rFonts w:ascii="Palatino Linotype" w:eastAsia="MS Mincho" w:hAnsi="Palatino Linotype" w:cs="Arial"/>
          <w:color w:val="000000" w:themeColor="text1"/>
          <w:lang w:val="es-MX"/>
        </w:rPr>
      </w:pPr>
      <w:r w:rsidRPr="0040616D">
        <w:rPr>
          <w:rFonts w:ascii="Palatino Linotype" w:eastAsia="MS Mincho" w:hAnsi="Palatino Linotype" w:cs="Arial"/>
          <w:color w:val="000000" w:themeColor="text1"/>
          <w:lang w:val="es-MX"/>
        </w:rPr>
        <w:t>Es que s</w:t>
      </w:r>
      <w:r w:rsidR="00B6795A" w:rsidRPr="0040616D">
        <w:rPr>
          <w:rFonts w:ascii="Palatino Linotype" w:eastAsia="MS Mincho" w:hAnsi="Palatino Linotype" w:cs="Arial"/>
          <w:color w:val="000000" w:themeColor="text1"/>
          <w:lang w:val="es-MX"/>
        </w:rPr>
        <w:t>e discurre que le asiste la razón, toda vez que lo solicitado corresponde a información de carácter de interés público y beneficio social</w:t>
      </w:r>
      <w:r w:rsidR="0072660E" w:rsidRPr="0040616D">
        <w:rPr>
          <w:rFonts w:ascii="Palatino Linotype" w:eastAsia="MS Mincho" w:hAnsi="Palatino Linotype" w:cs="Arial"/>
          <w:color w:val="000000" w:themeColor="text1"/>
          <w:lang w:val="es-MX"/>
        </w:rPr>
        <w:t>, al corresponder a las funciones y atribuciones esenciales de la Procuraduría  de garantizar a las personas el derecho a vivir en un ambiente adecuado para su desarrollo, salud y bienestar, mediante la procuración, vigilancia y difusión del cumplimiento de la normatividad ambiental aplicable al ámbito estatal.</w:t>
      </w:r>
    </w:p>
    <w:p w:rsidR="0072660E" w:rsidRPr="0040616D" w:rsidRDefault="0072660E" w:rsidP="0072660E">
      <w:pPr>
        <w:pStyle w:val="Prrafodelista"/>
        <w:tabs>
          <w:tab w:val="left" w:pos="0"/>
          <w:tab w:val="left" w:pos="142"/>
        </w:tabs>
        <w:spacing w:line="360" w:lineRule="auto"/>
        <w:ind w:left="0"/>
        <w:jc w:val="both"/>
        <w:rPr>
          <w:rFonts w:ascii="Palatino Linotype" w:eastAsia="MS Mincho" w:hAnsi="Palatino Linotype" w:cs="Arial"/>
          <w:color w:val="000000" w:themeColor="text1"/>
          <w:lang w:val="es-MX"/>
        </w:rPr>
      </w:pPr>
    </w:p>
    <w:p w:rsidR="00B6795A" w:rsidRPr="0040616D" w:rsidRDefault="0072660E" w:rsidP="0072660E">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40616D">
        <w:rPr>
          <w:rFonts w:ascii="Palatino Linotype" w:eastAsia="MS Mincho" w:hAnsi="Palatino Linotype" w:cs="Arial"/>
          <w:color w:val="000000" w:themeColor="text1"/>
          <w:lang w:val="es-MX"/>
        </w:rPr>
        <w:t xml:space="preserve">Luego entonces, es que se determina que si bien es cierto se advierte que se actualiza una causal de reserva de la información; también lo es que el interés público es superior para conocer lo solicitado, </w:t>
      </w:r>
      <w:r w:rsidRPr="0040616D">
        <w:rPr>
          <w:rFonts w:ascii="Palatino Linotype" w:eastAsia="MS Mincho" w:hAnsi="Palatino Linotype" w:cs="Arial"/>
          <w:i/>
          <w:color w:val="000000" w:themeColor="text1"/>
          <w:lang w:val="es-MX"/>
        </w:rPr>
        <w:t>máxime</w:t>
      </w:r>
      <w:r w:rsidRPr="0040616D">
        <w:rPr>
          <w:rFonts w:ascii="Palatino Linotype" w:eastAsia="MS Mincho" w:hAnsi="Palatino Linotype" w:cs="Arial"/>
          <w:color w:val="000000" w:themeColor="text1"/>
          <w:lang w:val="es-MX"/>
        </w:rPr>
        <w:t xml:space="preserve"> que en diversas fuentes de acceso público de Internet se encuentran numerosas notas periodísticas que dan cuenta de la firma de Convenios de Compensación Ambiental derivado de procedimientos administrativos instaurados por contravenir la legislación ambiental del Estado de México que causaron daños ambientales en la construcción y operación de </w:t>
      </w:r>
      <w:r w:rsidR="00467EA7" w:rsidRPr="0040616D">
        <w:rPr>
          <w:rFonts w:ascii="Palatino Linotype" w:eastAsia="MS Mincho" w:hAnsi="Palatino Linotype" w:cs="Arial"/>
          <w:color w:val="000000" w:themeColor="text1"/>
          <w:lang w:val="es-MX"/>
        </w:rPr>
        <w:t xml:space="preserve">–entre otros– </w:t>
      </w:r>
      <w:r w:rsidRPr="0040616D">
        <w:rPr>
          <w:rFonts w:ascii="Palatino Linotype" w:eastAsia="MS Mincho" w:hAnsi="Palatino Linotype" w:cs="Arial"/>
          <w:color w:val="000000" w:themeColor="text1"/>
          <w:lang w:val="es-MX"/>
        </w:rPr>
        <w:t xml:space="preserve">cadenas comerciales en el territorio mexiquense, por lo que el </w:t>
      </w:r>
      <w:r w:rsidRPr="0040616D">
        <w:rPr>
          <w:rFonts w:ascii="Palatino Linotype" w:eastAsia="MS Mincho" w:hAnsi="Palatino Linotype" w:cs="Arial"/>
          <w:b/>
          <w:color w:val="000000" w:themeColor="text1"/>
          <w:lang w:val="es-MX"/>
        </w:rPr>
        <w:t>SUJETO OBLIGADO</w:t>
      </w:r>
      <w:r w:rsidRPr="0040616D">
        <w:rPr>
          <w:rFonts w:ascii="Palatino Linotype" w:eastAsia="MS Mincho" w:hAnsi="Palatino Linotype" w:cs="Arial"/>
          <w:color w:val="000000" w:themeColor="text1"/>
          <w:lang w:val="es-MX"/>
        </w:rPr>
        <w:t>, mediante el programa de “Compensadores Ambientales”, firmó los convenios de Compensación Ambiental correspondientes, en lo que a manera ilustrativa se inserta una de las citadas notas periodísticas.</w:t>
      </w:r>
    </w:p>
    <w:p w:rsidR="0072660E" w:rsidRPr="0040616D" w:rsidRDefault="0072660E" w:rsidP="0072660E">
      <w:pPr>
        <w:rPr>
          <w:rFonts w:ascii="Palatino Linotype" w:eastAsia="MS Mincho" w:hAnsi="Palatino Linotype" w:cs="Arial"/>
          <w:color w:val="000000" w:themeColor="text1"/>
          <w:lang w:val="es-MX"/>
        </w:rPr>
      </w:pPr>
    </w:p>
    <w:p w:rsidR="0072660E" w:rsidRPr="0040616D" w:rsidRDefault="0072660E" w:rsidP="0072660E">
      <w:pPr>
        <w:jc w:val="center"/>
        <w:rPr>
          <w:rFonts w:ascii="Palatino Linotype" w:eastAsia="MS Mincho" w:hAnsi="Palatino Linotype" w:cs="Arial"/>
          <w:color w:val="000000" w:themeColor="text1"/>
          <w:lang w:val="es-MX"/>
        </w:rPr>
      </w:pPr>
      <w:r w:rsidRPr="0040616D">
        <w:rPr>
          <w:rFonts w:ascii="Palatino Linotype" w:eastAsia="MS Mincho" w:hAnsi="Palatino Linotype" w:cs="Arial"/>
          <w:noProof/>
          <w:color w:val="000000" w:themeColor="text1"/>
          <w:lang w:val="es-MX" w:eastAsia="es-MX"/>
        </w:rPr>
        <w:lastRenderedPageBreak/>
        <w:drawing>
          <wp:inline distT="0" distB="0" distL="0" distR="0">
            <wp:extent cx="4229100" cy="4405518"/>
            <wp:effectExtent l="19050" t="19050" r="1905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953" cy="4406407"/>
                    </a:xfrm>
                    <a:prstGeom prst="rect">
                      <a:avLst/>
                    </a:prstGeom>
                    <a:noFill/>
                    <a:ln>
                      <a:solidFill>
                        <a:schemeClr val="tx1"/>
                      </a:solidFill>
                    </a:ln>
                  </pic:spPr>
                </pic:pic>
              </a:graphicData>
            </a:graphic>
          </wp:inline>
        </w:drawing>
      </w:r>
    </w:p>
    <w:p w:rsidR="0072660E" w:rsidRPr="0040616D" w:rsidRDefault="0072660E" w:rsidP="0072660E">
      <w:pPr>
        <w:rPr>
          <w:rFonts w:ascii="Palatino Linotype" w:eastAsia="MS Mincho" w:hAnsi="Palatino Linotype" w:cs="Arial"/>
          <w:color w:val="000000" w:themeColor="text1"/>
          <w:lang w:val="es-MX"/>
        </w:rPr>
      </w:pPr>
    </w:p>
    <w:p w:rsidR="00280FDC" w:rsidRPr="0040616D" w:rsidRDefault="00280FDC" w:rsidP="00280FDC">
      <w:pPr>
        <w:numPr>
          <w:ilvl w:val="0"/>
          <w:numId w:val="1"/>
        </w:numPr>
        <w:spacing w:line="360" w:lineRule="auto"/>
        <w:ind w:left="0" w:firstLine="0"/>
        <w:contextualSpacing/>
        <w:jc w:val="both"/>
        <w:rPr>
          <w:rFonts w:ascii="Palatino Linotype" w:eastAsia="Calibri" w:hAnsi="Palatino Linotype"/>
        </w:rPr>
      </w:pPr>
      <w:r w:rsidRPr="0040616D">
        <w:rPr>
          <w:rFonts w:ascii="Palatino Linotype" w:hAnsi="Palatino Linotype" w:cs="Arial"/>
          <w:lang w:eastAsia="es-MX"/>
        </w:rPr>
        <w:t xml:space="preserve">Si </w:t>
      </w:r>
      <w:r w:rsidRPr="0040616D">
        <w:rPr>
          <w:rFonts w:ascii="Palatino Linotype" w:hAnsi="Palatino Linotype"/>
        </w:rPr>
        <w:t>bien</w:t>
      </w:r>
      <w:r w:rsidRPr="0040616D">
        <w:rPr>
          <w:rFonts w:ascii="Palatino Linotype" w:hAnsi="Palatino Linotype" w:cs="Arial"/>
          <w:lang w:eastAsia="es-MX"/>
        </w:rPr>
        <w:t xml:space="preserve"> es cierto </w:t>
      </w:r>
      <w:r w:rsidRPr="0040616D">
        <w:rPr>
          <w:rFonts w:ascii="Palatino Linotype" w:eastAsia="Calibri" w:hAnsi="Palatino Linotype"/>
        </w:rPr>
        <w:t xml:space="preserve"> </w:t>
      </w:r>
      <w:r w:rsidRPr="0040616D">
        <w:rPr>
          <w:rFonts w:ascii="Palatino Linotype" w:hAnsi="Palatino Linotype" w:cs="Arial"/>
        </w:rPr>
        <w:t xml:space="preserve">las notas periodísticas o publicaciones a través de la red de Internet constituyen el derecho a la libre expresión de los profesionales de la materia, previsto en el artículo 7 de la </w:t>
      </w:r>
      <w:r w:rsidRPr="0040616D">
        <w:rPr>
          <w:rFonts w:ascii="Palatino Linotype" w:hAnsi="Palatino Linotype" w:cs="Arial"/>
          <w:b/>
        </w:rPr>
        <w:t>Constitución Política de los Estados Unidos Mexicanos</w:t>
      </w:r>
      <w:r w:rsidRPr="0040616D">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 también lo es que</w:t>
      </w:r>
      <w:r w:rsidRPr="0040616D">
        <w:rPr>
          <w:rFonts w:ascii="Palatino Linotype" w:hAnsi="Palatino Linotype"/>
        </w:rPr>
        <w:t xml:space="preserve">, arrojan </w:t>
      </w:r>
      <w:r w:rsidRPr="0040616D">
        <w:rPr>
          <w:rFonts w:ascii="Palatino Linotype" w:hAnsi="Palatino Linotype"/>
          <w:b/>
        </w:rPr>
        <w:t xml:space="preserve">indicios </w:t>
      </w:r>
      <w:r w:rsidRPr="0040616D">
        <w:rPr>
          <w:rFonts w:ascii="Palatino Linotype" w:hAnsi="Palatino Linotype"/>
        </w:rPr>
        <w:t>sobre los hechos a que se refieren.</w:t>
      </w:r>
    </w:p>
    <w:p w:rsidR="00280FDC" w:rsidRPr="0040616D" w:rsidRDefault="00280FDC" w:rsidP="00280FDC">
      <w:pPr>
        <w:spacing w:line="360" w:lineRule="auto"/>
        <w:ind w:right="34"/>
        <w:contextualSpacing/>
        <w:jc w:val="both"/>
        <w:rPr>
          <w:rFonts w:ascii="Palatino Linotype" w:eastAsia="Calibri" w:hAnsi="Palatino Linotype"/>
        </w:rPr>
      </w:pPr>
    </w:p>
    <w:p w:rsidR="00280FDC" w:rsidRPr="0040616D" w:rsidRDefault="00280FDC" w:rsidP="00280FDC">
      <w:pPr>
        <w:numPr>
          <w:ilvl w:val="0"/>
          <w:numId w:val="1"/>
        </w:numPr>
        <w:spacing w:line="360" w:lineRule="auto"/>
        <w:ind w:left="0" w:firstLine="0"/>
        <w:contextualSpacing/>
        <w:jc w:val="both"/>
        <w:rPr>
          <w:rFonts w:ascii="Palatino Linotype" w:eastAsia="Calibri" w:hAnsi="Palatino Linotype"/>
        </w:rPr>
      </w:pPr>
      <w:r w:rsidRPr="0040616D">
        <w:rPr>
          <w:rFonts w:ascii="Palatino Linotype" w:hAnsi="Palatino Linotype" w:cs="Arial"/>
          <w:lang w:eastAsia="es-MX"/>
        </w:rPr>
        <w:lastRenderedPageBreak/>
        <w:t>Apoya</w:t>
      </w:r>
      <w:r w:rsidRPr="0040616D">
        <w:rPr>
          <w:rFonts w:ascii="Palatino Linotype" w:hAnsi="Palatino Linotype"/>
        </w:rPr>
        <w:t xml:space="preserve"> lo anterior, la Jurisprudencia con número de registro 1000830, emitida por la Sala Superior, Apéndice de 2011, localizable en VIII. Electoral Primera Parte Vigentes, </w:t>
      </w:r>
      <w:r w:rsidRPr="0040616D">
        <w:rPr>
          <w:rFonts w:ascii="Palatino Linotype" w:hAnsi="Palatino Linotype" w:cs="Arial"/>
          <w:lang w:eastAsia="es-MX"/>
        </w:rPr>
        <w:t>Materia</w:t>
      </w:r>
      <w:r w:rsidRPr="0040616D">
        <w:rPr>
          <w:rFonts w:ascii="Palatino Linotype" w:hAnsi="Palatino Linotype"/>
        </w:rPr>
        <w:t xml:space="preserve"> Electoral, tesis 191, página 244, cuyo rubro y contenido del tenor literal siguiente: </w:t>
      </w:r>
    </w:p>
    <w:p w:rsidR="00280FDC" w:rsidRPr="0040616D" w:rsidRDefault="00280FDC" w:rsidP="00280FDC">
      <w:pPr>
        <w:pStyle w:val="Textonotapie"/>
        <w:ind w:right="-709"/>
        <w:jc w:val="both"/>
        <w:rPr>
          <w:rFonts w:ascii="Palatino Linotype" w:hAnsi="Palatino Linotype"/>
          <w:sz w:val="18"/>
          <w:szCs w:val="18"/>
        </w:rPr>
      </w:pPr>
    </w:p>
    <w:p w:rsidR="00280FDC" w:rsidRPr="0040616D" w:rsidRDefault="00280FDC" w:rsidP="00280FDC">
      <w:pPr>
        <w:pStyle w:val="Prrafodelista"/>
        <w:ind w:left="567" w:right="567"/>
        <w:jc w:val="both"/>
        <w:rPr>
          <w:rFonts w:ascii="Palatino Linotype" w:hAnsi="Palatino Linotype"/>
          <w:i/>
        </w:rPr>
      </w:pPr>
      <w:r w:rsidRPr="0040616D">
        <w:rPr>
          <w:rFonts w:ascii="Palatino Linotype" w:hAnsi="Palatino Linotype"/>
          <w:b/>
          <w:i/>
        </w:rPr>
        <w:t xml:space="preserve">“NOTAS PERIODÍSTICAS. ELEMENTOS PARA DETERMINAR SU FUERZA INDICIARIA. </w:t>
      </w:r>
      <w:r w:rsidRPr="0040616D">
        <w:rPr>
          <w:rFonts w:ascii="Palatino Linotype" w:hAnsi="Palatino Linotype"/>
          <w:i/>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rsidR="00280FDC" w:rsidRPr="0040616D" w:rsidRDefault="00280FDC" w:rsidP="00280FDC">
      <w:pPr>
        <w:pStyle w:val="Prrafodelista"/>
        <w:ind w:left="567" w:right="567"/>
        <w:jc w:val="both"/>
        <w:rPr>
          <w:rFonts w:ascii="Palatino Linotype" w:hAnsi="Palatino Linotype"/>
          <w:i/>
        </w:rPr>
      </w:pPr>
    </w:p>
    <w:p w:rsidR="005C3429" w:rsidRPr="0040616D" w:rsidRDefault="00280FDC" w:rsidP="005C3429">
      <w:pPr>
        <w:numPr>
          <w:ilvl w:val="0"/>
          <w:numId w:val="1"/>
        </w:numPr>
        <w:spacing w:line="360" w:lineRule="auto"/>
        <w:ind w:left="0" w:firstLine="0"/>
        <w:contextualSpacing/>
        <w:jc w:val="both"/>
        <w:rPr>
          <w:rFonts w:ascii="Palatino Linotype" w:eastAsia="Calibri" w:hAnsi="Palatino Linotype" w:cs="Tahoma"/>
          <w:bCs/>
        </w:rPr>
      </w:pPr>
      <w:r w:rsidRPr="0040616D">
        <w:rPr>
          <w:rFonts w:ascii="Palatino Linotype" w:hAnsi="Palatino Linotype" w:cs="Arial"/>
          <w:color w:val="000000" w:themeColor="text1"/>
        </w:rPr>
        <w:t xml:space="preserve">Así las </w:t>
      </w:r>
      <w:r w:rsidRPr="0040616D">
        <w:rPr>
          <w:rFonts w:ascii="Palatino Linotype" w:hAnsi="Palatino Linotype" w:cs="Arial"/>
          <w:lang w:eastAsia="es-MX"/>
        </w:rPr>
        <w:t>cosas</w:t>
      </w:r>
      <w:r w:rsidRPr="0040616D">
        <w:rPr>
          <w:rFonts w:ascii="Palatino Linotype" w:hAnsi="Palatino Linotype" w:cs="Arial"/>
          <w:color w:val="000000" w:themeColor="text1"/>
        </w:rPr>
        <w:t xml:space="preserve">, se insiste en que resulta evidente que </w:t>
      </w:r>
      <w:r w:rsidRPr="0040616D">
        <w:rPr>
          <w:rFonts w:ascii="Palatino Linotype" w:hAnsi="Palatino Linotype" w:cs="Arial"/>
        </w:rPr>
        <w:t xml:space="preserve">nos encontramos ante una colisión entre </w:t>
      </w:r>
      <w:r w:rsidR="005C3429" w:rsidRPr="0040616D">
        <w:rPr>
          <w:rFonts w:ascii="Palatino Linotype" w:hAnsi="Palatino Linotype" w:cs="Arial"/>
        </w:rPr>
        <w:t xml:space="preserve">una causal de reserva de </w:t>
      </w:r>
      <w:r w:rsidR="00467EA7" w:rsidRPr="0040616D">
        <w:rPr>
          <w:rFonts w:ascii="Palatino Linotype" w:hAnsi="Palatino Linotype" w:cs="Arial"/>
        </w:rPr>
        <w:t xml:space="preserve">documentos inmersos en </w:t>
      </w:r>
      <w:r w:rsidR="005C3429" w:rsidRPr="0040616D">
        <w:rPr>
          <w:rFonts w:ascii="Palatino Linotype" w:hAnsi="Palatino Linotype" w:cs="Arial"/>
        </w:rPr>
        <w:t>procedimientos no concluidos seguidos en forma de juicio</w:t>
      </w:r>
      <w:r w:rsidR="00467EA7" w:rsidRPr="0040616D">
        <w:rPr>
          <w:rFonts w:ascii="Palatino Linotype" w:hAnsi="Palatino Linotype" w:cs="Arial"/>
        </w:rPr>
        <w:t>,</w:t>
      </w:r>
      <w:r w:rsidR="005C3429" w:rsidRPr="0040616D">
        <w:rPr>
          <w:rFonts w:ascii="Palatino Linotype" w:hAnsi="Palatino Linotype" w:cs="Arial"/>
        </w:rPr>
        <w:t xml:space="preserve"> frente el interés no sólo del hoy </w:t>
      </w:r>
      <w:r w:rsidR="005C3429" w:rsidRPr="0040616D">
        <w:rPr>
          <w:rFonts w:ascii="Palatino Linotype" w:hAnsi="Palatino Linotype" w:cs="Arial"/>
          <w:b/>
        </w:rPr>
        <w:t>RECURRENTE</w:t>
      </w:r>
      <w:r w:rsidR="005C3429" w:rsidRPr="0040616D">
        <w:rPr>
          <w:rFonts w:ascii="Palatino Linotype" w:hAnsi="Palatino Linotype" w:cs="Arial"/>
        </w:rPr>
        <w:t>; sino de toda una sociedad, de conocer que aquellos procedimientos administrativos instaurados por contravenir la legislación ambiental del estado y de su entorno para así tener acceso a su derecho a saber de las acciones de remediación y co</w:t>
      </w:r>
      <w:r w:rsidR="00467EA7" w:rsidRPr="0040616D">
        <w:rPr>
          <w:rFonts w:ascii="Palatino Linotype" w:hAnsi="Palatino Linotype" w:cs="Arial"/>
        </w:rPr>
        <w:t>mpensación de daños ambientales</w:t>
      </w:r>
      <w:r w:rsidR="005C3429" w:rsidRPr="0040616D">
        <w:rPr>
          <w:rFonts w:ascii="Palatino Linotype" w:hAnsi="Palatino Linotype" w:cs="Arial"/>
        </w:rPr>
        <w:t xml:space="preserve"> ocasionados.</w:t>
      </w:r>
    </w:p>
    <w:p w:rsidR="005C3429" w:rsidRPr="0040616D" w:rsidRDefault="005C3429" w:rsidP="005C3429">
      <w:pPr>
        <w:spacing w:line="360" w:lineRule="auto"/>
        <w:jc w:val="both"/>
        <w:rPr>
          <w:rFonts w:ascii="Palatino Linotype" w:eastAsia="Calibri" w:hAnsi="Palatino Linotype" w:cs="Tahoma"/>
          <w:bCs/>
        </w:rPr>
      </w:pPr>
    </w:p>
    <w:p w:rsidR="005C3429" w:rsidRPr="0040616D" w:rsidRDefault="005C3429" w:rsidP="005C3429">
      <w:pPr>
        <w:numPr>
          <w:ilvl w:val="0"/>
          <w:numId w:val="1"/>
        </w:numPr>
        <w:spacing w:line="360" w:lineRule="auto"/>
        <w:ind w:left="0" w:firstLine="0"/>
        <w:contextualSpacing/>
        <w:jc w:val="both"/>
        <w:rPr>
          <w:rFonts w:ascii="Palatino Linotype" w:eastAsia="Calibri" w:hAnsi="Palatino Linotype" w:cs="Tahoma"/>
          <w:bCs/>
        </w:rPr>
      </w:pPr>
      <w:r w:rsidRPr="0040616D">
        <w:rPr>
          <w:rFonts w:ascii="Palatino Linotype" w:hAnsi="Palatino Linotype" w:cs="Arial"/>
        </w:rPr>
        <w:lastRenderedPageBreak/>
        <w:t>En ese orden de ideas, suponiendo sin conceder, que se trate de una probable colisión de derechos entre el de acceso a la información del particular</w:t>
      </w:r>
      <w:r w:rsidRPr="0040616D">
        <w:rPr>
          <w:rFonts w:ascii="Palatino Linotype" w:hAnsi="Palatino Linotype"/>
          <w:b/>
        </w:rPr>
        <w:t xml:space="preserve"> </w:t>
      </w:r>
      <w:r w:rsidRPr="0040616D">
        <w:rPr>
          <w:rFonts w:ascii="Palatino Linotype" w:hAnsi="Palatino Linotype" w:cs="Arial"/>
        </w:rPr>
        <w:t>y el de protección de los procedimientos a través de la reserva, se debe realizar la ponderación de</w:t>
      </w:r>
      <w:r w:rsidR="00467EA7" w:rsidRPr="0040616D">
        <w:rPr>
          <w:rFonts w:ascii="Palatino Linotype" w:hAnsi="Palatino Linotype" w:cs="Arial"/>
        </w:rPr>
        <w:t>l derecho</w:t>
      </w:r>
      <w:r w:rsidRPr="0040616D">
        <w:rPr>
          <w:rFonts w:ascii="Palatino Linotype" w:hAnsi="Palatino Linotype" w:cs="Arial"/>
        </w:rPr>
        <w:t xml:space="preserve">; sobre dicha situación, </w:t>
      </w:r>
      <w:r w:rsidRPr="0040616D">
        <w:rPr>
          <w:rFonts w:ascii="Palatino Linotype" w:eastAsia="Calibri" w:hAnsi="Palatino Linotype" w:cs="Tahoma"/>
          <w:bCs/>
        </w:rPr>
        <w:t>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40616D">
        <w:rPr>
          <w:rFonts w:ascii="Palatino Linotype" w:eastAsia="Calibri" w:hAnsi="Palatino Linotype" w:cs="Tahoma"/>
          <w:b/>
          <w:bCs/>
        </w:rPr>
        <w:t xml:space="preserve"> </w:t>
      </w:r>
      <w:r w:rsidRPr="0040616D">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5C3429" w:rsidRPr="0040616D" w:rsidRDefault="005C3429" w:rsidP="005C3429">
      <w:pPr>
        <w:pStyle w:val="Prrafodelista"/>
        <w:spacing w:line="360" w:lineRule="auto"/>
        <w:ind w:left="0"/>
        <w:jc w:val="both"/>
        <w:rPr>
          <w:rFonts w:ascii="Palatino Linotype" w:hAnsi="Palatino Linotype" w:cs="Arial"/>
        </w:rPr>
      </w:pPr>
    </w:p>
    <w:p w:rsidR="005C3429" w:rsidRPr="0040616D" w:rsidRDefault="005C3429" w:rsidP="005C3429">
      <w:pPr>
        <w:numPr>
          <w:ilvl w:val="0"/>
          <w:numId w:val="1"/>
        </w:numPr>
        <w:spacing w:line="360" w:lineRule="auto"/>
        <w:ind w:left="0" w:firstLine="0"/>
        <w:contextualSpacing/>
        <w:jc w:val="both"/>
        <w:rPr>
          <w:rFonts w:ascii="Palatino Linotype" w:eastAsia="Times New Roman" w:hAnsi="Palatino Linotype" w:cs="Tahoma"/>
          <w:bCs/>
          <w:iCs/>
          <w:lang w:val="es-MX"/>
        </w:rPr>
      </w:pPr>
      <w:r w:rsidRPr="0040616D">
        <w:rPr>
          <w:rFonts w:ascii="Palatino Linotype" w:eastAsia="Calibri" w:hAnsi="Palatino Linotype" w:cs="Tahoma"/>
          <w:bCs/>
          <w:lang w:val="es-MX"/>
        </w:rPr>
        <w:t>En orden de ideas cuando exista un interés público mayor de acuerdo con las circunstancias del caso, resulta</w:t>
      </w:r>
      <w:r w:rsidRPr="0040616D">
        <w:rPr>
          <w:rFonts w:ascii="Palatino Linotype" w:eastAsia="Times New Roman" w:hAnsi="Palatino Linotype" w:cs="Tahoma"/>
          <w:bCs/>
          <w:iCs/>
          <w:lang w:val="es-MX"/>
        </w:rPr>
        <w:t xml:space="preserve"> necesario re</w:t>
      </w:r>
      <w:r w:rsidR="00467EA7" w:rsidRPr="0040616D">
        <w:rPr>
          <w:rFonts w:ascii="Palatino Linotype" w:eastAsia="Times New Roman" w:hAnsi="Palatino Linotype" w:cs="Tahoma"/>
          <w:bCs/>
          <w:iCs/>
          <w:lang w:val="es-MX"/>
        </w:rPr>
        <w:t>alizar una ponderación de los</w:t>
      </w:r>
      <w:r w:rsidRPr="0040616D">
        <w:rPr>
          <w:rFonts w:ascii="Palatino Linotype" w:eastAsia="Times New Roman" w:hAnsi="Palatino Linotype" w:cs="Tahoma"/>
          <w:bCs/>
          <w:iCs/>
          <w:lang w:val="es-MX"/>
        </w:rPr>
        <w:t xml:space="preserve"> intereses jurídicos tutelados; para lo cual, el artículo </w:t>
      </w:r>
      <w:r w:rsidRPr="0040616D">
        <w:rPr>
          <w:rFonts w:ascii="Palatino Linotype" w:eastAsia="Calibri" w:hAnsi="Palatino Linotype" w:cs="Tahoma"/>
          <w:bCs/>
          <w:lang w:val="es-MX"/>
        </w:rPr>
        <w:t>184 de la Ley de Transparencia y Acceso a la Información Pública del Estado de México y Municipios</w:t>
      </w:r>
      <w:r w:rsidRPr="0040616D">
        <w:rPr>
          <w:rFonts w:ascii="Palatino Linotype" w:eastAsia="Times New Roman" w:hAnsi="Palatino Linotype" w:cs="Tahoma"/>
          <w:bCs/>
          <w:iCs/>
          <w:lang w:val="es-MX"/>
        </w:rPr>
        <w:t xml:space="preserve"> prevé que cuando exista una colisión de derechos, este Instituto, al resolver el Recurso de Revisión, debe aplicar una prueba de interés público con base en los siguientes elementos:</w:t>
      </w:r>
    </w:p>
    <w:p w:rsidR="005C3429" w:rsidRPr="0040616D" w:rsidRDefault="005C3429" w:rsidP="005C3429">
      <w:pPr>
        <w:spacing w:line="360" w:lineRule="auto"/>
        <w:ind w:left="426" w:right="49"/>
        <w:contextualSpacing/>
        <w:jc w:val="both"/>
        <w:rPr>
          <w:rFonts w:ascii="Palatino Linotype" w:eastAsia="Times New Roman" w:hAnsi="Palatino Linotype" w:cs="Tahoma"/>
          <w:bCs/>
          <w:iCs/>
          <w:lang w:val="es-MX"/>
        </w:rPr>
      </w:pPr>
    </w:p>
    <w:p w:rsidR="005C3429" w:rsidRPr="0040616D"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lang w:val="es-MX"/>
        </w:rPr>
      </w:pPr>
      <w:r w:rsidRPr="0040616D">
        <w:rPr>
          <w:rFonts w:ascii="Palatino Linotype" w:eastAsia="Times New Roman" w:hAnsi="Palatino Linotype" w:cs="Tahoma"/>
          <w:b/>
          <w:bCs/>
          <w:iCs/>
          <w:lang w:val="es-MX"/>
        </w:rPr>
        <w:t>Idoneidad:</w:t>
      </w:r>
      <w:r w:rsidRPr="0040616D">
        <w:rPr>
          <w:rFonts w:ascii="Palatino Linotype" w:eastAsia="Times New Roman" w:hAnsi="Palatino Linotype" w:cs="Tahoma"/>
          <w:bCs/>
          <w:iCs/>
          <w:lang w:val="es-MX"/>
        </w:rPr>
        <w:t xml:space="preserve"> La legitimidad del derecho adoptado como preferente, que sea el adecuado para el logro de un fin constitucionalmente válido o apto para conseguir el fin pretendido;</w:t>
      </w:r>
    </w:p>
    <w:p w:rsidR="005C3429" w:rsidRPr="0040616D" w:rsidRDefault="005C3429" w:rsidP="005C3429">
      <w:pPr>
        <w:spacing w:line="360" w:lineRule="auto"/>
        <w:ind w:left="426" w:right="49"/>
        <w:contextualSpacing/>
        <w:jc w:val="both"/>
        <w:rPr>
          <w:rFonts w:ascii="Palatino Linotype" w:eastAsia="Times New Roman" w:hAnsi="Palatino Linotype" w:cs="Tahoma"/>
          <w:bCs/>
          <w:iCs/>
          <w:lang w:val="es-MX"/>
        </w:rPr>
      </w:pPr>
    </w:p>
    <w:p w:rsidR="005C3429" w:rsidRPr="0040616D"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lang w:val="es-MX"/>
        </w:rPr>
      </w:pPr>
      <w:r w:rsidRPr="0040616D">
        <w:rPr>
          <w:rFonts w:ascii="Palatino Linotype" w:eastAsia="Times New Roman" w:hAnsi="Palatino Linotype" w:cs="Tahoma"/>
          <w:b/>
          <w:bCs/>
          <w:iCs/>
          <w:lang w:val="es-MX"/>
        </w:rPr>
        <w:t>Necesidad:</w:t>
      </w:r>
      <w:r w:rsidRPr="0040616D">
        <w:rPr>
          <w:rFonts w:ascii="Palatino Linotype" w:eastAsia="Times New Roman" w:hAnsi="Palatino Linotype" w:cs="Tahoma"/>
          <w:bCs/>
          <w:iCs/>
          <w:lang w:val="es-MX"/>
        </w:rPr>
        <w:t xml:space="preserve"> La falta de un medio alternativo menos lesivo a la apertura de la información, para satisfacer el interés público, y</w:t>
      </w:r>
    </w:p>
    <w:p w:rsidR="005C3429" w:rsidRPr="0040616D" w:rsidRDefault="005C3429" w:rsidP="005C3429">
      <w:pPr>
        <w:pStyle w:val="Prrafodelista"/>
        <w:rPr>
          <w:rFonts w:ascii="Palatino Linotype" w:eastAsia="Times New Roman" w:hAnsi="Palatino Linotype" w:cs="Tahoma"/>
          <w:bCs/>
          <w:iCs/>
          <w:lang w:val="es-MX"/>
        </w:rPr>
      </w:pPr>
    </w:p>
    <w:p w:rsidR="005C3429" w:rsidRPr="0040616D"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lang w:val="es-MX"/>
        </w:rPr>
      </w:pPr>
      <w:r w:rsidRPr="0040616D">
        <w:rPr>
          <w:rFonts w:ascii="Palatino Linotype" w:eastAsia="Times New Roman" w:hAnsi="Palatino Linotype" w:cs="Tahoma"/>
          <w:b/>
          <w:bCs/>
          <w:iCs/>
          <w:lang w:val="es-MX"/>
        </w:rPr>
        <w:t>Proporcionalidad:</w:t>
      </w:r>
      <w:r w:rsidRPr="0040616D">
        <w:rPr>
          <w:rFonts w:ascii="Palatino Linotype" w:eastAsia="Times New Roman" w:hAnsi="Palatino Linotype" w:cs="Tahoma"/>
          <w:bCs/>
          <w:iCs/>
          <w:lang w:val="es-MX"/>
        </w:rPr>
        <w:t xml:space="preserve"> El equilibrio entre perjuicio y beneficio a favor del interés público, a fin de que la decisión tomada represente un beneficio mayor al perjuicio que podría causar a la población.</w:t>
      </w:r>
    </w:p>
    <w:p w:rsidR="005C3429" w:rsidRPr="0040616D" w:rsidRDefault="005C3429" w:rsidP="005C3429">
      <w:pPr>
        <w:pStyle w:val="Prrafodelista"/>
        <w:spacing w:line="360" w:lineRule="auto"/>
        <w:ind w:left="0"/>
        <w:jc w:val="both"/>
        <w:rPr>
          <w:rFonts w:ascii="Palatino Linotype" w:hAnsi="Palatino Linotype" w:cs="Arial"/>
        </w:rPr>
      </w:pPr>
    </w:p>
    <w:p w:rsidR="005C3429" w:rsidRPr="0040616D" w:rsidRDefault="005C3429" w:rsidP="005C3429">
      <w:pPr>
        <w:numPr>
          <w:ilvl w:val="0"/>
          <w:numId w:val="1"/>
        </w:numPr>
        <w:spacing w:line="360" w:lineRule="auto"/>
        <w:ind w:left="0" w:firstLine="0"/>
        <w:contextualSpacing/>
        <w:jc w:val="both"/>
        <w:rPr>
          <w:rFonts w:ascii="Palatino Linotype" w:eastAsia="Calibri" w:hAnsi="Palatino Linotype" w:cs="Tahoma"/>
        </w:rPr>
      </w:pPr>
      <w:r w:rsidRPr="0040616D">
        <w:rPr>
          <w:rFonts w:ascii="Palatino Linotype" w:eastAsia="Calibri" w:hAnsi="Palatino Linotype" w:cs="Tahoma"/>
        </w:rPr>
        <w:t>En ese orden de ideas, es necesario analizar cada uno de los elementos referidos, partiendo de que, en el caso concreto, se estima como preferente el derecho de acceso a la información, bajo las consideraciones que se verterán a continuación.</w:t>
      </w:r>
    </w:p>
    <w:p w:rsidR="005C3429" w:rsidRPr="0040616D" w:rsidRDefault="005C3429" w:rsidP="005C3429">
      <w:pPr>
        <w:pStyle w:val="Prrafodelista"/>
        <w:spacing w:line="360" w:lineRule="auto"/>
        <w:ind w:left="0"/>
        <w:jc w:val="both"/>
        <w:rPr>
          <w:rFonts w:ascii="Palatino Linotype" w:hAnsi="Palatino Linotype" w:cs="Arial"/>
          <w:b/>
        </w:rPr>
      </w:pPr>
    </w:p>
    <w:p w:rsidR="005C3429" w:rsidRPr="0040616D" w:rsidRDefault="005C3429" w:rsidP="005C3429">
      <w:pPr>
        <w:pStyle w:val="Prrafodelista"/>
        <w:numPr>
          <w:ilvl w:val="0"/>
          <w:numId w:val="24"/>
        </w:numPr>
        <w:spacing w:line="360" w:lineRule="auto"/>
        <w:jc w:val="both"/>
        <w:rPr>
          <w:rFonts w:ascii="Palatino Linotype" w:hAnsi="Palatino Linotype" w:cs="Arial"/>
          <w:b/>
        </w:rPr>
      </w:pPr>
      <w:r w:rsidRPr="0040616D">
        <w:rPr>
          <w:rFonts w:ascii="Palatino Linotype" w:hAnsi="Palatino Linotype" w:cs="Arial"/>
          <w:b/>
        </w:rPr>
        <w:t>Juicio de idoneidad.</w:t>
      </w:r>
    </w:p>
    <w:p w:rsidR="005C3429" w:rsidRPr="0040616D" w:rsidRDefault="005C3429" w:rsidP="005C3429">
      <w:pPr>
        <w:spacing w:line="360" w:lineRule="auto"/>
        <w:contextualSpacing/>
        <w:jc w:val="both"/>
        <w:rPr>
          <w:rFonts w:ascii="Palatino Linotype" w:hAnsi="Palatino Linotype" w:cs="Arial"/>
        </w:rPr>
      </w:pPr>
    </w:p>
    <w:p w:rsidR="005C3429" w:rsidRPr="0040616D" w:rsidRDefault="005C3429" w:rsidP="005C3429">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Esta primera fase del test consiste en identificar si la medida restrictiva persigue </w:t>
      </w:r>
      <w:r w:rsidRPr="0040616D">
        <w:rPr>
          <w:rFonts w:ascii="Palatino Linotype" w:hAnsi="Palatino Linotype" w:cs="Arial"/>
          <w:iCs/>
        </w:rPr>
        <w:t xml:space="preserve">una </w:t>
      </w:r>
      <w:r w:rsidRPr="0040616D">
        <w:rPr>
          <w:rFonts w:ascii="Palatino Linotype" w:eastAsia="Calibri" w:hAnsi="Palatino Linotype" w:cs="Tahoma"/>
        </w:rPr>
        <w:t>finalidad</w:t>
      </w:r>
      <w:r w:rsidRPr="0040616D">
        <w:rPr>
          <w:rFonts w:ascii="Palatino Linotype" w:hAnsi="Palatino Linotype" w:cs="Arial"/>
          <w:iCs/>
        </w:rPr>
        <w:t xml:space="preserve"> constitucionalmente válida</w:t>
      </w:r>
      <w:r w:rsidRPr="0040616D">
        <w:rPr>
          <w:rFonts w:ascii="Palatino Linotype" w:hAnsi="Palatino Linotype" w:cs="Arial"/>
        </w:rPr>
        <w:t xml:space="preserve">, además de que debe lograr en algún grado la consecución de su fin, y no debe limitar de manera innecesaria o desproporcionada el derecho fundamental en cuestión. </w:t>
      </w:r>
    </w:p>
    <w:p w:rsidR="005C3429" w:rsidRPr="0040616D" w:rsidRDefault="005C3429" w:rsidP="005C3429">
      <w:pPr>
        <w:pStyle w:val="Prrafodelista"/>
        <w:spacing w:line="360" w:lineRule="auto"/>
        <w:ind w:left="0"/>
        <w:jc w:val="both"/>
        <w:rPr>
          <w:rFonts w:ascii="Palatino Linotype" w:hAnsi="Palatino Linotype" w:cs="Arial"/>
        </w:rPr>
      </w:pPr>
    </w:p>
    <w:p w:rsidR="005C3429" w:rsidRPr="0040616D" w:rsidRDefault="005C3429" w:rsidP="000D4E4B">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En ese contexto, se estima que existe </w:t>
      </w:r>
      <w:r w:rsidRPr="0040616D">
        <w:rPr>
          <w:rFonts w:ascii="Palatino Linotype" w:hAnsi="Palatino Linotype" w:cs="Arial"/>
          <w:bCs/>
          <w:lang w:val="es-MX"/>
        </w:rPr>
        <w:t xml:space="preserve">un fin constitucionalmente válido para dar a conocer los convenios suscritos, que si bien se encuentran inmersos en procedimientos administrativos no concluidos, los cuales además no serán de acceso al solicitante pues este no requirió tener acceso al soporte documental de las constancias o </w:t>
      </w:r>
      <w:r w:rsidR="000D4E4B" w:rsidRPr="0040616D">
        <w:rPr>
          <w:rFonts w:ascii="Palatino Linotype" w:hAnsi="Palatino Linotype" w:cs="Arial"/>
          <w:bCs/>
          <w:lang w:val="es-MX"/>
        </w:rPr>
        <w:t>proveídos</w:t>
      </w:r>
      <w:r w:rsidRPr="0040616D">
        <w:rPr>
          <w:rFonts w:ascii="Palatino Linotype" w:hAnsi="Palatino Linotype" w:cs="Arial"/>
          <w:bCs/>
          <w:lang w:val="es-MX"/>
        </w:rPr>
        <w:t xml:space="preserve"> contenidos en los expedientes</w:t>
      </w:r>
      <w:r w:rsidR="00467EA7" w:rsidRPr="0040616D">
        <w:rPr>
          <w:rFonts w:ascii="Palatino Linotype" w:hAnsi="Palatino Linotype" w:cs="Arial"/>
          <w:bCs/>
          <w:lang w:val="es-MX"/>
        </w:rPr>
        <w:t xml:space="preserve"> administrativos</w:t>
      </w:r>
      <w:r w:rsidRPr="0040616D">
        <w:rPr>
          <w:rFonts w:ascii="Palatino Linotype" w:hAnsi="Palatino Linotype" w:cs="Arial"/>
          <w:bCs/>
          <w:lang w:val="es-MX"/>
        </w:rPr>
        <w:t xml:space="preserve">, sino </w:t>
      </w:r>
      <w:r w:rsidRPr="0040616D">
        <w:rPr>
          <w:rFonts w:ascii="Palatino Linotype" w:hAnsi="Palatino Linotype" w:cs="Arial"/>
          <w:bCs/>
          <w:lang w:val="es-MX"/>
        </w:rPr>
        <w:lastRenderedPageBreak/>
        <w:t xml:space="preserve">únicamente los convenios a los que se arribaron los cuales dan cuenta </w:t>
      </w:r>
      <w:r w:rsidR="000D4E4B" w:rsidRPr="0040616D">
        <w:rPr>
          <w:rFonts w:ascii="Palatino Linotype" w:hAnsi="Palatino Linotype" w:cs="Arial"/>
          <w:bCs/>
          <w:lang w:val="es-MX"/>
        </w:rPr>
        <w:t xml:space="preserve">de las </w:t>
      </w:r>
      <w:r w:rsidRPr="0040616D">
        <w:rPr>
          <w:rFonts w:ascii="Palatino Linotype" w:hAnsi="Palatino Linotype" w:cs="Arial"/>
          <w:bCs/>
          <w:lang w:val="es-MX"/>
        </w:rPr>
        <w:t>acciones de remediación y compensación de daños ambientales, ocasionados</w:t>
      </w:r>
      <w:r w:rsidR="00467EA7" w:rsidRPr="0040616D">
        <w:rPr>
          <w:rFonts w:ascii="Palatino Linotype" w:hAnsi="Palatino Linotype" w:cs="Arial"/>
          <w:bCs/>
          <w:lang w:val="es-MX"/>
        </w:rPr>
        <w:t xml:space="preserve"> por</w:t>
      </w:r>
      <w:r w:rsidR="000D4E4B" w:rsidRPr="0040616D">
        <w:rPr>
          <w:rFonts w:ascii="Palatino Linotype" w:hAnsi="Palatino Linotype" w:cs="Arial"/>
          <w:bCs/>
          <w:lang w:val="es-MX"/>
        </w:rPr>
        <w:t xml:space="preserve"> infractores</w:t>
      </w:r>
      <w:r w:rsidR="00467EA7" w:rsidRPr="0040616D">
        <w:rPr>
          <w:rFonts w:ascii="Palatino Linotype" w:hAnsi="Palatino Linotype" w:cs="Arial"/>
          <w:bCs/>
          <w:lang w:val="es-MX"/>
        </w:rPr>
        <w:t xml:space="preserve"> ambientales</w:t>
      </w:r>
      <w:r w:rsidR="000D4E4B" w:rsidRPr="0040616D">
        <w:rPr>
          <w:rFonts w:ascii="Palatino Linotype" w:hAnsi="Palatino Linotype" w:cs="Arial"/>
          <w:bCs/>
          <w:lang w:val="es-MX"/>
        </w:rPr>
        <w:t>, así como los montos que eventualmente deban pagar</w:t>
      </w:r>
      <w:r w:rsidR="000D4E4B" w:rsidRPr="0040616D">
        <w:t xml:space="preserve"> </w:t>
      </w:r>
      <w:r w:rsidR="000D4E4B" w:rsidRPr="0040616D">
        <w:rPr>
          <w:rFonts w:ascii="Palatino Linotype" w:hAnsi="Palatino Linotype" w:cs="Arial"/>
          <w:bCs/>
          <w:lang w:val="es-MX"/>
        </w:rPr>
        <w:t>para garantizar el derecho a vivir en un ambiente sano y adecuado para el desarrollo, salud y bienestar de los Mexiquenses, los cuales algunos ya obran en fuentes de acceso público de Internet, y de los cuales la Procuraduría deberá velar por su procuración, vigilancia y difusión del cumplimiento a la normatividad ambiental aplicable en la Entidad;</w:t>
      </w:r>
      <w:r w:rsidRPr="0040616D">
        <w:rPr>
          <w:rFonts w:ascii="Palatino Linotype" w:hAnsi="Palatino Linotype" w:cs="Arial"/>
          <w:bCs/>
          <w:lang w:val="es-MX"/>
        </w:rPr>
        <w:t xml:space="preserve"> dicho fin es la transparencia y rendición de cuentas.</w:t>
      </w:r>
    </w:p>
    <w:p w:rsidR="005C3429" w:rsidRPr="0040616D" w:rsidRDefault="005C3429" w:rsidP="005C3429">
      <w:pPr>
        <w:pStyle w:val="Prrafodelista"/>
        <w:spacing w:line="360" w:lineRule="auto"/>
        <w:ind w:left="0"/>
        <w:jc w:val="both"/>
        <w:rPr>
          <w:rFonts w:ascii="Palatino Linotype" w:hAnsi="Palatino Linotype" w:cs="Arial"/>
        </w:rPr>
      </w:pPr>
    </w:p>
    <w:p w:rsidR="006E4579" w:rsidRPr="0040616D" w:rsidRDefault="005C3429" w:rsidP="006E4579">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De tal suerte que, la </w:t>
      </w:r>
      <w:r w:rsidR="000D4E4B" w:rsidRPr="0040616D">
        <w:rPr>
          <w:rFonts w:ascii="Palatino Linotype" w:hAnsi="Palatino Linotype" w:cs="Arial"/>
        </w:rPr>
        <w:t>clasificación como reservada de la información</w:t>
      </w:r>
      <w:r w:rsidRPr="0040616D">
        <w:rPr>
          <w:rFonts w:ascii="Palatino Linotype" w:hAnsi="Palatino Linotype" w:cs="Arial"/>
        </w:rPr>
        <w:t xml:space="preserve"> dificulta que estos documentos cumplan con el propósito para el cual son </w:t>
      </w:r>
      <w:r w:rsidR="00467EA7" w:rsidRPr="0040616D">
        <w:rPr>
          <w:rFonts w:ascii="Palatino Linotype" w:hAnsi="Palatino Linotype" w:cs="Arial"/>
        </w:rPr>
        <w:t>suscritos</w:t>
      </w:r>
      <w:r w:rsidRPr="0040616D">
        <w:rPr>
          <w:rFonts w:ascii="Palatino Linotype" w:hAnsi="Palatino Linotype" w:cs="Arial"/>
        </w:rPr>
        <w:t xml:space="preserve">, es decir, la finalidad constitucionalmente válida es que estos elementos sean medios de identificación </w:t>
      </w:r>
      <w:r w:rsidR="006E4579" w:rsidRPr="0040616D">
        <w:rPr>
          <w:rFonts w:ascii="Palatino Linotype" w:hAnsi="Palatino Linotype" w:cs="Arial"/>
        </w:rPr>
        <w:t>de las accione</w:t>
      </w:r>
      <w:r w:rsidR="00467EA7" w:rsidRPr="0040616D">
        <w:rPr>
          <w:rFonts w:ascii="Palatino Linotype" w:hAnsi="Palatino Linotype" w:cs="Arial"/>
        </w:rPr>
        <w:t>s</w:t>
      </w:r>
      <w:r w:rsidR="006E4579" w:rsidRPr="0040616D">
        <w:rPr>
          <w:rFonts w:ascii="Palatino Linotype" w:hAnsi="Palatino Linotype" w:cs="Arial"/>
        </w:rPr>
        <w:t xml:space="preserve"> emprendidas por la Procuraduría en su compromiso con la sociedad mexiquense para garantizar el derecho a vivir en un ambiente sano.</w:t>
      </w:r>
    </w:p>
    <w:p w:rsidR="006E4579" w:rsidRPr="0040616D" w:rsidRDefault="006E4579" w:rsidP="006E4579">
      <w:pPr>
        <w:pStyle w:val="Prrafodelista"/>
        <w:spacing w:line="360" w:lineRule="auto"/>
        <w:rPr>
          <w:rFonts w:ascii="Palatino Linotype" w:hAnsi="Palatino Linotype" w:cs="Arial"/>
        </w:rPr>
      </w:pPr>
    </w:p>
    <w:p w:rsidR="005C3429" w:rsidRPr="0040616D" w:rsidRDefault="005C3429" w:rsidP="006E4579">
      <w:pPr>
        <w:pStyle w:val="Prrafodelista"/>
        <w:numPr>
          <w:ilvl w:val="0"/>
          <w:numId w:val="24"/>
        </w:numPr>
        <w:spacing w:line="360" w:lineRule="auto"/>
        <w:jc w:val="both"/>
        <w:rPr>
          <w:rFonts w:ascii="Palatino Linotype" w:hAnsi="Palatino Linotype" w:cs="Arial"/>
          <w:b/>
        </w:rPr>
      </w:pPr>
      <w:r w:rsidRPr="0040616D">
        <w:rPr>
          <w:rFonts w:ascii="Palatino Linotype" w:hAnsi="Palatino Linotype" w:cs="Arial"/>
          <w:b/>
        </w:rPr>
        <w:t>Juicio de necesidad.</w:t>
      </w:r>
    </w:p>
    <w:p w:rsidR="005C3429" w:rsidRPr="0040616D" w:rsidRDefault="005C3429" w:rsidP="006E4579">
      <w:pPr>
        <w:pStyle w:val="Prrafodelista"/>
        <w:spacing w:line="360" w:lineRule="auto"/>
        <w:ind w:left="0"/>
        <w:jc w:val="both"/>
        <w:rPr>
          <w:rFonts w:ascii="Palatino Linotype" w:hAnsi="Palatino Linotype" w:cs="Arial"/>
        </w:rPr>
      </w:pPr>
    </w:p>
    <w:p w:rsidR="005C3429" w:rsidRPr="0040616D" w:rsidRDefault="005C3429" w:rsidP="006E4579">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rsidR="005C3429" w:rsidRPr="0040616D" w:rsidRDefault="005C3429" w:rsidP="005C3429">
      <w:pPr>
        <w:pStyle w:val="Prrafodelista"/>
        <w:spacing w:line="360" w:lineRule="auto"/>
        <w:ind w:left="0"/>
        <w:jc w:val="both"/>
        <w:rPr>
          <w:rFonts w:ascii="Palatino Linotype" w:hAnsi="Palatino Linotype" w:cs="Arial"/>
        </w:rPr>
      </w:pPr>
    </w:p>
    <w:p w:rsidR="006E4579" w:rsidRPr="0040616D" w:rsidRDefault="005C3429" w:rsidP="006E4579">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Dicho lo anterior, el contenido en los </w:t>
      </w:r>
      <w:r w:rsidR="006E4579" w:rsidRPr="0040616D">
        <w:rPr>
          <w:rFonts w:ascii="Palatino Linotype" w:hAnsi="Palatino Linotype" w:cs="Arial"/>
        </w:rPr>
        <w:t>convenios de Compensación Ambiental</w:t>
      </w:r>
      <w:r w:rsidRPr="0040616D">
        <w:rPr>
          <w:rFonts w:ascii="Palatino Linotype" w:hAnsi="Palatino Linotype" w:cs="Arial"/>
        </w:rPr>
        <w:t xml:space="preserve">, </w:t>
      </w:r>
      <w:r w:rsidR="006E4579" w:rsidRPr="0040616D">
        <w:rPr>
          <w:rFonts w:ascii="Palatino Linotype" w:hAnsi="Palatino Linotype" w:cs="Arial"/>
        </w:rPr>
        <w:t>y que no fueron clasificados caso por caso, sino a través de expedientes completos no solicitados</w:t>
      </w:r>
      <w:r w:rsidRPr="0040616D">
        <w:rPr>
          <w:rFonts w:ascii="Palatino Linotype" w:hAnsi="Palatino Linotype" w:cs="Arial"/>
        </w:rPr>
        <w:t xml:space="preserve">, no puede sustituirse por otro, es decir, no existe algún otro elemento </w:t>
      </w:r>
      <w:r w:rsidRPr="0040616D">
        <w:rPr>
          <w:rFonts w:ascii="Palatino Linotype" w:hAnsi="Palatino Linotype" w:cs="Arial"/>
        </w:rPr>
        <w:lastRenderedPageBreak/>
        <w:t xml:space="preserve">que pueda suplir la misma, dada su naturaleza y características, pues </w:t>
      </w:r>
      <w:r w:rsidR="006E4579" w:rsidRPr="0040616D">
        <w:rPr>
          <w:rFonts w:ascii="Palatino Linotype" w:hAnsi="Palatino Linotype" w:cs="Arial"/>
        </w:rPr>
        <w:t xml:space="preserve">es un documento suscrito entre infractores y el </w:t>
      </w:r>
      <w:r w:rsidR="006E4579" w:rsidRPr="0040616D">
        <w:rPr>
          <w:rFonts w:ascii="Palatino Linotype" w:hAnsi="Palatino Linotype" w:cs="Arial"/>
          <w:b/>
        </w:rPr>
        <w:t>SUJETO OBLIGADO</w:t>
      </w:r>
      <w:r w:rsidR="006E4579" w:rsidRPr="0040616D">
        <w:rPr>
          <w:rFonts w:ascii="Palatino Linotype" w:hAnsi="Palatino Linotype" w:cs="Arial"/>
        </w:rPr>
        <w:t>, donde constan los acuerdos</w:t>
      </w:r>
      <w:r w:rsidR="00544B15" w:rsidRPr="0040616D">
        <w:rPr>
          <w:rFonts w:ascii="Palatino Linotype" w:hAnsi="Palatino Linotype" w:cs="Arial"/>
        </w:rPr>
        <w:t xml:space="preserve"> o convenios</w:t>
      </w:r>
      <w:r w:rsidR="006E4579" w:rsidRPr="0040616D">
        <w:rPr>
          <w:rFonts w:ascii="Palatino Linotype" w:hAnsi="Palatino Linotype" w:cs="Arial"/>
        </w:rPr>
        <w:t xml:space="preserve"> sobre un asunto, en el caso concreto por la violación a la legislación ambiental del Estado y daños ambientales.</w:t>
      </w:r>
    </w:p>
    <w:p w:rsidR="006E4579" w:rsidRPr="0040616D" w:rsidRDefault="006E4579" w:rsidP="006E4579">
      <w:pPr>
        <w:pStyle w:val="Prrafodelista"/>
        <w:rPr>
          <w:rFonts w:ascii="Palatino Linotype" w:hAnsi="Palatino Linotype" w:cs="Arial"/>
        </w:rPr>
      </w:pPr>
    </w:p>
    <w:p w:rsidR="006E4579" w:rsidRPr="0040616D" w:rsidRDefault="005C3429" w:rsidP="006E4579">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Así, no existe algún distintivo que pueda </w:t>
      </w:r>
      <w:r w:rsidR="006E4579" w:rsidRPr="0040616D">
        <w:rPr>
          <w:rFonts w:ascii="Palatino Linotype" w:hAnsi="Palatino Linotype" w:cs="Arial"/>
        </w:rPr>
        <w:t>remitirse</w:t>
      </w:r>
      <w:r w:rsidRPr="0040616D">
        <w:rPr>
          <w:rFonts w:ascii="Palatino Linotype" w:hAnsi="Palatino Linotype" w:cs="Arial"/>
        </w:rPr>
        <w:t xml:space="preserve">, </w:t>
      </w:r>
      <w:r w:rsidR="006E4579" w:rsidRPr="0040616D">
        <w:rPr>
          <w:rFonts w:ascii="Palatino Linotype" w:hAnsi="Palatino Linotype" w:cs="Arial"/>
        </w:rPr>
        <w:t xml:space="preserve">pues </w:t>
      </w:r>
      <w:r w:rsidRPr="0040616D">
        <w:rPr>
          <w:rFonts w:ascii="Palatino Linotype" w:hAnsi="Palatino Linotype" w:cs="Arial"/>
        </w:rPr>
        <w:t>el acceder a</w:t>
      </w:r>
      <w:r w:rsidR="006E4579" w:rsidRPr="0040616D">
        <w:rPr>
          <w:rFonts w:ascii="Palatino Linotype" w:hAnsi="Palatino Linotype" w:cs="Arial"/>
        </w:rPr>
        <w:t xml:space="preserve"> los convenios suscritos por las partes</w:t>
      </w:r>
      <w:r w:rsidRPr="0040616D">
        <w:rPr>
          <w:rFonts w:ascii="Palatino Linotype" w:hAnsi="Palatino Linotype" w:cs="Arial"/>
        </w:rPr>
        <w:t>, resulta ser la medida necesaria, para que el Solicitante cuente con mayores elementos de convicción respecto a</w:t>
      </w:r>
      <w:r w:rsidR="006E4579" w:rsidRPr="0040616D">
        <w:rPr>
          <w:rFonts w:ascii="Palatino Linotype" w:hAnsi="Palatino Linotype" w:cs="Arial"/>
        </w:rPr>
        <w:t xml:space="preserve"> </w:t>
      </w:r>
      <w:r w:rsidRPr="0040616D">
        <w:rPr>
          <w:rFonts w:ascii="Palatino Linotype" w:hAnsi="Palatino Linotype" w:cs="Arial"/>
        </w:rPr>
        <w:t>l</w:t>
      </w:r>
      <w:r w:rsidR="006E4579" w:rsidRPr="0040616D">
        <w:rPr>
          <w:rFonts w:ascii="Palatino Linotype" w:hAnsi="Palatino Linotype" w:cs="Arial"/>
        </w:rPr>
        <w:t>as</w:t>
      </w:r>
      <w:r w:rsidR="006E4579" w:rsidRPr="0040616D">
        <w:t xml:space="preserve"> </w:t>
      </w:r>
      <w:r w:rsidR="006E4579" w:rsidRPr="0040616D">
        <w:rPr>
          <w:rFonts w:ascii="Palatino Linotype" w:hAnsi="Palatino Linotype" w:cs="Arial"/>
        </w:rPr>
        <w:t>acciones de remediación y compensación de daños ambientales.</w:t>
      </w:r>
    </w:p>
    <w:p w:rsidR="006E4579" w:rsidRPr="0040616D" w:rsidRDefault="006E4579" w:rsidP="006E4579">
      <w:pPr>
        <w:pStyle w:val="Prrafodelista"/>
        <w:rPr>
          <w:rFonts w:ascii="Palatino Linotype" w:hAnsi="Palatino Linotype" w:cs="Arial"/>
        </w:rPr>
      </w:pPr>
    </w:p>
    <w:p w:rsidR="005C3429" w:rsidRPr="0040616D" w:rsidRDefault="005C3429" w:rsidP="009C0F23">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Además, que la entrega completa de los </w:t>
      </w:r>
      <w:r w:rsidR="006E4579" w:rsidRPr="0040616D">
        <w:rPr>
          <w:rFonts w:ascii="Palatino Linotype" w:hAnsi="Palatino Linotype" w:cs="Arial"/>
        </w:rPr>
        <w:t>convenios suscritos</w:t>
      </w:r>
      <w:r w:rsidRPr="0040616D">
        <w:rPr>
          <w:rFonts w:ascii="Palatino Linotype" w:hAnsi="Palatino Linotype" w:cs="Arial"/>
        </w:rPr>
        <w:t xml:space="preserve">, acredita que </w:t>
      </w:r>
      <w:r w:rsidR="00E70EF0" w:rsidRPr="0040616D">
        <w:rPr>
          <w:rFonts w:ascii="Palatino Linotype" w:hAnsi="Palatino Linotype" w:cs="Arial"/>
        </w:rPr>
        <w:t>la Procuraduría cumple con sus atribuciones y objetivos torales de garantizar el derecho de toda persona a vivir en un ambiente adecuado para su desarrollo, salud y bienestar, mediante la procuración, vigilancia y difusión del cumplimiento de la normatividad ambiental aplicable así como de las acciones que en su caso proceden cuando conoce de actos, hechos u omisiones que produzcan desequilibrios ecológicos o daños al ambiente, y por violaciones a las disposiciones jurídicas en materia a</w:t>
      </w:r>
      <w:r w:rsidR="009C0F23" w:rsidRPr="0040616D">
        <w:rPr>
          <w:rFonts w:ascii="Palatino Linotype" w:hAnsi="Palatino Linotype" w:cs="Arial"/>
        </w:rPr>
        <w:t>mbiental</w:t>
      </w:r>
      <w:r w:rsidRPr="0040616D">
        <w:rPr>
          <w:rFonts w:ascii="Palatino Linotype" w:hAnsi="Palatino Linotype" w:cs="Arial"/>
        </w:rPr>
        <w:t xml:space="preserve">, con lo que se fortalece la cultura de la rendición de cuentas; </w:t>
      </w:r>
      <w:r w:rsidR="009C0F23" w:rsidRPr="0040616D">
        <w:rPr>
          <w:rFonts w:ascii="Palatino Linotype" w:hAnsi="Palatino Linotype" w:cs="Arial"/>
        </w:rPr>
        <w:t>clasificar el documento donde constan los acuerdos</w:t>
      </w:r>
      <w:r w:rsidR="00467EA7" w:rsidRPr="0040616D">
        <w:rPr>
          <w:rFonts w:ascii="Palatino Linotype" w:hAnsi="Palatino Linotype" w:cs="Arial"/>
        </w:rPr>
        <w:t xml:space="preserve"> o convenios</w:t>
      </w:r>
      <w:r w:rsidR="009C0F23" w:rsidRPr="0040616D">
        <w:rPr>
          <w:rFonts w:ascii="Palatino Linotype" w:hAnsi="Palatino Linotype" w:cs="Arial"/>
        </w:rPr>
        <w:t xml:space="preserve"> de las partes</w:t>
      </w:r>
      <w:r w:rsidRPr="0040616D">
        <w:rPr>
          <w:rFonts w:ascii="Palatino Linotype" w:hAnsi="Palatino Linotype" w:cs="Arial"/>
        </w:rPr>
        <w:t xml:space="preserve"> reduce su valor para </w:t>
      </w:r>
      <w:r w:rsidR="009C0F23" w:rsidRPr="0040616D">
        <w:rPr>
          <w:rFonts w:ascii="Palatino Linotype" w:hAnsi="Palatino Linotype" w:cs="Arial"/>
        </w:rPr>
        <w:t>la sociedad mexiquense quien será la primordialmente beneficiada</w:t>
      </w:r>
      <w:r w:rsidRPr="0040616D">
        <w:rPr>
          <w:rFonts w:ascii="Palatino Linotype" w:hAnsi="Palatino Linotype" w:cs="Arial"/>
        </w:rPr>
        <w:t xml:space="preserve"> y disminuye sensiblemente </w:t>
      </w:r>
      <w:r w:rsidR="009C0F23" w:rsidRPr="0040616D">
        <w:rPr>
          <w:rFonts w:ascii="Palatino Linotype" w:hAnsi="Palatino Linotype" w:cs="Arial"/>
        </w:rPr>
        <w:t>la misión institucional de la Procuraduría consistente en procurar, vigilar y promover permanentemente el cumplimiento de la legislación y normatividad ambiental para contribuir al logro del desarrollo sustentable de la comunidad</w:t>
      </w:r>
      <w:r w:rsidRPr="0040616D">
        <w:rPr>
          <w:rFonts w:ascii="Palatino Linotype" w:hAnsi="Palatino Linotype" w:cs="Arial"/>
        </w:rPr>
        <w:t>.</w:t>
      </w:r>
    </w:p>
    <w:p w:rsidR="005C3429" w:rsidRPr="0040616D" w:rsidRDefault="005C3429" w:rsidP="009C0F23">
      <w:pPr>
        <w:pStyle w:val="Prrafodelista"/>
        <w:spacing w:line="360" w:lineRule="auto"/>
        <w:ind w:left="0"/>
        <w:jc w:val="both"/>
        <w:rPr>
          <w:rFonts w:ascii="Palatino Linotype" w:hAnsi="Palatino Linotype" w:cs="Arial"/>
        </w:rPr>
      </w:pPr>
    </w:p>
    <w:p w:rsidR="005C3429" w:rsidRPr="0040616D" w:rsidRDefault="005C3429" w:rsidP="009C0F23">
      <w:pPr>
        <w:pStyle w:val="Prrafodelista"/>
        <w:numPr>
          <w:ilvl w:val="0"/>
          <w:numId w:val="24"/>
        </w:numPr>
        <w:spacing w:line="360" w:lineRule="auto"/>
        <w:jc w:val="both"/>
        <w:rPr>
          <w:rFonts w:ascii="Palatino Linotype" w:hAnsi="Palatino Linotype" w:cs="Arial"/>
          <w:b/>
        </w:rPr>
      </w:pPr>
      <w:r w:rsidRPr="0040616D">
        <w:rPr>
          <w:rFonts w:ascii="Palatino Linotype" w:hAnsi="Palatino Linotype" w:cs="Arial"/>
          <w:b/>
        </w:rPr>
        <w:lastRenderedPageBreak/>
        <w:t>Juicio de estricta proporcionalidad.</w:t>
      </w:r>
    </w:p>
    <w:p w:rsidR="005C3429" w:rsidRPr="0040616D" w:rsidRDefault="005C3429" w:rsidP="009C0F23">
      <w:pPr>
        <w:pStyle w:val="Prrafodelista"/>
        <w:spacing w:line="360" w:lineRule="auto"/>
        <w:ind w:left="0"/>
        <w:jc w:val="both"/>
        <w:rPr>
          <w:rFonts w:ascii="Palatino Linotype" w:hAnsi="Palatino Linotype" w:cs="Arial"/>
        </w:rPr>
      </w:pPr>
    </w:p>
    <w:p w:rsidR="005C3429" w:rsidRPr="0040616D" w:rsidRDefault="005C3429" w:rsidP="009C0F23">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En esta fase, se debe establecer que la medida propuesta debe ser estrictamente proporcional y constituir la mínima afectación posible, de tal forma que </w:t>
      </w:r>
      <w:r w:rsidR="009C0F23" w:rsidRPr="0040616D">
        <w:rPr>
          <w:rFonts w:ascii="Palatino Linotype" w:hAnsi="Palatino Linotype" w:cs="Arial"/>
        </w:rPr>
        <w:t>la reserva de la información</w:t>
      </w:r>
      <w:r w:rsidRPr="0040616D">
        <w:rPr>
          <w:rFonts w:ascii="Palatino Linotype" w:hAnsi="Palatino Linotype" w:cs="Arial"/>
        </w:rPr>
        <w:t xml:space="preserve"> retroceda en la estricta e indispensable proporción para que el de acc</w:t>
      </w:r>
      <w:r w:rsidR="009C0F23" w:rsidRPr="0040616D">
        <w:rPr>
          <w:rFonts w:ascii="Palatino Linotype" w:hAnsi="Palatino Linotype" w:cs="Arial"/>
        </w:rPr>
        <w:t>eso a la información prevalezca;</w:t>
      </w:r>
      <w:r w:rsidRPr="0040616D">
        <w:rPr>
          <w:rFonts w:ascii="Palatino Linotype" w:hAnsi="Palatino Linotype" w:cs="Arial"/>
        </w:rPr>
        <w:t xml:space="preserve"> sin que, desde luego, desaparezca el primero</w:t>
      </w:r>
      <w:r w:rsidR="009C0F23" w:rsidRPr="0040616D">
        <w:rPr>
          <w:rFonts w:ascii="Palatino Linotype" w:hAnsi="Palatino Linotype" w:cs="Arial"/>
        </w:rPr>
        <w:t>.</w:t>
      </w:r>
    </w:p>
    <w:p w:rsidR="005C3429" w:rsidRPr="0040616D" w:rsidRDefault="005C3429" w:rsidP="005C3429">
      <w:pPr>
        <w:pStyle w:val="Prrafodelista"/>
        <w:spacing w:line="360" w:lineRule="auto"/>
        <w:ind w:left="0"/>
        <w:jc w:val="both"/>
        <w:rPr>
          <w:rFonts w:ascii="Palatino Linotype" w:hAnsi="Palatino Linotype" w:cs="Arial"/>
        </w:rPr>
      </w:pPr>
    </w:p>
    <w:p w:rsidR="005C3429" w:rsidRPr="0040616D" w:rsidRDefault="005C3429" w:rsidP="00B012C4">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Al respecto, </w:t>
      </w:r>
      <w:r w:rsidR="009C0F23" w:rsidRPr="0040616D">
        <w:rPr>
          <w:rFonts w:ascii="Palatino Linotype" w:hAnsi="Palatino Linotype" w:cs="Arial"/>
        </w:rPr>
        <w:t>debe prevalecer</w:t>
      </w:r>
      <w:r w:rsidRPr="0040616D">
        <w:rPr>
          <w:rFonts w:ascii="Palatino Linotype" w:hAnsi="Palatino Linotype" w:cs="Arial"/>
        </w:rPr>
        <w:t xml:space="preserve"> la apertura de</w:t>
      </w:r>
      <w:r w:rsidR="009C0F23" w:rsidRPr="0040616D">
        <w:rPr>
          <w:rFonts w:ascii="Palatino Linotype" w:hAnsi="Palatino Linotype" w:cs="Arial"/>
        </w:rPr>
        <w:t xml:space="preserve"> la información</w:t>
      </w:r>
      <w:r w:rsidRPr="0040616D">
        <w:rPr>
          <w:rFonts w:ascii="Palatino Linotype" w:hAnsi="Palatino Linotype" w:cs="Arial"/>
        </w:rPr>
        <w:t xml:space="preserve">, con la finalidad de entregar al Solicitante mayores elementos de convicción respecto </w:t>
      </w:r>
      <w:r w:rsidR="009C0F23" w:rsidRPr="0040616D">
        <w:rPr>
          <w:rFonts w:ascii="Palatino Linotype" w:hAnsi="Palatino Linotype" w:cs="Arial"/>
        </w:rPr>
        <w:t>a las acciones emprendidas por la Procuraduría en uso de sus facultades y atribuciones de derecho público,</w:t>
      </w:r>
      <w:r w:rsidRPr="0040616D">
        <w:rPr>
          <w:rFonts w:ascii="Palatino Linotype" w:hAnsi="Palatino Linotype" w:cs="Arial"/>
        </w:rPr>
        <w:t xml:space="preserve"> </w:t>
      </w:r>
      <w:r w:rsidR="009C0F23" w:rsidRPr="0040616D">
        <w:rPr>
          <w:rFonts w:ascii="Palatino Linotype" w:hAnsi="Palatino Linotype" w:cs="Arial"/>
        </w:rPr>
        <w:t xml:space="preserve">clasificando como confidencial únicamente aquellos datos relacionados a particulares con el objeto de salvaguardar sus datos personales que este </w:t>
      </w:r>
      <w:r w:rsidR="00B012C4" w:rsidRPr="0040616D">
        <w:rPr>
          <w:rFonts w:ascii="Palatino Linotype" w:hAnsi="Palatino Linotype" w:cs="Arial"/>
        </w:rPr>
        <w:t>Órgano</w:t>
      </w:r>
      <w:r w:rsidR="009C0F23" w:rsidRPr="0040616D">
        <w:rPr>
          <w:rFonts w:ascii="Palatino Linotype" w:hAnsi="Palatino Linotype" w:cs="Arial"/>
        </w:rPr>
        <w:t xml:space="preserve"> Garante tiene el deber de tutelar, esto a través de la elaboración de una</w:t>
      </w:r>
      <w:r w:rsidRPr="0040616D">
        <w:rPr>
          <w:rFonts w:ascii="Palatino Linotype" w:hAnsi="Palatino Linotype" w:cs="Arial"/>
        </w:rPr>
        <w:t xml:space="preserve"> </w:t>
      </w:r>
      <w:r w:rsidRPr="0040616D">
        <w:rPr>
          <w:rFonts w:ascii="Palatino Linotype" w:hAnsi="Palatino Linotype" w:cs="Arial"/>
          <w:b/>
          <w:bCs/>
        </w:rPr>
        <w:t>versión pública</w:t>
      </w:r>
      <w:r w:rsidRPr="0040616D">
        <w:rPr>
          <w:rFonts w:ascii="Palatino Linotype" w:hAnsi="Palatino Linotype" w:cs="Arial"/>
        </w:rPr>
        <w:t>, con esto se pretende que l</w:t>
      </w:r>
      <w:r w:rsidR="00B012C4" w:rsidRPr="0040616D">
        <w:rPr>
          <w:rFonts w:ascii="Palatino Linotype" w:hAnsi="Palatino Linotype" w:cs="Arial"/>
        </w:rPr>
        <w:t xml:space="preserve">a invasión a la intimidad de particulares que eventualmente obren en los </w:t>
      </w:r>
      <w:r w:rsidR="00544B15" w:rsidRPr="0040616D">
        <w:rPr>
          <w:rFonts w:ascii="Palatino Linotype" w:hAnsi="Palatino Linotype" w:cs="Arial"/>
        </w:rPr>
        <w:t>Convenios</w:t>
      </w:r>
      <w:r w:rsidR="00B012C4" w:rsidRPr="0040616D">
        <w:rPr>
          <w:rFonts w:ascii="Palatino Linotype" w:hAnsi="Palatino Linotype" w:cs="Arial"/>
        </w:rPr>
        <w:t>,</w:t>
      </w:r>
      <w:r w:rsidRPr="0040616D">
        <w:rPr>
          <w:rFonts w:ascii="Palatino Linotype" w:hAnsi="Palatino Linotype" w:cs="Arial"/>
        </w:rPr>
        <w:t xml:space="preserve"> sea estrictamente proporcional, de tal forma que prevalezca el interés público referido, </w:t>
      </w:r>
      <w:r w:rsidR="00B012C4" w:rsidRPr="0040616D">
        <w:rPr>
          <w:rFonts w:ascii="Palatino Linotype" w:hAnsi="Palatino Linotype" w:cs="Arial"/>
        </w:rPr>
        <w:t>dejando a la vista todo lo relativo a las acciones de remediación y compensación de daños ambientales, así como los montos.</w:t>
      </w:r>
    </w:p>
    <w:p w:rsidR="005C3429" w:rsidRPr="0040616D" w:rsidRDefault="005C3429" w:rsidP="005C3429">
      <w:pPr>
        <w:pStyle w:val="Prrafodelista"/>
        <w:spacing w:line="360" w:lineRule="auto"/>
        <w:ind w:left="0"/>
        <w:jc w:val="both"/>
        <w:rPr>
          <w:rFonts w:ascii="Palatino Linotype" w:hAnsi="Palatino Linotype" w:cs="Arial"/>
        </w:rPr>
      </w:pPr>
    </w:p>
    <w:p w:rsidR="005C3429" w:rsidRPr="0040616D" w:rsidRDefault="005C3429" w:rsidP="00C97D4A">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Además, </w:t>
      </w:r>
      <w:r w:rsidR="00B012C4" w:rsidRPr="0040616D">
        <w:rPr>
          <w:rFonts w:ascii="Palatino Linotype" w:hAnsi="Palatino Linotype" w:cs="Arial"/>
        </w:rPr>
        <w:t>como ya se</w:t>
      </w:r>
      <w:r w:rsidRPr="0040616D">
        <w:rPr>
          <w:rFonts w:ascii="Palatino Linotype" w:hAnsi="Palatino Linotype" w:cs="Arial"/>
        </w:rPr>
        <w:t xml:space="preserve"> señal</w:t>
      </w:r>
      <w:r w:rsidR="00B012C4" w:rsidRPr="0040616D">
        <w:rPr>
          <w:rFonts w:ascii="Palatino Linotype" w:hAnsi="Palatino Linotype" w:cs="Arial"/>
        </w:rPr>
        <w:t>ó</w:t>
      </w:r>
      <w:r w:rsidRPr="0040616D">
        <w:rPr>
          <w:rFonts w:ascii="Palatino Linotype" w:hAnsi="Palatino Linotype" w:cs="Arial"/>
        </w:rPr>
        <w:t xml:space="preserve">, los </w:t>
      </w:r>
      <w:r w:rsidR="00B012C4" w:rsidRPr="0040616D">
        <w:rPr>
          <w:rFonts w:ascii="Palatino Linotype" w:hAnsi="Palatino Linotype" w:cs="Arial"/>
        </w:rPr>
        <w:t>multicitados acuerdos</w:t>
      </w:r>
      <w:r w:rsidRPr="0040616D">
        <w:rPr>
          <w:rFonts w:ascii="Palatino Linotype" w:hAnsi="Palatino Linotype" w:cs="Arial"/>
        </w:rPr>
        <w:t>, tiene</w:t>
      </w:r>
      <w:r w:rsidR="00B012C4" w:rsidRPr="0040616D">
        <w:rPr>
          <w:rFonts w:ascii="Palatino Linotype" w:hAnsi="Palatino Linotype" w:cs="Arial"/>
        </w:rPr>
        <w:t>n</w:t>
      </w:r>
      <w:r w:rsidRPr="0040616D">
        <w:rPr>
          <w:rFonts w:ascii="Palatino Linotype" w:hAnsi="Palatino Linotype" w:cs="Arial"/>
        </w:rPr>
        <w:t xml:space="preserve"> la finalidad de contar con los elementos necesarios que  permitan a cualquier persona verificar </w:t>
      </w:r>
      <w:r w:rsidR="00B012C4" w:rsidRPr="0040616D">
        <w:rPr>
          <w:rFonts w:ascii="Palatino Linotype" w:hAnsi="Palatino Linotype" w:cs="Arial"/>
        </w:rPr>
        <w:t xml:space="preserve">las atribuciones de la Procuraduría de garantizar el derecho de toda persona a vivir en </w:t>
      </w:r>
      <w:r w:rsidR="00B012C4" w:rsidRPr="0040616D">
        <w:rPr>
          <w:rFonts w:ascii="Palatino Linotype" w:hAnsi="Palatino Linotype" w:cs="Arial"/>
        </w:rPr>
        <w:lastRenderedPageBreak/>
        <w:t>un ambiente adecuado para su desarrollo, salud y bienestar, mediante la procuración, vigilancia y difusión del cumplimiento de la normatividad ambiental.</w:t>
      </w:r>
    </w:p>
    <w:p w:rsidR="00B012C4" w:rsidRPr="0040616D" w:rsidRDefault="00B012C4" w:rsidP="00B012C4">
      <w:pPr>
        <w:spacing w:line="360" w:lineRule="auto"/>
        <w:contextualSpacing/>
        <w:jc w:val="both"/>
        <w:rPr>
          <w:rFonts w:ascii="Palatino Linotype" w:hAnsi="Palatino Linotype" w:cs="Arial"/>
        </w:rPr>
      </w:pPr>
    </w:p>
    <w:p w:rsidR="005C3429" w:rsidRPr="0040616D" w:rsidRDefault="005C3429" w:rsidP="00B012C4">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En este sentido, la estricta proporcionalidad en la valoración de los datos que deben entregarse como públicos, deviene de la naturaleza de los mismos, </w:t>
      </w:r>
      <w:r w:rsidR="00B012C4" w:rsidRPr="0040616D">
        <w:rPr>
          <w:rFonts w:ascii="Palatino Linotype" w:hAnsi="Palatino Linotype" w:cs="Arial"/>
        </w:rPr>
        <w:t xml:space="preserve"> que es la de ser documentos que dan cuenta de las acciones que procedan ante las autoridades competentes, cuando conozca de actos, hechos u omisiones que produzcan desequilibrios ecológicos o daños al ambiente, y por violaciones a las disposiciones jurídicas en materia Ambiental</w:t>
      </w:r>
      <w:r w:rsidRPr="0040616D">
        <w:rPr>
          <w:rFonts w:ascii="Palatino Linotype" w:hAnsi="Palatino Linotype" w:cs="Arial"/>
        </w:rPr>
        <w:t xml:space="preserve">; esto implica que la información se encuentra relacionada directamente con </w:t>
      </w:r>
      <w:r w:rsidR="00B012C4" w:rsidRPr="0040616D">
        <w:rPr>
          <w:rFonts w:ascii="Palatino Linotype" w:hAnsi="Palatino Linotype" w:cs="Arial"/>
        </w:rPr>
        <w:t>el derecho a saber, que repercutirá en su derecho a un ambiente adecuado para el desarrollo de la salud y el bienestar y no así para el vulneración de procedimientos administrativos</w:t>
      </w:r>
      <w:r w:rsidRPr="0040616D">
        <w:rPr>
          <w:rFonts w:ascii="Palatino Linotype" w:hAnsi="Palatino Linotype" w:cs="Arial"/>
        </w:rPr>
        <w:t>.</w:t>
      </w:r>
    </w:p>
    <w:p w:rsidR="005C3429" w:rsidRPr="0040616D" w:rsidRDefault="005C3429" w:rsidP="00B012C4">
      <w:pPr>
        <w:spacing w:line="360" w:lineRule="auto"/>
        <w:contextualSpacing/>
        <w:jc w:val="both"/>
        <w:rPr>
          <w:rFonts w:ascii="Palatino Linotype" w:hAnsi="Palatino Linotype" w:cs="Arial"/>
        </w:rPr>
      </w:pPr>
    </w:p>
    <w:p w:rsidR="00280FDC" w:rsidRPr="0040616D" w:rsidRDefault="00280FDC" w:rsidP="0032189A">
      <w:pPr>
        <w:numPr>
          <w:ilvl w:val="0"/>
          <w:numId w:val="1"/>
        </w:numPr>
        <w:spacing w:line="360" w:lineRule="auto"/>
        <w:ind w:left="0" w:firstLine="0"/>
        <w:contextualSpacing/>
        <w:jc w:val="both"/>
        <w:rPr>
          <w:rFonts w:ascii="Palatino Linotype" w:hAnsi="Palatino Linotype"/>
        </w:rPr>
      </w:pPr>
      <w:r w:rsidRPr="0040616D">
        <w:rPr>
          <w:rFonts w:ascii="Palatino Linotype" w:hAnsi="Palatino Linotype" w:cs="Arial"/>
        </w:rPr>
        <w:t xml:space="preserve">En </w:t>
      </w:r>
      <w:r w:rsidRPr="0040616D">
        <w:rPr>
          <w:rFonts w:ascii="Palatino Linotype" w:hAnsi="Palatino Linotype" w:cs="Arial"/>
          <w:lang w:eastAsia="es-MX"/>
        </w:rPr>
        <w:t>consecuencia</w:t>
      </w:r>
      <w:r w:rsidRPr="0040616D">
        <w:rPr>
          <w:rFonts w:ascii="Palatino Linotype" w:hAnsi="Palatino Linotype" w:cs="Arial"/>
        </w:rPr>
        <w:t xml:space="preserve">, y atendiendo a las circunstancias del caso particular que nos ocupa, </w:t>
      </w:r>
      <w:r w:rsidR="00B012C4" w:rsidRPr="0040616D">
        <w:rPr>
          <w:rFonts w:ascii="Palatino Linotype" w:hAnsi="Palatino Linotype" w:cs="Arial"/>
        </w:rPr>
        <w:t>se acredita que se justifican</w:t>
      </w:r>
      <w:r w:rsidRPr="0040616D">
        <w:rPr>
          <w:rFonts w:ascii="Palatino Linotype" w:hAnsi="Palatino Linotype" w:cs="Arial"/>
        </w:rPr>
        <w:t xml:space="preserve"> las razones y circuns</w:t>
      </w:r>
      <w:r w:rsidR="00B012C4" w:rsidRPr="0040616D">
        <w:rPr>
          <w:rFonts w:ascii="Palatino Linotype" w:hAnsi="Palatino Linotype" w:cs="Arial"/>
        </w:rPr>
        <w:t>tancias por las que se determina</w:t>
      </w:r>
      <w:r w:rsidRPr="0040616D">
        <w:rPr>
          <w:rFonts w:ascii="Palatino Linotype" w:hAnsi="Palatino Linotype" w:cs="Arial"/>
        </w:rPr>
        <w:t xml:space="preserve"> </w:t>
      </w:r>
      <w:r w:rsidR="00B012C4" w:rsidRPr="0040616D">
        <w:rPr>
          <w:rFonts w:ascii="Palatino Linotype" w:hAnsi="Palatino Linotype" w:cs="Arial"/>
        </w:rPr>
        <w:t xml:space="preserve">desestimar la pretendida clasificación de la información como reservada propuesta por el </w:t>
      </w:r>
      <w:r w:rsidR="00B012C4" w:rsidRPr="0040616D">
        <w:rPr>
          <w:rFonts w:ascii="Palatino Linotype" w:hAnsi="Palatino Linotype" w:cs="Arial"/>
          <w:b/>
        </w:rPr>
        <w:t>SUJETO OBLIGADO</w:t>
      </w:r>
      <w:r w:rsidR="0032189A" w:rsidRPr="0040616D">
        <w:rPr>
          <w:rFonts w:ascii="Palatino Linotype" w:hAnsi="Palatino Linotype" w:cs="Arial"/>
          <w:b/>
        </w:rPr>
        <w:t xml:space="preserve">, </w:t>
      </w:r>
      <w:r w:rsidR="0032189A" w:rsidRPr="0040616D">
        <w:rPr>
          <w:rFonts w:ascii="Palatino Linotype" w:hAnsi="Palatino Linotype" w:cs="Arial"/>
        </w:rPr>
        <w:t>en virtud de haberse acreditado</w:t>
      </w:r>
      <w:r w:rsidRPr="0040616D">
        <w:rPr>
          <w:rFonts w:ascii="Palatino Linotype" w:hAnsi="Palatino Linotype"/>
        </w:rPr>
        <w:t xml:space="preserve">, el interés público </w:t>
      </w:r>
      <w:r w:rsidR="0032189A" w:rsidRPr="0040616D">
        <w:rPr>
          <w:rFonts w:ascii="Palatino Linotype" w:hAnsi="Palatino Linotype"/>
        </w:rPr>
        <w:t>para</w:t>
      </w:r>
      <w:r w:rsidRPr="0040616D">
        <w:rPr>
          <w:rFonts w:ascii="Palatino Linotype" w:hAnsi="Palatino Linotype"/>
        </w:rPr>
        <w:t xml:space="preserve"> que la ciudadanía conozca </w:t>
      </w:r>
      <w:r w:rsidR="0032189A" w:rsidRPr="0040616D">
        <w:rPr>
          <w:rFonts w:ascii="Palatino Linotype" w:hAnsi="Palatino Linotype"/>
        </w:rPr>
        <w:t>puedan conocer los Convenios de Compensación Ambiental suscritos por infractores de su Entidad, al establecerse</w:t>
      </w:r>
      <w:r w:rsidRPr="0040616D">
        <w:rPr>
          <w:rFonts w:ascii="Palatino Linotype" w:hAnsi="Palatino Linotype"/>
        </w:rPr>
        <w:t xml:space="preserve"> una correcta ponderación </w:t>
      </w:r>
      <w:r w:rsidR="0032189A" w:rsidRPr="0040616D">
        <w:rPr>
          <w:rFonts w:ascii="Palatino Linotype" w:hAnsi="Palatino Linotype"/>
        </w:rPr>
        <w:t>del cumplimiento de tres juicios previamente analizados</w:t>
      </w:r>
      <w:r w:rsidRPr="0040616D">
        <w:rPr>
          <w:rFonts w:ascii="Palatino Linotype" w:hAnsi="Palatino Linotype"/>
        </w:rPr>
        <w:t>. La ausencia de cualquiera de los tres, invalida enteramente la invasión d</w:t>
      </w:r>
      <w:r w:rsidR="0032189A" w:rsidRPr="0040616D">
        <w:rPr>
          <w:rFonts w:ascii="Palatino Linotype" w:hAnsi="Palatino Linotype"/>
        </w:rPr>
        <w:t>el derecho,</w:t>
      </w:r>
      <w:r w:rsidRPr="0040616D">
        <w:rPr>
          <w:rFonts w:ascii="Palatino Linotype" w:hAnsi="Palatino Linotype"/>
        </w:rPr>
        <w:t xml:space="preserve"> </w:t>
      </w:r>
      <w:r w:rsidR="0032189A" w:rsidRPr="0040616D">
        <w:rPr>
          <w:rFonts w:ascii="Palatino Linotype" w:hAnsi="Palatino Linotype"/>
        </w:rPr>
        <w:t>e</w:t>
      </w:r>
      <w:r w:rsidRPr="0040616D">
        <w:rPr>
          <w:rFonts w:ascii="Palatino Linotype" w:hAnsi="Palatino Linotype"/>
        </w:rPr>
        <w:t xml:space="preserve">n este caso, la limitación al derecho a la </w:t>
      </w:r>
      <w:r w:rsidR="0032189A" w:rsidRPr="0040616D">
        <w:rPr>
          <w:rFonts w:ascii="Palatino Linotype" w:hAnsi="Palatino Linotype"/>
        </w:rPr>
        <w:t>información pública</w:t>
      </w:r>
      <w:r w:rsidRPr="0040616D">
        <w:rPr>
          <w:rFonts w:ascii="Palatino Linotype" w:hAnsi="Palatino Linotype"/>
        </w:rPr>
        <w:t xml:space="preserve"> </w:t>
      </w:r>
      <w:r w:rsidR="0032189A" w:rsidRPr="0040616D">
        <w:rPr>
          <w:rFonts w:ascii="Palatino Linotype" w:hAnsi="Palatino Linotype"/>
        </w:rPr>
        <w:t>que fue</w:t>
      </w:r>
      <w:r w:rsidRPr="0040616D">
        <w:rPr>
          <w:rFonts w:ascii="Palatino Linotype" w:hAnsi="Palatino Linotype"/>
        </w:rPr>
        <w:t xml:space="preserve"> acorde con el principio de proporcionalidad, </w:t>
      </w:r>
      <w:r w:rsidR="0032189A" w:rsidRPr="0040616D">
        <w:rPr>
          <w:rFonts w:ascii="Palatino Linotype" w:hAnsi="Palatino Linotype"/>
        </w:rPr>
        <w:t>al</w:t>
      </w:r>
      <w:r w:rsidRPr="0040616D">
        <w:rPr>
          <w:rFonts w:ascii="Palatino Linotype" w:hAnsi="Palatino Linotype"/>
        </w:rPr>
        <w:t xml:space="preserve">e emplear los tres juicios propuestos por la Corte </w:t>
      </w:r>
      <w:r w:rsidRPr="0040616D">
        <w:rPr>
          <w:rFonts w:ascii="Palatino Linotype" w:hAnsi="Palatino Linotype"/>
        </w:rPr>
        <w:lastRenderedPageBreak/>
        <w:t>Constitucional Colombiana,</w:t>
      </w:r>
      <w:r w:rsidRPr="0040616D">
        <w:rPr>
          <w:rFonts w:ascii="Palatino Linotype" w:hAnsi="Palatino Linotype"/>
          <w:vertAlign w:val="superscript"/>
        </w:rPr>
        <w:footnoteReference w:id="10"/>
      </w:r>
      <w:r w:rsidRPr="0040616D">
        <w:rPr>
          <w:rFonts w:ascii="Palatino Linotype" w:hAnsi="Palatino Linotype"/>
        </w:rPr>
        <w:t xml:space="preserve"> siguiendo el principio de ponderación propuesto por el Tribunal Constitucional Alemán,</w:t>
      </w:r>
      <w:r w:rsidRPr="0040616D">
        <w:rPr>
          <w:rFonts w:ascii="Palatino Linotype" w:hAnsi="Palatino Linotype"/>
          <w:vertAlign w:val="superscript"/>
        </w:rPr>
        <w:footnoteReference w:id="11"/>
      </w:r>
      <w:r w:rsidRPr="0040616D">
        <w:rPr>
          <w:rFonts w:ascii="Palatino Linotype" w:hAnsi="Palatino Linotype"/>
          <w:vertAlign w:val="superscript"/>
        </w:rPr>
        <w:t xml:space="preserve"> </w:t>
      </w:r>
      <w:r w:rsidRPr="0040616D">
        <w:rPr>
          <w:rFonts w:ascii="Palatino Linotype" w:hAnsi="Palatino Linotype"/>
        </w:rPr>
        <w:t xml:space="preserve">el juicio de idoneidad deberá explicar que la medida permite obtener </w:t>
      </w:r>
      <w:r w:rsidRPr="0040616D">
        <w:rPr>
          <w:rFonts w:ascii="Palatino Linotype" w:hAnsi="Palatino Linotype"/>
          <w:i/>
        </w:rPr>
        <w:t>el fin (constitucionalmente legítimo de acuerdo con el principio de razón suficiente);</w:t>
      </w:r>
      <w:r w:rsidRPr="0040616D">
        <w:rPr>
          <w:rFonts w:ascii="Palatino Linotype" w:hAnsi="Palatino Linotype"/>
        </w:rPr>
        <w:t xml:space="preserve"> el de necesidad, a través del cual se debe acreditar que </w:t>
      </w:r>
      <w:r w:rsidRPr="0040616D">
        <w:rPr>
          <w:rFonts w:ascii="Palatino Linotype" w:hAnsi="Palatino Linotype"/>
          <w:i/>
        </w:rPr>
        <w:t>no existan medios alternativos igualmente adecuados o idóneos para la obtención del fin, pero menos restrictivos de los principios afectados;</w:t>
      </w:r>
      <w:r w:rsidRPr="0040616D">
        <w:rPr>
          <w:rFonts w:ascii="Palatino Linotype" w:hAnsi="Palatino Linotype"/>
        </w:rPr>
        <w:t xml:space="preserve"> y, por último, el de </w:t>
      </w:r>
      <w:r w:rsidRPr="0040616D">
        <w:rPr>
          <w:rFonts w:ascii="Palatino Linotype" w:hAnsi="Palatino Linotype"/>
          <w:i/>
        </w:rPr>
        <w:t xml:space="preserve">proporcionalidad en sentido estricto, esto es, que el fin que la efectividad del fin que se persigue se alcance en una medida </w:t>
      </w:r>
      <w:r w:rsidRPr="0040616D">
        <w:rPr>
          <w:rFonts w:ascii="Palatino Linotype" w:hAnsi="Palatino Linotype"/>
          <w:i/>
        </w:rPr>
        <w:lastRenderedPageBreak/>
        <w:t>mayor a la afectación de los principios que sufren restricción, y particularmente, del principio de igualdad.</w:t>
      </w:r>
      <w:r w:rsidRPr="0040616D">
        <w:rPr>
          <w:rFonts w:ascii="Palatino Linotype" w:hAnsi="Palatino Linotype"/>
          <w:i/>
          <w:vertAlign w:val="superscript"/>
        </w:rPr>
        <w:footnoteReference w:id="12"/>
      </w:r>
      <w:r w:rsidRPr="0040616D">
        <w:rPr>
          <w:rFonts w:ascii="Palatino Linotype" w:hAnsi="Palatino Linotype"/>
          <w:i/>
        </w:rPr>
        <w:t xml:space="preserve"> </w:t>
      </w:r>
    </w:p>
    <w:p w:rsidR="0032189A" w:rsidRPr="0040616D" w:rsidRDefault="0032189A" w:rsidP="0032189A">
      <w:pPr>
        <w:spacing w:line="360" w:lineRule="auto"/>
        <w:contextualSpacing/>
        <w:jc w:val="both"/>
        <w:rPr>
          <w:rFonts w:ascii="Palatino Linotype" w:hAnsi="Palatino Linotype"/>
        </w:rPr>
      </w:pPr>
    </w:p>
    <w:p w:rsidR="00280FDC" w:rsidRPr="0040616D" w:rsidRDefault="00280FDC" w:rsidP="0032189A">
      <w:pPr>
        <w:numPr>
          <w:ilvl w:val="0"/>
          <w:numId w:val="1"/>
        </w:numPr>
        <w:spacing w:line="360" w:lineRule="auto"/>
        <w:ind w:left="0" w:firstLine="0"/>
        <w:contextualSpacing/>
        <w:jc w:val="both"/>
        <w:rPr>
          <w:rFonts w:ascii="Palatino Linotype" w:eastAsia="Calibri" w:hAnsi="Palatino Linotype" w:cs="Arial"/>
          <w:lang w:val="es-MX" w:eastAsia="en-US"/>
        </w:rPr>
      </w:pPr>
      <w:r w:rsidRPr="0040616D">
        <w:rPr>
          <w:rFonts w:ascii="Palatino Linotype" w:eastAsia="Calibri" w:hAnsi="Palatino Linotype"/>
          <w:lang w:val="es-MX" w:eastAsia="en-US"/>
        </w:rPr>
        <w:t xml:space="preserve">Así, es necesario precisar que la transparencia es un principio jurídico que se </w:t>
      </w:r>
      <w:r w:rsidRPr="0040616D">
        <w:rPr>
          <w:rFonts w:ascii="Palatino Linotype" w:hAnsi="Palatino Linotype" w:cs="Arial"/>
        </w:rPr>
        <w:t>concreta</w:t>
      </w:r>
      <w:r w:rsidRPr="0040616D">
        <w:rPr>
          <w:rFonts w:ascii="Palatino Linotype" w:eastAsia="Calibri" w:hAnsi="Palatino Linotype"/>
          <w:lang w:val="es-MX" w:eastAsia="en-US"/>
        </w:rPr>
        <w:t xml:space="preserve">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 que en el presente caso se traduce en el acceso a la información relacionada con las medidas adoptadas</w:t>
      </w:r>
      <w:r w:rsidR="0032189A" w:rsidRPr="0040616D">
        <w:rPr>
          <w:rFonts w:ascii="Palatino Linotype" w:eastAsia="Calibri" w:hAnsi="Palatino Linotype"/>
          <w:lang w:val="es-MX" w:eastAsia="en-US"/>
        </w:rPr>
        <w:t>, en el caso concreto, en materia ambiental.</w:t>
      </w:r>
      <w:r w:rsidRPr="0040616D">
        <w:rPr>
          <w:rFonts w:ascii="Palatino Linotype" w:eastAsia="Calibri" w:hAnsi="Palatino Linotype"/>
          <w:lang w:val="es-MX" w:eastAsia="en-US"/>
        </w:rPr>
        <w:t xml:space="preserve"> </w:t>
      </w:r>
    </w:p>
    <w:p w:rsidR="00280FDC" w:rsidRPr="0040616D" w:rsidRDefault="00280FDC" w:rsidP="00280FDC">
      <w:pPr>
        <w:spacing w:before="240" w:after="240" w:line="360" w:lineRule="auto"/>
        <w:contextualSpacing/>
        <w:jc w:val="both"/>
        <w:rPr>
          <w:rFonts w:ascii="Palatino Linotype" w:eastAsia="Calibri" w:hAnsi="Palatino Linotype" w:cs="Arial"/>
          <w:lang w:val="es-MX" w:eastAsia="en-US"/>
        </w:rPr>
      </w:pPr>
    </w:p>
    <w:p w:rsidR="00280FDC" w:rsidRPr="0040616D" w:rsidRDefault="00280FDC" w:rsidP="0032189A">
      <w:pPr>
        <w:numPr>
          <w:ilvl w:val="0"/>
          <w:numId w:val="1"/>
        </w:numPr>
        <w:spacing w:line="360" w:lineRule="auto"/>
        <w:ind w:left="0" w:firstLine="0"/>
        <w:contextualSpacing/>
        <w:jc w:val="both"/>
        <w:rPr>
          <w:rFonts w:ascii="Palatino Linotype" w:eastAsia="Calibri" w:hAnsi="Palatino Linotype" w:cs="Arial"/>
          <w:lang w:val="es-MX" w:eastAsia="en-US"/>
        </w:rPr>
      </w:pPr>
      <w:r w:rsidRPr="0040616D">
        <w:rPr>
          <w:rFonts w:ascii="Palatino Linotype" w:eastAsia="Calibri" w:hAnsi="Palatino Linotype"/>
          <w:lang w:val="es-MX" w:eastAsia="en-US"/>
        </w:rPr>
        <w:t>Por otra parte, tenemos la rendición de cuenta pública; que supone la capacidad de las instituciones para hacer responsables a los gobernantes de sus actos y decisiones en los distintos niveles de poder. En ese sentido, el principio de rendición de cuentas y la transparencia encuentran un objetivo en común, buscar conciliar el interés colectivo con el interé</w:t>
      </w:r>
      <w:r w:rsidR="0032189A" w:rsidRPr="0040616D">
        <w:rPr>
          <w:rFonts w:ascii="Palatino Linotype" w:eastAsia="Calibri" w:hAnsi="Palatino Linotype"/>
          <w:lang w:val="es-MX" w:eastAsia="en-US"/>
        </w:rPr>
        <w:t>s particular de los gobernantes;</w:t>
      </w:r>
      <w:r w:rsidRPr="0040616D">
        <w:rPr>
          <w:rFonts w:ascii="Palatino Linotype" w:eastAsia="Calibri" w:hAnsi="Palatino Linotype"/>
          <w:lang w:val="es-MX" w:eastAsia="en-US"/>
        </w:rPr>
        <w:t xml:space="preserve"> es decir, si todos los que dispongan de algún poder público saben que pueden ser llamados a cuentas, que su acción política, su desempeño gubernamental, el ejercicio de sus funciones y sus decisiones generan efectos positivos o negativos, tendrán mayor diligencia en sus acciones. </w:t>
      </w:r>
    </w:p>
    <w:p w:rsidR="00944522" w:rsidRPr="0040616D" w:rsidRDefault="00D05C40" w:rsidP="00944522">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40616D">
        <w:rPr>
          <w:rFonts w:ascii="Palatino Linotype" w:hAnsi="Palatino Linotype"/>
          <w:color w:val="000000" w:themeColor="text1"/>
        </w:rPr>
        <w:lastRenderedPageBreak/>
        <w:t>Por ultimo no pasa desapercibido que</w:t>
      </w:r>
      <w:r w:rsidR="00944522" w:rsidRPr="0040616D">
        <w:rPr>
          <w:rFonts w:ascii="Palatino Linotype" w:hAnsi="Palatino Linotype"/>
          <w:color w:val="000000" w:themeColor="text1"/>
        </w:rPr>
        <w:t xml:space="preserve"> la respuesta emitida que abarca del </w:t>
      </w:r>
      <w:r w:rsidR="00944522" w:rsidRPr="0040616D">
        <w:rPr>
          <w:rFonts w:ascii="Palatino Linotype" w:eastAsia="MS Mincho" w:hAnsi="Palatino Linotype" w:cs="Arial"/>
          <w:b/>
        </w:rPr>
        <w:t>dos de abril</w:t>
      </w:r>
      <w:r w:rsidR="00944522" w:rsidRPr="0040616D">
        <w:rPr>
          <w:rFonts w:ascii="Palatino Linotype" w:eastAsia="MS Mincho" w:hAnsi="Palatino Linotype" w:cs="Arial"/>
        </w:rPr>
        <w:t xml:space="preserve"> al </w:t>
      </w:r>
      <w:r w:rsidR="00944522" w:rsidRPr="0040616D">
        <w:rPr>
          <w:rFonts w:ascii="Palatino Linotype" w:eastAsia="MS Mincho" w:hAnsi="Palatino Linotype" w:cs="Arial"/>
          <w:b/>
        </w:rPr>
        <w:t>veintitrés de noviembre de dos mil veintidós</w:t>
      </w:r>
      <w:r w:rsidR="00944522" w:rsidRPr="0040616D">
        <w:rPr>
          <w:rFonts w:ascii="Palatino Linotype" w:eastAsia="MS Mincho" w:hAnsi="Palatino Linotype" w:cs="Arial"/>
        </w:rPr>
        <w:t xml:space="preserve">, en los que se señala que no se han suscrito convenios, </w:t>
      </w:r>
      <w:r w:rsidR="00944522" w:rsidRPr="0040616D">
        <w:rPr>
          <w:rFonts w:ascii="Palatino Linotype" w:hAnsi="Palatino Linotype" w:cs="Arial"/>
        </w:rPr>
        <w:t xml:space="preserve">debe mencionarse que no se trata de un caso por el cual la negación del hecho implique la </w:t>
      </w:r>
      <w:r w:rsidR="00944522" w:rsidRPr="0040616D">
        <w:rPr>
          <w:rFonts w:ascii="Palatino Linotype" w:hAnsi="Palatino Linotype"/>
        </w:rPr>
        <w:t>afirmación</w:t>
      </w:r>
      <w:r w:rsidR="00944522" w:rsidRPr="0040616D">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00944522" w:rsidRPr="0040616D">
        <w:rPr>
          <w:rFonts w:ascii="Palatino Linotype" w:hAnsi="Palatino Linotype" w:cs="Arial"/>
          <w:color w:val="222222"/>
        </w:rPr>
        <w:t>:</w:t>
      </w:r>
    </w:p>
    <w:p w:rsidR="00944522" w:rsidRPr="0040616D" w:rsidRDefault="00944522" w:rsidP="00944522">
      <w:pPr>
        <w:pStyle w:val="Prrafodelista"/>
        <w:rPr>
          <w:rFonts w:ascii="Palatino Linotype" w:hAnsi="Palatino Linotype" w:cs="Arial"/>
          <w:b/>
          <w:bCs/>
          <w:i/>
          <w:iCs/>
          <w:color w:val="222222"/>
        </w:rPr>
      </w:pPr>
    </w:p>
    <w:p w:rsidR="00944522" w:rsidRPr="0040616D" w:rsidRDefault="00944522" w:rsidP="00944522">
      <w:pPr>
        <w:pStyle w:val="Prrafodelista"/>
        <w:ind w:left="425" w:right="476"/>
        <w:jc w:val="both"/>
        <w:rPr>
          <w:rFonts w:ascii="Palatino Linotype" w:hAnsi="Palatino Linotype" w:cs="Arial"/>
          <w:i/>
          <w:iCs/>
          <w:color w:val="222222"/>
        </w:rPr>
      </w:pPr>
      <w:r w:rsidRPr="0040616D">
        <w:rPr>
          <w:rFonts w:ascii="Palatino Linotype" w:hAnsi="Palatino Linotype" w:cs="Arial"/>
          <w:b/>
          <w:bCs/>
          <w:i/>
          <w:iCs/>
          <w:color w:val="222222"/>
        </w:rPr>
        <w:t xml:space="preserve">“HECHOS NEGATIVOS, NO SON SUSCEPTIBLES DE DEMOSTRACIÓN. </w:t>
      </w:r>
      <w:r w:rsidRPr="0040616D">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944522" w:rsidRPr="0040616D" w:rsidRDefault="00944522" w:rsidP="00944522">
      <w:pPr>
        <w:shd w:val="clear" w:color="auto" w:fill="FFFFFF"/>
        <w:spacing w:line="360" w:lineRule="auto"/>
        <w:ind w:right="476"/>
        <w:jc w:val="both"/>
        <w:rPr>
          <w:rFonts w:ascii="Palatino Linotype" w:hAnsi="Palatino Linotype" w:cs="Arial"/>
          <w:i/>
          <w:iCs/>
          <w:color w:val="222222"/>
        </w:rPr>
      </w:pPr>
    </w:p>
    <w:p w:rsidR="00944522" w:rsidRPr="0040616D" w:rsidRDefault="00944522" w:rsidP="00944522">
      <w:pPr>
        <w:numPr>
          <w:ilvl w:val="0"/>
          <w:numId w:val="1"/>
        </w:numPr>
        <w:spacing w:line="360" w:lineRule="auto"/>
        <w:ind w:left="0" w:firstLine="0"/>
        <w:contextualSpacing/>
        <w:jc w:val="both"/>
        <w:rPr>
          <w:rFonts w:ascii="Palatino Linotype" w:hAnsi="Palatino Linotype" w:cs="Arial"/>
          <w:iCs/>
          <w:color w:val="222222"/>
        </w:rPr>
      </w:pPr>
      <w:r w:rsidRPr="0040616D">
        <w:rPr>
          <w:rFonts w:ascii="Palatino Linotype" w:hAnsi="Palatino Linotype" w:cs="Arial"/>
          <w:iCs/>
          <w:color w:val="222222"/>
        </w:rPr>
        <w:t xml:space="preserve">En ese contexto, debe señalarse que tampoco es aplicable la emisión de un Acuerdo de Inexistencia, ello de conformidad con el Criterio 7/2017, emitido en la Segunda Época por el </w:t>
      </w:r>
      <w:r w:rsidRPr="0040616D">
        <w:rPr>
          <w:rFonts w:ascii="Palatino Linotype" w:hAnsi="Palatino Linotype" w:cs="Arial"/>
        </w:rPr>
        <w:t>Instituto</w:t>
      </w:r>
      <w:r w:rsidRPr="0040616D">
        <w:rPr>
          <w:rFonts w:ascii="Palatino Linotype" w:hAnsi="Palatino Linotype" w:cs="Arial"/>
          <w:iCs/>
          <w:color w:val="222222"/>
        </w:rPr>
        <w:t xml:space="preserve"> Nacional de Transparencia, Acceso a la Información y Protección de Datos Personales, el cual señala lo siguiente:</w:t>
      </w:r>
    </w:p>
    <w:p w:rsidR="00944522" w:rsidRPr="0040616D" w:rsidRDefault="00944522" w:rsidP="00944522">
      <w:pPr>
        <w:spacing w:line="360" w:lineRule="auto"/>
        <w:contextualSpacing/>
        <w:jc w:val="both"/>
        <w:rPr>
          <w:rFonts w:ascii="Palatino Linotype" w:hAnsi="Palatino Linotype" w:cs="Arial"/>
          <w:iCs/>
          <w:color w:val="222222"/>
        </w:rPr>
      </w:pPr>
    </w:p>
    <w:p w:rsidR="00944522" w:rsidRPr="0040616D" w:rsidRDefault="00944522" w:rsidP="00D05C40">
      <w:pPr>
        <w:tabs>
          <w:tab w:val="left" w:pos="426"/>
        </w:tabs>
        <w:ind w:left="425" w:right="476"/>
        <w:contextualSpacing/>
        <w:jc w:val="both"/>
        <w:rPr>
          <w:rFonts w:ascii="Palatino Linotype" w:eastAsia="MS Mincho" w:hAnsi="Palatino Linotype" w:cs="Arial"/>
          <w:color w:val="000000" w:themeColor="text1"/>
        </w:rPr>
      </w:pPr>
      <w:r w:rsidRPr="0040616D">
        <w:rPr>
          <w:rFonts w:ascii="Palatino Linotype" w:eastAsia="MS Mincho" w:hAnsi="Palatino Linotype" w:cs="Arial"/>
          <w:color w:val="000000" w:themeColor="text1"/>
        </w:rPr>
        <w:t xml:space="preserve"> “</w:t>
      </w:r>
      <w:r w:rsidRPr="0040616D">
        <w:rPr>
          <w:rFonts w:ascii="Palatino Linotype" w:hAnsi="Palatino Linotype" w:cs="Arial"/>
          <w:b/>
          <w:i/>
          <w:color w:val="222222"/>
        </w:rPr>
        <w:t xml:space="preserve">Casos en los que no es necesario que el Comité de Transparencia confirme formalmente la inexistencia de la información. </w:t>
      </w:r>
      <w:r w:rsidRPr="0040616D">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544B15" w:rsidRPr="0040616D" w:rsidRDefault="00544B15" w:rsidP="00544B15">
      <w:pPr>
        <w:pStyle w:val="Ttulo2"/>
        <w:rPr>
          <w:rFonts w:ascii="Palatino Linotype" w:hAnsi="Palatino Linotype"/>
          <w:b/>
          <w:color w:val="auto"/>
          <w:sz w:val="24"/>
        </w:rPr>
      </w:pPr>
      <w:bookmarkStart w:id="150" w:name="_Toc86848768"/>
      <w:r w:rsidRPr="0040616D">
        <w:rPr>
          <w:rFonts w:ascii="Palatino Linotype" w:hAnsi="Palatino Linotype"/>
          <w:b/>
          <w:color w:val="auto"/>
          <w:sz w:val="24"/>
        </w:rPr>
        <w:lastRenderedPageBreak/>
        <w:t>QUINTO. De la versión pública</w:t>
      </w:r>
      <w:bookmarkEnd w:id="150"/>
    </w:p>
    <w:p w:rsidR="00544B15" w:rsidRPr="0040616D" w:rsidRDefault="00544B15" w:rsidP="00544B15">
      <w:pPr>
        <w:rPr>
          <w:lang w:eastAsia="en-US"/>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rPr>
      </w:pPr>
      <w:r w:rsidRPr="0040616D">
        <w:rPr>
          <w:rFonts w:ascii="Palatino Linotype" w:hAnsi="Palatino Linotype"/>
        </w:rPr>
        <w:t xml:space="preserve">De la información que se ha tenido a bien ordenar, dada su propia y especial naturaleza eventualmente contienen nombres de particulares u otros datos personales susceptible de ser protegido mediante una versión pública, la cual deberá estar soportada por el Acta del Comité de Transparencia que se emita para tal efecto, debiéndola poner a disposición del hoy </w:t>
      </w:r>
      <w:r w:rsidRPr="0040616D">
        <w:rPr>
          <w:rFonts w:ascii="Palatino Linotype" w:hAnsi="Palatino Linotype"/>
          <w:b/>
        </w:rPr>
        <w:t>RECURRENTE</w:t>
      </w:r>
      <w:r w:rsidRPr="0040616D">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rsidR="00544B15" w:rsidRPr="0040616D" w:rsidRDefault="00544B15" w:rsidP="00544B15">
      <w:pPr>
        <w:pStyle w:val="Prrafodelista"/>
        <w:spacing w:line="360" w:lineRule="auto"/>
        <w:ind w:left="0"/>
        <w:jc w:val="both"/>
        <w:rPr>
          <w:rFonts w:ascii="Palatino Linotype" w:hAnsi="Palatino Linotype"/>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rPr>
        <w:t>La</w:t>
      </w:r>
      <w:r w:rsidRPr="0040616D">
        <w:rPr>
          <w:rFonts w:ascii="Palatino Linotype" w:eastAsia="MS Gothic" w:hAnsi="Palatino Linotype"/>
          <w:szCs w:val="26"/>
        </w:rPr>
        <w:t xml:space="preserve"> </w:t>
      </w:r>
      <w:r w:rsidRPr="0040616D">
        <w:rPr>
          <w:rFonts w:ascii="Palatino Linotype" w:hAnsi="Palatino Linotype" w:cs="Arial"/>
          <w:color w:val="000000" w:themeColor="text1"/>
        </w:rPr>
        <w:t>clasificación</w:t>
      </w:r>
      <w:r w:rsidRPr="0040616D">
        <w:rPr>
          <w:rFonts w:ascii="Palatino Linotype" w:eastAsia="MS Gothic" w:hAnsi="Palatino Linotype"/>
          <w:szCs w:val="26"/>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0616D">
        <w:rPr>
          <w:rFonts w:ascii="Palatino Linotype" w:eastAsia="MS Gothic" w:hAnsi="Palatino Linotype"/>
          <w:szCs w:val="26"/>
          <w:vertAlign w:val="superscript"/>
        </w:rPr>
        <w:footnoteReference w:id="13"/>
      </w:r>
      <w:r w:rsidRPr="0040616D">
        <w:rPr>
          <w:rFonts w:ascii="Palatino Linotype" w:eastAsia="MS Gothic" w:hAnsi="Palatino Linotype"/>
          <w:szCs w:val="26"/>
        </w:rPr>
        <w:t xml:space="preserve"> aunque cualquier límite o restricción, para ser legítimo, debe reunir con tres requisitos: primero, debe de estar establecida </w:t>
      </w:r>
      <w:r w:rsidRPr="0040616D">
        <w:rPr>
          <w:rFonts w:ascii="Palatino Linotype" w:eastAsia="MS Gothic" w:hAnsi="Palatino Linotype"/>
          <w:szCs w:val="26"/>
        </w:rPr>
        <w:lastRenderedPageBreak/>
        <w:t>en un ordenamiento legal, antes de su aplicación; debe de corresponder a un fin legítimo y ser estrictamente proporcional con el principio o valor que se pretende preservar.</w:t>
      </w:r>
      <w:r w:rsidRPr="0040616D">
        <w:rPr>
          <w:rFonts w:ascii="Palatino Linotype" w:eastAsia="MS Gothic" w:hAnsi="Palatino Linotype"/>
          <w:szCs w:val="26"/>
          <w:vertAlign w:val="superscript"/>
        </w:rPr>
        <w:footnoteReference w:id="14"/>
      </w:r>
      <w:r w:rsidRPr="0040616D">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El grave problema que enfrentamos en general, los acuerdos de clasificación de la </w:t>
      </w:r>
      <w:r w:rsidRPr="0040616D">
        <w:rPr>
          <w:rFonts w:ascii="Palatino Linotype" w:hAnsi="Palatino Linotype" w:cs="Arial"/>
          <w:color w:val="000000" w:themeColor="text1"/>
        </w:rPr>
        <w:t>información</w:t>
      </w:r>
      <w:r w:rsidRPr="0040616D">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rsidR="00544B15" w:rsidRPr="0040616D" w:rsidRDefault="00544B15" w:rsidP="00544B15">
      <w:pPr>
        <w:pStyle w:val="Prrafodelista"/>
        <w:rPr>
          <w:rFonts w:ascii="Palatino Linotype" w:hAnsi="Palatino Linotype" w:cs="Arial"/>
        </w:rPr>
      </w:pPr>
    </w:p>
    <w:p w:rsidR="00544B15" w:rsidRPr="0040616D" w:rsidRDefault="00544B15" w:rsidP="00544B15">
      <w:pPr>
        <w:pStyle w:val="Prrafodelista"/>
        <w:numPr>
          <w:ilvl w:val="0"/>
          <w:numId w:val="26"/>
        </w:numPr>
        <w:tabs>
          <w:tab w:val="left" w:pos="142"/>
          <w:tab w:val="left" w:pos="284"/>
          <w:tab w:val="left" w:pos="426"/>
        </w:tabs>
        <w:spacing w:line="360" w:lineRule="auto"/>
        <w:jc w:val="both"/>
        <w:outlineLvl w:val="2"/>
        <w:rPr>
          <w:rFonts w:ascii="Palatino Linotype" w:hAnsi="Palatino Linotype" w:cs="Arial"/>
          <w:b/>
        </w:rPr>
      </w:pPr>
      <w:bookmarkStart w:id="151" w:name="_Toc86848769"/>
      <w:bookmarkStart w:id="152" w:name="_Toc83128591"/>
      <w:bookmarkStart w:id="153" w:name="_Toc71674122"/>
      <w:bookmarkStart w:id="154" w:name="_Toc71291223"/>
      <w:bookmarkStart w:id="155" w:name="_Toc71290717"/>
      <w:bookmarkStart w:id="156" w:name="_Toc70593358"/>
      <w:bookmarkStart w:id="157" w:name="_Toc70070911"/>
      <w:bookmarkStart w:id="158" w:name="_Toc67584835"/>
      <w:bookmarkStart w:id="159" w:name="_Toc66371800"/>
      <w:bookmarkStart w:id="160" w:name="_Toc65170174"/>
      <w:bookmarkStart w:id="161" w:name="_Toc57154368"/>
      <w:bookmarkStart w:id="162" w:name="_Toc52444649"/>
      <w:bookmarkStart w:id="163" w:name="_Toc51863315"/>
      <w:r w:rsidRPr="0040616D">
        <w:rPr>
          <w:rFonts w:ascii="Palatino Linotype" w:hAnsi="Palatino Linotype" w:cs="Arial"/>
          <w:b/>
        </w:rPr>
        <w:t>Requisitos previos.</w:t>
      </w:r>
      <w:bookmarkEnd w:id="151"/>
      <w:bookmarkEnd w:id="152"/>
      <w:bookmarkEnd w:id="153"/>
      <w:bookmarkEnd w:id="154"/>
      <w:bookmarkEnd w:id="155"/>
      <w:bookmarkEnd w:id="156"/>
      <w:bookmarkEnd w:id="157"/>
      <w:bookmarkEnd w:id="158"/>
      <w:bookmarkEnd w:id="159"/>
      <w:bookmarkEnd w:id="160"/>
      <w:bookmarkEnd w:id="161"/>
      <w:bookmarkEnd w:id="162"/>
      <w:bookmarkEnd w:id="163"/>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Los artículos 122 y 100 de la Ley Estatal y de la Ley General, respectivamente, señalan </w:t>
      </w:r>
      <w:r w:rsidRPr="0040616D">
        <w:rPr>
          <w:rFonts w:ascii="Palatino Linotype" w:hAnsi="Palatino Linotype"/>
        </w:rPr>
        <w:t>que</w:t>
      </w:r>
      <w:r w:rsidRPr="0040616D">
        <w:rPr>
          <w:rFonts w:ascii="Palatino Linotype" w:eastAsia="MS Gothic" w:hAnsi="Palatino Linotype"/>
          <w:szCs w:val="26"/>
        </w:rPr>
        <w:t xml:space="preserve"> los </w:t>
      </w:r>
      <w:r w:rsidRPr="0040616D">
        <w:rPr>
          <w:rFonts w:ascii="Palatino Linotype" w:hAnsi="Palatino Linotype" w:cs="Arial"/>
          <w:color w:val="000000" w:themeColor="text1"/>
        </w:rPr>
        <w:t>sujetos</w:t>
      </w:r>
      <w:r w:rsidRPr="0040616D">
        <w:rPr>
          <w:rFonts w:ascii="Palatino Linotype" w:eastAsia="MS Gothic" w:hAnsi="Palatino Linotype"/>
          <w:szCs w:val="26"/>
        </w:rPr>
        <w:t xml:space="preserve">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40616D">
        <w:rPr>
          <w:rFonts w:ascii="Palatino Linotype" w:eastAsia="MS Gothic" w:hAnsi="Palatino Linotype"/>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544B15" w:rsidRPr="0040616D" w:rsidRDefault="00544B15" w:rsidP="00544B15">
      <w:pPr>
        <w:spacing w:line="360" w:lineRule="auto"/>
        <w:contextualSpacing/>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w:t>
      </w:r>
      <w:r w:rsidRPr="0040616D">
        <w:rPr>
          <w:rFonts w:ascii="Palatino Linotype" w:hAnsi="Palatino Linotype" w:cs="Arial"/>
          <w:color w:val="000000" w:themeColor="text1"/>
        </w:rPr>
        <w:t>saber</w:t>
      </w:r>
      <w:r w:rsidRPr="0040616D">
        <w:rPr>
          <w:rFonts w:ascii="Palatino Linotype" w:eastAsia="MS Gothic" w:hAnsi="Palatino Linotype"/>
          <w:szCs w:val="26"/>
        </w:rPr>
        <w:t>, cuando se atiende una solicitud de acceso a la información, porque lo determina una autoridad competente o porque se va a generar una versión pública para cumplir con sus obligaciones.</w:t>
      </w:r>
    </w:p>
    <w:p w:rsidR="00544B15" w:rsidRPr="0040616D" w:rsidRDefault="00544B15" w:rsidP="00544B15">
      <w:pPr>
        <w:pStyle w:val="Prrafodelista"/>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El último de estos requisitos previos consiste en que no se pueden emitir acuerdos de </w:t>
      </w:r>
      <w:r w:rsidRPr="0040616D">
        <w:rPr>
          <w:rFonts w:ascii="Palatino Linotype" w:hAnsi="Palatino Linotype" w:cs="Arial"/>
          <w:color w:val="000000" w:themeColor="text1"/>
        </w:rPr>
        <w:t>carácter</w:t>
      </w:r>
      <w:r w:rsidRPr="0040616D">
        <w:rPr>
          <w:rFonts w:ascii="Palatino Linotype" w:eastAsia="MS Gothic" w:hAnsi="Palatino Linotype"/>
          <w:szCs w:val="26"/>
        </w:rPr>
        <w:t xml:space="preserve"> general ni particular, según lo disponen los artículos 134 y 108 de la Ley Estatal y de la Ley General, respectivamente, esto es, </w:t>
      </w:r>
      <w:r w:rsidRPr="0040616D">
        <w:rPr>
          <w:rFonts w:ascii="Palatino Linotype" w:eastAsia="MS Gothic" w:hAnsi="Palatino Linotype"/>
          <w:b/>
          <w:szCs w:val="26"/>
          <w:u w:val="single"/>
        </w:rPr>
        <w:t>no se puede hacer un acuerdo para clasificar de manera general todos los documentos de un expediente o área</w:t>
      </w:r>
      <w:r w:rsidRPr="0040616D">
        <w:rPr>
          <w:rFonts w:ascii="Palatino Linotype" w:eastAsia="MS Gothic" w:hAnsi="Palatino Linotype"/>
          <w:b/>
          <w:szCs w:val="26"/>
        </w:rPr>
        <w:t xml:space="preserve">,  </w:t>
      </w:r>
      <w:r w:rsidRPr="0040616D">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544B15" w:rsidRPr="0040616D" w:rsidRDefault="00544B15" w:rsidP="00544B15">
      <w:pPr>
        <w:pStyle w:val="Prrafodelista"/>
        <w:rPr>
          <w:rFonts w:ascii="Palatino Linotype" w:hAnsi="Palatino Linotype" w:cs="Arial"/>
        </w:rPr>
      </w:pPr>
    </w:p>
    <w:p w:rsidR="00544B15" w:rsidRPr="0040616D" w:rsidRDefault="00544B15" w:rsidP="00544B15">
      <w:pPr>
        <w:pStyle w:val="Prrafodelista"/>
        <w:numPr>
          <w:ilvl w:val="0"/>
          <w:numId w:val="26"/>
        </w:numPr>
        <w:tabs>
          <w:tab w:val="left" w:pos="142"/>
          <w:tab w:val="left" w:pos="284"/>
          <w:tab w:val="left" w:pos="426"/>
        </w:tabs>
        <w:spacing w:line="360" w:lineRule="auto"/>
        <w:jc w:val="both"/>
        <w:outlineLvl w:val="2"/>
        <w:rPr>
          <w:rFonts w:ascii="Palatino Linotype" w:hAnsi="Palatino Linotype" w:cs="Arial"/>
          <w:b/>
        </w:rPr>
      </w:pPr>
      <w:bookmarkStart w:id="164" w:name="_Toc86848770"/>
      <w:bookmarkStart w:id="165" w:name="_Toc83128592"/>
      <w:bookmarkStart w:id="166" w:name="_Toc71674123"/>
      <w:bookmarkStart w:id="167" w:name="_Toc71291224"/>
      <w:bookmarkStart w:id="168" w:name="_Toc71290718"/>
      <w:bookmarkStart w:id="169" w:name="_Toc70593359"/>
      <w:bookmarkStart w:id="170" w:name="_Toc70070912"/>
      <w:bookmarkStart w:id="171" w:name="_Toc67584836"/>
      <w:bookmarkStart w:id="172" w:name="_Toc66371801"/>
      <w:bookmarkStart w:id="173" w:name="_Toc65170175"/>
      <w:bookmarkStart w:id="174" w:name="_Toc57154369"/>
      <w:bookmarkStart w:id="175" w:name="_Toc52444650"/>
      <w:bookmarkStart w:id="176" w:name="_Toc51863316"/>
      <w:r w:rsidRPr="0040616D">
        <w:rPr>
          <w:rFonts w:ascii="Palatino Linotype" w:hAnsi="Palatino Linotype" w:cs="Arial"/>
          <w:b/>
        </w:rPr>
        <w:t>Supuestos de clasificación.</w:t>
      </w:r>
      <w:bookmarkEnd w:id="164"/>
      <w:bookmarkEnd w:id="165"/>
      <w:bookmarkEnd w:id="166"/>
      <w:bookmarkEnd w:id="167"/>
      <w:bookmarkEnd w:id="168"/>
      <w:bookmarkEnd w:id="169"/>
      <w:bookmarkEnd w:id="170"/>
      <w:bookmarkEnd w:id="171"/>
      <w:bookmarkEnd w:id="172"/>
      <w:bookmarkEnd w:id="173"/>
      <w:bookmarkEnd w:id="174"/>
      <w:bookmarkEnd w:id="175"/>
      <w:bookmarkEnd w:id="176"/>
    </w:p>
    <w:p w:rsidR="00544B15" w:rsidRPr="0040616D" w:rsidRDefault="00544B15" w:rsidP="00544B15">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Las disposiciones constitucionales y legales en la materia establecen los dos supuestos generales para clasificar la información: por reserva y por confidencialidad.</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lastRenderedPageBreak/>
        <w:t>Los artículos 143 y 116 de la Ley Estatal y de la Ley General, respectivamente, señalan los supuestos para que la información pueda ser clasificada como confidencial:</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rPr>
      </w:pPr>
      <w:r w:rsidRPr="0040616D">
        <w:rPr>
          <w:rFonts w:ascii="Palatino Linotype" w:hAnsi="Palatino Linotype" w:cs="Bookman Old Style"/>
          <w:bCs/>
          <w:i/>
          <w:color w:val="000000"/>
        </w:rPr>
        <w:t xml:space="preserve">“I. </w:t>
      </w:r>
      <w:r w:rsidRPr="0040616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544B15" w:rsidRPr="0040616D"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rPr>
      </w:pPr>
      <w:r w:rsidRPr="0040616D">
        <w:rPr>
          <w:rFonts w:ascii="Palatino Linotype" w:hAnsi="Palatino Linotype" w:cs="Bookman Old Style"/>
          <w:bCs/>
          <w:i/>
          <w:color w:val="000000"/>
        </w:rPr>
        <w:t xml:space="preserve">II. </w:t>
      </w:r>
      <w:r w:rsidRPr="0040616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44B15" w:rsidRPr="0040616D"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rPr>
      </w:pPr>
      <w:r w:rsidRPr="0040616D">
        <w:rPr>
          <w:rFonts w:ascii="Palatino Linotype" w:hAnsi="Palatino Linotype" w:cs="Bookman Old Style"/>
          <w:bCs/>
          <w:i/>
          <w:color w:val="000000"/>
        </w:rPr>
        <w:t xml:space="preserve">III. </w:t>
      </w:r>
      <w:r w:rsidRPr="0040616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544B15" w:rsidRPr="0040616D"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rPr>
      </w:pPr>
      <w:r w:rsidRPr="0040616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544B15" w:rsidRPr="0040616D" w:rsidRDefault="00544B15" w:rsidP="00544B15">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40616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544B15" w:rsidRPr="0040616D" w:rsidRDefault="00544B15" w:rsidP="00544B15">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44B15" w:rsidRPr="0040616D" w:rsidRDefault="00544B15" w:rsidP="00544B15">
      <w:pPr>
        <w:pStyle w:val="Prrafodelista"/>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Como consecuencia de lo anterior, el </w:t>
      </w:r>
      <w:r w:rsidRPr="0040616D">
        <w:rPr>
          <w:rFonts w:ascii="Palatino Linotype" w:eastAsia="MS Gothic" w:hAnsi="Palatino Linotype"/>
          <w:b/>
          <w:szCs w:val="26"/>
        </w:rPr>
        <w:t>SUJETO OBLIGADO</w:t>
      </w:r>
      <w:r w:rsidRPr="0040616D">
        <w:rPr>
          <w:rFonts w:ascii="Palatino Linotype" w:eastAsia="MS Gothic" w:hAnsi="Palatino Linotype"/>
          <w:szCs w:val="26"/>
        </w:rPr>
        <w:t xml:space="preserve"> debe identificar claramente el tipo de información y hacer un juicio de subsunción o encaje</w:t>
      </w:r>
      <w:r w:rsidRPr="0040616D">
        <w:rPr>
          <w:rFonts w:ascii="Palatino Linotype" w:eastAsia="MS Gothic" w:hAnsi="Palatino Linotype"/>
          <w:szCs w:val="26"/>
          <w:vertAlign w:val="superscript"/>
        </w:rPr>
        <w:footnoteReference w:id="15"/>
      </w:r>
      <w:r w:rsidRPr="0040616D">
        <w:rPr>
          <w:rFonts w:ascii="Palatino Linotype" w:eastAsia="MS Gothic" w:hAnsi="Palatino Linotype"/>
          <w:szCs w:val="26"/>
        </w:rPr>
        <w:t xml:space="preserve"> para </w:t>
      </w:r>
      <w:r w:rsidRPr="0040616D">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rsidR="00544B15" w:rsidRPr="0040616D" w:rsidRDefault="00544B15" w:rsidP="00544B15">
      <w:pPr>
        <w:pStyle w:val="Prrafodelista"/>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544B15" w:rsidRPr="0040616D" w:rsidRDefault="00544B15" w:rsidP="00544B15">
      <w:pPr>
        <w:pStyle w:val="Prrafodelista"/>
        <w:rPr>
          <w:rFonts w:ascii="Palatino Linotype" w:hAnsi="Palatino Linotype" w:cs="Arial"/>
        </w:rPr>
      </w:pP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w:t>
      </w:r>
      <w:r w:rsidRPr="0040616D">
        <w:rPr>
          <w:rFonts w:ascii="Palatino Linotype" w:hAnsi="Palatino Linotype" w:cs="Arial"/>
          <w:b/>
          <w:i/>
        </w:rPr>
        <w:t>Quincuagésimo.</w:t>
      </w:r>
      <w:r w:rsidRPr="0040616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b/>
          <w:i/>
        </w:rPr>
        <w:t>Quincuagésimo primero.</w:t>
      </w:r>
      <w:r w:rsidRPr="0040616D">
        <w:rPr>
          <w:rFonts w:ascii="Palatino Linotype" w:hAnsi="Palatino Linotype" w:cs="Arial"/>
          <w:i/>
        </w:rPr>
        <w:t xml:space="preserve"> La leyenda en los documentos clasificados indicará:</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I. La fecha de sesión del Comité de Transparencia en donde se confirmó la clasificación, en su caso;</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II. El nombre del área;</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III. La palabra reservado o confidencial;</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IV. Las partes o secciones reservadas o confidenciales, en su caso;</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V. El fundamento legal;</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VI. El periodo de reserva, y</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VII. La rúbrica del titular del área.</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b/>
          <w:i/>
        </w:rPr>
        <w:lastRenderedPageBreak/>
        <w:t>Quincuagésimo segundo.</w:t>
      </w:r>
      <w:r w:rsidRPr="0040616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r w:rsidRPr="0040616D">
        <w:rPr>
          <w:rFonts w:ascii="Palatino Linotype" w:hAnsi="Palatino Linotype" w:cs="Arial"/>
          <w:b/>
          <w:i/>
        </w:rPr>
        <w:t>Quincuagésimo tercero.</w:t>
      </w:r>
      <w:r w:rsidRPr="0040616D">
        <w:rPr>
          <w:rFonts w:ascii="Palatino Linotype" w:hAnsi="Palatino Linotype" w:cs="Arial"/>
          <w:i/>
        </w:rPr>
        <w:t xml:space="preserve"> El formato para señalar la clasificación parcial de un documento, es el siguiente:</w:t>
      </w:r>
    </w:p>
    <w:p w:rsidR="00544B15" w:rsidRPr="0040616D" w:rsidRDefault="00544B15" w:rsidP="00544B15">
      <w:pPr>
        <w:pStyle w:val="Prrafodelista"/>
        <w:tabs>
          <w:tab w:val="left" w:pos="142"/>
          <w:tab w:val="left" w:pos="284"/>
          <w:tab w:val="left" w:pos="426"/>
        </w:tabs>
        <w:ind w:left="567" w:right="567"/>
        <w:jc w:val="both"/>
        <w:rPr>
          <w:rFonts w:ascii="Palatino Linotype" w:hAnsi="Palatino Linotype" w:cs="Arial"/>
          <w:i/>
        </w:rPr>
      </w:pPr>
    </w:p>
    <w:p w:rsidR="00544B15" w:rsidRPr="0040616D" w:rsidRDefault="00544B15" w:rsidP="00544B15">
      <w:pPr>
        <w:pStyle w:val="Prrafodelista"/>
        <w:tabs>
          <w:tab w:val="left" w:pos="142"/>
          <w:tab w:val="left" w:pos="284"/>
          <w:tab w:val="left" w:pos="426"/>
        </w:tabs>
        <w:spacing w:line="360" w:lineRule="auto"/>
        <w:ind w:left="0"/>
        <w:jc w:val="center"/>
        <w:rPr>
          <w:rFonts w:ascii="Palatino Linotype" w:hAnsi="Palatino Linotype" w:cs="Arial"/>
        </w:rPr>
      </w:pPr>
      <w:r w:rsidRPr="0040616D">
        <w:rPr>
          <w:rFonts w:ascii="Palatino Linotype" w:hAnsi="Palatino Linotype" w:cs="Arial"/>
          <w:i/>
          <w:noProof/>
          <w:lang w:val="es-MX" w:eastAsia="es-MX"/>
        </w:rPr>
        <w:drawing>
          <wp:inline distT="0" distB="0" distL="0" distR="0" wp14:anchorId="2C23A1B7" wp14:editId="6DFFAF29">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rsidR="00544B15" w:rsidRPr="0040616D" w:rsidRDefault="00544B15" w:rsidP="00544B15">
      <w:pPr>
        <w:spacing w:line="360" w:lineRule="auto"/>
        <w:contextualSpacing/>
        <w:jc w:val="both"/>
        <w:rPr>
          <w:rFonts w:ascii="Palatino Linotype" w:hAnsi="Palatino Linotype" w:cs="Arial"/>
        </w:rPr>
      </w:pPr>
    </w:p>
    <w:p w:rsidR="00544B15" w:rsidRPr="0040616D" w:rsidRDefault="00544B15" w:rsidP="00544B1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7" w:name="_Toc86848771"/>
      <w:bookmarkStart w:id="178" w:name="_Toc83128593"/>
      <w:bookmarkStart w:id="179" w:name="_Toc71674124"/>
      <w:bookmarkStart w:id="180" w:name="_Toc71291225"/>
      <w:bookmarkStart w:id="181" w:name="_Toc71290719"/>
      <w:bookmarkStart w:id="182" w:name="_Toc70593360"/>
      <w:bookmarkStart w:id="183" w:name="_Toc70070913"/>
      <w:bookmarkStart w:id="184" w:name="_Toc67584837"/>
      <w:bookmarkStart w:id="185" w:name="_Toc66371802"/>
      <w:bookmarkStart w:id="186" w:name="_Toc65170176"/>
      <w:bookmarkStart w:id="187" w:name="_Toc57154370"/>
      <w:bookmarkStart w:id="188" w:name="_Toc52444651"/>
      <w:bookmarkStart w:id="189" w:name="_Toc51863317"/>
      <w:r w:rsidRPr="0040616D">
        <w:rPr>
          <w:rFonts w:ascii="Palatino Linotype" w:hAnsi="Palatino Linotype" w:cs="Arial"/>
          <w:b/>
        </w:rPr>
        <w:t>III. La intervención del Comité de Transparencia.</w:t>
      </w:r>
      <w:bookmarkEnd w:id="177"/>
      <w:bookmarkEnd w:id="178"/>
      <w:bookmarkEnd w:id="179"/>
      <w:bookmarkEnd w:id="180"/>
      <w:bookmarkEnd w:id="181"/>
      <w:bookmarkEnd w:id="182"/>
      <w:bookmarkEnd w:id="183"/>
      <w:bookmarkEnd w:id="184"/>
      <w:bookmarkEnd w:id="185"/>
      <w:bookmarkEnd w:id="186"/>
      <w:bookmarkEnd w:id="187"/>
      <w:bookmarkEnd w:id="188"/>
      <w:bookmarkEnd w:id="189"/>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b/>
        </w:rPr>
      </w:pPr>
      <w:r w:rsidRPr="0040616D">
        <w:rPr>
          <w:rFonts w:ascii="Palatino Linotype" w:hAnsi="Palatino Linotype" w:cs="Arial"/>
          <w:b/>
        </w:rPr>
        <w:t>a) Formalidades para emitir el Acuerdo de Clasificación.</w:t>
      </w: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0616D">
        <w:rPr>
          <w:rFonts w:ascii="Palatino Linotype" w:eastAsia="MS Gothic" w:hAnsi="Palatino Linotype"/>
          <w:b/>
          <w:szCs w:val="26"/>
          <w:u w:val="single"/>
        </w:rPr>
        <w:t>confirmar, modificar o revocar</w:t>
      </w:r>
      <w:r w:rsidRPr="0040616D">
        <w:rPr>
          <w:rFonts w:ascii="Palatino Linotype" w:eastAsia="MS Gothic" w:hAnsi="Palatino Linotype"/>
          <w:szCs w:val="26"/>
        </w:rPr>
        <w:t xml:space="preserve"> la clasificación de la información que ha hecho el titular del área que administra la información. Por lo tanto, el Comité </w:t>
      </w:r>
      <w:r w:rsidRPr="0040616D">
        <w:rPr>
          <w:rFonts w:ascii="Palatino Linotype" w:eastAsia="MS Gothic" w:hAnsi="Palatino Linotype"/>
          <w:b/>
          <w:szCs w:val="26"/>
          <w:u w:val="single"/>
        </w:rPr>
        <w:t>no aprueba</w:t>
      </w:r>
      <w:r w:rsidRPr="0040616D">
        <w:rPr>
          <w:rFonts w:ascii="Palatino Linotype" w:eastAsia="MS Gothic" w:hAnsi="Palatino Linotype"/>
          <w:szCs w:val="26"/>
        </w:rPr>
        <w:t xml:space="preserve"> la clasificación, sino que revisa lo que ha hecho el titular del área y confirma, modifica o revoca la decisión a través de un acuerdo.</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40616D">
        <w:rPr>
          <w:rFonts w:ascii="Palatino Linotype" w:eastAsia="MS Gothic" w:hAnsi="Palatino Linotype"/>
          <w:b/>
          <w:szCs w:val="26"/>
          <w:u w:val="single"/>
        </w:rPr>
        <w:t>el acto reúna con los requisitos elementales</w:t>
      </w:r>
      <w:r w:rsidRPr="0040616D">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40616D">
        <w:rPr>
          <w:rFonts w:ascii="Palatino Linotype" w:eastAsia="MS Gothic" w:hAnsi="Palatino Linotype"/>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44B15" w:rsidRPr="0040616D" w:rsidRDefault="00544B15" w:rsidP="00544B15">
      <w:pPr>
        <w:pStyle w:val="Prrafodelista"/>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pStyle w:val="Prrafodelista"/>
        <w:numPr>
          <w:ilvl w:val="0"/>
          <w:numId w:val="27"/>
        </w:numPr>
        <w:tabs>
          <w:tab w:val="left" w:pos="142"/>
          <w:tab w:val="left" w:pos="284"/>
          <w:tab w:val="left" w:pos="426"/>
        </w:tabs>
        <w:spacing w:line="360" w:lineRule="auto"/>
        <w:jc w:val="both"/>
        <w:rPr>
          <w:rFonts w:ascii="Palatino Linotype" w:hAnsi="Palatino Linotype" w:cs="Arial"/>
          <w:b/>
        </w:rPr>
      </w:pPr>
      <w:r w:rsidRPr="0040616D">
        <w:rPr>
          <w:rFonts w:ascii="Palatino Linotype" w:hAnsi="Palatino Linotype" w:cs="Arial"/>
          <w:b/>
        </w:rPr>
        <w:t>Requisitos de fondo del Acuerdo de Clasificación.</w:t>
      </w: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44B15" w:rsidRPr="0040616D" w:rsidRDefault="00544B15" w:rsidP="00544B15">
      <w:pPr>
        <w:pStyle w:val="Prrafodelista"/>
        <w:spacing w:line="360" w:lineRule="auto"/>
        <w:ind w:left="0"/>
        <w:contextualSpacing w:val="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44B15" w:rsidRPr="0040616D" w:rsidRDefault="00544B15" w:rsidP="00544B15">
      <w:pPr>
        <w:pStyle w:val="Prrafodelista"/>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0616D">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616D">
        <w:rPr>
          <w:rFonts w:ascii="Palatino Linotype" w:eastAsia="MS Gothic" w:hAnsi="Palatino Linotype"/>
          <w:szCs w:val="26"/>
        </w:rPr>
        <w:t>....”</w:t>
      </w:r>
      <w:r w:rsidRPr="0040616D">
        <w:rPr>
          <w:rFonts w:ascii="Palatino Linotype" w:eastAsia="MS Gothic" w:hAnsi="Palatino Linotype"/>
          <w:szCs w:val="26"/>
          <w:vertAlign w:val="superscript"/>
        </w:rPr>
        <w:footnoteReference w:id="16"/>
      </w:r>
    </w:p>
    <w:p w:rsidR="00544B15" w:rsidRPr="0040616D" w:rsidRDefault="00544B15" w:rsidP="00544B15">
      <w:pPr>
        <w:pStyle w:val="Prrafodelista"/>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hAnsi="Palatino Linotype" w:cs="Arial"/>
        </w:rPr>
        <w:t xml:space="preserve"> Por su parte, el </w:t>
      </w:r>
      <w:r w:rsidRPr="0040616D">
        <w:rPr>
          <w:rFonts w:ascii="Palatino Linotype" w:eastAsia="MS Gothic" w:hAnsi="Palatino Linotype"/>
          <w:szCs w:val="26"/>
        </w:rPr>
        <w:t>intérprete</w:t>
      </w:r>
      <w:r w:rsidRPr="0040616D">
        <w:rPr>
          <w:rFonts w:ascii="Palatino Linotype" w:hAnsi="Palatino Linotype" w:cs="Arial"/>
        </w:rPr>
        <w:t xml:space="preserve"> judicial del país ha establecido una jurisprudencia respecto a qué debe entenderse por fundamentación y motivación, en los siguientes términos:</w:t>
      </w:r>
    </w:p>
    <w:p w:rsidR="00544B15" w:rsidRPr="0040616D" w:rsidRDefault="00544B15" w:rsidP="00544B15">
      <w:pPr>
        <w:ind w:left="567" w:right="618"/>
        <w:contextualSpacing/>
        <w:jc w:val="both"/>
        <w:rPr>
          <w:rFonts w:ascii="Palatino Linotype" w:hAnsi="Palatino Linotype" w:cs="Arial"/>
          <w:i/>
          <w:color w:val="000000"/>
        </w:rPr>
      </w:pPr>
      <w:r w:rsidRPr="0040616D">
        <w:rPr>
          <w:rFonts w:ascii="Palatino Linotype" w:hAnsi="Palatino Linotype" w:cs="Arial"/>
          <w:b/>
          <w:i/>
          <w:color w:val="000000"/>
        </w:rPr>
        <w:lastRenderedPageBreak/>
        <w:t>FUNDAMENTACIÓN Y MOTIVACIÓN.</w:t>
      </w:r>
      <w:r w:rsidRPr="0040616D">
        <w:rPr>
          <w:rFonts w:ascii="Palatino Linotype" w:hAnsi="Palatino Linotype" w:cs="Arial"/>
          <w:i/>
          <w:color w:val="000000"/>
        </w:rPr>
        <w:t xml:space="preserve"> “La </w:t>
      </w:r>
      <w:r w:rsidRPr="0040616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616D">
        <w:rPr>
          <w:rFonts w:ascii="Palatino Linotype" w:hAnsi="Palatino Linotype" w:cs="Arial"/>
          <w:i/>
          <w:color w:val="000000"/>
        </w:rPr>
        <w:t>.”</w:t>
      </w:r>
    </w:p>
    <w:p w:rsidR="00544B15" w:rsidRPr="0040616D" w:rsidRDefault="00544B15" w:rsidP="00544B15">
      <w:pPr>
        <w:spacing w:line="360" w:lineRule="auto"/>
        <w:ind w:left="851" w:right="618"/>
        <w:contextualSpacing/>
        <w:jc w:val="both"/>
        <w:rPr>
          <w:rFonts w:ascii="Palatino Linotype" w:hAnsi="Palatino Linotype" w:cs="Arial"/>
          <w:i/>
          <w:color w:val="000000"/>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40616D">
        <w:rPr>
          <w:rFonts w:ascii="Palatino Linotype" w:hAnsi="Palatino Linotype" w:cs="Arial"/>
        </w:rPr>
        <w:t>expresan</w:t>
      </w:r>
      <w:r w:rsidRPr="0040616D">
        <w:rPr>
          <w:rFonts w:ascii="Palatino Linotype" w:eastAsia="MS Gothic" w:hAnsi="Palatino Linotype"/>
        </w:rPr>
        <w:t xml:space="preserve"> las razones, motivos o circunstancias que tomó en cuenta la autoridad para adecuar el </w:t>
      </w:r>
      <w:r w:rsidRPr="0040616D">
        <w:rPr>
          <w:rFonts w:ascii="Palatino Linotype" w:eastAsia="MS Gothic" w:hAnsi="Palatino Linotype"/>
          <w:szCs w:val="26"/>
        </w:rPr>
        <w:t>hecho</w:t>
      </w:r>
      <w:r w:rsidRPr="0040616D">
        <w:rPr>
          <w:rFonts w:ascii="Palatino Linotype" w:eastAsia="MS Gothic" w:hAnsi="Palatino Linotype"/>
        </w:rPr>
        <w:t xml:space="preserve"> a los fundamentos de derecho.</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rPr>
        <w:t xml:space="preserve"> En </w:t>
      </w:r>
      <w:r w:rsidRPr="0040616D">
        <w:rPr>
          <w:rFonts w:ascii="Palatino Linotype" w:eastAsia="MS Gothic" w:hAnsi="Palatino Linotype"/>
          <w:szCs w:val="26"/>
        </w:rPr>
        <w:t>consecuencia</w:t>
      </w:r>
      <w:r w:rsidRPr="0040616D">
        <w:rPr>
          <w:rFonts w:ascii="Palatino Linotype" w:eastAsia="MS Gothic" w:hAnsi="Palatino Linotype"/>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44B15" w:rsidRPr="0040616D"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rsidR="00544B15" w:rsidRPr="0040616D" w:rsidRDefault="00544B15" w:rsidP="00544B15">
      <w:pPr>
        <w:numPr>
          <w:ilvl w:val="0"/>
          <w:numId w:val="1"/>
        </w:numPr>
        <w:spacing w:line="360" w:lineRule="auto"/>
        <w:ind w:left="0" w:firstLine="0"/>
        <w:contextualSpacing/>
        <w:jc w:val="both"/>
        <w:rPr>
          <w:rFonts w:ascii="Palatino Linotype" w:hAnsi="Palatino Linotype" w:cs="Arial"/>
        </w:rPr>
      </w:pPr>
      <w:r w:rsidRPr="0040616D">
        <w:rPr>
          <w:rFonts w:ascii="Palatino Linotype" w:eastAsia="MS Gothic" w:hAnsi="Palatino Linotype"/>
        </w:rPr>
        <w:t xml:space="preserve"> En </w:t>
      </w:r>
      <w:r w:rsidRPr="0040616D">
        <w:rPr>
          <w:rFonts w:ascii="Palatino Linotype" w:eastAsia="MS Gothic" w:hAnsi="Palatino Linotype"/>
          <w:szCs w:val="26"/>
        </w:rPr>
        <w:t>ese</w:t>
      </w:r>
      <w:r w:rsidRPr="0040616D">
        <w:rPr>
          <w:rFonts w:ascii="Palatino Linotype" w:eastAsia="MS Gothic" w:hAnsi="Palatino Linotype"/>
        </w:rPr>
        <w:t xml:space="preserve"> mismo sentido, el numeral trigésimo tercero fracción V de los Lineamientos Generales, precisa que para motivar la clasificación se deben acreditar las circunstancias de tiempo, modo y lugar.</w:t>
      </w:r>
    </w:p>
    <w:p w:rsidR="00544B15" w:rsidRPr="0040616D" w:rsidRDefault="00544B15" w:rsidP="00544B15">
      <w:pPr>
        <w:tabs>
          <w:tab w:val="left" w:pos="0"/>
          <w:tab w:val="left" w:pos="142"/>
        </w:tabs>
        <w:spacing w:line="360" w:lineRule="auto"/>
        <w:contextualSpacing/>
        <w:jc w:val="both"/>
        <w:rPr>
          <w:rFonts w:ascii="Palatino Linotype" w:hAnsi="Palatino Linotype" w:cs="Arial"/>
        </w:rPr>
      </w:pPr>
    </w:p>
    <w:p w:rsidR="00944522" w:rsidRPr="0040616D" w:rsidRDefault="00944522" w:rsidP="00544E10">
      <w:pPr>
        <w:numPr>
          <w:ilvl w:val="0"/>
          <w:numId w:val="1"/>
        </w:numPr>
        <w:tabs>
          <w:tab w:val="left" w:pos="0"/>
          <w:tab w:val="left" w:pos="142"/>
        </w:tabs>
        <w:spacing w:line="360" w:lineRule="auto"/>
        <w:ind w:left="0" w:firstLine="0"/>
        <w:contextualSpacing/>
        <w:jc w:val="both"/>
        <w:rPr>
          <w:rFonts w:ascii="Palatino Linotype" w:hAnsi="Palatino Linotype" w:cs="Arial"/>
        </w:rPr>
      </w:pPr>
      <w:r w:rsidRPr="0040616D">
        <w:rPr>
          <w:rFonts w:ascii="Palatino Linotype" w:hAnsi="Palatino Linotype"/>
        </w:rPr>
        <w:t xml:space="preserve">Atento a lo anterior, es que se concluye que devienen </w:t>
      </w:r>
      <w:r w:rsidR="00D05C40" w:rsidRPr="0040616D">
        <w:rPr>
          <w:rFonts w:ascii="Palatino Linotype" w:hAnsi="Palatino Linotype"/>
          <w:b/>
        </w:rPr>
        <w:t>FUNDADAS</w:t>
      </w:r>
      <w:r w:rsidRPr="0040616D">
        <w:rPr>
          <w:rFonts w:ascii="Palatino Linotype" w:hAnsi="Palatino Linotype"/>
        </w:rPr>
        <w:t xml:space="preserve"> las razones o motivos de inconformidad, resultando procedente</w:t>
      </w:r>
      <w:r w:rsidRPr="0040616D">
        <w:rPr>
          <w:rFonts w:ascii="Palatino Linotype" w:hAnsi="Palatino Linotype"/>
          <w:b/>
        </w:rPr>
        <w:t xml:space="preserve"> </w:t>
      </w:r>
      <w:r w:rsidR="00D05C40" w:rsidRPr="0040616D">
        <w:rPr>
          <w:rFonts w:ascii="Palatino Linotype" w:hAnsi="Palatino Linotype"/>
          <w:b/>
        </w:rPr>
        <w:t>REVOCAR</w:t>
      </w:r>
      <w:r w:rsidRPr="0040616D">
        <w:rPr>
          <w:rFonts w:ascii="Palatino Linotype" w:hAnsi="Palatino Linotype"/>
          <w:b/>
        </w:rPr>
        <w:t xml:space="preserve"> </w:t>
      </w:r>
      <w:r w:rsidRPr="0040616D">
        <w:rPr>
          <w:rFonts w:ascii="Palatino Linotype" w:hAnsi="Palatino Linotype"/>
        </w:rPr>
        <w:t xml:space="preserve">la respuesta emitida por el </w:t>
      </w:r>
      <w:r w:rsidRPr="0040616D">
        <w:rPr>
          <w:rFonts w:ascii="Palatino Linotype" w:hAnsi="Palatino Linotype"/>
          <w:b/>
        </w:rPr>
        <w:t>SUJETO OBLIGADO</w:t>
      </w:r>
      <w:r w:rsidR="00D05C40" w:rsidRPr="0040616D">
        <w:rPr>
          <w:rFonts w:ascii="Palatino Linotype" w:hAnsi="Palatino Linotype"/>
        </w:rPr>
        <w:t xml:space="preserve">. </w:t>
      </w:r>
      <w:r w:rsidRPr="0040616D">
        <w:rPr>
          <w:rFonts w:ascii="Palatino Linotype" w:hAnsi="Palatino Linotype" w:cs="Arial"/>
        </w:rPr>
        <w:t>Por lo anteriormente expuesto y fundado, este Órgano Garante emite los siguientes:</w:t>
      </w:r>
    </w:p>
    <w:p w:rsidR="00D03B93" w:rsidRPr="0040616D" w:rsidRDefault="00D03B93" w:rsidP="00D03B93">
      <w:pPr>
        <w:spacing w:line="360" w:lineRule="auto"/>
        <w:contextualSpacing/>
        <w:jc w:val="both"/>
        <w:rPr>
          <w:rFonts w:ascii="Palatino Linotype" w:hAnsi="Palatino Linotype"/>
          <w:color w:val="000000" w:themeColor="text1"/>
        </w:rPr>
      </w:pPr>
    </w:p>
    <w:p w:rsidR="009F09BC" w:rsidRPr="0040616D" w:rsidRDefault="009F09BC" w:rsidP="00B912BD">
      <w:pPr>
        <w:pStyle w:val="Ttulo1"/>
        <w:spacing w:before="0" w:line="360" w:lineRule="auto"/>
        <w:jc w:val="center"/>
        <w:rPr>
          <w:rFonts w:ascii="Palatino Linotype" w:eastAsia="Calibri" w:hAnsi="Palatino Linotype"/>
          <w:b/>
          <w:color w:val="000000" w:themeColor="text1"/>
          <w:sz w:val="24"/>
          <w:szCs w:val="24"/>
          <w:lang w:val="es-ES"/>
        </w:rPr>
      </w:pPr>
      <w:bookmarkStart w:id="190" w:name="_Toc504500693"/>
      <w:bookmarkStart w:id="191" w:name="_Toc534742545"/>
      <w:bookmarkStart w:id="192" w:name="_Toc2248738"/>
      <w:bookmarkStart w:id="193" w:name="_Toc34819440"/>
      <w:bookmarkStart w:id="194" w:name="_Toc51259595"/>
      <w:bookmarkStart w:id="195" w:name="_Toc83128595"/>
      <w:r w:rsidRPr="0040616D">
        <w:rPr>
          <w:rFonts w:ascii="Palatino Linotype" w:eastAsia="Calibri" w:hAnsi="Palatino Linotype"/>
          <w:b/>
          <w:color w:val="000000" w:themeColor="text1"/>
          <w:sz w:val="24"/>
          <w:szCs w:val="24"/>
          <w:lang w:val="es-ES"/>
        </w:rPr>
        <w:lastRenderedPageBreak/>
        <w:t>R E S O L U T I V O S</w:t>
      </w:r>
      <w:bookmarkEnd w:id="190"/>
      <w:bookmarkEnd w:id="191"/>
      <w:bookmarkEnd w:id="192"/>
      <w:bookmarkEnd w:id="193"/>
      <w:bookmarkEnd w:id="194"/>
      <w:bookmarkEnd w:id="195"/>
      <w:r w:rsidRPr="0040616D">
        <w:rPr>
          <w:rFonts w:ascii="Palatino Linotype" w:eastAsia="Calibri" w:hAnsi="Palatino Linotype"/>
          <w:b/>
          <w:color w:val="000000" w:themeColor="text1"/>
          <w:sz w:val="24"/>
          <w:szCs w:val="24"/>
          <w:lang w:val="es-ES"/>
        </w:rPr>
        <w:t xml:space="preserve"> </w:t>
      </w:r>
    </w:p>
    <w:p w:rsidR="009072B7" w:rsidRPr="0040616D" w:rsidRDefault="009072B7" w:rsidP="00855290">
      <w:pPr>
        <w:spacing w:line="360" w:lineRule="auto"/>
        <w:rPr>
          <w:rFonts w:ascii="Palatino Linotype" w:hAnsi="Palatino Linotype"/>
          <w:lang w:val="es-ES"/>
        </w:rPr>
      </w:pPr>
    </w:p>
    <w:p w:rsidR="009F09BC" w:rsidRPr="0040616D" w:rsidRDefault="009F09BC" w:rsidP="00855290">
      <w:pPr>
        <w:spacing w:line="360" w:lineRule="auto"/>
        <w:jc w:val="both"/>
        <w:rPr>
          <w:rFonts w:ascii="Palatino Linotype" w:eastAsia="Times New Roman" w:hAnsi="Palatino Linotype" w:cs="Arial"/>
          <w:lang w:val="es-ES"/>
        </w:rPr>
      </w:pPr>
      <w:r w:rsidRPr="0040616D">
        <w:rPr>
          <w:rFonts w:ascii="Palatino Linotype" w:eastAsia="Times New Roman" w:hAnsi="Palatino Linotype" w:cs="Arial"/>
          <w:b/>
        </w:rPr>
        <w:t>PRIMERO</w:t>
      </w:r>
      <w:r w:rsidRPr="0040616D">
        <w:rPr>
          <w:rFonts w:ascii="Palatino Linotype" w:eastAsia="Times New Roman" w:hAnsi="Palatino Linotype" w:cs="Arial"/>
          <w:lang w:val="es-ES"/>
        </w:rPr>
        <w:t>. Resultan</w:t>
      </w:r>
      <w:r w:rsidR="00423514" w:rsidRPr="0040616D">
        <w:rPr>
          <w:rFonts w:ascii="Palatino Linotype" w:eastAsia="Times New Roman" w:hAnsi="Palatino Linotype" w:cs="Arial"/>
          <w:lang w:val="es-ES"/>
        </w:rPr>
        <w:t xml:space="preserve"> </w:t>
      </w:r>
      <w:r w:rsidRPr="0040616D">
        <w:rPr>
          <w:rFonts w:ascii="Palatino Linotype" w:eastAsia="Times New Roman" w:hAnsi="Palatino Linotype" w:cs="Arial"/>
          <w:lang w:val="es-ES"/>
        </w:rPr>
        <w:t>fundadas las razones o motivos de inconformidad hechos valer en</w:t>
      </w:r>
      <w:r w:rsidR="009A2251" w:rsidRPr="0040616D">
        <w:rPr>
          <w:rFonts w:ascii="Palatino Linotype" w:eastAsia="Times New Roman" w:hAnsi="Palatino Linotype" w:cs="Arial"/>
          <w:lang w:val="es-ES"/>
        </w:rPr>
        <w:t xml:space="preserve"> el</w:t>
      </w:r>
      <w:r w:rsidRPr="0040616D">
        <w:rPr>
          <w:rFonts w:ascii="Palatino Linotype" w:eastAsia="Times New Roman" w:hAnsi="Palatino Linotype" w:cs="Arial"/>
          <w:lang w:val="es-ES"/>
        </w:rPr>
        <w:t xml:space="preserve"> Recurso de Revisión </w:t>
      </w:r>
      <w:r w:rsidR="007B3617" w:rsidRPr="0040616D">
        <w:rPr>
          <w:rFonts w:ascii="Palatino Linotype" w:hAnsi="Palatino Linotype"/>
          <w:b/>
        </w:rPr>
        <w:t>17523/INFOEM/IP/RR/2022</w:t>
      </w:r>
      <w:r w:rsidRPr="0040616D">
        <w:rPr>
          <w:rFonts w:ascii="Palatino Linotype" w:hAnsi="Palatino Linotype"/>
        </w:rPr>
        <w:t>,</w:t>
      </w:r>
      <w:r w:rsidRPr="0040616D">
        <w:rPr>
          <w:rFonts w:ascii="Palatino Linotype" w:eastAsia="Times New Roman" w:hAnsi="Palatino Linotype" w:cs="Arial"/>
          <w:b/>
          <w:lang w:val="es-ES"/>
        </w:rPr>
        <w:t xml:space="preserve"> </w:t>
      </w:r>
      <w:r w:rsidR="00A1757E" w:rsidRPr="0040616D">
        <w:rPr>
          <w:rFonts w:ascii="Palatino Linotype" w:eastAsia="Times New Roman" w:hAnsi="Palatino Linotype" w:cs="Arial"/>
          <w:lang w:val="es-ES"/>
        </w:rPr>
        <w:t>en términos de</w:t>
      </w:r>
      <w:r w:rsidR="00B912BD" w:rsidRPr="0040616D">
        <w:rPr>
          <w:rFonts w:ascii="Palatino Linotype" w:eastAsia="Times New Roman" w:hAnsi="Palatino Linotype" w:cs="Arial"/>
          <w:lang w:val="es-ES"/>
        </w:rPr>
        <w:t xml:space="preserve"> </w:t>
      </w:r>
      <w:r w:rsidR="00A1757E" w:rsidRPr="0040616D">
        <w:rPr>
          <w:rFonts w:ascii="Palatino Linotype" w:eastAsia="Times New Roman" w:hAnsi="Palatino Linotype" w:cs="Arial"/>
          <w:lang w:val="es-ES"/>
        </w:rPr>
        <w:t>l</w:t>
      </w:r>
      <w:r w:rsidR="00B912BD" w:rsidRPr="0040616D">
        <w:rPr>
          <w:rFonts w:ascii="Palatino Linotype" w:eastAsia="Times New Roman" w:hAnsi="Palatino Linotype" w:cs="Arial"/>
          <w:lang w:val="es-ES"/>
        </w:rPr>
        <w:t>os</w:t>
      </w:r>
      <w:r w:rsidRPr="0040616D">
        <w:rPr>
          <w:rFonts w:ascii="Palatino Linotype" w:eastAsia="Times New Roman" w:hAnsi="Palatino Linotype" w:cs="Arial"/>
          <w:lang w:val="es-ES"/>
        </w:rPr>
        <w:t xml:space="preserve"> Considerando</w:t>
      </w:r>
      <w:r w:rsidR="00B912BD" w:rsidRPr="0040616D">
        <w:rPr>
          <w:rFonts w:ascii="Palatino Linotype" w:eastAsia="Times New Roman" w:hAnsi="Palatino Linotype" w:cs="Arial"/>
          <w:lang w:val="es-ES"/>
        </w:rPr>
        <w:t>s</w:t>
      </w:r>
      <w:r w:rsidRPr="0040616D">
        <w:rPr>
          <w:rFonts w:ascii="Palatino Linotype" w:eastAsia="Times New Roman" w:hAnsi="Palatino Linotype" w:cs="Arial"/>
          <w:b/>
          <w:lang w:val="es-ES"/>
        </w:rPr>
        <w:t xml:space="preserve"> </w:t>
      </w:r>
      <w:r w:rsidR="00DE3E5E" w:rsidRPr="0040616D">
        <w:rPr>
          <w:rFonts w:ascii="Palatino Linotype" w:eastAsia="Times New Roman" w:hAnsi="Palatino Linotype" w:cs="Arial"/>
          <w:b/>
          <w:lang w:val="es-ES"/>
        </w:rPr>
        <w:t>Cuarto</w:t>
      </w:r>
      <w:r w:rsidRPr="0040616D">
        <w:rPr>
          <w:rFonts w:ascii="Palatino Linotype" w:eastAsia="Times New Roman" w:hAnsi="Palatino Linotype" w:cs="Arial"/>
          <w:b/>
          <w:lang w:val="es-ES"/>
        </w:rPr>
        <w:t xml:space="preserve"> </w:t>
      </w:r>
      <w:r w:rsidR="00D05C40" w:rsidRPr="0040616D">
        <w:rPr>
          <w:rFonts w:ascii="Palatino Linotype" w:eastAsia="Times New Roman" w:hAnsi="Palatino Linotype" w:cs="Arial"/>
          <w:b/>
          <w:lang w:val="es-ES"/>
        </w:rPr>
        <w:t xml:space="preserve">y Quinto </w:t>
      </w:r>
      <w:r w:rsidRPr="0040616D">
        <w:rPr>
          <w:rFonts w:ascii="Palatino Linotype" w:eastAsia="Times New Roman" w:hAnsi="Palatino Linotype" w:cs="Arial"/>
          <w:lang w:val="es-ES"/>
        </w:rPr>
        <w:t xml:space="preserve">de la presente resolución. </w:t>
      </w:r>
    </w:p>
    <w:p w:rsidR="00B912BD" w:rsidRPr="0040616D" w:rsidRDefault="00B912BD" w:rsidP="00855290">
      <w:pPr>
        <w:spacing w:line="360" w:lineRule="auto"/>
        <w:jc w:val="both"/>
        <w:rPr>
          <w:rFonts w:ascii="Palatino Linotype" w:eastAsia="Times New Roman" w:hAnsi="Palatino Linotype" w:cs="Arial"/>
          <w:lang w:val="es-ES"/>
        </w:rPr>
      </w:pPr>
    </w:p>
    <w:p w:rsidR="0065530D" w:rsidRPr="0040616D" w:rsidRDefault="009F09BC" w:rsidP="005C7272">
      <w:pPr>
        <w:autoSpaceDE w:val="0"/>
        <w:autoSpaceDN w:val="0"/>
        <w:adjustRightInd w:val="0"/>
        <w:spacing w:line="360" w:lineRule="auto"/>
        <w:ind w:right="49"/>
        <w:jc w:val="both"/>
        <w:rPr>
          <w:rFonts w:ascii="Palatino Linotype" w:hAnsi="Palatino Linotype" w:cs="Arial"/>
          <w:lang w:val="es-ES"/>
        </w:rPr>
      </w:pPr>
      <w:bookmarkStart w:id="196" w:name="_Toc503891607"/>
      <w:bookmarkStart w:id="197" w:name="_Toc511647757"/>
      <w:bookmarkStart w:id="198" w:name="_Toc511647818"/>
      <w:bookmarkStart w:id="199" w:name="_Toc477891768"/>
      <w:bookmarkStart w:id="200" w:name="_Toc477891858"/>
      <w:bookmarkStart w:id="201" w:name="_Toc481576259"/>
      <w:bookmarkStart w:id="202" w:name="_Toc492590391"/>
      <w:bookmarkStart w:id="203" w:name="_Toc462653937"/>
      <w:bookmarkStart w:id="204" w:name="_Toc453696502"/>
      <w:bookmarkStart w:id="205" w:name="_Toc454301155"/>
      <w:r w:rsidRPr="0040616D">
        <w:rPr>
          <w:rFonts w:ascii="Palatino Linotype" w:eastAsia="Times New Roman" w:hAnsi="Palatino Linotype" w:cs="Times New Roman"/>
          <w:b/>
        </w:rPr>
        <w:t>SEGUNDO.</w:t>
      </w:r>
      <w:bookmarkEnd w:id="196"/>
      <w:bookmarkEnd w:id="197"/>
      <w:bookmarkEnd w:id="198"/>
      <w:r w:rsidRPr="0040616D">
        <w:rPr>
          <w:rFonts w:ascii="Palatino Linotype" w:eastAsia="Times New Roman" w:hAnsi="Palatino Linotype" w:cs="Times New Roman"/>
          <w:b/>
        </w:rPr>
        <w:t xml:space="preserve"> </w:t>
      </w:r>
      <w:bookmarkEnd w:id="199"/>
      <w:bookmarkEnd w:id="200"/>
      <w:bookmarkEnd w:id="201"/>
      <w:bookmarkEnd w:id="202"/>
      <w:bookmarkEnd w:id="203"/>
      <w:bookmarkEnd w:id="204"/>
      <w:bookmarkEnd w:id="205"/>
      <w:r w:rsidRPr="0040616D">
        <w:rPr>
          <w:rFonts w:ascii="Palatino Linotype" w:eastAsia="MS Mincho" w:hAnsi="Palatino Linotype" w:cs="Times New Roman"/>
          <w:color w:val="000000" w:themeColor="text1"/>
        </w:rPr>
        <w:t xml:space="preserve">Se </w:t>
      </w:r>
      <w:r w:rsidR="00D05C40" w:rsidRPr="0040616D">
        <w:rPr>
          <w:rFonts w:ascii="Palatino Linotype" w:eastAsia="MS Mincho" w:hAnsi="Palatino Linotype" w:cs="Times New Roman"/>
          <w:b/>
          <w:color w:val="000000" w:themeColor="text1"/>
        </w:rPr>
        <w:t>REVO</w:t>
      </w:r>
      <w:r w:rsidRPr="0040616D">
        <w:rPr>
          <w:rFonts w:ascii="Palatino Linotype" w:eastAsia="MS Mincho" w:hAnsi="Palatino Linotype" w:cs="Times New Roman"/>
          <w:b/>
          <w:color w:val="000000" w:themeColor="text1"/>
        </w:rPr>
        <w:t xml:space="preserve">CA </w:t>
      </w:r>
      <w:r w:rsidRPr="0040616D">
        <w:rPr>
          <w:rFonts w:ascii="Palatino Linotype" w:eastAsia="MS Mincho" w:hAnsi="Palatino Linotype" w:cs="Times New Roman"/>
          <w:color w:val="000000" w:themeColor="text1"/>
        </w:rPr>
        <w:t>la respuesta emitida por l</w:t>
      </w:r>
      <w:r w:rsidR="0068467A" w:rsidRPr="0040616D">
        <w:rPr>
          <w:rFonts w:ascii="Palatino Linotype" w:eastAsia="MS Mincho" w:hAnsi="Palatino Linotype" w:cs="Times New Roman"/>
          <w:color w:val="000000" w:themeColor="text1"/>
        </w:rPr>
        <w:t>a</w:t>
      </w:r>
      <w:r w:rsidRPr="0040616D">
        <w:rPr>
          <w:rFonts w:ascii="Palatino Linotype" w:eastAsia="MS Mincho" w:hAnsi="Palatino Linotype" w:cs="Times New Roman"/>
          <w:color w:val="000000" w:themeColor="text1"/>
        </w:rPr>
        <w:t xml:space="preserve"> </w:t>
      </w:r>
      <w:r w:rsidR="007B3617" w:rsidRPr="0040616D">
        <w:rPr>
          <w:rFonts w:ascii="Palatino Linotype" w:hAnsi="Palatino Linotype"/>
          <w:b/>
          <w:bCs/>
          <w:color w:val="000000"/>
        </w:rPr>
        <w:t>Procuraduría de Protección al Ambiente del Estado de México</w:t>
      </w:r>
      <w:r w:rsidRPr="0040616D">
        <w:rPr>
          <w:rFonts w:ascii="Palatino Linotype" w:eastAsia="MS Mincho" w:hAnsi="Palatino Linotype" w:cs="Times New Roman"/>
          <w:b/>
          <w:color w:val="000000" w:themeColor="text1"/>
        </w:rPr>
        <w:t xml:space="preserve"> </w:t>
      </w:r>
      <w:r w:rsidRPr="0040616D">
        <w:rPr>
          <w:rFonts w:ascii="Palatino Linotype" w:eastAsia="MS Mincho" w:hAnsi="Palatino Linotype" w:cs="Times New Roman"/>
          <w:color w:val="000000" w:themeColor="text1"/>
        </w:rPr>
        <w:t xml:space="preserve">y se </w:t>
      </w:r>
      <w:r w:rsidRPr="0040616D">
        <w:rPr>
          <w:rFonts w:ascii="Palatino Linotype" w:eastAsia="MS Mincho" w:hAnsi="Palatino Linotype" w:cs="Times New Roman"/>
          <w:b/>
          <w:color w:val="000000" w:themeColor="text1"/>
        </w:rPr>
        <w:t>ORDENA</w:t>
      </w:r>
      <w:r w:rsidRPr="0040616D">
        <w:rPr>
          <w:rFonts w:ascii="Palatino Linotype" w:eastAsia="MS Mincho" w:hAnsi="Palatino Linotype" w:cs="Times New Roman"/>
          <w:color w:val="000000" w:themeColor="text1"/>
        </w:rPr>
        <w:t xml:space="preserve"> entregar vía Sistema de Acceso a la Información Mexiquense </w:t>
      </w:r>
      <w:r w:rsidRPr="0040616D">
        <w:rPr>
          <w:rFonts w:ascii="Palatino Linotype" w:eastAsia="MS Mincho" w:hAnsi="Palatino Linotype" w:cs="Times New Roman"/>
          <w:b/>
          <w:color w:val="000000" w:themeColor="text1"/>
        </w:rPr>
        <w:t>(SAIMEX)</w:t>
      </w:r>
      <w:r w:rsidRPr="0040616D">
        <w:rPr>
          <w:rFonts w:ascii="Palatino Linotype" w:eastAsia="MS Mincho" w:hAnsi="Palatino Linotype" w:cs="Times New Roman"/>
          <w:color w:val="000000" w:themeColor="text1"/>
        </w:rPr>
        <w:t>,</w:t>
      </w:r>
      <w:r w:rsidR="00B912BD" w:rsidRPr="0040616D">
        <w:rPr>
          <w:rFonts w:ascii="Palatino Linotype" w:eastAsia="MS Mincho" w:hAnsi="Palatino Linotype" w:cs="Times New Roman"/>
          <w:color w:val="000000" w:themeColor="text1"/>
        </w:rPr>
        <w:t xml:space="preserve"> </w:t>
      </w:r>
      <w:r w:rsidR="00D05C40" w:rsidRPr="0040616D">
        <w:rPr>
          <w:rFonts w:ascii="Palatino Linotype" w:eastAsia="MS Mincho" w:hAnsi="Palatino Linotype" w:cs="Times New Roman"/>
          <w:color w:val="000000" w:themeColor="text1"/>
        </w:rPr>
        <w:t xml:space="preserve">de ser el caso en versión pública, </w:t>
      </w:r>
      <w:r w:rsidR="00B912BD" w:rsidRPr="0040616D">
        <w:rPr>
          <w:rFonts w:ascii="Palatino Linotype" w:eastAsia="MS Mincho" w:hAnsi="Palatino Linotype" w:cs="Times New Roman"/>
          <w:color w:val="000000" w:themeColor="text1"/>
        </w:rPr>
        <w:t>la sigui</w:t>
      </w:r>
      <w:r w:rsidR="003B6769" w:rsidRPr="0040616D">
        <w:rPr>
          <w:rFonts w:ascii="Palatino Linotype" w:eastAsia="MS Mincho" w:hAnsi="Palatino Linotype" w:cs="Times New Roman"/>
          <w:color w:val="000000" w:themeColor="text1"/>
        </w:rPr>
        <w:t>ente información</w:t>
      </w:r>
      <w:r w:rsidR="0068467A" w:rsidRPr="0040616D">
        <w:rPr>
          <w:rFonts w:ascii="Palatino Linotype" w:eastAsia="MS Mincho" w:hAnsi="Palatino Linotype" w:cs="Times New Roman"/>
          <w:color w:val="000000" w:themeColor="text1"/>
        </w:rPr>
        <w:t>:</w:t>
      </w:r>
    </w:p>
    <w:p w:rsidR="009072B7" w:rsidRPr="0040616D" w:rsidRDefault="009072B7" w:rsidP="00855290">
      <w:pPr>
        <w:spacing w:line="360" w:lineRule="auto"/>
        <w:jc w:val="both"/>
        <w:rPr>
          <w:rFonts w:ascii="Palatino Linotype" w:eastAsia="MS Mincho" w:hAnsi="Palatino Linotype" w:cs="Times New Roman"/>
          <w:color w:val="000000" w:themeColor="text1"/>
        </w:rPr>
      </w:pPr>
    </w:p>
    <w:p w:rsidR="005D7511" w:rsidRPr="0040616D" w:rsidRDefault="00467EA7" w:rsidP="00467EA7">
      <w:pPr>
        <w:pStyle w:val="Prrafodelista"/>
        <w:numPr>
          <w:ilvl w:val="0"/>
          <w:numId w:val="5"/>
        </w:numPr>
        <w:spacing w:line="360" w:lineRule="auto"/>
        <w:ind w:right="539"/>
        <w:jc w:val="both"/>
        <w:rPr>
          <w:rFonts w:ascii="Palatino Linotype" w:hAnsi="Palatino Linotype" w:cs="Arial"/>
        </w:rPr>
      </w:pPr>
      <w:bookmarkStart w:id="206" w:name="_Toc503891610"/>
      <w:bookmarkStart w:id="207" w:name="_Toc453696503"/>
      <w:bookmarkStart w:id="208" w:name="_Toc454301156"/>
      <w:bookmarkStart w:id="209" w:name="_Toc462653938"/>
      <w:bookmarkStart w:id="210" w:name="_Toc477891769"/>
      <w:bookmarkStart w:id="211" w:name="_Toc477891859"/>
      <w:bookmarkStart w:id="212" w:name="_Toc481576260"/>
      <w:bookmarkStart w:id="213" w:name="_Toc492590392"/>
      <w:r w:rsidRPr="0040616D">
        <w:rPr>
          <w:rFonts w:ascii="Palatino Linotype" w:hAnsi="Palatino Linotype" w:cs="Arial"/>
        </w:rPr>
        <w:t>Convenios de Compensación Ambiental, del 1 enero de 2015 al 23 de noviembre de 2022.</w:t>
      </w:r>
    </w:p>
    <w:p w:rsidR="00C17CD5" w:rsidRPr="0040616D" w:rsidRDefault="00C17CD5" w:rsidP="00B912BD">
      <w:pPr>
        <w:spacing w:line="360" w:lineRule="auto"/>
        <w:ind w:right="-93"/>
        <w:jc w:val="both"/>
        <w:rPr>
          <w:rFonts w:ascii="Palatino Linotype" w:eastAsia="Calibri" w:hAnsi="Palatino Linotype" w:cs="Tahoma"/>
          <w:bCs/>
          <w:szCs w:val="22"/>
          <w:lang w:eastAsia="en-US"/>
        </w:rPr>
      </w:pPr>
    </w:p>
    <w:p w:rsidR="00544B15" w:rsidRPr="0040616D" w:rsidRDefault="00544B15" w:rsidP="00544B15">
      <w:pPr>
        <w:spacing w:line="360" w:lineRule="auto"/>
        <w:jc w:val="both"/>
        <w:rPr>
          <w:rFonts w:ascii="Palatino Linotype" w:eastAsia="Calibri" w:hAnsi="Palatino Linotype" w:cs="Arial"/>
          <w:b/>
        </w:rPr>
      </w:pPr>
      <w:r w:rsidRPr="0040616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0616D">
        <w:rPr>
          <w:rFonts w:ascii="Palatino Linotype" w:eastAsia="Calibri" w:hAnsi="Palatino Linotype" w:cs="Arial"/>
          <w:b/>
        </w:rPr>
        <w:t>EL RECURRENTE.</w:t>
      </w:r>
    </w:p>
    <w:p w:rsidR="00544B15" w:rsidRPr="0040616D" w:rsidRDefault="00544B15" w:rsidP="00B912BD">
      <w:pPr>
        <w:spacing w:line="360" w:lineRule="auto"/>
        <w:ind w:right="-93"/>
        <w:jc w:val="both"/>
        <w:rPr>
          <w:rFonts w:ascii="Palatino Linotype" w:eastAsia="Calibri" w:hAnsi="Palatino Linotype" w:cs="Tahoma"/>
          <w:bCs/>
          <w:szCs w:val="22"/>
          <w:lang w:eastAsia="en-US"/>
        </w:rPr>
      </w:pPr>
    </w:p>
    <w:p w:rsidR="009F09BC" w:rsidRPr="0040616D"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214" w:name="_Toc511647758"/>
      <w:bookmarkStart w:id="215" w:name="_Toc511647819"/>
      <w:r w:rsidRPr="0040616D">
        <w:rPr>
          <w:rFonts w:ascii="Palatino Linotype" w:eastAsia="Times New Roman" w:hAnsi="Palatino Linotype" w:cs="Times New Roman"/>
          <w:b/>
        </w:rPr>
        <w:t>TERCERO.</w:t>
      </w:r>
      <w:bookmarkEnd w:id="206"/>
      <w:bookmarkEnd w:id="214"/>
      <w:bookmarkEnd w:id="215"/>
      <w:r w:rsidRPr="0040616D">
        <w:rPr>
          <w:rFonts w:ascii="Palatino Linotype" w:eastAsia="Times New Roman" w:hAnsi="Palatino Linotype" w:cs="Times New Roman"/>
          <w:b/>
        </w:rPr>
        <w:t xml:space="preserve"> </w:t>
      </w:r>
      <w:bookmarkEnd w:id="207"/>
      <w:bookmarkEnd w:id="208"/>
      <w:bookmarkEnd w:id="209"/>
      <w:bookmarkEnd w:id="210"/>
      <w:bookmarkEnd w:id="211"/>
      <w:bookmarkEnd w:id="212"/>
      <w:bookmarkEnd w:id="213"/>
      <w:r w:rsidRPr="0040616D">
        <w:rPr>
          <w:rFonts w:ascii="Palatino Linotype" w:eastAsia="Palatino Linotype" w:hAnsi="Palatino Linotype" w:cs="Palatino Linotype"/>
          <w:b/>
        </w:rPr>
        <w:t xml:space="preserve">Notifíquese </w:t>
      </w:r>
      <w:r w:rsidRPr="0040616D">
        <w:rPr>
          <w:rFonts w:ascii="Palatino Linotype" w:eastAsia="Palatino Linotype" w:hAnsi="Palatino Linotype" w:cs="Palatino Linotype"/>
        </w:rPr>
        <w:t xml:space="preserve">al Titular de la Unidad de Transparencia del </w:t>
      </w:r>
      <w:r w:rsidRPr="0040616D">
        <w:rPr>
          <w:rFonts w:ascii="Palatino Linotype" w:eastAsia="Palatino Linotype" w:hAnsi="Palatino Linotype" w:cs="Palatino Linotype"/>
          <w:b/>
        </w:rPr>
        <w:t>SUJETO OBLIGADO</w:t>
      </w:r>
      <w:r w:rsidRPr="0040616D">
        <w:rPr>
          <w:rFonts w:ascii="Palatino Linotype" w:eastAsia="Palatino Linotype" w:hAnsi="Palatino Linotype" w:cs="Palatino Linotype"/>
        </w:rPr>
        <w:t xml:space="preserve"> </w:t>
      </w:r>
      <w:r w:rsidR="00A1757E" w:rsidRPr="0040616D">
        <w:rPr>
          <w:rFonts w:ascii="Palatino Linotype" w:eastAsia="Palatino Linotype" w:hAnsi="Palatino Linotype" w:cs="Palatino Linotype"/>
        </w:rPr>
        <w:t xml:space="preserve">vía SAIMEX, </w:t>
      </w:r>
      <w:r w:rsidRPr="0040616D">
        <w:rPr>
          <w:rFonts w:ascii="Palatino Linotype" w:eastAsia="Palatino Linotype" w:hAnsi="Palatino Linotype" w:cs="Palatino Linotype"/>
        </w:rPr>
        <w:t xml:space="preserve">para que conforme a los artículos 186 último párrafo, 189 párrafo segundo y 199 de la Ley de Transparencia y Acceso a la Información Pública </w:t>
      </w:r>
      <w:r w:rsidRPr="0040616D">
        <w:rPr>
          <w:rFonts w:ascii="Palatino Linotype" w:eastAsia="Palatino Linotype" w:hAnsi="Palatino Linotype" w:cs="Palatino Linotype"/>
        </w:rPr>
        <w:lastRenderedPageBreak/>
        <w:t xml:space="preserve">del Estado de México y Municipios, </w:t>
      </w:r>
      <w:r w:rsidRPr="0040616D">
        <w:rPr>
          <w:rFonts w:ascii="Palatino Linotype" w:eastAsia="Times New Roman" w:hAnsi="Palatino Linotype" w:cs="Times New Roman"/>
          <w:shd w:val="clear" w:color="auto" w:fill="FFFFFF"/>
        </w:rPr>
        <w:t xml:space="preserve">vigente, dé cumplimiento a lo ordenado dentro del plazo de </w:t>
      </w:r>
      <w:r w:rsidR="00782A12" w:rsidRPr="0040616D">
        <w:rPr>
          <w:rFonts w:ascii="Palatino Linotype" w:eastAsia="Times New Roman" w:hAnsi="Palatino Linotype" w:cs="Times New Roman"/>
          <w:b/>
          <w:shd w:val="clear" w:color="auto" w:fill="FFFFFF"/>
        </w:rPr>
        <w:t>diez</w:t>
      </w:r>
      <w:r w:rsidRPr="0040616D">
        <w:rPr>
          <w:rFonts w:ascii="Palatino Linotype" w:eastAsia="Times New Roman" w:hAnsi="Palatino Linotype" w:cs="Times New Roman"/>
          <w:b/>
          <w:shd w:val="clear" w:color="auto" w:fill="FFFFFF"/>
        </w:rPr>
        <w:t xml:space="preserve"> días hábiles</w:t>
      </w:r>
      <w:r w:rsidRPr="0040616D">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40616D" w:rsidRDefault="0057514F" w:rsidP="00855290">
      <w:pPr>
        <w:spacing w:line="360" w:lineRule="auto"/>
        <w:jc w:val="both"/>
        <w:rPr>
          <w:rFonts w:ascii="Palatino Linotype" w:hAnsi="Palatino Linotype" w:cs="Arial"/>
          <w:b/>
        </w:rPr>
      </w:pPr>
    </w:p>
    <w:p w:rsidR="0057514F" w:rsidRPr="0040616D" w:rsidRDefault="0057514F" w:rsidP="00855290">
      <w:pPr>
        <w:spacing w:line="360" w:lineRule="auto"/>
        <w:jc w:val="both"/>
        <w:rPr>
          <w:rFonts w:ascii="Palatino Linotype" w:eastAsia="Calibri" w:hAnsi="Palatino Linotype" w:cs="Arial"/>
          <w:bCs/>
        </w:rPr>
      </w:pPr>
      <w:r w:rsidRPr="0040616D">
        <w:rPr>
          <w:rFonts w:ascii="Palatino Linotype" w:hAnsi="Palatino Linotype" w:cs="Arial"/>
          <w:b/>
        </w:rPr>
        <w:t xml:space="preserve">CUARTO. </w:t>
      </w:r>
      <w:r w:rsidRPr="0040616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40616D">
        <w:rPr>
          <w:rFonts w:ascii="Palatino Linotype" w:eastAsia="Calibri" w:hAnsi="Palatino Linotype" w:cs="Arial"/>
          <w:b/>
          <w:bCs/>
        </w:rPr>
        <w:t>SUJETO OBLIGADO</w:t>
      </w:r>
      <w:r w:rsidRPr="0040616D">
        <w:rPr>
          <w:rFonts w:ascii="Palatino Linotype" w:eastAsia="Calibri" w:hAnsi="Palatino Linotype" w:cs="Arial"/>
          <w:bCs/>
        </w:rPr>
        <w:t xml:space="preserve"> de manera fundada y motivada, podrá solicitar una ampliación de plazo para el cumplimiento de la presente resolución.</w:t>
      </w:r>
    </w:p>
    <w:p w:rsidR="009072B7" w:rsidRPr="0040616D" w:rsidRDefault="009072B7" w:rsidP="00855290">
      <w:pPr>
        <w:spacing w:line="360" w:lineRule="auto"/>
        <w:jc w:val="both"/>
        <w:rPr>
          <w:rFonts w:ascii="Palatino Linotype" w:eastAsia="Calibri" w:hAnsi="Palatino Linotype" w:cs="Arial"/>
          <w:bCs/>
        </w:rPr>
      </w:pPr>
    </w:p>
    <w:p w:rsidR="009F09BC" w:rsidRPr="0040616D"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216" w:name="_Toc492590393"/>
      <w:bookmarkStart w:id="217" w:name="_Toc503891611"/>
      <w:bookmarkStart w:id="218" w:name="_Toc511647759"/>
      <w:bookmarkStart w:id="219" w:name="_Toc511647820"/>
      <w:r w:rsidRPr="0040616D">
        <w:rPr>
          <w:rFonts w:ascii="Palatino Linotype" w:eastAsia="Times New Roman" w:hAnsi="Palatino Linotype" w:cs="Times New Roman"/>
          <w:b/>
        </w:rPr>
        <w:t>QUIN</w:t>
      </w:r>
      <w:r w:rsidR="009F09BC" w:rsidRPr="0040616D">
        <w:rPr>
          <w:rFonts w:ascii="Palatino Linotype" w:eastAsia="Times New Roman" w:hAnsi="Palatino Linotype" w:cs="Times New Roman"/>
          <w:b/>
        </w:rPr>
        <w:t xml:space="preserve">TO. </w:t>
      </w:r>
      <w:r w:rsidR="009F09BC" w:rsidRPr="0040616D">
        <w:rPr>
          <w:rFonts w:ascii="Palatino Linotype" w:eastAsia="Times New Roman" w:hAnsi="Palatino Linotype" w:cs="Times New Roman"/>
        </w:rPr>
        <w:t>Notifíquese</w:t>
      </w:r>
      <w:bookmarkEnd w:id="216"/>
      <w:bookmarkEnd w:id="217"/>
      <w:bookmarkEnd w:id="218"/>
      <w:bookmarkEnd w:id="219"/>
      <w:r w:rsidR="009F09BC" w:rsidRPr="0040616D">
        <w:rPr>
          <w:rFonts w:ascii="Palatino Linotype" w:eastAsia="Times New Roman" w:hAnsi="Palatino Linotype" w:cs="Times New Roman"/>
        </w:rPr>
        <w:t xml:space="preserve"> a </w:t>
      </w:r>
      <w:r w:rsidR="009F09BC" w:rsidRPr="0040616D">
        <w:rPr>
          <w:rFonts w:ascii="Palatino Linotype" w:eastAsia="Times New Roman" w:hAnsi="Palatino Linotype" w:cs="Times New Roman"/>
          <w:b/>
        </w:rPr>
        <w:t>EL RECURRENTE</w:t>
      </w:r>
      <w:r w:rsidR="009F09BC" w:rsidRPr="0040616D">
        <w:rPr>
          <w:rFonts w:ascii="Palatino Linotype" w:eastAsia="Times New Roman" w:hAnsi="Palatino Linotype" w:cs="Times New Roman"/>
        </w:rPr>
        <w:t xml:space="preserve"> la presente</w:t>
      </w:r>
      <w:r w:rsidR="009F09BC" w:rsidRPr="0040616D">
        <w:rPr>
          <w:rFonts w:ascii="Palatino Linotype" w:eastAsia="Times New Roman" w:hAnsi="Palatino Linotype" w:cs="Times New Roman"/>
          <w:lang w:val="es-ES" w:eastAsia="es-MX"/>
        </w:rPr>
        <w:t xml:space="preserve"> resolución</w:t>
      </w:r>
      <w:r w:rsidR="00A1757E" w:rsidRPr="0040616D">
        <w:rPr>
          <w:rFonts w:ascii="Palatino Linotype" w:eastAsia="Times New Roman" w:hAnsi="Palatino Linotype" w:cs="Times New Roman"/>
          <w:lang w:val="es-ES" w:eastAsia="es-MX"/>
        </w:rPr>
        <w:t>, vía SAIMEX</w:t>
      </w:r>
      <w:r w:rsidR="006D15D0" w:rsidRPr="0040616D">
        <w:rPr>
          <w:rFonts w:ascii="Palatino Linotype" w:eastAsia="Times New Roman" w:hAnsi="Palatino Linotype" w:cs="Times New Roman"/>
          <w:lang w:val="es-ES" w:eastAsia="es-MX"/>
        </w:rPr>
        <w:t>.</w:t>
      </w:r>
    </w:p>
    <w:p w:rsidR="009072B7" w:rsidRPr="0040616D"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40616D" w:rsidRDefault="0057514F" w:rsidP="00855290">
      <w:pPr>
        <w:shd w:val="clear" w:color="auto" w:fill="FFFFFF"/>
        <w:spacing w:line="360" w:lineRule="auto"/>
        <w:jc w:val="both"/>
        <w:rPr>
          <w:rFonts w:ascii="Palatino Linotype" w:hAnsi="Palatino Linotype"/>
          <w:color w:val="222222"/>
          <w:lang w:eastAsia="es-ES_tradnl"/>
        </w:rPr>
      </w:pPr>
      <w:r w:rsidRPr="0040616D">
        <w:rPr>
          <w:rFonts w:ascii="Palatino Linotype" w:eastAsia="Calibri" w:hAnsi="Palatino Linotype" w:cs="Times New Roman"/>
          <w:b/>
          <w:lang w:val="es-MX" w:eastAsia="en-US"/>
        </w:rPr>
        <w:t>SEX</w:t>
      </w:r>
      <w:r w:rsidR="009F09BC" w:rsidRPr="0040616D">
        <w:rPr>
          <w:rFonts w:ascii="Palatino Linotype" w:eastAsia="Calibri" w:hAnsi="Palatino Linotype" w:cs="Times New Roman"/>
          <w:b/>
          <w:lang w:val="es-MX" w:eastAsia="en-US"/>
        </w:rPr>
        <w:t>TO.</w:t>
      </w:r>
      <w:r w:rsidR="009F09BC" w:rsidRPr="0040616D">
        <w:rPr>
          <w:rFonts w:ascii="Palatino Linotype" w:eastAsia="Calibri" w:hAnsi="Palatino Linotype" w:cs="Times New Roman"/>
          <w:lang w:val="es-MX" w:eastAsia="en-US"/>
        </w:rPr>
        <w:t xml:space="preserve"> </w:t>
      </w:r>
      <w:r w:rsidR="00D52DAB" w:rsidRPr="0040616D">
        <w:rPr>
          <w:rFonts w:ascii="Palatino Linotype" w:eastAsia="Times New Roman" w:hAnsi="Palatino Linotype" w:cs="Times New Roman"/>
          <w:lang w:val="es-ES" w:eastAsia="es-MX"/>
        </w:rPr>
        <w:t xml:space="preserve">Se hace del conocimiento de </w:t>
      </w:r>
      <w:r w:rsidR="00D52DAB" w:rsidRPr="0040616D">
        <w:rPr>
          <w:rFonts w:ascii="Palatino Linotype" w:eastAsia="Times New Roman" w:hAnsi="Palatino Linotype" w:cs="Times New Roman"/>
          <w:b/>
          <w:lang w:val="es-ES" w:eastAsia="es-MX"/>
        </w:rPr>
        <w:t>EL RECURRENTE</w:t>
      </w:r>
      <w:r w:rsidR="00D52DAB" w:rsidRPr="0040616D">
        <w:rPr>
          <w:rFonts w:ascii="Palatino Linotype" w:eastAsia="Times New Roman" w:hAnsi="Palatino Linotype" w:cs="Times New Roman"/>
          <w:lang w:val="es-ES" w:eastAsia="es-MX"/>
        </w:rPr>
        <w:t xml:space="preserve"> </w:t>
      </w:r>
      <w:r w:rsidR="00D52DAB" w:rsidRPr="0040616D">
        <w:rPr>
          <w:rFonts w:ascii="Palatino Linotype" w:hAnsi="Palatino Linotype"/>
          <w:color w:val="000000" w:themeColor="text1"/>
          <w:lang w:eastAsia="es-ES_tradnl"/>
        </w:rPr>
        <w:t xml:space="preserve">que </w:t>
      </w:r>
      <w:r w:rsidR="00D52DAB" w:rsidRPr="0040616D">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vía Juicio de Amparo en los términos de las leyes aplicables.</w:t>
      </w:r>
    </w:p>
    <w:p w:rsidR="009072B7" w:rsidRPr="0040616D"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906E4A" w:rsidRDefault="00906E4A" w:rsidP="00906E4A">
      <w:pPr>
        <w:spacing w:before="240" w:after="240" w:line="360" w:lineRule="auto"/>
        <w:jc w:val="both"/>
        <w:rPr>
          <w:rFonts w:ascii="Palatino Linotype" w:hAnsi="Palatino Linotype"/>
        </w:rPr>
      </w:pPr>
      <w:r w:rsidRPr="0040616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40616D">
        <w:rPr>
          <w:rFonts w:ascii="Palatino Linotype" w:hAnsi="Palatino Linotype"/>
        </w:rPr>
        <w:lastRenderedPageBreak/>
        <w:t>MORALES MARTÍNEZ; LUIS GUSTAVO PARRA NORIEGA Y GUADALUPE RAMÍREZ PEÑA EN LA QUINTA SESIÓN ORDINARIA CELEBRADA EL NUEVE (09) DE FEBRERO DE DOS MIL VEINTITRÉS, ANTE EL SECRETARIO TÉCNICO DEL PLENO ALEXIS TAPIA RAMÍREZ.</w:t>
      </w:r>
      <w:bookmarkStart w:id="220" w:name="_GoBack"/>
      <w:bookmarkEnd w:id="220"/>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E65521">
      <w:headerReference w:type="even" r:id="rId11"/>
      <w:headerReference w:type="default" r:id="rId12"/>
      <w:footerReference w:type="default" r:id="rId13"/>
      <w:headerReference w:type="first" r:id="rId14"/>
      <w:footerReference w:type="first" r:id="rId15"/>
      <w:pgSz w:w="12240" w:h="15840"/>
      <w:pgMar w:top="2368" w:right="1701" w:bottom="1702"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9C" w:rsidRDefault="0033629C" w:rsidP="003B7751">
      <w:r>
        <w:separator/>
      </w:r>
    </w:p>
  </w:endnote>
  <w:endnote w:type="continuationSeparator" w:id="0">
    <w:p w:rsidR="0033629C" w:rsidRDefault="0033629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8837"/>
      <w:docPartObj>
        <w:docPartGallery w:val="Page Numbers (Bottom of Page)"/>
        <w:docPartUnique/>
      </w:docPartObj>
    </w:sdtPr>
    <w:sdtEndPr/>
    <w:sdtContent>
      <w:sdt>
        <w:sdtPr>
          <w:id w:val="179867387"/>
          <w:docPartObj>
            <w:docPartGallery w:val="Page Numbers (Top of Page)"/>
            <w:docPartUnique/>
          </w:docPartObj>
        </w:sdtPr>
        <w:sdtEndPr/>
        <w:sdtContent>
          <w:p w:rsidR="00280FDC" w:rsidRPr="002D6DD8" w:rsidRDefault="00280FD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616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616D">
              <w:rPr>
                <w:rFonts w:ascii="Palatino Linotype" w:hAnsi="Palatino Linotype"/>
                <w:bCs/>
                <w:noProof/>
                <w:sz w:val="20"/>
              </w:rPr>
              <w:t>45</w:t>
            </w:r>
            <w:r>
              <w:rPr>
                <w:rFonts w:ascii="Palatino Linotype" w:hAnsi="Palatino Linotype"/>
                <w:bCs/>
                <w:noProof/>
                <w:sz w:val="20"/>
              </w:rPr>
              <w:fldChar w:fldCharType="end"/>
            </w:r>
          </w:p>
        </w:sdtContent>
      </w:sdt>
    </w:sdtContent>
  </w:sdt>
  <w:p w:rsidR="00280FDC" w:rsidRDefault="00280F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DC" w:rsidRPr="000B69FA" w:rsidRDefault="00280FD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61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616D">
      <w:rPr>
        <w:rFonts w:ascii="Palatino Linotype" w:hAnsi="Palatino Linotype"/>
        <w:bCs/>
        <w:noProof/>
        <w:sz w:val="20"/>
      </w:rPr>
      <w:t>45</w:t>
    </w:r>
    <w:r>
      <w:rPr>
        <w:rFonts w:ascii="Palatino Linotype" w:hAnsi="Palatino Linotype"/>
        <w:bCs/>
        <w:noProof/>
        <w:sz w:val="20"/>
      </w:rPr>
      <w:fldChar w:fldCharType="end"/>
    </w:r>
  </w:p>
  <w:p w:rsidR="00280FDC" w:rsidRDefault="00280F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9C" w:rsidRDefault="0033629C" w:rsidP="003B7751">
      <w:r>
        <w:separator/>
      </w:r>
    </w:p>
  </w:footnote>
  <w:footnote w:type="continuationSeparator" w:id="0">
    <w:p w:rsidR="0033629C" w:rsidRDefault="0033629C" w:rsidP="003B7751">
      <w:r>
        <w:continuationSeparator/>
      </w:r>
    </w:p>
  </w:footnote>
  <w:footnote w:id="1">
    <w:p w:rsidR="00280FDC" w:rsidRPr="00ED2A04" w:rsidRDefault="00280FDC" w:rsidP="00EF581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2">
    <w:p w:rsidR="00280FDC" w:rsidRPr="00ED2A04" w:rsidRDefault="00280FDC" w:rsidP="00EF581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3">
    <w:p w:rsidR="00280FDC" w:rsidRPr="000406A4" w:rsidRDefault="00280FDC" w:rsidP="00EF581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4">
    <w:p w:rsidR="00280FDC" w:rsidRPr="000406A4" w:rsidRDefault="00280FDC" w:rsidP="00EF581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5">
    <w:p w:rsidR="00280FDC" w:rsidRPr="000406A4" w:rsidRDefault="00280FDC" w:rsidP="00EF581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6">
    <w:p w:rsidR="00280FDC" w:rsidRPr="000406A4" w:rsidRDefault="00280FDC" w:rsidP="00EF581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7">
    <w:p w:rsidR="00280FDC" w:rsidRPr="000406A4" w:rsidRDefault="00280FDC" w:rsidP="00EF581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8">
    <w:p w:rsidR="00280FDC" w:rsidRPr="00B6795A" w:rsidRDefault="00280FDC" w:rsidP="00EF581A">
      <w:pPr>
        <w:jc w:val="both"/>
        <w:rPr>
          <w:color w:val="000000"/>
          <w:sz w:val="18"/>
          <w:szCs w:val="20"/>
          <w:lang w:eastAsia="es-ES_tradnl"/>
        </w:rPr>
      </w:pPr>
      <w:r>
        <w:rPr>
          <w:rStyle w:val="Refdenotaalpie"/>
        </w:rPr>
        <w:footnoteRef/>
      </w:r>
      <w:r>
        <w:t xml:space="preserve"> </w:t>
      </w:r>
      <w:r>
        <w:rPr>
          <w:lang w:val="es-ES"/>
        </w:rPr>
        <w:t>“</w:t>
      </w:r>
      <w:r w:rsidRPr="00B6795A">
        <w:rPr>
          <w:color w:val="000000"/>
          <w:sz w:val="18"/>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9">
    <w:p w:rsidR="00280FDC" w:rsidRPr="00B6795A" w:rsidRDefault="00280FDC" w:rsidP="00EF581A">
      <w:pPr>
        <w:pStyle w:val="Textonotapie"/>
        <w:rPr>
          <w:sz w:val="18"/>
          <w:lang w:val="es-ES"/>
        </w:rPr>
      </w:pPr>
      <w:r w:rsidRPr="00B6795A">
        <w:rPr>
          <w:rStyle w:val="Refdenotaalpie"/>
          <w:sz w:val="18"/>
        </w:rPr>
        <w:footnoteRef/>
      </w:r>
      <w:r w:rsidRPr="00B6795A">
        <w:rPr>
          <w:sz w:val="18"/>
        </w:rPr>
        <w:t xml:space="preserve"> </w:t>
      </w:r>
      <w:r w:rsidRPr="00B6795A">
        <w:rPr>
          <w:sz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0">
    <w:p w:rsidR="00280FDC" w:rsidRPr="00D431BE" w:rsidRDefault="00280FDC" w:rsidP="00280FDC">
      <w:pPr>
        <w:jc w:val="both"/>
        <w:rPr>
          <w:rFonts w:ascii="Palatino Linotype" w:hAnsi="Palatino Linotype"/>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hAnsi="Palatino Linotype" w:cs="Arial"/>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1">
    <w:p w:rsidR="00280FDC" w:rsidRPr="00D431BE" w:rsidRDefault="00280FDC" w:rsidP="00280FDC">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2">
    <w:p w:rsidR="00280FDC" w:rsidRPr="005404C6" w:rsidRDefault="00280FDC" w:rsidP="00280FDC">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13">
    <w:p w:rsidR="00544B15" w:rsidRDefault="00544B15" w:rsidP="00544B1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44B15" w:rsidRDefault="00544B15" w:rsidP="00544B1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4">
    <w:p w:rsidR="00544B15" w:rsidRDefault="00544B15" w:rsidP="00544B1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5">
    <w:p w:rsidR="00544B15" w:rsidRDefault="00544B15" w:rsidP="00544B1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44B15" w:rsidRDefault="00544B15" w:rsidP="00544B1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44B15" w:rsidRDefault="00544B15" w:rsidP="00544B1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rsidR="00544B15" w:rsidRDefault="00544B15" w:rsidP="00544B1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DC" w:rsidRDefault="0033629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80FDC" w:rsidTr="006A04B6">
      <w:trPr>
        <w:trHeight w:val="227"/>
      </w:trPr>
      <w:tc>
        <w:tcPr>
          <w:tcW w:w="2976" w:type="dxa"/>
          <w:vAlign w:val="center"/>
          <w:hideMark/>
        </w:tcPr>
        <w:p w:rsidR="00280FDC" w:rsidRPr="005B0E26" w:rsidRDefault="00280FDC" w:rsidP="009F09BC">
          <w:pPr>
            <w:ind w:right="34"/>
            <w:jc w:val="right"/>
            <w:rPr>
              <w:rFonts w:ascii="Palatino Linotype" w:hAnsi="Palatino Linotype"/>
              <w:b/>
              <w:sz w:val="22"/>
              <w:szCs w:val="22"/>
            </w:rPr>
          </w:pPr>
          <w:r w:rsidRPr="005B0E26">
            <w:rPr>
              <w:rFonts w:ascii="Palatino Linotype" w:hAnsi="Palatino Linotype"/>
              <w:b/>
              <w:sz w:val="22"/>
              <w:szCs w:val="22"/>
            </w:rPr>
            <w:t>Recurso de Revisión:</w:t>
          </w:r>
        </w:p>
      </w:tc>
      <w:tc>
        <w:tcPr>
          <w:tcW w:w="3543" w:type="dxa"/>
          <w:vAlign w:val="center"/>
          <w:hideMark/>
        </w:tcPr>
        <w:p w:rsidR="00280FDC" w:rsidRPr="005B0E26" w:rsidRDefault="00280FDC" w:rsidP="004264B6">
          <w:pPr>
            <w:pStyle w:val="Encabezado"/>
            <w:rPr>
              <w:rFonts w:ascii="Palatino Linotype" w:hAnsi="Palatino Linotype"/>
              <w:b/>
              <w:sz w:val="22"/>
              <w:szCs w:val="22"/>
            </w:rPr>
          </w:pPr>
          <w:r>
            <w:rPr>
              <w:rFonts w:ascii="Palatino Linotype" w:hAnsi="Palatino Linotype" w:cs="Arial"/>
              <w:b/>
              <w:bCs/>
              <w:sz w:val="22"/>
              <w:szCs w:val="22"/>
              <w:lang w:eastAsia="es-MX"/>
            </w:rPr>
            <w:t>1752</w:t>
          </w:r>
          <w:r w:rsidRPr="005B0E26">
            <w:rPr>
              <w:rFonts w:ascii="Palatino Linotype" w:hAnsi="Palatino Linotype" w:cs="Arial"/>
              <w:b/>
              <w:bCs/>
              <w:sz w:val="22"/>
              <w:szCs w:val="22"/>
              <w:lang w:eastAsia="es-MX"/>
            </w:rPr>
            <w:t>3/INFOEM/IP/RR/2022</w:t>
          </w:r>
        </w:p>
      </w:tc>
    </w:tr>
    <w:tr w:rsidR="00280FDC" w:rsidTr="006A04B6">
      <w:trPr>
        <w:trHeight w:val="242"/>
      </w:trPr>
      <w:tc>
        <w:tcPr>
          <w:tcW w:w="2976" w:type="dxa"/>
          <w:vAlign w:val="center"/>
          <w:hideMark/>
        </w:tcPr>
        <w:p w:rsidR="00280FDC" w:rsidRPr="005B0E26" w:rsidRDefault="00280FDC" w:rsidP="009F09BC">
          <w:pPr>
            <w:ind w:right="34"/>
            <w:jc w:val="right"/>
            <w:rPr>
              <w:rFonts w:ascii="Palatino Linotype" w:hAnsi="Palatino Linotype"/>
              <w:b/>
              <w:sz w:val="22"/>
              <w:szCs w:val="22"/>
            </w:rPr>
          </w:pPr>
          <w:r w:rsidRPr="005B0E26">
            <w:rPr>
              <w:rFonts w:ascii="Palatino Linotype" w:hAnsi="Palatino Linotype"/>
              <w:b/>
              <w:sz w:val="22"/>
              <w:szCs w:val="22"/>
            </w:rPr>
            <w:t>Sujeto Obligado:</w:t>
          </w:r>
        </w:p>
      </w:tc>
      <w:tc>
        <w:tcPr>
          <w:tcW w:w="3543" w:type="dxa"/>
          <w:vAlign w:val="center"/>
          <w:hideMark/>
        </w:tcPr>
        <w:p w:rsidR="00280FDC" w:rsidRPr="005B0E26" w:rsidRDefault="00280FDC" w:rsidP="00B10B4D">
          <w:pPr>
            <w:pStyle w:val="Encabezado"/>
            <w:ind w:right="638"/>
            <w:jc w:val="both"/>
            <w:rPr>
              <w:rFonts w:ascii="Palatino Linotype" w:hAnsi="Palatino Linotype"/>
              <w:b/>
              <w:sz w:val="22"/>
              <w:szCs w:val="22"/>
            </w:rPr>
          </w:pPr>
          <w:r w:rsidRPr="00B72462">
            <w:rPr>
              <w:rFonts w:ascii="Palatino Linotype" w:hAnsi="Palatino Linotype" w:cs="Arial"/>
              <w:b/>
              <w:sz w:val="22"/>
              <w:szCs w:val="22"/>
            </w:rPr>
            <w:t>Procuraduría de Protección al Ambiente del Estado de México</w:t>
          </w:r>
        </w:p>
      </w:tc>
    </w:tr>
    <w:tr w:rsidR="00280FDC" w:rsidTr="006A04B6">
      <w:trPr>
        <w:trHeight w:val="342"/>
      </w:trPr>
      <w:tc>
        <w:tcPr>
          <w:tcW w:w="2976" w:type="dxa"/>
          <w:vAlign w:val="center"/>
          <w:hideMark/>
        </w:tcPr>
        <w:p w:rsidR="00280FDC" w:rsidRPr="005B0E26" w:rsidRDefault="00280FDC" w:rsidP="00B10B4D">
          <w:pPr>
            <w:ind w:right="34"/>
            <w:jc w:val="right"/>
            <w:rPr>
              <w:rFonts w:ascii="Palatino Linotype" w:hAnsi="Palatino Linotype"/>
              <w:b/>
              <w:sz w:val="22"/>
              <w:szCs w:val="22"/>
            </w:rPr>
          </w:pPr>
          <w:r w:rsidRPr="005B0E26">
            <w:rPr>
              <w:rFonts w:ascii="Palatino Linotype" w:hAnsi="Palatino Linotype"/>
              <w:b/>
              <w:sz w:val="22"/>
              <w:szCs w:val="22"/>
            </w:rPr>
            <w:t>Comisionada Ponente:</w:t>
          </w:r>
        </w:p>
      </w:tc>
      <w:tc>
        <w:tcPr>
          <w:tcW w:w="3543" w:type="dxa"/>
          <w:vAlign w:val="center"/>
          <w:hideMark/>
        </w:tcPr>
        <w:p w:rsidR="00280FDC" w:rsidRPr="005B0E26" w:rsidRDefault="00280FDC"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280FDC" w:rsidRPr="00AE046A" w:rsidRDefault="0033629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8.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80FDC" w:rsidTr="006A04B6">
      <w:trPr>
        <w:trHeight w:val="227"/>
      </w:trPr>
      <w:tc>
        <w:tcPr>
          <w:tcW w:w="2977" w:type="dxa"/>
          <w:vAlign w:val="center"/>
          <w:hideMark/>
        </w:tcPr>
        <w:p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Recurso de Revisión:</w:t>
          </w:r>
        </w:p>
      </w:tc>
      <w:tc>
        <w:tcPr>
          <w:tcW w:w="3684" w:type="dxa"/>
          <w:vAlign w:val="center"/>
          <w:hideMark/>
        </w:tcPr>
        <w:p w:rsidR="00280FDC" w:rsidRPr="005B0E26" w:rsidRDefault="00280FDC" w:rsidP="00A9642C">
          <w:pPr>
            <w:pStyle w:val="Encabezado"/>
            <w:rPr>
              <w:rFonts w:ascii="Palatino Linotype" w:hAnsi="Palatino Linotype"/>
              <w:b/>
              <w:sz w:val="22"/>
              <w:szCs w:val="22"/>
            </w:rPr>
          </w:pPr>
          <w:r>
            <w:rPr>
              <w:rFonts w:ascii="Palatino Linotype" w:hAnsi="Palatino Linotype" w:cs="Arial"/>
              <w:b/>
              <w:bCs/>
              <w:sz w:val="22"/>
              <w:szCs w:val="22"/>
              <w:lang w:eastAsia="es-MX"/>
            </w:rPr>
            <w:t>1752</w:t>
          </w:r>
          <w:r w:rsidRPr="005B0E26">
            <w:rPr>
              <w:rFonts w:ascii="Palatino Linotype" w:hAnsi="Palatino Linotype" w:cs="Arial"/>
              <w:b/>
              <w:bCs/>
              <w:sz w:val="22"/>
              <w:szCs w:val="22"/>
              <w:lang w:eastAsia="es-MX"/>
            </w:rPr>
            <w:t>3/INFOEM/IP/RR/2022</w:t>
          </w:r>
        </w:p>
      </w:tc>
    </w:tr>
    <w:tr w:rsidR="00280FDC" w:rsidTr="006A04B6">
      <w:trPr>
        <w:trHeight w:val="242"/>
      </w:trPr>
      <w:tc>
        <w:tcPr>
          <w:tcW w:w="2977" w:type="dxa"/>
          <w:vAlign w:val="center"/>
          <w:hideMark/>
        </w:tcPr>
        <w:p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Recurrente:</w:t>
          </w:r>
        </w:p>
      </w:tc>
      <w:tc>
        <w:tcPr>
          <w:tcW w:w="3684" w:type="dxa"/>
          <w:hideMark/>
        </w:tcPr>
        <w:p w:rsidR="00280FDC" w:rsidRPr="005B0E26" w:rsidRDefault="00280FDC" w:rsidP="009F09BC">
          <w:pPr>
            <w:pStyle w:val="Encabezado"/>
            <w:tabs>
              <w:tab w:val="left" w:pos="521"/>
            </w:tabs>
            <w:rPr>
              <w:rFonts w:ascii="Palatino Linotype" w:hAnsi="Palatino Linotype"/>
              <w:b/>
              <w:sz w:val="22"/>
              <w:szCs w:val="22"/>
            </w:rPr>
          </w:pPr>
          <w:r w:rsidRPr="007B3617">
            <w:rPr>
              <w:rFonts w:ascii="Palatino Linotype" w:hAnsi="Palatino Linotype"/>
              <w:b/>
              <w:color w:val="FF0000"/>
              <w:sz w:val="22"/>
              <w:szCs w:val="22"/>
            </w:rPr>
            <w:t>No dio información</w:t>
          </w:r>
        </w:p>
      </w:tc>
    </w:tr>
    <w:tr w:rsidR="00280FDC" w:rsidTr="006A04B6">
      <w:trPr>
        <w:trHeight w:val="342"/>
      </w:trPr>
      <w:tc>
        <w:tcPr>
          <w:tcW w:w="2977" w:type="dxa"/>
          <w:vAlign w:val="center"/>
        </w:tcPr>
        <w:p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Sujeto Obligado:</w:t>
          </w:r>
        </w:p>
      </w:tc>
      <w:tc>
        <w:tcPr>
          <w:tcW w:w="3684" w:type="dxa"/>
          <w:vAlign w:val="center"/>
        </w:tcPr>
        <w:p w:rsidR="00280FDC" w:rsidRPr="005B0E26" w:rsidRDefault="00280FDC" w:rsidP="009F09BC">
          <w:pPr>
            <w:pStyle w:val="Encabezado"/>
            <w:jc w:val="both"/>
            <w:rPr>
              <w:rFonts w:ascii="Palatino Linotype" w:hAnsi="Palatino Linotype"/>
              <w:b/>
              <w:sz w:val="22"/>
              <w:szCs w:val="22"/>
            </w:rPr>
          </w:pPr>
          <w:r w:rsidRPr="007B3617">
            <w:rPr>
              <w:rFonts w:ascii="Palatino Linotype" w:hAnsi="Palatino Linotype"/>
              <w:b/>
              <w:sz w:val="22"/>
              <w:szCs w:val="22"/>
            </w:rPr>
            <w:t>Procuraduría de Protección al Ambiente del Estado de México</w:t>
          </w:r>
        </w:p>
      </w:tc>
    </w:tr>
    <w:tr w:rsidR="00280FDC" w:rsidTr="006A04B6">
      <w:trPr>
        <w:trHeight w:val="342"/>
      </w:trPr>
      <w:tc>
        <w:tcPr>
          <w:tcW w:w="2977" w:type="dxa"/>
          <w:vAlign w:val="center"/>
        </w:tcPr>
        <w:p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Comisionada Ponente:</w:t>
          </w:r>
        </w:p>
      </w:tc>
      <w:tc>
        <w:tcPr>
          <w:tcW w:w="3684" w:type="dxa"/>
          <w:vAlign w:val="center"/>
        </w:tcPr>
        <w:p w:rsidR="00280FDC" w:rsidRPr="005B0E26" w:rsidRDefault="00280FDC"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280FDC" w:rsidRPr="00C222C0" w:rsidRDefault="0033629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6D0660D"/>
    <w:multiLevelType w:val="hybridMultilevel"/>
    <w:tmpl w:val="81B68360"/>
    <w:lvl w:ilvl="0" w:tplc="490E2B58">
      <w:start w:val="45"/>
      <w:numFmt w:val="decimal"/>
      <w:lvlText w:val="%1."/>
      <w:lvlJc w:val="left"/>
      <w:pPr>
        <w:ind w:left="4472" w:hanging="360"/>
      </w:pPr>
      <w:rPr>
        <w:rFonts w:ascii="Palatino Linotype" w:hAnsi="Palatino Linotype"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0A68DD"/>
    <w:multiLevelType w:val="hybridMultilevel"/>
    <w:tmpl w:val="E5BE4310"/>
    <w:lvl w:ilvl="0" w:tplc="23A494CC">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E616099"/>
    <w:multiLevelType w:val="hybridMultilevel"/>
    <w:tmpl w:val="9F564B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743204EE"/>
    <w:multiLevelType w:val="hybridMultilevel"/>
    <w:tmpl w:val="CF00BBA6"/>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AF3DB4"/>
    <w:multiLevelType w:val="hybridMultilevel"/>
    <w:tmpl w:val="AA0AE2F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23"/>
  </w:num>
  <w:num w:numId="3">
    <w:abstractNumId w:val="5"/>
  </w:num>
  <w:num w:numId="4">
    <w:abstractNumId w:val="16"/>
  </w:num>
  <w:num w:numId="5">
    <w:abstractNumId w:val="4"/>
  </w:num>
  <w:num w:numId="6">
    <w:abstractNumId w:val="19"/>
  </w:num>
  <w:num w:numId="7">
    <w:abstractNumId w:val="24"/>
  </w:num>
  <w:num w:numId="8">
    <w:abstractNumId w:val="15"/>
  </w:num>
  <w:num w:numId="9">
    <w:abstractNumId w:val="9"/>
  </w:num>
  <w:num w:numId="10">
    <w:abstractNumId w:val="6"/>
  </w:num>
  <w:num w:numId="11">
    <w:abstractNumId w:val="0"/>
  </w:num>
  <w:num w:numId="12">
    <w:abstractNumId w:val="17"/>
  </w:num>
  <w:num w:numId="13">
    <w:abstractNumId w:val="14"/>
  </w:num>
  <w:num w:numId="14">
    <w:abstractNumId w:val="22"/>
  </w:num>
  <w:num w:numId="15">
    <w:abstractNumId w:val="3"/>
  </w:num>
  <w:num w:numId="16">
    <w:abstractNumId w:val="20"/>
  </w:num>
  <w:num w:numId="17">
    <w:abstractNumId w:val="2"/>
  </w:num>
  <w:num w:numId="18">
    <w:abstractNumId w:val="18"/>
  </w:num>
  <w:num w:numId="19">
    <w:abstractNumId w:val="12"/>
  </w:num>
  <w:num w:numId="20">
    <w:abstractNumId w:val="1"/>
  </w:num>
  <w:num w:numId="21">
    <w:abstractNumId w:val="13"/>
  </w:num>
  <w:num w:numId="22">
    <w:abstractNumId w:val="21"/>
  </w:num>
  <w:num w:numId="23">
    <w:abstractNumId w:val="11"/>
  </w:num>
  <w:num w:numId="24">
    <w:abstractNumId w:val="10"/>
  </w:num>
  <w:num w:numId="25">
    <w:abstractNumId w:va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5508"/>
    <w:rsid w:val="000067B3"/>
    <w:rsid w:val="00010C43"/>
    <w:rsid w:val="00013EC9"/>
    <w:rsid w:val="00015F91"/>
    <w:rsid w:val="0001674C"/>
    <w:rsid w:val="00020780"/>
    <w:rsid w:val="00020FFF"/>
    <w:rsid w:val="00030FBC"/>
    <w:rsid w:val="000373F6"/>
    <w:rsid w:val="00041530"/>
    <w:rsid w:val="00051287"/>
    <w:rsid w:val="000650C2"/>
    <w:rsid w:val="00065792"/>
    <w:rsid w:val="0008243D"/>
    <w:rsid w:val="000845EF"/>
    <w:rsid w:val="00091F9A"/>
    <w:rsid w:val="000A0B7A"/>
    <w:rsid w:val="000D186B"/>
    <w:rsid w:val="000D4E4B"/>
    <w:rsid w:val="000E1A02"/>
    <w:rsid w:val="000E4891"/>
    <w:rsid w:val="000E4F3B"/>
    <w:rsid w:val="00103A3A"/>
    <w:rsid w:val="00103F2A"/>
    <w:rsid w:val="00104C9B"/>
    <w:rsid w:val="00112D7E"/>
    <w:rsid w:val="00114502"/>
    <w:rsid w:val="00126C85"/>
    <w:rsid w:val="0012773E"/>
    <w:rsid w:val="001352F5"/>
    <w:rsid w:val="00137203"/>
    <w:rsid w:val="00137491"/>
    <w:rsid w:val="00140817"/>
    <w:rsid w:val="001423A2"/>
    <w:rsid w:val="00156A8C"/>
    <w:rsid w:val="0016480B"/>
    <w:rsid w:val="00177119"/>
    <w:rsid w:val="00192AC9"/>
    <w:rsid w:val="00194FD4"/>
    <w:rsid w:val="001973E4"/>
    <w:rsid w:val="001A18E7"/>
    <w:rsid w:val="001C0503"/>
    <w:rsid w:val="001C4290"/>
    <w:rsid w:val="001D23C1"/>
    <w:rsid w:val="001D373F"/>
    <w:rsid w:val="001D5404"/>
    <w:rsid w:val="00223C06"/>
    <w:rsid w:val="00223DD9"/>
    <w:rsid w:val="00226B7D"/>
    <w:rsid w:val="00246A14"/>
    <w:rsid w:val="00253977"/>
    <w:rsid w:val="00272CA2"/>
    <w:rsid w:val="00277FAC"/>
    <w:rsid w:val="00280FDC"/>
    <w:rsid w:val="002901F4"/>
    <w:rsid w:val="00291264"/>
    <w:rsid w:val="00291500"/>
    <w:rsid w:val="002959E5"/>
    <w:rsid w:val="002B2DBC"/>
    <w:rsid w:val="002B43F7"/>
    <w:rsid w:val="002C0D3C"/>
    <w:rsid w:val="002C40FB"/>
    <w:rsid w:val="002C4997"/>
    <w:rsid w:val="002F7EE0"/>
    <w:rsid w:val="0030094A"/>
    <w:rsid w:val="00310233"/>
    <w:rsid w:val="00312281"/>
    <w:rsid w:val="0032189A"/>
    <w:rsid w:val="00323FFD"/>
    <w:rsid w:val="0033629C"/>
    <w:rsid w:val="003437D9"/>
    <w:rsid w:val="003522EE"/>
    <w:rsid w:val="00353521"/>
    <w:rsid w:val="00353F1D"/>
    <w:rsid w:val="0035652E"/>
    <w:rsid w:val="00363183"/>
    <w:rsid w:val="00372672"/>
    <w:rsid w:val="00375B0E"/>
    <w:rsid w:val="003833B3"/>
    <w:rsid w:val="003A15C8"/>
    <w:rsid w:val="003B6769"/>
    <w:rsid w:val="003B7751"/>
    <w:rsid w:val="003C13F1"/>
    <w:rsid w:val="003E66D2"/>
    <w:rsid w:val="003F3059"/>
    <w:rsid w:val="003F5298"/>
    <w:rsid w:val="00402466"/>
    <w:rsid w:val="0040616D"/>
    <w:rsid w:val="00407FDA"/>
    <w:rsid w:val="004118FA"/>
    <w:rsid w:val="00420C58"/>
    <w:rsid w:val="00423514"/>
    <w:rsid w:val="00425842"/>
    <w:rsid w:val="004264B6"/>
    <w:rsid w:val="00437672"/>
    <w:rsid w:val="004468F0"/>
    <w:rsid w:val="004525CB"/>
    <w:rsid w:val="00456CFF"/>
    <w:rsid w:val="0046395B"/>
    <w:rsid w:val="00467EA7"/>
    <w:rsid w:val="004875EA"/>
    <w:rsid w:val="004A4393"/>
    <w:rsid w:val="004A78F2"/>
    <w:rsid w:val="004C139A"/>
    <w:rsid w:val="004E05B2"/>
    <w:rsid w:val="004E4EE6"/>
    <w:rsid w:val="004E5427"/>
    <w:rsid w:val="004E6CE4"/>
    <w:rsid w:val="004F34D1"/>
    <w:rsid w:val="004F44FA"/>
    <w:rsid w:val="00500399"/>
    <w:rsid w:val="00520987"/>
    <w:rsid w:val="00522B30"/>
    <w:rsid w:val="00531486"/>
    <w:rsid w:val="005432D0"/>
    <w:rsid w:val="00544B15"/>
    <w:rsid w:val="00546076"/>
    <w:rsid w:val="00547ACE"/>
    <w:rsid w:val="005507B0"/>
    <w:rsid w:val="00554A21"/>
    <w:rsid w:val="00556E0A"/>
    <w:rsid w:val="00563F2E"/>
    <w:rsid w:val="00571676"/>
    <w:rsid w:val="0057514F"/>
    <w:rsid w:val="00590722"/>
    <w:rsid w:val="00592F5C"/>
    <w:rsid w:val="005B076D"/>
    <w:rsid w:val="005B0E26"/>
    <w:rsid w:val="005B3B95"/>
    <w:rsid w:val="005C3429"/>
    <w:rsid w:val="005C5021"/>
    <w:rsid w:val="005C7272"/>
    <w:rsid w:val="005D2F1C"/>
    <w:rsid w:val="005D4C57"/>
    <w:rsid w:val="005D7511"/>
    <w:rsid w:val="005F0B96"/>
    <w:rsid w:val="005F28B3"/>
    <w:rsid w:val="00614B85"/>
    <w:rsid w:val="00627608"/>
    <w:rsid w:val="00647F7C"/>
    <w:rsid w:val="0065530D"/>
    <w:rsid w:val="00657639"/>
    <w:rsid w:val="00672571"/>
    <w:rsid w:val="00682A5E"/>
    <w:rsid w:val="0068467A"/>
    <w:rsid w:val="006972C5"/>
    <w:rsid w:val="006A04B6"/>
    <w:rsid w:val="006A153F"/>
    <w:rsid w:val="006A6390"/>
    <w:rsid w:val="006D15D0"/>
    <w:rsid w:val="006D6CC1"/>
    <w:rsid w:val="006E237E"/>
    <w:rsid w:val="006E4579"/>
    <w:rsid w:val="006E7397"/>
    <w:rsid w:val="006E7C94"/>
    <w:rsid w:val="006F066D"/>
    <w:rsid w:val="006F1C39"/>
    <w:rsid w:val="006F3EF7"/>
    <w:rsid w:val="006F6482"/>
    <w:rsid w:val="006F70EF"/>
    <w:rsid w:val="00705EFD"/>
    <w:rsid w:val="00711062"/>
    <w:rsid w:val="00711788"/>
    <w:rsid w:val="00716BCA"/>
    <w:rsid w:val="00720371"/>
    <w:rsid w:val="007210B9"/>
    <w:rsid w:val="0072660E"/>
    <w:rsid w:val="00731080"/>
    <w:rsid w:val="0073442D"/>
    <w:rsid w:val="0073648D"/>
    <w:rsid w:val="0073654B"/>
    <w:rsid w:val="00742823"/>
    <w:rsid w:val="00757123"/>
    <w:rsid w:val="00764299"/>
    <w:rsid w:val="00775EB2"/>
    <w:rsid w:val="00780124"/>
    <w:rsid w:val="00782A12"/>
    <w:rsid w:val="007851DB"/>
    <w:rsid w:val="007859C5"/>
    <w:rsid w:val="007A6A1A"/>
    <w:rsid w:val="007B3617"/>
    <w:rsid w:val="007C095D"/>
    <w:rsid w:val="007C3761"/>
    <w:rsid w:val="007E1D23"/>
    <w:rsid w:val="007E5F61"/>
    <w:rsid w:val="007F182A"/>
    <w:rsid w:val="007F4139"/>
    <w:rsid w:val="007F5915"/>
    <w:rsid w:val="00831B89"/>
    <w:rsid w:val="00843EFF"/>
    <w:rsid w:val="00846C1E"/>
    <w:rsid w:val="008526F4"/>
    <w:rsid w:val="00855290"/>
    <w:rsid w:val="008563C8"/>
    <w:rsid w:val="008573BF"/>
    <w:rsid w:val="0086792A"/>
    <w:rsid w:val="00873EB6"/>
    <w:rsid w:val="00875DDF"/>
    <w:rsid w:val="008A699B"/>
    <w:rsid w:val="008B0637"/>
    <w:rsid w:val="008C1ED7"/>
    <w:rsid w:val="008D0680"/>
    <w:rsid w:val="008E330F"/>
    <w:rsid w:val="008E34A5"/>
    <w:rsid w:val="008E475A"/>
    <w:rsid w:val="008E6050"/>
    <w:rsid w:val="008E6574"/>
    <w:rsid w:val="008F49E1"/>
    <w:rsid w:val="008F6D18"/>
    <w:rsid w:val="00905F49"/>
    <w:rsid w:val="00906E4A"/>
    <w:rsid w:val="009072B7"/>
    <w:rsid w:val="00911A75"/>
    <w:rsid w:val="009126F1"/>
    <w:rsid w:val="0091762E"/>
    <w:rsid w:val="009335F9"/>
    <w:rsid w:val="00933A28"/>
    <w:rsid w:val="00944522"/>
    <w:rsid w:val="00945135"/>
    <w:rsid w:val="00950B44"/>
    <w:rsid w:val="0096209D"/>
    <w:rsid w:val="0098151A"/>
    <w:rsid w:val="009A1604"/>
    <w:rsid w:val="009A2251"/>
    <w:rsid w:val="009C0F23"/>
    <w:rsid w:val="009D10FD"/>
    <w:rsid w:val="009D5164"/>
    <w:rsid w:val="009D5A32"/>
    <w:rsid w:val="009D65DE"/>
    <w:rsid w:val="009E6159"/>
    <w:rsid w:val="009F09BC"/>
    <w:rsid w:val="00A03F8F"/>
    <w:rsid w:val="00A054B6"/>
    <w:rsid w:val="00A1757E"/>
    <w:rsid w:val="00A23E82"/>
    <w:rsid w:val="00A2738F"/>
    <w:rsid w:val="00A40414"/>
    <w:rsid w:val="00A61824"/>
    <w:rsid w:val="00A626EB"/>
    <w:rsid w:val="00A7007A"/>
    <w:rsid w:val="00A80992"/>
    <w:rsid w:val="00A9642C"/>
    <w:rsid w:val="00AD316E"/>
    <w:rsid w:val="00AD63B4"/>
    <w:rsid w:val="00AD6B3B"/>
    <w:rsid w:val="00AF4BBC"/>
    <w:rsid w:val="00AF4EB9"/>
    <w:rsid w:val="00B012C4"/>
    <w:rsid w:val="00B07BF8"/>
    <w:rsid w:val="00B10B4D"/>
    <w:rsid w:val="00B14295"/>
    <w:rsid w:val="00B47955"/>
    <w:rsid w:val="00B54047"/>
    <w:rsid w:val="00B64EBE"/>
    <w:rsid w:val="00B6795A"/>
    <w:rsid w:val="00B72462"/>
    <w:rsid w:val="00B7267C"/>
    <w:rsid w:val="00B77ECF"/>
    <w:rsid w:val="00B912BD"/>
    <w:rsid w:val="00BA3401"/>
    <w:rsid w:val="00BB4CF4"/>
    <w:rsid w:val="00BC18CF"/>
    <w:rsid w:val="00BE70CC"/>
    <w:rsid w:val="00BF3FB5"/>
    <w:rsid w:val="00C0715F"/>
    <w:rsid w:val="00C105CC"/>
    <w:rsid w:val="00C111BE"/>
    <w:rsid w:val="00C12337"/>
    <w:rsid w:val="00C1439F"/>
    <w:rsid w:val="00C14F2A"/>
    <w:rsid w:val="00C1546B"/>
    <w:rsid w:val="00C17CD5"/>
    <w:rsid w:val="00C21FAE"/>
    <w:rsid w:val="00C23EB6"/>
    <w:rsid w:val="00C4016F"/>
    <w:rsid w:val="00C41B2B"/>
    <w:rsid w:val="00C54D99"/>
    <w:rsid w:val="00C6007D"/>
    <w:rsid w:val="00C674FC"/>
    <w:rsid w:val="00C7567F"/>
    <w:rsid w:val="00C85E64"/>
    <w:rsid w:val="00C87396"/>
    <w:rsid w:val="00C90814"/>
    <w:rsid w:val="00C91F0F"/>
    <w:rsid w:val="00CA1063"/>
    <w:rsid w:val="00CA3A63"/>
    <w:rsid w:val="00CC5B2F"/>
    <w:rsid w:val="00CE53EB"/>
    <w:rsid w:val="00CF0D2B"/>
    <w:rsid w:val="00CF1B6E"/>
    <w:rsid w:val="00D021A5"/>
    <w:rsid w:val="00D02221"/>
    <w:rsid w:val="00D03B93"/>
    <w:rsid w:val="00D05C40"/>
    <w:rsid w:val="00D06ECC"/>
    <w:rsid w:val="00D16FC7"/>
    <w:rsid w:val="00D208A9"/>
    <w:rsid w:val="00D24D1B"/>
    <w:rsid w:val="00D3321E"/>
    <w:rsid w:val="00D4403A"/>
    <w:rsid w:val="00D45D1F"/>
    <w:rsid w:val="00D47231"/>
    <w:rsid w:val="00D52DAB"/>
    <w:rsid w:val="00D6224B"/>
    <w:rsid w:val="00D81329"/>
    <w:rsid w:val="00D86018"/>
    <w:rsid w:val="00DA6538"/>
    <w:rsid w:val="00DA6D37"/>
    <w:rsid w:val="00DA782E"/>
    <w:rsid w:val="00DB753F"/>
    <w:rsid w:val="00DE3E5E"/>
    <w:rsid w:val="00DF0719"/>
    <w:rsid w:val="00E02175"/>
    <w:rsid w:val="00E118BA"/>
    <w:rsid w:val="00E16087"/>
    <w:rsid w:val="00E17429"/>
    <w:rsid w:val="00E43FC8"/>
    <w:rsid w:val="00E54A61"/>
    <w:rsid w:val="00E54AAE"/>
    <w:rsid w:val="00E56172"/>
    <w:rsid w:val="00E5636B"/>
    <w:rsid w:val="00E566C9"/>
    <w:rsid w:val="00E56AF3"/>
    <w:rsid w:val="00E57A52"/>
    <w:rsid w:val="00E61DA9"/>
    <w:rsid w:val="00E65521"/>
    <w:rsid w:val="00E65C7F"/>
    <w:rsid w:val="00E70EF0"/>
    <w:rsid w:val="00E80237"/>
    <w:rsid w:val="00E819F3"/>
    <w:rsid w:val="00E92E04"/>
    <w:rsid w:val="00EA45FB"/>
    <w:rsid w:val="00EB2287"/>
    <w:rsid w:val="00ED1D6B"/>
    <w:rsid w:val="00ED3A35"/>
    <w:rsid w:val="00ED6E75"/>
    <w:rsid w:val="00EF0CCB"/>
    <w:rsid w:val="00EF581A"/>
    <w:rsid w:val="00F24A04"/>
    <w:rsid w:val="00F25363"/>
    <w:rsid w:val="00F30E97"/>
    <w:rsid w:val="00F35B0C"/>
    <w:rsid w:val="00F42ADB"/>
    <w:rsid w:val="00F52480"/>
    <w:rsid w:val="00F71C2D"/>
    <w:rsid w:val="00F7371C"/>
    <w:rsid w:val="00F81B92"/>
    <w:rsid w:val="00F946B5"/>
    <w:rsid w:val="00FA3E72"/>
    <w:rsid w:val="00FB1369"/>
    <w:rsid w:val="00FC089F"/>
    <w:rsid w:val="00FC0A83"/>
    <w:rsid w:val="00FC38BE"/>
    <w:rsid w:val="00FD2FA4"/>
    <w:rsid w:val="00FE3FBE"/>
    <w:rsid w:val="00FE6761"/>
    <w:rsid w:val="00FE7C75"/>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7">
    <w:name w:val="Tabla con cuadrícula27"/>
    <w:basedOn w:val="Tablanormal"/>
    <w:next w:val="Tablaconcuadrcula"/>
    <w:uiPriority w:val="39"/>
    <w:rsid w:val="00EF581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80FDC"/>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20977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CAE7-8B0F-4E7E-93FE-618AFAA3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45</Pages>
  <Words>9730</Words>
  <Characters>53519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2023-02-02T01:25:00Z</dcterms:created>
  <dcterms:modified xsi:type="dcterms:W3CDTF">2023-03-01T23:49:00Z</dcterms:modified>
</cp:coreProperties>
</file>