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494F6" w14:textId="77777777" w:rsidR="002124C6" w:rsidRPr="00BE09D5" w:rsidRDefault="00BE09D5">
      <w:pPr>
        <w:spacing w:before="240" w:after="240" w:line="360" w:lineRule="auto"/>
        <w:jc w:val="both"/>
        <w:rPr>
          <w:rFonts w:ascii="Palatino Linotype" w:eastAsia="Palatino Linotype" w:hAnsi="Palatino Linotype" w:cs="Palatino Linotype"/>
        </w:rPr>
      </w:pPr>
      <w:bookmarkStart w:id="0" w:name="_heading=h.1fob9te" w:colFirst="0" w:colLast="0"/>
      <w:bookmarkEnd w:id="0"/>
      <w:r w:rsidRPr="00BE09D5">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uno de noviembre de dos mil veintitrés. </w:t>
      </w:r>
    </w:p>
    <w:p w14:paraId="4A936148" w14:textId="4067AA41" w:rsidR="002124C6" w:rsidRPr="00BE09D5" w:rsidRDefault="00BE09D5">
      <w:pPr>
        <w:spacing w:before="240" w:after="240" w:line="360" w:lineRule="auto"/>
        <w:jc w:val="both"/>
        <w:rPr>
          <w:rFonts w:ascii="Palatino Linotype" w:eastAsia="Palatino Linotype" w:hAnsi="Palatino Linotype" w:cs="Palatino Linotype"/>
          <w:b/>
        </w:rPr>
      </w:pPr>
      <w:r w:rsidRPr="00BE09D5">
        <w:rPr>
          <w:rFonts w:ascii="Palatino Linotype" w:eastAsia="Palatino Linotype" w:hAnsi="Palatino Linotype" w:cs="Palatino Linotype"/>
          <w:b/>
        </w:rPr>
        <w:t>VISTO</w:t>
      </w:r>
      <w:r w:rsidRPr="00BE09D5">
        <w:rPr>
          <w:rFonts w:ascii="Palatino Linotype" w:eastAsia="Palatino Linotype" w:hAnsi="Palatino Linotype" w:cs="Palatino Linotype"/>
        </w:rPr>
        <w:t xml:space="preserve"> el expediente formado con motivo del recurso de revisión </w:t>
      </w:r>
      <w:r w:rsidRPr="00BE09D5">
        <w:rPr>
          <w:rFonts w:ascii="Palatino Linotype" w:eastAsia="Palatino Linotype" w:hAnsi="Palatino Linotype" w:cs="Palatino Linotype"/>
          <w:b/>
        </w:rPr>
        <w:t>03669/INFOEM/IP/RR/2023</w:t>
      </w:r>
      <w:r w:rsidRPr="00BE09D5">
        <w:rPr>
          <w:rFonts w:ascii="Palatino Linotype" w:eastAsia="Palatino Linotype" w:hAnsi="Palatino Linotype" w:cs="Palatino Linotype"/>
        </w:rPr>
        <w:t xml:space="preserve">, interpuesto por </w:t>
      </w:r>
      <w:r w:rsidR="00697276">
        <w:rPr>
          <w:rFonts w:ascii="Palatino Linotype" w:eastAsia="Palatino Linotype" w:hAnsi="Palatino Linotype" w:cs="Palatino Linotype"/>
          <w:b/>
        </w:rPr>
        <w:t>XXXXXXXX XX XXXXXXXX XXXXXXX XXXXXX</w:t>
      </w:r>
      <w:r w:rsidRPr="00BE09D5">
        <w:rPr>
          <w:rFonts w:ascii="Palatino Linotype" w:eastAsia="Palatino Linotype" w:hAnsi="Palatino Linotype" w:cs="Palatino Linotype"/>
        </w:rPr>
        <w:t>, en lo sucesivo</w:t>
      </w:r>
      <w:r w:rsidRPr="00BE09D5">
        <w:rPr>
          <w:rFonts w:ascii="Palatino Linotype" w:eastAsia="Palatino Linotype" w:hAnsi="Palatino Linotype" w:cs="Palatino Linotype"/>
          <w:b/>
        </w:rPr>
        <w:t xml:space="preserve"> </w:t>
      </w:r>
      <w:r w:rsidRPr="00BE09D5">
        <w:rPr>
          <w:rFonts w:ascii="Palatino Linotype" w:eastAsia="Palatino Linotype" w:hAnsi="Palatino Linotype" w:cs="Palatino Linotype"/>
        </w:rPr>
        <w:t xml:space="preserve">la parte </w:t>
      </w:r>
      <w:r w:rsidRPr="00BE09D5">
        <w:rPr>
          <w:rFonts w:ascii="Palatino Linotype" w:eastAsia="Palatino Linotype" w:hAnsi="Palatino Linotype" w:cs="Palatino Linotype"/>
          <w:b/>
        </w:rPr>
        <w:t>Recurrente,</w:t>
      </w:r>
      <w:r w:rsidRPr="00BE09D5">
        <w:rPr>
          <w:rFonts w:ascii="Palatino Linotype" w:eastAsia="Palatino Linotype" w:hAnsi="Palatino Linotype" w:cs="Palatino Linotype"/>
        </w:rPr>
        <w:t xml:space="preserve"> en contra de la respuesta a su solicitud por parte del </w:t>
      </w:r>
      <w:r w:rsidRPr="00BE09D5">
        <w:rPr>
          <w:rFonts w:ascii="Palatino Linotype" w:eastAsia="Palatino Linotype" w:hAnsi="Palatino Linotype" w:cs="Palatino Linotype"/>
          <w:b/>
        </w:rPr>
        <w:t xml:space="preserve">Ayuntamiento de Ixtapaluca, </w:t>
      </w:r>
      <w:r w:rsidRPr="00BE09D5">
        <w:rPr>
          <w:rFonts w:ascii="Palatino Linotype" w:eastAsia="Palatino Linotype" w:hAnsi="Palatino Linotype" w:cs="Palatino Linotype"/>
        </w:rPr>
        <w:t xml:space="preserve">en lo sucesivo el </w:t>
      </w:r>
      <w:r w:rsidRPr="00BE09D5">
        <w:rPr>
          <w:rFonts w:ascii="Palatino Linotype" w:eastAsia="Palatino Linotype" w:hAnsi="Palatino Linotype" w:cs="Palatino Linotype"/>
          <w:b/>
        </w:rPr>
        <w:t xml:space="preserve">Sujeto Obligado, </w:t>
      </w:r>
      <w:r w:rsidRPr="00BE09D5">
        <w:rPr>
          <w:rFonts w:ascii="Palatino Linotype" w:eastAsia="Palatino Linotype" w:hAnsi="Palatino Linotype" w:cs="Palatino Linotype"/>
        </w:rPr>
        <w:t xml:space="preserve">se procede a dictar la presente resolución con base en los siguientes: </w:t>
      </w:r>
    </w:p>
    <w:p w14:paraId="1307DEAE" w14:textId="77777777" w:rsidR="002124C6" w:rsidRPr="00BE09D5" w:rsidRDefault="00BE09D5">
      <w:pPr>
        <w:spacing w:before="240" w:after="240" w:line="360" w:lineRule="auto"/>
        <w:jc w:val="center"/>
        <w:rPr>
          <w:rFonts w:ascii="Palatino Linotype" w:eastAsia="Palatino Linotype" w:hAnsi="Palatino Linotype" w:cs="Palatino Linotype"/>
          <w:b/>
        </w:rPr>
      </w:pPr>
      <w:r w:rsidRPr="00BE09D5">
        <w:rPr>
          <w:rFonts w:ascii="Palatino Linotype" w:eastAsia="Palatino Linotype" w:hAnsi="Palatino Linotype" w:cs="Palatino Linotype"/>
          <w:b/>
        </w:rPr>
        <w:t>I. A N T E C E D E N T E S</w:t>
      </w:r>
    </w:p>
    <w:p w14:paraId="2FF66352"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b/>
        </w:rPr>
        <w:t>1. Solicitud de acceso a la información.</w:t>
      </w:r>
      <w:r w:rsidRPr="00BE09D5">
        <w:rPr>
          <w:rFonts w:ascii="Palatino Linotype" w:eastAsia="Palatino Linotype" w:hAnsi="Palatino Linotype" w:cs="Palatino Linotype"/>
        </w:rPr>
        <w:t xml:space="preserve"> Con fecha </w:t>
      </w:r>
      <w:r w:rsidRPr="00BE09D5">
        <w:rPr>
          <w:rFonts w:ascii="Palatino Linotype" w:eastAsia="Palatino Linotype" w:hAnsi="Palatino Linotype" w:cs="Palatino Linotype"/>
          <w:b/>
        </w:rPr>
        <w:t>dieciséis de junio de dos mil veintitrés,</w:t>
      </w:r>
      <w:r w:rsidRPr="00BE09D5">
        <w:rPr>
          <w:rFonts w:ascii="Palatino Linotype" w:eastAsia="Palatino Linotype" w:hAnsi="Palatino Linotype" w:cs="Palatino Linotype"/>
        </w:rPr>
        <w:t xml:space="preserve"> la parte </w:t>
      </w:r>
      <w:r w:rsidRPr="00BE09D5">
        <w:rPr>
          <w:rFonts w:ascii="Palatino Linotype" w:eastAsia="Palatino Linotype" w:hAnsi="Palatino Linotype" w:cs="Palatino Linotype"/>
          <w:b/>
        </w:rPr>
        <w:t xml:space="preserve">Recurrente </w:t>
      </w:r>
      <w:r w:rsidRPr="00BE09D5">
        <w:rPr>
          <w:rFonts w:ascii="Palatino Linotype" w:eastAsia="Palatino Linotype" w:hAnsi="Palatino Linotype" w:cs="Palatino Linotype"/>
        </w:rPr>
        <w:t xml:space="preserve">presentó, través del Sistema de Acceso a la Información Mexiquense, en lo subsecuente el </w:t>
      </w:r>
      <w:r w:rsidRPr="00BE09D5">
        <w:rPr>
          <w:rFonts w:ascii="Palatino Linotype" w:eastAsia="Palatino Linotype" w:hAnsi="Palatino Linotype" w:cs="Palatino Linotype"/>
          <w:b/>
        </w:rPr>
        <w:t>SAIMEX,</w:t>
      </w:r>
      <w:r w:rsidRPr="00BE09D5">
        <w:rPr>
          <w:rFonts w:ascii="Palatino Linotype" w:eastAsia="Palatino Linotype" w:hAnsi="Palatino Linotype" w:cs="Palatino Linotype"/>
        </w:rPr>
        <w:t xml:space="preserve"> ante el </w:t>
      </w:r>
      <w:r w:rsidRPr="00BE09D5">
        <w:rPr>
          <w:rFonts w:ascii="Palatino Linotype" w:eastAsia="Palatino Linotype" w:hAnsi="Palatino Linotype" w:cs="Palatino Linotype"/>
          <w:b/>
        </w:rPr>
        <w:t>Sujeto Obligado</w:t>
      </w:r>
      <w:r w:rsidRPr="00BE09D5">
        <w:rPr>
          <w:rFonts w:ascii="Palatino Linotype" w:eastAsia="Palatino Linotype" w:hAnsi="Palatino Linotype" w:cs="Palatino Linotype"/>
        </w:rPr>
        <w:t>, la solicitud de acceso a la información pública, a la que se le asignó el número</w:t>
      </w:r>
      <w:r w:rsidRPr="00BE09D5">
        <w:rPr>
          <w:rFonts w:ascii="Palatino Linotype" w:eastAsia="Palatino Linotype" w:hAnsi="Palatino Linotype" w:cs="Palatino Linotype"/>
          <w:b/>
        </w:rPr>
        <w:t xml:space="preserve"> 00273/IXTAPALU/IP/2023, </w:t>
      </w:r>
      <w:r w:rsidRPr="00BE09D5">
        <w:rPr>
          <w:rFonts w:ascii="Palatino Linotype" w:eastAsia="Palatino Linotype" w:hAnsi="Palatino Linotype" w:cs="Palatino Linotype"/>
        </w:rPr>
        <w:t xml:space="preserve">mediante la cual requirió la información siguiente: </w:t>
      </w:r>
    </w:p>
    <w:p w14:paraId="1A4D1DC7" w14:textId="77777777" w:rsidR="002124C6" w:rsidRPr="00BE09D5" w:rsidRDefault="00BE09D5">
      <w:pPr>
        <w:spacing w:before="240" w:after="24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BE09D5">
        <w:rPr>
          <w:rFonts w:ascii="Palatino Linotype" w:eastAsia="Palatino Linotype" w:hAnsi="Palatino Linotype" w:cs="Palatino Linotype"/>
          <w:i/>
          <w:sz w:val="22"/>
          <w:szCs w:val="22"/>
        </w:rPr>
        <w:t>“Solicito el oficio mediante el cual se hayan difundido los lineamientos, manuales e instructivos que la Coordinación Municipal de Mejora Regulatoria ha recibido de la Comisión Estatal, por medio de los Enlaces de los Comités Internos de Mejora Regulatoria.” (sic)</w:t>
      </w:r>
    </w:p>
    <w:p w14:paraId="1B7C1EBB"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b/>
        </w:rPr>
        <w:t>Modalidad de Entrega:</w:t>
      </w:r>
      <w:r w:rsidRPr="00BE09D5">
        <w:rPr>
          <w:rFonts w:ascii="Palatino Linotype" w:eastAsia="Palatino Linotype" w:hAnsi="Palatino Linotype" w:cs="Palatino Linotype"/>
        </w:rPr>
        <w:t xml:space="preserve"> A través de SAIMEX.</w:t>
      </w:r>
    </w:p>
    <w:p w14:paraId="03B3B1B2" w14:textId="77777777" w:rsidR="002124C6" w:rsidRPr="00BE09D5" w:rsidRDefault="00BE09D5">
      <w:pPr>
        <w:spacing w:before="240" w:after="240" w:line="360" w:lineRule="auto"/>
        <w:jc w:val="both"/>
        <w:rPr>
          <w:rFonts w:ascii="Palatino Linotype" w:eastAsia="Palatino Linotype" w:hAnsi="Palatino Linotype" w:cs="Palatino Linotype"/>
          <w:b/>
        </w:rPr>
      </w:pPr>
      <w:r w:rsidRPr="00BE09D5">
        <w:rPr>
          <w:rFonts w:ascii="Palatino Linotype" w:eastAsia="Palatino Linotype" w:hAnsi="Palatino Linotype" w:cs="Palatino Linotype"/>
          <w:b/>
        </w:rPr>
        <w:lastRenderedPageBreak/>
        <w:t xml:space="preserve">2. Respuesta. </w:t>
      </w:r>
      <w:r w:rsidRPr="00BE09D5">
        <w:rPr>
          <w:rFonts w:ascii="Palatino Linotype" w:eastAsia="Palatino Linotype" w:hAnsi="Palatino Linotype" w:cs="Palatino Linotype"/>
        </w:rPr>
        <w:t xml:space="preserve">Con fecha </w:t>
      </w:r>
      <w:r w:rsidRPr="00BE09D5">
        <w:rPr>
          <w:rFonts w:ascii="Palatino Linotype" w:eastAsia="Palatino Linotype" w:hAnsi="Palatino Linotype" w:cs="Palatino Linotype"/>
          <w:b/>
        </w:rPr>
        <w:t>veintiséis de junio de dos mil veintitrés</w:t>
      </w:r>
      <w:r w:rsidRPr="00BE09D5">
        <w:rPr>
          <w:rFonts w:ascii="Palatino Linotype" w:eastAsia="Palatino Linotype" w:hAnsi="Palatino Linotype" w:cs="Palatino Linotype"/>
        </w:rPr>
        <w:t xml:space="preserve">, el </w:t>
      </w:r>
      <w:r w:rsidRPr="00BE09D5">
        <w:rPr>
          <w:rFonts w:ascii="Palatino Linotype" w:eastAsia="Palatino Linotype" w:hAnsi="Palatino Linotype" w:cs="Palatino Linotype"/>
          <w:b/>
        </w:rPr>
        <w:t xml:space="preserve">Sujeto Obligado </w:t>
      </w:r>
      <w:r w:rsidRPr="00BE09D5">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1FB4B143" w14:textId="77777777" w:rsidR="002124C6" w:rsidRPr="00BE09D5" w:rsidRDefault="00BE09D5">
      <w:pPr>
        <w:spacing w:before="240" w:after="240"/>
        <w:ind w:left="851"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t>“…En Relación a la solicitud de Información con número de folio 00273/IXTAPALU/IP/2023 anexo respuesta...” (sic)</w:t>
      </w:r>
    </w:p>
    <w:p w14:paraId="720128A2" w14:textId="77777777" w:rsidR="002124C6" w:rsidRPr="00BE09D5" w:rsidRDefault="00BE09D5">
      <w:pPr>
        <w:spacing w:before="240" w:after="240" w:line="360" w:lineRule="auto"/>
        <w:ind w:right="49"/>
        <w:jc w:val="both"/>
        <w:rPr>
          <w:rFonts w:ascii="Palatino Linotype" w:eastAsia="Palatino Linotype" w:hAnsi="Palatino Linotype" w:cs="Palatino Linotype"/>
        </w:rPr>
      </w:pPr>
      <w:bookmarkStart w:id="2" w:name="_heading=h.1t3h5sf" w:colFirst="0" w:colLast="0"/>
      <w:bookmarkEnd w:id="2"/>
      <w:r w:rsidRPr="00BE09D5">
        <w:rPr>
          <w:rFonts w:ascii="Palatino Linotype" w:eastAsia="Palatino Linotype" w:hAnsi="Palatino Linotype" w:cs="Palatino Linotype"/>
        </w:rPr>
        <w:t xml:space="preserve">El </w:t>
      </w:r>
      <w:r w:rsidRPr="00BE09D5">
        <w:rPr>
          <w:rFonts w:ascii="Palatino Linotype" w:eastAsia="Palatino Linotype" w:hAnsi="Palatino Linotype" w:cs="Palatino Linotype"/>
          <w:b/>
        </w:rPr>
        <w:t>Sujeto Obligado</w:t>
      </w:r>
      <w:r w:rsidRPr="00BE09D5">
        <w:rPr>
          <w:rFonts w:ascii="Palatino Linotype" w:eastAsia="Palatino Linotype" w:hAnsi="Palatino Linotype" w:cs="Palatino Linotype"/>
        </w:rPr>
        <w:t xml:space="preserve"> adjuntó el oficio número IXTA/MR/211/2023 de fecha veintitrés de junio de dos mil veintitrés, signado por el Coordinador Municipal de Mejora Regulatoria, mediante el cual refiere lo siguiente:</w:t>
      </w:r>
    </w:p>
    <w:p w14:paraId="3180D221" w14:textId="77777777" w:rsidR="002124C6" w:rsidRPr="00BE09D5" w:rsidRDefault="00BE09D5">
      <w:pPr>
        <w:spacing w:before="240" w:after="240" w:line="360" w:lineRule="auto"/>
        <w:ind w:right="49"/>
        <w:jc w:val="both"/>
        <w:rPr>
          <w:rFonts w:ascii="Palatino Linotype" w:eastAsia="Palatino Linotype" w:hAnsi="Palatino Linotype" w:cs="Palatino Linotype"/>
        </w:rPr>
      </w:pPr>
      <w:r w:rsidRPr="00BE09D5">
        <w:rPr>
          <w:noProof/>
        </w:rPr>
        <w:drawing>
          <wp:inline distT="0" distB="0" distL="0" distR="0" wp14:anchorId="078323E2" wp14:editId="4D044A9A">
            <wp:extent cx="5524500" cy="4676775"/>
            <wp:effectExtent l="0" t="0" r="0" b="0"/>
            <wp:docPr id="9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524500" cy="4676775"/>
                    </a:xfrm>
                    <a:prstGeom prst="rect">
                      <a:avLst/>
                    </a:prstGeom>
                    <a:ln/>
                  </pic:spPr>
                </pic:pic>
              </a:graphicData>
            </a:graphic>
          </wp:inline>
        </w:drawing>
      </w:r>
    </w:p>
    <w:p w14:paraId="3609F875" w14:textId="77777777" w:rsidR="002124C6" w:rsidRPr="00BE09D5" w:rsidRDefault="00BE09D5">
      <w:pPr>
        <w:spacing w:before="240" w:after="240" w:line="360" w:lineRule="auto"/>
        <w:ind w:right="49"/>
        <w:jc w:val="both"/>
        <w:rPr>
          <w:rFonts w:ascii="Palatino Linotype" w:eastAsia="Palatino Linotype" w:hAnsi="Palatino Linotype" w:cs="Palatino Linotype"/>
        </w:rPr>
      </w:pPr>
      <w:r w:rsidRPr="00BE09D5">
        <w:rPr>
          <w:rFonts w:ascii="Palatino Linotype" w:eastAsia="Palatino Linotype" w:hAnsi="Palatino Linotype" w:cs="Palatino Linotype"/>
          <w:b/>
        </w:rPr>
        <w:lastRenderedPageBreak/>
        <w:t xml:space="preserve">3. Interposición del recurso de revisión. </w:t>
      </w:r>
      <w:r w:rsidRPr="00BE09D5">
        <w:rPr>
          <w:rFonts w:ascii="Palatino Linotype" w:eastAsia="Palatino Linotype" w:hAnsi="Palatino Linotype" w:cs="Palatino Linotype"/>
        </w:rPr>
        <w:t xml:space="preserve">Inconforme con los términos de la respuesta emitida por parte del </w:t>
      </w:r>
      <w:r w:rsidRPr="00BE09D5">
        <w:rPr>
          <w:rFonts w:ascii="Palatino Linotype" w:eastAsia="Palatino Linotype" w:hAnsi="Palatino Linotype" w:cs="Palatino Linotype"/>
          <w:b/>
        </w:rPr>
        <w:t>Sujeto Obligado</w:t>
      </w:r>
      <w:r w:rsidRPr="00BE09D5">
        <w:rPr>
          <w:rFonts w:ascii="Palatino Linotype" w:eastAsia="Palatino Linotype" w:hAnsi="Palatino Linotype" w:cs="Palatino Linotype"/>
        </w:rPr>
        <w:t xml:space="preserve">, el </w:t>
      </w:r>
      <w:r w:rsidRPr="00BE09D5">
        <w:rPr>
          <w:rFonts w:ascii="Palatino Linotype" w:eastAsia="Palatino Linotype" w:hAnsi="Palatino Linotype" w:cs="Palatino Linotype"/>
          <w:b/>
        </w:rPr>
        <w:t>veintiséis de junio de dos mil veintitrés,</w:t>
      </w:r>
      <w:r w:rsidRPr="00BE09D5">
        <w:rPr>
          <w:rFonts w:ascii="Palatino Linotype" w:eastAsia="Palatino Linotype" w:hAnsi="Palatino Linotype" w:cs="Palatino Linotype"/>
        </w:rPr>
        <w:t xml:space="preserve"> la parte </w:t>
      </w:r>
      <w:r w:rsidRPr="00BE09D5">
        <w:rPr>
          <w:rFonts w:ascii="Palatino Linotype" w:eastAsia="Palatino Linotype" w:hAnsi="Palatino Linotype" w:cs="Palatino Linotype"/>
          <w:b/>
        </w:rPr>
        <w:t>Recurrente</w:t>
      </w:r>
      <w:r w:rsidRPr="00BE09D5">
        <w:rPr>
          <w:rFonts w:ascii="Palatino Linotype" w:eastAsia="Palatino Linotype" w:hAnsi="Palatino Linotype" w:cs="Palatino Linotype"/>
        </w:rPr>
        <w:t xml:space="preserve"> interpuso el recurso de revisión a través de </w:t>
      </w:r>
      <w:r w:rsidRPr="00BE09D5">
        <w:rPr>
          <w:rFonts w:ascii="Palatino Linotype" w:eastAsia="Palatino Linotype" w:hAnsi="Palatino Linotype" w:cs="Palatino Linotype"/>
          <w:b/>
        </w:rPr>
        <w:t xml:space="preserve">SAIMEX, </w:t>
      </w:r>
      <w:r w:rsidRPr="00BE09D5">
        <w:rPr>
          <w:rFonts w:ascii="Palatino Linotype" w:eastAsia="Palatino Linotype" w:hAnsi="Palatino Linotype" w:cs="Palatino Linotype"/>
        </w:rPr>
        <w:t>en donde se manifestó de la siguiente manera:</w:t>
      </w:r>
    </w:p>
    <w:p w14:paraId="378D6A62" w14:textId="77777777" w:rsidR="002124C6" w:rsidRPr="00BE09D5" w:rsidRDefault="00BE09D5">
      <w:pPr>
        <w:tabs>
          <w:tab w:val="left" w:pos="2745"/>
        </w:tabs>
        <w:spacing w:before="240" w:after="240" w:line="360" w:lineRule="auto"/>
        <w:jc w:val="both"/>
        <w:rPr>
          <w:rFonts w:ascii="Palatino Linotype" w:eastAsia="Palatino Linotype" w:hAnsi="Palatino Linotype" w:cs="Palatino Linotype"/>
          <w:b/>
        </w:rPr>
      </w:pPr>
      <w:r w:rsidRPr="00BE09D5">
        <w:rPr>
          <w:rFonts w:ascii="Palatino Linotype" w:eastAsia="Palatino Linotype" w:hAnsi="Palatino Linotype" w:cs="Palatino Linotype"/>
          <w:b/>
        </w:rPr>
        <w:t xml:space="preserve">Acto impugnado: </w:t>
      </w:r>
    </w:p>
    <w:p w14:paraId="47370F30" w14:textId="77777777" w:rsidR="002124C6" w:rsidRPr="00BE09D5" w:rsidRDefault="00BE09D5">
      <w:pPr>
        <w:tabs>
          <w:tab w:val="left" w:pos="2745"/>
        </w:tabs>
        <w:spacing w:before="120" w:after="120"/>
        <w:ind w:left="851" w:right="900"/>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t xml:space="preserve">“Derivado de la respuesta que se otorgó a la solicitud de información con número de folio 00273/IXTAPALU/IP/2023, se interpone el recurso de revisión, en razón de que la declaración de inexistencia de la información, de la cual además se aprecia que no fue sometida al Comité de Transparencia, y no se anexa el acta del Comité en donde se confirme tal inexistencia. Lo anterior en razón de que el sujeto obligado si tiene facultades y atribuciones en relación con la información solicitada, como evidencia de lo señalado se anexa el Manual de Organización de la Coordinación Municipal de Mejora Regulatoria, que establece claramente en la foja 14 en donde se plasman las funciones del </w:t>
      </w:r>
      <w:proofErr w:type="spellStart"/>
      <w:r w:rsidRPr="00BE09D5">
        <w:rPr>
          <w:rFonts w:ascii="Palatino Linotype" w:eastAsia="Palatino Linotype" w:hAnsi="Palatino Linotype" w:cs="Palatino Linotype"/>
          <w:i/>
          <w:sz w:val="22"/>
          <w:szCs w:val="22"/>
        </w:rPr>
        <w:t>Subdoordinador</w:t>
      </w:r>
      <w:proofErr w:type="spellEnd"/>
      <w:r w:rsidRPr="00BE09D5">
        <w:rPr>
          <w:rFonts w:ascii="Palatino Linotype" w:eastAsia="Palatino Linotype" w:hAnsi="Palatino Linotype" w:cs="Palatino Linotype"/>
          <w:i/>
          <w:sz w:val="22"/>
          <w:szCs w:val="22"/>
        </w:rPr>
        <w:t xml:space="preserve"> Municipal de Mejora Regulatoria la siguiente: Coordinar las encuestas, información estadística y evaluación en materia de Mejora Regulatoria; Por lo que dicha respuesta debe ser modificada, y proceder a la búsqueda exhaustiva de la información para su entrega” (sic)</w:t>
      </w:r>
    </w:p>
    <w:p w14:paraId="264E7942" w14:textId="77777777" w:rsidR="002124C6" w:rsidRPr="00BE09D5" w:rsidRDefault="00BE09D5">
      <w:pPr>
        <w:spacing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b/>
        </w:rPr>
        <w:t>Y Razones o motivos de inconformidad</w:t>
      </w:r>
      <w:r w:rsidRPr="00BE09D5">
        <w:rPr>
          <w:rFonts w:ascii="Palatino Linotype" w:eastAsia="Palatino Linotype" w:hAnsi="Palatino Linotype" w:cs="Palatino Linotype"/>
        </w:rPr>
        <w:t>:</w:t>
      </w:r>
    </w:p>
    <w:p w14:paraId="2B8EA422" w14:textId="77777777" w:rsidR="002124C6" w:rsidRPr="00BE09D5" w:rsidRDefault="00BE09D5">
      <w:pPr>
        <w:ind w:left="851" w:right="902"/>
        <w:jc w:val="both"/>
        <w:rPr>
          <w:rFonts w:ascii="Palatino Linotype" w:eastAsia="Palatino Linotype" w:hAnsi="Palatino Linotype" w:cs="Palatino Linotype"/>
          <w:i/>
          <w:sz w:val="22"/>
          <w:szCs w:val="22"/>
        </w:rPr>
      </w:pPr>
      <w:bookmarkStart w:id="3" w:name="_heading=h.30j0zll" w:colFirst="0" w:colLast="0"/>
      <w:bookmarkEnd w:id="3"/>
      <w:r w:rsidRPr="00BE09D5">
        <w:rPr>
          <w:rFonts w:ascii="Palatino Linotype" w:eastAsia="Palatino Linotype" w:hAnsi="Palatino Linotype" w:cs="Palatino Linotype"/>
          <w:i/>
          <w:sz w:val="22"/>
          <w:szCs w:val="22"/>
        </w:rPr>
        <w:t xml:space="preserve"> “Derivado de la respuesta que se otorgó a la solicitud de información con número de folio 00273/IXTAPALU/IP/2023, se interpone el recurso de revisión, en razón de que la declaración de inexistencia de la información, de la cual además se aprecia que no fue sometida al Comité de Transparencia, y no se anexa el acta del Comité en donde se confirme tal inexistencia. Lo anterior en razón de que el sujeto obligado si tiene facultades y atribuciones en relación con la información solicitada</w:t>
      </w:r>
      <w:r w:rsidRPr="00BE09D5">
        <w:rPr>
          <w:rFonts w:ascii="Palatino Linotype" w:eastAsia="Palatino Linotype" w:hAnsi="Palatino Linotype" w:cs="Palatino Linotype"/>
          <w:b/>
          <w:i/>
          <w:sz w:val="22"/>
          <w:szCs w:val="22"/>
        </w:rPr>
        <w:t>,</w:t>
      </w:r>
      <w:r w:rsidRPr="00BE09D5">
        <w:rPr>
          <w:rFonts w:ascii="Palatino Linotype" w:eastAsia="Palatino Linotype" w:hAnsi="Palatino Linotype" w:cs="Palatino Linotype"/>
          <w:i/>
          <w:sz w:val="22"/>
          <w:szCs w:val="22"/>
        </w:rPr>
        <w:t xml:space="preserve"> como evidencia de lo señalado se anexa el Manual de Organización de la Coordinación Municipal de Mejora Regulatoria, que establece claramente en la foja 14 en donde se plasman las funciones del </w:t>
      </w:r>
      <w:proofErr w:type="spellStart"/>
      <w:r w:rsidRPr="00BE09D5">
        <w:rPr>
          <w:rFonts w:ascii="Palatino Linotype" w:eastAsia="Palatino Linotype" w:hAnsi="Palatino Linotype" w:cs="Palatino Linotype"/>
          <w:i/>
          <w:sz w:val="22"/>
          <w:szCs w:val="22"/>
        </w:rPr>
        <w:t>Subdoordinador</w:t>
      </w:r>
      <w:proofErr w:type="spellEnd"/>
      <w:r w:rsidRPr="00BE09D5">
        <w:rPr>
          <w:rFonts w:ascii="Palatino Linotype" w:eastAsia="Palatino Linotype" w:hAnsi="Palatino Linotype" w:cs="Palatino Linotype"/>
          <w:i/>
          <w:sz w:val="22"/>
          <w:szCs w:val="22"/>
        </w:rPr>
        <w:t xml:space="preserve"> Municipal de Mejora Regulatoria la siguiente: Coordinar las encuestas, información estadística y evaluación en materia de Mejora Regulatoria; Por lo que dicha respuesta debe ser modificada, y proceder a la búsqueda exhaustiva de la información para su entrega.” (sic)</w:t>
      </w:r>
    </w:p>
    <w:p w14:paraId="1A3B66F3" w14:textId="77777777" w:rsidR="002124C6" w:rsidRPr="00BE09D5" w:rsidRDefault="00BE09D5">
      <w:pPr>
        <w:spacing w:before="240" w:after="240" w:line="360" w:lineRule="auto"/>
        <w:ind w:right="51"/>
        <w:jc w:val="both"/>
        <w:rPr>
          <w:rFonts w:ascii="Palatino Linotype" w:eastAsia="Palatino Linotype" w:hAnsi="Palatino Linotype" w:cs="Palatino Linotype"/>
        </w:rPr>
      </w:pPr>
      <w:r w:rsidRPr="00BE09D5">
        <w:rPr>
          <w:rFonts w:ascii="Palatino Linotype" w:eastAsia="Palatino Linotype" w:hAnsi="Palatino Linotype" w:cs="Palatino Linotype"/>
          <w:b/>
        </w:rPr>
        <w:lastRenderedPageBreak/>
        <w:t xml:space="preserve">4. Turno. </w:t>
      </w:r>
      <w:r w:rsidRPr="00BE09D5">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BE09D5">
        <w:rPr>
          <w:rFonts w:ascii="Palatino Linotype" w:eastAsia="Palatino Linotype" w:hAnsi="Palatino Linotype" w:cs="Palatino Linotype"/>
          <w:b/>
        </w:rPr>
        <w:t xml:space="preserve">Guadalupe Ramírez Peña, </w:t>
      </w:r>
      <w:r w:rsidRPr="00BE09D5">
        <w:rPr>
          <w:rFonts w:ascii="Palatino Linotype" w:eastAsia="Palatino Linotype" w:hAnsi="Palatino Linotype" w:cs="Palatino Linotype"/>
        </w:rPr>
        <w:t xml:space="preserve">a efecto de que analizara sobre su admisión o su </w:t>
      </w:r>
      <w:proofErr w:type="spellStart"/>
      <w:r w:rsidRPr="00BE09D5">
        <w:rPr>
          <w:rFonts w:ascii="Palatino Linotype" w:eastAsia="Palatino Linotype" w:hAnsi="Palatino Linotype" w:cs="Palatino Linotype"/>
        </w:rPr>
        <w:t>desechamiento</w:t>
      </w:r>
      <w:proofErr w:type="spellEnd"/>
      <w:r w:rsidRPr="00BE09D5">
        <w:rPr>
          <w:rFonts w:ascii="Palatino Linotype" w:eastAsia="Palatino Linotype" w:hAnsi="Palatino Linotype" w:cs="Palatino Linotype"/>
        </w:rPr>
        <w:t>.</w:t>
      </w:r>
    </w:p>
    <w:p w14:paraId="73E92D66"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b/>
        </w:rPr>
        <w:t>5. Admisión del Recurso de revisión.</w:t>
      </w:r>
      <w:r w:rsidRPr="00BE09D5">
        <w:rPr>
          <w:rFonts w:ascii="Palatino Linotype" w:eastAsia="Palatino Linotype" w:hAnsi="Palatino Linotype" w:cs="Palatino Linotype"/>
        </w:rPr>
        <w:t xml:space="preserve"> Con fecha</w:t>
      </w:r>
      <w:r w:rsidRPr="00BE09D5">
        <w:rPr>
          <w:rFonts w:ascii="Palatino Linotype" w:eastAsia="Palatino Linotype" w:hAnsi="Palatino Linotype" w:cs="Palatino Linotype"/>
          <w:b/>
        </w:rPr>
        <w:t xml:space="preserve"> veintinueve de junio de dos mil veintitrés, </w:t>
      </w:r>
      <w:r w:rsidRPr="00BE09D5">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BE09D5">
        <w:rPr>
          <w:rFonts w:ascii="Palatino Linotype" w:eastAsia="Palatino Linotype" w:hAnsi="Palatino Linotype" w:cs="Palatino Linotype"/>
          <w:b/>
        </w:rPr>
        <w:t xml:space="preserve">Sujeto Obligado </w:t>
      </w:r>
      <w:r w:rsidRPr="00BE09D5">
        <w:rPr>
          <w:rFonts w:ascii="Palatino Linotype" w:eastAsia="Palatino Linotype" w:hAnsi="Palatino Linotype" w:cs="Palatino Linotype"/>
        </w:rPr>
        <w:t>presentara su informe justificado.</w:t>
      </w:r>
    </w:p>
    <w:p w14:paraId="537F99F0" w14:textId="77777777" w:rsidR="002124C6" w:rsidRPr="00BE09D5" w:rsidRDefault="00BE09D5">
      <w:pPr>
        <w:spacing w:before="240" w:after="240" w:line="360" w:lineRule="auto"/>
        <w:ind w:right="49"/>
        <w:jc w:val="both"/>
        <w:rPr>
          <w:rFonts w:ascii="Palatino Linotype" w:eastAsia="Palatino Linotype" w:hAnsi="Palatino Linotype" w:cs="Palatino Linotype"/>
        </w:rPr>
      </w:pPr>
      <w:bookmarkStart w:id="4" w:name="_heading=h.2s8eyo1" w:colFirst="0" w:colLast="0"/>
      <w:bookmarkEnd w:id="4"/>
      <w:r w:rsidRPr="00BE09D5">
        <w:rPr>
          <w:rFonts w:ascii="Palatino Linotype" w:eastAsia="Palatino Linotype" w:hAnsi="Palatino Linotype" w:cs="Palatino Linotype"/>
          <w:b/>
        </w:rPr>
        <w:t>6. Manifestaciones</w:t>
      </w:r>
      <w:r w:rsidRPr="00BE09D5">
        <w:rPr>
          <w:rFonts w:ascii="Palatino Linotype" w:eastAsia="Palatino Linotype" w:hAnsi="Palatino Linotype" w:cs="Palatino Linotype"/>
        </w:rPr>
        <w:t xml:space="preserve">. De las constancias que integran el expediente electrónico en que se actúa se advierte que en fecha </w:t>
      </w:r>
      <w:r w:rsidRPr="00BE09D5">
        <w:rPr>
          <w:rFonts w:ascii="Palatino Linotype" w:eastAsia="Palatino Linotype" w:hAnsi="Palatino Linotype" w:cs="Palatino Linotype"/>
          <w:b/>
        </w:rPr>
        <w:t xml:space="preserve">tres de julio de dos mil veintitrés, </w:t>
      </w:r>
      <w:r w:rsidRPr="00BE09D5">
        <w:rPr>
          <w:rFonts w:ascii="Palatino Linotype" w:eastAsia="Palatino Linotype" w:hAnsi="Palatino Linotype" w:cs="Palatino Linotype"/>
        </w:rPr>
        <w:t xml:space="preserve">la parte </w:t>
      </w:r>
      <w:r w:rsidRPr="00BE09D5">
        <w:rPr>
          <w:rFonts w:ascii="Palatino Linotype" w:eastAsia="Palatino Linotype" w:hAnsi="Palatino Linotype" w:cs="Palatino Linotype"/>
          <w:b/>
        </w:rPr>
        <w:t xml:space="preserve">Recurrente </w:t>
      </w:r>
      <w:r w:rsidRPr="00BE09D5">
        <w:rPr>
          <w:rFonts w:ascii="Palatino Linotype" w:eastAsia="Palatino Linotype" w:hAnsi="Palatino Linotype" w:cs="Palatino Linotype"/>
        </w:rPr>
        <w:t xml:space="preserve">remitió, a través de </w:t>
      </w:r>
      <w:r w:rsidRPr="00BE09D5">
        <w:rPr>
          <w:rFonts w:ascii="Palatino Linotype" w:eastAsia="Palatino Linotype" w:hAnsi="Palatino Linotype" w:cs="Palatino Linotype"/>
          <w:b/>
        </w:rPr>
        <w:t>SAIMEX,</w:t>
      </w:r>
      <w:r w:rsidRPr="00BE09D5">
        <w:rPr>
          <w:rFonts w:ascii="Palatino Linotype" w:eastAsia="Palatino Linotype" w:hAnsi="Palatino Linotype" w:cs="Palatino Linotype"/>
        </w:rPr>
        <w:t xml:space="preserve"> el acuse de la solicitud de información 00273/IXTAPALU/IP/2023, el oficio número IXTA/MR/211/2023 proporcionado por el </w:t>
      </w:r>
      <w:r w:rsidRPr="00BE09D5">
        <w:rPr>
          <w:rFonts w:ascii="Palatino Linotype" w:eastAsia="Palatino Linotype" w:hAnsi="Palatino Linotype" w:cs="Palatino Linotype"/>
          <w:b/>
        </w:rPr>
        <w:t>Sujeto Obligado</w:t>
      </w:r>
      <w:r w:rsidRPr="00BE09D5">
        <w:rPr>
          <w:rFonts w:ascii="Palatino Linotype" w:eastAsia="Palatino Linotype" w:hAnsi="Palatino Linotype" w:cs="Palatino Linotype"/>
        </w:rPr>
        <w:t xml:space="preserve"> en respuesta, y sus manifestaciones y alegatos en los siguientes términos:</w:t>
      </w:r>
    </w:p>
    <w:p w14:paraId="61417E00" w14:textId="77777777" w:rsidR="002124C6" w:rsidRPr="00BE09D5" w:rsidRDefault="00BE09D5">
      <w:pPr>
        <w:spacing w:before="120" w:after="120"/>
        <w:ind w:left="851" w:right="900"/>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t xml:space="preserve">“Visto el contenido del recurso de revisión identificado con la clave alfanumérica, </w:t>
      </w:r>
      <w:r w:rsidRPr="00BE09D5">
        <w:rPr>
          <w:rFonts w:ascii="Palatino Linotype" w:eastAsia="Palatino Linotype" w:hAnsi="Palatino Linotype" w:cs="Palatino Linotype"/>
          <w:b/>
          <w:i/>
          <w:sz w:val="22"/>
          <w:szCs w:val="22"/>
        </w:rPr>
        <w:t>03669/INFOEM/IP/RR/2023</w:t>
      </w:r>
      <w:r w:rsidRPr="00BE09D5">
        <w:rPr>
          <w:rFonts w:ascii="Palatino Linotype" w:eastAsia="Palatino Linotype" w:hAnsi="Palatino Linotype" w:cs="Palatino Linotype"/>
          <w:i/>
          <w:sz w:val="22"/>
          <w:szCs w:val="22"/>
        </w:rPr>
        <w:t xml:space="preserve"> me permito desahogar en tiempo y forma con fundamento en lo dispuesto por los artículos 176. 178. 179 fracción VII, 180. 181, 185 y demás relativos y aplicables de la Ley Transparencia y Acceso a la Información Pública del Estado de México y Municipios las manifestaciones y alegatos al tenor de los siguientes: </w:t>
      </w:r>
    </w:p>
    <w:p w14:paraId="288BC2D5" w14:textId="77777777" w:rsidR="002124C6" w:rsidRPr="00BE09D5" w:rsidRDefault="00BE09D5">
      <w:pPr>
        <w:spacing w:before="120" w:after="120"/>
        <w:ind w:left="851" w:right="900"/>
        <w:jc w:val="center"/>
        <w:rPr>
          <w:rFonts w:ascii="Palatino Linotype" w:eastAsia="Palatino Linotype" w:hAnsi="Palatino Linotype" w:cs="Palatino Linotype"/>
          <w:b/>
          <w:i/>
          <w:sz w:val="22"/>
          <w:szCs w:val="22"/>
        </w:rPr>
      </w:pPr>
      <w:r w:rsidRPr="00BE09D5">
        <w:rPr>
          <w:rFonts w:ascii="Palatino Linotype" w:eastAsia="Palatino Linotype" w:hAnsi="Palatino Linotype" w:cs="Palatino Linotype"/>
          <w:b/>
          <w:i/>
          <w:sz w:val="22"/>
          <w:szCs w:val="22"/>
        </w:rPr>
        <w:lastRenderedPageBreak/>
        <w:t>A N T E C E D E N T E S</w:t>
      </w:r>
    </w:p>
    <w:p w14:paraId="14BE3063" w14:textId="77777777" w:rsidR="002124C6" w:rsidRPr="00BE09D5" w:rsidRDefault="00BE09D5">
      <w:pPr>
        <w:spacing w:before="120" w:after="120"/>
        <w:ind w:left="851" w:right="900"/>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1. SOLICITUD DE INFORMACIÓN</w:t>
      </w:r>
      <w:r w:rsidRPr="00BE09D5">
        <w:rPr>
          <w:rFonts w:ascii="Palatino Linotype" w:eastAsia="Palatino Linotype" w:hAnsi="Palatino Linotype" w:cs="Palatino Linotype"/>
          <w:i/>
          <w:sz w:val="22"/>
          <w:szCs w:val="22"/>
        </w:rPr>
        <w:t xml:space="preserve">: </w:t>
      </w:r>
    </w:p>
    <w:p w14:paraId="5F52F29F" w14:textId="77777777" w:rsidR="002124C6" w:rsidRPr="00BE09D5" w:rsidRDefault="00BE09D5">
      <w:pPr>
        <w:spacing w:before="120" w:after="120"/>
        <w:ind w:left="851" w:right="900"/>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t xml:space="preserve">Con fecha 5 de junio del presente año se presentó a través del Sistema de Acceso a la Información Mexiquense (SAIMEX), una solicitud de acceso a la información pública, según consta en el “Historial” del folio, </w:t>
      </w:r>
      <w:r w:rsidRPr="00BE09D5">
        <w:rPr>
          <w:rFonts w:ascii="Palatino Linotype" w:eastAsia="Palatino Linotype" w:hAnsi="Palatino Linotype" w:cs="Palatino Linotype"/>
          <w:b/>
          <w:i/>
          <w:sz w:val="22"/>
          <w:szCs w:val="22"/>
        </w:rPr>
        <w:t>00273/IXTAPALU/IP/2023</w:t>
      </w:r>
      <w:r w:rsidRPr="00BE09D5">
        <w:rPr>
          <w:rFonts w:ascii="Palatino Linotype" w:eastAsia="Palatino Linotype" w:hAnsi="Palatino Linotype" w:cs="Palatino Linotype"/>
          <w:i/>
          <w:sz w:val="22"/>
          <w:szCs w:val="22"/>
        </w:rPr>
        <w:t xml:space="preserve"> del sistema referido, mediante la cual se requirió la siguiente información: </w:t>
      </w:r>
    </w:p>
    <w:p w14:paraId="0C32A17F" w14:textId="77777777" w:rsidR="002124C6" w:rsidRPr="00BE09D5" w:rsidRDefault="00BE09D5">
      <w:pPr>
        <w:spacing w:before="120" w:after="120"/>
        <w:ind w:left="1134" w:right="1183"/>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t>“Solicito el oficio mediante el cual se hayan difundido los lineamientos, manuales e instructivos que la Coordinación Municipal de Mejora Regulatoria ha recibido de la Comisión Estatal, por medio de los Enlaces de los Comités Internos de Mejora Regulatoria.”</w:t>
      </w:r>
    </w:p>
    <w:p w14:paraId="0D6A2F8D" w14:textId="77777777" w:rsidR="002124C6" w:rsidRPr="00BE09D5" w:rsidRDefault="00BE09D5">
      <w:pPr>
        <w:spacing w:before="120" w:after="120"/>
        <w:ind w:left="851" w:right="900"/>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t xml:space="preserve">2. El sujeto obligado no dio respuesta a la solicitud de información, se desconoce si la Unidad de Transparencia realizó las gestiones necesarias para la atención de dicha solicitud al interior de las áreas competentes del sujeto obligado, pues no existe ningún documento o comunicado que indique la atención a mi solicitud de información, y desde luego no se emitió respuesta alguna que contenga lo solicitado. </w:t>
      </w:r>
    </w:p>
    <w:p w14:paraId="3DAEE05B" w14:textId="77777777" w:rsidR="002124C6" w:rsidRPr="00BE09D5" w:rsidRDefault="00BE09D5">
      <w:pPr>
        <w:spacing w:before="120" w:after="120"/>
        <w:ind w:left="851" w:right="900"/>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2. AGRAVIOS:</w:t>
      </w:r>
    </w:p>
    <w:p w14:paraId="78E1DC5F" w14:textId="77777777" w:rsidR="002124C6" w:rsidRPr="00BE09D5" w:rsidRDefault="00BE09D5">
      <w:pPr>
        <w:spacing w:before="120" w:after="120"/>
        <w:ind w:left="851" w:right="900"/>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t xml:space="preserve">En razón de lo anterior se interpone el </w:t>
      </w:r>
      <w:r w:rsidRPr="00BE09D5">
        <w:rPr>
          <w:rFonts w:ascii="Palatino Linotype" w:eastAsia="Palatino Linotype" w:hAnsi="Palatino Linotype" w:cs="Palatino Linotype"/>
          <w:b/>
          <w:i/>
          <w:sz w:val="22"/>
          <w:szCs w:val="22"/>
        </w:rPr>
        <w:t>recurso de revisión</w:t>
      </w:r>
      <w:r w:rsidRPr="00BE09D5">
        <w:rPr>
          <w:rFonts w:ascii="Palatino Linotype" w:eastAsia="Palatino Linotype" w:hAnsi="Palatino Linotype" w:cs="Palatino Linotype"/>
          <w:i/>
          <w:sz w:val="22"/>
          <w:szCs w:val="22"/>
        </w:rPr>
        <w:t xml:space="preserve">, en razón de conformidad con el artículo </w:t>
      </w:r>
      <w:r w:rsidRPr="00BE09D5">
        <w:rPr>
          <w:rFonts w:ascii="Palatino Linotype" w:eastAsia="Palatino Linotype" w:hAnsi="Palatino Linotype" w:cs="Palatino Linotype"/>
          <w:b/>
          <w:i/>
          <w:sz w:val="22"/>
          <w:szCs w:val="22"/>
        </w:rPr>
        <w:t>179 fracción VI</w:t>
      </w:r>
      <w:r w:rsidRPr="00BE09D5">
        <w:rPr>
          <w:rFonts w:ascii="Palatino Linotype" w:eastAsia="Palatino Linotype" w:hAnsi="Palatino Linotype" w:cs="Palatino Linotype"/>
          <w:i/>
          <w:sz w:val="22"/>
          <w:szCs w:val="22"/>
        </w:rPr>
        <w:t xml:space="preserve"> de la Ley de Transparencia y Acceso a la Información Pública del Estado de México y Municipios, en razón de que el sujeto obligado atendió la solicitud de </w:t>
      </w:r>
      <w:proofErr w:type="gramStart"/>
      <w:r w:rsidRPr="00BE09D5">
        <w:rPr>
          <w:rFonts w:ascii="Palatino Linotype" w:eastAsia="Palatino Linotype" w:hAnsi="Palatino Linotype" w:cs="Palatino Linotype"/>
          <w:i/>
          <w:sz w:val="22"/>
          <w:szCs w:val="22"/>
        </w:rPr>
        <w:t>información</w:t>
      </w:r>
      <w:proofErr w:type="gramEnd"/>
      <w:r w:rsidRPr="00BE09D5">
        <w:rPr>
          <w:rFonts w:ascii="Palatino Linotype" w:eastAsia="Palatino Linotype" w:hAnsi="Palatino Linotype" w:cs="Palatino Linotype"/>
          <w:i/>
          <w:sz w:val="22"/>
          <w:szCs w:val="22"/>
        </w:rPr>
        <w:t xml:space="preserve"> pero la respuesta no corresponde con lo que se solicitó. </w:t>
      </w:r>
    </w:p>
    <w:p w14:paraId="0BD01623" w14:textId="77777777" w:rsidR="002124C6" w:rsidRPr="00BE09D5" w:rsidRDefault="00BE09D5">
      <w:pPr>
        <w:spacing w:before="120" w:after="120"/>
        <w:ind w:left="1134" w:right="1183"/>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Artículo 179</w:t>
      </w:r>
      <w:r w:rsidRPr="00BE09D5">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48EDE64D" w14:textId="77777777" w:rsidR="002124C6" w:rsidRPr="00BE09D5" w:rsidRDefault="00BE09D5">
      <w:pPr>
        <w:spacing w:before="120" w:after="120"/>
        <w:ind w:left="1134" w:right="1183"/>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t xml:space="preserve">… </w:t>
      </w:r>
    </w:p>
    <w:p w14:paraId="69A8EA8B" w14:textId="77777777" w:rsidR="002124C6" w:rsidRPr="00BE09D5" w:rsidRDefault="00BE09D5">
      <w:pPr>
        <w:spacing w:before="120" w:after="120"/>
        <w:ind w:left="1134" w:right="1183"/>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VI</w:t>
      </w:r>
      <w:r w:rsidRPr="00BE09D5">
        <w:rPr>
          <w:rFonts w:ascii="Palatino Linotype" w:eastAsia="Palatino Linotype" w:hAnsi="Palatino Linotype" w:cs="Palatino Linotype"/>
          <w:i/>
          <w:sz w:val="22"/>
          <w:szCs w:val="22"/>
        </w:rPr>
        <w:t xml:space="preserve"> La entrega de información que no corresponda con lo solicitado;</w:t>
      </w:r>
    </w:p>
    <w:p w14:paraId="103AB6C8" w14:textId="77777777" w:rsidR="002124C6" w:rsidRPr="00BE09D5" w:rsidRDefault="00BE09D5">
      <w:pPr>
        <w:spacing w:before="120" w:after="120"/>
        <w:ind w:left="851" w:right="900"/>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t xml:space="preserve">Como se aprecia se </w:t>
      </w:r>
      <w:proofErr w:type="spellStart"/>
      <w:r w:rsidRPr="00BE09D5">
        <w:rPr>
          <w:rFonts w:ascii="Palatino Linotype" w:eastAsia="Palatino Linotype" w:hAnsi="Palatino Linotype" w:cs="Palatino Linotype"/>
          <w:i/>
          <w:sz w:val="22"/>
          <w:szCs w:val="22"/>
        </w:rPr>
        <w:t>de</w:t>
      </w:r>
      <w:proofErr w:type="spellEnd"/>
      <w:r w:rsidRPr="00BE09D5">
        <w:rPr>
          <w:rFonts w:ascii="Palatino Linotype" w:eastAsia="Palatino Linotype" w:hAnsi="Palatino Linotype" w:cs="Palatino Linotype"/>
          <w:i/>
          <w:sz w:val="22"/>
          <w:szCs w:val="22"/>
        </w:rPr>
        <w:t xml:space="preserve"> la solicitud, lo que se requirió al particular fue “el oficio mediante el cual se hayan difundido los lineamientos, manuales e instructivos que la Coordinación Municipal de Mejora Regulatoria ha recibido de la Comisión Estatal, por medio de los Enlaces de los Comités Internos de Mejora Regulatoria”, y la respuesta que emite la Coordinación Municipal de Mejora Regulatoria a través del </w:t>
      </w:r>
      <w:r w:rsidRPr="00BE09D5">
        <w:rPr>
          <w:rFonts w:ascii="Palatino Linotype" w:eastAsia="Palatino Linotype" w:hAnsi="Palatino Linotype" w:cs="Palatino Linotype"/>
          <w:b/>
          <w:i/>
          <w:sz w:val="22"/>
          <w:szCs w:val="22"/>
        </w:rPr>
        <w:t>oficio IXTA/MR/211/2023, no corresponde con lo solicitado</w:t>
      </w:r>
      <w:r w:rsidRPr="00BE09D5">
        <w:rPr>
          <w:rFonts w:ascii="Palatino Linotype" w:eastAsia="Palatino Linotype" w:hAnsi="Palatino Linotype" w:cs="Palatino Linotype"/>
          <w:i/>
          <w:sz w:val="22"/>
          <w:szCs w:val="22"/>
        </w:rPr>
        <w:t>.</w:t>
      </w:r>
    </w:p>
    <w:p w14:paraId="3782D9CB" w14:textId="77777777" w:rsidR="002124C6" w:rsidRPr="00BE09D5" w:rsidRDefault="00BE09D5">
      <w:pPr>
        <w:spacing w:before="120" w:after="120"/>
        <w:ind w:left="851" w:right="900"/>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t xml:space="preserve">En razón de lo anterior, el sujeto obligado actuó en desacato a sus obligaciones en materia transparencia y acceso a la información pública, pues violentó los </w:t>
      </w:r>
      <w:r w:rsidRPr="00BE09D5">
        <w:rPr>
          <w:rFonts w:ascii="Palatino Linotype" w:eastAsia="Palatino Linotype" w:hAnsi="Palatino Linotype" w:cs="Palatino Linotype"/>
          <w:i/>
          <w:sz w:val="22"/>
          <w:szCs w:val="22"/>
        </w:rPr>
        <w:lastRenderedPageBreak/>
        <w:t xml:space="preserve">preceptos de la normatividad que garantizar el ejercicio de este derecho, Es clara también la responsabilidad de la Unidad de Transparencia del sujeto obligado, al incumplir con lo establecido en el precepto legal siguiente: </w:t>
      </w:r>
    </w:p>
    <w:p w14:paraId="31EA10FF" w14:textId="77777777" w:rsidR="002124C6" w:rsidRPr="00BE09D5" w:rsidRDefault="00BE09D5">
      <w:pPr>
        <w:spacing w:before="120" w:after="120"/>
        <w:ind w:left="851" w:right="900"/>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Artículo 162</w:t>
      </w:r>
      <w:r w:rsidRPr="00BE09D5">
        <w:rPr>
          <w:rFonts w:ascii="Palatino Linotype" w:eastAsia="Palatino Linotype" w:hAnsi="Palatino Linotype" w:cs="Palatino Linotype"/>
          <w:i/>
          <w:sz w:val="22"/>
          <w:szCs w:val="22"/>
        </w:rPr>
        <w:t xml:space="preserve">. Las unidades de transparencia </w:t>
      </w:r>
      <w:r w:rsidRPr="00BE09D5">
        <w:rPr>
          <w:rFonts w:ascii="Palatino Linotype" w:eastAsia="Palatino Linotype" w:hAnsi="Palatino Linotype" w:cs="Palatino Linotype"/>
          <w:b/>
          <w:i/>
          <w:sz w:val="22"/>
          <w:szCs w:val="22"/>
        </w:rPr>
        <w:t>deberán garantizar que las solicitudes se turnen a todas las Áreas competentes</w:t>
      </w:r>
      <w:r w:rsidRPr="00BE09D5">
        <w:rPr>
          <w:rFonts w:ascii="Palatino Linotype" w:eastAsia="Palatino Linotype" w:hAnsi="Palatino Linotype" w:cs="Palatino Linotype"/>
          <w:i/>
          <w:sz w:val="22"/>
          <w:szCs w:val="22"/>
        </w:rPr>
        <w:t xml:space="preserve"> que cuenten con la información o deban tenerla de acuerdo a sus facultades, competencias y funciones, con el objeto de que realicen una búsqueda exhaustiva y razonable de la información solicitada.</w:t>
      </w:r>
    </w:p>
    <w:p w14:paraId="7B9ACEB7" w14:textId="77777777" w:rsidR="002124C6" w:rsidRPr="00BE09D5" w:rsidRDefault="00BE09D5">
      <w:pPr>
        <w:spacing w:before="120" w:after="120"/>
        <w:ind w:left="851" w:right="900"/>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Artículo 163.</w:t>
      </w:r>
      <w:r w:rsidRPr="00BE09D5">
        <w:rPr>
          <w:rFonts w:ascii="Palatino Linotype" w:eastAsia="Palatino Linotype" w:hAnsi="Palatino Linotype" w:cs="Palatino Linotype"/>
          <w:i/>
          <w:sz w:val="22"/>
          <w:szCs w:val="22"/>
        </w:rPr>
        <w:t xml:space="preserve"> La Unidad de Transparencia deberá notificar la respuesta a la solicitud al interesado en el menor tiempo posible, </w:t>
      </w:r>
      <w:r w:rsidRPr="00BE09D5">
        <w:rPr>
          <w:rFonts w:ascii="Palatino Linotype" w:eastAsia="Palatino Linotype" w:hAnsi="Palatino Linotype" w:cs="Palatino Linotype"/>
          <w:b/>
          <w:i/>
          <w:sz w:val="22"/>
          <w:szCs w:val="22"/>
          <w:u w:val="single"/>
        </w:rPr>
        <w:t>que no podrá exceder de quince días hábiles,</w:t>
      </w:r>
      <w:r w:rsidRPr="00BE09D5">
        <w:rPr>
          <w:rFonts w:ascii="Palatino Linotype" w:eastAsia="Palatino Linotype" w:hAnsi="Palatino Linotype" w:cs="Palatino Linotype"/>
          <w:i/>
          <w:sz w:val="22"/>
          <w:szCs w:val="22"/>
        </w:rPr>
        <w:t xml:space="preserve"> contados a partir del día siguiente a la presentación de aquélla.</w:t>
      </w:r>
    </w:p>
    <w:p w14:paraId="7CF938A4" w14:textId="77777777" w:rsidR="002124C6" w:rsidRPr="00BE09D5" w:rsidRDefault="00BE09D5">
      <w:pPr>
        <w:spacing w:before="120" w:after="120"/>
        <w:ind w:left="851" w:right="900"/>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t xml:space="preserve">Es perceptible el descuido del sujeto obligado y de su Unidad de Transparencia en el desahogo de la solicitud, por lo que en este caso no se tiene por cumplida la obligación de transparencia. </w:t>
      </w:r>
    </w:p>
    <w:p w14:paraId="7FFED6A6" w14:textId="77777777" w:rsidR="002124C6" w:rsidRPr="00BE09D5" w:rsidRDefault="00BE09D5">
      <w:pPr>
        <w:spacing w:before="120" w:after="120"/>
        <w:ind w:left="851" w:right="900"/>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t xml:space="preserve">Es de resaltarse que el ordenamiento jurídico referido, señala que la obligación de acceso a la información pública </w:t>
      </w:r>
      <w:r w:rsidRPr="00BE09D5">
        <w:rPr>
          <w:rFonts w:ascii="Palatino Linotype" w:eastAsia="Palatino Linotype" w:hAnsi="Palatino Linotype" w:cs="Palatino Linotype"/>
          <w:b/>
          <w:i/>
          <w:sz w:val="22"/>
          <w:szCs w:val="22"/>
          <w:u w:val="single"/>
        </w:rPr>
        <w:t>se tendrá por cumplida</w:t>
      </w:r>
      <w:r w:rsidRPr="00BE09D5">
        <w:rPr>
          <w:rFonts w:ascii="Palatino Linotype" w:eastAsia="Palatino Linotype" w:hAnsi="Palatino Linotype" w:cs="Palatino Linotype"/>
          <w:i/>
          <w:sz w:val="22"/>
          <w:szCs w:val="22"/>
        </w:rPr>
        <w:t xml:space="preserve"> cuando el solicitante tenga a su disposición la información requerida, o cuando realice la consulta de la misma en el lugar en el que ésta se localice, situación que no aconteció en el caso nos ocupa. </w:t>
      </w:r>
    </w:p>
    <w:p w14:paraId="6E7D8DDF" w14:textId="77777777" w:rsidR="002124C6" w:rsidRPr="00BE09D5" w:rsidRDefault="00BE09D5">
      <w:pPr>
        <w:spacing w:before="120" w:after="120"/>
        <w:ind w:left="851" w:right="900"/>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t xml:space="preserve">Al respecto la Ley de Ley de Transparencia y Acceso a la Información Pública del Estado de México y Municipios, señala que el procedimiento de acceso a la información </w:t>
      </w:r>
      <w:r w:rsidRPr="00BE09D5">
        <w:rPr>
          <w:rFonts w:ascii="Palatino Linotype" w:eastAsia="Palatino Linotype" w:hAnsi="Palatino Linotype" w:cs="Palatino Linotype"/>
          <w:b/>
          <w:i/>
          <w:sz w:val="22"/>
          <w:szCs w:val="22"/>
        </w:rPr>
        <w:t>es la garantía primaria</w:t>
      </w:r>
      <w:r w:rsidRPr="00BE09D5">
        <w:rPr>
          <w:rFonts w:ascii="Palatino Linotype" w:eastAsia="Palatino Linotype" w:hAnsi="Palatino Linotype" w:cs="Palatino Linotype"/>
          <w:i/>
          <w:sz w:val="22"/>
          <w:szCs w:val="22"/>
        </w:rPr>
        <w:t xml:space="preserve"> del derecho en cuestión y se rige por los principios de simplicidad, rapidez gratuidad del procedimiento, auxilio y orientación a los particulares.</w:t>
      </w:r>
    </w:p>
    <w:p w14:paraId="61B88FAF" w14:textId="77777777" w:rsidR="002124C6" w:rsidRPr="00BE09D5" w:rsidRDefault="00BE09D5">
      <w:pPr>
        <w:spacing w:before="120" w:after="120"/>
        <w:ind w:left="851" w:right="900"/>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t>Por lo anterior, y de acuerdo con lo que establece dicho ordenamiento jurídico, por este medio se hace efectiva la garantía por la afectación al derecho de acceso a la información pública, a través de la interposición del presente recurso de revisión.</w:t>
      </w:r>
    </w:p>
    <w:p w14:paraId="006D072B" w14:textId="77777777" w:rsidR="002124C6" w:rsidRPr="00BE09D5" w:rsidRDefault="00BE09D5">
      <w:pPr>
        <w:spacing w:before="120" w:after="120"/>
        <w:ind w:left="1134" w:right="1183"/>
        <w:jc w:val="center"/>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TÍTULO OCTAVO DE LA IMPUGNACIÓN EN MATERIA DE ACCESO A LA INFORMACIÓN PÚBLICA</w:t>
      </w:r>
    </w:p>
    <w:p w14:paraId="71B8A0E2" w14:textId="77777777" w:rsidR="002124C6" w:rsidRPr="00BE09D5" w:rsidRDefault="00BE09D5">
      <w:pPr>
        <w:spacing w:before="120" w:after="120"/>
        <w:ind w:left="1134" w:right="1183"/>
        <w:jc w:val="center"/>
        <w:rPr>
          <w:rFonts w:ascii="Palatino Linotype" w:eastAsia="Palatino Linotype" w:hAnsi="Palatino Linotype" w:cs="Palatino Linotype"/>
          <w:b/>
          <w:i/>
          <w:sz w:val="22"/>
          <w:szCs w:val="22"/>
        </w:rPr>
      </w:pPr>
      <w:r w:rsidRPr="00BE09D5">
        <w:rPr>
          <w:rFonts w:ascii="Palatino Linotype" w:eastAsia="Palatino Linotype" w:hAnsi="Palatino Linotype" w:cs="Palatino Linotype"/>
          <w:b/>
          <w:i/>
          <w:sz w:val="22"/>
          <w:szCs w:val="22"/>
        </w:rPr>
        <w:t>Capítulo I</w:t>
      </w:r>
    </w:p>
    <w:p w14:paraId="5300FB02" w14:textId="77777777" w:rsidR="002124C6" w:rsidRPr="00BE09D5" w:rsidRDefault="00BE09D5">
      <w:pPr>
        <w:spacing w:before="120" w:after="120"/>
        <w:ind w:left="1134" w:right="1183"/>
        <w:jc w:val="center"/>
        <w:rPr>
          <w:rFonts w:ascii="Palatino Linotype" w:eastAsia="Palatino Linotype" w:hAnsi="Palatino Linotype" w:cs="Palatino Linotype"/>
          <w:b/>
          <w:i/>
          <w:sz w:val="22"/>
          <w:szCs w:val="22"/>
        </w:rPr>
      </w:pPr>
      <w:r w:rsidRPr="00BE09D5">
        <w:rPr>
          <w:rFonts w:ascii="Palatino Linotype" w:eastAsia="Palatino Linotype" w:hAnsi="Palatino Linotype" w:cs="Palatino Linotype"/>
          <w:b/>
          <w:i/>
          <w:sz w:val="22"/>
          <w:szCs w:val="22"/>
        </w:rPr>
        <w:t>Del Recurso de Revisión ante el Instituto</w:t>
      </w:r>
    </w:p>
    <w:p w14:paraId="67AA594F" w14:textId="77777777" w:rsidR="002124C6" w:rsidRPr="00BE09D5" w:rsidRDefault="00BE09D5">
      <w:pPr>
        <w:spacing w:before="120" w:after="120"/>
        <w:ind w:left="1134" w:right="1183"/>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Artículo 176</w:t>
      </w:r>
      <w:r w:rsidRPr="00BE09D5">
        <w:rPr>
          <w:rFonts w:ascii="Palatino Linotype" w:eastAsia="Palatino Linotype" w:hAnsi="Palatino Linotype" w:cs="Palatino Linotype"/>
          <w:i/>
          <w:sz w:val="22"/>
          <w:szCs w:val="22"/>
        </w:rPr>
        <w:t xml:space="preserve">. El recurso de revisión es la garantía secundaria mediante la cual se pretende reparar cualquier posible afectación al derecho de acceso a la información pública en términos del presente y del siguiente Capítulo. </w:t>
      </w:r>
    </w:p>
    <w:p w14:paraId="0D3126E2" w14:textId="77777777" w:rsidR="002124C6" w:rsidRPr="00BE09D5" w:rsidRDefault="00BE09D5">
      <w:pPr>
        <w:spacing w:before="120" w:after="120"/>
        <w:ind w:left="851" w:right="900"/>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lastRenderedPageBreak/>
        <w:t xml:space="preserve">Lo anterior, en razón de que el sujeto obligado Ayuntamiento de Ixtapaluca, </w:t>
      </w:r>
      <w:r w:rsidRPr="00BE09D5">
        <w:rPr>
          <w:rFonts w:ascii="Palatino Linotype" w:eastAsia="Palatino Linotype" w:hAnsi="Palatino Linotype" w:cs="Palatino Linotype"/>
          <w:b/>
          <w:i/>
          <w:sz w:val="22"/>
          <w:szCs w:val="22"/>
        </w:rPr>
        <w:t xml:space="preserve">no </w:t>
      </w:r>
      <w:proofErr w:type="spellStart"/>
      <w:r w:rsidRPr="00BE09D5">
        <w:rPr>
          <w:rFonts w:ascii="Palatino Linotype" w:eastAsia="Palatino Linotype" w:hAnsi="Palatino Linotype" w:cs="Palatino Linotype"/>
          <w:b/>
          <w:i/>
          <w:sz w:val="22"/>
          <w:szCs w:val="22"/>
        </w:rPr>
        <w:t>dió</w:t>
      </w:r>
      <w:proofErr w:type="spellEnd"/>
      <w:r w:rsidRPr="00BE09D5">
        <w:rPr>
          <w:rFonts w:ascii="Palatino Linotype" w:eastAsia="Palatino Linotype" w:hAnsi="Palatino Linotype" w:cs="Palatino Linotype"/>
          <w:b/>
          <w:i/>
          <w:sz w:val="22"/>
          <w:szCs w:val="22"/>
        </w:rPr>
        <w:t xml:space="preserve"> respuesta a la solicitud de información</w:t>
      </w:r>
      <w:r w:rsidRPr="00BE09D5">
        <w:rPr>
          <w:rFonts w:ascii="Palatino Linotype" w:eastAsia="Palatino Linotype" w:hAnsi="Palatino Linotype" w:cs="Palatino Linotype"/>
          <w:i/>
          <w:sz w:val="22"/>
          <w:szCs w:val="22"/>
        </w:rPr>
        <w:t>. Al respecto el artículo 179 fracción VII, establece:</w:t>
      </w:r>
    </w:p>
    <w:p w14:paraId="31AD7741" w14:textId="77777777" w:rsidR="002124C6" w:rsidRPr="00BE09D5" w:rsidRDefault="00BE09D5">
      <w:pPr>
        <w:spacing w:before="120" w:after="120"/>
        <w:ind w:left="1134" w:right="1183"/>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Artículo 179.</w:t>
      </w:r>
      <w:r w:rsidRPr="00BE09D5">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 </w:t>
      </w:r>
    </w:p>
    <w:p w14:paraId="66C4D992" w14:textId="77777777" w:rsidR="002124C6" w:rsidRPr="00BE09D5" w:rsidRDefault="00BE09D5">
      <w:pPr>
        <w:spacing w:before="120" w:after="120"/>
        <w:ind w:left="1134" w:right="1183"/>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VII.</w:t>
      </w:r>
      <w:r w:rsidRPr="00BE09D5">
        <w:rPr>
          <w:rFonts w:ascii="Palatino Linotype" w:eastAsia="Palatino Linotype" w:hAnsi="Palatino Linotype" w:cs="Palatino Linotype"/>
          <w:i/>
          <w:sz w:val="22"/>
          <w:szCs w:val="22"/>
        </w:rPr>
        <w:t xml:space="preserve"> </w:t>
      </w:r>
      <w:r w:rsidRPr="00BE09D5">
        <w:rPr>
          <w:rFonts w:ascii="Palatino Linotype" w:eastAsia="Palatino Linotype" w:hAnsi="Palatino Linotype" w:cs="Palatino Linotype"/>
          <w:b/>
          <w:i/>
          <w:sz w:val="22"/>
          <w:szCs w:val="22"/>
        </w:rPr>
        <w:t>La falta de respuesta a una solicitud de acceso a la información</w:t>
      </w:r>
      <w:r w:rsidRPr="00BE09D5">
        <w:rPr>
          <w:rFonts w:ascii="Palatino Linotype" w:eastAsia="Palatino Linotype" w:hAnsi="Palatino Linotype" w:cs="Palatino Linotype"/>
          <w:i/>
          <w:sz w:val="22"/>
          <w:szCs w:val="22"/>
        </w:rPr>
        <w:t xml:space="preserve">; </w:t>
      </w:r>
    </w:p>
    <w:p w14:paraId="28DB9187" w14:textId="77777777" w:rsidR="002124C6" w:rsidRPr="00BE09D5" w:rsidRDefault="00BE09D5">
      <w:pPr>
        <w:spacing w:before="120" w:after="120"/>
        <w:ind w:left="851" w:right="900"/>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t xml:space="preserve">Por las consideraciones vertidas se solicita que en el momento procedimental oportuno el órgano garante se manifieste por ordenar la </w:t>
      </w:r>
      <w:r w:rsidRPr="00BE09D5">
        <w:rPr>
          <w:rFonts w:ascii="Palatino Linotype" w:eastAsia="Palatino Linotype" w:hAnsi="Palatino Linotype" w:cs="Palatino Linotype"/>
          <w:b/>
          <w:i/>
          <w:sz w:val="22"/>
          <w:szCs w:val="22"/>
        </w:rPr>
        <w:t>entrega inmediata</w:t>
      </w:r>
      <w:r w:rsidRPr="00BE09D5">
        <w:rPr>
          <w:rFonts w:ascii="Palatino Linotype" w:eastAsia="Palatino Linotype" w:hAnsi="Palatino Linotype" w:cs="Palatino Linotype"/>
          <w:i/>
          <w:sz w:val="22"/>
          <w:szCs w:val="22"/>
        </w:rPr>
        <w:t xml:space="preserve"> de la información solicitada.</w:t>
      </w:r>
    </w:p>
    <w:p w14:paraId="0A6AB992" w14:textId="77777777" w:rsidR="002124C6" w:rsidRPr="00BE09D5" w:rsidRDefault="00BE09D5">
      <w:pPr>
        <w:spacing w:before="120" w:after="120"/>
        <w:ind w:left="851" w:right="900"/>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t xml:space="preserve">En virtud de lo anterior y de conformidad con lo dispuesto por el artículo 185 fracción IV Ley de Transparencia y Acceso a la Información Pública del Estado de México y Municipios; se ofrecen desde este momento las siguientes pruebas: </w:t>
      </w:r>
    </w:p>
    <w:p w14:paraId="3B5DBB21" w14:textId="77777777" w:rsidR="002124C6" w:rsidRPr="00BE09D5" w:rsidRDefault="00BE09D5">
      <w:pPr>
        <w:spacing w:before="120" w:after="120"/>
        <w:ind w:left="851" w:right="900"/>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I. La documental</w:t>
      </w:r>
      <w:r w:rsidRPr="00BE09D5">
        <w:rPr>
          <w:rFonts w:ascii="Palatino Linotype" w:eastAsia="Palatino Linotype" w:hAnsi="Palatino Linotype" w:cs="Palatino Linotype"/>
          <w:i/>
          <w:sz w:val="22"/>
          <w:szCs w:val="22"/>
        </w:rPr>
        <w:t xml:space="preserve">, consistente en el presente documento que desahoga y da cumplimiento al trámite del expediente 03669/INFOEM/IP/RR/2023 </w:t>
      </w:r>
    </w:p>
    <w:p w14:paraId="15E0B775" w14:textId="77777777" w:rsidR="002124C6" w:rsidRPr="00BE09D5" w:rsidRDefault="00BE09D5">
      <w:pPr>
        <w:spacing w:before="120" w:after="120"/>
        <w:ind w:left="851" w:right="900"/>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 xml:space="preserve">II. La </w:t>
      </w:r>
      <w:proofErr w:type="spellStart"/>
      <w:r w:rsidRPr="00BE09D5">
        <w:rPr>
          <w:rFonts w:ascii="Palatino Linotype" w:eastAsia="Palatino Linotype" w:hAnsi="Palatino Linotype" w:cs="Palatino Linotype"/>
          <w:b/>
          <w:i/>
          <w:sz w:val="22"/>
          <w:szCs w:val="22"/>
        </w:rPr>
        <w:t>presuncional</w:t>
      </w:r>
      <w:proofErr w:type="spellEnd"/>
      <w:r w:rsidRPr="00BE09D5">
        <w:rPr>
          <w:rFonts w:ascii="Palatino Linotype" w:eastAsia="Palatino Linotype" w:hAnsi="Palatino Linotype" w:cs="Palatino Linotype"/>
          <w:i/>
          <w:sz w:val="22"/>
          <w:szCs w:val="22"/>
        </w:rPr>
        <w:t xml:space="preserve">, en su doble aspecto legal y humano, en todo lo que favorezca a mis intereses. </w:t>
      </w:r>
    </w:p>
    <w:p w14:paraId="68EACE81" w14:textId="77777777" w:rsidR="002124C6" w:rsidRPr="00BE09D5" w:rsidRDefault="00BE09D5">
      <w:pPr>
        <w:spacing w:before="120" w:after="120"/>
        <w:ind w:left="851" w:right="900"/>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III.- La instrumental de actuaciones</w:t>
      </w:r>
      <w:r w:rsidRPr="00BE09D5">
        <w:rPr>
          <w:rFonts w:ascii="Palatino Linotype" w:eastAsia="Palatino Linotype" w:hAnsi="Palatino Linotype" w:cs="Palatino Linotype"/>
          <w:i/>
          <w:sz w:val="22"/>
          <w:szCs w:val="22"/>
        </w:rPr>
        <w:t xml:space="preserve">, en todo lo que favorezca a los intereses de los solicitantes. </w:t>
      </w:r>
    </w:p>
    <w:p w14:paraId="13012440" w14:textId="77777777" w:rsidR="002124C6" w:rsidRPr="00BE09D5" w:rsidRDefault="00BE09D5">
      <w:pPr>
        <w:spacing w:before="120" w:after="120"/>
        <w:ind w:left="851" w:right="900"/>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t xml:space="preserve">Por lo expuesto a Usted, atentamente solicito se sirva: </w:t>
      </w:r>
    </w:p>
    <w:p w14:paraId="2DD8689E" w14:textId="77777777" w:rsidR="002124C6" w:rsidRPr="00BE09D5" w:rsidRDefault="00BE09D5">
      <w:pPr>
        <w:spacing w:before="120" w:after="120"/>
        <w:ind w:left="851" w:right="900"/>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Primero</w:t>
      </w:r>
      <w:r w:rsidRPr="00BE09D5">
        <w:rPr>
          <w:rFonts w:ascii="Palatino Linotype" w:eastAsia="Palatino Linotype" w:hAnsi="Palatino Linotype" w:cs="Palatino Linotype"/>
          <w:i/>
          <w:sz w:val="22"/>
          <w:szCs w:val="22"/>
        </w:rPr>
        <w:t xml:space="preserve">. - Se me tengan por presentados y admitidos los alegatos vertidos en favor del recurrente. </w:t>
      </w:r>
    </w:p>
    <w:p w14:paraId="6232462B" w14:textId="77777777" w:rsidR="002124C6" w:rsidRPr="00BE09D5" w:rsidRDefault="00BE09D5">
      <w:pPr>
        <w:spacing w:before="120" w:after="120"/>
        <w:ind w:left="851" w:right="900"/>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Segundo</w:t>
      </w:r>
      <w:r w:rsidRPr="00BE09D5">
        <w:rPr>
          <w:rFonts w:ascii="Palatino Linotype" w:eastAsia="Palatino Linotype" w:hAnsi="Palatino Linotype" w:cs="Palatino Linotype"/>
          <w:i/>
          <w:sz w:val="22"/>
          <w:szCs w:val="22"/>
        </w:rPr>
        <w:t xml:space="preserve">. - Previo los trámites de ley correspondientes ordenar la entrega de la información. </w:t>
      </w:r>
    </w:p>
    <w:p w14:paraId="3DBAD87B" w14:textId="77777777" w:rsidR="002124C6" w:rsidRPr="00BE09D5" w:rsidRDefault="00BE09D5">
      <w:pPr>
        <w:spacing w:before="120" w:after="120"/>
        <w:ind w:left="851" w:right="900"/>
        <w:jc w:val="both"/>
        <w:rPr>
          <w:rFonts w:ascii="Palatino Linotype" w:eastAsia="Palatino Linotype" w:hAnsi="Palatino Linotype" w:cs="Palatino Linotype"/>
          <w:i/>
          <w:sz w:val="22"/>
          <w:szCs w:val="22"/>
        </w:rPr>
      </w:pPr>
      <w:proofErr w:type="gramStart"/>
      <w:r w:rsidRPr="00BE09D5">
        <w:rPr>
          <w:rFonts w:ascii="Palatino Linotype" w:eastAsia="Palatino Linotype" w:hAnsi="Palatino Linotype" w:cs="Palatino Linotype"/>
          <w:b/>
          <w:i/>
          <w:sz w:val="22"/>
          <w:szCs w:val="22"/>
        </w:rPr>
        <w:t>Tercero.-</w:t>
      </w:r>
      <w:proofErr w:type="gramEnd"/>
      <w:r w:rsidRPr="00BE09D5">
        <w:rPr>
          <w:rFonts w:ascii="Palatino Linotype" w:eastAsia="Palatino Linotype" w:hAnsi="Palatino Linotype" w:cs="Palatino Linotype"/>
          <w:b/>
          <w:i/>
          <w:sz w:val="22"/>
          <w:szCs w:val="22"/>
        </w:rPr>
        <w:t xml:space="preserve"> Dar vista al Órgano Interno de Control</w:t>
      </w:r>
      <w:r w:rsidRPr="00BE09D5">
        <w:rPr>
          <w:rFonts w:ascii="Palatino Linotype" w:eastAsia="Palatino Linotype" w:hAnsi="Palatino Linotype" w:cs="Palatino Linotype"/>
          <w:i/>
          <w:sz w:val="22"/>
          <w:szCs w:val="22"/>
        </w:rPr>
        <w:t xml:space="preserve"> en términos de la Ley de Responsabilidades Administrativas del Estado de México y Municipios, para que determine el grado de responsabilidad por la vulneración al derecho de acceso a la información, pues la presente solicitud forma parte de un cúmulo de solicitudes que el sujeto obligado no atendió en tiempo y forma. Lo anterior, para los efectos legales y administrativos a que haya lugar.” (sic)</w:t>
      </w:r>
    </w:p>
    <w:p w14:paraId="440FC000" w14:textId="77777777" w:rsidR="002124C6" w:rsidRPr="00BE09D5" w:rsidRDefault="00BE09D5">
      <w:pPr>
        <w:spacing w:before="240" w:after="240" w:line="360" w:lineRule="auto"/>
        <w:ind w:right="49"/>
        <w:jc w:val="both"/>
        <w:rPr>
          <w:rFonts w:ascii="Palatino Linotype" w:eastAsia="Palatino Linotype" w:hAnsi="Palatino Linotype" w:cs="Palatino Linotype"/>
        </w:rPr>
      </w:pPr>
      <w:r w:rsidRPr="00BE09D5">
        <w:rPr>
          <w:rFonts w:ascii="Palatino Linotype" w:eastAsia="Palatino Linotype" w:hAnsi="Palatino Linotype" w:cs="Palatino Linotype"/>
        </w:rPr>
        <w:t xml:space="preserve">Por su parte, el </w:t>
      </w:r>
      <w:r w:rsidRPr="00BE09D5">
        <w:rPr>
          <w:rFonts w:ascii="Palatino Linotype" w:eastAsia="Palatino Linotype" w:hAnsi="Palatino Linotype" w:cs="Palatino Linotype"/>
          <w:b/>
        </w:rPr>
        <w:t xml:space="preserve">Sujeto Obligado, </w:t>
      </w:r>
      <w:r w:rsidRPr="00BE09D5">
        <w:rPr>
          <w:rFonts w:ascii="Palatino Linotype" w:eastAsia="Palatino Linotype" w:hAnsi="Palatino Linotype" w:cs="Palatino Linotype"/>
        </w:rPr>
        <w:t xml:space="preserve">en fecha </w:t>
      </w:r>
      <w:r w:rsidRPr="00BE09D5">
        <w:rPr>
          <w:rFonts w:ascii="Palatino Linotype" w:eastAsia="Palatino Linotype" w:hAnsi="Palatino Linotype" w:cs="Palatino Linotype"/>
          <w:b/>
        </w:rPr>
        <w:t xml:space="preserve">siete de julio de dos mil veintitrés, </w:t>
      </w:r>
      <w:r w:rsidRPr="00BE09D5">
        <w:rPr>
          <w:rFonts w:ascii="Palatino Linotype" w:eastAsia="Palatino Linotype" w:hAnsi="Palatino Linotype" w:cs="Palatino Linotype"/>
        </w:rPr>
        <w:t xml:space="preserve">remitió el oficio IXTE/MR/275/2023, de fecha seis de julio de dos mil veintitrés, </w:t>
      </w:r>
      <w:r w:rsidRPr="00BE09D5">
        <w:rPr>
          <w:rFonts w:ascii="Palatino Linotype" w:eastAsia="Palatino Linotype" w:hAnsi="Palatino Linotype" w:cs="Palatino Linotype"/>
        </w:rPr>
        <w:lastRenderedPageBreak/>
        <w:t>signado por la Coordinador Municipal de Mejora Regulatoria, mediante el cual manifiesta lo siguiente:</w:t>
      </w:r>
    </w:p>
    <w:p w14:paraId="2B458742" w14:textId="77777777" w:rsidR="002124C6" w:rsidRPr="00BE09D5" w:rsidRDefault="00BE09D5">
      <w:pPr>
        <w:spacing w:before="240" w:after="240" w:line="360" w:lineRule="auto"/>
        <w:ind w:right="49"/>
        <w:jc w:val="both"/>
        <w:rPr>
          <w:rFonts w:ascii="Palatino Linotype" w:eastAsia="Palatino Linotype" w:hAnsi="Palatino Linotype" w:cs="Palatino Linotype"/>
        </w:rPr>
      </w:pPr>
      <w:r w:rsidRPr="00BE09D5">
        <w:rPr>
          <w:noProof/>
        </w:rPr>
        <w:drawing>
          <wp:inline distT="0" distB="0" distL="0" distR="0" wp14:anchorId="38AEC3F2" wp14:editId="239FF820">
            <wp:extent cx="5467350" cy="4267200"/>
            <wp:effectExtent l="0" t="0" r="0" b="0"/>
            <wp:docPr id="9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467350" cy="4267200"/>
                    </a:xfrm>
                    <a:prstGeom prst="rect">
                      <a:avLst/>
                    </a:prstGeom>
                    <a:ln/>
                  </pic:spPr>
                </pic:pic>
              </a:graphicData>
            </a:graphic>
          </wp:inline>
        </w:drawing>
      </w:r>
    </w:p>
    <w:p w14:paraId="2562BEDA"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t xml:space="preserve">Una vez analizado el documento, se determinó hacerlo del conocimiento de la parte </w:t>
      </w:r>
      <w:r w:rsidRPr="00BE09D5">
        <w:rPr>
          <w:rFonts w:ascii="Palatino Linotype" w:eastAsia="Palatino Linotype" w:hAnsi="Palatino Linotype" w:cs="Palatino Linotype"/>
          <w:b/>
        </w:rPr>
        <w:t xml:space="preserve">Recurrente </w:t>
      </w:r>
      <w:r w:rsidRPr="00BE09D5">
        <w:rPr>
          <w:rFonts w:ascii="Palatino Linotype" w:eastAsia="Palatino Linotype" w:hAnsi="Palatino Linotype" w:cs="Palatino Linotype"/>
        </w:rPr>
        <w:t>con la finalidad de que manifestara lo que a su derecho estimara conveniente, siendo omisa en ejercer dicha prerrogativa.</w:t>
      </w:r>
    </w:p>
    <w:p w14:paraId="58407CCC" w14:textId="77777777" w:rsidR="002124C6" w:rsidRPr="00BE09D5" w:rsidRDefault="00BE09D5">
      <w:pPr>
        <w:tabs>
          <w:tab w:val="left" w:pos="5103"/>
        </w:tabs>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b/>
        </w:rPr>
        <w:t>7. Ampliación del término para resolver</w:t>
      </w:r>
      <w:r w:rsidRPr="00BE09D5">
        <w:rPr>
          <w:rFonts w:ascii="Palatino Linotype" w:eastAsia="Palatino Linotype" w:hAnsi="Palatino Linotype" w:cs="Palatino Linotype"/>
        </w:rPr>
        <w:t xml:space="preserve">. En fecha </w:t>
      </w:r>
      <w:r w:rsidRPr="00BE09D5">
        <w:rPr>
          <w:rFonts w:ascii="Palatino Linotype" w:eastAsia="Palatino Linotype" w:hAnsi="Palatino Linotype" w:cs="Palatino Linotype"/>
          <w:b/>
        </w:rPr>
        <w:t>nueve de octubre de dos mil veintitrés</w:t>
      </w:r>
      <w:r w:rsidRPr="00BE09D5">
        <w:rPr>
          <w:rFonts w:ascii="Palatino Linotype" w:eastAsia="Palatino Linotype" w:hAnsi="Palatino Linotype" w:cs="Palatino Linotype"/>
        </w:rPr>
        <w:t xml:space="preserve">, se amplió el término para resolver el recurso de revisión en términos del artículo 181 párrafo tercero de la Ley de Transparencia y Acceso a la Información Pública del Estado de México y Municipios. </w:t>
      </w:r>
    </w:p>
    <w:p w14:paraId="3D008284" w14:textId="77777777" w:rsidR="002124C6" w:rsidRPr="00BE09D5" w:rsidRDefault="00BE09D5">
      <w:pPr>
        <w:spacing w:before="240" w:after="240" w:line="360" w:lineRule="auto"/>
        <w:jc w:val="both"/>
        <w:rPr>
          <w:rFonts w:ascii="Palatino Linotype" w:eastAsia="Palatino Linotype" w:hAnsi="Palatino Linotype" w:cs="Palatino Linotype"/>
        </w:rPr>
      </w:pPr>
      <w:bookmarkStart w:id="5" w:name="_heading=h.2p2csry" w:colFirst="0" w:colLast="0"/>
      <w:bookmarkEnd w:id="5"/>
      <w:r w:rsidRPr="00BE09D5">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579BC4B7"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DD67441"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73697EF"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46FA01E" w14:textId="77777777" w:rsidR="002124C6" w:rsidRPr="00BE09D5" w:rsidRDefault="00BE09D5">
      <w:pPr>
        <w:spacing w:before="240" w:after="240" w:line="360" w:lineRule="auto"/>
        <w:jc w:val="both"/>
        <w:rPr>
          <w:rFonts w:ascii="Palatino Linotype" w:eastAsia="Palatino Linotype" w:hAnsi="Palatino Linotype" w:cs="Palatino Linotype"/>
          <w:strike/>
        </w:rPr>
      </w:pPr>
      <w:r w:rsidRPr="00BE09D5">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495E4EC7" w14:textId="77777777" w:rsidR="002124C6" w:rsidRPr="00BE09D5" w:rsidRDefault="00BE09D5">
      <w:pPr>
        <w:numPr>
          <w:ilvl w:val="0"/>
          <w:numId w:val="1"/>
        </w:numPr>
        <w:tabs>
          <w:tab w:val="left" w:pos="993"/>
        </w:tabs>
        <w:spacing w:before="240" w:after="240" w:line="360" w:lineRule="auto"/>
        <w:ind w:left="567" w:firstLine="0"/>
        <w:jc w:val="both"/>
        <w:rPr>
          <w:rFonts w:ascii="Palatino Linotype" w:eastAsia="Palatino Linotype" w:hAnsi="Palatino Linotype" w:cs="Palatino Linotype"/>
        </w:rPr>
      </w:pPr>
      <w:r w:rsidRPr="00BE09D5">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420104C1" w14:textId="77777777" w:rsidR="002124C6" w:rsidRPr="00BE09D5" w:rsidRDefault="00BE09D5">
      <w:pPr>
        <w:numPr>
          <w:ilvl w:val="0"/>
          <w:numId w:val="1"/>
        </w:numPr>
        <w:tabs>
          <w:tab w:val="left" w:pos="993"/>
        </w:tabs>
        <w:spacing w:before="240" w:after="240" w:line="360" w:lineRule="auto"/>
        <w:ind w:left="567" w:firstLine="0"/>
        <w:jc w:val="both"/>
        <w:rPr>
          <w:rFonts w:ascii="Palatino Linotype" w:eastAsia="Palatino Linotype" w:hAnsi="Palatino Linotype" w:cs="Palatino Linotype"/>
        </w:rPr>
      </w:pPr>
      <w:r w:rsidRPr="00BE09D5">
        <w:rPr>
          <w:rFonts w:ascii="Palatino Linotype" w:eastAsia="Palatino Linotype" w:hAnsi="Palatino Linotype" w:cs="Palatino Linotype"/>
        </w:rPr>
        <w:t>Actividad Procesal del interesado. Acciones u omisiones del interesado.</w:t>
      </w:r>
    </w:p>
    <w:p w14:paraId="3C203F7F" w14:textId="77777777" w:rsidR="002124C6" w:rsidRPr="00BE09D5" w:rsidRDefault="00BE09D5">
      <w:pPr>
        <w:numPr>
          <w:ilvl w:val="0"/>
          <w:numId w:val="1"/>
        </w:numPr>
        <w:tabs>
          <w:tab w:val="left" w:pos="993"/>
        </w:tabs>
        <w:spacing w:before="240" w:after="240" w:line="360" w:lineRule="auto"/>
        <w:ind w:left="567" w:firstLine="0"/>
        <w:jc w:val="both"/>
        <w:rPr>
          <w:rFonts w:ascii="Palatino Linotype" w:eastAsia="Palatino Linotype" w:hAnsi="Palatino Linotype" w:cs="Palatino Linotype"/>
        </w:rPr>
      </w:pPr>
      <w:r w:rsidRPr="00BE09D5">
        <w:rPr>
          <w:rFonts w:ascii="Palatino Linotype" w:eastAsia="Palatino Linotype" w:hAnsi="Palatino Linotype" w:cs="Palatino Linotype"/>
        </w:rPr>
        <w:t>Conducta de la Autoridad: Las Acciones u omisiones realizadas en el procedimiento. Así como si la autoridad actuó con la debida diligencia.</w:t>
      </w:r>
    </w:p>
    <w:p w14:paraId="3C30CDBE" w14:textId="77777777" w:rsidR="002124C6" w:rsidRPr="00BE09D5" w:rsidRDefault="00BE09D5">
      <w:pPr>
        <w:numPr>
          <w:ilvl w:val="0"/>
          <w:numId w:val="1"/>
        </w:numPr>
        <w:tabs>
          <w:tab w:val="left" w:pos="993"/>
        </w:tabs>
        <w:spacing w:before="240" w:after="240" w:line="360" w:lineRule="auto"/>
        <w:ind w:left="567" w:firstLine="0"/>
        <w:jc w:val="both"/>
        <w:rPr>
          <w:rFonts w:ascii="Palatino Linotype" w:eastAsia="Palatino Linotype" w:hAnsi="Palatino Linotype" w:cs="Palatino Linotype"/>
        </w:rPr>
      </w:pPr>
      <w:r w:rsidRPr="00BE09D5">
        <w:rPr>
          <w:rFonts w:ascii="Palatino Linotype" w:eastAsia="Palatino Linotype" w:hAnsi="Palatino Linotype" w:cs="Palatino Linotype"/>
        </w:rPr>
        <w:t>La afectación generada en la situación jurídica de la persona involucrada en el proceso: Violación a sus derechos humanos.</w:t>
      </w:r>
    </w:p>
    <w:p w14:paraId="3751CD5D"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8402C5F" w14:textId="77777777" w:rsidR="002124C6" w:rsidRPr="00BE09D5" w:rsidRDefault="00BE09D5">
      <w:pPr>
        <w:spacing w:before="240" w:after="240" w:line="360" w:lineRule="auto"/>
        <w:jc w:val="both"/>
        <w:rPr>
          <w:rFonts w:ascii="Palatino Linotype" w:eastAsia="Palatino Linotype" w:hAnsi="Palatino Linotype" w:cs="Palatino Linotype"/>
          <w:b/>
        </w:rPr>
      </w:pPr>
      <w:r w:rsidRPr="00BE09D5">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BE09D5">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BE09D5">
        <w:rPr>
          <w:rFonts w:ascii="Palatino Linotype" w:eastAsia="Palatino Linotype" w:hAnsi="Palatino Linotype" w:cs="Palatino Linotype"/>
          <w:i/>
        </w:rPr>
        <w:lastRenderedPageBreak/>
        <w:t>CARACTERÍSTICAS DEL CASO.”</w:t>
      </w:r>
      <w:r w:rsidRPr="00BE09D5">
        <w:rPr>
          <w:rFonts w:ascii="Palatino Linotype" w:eastAsia="Palatino Linotype" w:hAnsi="Palatino Linotype" w:cs="Palatino Linotype"/>
        </w:rPr>
        <w:t>, visible en la Gaceta del Seminario Judicial de la Federación con el registro digital 205635.</w:t>
      </w:r>
    </w:p>
    <w:p w14:paraId="30F30C35"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72822F8"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9D27C81" w14:textId="77777777" w:rsidR="002124C6" w:rsidRPr="00BE09D5" w:rsidRDefault="00BE09D5">
      <w:pPr>
        <w:spacing w:before="240" w:after="240"/>
        <w:ind w:left="851" w:right="900"/>
        <w:jc w:val="both"/>
        <w:rPr>
          <w:rFonts w:ascii="Palatino Linotype" w:eastAsia="Palatino Linotype" w:hAnsi="Palatino Linotype" w:cs="Palatino Linotype"/>
          <w:sz w:val="22"/>
          <w:szCs w:val="22"/>
        </w:rPr>
      </w:pPr>
      <w:r w:rsidRPr="00BE09D5">
        <w:rPr>
          <w:rFonts w:ascii="Palatino Linotype" w:eastAsia="Palatino Linotype" w:hAnsi="Palatino Linotype" w:cs="Palatino Linotype"/>
          <w:sz w:val="22"/>
          <w:szCs w:val="22"/>
        </w:rPr>
        <w:t xml:space="preserve"> </w:t>
      </w:r>
      <w:r w:rsidRPr="00BE09D5">
        <w:rPr>
          <w:rFonts w:ascii="Palatino Linotype" w:eastAsia="Palatino Linotype" w:hAnsi="Palatino Linotype" w:cs="Palatino Linotype"/>
          <w:b/>
          <w:i/>
          <w:sz w:val="22"/>
          <w:szCs w:val="22"/>
        </w:rPr>
        <w:t>“PLAZO RAZONABLE PARA RESOLVER. DIMENSIÓN Y EFECTOS DE ESTE CONCEPTO CUANDO SE ADUCE EXCESIVA CARGA DE TRABAJO</w:t>
      </w:r>
      <w:r w:rsidRPr="00BE09D5">
        <w:rPr>
          <w:rFonts w:ascii="Palatino Linotype" w:eastAsia="Palatino Linotype" w:hAnsi="Palatino Linotype" w:cs="Palatino Linotype"/>
          <w:i/>
          <w:sz w:val="22"/>
          <w:szCs w:val="22"/>
        </w:rPr>
        <w:t>.”</w:t>
      </w:r>
      <w:r w:rsidRPr="00BE09D5">
        <w:rPr>
          <w:rFonts w:ascii="Palatino Linotype" w:eastAsia="Palatino Linotype" w:hAnsi="Palatino Linotype" w:cs="Palatino Linotype"/>
          <w:sz w:val="22"/>
          <w:szCs w:val="22"/>
        </w:rPr>
        <w:t xml:space="preserve"> consultable en el Seminario Judicial de la Federación y su gaceta, con el registro digital 2002351.</w:t>
      </w:r>
    </w:p>
    <w:p w14:paraId="7AFF36CE" w14:textId="77777777" w:rsidR="002124C6" w:rsidRPr="00BE09D5" w:rsidRDefault="00BE09D5">
      <w:pPr>
        <w:spacing w:before="240" w:after="240"/>
        <w:ind w:left="851" w:right="900"/>
        <w:jc w:val="both"/>
        <w:rPr>
          <w:rFonts w:ascii="Palatino Linotype" w:eastAsia="Palatino Linotype" w:hAnsi="Palatino Linotype" w:cs="Palatino Linotype"/>
          <w:sz w:val="22"/>
          <w:szCs w:val="22"/>
        </w:rPr>
      </w:pPr>
      <w:r w:rsidRPr="00BE09D5">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BE09D5">
        <w:rPr>
          <w:rFonts w:ascii="Palatino Linotype" w:eastAsia="Palatino Linotype" w:hAnsi="Palatino Linotype" w:cs="Palatino Linotype"/>
          <w:sz w:val="22"/>
          <w:szCs w:val="22"/>
        </w:rPr>
        <w:t>, visible en el Seminario Judicial de la Federación y su gaceta, con el registro digital 2002350.</w:t>
      </w:r>
    </w:p>
    <w:p w14:paraId="2BE663CA"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14:paraId="408F060A" w14:textId="77777777" w:rsidR="002124C6" w:rsidRPr="00BE09D5" w:rsidRDefault="00BE09D5">
      <w:pPr>
        <w:spacing w:before="240" w:after="240" w:line="360" w:lineRule="auto"/>
        <w:jc w:val="both"/>
        <w:rPr>
          <w:rFonts w:ascii="Palatino Linotype" w:eastAsia="Palatino Linotype" w:hAnsi="Palatino Linotype" w:cs="Palatino Linotype"/>
          <w:b/>
        </w:rPr>
      </w:pPr>
      <w:r w:rsidRPr="00BE09D5">
        <w:rPr>
          <w:rFonts w:ascii="Palatino Linotype" w:eastAsia="Palatino Linotype" w:hAnsi="Palatino Linotype" w:cs="Palatino Linotype"/>
          <w:b/>
        </w:rPr>
        <w:t xml:space="preserve">8. Cierre de instrucción. </w:t>
      </w:r>
      <w:r w:rsidRPr="00BE09D5">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BE09D5">
        <w:rPr>
          <w:rFonts w:ascii="Palatino Linotype" w:eastAsia="Palatino Linotype" w:hAnsi="Palatino Linotype" w:cs="Palatino Linotype"/>
          <w:b/>
        </w:rPr>
        <w:t>veinticinco de octubre de dos mil veintitrés</w:t>
      </w:r>
      <w:r w:rsidRPr="00BE09D5">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9E77650"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FB2BC3E" w14:textId="77777777" w:rsidR="002124C6" w:rsidRPr="00BE09D5" w:rsidRDefault="00BE09D5">
      <w:pPr>
        <w:widowControl w:val="0"/>
        <w:spacing w:line="360" w:lineRule="auto"/>
        <w:jc w:val="center"/>
        <w:rPr>
          <w:rFonts w:ascii="Palatino Linotype" w:eastAsia="Palatino Linotype" w:hAnsi="Palatino Linotype" w:cs="Palatino Linotype"/>
          <w:b/>
        </w:rPr>
      </w:pPr>
      <w:r w:rsidRPr="00BE09D5">
        <w:rPr>
          <w:rFonts w:ascii="Palatino Linotype" w:eastAsia="Palatino Linotype" w:hAnsi="Palatino Linotype" w:cs="Palatino Linotype"/>
          <w:b/>
        </w:rPr>
        <w:t>II. C O N S I D E R A N D O S</w:t>
      </w:r>
    </w:p>
    <w:p w14:paraId="16EC86EB" w14:textId="77777777" w:rsidR="002124C6" w:rsidRPr="00BE09D5" w:rsidRDefault="00BE09D5">
      <w:pPr>
        <w:spacing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b/>
        </w:rPr>
        <w:t>Primero. Competencia.</w:t>
      </w:r>
      <w:r w:rsidRPr="00BE09D5">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w:t>
      </w:r>
      <w:r w:rsidRPr="00BE09D5">
        <w:rPr>
          <w:rFonts w:ascii="Palatino Linotype" w:eastAsia="Palatino Linotype" w:hAnsi="Palatino Linotype" w:cs="Palatino Linotype"/>
        </w:rPr>
        <w:lastRenderedPageBreak/>
        <w:t>del Reglamento Interior del Instituto de Transparencia, Acceso a la Información Pública y Protección de Datos Personales del Estado de México y Municipios.</w:t>
      </w:r>
    </w:p>
    <w:p w14:paraId="0B00AA89" w14:textId="77777777" w:rsidR="002124C6" w:rsidRPr="00BE09D5" w:rsidRDefault="00BE09D5">
      <w:pPr>
        <w:spacing w:before="240" w:after="240" w:line="360" w:lineRule="auto"/>
        <w:jc w:val="both"/>
        <w:rPr>
          <w:rFonts w:ascii="Palatino Linotype" w:eastAsia="Palatino Linotype" w:hAnsi="Palatino Linotype" w:cs="Palatino Linotype"/>
        </w:rPr>
      </w:pPr>
      <w:bookmarkStart w:id="6" w:name="_heading=h.tyjcwt" w:colFirst="0" w:colLast="0"/>
      <w:bookmarkEnd w:id="6"/>
      <w:r w:rsidRPr="00BE09D5">
        <w:rPr>
          <w:rFonts w:ascii="Palatino Linotype" w:eastAsia="Palatino Linotype" w:hAnsi="Palatino Linotype" w:cs="Palatino Linotype"/>
          <w:b/>
        </w:rPr>
        <w:t>Segundo. Oportunidad y Procedibilidad del Recurso de Revisión</w:t>
      </w:r>
      <w:r w:rsidRPr="00BE09D5">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39AEFFC"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BE09D5">
        <w:rPr>
          <w:rFonts w:ascii="Palatino Linotype" w:eastAsia="Palatino Linotype" w:hAnsi="Palatino Linotype" w:cs="Palatino Linotype"/>
          <w:b/>
        </w:rPr>
        <w:t xml:space="preserve">Sujeto Obligado </w:t>
      </w:r>
      <w:r w:rsidRPr="00BE09D5">
        <w:rPr>
          <w:rFonts w:ascii="Palatino Linotype" w:eastAsia="Palatino Linotype" w:hAnsi="Palatino Linotype" w:cs="Palatino Linotype"/>
        </w:rPr>
        <w:t xml:space="preserve">remitió la respuesta a la solicitud de información el día </w:t>
      </w:r>
      <w:r w:rsidRPr="00BE09D5">
        <w:rPr>
          <w:rFonts w:ascii="Palatino Linotype" w:eastAsia="Palatino Linotype" w:hAnsi="Palatino Linotype" w:cs="Palatino Linotype"/>
          <w:b/>
        </w:rPr>
        <w:t xml:space="preserve">veintiséis de junio de dos mil veintitrés, </w:t>
      </w:r>
      <w:r w:rsidRPr="00BE09D5">
        <w:rPr>
          <w:rFonts w:ascii="Palatino Linotype" w:eastAsia="Palatino Linotype" w:hAnsi="Palatino Linotype" w:cs="Palatino Linotype"/>
        </w:rPr>
        <w:t xml:space="preserve">mientras que el recurso de revisión interpuesto por la parte </w:t>
      </w:r>
      <w:r w:rsidRPr="00BE09D5">
        <w:rPr>
          <w:rFonts w:ascii="Palatino Linotype" w:eastAsia="Palatino Linotype" w:hAnsi="Palatino Linotype" w:cs="Palatino Linotype"/>
          <w:b/>
        </w:rPr>
        <w:t>Recurrente</w:t>
      </w:r>
      <w:r w:rsidRPr="00BE09D5">
        <w:rPr>
          <w:rFonts w:ascii="Palatino Linotype" w:eastAsia="Palatino Linotype" w:hAnsi="Palatino Linotype" w:cs="Palatino Linotype"/>
        </w:rPr>
        <w:t xml:space="preserve">, se tuvo por presentado el día </w:t>
      </w:r>
      <w:r w:rsidRPr="00BE09D5">
        <w:rPr>
          <w:rFonts w:ascii="Palatino Linotype" w:eastAsia="Palatino Linotype" w:hAnsi="Palatino Linotype" w:cs="Palatino Linotype"/>
          <w:b/>
        </w:rPr>
        <w:t>veintiséis de junio de dos mil veintitrés</w:t>
      </w:r>
      <w:r w:rsidRPr="00BE09D5">
        <w:rPr>
          <w:rFonts w:ascii="Palatino Linotype" w:eastAsia="Palatino Linotype" w:hAnsi="Palatino Linotype" w:cs="Palatino Linotype"/>
        </w:rPr>
        <w:t>, esto es, el mismo día en que tuvo conocimiento de la respuesta impugnada.</w:t>
      </w:r>
    </w:p>
    <w:p w14:paraId="59F56273" w14:textId="77777777" w:rsidR="002124C6" w:rsidRPr="00BE09D5" w:rsidRDefault="00BE09D5">
      <w:pPr>
        <w:spacing w:before="240" w:after="240" w:line="360" w:lineRule="auto"/>
        <w:jc w:val="both"/>
        <w:rPr>
          <w:rFonts w:ascii="Palatino Linotype" w:eastAsia="Palatino Linotype" w:hAnsi="Palatino Linotype" w:cs="Palatino Linotype"/>
        </w:rPr>
      </w:pPr>
      <w:bookmarkStart w:id="7" w:name="_heading=h.3znysh7" w:colFirst="0" w:colLast="0"/>
      <w:bookmarkEnd w:id="7"/>
      <w:r w:rsidRPr="00BE09D5">
        <w:rPr>
          <w:rFonts w:ascii="Palatino Linotype" w:eastAsia="Palatino Linotype" w:hAnsi="Palatino Linotype" w:cs="Palatino Linotype"/>
        </w:rPr>
        <w:t xml:space="preserve">En este sentido, al considerar la fecha en que se formuló la solicitud y la fecha en que respondió a ésta el </w:t>
      </w:r>
      <w:r w:rsidRPr="00BE09D5">
        <w:rPr>
          <w:rFonts w:ascii="Palatino Linotype" w:eastAsia="Palatino Linotype" w:hAnsi="Palatino Linotype" w:cs="Palatino Linotype"/>
          <w:b/>
        </w:rPr>
        <w:t>Sujeto Obligado</w:t>
      </w:r>
      <w:r w:rsidRPr="00BE09D5">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35CEAFB1"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w:t>
      </w:r>
      <w:r w:rsidRPr="00BE09D5">
        <w:rPr>
          <w:rFonts w:ascii="Palatino Linotype" w:eastAsia="Palatino Linotype" w:hAnsi="Palatino Linotype" w:cs="Palatino Linotype"/>
        </w:rPr>
        <w:lastRenderedPageBreak/>
        <w:t>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5536F1F1" w14:textId="77777777" w:rsidR="002124C6" w:rsidRPr="00BE09D5" w:rsidRDefault="00BE09D5">
      <w:pPr>
        <w:spacing w:before="120" w:after="120"/>
        <w:ind w:left="851"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BE09D5">
        <w:rPr>
          <w:rFonts w:ascii="Palatino Linotype" w:eastAsia="Palatino Linotype" w:hAnsi="Palatino Linotype" w:cs="Palatino Linotype"/>
          <w:i/>
          <w:sz w:val="22"/>
          <w:szCs w:val="22"/>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BE09D5">
        <w:rPr>
          <w:rFonts w:ascii="Palatino Linotype" w:eastAsia="Palatino Linotype" w:hAnsi="Palatino Linotype" w:cs="Palatino Linotype"/>
          <w:i/>
          <w:sz w:val="22"/>
          <w:szCs w:val="22"/>
        </w:rPr>
        <w:t>que</w:t>
      </w:r>
      <w:proofErr w:type="gramEnd"/>
      <w:r w:rsidRPr="00BE09D5">
        <w:rPr>
          <w:rFonts w:ascii="Palatino Linotype" w:eastAsia="Palatino Linotype" w:hAnsi="Palatino Linotype" w:cs="Palatino Linotype"/>
          <w:i/>
          <w:sz w:val="22"/>
          <w:szCs w:val="22"/>
        </w:rPr>
        <w:t xml:space="preserve"> si dicho recurso se interpone antes de que inicie el plazo para hacerlo, su presentación no es extemporánea.”</w:t>
      </w:r>
    </w:p>
    <w:p w14:paraId="37EC7FD2"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6F069E5"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t xml:space="preserve">A efecto de sustentar lo anterior, es de suma importancia mencionar </w:t>
      </w:r>
      <w:proofErr w:type="gramStart"/>
      <w:r w:rsidRPr="00BE09D5">
        <w:rPr>
          <w:rFonts w:ascii="Palatino Linotype" w:eastAsia="Palatino Linotype" w:hAnsi="Palatino Linotype" w:cs="Palatino Linotype"/>
        </w:rPr>
        <w:t>que</w:t>
      </w:r>
      <w:proofErr w:type="gramEnd"/>
      <w:r w:rsidRPr="00BE09D5">
        <w:rPr>
          <w:rFonts w:ascii="Palatino Linotype" w:eastAsia="Palatino Linotype" w:hAnsi="Palatino Linotype" w:cs="Palatino Linotype"/>
        </w:rPr>
        <w:t xml:space="preserve"> si bien la persona solicitante </w:t>
      </w:r>
      <w:r w:rsidRPr="00BE09D5">
        <w:rPr>
          <w:rFonts w:ascii="Palatino Linotype" w:eastAsia="Palatino Linotype" w:hAnsi="Palatino Linotype" w:cs="Palatino Linotype"/>
          <w:b/>
        </w:rPr>
        <w:t xml:space="preserve">proporcionó un pseudónimo </w:t>
      </w:r>
      <w:r w:rsidRPr="00BE09D5">
        <w:rPr>
          <w:rFonts w:ascii="Palatino Linotype" w:eastAsia="Palatino Linotype" w:hAnsi="Palatino Linotype" w:cs="Palatino Linotype"/>
        </w:rPr>
        <w:t>como se advierte en el detalle de seguimiento del SAIMEX,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01B180F" w14:textId="77777777" w:rsidR="002124C6" w:rsidRPr="00BE09D5" w:rsidRDefault="00BE09D5">
      <w:pPr>
        <w:spacing w:before="120" w:after="120"/>
        <w:ind w:left="851" w:right="902"/>
        <w:jc w:val="both"/>
        <w:rPr>
          <w:rFonts w:ascii="Palatino Linotype" w:eastAsia="Palatino Linotype" w:hAnsi="Palatino Linotype" w:cs="Palatino Linotype"/>
          <w:sz w:val="22"/>
          <w:szCs w:val="22"/>
        </w:rPr>
      </w:pPr>
      <w:r w:rsidRPr="00BE09D5">
        <w:rPr>
          <w:rFonts w:ascii="Palatino Linotype" w:eastAsia="Palatino Linotype" w:hAnsi="Palatino Linotype" w:cs="Palatino Linotype"/>
          <w:i/>
          <w:sz w:val="22"/>
          <w:szCs w:val="22"/>
        </w:rPr>
        <w:lastRenderedPageBreak/>
        <w:t>"</w:t>
      </w:r>
      <w:r w:rsidRPr="00BE09D5">
        <w:rPr>
          <w:rFonts w:ascii="Palatino Linotype" w:eastAsia="Palatino Linotype" w:hAnsi="Palatino Linotype" w:cs="Palatino Linotype"/>
          <w:b/>
          <w:i/>
          <w:sz w:val="22"/>
          <w:szCs w:val="22"/>
        </w:rPr>
        <w:t>Las solicitudes anónimas</w:t>
      </w:r>
      <w:r w:rsidRPr="00BE09D5">
        <w:rPr>
          <w:rFonts w:ascii="Palatino Linotype" w:eastAsia="Palatino Linotype" w:hAnsi="Palatino Linotype" w:cs="Palatino Linotype"/>
          <w:i/>
          <w:sz w:val="22"/>
          <w:szCs w:val="22"/>
        </w:rPr>
        <w:t xml:space="preserve">, con nombre incompleto o seudónimo </w:t>
      </w:r>
      <w:r w:rsidRPr="00BE09D5">
        <w:rPr>
          <w:rFonts w:ascii="Palatino Linotype" w:eastAsia="Palatino Linotype" w:hAnsi="Palatino Linotype" w:cs="Palatino Linotype"/>
          <w:b/>
          <w:i/>
          <w:sz w:val="22"/>
          <w:szCs w:val="22"/>
        </w:rPr>
        <w:t>serán procedentes para su trámite por parte del sujeto obligado ante quien se presente</w:t>
      </w:r>
      <w:r w:rsidRPr="00BE09D5">
        <w:rPr>
          <w:rFonts w:ascii="Palatino Linotype" w:eastAsia="Palatino Linotype" w:hAnsi="Palatino Linotype" w:cs="Palatino Linotype"/>
          <w:i/>
          <w:sz w:val="22"/>
          <w:szCs w:val="22"/>
        </w:rPr>
        <w:t>. No podrá requerirse información adicional con motivo del nombre proporcionado por el solicitante."</w:t>
      </w:r>
    </w:p>
    <w:p w14:paraId="3A76D52F"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BE09D5">
        <w:rPr>
          <w:rFonts w:ascii="Palatino Linotype" w:eastAsia="Palatino Linotype" w:hAnsi="Palatino Linotype" w:cs="Palatino Linotype"/>
          <w:b/>
        </w:rPr>
        <w:t>Recurrente</w:t>
      </w:r>
      <w:r w:rsidRPr="00BE09D5">
        <w:rPr>
          <w:rFonts w:ascii="Palatino Linotype" w:eastAsia="Palatino Linotype" w:hAnsi="Palatino Linotype" w:cs="Palatino Linotype"/>
        </w:rPr>
        <w:t>, por lo que, en el presente caso, al haber sido presentado el recurso de revisión vía SAIMEX, dicho requisito resulta innecesario.</w:t>
      </w:r>
    </w:p>
    <w:p w14:paraId="7BDD4ED4"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t>Finalmente, se advierte que resulta procedente la interposición del recurso, según lo manifestado por el recurrente en sus motivos de inconformidad, de acuerdo al artículo 179, fracciones III y VI del ordenamiento legal citado, que a la letra dice: </w:t>
      </w:r>
    </w:p>
    <w:p w14:paraId="74260449" w14:textId="77777777" w:rsidR="002124C6" w:rsidRPr="00BE09D5" w:rsidRDefault="00BE09D5">
      <w:pPr>
        <w:spacing w:before="120" w:after="120"/>
        <w:ind w:left="851"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t>“</w:t>
      </w:r>
      <w:r w:rsidRPr="00BE09D5">
        <w:rPr>
          <w:rFonts w:ascii="Palatino Linotype" w:eastAsia="Palatino Linotype" w:hAnsi="Palatino Linotype" w:cs="Palatino Linotype"/>
          <w:b/>
          <w:i/>
          <w:sz w:val="22"/>
          <w:szCs w:val="22"/>
        </w:rPr>
        <w:t>Artículo 179.</w:t>
      </w:r>
      <w:r w:rsidRPr="00BE09D5">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17F6CA9" w14:textId="77777777" w:rsidR="002124C6" w:rsidRPr="00BE09D5" w:rsidRDefault="00BE09D5">
      <w:pPr>
        <w:spacing w:before="120" w:after="120"/>
        <w:ind w:left="1134" w:right="902"/>
        <w:jc w:val="both"/>
        <w:rPr>
          <w:rFonts w:ascii="Palatino Linotype" w:eastAsia="Palatino Linotype" w:hAnsi="Palatino Linotype" w:cs="Palatino Linotype"/>
          <w:b/>
          <w:i/>
          <w:sz w:val="22"/>
          <w:szCs w:val="22"/>
        </w:rPr>
      </w:pPr>
      <w:r w:rsidRPr="00BE09D5">
        <w:rPr>
          <w:rFonts w:ascii="Palatino Linotype" w:eastAsia="Palatino Linotype" w:hAnsi="Palatino Linotype" w:cs="Palatino Linotype"/>
          <w:b/>
          <w:i/>
          <w:sz w:val="22"/>
          <w:szCs w:val="22"/>
        </w:rPr>
        <w:t>...</w:t>
      </w:r>
    </w:p>
    <w:p w14:paraId="4078913F" w14:textId="77777777" w:rsidR="002124C6" w:rsidRPr="00BE09D5" w:rsidRDefault="00BE09D5">
      <w:pPr>
        <w:spacing w:before="120" w:after="120"/>
        <w:ind w:left="1134"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III.</w:t>
      </w:r>
      <w:r w:rsidRPr="00BE09D5">
        <w:rPr>
          <w:rFonts w:ascii="Palatino Linotype" w:eastAsia="Palatino Linotype" w:hAnsi="Palatino Linotype" w:cs="Palatino Linotype"/>
          <w:i/>
          <w:sz w:val="22"/>
          <w:szCs w:val="22"/>
        </w:rPr>
        <w:t xml:space="preserve"> La declaración de inexistencia de la información;</w:t>
      </w:r>
    </w:p>
    <w:p w14:paraId="6C68EF7B" w14:textId="77777777" w:rsidR="002124C6" w:rsidRPr="00BE09D5" w:rsidRDefault="00BE09D5">
      <w:pPr>
        <w:spacing w:before="120" w:after="120"/>
        <w:ind w:left="1134" w:right="902"/>
        <w:jc w:val="both"/>
        <w:rPr>
          <w:rFonts w:ascii="Palatino Linotype" w:eastAsia="Palatino Linotype" w:hAnsi="Palatino Linotype" w:cs="Palatino Linotype"/>
          <w:b/>
          <w:i/>
          <w:sz w:val="20"/>
          <w:szCs w:val="20"/>
        </w:rPr>
      </w:pPr>
      <w:r w:rsidRPr="00BE09D5">
        <w:rPr>
          <w:rFonts w:ascii="Palatino Linotype" w:eastAsia="Palatino Linotype" w:hAnsi="Palatino Linotype" w:cs="Palatino Linotype"/>
          <w:b/>
          <w:i/>
          <w:sz w:val="22"/>
          <w:szCs w:val="22"/>
        </w:rPr>
        <w:t>…</w:t>
      </w:r>
    </w:p>
    <w:p w14:paraId="10B83A79" w14:textId="77777777" w:rsidR="002124C6" w:rsidRPr="00BE09D5" w:rsidRDefault="00BE09D5">
      <w:pPr>
        <w:spacing w:before="120" w:after="120"/>
        <w:ind w:left="1134"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 xml:space="preserve">VI. </w:t>
      </w:r>
      <w:r w:rsidRPr="00BE09D5">
        <w:rPr>
          <w:rFonts w:ascii="Palatino Linotype" w:eastAsia="Palatino Linotype" w:hAnsi="Palatino Linotype" w:cs="Palatino Linotype"/>
          <w:i/>
          <w:sz w:val="22"/>
          <w:szCs w:val="22"/>
        </w:rPr>
        <w:t>La entrega de información que no corresponda con lo solicitado;”</w:t>
      </w:r>
    </w:p>
    <w:p w14:paraId="06A7DFF2"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b/>
        </w:rPr>
        <w:t xml:space="preserve">Tercero. Materia de la revisión. </w:t>
      </w:r>
      <w:r w:rsidRPr="00BE09D5">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BE09D5">
        <w:rPr>
          <w:rFonts w:ascii="Palatino Linotype" w:eastAsia="Palatino Linotype" w:hAnsi="Palatino Linotype" w:cs="Palatino Linotype"/>
          <w:b/>
        </w:rPr>
        <w:t xml:space="preserve">verificar si la respuesta e informe justificado otorgados por el Sujeto Obligado son adecuados y suficientes para satisfacer el derecho de acceso a la información pública </w:t>
      </w:r>
      <w:r w:rsidRPr="00BE09D5">
        <w:rPr>
          <w:rFonts w:ascii="Palatino Linotype" w:eastAsia="Palatino Linotype" w:hAnsi="Palatino Linotype" w:cs="Palatino Linotype"/>
        </w:rPr>
        <w:t xml:space="preserve">de </w:t>
      </w:r>
      <w:r w:rsidRPr="00BE09D5">
        <w:rPr>
          <w:rFonts w:ascii="Palatino Linotype" w:eastAsia="Palatino Linotype" w:hAnsi="Palatino Linotype" w:cs="Palatino Linotype"/>
          <w:b/>
        </w:rPr>
        <w:t>la parte Recurrente,</w:t>
      </w:r>
      <w:r w:rsidRPr="00BE09D5">
        <w:rPr>
          <w:rFonts w:ascii="Palatino Linotype" w:eastAsia="Palatino Linotype" w:hAnsi="Palatino Linotype" w:cs="Palatino Linotype"/>
        </w:rPr>
        <w:t xml:space="preserve"> o en su defecto, en caso de ser procedente, ordenar la entrega de información oportuna.</w:t>
      </w:r>
    </w:p>
    <w:p w14:paraId="7146EBED" w14:textId="77777777" w:rsidR="002124C6" w:rsidRPr="00BE09D5" w:rsidRDefault="00BE09D5">
      <w:pPr>
        <w:spacing w:before="240" w:after="240" w:line="360" w:lineRule="auto"/>
        <w:ind w:right="51"/>
        <w:jc w:val="both"/>
        <w:rPr>
          <w:rFonts w:ascii="Palatino Linotype" w:eastAsia="Palatino Linotype" w:hAnsi="Palatino Linotype" w:cs="Palatino Linotype"/>
        </w:rPr>
      </w:pPr>
      <w:r w:rsidRPr="00BE09D5">
        <w:rPr>
          <w:rFonts w:ascii="Palatino Linotype" w:eastAsia="Palatino Linotype" w:hAnsi="Palatino Linotype" w:cs="Palatino Linotype"/>
          <w:b/>
        </w:rPr>
        <w:lastRenderedPageBreak/>
        <w:t xml:space="preserve">Cuarto. Estudio del asunto. </w:t>
      </w:r>
      <w:r w:rsidRPr="00BE09D5">
        <w:rPr>
          <w:rFonts w:ascii="Palatino Linotype" w:eastAsia="Palatino Linotype" w:hAnsi="Palatino Linotype" w:cs="Palatino Linotype"/>
        </w:rPr>
        <w:t xml:space="preserve">Del análisis de la solicitud de información, motivo del recurso de revisión que ahora se resuelve se advierte que la parte </w:t>
      </w:r>
      <w:r w:rsidRPr="00BE09D5">
        <w:rPr>
          <w:rFonts w:ascii="Palatino Linotype" w:eastAsia="Palatino Linotype" w:hAnsi="Palatino Linotype" w:cs="Palatino Linotype"/>
          <w:b/>
        </w:rPr>
        <w:t>Recurrente</w:t>
      </w:r>
      <w:r w:rsidRPr="00BE09D5">
        <w:rPr>
          <w:rFonts w:ascii="Palatino Linotype" w:eastAsia="Palatino Linotype" w:hAnsi="Palatino Linotype" w:cs="Palatino Linotype"/>
        </w:rPr>
        <w:t xml:space="preserve"> requirió al </w:t>
      </w:r>
      <w:r w:rsidRPr="00BE09D5">
        <w:rPr>
          <w:rFonts w:ascii="Palatino Linotype" w:eastAsia="Palatino Linotype" w:hAnsi="Palatino Linotype" w:cs="Palatino Linotype"/>
          <w:b/>
        </w:rPr>
        <w:t xml:space="preserve">Sujeto Obligado </w:t>
      </w:r>
      <w:r w:rsidRPr="00BE09D5">
        <w:rPr>
          <w:rFonts w:ascii="Palatino Linotype" w:eastAsia="Palatino Linotype" w:hAnsi="Palatino Linotype" w:cs="Palatino Linotype"/>
        </w:rPr>
        <w:t>le proporcione, información consistente en lo siguiente:</w:t>
      </w:r>
    </w:p>
    <w:p w14:paraId="48D5D8F6" w14:textId="77777777" w:rsidR="002124C6" w:rsidRPr="00BE09D5" w:rsidRDefault="00BE09D5">
      <w:pPr>
        <w:spacing w:before="240" w:after="240" w:line="360" w:lineRule="auto"/>
        <w:ind w:left="426"/>
        <w:jc w:val="both"/>
        <w:rPr>
          <w:rFonts w:ascii="Palatino Linotype" w:eastAsia="Palatino Linotype" w:hAnsi="Palatino Linotype" w:cs="Palatino Linotype"/>
        </w:rPr>
      </w:pPr>
      <w:r w:rsidRPr="00BE09D5">
        <w:rPr>
          <w:rFonts w:ascii="Palatino Linotype" w:eastAsia="Palatino Linotype" w:hAnsi="Palatino Linotype" w:cs="Palatino Linotype"/>
          <w:b/>
        </w:rPr>
        <w:t>1</w:t>
      </w:r>
      <w:r w:rsidRPr="00BE09D5">
        <w:rPr>
          <w:rFonts w:ascii="Palatino Linotype" w:eastAsia="Palatino Linotype" w:hAnsi="Palatino Linotype" w:cs="Palatino Linotype"/>
        </w:rPr>
        <w:t xml:space="preserve">. </w:t>
      </w:r>
      <w:r w:rsidRPr="00BE09D5">
        <w:rPr>
          <w:rFonts w:ascii="Palatino Linotype" w:eastAsia="Palatino Linotype" w:hAnsi="Palatino Linotype" w:cs="Palatino Linotype"/>
          <w:b/>
        </w:rPr>
        <w:t>Oficio mediante el cual se hayan difundido</w:t>
      </w:r>
      <w:r w:rsidRPr="00BE09D5">
        <w:rPr>
          <w:rFonts w:ascii="Palatino Linotype" w:eastAsia="Palatino Linotype" w:hAnsi="Palatino Linotype" w:cs="Palatino Linotype"/>
        </w:rPr>
        <w:t xml:space="preserve"> los Lineamientos, Manuales e Instructivos que la Coordinación Municipal de Mejora Regulatoria ha recibido de la Comisión Estatal, por medio de los Enlaces de los Comités Internos de Mejora Regulatoria.</w:t>
      </w:r>
    </w:p>
    <w:p w14:paraId="4EF12491"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t xml:space="preserve">En respuesta, el </w:t>
      </w:r>
      <w:r w:rsidRPr="00BE09D5">
        <w:rPr>
          <w:rFonts w:ascii="Palatino Linotype" w:eastAsia="Palatino Linotype" w:hAnsi="Palatino Linotype" w:cs="Palatino Linotype"/>
          <w:b/>
        </w:rPr>
        <w:t>Sujeto Obligado</w:t>
      </w:r>
      <w:r w:rsidRPr="00BE09D5">
        <w:rPr>
          <w:rFonts w:ascii="Palatino Linotype" w:eastAsia="Palatino Linotype" w:hAnsi="Palatino Linotype" w:cs="Palatino Linotype"/>
        </w:rPr>
        <w:t>, a través de la Unidad de Transparencia, hizo del conocimiento de la persona solicitante el pronunciamiento vertido por el Coordinador de Mejora Regulatoria, quien en atención a la solicitud manifestó que la Coordinación Municipal de Mejora Regulatoria no contaba con información, ya que no realiza encuestas, ni estadísticas así como evaluaciones, motivando así la interposición del recurso de revisión que nos ocupa, al no guardar relación la información proporcionada con la materia de la solicitud.</w:t>
      </w:r>
    </w:p>
    <w:p w14:paraId="1414A84B" w14:textId="77777777" w:rsidR="002124C6" w:rsidRPr="00BE09D5" w:rsidRDefault="00BE09D5">
      <w:pPr>
        <w:spacing w:before="240" w:after="240" w:line="360" w:lineRule="auto"/>
        <w:ind w:right="49"/>
        <w:jc w:val="both"/>
        <w:rPr>
          <w:rFonts w:ascii="Palatino Linotype" w:eastAsia="Palatino Linotype" w:hAnsi="Palatino Linotype" w:cs="Palatino Linotype"/>
        </w:rPr>
      </w:pPr>
      <w:r w:rsidRPr="00BE09D5">
        <w:rPr>
          <w:rFonts w:ascii="Palatino Linotype" w:eastAsia="Palatino Linotype" w:hAnsi="Palatino Linotype" w:cs="Palatino Linotype"/>
        </w:rPr>
        <w:t>Una vez admitido el presente recurso de revisión, en términos del artículo 185 fracción II</w:t>
      </w:r>
      <w:r w:rsidRPr="00BE09D5">
        <w:rPr>
          <w:rFonts w:ascii="Palatino Linotype" w:eastAsia="Palatino Linotype" w:hAnsi="Palatino Linotype" w:cs="Palatino Linotype"/>
          <w:vertAlign w:val="superscript"/>
        </w:rPr>
        <w:footnoteReference w:id="1"/>
      </w:r>
      <w:r w:rsidRPr="00BE09D5">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77890203" w14:textId="77777777" w:rsidR="002124C6" w:rsidRPr="00BE09D5" w:rsidRDefault="00BE09D5">
      <w:pPr>
        <w:spacing w:before="240" w:after="240" w:line="360" w:lineRule="auto"/>
        <w:ind w:right="49"/>
        <w:jc w:val="both"/>
        <w:rPr>
          <w:rFonts w:ascii="Palatino Linotype" w:eastAsia="Palatino Linotype" w:hAnsi="Palatino Linotype" w:cs="Palatino Linotype"/>
        </w:rPr>
      </w:pPr>
      <w:r w:rsidRPr="00BE09D5">
        <w:rPr>
          <w:rFonts w:ascii="Palatino Linotype" w:eastAsia="Palatino Linotype" w:hAnsi="Palatino Linotype" w:cs="Palatino Linotype"/>
        </w:rPr>
        <w:lastRenderedPageBreak/>
        <w:t xml:space="preserve">En tal sentido, el </w:t>
      </w:r>
      <w:r w:rsidRPr="00BE09D5">
        <w:rPr>
          <w:rFonts w:ascii="Palatino Linotype" w:eastAsia="Palatino Linotype" w:hAnsi="Palatino Linotype" w:cs="Palatino Linotype"/>
          <w:b/>
        </w:rPr>
        <w:t xml:space="preserve">Sujeto Obligado, </w:t>
      </w:r>
      <w:r w:rsidRPr="00BE09D5">
        <w:rPr>
          <w:rFonts w:ascii="Palatino Linotype" w:eastAsia="Palatino Linotype" w:hAnsi="Palatino Linotype" w:cs="Palatino Linotype"/>
        </w:rPr>
        <w:t xml:space="preserve">atendiendo a los alegatos esgrimidos por la parte </w:t>
      </w:r>
      <w:r w:rsidRPr="00BE09D5">
        <w:rPr>
          <w:rFonts w:ascii="Palatino Linotype" w:eastAsia="Palatino Linotype" w:hAnsi="Palatino Linotype" w:cs="Palatino Linotype"/>
          <w:b/>
        </w:rPr>
        <w:t>Recurrente</w:t>
      </w:r>
      <w:r w:rsidRPr="00BE09D5">
        <w:rPr>
          <w:rFonts w:ascii="Palatino Linotype" w:eastAsia="Palatino Linotype" w:hAnsi="Palatino Linotype" w:cs="Palatino Linotype"/>
        </w:rPr>
        <w:t xml:space="preserve">, </w:t>
      </w:r>
      <w:r w:rsidRPr="00BE09D5">
        <w:rPr>
          <w:rFonts w:ascii="Palatino Linotype" w:eastAsia="Palatino Linotype" w:hAnsi="Palatino Linotype" w:cs="Palatino Linotype"/>
          <w:b/>
        </w:rPr>
        <w:t xml:space="preserve"> </w:t>
      </w:r>
      <w:r w:rsidRPr="00BE09D5">
        <w:rPr>
          <w:rFonts w:ascii="Palatino Linotype" w:eastAsia="Palatino Linotype" w:hAnsi="Palatino Linotype" w:cs="Palatino Linotype"/>
        </w:rPr>
        <w:t xml:space="preserve">remitió el pronunciamiento emitido por el Coordinador de Mejora Regulatoria, quien señaló que durante el año 2022 solo se recibió de parte de la Comisión Estatal de Mejora Regulatoria el “Manual de Operación del Catálogo Municipal de Regulaciones del Municipio de Ixtapaluca”, no obstante, no se generaron oficios para hacer difusión de dicho Manual, en razón de que se difundió a través de la página oficial del Ayuntamiento, proporcionando la liga electrónica directa: </w:t>
      </w:r>
      <w:hyperlink r:id="rId10">
        <w:r w:rsidRPr="00BE09D5">
          <w:rPr>
            <w:rFonts w:ascii="Palatino Linotype" w:eastAsia="Palatino Linotype" w:hAnsi="Palatino Linotype" w:cs="Palatino Linotype"/>
            <w:u w:val="single"/>
          </w:rPr>
          <w:t>https://www.ixtapaluca22-24.com.mx/manualdeoperaciones</w:t>
        </w:r>
      </w:hyperlink>
      <w:r w:rsidRPr="00BE09D5">
        <w:rPr>
          <w:rFonts w:ascii="Palatino Linotype" w:eastAsia="Palatino Linotype" w:hAnsi="Palatino Linotype" w:cs="Palatino Linotype"/>
        </w:rPr>
        <w:t>, para la consulta del mismo.</w:t>
      </w:r>
    </w:p>
    <w:p w14:paraId="5E1F12D7" w14:textId="77777777" w:rsidR="002124C6" w:rsidRPr="00BE09D5" w:rsidRDefault="00BE09D5">
      <w:pPr>
        <w:spacing w:before="240" w:after="240" w:line="360" w:lineRule="auto"/>
        <w:ind w:right="49"/>
        <w:jc w:val="both"/>
        <w:rPr>
          <w:rFonts w:ascii="Palatino Linotype" w:eastAsia="Palatino Linotype" w:hAnsi="Palatino Linotype" w:cs="Palatino Linotype"/>
        </w:rPr>
      </w:pPr>
      <w:r w:rsidRPr="00BE09D5">
        <w:rPr>
          <w:rFonts w:ascii="Palatino Linotype" w:eastAsia="Palatino Linotype" w:hAnsi="Palatino Linotype" w:cs="Palatino Linotype"/>
        </w:rPr>
        <w:t>Cabe señalar que el contenido de dicha liga electrónica es el siguiente:</w:t>
      </w:r>
    </w:p>
    <w:p w14:paraId="6922B5B8" w14:textId="77777777" w:rsidR="002124C6" w:rsidRPr="00BE09D5" w:rsidRDefault="00BE09D5">
      <w:pPr>
        <w:spacing w:before="240" w:after="240" w:line="360" w:lineRule="auto"/>
        <w:ind w:right="49"/>
        <w:jc w:val="center"/>
        <w:rPr>
          <w:rFonts w:ascii="Palatino Linotype" w:eastAsia="Palatino Linotype" w:hAnsi="Palatino Linotype" w:cs="Palatino Linotype"/>
        </w:rPr>
      </w:pPr>
      <w:r w:rsidRPr="00BE09D5">
        <w:rPr>
          <w:rFonts w:ascii="Palatino Linotype" w:eastAsia="Palatino Linotype" w:hAnsi="Palatino Linotype" w:cs="Palatino Linotype"/>
          <w:noProof/>
        </w:rPr>
        <w:drawing>
          <wp:inline distT="0" distB="0" distL="0" distR="0" wp14:anchorId="4AFEBBF7" wp14:editId="297DD27E">
            <wp:extent cx="5112000" cy="3967950"/>
            <wp:effectExtent l="0" t="0" r="0" b="0"/>
            <wp:docPr id="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r="515" b="12582"/>
                    <a:stretch>
                      <a:fillRect/>
                    </a:stretch>
                  </pic:blipFill>
                  <pic:spPr>
                    <a:xfrm>
                      <a:off x="0" y="0"/>
                      <a:ext cx="5112000" cy="3967950"/>
                    </a:xfrm>
                    <a:prstGeom prst="rect">
                      <a:avLst/>
                    </a:prstGeom>
                    <a:ln/>
                  </pic:spPr>
                </pic:pic>
              </a:graphicData>
            </a:graphic>
          </wp:inline>
        </w:drawing>
      </w:r>
    </w:p>
    <w:p w14:paraId="73A23818"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lastRenderedPageBreak/>
        <w:t>Asimismo, que el Coordinador Municipal de Mejora Regulatoria, de conformidad con el articulo 85 Quinquies de la Ley Orgánica Municipal del Estado de México, se coordina con las dependencias federal y estatal que son responsables de la mejora regulatoria, de conformidad a las disposiciones jurídicas aplicables; entre otras atribuciones.</w:t>
      </w:r>
    </w:p>
    <w:p w14:paraId="314EF245"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t xml:space="preserve">Mientras que el Manual de Organización de la Coordinación Municipal de Mejora Regulatoria 2022-2024 de Ixtapaluca, establece que la Coordinación se integra por la Subordinación Municipal de Mejora Regulatoria, y </w:t>
      </w:r>
      <w:proofErr w:type="gramStart"/>
      <w:r w:rsidRPr="00BE09D5">
        <w:rPr>
          <w:rFonts w:ascii="Palatino Linotype" w:eastAsia="Palatino Linotype" w:hAnsi="Palatino Linotype" w:cs="Palatino Linotype"/>
        </w:rPr>
        <w:t>esta  a</w:t>
      </w:r>
      <w:proofErr w:type="gramEnd"/>
      <w:r w:rsidRPr="00BE09D5">
        <w:rPr>
          <w:rFonts w:ascii="Palatino Linotype" w:eastAsia="Palatino Linotype" w:hAnsi="Palatino Linotype" w:cs="Palatino Linotype"/>
        </w:rPr>
        <w:t xml:space="preserve"> su vez por la Jefatura de Enlace Institucional, la Jefatura Jurídica y la Jefatura de Sistemas.</w:t>
      </w:r>
    </w:p>
    <w:p w14:paraId="3CB11D27"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t xml:space="preserve">En este tenor, la Jefatura de Enlace Institucional, coadyuva </w:t>
      </w:r>
      <w:r w:rsidRPr="00BE09D5">
        <w:rPr>
          <w:rFonts w:ascii="Palatino Linotype" w:eastAsia="Palatino Linotype" w:hAnsi="Palatino Linotype" w:cs="Palatino Linotype"/>
          <w:b/>
        </w:rPr>
        <w:t>junto con el Coordinador General</w:t>
      </w:r>
      <w:r w:rsidRPr="00BE09D5">
        <w:rPr>
          <w:rFonts w:ascii="Palatino Linotype" w:eastAsia="Palatino Linotype" w:hAnsi="Palatino Linotype" w:cs="Palatino Linotype"/>
        </w:rPr>
        <w:t xml:space="preserve"> a desarrollar, en coordinación con los enlaces municipales, entre otras funciones la relativa a la difusión de los lineamientos, manuales e instructivos que reciba de la Comisión Estatal, por medio de los Enlaces de los Comités Internos de Mejora Regulatoria, como se lee en seguida:</w:t>
      </w:r>
    </w:p>
    <w:p w14:paraId="71B84412" w14:textId="77777777" w:rsidR="002124C6" w:rsidRPr="00BE09D5" w:rsidRDefault="00BE09D5">
      <w:pPr>
        <w:spacing w:before="240" w:after="240" w:line="360" w:lineRule="auto"/>
        <w:jc w:val="center"/>
        <w:rPr>
          <w:rFonts w:ascii="Palatino Linotype" w:eastAsia="Palatino Linotype" w:hAnsi="Palatino Linotype" w:cs="Palatino Linotype"/>
        </w:rPr>
      </w:pPr>
      <w:r w:rsidRPr="00BE09D5">
        <w:rPr>
          <w:noProof/>
        </w:rPr>
        <w:drawing>
          <wp:inline distT="0" distB="0" distL="0" distR="0" wp14:anchorId="5B00E47E" wp14:editId="4C4AA2DE">
            <wp:extent cx="4972050" cy="2257425"/>
            <wp:effectExtent l="0" t="0" r="0" b="0"/>
            <wp:docPr id="1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972050" cy="2257425"/>
                    </a:xfrm>
                    <a:prstGeom prst="rect">
                      <a:avLst/>
                    </a:prstGeom>
                    <a:ln/>
                  </pic:spPr>
                </pic:pic>
              </a:graphicData>
            </a:graphic>
          </wp:inline>
        </w:drawing>
      </w:r>
    </w:p>
    <w:p w14:paraId="45185DC0"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lastRenderedPageBreak/>
        <w:t xml:space="preserve">Con base en lo anterior, se colige que la información fue proporcionada por el área legalmente competente para generar, administrar o poseer la información materia de la solicitud, cuyo servidor público habilitado manifestó que solo se recibió durante el 2022, por parte de la Comisión Estatal de Mejora Regulatoria el Manual de Operación del Catálogo Municipal de Regulaciones del Municipio de Ixtapaluca, no obstante, </w:t>
      </w:r>
      <w:r w:rsidRPr="00BE09D5">
        <w:rPr>
          <w:rFonts w:ascii="Palatino Linotype" w:eastAsia="Palatino Linotype" w:hAnsi="Palatino Linotype" w:cs="Palatino Linotype"/>
          <w:b/>
        </w:rPr>
        <w:t>no se generaron oficios para su difusión</w:t>
      </w:r>
      <w:r w:rsidRPr="00BE09D5">
        <w:rPr>
          <w:rFonts w:ascii="Palatino Linotype" w:eastAsia="Palatino Linotype" w:hAnsi="Palatino Linotype" w:cs="Palatino Linotype"/>
        </w:rPr>
        <w:t>, en virtud de que la difusión se realizó a través de la página oficial del Ayuntamiento, proporcionando la dirección electrónica para la consulta del mismo.</w:t>
      </w:r>
    </w:p>
    <w:p w14:paraId="52D1684A" w14:textId="77777777" w:rsidR="002124C6" w:rsidRPr="00BE09D5" w:rsidRDefault="00BE09D5">
      <w:pPr>
        <w:spacing w:before="240" w:after="240" w:line="360" w:lineRule="auto"/>
        <w:jc w:val="both"/>
        <w:rPr>
          <w:rFonts w:ascii="Palatino Linotype" w:eastAsia="Palatino Linotype" w:hAnsi="Palatino Linotype" w:cs="Palatino Linotype"/>
          <w:b/>
          <w:u w:val="single"/>
        </w:rPr>
      </w:pPr>
      <w:r w:rsidRPr="00BE09D5">
        <w:rPr>
          <w:rFonts w:ascii="Palatino Linotype" w:eastAsia="Palatino Linotype" w:hAnsi="Palatino Linotype" w:cs="Palatino Linotype"/>
        </w:rPr>
        <w:t xml:space="preserve">Al respecto, es de suma importancia mencionar que si bien de conformidad con el Manual de Organización de la Coordinación Municipal de Mejora Regulatoria, la Jefatura de Enlace Institucional tiene a su cargo llevar a cabo la difusión de lineamientos, manuales e instructivos que reciba la Coordinación Municipal, por parte de la Comisión Estatal, la normativa aplicable </w:t>
      </w:r>
      <w:r w:rsidRPr="00BE09D5">
        <w:rPr>
          <w:rFonts w:ascii="Palatino Linotype" w:eastAsia="Palatino Linotype" w:hAnsi="Palatino Linotype" w:cs="Palatino Linotype"/>
          <w:b/>
        </w:rPr>
        <w:t xml:space="preserve">no establece un periodo determinado, </w:t>
      </w:r>
      <w:r w:rsidRPr="00BE09D5">
        <w:rPr>
          <w:rFonts w:ascii="Palatino Linotype" w:eastAsia="Palatino Linotype" w:hAnsi="Palatino Linotype" w:cs="Palatino Linotype"/>
          <w:b/>
          <w:u w:val="single"/>
        </w:rPr>
        <w:t>ni formalidades específicas para cumplir con dicha atribución</w:t>
      </w:r>
      <w:r w:rsidRPr="00BE09D5">
        <w:rPr>
          <w:rFonts w:ascii="Palatino Linotype" w:eastAsia="Palatino Linotype" w:hAnsi="Palatino Linotype" w:cs="Palatino Linotype"/>
        </w:rPr>
        <w:t xml:space="preserve">, pudiendo ser a través de cualquier medio de comunicación que el </w:t>
      </w:r>
      <w:r w:rsidRPr="00BE09D5">
        <w:rPr>
          <w:rFonts w:ascii="Palatino Linotype" w:eastAsia="Palatino Linotype" w:hAnsi="Palatino Linotype" w:cs="Palatino Linotype"/>
          <w:b/>
        </w:rPr>
        <w:t>Sujeto Obligado</w:t>
      </w:r>
      <w:r w:rsidRPr="00BE09D5">
        <w:rPr>
          <w:rFonts w:ascii="Palatino Linotype" w:eastAsia="Palatino Linotype" w:hAnsi="Palatino Linotype" w:cs="Palatino Linotype"/>
        </w:rPr>
        <w:t xml:space="preserve"> tenga a su alcance.</w:t>
      </w:r>
      <w:r w:rsidRPr="00BE09D5">
        <w:rPr>
          <w:rFonts w:ascii="Palatino Linotype" w:eastAsia="Palatino Linotype" w:hAnsi="Palatino Linotype" w:cs="Palatino Linotype"/>
          <w:b/>
          <w:u w:val="single"/>
        </w:rPr>
        <w:t xml:space="preserve"> </w:t>
      </w:r>
    </w:p>
    <w:p w14:paraId="469ABB0B"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t xml:space="preserve">Con base en lo anterior, se colige que lo contestado por el Servidor Público Habilitado se constituye en una expresión en sentido negativo puesto que en la misma refiere expresamente que no se generaron oficios para la difusión del </w:t>
      </w:r>
      <w:proofErr w:type="gramStart"/>
      <w:r w:rsidRPr="00BE09D5">
        <w:rPr>
          <w:rFonts w:ascii="Palatino Linotype" w:eastAsia="Palatino Linotype" w:hAnsi="Palatino Linotype" w:cs="Palatino Linotype"/>
        </w:rPr>
        <w:t>único  Manual</w:t>
      </w:r>
      <w:proofErr w:type="gramEnd"/>
      <w:r w:rsidRPr="00BE09D5">
        <w:rPr>
          <w:rFonts w:ascii="Palatino Linotype" w:eastAsia="Palatino Linotype" w:hAnsi="Palatino Linotype" w:cs="Palatino Linotype"/>
        </w:rPr>
        <w:t xml:space="preserve"> que ha recibido por parte de la Comisión Estatal de Mejora Regulatoria.</w:t>
      </w:r>
    </w:p>
    <w:p w14:paraId="39067EDF" w14:textId="77777777" w:rsidR="002124C6" w:rsidRPr="00BE09D5" w:rsidRDefault="00BE09D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t xml:space="preserve">Por consiguiente, toda vez que no posee, administra, ni generó la información requerida por la persona solicitante, constituye un hecho negativo; entonces, si se considera el hecho negativo, es obvio que éste no puede fácticamente obrar en los </w:t>
      </w:r>
      <w:r w:rsidRPr="00BE09D5">
        <w:rPr>
          <w:rFonts w:ascii="Palatino Linotype" w:eastAsia="Palatino Linotype" w:hAnsi="Palatino Linotype" w:cs="Palatino Linotype"/>
        </w:rPr>
        <w:lastRenderedPageBreak/>
        <w:t xml:space="preserve">archivos del </w:t>
      </w:r>
      <w:r w:rsidRPr="00BE09D5">
        <w:rPr>
          <w:rFonts w:ascii="Palatino Linotype" w:eastAsia="Palatino Linotype" w:hAnsi="Palatino Linotype" w:cs="Palatino Linotype"/>
          <w:b/>
        </w:rPr>
        <w:t>Sujeto Obligado</w:t>
      </w:r>
      <w:r w:rsidRPr="00BE09D5">
        <w:rPr>
          <w:rFonts w:ascii="Palatino Linotype" w:eastAsia="Palatino Linotype" w:hAnsi="Palatino Linotype" w:cs="Palatino Linotype"/>
        </w:rPr>
        <w:t>, ya que no puede probarse por ser lógica y materialmente imposible.</w:t>
      </w:r>
    </w:p>
    <w:p w14:paraId="493DFDBD" w14:textId="77777777" w:rsidR="002124C6" w:rsidRPr="00BE09D5" w:rsidRDefault="00BE09D5">
      <w:pPr>
        <w:pBdr>
          <w:top w:val="nil"/>
          <w:left w:val="nil"/>
          <w:bottom w:val="nil"/>
          <w:right w:val="nil"/>
          <w:between w:val="nil"/>
        </w:pBdr>
        <w:spacing w:before="240" w:after="240" w:line="360" w:lineRule="auto"/>
        <w:jc w:val="both"/>
        <w:rPr>
          <w:sz w:val="28"/>
          <w:szCs w:val="28"/>
        </w:rPr>
      </w:pPr>
      <w:r w:rsidRPr="00BE09D5">
        <w:rPr>
          <w:rFonts w:ascii="Palatino Linotype" w:eastAsia="Palatino Linotype" w:hAnsi="Palatino Linotype" w:cs="Palatino Linotype"/>
        </w:rPr>
        <w:t>Asimismo, no se trata de un caso por el cual la negación del hecho implique la afirmación del mismo, simplemente se está ante una notoria y evidente inexistencia fáctica de la información solicitada en dicha área, por lo que resulta aplicable la Tesis</w:t>
      </w:r>
      <w:r w:rsidRPr="00BE09D5">
        <w:rPr>
          <w:rFonts w:ascii="Palatino Linotype" w:eastAsia="Palatino Linotype" w:hAnsi="Palatino Linotype" w:cs="Palatino Linotype"/>
          <w:vertAlign w:val="superscript"/>
        </w:rPr>
        <w:footnoteReference w:id="2"/>
      </w:r>
      <w:r w:rsidRPr="00BE09D5">
        <w:rPr>
          <w:rFonts w:ascii="Palatino Linotype" w:eastAsia="Palatino Linotype" w:hAnsi="Palatino Linotype" w:cs="Palatino Linotype"/>
        </w:rPr>
        <w:t xml:space="preserve"> emitida por la Segunda Sala de la Suprema Corte de la Nación, que es del tenor literal siguiente:</w:t>
      </w:r>
    </w:p>
    <w:p w14:paraId="6A3C157F" w14:textId="77777777" w:rsidR="002124C6" w:rsidRPr="00BE09D5" w:rsidRDefault="00BE09D5">
      <w:pPr>
        <w:pBdr>
          <w:top w:val="nil"/>
          <w:left w:val="nil"/>
          <w:bottom w:val="nil"/>
          <w:right w:val="nil"/>
          <w:between w:val="nil"/>
        </w:pBdr>
        <w:spacing w:before="120" w:after="120"/>
        <w:ind w:left="851" w:right="900"/>
        <w:jc w:val="both"/>
      </w:pPr>
      <w:r w:rsidRPr="00BE09D5">
        <w:rPr>
          <w:rFonts w:ascii="Palatino Linotype" w:eastAsia="Palatino Linotype" w:hAnsi="Palatino Linotype" w:cs="Palatino Linotype"/>
          <w:b/>
          <w:i/>
          <w:sz w:val="22"/>
          <w:szCs w:val="22"/>
        </w:rPr>
        <w:t xml:space="preserve"> “HECHOS NEGATIVOS, NO SON SUSCEPTIBLES DE </w:t>
      </w:r>
      <w:proofErr w:type="spellStart"/>
      <w:r w:rsidRPr="00BE09D5">
        <w:rPr>
          <w:rFonts w:ascii="Palatino Linotype" w:eastAsia="Palatino Linotype" w:hAnsi="Palatino Linotype" w:cs="Palatino Linotype"/>
          <w:b/>
          <w:i/>
          <w:sz w:val="22"/>
          <w:szCs w:val="22"/>
        </w:rPr>
        <w:t>DEMOSTRACIÓN.</w:t>
      </w:r>
      <w:r w:rsidRPr="00BE09D5">
        <w:rPr>
          <w:rFonts w:ascii="Palatino Linotype" w:eastAsia="Palatino Linotype" w:hAnsi="Palatino Linotype" w:cs="Palatino Linotype"/>
          <w:i/>
          <w:sz w:val="22"/>
          <w:szCs w:val="22"/>
        </w:rPr>
        <w:t>Tratándose</w:t>
      </w:r>
      <w:proofErr w:type="spellEnd"/>
      <w:r w:rsidRPr="00BE09D5">
        <w:rPr>
          <w:rFonts w:ascii="Palatino Linotype" w:eastAsia="Palatino Linotype" w:hAnsi="Palatino Linotype" w:cs="Palatino Linotype"/>
          <w:i/>
          <w:sz w:val="22"/>
          <w:szCs w:val="22"/>
        </w:rPr>
        <w:t xml:space="preserve"> de un hecho negativo, el Juez no tiene </w:t>
      </w:r>
      <w:proofErr w:type="spellStart"/>
      <w:r w:rsidRPr="00BE09D5">
        <w:rPr>
          <w:rFonts w:ascii="Palatino Linotype" w:eastAsia="Palatino Linotype" w:hAnsi="Palatino Linotype" w:cs="Palatino Linotype"/>
          <w:i/>
          <w:sz w:val="22"/>
          <w:szCs w:val="22"/>
        </w:rPr>
        <w:t>por que</w:t>
      </w:r>
      <w:proofErr w:type="spellEnd"/>
      <w:r w:rsidRPr="00BE09D5">
        <w:rPr>
          <w:rFonts w:ascii="Palatino Linotype" w:eastAsia="Palatino Linotype" w:hAnsi="Palatino Linotype" w:cs="Palatino Linotype"/>
          <w:i/>
          <w:sz w:val="22"/>
          <w:szCs w:val="22"/>
        </w:rPr>
        <w:t xml:space="preserve"> invocar prueba alguna de la que se desprenda, ya que es bien sabido que esta clase de hechos no son susceptibles de demostración.”</w:t>
      </w:r>
    </w:p>
    <w:p w14:paraId="1E11A12D" w14:textId="77777777" w:rsidR="002124C6" w:rsidRPr="00BE09D5" w:rsidRDefault="00BE09D5">
      <w:pPr>
        <w:spacing w:before="240" w:after="240" w:line="360" w:lineRule="auto"/>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rPr>
        <w:t>En consecuencia, no es procedente la entrega de documento alguno, o en su caso, el Acuerdo de Inexistencia, toda vez que el pronunciamiento del Servidor Público Habilitado</w:t>
      </w:r>
      <w:r w:rsidRPr="00BE09D5">
        <w:rPr>
          <w:rFonts w:ascii="Palatino Linotype" w:eastAsia="Palatino Linotype" w:hAnsi="Palatino Linotype" w:cs="Palatino Linotype"/>
          <w:b/>
        </w:rPr>
        <w:t xml:space="preserve"> </w:t>
      </w:r>
      <w:r w:rsidRPr="00BE09D5">
        <w:rPr>
          <w:rFonts w:ascii="Palatino Linotype" w:eastAsia="Palatino Linotype" w:hAnsi="Palatino Linotype" w:cs="Palatino Linotype"/>
        </w:rPr>
        <w:t>declara en automática la inexistencia de la información solicitada de modo que no existe obligación de justificar o allegar pruebas, y por ende no tiene aplicación lo estatuido en el artículo 49 fracción XIII de la Ley de la Materia.</w:t>
      </w:r>
    </w:p>
    <w:p w14:paraId="2560EE60" w14:textId="77777777" w:rsidR="002124C6" w:rsidRPr="00BE09D5" w:rsidRDefault="00BE09D5">
      <w:pPr>
        <w:spacing w:before="240" w:after="360" w:line="360" w:lineRule="auto"/>
        <w:ind w:right="18"/>
        <w:jc w:val="both"/>
        <w:rPr>
          <w:rFonts w:ascii="Palatino Linotype" w:eastAsia="Palatino Linotype" w:hAnsi="Palatino Linotype" w:cs="Palatino Linotype"/>
        </w:rPr>
      </w:pPr>
      <w:r w:rsidRPr="00BE09D5">
        <w:rPr>
          <w:rFonts w:ascii="Palatino Linotype" w:eastAsia="Palatino Linotype" w:hAnsi="Palatino Linotype" w:cs="Palatino Linotype"/>
        </w:rPr>
        <w:t>De tal manera que basta con la aseveración por parte del Servidor Público Habilitado de la Coordinación de Mejora Regulatoria en relación a la inexistencia de información relacionada con el requerimiento de información que formuló la recurrente; siendo que de conformidad con lo establecido en el artículo 12, segundo párrafo de la Ley de Transparencia y Acceso a la Información Pública del Estado de México y Municipios</w:t>
      </w:r>
      <w:r w:rsidRPr="00BE09D5">
        <w:rPr>
          <w:rFonts w:ascii="Palatino Linotype" w:eastAsia="Palatino Linotype" w:hAnsi="Palatino Linotype" w:cs="Palatino Linotype"/>
          <w:vertAlign w:val="superscript"/>
        </w:rPr>
        <w:footnoteReference w:id="3"/>
      </w:r>
      <w:r w:rsidRPr="00BE09D5">
        <w:rPr>
          <w:rFonts w:ascii="Palatino Linotype" w:eastAsia="Palatino Linotype" w:hAnsi="Palatino Linotype" w:cs="Palatino Linotype"/>
        </w:rPr>
        <w:t xml:space="preserve">, los Sujetos Obligados solo proporcionaran la información </w:t>
      </w:r>
      <w:r w:rsidRPr="00BE09D5">
        <w:rPr>
          <w:rFonts w:ascii="Palatino Linotype" w:eastAsia="Palatino Linotype" w:hAnsi="Palatino Linotype" w:cs="Palatino Linotype"/>
        </w:rPr>
        <w:lastRenderedPageBreak/>
        <w:t>pública que se les requiera y que obre en sus archivos y en el estado en que ésta se encuentre, en sentido contrario, no están obligados a proporcionar lo que no tengan en sus archivos.</w:t>
      </w:r>
    </w:p>
    <w:p w14:paraId="12A5A71A" w14:textId="77777777" w:rsidR="002124C6" w:rsidRPr="00BE09D5" w:rsidRDefault="00BE09D5">
      <w:pPr>
        <w:spacing w:before="240" w:after="360" w:line="360" w:lineRule="auto"/>
        <w:ind w:right="18"/>
        <w:jc w:val="both"/>
        <w:rPr>
          <w:rFonts w:ascii="Palatino Linotype" w:eastAsia="Palatino Linotype" w:hAnsi="Palatino Linotype" w:cs="Palatino Linotype"/>
        </w:rPr>
      </w:pPr>
      <w:r w:rsidRPr="00BE09D5">
        <w:rPr>
          <w:rFonts w:ascii="Palatino Linotype" w:eastAsia="Palatino Linotype" w:hAnsi="Palatino Linotype" w:cs="Palatino Linotype"/>
        </w:rPr>
        <w:t>Y, menos aún, los Sujetos Obligados se encuentran obligados a generar documentos a fin de atender las solicitudes de acceso a la información que les sean formuladas, tal y como se desprende del mismo texto del artículo 12 de la Ley de la Materia en consulta.</w:t>
      </w:r>
    </w:p>
    <w:p w14:paraId="78085C32" w14:textId="77777777" w:rsidR="002124C6" w:rsidRPr="00BE09D5" w:rsidRDefault="00BE09D5">
      <w:pPr>
        <w:spacing w:before="240" w:after="360" w:line="360" w:lineRule="auto"/>
        <w:ind w:right="18"/>
        <w:jc w:val="both"/>
        <w:rPr>
          <w:rFonts w:ascii="Palatino Linotype" w:eastAsia="Palatino Linotype" w:hAnsi="Palatino Linotype" w:cs="Palatino Linotype"/>
        </w:rPr>
      </w:pPr>
      <w:r w:rsidRPr="00BE09D5">
        <w:rPr>
          <w:rFonts w:ascii="Palatino Linotype" w:eastAsia="Palatino Linotype" w:hAnsi="Palatino Linotype" w:cs="Palatino Linotype"/>
        </w:rPr>
        <w:t xml:space="preserve">Aunado a lo anterior, se destaca que, al haber existido un pronunciamiento por parte del </w:t>
      </w:r>
      <w:r w:rsidRPr="00BE09D5">
        <w:rPr>
          <w:rFonts w:ascii="Palatino Linotype" w:eastAsia="Palatino Linotype" w:hAnsi="Palatino Linotype" w:cs="Palatino Linotype"/>
          <w:b/>
        </w:rPr>
        <w:t>Sujeto Obligado</w:t>
      </w:r>
      <w:r w:rsidRPr="00BE09D5">
        <w:rPr>
          <w:rFonts w:ascii="Palatino Linotype" w:eastAsia="Palatino Linotype" w:hAnsi="Palatino Linotype" w:cs="Palatino Linotype"/>
        </w:rPr>
        <w:t xml:space="preserve"> respecto de la materia de solicitud, en el que brinda información puntual sobre cada requerimiento planteados por la parte hoy recurrente, este Órgano Garante no está facultado para manifestarse sobre la veracidad de lo expresado por parte de éste, pues no existe precepto legal alguno en la Ley de la materia que lo faculte para ello. </w:t>
      </w:r>
    </w:p>
    <w:p w14:paraId="73C5DC80"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t xml:space="preserve">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08A921E6" w14:textId="77777777" w:rsidR="002124C6" w:rsidRPr="00BE09D5" w:rsidRDefault="00BE09D5">
      <w:pPr>
        <w:spacing w:before="240" w:after="240"/>
        <w:ind w:left="851" w:right="900"/>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t>“</w:t>
      </w:r>
      <w:r w:rsidRPr="00BE09D5">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BE09D5">
        <w:rPr>
          <w:rFonts w:ascii="Palatino Linotype" w:eastAsia="Palatino Linotype" w:hAnsi="Palatino Linotype" w:cs="Palatino Linotype"/>
          <w:i/>
          <w:sz w:val="22"/>
          <w:szCs w:val="22"/>
        </w:rPr>
        <w:t xml:space="preserve"> El Instituto Federal de Acceso a la Información y Protección de Datos es un órgano de la </w:t>
      </w:r>
      <w:r w:rsidRPr="00BE09D5">
        <w:rPr>
          <w:rFonts w:ascii="Palatino Linotype" w:eastAsia="Palatino Linotype" w:hAnsi="Palatino Linotype" w:cs="Palatino Linotype"/>
          <w:i/>
          <w:sz w:val="22"/>
          <w:szCs w:val="22"/>
        </w:rPr>
        <w:lastRenderedPageBreak/>
        <w:t>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B8630B9" w14:textId="77777777" w:rsidR="002124C6" w:rsidRPr="00BE09D5" w:rsidRDefault="00BE09D5">
      <w:pPr>
        <w:spacing w:before="240" w:after="240" w:line="360" w:lineRule="auto"/>
        <w:jc w:val="both"/>
        <w:rPr>
          <w:rFonts w:ascii="Palatino Linotype" w:eastAsia="Palatino Linotype" w:hAnsi="Palatino Linotype" w:cs="Palatino Linotype"/>
          <w:b/>
          <w:u w:val="single"/>
        </w:rPr>
      </w:pPr>
      <w:r w:rsidRPr="00BE09D5">
        <w:rPr>
          <w:rFonts w:ascii="Palatino Linotype" w:eastAsia="Palatino Linotype" w:hAnsi="Palatino Linotype" w:cs="Palatino Linotype"/>
        </w:rPr>
        <w:t xml:space="preserve">En esta tesitura, se estima que la información remitida por el </w:t>
      </w:r>
      <w:r w:rsidRPr="00BE09D5">
        <w:rPr>
          <w:rFonts w:ascii="Palatino Linotype" w:eastAsia="Palatino Linotype" w:hAnsi="Palatino Linotype" w:cs="Palatino Linotype"/>
          <w:b/>
        </w:rPr>
        <w:t xml:space="preserve">Sujeto Obligado </w:t>
      </w:r>
      <w:r w:rsidRPr="00BE09D5">
        <w:rPr>
          <w:rFonts w:ascii="Palatino Linotype" w:eastAsia="Palatino Linotype" w:hAnsi="Palatino Linotype" w:cs="Palatino Linotype"/>
        </w:rPr>
        <w:t>en la etapa de manifestaciones</w:t>
      </w:r>
      <w:r w:rsidRPr="00BE09D5">
        <w:rPr>
          <w:rFonts w:ascii="Palatino Linotype" w:eastAsia="Palatino Linotype" w:hAnsi="Palatino Linotype" w:cs="Palatino Linotype"/>
          <w:b/>
        </w:rPr>
        <w:t xml:space="preserve"> </w:t>
      </w:r>
      <w:r w:rsidRPr="00BE09D5">
        <w:rPr>
          <w:rFonts w:ascii="Palatino Linotype" w:eastAsia="Palatino Linotype" w:hAnsi="Palatino Linotype" w:cs="Palatino Linotype"/>
        </w:rPr>
        <w:t xml:space="preserve">es suficiente para tener por atendido el derecho de acceso a la información de la persona solicitante, </w:t>
      </w:r>
      <w:r w:rsidRPr="00BE09D5">
        <w:rPr>
          <w:rFonts w:ascii="Palatino Linotype" w:eastAsia="Palatino Linotype" w:hAnsi="Palatino Linotype" w:cs="Palatino Linotype"/>
          <w:b/>
          <w:u w:val="single"/>
        </w:rPr>
        <w:t>respecto del ejercicio 2022.</w:t>
      </w:r>
    </w:p>
    <w:p w14:paraId="4607FD94"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t>Sin embargo, no pasa desapercibido para este Organismo Garante que la persona solicitante no señaló el periodo sobre el cual requería la información, por lo que resulta aplicable el criterio de interpretación 03/19 emitido por el Instituto Nacional de Transparencia Acceso a la Información y Protección de Datos Personales, INAI, en el cual es del tenor literal siguiente:</w:t>
      </w:r>
    </w:p>
    <w:p w14:paraId="3B97DE79" w14:textId="77777777" w:rsidR="002124C6" w:rsidRPr="00BE09D5" w:rsidRDefault="00BE09D5">
      <w:pPr>
        <w:spacing w:before="120" w:after="120"/>
        <w:ind w:left="851" w:right="900"/>
        <w:jc w:val="both"/>
        <w:rPr>
          <w:rFonts w:ascii="Palatino Linotype" w:eastAsia="Palatino Linotype" w:hAnsi="Palatino Linotype" w:cs="Palatino Linotype"/>
          <w:i/>
        </w:rPr>
      </w:pPr>
      <w:r w:rsidRPr="00BE09D5">
        <w:rPr>
          <w:rFonts w:ascii="Palatino Linotype" w:eastAsia="Palatino Linotype" w:hAnsi="Palatino Linotype" w:cs="Palatino Linotype"/>
          <w:i/>
          <w:sz w:val="22"/>
          <w:szCs w:val="22"/>
        </w:rPr>
        <w:t>“</w:t>
      </w:r>
      <w:r w:rsidRPr="00BE09D5">
        <w:rPr>
          <w:rFonts w:ascii="Palatino Linotype" w:eastAsia="Palatino Linotype" w:hAnsi="Palatino Linotype" w:cs="Palatino Linotype"/>
          <w:b/>
          <w:i/>
          <w:sz w:val="22"/>
          <w:szCs w:val="22"/>
        </w:rPr>
        <w:t>Periodo de búsqueda de la información</w:t>
      </w:r>
      <w:r w:rsidRPr="00BE09D5">
        <w:rPr>
          <w:rFonts w:ascii="Palatino Linotype" w:eastAsia="Palatino Linotype" w:hAnsi="Palatino Linotype" w:cs="Palatino Linotype"/>
          <w:i/>
          <w:sz w:val="22"/>
          <w:szCs w:val="22"/>
        </w:rPr>
        <w:t>.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r w:rsidRPr="00BE09D5">
        <w:rPr>
          <w:rFonts w:ascii="Palatino Linotype" w:eastAsia="Palatino Linotype" w:hAnsi="Palatino Linotype" w:cs="Palatino Linotype"/>
          <w:i/>
        </w:rPr>
        <w:t xml:space="preserve">  </w:t>
      </w:r>
    </w:p>
    <w:p w14:paraId="4C3E9B47"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t xml:space="preserve">En este sentido, debe entenderse que la solicitud se refiere al periodo comprendido desde el dieciséis de junio de dos mil veintidós al dieciséis de junio de dos mil veintitrés, no obstante, el servidor público habilitado solo se pronunció respecto del ejercicio 2022, sin hacer referencia a la existencia o inexistencia de información por cuanto hace al ejercicio 2023, hasta fecha de presentación de la solicitud, es decir, </w:t>
      </w:r>
      <w:r w:rsidRPr="00BE09D5">
        <w:rPr>
          <w:rFonts w:ascii="Palatino Linotype" w:eastAsia="Palatino Linotype" w:hAnsi="Palatino Linotype" w:cs="Palatino Linotype"/>
        </w:rPr>
        <w:lastRenderedPageBreak/>
        <w:t>que su respuesta no agotó los principios de congruencia y exhaustividad, conforme al criterio 02/17 emitido por el Peno del Instituto Nacional de Transparencia y Acceso a la Información y Protección de Datos Personales, de título y texto siguientes:</w:t>
      </w:r>
    </w:p>
    <w:p w14:paraId="18D7CC09" w14:textId="77777777" w:rsidR="002124C6" w:rsidRPr="00BE09D5" w:rsidRDefault="00BE09D5">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 xml:space="preserve">“Congruencia y exhaustividad. Sus alcances para garantizar el derecho de acceso a la información. </w:t>
      </w:r>
      <w:r w:rsidRPr="00BE09D5">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BE09D5">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BE09D5">
        <w:rPr>
          <w:rFonts w:ascii="Palatino Linotype" w:eastAsia="Palatino Linotype" w:hAnsi="Palatino Linotype" w:cs="Palatino Linotype"/>
          <w:i/>
          <w:sz w:val="22"/>
          <w:szCs w:val="22"/>
        </w:rPr>
        <w:t xml:space="preserve">; mientras que </w:t>
      </w:r>
      <w:r w:rsidRPr="00BE09D5">
        <w:rPr>
          <w:rFonts w:ascii="Palatino Linotype" w:eastAsia="Palatino Linotype" w:hAnsi="Palatino Linotype" w:cs="Palatino Linotype"/>
          <w:b/>
          <w:i/>
          <w:sz w:val="22"/>
          <w:szCs w:val="22"/>
        </w:rPr>
        <w:t>la exhaustividad significa que dicha respuesta se refiera expresamente a cada uno de los puntos solicitados</w:t>
      </w:r>
      <w:r w:rsidRPr="00BE09D5">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9BB358F"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t xml:space="preserve">Con base en lo anterior, este Organismo Garante, con la finalidad de garantizar el derecho humano de acceso a la información de la parte </w:t>
      </w:r>
      <w:r w:rsidRPr="00BE09D5">
        <w:rPr>
          <w:rFonts w:ascii="Palatino Linotype" w:eastAsia="Palatino Linotype" w:hAnsi="Palatino Linotype" w:cs="Palatino Linotype"/>
          <w:b/>
        </w:rPr>
        <w:t>Recurrente,</w:t>
      </w:r>
      <w:r w:rsidRPr="00BE09D5">
        <w:rPr>
          <w:rFonts w:ascii="Palatino Linotype" w:eastAsia="Palatino Linotype" w:hAnsi="Palatino Linotype" w:cs="Palatino Linotype"/>
        </w:rPr>
        <w:t xml:space="preserve"> y a fin de reparar el agravio causado ante la omisión en que incurriera el </w:t>
      </w:r>
      <w:r w:rsidRPr="00BE09D5">
        <w:rPr>
          <w:rFonts w:ascii="Palatino Linotype" w:eastAsia="Palatino Linotype" w:hAnsi="Palatino Linotype" w:cs="Palatino Linotype"/>
          <w:b/>
        </w:rPr>
        <w:t>Sujeto Obligado</w:t>
      </w:r>
      <w:r w:rsidRPr="00BE09D5">
        <w:rPr>
          <w:rFonts w:ascii="Palatino Linotype" w:eastAsia="Palatino Linotype" w:hAnsi="Palatino Linotype" w:cs="Palatino Linotype"/>
        </w:rPr>
        <w:t xml:space="preserve">, ya que, como se señaló, su respuesta careció de los principios de congruencia y exhaustividad, al no pronunciarse respecto al ejercicio 2023 se estima procedente ordenar que, previa búsqueda exhaustiva y razonable, se haga entrega del o los oficios mediante los cuales se hayan difundido los lineamientos, manuales e instructivos que la Coordinación Municipal de Mejora Regulatoria recibió de la Comisión Estatal de Mejora Regulatoria, a través de los Enlaces de Mejora Regulatoria de los Comités Internos, del uno de enero al dieciséis de junio de dos </w:t>
      </w:r>
      <w:r w:rsidRPr="00BE09D5">
        <w:rPr>
          <w:rFonts w:ascii="Palatino Linotype" w:eastAsia="Palatino Linotype" w:hAnsi="Palatino Linotype" w:cs="Palatino Linotype"/>
        </w:rPr>
        <w:lastRenderedPageBreak/>
        <w:t>mil veintitrés, en versión pública de ser necesario, conforme al considerando siguiente.</w:t>
      </w:r>
    </w:p>
    <w:p w14:paraId="0E0282F2"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t>Sin embargo, para el caso de que no se llegara a localizar información derivado de la búsqueda que se ordena,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11664925" w14:textId="77777777" w:rsidR="002124C6" w:rsidRPr="00BE09D5" w:rsidRDefault="00BE09D5">
      <w:pPr>
        <w:spacing w:before="120" w:after="120"/>
        <w:ind w:left="851"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t>“</w:t>
      </w:r>
      <w:r w:rsidRPr="00BE09D5">
        <w:rPr>
          <w:rFonts w:ascii="Palatino Linotype" w:eastAsia="Palatino Linotype" w:hAnsi="Palatino Linotype" w:cs="Palatino Linotype"/>
          <w:b/>
          <w:i/>
          <w:sz w:val="22"/>
          <w:szCs w:val="22"/>
        </w:rPr>
        <w:t>Artículo 19</w:t>
      </w:r>
      <w:r w:rsidRPr="00BE09D5">
        <w:rPr>
          <w:rFonts w:ascii="Palatino Linotype" w:eastAsia="Palatino Linotype" w:hAnsi="Palatino Linotype" w:cs="Palatino Linotype"/>
          <w:i/>
          <w:sz w:val="22"/>
          <w:szCs w:val="22"/>
        </w:rPr>
        <w:t>…</w:t>
      </w:r>
    </w:p>
    <w:p w14:paraId="1C10D202" w14:textId="77777777" w:rsidR="002124C6" w:rsidRPr="00BE09D5" w:rsidRDefault="00BE09D5">
      <w:pPr>
        <w:spacing w:before="120" w:after="120"/>
        <w:ind w:left="851"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4C5547BB" w14:textId="77777777" w:rsidR="002124C6" w:rsidRPr="00BE09D5" w:rsidRDefault="00BE09D5">
      <w:pPr>
        <w:spacing w:before="240" w:after="240" w:line="360" w:lineRule="auto"/>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rPr>
        <w:t xml:space="preserve">Siendo improcedente, en tal supuesto, la entrega de documento alguno, o en su caso, el Acuerdo de Inexistencia, toda vez que el pronunciamiento del </w:t>
      </w:r>
      <w:r w:rsidRPr="00BE09D5">
        <w:rPr>
          <w:rFonts w:ascii="Palatino Linotype" w:eastAsia="Palatino Linotype" w:hAnsi="Palatino Linotype" w:cs="Palatino Linotype"/>
          <w:b/>
        </w:rPr>
        <w:t>Sujeto Obligado</w:t>
      </w:r>
      <w:r w:rsidRPr="00BE09D5">
        <w:rPr>
          <w:rFonts w:ascii="Palatino Linotype" w:eastAsia="Palatino Linotype" w:hAnsi="Palatino Linotype" w:cs="Palatino Linotype"/>
        </w:rPr>
        <w:t xml:space="preserve"> declararía en automática la inexistencia de la información solicitada de modo que no existe obligación de justificar o allegar pruebas, y por ende no tiene aplicación lo estatuido en el artículo 49, fracción XIII</w:t>
      </w:r>
      <w:r w:rsidRPr="00BE09D5">
        <w:rPr>
          <w:rFonts w:ascii="Palatino Linotype" w:eastAsia="Palatino Linotype" w:hAnsi="Palatino Linotype" w:cs="Palatino Linotype"/>
          <w:vertAlign w:val="superscript"/>
        </w:rPr>
        <w:footnoteReference w:id="4"/>
      </w:r>
      <w:r w:rsidRPr="00BE09D5">
        <w:rPr>
          <w:rFonts w:ascii="Palatino Linotype" w:eastAsia="Palatino Linotype" w:hAnsi="Palatino Linotype" w:cs="Palatino Linotype"/>
        </w:rPr>
        <w:t xml:space="preserve"> de la Ley de Transparencia y Acceso a la Información Pública del Estado de México y Municipios.</w:t>
      </w:r>
    </w:p>
    <w:p w14:paraId="7EADA2D4" w14:textId="77777777" w:rsidR="002124C6" w:rsidRPr="00BE09D5" w:rsidRDefault="00BE09D5">
      <w:pPr>
        <w:pBdr>
          <w:top w:val="nil"/>
          <w:left w:val="nil"/>
          <w:bottom w:val="nil"/>
          <w:right w:val="nil"/>
          <w:between w:val="nil"/>
        </w:pBdr>
        <w:spacing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t xml:space="preserve">Finalmente, respecto de las manifestaciones realizadas por la parte </w:t>
      </w:r>
      <w:r w:rsidRPr="00BE09D5">
        <w:rPr>
          <w:rFonts w:ascii="Palatino Linotype" w:eastAsia="Palatino Linotype" w:hAnsi="Palatino Linotype" w:cs="Palatino Linotype"/>
          <w:b/>
        </w:rPr>
        <w:t>Recurrente</w:t>
      </w:r>
      <w:r w:rsidRPr="00BE09D5">
        <w:rPr>
          <w:rFonts w:ascii="Palatino Linotype" w:eastAsia="Palatino Linotype" w:hAnsi="Palatino Linotype" w:cs="Palatino Linotype"/>
        </w:rPr>
        <w:t xml:space="preserve"> en sus agravios, consistentes en </w:t>
      </w:r>
      <w:r w:rsidRPr="00BE09D5">
        <w:rPr>
          <w:rFonts w:ascii="Palatino Linotype" w:eastAsia="Palatino Linotype" w:hAnsi="Palatino Linotype" w:cs="Palatino Linotype"/>
          <w:i/>
        </w:rPr>
        <w:t xml:space="preserve">“…Dar vista al Órgano Interno de Control en términos de la Ley de Responsabilidades Administrativas del Estado de México y Municipios, para que </w:t>
      </w:r>
      <w:r w:rsidRPr="00BE09D5">
        <w:rPr>
          <w:rFonts w:ascii="Palatino Linotype" w:eastAsia="Palatino Linotype" w:hAnsi="Palatino Linotype" w:cs="Palatino Linotype"/>
          <w:i/>
        </w:rPr>
        <w:lastRenderedPageBreak/>
        <w:t>determine el grado de responsabilidad por la vulneración al derecho de acceso a la información, pues la presente solicitud forma parte de un cúmulo de solicitudes que el sujeto obligado no atendió en tiempo y forma. Lo anterior, para los efectos legales y administrativos a que haya lugar…” (sic)</w:t>
      </w:r>
      <w:r w:rsidRPr="00BE09D5">
        <w:rPr>
          <w:rFonts w:ascii="Palatino Linotype" w:eastAsia="Palatino Linotype" w:hAnsi="Palatino Linotype" w:cs="Palatino Linotype"/>
        </w:rPr>
        <w:t>; y derivado que el Recurso de Revisión no es el medio para sancionar, este Organismo Garante sugiere a la persona solicitante, interponer su queja o denuncia ante la autoridad competente.</w:t>
      </w:r>
    </w:p>
    <w:p w14:paraId="664C8D4F" w14:textId="77777777" w:rsidR="002124C6" w:rsidRPr="00BE09D5" w:rsidRDefault="00BE09D5">
      <w:pPr>
        <w:spacing w:before="240" w:after="240" w:line="360" w:lineRule="auto"/>
        <w:ind w:right="51"/>
        <w:jc w:val="both"/>
        <w:rPr>
          <w:rFonts w:ascii="Palatino Linotype" w:eastAsia="Palatino Linotype" w:hAnsi="Palatino Linotype" w:cs="Palatino Linotype"/>
        </w:rPr>
      </w:pPr>
      <w:r w:rsidRPr="00BE09D5">
        <w:rPr>
          <w:rFonts w:ascii="Palatino Linotype" w:eastAsia="Palatino Linotype" w:hAnsi="Palatino Linotype" w:cs="Palatino Linotype"/>
        </w:rPr>
        <w:t xml:space="preserve">De lo hasta aquí expuesto, se concluye que los motivos de inconformidad de la parte </w:t>
      </w:r>
      <w:r w:rsidRPr="00BE09D5">
        <w:rPr>
          <w:rFonts w:ascii="Palatino Linotype" w:eastAsia="Palatino Linotype" w:hAnsi="Palatino Linotype" w:cs="Palatino Linotype"/>
          <w:b/>
        </w:rPr>
        <w:t xml:space="preserve">Recurrente </w:t>
      </w:r>
      <w:r w:rsidRPr="00BE09D5">
        <w:rPr>
          <w:rFonts w:ascii="Palatino Linotype" w:eastAsia="Palatino Linotype" w:hAnsi="Palatino Linotype" w:cs="Palatino Linotype"/>
        </w:rPr>
        <w:t xml:space="preserve">devienen parcialmente fundados, siendo procedente </w:t>
      </w:r>
      <w:r w:rsidRPr="00BE09D5">
        <w:rPr>
          <w:rFonts w:ascii="Palatino Linotype" w:eastAsia="Palatino Linotype" w:hAnsi="Palatino Linotype" w:cs="Palatino Linotype"/>
          <w:i/>
        </w:rPr>
        <w:t xml:space="preserve">Revocar </w:t>
      </w:r>
      <w:r w:rsidRPr="00BE09D5">
        <w:rPr>
          <w:rFonts w:ascii="Palatino Linotype" w:eastAsia="Palatino Linotype" w:hAnsi="Palatino Linotype" w:cs="Palatino Linotype"/>
        </w:rPr>
        <w:t xml:space="preserve">la respuesta proporcionada por el </w:t>
      </w:r>
      <w:r w:rsidRPr="00BE09D5">
        <w:rPr>
          <w:rFonts w:ascii="Palatino Linotype" w:eastAsia="Palatino Linotype" w:hAnsi="Palatino Linotype" w:cs="Palatino Linotype"/>
          <w:b/>
        </w:rPr>
        <w:t xml:space="preserve">Sujeto Obligado </w:t>
      </w:r>
      <w:r w:rsidRPr="00BE09D5">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21D5F7ED"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b/>
        </w:rPr>
        <w:t>Quinto. Versión Pública.</w:t>
      </w:r>
      <w:r w:rsidRPr="00BE09D5">
        <w:rPr>
          <w:rFonts w:ascii="Palatino Linotype" w:eastAsia="Palatino Linotype" w:hAnsi="Palatino Linotype" w:cs="Palatino Linotype"/>
          <w:sz w:val="28"/>
          <w:szCs w:val="28"/>
        </w:rPr>
        <w:t xml:space="preserve"> </w:t>
      </w:r>
      <w:r w:rsidRPr="00BE09D5">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sidRPr="00BE09D5">
        <w:rPr>
          <w:rFonts w:ascii="Palatino Linotype" w:eastAsia="Palatino Linotype" w:hAnsi="Palatino Linotype" w:cs="Palatino Linotype"/>
          <w:b/>
        </w:rPr>
        <w:t>Sujeto Obligado</w:t>
      </w:r>
      <w:r w:rsidRPr="00BE09D5">
        <w:rPr>
          <w:rFonts w:ascii="Palatino Linotype" w:eastAsia="Palatino Linotype" w:hAnsi="Palatino Linotype" w:cs="Palatino Linotype"/>
        </w:rPr>
        <w:t xml:space="preserve"> deberá hacer la elaboración de la versión pública de tales documentos a fin de satisfacer el derecho de acceso a la información pública de la parte </w:t>
      </w:r>
      <w:r w:rsidRPr="00BE09D5">
        <w:rPr>
          <w:rFonts w:ascii="Palatino Linotype" w:eastAsia="Palatino Linotype" w:hAnsi="Palatino Linotype" w:cs="Palatino Linotype"/>
          <w:b/>
        </w:rPr>
        <w:t>Recurrente</w:t>
      </w:r>
      <w:r w:rsidRPr="00BE09D5">
        <w:rPr>
          <w:rFonts w:ascii="Palatino Linotype" w:eastAsia="Palatino Linotype" w:hAnsi="Palatino Linotype" w:cs="Palatino Linotype"/>
        </w:rPr>
        <w:t xml:space="preserve"> sin menoscabo al derecho a la protección de los datos personales de terceros.</w:t>
      </w:r>
    </w:p>
    <w:p w14:paraId="28950BFA"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78F9373B" w14:textId="77777777" w:rsidR="002124C6" w:rsidRPr="00BE09D5" w:rsidRDefault="00BE09D5">
      <w:pPr>
        <w:spacing w:before="120" w:after="120"/>
        <w:ind w:left="851"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t>“</w:t>
      </w:r>
      <w:r w:rsidRPr="00BE09D5">
        <w:rPr>
          <w:rFonts w:ascii="Palatino Linotype" w:eastAsia="Palatino Linotype" w:hAnsi="Palatino Linotype" w:cs="Palatino Linotype"/>
          <w:b/>
          <w:i/>
          <w:sz w:val="22"/>
          <w:szCs w:val="22"/>
        </w:rPr>
        <w:t>Artículo 3</w:t>
      </w:r>
      <w:r w:rsidRPr="00BE09D5">
        <w:rPr>
          <w:rFonts w:ascii="Palatino Linotype" w:eastAsia="Palatino Linotype" w:hAnsi="Palatino Linotype" w:cs="Palatino Linotype"/>
          <w:i/>
          <w:sz w:val="22"/>
          <w:szCs w:val="22"/>
        </w:rPr>
        <w:t>. Para los efectos de la presente Ley se entenderá por:</w:t>
      </w:r>
    </w:p>
    <w:p w14:paraId="0BC8C23B" w14:textId="77777777" w:rsidR="002124C6" w:rsidRPr="00BE09D5" w:rsidRDefault="00BE09D5">
      <w:pPr>
        <w:spacing w:before="120" w:after="120"/>
        <w:ind w:left="1134"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t>[…]</w:t>
      </w:r>
    </w:p>
    <w:p w14:paraId="2FD00536" w14:textId="77777777" w:rsidR="002124C6" w:rsidRPr="00BE09D5" w:rsidRDefault="00BE09D5">
      <w:pPr>
        <w:spacing w:before="120" w:after="120"/>
        <w:ind w:left="1134"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lastRenderedPageBreak/>
        <w:t>IX. Datos personales</w:t>
      </w:r>
      <w:r w:rsidRPr="00BE09D5">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5A64AFCC" w14:textId="77777777" w:rsidR="002124C6" w:rsidRPr="00BE09D5" w:rsidRDefault="00BE09D5">
      <w:pPr>
        <w:spacing w:before="120" w:after="120"/>
        <w:ind w:left="1134"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XX. Información clasificada</w:t>
      </w:r>
      <w:r w:rsidRPr="00BE09D5">
        <w:rPr>
          <w:rFonts w:ascii="Palatino Linotype" w:eastAsia="Palatino Linotype" w:hAnsi="Palatino Linotype" w:cs="Palatino Linotype"/>
          <w:i/>
          <w:sz w:val="22"/>
          <w:szCs w:val="22"/>
        </w:rPr>
        <w:t>: Aquella considerada por la presente Ley como reservada o confidencial;</w:t>
      </w:r>
    </w:p>
    <w:p w14:paraId="63B91460" w14:textId="77777777" w:rsidR="002124C6" w:rsidRPr="00BE09D5" w:rsidRDefault="00BE09D5">
      <w:pPr>
        <w:spacing w:before="120" w:after="120"/>
        <w:ind w:left="1134"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 xml:space="preserve">XXI. Información confidencial: </w:t>
      </w:r>
      <w:r w:rsidRPr="00BE09D5">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E4F9CF6" w14:textId="77777777" w:rsidR="002124C6" w:rsidRPr="00BE09D5" w:rsidRDefault="00BE09D5">
      <w:pPr>
        <w:spacing w:before="120" w:after="120"/>
        <w:ind w:left="1134"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XLV. Versión pública:</w:t>
      </w:r>
      <w:r w:rsidRPr="00BE09D5">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5F456D65" w14:textId="77777777" w:rsidR="002124C6" w:rsidRPr="00BE09D5" w:rsidRDefault="00BE09D5">
      <w:pPr>
        <w:spacing w:before="120" w:after="120"/>
        <w:ind w:left="1134"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t>[…]</w:t>
      </w:r>
    </w:p>
    <w:p w14:paraId="0582A857" w14:textId="77777777" w:rsidR="002124C6" w:rsidRPr="00BE09D5" w:rsidRDefault="00BE09D5">
      <w:pPr>
        <w:spacing w:before="120" w:after="120"/>
        <w:ind w:left="851"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Artículo 91.</w:t>
      </w:r>
      <w:r w:rsidRPr="00BE09D5">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0080D39F" w14:textId="77777777" w:rsidR="002124C6" w:rsidRPr="00BE09D5" w:rsidRDefault="00BE09D5">
      <w:pPr>
        <w:spacing w:before="120" w:after="120"/>
        <w:ind w:left="851"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Artículo 132.</w:t>
      </w:r>
      <w:r w:rsidRPr="00BE09D5">
        <w:rPr>
          <w:rFonts w:ascii="Palatino Linotype" w:eastAsia="Palatino Linotype" w:hAnsi="Palatino Linotype" w:cs="Palatino Linotype"/>
          <w:i/>
          <w:sz w:val="22"/>
          <w:szCs w:val="22"/>
        </w:rPr>
        <w:t xml:space="preserve"> La clasificación de la información se llevará a cabo en el momento en que:</w:t>
      </w:r>
    </w:p>
    <w:p w14:paraId="69432F36" w14:textId="77777777" w:rsidR="002124C6" w:rsidRPr="00BE09D5" w:rsidRDefault="00BE09D5">
      <w:pPr>
        <w:spacing w:before="120" w:after="120"/>
        <w:ind w:left="1134"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I</w:t>
      </w:r>
      <w:r w:rsidRPr="00BE09D5">
        <w:rPr>
          <w:rFonts w:ascii="Palatino Linotype" w:eastAsia="Palatino Linotype" w:hAnsi="Palatino Linotype" w:cs="Palatino Linotype"/>
          <w:i/>
          <w:sz w:val="22"/>
          <w:szCs w:val="22"/>
        </w:rPr>
        <w:t>. Se reciba una solicitud de acceso a la información;</w:t>
      </w:r>
    </w:p>
    <w:p w14:paraId="51770A27" w14:textId="77777777" w:rsidR="002124C6" w:rsidRPr="00BE09D5" w:rsidRDefault="00BE09D5">
      <w:pPr>
        <w:spacing w:before="120" w:after="120"/>
        <w:ind w:left="1134"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II.</w:t>
      </w:r>
      <w:r w:rsidRPr="00BE09D5">
        <w:rPr>
          <w:rFonts w:ascii="Palatino Linotype" w:eastAsia="Palatino Linotype" w:hAnsi="Palatino Linotype" w:cs="Palatino Linotype"/>
          <w:i/>
          <w:sz w:val="22"/>
          <w:szCs w:val="22"/>
        </w:rPr>
        <w:t xml:space="preserve"> Se determine mediante resolución de autoridad competente; o</w:t>
      </w:r>
    </w:p>
    <w:p w14:paraId="5ECD4FCF" w14:textId="77777777" w:rsidR="002124C6" w:rsidRPr="00BE09D5" w:rsidRDefault="00BE09D5">
      <w:pPr>
        <w:spacing w:before="120" w:after="120"/>
        <w:ind w:left="1134"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III.</w:t>
      </w:r>
      <w:r w:rsidRPr="00BE09D5">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057BA9A5" w14:textId="77777777" w:rsidR="002124C6" w:rsidRPr="00BE09D5" w:rsidRDefault="00BE09D5">
      <w:pPr>
        <w:spacing w:before="120" w:after="120"/>
        <w:ind w:left="851"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t>[…]</w:t>
      </w:r>
    </w:p>
    <w:p w14:paraId="7427D290" w14:textId="77777777" w:rsidR="002124C6" w:rsidRPr="00BE09D5" w:rsidRDefault="00BE09D5">
      <w:pPr>
        <w:spacing w:before="120" w:after="120"/>
        <w:ind w:left="851"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Artículo 143</w:t>
      </w:r>
      <w:r w:rsidRPr="00BE09D5">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6C5E449" w14:textId="77777777" w:rsidR="002124C6" w:rsidRPr="00BE09D5" w:rsidRDefault="00BE09D5">
      <w:pPr>
        <w:spacing w:before="120" w:after="120"/>
        <w:ind w:left="1134"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I.</w:t>
      </w:r>
      <w:r w:rsidRPr="00BE09D5">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0D395AA" w14:textId="77777777" w:rsidR="002124C6" w:rsidRPr="00BE09D5" w:rsidRDefault="00BE09D5">
      <w:pPr>
        <w:spacing w:before="120" w:after="120"/>
        <w:ind w:left="1134"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II.</w:t>
      </w:r>
      <w:r w:rsidRPr="00BE09D5">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0219019" w14:textId="77777777" w:rsidR="002124C6" w:rsidRPr="00BE09D5" w:rsidRDefault="00BE09D5">
      <w:pPr>
        <w:spacing w:before="120" w:after="120"/>
        <w:ind w:left="1134"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III.</w:t>
      </w:r>
      <w:r w:rsidRPr="00BE09D5">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12A1D3CB" w14:textId="77777777" w:rsidR="002124C6" w:rsidRPr="00BE09D5" w:rsidRDefault="00BE09D5">
      <w:pPr>
        <w:spacing w:before="120" w:after="120"/>
        <w:ind w:left="851"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lastRenderedPageBreak/>
        <w:t>La información confidencial no estará sujeta a temporalidad alguna y sólo podrán tener acceso a ella los titulares de la misma, sus representantes y los servidores públicos facultados para ello.</w:t>
      </w:r>
    </w:p>
    <w:p w14:paraId="6546DBE0" w14:textId="77777777" w:rsidR="002124C6" w:rsidRPr="00BE09D5" w:rsidRDefault="00BE09D5">
      <w:pPr>
        <w:spacing w:before="120" w:after="120"/>
        <w:ind w:left="851"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A6E0500"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9C2CF08" w14:textId="77777777" w:rsidR="002124C6" w:rsidRPr="00BE09D5" w:rsidRDefault="00BE09D5">
      <w:pPr>
        <w:spacing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t xml:space="preserve">Entorno a lo que aquí nos interesa, los Lineamientos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w:t>
      </w:r>
      <w:r w:rsidRPr="00BE09D5">
        <w:rPr>
          <w:rFonts w:ascii="Palatino Linotype" w:eastAsia="Palatino Linotype" w:hAnsi="Palatino Linotype" w:cs="Palatino Linotype"/>
          <w:b/>
        </w:rPr>
        <w:t>Sujeto Obligado</w:t>
      </w:r>
      <w:r w:rsidRPr="00BE09D5">
        <w:rPr>
          <w:rFonts w:ascii="Palatino Linotype" w:eastAsia="Palatino Linotype" w:hAnsi="Palatino Linotype" w:cs="Palatino Linotype"/>
        </w:rPr>
        <w:t>, siendo estas las siguientes:</w:t>
      </w:r>
    </w:p>
    <w:p w14:paraId="618D2D50" w14:textId="77777777" w:rsidR="002124C6" w:rsidRPr="00BE09D5" w:rsidRDefault="00BE09D5">
      <w:pPr>
        <w:spacing w:before="120" w:after="120"/>
        <w:ind w:left="851"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 xml:space="preserve"> “Quincuagésimo. </w:t>
      </w:r>
      <w:r w:rsidRPr="00BE09D5">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01033E0" w14:textId="77777777" w:rsidR="002124C6" w:rsidRPr="00BE09D5" w:rsidRDefault="00BE09D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 xml:space="preserve">Quincuagésimo primero. </w:t>
      </w:r>
      <w:r w:rsidRPr="00BE09D5">
        <w:rPr>
          <w:rFonts w:ascii="Palatino Linotype" w:eastAsia="Palatino Linotype" w:hAnsi="Palatino Linotype" w:cs="Palatino Linotype"/>
          <w:i/>
          <w:sz w:val="22"/>
          <w:szCs w:val="22"/>
        </w:rPr>
        <w:t xml:space="preserve">Toda acta del Comité de Transparencia deberá contener: </w:t>
      </w:r>
    </w:p>
    <w:p w14:paraId="08A2DBBD" w14:textId="77777777" w:rsidR="002124C6" w:rsidRPr="00BE09D5" w:rsidRDefault="00BE09D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I.</w:t>
      </w:r>
      <w:r w:rsidRPr="00BE09D5">
        <w:rPr>
          <w:rFonts w:ascii="Palatino Linotype" w:eastAsia="Palatino Linotype" w:hAnsi="Palatino Linotype" w:cs="Palatino Linotype"/>
          <w:i/>
          <w:sz w:val="22"/>
          <w:szCs w:val="22"/>
        </w:rPr>
        <w:t xml:space="preserve"> El número de sesión y fecha; </w:t>
      </w:r>
    </w:p>
    <w:p w14:paraId="6AD4A073" w14:textId="77777777" w:rsidR="002124C6" w:rsidRPr="00BE09D5" w:rsidRDefault="00BE09D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lastRenderedPageBreak/>
        <w:t>II</w:t>
      </w:r>
      <w:r w:rsidRPr="00BE09D5">
        <w:rPr>
          <w:rFonts w:ascii="Palatino Linotype" w:eastAsia="Palatino Linotype" w:hAnsi="Palatino Linotype" w:cs="Palatino Linotype"/>
          <w:i/>
          <w:sz w:val="22"/>
          <w:szCs w:val="22"/>
        </w:rPr>
        <w:t xml:space="preserve">. El nombre del área que solicitó la clasificación de información; </w:t>
      </w:r>
    </w:p>
    <w:p w14:paraId="7A1C4B83" w14:textId="77777777" w:rsidR="002124C6" w:rsidRPr="00BE09D5" w:rsidRDefault="00BE09D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III</w:t>
      </w:r>
      <w:r w:rsidRPr="00BE09D5">
        <w:rPr>
          <w:rFonts w:ascii="Palatino Linotype" w:eastAsia="Palatino Linotype" w:hAnsi="Palatino Linotype" w:cs="Palatino Linotype"/>
          <w:i/>
          <w:sz w:val="22"/>
          <w:szCs w:val="22"/>
        </w:rPr>
        <w:t xml:space="preserve">. La fundamentación legal y motivación correspondiente; </w:t>
      </w:r>
    </w:p>
    <w:p w14:paraId="2A89D268" w14:textId="77777777" w:rsidR="002124C6" w:rsidRPr="00BE09D5" w:rsidRDefault="00BE09D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IV</w:t>
      </w:r>
      <w:r w:rsidRPr="00BE09D5">
        <w:rPr>
          <w:rFonts w:ascii="Palatino Linotype" w:eastAsia="Palatino Linotype" w:hAnsi="Palatino Linotype" w:cs="Palatino Linotype"/>
          <w:i/>
          <w:sz w:val="22"/>
          <w:szCs w:val="22"/>
        </w:rPr>
        <w:t xml:space="preserve">. La resolución o resoluciones aprobadas; y </w:t>
      </w:r>
    </w:p>
    <w:p w14:paraId="0459B654" w14:textId="77777777" w:rsidR="002124C6" w:rsidRPr="00BE09D5" w:rsidRDefault="00BE09D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V</w:t>
      </w:r>
      <w:r w:rsidRPr="00BE09D5">
        <w:rPr>
          <w:rFonts w:ascii="Palatino Linotype" w:eastAsia="Palatino Linotype" w:hAnsi="Palatino Linotype" w:cs="Palatino Linotype"/>
          <w:i/>
          <w:sz w:val="22"/>
          <w:szCs w:val="22"/>
        </w:rPr>
        <w:t xml:space="preserve">. La rúbrica o firma digital de cada integrante del Comité de Transparencia. </w:t>
      </w:r>
    </w:p>
    <w:p w14:paraId="00B46021" w14:textId="77777777" w:rsidR="002124C6" w:rsidRPr="00BE09D5" w:rsidRDefault="00BE09D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22D87A87" w14:textId="77777777" w:rsidR="002124C6" w:rsidRPr="00BE09D5" w:rsidRDefault="00BE09D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I.</w:t>
      </w:r>
      <w:r w:rsidRPr="00BE09D5">
        <w:rPr>
          <w:rFonts w:ascii="Palatino Linotype" w:eastAsia="Palatino Linotype" w:hAnsi="Palatino Linotype" w:cs="Palatino Linotype"/>
          <w:i/>
          <w:sz w:val="22"/>
          <w:szCs w:val="22"/>
        </w:rPr>
        <w:t xml:space="preserve"> Los motivos y razonamientos que sustenten la confirmación o modificación de la prueba de daño;</w:t>
      </w:r>
    </w:p>
    <w:p w14:paraId="65E14AC8" w14:textId="77777777" w:rsidR="002124C6" w:rsidRPr="00BE09D5" w:rsidRDefault="00BE09D5">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BE09D5">
        <w:rPr>
          <w:rFonts w:ascii="Palatino Linotype" w:eastAsia="Palatino Linotype" w:hAnsi="Palatino Linotype" w:cs="Palatino Linotype"/>
          <w:b/>
          <w:i/>
          <w:sz w:val="22"/>
          <w:szCs w:val="22"/>
        </w:rPr>
        <w:t>II</w:t>
      </w:r>
      <w:r w:rsidRPr="00BE09D5">
        <w:rPr>
          <w:rFonts w:ascii="Palatino Linotype" w:eastAsia="Palatino Linotype" w:hAnsi="Palatino Linotype" w:cs="Palatino Linotype"/>
          <w:i/>
          <w:sz w:val="22"/>
          <w:szCs w:val="22"/>
        </w:rPr>
        <w:t>. Descripción de las partes o secciones reservadas, en caso de clasificación parcial</w:t>
      </w:r>
      <w:r w:rsidRPr="00BE09D5">
        <w:rPr>
          <w:rFonts w:ascii="Palatino Linotype" w:eastAsia="Palatino Linotype" w:hAnsi="Palatino Linotype" w:cs="Palatino Linotype"/>
          <w:b/>
          <w:i/>
          <w:sz w:val="22"/>
          <w:szCs w:val="22"/>
        </w:rPr>
        <w:t xml:space="preserve">; </w:t>
      </w:r>
    </w:p>
    <w:p w14:paraId="0EFED9C7" w14:textId="77777777" w:rsidR="002124C6" w:rsidRPr="00BE09D5" w:rsidRDefault="00BE09D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III.</w:t>
      </w:r>
      <w:r w:rsidRPr="00BE09D5">
        <w:rPr>
          <w:rFonts w:ascii="Palatino Linotype" w:eastAsia="Palatino Linotype" w:hAnsi="Palatino Linotype" w:cs="Palatino Linotype"/>
          <w:i/>
          <w:sz w:val="22"/>
          <w:szCs w:val="22"/>
        </w:rPr>
        <w:t xml:space="preserve"> El periodo por el que mantendrá su clasificación y fecha de expiración; y </w:t>
      </w:r>
    </w:p>
    <w:p w14:paraId="61F54D81" w14:textId="77777777" w:rsidR="002124C6" w:rsidRPr="00BE09D5" w:rsidRDefault="00BE09D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IV.</w:t>
      </w:r>
      <w:r w:rsidRPr="00BE09D5">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1AAB4022" w14:textId="77777777" w:rsidR="002124C6" w:rsidRPr="00BE09D5" w:rsidRDefault="00BE09D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6C80BE7" w14:textId="77777777" w:rsidR="002124C6" w:rsidRPr="00BE09D5" w:rsidRDefault="00BE09D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337D758F" w14:textId="77777777" w:rsidR="002124C6" w:rsidRPr="00BE09D5" w:rsidRDefault="00BE09D5">
      <w:pPr>
        <w:spacing w:before="120" w:after="120"/>
        <w:ind w:left="851" w:right="900"/>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Quincuagésimo segundo</w:t>
      </w:r>
      <w:r w:rsidRPr="00BE09D5">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F13C437" w14:textId="77777777" w:rsidR="002124C6" w:rsidRPr="00BE09D5" w:rsidRDefault="00BE09D5">
      <w:pPr>
        <w:spacing w:before="120" w:after="120"/>
        <w:ind w:left="851" w:right="900"/>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t xml:space="preserve">En el caso </w:t>
      </w:r>
      <w:proofErr w:type="spellStart"/>
      <w:r w:rsidRPr="00BE09D5">
        <w:rPr>
          <w:rFonts w:ascii="Palatino Linotype" w:eastAsia="Palatino Linotype" w:hAnsi="Palatino Linotype" w:cs="Palatino Linotype"/>
          <w:i/>
          <w:sz w:val="22"/>
          <w:szCs w:val="22"/>
        </w:rPr>
        <w:t>especifico</w:t>
      </w:r>
      <w:proofErr w:type="spellEnd"/>
      <w:r w:rsidRPr="00BE09D5">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645B66F1" w14:textId="77777777" w:rsidR="002124C6" w:rsidRPr="00BE09D5" w:rsidRDefault="00BE09D5">
      <w:pPr>
        <w:spacing w:before="120" w:after="120"/>
        <w:ind w:left="1134" w:right="900"/>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I.</w:t>
      </w:r>
      <w:r w:rsidRPr="00BE09D5">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21891A39" w14:textId="77777777" w:rsidR="002124C6" w:rsidRPr="00BE09D5" w:rsidRDefault="00BE09D5">
      <w:pPr>
        <w:spacing w:before="120" w:after="120"/>
        <w:ind w:left="1134" w:right="900"/>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II.</w:t>
      </w:r>
      <w:r w:rsidRPr="00BE09D5">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23BFBB0D" w14:textId="77777777" w:rsidR="002124C6" w:rsidRPr="00BE09D5" w:rsidRDefault="00BE09D5">
      <w:pPr>
        <w:spacing w:before="120" w:after="120"/>
        <w:ind w:left="1134" w:right="900"/>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lastRenderedPageBreak/>
        <w:t>III.</w:t>
      </w:r>
      <w:r w:rsidRPr="00BE09D5">
        <w:rPr>
          <w:rFonts w:ascii="Palatino Linotype" w:eastAsia="Palatino Linotype" w:hAnsi="Palatino Linotype" w:cs="Palatino Linotype"/>
          <w:i/>
          <w:sz w:val="22"/>
          <w:szCs w:val="22"/>
        </w:rPr>
        <w:t xml:space="preserve"> Señalar las personas o instancias autorizadas a acceder a la información clasificada.</w:t>
      </w:r>
    </w:p>
    <w:p w14:paraId="0D7799FF" w14:textId="77777777" w:rsidR="002124C6" w:rsidRPr="00BE09D5" w:rsidRDefault="00BE09D5">
      <w:pPr>
        <w:spacing w:before="120" w:after="120"/>
        <w:ind w:left="851" w:right="900"/>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405B8EEC" w14:textId="77777777" w:rsidR="002124C6" w:rsidRPr="00BE09D5" w:rsidRDefault="00BE09D5">
      <w:pPr>
        <w:spacing w:before="240" w:after="240" w:line="360" w:lineRule="auto"/>
        <w:ind w:right="50"/>
        <w:jc w:val="both"/>
        <w:rPr>
          <w:rFonts w:ascii="Palatino Linotype" w:eastAsia="Palatino Linotype" w:hAnsi="Palatino Linotype" w:cs="Palatino Linotype"/>
          <w:sz w:val="22"/>
          <w:szCs w:val="22"/>
        </w:rPr>
      </w:pPr>
      <w:r w:rsidRPr="00BE09D5">
        <w:rPr>
          <w:rFonts w:ascii="Palatino Linotype" w:eastAsia="Palatino Linotype" w:hAnsi="Palatino Linotype" w:cs="Palatino Linotype"/>
        </w:rPr>
        <w:t xml:space="preserve">En relación directa con ello deberá observar el Lineamiento Quincuagésimo tercero de los Lineamientos Generales en Materia de Clasificación y Desclasificación de la Información </w:t>
      </w:r>
      <w:proofErr w:type="spellStart"/>
      <w:r w:rsidRPr="00BE09D5">
        <w:rPr>
          <w:rFonts w:ascii="Palatino Linotype" w:eastAsia="Palatino Linotype" w:hAnsi="Palatino Linotype" w:cs="Palatino Linotype"/>
        </w:rPr>
        <w:t>supraindicados</w:t>
      </w:r>
      <w:proofErr w:type="spellEnd"/>
      <w:r w:rsidRPr="00BE09D5">
        <w:rPr>
          <w:rFonts w:ascii="Palatino Linotype" w:eastAsia="Palatino Linotype" w:hAnsi="Palatino Linotype" w:cs="Palatino Linotype"/>
        </w:rPr>
        <w:t xml:space="preserve">, que establece los formatos para la clasificación de los documentos, conforme a lo siguiente: </w:t>
      </w:r>
    </w:p>
    <w:p w14:paraId="1386D1EC" w14:textId="77777777" w:rsidR="002124C6" w:rsidRPr="00BE09D5" w:rsidRDefault="00BE09D5">
      <w:pPr>
        <w:ind w:left="851" w:right="900"/>
        <w:jc w:val="center"/>
        <w:rPr>
          <w:rFonts w:ascii="Palatino Linotype" w:eastAsia="Palatino Linotype" w:hAnsi="Palatino Linotype" w:cs="Palatino Linotype"/>
          <w:b/>
          <w:i/>
          <w:sz w:val="22"/>
          <w:szCs w:val="22"/>
        </w:rPr>
      </w:pPr>
      <w:r w:rsidRPr="00BE09D5">
        <w:rPr>
          <w:rFonts w:ascii="Palatino Linotype" w:eastAsia="Palatino Linotype" w:hAnsi="Palatino Linotype" w:cs="Palatino Linotype"/>
          <w:b/>
          <w:i/>
          <w:sz w:val="22"/>
          <w:szCs w:val="22"/>
        </w:rPr>
        <w:t>CAPÍTULO VIII</w:t>
      </w:r>
    </w:p>
    <w:p w14:paraId="36300A93" w14:textId="77777777" w:rsidR="002124C6" w:rsidRPr="00BE09D5" w:rsidRDefault="00BE09D5">
      <w:pPr>
        <w:ind w:left="851" w:right="900"/>
        <w:jc w:val="center"/>
        <w:rPr>
          <w:rFonts w:ascii="Palatino Linotype" w:eastAsia="Palatino Linotype" w:hAnsi="Palatino Linotype" w:cs="Palatino Linotype"/>
          <w:b/>
          <w:i/>
          <w:sz w:val="22"/>
          <w:szCs w:val="22"/>
        </w:rPr>
      </w:pPr>
      <w:r w:rsidRPr="00BE09D5">
        <w:rPr>
          <w:rFonts w:ascii="Palatino Linotype" w:eastAsia="Palatino Linotype" w:hAnsi="Palatino Linotype" w:cs="Palatino Linotype"/>
          <w:b/>
          <w:i/>
          <w:sz w:val="22"/>
          <w:szCs w:val="22"/>
        </w:rPr>
        <w:t xml:space="preserve">DE LOS ELEMENTOS PARA LA CLASIFICACIÓN </w:t>
      </w:r>
    </w:p>
    <w:p w14:paraId="6C1279F3" w14:textId="77777777" w:rsidR="002124C6" w:rsidRPr="00BE09D5" w:rsidRDefault="00BE09D5">
      <w:pPr>
        <w:ind w:left="851" w:right="900"/>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t>…</w:t>
      </w:r>
    </w:p>
    <w:p w14:paraId="1BDD433C" w14:textId="77777777" w:rsidR="002124C6" w:rsidRPr="00BE09D5" w:rsidRDefault="00BE09D5">
      <w:pPr>
        <w:spacing w:before="120" w:after="120"/>
        <w:ind w:left="851"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 xml:space="preserve">Quincuagésimo tercero. </w:t>
      </w:r>
      <w:r w:rsidRPr="00BE09D5">
        <w:rPr>
          <w:rFonts w:ascii="Palatino Linotype" w:eastAsia="Palatino Linotype" w:hAnsi="Palatino Linotype" w:cs="Palatino Linotype"/>
          <w:b/>
          <w:i/>
          <w:sz w:val="22"/>
          <w:szCs w:val="22"/>
          <w:u w:val="single"/>
        </w:rPr>
        <w:t>El formato para señalar la clasificación de un documento o expediente que contenga información reservada</w:t>
      </w:r>
      <w:r w:rsidRPr="00BE09D5">
        <w:rPr>
          <w:rFonts w:ascii="Palatino Linotype" w:eastAsia="Palatino Linotype" w:hAnsi="Palatino Linotype" w:cs="Palatino Linotype"/>
          <w:b/>
          <w:i/>
          <w:sz w:val="22"/>
          <w:szCs w:val="22"/>
        </w:rPr>
        <w:t xml:space="preserve">, </w:t>
      </w:r>
      <w:r w:rsidRPr="00BE09D5">
        <w:rPr>
          <w:rFonts w:ascii="Palatino Linotype" w:eastAsia="Palatino Linotype" w:hAnsi="Palatino Linotype" w:cs="Palatino Linotype"/>
          <w:i/>
          <w:sz w:val="22"/>
          <w:szCs w:val="22"/>
        </w:rPr>
        <w:t xml:space="preserve">es el siguiente: </w:t>
      </w:r>
    </w:p>
    <w:p w14:paraId="12691444" w14:textId="77777777" w:rsidR="002124C6" w:rsidRPr="00BE09D5" w:rsidRDefault="00BE09D5">
      <w:pPr>
        <w:spacing w:before="120" w:after="120"/>
        <w:ind w:left="851" w:right="902"/>
        <w:jc w:val="both"/>
        <w:rPr>
          <w:rFonts w:ascii="Palatino Linotype" w:eastAsia="Palatino Linotype" w:hAnsi="Palatino Linotype" w:cs="Palatino Linotype"/>
          <w:b/>
          <w:i/>
          <w:sz w:val="22"/>
          <w:szCs w:val="22"/>
        </w:rPr>
      </w:pPr>
      <w:r w:rsidRPr="00BE09D5">
        <w:rPr>
          <w:rFonts w:ascii="Palatino Linotype" w:eastAsia="Palatino Linotype" w:hAnsi="Palatino Linotype" w:cs="Palatino Linotype"/>
          <w:b/>
          <w:i/>
          <w:noProof/>
          <w:sz w:val="22"/>
          <w:szCs w:val="22"/>
        </w:rPr>
        <w:drawing>
          <wp:inline distT="0" distB="0" distL="0" distR="0" wp14:anchorId="66570A78" wp14:editId="3439860B">
            <wp:extent cx="4295775" cy="295275"/>
            <wp:effectExtent l="0" t="0" r="0" b="0"/>
            <wp:docPr id="10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b="95731"/>
                    <a:stretch>
                      <a:fillRect/>
                    </a:stretch>
                  </pic:blipFill>
                  <pic:spPr>
                    <a:xfrm>
                      <a:off x="0" y="0"/>
                      <a:ext cx="4295775" cy="295275"/>
                    </a:xfrm>
                    <a:prstGeom prst="rect">
                      <a:avLst/>
                    </a:prstGeom>
                    <a:ln/>
                  </pic:spPr>
                </pic:pic>
              </a:graphicData>
            </a:graphic>
          </wp:inline>
        </w:drawing>
      </w:r>
    </w:p>
    <w:p w14:paraId="643B2268" w14:textId="77777777" w:rsidR="002124C6" w:rsidRPr="00BE09D5" w:rsidRDefault="00BE09D5">
      <w:pPr>
        <w:spacing w:before="120" w:after="120"/>
        <w:ind w:left="851" w:right="902"/>
        <w:jc w:val="both"/>
        <w:rPr>
          <w:rFonts w:ascii="Palatino Linotype" w:eastAsia="Palatino Linotype" w:hAnsi="Palatino Linotype" w:cs="Palatino Linotype"/>
          <w:b/>
          <w:i/>
          <w:sz w:val="22"/>
          <w:szCs w:val="22"/>
        </w:rPr>
      </w:pPr>
      <w:r w:rsidRPr="00BE09D5">
        <w:rPr>
          <w:rFonts w:ascii="Palatino Linotype" w:eastAsia="Palatino Linotype" w:hAnsi="Palatino Linotype" w:cs="Palatino Linotype"/>
          <w:b/>
          <w:i/>
          <w:noProof/>
          <w:sz w:val="22"/>
          <w:szCs w:val="22"/>
        </w:rPr>
        <w:drawing>
          <wp:inline distT="0" distB="0" distL="0" distR="0" wp14:anchorId="1DD835C8" wp14:editId="0A93EEB6">
            <wp:extent cx="4333875" cy="2981762"/>
            <wp:effectExtent l="0" t="0" r="0" b="0"/>
            <wp:docPr id="1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t="30910" b="25919"/>
                    <a:stretch>
                      <a:fillRect/>
                    </a:stretch>
                  </pic:blipFill>
                  <pic:spPr>
                    <a:xfrm>
                      <a:off x="0" y="0"/>
                      <a:ext cx="4333875" cy="2981762"/>
                    </a:xfrm>
                    <a:prstGeom prst="rect">
                      <a:avLst/>
                    </a:prstGeom>
                    <a:ln/>
                  </pic:spPr>
                </pic:pic>
              </a:graphicData>
            </a:graphic>
          </wp:inline>
        </w:drawing>
      </w:r>
    </w:p>
    <w:p w14:paraId="4BA3E857" w14:textId="77777777" w:rsidR="002124C6" w:rsidRPr="00BE09D5" w:rsidRDefault="00BE09D5">
      <w:pPr>
        <w:spacing w:before="120" w:after="120"/>
        <w:ind w:left="851" w:right="902"/>
        <w:jc w:val="both"/>
        <w:rPr>
          <w:rFonts w:ascii="Palatino Linotype" w:eastAsia="Palatino Linotype" w:hAnsi="Palatino Linotype" w:cs="Palatino Linotype"/>
          <w:b/>
          <w:i/>
          <w:sz w:val="22"/>
          <w:szCs w:val="22"/>
        </w:rPr>
      </w:pPr>
      <w:r w:rsidRPr="00BE09D5">
        <w:rPr>
          <w:rFonts w:ascii="Palatino Linotype" w:eastAsia="Palatino Linotype" w:hAnsi="Palatino Linotype" w:cs="Palatino Linotype"/>
          <w:b/>
          <w:i/>
          <w:noProof/>
          <w:sz w:val="22"/>
          <w:szCs w:val="22"/>
        </w:rPr>
        <w:lastRenderedPageBreak/>
        <w:drawing>
          <wp:inline distT="0" distB="0" distL="0" distR="0" wp14:anchorId="6839604E" wp14:editId="7C308645">
            <wp:extent cx="4333875" cy="1752471"/>
            <wp:effectExtent l="0" t="0" r="0" b="0"/>
            <wp:docPr id="10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t="73391" b="1236"/>
                    <a:stretch>
                      <a:fillRect/>
                    </a:stretch>
                  </pic:blipFill>
                  <pic:spPr>
                    <a:xfrm>
                      <a:off x="0" y="0"/>
                      <a:ext cx="4333875" cy="1752471"/>
                    </a:xfrm>
                    <a:prstGeom prst="rect">
                      <a:avLst/>
                    </a:prstGeom>
                    <a:ln/>
                  </pic:spPr>
                </pic:pic>
              </a:graphicData>
            </a:graphic>
          </wp:inline>
        </w:drawing>
      </w:r>
    </w:p>
    <w:p w14:paraId="6A153568" w14:textId="77777777" w:rsidR="002124C6" w:rsidRPr="00BE09D5" w:rsidRDefault="00BE09D5">
      <w:pPr>
        <w:spacing w:before="120" w:after="120"/>
        <w:ind w:left="851"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t>Los documentos que integren un expediente reservado en su totalidad no deberán marcarse en lo individual.</w:t>
      </w:r>
    </w:p>
    <w:p w14:paraId="4AAED4E3" w14:textId="77777777" w:rsidR="002124C6" w:rsidRPr="00BE09D5" w:rsidRDefault="00BE09D5">
      <w:pPr>
        <w:spacing w:before="120" w:after="120"/>
        <w:ind w:left="851"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14:paraId="3029D6D7"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t>Asimismo, deberá observar los Lineamientos Quincuagésimo cuarto, Quincuagésimo quinto, Quincuagésimo sexto, Quincuagésimo séptimo y Quincuagésimo octavo, establecen lo siguiente:</w:t>
      </w:r>
    </w:p>
    <w:p w14:paraId="5023CFCB" w14:textId="77777777" w:rsidR="002124C6" w:rsidRPr="00BE09D5" w:rsidRDefault="00BE09D5">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BE09D5">
        <w:rPr>
          <w:rFonts w:ascii="Palatino Linotype" w:eastAsia="Palatino Linotype" w:hAnsi="Palatino Linotype" w:cs="Palatino Linotype"/>
          <w:i/>
          <w:sz w:val="22"/>
          <w:szCs w:val="22"/>
        </w:rPr>
        <w:t>“</w:t>
      </w:r>
      <w:r w:rsidRPr="00BE09D5">
        <w:rPr>
          <w:rFonts w:ascii="Palatino Linotype" w:eastAsia="Palatino Linotype" w:hAnsi="Palatino Linotype" w:cs="Palatino Linotype"/>
          <w:b/>
          <w:i/>
          <w:sz w:val="22"/>
          <w:szCs w:val="22"/>
        </w:rPr>
        <w:t xml:space="preserve">Quincuagésimo cuarto. </w:t>
      </w:r>
      <w:r w:rsidRPr="00BE09D5">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BE09D5">
        <w:rPr>
          <w:rFonts w:ascii="Palatino Linotype" w:eastAsia="Palatino Linotype" w:hAnsi="Palatino Linotype" w:cs="Palatino Linotype"/>
          <w:b/>
          <w:i/>
          <w:sz w:val="22"/>
          <w:szCs w:val="22"/>
        </w:rPr>
        <w:t xml:space="preserve"> </w:t>
      </w:r>
    </w:p>
    <w:p w14:paraId="08E788D9" w14:textId="77777777" w:rsidR="002124C6" w:rsidRPr="00BE09D5" w:rsidRDefault="00BE09D5">
      <w:pPr>
        <w:spacing w:before="120" w:after="120"/>
        <w:ind w:left="851"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 xml:space="preserve">Quincuagésimo quinto. </w:t>
      </w:r>
      <w:r w:rsidRPr="00BE09D5">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BE09D5">
        <w:rPr>
          <w:rFonts w:ascii="Palatino Linotype" w:eastAsia="Palatino Linotype" w:hAnsi="Palatino Linotype" w:cs="Palatino Linotype"/>
          <w:i/>
          <w:sz w:val="22"/>
          <w:szCs w:val="22"/>
        </w:rPr>
        <w:t>testado</w:t>
      </w:r>
      <w:proofErr w:type="spellEnd"/>
      <w:r w:rsidRPr="00BE09D5">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3579A81A" w14:textId="77777777" w:rsidR="002124C6" w:rsidRPr="00BE09D5" w:rsidRDefault="00BE09D5">
      <w:pPr>
        <w:spacing w:before="120" w:after="120"/>
        <w:ind w:left="851" w:right="902"/>
        <w:jc w:val="both"/>
        <w:rPr>
          <w:rFonts w:ascii="Palatino Linotype" w:eastAsia="Palatino Linotype" w:hAnsi="Palatino Linotype" w:cs="Palatino Linotype"/>
          <w:b/>
          <w:i/>
          <w:sz w:val="22"/>
          <w:szCs w:val="22"/>
        </w:rPr>
      </w:pPr>
      <w:r w:rsidRPr="00BE09D5">
        <w:rPr>
          <w:rFonts w:ascii="Palatino Linotype" w:eastAsia="Palatino Linotype" w:hAnsi="Palatino Linotype" w:cs="Palatino Linotype"/>
          <w:b/>
          <w:i/>
          <w:sz w:val="22"/>
          <w:szCs w:val="22"/>
        </w:rPr>
        <w:t>...</w:t>
      </w:r>
    </w:p>
    <w:p w14:paraId="1732BAED" w14:textId="77777777" w:rsidR="002124C6" w:rsidRPr="00BE09D5" w:rsidRDefault="00BE09D5">
      <w:pPr>
        <w:spacing w:before="120" w:after="120"/>
        <w:ind w:left="851"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Quincuagésimo séptimo</w:t>
      </w:r>
      <w:r w:rsidRPr="00BE09D5">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1039C289" w14:textId="77777777" w:rsidR="002124C6" w:rsidRPr="00BE09D5" w:rsidRDefault="00BE09D5">
      <w:pPr>
        <w:spacing w:before="120" w:after="120"/>
        <w:ind w:left="1134"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I</w:t>
      </w:r>
      <w:r w:rsidRPr="00BE09D5">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12E8AA3C" w14:textId="77777777" w:rsidR="002124C6" w:rsidRPr="00BE09D5" w:rsidRDefault="00BE09D5">
      <w:pPr>
        <w:spacing w:before="120" w:after="120"/>
        <w:ind w:left="1134"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lastRenderedPageBreak/>
        <w:t>II.</w:t>
      </w:r>
      <w:r w:rsidRPr="00BE09D5">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02D77693" w14:textId="77777777" w:rsidR="002124C6" w:rsidRPr="00BE09D5" w:rsidRDefault="00BE09D5">
      <w:pPr>
        <w:spacing w:before="120" w:after="120"/>
        <w:ind w:left="1134"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III</w:t>
      </w:r>
      <w:r w:rsidRPr="00BE09D5">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1EEC906A" w14:textId="77777777" w:rsidR="002124C6" w:rsidRPr="00BE09D5" w:rsidRDefault="00BE09D5">
      <w:pPr>
        <w:spacing w:before="120" w:after="120"/>
        <w:ind w:left="851"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746CF006" w14:textId="77777777" w:rsidR="002124C6" w:rsidRPr="00BE09D5" w:rsidRDefault="00BE09D5">
      <w:pPr>
        <w:spacing w:before="120" w:after="120"/>
        <w:ind w:left="851" w:right="902"/>
        <w:jc w:val="both"/>
        <w:rPr>
          <w:rFonts w:ascii="Palatino Linotype" w:eastAsia="Palatino Linotype" w:hAnsi="Palatino Linotype" w:cs="Palatino Linotype"/>
          <w:i/>
          <w:sz w:val="22"/>
          <w:szCs w:val="22"/>
        </w:rPr>
      </w:pPr>
      <w:r w:rsidRPr="00BE09D5">
        <w:rPr>
          <w:rFonts w:ascii="Palatino Linotype" w:eastAsia="Palatino Linotype" w:hAnsi="Palatino Linotype" w:cs="Palatino Linotype"/>
          <w:b/>
          <w:i/>
          <w:sz w:val="22"/>
          <w:szCs w:val="22"/>
        </w:rPr>
        <w:t>Quincuagésimo octavo</w:t>
      </w:r>
      <w:r w:rsidRPr="00BE09D5">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12410BE5"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BE09D5">
        <w:rPr>
          <w:rFonts w:ascii="Palatino Linotype" w:eastAsia="Palatino Linotype" w:hAnsi="Palatino Linotype" w:cs="Palatino Linotype"/>
          <w:b/>
        </w:rPr>
        <w:t>Sujeto Obligado</w:t>
      </w:r>
      <w:r w:rsidRPr="00BE09D5">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4721174" w14:textId="77777777" w:rsidR="002124C6" w:rsidRPr="00BE09D5" w:rsidRDefault="00BE09D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t xml:space="preserve">Así, con fundamento en lo prescrito en los artículos 5 párrafos trigésimo segundo, trigésimo tercero y trigésimo cuarto de la Constitución Política del Estado Libre y Soberano de México; 2, fracción II; 29, 36 fracciones I y II; 176, 178, 181, 185 y 186 </w:t>
      </w:r>
      <w:r w:rsidRPr="00BE09D5">
        <w:rPr>
          <w:rFonts w:ascii="Palatino Linotype" w:eastAsia="Palatino Linotype" w:hAnsi="Palatino Linotype" w:cs="Palatino Linotype"/>
        </w:rPr>
        <w:lastRenderedPageBreak/>
        <w:t>fracción II de la Ley de Transparencia y Acceso a la Información Pública del Estado de México y Municipios, este Pleno:</w:t>
      </w:r>
    </w:p>
    <w:p w14:paraId="07147100" w14:textId="77777777" w:rsidR="002124C6" w:rsidRPr="00BE09D5" w:rsidRDefault="00BE09D5">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BE09D5">
        <w:rPr>
          <w:rFonts w:ascii="Palatino Linotype" w:eastAsia="Palatino Linotype" w:hAnsi="Palatino Linotype" w:cs="Palatino Linotype"/>
          <w:b/>
        </w:rPr>
        <w:t>III. R E S U E L V E:</w:t>
      </w:r>
    </w:p>
    <w:p w14:paraId="363FC905" w14:textId="77777777" w:rsidR="002124C6" w:rsidRPr="00BE09D5" w:rsidRDefault="00BE09D5">
      <w:pPr>
        <w:spacing w:before="240" w:after="240" w:line="360" w:lineRule="auto"/>
        <w:jc w:val="both"/>
        <w:rPr>
          <w:rFonts w:ascii="Palatino Linotype" w:eastAsia="Palatino Linotype" w:hAnsi="Palatino Linotype" w:cs="Palatino Linotype"/>
          <w:b/>
        </w:rPr>
      </w:pPr>
      <w:bookmarkStart w:id="8" w:name="_heading=h.3dy6vkm" w:colFirst="0" w:colLast="0"/>
      <w:bookmarkEnd w:id="8"/>
      <w:r w:rsidRPr="00BE09D5">
        <w:rPr>
          <w:rFonts w:ascii="Palatino Linotype" w:eastAsia="Palatino Linotype" w:hAnsi="Palatino Linotype" w:cs="Palatino Linotype"/>
          <w:b/>
        </w:rPr>
        <w:t xml:space="preserve">Primero. </w:t>
      </w:r>
      <w:r w:rsidRPr="00BE09D5">
        <w:rPr>
          <w:rFonts w:ascii="Palatino Linotype" w:eastAsia="Palatino Linotype" w:hAnsi="Palatino Linotype" w:cs="Palatino Linotype"/>
        </w:rPr>
        <w:t>Resultan</w:t>
      </w:r>
      <w:r w:rsidRPr="00BE09D5">
        <w:rPr>
          <w:rFonts w:ascii="Palatino Linotype" w:eastAsia="Palatino Linotype" w:hAnsi="Palatino Linotype" w:cs="Palatino Linotype"/>
          <w:b/>
        </w:rPr>
        <w:t xml:space="preserve"> parcialmente fundados</w:t>
      </w:r>
      <w:r w:rsidRPr="00BE09D5">
        <w:rPr>
          <w:rFonts w:ascii="Palatino Linotype" w:eastAsia="Palatino Linotype" w:hAnsi="Palatino Linotype" w:cs="Palatino Linotype"/>
        </w:rPr>
        <w:t xml:space="preserve"> los motivos de inconformidad hechos valer por la parte </w:t>
      </w:r>
      <w:r w:rsidRPr="00BE09D5">
        <w:rPr>
          <w:rFonts w:ascii="Palatino Linotype" w:eastAsia="Palatino Linotype" w:hAnsi="Palatino Linotype" w:cs="Palatino Linotype"/>
          <w:b/>
        </w:rPr>
        <w:t xml:space="preserve">Recurrente </w:t>
      </w:r>
      <w:r w:rsidRPr="00BE09D5">
        <w:rPr>
          <w:rFonts w:ascii="Palatino Linotype" w:eastAsia="Palatino Linotype" w:hAnsi="Palatino Linotype" w:cs="Palatino Linotype"/>
        </w:rPr>
        <w:t xml:space="preserve">en el recurso de revisión </w:t>
      </w:r>
      <w:r w:rsidRPr="00BE09D5">
        <w:rPr>
          <w:rFonts w:ascii="Palatino Linotype" w:eastAsia="Palatino Linotype" w:hAnsi="Palatino Linotype" w:cs="Palatino Linotype"/>
          <w:b/>
        </w:rPr>
        <w:t xml:space="preserve">03669/INFOEM/IP/RR/2023, </w:t>
      </w:r>
      <w:r w:rsidRPr="00BE09D5">
        <w:rPr>
          <w:rFonts w:ascii="Palatino Linotype" w:eastAsia="Palatino Linotype" w:hAnsi="Palatino Linotype" w:cs="Palatino Linotype"/>
        </w:rPr>
        <w:t xml:space="preserve">por lo que, en términos del Considerando </w:t>
      </w:r>
      <w:r w:rsidRPr="00BE09D5">
        <w:rPr>
          <w:rFonts w:ascii="Palatino Linotype" w:eastAsia="Palatino Linotype" w:hAnsi="Palatino Linotype" w:cs="Palatino Linotype"/>
          <w:b/>
        </w:rPr>
        <w:t>Cuarto</w:t>
      </w:r>
      <w:r w:rsidRPr="00BE09D5">
        <w:rPr>
          <w:rFonts w:ascii="Palatino Linotype" w:eastAsia="Palatino Linotype" w:hAnsi="Palatino Linotype" w:cs="Palatino Linotype"/>
        </w:rPr>
        <w:t xml:space="preserve"> de la presente resolución, se</w:t>
      </w:r>
      <w:r w:rsidRPr="00BE09D5">
        <w:rPr>
          <w:rFonts w:ascii="Palatino Linotype" w:eastAsia="Palatino Linotype" w:hAnsi="Palatino Linotype" w:cs="Palatino Linotype"/>
          <w:b/>
        </w:rPr>
        <w:t xml:space="preserve"> Revoca </w:t>
      </w:r>
      <w:r w:rsidRPr="00BE09D5">
        <w:rPr>
          <w:rFonts w:ascii="Palatino Linotype" w:eastAsia="Palatino Linotype" w:hAnsi="Palatino Linotype" w:cs="Palatino Linotype"/>
        </w:rPr>
        <w:t>la respuesta</w:t>
      </w:r>
      <w:r w:rsidRPr="00BE09D5">
        <w:rPr>
          <w:rFonts w:ascii="Palatino Linotype" w:eastAsia="Palatino Linotype" w:hAnsi="Palatino Linotype" w:cs="Palatino Linotype"/>
          <w:b/>
        </w:rPr>
        <w:t xml:space="preserve"> </w:t>
      </w:r>
      <w:r w:rsidRPr="00BE09D5">
        <w:rPr>
          <w:rFonts w:ascii="Palatino Linotype" w:eastAsia="Palatino Linotype" w:hAnsi="Palatino Linotype" w:cs="Palatino Linotype"/>
        </w:rPr>
        <w:t xml:space="preserve">del </w:t>
      </w:r>
      <w:r w:rsidRPr="00BE09D5">
        <w:rPr>
          <w:rFonts w:ascii="Palatino Linotype" w:eastAsia="Palatino Linotype" w:hAnsi="Palatino Linotype" w:cs="Palatino Linotype"/>
          <w:b/>
        </w:rPr>
        <w:t>Sujeto Obligado.</w:t>
      </w:r>
    </w:p>
    <w:p w14:paraId="480F8B40" w14:textId="77777777" w:rsidR="002124C6" w:rsidRPr="00BE09D5" w:rsidRDefault="00BE09D5">
      <w:pPr>
        <w:spacing w:before="240" w:after="240" w:line="360" w:lineRule="auto"/>
        <w:jc w:val="both"/>
        <w:rPr>
          <w:rFonts w:ascii="Palatino Linotype" w:eastAsia="Palatino Linotype" w:hAnsi="Palatino Linotype" w:cs="Palatino Linotype"/>
        </w:rPr>
      </w:pPr>
      <w:bookmarkStart w:id="9" w:name="_heading=h.4d34og8" w:colFirst="0" w:colLast="0"/>
      <w:bookmarkEnd w:id="9"/>
      <w:r w:rsidRPr="00BE09D5">
        <w:rPr>
          <w:rFonts w:ascii="Palatino Linotype" w:eastAsia="Palatino Linotype" w:hAnsi="Palatino Linotype" w:cs="Palatino Linotype"/>
          <w:b/>
        </w:rPr>
        <w:t xml:space="preserve">Segundo. </w:t>
      </w:r>
      <w:r w:rsidRPr="00BE09D5">
        <w:rPr>
          <w:rFonts w:ascii="Palatino Linotype" w:eastAsia="Palatino Linotype" w:hAnsi="Palatino Linotype" w:cs="Palatino Linotype"/>
        </w:rPr>
        <w:t xml:space="preserve">Se </w:t>
      </w:r>
      <w:r w:rsidRPr="00BE09D5">
        <w:rPr>
          <w:rFonts w:ascii="Palatino Linotype" w:eastAsia="Palatino Linotype" w:hAnsi="Palatino Linotype" w:cs="Palatino Linotype"/>
          <w:b/>
        </w:rPr>
        <w:t>Ordena</w:t>
      </w:r>
      <w:r w:rsidRPr="00BE09D5">
        <w:rPr>
          <w:rFonts w:ascii="Palatino Linotype" w:eastAsia="Palatino Linotype" w:hAnsi="Palatino Linotype" w:cs="Palatino Linotype"/>
        </w:rPr>
        <w:t xml:space="preserve"> al </w:t>
      </w:r>
      <w:r w:rsidRPr="00BE09D5">
        <w:rPr>
          <w:rFonts w:ascii="Palatino Linotype" w:eastAsia="Palatino Linotype" w:hAnsi="Palatino Linotype" w:cs="Palatino Linotype"/>
          <w:b/>
        </w:rPr>
        <w:t>Sujeto Obligado</w:t>
      </w:r>
      <w:r w:rsidRPr="00BE09D5">
        <w:rPr>
          <w:rFonts w:ascii="Palatino Linotype" w:eastAsia="Palatino Linotype" w:hAnsi="Palatino Linotype" w:cs="Palatino Linotype"/>
        </w:rPr>
        <w:t xml:space="preserve">, en términos de los Considerandos </w:t>
      </w:r>
      <w:r w:rsidRPr="00BE09D5">
        <w:rPr>
          <w:rFonts w:ascii="Palatino Linotype" w:eastAsia="Palatino Linotype" w:hAnsi="Palatino Linotype" w:cs="Palatino Linotype"/>
          <w:b/>
        </w:rPr>
        <w:t xml:space="preserve">Cuarto </w:t>
      </w:r>
      <w:r w:rsidRPr="00BE09D5">
        <w:rPr>
          <w:rFonts w:ascii="Palatino Linotype" w:eastAsia="Palatino Linotype" w:hAnsi="Palatino Linotype" w:cs="Palatino Linotype"/>
        </w:rPr>
        <w:t>y</w:t>
      </w:r>
      <w:r w:rsidRPr="00BE09D5">
        <w:rPr>
          <w:rFonts w:ascii="Palatino Linotype" w:eastAsia="Palatino Linotype" w:hAnsi="Palatino Linotype" w:cs="Palatino Linotype"/>
          <w:b/>
        </w:rPr>
        <w:t xml:space="preserve"> Quinto </w:t>
      </w:r>
      <w:r w:rsidRPr="00BE09D5">
        <w:rPr>
          <w:rFonts w:ascii="Palatino Linotype" w:eastAsia="Palatino Linotype" w:hAnsi="Palatino Linotype" w:cs="Palatino Linotype"/>
        </w:rPr>
        <w:t>de esta resolución, haga entrega, vía SAIMEX, previa búsqueda exhaustiva y razonable, en versión pública de ser procedente, de lo siguiente:</w:t>
      </w:r>
    </w:p>
    <w:p w14:paraId="175DE634" w14:textId="77777777" w:rsidR="002124C6" w:rsidRPr="00BE09D5" w:rsidRDefault="00BE09D5">
      <w:pPr>
        <w:spacing w:before="240" w:after="240" w:line="360" w:lineRule="auto"/>
        <w:ind w:left="426"/>
        <w:jc w:val="both"/>
        <w:rPr>
          <w:rFonts w:ascii="Palatino Linotype" w:eastAsia="Palatino Linotype" w:hAnsi="Palatino Linotype" w:cs="Palatino Linotype"/>
        </w:rPr>
      </w:pPr>
      <w:r w:rsidRPr="00BE09D5">
        <w:rPr>
          <w:rFonts w:ascii="Palatino Linotype" w:eastAsia="Palatino Linotype" w:hAnsi="Palatino Linotype" w:cs="Palatino Linotype"/>
        </w:rPr>
        <w:t xml:space="preserve">1. Oficios mediante los cuales se hayan difundido los lineamientos, manuales e instructivos que la Coordinación Municipal de Mejora Regulatoria </w:t>
      </w:r>
      <w:proofErr w:type="spellStart"/>
      <w:r w:rsidRPr="00BE09D5">
        <w:rPr>
          <w:rFonts w:ascii="Palatino Linotype" w:eastAsia="Palatino Linotype" w:hAnsi="Palatino Linotype" w:cs="Palatino Linotype"/>
        </w:rPr>
        <w:t>recibio</w:t>
      </w:r>
      <w:proofErr w:type="spellEnd"/>
      <w:r w:rsidRPr="00BE09D5">
        <w:rPr>
          <w:rFonts w:ascii="Palatino Linotype" w:eastAsia="Palatino Linotype" w:hAnsi="Palatino Linotype" w:cs="Palatino Linotype"/>
        </w:rPr>
        <w:t xml:space="preserve"> de la Comisión Estatal de Mejora Regulatoria, a través de los Enlaces de Mejora Regulatoria de los Comités Internos, del uno de enero al dieciséis de junio de dos mil veintitrés.</w:t>
      </w:r>
    </w:p>
    <w:p w14:paraId="0855051A" w14:textId="77777777" w:rsidR="002124C6" w:rsidRPr="00BE09D5" w:rsidRDefault="00BE09D5">
      <w:pPr>
        <w:spacing w:before="120" w:after="120"/>
        <w:ind w:left="426"/>
        <w:jc w:val="both"/>
        <w:rPr>
          <w:rFonts w:ascii="Palatino Linotype" w:eastAsia="Palatino Linotype" w:hAnsi="Palatino Linotype" w:cs="Palatino Linotype"/>
          <w:i/>
          <w:sz w:val="20"/>
          <w:szCs w:val="20"/>
        </w:rPr>
      </w:pPr>
      <w:r w:rsidRPr="00BE09D5">
        <w:rPr>
          <w:rFonts w:ascii="Palatino Linotype" w:eastAsia="Palatino Linotype" w:hAnsi="Palatino Linotype" w:cs="Palatino Linotype"/>
          <w:i/>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BE09D5">
        <w:rPr>
          <w:rFonts w:ascii="Palatino Linotype" w:eastAsia="Palatino Linotype" w:hAnsi="Palatino Linotype" w:cs="Palatino Linotype"/>
          <w:b/>
          <w:i/>
          <w:sz w:val="20"/>
          <w:szCs w:val="20"/>
        </w:rPr>
        <w:t>Recurrente</w:t>
      </w:r>
      <w:r w:rsidRPr="00BE09D5">
        <w:rPr>
          <w:rFonts w:ascii="Palatino Linotype" w:eastAsia="Palatino Linotype" w:hAnsi="Palatino Linotype" w:cs="Palatino Linotype"/>
          <w:i/>
          <w:sz w:val="20"/>
          <w:szCs w:val="20"/>
        </w:rPr>
        <w:t>.</w:t>
      </w:r>
    </w:p>
    <w:p w14:paraId="40B1705D" w14:textId="77777777" w:rsidR="002124C6" w:rsidRPr="00BE09D5" w:rsidRDefault="00BE09D5">
      <w:pPr>
        <w:spacing w:before="280" w:after="280"/>
        <w:ind w:left="426" w:right="49"/>
        <w:jc w:val="both"/>
        <w:rPr>
          <w:rFonts w:ascii="Palatino Linotype" w:eastAsia="Palatino Linotype" w:hAnsi="Palatino Linotype" w:cs="Palatino Linotype"/>
          <w:i/>
          <w:sz w:val="20"/>
          <w:szCs w:val="20"/>
        </w:rPr>
      </w:pPr>
      <w:r w:rsidRPr="00BE09D5">
        <w:rPr>
          <w:rFonts w:ascii="Palatino Linotype" w:eastAsia="Palatino Linotype" w:hAnsi="Palatino Linotype" w:cs="Palatino Linotype"/>
          <w:i/>
          <w:sz w:val="20"/>
          <w:szCs w:val="20"/>
        </w:rPr>
        <w:t xml:space="preserve">En el supuesto que la información ordenada no obre en los archivos del </w:t>
      </w:r>
      <w:r w:rsidRPr="00BE09D5">
        <w:rPr>
          <w:rFonts w:ascii="Palatino Linotype" w:eastAsia="Palatino Linotype" w:hAnsi="Palatino Linotype" w:cs="Palatino Linotype"/>
          <w:b/>
          <w:i/>
          <w:sz w:val="20"/>
          <w:szCs w:val="20"/>
        </w:rPr>
        <w:t>Sujeto Obligado,</w:t>
      </w:r>
      <w:r w:rsidRPr="00BE09D5">
        <w:rPr>
          <w:rFonts w:ascii="Palatino Linotype" w:eastAsia="Palatino Linotype" w:hAnsi="Palatino Linotype" w:cs="Palatino Linotype"/>
          <w:i/>
          <w:sz w:val="20"/>
          <w:szCs w:val="20"/>
        </w:rPr>
        <w:t xml:space="preserve"> deberá hacerlo del conocimiento de la parte </w:t>
      </w:r>
      <w:r w:rsidRPr="00BE09D5">
        <w:rPr>
          <w:rFonts w:ascii="Palatino Linotype" w:eastAsia="Palatino Linotype" w:hAnsi="Palatino Linotype" w:cs="Palatino Linotype"/>
          <w:b/>
          <w:i/>
          <w:sz w:val="20"/>
          <w:szCs w:val="20"/>
        </w:rPr>
        <w:t>Recurrente</w:t>
      </w:r>
      <w:r w:rsidRPr="00BE09D5">
        <w:rPr>
          <w:rFonts w:ascii="Palatino Linotype" w:eastAsia="Palatino Linotype" w:hAnsi="Palatino Linotype" w:cs="Palatino Linotype"/>
          <w:i/>
          <w:sz w:val="20"/>
          <w:szCs w:val="20"/>
        </w:rPr>
        <w:t>, en términos del artículo 19, párrafo segundo de la Ley de Transparencia y Acceso a la Información Pública del Estado de México y Municipios.</w:t>
      </w:r>
    </w:p>
    <w:p w14:paraId="72308948" w14:textId="77777777" w:rsidR="002124C6" w:rsidRPr="00BE09D5" w:rsidRDefault="00BE09D5">
      <w:pPr>
        <w:spacing w:before="240" w:after="240" w:line="360" w:lineRule="auto"/>
        <w:jc w:val="both"/>
        <w:rPr>
          <w:rFonts w:ascii="Palatino Linotype" w:eastAsia="Palatino Linotype" w:hAnsi="Palatino Linotype" w:cs="Palatino Linotype"/>
          <w:b/>
        </w:rPr>
      </w:pPr>
      <w:r w:rsidRPr="00BE09D5">
        <w:rPr>
          <w:rFonts w:ascii="Palatino Linotype" w:eastAsia="Palatino Linotype" w:hAnsi="Palatino Linotype" w:cs="Palatino Linotype"/>
          <w:b/>
        </w:rPr>
        <w:t xml:space="preserve">Tercero. Notifíquese, </w:t>
      </w:r>
      <w:r w:rsidRPr="00BE09D5">
        <w:rPr>
          <w:rFonts w:ascii="Palatino Linotype" w:eastAsia="Palatino Linotype" w:hAnsi="Palatino Linotype" w:cs="Palatino Linotype"/>
        </w:rPr>
        <w:t xml:space="preserve">vía </w:t>
      </w:r>
      <w:r w:rsidRPr="00BE09D5">
        <w:rPr>
          <w:rFonts w:ascii="Palatino Linotype" w:eastAsia="Palatino Linotype" w:hAnsi="Palatino Linotype" w:cs="Palatino Linotype"/>
          <w:b/>
        </w:rPr>
        <w:t>SAIMEX</w:t>
      </w:r>
      <w:r w:rsidRPr="00BE09D5">
        <w:rPr>
          <w:rFonts w:ascii="Palatino Linotype" w:eastAsia="Palatino Linotype" w:hAnsi="Palatino Linotype" w:cs="Palatino Linotype"/>
        </w:rPr>
        <w:t xml:space="preserve">, al Titular de la Unidad de Transparencia del </w:t>
      </w:r>
      <w:r w:rsidRPr="00BE09D5">
        <w:rPr>
          <w:rFonts w:ascii="Palatino Linotype" w:eastAsia="Palatino Linotype" w:hAnsi="Palatino Linotype" w:cs="Palatino Linotype"/>
          <w:b/>
        </w:rPr>
        <w:t>Sujeto Obligado,</w:t>
      </w:r>
      <w:r w:rsidRPr="00BE09D5">
        <w:rPr>
          <w:rFonts w:ascii="Palatino Linotype" w:eastAsia="Palatino Linotype" w:hAnsi="Palatino Linotype" w:cs="Palatino Linotype"/>
        </w:rPr>
        <w:t xml:space="preserve"> la presente resolución para que conforme a los artículos 186, </w:t>
      </w:r>
      <w:r w:rsidRPr="00BE09D5">
        <w:rPr>
          <w:rFonts w:ascii="Palatino Linotype" w:eastAsia="Palatino Linotype" w:hAnsi="Palatino Linotype" w:cs="Palatino Linotype"/>
        </w:rPr>
        <w:lastRenderedPageBreak/>
        <w:t>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B0F85C4"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BE09D5">
        <w:rPr>
          <w:rFonts w:ascii="Palatino Linotype" w:eastAsia="Palatino Linotype" w:hAnsi="Palatino Linotype" w:cs="Palatino Linotype"/>
          <w:b/>
        </w:rPr>
        <w:t>Sujeto Obligado</w:t>
      </w:r>
      <w:r w:rsidRPr="00BE09D5">
        <w:rPr>
          <w:rFonts w:ascii="Palatino Linotype" w:eastAsia="Palatino Linotype" w:hAnsi="Palatino Linotype" w:cs="Palatino Linotype"/>
        </w:rPr>
        <w:t xml:space="preserve"> de manera fundada y motivada, podrá solicitar una ampliación de plazo para el cumplimiento de la presente resolución.</w:t>
      </w:r>
    </w:p>
    <w:p w14:paraId="2D8B9EB9" w14:textId="77777777" w:rsidR="002124C6" w:rsidRPr="00BE09D5" w:rsidRDefault="00BE09D5">
      <w:pPr>
        <w:spacing w:before="240" w:after="240"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b/>
        </w:rPr>
        <w:t xml:space="preserve">Cuarto.  Notifíquese, </w:t>
      </w:r>
      <w:r w:rsidRPr="00BE09D5">
        <w:rPr>
          <w:rFonts w:ascii="Palatino Linotype" w:eastAsia="Palatino Linotype" w:hAnsi="Palatino Linotype" w:cs="Palatino Linotype"/>
        </w:rPr>
        <w:t xml:space="preserve">vía </w:t>
      </w:r>
      <w:r w:rsidRPr="00BE09D5">
        <w:rPr>
          <w:rFonts w:ascii="Palatino Linotype" w:eastAsia="Palatino Linotype" w:hAnsi="Palatino Linotype" w:cs="Palatino Linotype"/>
          <w:b/>
        </w:rPr>
        <w:t>SAIMEX</w:t>
      </w:r>
      <w:r w:rsidRPr="00BE09D5">
        <w:rPr>
          <w:rFonts w:ascii="Palatino Linotype" w:eastAsia="Palatino Linotype" w:hAnsi="Palatino Linotype" w:cs="Palatino Linotype"/>
        </w:rPr>
        <w:t xml:space="preserve">, a la parte </w:t>
      </w:r>
      <w:r w:rsidRPr="00BE09D5">
        <w:rPr>
          <w:rFonts w:ascii="Palatino Linotype" w:eastAsia="Palatino Linotype" w:hAnsi="Palatino Linotype" w:cs="Palatino Linotype"/>
          <w:b/>
        </w:rPr>
        <w:t>Recurrente</w:t>
      </w:r>
      <w:r w:rsidRPr="00BE09D5">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054F5F9" w14:textId="77777777" w:rsidR="002124C6" w:rsidRPr="00BE09D5" w:rsidRDefault="00BE09D5">
      <w:pPr>
        <w:spacing w:line="360" w:lineRule="auto"/>
        <w:jc w:val="both"/>
        <w:rPr>
          <w:rFonts w:ascii="Palatino Linotype" w:eastAsia="Palatino Linotype" w:hAnsi="Palatino Linotype" w:cs="Palatino Linotype"/>
        </w:rPr>
      </w:pPr>
      <w:r w:rsidRPr="00BE09D5">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E85829">
        <w:rPr>
          <w:rFonts w:ascii="Palatino Linotype" w:eastAsia="Palatino Linotype" w:hAnsi="Palatino Linotype" w:cs="Palatino Linotype"/>
        </w:rPr>
        <w:t xml:space="preserve"> </w:t>
      </w:r>
      <w:r w:rsidR="00E85829" w:rsidRPr="00E85829">
        <w:rPr>
          <w:rFonts w:ascii="Palatino Linotype" w:eastAsia="Palatino Linotype" w:hAnsi="Palatino Linotype" w:cs="Palatino Linotype"/>
        </w:rPr>
        <w:t xml:space="preserve">AUSENCIA </w:t>
      </w:r>
      <w:r w:rsidR="00E85829" w:rsidRPr="00E85829">
        <w:rPr>
          <w:rFonts w:ascii="Palatino Linotype" w:eastAsia="Palatino Linotype" w:hAnsi="Palatino Linotype" w:cs="Palatino Linotype"/>
        </w:rPr>
        <w:lastRenderedPageBreak/>
        <w:t>JUSTIFICADA</w:t>
      </w:r>
      <w:r w:rsidRPr="00BE09D5">
        <w:rPr>
          <w:rFonts w:ascii="Palatino Linotype" w:eastAsia="Palatino Linotype" w:hAnsi="Palatino Linotype" w:cs="Palatino Linotype"/>
        </w:rPr>
        <w:t xml:space="preserve"> Y GUADALUPE RAMÍREZ PEÑA; EN LA TRIGÉSIMO NOVENA SESIÓN ORDINARIA CELEBRADA EL UNO DE NOVIEMBRE DE DOS MIL VEINTITRÉS, ANTE EL SECRETARIO TÉCNICO DEL PLENO ALEXIS TAPIA RAMÍREZ.</w:t>
      </w:r>
    </w:p>
    <w:bookmarkStart w:id="10" w:name="_heading=h.26in1rg" w:colFirst="0" w:colLast="0"/>
    <w:bookmarkEnd w:id="10"/>
    <w:p w14:paraId="366D3856" w14:textId="77777777" w:rsidR="002124C6" w:rsidRPr="00BE09D5" w:rsidRDefault="00BE09D5">
      <w:pPr>
        <w:spacing w:line="360" w:lineRule="auto"/>
        <w:jc w:val="both"/>
        <w:rPr>
          <w:rFonts w:ascii="Palatino Linotype" w:eastAsia="Palatino Linotype" w:hAnsi="Palatino Linotype" w:cs="Palatino Linotype"/>
        </w:rPr>
      </w:pPr>
      <w:r w:rsidRPr="00BE09D5">
        <w:rPr>
          <w:noProof/>
        </w:rPr>
        <mc:AlternateContent>
          <mc:Choice Requires="wpg">
            <w:drawing>
              <wp:anchor distT="0" distB="0" distL="114300" distR="114300" simplePos="0" relativeHeight="251658240" behindDoc="0" locked="0" layoutInCell="1" hidden="0" allowOverlap="1" wp14:anchorId="6C9C0185" wp14:editId="37F34048">
                <wp:simplePos x="0" y="0"/>
                <wp:positionH relativeFrom="column">
                  <wp:posOffset>101601</wp:posOffset>
                </wp:positionH>
                <wp:positionV relativeFrom="paragraph">
                  <wp:posOffset>12700</wp:posOffset>
                </wp:positionV>
                <wp:extent cx="5530850" cy="6578600"/>
                <wp:effectExtent l="0" t="0" r="0" b="0"/>
                <wp:wrapNone/>
                <wp:docPr id="94" name="Conector recto de flecha 94"/>
                <wp:cNvGraphicFramePr/>
                <a:graphic xmlns:a="http://schemas.openxmlformats.org/drawingml/2006/main">
                  <a:graphicData uri="http://schemas.microsoft.com/office/word/2010/wordprocessingShape">
                    <wps:wsp>
                      <wps:cNvCnPr/>
                      <wps:spPr>
                        <a:xfrm>
                          <a:off x="2593275" y="503400"/>
                          <a:ext cx="5505450" cy="6553200"/>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101601</wp:posOffset>
                </wp:positionH>
                <wp:positionV relativeFrom="paragraph">
                  <wp:posOffset>12700</wp:posOffset>
                </wp:positionV>
                <wp:extent cx="5530850" cy="6578600"/>
                <wp:effectExtent b="0" l="0" r="0" t="0"/>
                <wp:wrapNone/>
                <wp:docPr id="94"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5530850" cy="6578600"/>
                        </a:xfrm>
                        <a:prstGeom prst="rect"/>
                        <a:ln/>
                      </pic:spPr>
                    </pic:pic>
                  </a:graphicData>
                </a:graphic>
              </wp:anchor>
            </w:drawing>
          </mc:Fallback>
        </mc:AlternateContent>
      </w:r>
    </w:p>
    <w:p w14:paraId="1716FDC8" w14:textId="77777777" w:rsidR="002124C6" w:rsidRPr="00BE09D5" w:rsidRDefault="002124C6">
      <w:pPr>
        <w:spacing w:line="360" w:lineRule="auto"/>
        <w:jc w:val="both"/>
        <w:rPr>
          <w:rFonts w:ascii="Palatino Linotype" w:eastAsia="Palatino Linotype" w:hAnsi="Palatino Linotype" w:cs="Palatino Linotype"/>
        </w:rPr>
      </w:pPr>
    </w:p>
    <w:p w14:paraId="6812A085" w14:textId="77777777" w:rsidR="002124C6" w:rsidRPr="00BE09D5" w:rsidRDefault="002124C6">
      <w:pPr>
        <w:rPr>
          <w:rFonts w:ascii="Palatino Linotype" w:eastAsia="Palatino Linotype" w:hAnsi="Palatino Linotype" w:cs="Palatino Linotype"/>
        </w:rPr>
      </w:pPr>
    </w:p>
    <w:p w14:paraId="2DA4F75E" w14:textId="77777777" w:rsidR="002124C6" w:rsidRPr="00BE09D5" w:rsidRDefault="002124C6">
      <w:pPr>
        <w:spacing w:line="360" w:lineRule="auto"/>
        <w:jc w:val="both"/>
        <w:rPr>
          <w:rFonts w:ascii="Palatino Linotype" w:eastAsia="Palatino Linotype" w:hAnsi="Palatino Linotype" w:cs="Palatino Linotype"/>
        </w:rPr>
      </w:pPr>
    </w:p>
    <w:p w14:paraId="2CB29DF4" w14:textId="77777777" w:rsidR="002124C6" w:rsidRPr="00BE09D5" w:rsidRDefault="002124C6">
      <w:pPr>
        <w:spacing w:line="360" w:lineRule="auto"/>
        <w:jc w:val="both"/>
        <w:rPr>
          <w:rFonts w:ascii="Palatino Linotype" w:eastAsia="Palatino Linotype" w:hAnsi="Palatino Linotype" w:cs="Palatino Linotype"/>
        </w:rPr>
      </w:pPr>
    </w:p>
    <w:p w14:paraId="5B625415" w14:textId="77777777" w:rsidR="002124C6" w:rsidRPr="00BE09D5" w:rsidRDefault="002124C6">
      <w:pPr>
        <w:spacing w:line="360" w:lineRule="auto"/>
        <w:jc w:val="both"/>
        <w:rPr>
          <w:rFonts w:ascii="Palatino Linotype" w:eastAsia="Palatino Linotype" w:hAnsi="Palatino Linotype" w:cs="Palatino Linotype"/>
        </w:rPr>
      </w:pPr>
    </w:p>
    <w:p w14:paraId="66409D8A" w14:textId="77777777" w:rsidR="002124C6" w:rsidRPr="00BE09D5" w:rsidRDefault="002124C6">
      <w:pPr>
        <w:spacing w:line="360" w:lineRule="auto"/>
        <w:jc w:val="both"/>
        <w:rPr>
          <w:rFonts w:ascii="Palatino Linotype" w:eastAsia="Palatino Linotype" w:hAnsi="Palatino Linotype" w:cs="Palatino Linotype"/>
        </w:rPr>
      </w:pPr>
    </w:p>
    <w:p w14:paraId="57E8B742" w14:textId="77777777" w:rsidR="002124C6" w:rsidRPr="00BE09D5" w:rsidRDefault="002124C6">
      <w:pPr>
        <w:spacing w:line="360" w:lineRule="auto"/>
        <w:jc w:val="both"/>
        <w:rPr>
          <w:rFonts w:ascii="Palatino Linotype" w:eastAsia="Palatino Linotype" w:hAnsi="Palatino Linotype" w:cs="Palatino Linotype"/>
        </w:rPr>
      </w:pPr>
    </w:p>
    <w:p w14:paraId="15CB500C" w14:textId="77777777" w:rsidR="002124C6" w:rsidRPr="00BE09D5" w:rsidRDefault="002124C6">
      <w:pPr>
        <w:spacing w:line="360" w:lineRule="auto"/>
        <w:jc w:val="both"/>
        <w:rPr>
          <w:rFonts w:ascii="Palatino Linotype" w:eastAsia="Palatino Linotype" w:hAnsi="Palatino Linotype" w:cs="Palatino Linotype"/>
        </w:rPr>
      </w:pPr>
    </w:p>
    <w:p w14:paraId="33CA9382" w14:textId="77777777" w:rsidR="002124C6" w:rsidRPr="00BE09D5" w:rsidRDefault="002124C6">
      <w:pPr>
        <w:spacing w:line="360" w:lineRule="auto"/>
        <w:jc w:val="both"/>
        <w:rPr>
          <w:rFonts w:ascii="Palatino Linotype" w:eastAsia="Palatino Linotype" w:hAnsi="Palatino Linotype" w:cs="Palatino Linotype"/>
        </w:rPr>
      </w:pPr>
    </w:p>
    <w:p w14:paraId="7D89B013" w14:textId="77777777" w:rsidR="002124C6" w:rsidRPr="00BE09D5" w:rsidRDefault="002124C6">
      <w:pPr>
        <w:spacing w:line="360" w:lineRule="auto"/>
        <w:jc w:val="both"/>
        <w:rPr>
          <w:rFonts w:ascii="Palatino Linotype" w:eastAsia="Palatino Linotype" w:hAnsi="Palatino Linotype" w:cs="Palatino Linotype"/>
        </w:rPr>
      </w:pPr>
    </w:p>
    <w:p w14:paraId="2634BE8B" w14:textId="77777777" w:rsidR="002124C6" w:rsidRPr="00BE09D5" w:rsidRDefault="002124C6">
      <w:pPr>
        <w:spacing w:line="360" w:lineRule="auto"/>
        <w:jc w:val="both"/>
        <w:rPr>
          <w:rFonts w:ascii="Palatino Linotype" w:eastAsia="Palatino Linotype" w:hAnsi="Palatino Linotype" w:cs="Palatino Linotype"/>
        </w:rPr>
      </w:pPr>
    </w:p>
    <w:p w14:paraId="507E94DD" w14:textId="77777777" w:rsidR="002124C6" w:rsidRPr="00BE09D5" w:rsidRDefault="002124C6">
      <w:pPr>
        <w:spacing w:line="360" w:lineRule="auto"/>
        <w:jc w:val="both"/>
        <w:rPr>
          <w:rFonts w:ascii="Palatino Linotype" w:eastAsia="Palatino Linotype" w:hAnsi="Palatino Linotype" w:cs="Palatino Linotype"/>
        </w:rPr>
      </w:pPr>
    </w:p>
    <w:p w14:paraId="2321CF3C" w14:textId="77777777" w:rsidR="002124C6" w:rsidRPr="00BE09D5" w:rsidRDefault="002124C6">
      <w:pPr>
        <w:spacing w:line="360" w:lineRule="auto"/>
        <w:jc w:val="both"/>
        <w:rPr>
          <w:rFonts w:ascii="Palatino Linotype" w:eastAsia="Palatino Linotype" w:hAnsi="Palatino Linotype" w:cs="Palatino Linotype"/>
        </w:rPr>
      </w:pPr>
    </w:p>
    <w:p w14:paraId="6317E851" w14:textId="77777777" w:rsidR="002124C6" w:rsidRPr="00BE09D5" w:rsidRDefault="002124C6">
      <w:pPr>
        <w:spacing w:line="360" w:lineRule="auto"/>
        <w:jc w:val="both"/>
        <w:rPr>
          <w:rFonts w:ascii="Palatino Linotype" w:eastAsia="Palatino Linotype" w:hAnsi="Palatino Linotype" w:cs="Palatino Linotype"/>
        </w:rPr>
      </w:pPr>
    </w:p>
    <w:p w14:paraId="27385C1F" w14:textId="77777777" w:rsidR="002124C6" w:rsidRPr="00BE09D5" w:rsidRDefault="002124C6">
      <w:pPr>
        <w:spacing w:line="360" w:lineRule="auto"/>
        <w:jc w:val="both"/>
        <w:rPr>
          <w:rFonts w:ascii="Palatino Linotype" w:eastAsia="Palatino Linotype" w:hAnsi="Palatino Linotype" w:cs="Palatino Linotype"/>
        </w:rPr>
      </w:pPr>
    </w:p>
    <w:p w14:paraId="3832CBEE" w14:textId="77777777" w:rsidR="002124C6" w:rsidRPr="00BE09D5" w:rsidRDefault="002124C6">
      <w:pPr>
        <w:spacing w:line="360" w:lineRule="auto"/>
        <w:jc w:val="both"/>
        <w:rPr>
          <w:rFonts w:ascii="Palatino Linotype" w:eastAsia="Palatino Linotype" w:hAnsi="Palatino Linotype" w:cs="Palatino Linotype"/>
        </w:rPr>
      </w:pPr>
    </w:p>
    <w:p w14:paraId="0FC64BEC" w14:textId="77777777" w:rsidR="002124C6" w:rsidRPr="00BE09D5" w:rsidRDefault="002124C6">
      <w:pPr>
        <w:spacing w:line="360" w:lineRule="auto"/>
        <w:jc w:val="both"/>
        <w:rPr>
          <w:rFonts w:ascii="Palatino Linotype" w:eastAsia="Palatino Linotype" w:hAnsi="Palatino Linotype" w:cs="Palatino Linotype"/>
        </w:rPr>
      </w:pPr>
    </w:p>
    <w:p w14:paraId="455B43C6" w14:textId="77777777" w:rsidR="002124C6" w:rsidRPr="00BE09D5" w:rsidRDefault="002124C6">
      <w:pPr>
        <w:spacing w:line="360" w:lineRule="auto"/>
        <w:jc w:val="both"/>
        <w:rPr>
          <w:rFonts w:ascii="Palatino Linotype" w:eastAsia="Palatino Linotype" w:hAnsi="Palatino Linotype" w:cs="Palatino Linotype"/>
        </w:rPr>
      </w:pPr>
    </w:p>
    <w:p w14:paraId="5943CEC2" w14:textId="77777777" w:rsidR="002124C6" w:rsidRPr="00BE09D5" w:rsidRDefault="002124C6">
      <w:pPr>
        <w:spacing w:line="360" w:lineRule="auto"/>
        <w:jc w:val="both"/>
        <w:rPr>
          <w:rFonts w:ascii="Palatino Linotype" w:eastAsia="Palatino Linotype" w:hAnsi="Palatino Linotype" w:cs="Palatino Linotype"/>
        </w:rPr>
      </w:pPr>
    </w:p>
    <w:p w14:paraId="195FBB6D" w14:textId="77777777" w:rsidR="002124C6" w:rsidRPr="00BE09D5" w:rsidRDefault="002124C6">
      <w:pPr>
        <w:spacing w:line="360" w:lineRule="auto"/>
        <w:jc w:val="both"/>
        <w:rPr>
          <w:rFonts w:ascii="Palatino Linotype" w:eastAsia="Palatino Linotype" w:hAnsi="Palatino Linotype" w:cs="Palatino Linotype"/>
        </w:rPr>
      </w:pPr>
    </w:p>
    <w:p w14:paraId="08A5FB00" w14:textId="77777777" w:rsidR="002124C6" w:rsidRPr="00BE09D5" w:rsidRDefault="002124C6">
      <w:pPr>
        <w:spacing w:line="360" w:lineRule="auto"/>
        <w:jc w:val="both"/>
        <w:rPr>
          <w:rFonts w:ascii="Palatino Linotype" w:eastAsia="Palatino Linotype" w:hAnsi="Palatino Linotype" w:cs="Palatino Linotype"/>
        </w:rPr>
      </w:pPr>
    </w:p>
    <w:p w14:paraId="629ADD87" w14:textId="77777777" w:rsidR="002124C6" w:rsidRPr="00BE09D5" w:rsidRDefault="002124C6">
      <w:pPr>
        <w:spacing w:line="360" w:lineRule="auto"/>
        <w:jc w:val="both"/>
        <w:rPr>
          <w:rFonts w:ascii="Palatino Linotype" w:eastAsia="Palatino Linotype" w:hAnsi="Palatino Linotype" w:cs="Palatino Linotype"/>
        </w:rPr>
      </w:pPr>
    </w:p>
    <w:p w14:paraId="6A317C87" w14:textId="77777777" w:rsidR="002124C6" w:rsidRPr="00BE09D5" w:rsidRDefault="002124C6">
      <w:pPr>
        <w:spacing w:line="360" w:lineRule="auto"/>
        <w:jc w:val="both"/>
        <w:rPr>
          <w:rFonts w:ascii="Palatino Linotype" w:eastAsia="Palatino Linotype" w:hAnsi="Palatino Linotype" w:cs="Palatino Linotype"/>
        </w:rPr>
      </w:pPr>
    </w:p>
    <w:sectPr w:rsidR="002124C6" w:rsidRPr="00BE09D5">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A2EB1" w14:textId="77777777" w:rsidR="00EC5D82" w:rsidRDefault="00EC5D82">
      <w:r>
        <w:separator/>
      </w:r>
    </w:p>
  </w:endnote>
  <w:endnote w:type="continuationSeparator" w:id="0">
    <w:p w14:paraId="71288BA7" w14:textId="77777777" w:rsidR="00EC5D82" w:rsidRDefault="00EC5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5AEAE" w14:textId="77777777" w:rsidR="002124C6" w:rsidRDefault="00BE09D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12F4E">
      <w:rPr>
        <w:rFonts w:ascii="Palatino Linotype" w:eastAsia="Palatino Linotype" w:hAnsi="Palatino Linotype" w:cs="Palatino Linotype"/>
        <w:b/>
        <w:noProof/>
        <w:color w:val="000000"/>
        <w:sz w:val="20"/>
        <w:szCs w:val="20"/>
      </w:rPr>
      <w:t>35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12F4E">
      <w:rPr>
        <w:rFonts w:ascii="Palatino Linotype" w:eastAsia="Palatino Linotype" w:hAnsi="Palatino Linotype" w:cs="Palatino Linotype"/>
        <w:b/>
        <w:noProof/>
        <w:color w:val="000000"/>
        <w:sz w:val="20"/>
        <w:szCs w:val="20"/>
      </w:rPr>
      <w:t>35</w:t>
    </w:r>
    <w:r>
      <w:rPr>
        <w:rFonts w:ascii="Palatino Linotype" w:eastAsia="Palatino Linotype" w:hAnsi="Palatino Linotype" w:cs="Palatino Linotype"/>
        <w:b/>
        <w:color w:val="000000"/>
        <w:sz w:val="20"/>
        <w:szCs w:val="20"/>
      </w:rPr>
      <w:fldChar w:fldCharType="end"/>
    </w:r>
  </w:p>
  <w:p w14:paraId="4F6B2AD8" w14:textId="77777777" w:rsidR="002124C6" w:rsidRDefault="002124C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5EAD0" w14:textId="77777777" w:rsidR="002124C6" w:rsidRDefault="00BE09D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12F4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12F4E">
      <w:rPr>
        <w:rFonts w:ascii="Palatino Linotype" w:eastAsia="Palatino Linotype" w:hAnsi="Palatino Linotype" w:cs="Palatino Linotype"/>
        <w:b/>
        <w:noProof/>
        <w:color w:val="000000"/>
        <w:sz w:val="20"/>
        <w:szCs w:val="20"/>
      </w:rPr>
      <w:t>35</w:t>
    </w:r>
    <w:r>
      <w:rPr>
        <w:rFonts w:ascii="Palatino Linotype" w:eastAsia="Palatino Linotype" w:hAnsi="Palatino Linotype" w:cs="Palatino Linotype"/>
        <w:b/>
        <w:color w:val="000000"/>
        <w:sz w:val="20"/>
        <w:szCs w:val="20"/>
      </w:rPr>
      <w:fldChar w:fldCharType="end"/>
    </w:r>
  </w:p>
  <w:p w14:paraId="0C7DD760" w14:textId="77777777" w:rsidR="002124C6" w:rsidRDefault="002124C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5D277" w14:textId="77777777" w:rsidR="00EC5D82" w:rsidRDefault="00EC5D82">
      <w:r>
        <w:separator/>
      </w:r>
    </w:p>
  </w:footnote>
  <w:footnote w:type="continuationSeparator" w:id="0">
    <w:p w14:paraId="7B1C08AC" w14:textId="77777777" w:rsidR="00EC5D82" w:rsidRDefault="00EC5D82">
      <w:r>
        <w:continuationSeparator/>
      </w:r>
    </w:p>
  </w:footnote>
  <w:footnote w:id="1">
    <w:p w14:paraId="6AD04899" w14:textId="77777777" w:rsidR="002124C6" w:rsidRDefault="00BE09D5">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537E060C" w14:textId="77777777" w:rsidR="002124C6" w:rsidRDefault="00BE09D5">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24BAECED" w14:textId="77777777" w:rsidR="002124C6" w:rsidRDefault="00BE09D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[A]: 2a. Semanario Judicial de la Federación, Sexta Época, Volumen LII, Tercera Parte, p. 101, Reg. digital </w:t>
      </w:r>
      <w:r>
        <w:rPr>
          <w:rFonts w:ascii="Palatino Linotype" w:eastAsia="Palatino Linotype" w:hAnsi="Palatino Linotype" w:cs="Palatino Linotype"/>
          <w:color w:val="212529"/>
          <w:sz w:val="16"/>
          <w:szCs w:val="16"/>
          <w:highlight w:val="white"/>
        </w:rPr>
        <w:t>267287.</w:t>
      </w:r>
    </w:p>
  </w:footnote>
  <w:footnote w:id="3">
    <w:p w14:paraId="32200F86" w14:textId="77777777" w:rsidR="002124C6" w:rsidRDefault="00BE09D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Cambria" w:eastAsia="Cambria" w:hAnsi="Cambria" w:cs="Cambria"/>
          <w:color w:val="000000"/>
          <w:sz w:val="16"/>
          <w:szCs w:val="16"/>
        </w:rPr>
        <w:t xml:space="preserve"> </w:t>
      </w:r>
      <w:r>
        <w:rPr>
          <w:rFonts w:ascii="Palatino Linotype" w:eastAsia="Palatino Linotype" w:hAnsi="Palatino Linotype" w:cs="Palatino Linotype"/>
          <w:color w:val="000000"/>
          <w:sz w:val="16"/>
          <w:szCs w:val="16"/>
        </w:rPr>
        <w:t>“Artículo 12. (…)</w:t>
      </w:r>
    </w:p>
    <w:p w14:paraId="13004FD7" w14:textId="77777777" w:rsidR="002124C6" w:rsidRDefault="00BE09D5">
      <w:pPr>
        <w:pBdr>
          <w:top w:val="nil"/>
          <w:left w:val="nil"/>
          <w:bottom w:val="nil"/>
          <w:right w:val="nil"/>
          <w:between w:val="nil"/>
        </w:pBdr>
        <w:jc w:val="both"/>
        <w:rPr>
          <w:rFonts w:ascii="Cambria" w:eastAsia="Cambria" w:hAnsi="Cambria" w:cs="Cambria"/>
          <w:color w:val="000000"/>
          <w:sz w:val="16"/>
          <w:szCs w:val="16"/>
        </w:rPr>
      </w:pPr>
      <w:r>
        <w:rPr>
          <w:rFonts w:ascii="Palatino Linotype" w:eastAsia="Palatino Linotype" w:hAnsi="Palatino Linotype" w:cs="Palatino Linotype"/>
          <w:color w:val="000000"/>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4">
    <w:p w14:paraId="0E039B83" w14:textId="77777777" w:rsidR="002124C6" w:rsidRDefault="00BE09D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3B71B11B" w14:textId="77777777" w:rsidR="002124C6" w:rsidRDefault="00BE09D5">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XIII. Dictaminar las declaratorias de inexistencia de la información que les remitan las unidades administrativas y resolver en consecuencia;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9421F" w14:textId="77777777" w:rsidR="002124C6" w:rsidRDefault="00BE09D5">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rPr>
      <w:drawing>
        <wp:anchor distT="0" distB="0" distL="0" distR="0" simplePos="0" relativeHeight="251658240" behindDoc="1" locked="0" layoutInCell="1" hidden="0" allowOverlap="1" wp14:anchorId="37F542C0" wp14:editId="570E958B">
          <wp:simplePos x="0" y="0"/>
          <wp:positionH relativeFrom="column">
            <wp:posOffset>-1080130</wp:posOffset>
          </wp:positionH>
          <wp:positionV relativeFrom="paragraph">
            <wp:posOffset>-488310</wp:posOffset>
          </wp:positionV>
          <wp:extent cx="7809865" cy="10165715"/>
          <wp:effectExtent l="0" t="0" r="0" b="0"/>
          <wp:wrapNone/>
          <wp:docPr id="9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f5"/>
      <w:tblW w:w="5953" w:type="dxa"/>
      <w:tblInd w:w="3261" w:type="dxa"/>
      <w:tblLayout w:type="fixed"/>
      <w:tblLook w:val="0400" w:firstRow="0" w:lastRow="0" w:firstColumn="0" w:lastColumn="0" w:noHBand="0" w:noVBand="1"/>
    </w:tblPr>
    <w:tblGrid>
      <w:gridCol w:w="2489"/>
      <w:gridCol w:w="3464"/>
    </w:tblGrid>
    <w:tr w:rsidR="002124C6" w14:paraId="24F85A3F" w14:textId="77777777">
      <w:tc>
        <w:tcPr>
          <w:tcW w:w="2489" w:type="dxa"/>
          <w:shd w:val="clear" w:color="auto" w:fill="auto"/>
        </w:tcPr>
        <w:p w14:paraId="6D4A65FE" w14:textId="77777777" w:rsidR="002124C6" w:rsidRDefault="00BE09D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5A37AD18" w14:textId="77777777" w:rsidR="002124C6" w:rsidRDefault="00BE09D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03669/INFOEM/IP/RR/2023</w:t>
          </w:r>
        </w:p>
      </w:tc>
    </w:tr>
    <w:tr w:rsidR="002124C6" w14:paraId="0B58D524" w14:textId="77777777">
      <w:trPr>
        <w:trHeight w:val="228"/>
      </w:trPr>
      <w:tc>
        <w:tcPr>
          <w:tcW w:w="2489" w:type="dxa"/>
          <w:shd w:val="clear" w:color="auto" w:fill="auto"/>
          <w:vAlign w:val="center"/>
        </w:tcPr>
        <w:p w14:paraId="66AAE545" w14:textId="77777777" w:rsidR="002124C6" w:rsidRDefault="00BE09D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52A85B9" w14:textId="77777777" w:rsidR="002124C6" w:rsidRDefault="00BE09D5">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Ixtapaluca</w:t>
          </w:r>
        </w:p>
      </w:tc>
    </w:tr>
    <w:tr w:rsidR="002124C6" w14:paraId="76A4B77B" w14:textId="77777777">
      <w:tc>
        <w:tcPr>
          <w:tcW w:w="2489" w:type="dxa"/>
          <w:shd w:val="clear" w:color="auto" w:fill="auto"/>
          <w:vAlign w:val="center"/>
        </w:tcPr>
        <w:p w14:paraId="69F56BC4" w14:textId="77777777" w:rsidR="002124C6" w:rsidRDefault="00BE09D5">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734260F" w14:textId="77777777" w:rsidR="002124C6" w:rsidRDefault="00BE09D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81FE611" w14:textId="77777777" w:rsidR="002124C6" w:rsidRDefault="00BE09D5">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1AFB5" w14:textId="77777777" w:rsidR="002124C6" w:rsidRDefault="002124C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ffff4"/>
      <w:tblW w:w="5670" w:type="dxa"/>
      <w:tblInd w:w="3261" w:type="dxa"/>
      <w:tblLayout w:type="fixed"/>
      <w:tblLook w:val="0400" w:firstRow="0" w:lastRow="0" w:firstColumn="0" w:lastColumn="0" w:noHBand="0" w:noVBand="1"/>
    </w:tblPr>
    <w:tblGrid>
      <w:gridCol w:w="2551"/>
      <w:gridCol w:w="3119"/>
    </w:tblGrid>
    <w:tr w:rsidR="002124C6" w14:paraId="1AAA2263" w14:textId="77777777">
      <w:tc>
        <w:tcPr>
          <w:tcW w:w="2551" w:type="dxa"/>
          <w:shd w:val="clear" w:color="auto" w:fill="auto"/>
          <w:vAlign w:val="center"/>
        </w:tcPr>
        <w:p w14:paraId="6D5EA7F0" w14:textId="77777777" w:rsidR="002124C6" w:rsidRDefault="00BE09D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635DA5AF" w14:textId="77777777" w:rsidR="002124C6" w:rsidRDefault="00BE09D5">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03669/INFOEM/IP/RR/2023</w:t>
          </w:r>
        </w:p>
      </w:tc>
    </w:tr>
    <w:tr w:rsidR="002124C6" w14:paraId="718D72C6" w14:textId="77777777">
      <w:trPr>
        <w:trHeight w:val="130"/>
      </w:trPr>
      <w:tc>
        <w:tcPr>
          <w:tcW w:w="2551" w:type="dxa"/>
          <w:shd w:val="clear" w:color="auto" w:fill="auto"/>
          <w:vAlign w:val="center"/>
        </w:tcPr>
        <w:p w14:paraId="0BF5F474" w14:textId="77777777" w:rsidR="002124C6" w:rsidRDefault="00BE09D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75AFBA5D" w14:textId="6BB4A0A3" w:rsidR="002124C6" w:rsidRDefault="0069727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 XX XXXXXXXX XXXXXXX XXXXXX</w:t>
          </w:r>
        </w:p>
      </w:tc>
    </w:tr>
    <w:tr w:rsidR="002124C6" w14:paraId="7D84B43F" w14:textId="77777777">
      <w:trPr>
        <w:trHeight w:val="228"/>
      </w:trPr>
      <w:tc>
        <w:tcPr>
          <w:tcW w:w="2551" w:type="dxa"/>
          <w:shd w:val="clear" w:color="auto" w:fill="auto"/>
          <w:vAlign w:val="center"/>
        </w:tcPr>
        <w:p w14:paraId="5A7912D5" w14:textId="77777777" w:rsidR="002124C6" w:rsidRDefault="00BE09D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71D46DC9" w14:textId="77777777" w:rsidR="002124C6" w:rsidRDefault="00BE09D5">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Ixtapaluca</w:t>
          </w:r>
        </w:p>
      </w:tc>
    </w:tr>
    <w:tr w:rsidR="002124C6" w14:paraId="2A6F759F" w14:textId="77777777">
      <w:tc>
        <w:tcPr>
          <w:tcW w:w="2551" w:type="dxa"/>
          <w:shd w:val="clear" w:color="auto" w:fill="auto"/>
          <w:vAlign w:val="center"/>
        </w:tcPr>
        <w:p w14:paraId="6703DB62" w14:textId="77777777" w:rsidR="002124C6" w:rsidRDefault="00BE09D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1A041A3E" w14:textId="77777777" w:rsidR="002124C6" w:rsidRDefault="00BE09D5">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10017FA" w14:textId="77777777" w:rsidR="002124C6" w:rsidRDefault="00BE09D5">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658BCE82" wp14:editId="3F7E4956">
          <wp:simplePos x="0" y="0"/>
          <wp:positionH relativeFrom="column">
            <wp:posOffset>-1089655</wp:posOffset>
          </wp:positionH>
          <wp:positionV relativeFrom="paragraph">
            <wp:posOffset>-1169665</wp:posOffset>
          </wp:positionV>
          <wp:extent cx="7809865" cy="10165715"/>
          <wp:effectExtent l="0" t="0" r="0" b="0"/>
          <wp:wrapNone/>
          <wp:docPr id="9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DF1AAD"/>
    <w:multiLevelType w:val="multilevel"/>
    <w:tmpl w:val="119CFDC8"/>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68D5144"/>
    <w:multiLevelType w:val="multilevel"/>
    <w:tmpl w:val="CDEEC0D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C6"/>
    <w:rsid w:val="002124C6"/>
    <w:rsid w:val="00412F4E"/>
    <w:rsid w:val="00697276"/>
    <w:rsid w:val="0085639F"/>
    <w:rsid w:val="00BE09D5"/>
    <w:rsid w:val="00E85829"/>
    <w:rsid w:val="00EC5D82"/>
    <w:rsid w:val="00FF62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43B38"/>
  <w15:docId w15:val="{C750D72F-DDBD-43D3-895B-33934795B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518"/>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paragraph" w:customStyle="1" w:styleId="Citas">
    <w:name w:val="Citas"/>
    <w:basedOn w:val="Normal"/>
    <w:qFormat/>
    <w:rsid w:val="003B5C34"/>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a3">
    <w:basedOn w:val="TableNormal3"/>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08" w:type="dxa"/>
        <w:right w:w="108" w:type="dxa"/>
      </w:tblCellMar>
    </w:tblPr>
  </w:style>
  <w:style w:type="table" w:customStyle="1" w:styleId="aa">
    <w:basedOn w:val="TableNormal2"/>
    <w:tblPr>
      <w:tblStyleRowBandSize w:val="1"/>
      <w:tblStyleColBandSize w:val="1"/>
      <w:tblCellMar>
        <w:left w:w="108" w:type="dxa"/>
        <w:right w:w="108" w:type="dxa"/>
      </w:tblCellMar>
    </w:tblPr>
  </w:style>
  <w:style w:type="table" w:customStyle="1" w:styleId="ab">
    <w:basedOn w:val="TableNormal2"/>
    <w:tblPr>
      <w:tblStyleRowBandSize w:val="1"/>
      <w:tblStyleColBandSize w:val="1"/>
      <w:tblCellMar>
        <w:left w:w="108" w:type="dxa"/>
        <w:right w:w="108" w:type="dxa"/>
      </w:tblCellMar>
    </w:tblPr>
  </w:style>
  <w:style w:type="table" w:customStyle="1" w:styleId="ac">
    <w:basedOn w:val="TableNormal2"/>
    <w:tblPr>
      <w:tblStyleRowBandSize w:val="1"/>
      <w:tblStyleColBandSize w:val="1"/>
      <w:tblCellMar>
        <w:left w:w="108" w:type="dxa"/>
        <w:right w:w="108" w:type="dxa"/>
      </w:tblCellMar>
    </w:tblPr>
  </w:style>
  <w:style w:type="table" w:customStyle="1" w:styleId="ad">
    <w:basedOn w:val="TableNormal2"/>
    <w:tblPr>
      <w:tblStyleRowBandSize w:val="1"/>
      <w:tblStyleColBandSize w:val="1"/>
      <w:tblCellMar>
        <w:left w:w="108" w:type="dxa"/>
        <w:right w:w="108" w:type="dxa"/>
      </w:tblCellMar>
    </w:tblPr>
  </w:style>
  <w:style w:type="table" w:customStyle="1" w:styleId="ae">
    <w:basedOn w:val="TableNormal2"/>
    <w:tblPr>
      <w:tblStyleRowBandSize w:val="1"/>
      <w:tblStyleColBandSize w:val="1"/>
      <w:tblCellMar>
        <w:left w:w="108" w:type="dxa"/>
        <w:right w:w="108"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left w:w="108" w:type="dxa"/>
        <w:right w:w="108" w:type="dxa"/>
      </w:tblCellMar>
    </w:tblPr>
  </w:style>
  <w:style w:type="table" w:customStyle="1" w:styleId="af2">
    <w:basedOn w:val="TableNormal2"/>
    <w:tblPr>
      <w:tblStyleRowBandSize w:val="1"/>
      <w:tblStyleColBandSize w:val="1"/>
      <w:tblCellMar>
        <w:left w:w="108" w:type="dxa"/>
        <w:right w:w="108" w:type="dxa"/>
      </w:tblCellMar>
    </w:tblPr>
  </w:style>
  <w:style w:type="table" w:customStyle="1" w:styleId="af3">
    <w:basedOn w:val="TableNormal2"/>
    <w:tblPr>
      <w:tblStyleRowBandSize w:val="1"/>
      <w:tblStyleColBandSize w:val="1"/>
      <w:tblCellMar>
        <w:left w:w="108" w:type="dxa"/>
        <w:right w:w="108" w:type="dxa"/>
      </w:tblCellMar>
    </w:tblPr>
  </w:style>
  <w:style w:type="table" w:customStyle="1" w:styleId="af4">
    <w:basedOn w:val="TableNormal2"/>
    <w:tblPr>
      <w:tblStyleRowBandSize w:val="1"/>
      <w:tblStyleColBandSize w:val="1"/>
      <w:tblCellMar>
        <w:left w:w="108" w:type="dxa"/>
        <w:right w:w="108" w:type="dxa"/>
      </w:tblCellMar>
    </w:tblPr>
  </w:style>
  <w:style w:type="table" w:customStyle="1" w:styleId="af5">
    <w:basedOn w:val="TableNormal2"/>
    <w:tblPr>
      <w:tblStyleRowBandSize w:val="1"/>
      <w:tblStyleColBandSize w:val="1"/>
      <w:tblCellMar>
        <w:left w:w="108" w:type="dxa"/>
        <w:right w:w="108" w:type="dxa"/>
      </w:tblCellMar>
    </w:tblPr>
  </w:style>
  <w:style w:type="table" w:customStyle="1" w:styleId="af6">
    <w:basedOn w:val="TableNormal2"/>
    <w:tblPr>
      <w:tblStyleRowBandSize w:val="1"/>
      <w:tblStyleColBandSize w:val="1"/>
      <w:tblCellMar>
        <w:left w:w="108" w:type="dxa"/>
        <w:right w:w="108" w:type="dxa"/>
      </w:tblCellMar>
    </w:tblPr>
  </w:style>
  <w:style w:type="table" w:customStyle="1" w:styleId="af7">
    <w:basedOn w:val="TableNormal2"/>
    <w:tblPr>
      <w:tblStyleRowBandSize w:val="1"/>
      <w:tblStyleColBandSize w:val="1"/>
      <w:tblCellMar>
        <w:left w:w="108" w:type="dxa"/>
        <w:right w:w="108" w:type="dxa"/>
      </w:tblCellMar>
    </w:tblPr>
  </w:style>
  <w:style w:type="table" w:customStyle="1" w:styleId="af8">
    <w:basedOn w:val="TableNormal2"/>
    <w:tblPr>
      <w:tblStyleRowBandSize w:val="1"/>
      <w:tblStyleColBandSize w:val="1"/>
      <w:tblCellMar>
        <w:left w:w="108" w:type="dxa"/>
        <w:right w:w="108" w:type="dxa"/>
      </w:tblCellMar>
    </w:tblPr>
  </w:style>
  <w:style w:type="table" w:customStyle="1" w:styleId="af9">
    <w:basedOn w:val="TableNormal2"/>
    <w:tblPr>
      <w:tblStyleRowBandSize w:val="1"/>
      <w:tblStyleColBandSize w:val="1"/>
      <w:tblCellMar>
        <w:left w:w="108" w:type="dxa"/>
        <w:right w:w="108" w:type="dxa"/>
      </w:tblCellMar>
    </w:tblPr>
  </w:style>
  <w:style w:type="table" w:customStyle="1" w:styleId="afa">
    <w:basedOn w:val="TableNormal2"/>
    <w:tblPr>
      <w:tblStyleRowBandSize w:val="1"/>
      <w:tblStyleColBandSize w:val="1"/>
      <w:tblCellMar>
        <w:left w:w="108" w:type="dxa"/>
        <w:right w:w="108" w:type="dxa"/>
      </w:tblCellMar>
    </w:tblPr>
  </w:style>
  <w:style w:type="table" w:customStyle="1" w:styleId="afb">
    <w:basedOn w:val="TableNormal2"/>
    <w:tblPr>
      <w:tblStyleRowBandSize w:val="1"/>
      <w:tblStyleColBandSize w:val="1"/>
      <w:tblCellMar>
        <w:left w:w="108" w:type="dxa"/>
        <w:right w:w="108" w:type="dxa"/>
      </w:tblCellMar>
    </w:tblPr>
  </w:style>
  <w:style w:type="table" w:customStyle="1" w:styleId="afc">
    <w:basedOn w:val="TableNormal2"/>
    <w:tblPr>
      <w:tblStyleRowBandSize w:val="1"/>
      <w:tblStyleColBandSize w:val="1"/>
      <w:tblCellMar>
        <w:left w:w="108" w:type="dxa"/>
        <w:right w:w="108" w:type="dxa"/>
      </w:tblCellMar>
    </w:tblPr>
  </w:style>
  <w:style w:type="table" w:customStyle="1" w:styleId="afd">
    <w:basedOn w:val="TableNormal2"/>
    <w:tblPr>
      <w:tblStyleRowBandSize w:val="1"/>
      <w:tblStyleColBandSize w:val="1"/>
      <w:tblCellMar>
        <w:left w:w="108" w:type="dxa"/>
        <w:right w:w="108" w:type="dxa"/>
      </w:tblCellMar>
    </w:tblPr>
  </w:style>
  <w:style w:type="table" w:customStyle="1" w:styleId="afe">
    <w:basedOn w:val="TableNormal2"/>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
    <w:basedOn w:val="TableNormal2"/>
    <w:tblPr>
      <w:tblStyleRowBandSize w:val="1"/>
      <w:tblStyleColBandSize w:val="1"/>
      <w:tblCellMar>
        <w:left w:w="115" w:type="dxa"/>
        <w:right w:w="115" w:type="dxa"/>
      </w:tblCellMar>
    </w:tblPr>
  </w:style>
  <w:style w:type="table" w:customStyle="1" w:styleId="aff0">
    <w:basedOn w:val="TableNormal2"/>
    <w:tblPr>
      <w:tblStyleRowBandSize w:val="1"/>
      <w:tblStyleColBandSize w:val="1"/>
      <w:tblCellMar>
        <w:left w:w="115" w:type="dxa"/>
        <w:right w:w="115" w:type="dxa"/>
      </w:tblCellMar>
    </w:tblPr>
  </w:style>
  <w:style w:type="table" w:customStyle="1" w:styleId="aff1">
    <w:basedOn w:val="TableNormal1"/>
    <w:tblPr>
      <w:tblStyleRowBandSize w:val="1"/>
      <w:tblStyleColBandSize w:val="1"/>
      <w:tblCellMar>
        <w:left w:w="108" w:type="dxa"/>
        <w:right w:w="108" w:type="dxa"/>
      </w:tblCellMar>
    </w:tblPr>
  </w:style>
  <w:style w:type="table" w:customStyle="1" w:styleId="aff2">
    <w:basedOn w:val="TableNormal1"/>
    <w:tblPr>
      <w:tblStyleRowBandSize w:val="1"/>
      <w:tblStyleColBandSize w:val="1"/>
      <w:tblCellMar>
        <w:left w:w="108" w:type="dxa"/>
        <w:right w:w="108" w:type="dxa"/>
      </w:tblCellMar>
    </w:tblPr>
  </w:style>
  <w:style w:type="table" w:customStyle="1" w:styleId="aff3">
    <w:basedOn w:val="TableNormal1"/>
    <w:tblPr>
      <w:tblStyleRowBandSize w:val="1"/>
      <w:tblStyleColBandSize w:val="1"/>
      <w:tblCellMar>
        <w:left w:w="108" w:type="dxa"/>
        <w:right w:w="108" w:type="dxa"/>
      </w:tblCellMar>
    </w:tblPr>
  </w:style>
  <w:style w:type="table" w:customStyle="1" w:styleId="aff4">
    <w:basedOn w:val="TableNormal1"/>
    <w:tblPr>
      <w:tblStyleRowBandSize w:val="1"/>
      <w:tblStyleColBandSize w:val="1"/>
      <w:tblCellMar>
        <w:left w:w="108" w:type="dxa"/>
        <w:right w:w="108" w:type="dxa"/>
      </w:tblCellMar>
    </w:tblPr>
  </w:style>
  <w:style w:type="table" w:customStyle="1" w:styleId="aff5">
    <w:basedOn w:val="TableNormal1"/>
    <w:tblPr>
      <w:tblStyleRowBandSize w:val="1"/>
      <w:tblStyleColBandSize w:val="1"/>
      <w:tblCellMar>
        <w:left w:w="108" w:type="dxa"/>
        <w:right w:w="108" w:type="dxa"/>
      </w:tblCellMar>
    </w:tblPr>
  </w:style>
  <w:style w:type="table" w:customStyle="1" w:styleId="aff6">
    <w:basedOn w:val="TableNormal1"/>
    <w:tblPr>
      <w:tblStyleRowBandSize w:val="1"/>
      <w:tblStyleColBandSize w:val="1"/>
      <w:tblCellMar>
        <w:left w:w="108" w:type="dxa"/>
        <w:right w:w="108" w:type="dxa"/>
      </w:tblCellMar>
    </w:tblPr>
  </w:style>
  <w:style w:type="table" w:customStyle="1" w:styleId="aff7">
    <w:basedOn w:val="TableNormal1"/>
    <w:tblPr>
      <w:tblStyleRowBandSize w:val="1"/>
      <w:tblStyleColBandSize w:val="1"/>
      <w:tblCellMar>
        <w:left w:w="108" w:type="dxa"/>
        <w:right w:w="108" w:type="dxa"/>
      </w:tblCellMar>
    </w:tblPr>
  </w:style>
  <w:style w:type="table" w:customStyle="1" w:styleId="aff8">
    <w:basedOn w:val="TableNormal1"/>
    <w:tblPr>
      <w:tblStyleRowBandSize w:val="1"/>
      <w:tblStyleColBandSize w:val="1"/>
      <w:tblCellMar>
        <w:left w:w="108" w:type="dxa"/>
        <w:right w:w="108" w:type="dxa"/>
      </w:tblCellMar>
    </w:tblPr>
  </w:style>
  <w:style w:type="table" w:customStyle="1" w:styleId="aff9">
    <w:basedOn w:val="TableNormal1"/>
    <w:tblPr>
      <w:tblStyleRowBandSize w:val="1"/>
      <w:tblStyleColBandSize w:val="1"/>
      <w:tblCellMar>
        <w:left w:w="108" w:type="dxa"/>
        <w:right w:w="108" w:type="dxa"/>
      </w:tblCellMar>
    </w:tblPr>
  </w:style>
  <w:style w:type="table" w:customStyle="1" w:styleId="affa">
    <w:basedOn w:val="TableNormal1"/>
    <w:tblPr>
      <w:tblStyleRowBandSize w:val="1"/>
      <w:tblStyleColBandSize w:val="1"/>
      <w:tblCellMar>
        <w:left w:w="108" w:type="dxa"/>
        <w:right w:w="108" w:type="dxa"/>
      </w:tblCellMar>
    </w:tblPr>
  </w:style>
  <w:style w:type="table" w:customStyle="1" w:styleId="affb">
    <w:basedOn w:val="TableNormal1"/>
    <w:tblPr>
      <w:tblStyleRowBandSize w:val="1"/>
      <w:tblStyleColBandSize w:val="1"/>
      <w:tblCellMar>
        <w:left w:w="108" w:type="dxa"/>
        <w:right w:w="108" w:type="dxa"/>
      </w:tblCellMar>
    </w:tblPr>
  </w:style>
  <w:style w:type="table" w:customStyle="1" w:styleId="affc">
    <w:basedOn w:val="TableNormal1"/>
    <w:tblPr>
      <w:tblStyleRowBandSize w:val="1"/>
      <w:tblStyleColBandSize w:val="1"/>
      <w:tblCellMar>
        <w:left w:w="108" w:type="dxa"/>
        <w:right w:w="108" w:type="dxa"/>
      </w:tblCellMar>
    </w:tblPr>
  </w:style>
  <w:style w:type="table" w:customStyle="1" w:styleId="affd">
    <w:basedOn w:val="TableNormal1"/>
    <w:tblPr>
      <w:tblStyleRowBandSize w:val="1"/>
      <w:tblStyleColBandSize w:val="1"/>
      <w:tblCellMar>
        <w:left w:w="108" w:type="dxa"/>
        <w:right w:w="108" w:type="dxa"/>
      </w:tblCellMar>
    </w:tblPr>
  </w:style>
  <w:style w:type="table" w:customStyle="1" w:styleId="affe">
    <w:basedOn w:val="TableNormal1"/>
    <w:tblPr>
      <w:tblStyleRowBandSize w:val="1"/>
      <w:tblStyleColBandSize w:val="1"/>
      <w:tblCellMar>
        <w:left w:w="108" w:type="dxa"/>
        <w:right w:w="108" w:type="dxa"/>
      </w:tblCellMar>
    </w:tblPr>
  </w:style>
  <w:style w:type="table" w:customStyle="1" w:styleId="afff">
    <w:basedOn w:val="TableNormal1"/>
    <w:tblPr>
      <w:tblStyleRowBandSize w:val="1"/>
      <w:tblStyleColBandSize w:val="1"/>
      <w:tblCellMar>
        <w:left w:w="108" w:type="dxa"/>
        <w:right w:w="108" w:type="dxa"/>
      </w:tblCellMar>
    </w:tblPr>
  </w:style>
  <w:style w:type="table" w:customStyle="1" w:styleId="afff0">
    <w:basedOn w:val="TableNormal1"/>
    <w:tblPr>
      <w:tblStyleRowBandSize w:val="1"/>
      <w:tblStyleColBandSize w:val="1"/>
      <w:tblCellMar>
        <w:left w:w="108" w:type="dxa"/>
        <w:right w:w="108" w:type="dxa"/>
      </w:tblCellMar>
    </w:tblPr>
  </w:style>
  <w:style w:type="table" w:customStyle="1" w:styleId="afff1">
    <w:basedOn w:val="TableNormal1"/>
    <w:tblPr>
      <w:tblStyleRowBandSize w:val="1"/>
      <w:tblStyleColBandSize w:val="1"/>
      <w:tblCellMar>
        <w:left w:w="108" w:type="dxa"/>
        <w:right w:w="108" w:type="dxa"/>
      </w:tblCellMar>
    </w:tblPr>
  </w:style>
  <w:style w:type="table" w:customStyle="1" w:styleId="afff2">
    <w:basedOn w:val="TableNormal1"/>
    <w:tblPr>
      <w:tblStyleRowBandSize w:val="1"/>
      <w:tblStyleColBandSize w:val="1"/>
      <w:tblCellMar>
        <w:left w:w="108" w:type="dxa"/>
        <w:right w:w="108" w:type="dxa"/>
      </w:tblCellMar>
    </w:tblPr>
  </w:style>
  <w:style w:type="table" w:customStyle="1" w:styleId="afff3">
    <w:basedOn w:val="TableNormal1"/>
    <w:tblPr>
      <w:tblStyleRowBandSize w:val="1"/>
      <w:tblStyleColBandSize w:val="1"/>
      <w:tblCellMar>
        <w:left w:w="108" w:type="dxa"/>
        <w:right w:w="108" w:type="dxa"/>
      </w:tblCellMar>
    </w:tblPr>
  </w:style>
  <w:style w:type="table" w:customStyle="1" w:styleId="afff4">
    <w:basedOn w:val="TableNormal1"/>
    <w:tblPr>
      <w:tblStyleRowBandSize w:val="1"/>
      <w:tblStyleColBandSize w:val="1"/>
      <w:tblCellMar>
        <w:left w:w="108" w:type="dxa"/>
        <w:right w:w="108" w:type="dxa"/>
      </w:tblCellMar>
    </w:tblPr>
  </w:style>
  <w:style w:type="table" w:customStyle="1" w:styleId="afff5">
    <w:basedOn w:val="TableNormal1"/>
    <w:tblPr>
      <w:tblStyleRowBandSize w:val="1"/>
      <w:tblStyleColBandSize w:val="1"/>
      <w:tblCellMar>
        <w:left w:w="108" w:type="dxa"/>
        <w:right w:w="108" w:type="dxa"/>
      </w:tblCellMar>
    </w:tblPr>
  </w:style>
  <w:style w:type="table" w:customStyle="1" w:styleId="afff6">
    <w:basedOn w:val="TableNormal1"/>
    <w:tblPr>
      <w:tblStyleRowBandSize w:val="1"/>
      <w:tblStyleColBandSize w:val="1"/>
      <w:tblCellMar>
        <w:left w:w="108" w:type="dxa"/>
        <w:right w:w="108" w:type="dxa"/>
      </w:tblCellMar>
    </w:tblPr>
  </w:style>
  <w:style w:type="table" w:customStyle="1" w:styleId="afff7">
    <w:basedOn w:val="TableNormal1"/>
    <w:tblPr>
      <w:tblStyleRowBandSize w:val="1"/>
      <w:tblStyleColBandSize w:val="1"/>
      <w:tblCellMar>
        <w:left w:w="108" w:type="dxa"/>
        <w:right w:w="108" w:type="dxa"/>
      </w:tblCellMar>
    </w:tblPr>
  </w:style>
  <w:style w:type="table" w:customStyle="1" w:styleId="afff8">
    <w:basedOn w:val="TableNormal1"/>
    <w:tblPr>
      <w:tblStyleRowBandSize w:val="1"/>
      <w:tblStyleColBandSize w:val="1"/>
      <w:tblCellMar>
        <w:left w:w="108" w:type="dxa"/>
        <w:right w:w="108" w:type="dxa"/>
      </w:tblCellMar>
    </w:tblPr>
  </w:style>
  <w:style w:type="table" w:customStyle="1" w:styleId="afff9">
    <w:basedOn w:val="TableNormal1"/>
    <w:tblPr>
      <w:tblStyleRowBandSize w:val="1"/>
      <w:tblStyleColBandSize w:val="1"/>
      <w:tblCellMar>
        <w:left w:w="108" w:type="dxa"/>
        <w:right w:w="108" w:type="dxa"/>
      </w:tblCellMar>
    </w:tblPr>
  </w:style>
  <w:style w:type="table" w:customStyle="1" w:styleId="afffa">
    <w:basedOn w:val="TableNormal1"/>
    <w:tblPr>
      <w:tblStyleRowBandSize w:val="1"/>
      <w:tblStyleColBandSize w:val="1"/>
      <w:tblCellMar>
        <w:left w:w="108" w:type="dxa"/>
        <w:right w:w="108" w:type="dxa"/>
      </w:tblCellMar>
    </w:tblPr>
  </w:style>
  <w:style w:type="table" w:customStyle="1" w:styleId="afffb">
    <w:basedOn w:val="TableNormal1"/>
    <w:tblPr>
      <w:tblStyleRowBandSize w:val="1"/>
      <w:tblStyleColBandSize w:val="1"/>
      <w:tblCellMar>
        <w:left w:w="108" w:type="dxa"/>
        <w:right w:w="108" w:type="dxa"/>
      </w:tblCellMar>
    </w:tblPr>
  </w:style>
  <w:style w:type="table" w:customStyle="1" w:styleId="afffc">
    <w:basedOn w:val="TableNormal1"/>
    <w:tblPr>
      <w:tblStyleRowBandSize w:val="1"/>
      <w:tblStyleColBandSize w:val="1"/>
      <w:tblCellMar>
        <w:left w:w="108" w:type="dxa"/>
        <w:right w:w="108" w:type="dxa"/>
      </w:tblCellMar>
    </w:tblPr>
  </w:style>
  <w:style w:type="table" w:customStyle="1" w:styleId="afffd">
    <w:basedOn w:val="TableNormal1"/>
    <w:tblPr>
      <w:tblStyleRowBandSize w:val="1"/>
      <w:tblStyleColBandSize w:val="1"/>
      <w:tblCellMar>
        <w:left w:w="108" w:type="dxa"/>
        <w:right w:w="108" w:type="dxa"/>
      </w:tblCellMar>
    </w:tblPr>
  </w:style>
  <w:style w:type="table" w:customStyle="1" w:styleId="afffe">
    <w:basedOn w:val="TableNormal1"/>
    <w:tblPr>
      <w:tblStyleRowBandSize w:val="1"/>
      <w:tblStyleColBandSize w:val="1"/>
      <w:tblCellMar>
        <w:left w:w="108" w:type="dxa"/>
        <w:right w:w="108" w:type="dxa"/>
      </w:tblCellMar>
    </w:tblPr>
  </w:style>
  <w:style w:type="table" w:customStyle="1" w:styleId="affff">
    <w:basedOn w:val="TableNormal1"/>
    <w:tblPr>
      <w:tblStyleRowBandSize w:val="1"/>
      <w:tblStyleColBandSize w:val="1"/>
      <w:tblCellMar>
        <w:left w:w="108" w:type="dxa"/>
        <w:right w:w="108" w:type="dxa"/>
      </w:tblCellMar>
    </w:tblPr>
  </w:style>
  <w:style w:type="table" w:customStyle="1" w:styleId="affff0">
    <w:basedOn w:val="TableNormal1"/>
    <w:tblPr>
      <w:tblStyleRowBandSize w:val="1"/>
      <w:tblStyleColBandSize w:val="1"/>
      <w:tblCellMar>
        <w:left w:w="108" w:type="dxa"/>
        <w:right w:w="108" w:type="dxa"/>
      </w:tblCellMar>
    </w:tblPr>
  </w:style>
  <w:style w:type="table" w:customStyle="1" w:styleId="affff1">
    <w:basedOn w:val="TableNormal1"/>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f2">
    <w:basedOn w:val="TableNormal1"/>
    <w:tblPr>
      <w:tblStyleRowBandSize w:val="1"/>
      <w:tblStyleColBandSize w:val="1"/>
      <w:tblCellMar>
        <w:left w:w="115" w:type="dxa"/>
        <w:right w:w="115" w:type="dxa"/>
      </w:tblCellMar>
    </w:tblPr>
  </w:style>
  <w:style w:type="table" w:customStyle="1" w:styleId="affff3">
    <w:basedOn w:val="TableNormal1"/>
    <w:tblPr>
      <w:tblStyleRowBandSize w:val="1"/>
      <w:tblStyleColBandSize w:val="1"/>
      <w:tblCellMar>
        <w:left w:w="115" w:type="dxa"/>
        <w:right w:w="115" w:type="dxa"/>
      </w:tblCellMar>
    </w:tblPr>
  </w:style>
  <w:style w:type="table" w:customStyle="1" w:styleId="affff4">
    <w:basedOn w:val="TableNormal0"/>
    <w:tblPr>
      <w:tblStyleRowBandSize w:val="1"/>
      <w:tblStyleColBandSize w:val="1"/>
      <w:tblCellMar>
        <w:left w:w="115" w:type="dxa"/>
        <w:right w:w="115" w:type="dxa"/>
      </w:tblCellMar>
    </w:tblPr>
  </w:style>
  <w:style w:type="table" w:customStyle="1" w:styleId="affff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ixtapaluca22-24.com.mx/manualdeoperacion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47cQmgC5SWBbatmD+3gwunVjUA==">CgMxLjAyCWguMWZvYjl0ZTIIaC5namRneHMyCWguMXQzaDVzZjIJaC4zMGowemxsMgloLjJzOGV5bzEyCWguMnAyY3NyeTIIaC50eWpjd3QyCWguM3pueXNoNzIJaC4zZHk2dmttMgloLjRkMzRvZzgyCWguMjZpbjFyZzgAciExTGFjVUZkZW1ra2k1cURqWmZDdEJvMG9Gdk1zYXZYV0E=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35</Pages>
  <Words>8292</Words>
  <Characters>45606</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2023-11-06T16:47:00Z</cp:lastPrinted>
  <dcterms:created xsi:type="dcterms:W3CDTF">2023-11-16T18:57:00Z</dcterms:created>
  <dcterms:modified xsi:type="dcterms:W3CDTF">2023-11-16T18:57:00Z</dcterms:modified>
</cp:coreProperties>
</file>