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143BE" w14:textId="77777777" w:rsidR="00E47F06" w:rsidRDefault="00E47F06" w:rsidP="00DE3512">
      <w:pPr>
        <w:pBdr>
          <w:top w:val="nil"/>
          <w:left w:val="nil"/>
          <w:bottom w:val="nil"/>
          <w:right w:val="nil"/>
          <w:between w:val="nil"/>
        </w:pBdr>
        <w:rPr>
          <w:rFonts w:eastAsia="Palatino Linotype" w:cs="Palatino Linotype"/>
          <w:color w:val="000000"/>
          <w:szCs w:val="24"/>
        </w:rPr>
      </w:pPr>
    </w:p>
    <w:p w14:paraId="2EE97119" w14:textId="57CAFDE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7C2616">
        <w:rPr>
          <w:rFonts w:eastAsia="Palatino Linotype" w:cs="Palatino Linotype"/>
          <w:color w:val="000000"/>
          <w:szCs w:val="24"/>
        </w:rPr>
        <w:t xml:space="preserve"> </w:t>
      </w:r>
      <w:r w:rsidR="00D94FAF">
        <w:rPr>
          <w:rFonts w:eastAsia="Palatino Linotype" w:cs="Palatino Linotype"/>
          <w:color w:val="000000"/>
          <w:szCs w:val="24"/>
        </w:rPr>
        <w:t>veintidós de marzo</w:t>
      </w:r>
      <w:r w:rsidR="007C2616">
        <w:rPr>
          <w:rFonts w:eastAsia="Palatino Linotype" w:cs="Palatino Linotype"/>
          <w:color w:val="000000"/>
          <w:szCs w:val="24"/>
        </w:rPr>
        <w:t xml:space="preserve"> </w:t>
      </w:r>
      <w:r w:rsidR="00A470D9" w:rsidRPr="003F598D">
        <w:rPr>
          <w:rFonts w:eastAsia="Palatino Linotype" w:cs="Palatino Linotype"/>
          <w:color w:val="000000"/>
          <w:szCs w:val="24"/>
        </w:rPr>
        <w:t>de dos mil veintidós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3D3B9E55"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bookmarkStart w:id="0" w:name="_GoBack"/>
      <w:r w:rsidR="00D94FAF">
        <w:rPr>
          <w:rFonts w:eastAsia="Palatino Linotype" w:cs="Palatino Linotype"/>
          <w:b/>
          <w:color w:val="000000"/>
          <w:szCs w:val="24"/>
        </w:rPr>
        <w:t>00490</w:t>
      </w:r>
      <w:r w:rsidRPr="003F598D">
        <w:rPr>
          <w:rFonts w:eastAsia="Palatino Linotype" w:cs="Palatino Linotype"/>
          <w:b/>
          <w:color w:val="000000"/>
          <w:szCs w:val="24"/>
        </w:rPr>
        <w:t>/INFOEM/IP/RR/202</w:t>
      </w:r>
      <w:r w:rsidR="00D94FAF">
        <w:rPr>
          <w:rFonts w:eastAsia="Palatino Linotype" w:cs="Palatino Linotype"/>
          <w:b/>
          <w:color w:val="000000"/>
          <w:szCs w:val="24"/>
        </w:rPr>
        <w:t>3</w:t>
      </w:r>
      <w:r w:rsidR="00F24C87" w:rsidRPr="003F598D">
        <w:rPr>
          <w:rFonts w:eastAsia="Palatino Linotype" w:cs="Palatino Linotype"/>
          <w:bCs/>
          <w:color w:val="000000"/>
          <w:szCs w:val="24"/>
        </w:rPr>
        <w:t xml:space="preserve"> </w:t>
      </w:r>
      <w:bookmarkEnd w:id="0"/>
      <w:r w:rsidR="00F24C87" w:rsidRPr="003F598D">
        <w:rPr>
          <w:rFonts w:eastAsia="Palatino Linotype" w:cs="Palatino Linotype"/>
          <w:bCs/>
          <w:color w:val="000000"/>
          <w:szCs w:val="24"/>
        </w:rPr>
        <w:t>y</w:t>
      </w:r>
      <w:r w:rsidR="00E72314">
        <w:rPr>
          <w:rFonts w:eastAsia="Palatino Linotype" w:cs="Palatino Linotype"/>
          <w:b/>
          <w:color w:val="000000"/>
          <w:szCs w:val="24"/>
        </w:rPr>
        <w:t xml:space="preserve"> </w:t>
      </w:r>
      <w:r w:rsidR="00D94FAF">
        <w:rPr>
          <w:rFonts w:eastAsia="Palatino Linotype" w:cs="Palatino Linotype"/>
          <w:b/>
          <w:color w:val="000000"/>
          <w:szCs w:val="24"/>
        </w:rPr>
        <w:t>0049</w:t>
      </w:r>
      <w:r w:rsidR="00E72314">
        <w:rPr>
          <w:rFonts w:eastAsia="Palatino Linotype" w:cs="Palatino Linotype"/>
          <w:b/>
          <w:color w:val="000000"/>
          <w:szCs w:val="24"/>
        </w:rPr>
        <w:t>1</w:t>
      </w:r>
      <w:r w:rsidR="00F24C87" w:rsidRPr="003F598D">
        <w:rPr>
          <w:rFonts w:eastAsia="Palatino Linotype" w:cs="Palatino Linotype"/>
          <w:b/>
          <w:color w:val="000000"/>
          <w:szCs w:val="24"/>
        </w:rPr>
        <w:t>/INFOEM/IP/RR/202</w:t>
      </w:r>
      <w:r w:rsidR="00E47F06">
        <w:rPr>
          <w:rFonts w:eastAsia="Palatino Linotype" w:cs="Palatino Linotype"/>
          <w:b/>
          <w:color w:val="000000"/>
          <w:szCs w:val="24"/>
        </w:rPr>
        <w:t>3</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w:t>
      </w:r>
      <w:r w:rsidR="00530025">
        <w:rPr>
          <w:rFonts w:eastAsia="Palatino Linotype" w:cs="Palatino Linotype"/>
          <w:color w:val="000000"/>
          <w:szCs w:val="24"/>
        </w:rPr>
        <w:t>r</w:t>
      </w:r>
      <w:r w:rsidR="00D94FAF">
        <w:rPr>
          <w:rFonts w:eastAsia="Palatino Linotype" w:cs="Palatino Linotype"/>
          <w:color w:val="000000"/>
          <w:szCs w:val="24"/>
        </w:rPr>
        <w:t xml:space="preserve"> </w:t>
      </w:r>
      <w:r w:rsidR="004F1CF8">
        <w:rPr>
          <w:rFonts w:eastAsia="Palatino Linotype" w:cs="Palatino Linotype"/>
          <w:b/>
          <w:bCs/>
          <w:color w:val="000000"/>
          <w:szCs w:val="24"/>
        </w:rPr>
        <w:t>XXXXXXX</w:t>
      </w:r>
      <w:r w:rsidR="00E72314">
        <w:rPr>
          <w:rFonts w:eastAsia="Palatino Linotype" w:cs="Palatino Linotype"/>
          <w:color w:val="000000"/>
          <w:szCs w:val="24"/>
        </w:rPr>
        <w:t xml:space="preserve">, en lo sucesivo </w:t>
      </w:r>
      <w:r w:rsidR="007755E9">
        <w:rPr>
          <w:rFonts w:eastAsia="Palatino Linotype" w:cs="Palatino Linotype"/>
          <w:color w:val="000000"/>
          <w:szCs w:val="24"/>
        </w:rPr>
        <w:t>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w:t>
      </w:r>
      <w:r w:rsidR="00530025">
        <w:rPr>
          <w:rFonts w:eastAsia="Palatino Linotype" w:cs="Palatino Linotype"/>
          <w:color w:val="000000"/>
          <w:szCs w:val="24"/>
        </w:rPr>
        <w:t xml:space="preserve"> falta de</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del </w:t>
      </w:r>
      <w:r w:rsidR="00E72314">
        <w:rPr>
          <w:rFonts w:eastAsia="Palatino Linotype" w:cs="Palatino Linotype"/>
          <w:b/>
          <w:color w:val="000000"/>
          <w:szCs w:val="24"/>
        </w:rPr>
        <w:t xml:space="preserve">Ayuntamiento de </w:t>
      </w:r>
      <w:r w:rsidR="00D94FAF">
        <w:rPr>
          <w:rFonts w:eastAsia="Palatino Linotype" w:cs="Palatino Linotype"/>
          <w:b/>
          <w:color w:val="000000"/>
          <w:szCs w:val="24"/>
        </w:rPr>
        <w:t>Cuautitlán</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2792D342"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D94FAF">
        <w:rPr>
          <w:rFonts w:eastAsia="Palatino Linotype" w:cs="Palatino Linotype"/>
          <w:color w:val="000000"/>
          <w:szCs w:val="24"/>
        </w:rPr>
        <w:t>cinco de diciembre</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xml:space="preserve">, </w:t>
      </w:r>
      <w:r w:rsidR="007755E9">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D94FAF" w:rsidRPr="00D94FAF">
        <w:rPr>
          <w:rFonts w:eastAsia="Palatino Linotype" w:cs="Palatino Linotype"/>
          <w:b/>
          <w:bCs/>
          <w:color w:val="000000"/>
          <w:szCs w:val="24"/>
        </w:rPr>
        <w:t>00451/CUAUTIT/IP/2022</w:t>
      </w:r>
      <w:r w:rsidR="00AF1662" w:rsidRPr="003F598D">
        <w:rPr>
          <w:rFonts w:eastAsia="Palatino Linotype" w:cs="Palatino Linotype"/>
          <w:color w:val="000000"/>
          <w:szCs w:val="24"/>
        </w:rPr>
        <w:t xml:space="preserve"> y </w:t>
      </w:r>
      <w:r w:rsidR="00D94FAF" w:rsidRPr="00D94FAF">
        <w:rPr>
          <w:rFonts w:eastAsia="Palatino Linotype" w:cs="Palatino Linotype"/>
          <w:b/>
          <w:bCs/>
          <w:color w:val="000000"/>
          <w:szCs w:val="24"/>
        </w:rPr>
        <w:t>0045</w:t>
      </w:r>
      <w:r w:rsidR="00D94FAF">
        <w:rPr>
          <w:rFonts w:eastAsia="Palatino Linotype" w:cs="Palatino Linotype"/>
          <w:b/>
          <w:bCs/>
          <w:color w:val="000000"/>
          <w:szCs w:val="24"/>
        </w:rPr>
        <w:t>0</w:t>
      </w:r>
      <w:r w:rsidR="00D94FAF" w:rsidRPr="00D94FAF">
        <w:rPr>
          <w:rFonts w:eastAsia="Palatino Linotype" w:cs="Palatino Linotype"/>
          <w:b/>
          <w:bCs/>
          <w:color w:val="000000"/>
          <w:szCs w:val="24"/>
        </w:rPr>
        <w:t>/CUAUTIT/IP/2022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6DCF3790" w:rsidR="0088088C" w:rsidRPr="003F598D" w:rsidRDefault="00D94FAF" w:rsidP="0088088C">
      <w:pPr>
        <w:pBdr>
          <w:top w:val="nil"/>
          <w:left w:val="nil"/>
          <w:bottom w:val="nil"/>
          <w:right w:val="nil"/>
          <w:between w:val="nil"/>
        </w:pBdr>
        <w:rPr>
          <w:rFonts w:eastAsia="Palatino Linotype" w:cs="Palatino Linotype"/>
          <w:color w:val="000000"/>
          <w:szCs w:val="24"/>
          <w:u w:val="single"/>
        </w:rPr>
      </w:pPr>
      <w:r w:rsidRPr="00D94FAF">
        <w:rPr>
          <w:rFonts w:eastAsia="Palatino Linotype" w:cs="Palatino Linotype"/>
          <w:b/>
          <w:bCs/>
          <w:color w:val="000000"/>
          <w:szCs w:val="24"/>
          <w:u w:val="single"/>
        </w:rPr>
        <w:t>00451/CUAUTIT/IP/2022</w:t>
      </w:r>
    </w:p>
    <w:p w14:paraId="62005C11" w14:textId="2CA2E289" w:rsidR="0088088C" w:rsidRPr="003F598D" w:rsidRDefault="0088088C" w:rsidP="0088088C">
      <w:pPr>
        <w:pStyle w:val="Sinespaciado"/>
        <w:rPr>
          <w:rFonts w:eastAsia="Palatino Linotype"/>
          <w:lang w:val="es-ES"/>
        </w:rPr>
      </w:pPr>
      <w:r w:rsidRPr="003F598D">
        <w:rPr>
          <w:rFonts w:eastAsia="Palatino Linotype"/>
          <w:lang w:val="es-ES"/>
        </w:rPr>
        <w:t>“</w:t>
      </w:r>
      <w:r w:rsidR="00D94FAF" w:rsidRPr="00D94FAF">
        <w:rPr>
          <w:rFonts w:eastAsia="Palatino Linotype"/>
          <w:lang w:val="es-ES"/>
        </w:rPr>
        <w:t xml:space="preserve">SOLICITO ME INFORME LA SECRETARIA DEL AYUNTAMIENTO LIC. ANA SILVIA ROA MORENO POR QUE LA DECIMA SEXTA SESION EXTRAORDINARIA DE CABILDO DE REGIMEN RESOLUTIVO DE FECHA 06 DE OCTUBRE DEL 2022 NO SE TRANSMITIO A TRAVES DE LA PAGINA DEL MUNICIPIO COMO LO </w:t>
      </w:r>
      <w:r w:rsidR="00D94FAF" w:rsidRPr="00D94FAF">
        <w:rPr>
          <w:rFonts w:eastAsia="Palatino Linotype"/>
          <w:lang w:val="es-ES"/>
        </w:rPr>
        <w:lastRenderedPageBreak/>
        <w:t>ESTABLECE EL ARTICULO 28 PARRAFO SEGUNDO DE LA LEY ORGANICA MUNICIPAL DEL ESTADO DE MEXICO QUE A LA LETRA DICE: "Las sesiones de los ayuntamientos serán públicas y deberán transmitirse a través de la página de internet del municipio." ASI MISMO ME INFORME SI ES UNA SESION PÚBLICA, SE HIZO A PUERTA CERRADA SIN DEJAR ENTRAR AL PÚBLICO EN GENERAL. Y QUIEN DIO LA INSTRUCCION DE NO DEJAR PASAR A NADIE A LA SESION SOLO A LA SINDICA Y REGIDORAS Y REGIDORES. INFORMACION QUE YA DEBE DE TENER PUES YA SE LE SOLICITO DESDE HACE VARIOS MESES Y ESTA SEÑORA SOLO SE ESTA BURLANDO DE LA LEY DE TRANSPARENCIA.</w:t>
      </w:r>
      <w:r w:rsidRPr="003F598D">
        <w:rPr>
          <w:rFonts w:eastAsia="Palatino Linotype"/>
          <w:lang w:val="es-ES"/>
        </w:rPr>
        <w:t>” (Sic)</w:t>
      </w:r>
    </w:p>
    <w:p w14:paraId="56D59E08" w14:textId="77777777" w:rsidR="00861F1D" w:rsidRPr="00E47F06" w:rsidRDefault="00861F1D" w:rsidP="00DE3512">
      <w:pPr>
        <w:pBdr>
          <w:top w:val="nil"/>
          <w:left w:val="nil"/>
          <w:bottom w:val="nil"/>
          <w:right w:val="nil"/>
          <w:between w:val="nil"/>
        </w:pBdr>
        <w:rPr>
          <w:rFonts w:eastAsia="Palatino Linotype" w:cs="Palatino Linotype"/>
          <w:color w:val="000000"/>
          <w:szCs w:val="24"/>
        </w:rPr>
      </w:pPr>
    </w:p>
    <w:p w14:paraId="42D8DB9B" w14:textId="1CA0CDD0" w:rsidR="0088088C" w:rsidRPr="003F598D" w:rsidRDefault="00D94FAF" w:rsidP="0088088C">
      <w:pPr>
        <w:pBdr>
          <w:top w:val="nil"/>
          <w:left w:val="nil"/>
          <w:bottom w:val="nil"/>
          <w:right w:val="nil"/>
          <w:between w:val="nil"/>
        </w:pBdr>
        <w:rPr>
          <w:rFonts w:eastAsia="Palatino Linotype" w:cs="Palatino Linotype"/>
          <w:color w:val="000000"/>
          <w:szCs w:val="24"/>
          <w:u w:val="single"/>
        </w:rPr>
      </w:pPr>
      <w:r w:rsidRPr="00D94FAF">
        <w:rPr>
          <w:rFonts w:eastAsia="Palatino Linotype" w:cs="Palatino Linotype"/>
          <w:b/>
          <w:bCs/>
          <w:color w:val="000000"/>
          <w:szCs w:val="24"/>
          <w:u w:val="single"/>
        </w:rPr>
        <w:t>0045</w:t>
      </w:r>
      <w:r>
        <w:rPr>
          <w:rFonts w:eastAsia="Palatino Linotype" w:cs="Palatino Linotype"/>
          <w:b/>
          <w:bCs/>
          <w:color w:val="000000"/>
          <w:szCs w:val="24"/>
          <w:u w:val="single"/>
        </w:rPr>
        <w:t>0</w:t>
      </w:r>
      <w:r w:rsidRPr="00D94FAF">
        <w:rPr>
          <w:rFonts w:eastAsia="Palatino Linotype" w:cs="Palatino Linotype"/>
          <w:b/>
          <w:bCs/>
          <w:color w:val="000000"/>
          <w:szCs w:val="24"/>
          <w:u w:val="single"/>
        </w:rPr>
        <w:t>/CUAUTIT/IP/2022</w:t>
      </w:r>
    </w:p>
    <w:p w14:paraId="146DA493" w14:textId="05CF6287" w:rsidR="0088088C" w:rsidRPr="003F598D" w:rsidRDefault="0088088C" w:rsidP="0088088C">
      <w:pPr>
        <w:pStyle w:val="Sinespaciado"/>
        <w:rPr>
          <w:rFonts w:eastAsia="Palatino Linotype"/>
          <w:lang w:val="es-ES"/>
        </w:rPr>
      </w:pPr>
      <w:r w:rsidRPr="003F598D">
        <w:rPr>
          <w:rFonts w:eastAsia="Palatino Linotype"/>
          <w:lang w:val="es-ES"/>
        </w:rPr>
        <w:t>“</w:t>
      </w:r>
      <w:r w:rsidR="00D94FAF" w:rsidRPr="00D94FAF">
        <w:rPr>
          <w:rFonts w:eastAsia="Palatino Linotype"/>
          <w:lang w:val="es-ES"/>
        </w:rPr>
        <w:t>ESPERANDO QUE LA QUE DICE SER MAESTRA (QUE NO TIENE EL TITULO) Y ES LA SECRETARIA DEL AYUNTAMIENTO NO HAGA UNA CHICANADA VIOLANDO LA LEY DE TRANSPARENCIA Y REMITA LO SIGUIENTE: SOLICITO VIA SAIMEX DE ACUERDO A LO ESTABLECIDO CON EL CITATORIO FIRMADO POR LA LIC. ANA SILVIA ROA MORENO SECRETARIA DEL H. AYUNTAMIENTO DE CUAUTITLAN PARA LA DECIMA SEXTA SESION EXTRAORDINARIA DE CABILDO DE REGIMEN RESOLUTIVO. QUE ME INFORME LA MISMA PORQUE FUNDAMENTA EL MISMO CON EL ARTICULO 28 PARRAFO CUARTO DE LA LEY ORGANICA MUNICIPAL DEL ESTADO DE MEXICO, SIENDO QUE ESTE PARRAFO DICE: 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LO ANTERIOR PARA LA QUEJA LEGAL CORRESPONDIENTE.</w:t>
      </w:r>
      <w:r w:rsidRPr="003F598D">
        <w:rPr>
          <w:rFonts w:eastAsia="Palatino Linotype"/>
          <w:lang w:val="es-ES"/>
        </w:rPr>
        <w:t>” (Sic)</w:t>
      </w:r>
    </w:p>
    <w:p w14:paraId="5DA8D78B" w14:textId="77777777" w:rsidR="0088088C" w:rsidRPr="00E47F06"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E47F06" w:rsidRDefault="00DE3512" w:rsidP="00DE3512">
      <w:pPr>
        <w:pBdr>
          <w:top w:val="nil"/>
          <w:left w:val="nil"/>
          <w:bottom w:val="nil"/>
          <w:right w:val="nil"/>
          <w:between w:val="nil"/>
        </w:pBdr>
        <w:rPr>
          <w:rFonts w:eastAsia="Palatino Linotype" w:cs="Palatino Linotype"/>
          <w:color w:val="000000"/>
          <w:szCs w:val="24"/>
        </w:rPr>
      </w:pPr>
      <w:r w:rsidRPr="00E47F06">
        <w:rPr>
          <w:rFonts w:eastAsia="Palatino Linotype" w:cs="Palatino Linotype"/>
          <w:color w:val="000000"/>
          <w:szCs w:val="24"/>
        </w:rPr>
        <w:t xml:space="preserve">Modalidad de entrega: a través del </w:t>
      </w:r>
      <w:r w:rsidRPr="00E47F06">
        <w:rPr>
          <w:rFonts w:eastAsia="Palatino Linotype" w:cs="Palatino Linotype"/>
          <w:b/>
          <w:color w:val="000000"/>
          <w:szCs w:val="24"/>
        </w:rPr>
        <w:t>SAIMEX</w:t>
      </w:r>
      <w:r w:rsidRPr="00E47F06">
        <w:rPr>
          <w:rFonts w:eastAsia="Palatino Linotype" w:cs="Palatino Linotype"/>
          <w:color w:val="000000"/>
          <w:szCs w:val="24"/>
        </w:rPr>
        <w:t>.</w:t>
      </w:r>
    </w:p>
    <w:p w14:paraId="09E8008B" w14:textId="00038A3F" w:rsidR="003D4518" w:rsidRPr="00E47F06" w:rsidRDefault="003D4518" w:rsidP="00DE3512">
      <w:pPr>
        <w:pBdr>
          <w:top w:val="nil"/>
          <w:left w:val="nil"/>
          <w:bottom w:val="nil"/>
          <w:right w:val="nil"/>
          <w:between w:val="nil"/>
        </w:pBdr>
        <w:rPr>
          <w:rFonts w:eastAsia="Palatino Linotype" w:cs="Palatino Linotype"/>
          <w:bCs/>
          <w:color w:val="000000"/>
          <w:szCs w:val="24"/>
        </w:rPr>
      </w:pPr>
    </w:p>
    <w:p w14:paraId="6C6A4953" w14:textId="16488D5B" w:rsidR="00D94FAF" w:rsidRPr="003F598D" w:rsidRDefault="00D94FAF" w:rsidP="00D94FAF">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 w:val="26"/>
          <w:szCs w:val="26"/>
        </w:rPr>
        <w:t>SEGUNDO</w:t>
      </w:r>
      <w:r w:rsidRPr="003F598D">
        <w:rPr>
          <w:rFonts w:eastAsia="Palatino Linotype" w:cs="Palatino Linotype"/>
          <w:b/>
          <w:color w:val="000000"/>
          <w:sz w:val="26"/>
          <w:szCs w:val="26"/>
        </w:rPr>
        <w:t>. De la</w:t>
      </w:r>
      <w:r>
        <w:rPr>
          <w:rFonts w:eastAsia="Palatino Linotype" w:cs="Palatino Linotype"/>
          <w:b/>
          <w:color w:val="000000"/>
          <w:sz w:val="26"/>
          <w:szCs w:val="26"/>
        </w:rPr>
        <w:t xml:space="preserve"> prórroga para dar respuesta a la solicitud de información.</w:t>
      </w:r>
    </w:p>
    <w:p w14:paraId="22DB4504" w14:textId="11D75182" w:rsidR="00D94FAF" w:rsidRDefault="00D94FAF" w:rsidP="00DE3512">
      <w:pPr>
        <w:pBdr>
          <w:top w:val="nil"/>
          <w:left w:val="nil"/>
          <w:bottom w:val="nil"/>
          <w:right w:val="nil"/>
          <w:between w:val="nil"/>
        </w:pBdr>
        <w:rPr>
          <w:rFonts w:eastAsia="Palatino Linotype" w:cs="Palatino Linotype"/>
          <w:bCs/>
          <w:color w:val="000000"/>
          <w:szCs w:val="24"/>
        </w:rPr>
      </w:pPr>
      <w:r>
        <w:rPr>
          <w:rFonts w:eastAsia="Palatino Linotype" w:cs="Palatino Linotype"/>
          <w:bCs/>
          <w:color w:val="000000"/>
          <w:szCs w:val="24"/>
        </w:rPr>
        <w:lastRenderedPageBreak/>
        <w:t>En fecha once de enero de dos mil veintitrés, el Sujeto Obligado hizo del conocimiento del Recurrente que el plazo para atender la solicitud de información se había prorrogado por un término de siete días adicionales</w:t>
      </w:r>
      <w:r w:rsidR="00F45AAE">
        <w:rPr>
          <w:rFonts w:eastAsia="Palatino Linotype" w:cs="Palatino Linotype"/>
          <w:bCs/>
          <w:color w:val="000000"/>
          <w:szCs w:val="24"/>
        </w:rPr>
        <w:t>.</w:t>
      </w:r>
    </w:p>
    <w:p w14:paraId="266110B0" w14:textId="77777777" w:rsidR="00D94FAF" w:rsidRDefault="00D94FAF" w:rsidP="00DE3512">
      <w:pPr>
        <w:pBdr>
          <w:top w:val="nil"/>
          <w:left w:val="nil"/>
          <w:bottom w:val="nil"/>
          <w:right w:val="nil"/>
          <w:between w:val="nil"/>
        </w:pBdr>
        <w:rPr>
          <w:rFonts w:eastAsia="Palatino Linotype" w:cs="Palatino Linotype"/>
          <w:bCs/>
          <w:color w:val="000000"/>
          <w:szCs w:val="24"/>
        </w:rPr>
      </w:pPr>
    </w:p>
    <w:p w14:paraId="3BC89A0D" w14:textId="008B8987" w:rsidR="00DE3512" w:rsidRPr="003F598D" w:rsidRDefault="00D94FAF" w:rsidP="00DE3512">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 w:val="26"/>
          <w:szCs w:val="26"/>
        </w:rPr>
        <w:t>TERCERO</w:t>
      </w:r>
      <w:r w:rsidR="00457C91"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De la</w:t>
      </w:r>
      <w:r w:rsidR="007755E9">
        <w:rPr>
          <w:rFonts w:eastAsia="Palatino Linotype" w:cs="Palatino Linotype"/>
          <w:b/>
          <w:color w:val="000000"/>
          <w:sz w:val="26"/>
          <w:szCs w:val="26"/>
        </w:rPr>
        <w:t xml:space="preserve"> falta de</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4041B080" w14:textId="35C6FA0B" w:rsidR="007755E9" w:rsidRPr="007755E9" w:rsidRDefault="007755E9" w:rsidP="007755E9">
      <w:pPr>
        <w:pBdr>
          <w:top w:val="nil"/>
          <w:left w:val="nil"/>
          <w:bottom w:val="nil"/>
          <w:right w:val="nil"/>
          <w:between w:val="nil"/>
        </w:pBdr>
        <w:rPr>
          <w:rFonts w:eastAsia="Palatino Linotype" w:cs="Palatino Linotype"/>
          <w:color w:val="000000"/>
          <w:szCs w:val="24"/>
          <w:lang w:val="es-ES_tradnl"/>
        </w:rPr>
      </w:pPr>
      <w:r w:rsidRPr="007755E9">
        <w:rPr>
          <w:rFonts w:eastAsia="Palatino Linotype" w:cs="Palatino Linotype"/>
          <w:color w:val="000000"/>
          <w:szCs w:val="24"/>
          <w:lang w:val="es-ES_tradnl"/>
        </w:rPr>
        <w:t xml:space="preserve">En </w:t>
      </w:r>
      <w:r>
        <w:rPr>
          <w:rFonts w:eastAsia="Palatino Linotype" w:cs="Palatino Linotype"/>
          <w:color w:val="000000"/>
          <w:szCs w:val="24"/>
          <w:lang w:val="es-ES_tradnl"/>
        </w:rPr>
        <w:t>los</w:t>
      </w:r>
      <w:r w:rsidRPr="007755E9">
        <w:rPr>
          <w:rFonts w:eastAsia="Palatino Linotype" w:cs="Palatino Linotype"/>
          <w:color w:val="000000"/>
          <w:szCs w:val="24"/>
          <w:lang w:val="es-ES_tradnl"/>
        </w:rPr>
        <w:t xml:space="preserve"> expediente</w:t>
      </w:r>
      <w:r>
        <w:rPr>
          <w:rFonts w:eastAsia="Palatino Linotype" w:cs="Palatino Linotype"/>
          <w:color w:val="000000"/>
          <w:szCs w:val="24"/>
          <w:lang w:val="es-ES_tradnl"/>
        </w:rPr>
        <w:t>s</w:t>
      </w:r>
      <w:r w:rsidRPr="007755E9">
        <w:rPr>
          <w:rFonts w:eastAsia="Palatino Linotype" w:cs="Palatino Linotype"/>
          <w:color w:val="000000"/>
          <w:szCs w:val="24"/>
          <w:lang w:val="es-ES_tradnl"/>
        </w:rPr>
        <w:t xml:space="preserve"> electrónico</w:t>
      </w:r>
      <w:r>
        <w:rPr>
          <w:rFonts w:eastAsia="Palatino Linotype" w:cs="Palatino Linotype"/>
          <w:color w:val="000000"/>
          <w:szCs w:val="24"/>
          <w:lang w:val="es-ES_tradnl"/>
        </w:rPr>
        <w:t>s</w:t>
      </w:r>
      <w:r w:rsidRPr="007755E9">
        <w:rPr>
          <w:rFonts w:eastAsia="Palatino Linotype" w:cs="Palatino Linotype"/>
          <w:color w:val="000000"/>
          <w:szCs w:val="24"/>
          <w:lang w:val="es-ES_tradnl"/>
        </w:rPr>
        <w:t xml:space="preserve"> </w:t>
      </w:r>
      <w:r w:rsidRPr="007755E9">
        <w:rPr>
          <w:rFonts w:eastAsia="Palatino Linotype" w:cs="Palatino Linotype"/>
          <w:bCs/>
          <w:color w:val="000000"/>
          <w:szCs w:val="24"/>
          <w:lang w:val="es-ES_tradnl"/>
        </w:rPr>
        <w:t>SAIMEX,</w:t>
      </w:r>
      <w:r w:rsidRPr="007755E9">
        <w:rPr>
          <w:rFonts w:eastAsia="Palatino Linotype" w:cs="Palatino Linotype"/>
          <w:color w:val="000000"/>
          <w:szCs w:val="24"/>
          <w:lang w:val="es-ES_tradnl"/>
        </w:rPr>
        <w:t xml:space="preserve"> se observa que el Sujeto Obligado fue omiso en dar respuesta a la</w:t>
      </w:r>
      <w:r>
        <w:rPr>
          <w:rFonts w:eastAsia="Palatino Linotype" w:cs="Palatino Linotype"/>
          <w:color w:val="000000"/>
          <w:szCs w:val="24"/>
          <w:lang w:val="es-ES_tradnl"/>
        </w:rPr>
        <w:t>s</w:t>
      </w:r>
      <w:r w:rsidRPr="007755E9">
        <w:rPr>
          <w:rFonts w:eastAsia="Palatino Linotype" w:cs="Palatino Linotype"/>
          <w:color w:val="000000"/>
          <w:szCs w:val="24"/>
          <w:lang w:val="es-ES_tradnl"/>
        </w:rPr>
        <w:t xml:space="preserve"> solicitud</w:t>
      </w:r>
      <w:r>
        <w:rPr>
          <w:rFonts w:eastAsia="Palatino Linotype" w:cs="Palatino Linotype"/>
          <w:color w:val="000000"/>
          <w:szCs w:val="24"/>
          <w:lang w:val="es-ES_tradnl"/>
        </w:rPr>
        <w:t>es</w:t>
      </w:r>
      <w:r w:rsidRPr="007755E9">
        <w:rPr>
          <w:rFonts w:eastAsia="Palatino Linotype" w:cs="Palatino Linotype"/>
          <w:color w:val="000000"/>
          <w:szCs w:val="24"/>
          <w:lang w:val="es-ES_tradnl"/>
        </w:rPr>
        <w:t xml:space="preserve"> de información presentada</w:t>
      </w:r>
      <w:r>
        <w:rPr>
          <w:rFonts w:eastAsia="Palatino Linotype" w:cs="Palatino Linotype"/>
          <w:color w:val="000000"/>
          <w:szCs w:val="24"/>
          <w:lang w:val="es-ES_tradnl"/>
        </w:rPr>
        <w:t>s</w:t>
      </w:r>
      <w:r w:rsidRPr="007755E9">
        <w:rPr>
          <w:rFonts w:eastAsia="Palatino Linotype" w:cs="Palatino Linotype"/>
          <w:color w:val="000000"/>
          <w:szCs w:val="24"/>
          <w:lang w:val="es-ES_tradnl"/>
        </w:rPr>
        <w:t xml:space="preserve"> por el Recurrente. Derivado de lo anterior, se constituye la figura de la </w:t>
      </w:r>
      <w:r w:rsidRPr="007755E9">
        <w:rPr>
          <w:rFonts w:eastAsia="Palatino Linotype" w:cs="Palatino Linotype"/>
          <w:b/>
          <w:i/>
          <w:color w:val="000000"/>
          <w:szCs w:val="24"/>
          <w:lang w:val="es-ES_tradnl"/>
        </w:rPr>
        <w:t>Negativa Ficta</w:t>
      </w:r>
      <w:r w:rsidRPr="007755E9">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8CCA3EB" w14:textId="21058317" w:rsidR="00ED3D26" w:rsidRPr="007755E9" w:rsidRDefault="00ED3D26" w:rsidP="007755E9">
      <w:pPr>
        <w:pBdr>
          <w:top w:val="nil"/>
          <w:left w:val="nil"/>
          <w:bottom w:val="nil"/>
          <w:right w:val="nil"/>
          <w:between w:val="nil"/>
        </w:pBdr>
        <w:contextualSpacing/>
        <w:rPr>
          <w:rFonts w:eastAsia="Palatino Linotype" w:cs="Palatino Linotype"/>
          <w:color w:val="000000"/>
          <w:szCs w:val="24"/>
          <w:lang w:val="es-ES_tradnl"/>
        </w:rPr>
      </w:pPr>
    </w:p>
    <w:p w14:paraId="42A0F05D" w14:textId="5279A03D" w:rsidR="00DE3512" w:rsidRPr="003F598D" w:rsidRDefault="00FA61E1"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Del recurso de revisión.</w:t>
      </w:r>
    </w:p>
    <w:p w14:paraId="3331FFB2" w14:textId="24A61DBC"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w:t>
      </w:r>
      <w:r w:rsidR="00FA61E1">
        <w:rPr>
          <w:rFonts w:eastAsia="Palatino Linotype" w:cs="Palatino Linotype"/>
          <w:color w:val="000000"/>
          <w:szCs w:val="24"/>
        </w:rPr>
        <w:t>l día</w:t>
      </w:r>
      <w:r w:rsidR="00D94FAF">
        <w:rPr>
          <w:rFonts w:eastAsia="Palatino Linotype" w:cs="Palatino Linotype"/>
          <w:color w:val="000000"/>
          <w:szCs w:val="24"/>
        </w:rPr>
        <w:t xml:space="preserve"> treinta de enero de dos mil veintitrés</w:t>
      </w:r>
      <w:r w:rsidR="00E53C5B">
        <w:rPr>
          <w:rFonts w:eastAsia="Palatino Linotype" w:cs="Palatino Linotype"/>
          <w:color w:val="000000"/>
          <w:szCs w:val="24"/>
        </w:rPr>
        <w:t xml:space="preserve">, </w:t>
      </w:r>
      <w:r w:rsidR="00D94FAF">
        <w:rPr>
          <w:rFonts w:eastAsia="Palatino Linotype" w:cs="Palatino Linotype"/>
          <w:color w:val="000000"/>
          <w:szCs w:val="24"/>
        </w:rPr>
        <w:t>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D94FAF">
        <w:rPr>
          <w:rFonts w:eastAsia="Palatino Linotype" w:cs="Palatino Linotype"/>
          <w:b/>
          <w:color w:val="000000"/>
          <w:szCs w:val="24"/>
        </w:rPr>
        <w:t>0049</w:t>
      </w:r>
      <w:r w:rsidR="00BE587D">
        <w:rPr>
          <w:rFonts w:eastAsia="Palatino Linotype" w:cs="Palatino Linotype"/>
          <w:b/>
          <w:color w:val="000000"/>
          <w:szCs w:val="24"/>
        </w:rPr>
        <w:t>0</w:t>
      </w:r>
      <w:r w:rsidR="00DE3512" w:rsidRPr="003F598D">
        <w:rPr>
          <w:rFonts w:eastAsia="Palatino Linotype" w:cs="Palatino Linotype"/>
          <w:b/>
          <w:color w:val="000000"/>
          <w:szCs w:val="24"/>
        </w:rPr>
        <w:t>/INFOEM/IP/RR/202</w:t>
      </w:r>
      <w:r w:rsidR="00FA61E1">
        <w:rPr>
          <w:rFonts w:eastAsia="Palatino Linotype" w:cs="Palatino Linotype"/>
          <w:b/>
          <w:color w:val="000000"/>
          <w:szCs w:val="24"/>
        </w:rPr>
        <w:t>3</w:t>
      </w:r>
      <w:r w:rsidR="00DE3512" w:rsidRPr="003F598D">
        <w:rPr>
          <w:rFonts w:eastAsia="Palatino Linotype" w:cs="Palatino Linotype"/>
          <w:bCs/>
          <w:color w:val="000000"/>
          <w:szCs w:val="24"/>
        </w:rPr>
        <w:t xml:space="preserve"> </w:t>
      </w:r>
      <w:r w:rsidR="00BE7F8D" w:rsidRPr="003F598D">
        <w:rPr>
          <w:rFonts w:eastAsia="Palatino Linotype" w:cs="Palatino Linotype"/>
          <w:bCs/>
          <w:color w:val="000000"/>
          <w:szCs w:val="24"/>
        </w:rPr>
        <w:t>y</w:t>
      </w:r>
      <w:r w:rsidR="00BE587D">
        <w:rPr>
          <w:rFonts w:eastAsia="Palatino Linotype" w:cs="Palatino Linotype"/>
          <w:b/>
          <w:color w:val="000000"/>
          <w:szCs w:val="24"/>
        </w:rPr>
        <w:t xml:space="preserve"> </w:t>
      </w:r>
      <w:r w:rsidR="00D94FAF">
        <w:rPr>
          <w:rFonts w:eastAsia="Palatino Linotype" w:cs="Palatino Linotype"/>
          <w:b/>
          <w:color w:val="000000"/>
          <w:szCs w:val="24"/>
        </w:rPr>
        <w:t>0049</w:t>
      </w:r>
      <w:r w:rsidR="00BE587D">
        <w:rPr>
          <w:rFonts w:eastAsia="Palatino Linotype" w:cs="Palatino Linotype"/>
          <w:b/>
          <w:color w:val="000000"/>
          <w:szCs w:val="24"/>
        </w:rPr>
        <w:t>1</w:t>
      </w:r>
      <w:r w:rsidR="00BE7F8D" w:rsidRPr="003F598D">
        <w:rPr>
          <w:rFonts w:eastAsia="Palatino Linotype" w:cs="Palatino Linotype"/>
          <w:b/>
          <w:color w:val="000000"/>
          <w:szCs w:val="24"/>
        </w:rPr>
        <w:t>/INFOEM/IP/RR/202</w:t>
      </w:r>
      <w:r w:rsidR="00FA61E1">
        <w:rPr>
          <w:rFonts w:eastAsia="Palatino Linotype" w:cs="Palatino Linotype"/>
          <w:b/>
          <w:color w:val="000000"/>
          <w:szCs w:val="24"/>
        </w:rPr>
        <w:t>3</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FA61E1">
        <w:rPr>
          <w:rFonts w:eastAsia="Palatino Linotype" w:cs="Palatino Linotype"/>
          <w:color w:val="000000"/>
          <w:szCs w:val="24"/>
        </w:rPr>
        <w:t xml:space="preserve">en ambos </w:t>
      </w:r>
      <w:r w:rsidR="00DE3512" w:rsidRPr="003F598D">
        <w:rPr>
          <w:rFonts w:eastAsia="Palatino Linotype" w:cs="Palatino Linotype"/>
          <w:color w:val="000000"/>
          <w:szCs w:val="24"/>
        </w:rPr>
        <w:t>lo siguiente:</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174F3714" w14:textId="7BA0DF9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61CE294B" w:rsidR="00DE3512" w:rsidRPr="003F598D" w:rsidRDefault="00DE3512" w:rsidP="00840AA2">
      <w:pPr>
        <w:pStyle w:val="Sinespaciado"/>
        <w:rPr>
          <w:rFonts w:eastAsia="Palatino Linotype"/>
          <w:lang w:val="es-ES"/>
        </w:rPr>
      </w:pPr>
      <w:r w:rsidRPr="003F598D">
        <w:rPr>
          <w:rFonts w:eastAsia="Palatino Linotype"/>
          <w:lang w:val="es-ES"/>
        </w:rPr>
        <w:t>“</w:t>
      </w:r>
      <w:r w:rsidR="00FA61E1" w:rsidRPr="00FA61E1">
        <w:rPr>
          <w:rFonts w:eastAsia="Palatino Linotype"/>
          <w:lang w:val="es-ES"/>
        </w:rPr>
        <w:t>LA FALTA DE RESPUESTA E INFORMACION DE LO SOLICITADO, TODA VEZ QUE NO HUBO CONTESTACIÓN. COMO SE OBSERVA Y SE DEMUESTRA EN EL SISTEMA SAIMEX.</w:t>
      </w:r>
      <w:r w:rsidRPr="003F598D">
        <w:rPr>
          <w:rFonts w:eastAsia="Palatino Linotype"/>
          <w:lang w:val="es-ES"/>
        </w:rPr>
        <w:t xml:space="preserve">” (Sic) </w:t>
      </w:r>
    </w:p>
    <w:p w14:paraId="2B317C27" w14:textId="77777777" w:rsidR="00DE3512" w:rsidRPr="00FA61E1" w:rsidRDefault="00DE3512" w:rsidP="00100584">
      <w:pPr>
        <w:rPr>
          <w:sz w:val="22"/>
          <w:szCs w:val="21"/>
        </w:rPr>
      </w:pPr>
    </w:p>
    <w:p w14:paraId="0AE93353" w14:textId="77777777" w:rsidR="00DD1BC7" w:rsidRPr="003F598D" w:rsidRDefault="00DE3512" w:rsidP="00100584">
      <w:r w:rsidRPr="003F598D">
        <w:rPr>
          <w:b/>
        </w:rPr>
        <w:t>Razones o Motivos de Inconformidad</w:t>
      </w:r>
      <w:r w:rsidRPr="003F598D">
        <w:t xml:space="preserve">: </w:t>
      </w:r>
    </w:p>
    <w:p w14:paraId="24749F37" w14:textId="290FD719" w:rsidR="00DE3512" w:rsidRPr="003F598D" w:rsidRDefault="00DE3512" w:rsidP="00840AA2">
      <w:pPr>
        <w:pStyle w:val="Sinespaciado"/>
        <w:rPr>
          <w:rFonts w:eastAsia="Palatino Linotype"/>
          <w:lang w:val="es-ES"/>
        </w:rPr>
      </w:pPr>
      <w:r w:rsidRPr="003F598D">
        <w:rPr>
          <w:rFonts w:eastAsia="Palatino Linotype"/>
          <w:lang w:val="es-ES"/>
        </w:rPr>
        <w:t>“</w:t>
      </w:r>
      <w:r w:rsidR="00FA61E1" w:rsidRPr="00FA61E1">
        <w:rPr>
          <w:rFonts w:eastAsia="Palatino Linotype"/>
          <w:lang w:val="es-ES"/>
        </w:rPr>
        <w:t>LA FALTA DE RESPUESTA E INFORMACION DE LO SOLICITADO, TODA VEZ QUE NO HUBO CONTESTACIÓN. COMO SE OBSERVA Y SE DEMUESTRA EN EL SISTEMA SAIMEX.</w:t>
      </w:r>
      <w:r w:rsidRPr="003F598D">
        <w:rPr>
          <w:rFonts w:eastAsia="Palatino Linotype"/>
          <w:lang w:val="es-ES"/>
        </w:rPr>
        <w:t xml:space="preserve">” (Sic) </w:t>
      </w:r>
    </w:p>
    <w:p w14:paraId="68373561" w14:textId="718975F3" w:rsidR="00DE3512" w:rsidRPr="003F598D" w:rsidRDefault="00FA61E1"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QUIN</w:t>
      </w:r>
      <w:r w:rsidR="00135CF5">
        <w:rPr>
          <w:rFonts w:eastAsia="Palatino Linotype" w:cs="Palatino Linotype"/>
          <w:b/>
          <w:color w:val="000000"/>
          <w:sz w:val="26"/>
          <w:szCs w:val="26"/>
        </w:rPr>
        <w:t>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37DE1207"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Pr>
          <w:rFonts w:eastAsia="Palatino Linotype" w:cs="Palatino Linotype"/>
          <w:color w:val="000000"/>
          <w:szCs w:val="24"/>
        </w:rPr>
        <w:t xml:space="preserve"> </w:t>
      </w:r>
      <w:r w:rsidR="00135CF5">
        <w:rPr>
          <w:rFonts w:eastAsia="Palatino Linotype" w:cs="Palatino Linotype"/>
          <w:color w:val="000000"/>
          <w:szCs w:val="24"/>
        </w:rPr>
        <w:t>l</w:t>
      </w:r>
      <w:r w:rsidR="00B10B63">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B10B63">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B10B63">
        <w:rPr>
          <w:rFonts w:eastAsia="Palatino Linotype" w:cs="Palatino Linotype"/>
          <w:color w:val="000000"/>
          <w:szCs w:val="24"/>
        </w:rPr>
        <w:t xml:space="preserve"> y</w:t>
      </w:r>
      <w:r w:rsidR="00100584" w:rsidRPr="003F598D">
        <w:rPr>
          <w:rFonts w:eastAsia="Palatino Linotype" w:cs="Palatino Linotype"/>
          <w:b/>
          <w:color w:val="000000"/>
          <w:szCs w:val="24"/>
        </w:rPr>
        <w:t xml:space="preserve"> </w:t>
      </w:r>
      <w:r w:rsidR="00B10B63">
        <w:rPr>
          <w:rFonts w:eastAsia="Palatino Linotype" w:cs="Palatino Linotype"/>
          <w:b/>
          <w:color w:val="000000"/>
          <w:szCs w:val="24"/>
        </w:rPr>
        <w:t>Luis Gustavo Parra Noriega</w:t>
      </w:r>
      <w:r w:rsidR="00DD1BC7" w:rsidRPr="003F598D">
        <w:rPr>
          <w:rFonts w:eastAsia="Palatino Linotype" w:cs="Palatino Linotype"/>
          <w:color w:val="000000"/>
          <w:szCs w:val="24"/>
        </w:rPr>
        <w:t xml:space="preserve">, </w:t>
      </w:r>
      <w:r w:rsidR="00100584" w:rsidRPr="003F598D">
        <w:rPr>
          <w:rFonts w:eastAsia="Palatino Linotype" w:cs="Palatino Linotype"/>
          <w:color w:val="000000"/>
          <w:szCs w:val="24"/>
        </w:rPr>
        <w:t>respectiv</w:t>
      </w:r>
      <w:r w:rsidR="00135CF5">
        <w:rPr>
          <w:rFonts w:eastAsia="Palatino Linotype" w:cs="Palatino Linotype"/>
          <w:color w:val="000000"/>
          <w:szCs w:val="24"/>
        </w:rPr>
        <w:t>amente</w:t>
      </w:r>
      <w:r w:rsidR="00100584" w:rsidRPr="003F598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D91226">
        <w:rPr>
          <w:rFonts w:eastAsia="Palatino Linotype" w:cs="Palatino Linotype"/>
          <w:color w:val="000000"/>
          <w:szCs w:val="24"/>
        </w:rPr>
        <w:t>los</w:t>
      </w:r>
      <w:r w:rsidR="00B10B63">
        <w:rPr>
          <w:rFonts w:eastAsia="Palatino Linotype" w:cs="Palatino Linotype"/>
          <w:color w:val="000000"/>
          <w:szCs w:val="24"/>
        </w:rPr>
        <w:t xml:space="preserve"> día</w:t>
      </w:r>
      <w:r w:rsidR="00D91226">
        <w:rPr>
          <w:rFonts w:eastAsia="Palatino Linotype" w:cs="Palatino Linotype"/>
          <w:color w:val="000000"/>
          <w:szCs w:val="24"/>
        </w:rPr>
        <w:t>s</w:t>
      </w:r>
      <w:r w:rsidR="00B10B63">
        <w:rPr>
          <w:rFonts w:eastAsia="Palatino Linotype" w:cs="Palatino Linotype"/>
          <w:color w:val="000000"/>
          <w:szCs w:val="24"/>
        </w:rPr>
        <w:t xml:space="preserve"> </w:t>
      </w:r>
      <w:r w:rsidR="009D334B">
        <w:rPr>
          <w:rFonts w:eastAsia="Palatino Linotype" w:cs="Palatino Linotype"/>
          <w:color w:val="000000"/>
          <w:szCs w:val="24"/>
        </w:rPr>
        <w:t>dos y siete de febrero de dos mil veintitrés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3D6E6BFD" w14:textId="77777777" w:rsidR="00B10B63" w:rsidRPr="009D334B" w:rsidRDefault="00B10B63" w:rsidP="00DE3512">
      <w:pPr>
        <w:pBdr>
          <w:top w:val="nil"/>
          <w:left w:val="nil"/>
          <w:bottom w:val="nil"/>
          <w:right w:val="nil"/>
          <w:between w:val="nil"/>
        </w:pBdr>
        <w:rPr>
          <w:rFonts w:eastAsia="Palatino Linotype" w:cs="Palatino Linotype"/>
          <w:color w:val="000000"/>
          <w:sz w:val="22"/>
        </w:rPr>
      </w:pPr>
    </w:p>
    <w:p w14:paraId="7D7F3DF6" w14:textId="3584DEAB" w:rsidR="00C41814" w:rsidRPr="003F598D" w:rsidRDefault="009D334B"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SEXTO</w:t>
      </w:r>
      <w:r w:rsidR="00C41814" w:rsidRPr="003F598D">
        <w:rPr>
          <w:rFonts w:eastAsia="Palatino Linotype" w:cs="Palatino Linotype"/>
          <w:b/>
          <w:color w:val="000000"/>
          <w:sz w:val="26"/>
          <w:szCs w:val="26"/>
        </w:rPr>
        <w:t>. De la acumulación de los recursos de revisión.</w:t>
      </w:r>
    </w:p>
    <w:p w14:paraId="15790560" w14:textId="440BDA24"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9D334B">
        <w:rPr>
          <w:rFonts w:eastAsia="Palatino Linotype" w:cs="Palatino Linotype"/>
          <w:color w:val="000000"/>
          <w:szCs w:val="24"/>
        </w:rPr>
        <w:t>Quinta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9D334B">
        <w:rPr>
          <w:rFonts w:eastAsia="Palatino Linotype" w:cs="Palatino Linotype"/>
          <w:color w:val="000000"/>
          <w:szCs w:val="24"/>
        </w:rPr>
        <w:t xml:space="preserve"> nueve de febrero de dos mil veintitrés</w:t>
      </w:r>
      <w:r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9D334B" w:rsidRDefault="00C41814" w:rsidP="00DE3512">
      <w:pPr>
        <w:pBdr>
          <w:top w:val="nil"/>
          <w:left w:val="nil"/>
          <w:bottom w:val="nil"/>
          <w:right w:val="nil"/>
          <w:between w:val="nil"/>
        </w:pBdr>
        <w:rPr>
          <w:rFonts w:eastAsia="Palatino Linotype" w:cs="Palatino Linotype"/>
          <w:color w:val="000000"/>
          <w:sz w:val="22"/>
        </w:rPr>
      </w:pPr>
    </w:p>
    <w:p w14:paraId="4427EA4F" w14:textId="5ED29236"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w:t>
      </w:r>
      <w:r w:rsidR="009D334B">
        <w:rPr>
          <w:rFonts w:eastAsia="Palatino Linotype" w:cs="Palatino Linotype"/>
          <w:b/>
          <w:color w:val="000000"/>
          <w:sz w:val="26"/>
          <w:szCs w:val="26"/>
        </w:rPr>
        <w:t>ÉPTIMO</w:t>
      </w:r>
      <w:r w:rsidR="00DE3512" w:rsidRPr="003F598D">
        <w:rPr>
          <w:rFonts w:eastAsia="Palatino Linotype" w:cs="Palatino Linotype"/>
          <w:b/>
          <w:color w:val="000000"/>
          <w:sz w:val="26"/>
          <w:szCs w:val="26"/>
        </w:rPr>
        <w:t>. De la etapa de instrucción.</w:t>
      </w:r>
    </w:p>
    <w:p w14:paraId="2D782D35" w14:textId="55EC1939" w:rsidR="004E5E43" w:rsidRDefault="009D334B"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Pr>
          <w:rFonts w:eastAsia="Palatino Linotype" w:cs="Palatino Linotype"/>
          <w:color w:val="000000"/>
          <w:szCs w:val="24"/>
          <w:lang w:val="es-ES_tradnl"/>
        </w:rPr>
        <w:t>los</w:t>
      </w:r>
      <w:r w:rsidRPr="00883102">
        <w:rPr>
          <w:rFonts w:eastAsia="Palatino Linotype" w:cs="Palatino Linotype"/>
          <w:color w:val="000000"/>
          <w:szCs w:val="24"/>
          <w:lang w:val="es-ES_tradnl"/>
        </w:rPr>
        <w:t xml:space="preserve"> Informe</w:t>
      </w:r>
      <w:r>
        <w:rPr>
          <w:rFonts w:eastAsia="Palatino Linotype" w:cs="Palatino Linotype"/>
          <w:color w:val="000000"/>
          <w:szCs w:val="24"/>
          <w:lang w:val="es-ES_tradnl"/>
        </w:rPr>
        <w:t>s</w:t>
      </w:r>
      <w:r w:rsidRPr="00883102">
        <w:rPr>
          <w:rFonts w:eastAsia="Palatino Linotype" w:cs="Palatino Linotype"/>
          <w:color w:val="000000"/>
          <w:szCs w:val="24"/>
          <w:lang w:val="es-ES_tradnl"/>
        </w:rPr>
        <w:t xml:space="preserve"> Justificado</w:t>
      </w:r>
      <w:r>
        <w:rPr>
          <w:rFonts w:eastAsia="Palatino Linotype" w:cs="Palatino Linotype"/>
          <w:color w:val="000000"/>
          <w:szCs w:val="24"/>
          <w:lang w:val="es-ES_tradnl"/>
        </w:rPr>
        <w:t>s correspondientes</w:t>
      </w:r>
      <w:r w:rsidRPr="00883102">
        <w:rPr>
          <w:rFonts w:eastAsia="Palatino Linotype" w:cs="Palatino Linotype"/>
          <w:color w:val="000000"/>
          <w:szCs w:val="24"/>
          <w:lang w:val="es-ES_tradnl"/>
        </w:rPr>
        <w:t xml:space="preserve">. </w:t>
      </w:r>
      <w:r>
        <w:rPr>
          <w:rFonts w:eastAsia="Palatino Linotype" w:cs="Palatino Linotype"/>
          <w:color w:val="000000"/>
          <w:szCs w:val="24"/>
          <w:lang w:val="es-ES_tradnl"/>
        </w:rPr>
        <w:t>Por su parte, el Recurrente no realizó manifestaciones, vertió alegatos ni presentó pruebas que a su derecho convinieran.</w:t>
      </w:r>
    </w:p>
    <w:p w14:paraId="1E3D2D55" w14:textId="77777777" w:rsidR="009D334B" w:rsidRPr="003F598D" w:rsidRDefault="009D334B" w:rsidP="00DE3512">
      <w:pPr>
        <w:pBdr>
          <w:top w:val="nil"/>
          <w:left w:val="nil"/>
          <w:bottom w:val="nil"/>
          <w:right w:val="nil"/>
          <w:between w:val="nil"/>
        </w:pBdr>
        <w:rPr>
          <w:rFonts w:eastAsia="Palatino Linotype" w:cs="Palatino Linotype"/>
          <w:color w:val="000000"/>
          <w:szCs w:val="24"/>
        </w:rPr>
      </w:pPr>
    </w:p>
    <w:p w14:paraId="0B5504C7" w14:textId="20B82C2D" w:rsidR="00DE3512" w:rsidRPr="003F598D" w:rsidRDefault="009D334B"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OCTAVO</w:t>
      </w:r>
      <w:r w:rsidR="00DE3512" w:rsidRPr="003F598D">
        <w:rPr>
          <w:rFonts w:eastAsia="Palatino Linotype" w:cs="Palatino Linotype"/>
          <w:b/>
          <w:color w:val="000000"/>
          <w:sz w:val="26"/>
          <w:szCs w:val="26"/>
        </w:rPr>
        <w:t>. Del cierre de instrucción.</w:t>
      </w:r>
    </w:p>
    <w:p w14:paraId="57A50442" w14:textId="1C5C942E"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una vez transcurrido el término legal, se decre</w:t>
      </w:r>
      <w:r w:rsidR="009F6C10">
        <w:rPr>
          <w:rFonts w:eastAsia="Palatino Linotype" w:cs="Palatino Linotype"/>
          <w:color w:val="000000"/>
          <w:szCs w:val="24"/>
        </w:rPr>
        <w:t>taron</w:t>
      </w:r>
      <w:r w:rsidRPr="003F598D">
        <w:rPr>
          <w:rFonts w:eastAsia="Palatino Linotype" w:cs="Palatino Linotype"/>
          <w:color w:val="000000"/>
          <w:szCs w:val="24"/>
        </w:rPr>
        <w:t xml:space="preserve"> </w:t>
      </w:r>
      <w:r w:rsidR="009F6C10">
        <w:rPr>
          <w:rFonts w:eastAsia="Palatino Linotype" w:cs="Palatino Linotype"/>
          <w:color w:val="000000"/>
          <w:szCs w:val="24"/>
        </w:rPr>
        <w:t>los</w:t>
      </w:r>
      <w:r w:rsidRPr="003F598D">
        <w:rPr>
          <w:rFonts w:eastAsia="Palatino Linotype" w:cs="Palatino Linotype"/>
          <w:color w:val="000000"/>
          <w:szCs w:val="24"/>
        </w:rPr>
        <w:t xml:space="preserve"> cierre</w:t>
      </w:r>
      <w:r w:rsidR="009D334B">
        <w:rPr>
          <w:rFonts w:eastAsia="Palatino Linotype" w:cs="Palatino Linotype"/>
          <w:color w:val="000000"/>
          <w:szCs w:val="24"/>
        </w:rPr>
        <w:t>s</w:t>
      </w:r>
      <w:r w:rsidRPr="003F598D">
        <w:rPr>
          <w:rFonts w:eastAsia="Palatino Linotype" w:cs="Palatino Linotype"/>
          <w:color w:val="000000"/>
          <w:szCs w:val="24"/>
        </w:rPr>
        <w:t xml:space="preserv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w:t>
      </w:r>
      <w:r w:rsidR="009D334B">
        <w:rPr>
          <w:rFonts w:eastAsia="Palatino Linotype" w:cs="Palatino Linotype"/>
          <w:b/>
          <w:color w:val="000000"/>
          <w:szCs w:val="24"/>
        </w:rPr>
        <w:t>00490</w:t>
      </w:r>
      <w:r w:rsidR="00E47F06">
        <w:rPr>
          <w:rFonts w:eastAsia="Palatino Linotype" w:cs="Palatino Linotype"/>
          <w:b/>
          <w:color w:val="000000"/>
          <w:szCs w:val="24"/>
        </w:rPr>
        <w:t>/INFOEM/IP/RR/2023</w:t>
      </w:r>
      <w:r w:rsidR="009F6C10" w:rsidRPr="003F598D">
        <w:rPr>
          <w:rFonts w:eastAsia="Palatino Linotype" w:cs="Palatino Linotype"/>
          <w:bCs/>
          <w:color w:val="000000"/>
          <w:szCs w:val="24"/>
        </w:rPr>
        <w:t xml:space="preserve"> y</w:t>
      </w:r>
      <w:r w:rsidR="009F6C10">
        <w:rPr>
          <w:rFonts w:eastAsia="Palatino Linotype" w:cs="Palatino Linotype"/>
          <w:b/>
          <w:color w:val="000000"/>
          <w:szCs w:val="24"/>
        </w:rPr>
        <w:t xml:space="preserve"> </w:t>
      </w:r>
      <w:r w:rsidR="009D334B">
        <w:rPr>
          <w:rFonts w:eastAsia="Palatino Linotype" w:cs="Palatino Linotype"/>
          <w:b/>
          <w:color w:val="000000"/>
          <w:szCs w:val="24"/>
        </w:rPr>
        <w:t>00491</w:t>
      </w:r>
      <w:r w:rsidR="00E47F06">
        <w:rPr>
          <w:rFonts w:eastAsia="Palatino Linotype" w:cs="Palatino Linotype"/>
          <w:b/>
          <w:color w:val="000000"/>
          <w:szCs w:val="24"/>
        </w:rPr>
        <w:t>/INFOEM/IP/RR/2023</w:t>
      </w:r>
      <w:r w:rsidR="009F6C10" w:rsidRPr="009F6C10">
        <w:rPr>
          <w:rFonts w:eastAsia="Palatino Linotype" w:cs="Palatino Linotype"/>
          <w:bCs/>
          <w:color w:val="000000"/>
          <w:szCs w:val="24"/>
        </w:rPr>
        <w:t>,</w:t>
      </w:r>
      <w:r w:rsidR="009F6C10">
        <w:rPr>
          <w:rFonts w:eastAsia="Palatino Linotype" w:cs="Palatino Linotype"/>
          <w:b/>
          <w:color w:val="000000"/>
          <w:szCs w:val="24"/>
        </w:rPr>
        <w:t xml:space="preserve"> </w:t>
      </w:r>
      <w:r w:rsidRPr="003F598D">
        <w:rPr>
          <w:rFonts w:eastAsia="Palatino Linotype" w:cs="Palatino Linotype"/>
          <w:color w:val="000000"/>
          <w:szCs w:val="24"/>
        </w:rPr>
        <w:t>en fecha</w:t>
      </w:r>
      <w:r w:rsidR="009D334B">
        <w:rPr>
          <w:rFonts w:eastAsia="Palatino Linotype" w:cs="Palatino Linotype"/>
          <w:color w:val="000000"/>
          <w:szCs w:val="24"/>
        </w:rPr>
        <w:t xml:space="preserve"> veinte de febrero de dos mil veintitrés</w:t>
      </w:r>
      <w:r w:rsidRPr="003F598D">
        <w:rPr>
          <w:rFonts w:eastAsia="Palatino Linotype" w:cs="Palatino Linotype"/>
          <w:color w:val="000000"/>
          <w:szCs w:val="24"/>
        </w:rPr>
        <w:t xml:space="preserve">, </w:t>
      </w:r>
      <w:r w:rsidR="009F6C10">
        <w:rPr>
          <w:rFonts w:eastAsia="Palatino Linotype" w:cs="Palatino Linotype"/>
          <w:color w:val="000000"/>
          <w:szCs w:val="24"/>
        </w:rPr>
        <w:t xml:space="preserve">respectivamente, </w:t>
      </w:r>
      <w:r w:rsidRPr="003F598D">
        <w:rPr>
          <w:rFonts w:eastAsia="Palatino Linotype" w:cs="Palatino Linotype"/>
          <w:color w:val="000000"/>
          <w:szCs w:val="24"/>
        </w:rPr>
        <w:t xml:space="preserve">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77777777" w:rsidR="00DE3512" w:rsidRPr="002513B5" w:rsidRDefault="00DE3512" w:rsidP="00DE3512">
      <w:pPr>
        <w:pBdr>
          <w:top w:val="nil"/>
          <w:left w:val="nil"/>
          <w:bottom w:val="nil"/>
          <w:right w:val="nil"/>
          <w:between w:val="nil"/>
        </w:pBdr>
        <w:rPr>
          <w:rFonts w:eastAsia="Palatino Linotype" w:cs="Palatino Linotype"/>
          <w:color w:val="000000"/>
          <w:szCs w:val="24"/>
        </w:rPr>
      </w:pPr>
      <w:r w:rsidRPr="002513B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689E87E2" w14:textId="77777777" w:rsidR="002513B5" w:rsidRPr="002513B5" w:rsidRDefault="002513B5"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22FB5FE0" w:rsidR="00DE3512" w:rsidRDefault="00DE3512" w:rsidP="00DE3512">
      <w:pPr>
        <w:pBdr>
          <w:top w:val="nil"/>
          <w:left w:val="nil"/>
          <w:bottom w:val="nil"/>
          <w:right w:val="nil"/>
          <w:between w:val="nil"/>
        </w:pBdr>
        <w:rPr>
          <w:rFonts w:eastAsia="Palatino Linotype" w:cs="Palatino Linotype"/>
          <w:color w:val="000000"/>
          <w:szCs w:val="24"/>
        </w:rPr>
      </w:pPr>
    </w:p>
    <w:p w14:paraId="5B625FAB" w14:textId="0B69932F" w:rsidR="00DE3512" w:rsidRPr="003F598D" w:rsidRDefault="009D334B"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 xml:space="preserve">esolutor y por ende objeto de análisis previo al estudio de fondo del asunto; presupuestos procesales de inicio o trámite de un proceso que dotan de seguridad jurídica las resoluciones, máxime que es </w:t>
      </w:r>
      <w:r w:rsidRPr="003F598D">
        <w:rPr>
          <w:rFonts w:eastAsia="Palatino Linotype" w:cs="Palatino Linotype"/>
          <w:color w:val="000000"/>
          <w:szCs w:val="24"/>
        </w:rPr>
        <w:lastRenderedPageBreak/>
        <w:t>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715B2879" w:rsidR="00DE3512" w:rsidRDefault="009D334B"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CUAR</w:t>
      </w:r>
      <w:r w:rsidR="00DE3512" w:rsidRPr="003F598D">
        <w:rPr>
          <w:rFonts w:eastAsia="Palatino Linotype" w:cs="Palatino Linotype"/>
          <w:b/>
          <w:color w:val="000000"/>
          <w:sz w:val="26"/>
          <w:szCs w:val="26"/>
        </w:rPr>
        <w:t>TO. Estudio y resolución del asunto.</w:t>
      </w:r>
    </w:p>
    <w:p w14:paraId="2662591D"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26017133"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p>
    <w:p w14:paraId="206065D4"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2D2F479D"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p>
    <w:p w14:paraId="09DB2476"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37126EDA"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p>
    <w:p w14:paraId="59336C92"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lastRenderedPageBreak/>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4D912E7"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p>
    <w:p w14:paraId="36B6F70B" w14:textId="77777777" w:rsidR="00A52B9A" w:rsidRPr="00883102" w:rsidRDefault="00A52B9A" w:rsidP="00A52B9A">
      <w:pPr>
        <w:pStyle w:val="Sinespaciado"/>
        <w:rPr>
          <w:rFonts w:eastAsia="Palatino Linotype"/>
        </w:rPr>
      </w:pPr>
      <w:r w:rsidRPr="00883102">
        <w:rPr>
          <w:rFonts w:eastAsia="Palatino Linotype"/>
          <w:b/>
        </w:rPr>
        <w:t>Artículo 4.</w:t>
      </w:r>
      <w:r w:rsidRPr="00883102">
        <w:rPr>
          <w:rFonts w:eastAsia="Palatino Linotype"/>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3033A5" w14:textId="77777777" w:rsidR="00A52B9A" w:rsidRPr="00883102" w:rsidRDefault="00A52B9A" w:rsidP="00A52B9A">
      <w:pPr>
        <w:pStyle w:val="Sinespaciado"/>
        <w:rPr>
          <w:rFonts w:eastAsia="Palatino Linotype"/>
        </w:rPr>
      </w:pPr>
    </w:p>
    <w:p w14:paraId="683A01D4" w14:textId="77777777" w:rsidR="00A52B9A" w:rsidRPr="00883102" w:rsidRDefault="00A52B9A" w:rsidP="00A52B9A">
      <w:pPr>
        <w:pStyle w:val="Sinespaciado"/>
        <w:rPr>
          <w:rFonts w:eastAsia="Palatino Linotype"/>
        </w:rPr>
      </w:pPr>
      <w:r w:rsidRPr="00883102">
        <w:rPr>
          <w:rFonts w:eastAsia="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650766" w14:textId="77777777" w:rsidR="00A52B9A" w:rsidRPr="00883102" w:rsidRDefault="00A52B9A" w:rsidP="00A52B9A">
      <w:pPr>
        <w:pStyle w:val="Sinespaciado"/>
        <w:rPr>
          <w:rFonts w:eastAsia="Palatino Linotype"/>
        </w:rPr>
      </w:pPr>
    </w:p>
    <w:p w14:paraId="02D97E51" w14:textId="77777777" w:rsidR="00A52B9A" w:rsidRPr="00883102" w:rsidRDefault="00A52B9A" w:rsidP="00A52B9A">
      <w:pPr>
        <w:pStyle w:val="Sinespaciado"/>
        <w:rPr>
          <w:rFonts w:eastAsia="Palatino Linotype"/>
        </w:rPr>
      </w:pPr>
      <w:r w:rsidRPr="00883102">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6CCFADFC" w14:textId="77777777" w:rsidR="00A52B9A" w:rsidRPr="00883102" w:rsidRDefault="00A52B9A" w:rsidP="00A52B9A">
      <w:pPr>
        <w:pStyle w:val="Sinespaciado"/>
        <w:rPr>
          <w:rFonts w:eastAsia="Palatino Linotype"/>
        </w:rPr>
      </w:pPr>
    </w:p>
    <w:p w14:paraId="76527E1A" w14:textId="77777777" w:rsidR="00A52B9A" w:rsidRPr="00883102" w:rsidRDefault="00A52B9A" w:rsidP="00A52B9A">
      <w:pPr>
        <w:pStyle w:val="Sinespaciado"/>
        <w:rPr>
          <w:rFonts w:eastAsia="Palatino Linotype"/>
        </w:rPr>
      </w:pPr>
      <w:r w:rsidRPr="00883102">
        <w:rPr>
          <w:rFonts w:eastAsia="Palatino Linotype"/>
          <w:b/>
        </w:rPr>
        <w:t>Artículo 12.</w:t>
      </w:r>
      <w:r w:rsidRPr="00883102">
        <w:rPr>
          <w:rFonts w:eastAsia="Palatino Linotype"/>
        </w:rPr>
        <w:t xml:space="preserve"> Quienes generen, recopilen, administren, manejen, procesen, archiven o conserven información pública serán responsables de la misma en los términos de las disposiciones jurídicas aplicables.</w:t>
      </w:r>
    </w:p>
    <w:p w14:paraId="55BCAF65" w14:textId="77777777" w:rsidR="00A52B9A" w:rsidRPr="00883102" w:rsidRDefault="00A52B9A" w:rsidP="00A52B9A">
      <w:pPr>
        <w:pStyle w:val="Sinespaciado"/>
        <w:rPr>
          <w:rFonts w:eastAsia="Palatino Linotype"/>
        </w:rPr>
      </w:pPr>
    </w:p>
    <w:p w14:paraId="42A18A96" w14:textId="77777777" w:rsidR="00A52B9A" w:rsidRPr="00883102" w:rsidRDefault="00A52B9A" w:rsidP="00A52B9A">
      <w:pPr>
        <w:pStyle w:val="Sinespaciado"/>
        <w:rPr>
          <w:rFonts w:eastAsia="Palatino Linotype"/>
        </w:rPr>
      </w:pPr>
      <w:r w:rsidRPr="00883102">
        <w:rPr>
          <w:rFonts w:eastAsia="Palatino Linotyp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A4E6E9D" w14:textId="77777777" w:rsidR="00A52B9A" w:rsidRPr="00883102" w:rsidRDefault="00A52B9A" w:rsidP="00A52B9A">
      <w:pPr>
        <w:pStyle w:val="Sinespaciado"/>
        <w:rPr>
          <w:rFonts w:eastAsia="Palatino Linotype"/>
        </w:rPr>
      </w:pPr>
      <w:r w:rsidRPr="00883102">
        <w:rPr>
          <w:rFonts w:eastAsia="Palatino Linotype"/>
        </w:rPr>
        <w:lastRenderedPageBreak/>
        <w:t>(…)</w:t>
      </w:r>
    </w:p>
    <w:p w14:paraId="3DF659DF" w14:textId="77777777" w:rsidR="00A52B9A" w:rsidRPr="00883102" w:rsidRDefault="00A52B9A" w:rsidP="00A52B9A">
      <w:pPr>
        <w:pStyle w:val="Sinespaciado"/>
        <w:rPr>
          <w:rFonts w:eastAsia="Palatino Linotype"/>
          <w:b/>
        </w:rPr>
      </w:pPr>
    </w:p>
    <w:p w14:paraId="2EE29BE0" w14:textId="77777777" w:rsidR="00A52B9A" w:rsidRPr="00883102" w:rsidRDefault="00A52B9A" w:rsidP="00A52B9A">
      <w:pPr>
        <w:pStyle w:val="Sinespaciado"/>
        <w:rPr>
          <w:rFonts w:eastAsia="Palatino Linotype"/>
          <w:b/>
        </w:rPr>
      </w:pPr>
      <w:r w:rsidRPr="00883102">
        <w:rPr>
          <w:rFonts w:eastAsia="Palatino Linotype"/>
          <w:b/>
        </w:rPr>
        <w:t xml:space="preserve">Artículo 24. </w:t>
      </w:r>
    </w:p>
    <w:p w14:paraId="4682AE60" w14:textId="77777777" w:rsidR="00A52B9A" w:rsidRPr="00883102" w:rsidRDefault="00A52B9A" w:rsidP="00A52B9A">
      <w:pPr>
        <w:pStyle w:val="Sinespaciado"/>
        <w:rPr>
          <w:rFonts w:eastAsia="Palatino Linotype"/>
        </w:rPr>
      </w:pPr>
      <w:r w:rsidRPr="00883102">
        <w:rPr>
          <w:rFonts w:eastAsia="Palatino Linotype"/>
        </w:rPr>
        <w:t>(…)</w:t>
      </w:r>
    </w:p>
    <w:p w14:paraId="1E687617" w14:textId="77777777" w:rsidR="00A52B9A" w:rsidRPr="00883102" w:rsidRDefault="00A52B9A" w:rsidP="00A52B9A">
      <w:pPr>
        <w:pStyle w:val="Sinespaciado"/>
        <w:rPr>
          <w:rFonts w:eastAsia="Palatino Linotype"/>
        </w:rPr>
      </w:pPr>
      <w:r w:rsidRPr="00883102">
        <w:rPr>
          <w:rFonts w:eastAsia="Palatino Linotype"/>
        </w:rPr>
        <w:t>Los sujetos obligados solo proporcionarán la información pública que generen, administren o posean en el ejercicio de sus atribuciones.”</w:t>
      </w:r>
    </w:p>
    <w:p w14:paraId="28870256" w14:textId="77777777" w:rsidR="00A52B9A" w:rsidRPr="00883102" w:rsidRDefault="00A52B9A" w:rsidP="00A52B9A">
      <w:pPr>
        <w:pStyle w:val="Sinespaciado"/>
        <w:rPr>
          <w:rFonts w:eastAsia="Palatino Linotype"/>
        </w:rPr>
      </w:pPr>
      <w:r w:rsidRPr="00883102">
        <w:rPr>
          <w:rFonts w:eastAsia="Palatino Linotype"/>
        </w:rPr>
        <w:t>(…)</w:t>
      </w:r>
    </w:p>
    <w:p w14:paraId="5E7156A3" w14:textId="77777777" w:rsidR="00A52B9A" w:rsidRPr="00883102" w:rsidRDefault="00A52B9A" w:rsidP="00A52B9A">
      <w:pPr>
        <w:pStyle w:val="Sinespaciado"/>
        <w:rPr>
          <w:rFonts w:eastAsia="Palatino Linotype"/>
        </w:rPr>
      </w:pPr>
    </w:p>
    <w:p w14:paraId="3D158A4D" w14:textId="77777777" w:rsidR="00A52B9A" w:rsidRPr="00883102" w:rsidRDefault="00A52B9A" w:rsidP="00A52B9A">
      <w:pPr>
        <w:pStyle w:val="Sinespaciado"/>
        <w:rPr>
          <w:rFonts w:eastAsia="Palatino Linotype"/>
        </w:rPr>
      </w:pPr>
      <w:r w:rsidRPr="00883102">
        <w:rPr>
          <w:rFonts w:eastAsia="Palatino Linotype"/>
          <w:b/>
        </w:rPr>
        <w:t>Artículo 160.</w:t>
      </w:r>
      <w:r w:rsidRPr="00883102">
        <w:rPr>
          <w:rFonts w:eastAsia="Palatino Linotype"/>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6772B4" w14:textId="77777777" w:rsidR="00A52B9A" w:rsidRPr="00883102" w:rsidRDefault="00A52B9A" w:rsidP="00A52B9A">
      <w:pPr>
        <w:pStyle w:val="Sinespaciado"/>
        <w:rPr>
          <w:rFonts w:eastAsia="Palatino Linotype"/>
        </w:rPr>
      </w:pPr>
    </w:p>
    <w:p w14:paraId="61A84F36" w14:textId="77777777" w:rsidR="00A52B9A" w:rsidRPr="00883102" w:rsidRDefault="00A52B9A" w:rsidP="00A52B9A">
      <w:pPr>
        <w:pStyle w:val="Sinespaciado"/>
        <w:rPr>
          <w:rFonts w:eastAsia="Palatino Linotype"/>
        </w:rPr>
      </w:pPr>
      <w:r w:rsidRPr="00883102">
        <w:rPr>
          <w:rFonts w:eastAsia="Palatino Linotype"/>
        </w:rPr>
        <w:t>En caso que la información solicitada consista en bases de datos se deberá privilegiar la entrega de la misma en formatos abiertos.</w:t>
      </w:r>
    </w:p>
    <w:p w14:paraId="10F3B325" w14:textId="77777777" w:rsidR="00A52B9A" w:rsidRPr="00883102" w:rsidRDefault="00A52B9A" w:rsidP="00A52B9A">
      <w:pPr>
        <w:pBdr>
          <w:top w:val="nil"/>
          <w:left w:val="nil"/>
          <w:bottom w:val="nil"/>
          <w:right w:val="nil"/>
          <w:between w:val="nil"/>
        </w:pBdr>
        <w:rPr>
          <w:rFonts w:eastAsia="Palatino Linotype" w:cs="Palatino Linotype"/>
          <w:color w:val="000000"/>
          <w:szCs w:val="24"/>
          <w:lang w:val="es-ES_tradnl"/>
        </w:rPr>
      </w:pPr>
    </w:p>
    <w:p w14:paraId="0179E5A6"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C6BB08A"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0A608544"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b/>
          <w:i/>
          <w:color w:val="000000"/>
          <w:lang w:val="es-ES_tradnl"/>
        </w:rPr>
        <w:t>Artículo 166.</w:t>
      </w:r>
      <w:r w:rsidRPr="00883102">
        <w:rPr>
          <w:rFonts w:eastAsia="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33E545AA"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7DAE5AED"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24E343F0"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3DB2222F"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b/>
          <w:i/>
          <w:color w:val="000000"/>
          <w:lang w:val="es-ES_tradnl"/>
        </w:rPr>
        <w:t>Artículo 24.</w:t>
      </w:r>
      <w:r w:rsidRPr="00883102">
        <w:rPr>
          <w:rFonts w:eastAsia="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75D6304D"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i/>
          <w:color w:val="000000"/>
          <w:lang w:val="es-ES_tradnl"/>
        </w:rPr>
        <w:t>(...)</w:t>
      </w:r>
    </w:p>
    <w:p w14:paraId="3507E1E6"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i/>
          <w:color w:val="000000"/>
          <w:lang w:val="es-ES_tradnl"/>
        </w:rPr>
        <w:t>XI. Dar acceso a la información pública que le sea requerida, en los términos de la Ley General, esta Ley y demás disposiciones jurídicas aplicables;</w:t>
      </w:r>
    </w:p>
    <w:p w14:paraId="0A720C00"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i/>
          <w:color w:val="000000"/>
          <w:lang w:val="es-ES_tradnl"/>
        </w:rPr>
        <w:t>(...)</w:t>
      </w:r>
    </w:p>
    <w:p w14:paraId="54430E80"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2B902EAD" w14:textId="1805E3D1" w:rsidR="00853D09"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este punto, es toral recordar que </w:t>
      </w:r>
      <w:r>
        <w:rPr>
          <w:rFonts w:eastAsia="Palatino Linotype" w:cs="Palatino Linotype"/>
          <w:color w:val="000000"/>
          <w:szCs w:val="24"/>
          <w:lang w:val="es-ES_tradnl"/>
        </w:rPr>
        <w:t xml:space="preserve">el hoy Recurrente solicitó al Sujeto Obligado que </w:t>
      </w:r>
      <w:r w:rsidR="006E3EDC">
        <w:rPr>
          <w:rFonts w:eastAsia="Palatino Linotype" w:cs="Palatino Linotype"/>
          <w:color w:val="000000"/>
          <w:szCs w:val="24"/>
          <w:lang w:val="es-ES_tradnl"/>
        </w:rPr>
        <w:t>la Secretaria del Ayuntamiento informe el motivo por el que la Décima Sexta Sesión Extraordinaria de Cabildo de fecha seis de octubre de dos mil veintidós no se transmitió mediante la página del municipio y por qué se realizó a puerta cerrada sin que se permitiera el ingreso al público en general; además del motivo por el cual el citatorio para la celebración de la sesión referida se fundamentó con el artículo 28 párrafo cuarto de la Ley Orgánica Municipal</w:t>
      </w:r>
      <w:r w:rsidR="00DC35CF">
        <w:rPr>
          <w:rFonts w:eastAsia="Palatino Linotype" w:cs="Palatino Linotype"/>
          <w:color w:val="000000"/>
          <w:szCs w:val="24"/>
          <w:lang w:val="es-ES_tradnl"/>
        </w:rPr>
        <w:t xml:space="preserve"> del Estado de México.</w:t>
      </w:r>
    </w:p>
    <w:p w14:paraId="555B6515" w14:textId="77777777" w:rsidR="00853D09" w:rsidRDefault="00853D09" w:rsidP="00853D09">
      <w:pPr>
        <w:pBdr>
          <w:top w:val="nil"/>
          <w:left w:val="nil"/>
          <w:bottom w:val="nil"/>
          <w:right w:val="nil"/>
          <w:between w:val="nil"/>
        </w:pBdr>
        <w:rPr>
          <w:rFonts w:eastAsia="Palatino Linotype" w:cs="Palatino Linotype"/>
          <w:color w:val="000000"/>
          <w:szCs w:val="24"/>
          <w:lang w:val="es-ES_tradnl"/>
        </w:rPr>
      </w:pPr>
    </w:p>
    <w:p w14:paraId="2E41C659" w14:textId="77777777" w:rsidR="00853D09" w:rsidRPr="00F100F5" w:rsidRDefault="00853D09" w:rsidP="00853D09">
      <w:pPr>
        <w:pBdr>
          <w:top w:val="nil"/>
          <w:left w:val="nil"/>
          <w:bottom w:val="nil"/>
          <w:right w:val="nil"/>
          <w:between w:val="nil"/>
        </w:pBdr>
        <w:rPr>
          <w:rFonts w:eastAsia="Palatino Linotype" w:cs="Palatino Linotype"/>
          <w:color w:val="000000"/>
          <w:lang w:val="es-ES_tradnl"/>
        </w:rPr>
      </w:pPr>
      <w:r>
        <w:rPr>
          <w:rFonts w:eastAsia="Palatino Linotype" w:cs="Palatino Linotype"/>
          <w:color w:val="000000"/>
          <w:szCs w:val="24"/>
          <w:lang w:val="es-ES_tradnl"/>
        </w:rPr>
        <w:t>Ante la solicitud de información, el Sujeto Obligado requirió innecesariamente una aclaración al solicitante solicitando que se especificaran correctamente los elementos peticionados en la solicitud de información; a esto, el Recurrente respondió la petición de la autoridad señalando que la solicitud de información es muy específica.</w:t>
      </w:r>
    </w:p>
    <w:p w14:paraId="2C631781" w14:textId="77777777" w:rsidR="00853D09" w:rsidRDefault="00853D09" w:rsidP="00853D09">
      <w:pPr>
        <w:pBdr>
          <w:top w:val="nil"/>
          <w:left w:val="nil"/>
          <w:bottom w:val="nil"/>
          <w:right w:val="nil"/>
          <w:between w:val="nil"/>
        </w:pBdr>
        <w:rPr>
          <w:rFonts w:eastAsia="Palatino Linotype" w:cs="Palatino Linotype"/>
          <w:color w:val="000000"/>
          <w:szCs w:val="24"/>
          <w:lang w:val="es-ES_tradnl"/>
        </w:rPr>
      </w:pPr>
    </w:p>
    <w:p w14:paraId="70897B2A" w14:textId="36A2A82B"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A27FD0">
        <w:rPr>
          <w:rFonts w:eastAsia="Palatino Linotype" w:cs="Palatino Linotype"/>
          <w:color w:val="000000"/>
          <w:szCs w:val="24"/>
        </w:rPr>
        <w:t>Debido a que el Sujeto Obligado no</w:t>
      </w:r>
      <w:r>
        <w:rPr>
          <w:rFonts w:eastAsia="Palatino Linotype" w:cs="Palatino Linotype"/>
          <w:color w:val="000000"/>
          <w:szCs w:val="24"/>
        </w:rPr>
        <w:t xml:space="preserve"> atendió la solicitud de mérito, el particular interpuso su medio de impugnación señalando como acto impugnado </w:t>
      </w:r>
      <w:r w:rsidR="00DC35CF">
        <w:rPr>
          <w:rFonts w:eastAsia="Palatino Linotype" w:cs="Palatino Linotype"/>
          <w:color w:val="000000"/>
          <w:szCs w:val="24"/>
        </w:rPr>
        <w:t>y motivos de inconformidad la falta de respuesta e información de lo solicitado, ya que no hubo contestación como se observa y se demuestra en el SAIMEX.</w:t>
      </w:r>
    </w:p>
    <w:p w14:paraId="6546E926"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6C6B5069" w14:textId="528BDF58" w:rsidR="00853D09" w:rsidRDefault="00853D09" w:rsidP="00853D09">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w:t>
      </w:r>
      <w:r w:rsidR="00DC35CF">
        <w:rPr>
          <w:szCs w:val="24"/>
        </w:rPr>
        <w:t>los</w:t>
      </w:r>
      <w:r w:rsidRPr="004E7A3F">
        <w:rPr>
          <w:szCs w:val="24"/>
        </w:rPr>
        <w:t xml:space="preserve"> Informe</w:t>
      </w:r>
      <w:r w:rsidR="00DC35CF">
        <w:rPr>
          <w:szCs w:val="24"/>
        </w:rPr>
        <w:t>s</w:t>
      </w:r>
      <w:r w:rsidRPr="004E7A3F">
        <w:rPr>
          <w:szCs w:val="24"/>
        </w:rPr>
        <w:t xml:space="preserve"> Justificado</w:t>
      </w:r>
      <w:r w:rsidR="00DC35CF">
        <w:rPr>
          <w:szCs w:val="24"/>
        </w:rPr>
        <w:t>s</w:t>
      </w:r>
      <w:r w:rsidRPr="004E7A3F">
        <w:rPr>
          <w:szCs w:val="24"/>
        </w:rPr>
        <w:t xml:space="preserve">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6BF8C4C7" w14:textId="77777777" w:rsidR="00853D09" w:rsidRPr="00883102" w:rsidRDefault="00853D09" w:rsidP="00853D09">
      <w:pPr>
        <w:rPr>
          <w:rFonts w:eastAsiaTheme="minorHAnsi" w:cstheme="minorBidi"/>
          <w:szCs w:val="24"/>
          <w:lang w:val="es-ES_tradnl" w:eastAsia="en-US"/>
        </w:rPr>
      </w:pPr>
    </w:p>
    <w:p w14:paraId="41A1F137" w14:textId="77777777" w:rsidR="00853D09" w:rsidRPr="00883102" w:rsidRDefault="00853D09" w:rsidP="00853D09">
      <w:pPr>
        <w:rPr>
          <w:rFonts w:eastAsiaTheme="minorHAnsi" w:cstheme="minorBidi"/>
          <w:szCs w:val="24"/>
          <w:lang w:val="es-ES_tradnl" w:eastAsia="en-US"/>
        </w:rPr>
      </w:pPr>
      <w:r>
        <w:rPr>
          <w:rFonts w:eastAsiaTheme="minorHAnsi" w:cstheme="minorBidi"/>
          <w:szCs w:val="24"/>
          <w:lang w:val="es-ES_tradnl" w:eastAsia="en-US"/>
        </w:rPr>
        <w:t xml:space="preserve">En esa tesitura, </w:t>
      </w:r>
      <w:r w:rsidRPr="00883102">
        <w:rPr>
          <w:rFonts w:eastAsia="Palatino Linotype" w:cs="Palatino Linotype"/>
          <w:color w:val="000000"/>
          <w:szCs w:val="24"/>
          <w:lang w:val="es-ES_tradnl"/>
        </w:rPr>
        <w:t>se tiene que el presente recurso de revisión es procedente; toda vez que se actualiza la hipótesis prevista en la fracci</w:t>
      </w:r>
      <w:r>
        <w:rPr>
          <w:rFonts w:eastAsia="Palatino Linotype" w:cs="Palatino Linotype"/>
          <w:color w:val="000000"/>
          <w:szCs w:val="24"/>
          <w:lang w:val="es-ES_tradnl"/>
        </w:rPr>
        <w:t>ón</w:t>
      </w:r>
      <w:r w:rsidRPr="00883102">
        <w:rPr>
          <w:rFonts w:eastAsia="Palatino Linotype" w:cs="Palatino Linotype"/>
          <w:color w:val="000000"/>
          <w:szCs w:val="24"/>
          <w:lang w:val="es-ES_tradnl"/>
        </w:rPr>
        <w:t xml:space="preserve"> VII del artículo 179 de la Ley de la materia, que a la letra dice:</w:t>
      </w:r>
    </w:p>
    <w:p w14:paraId="7CAFAC9C"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7A7DD082"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b/>
          <w:i/>
          <w:color w:val="000000"/>
          <w:lang w:val="es-ES_tradnl"/>
        </w:rPr>
        <w:t>Artículo 179.</w:t>
      </w:r>
      <w:r w:rsidRPr="00883102">
        <w:rPr>
          <w:rFonts w:eastAsia="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47B50489"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i/>
          <w:color w:val="000000"/>
          <w:lang w:val="es-ES_tradnl"/>
        </w:rPr>
      </w:pPr>
      <w:r w:rsidRPr="00883102">
        <w:rPr>
          <w:rFonts w:eastAsia="Palatino Linotype" w:cs="Palatino Linotype"/>
          <w:b/>
          <w:i/>
          <w:color w:val="000000"/>
          <w:lang w:val="es-ES_tradnl"/>
        </w:rPr>
        <w:t>(…)</w:t>
      </w:r>
    </w:p>
    <w:p w14:paraId="067BD89C"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b/>
          <w:i/>
          <w:color w:val="000000"/>
          <w:lang w:val="es-ES_tradnl"/>
        </w:rPr>
      </w:pPr>
      <w:r w:rsidRPr="00883102">
        <w:rPr>
          <w:rFonts w:eastAsia="Palatino Linotype" w:cs="Palatino Linotype"/>
          <w:b/>
          <w:i/>
          <w:color w:val="000000"/>
          <w:lang w:val="es-ES_tradnl"/>
        </w:rPr>
        <w:t>VII. La falta de respuesta a una solicitud de acceso a la información;</w:t>
      </w:r>
    </w:p>
    <w:p w14:paraId="58318E2B" w14:textId="77777777" w:rsidR="00853D09" w:rsidRPr="00883102" w:rsidRDefault="00853D09" w:rsidP="00853D09">
      <w:pPr>
        <w:pBdr>
          <w:top w:val="nil"/>
          <w:left w:val="nil"/>
          <w:bottom w:val="nil"/>
          <w:right w:val="nil"/>
          <w:between w:val="nil"/>
        </w:pBdr>
        <w:spacing w:line="240" w:lineRule="auto"/>
        <w:ind w:left="567" w:right="567"/>
        <w:rPr>
          <w:rFonts w:eastAsia="Palatino Linotype" w:cs="Palatino Linotype"/>
          <w:b/>
          <w:i/>
          <w:color w:val="000000"/>
          <w:lang w:val="es-ES_tradnl"/>
        </w:rPr>
      </w:pPr>
      <w:r w:rsidRPr="00883102">
        <w:rPr>
          <w:rFonts w:eastAsia="Palatino Linotype" w:cs="Palatino Linotype"/>
          <w:b/>
          <w:i/>
          <w:color w:val="000000"/>
          <w:lang w:val="es-ES_tradnl"/>
        </w:rPr>
        <w:t>(…)</w:t>
      </w:r>
    </w:p>
    <w:p w14:paraId="0027FBFD"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18FACFC3" w14:textId="77777777" w:rsidR="00853D09" w:rsidRPr="00883102" w:rsidRDefault="00853D09" w:rsidP="00853D09">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69011DD1" w14:textId="77777777" w:rsidR="00853D09" w:rsidRPr="00883102" w:rsidRDefault="00853D09" w:rsidP="00853D09">
      <w:pPr>
        <w:pBdr>
          <w:top w:val="nil"/>
          <w:left w:val="nil"/>
          <w:bottom w:val="nil"/>
          <w:right w:val="nil"/>
          <w:between w:val="nil"/>
        </w:pBdr>
        <w:rPr>
          <w:rFonts w:eastAsia="Palatino Linotype" w:cs="Palatino Linotype"/>
          <w:b/>
          <w:color w:val="000000"/>
          <w:szCs w:val="24"/>
          <w:lang w:val="es-ES_tradnl"/>
        </w:rPr>
      </w:pPr>
    </w:p>
    <w:p w14:paraId="6AE1C90D"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lastRenderedPageBreak/>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72EAD9E0"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36B564C8"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Pr>
          <w:rFonts w:eastAsiaTheme="minorHAnsi" w:cs="Arial"/>
          <w:szCs w:val="24"/>
          <w:lang w:val="es-ES_tradnl" w:eastAsia="en-US"/>
        </w:rPr>
        <w:t xml:space="preserve">el Recurrente </w:t>
      </w:r>
      <w:r w:rsidRPr="00883102">
        <w:rPr>
          <w:rFonts w:eastAsiaTheme="minorHAnsi" w:cs="Arial"/>
          <w:szCs w:val="24"/>
          <w:lang w:val="es-ES_tradnl" w:eastAsia="en-US"/>
        </w:rPr>
        <w:t>devienen fundados, en atención a las siguientes consideraciones de hecho y de Derecho:</w:t>
      </w:r>
    </w:p>
    <w:p w14:paraId="67E8109D" w14:textId="77777777" w:rsidR="00853D09" w:rsidRPr="00883102" w:rsidRDefault="00853D09" w:rsidP="00853D09">
      <w:pPr>
        <w:rPr>
          <w:rFonts w:eastAsiaTheme="minorHAnsi" w:cs="Arial"/>
          <w:szCs w:val="24"/>
          <w:lang w:val="es-ES_tradnl" w:eastAsia="en-US"/>
        </w:rPr>
      </w:pPr>
    </w:p>
    <w:p w14:paraId="4CD24D92"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3AF6C184" w14:textId="77777777" w:rsidR="00853D09" w:rsidRPr="00883102" w:rsidRDefault="00853D09" w:rsidP="00853D09">
      <w:pPr>
        <w:rPr>
          <w:rFonts w:eastAsiaTheme="minorHAnsi" w:cs="Arial"/>
          <w:szCs w:val="24"/>
          <w:lang w:val="es-ES_tradnl" w:eastAsia="en-US"/>
        </w:rPr>
      </w:pPr>
    </w:p>
    <w:p w14:paraId="276AB8E0"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Artículo 6o.</w:t>
      </w:r>
      <w:r w:rsidRPr="00883102">
        <w:rPr>
          <w:rFonts w:eastAsiaTheme="minorHAnsi"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eastAsiaTheme="minorHAnsi" w:cstheme="minorBidi"/>
          <w:b/>
          <w:i/>
          <w:lang w:val="es-ES_tradnl" w:eastAsia="en-US"/>
        </w:rPr>
        <w:t>El derecho a la información será garantizado por el Estado.</w:t>
      </w:r>
      <w:r w:rsidRPr="00883102">
        <w:rPr>
          <w:rFonts w:eastAsiaTheme="minorHAnsi" w:cstheme="minorBidi"/>
          <w:i/>
          <w:lang w:val="es-ES_tradnl" w:eastAsia="en-US"/>
        </w:rPr>
        <w:t xml:space="preserve"> </w:t>
      </w:r>
    </w:p>
    <w:p w14:paraId="44432DA2" w14:textId="77777777" w:rsidR="00853D09" w:rsidRPr="00883102" w:rsidRDefault="00853D09" w:rsidP="00853D09">
      <w:pPr>
        <w:spacing w:line="240" w:lineRule="auto"/>
        <w:ind w:left="567" w:right="567"/>
        <w:rPr>
          <w:rFonts w:eastAsiaTheme="minorHAnsi" w:cstheme="minorBidi"/>
          <w:i/>
          <w:lang w:val="es-ES_tradnl" w:eastAsia="en-US"/>
        </w:rPr>
      </w:pPr>
    </w:p>
    <w:p w14:paraId="603A8BE6"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Toda persona tiene derecho al libre acceso a información plural y oportuna, así como a buscar, recibir y difundir información e ideas de toda índole por cualquier medio de expresión.</w:t>
      </w:r>
    </w:p>
    <w:p w14:paraId="4115CD8C" w14:textId="77777777" w:rsidR="00853D09" w:rsidRPr="00883102" w:rsidRDefault="00853D09" w:rsidP="00853D09">
      <w:pPr>
        <w:spacing w:line="240" w:lineRule="auto"/>
        <w:ind w:left="567" w:right="567"/>
        <w:rPr>
          <w:rFonts w:eastAsiaTheme="minorHAnsi" w:cstheme="minorBidi"/>
          <w:i/>
          <w:lang w:val="es-ES_tradnl" w:eastAsia="en-US"/>
        </w:rPr>
      </w:pPr>
    </w:p>
    <w:p w14:paraId="7C7B4946"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Para efectos de lo dispuesto en el presente artículo se observará lo siguiente:</w:t>
      </w:r>
    </w:p>
    <w:p w14:paraId="20B70555"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lastRenderedPageBreak/>
        <w:t>A. Para el ejercicio del derecho de acceso a la información, la Federación, los Estados y el Distrito Federal, en el ámbito de sus respectivas competencias, se regirán por los siguientes principios y bases:</w:t>
      </w:r>
    </w:p>
    <w:p w14:paraId="28544DF2" w14:textId="77777777" w:rsidR="00853D09" w:rsidRPr="00883102" w:rsidRDefault="00853D09" w:rsidP="00853D09">
      <w:pPr>
        <w:spacing w:line="240" w:lineRule="auto"/>
        <w:ind w:left="567" w:right="567"/>
        <w:rPr>
          <w:rFonts w:eastAsiaTheme="minorHAnsi" w:cstheme="minorBidi"/>
          <w:i/>
          <w:lang w:val="es-ES_tradnl" w:eastAsia="en-US"/>
        </w:rPr>
      </w:pPr>
    </w:p>
    <w:p w14:paraId="453EFC0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I. Toda la información en posesión de</w:t>
      </w:r>
      <w:r w:rsidRPr="00883102">
        <w:rPr>
          <w:rFonts w:eastAsiaTheme="minorHAnsi" w:cstheme="minorBidi"/>
          <w:i/>
          <w:lang w:val="es-ES_tradnl" w:eastAsia="en-US"/>
        </w:rPr>
        <w:t xml:space="preserve"> </w:t>
      </w:r>
      <w:r w:rsidRPr="00883102">
        <w:rPr>
          <w:rFonts w:eastAsiaTheme="minorHAnsi" w:cstheme="minorBidi"/>
          <w:b/>
          <w:i/>
          <w:lang w:val="es-ES_tradnl" w:eastAsia="en-US"/>
        </w:rPr>
        <w:t>cualquier autoridad</w:t>
      </w:r>
      <w:r w:rsidRPr="00883102">
        <w:rPr>
          <w:rFonts w:eastAsiaTheme="minorHAnsi"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eastAsiaTheme="minorHAnsi" w:cstheme="minorBidi"/>
          <w:b/>
          <w:i/>
          <w:lang w:val="es-ES_tradnl" w:eastAsia="en-US"/>
        </w:rPr>
        <w:t>en el ámbito federal, estatal y municipal, es pública</w:t>
      </w:r>
      <w:r w:rsidRPr="00883102">
        <w:rPr>
          <w:rFonts w:eastAsiaTheme="minorHAnsi"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eastAsiaTheme="minorHAnsi" w:cstheme="minorBidi"/>
          <w:b/>
          <w:i/>
          <w:lang w:val="es-ES_tradnl" w:eastAsia="en-US"/>
        </w:rPr>
        <w:t>Los sujetos obligados deberán documentar todo acto que derive del ejercicio de sus facultades, competencias o funciones</w:t>
      </w:r>
      <w:r w:rsidRPr="00883102">
        <w:rPr>
          <w:rFonts w:eastAsiaTheme="minorHAnsi" w:cstheme="minorBidi"/>
          <w:i/>
          <w:lang w:val="es-ES_tradnl" w:eastAsia="en-US"/>
        </w:rPr>
        <w:t>, la ley determinará los supuestos específicos bajo los cuales procederá la declaración de inexistencia de la información.</w:t>
      </w:r>
    </w:p>
    <w:p w14:paraId="1C5689F5"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II. La información que se refiere a la vida privada y los datos personales será protegida en los términos y con las excepciones que fijen las leyes.</w:t>
      </w:r>
    </w:p>
    <w:p w14:paraId="3EF73C7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2DD69CFC"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1D513289"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V. Los sujetos obligados deberán preservar sus documentos en archivos administrativos actualizados y publicarán, a través de los medios electrónicos disponibles</w:t>
      </w:r>
      <w:r w:rsidRPr="00883102">
        <w:rPr>
          <w:rFonts w:eastAsiaTheme="minorHAnsi" w:cstheme="minorBidi"/>
          <w:i/>
          <w:lang w:val="es-ES_tradnl" w:eastAsia="en-US"/>
        </w:rPr>
        <w:t xml:space="preserve">, </w:t>
      </w:r>
      <w:r w:rsidRPr="00883102">
        <w:rPr>
          <w:rFonts w:eastAsiaTheme="minorHAnsi" w:cstheme="minorBidi"/>
          <w:b/>
          <w:i/>
          <w:lang w:val="es-ES_tradnl" w:eastAsia="en-US"/>
        </w:rPr>
        <w:t xml:space="preserve">la información completa y actualizada sobre el ejercicio de los recursos públicos </w:t>
      </w:r>
      <w:r w:rsidRPr="00883102">
        <w:rPr>
          <w:rFonts w:eastAsiaTheme="minorHAnsi" w:cstheme="minorBidi"/>
          <w:i/>
          <w:lang w:val="es-ES_tradnl" w:eastAsia="en-US"/>
        </w:rPr>
        <w:t>y los indicadores que permitan rendir cuenta del cumplimiento de sus objetivos y de los resultados obtenidos.</w:t>
      </w:r>
    </w:p>
    <w:p w14:paraId="4F0C7415"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VI. Las leyes determinarán la manera en que los sujetos obligados deberán hacer pública la información relativa a los recursos públicos que entreguen a personas físicas o morales.</w:t>
      </w:r>
    </w:p>
    <w:p w14:paraId="2BCE19F4"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VII. La inobservancia a las disposiciones en materia de acceso a la información pública será sancionada en los términos que dispongan las leyes.</w:t>
      </w:r>
    </w:p>
    <w:p w14:paraId="1CC674B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 xml:space="preserve">VIII. La Federación contará con un organismo autónomo, especializado, imparcial, colegiado, con personalidad jurídica y patrimonio propio, con plena autonomía técnica, </w:t>
      </w:r>
      <w:r w:rsidRPr="00883102">
        <w:rPr>
          <w:rFonts w:eastAsiaTheme="minorHAnsi" w:cstheme="minorBidi"/>
          <w:i/>
          <w:lang w:val="es-ES_tradnl" w:eastAsia="en-US"/>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7775FB"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w:t>
      </w:r>
    </w:p>
    <w:p w14:paraId="75F5E33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La ley establecerá aquella información que se considere reservada o confidencial.</w:t>
      </w:r>
    </w:p>
    <w:p w14:paraId="7519B3CD"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 xml:space="preserve">(…) </w:t>
      </w:r>
    </w:p>
    <w:p w14:paraId="7613B9FA" w14:textId="77777777" w:rsidR="00853D09" w:rsidRPr="00883102" w:rsidRDefault="00853D09" w:rsidP="00853D09">
      <w:pPr>
        <w:rPr>
          <w:rFonts w:eastAsiaTheme="minorHAnsi" w:cstheme="minorBidi"/>
          <w:szCs w:val="24"/>
          <w:lang w:val="es-ES_tradnl" w:eastAsia="en-US"/>
        </w:rPr>
      </w:pPr>
    </w:p>
    <w:p w14:paraId="6DD2AB6C"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460734F6" w14:textId="77777777" w:rsidR="00853D09" w:rsidRPr="00883102" w:rsidRDefault="00853D09" w:rsidP="00853D09">
      <w:pPr>
        <w:rPr>
          <w:rFonts w:eastAsiaTheme="minorHAnsi" w:cs="Arial"/>
          <w:szCs w:val="24"/>
          <w:lang w:val="es-ES_tradnl" w:eastAsia="en-US"/>
        </w:rPr>
      </w:pPr>
    </w:p>
    <w:p w14:paraId="1D879C68"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Artículo 5.</w:t>
      </w:r>
      <w:r w:rsidRPr="00883102">
        <w:rPr>
          <w:rFonts w:eastAsiaTheme="minorHAnsi" w:cstheme="minorBidi"/>
          <w:i/>
          <w:lang w:val="es-ES_tradnl" w:eastAsia="en-US"/>
        </w:rPr>
        <w:t xml:space="preserve"> (…)</w:t>
      </w:r>
    </w:p>
    <w:p w14:paraId="76880FDB" w14:textId="77777777" w:rsidR="00853D09" w:rsidRPr="00883102" w:rsidRDefault="00853D09" w:rsidP="00853D09">
      <w:pPr>
        <w:spacing w:line="240" w:lineRule="auto"/>
        <w:ind w:left="567" w:right="567"/>
        <w:rPr>
          <w:rFonts w:eastAsiaTheme="minorHAnsi" w:cstheme="minorBidi"/>
          <w:i/>
          <w:lang w:val="es-ES_tradnl" w:eastAsia="en-US"/>
        </w:rPr>
      </w:pPr>
    </w:p>
    <w:p w14:paraId="5CD528BC"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El derecho a la información será garantizado por el Estado</w:t>
      </w:r>
      <w:r w:rsidRPr="00883102">
        <w:rPr>
          <w:rFonts w:eastAsiaTheme="minorHAnsi" w:cstheme="minorBidi"/>
          <w:i/>
          <w:lang w:val="es-ES_tradnl" w:eastAsia="en-US"/>
        </w:rPr>
        <w:t xml:space="preserve">. La ley establecerá las previsiones que permitan asegurar la protección, el respeto y la difusión de este derecho. </w:t>
      </w:r>
    </w:p>
    <w:p w14:paraId="7888AEF4" w14:textId="77777777" w:rsidR="00853D09" w:rsidRPr="00883102" w:rsidRDefault="00853D09" w:rsidP="00853D09">
      <w:pPr>
        <w:spacing w:line="240" w:lineRule="auto"/>
        <w:ind w:left="567" w:right="567"/>
        <w:rPr>
          <w:rFonts w:eastAsiaTheme="minorHAnsi" w:cstheme="minorBidi"/>
          <w:i/>
          <w:lang w:val="es-ES_tradnl" w:eastAsia="en-US"/>
        </w:rPr>
      </w:pPr>
    </w:p>
    <w:p w14:paraId="2EACADBE"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922977" w14:textId="77777777" w:rsidR="00853D09" w:rsidRPr="00883102" w:rsidRDefault="00853D09" w:rsidP="00853D09">
      <w:pPr>
        <w:spacing w:line="240" w:lineRule="auto"/>
        <w:ind w:left="567" w:right="567"/>
        <w:rPr>
          <w:rFonts w:eastAsiaTheme="minorHAnsi" w:cstheme="minorBidi"/>
          <w:i/>
          <w:lang w:val="es-ES_tradnl" w:eastAsia="en-US"/>
        </w:rPr>
      </w:pPr>
    </w:p>
    <w:p w14:paraId="4F4D9318"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Este derecho se regirá por los principios y bases siguientes:</w:t>
      </w:r>
    </w:p>
    <w:p w14:paraId="6E10E9E4" w14:textId="77777777" w:rsidR="00853D09" w:rsidRPr="00883102" w:rsidRDefault="00853D09" w:rsidP="00853D09">
      <w:pPr>
        <w:spacing w:line="240" w:lineRule="auto"/>
        <w:ind w:left="567" w:right="567"/>
        <w:rPr>
          <w:rFonts w:eastAsiaTheme="minorHAnsi" w:cstheme="minorBidi"/>
          <w:i/>
          <w:lang w:val="es-ES_tradnl" w:eastAsia="en-US"/>
        </w:rPr>
      </w:pPr>
    </w:p>
    <w:p w14:paraId="19E9B86E"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I. Toda la información en posesión de</w:t>
      </w:r>
      <w:r w:rsidRPr="00883102">
        <w:rPr>
          <w:rFonts w:eastAsiaTheme="minorHAnsi"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eastAsiaTheme="minorHAnsi" w:cstheme="minorBidi"/>
          <w:b/>
          <w:i/>
          <w:u w:val="single"/>
          <w:lang w:val="es-ES_tradnl" w:eastAsia="en-US"/>
        </w:rPr>
        <w:t>la administración pública municipal y sus organismos descentralizados</w:t>
      </w:r>
      <w:r w:rsidRPr="00883102">
        <w:rPr>
          <w:rFonts w:eastAsiaTheme="minorHAnsi" w:cstheme="minorBidi"/>
          <w:i/>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w:t>
      </w:r>
      <w:r w:rsidRPr="00883102">
        <w:rPr>
          <w:rFonts w:eastAsiaTheme="minorHAnsi" w:cstheme="minorBidi"/>
          <w:i/>
          <w:lang w:val="es-ES_tradnl" w:eastAsia="en-US"/>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551D5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II.</w:t>
      </w:r>
      <w:r w:rsidRPr="00883102">
        <w:rPr>
          <w:rFonts w:eastAsiaTheme="minorHAnsi"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A527F98"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III.</w:t>
      </w:r>
      <w:r w:rsidRPr="00883102">
        <w:rPr>
          <w:rFonts w:eastAsiaTheme="minorHAnsi" w:cstheme="minorBidi"/>
          <w:i/>
          <w:lang w:val="es-ES_tradnl" w:eastAsia="en-US"/>
        </w:rPr>
        <w:t xml:space="preserve"> </w:t>
      </w:r>
      <w:r w:rsidRPr="00883102">
        <w:rPr>
          <w:rFonts w:eastAsiaTheme="minorHAnsi"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eastAsiaTheme="minorHAnsi" w:cstheme="minorBidi"/>
          <w:i/>
          <w:lang w:val="es-ES_tradnl" w:eastAsia="en-US"/>
        </w:rPr>
        <w:t>.</w:t>
      </w:r>
    </w:p>
    <w:p w14:paraId="49F5DBE2"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78015C11"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735F8C0"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C94D244" w14:textId="77777777" w:rsidR="00853D09" w:rsidRPr="00883102" w:rsidRDefault="00853D09" w:rsidP="00853D09">
      <w:pPr>
        <w:spacing w:line="240" w:lineRule="auto"/>
        <w:ind w:left="567" w:right="567"/>
        <w:rPr>
          <w:rFonts w:asciiTheme="minorHAnsi" w:eastAsiaTheme="minorHAnsi" w:hAnsiTheme="minorHAnsi" w:cstheme="minorBidi"/>
          <w:lang w:val="es-ES_tradnl" w:eastAsia="en-US"/>
        </w:rPr>
      </w:pPr>
      <w:r w:rsidRPr="00883102">
        <w:rPr>
          <w:rFonts w:eastAsiaTheme="minorHAnsi"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14533F7E" w14:textId="77777777" w:rsidR="00853D09" w:rsidRPr="00883102" w:rsidRDefault="00853D09" w:rsidP="00853D09">
      <w:pPr>
        <w:rPr>
          <w:rFonts w:eastAsiaTheme="minorHAnsi" w:cstheme="minorBidi"/>
          <w:szCs w:val="24"/>
          <w:lang w:val="es-ES_tradnl" w:eastAsia="en-US"/>
        </w:rPr>
      </w:pPr>
    </w:p>
    <w:p w14:paraId="58B76E82"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1751BD" w14:textId="77777777" w:rsidR="00853D09" w:rsidRPr="00883102" w:rsidRDefault="00853D09" w:rsidP="00853D09">
      <w:pPr>
        <w:rPr>
          <w:rFonts w:eastAsiaTheme="minorHAnsi" w:cstheme="minorBidi"/>
          <w:szCs w:val="24"/>
          <w:lang w:val="es-ES_tradnl" w:eastAsia="en-US"/>
        </w:rPr>
      </w:pPr>
    </w:p>
    <w:p w14:paraId="69A77156" w14:textId="77777777" w:rsidR="00853D09" w:rsidRPr="00883102" w:rsidRDefault="00853D09" w:rsidP="00853D09">
      <w:pPr>
        <w:rPr>
          <w:rFonts w:eastAsia="Arial Unicode MS" w:cstheme="minorBidi"/>
          <w:szCs w:val="24"/>
          <w:lang w:val="es-ES_tradnl" w:eastAsia="en-US"/>
        </w:rPr>
      </w:pPr>
      <w:r>
        <w:rPr>
          <w:rFonts w:cstheme="minorBidi"/>
          <w:szCs w:val="24"/>
          <w:lang w:val="es-ES_tradnl" w:eastAsia="en-US"/>
        </w:rPr>
        <w:t>En esa tenor</w:t>
      </w:r>
      <w:r w:rsidRPr="00883102">
        <w:rPr>
          <w:rFonts w:cstheme="minorBidi"/>
          <w:szCs w:val="24"/>
          <w:lang w:val="es-ES_tradnl" w:eastAsia="en-US"/>
        </w:rPr>
        <w:t xml:space="preserve">, </w:t>
      </w:r>
      <w:r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7B3DA7D" w14:textId="77777777" w:rsidR="00853D09" w:rsidRPr="00883102" w:rsidRDefault="00853D09" w:rsidP="00853D09">
      <w:pPr>
        <w:rPr>
          <w:rFonts w:eastAsia="Arial Unicode MS" w:cstheme="minorBidi"/>
          <w:szCs w:val="24"/>
          <w:lang w:val="es-ES_tradnl" w:eastAsia="en-US"/>
        </w:rPr>
      </w:pPr>
    </w:p>
    <w:p w14:paraId="29D1DCFB" w14:textId="77777777" w:rsidR="00853D09" w:rsidRPr="00883102" w:rsidRDefault="00853D09" w:rsidP="00853D09">
      <w:pPr>
        <w:rPr>
          <w:rFonts w:eastAsia="Arial Unicode MS" w:cs="Arial"/>
          <w:szCs w:val="24"/>
          <w:lang w:val="es-ES_tradnl" w:eastAsia="en-US"/>
        </w:rPr>
      </w:pPr>
      <w:r w:rsidRPr="00883102">
        <w:rPr>
          <w:rFonts w:eastAsia="Arial Unicode MS" w:cs="Arial"/>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3174E6A" w14:textId="77777777" w:rsidR="00853D09" w:rsidRPr="00883102" w:rsidRDefault="00853D09" w:rsidP="00853D09">
      <w:pPr>
        <w:rPr>
          <w:rFonts w:eastAsia="Arial Unicode MS" w:cs="Arial"/>
          <w:szCs w:val="24"/>
          <w:lang w:val="es-ES_tradnl" w:eastAsia="en-US"/>
        </w:rPr>
      </w:pPr>
    </w:p>
    <w:p w14:paraId="6028326A" w14:textId="77777777" w:rsidR="00853D09" w:rsidRPr="00883102" w:rsidRDefault="00853D09" w:rsidP="00853D09">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122FABB" w14:textId="77777777" w:rsidR="00853D09" w:rsidRPr="00883102" w:rsidRDefault="00853D09" w:rsidP="00853D09">
      <w:pPr>
        <w:rPr>
          <w:rFonts w:eastAsia="Arial Unicode MS" w:cs="Arial"/>
          <w:szCs w:val="24"/>
          <w:lang w:val="es-ES_tradnl" w:eastAsia="en-US"/>
        </w:rPr>
      </w:pPr>
    </w:p>
    <w:p w14:paraId="35F992D4"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w:t>
      </w:r>
      <w:r w:rsidRPr="00883102">
        <w:rPr>
          <w:rFonts w:eastAsiaTheme="minorHAnsi" w:cs="Arial"/>
          <w:szCs w:val="24"/>
          <w:lang w:val="es-ES_tradnl" w:eastAsia="en-US"/>
        </w:rPr>
        <w:lastRenderedPageBreak/>
        <w:t>competente para que se inicie, en su caso, el procedimiento de responsabilidad respectivo.</w:t>
      </w:r>
    </w:p>
    <w:p w14:paraId="4282A004" w14:textId="77777777" w:rsidR="00853D09" w:rsidRPr="00883102" w:rsidRDefault="00853D09" w:rsidP="00853D09">
      <w:pPr>
        <w:rPr>
          <w:rFonts w:eastAsiaTheme="minorHAnsi" w:cs="Arial"/>
          <w:szCs w:val="24"/>
          <w:lang w:val="es-ES_tradnl" w:eastAsia="en-US"/>
        </w:rPr>
      </w:pPr>
    </w:p>
    <w:p w14:paraId="284185F5" w14:textId="77777777" w:rsidR="00853D09" w:rsidRPr="00883102" w:rsidRDefault="00853D09" w:rsidP="00853D09">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BCCCEF" w14:textId="77777777" w:rsidR="00853D09" w:rsidRPr="00883102" w:rsidRDefault="00853D09" w:rsidP="00853D09">
      <w:pPr>
        <w:rPr>
          <w:rFonts w:eastAsia="Arial Unicode MS" w:cs="Arial"/>
          <w:szCs w:val="24"/>
          <w:lang w:val="es-ES_tradnl" w:eastAsia="en-US"/>
        </w:rPr>
      </w:pPr>
    </w:p>
    <w:p w14:paraId="0A0EF13A" w14:textId="77777777" w:rsidR="00853D09" w:rsidRPr="00883102" w:rsidRDefault="00853D09" w:rsidP="00853D09">
      <w:pPr>
        <w:rPr>
          <w:rFonts w:eastAsiaTheme="minorHAnsi" w:cs="Arial"/>
          <w:szCs w:val="24"/>
          <w:lang w:val="es-ES_tradnl" w:eastAsia="en-US"/>
        </w:rPr>
      </w:pPr>
      <w:r>
        <w:rPr>
          <w:rFonts w:eastAsiaTheme="minorHAnsi" w:cs="Arial"/>
          <w:szCs w:val="24"/>
          <w:lang w:val="es-ES_tradnl" w:eastAsia="en-US"/>
        </w:rPr>
        <w:t>Así</w:t>
      </w:r>
      <w:r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A48F00B" w14:textId="77777777" w:rsidR="00853D09" w:rsidRPr="00883102" w:rsidRDefault="00853D09" w:rsidP="00853D09">
      <w:pPr>
        <w:rPr>
          <w:rFonts w:eastAsiaTheme="minorHAnsi" w:cstheme="minorBidi"/>
          <w:szCs w:val="24"/>
          <w:lang w:val="es-ES_tradnl" w:eastAsia="en-US"/>
        </w:rPr>
      </w:pPr>
    </w:p>
    <w:p w14:paraId="5B2DDC1E"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eastAsiaTheme="minorHAnsi" w:cstheme="minorBidi"/>
          <w:i/>
          <w:lang w:val="es-ES_tradnl" w:eastAsia="en-US"/>
        </w:rPr>
        <w:t xml:space="preserve">, contados a partir del día siguiente a la presentación de aquélla. </w:t>
      </w:r>
    </w:p>
    <w:p w14:paraId="09624A23" w14:textId="77777777" w:rsidR="00853D09" w:rsidRPr="00883102" w:rsidRDefault="00853D09" w:rsidP="00853D09">
      <w:pPr>
        <w:spacing w:line="240" w:lineRule="auto"/>
        <w:ind w:left="567" w:right="567"/>
        <w:rPr>
          <w:rFonts w:eastAsiaTheme="minorHAnsi" w:cstheme="minorBidi"/>
          <w:i/>
          <w:lang w:val="es-ES_tradnl" w:eastAsia="en-US"/>
        </w:rPr>
      </w:pPr>
    </w:p>
    <w:p w14:paraId="1AC2CF06" w14:textId="77777777" w:rsidR="00853D09" w:rsidRPr="00883102" w:rsidRDefault="00853D09" w:rsidP="00853D09">
      <w:pPr>
        <w:spacing w:line="240" w:lineRule="auto"/>
        <w:ind w:left="567" w:right="567"/>
        <w:rPr>
          <w:rFonts w:eastAsiaTheme="minorHAnsi" w:cstheme="minorBidi"/>
          <w:i/>
          <w:lang w:val="es-ES_tradnl" w:eastAsia="en-US"/>
        </w:rPr>
      </w:pPr>
      <w:r w:rsidRPr="00883102">
        <w:rPr>
          <w:rFonts w:eastAsiaTheme="minorHAnsi"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8CD666" w14:textId="77777777" w:rsidR="00853D09" w:rsidRPr="00883102" w:rsidRDefault="00853D09" w:rsidP="00853D09">
      <w:pPr>
        <w:rPr>
          <w:rFonts w:eastAsiaTheme="minorHAnsi" w:cstheme="minorBidi"/>
          <w:szCs w:val="24"/>
          <w:lang w:val="es-ES_tradnl" w:eastAsia="en-US"/>
        </w:rPr>
      </w:pPr>
    </w:p>
    <w:p w14:paraId="3C09C9E4"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lastRenderedPageBreak/>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5E930A91" w14:textId="77777777" w:rsidR="00853D09" w:rsidRPr="00883102" w:rsidRDefault="00853D09" w:rsidP="00853D09">
      <w:pPr>
        <w:rPr>
          <w:rFonts w:eastAsiaTheme="minorHAnsi" w:cstheme="minorBidi"/>
          <w:szCs w:val="24"/>
          <w:lang w:val="es-ES_tradnl" w:eastAsia="en-US"/>
        </w:rPr>
      </w:pPr>
    </w:p>
    <w:p w14:paraId="4A09353E"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5E4C59D2" w14:textId="77777777" w:rsidR="00853D09" w:rsidRPr="00883102" w:rsidRDefault="00853D09" w:rsidP="00853D09">
      <w:pPr>
        <w:rPr>
          <w:rFonts w:eastAsiaTheme="minorHAnsi" w:cstheme="minorBidi"/>
          <w:szCs w:val="24"/>
          <w:lang w:val="es-ES_tradnl" w:eastAsia="en-US"/>
        </w:rPr>
      </w:pPr>
    </w:p>
    <w:p w14:paraId="321EC660" w14:textId="77777777" w:rsidR="00853D09" w:rsidRPr="00883102" w:rsidRDefault="00853D09" w:rsidP="00853D09">
      <w:pPr>
        <w:rPr>
          <w:rFonts w:cstheme="minorBidi"/>
          <w:szCs w:val="24"/>
          <w:lang w:val="es-ES_tradnl" w:eastAsia="en-US"/>
        </w:rPr>
      </w:pPr>
      <w:r w:rsidRPr="00883102">
        <w:rPr>
          <w:rFonts w:cstheme="minorBidi"/>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61AD18BB" w14:textId="77777777" w:rsidR="00853D09" w:rsidRPr="00883102" w:rsidRDefault="00853D09" w:rsidP="00853D09">
      <w:pPr>
        <w:rPr>
          <w:rFonts w:cstheme="minorBidi"/>
          <w:szCs w:val="24"/>
          <w:lang w:val="es-ES_tradnl" w:eastAsia="en-US"/>
        </w:rPr>
      </w:pPr>
    </w:p>
    <w:p w14:paraId="489A9F31" w14:textId="77777777" w:rsidR="00853D09" w:rsidRPr="00883102" w:rsidRDefault="00853D09" w:rsidP="00853D09">
      <w:pPr>
        <w:rPr>
          <w:rFonts w:eastAsiaTheme="minorHAnsi" w:cs="Arial"/>
          <w:szCs w:val="24"/>
          <w:lang w:val="es-ES_tradnl" w:eastAsia="en-US"/>
        </w:rPr>
      </w:pPr>
      <w:r w:rsidRPr="00883102">
        <w:rPr>
          <w:rFonts w:cstheme="minorBidi"/>
          <w:szCs w:val="24"/>
          <w:lang w:val="es-ES_tradnl" w:eastAsia="en-US"/>
        </w:rPr>
        <w:lastRenderedPageBreak/>
        <w:t>Ahora bien, en atención al sentido en que se resuelve el presente medio de impugnación, est</w:t>
      </w:r>
      <w:r>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D9EBCC" w14:textId="77777777" w:rsidR="00853D09" w:rsidRPr="00883102" w:rsidRDefault="00853D09" w:rsidP="00853D09">
      <w:pPr>
        <w:rPr>
          <w:rFonts w:eastAsiaTheme="minorHAnsi" w:cs="Arial"/>
          <w:szCs w:val="24"/>
          <w:lang w:val="es-ES_tradnl" w:eastAsia="en-US"/>
        </w:rPr>
      </w:pPr>
    </w:p>
    <w:p w14:paraId="3937D883" w14:textId="77777777" w:rsidR="00853D09" w:rsidRPr="00883102" w:rsidRDefault="00853D09" w:rsidP="00853D09">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E79E68B" w14:textId="77777777" w:rsidR="00853D09" w:rsidRPr="00883102" w:rsidRDefault="00853D09" w:rsidP="00853D09">
      <w:pPr>
        <w:rPr>
          <w:rFonts w:eastAsiaTheme="minorHAnsi" w:cs="Arial"/>
          <w:szCs w:val="24"/>
          <w:lang w:val="es-ES_tradnl" w:eastAsia="en-US"/>
        </w:rPr>
      </w:pPr>
    </w:p>
    <w:p w14:paraId="158E2AE1"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w:t>
      </w:r>
      <w:r w:rsidRPr="00883102">
        <w:rPr>
          <w:rFonts w:eastAsiaTheme="minorHAnsi" w:cs="Arial"/>
          <w:szCs w:val="24"/>
          <w:lang w:val="es-ES_tradnl" w:eastAsia="en-US"/>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A0FBF0D" w14:textId="77777777" w:rsidR="00853D09" w:rsidRPr="00883102" w:rsidRDefault="00853D09" w:rsidP="00853D09">
      <w:pPr>
        <w:rPr>
          <w:rFonts w:eastAsiaTheme="minorHAnsi" w:cs="Arial"/>
          <w:szCs w:val="24"/>
          <w:lang w:val="es-ES_tradnl" w:eastAsia="en-US"/>
        </w:rPr>
      </w:pPr>
    </w:p>
    <w:p w14:paraId="192109E0"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3849A0A" w14:textId="77777777" w:rsidR="00853D09" w:rsidRPr="00883102" w:rsidRDefault="00853D09" w:rsidP="00853D09">
      <w:pPr>
        <w:rPr>
          <w:rFonts w:eastAsiaTheme="minorHAnsi" w:cs="Arial"/>
          <w:szCs w:val="24"/>
          <w:lang w:val="es-ES_tradnl" w:eastAsia="en-US"/>
        </w:rPr>
      </w:pPr>
    </w:p>
    <w:p w14:paraId="311625EF"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Pr>
          <w:rFonts w:eastAsiaTheme="minorHAnsi" w:cs="Arial"/>
          <w:szCs w:val="24"/>
          <w:lang w:val="es-ES_tradnl" w:eastAsia="en-US"/>
        </w:rPr>
        <w:t xml:space="preserve">se </w:t>
      </w:r>
      <w:r w:rsidRPr="00883102">
        <w:rPr>
          <w:rFonts w:eastAsiaTheme="minorHAnsi" w:cs="Arial"/>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9BA136C" w14:textId="77777777" w:rsidR="00853D09" w:rsidRPr="00883102" w:rsidRDefault="00853D09" w:rsidP="00853D09">
      <w:pPr>
        <w:rPr>
          <w:rFonts w:eastAsiaTheme="minorHAnsi" w:cs="Arial"/>
          <w:szCs w:val="24"/>
          <w:lang w:val="es-ES_tradnl" w:eastAsia="en-US"/>
        </w:rPr>
      </w:pPr>
    </w:p>
    <w:p w14:paraId="3287E8A8"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lastRenderedPageBreak/>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2F54761" w14:textId="77777777" w:rsidR="00853D09" w:rsidRPr="00883102" w:rsidRDefault="00853D09" w:rsidP="00853D09">
      <w:pPr>
        <w:rPr>
          <w:rFonts w:eastAsiaTheme="minorHAnsi" w:cs="Arial"/>
          <w:szCs w:val="24"/>
          <w:lang w:val="es-ES_tradnl" w:eastAsia="en-US"/>
        </w:rPr>
      </w:pPr>
    </w:p>
    <w:p w14:paraId="36C01F9E"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0389BFE7" w14:textId="77777777" w:rsidR="00853D09" w:rsidRPr="00883102" w:rsidRDefault="00853D09" w:rsidP="00853D09">
      <w:pPr>
        <w:rPr>
          <w:rFonts w:eastAsiaTheme="minorHAnsi" w:cstheme="minorBidi"/>
          <w:szCs w:val="24"/>
          <w:lang w:val="es-ES_tradnl" w:eastAsia="en-US"/>
        </w:rPr>
      </w:pPr>
    </w:p>
    <w:p w14:paraId="5693A9AE" w14:textId="77777777" w:rsidR="00853D09" w:rsidRPr="00883102" w:rsidRDefault="00853D09" w:rsidP="00853D09">
      <w:pPr>
        <w:rPr>
          <w:rFonts w:cs="Arial"/>
          <w:bCs/>
          <w:color w:val="000000"/>
          <w:szCs w:val="24"/>
          <w:lang w:val="es-ES_tradnl" w:eastAsia="en-US"/>
        </w:rPr>
      </w:pPr>
      <w:r w:rsidRPr="00883102">
        <w:rPr>
          <w:rFonts w:cs="Arial"/>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79E14ADB" w14:textId="77777777" w:rsidR="00853D09" w:rsidRPr="00883102" w:rsidRDefault="00853D09" w:rsidP="00853D09">
      <w:pPr>
        <w:ind w:left="567" w:right="567"/>
        <w:rPr>
          <w:rFonts w:cstheme="minorBidi"/>
          <w:szCs w:val="24"/>
          <w:lang w:val="es-ES_tradnl" w:eastAsia="en-US"/>
        </w:rPr>
      </w:pPr>
    </w:p>
    <w:p w14:paraId="53019ACF" w14:textId="77777777" w:rsidR="00853D09" w:rsidRPr="00883102" w:rsidRDefault="00853D09" w:rsidP="00853D09">
      <w:pPr>
        <w:spacing w:line="240" w:lineRule="auto"/>
        <w:ind w:left="567" w:right="567"/>
        <w:rPr>
          <w:rFonts w:cstheme="minorBidi"/>
          <w:i/>
          <w:lang w:val="es-ES_tradnl" w:eastAsia="en-US"/>
        </w:rPr>
      </w:pPr>
      <w:r w:rsidRPr="00883102">
        <w:rPr>
          <w:rFonts w:cstheme="minorBidi"/>
          <w:b/>
          <w:i/>
          <w:lang w:val="es-ES_tradnl" w:eastAsia="en-US"/>
        </w:rPr>
        <w:lastRenderedPageBreak/>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cstheme="minorBidi"/>
          <w:i/>
          <w:lang w:val="es-ES_tradnl" w:eastAsia="en-US"/>
        </w:rPr>
        <w:t xml:space="preserve"> </w:t>
      </w:r>
    </w:p>
    <w:p w14:paraId="7F9CDCB9" w14:textId="77777777" w:rsidR="00853D09" w:rsidRPr="00883102" w:rsidRDefault="00853D09" w:rsidP="00853D09">
      <w:pPr>
        <w:spacing w:line="240" w:lineRule="auto"/>
        <w:ind w:left="567" w:right="567"/>
        <w:rPr>
          <w:rFonts w:cstheme="minorBidi"/>
          <w:i/>
          <w:lang w:val="es-ES_tradnl" w:eastAsia="en-US"/>
        </w:rPr>
      </w:pPr>
      <w:r w:rsidRPr="00883102">
        <w:rPr>
          <w:rFonts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cstheme="minorBidi"/>
          <w:i/>
          <w:lang w:val="es-ES_tradnl" w:eastAsia="en-US"/>
        </w:rPr>
        <w:t>officio</w:t>
      </w:r>
      <w:proofErr w:type="spellEnd"/>
      <w:r w:rsidRPr="00883102">
        <w:rPr>
          <w:rFonts w:cstheme="minorBidi"/>
          <w:i/>
          <w:lang w:val="es-ES_tradnl" w:eastAsia="en-US"/>
        </w:rPr>
        <w:t>, con el propósito de obtener una versión que sea pública para la parte interesada.</w:t>
      </w:r>
    </w:p>
    <w:p w14:paraId="3FCCAA21" w14:textId="77777777" w:rsidR="00853D09" w:rsidRPr="00883102" w:rsidRDefault="00853D09" w:rsidP="00853D09">
      <w:pPr>
        <w:ind w:left="567" w:right="567"/>
        <w:rPr>
          <w:rFonts w:cstheme="minorBidi"/>
          <w:szCs w:val="24"/>
          <w:lang w:val="es-ES_tradnl" w:eastAsia="en-US"/>
        </w:rPr>
      </w:pPr>
    </w:p>
    <w:p w14:paraId="29A796D2" w14:textId="77777777" w:rsidR="00853D09" w:rsidRPr="00883102" w:rsidRDefault="00853D09" w:rsidP="00853D09">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1D51C02C" w14:textId="77777777" w:rsidR="00853D09" w:rsidRPr="00883102" w:rsidRDefault="00853D09" w:rsidP="00853D09">
      <w:pPr>
        <w:rPr>
          <w:rFonts w:eastAsiaTheme="minorHAnsi" w:cstheme="minorBidi"/>
          <w:bCs/>
          <w:szCs w:val="24"/>
          <w:lang w:val="es-ES_tradnl" w:eastAsia="en-US"/>
        </w:rPr>
      </w:pPr>
    </w:p>
    <w:p w14:paraId="64460F34"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w:t>
      </w:r>
      <w:r w:rsidRPr="00883102">
        <w:rPr>
          <w:rFonts w:eastAsiaTheme="minorHAnsi" w:cstheme="minorBidi"/>
          <w:szCs w:val="24"/>
          <w:lang w:val="es-ES_tradnl" w:eastAsia="en-US"/>
        </w:rPr>
        <w:lastRenderedPageBreak/>
        <w:t>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6EC23912" w14:textId="77777777" w:rsidR="00853D09" w:rsidRPr="00883102" w:rsidRDefault="00853D09" w:rsidP="00853D09">
      <w:pPr>
        <w:rPr>
          <w:rFonts w:eastAsiaTheme="minorHAnsi" w:cstheme="minorBidi"/>
          <w:szCs w:val="24"/>
          <w:lang w:val="es-ES_tradnl" w:eastAsia="en-US"/>
        </w:rPr>
      </w:pPr>
    </w:p>
    <w:p w14:paraId="2C14590F"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23A94F1F" w14:textId="77777777" w:rsidR="00853D09" w:rsidRPr="00883102" w:rsidRDefault="00853D09" w:rsidP="00853D09">
      <w:pPr>
        <w:rPr>
          <w:rFonts w:eastAsiaTheme="minorHAnsi" w:cstheme="minorBidi"/>
          <w:szCs w:val="24"/>
          <w:lang w:val="es-ES_tradnl" w:eastAsia="en-US"/>
        </w:rPr>
      </w:pPr>
    </w:p>
    <w:p w14:paraId="314D145B"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512B475" w14:textId="77777777" w:rsidR="00853D09" w:rsidRPr="00883102" w:rsidRDefault="00853D09" w:rsidP="00853D09">
      <w:pPr>
        <w:rPr>
          <w:rFonts w:eastAsiaTheme="minorHAnsi" w:cstheme="minorBidi"/>
          <w:szCs w:val="24"/>
          <w:lang w:val="es-ES_tradnl" w:eastAsia="en-US"/>
        </w:rPr>
      </w:pPr>
    </w:p>
    <w:p w14:paraId="69A1DEB1" w14:textId="77777777" w:rsidR="00853D09" w:rsidRPr="00883102" w:rsidRDefault="00853D09" w:rsidP="00853D09">
      <w:pPr>
        <w:numPr>
          <w:ilvl w:val="0"/>
          <w:numId w:val="1"/>
        </w:numPr>
        <w:jc w:val="left"/>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01E9259D" w14:textId="77777777" w:rsidR="00853D09" w:rsidRPr="00883102" w:rsidRDefault="00853D09" w:rsidP="00853D09">
      <w:pPr>
        <w:numPr>
          <w:ilvl w:val="0"/>
          <w:numId w:val="1"/>
        </w:numPr>
        <w:jc w:val="left"/>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6854AE6E" w14:textId="77777777" w:rsidR="00853D09" w:rsidRPr="00883102" w:rsidRDefault="00853D09" w:rsidP="00853D09">
      <w:pPr>
        <w:numPr>
          <w:ilvl w:val="0"/>
          <w:numId w:val="1"/>
        </w:numPr>
        <w:jc w:val="left"/>
        <w:rPr>
          <w:rFonts w:eastAsiaTheme="minorHAnsi" w:cstheme="minorBidi"/>
          <w:szCs w:val="24"/>
          <w:lang w:val="es-ES_tradnl" w:eastAsia="en-US"/>
        </w:rPr>
      </w:pPr>
      <w:r w:rsidRPr="00883102">
        <w:rPr>
          <w:rFonts w:eastAsiaTheme="minorHAnsi" w:cstheme="minorBidi"/>
          <w:szCs w:val="24"/>
          <w:lang w:val="es-ES_tradnl" w:eastAsia="en-US"/>
        </w:rPr>
        <w:t>Se generen versiones públicas para dar cumplimiento a las obligaciones de transparencia previstas en la Ley.</w:t>
      </w:r>
    </w:p>
    <w:p w14:paraId="13B4AD39" w14:textId="77777777" w:rsidR="00853D09" w:rsidRPr="00883102" w:rsidRDefault="00853D09" w:rsidP="00853D09">
      <w:pPr>
        <w:rPr>
          <w:rFonts w:eastAsiaTheme="minorHAnsi" w:cstheme="minorBidi"/>
          <w:szCs w:val="24"/>
          <w:lang w:val="es-ES_tradnl" w:eastAsia="en-US"/>
        </w:rPr>
      </w:pPr>
    </w:p>
    <w:p w14:paraId="15662679"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lastRenderedPageBreak/>
        <w:t>Situación que se robustece con el artículo 141 de la misma Ley, que señala que las causales de reserva previstas</w:t>
      </w:r>
      <w:r>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0ADE9D5E" w14:textId="77777777" w:rsidR="00853D09" w:rsidRPr="00883102" w:rsidRDefault="00853D09" w:rsidP="00853D09">
      <w:pPr>
        <w:rPr>
          <w:rFonts w:eastAsiaTheme="minorHAnsi" w:cstheme="minorBidi"/>
          <w:szCs w:val="24"/>
          <w:lang w:val="es-ES_tradnl" w:eastAsia="en-US"/>
        </w:rPr>
      </w:pPr>
    </w:p>
    <w:p w14:paraId="1947D579"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3D550E1" w14:textId="77777777" w:rsidR="00853D09" w:rsidRPr="00883102" w:rsidRDefault="00853D09" w:rsidP="00853D09">
      <w:pPr>
        <w:rPr>
          <w:rFonts w:eastAsiaTheme="minorHAnsi" w:cstheme="minorBidi"/>
          <w:szCs w:val="24"/>
          <w:lang w:val="es-ES_tradnl" w:eastAsia="en-US"/>
        </w:rPr>
      </w:pPr>
    </w:p>
    <w:p w14:paraId="598CC458" w14:textId="77777777" w:rsidR="00853D09" w:rsidRPr="00883102" w:rsidRDefault="00853D09" w:rsidP="00853D09">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08554082" w14:textId="77777777" w:rsidR="00853D09" w:rsidRPr="00883102" w:rsidRDefault="00853D09" w:rsidP="00853D09">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49987B37" w14:textId="77777777" w:rsidR="00853D09" w:rsidRPr="00883102" w:rsidRDefault="00853D09" w:rsidP="00853D09">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79BBCB76" w14:textId="77777777" w:rsidR="00853D09" w:rsidRPr="00883102" w:rsidRDefault="00853D09" w:rsidP="00853D09">
      <w:pPr>
        <w:rPr>
          <w:rFonts w:eastAsiaTheme="minorHAnsi" w:cstheme="minorBidi"/>
          <w:szCs w:val="24"/>
          <w:lang w:val="es-ES_tradnl" w:eastAsia="en-US"/>
        </w:rPr>
      </w:pPr>
    </w:p>
    <w:p w14:paraId="34796FF2" w14:textId="77777777" w:rsidR="00853D09" w:rsidRDefault="00853D09" w:rsidP="00853D09">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1C856FB" w14:textId="77777777" w:rsidR="00853D09" w:rsidRDefault="00853D09" w:rsidP="00853D09">
      <w:pPr>
        <w:rPr>
          <w:rFonts w:eastAsiaTheme="minorHAnsi" w:cs="Arial"/>
          <w:szCs w:val="24"/>
          <w:lang w:val="es-ES_tradnl" w:eastAsia="en-US"/>
        </w:rPr>
      </w:pPr>
    </w:p>
    <w:p w14:paraId="6DBD9A45" w14:textId="77777777" w:rsidR="00853D09" w:rsidRDefault="00853D09" w:rsidP="00853D0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1DD44706" w14:textId="77777777" w:rsidR="00853D09" w:rsidRDefault="00853D09" w:rsidP="00853D09">
      <w:pPr>
        <w:pBdr>
          <w:top w:val="nil"/>
          <w:left w:val="nil"/>
          <w:bottom w:val="nil"/>
          <w:right w:val="nil"/>
          <w:between w:val="nil"/>
        </w:pBdr>
        <w:rPr>
          <w:rFonts w:eastAsia="Palatino Linotype" w:cs="Palatino Linotype"/>
          <w:color w:val="000000"/>
          <w:szCs w:val="24"/>
        </w:rPr>
      </w:pPr>
    </w:p>
    <w:p w14:paraId="73B571B1"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b/>
          <w:i/>
          <w:iCs/>
          <w:color w:val="000000"/>
        </w:rPr>
        <w:t xml:space="preserve">Artículo 3. </w:t>
      </w:r>
      <w:r w:rsidRPr="009610D3">
        <w:rPr>
          <w:rFonts w:eastAsia="Palatino Linotype" w:cs="Palatino Linotype"/>
          <w:i/>
          <w:iCs/>
          <w:color w:val="000000"/>
        </w:rPr>
        <w:t>Para los efectos de la presente Ley se entenderá por:</w:t>
      </w:r>
    </w:p>
    <w:p w14:paraId="12D77C34"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i/>
          <w:iCs/>
          <w:color w:val="000000"/>
        </w:rPr>
        <w:t>(…)</w:t>
      </w:r>
    </w:p>
    <w:p w14:paraId="6FC495C1"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b/>
          <w:bCs/>
          <w:i/>
          <w:iCs/>
          <w:color w:val="000000"/>
        </w:rPr>
        <w:t>XXXIII.</w:t>
      </w:r>
      <w:r w:rsidRPr="009610D3">
        <w:rPr>
          <w:rFonts w:eastAsia="Palatino Linotype" w:cs="Palatino Linotype"/>
          <w:i/>
          <w:iCs/>
          <w:color w:val="000000"/>
        </w:rPr>
        <w:t xml:space="preserve"> </w:t>
      </w:r>
      <w:r w:rsidRPr="009610D3">
        <w:rPr>
          <w:rFonts w:eastAsia="Palatino Linotype" w:cs="Palatino Linotype"/>
          <w:b/>
          <w:bCs/>
          <w:i/>
          <w:iCs/>
          <w:color w:val="000000"/>
        </w:rPr>
        <w:t>Prueba de Daño:</w:t>
      </w:r>
      <w:r w:rsidRPr="009610D3">
        <w:rPr>
          <w:rFonts w:eastAsia="Palatino Linotype" w:cs="Palatino Linotype"/>
          <w:i/>
          <w:iCs/>
          <w:color w:val="000000"/>
        </w:rPr>
        <w:t xml:space="preserve"> </w:t>
      </w:r>
      <w:r w:rsidRPr="009610D3">
        <w:rPr>
          <w:rFonts w:eastAsia="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eastAsia="Palatino Linotype" w:cs="Palatino Linotype"/>
          <w:i/>
          <w:iCs/>
          <w:color w:val="000000"/>
        </w:rPr>
        <w:t>, y que el menoscabo o daño que puede producirse con la publicidad de la información es mayor que el interés de conocerla y por consiguiente debe clasificarse como reservada;</w:t>
      </w:r>
    </w:p>
    <w:p w14:paraId="63B1F629"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b/>
          <w:bCs/>
          <w:i/>
          <w:iCs/>
          <w:color w:val="000000"/>
        </w:rPr>
        <w:t>Artículo 128.</w:t>
      </w:r>
      <w:r w:rsidRPr="009610D3">
        <w:rPr>
          <w:rFonts w:eastAsia="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3D3D7636"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p>
    <w:p w14:paraId="79ECBDFF"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eastAsia="Palatino Linotype" w:cs="Palatino Linotype"/>
          <w:b/>
          <w:bCs/>
          <w:i/>
          <w:iCs/>
          <w:color w:val="000000"/>
          <w:u w:val="single"/>
        </w:rPr>
        <w:t>el sujeto obligado deberá, en todo momento, aplicar una prueba de daño</w:t>
      </w:r>
      <w:r w:rsidRPr="009610D3">
        <w:rPr>
          <w:rFonts w:eastAsia="Palatino Linotype" w:cs="Palatino Linotype"/>
          <w:i/>
          <w:iCs/>
          <w:color w:val="000000"/>
        </w:rPr>
        <w:t>.</w:t>
      </w:r>
    </w:p>
    <w:p w14:paraId="0A41CB50"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p>
    <w:p w14:paraId="1921704A"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i/>
          <w:iCs/>
          <w:color w:val="000000"/>
        </w:rPr>
        <w:t>Tratándose de aquélla información que actualice los supuestos de clasificación, deberá señalarse el plazo al que estará sujeto la reserva.</w:t>
      </w:r>
    </w:p>
    <w:p w14:paraId="32DD9183"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p>
    <w:p w14:paraId="79242521"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9610D3">
        <w:rPr>
          <w:rFonts w:eastAsia="Palatino Linotype" w:cs="Palatino Linotype"/>
          <w:b/>
          <w:bCs/>
          <w:i/>
          <w:iCs/>
          <w:color w:val="000000"/>
        </w:rPr>
        <w:t>Artículo 129</w:t>
      </w:r>
      <w:r w:rsidRPr="009610D3">
        <w:rPr>
          <w:rFonts w:eastAsia="Palatino Linotype" w:cs="Palatino Linotype"/>
          <w:i/>
          <w:iCs/>
          <w:color w:val="000000"/>
        </w:rPr>
        <w:t xml:space="preserve">. </w:t>
      </w:r>
      <w:r w:rsidRPr="009610D3">
        <w:rPr>
          <w:rFonts w:eastAsia="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eastAsia="Palatino Linotype" w:cs="Palatino Linotype"/>
          <w:i/>
          <w:iCs/>
          <w:color w:val="000000"/>
        </w:rPr>
        <w:t>, justificando que:</w:t>
      </w:r>
    </w:p>
    <w:p w14:paraId="7AB15B52" w14:textId="77777777" w:rsidR="00853D09" w:rsidRPr="009610D3"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p>
    <w:p w14:paraId="01094E35" w14:textId="77777777" w:rsidR="00853D09" w:rsidRPr="009610D3" w:rsidRDefault="00853D09" w:rsidP="00853D09">
      <w:pPr>
        <w:pStyle w:val="Prrafodelista"/>
        <w:numPr>
          <w:ilvl w:val="0"/>
          <w:numId w:val="4"/>
        </w:numPr>
        <w:pBdr>
          <w:top w:val="nil"/>
          <w:left w:val="nil"/>
          <w:bottom w:val="nil"/>
          <w:right w:val="nil"/>
          <w:between w:val="nil"/>
        </w:pBdr>
        <w:spacing w:line="240" w:lineRule="auto"/>
        <w:ind w:left="1134" w:right="616" w:hanging="567"/>
        <w:rPr>
          <w:rFonts w:eastAsia="Palatino Linotype" w:cs="Palatino Linotype"/>
          <w:i/>
          <w:iCs/>
          <w:color w:val="000000"/>
          <w:sz w:val="22"/>
          <w:szCs w:val="22"/>
        </w:rPr>
      </w:pPr>
      <w:r w:rsidRPr="009610D3">
        <w:rPr>
          <w:rFonts w:eastAsia="Palatino Linotype" w:cs="Palatino Linotype"/>
          <w:i/>
          <w:iCs/>
          <w:color w:val="000000"/>
          <w:sz w:val="22"/>
          <w:szCs w:val="22"/>
        </w:rPr>
        <w:lastRenderedPageBreak/>
        <w:t>La divulgación de la información representa un riesgo real, demostrable e identificable del perjuicio significativo al interés público o a la seguridad pública;</w:t>
      </w:r>
    </w:p>
    <w:p w14:paraId="5D09ECA4" w14:textId="77777777" w:rsidR="00853D09" w:rsidRPr="009610D3" w:rsidRDefault="00853D09" w:rsidP="00853D09">
      <w:pPr>
        <w:pStyle w:val="Prrafodelista"/>
        <w:numPr>
          <w:ilvl w:val="0"/>
          <w:numId w:val="4"/>
        </w:numPr>
        <w:pBdr>
          <w:top w:val="nil"/>
          <w:left w:val="nil"/>
          <w:bottom w:val="nil"/>
          <w:right w:val="nil"/>
          <w:between w:val="nil"/>
        </w:pBdr>
        <w:spacing w:line="240" w:lineRule="auto"/>
        <w:ind w:left="1134" w:right="616" w:hanging="567"/>
        <w:rPr>
          <w:rFonts w:eastAsia="Palatino Linotype" w:cs="Palatino Linotype"/>
          <w:i/>
          <w:iCs/>
          <w:color w:val="000000"/>
          <w:sz w:val="22"/>
          <w:szCs w:val="22"/>
        </w:rPr>
      </w:pPr>
      <w:r w:rsidRPr="009610D3">
        <w:rPr>
          <w:rFonts w:eastAsia="Palatino Linotype" w:cs="Palatino Linotype"/>
          <w:i/>
          <w:iCs/>
          <w:color w:val="000000"/>
          <w:sz w:val="22"/>
          <w:szCs w:val="22"/>
        </w:rPr>
        <w:t>El riesgo de perjuicio que supondría la divulgación supera el interés público general de que se difunda; y</w:t>
      </w:r>
    </w:p>
    <w:p w14:paraId="60C841EB" w14:textId="77777777" w:rsidR="00853D09" w:rsidRPr="009610D3" w:rsidRDefault="00853D09" w:rsidP="00853D09">
      <w:pPr>
        <w:pStyle w:val="Prrafodelista"/>
        <w:numPr>
          <w:ilvl w:val="0"/>
          <w:numId w:val="4"/>
        </w:numPr>
        <w:pBdr>
          <w:top w:val="nil"/>
          <w:left w:val="nil"/>
          <w:bottom w:val="nil"/>
          <w:right w:val="nil"/>
          <w:between w:val="nil"/>
        </w:pBdr>
        <w:spacing w:line="240" w:lineRule="auto"/>
        <w:ind w:left="1134" w:right="616" w:hanging="567"/>
        <w:rPr>
          <w:rFonts w:eastAsia="Palatino Linotype" w:cs="Palatino Linotype"/>
          <w:i/>
          <w:iCs/>
          <w:color w:val="000000"/>
          <w:sz w:val="22"/>
          <w:szCs w:val="22"/>
        </w:rPr>
      </w:pPr>
      <w:r w:rsidRPr="009610D3">
        <w:rPr>
          <w:rFonts w:eastAsia="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7D95C0B7" w14:textId="77777777" w:rsidR="00853D09" w:rsidRDefault="00853D09" w:rsidP="00853D09">
      <w:pPr>
        <w:pBdr>
          <w:top w:val="nil"/>
          <w:left w:val="nil"/>
          <w:bottom w:val="nil"/>
          <w:right w:val="nil"/>
          <w:between w:val="nil"/>
        </w:pBdr>
        <w:rPr>
          <w:rFonts w:eastAsia="Palatino Linotype" w:cs="Palatino Linotype"/>
          <w:color w:val="000000"/>
          <w:szCs w:val="24"/>
        </w:rPr>
      </w:pPr>
    </w:p>
    <w:p w14:paraId="750F1F58" w14:textId="77777777" w:rsidR="00853D09" w:rsidRDefault="00853D09" w:rsidP="00853D0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0325E57" w14:textId="77777777" w:rsidR="00853D09" w:rsidRDefault="00853D09" w:rsidP="00853D09">
      <w:pPr>
        <w:pBdr>
          <w:top w:val="nil"/>
          <w:left w:val="nil"/>
          <w:bottom w:val="nil"/>
          <w:right w:val="nil"/>
          <w:between w:val="nil"/>
        </w:pBdr>
        <w:rPr>
          <w:rFonts w:eastAsia="Palatino Linotype" w:cs="Palatino Linotype"/>
          <w:color w:val="000000"/>
          <w:szCs w:val="24"/>
        </w:rPr>
      </w:pPr>
    </w:p>
    <w:p w14:paraId="075A14B0" w14:textId="77777777" w:rsidR="00853D09" w:rsidRPr="00783B44" w:rsidRDefault="00853D09" w:rsidP="00853D09">
      <w:pPr>
        <w:pBdr>
          <w:top w:val="nil"/>
          <w:left w:val="nil"/>
          <w:bottom w:val="nil"/>
          <w:right w:val="nil"/>
          <w:between w:val="nil"/>
        </w:pBdr>
        <w:spacing w:line="240" w:lineRule="auto"/>
        <w:ind w:left="567" w:right="616"/>
        <w:rPr>
          <w:rFonts w:eastAsia="Palatino Linotype" w:cs="Palatino Linotype"/>
          <w:b/>
          <w:bCs/>
          <w:i/>
          <w:iCs/>
          <w:color w:val="000000"/>
        </w:rPr>
      </w:pPr>
      <w:r w:rsidRPr="00783B44">
        <w:rPr>
          <w:rFonts w:eastAsia="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25D858B0" w14:textId="77777777" w:rsidR="00853D09" w:rsidRPr="00783B44"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783B44">
        <w:rPr>
          <w:rFonts w:eastAsia="Palatino Linotype" w:cs="Palatino Linotype"/>
          <w:i/>
          <w:iCs/>
          <w:color w:val="000000"/>
        </w:rPr>
        <w:t>Para el ejercicio del derecho de acceso a la información, previsto en el artículo</w:t>
      </w:r>
      <w:r>
        <w:rPr>
          <w:rFonts w:eastAsia="Palatino Linotype" w:cs="Palatino Linotype"/>
          <w:i/>
          <w:iCs/>
          <w:color w:val="000000"/>
        </w:rPr>
        <w:t xml:space="preserve"> </w:t>
      </w:r>
      <w:r w:rsidRPr="00783B44">
        <w:rPr>
          <w:rFonts w:eastAsia="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eastAsia="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eastAsia="Palatino Linotype" w:cs="Palatino Linotype"/>
          <w:i/>
          <w:iCs/>
          <w:color w:val="000000"/>
        </w:rPr>
        <w:t xml:space="preserve">. Por otra parte, si alguien intenta revertir determinada </w:t>
      </w:r>
      <w:r w:rsidRPr="00783B44">
        <w:rPr>
          <w:rFonts w:eastAsia="Palatino Linotype" w:cs="Palatino Linotype"/>
          <w:i/>
          <w:iCs/>
          <w:color w:val="000000"/>
        </w:rPr>
        <w:lastRenderedPageBreak/>
        <w:t xml:space="preserve">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eastAsia="Palatino Linotype" w:cs="Palatino Linotype"/>
          <w:b/>
          <w:bCs/>
          <w:i/>
          <w:iCs/>
          <w:color w:val="000000"/>
          <w:u w:val="single"/>
        </w:rPr>
        <w:t>se advierte que corresponde a los sujetos obligados realizar la clasificación de la información que obre en su poder</w:t>
      </w:r>
      <w:r w:rsidRPr="00783B44">
        <w:rPr>
          <w:rFonts w:eastAsia="Palatino Linotype" w:cs="Palatino Linotype"/>
          <w:i/>
          <w:iCs/>
          <w:color w:val="000000"/>
        </w:rPr>
        <w:t xml:space="preserve"> y, contra la decisión que adopten, procede interponer el recurso de revisión ante el organismo garante que corresponda. En consecuencia, </w:t>
      </w:r>
      <w:r w:rsidRPr="00783B44">
        <w:rPr>
          <w:rFonts w:eastAsia="Palatino Linotype" w:cs="Palatino Linotype"/>
          <w:b/>
          <w:bCs/>
          <w:i/>
          <w:iCs/>
          <w:color w:val="000000"/>
          <w:u w:val="single"/>
        </w:rPr>
        <w:t>la obligación de clasificar la información corresponde única y directamente a los sujetos obligado</w:t>
      </w:r>
      <w:r w:rsidRPr="00783B44">
        <w:rPr>
          <w:rFonts w:eastAsia="Palatino Linotype" w:cs="Palatino Linotype"/>
          <w:i/>
          <w:iCs/>
          <w:color w:val="000000"/>
        </w:rPr>
        <w:t>s, en tanto que al Juez de amparo sólo compete facilitar, bajo su más estricta responsabilidad, el acceso a la que sea "indispensable para la adecuada defensa de las partes".</w:t>
      </w:r>
    </w:p>
    <w:p w14:paraId="77CF2CFA" w14:textId="77777777" w:rsidR="00853D09" w:rsidRPr="00783B44"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p>
    <w:p w14:paraId="61FD793D" w14:textId="77777777" w:rsidR="00853D09" w:rsidRPr="00783B44" w:rsidRDefault="00853D09" w:rsidP="00853D09">
      <w:pPr>
        <w:pBdr>
          <w:top w:val="nil"/>
          <w:left w:val="nil"/>
          <w:bottom w:val="nil"/>
          <w:right w:val="nil"/>
          <w:between w:val="nil"/>
        </w:pBdr>
        <w:spacing w:line="240" w:lineRule="auto"/>
        <w:ind w:left="567" w:right="616"/>
        <w:rPr>
          <w:rFonts w:eastAsia="Palatino Linotype" w:cs="Palatino Linotype"/>
          <w:b/>
          <w:bCs/>
          <w:i/>
          <w:iCs/>
          <w:color w:val="000000"/>
        </w:rPr>
      </w:pPr>
      <w:r w:rsidRPr="00783B44">
        <w:rPr>
          <w:rFonts w:eastAsia="Palatino Linotype" w:cs="Palatino Linotype"/>
          <w:b/>
          <w:bCs/>
          <w:i/>
          <w:iCs/>
          <w:color w:val="000000"/>
        </w:rPr>
        <w:t>PRUEBA DE DAÑO EN LA CLASIFICACIÓN DE LA INFORMACIÓN PÚBLICA. SU VALIDEZ NO DEPENDE DE LOS MEDIOS DE PRUEBA QUE EL SUJETO OBLIGADO APORTE.</w:t>
      </w:r>
    </w:p>
    <w:p w14:paraId="54211444" w14:textId="77777777" w:rsidR="00853D09" w:rsidRPr="00783B44" w:rsidRDefault="00853D09" w:rsidP="00853D09">
      <w:pPr>
        <w:pBdr>
          <w:top w:val="nil"/>
          <w:left w:val="nil"/>
          <w:bottom w:val="nil"/>
          <w:right w:val="nil"/>
          <w:between w:val="nil"/>
        </w:pBdr>
        <w:spacing w:line="240" w:lineRule="auto"/>
        <w:ind w:left="567" w:right="616"/>
        <w:rPr>
          <w:rFonts w:eastAsia="Palatino Linotype" w:cs="Palatino Linotype"/>
          <w:i/>
          <w:iCs/>
          <w:color w:val="000000"/>
        </w:rPr>
      </w:pPr>
      <w:r w:rsidRPr="00783B44">
        <w:rPr>
          <w:rFonts w:eastAsia="Palatino Linotype" w:cs="Palatino Linotype"/>
          <w:i/>
          <w:iCs/>
          <w:color w:val="000000"/>
        </w:rPr>
        <w:t>De acuerdo con el artículo</w:t>
      </w:r>
      <w:r>
        <w:rPr>
          <w:rFonts w:eastAsia="Palatino Linotype" w:cs="Palatino Linotype"/>
          <w:i/>
          <w:iCs/>
          <w:color w:val="000000"/>
        </w:rPr>
        <w:t xml:space="preserve"> </w:t>
      </w:r>
      <w:r w:rsidRPr="00783B44">
        <w:rPr>
          <w:rFonts w:eastAsia="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eastAsia="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eastAsia="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eastAsia="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eastAsia="Palatino Linotype" w:cs="Palatino Linotype"/>
          <w:i/>
          <w:iCs/>
          <w:color w:val="000000"/>
        </w:rPr>
        <w:t xml:space="preserve"> Por tanto, al tratarse de un aspecto constreñido al ámbito argumentativo, la validez de la prueba de </w:t>
      </w:r>
      <w:r w:rsidRPr="00783B44">
        <w:rPr>
          <w:rFonts w:eastAsia="Palatino Linotype" w:cs="Palatino Linotype"/>
          <w:i/>
          <w:iCs/>
          <w:color w:val="000000"/>
        </w:rPr>
        <w:lastRenderedPageBreak/>
        <w:t>daño no depende de los medios de prueba que el sujeto obligado aporte, sino de la solidez del juicio de ponderación que se efectúe en los términos señalados.</w:t>
      </w:r>
    </w:p>
    <w:p w14:paraId="14135F41" w14:textId="77777777" w:rsidR="00853D09" w:rsidRDefault="00853D09" w:rsidP="00853D09">
      <w:pPr>
        <w:pBdr>
          <w:top w:val="nil"/>
          <w:left w:val="nil"/>
          <w:bottom w:val="nil"/>
          <w:right w:val="nil"/>
          <w:between w:val="nil"/>
        </w:pBdr>
        <w:rPr>
          <w:rFonts w:eastAsia="Palatino Linotype" w:cs="Palatino Linotype"/>
          <w:color w:val="000000"/>
          <w:szCs w:val="24"/>
        </w:rPr>
      </w:pPr>
    </w:p>
    <w:p w14:paraId="4639FF54" w14:textId="77777777" w:rsidR="00853D09" w:rsidRPr="00883102" w:rsidRDefault="00853D09" w:rsidP="00853D09">
      <w:pPr>
        <w:rPr>
          <w:rFonts w:eastAsiaTheme="minorHAnsi" w:cs="Arial"/>
          <w:szCs w:val="24"/>
          <w:lang w:val="es-ES_tradnl" w:eastAsia="en-US"/>
        </w:rPr>
      </w:pPr>
      <w:r>
        <w:rPr>
          <w:rFonts w:eastAsia="Palatino Linotype" w:cs="Palatino Linotype"/>
          <w:color w:val="000000"/>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3A0514A1" w14:textId="77777777" w:rsidR="00853D09" w:rsidRPr="00883102" w:rsidRDefault="00853D09" w:rsidP="00853D09">
      <w:pPr>
        <w:rPr>
          <w:rFonts w:cs="Arial"/>
          <w:szCs w:val="24"/>
          <w:lang w:val="es-ES_tradnl" w:eastAsia="en-US"/>
        </w:rPr>
      </w:pPr>
    </w:p>
    <w:p w14:paraId="6FF53987"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2DACF677" w14:textId="77777777" w:rsidR="00853D09" w:rsidRPr="00883102" w:rsidRDefault="00853D09" w:rsidP="00853D09">
      <w:pPr>
        <w:rPr>
          <w:rFonts w:eastAsiaTheme="minorHAnsi" w:cs="Arial"/>
          <w:szCs w:val="24"/>
          <w:lang w:val="es-ES_tradnl" w:eastAsia="en-US"/>
        </w:rPr>
      </w:pPr>
    </w:p>
    <w:p w14:paraId="5F7807F9"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D6C602" w14:textId="77777777" w:rsidR="00853D09" w:rsidRPr="00883102" w:rsidRDefault="00853D09" w:rsidP="00853D09">
      <w:pPr>
        <w:rPr>
          <w:rFonts w:eastAsiaTheme="minorHAnsi" w:cstheme="minorBidi"/>
          <w:szCs w:val="24"/>
          <w:lang w:val="es-ES_tradnl" w:eastAsia="en-US"/>
        </w:rPr>
      </w:pPr>
    </w:p>
    <w:p w14:paraId="3C76F971" w14:textId="77777777" w:rsidR="00853D09" w:rsidRPr="00883102" w:rsidRDefault="00853D09" w:rsidP="00853D09">
      <w:pPr>
        <w:rPr>
          <w:rFonts w:cs="Bookman Old Style"/>
          <w:szCs w:val="24"/>
          <w:lang w:val="es-ES_tradnl" w:eastAsia="en-US"/>
        </w:rPr>
      </w:pPr>
      <w:r w:rsidRPr="00883102">
        <w:rPr>
          <w:rFonts w:eastAsiaTheme="minorHAnsi" w:cs="Arial"/>
          <w:szCs w:val="24"/>
          <w:lang w:val="es-ES_tradnl" w:eastAsia="en-US"/>
        </w:rPr>
        <w:lastRenderedPageBreak/>
        <w:t xml:space="preserve">Por otra parte, </w:t>
      </w:r>
      <w:r>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3B4C3F2A" w14:textId="77777777" w:rsidR="00853D09" w:rsidRPr="00883102" w:rsidRDefault="00853D09" w:rsidP="00853D09">
      <w:pPr>
        <w:rPr>
          <w:rFonts w:cs="Bookman Old Style"/>
          <w:szCs w:val="24"/>
          <w:lang w:val="es-ES_tradnl" w:eastAsia="en-US"/>
        </w:rPr>
      </w:pPr>
    </w:p>
    <w:p w14:paraId="7720034C" w14:textId="77777777" w:rsidR="00853D09" w:rsidRPr="00883102" w:rsidRDefault="00853D09" w:rsidP="00853D09">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22B8108" w14:textId="77777777" w:rsidR="00853D09" w:rsidRPr="00883102" w:rsidRDefault="00853D09" w:rsidP="00853D09">
      <w:pPr>
        <w:rPr>
          <w:rFonts w:eastAsiaTheme="minorHAnsi" w:cstheme="minorBidi"/>
          <w:szCs w:val="24"/>
          <w:lang w:val="es-ES_tradnl" w:eastAsia="en-US"/>
        </w:rPr>
      </w:pPr>
    </w:p>
    <w:p w14:paraId="7A01E4A6" w14:textId="77777777" w:rsidR="00853D09" w:rsidRPr="00883102" w:rsidRDefault="00853D09" w:rsidP="00853D09">
      <w:pPr>
        <w:rPr>
          <w:rFonts w:eastAsiaTheme="minorHAnsi" w:cstheme="minorBidi"/>
          <w:szCs w:val="24"/>
          <w:lang w:val="es-ES_tradnl"/>
        </w:rPr>
      </w:pPr>
      <w:r w:rsidRPr="00883102">
        <w:rPr>
          <w:rFonts w:eastAsiaTheme="minorHAnsi" w:cstheme="minorBidi"/>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5AD9EDB" w14:textId="77777777" w:rsidR="00853D09" w:rsidRPr="00883102" w:rsidRDefault="00853D09" w:rsidP="00853D09">
      <w:pPr>
        <w:rPr>
          <w:rFonts w:eastAsiaTheme="minorHAnsi" w:cstheme="minorBidi"/>
          <w:szCs w:val="24"/>
          <w:lang w:val="es-ES_tradnl"/>
        </w:rPr>
      </w:pPr>
    </w:p>
    <w:p w14:paraId="60B3F66C" w14:textId="77777777" w:rsidR="00853D09" w:rsidRPr="00883102" w:rsidRDefault="00853D09" w:rsidP="00853D09">
      <w:pPr>
        <w:rPr>
          <w:rFonts w:eastAsiaTheme="minorHAnsi" w:cstheme="minorBidi"/>
          <w:szCs w:val="24"/>
          <w:lang w:val="es-ES_tradnl"/>
        </w:rPr>
      </w:pPr>
      <w:r w:rsidRPr="00883102">
        <w:rPr>
          <w:rFonts w:eastAsiaTheme="minorHAnsi" w:cstheme="minorBidi"/>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3017648" w14:textId="77777777" w:rsidR="00853D09" w:rsidRPr="00883102" w:rsidRDefault="00853D09" w:rsidP="00853D09">
      <w:pPr>
        <w:rPr>
          <w:rFonts w:eastAsiaTheme="minorHAnsi" w:cstheme="minorBidi"/>
          <w:szCs w:val="24"/>
          <w:lang w:val="es-ES_tradnl" w:eastAsia="en-US"/>
        </w:rPr>
      </w:pPr>
    </w:p>
    <w:p w14:paraId="1A239B53" w14:textId="77777777" w:rsidR="00853D09" w:rsidRPr="00883102" w:rsidRDefault="00853D09" w:rsidP="00853D09">
      <w:pPr>
        <w:spacing w:line="240" w:lineRule="auto"/>
        <w:ind w:left="567" w:right="567"/>
        <w:rPr>
          <w:rFonts w:eastAsiaTheme="minorHAnsi" w:cstheme="minorBidi"/>
          <w:bCs/>
          <w:i/>
          <w:iCs/>
          <w:lang w:val="es-ES_tradnl" w:eastAsia="en-US"/>
        </w:rPr>
      </w:pPr>
      <w:r w:rsidRPr="00883102">
        <w:rPr>
          <w:rFonts w:eastAsiaTheme="minorHAnsi" w:cstheme="minorBidi"/>
          <w:b/>
          <w:bCs/>
          <w:i/>
          <w:iCs/>
          <w:lang w:val="es-ES_tradnl" w:eastAsia="en-US"/>
        </w:rPr>
        <w:t xml:space="preserve">INEXISTENCIA DE LA INFORMACIÓN. SUPUESTOS PARA EMITIR LA RESOLUCIÓN DE LA. </w:t>
      </w:r>
      <w:r w:rsidRPr="00883102">
        <w:rPr>
          <w:rFonts w:eastAsiaTheme="minorHAnsi"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w:t>
      </w:r>
      <w:r w:rsidRPr="00883102">
        <w:rPr>
          <w:rFonts w:eastAsiaTheme="minorHAnsi" w:cstheme="minorBidi"/>
          <w:bCs/>
          <w:i/>
          <w:iCs/>
          <w:lang w:val="es-ES_tradnl" w:eastAsia="en-US"/>
        </w:rPr>
        <w:lastRenderedPageBreak/>
        <w:t>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30A79AB" w14:textId="77777777" w:rsidR="00853D09" w:rsidRPr="00883102" w:rsidRDefault="00853D09" w:rsidP="00853D09">
      <w:pPr>
        <w:rPr>
          <w:rFonts w:eastAsiaTheme="minorHAnsi" w:cstheme="minorBidi"/>
          <w:szCs w:val="24"/>
          <w:lang w:val="es-ES_tradnl" w:eastAsia="en-US"/>
        </w:rPr>
      </w:pPr>
    </w:p>
    <w:p w14:paraId="23EA9001" w14:textId="77777777" w:rsidR="00853D09" w:rsidRPr="00883102" w:rsidRDefault="00853D09" w:rsidP="00853D09">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78A34C01" w14:textId="77777777" w:rsidR="00853D09" w:rsidRPr="00883102" w:rsidRDefault="00853D09" w:rsidP="00853D09">
      <w:pPr>
        <w:rPr>
          <w:rFonts w:eastAsiaTheme="minorHAnsi" w:cs="Arial"/>
          <w:szCs w:val="24"/>
          <w:lang w:val="es-ES_tradnl" w:eastAsia="en-US"/>
        </w:rPr>
      </w:pPr>
    </w:p>
    <w:p w14:paraId="2BA7B3CE" w14:textId="77777777" w:rsidR="00853D09" w:rsidRPr="00883102" w:rsidRDefault="00853D09" w:rsidP="00853D09">
      <w:pPr>
        <w:rPr>
          <w:rFonts w:eastAsiaTheme="minorHAnsi" w:cs="Arial"/>
          <w:szCs w:val="24"/>
          <w:lang w:val="es-ES_tradnl" w:eastAsia="en-US"/>
        </w:rPr>
      </w:pPr>
      <w:r w:rsidRPr="00883102">
        <w:rPr>
          <w:rFonts w:eastAsiaTheme="minorHAnsi" w:cstheme="minorBidi"/>
          <w:szCs w:val="24"/>
          <w:lang w:val="es-ES_tradnl" w:eastAsia="en-US"/>
        </w:rPr>
        <w:t>Antes de concluir, es de señalar que</w:t>
      </w:r>
      <w:r w:rsidRPr="00883102">
        <w:rPr>
          <w:rFonts w:eastAsiaTheme="minorHAnsi" w:cs="Arial"/>
          <w:szCs w:val="24"/>
          <w:lang w:val="es-ES_tradnl" w:eastAsia="en-US"/>
        </w:rPr>
        <w:t>, como ya se mencionó el Sujeto Obligado</w:t>
      </w:r>
      <w:r w:rsidRPr="00883102">
        <w:rPr>
          <w:rFonts w:cs="Arial"/>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eastAsiaTheme="minorHAnsi" w:cs="Arial"/>
          <w:szCs w:val="24"/>
          <w:lang w:val="es-ES_tradnl" w:eastAsia="en-US"/>
        </w:rPr>
        <w:t xml:space="preserve"> </w:t>
      </w:r>
      <w:r w:rsidRPr="00883102">
        <w:rPr>
          <w:rFonts w:eastAsiaTheme="minorHAnsi" w:cs="Arial"/>
          <w:b/>
          <w:szCs w:val="24"/>
          <w:lang w:val="es-ES_tradnl" w:eastAsia="en-US"/>
        </w:rPr>
        <w:t>se ordena dar vista al Titular de la Contraloría Interna y Órgano de Control y Vigilancia de este Instituto</w:t>
      </w:r>
      <w:r w:rsidRPr="00883102">
        <w:rPr>
          <w:rFonts w:eastAsiaTheme="minorHAnsi" w:cs="Arial"/>
          <w:szCs w:val="24"/>
          <w:lang w:val="es-ES_tradnl" w:eastAsia="en-US"/>
        </w:rPr>
        <w:t xml:space="preserve">, para que resuelva lo conducente y determine en su caso el grado de responsabilidad en el incumplimiento de las obligaciones establecidas en la misma, en </w:t>
      </w:r>
      <w:r w:rsidRPr="00883102">
        <w:rPr>
          <w:rFonts w:eastAsiaTheme="minorHAnsi" w:cs="Arial"/>
          <w:szCs w:val="24"/>
          <w:lang w:val="es-ES_tradnl" w:eastAsia="en-US"/>
        </w:rPr>
        <w:lastRenderedPageBreak/>
        <w:t>términos del artículo 190 de la Ley de Transparencia y Acceso a la Información Pública del Estado de México y Municipios.</w:t>
      </w:r>
    </w:p>
    <w:p w14:paraId="5BA9BFF9" w14:textId="77777777" w:rsidR="00853D09" w:rsidRPr="00883102" w:rsidRDefault="00853D09" w:rsidP="00853D09">
      <w:pPr>
        <w:rPr>
          <w:rFonts w:eastAsiaTheme="minorHAnsi" w:cs="Arial"/>
          <w:szCs w:val="24"/>
          <w:lang w:val="es-ES_tradnl" w:eastAsia="en-US"/>
        </w:rPr>
      </w:pPr>
    </w:p>
    <w:p w14:paraId="1A36A101" w14:textId="77777777" w:rsidR="00853D09" w:rsidRPr="00883102" w:rsidRDefault="00853D09" w:rsidP="00853D09">
      <w:pPr>
        <w:rPr>
          <w:rFonts w:cs="Arial"/>
          <w:szCs w:val="24"/>
          <w:lang w:val="es-ES_tradnl" w:eastAsia="en-US"/>
        </w:rPr>
      </w:pPr>
      <w:r w:rsidRPr="00883102">
        <w:rPr>
          <w:rFonts w:cs="Arial"/>
          <w:szCs w:val="24"/>
          <w:lang w:val="es-ES_tradnl" w:eastAsia="en-US"/>
        </w:rPr>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 trigésimo, trigésimo primero y trigésimo segundo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2D433F00" w14:textId="77777777" w:rsidR="00853D09" w:rsidRPr="00883102" w:rsidRDefault="00853D09" w:rsidP="00A52B9A">
      <w:pPr>
        <w:rPr>
          <w:rFonts w:cstheme="minorHAnsi"/>
          <w:szCs w:val="24"/>
          <w:lang w:val="es-ES_tradnl" w:eastAsia="en-US"/>
        </w:rPr>
      </w:pPr>
    </w:p>
    <w:p w14:paraId="4F459DD4" w14:textId="77777777" w:rsidR="00A52B9A" w:rsidRPr="00883102" w:rsidRDefault="00A52B9A" w:rsidP="00A52B9A">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3CC4B7AA" w14:textId="77777777" w:rsidR="00A52B9A" w:rsidRPr="00883102" w:rsidRDefault="00A52B9A" w:rsidP="00A52B9A">
      <w:pPr>
        <w:rPr>
          <w:rFonts w:eastAsiaTheme="minorHAnsi" w:cstheme="minorHAnsi"/>
          <w:szCs w:val="24"/>
          <w:lang w:val="es-ES_tradnl" w:eastAsia="en-US"/>
        </w:rPr>
      </w:pPr>
    </w:p>
    <w:p w14:paraId="61C6D2F1" w14:textId="59EA5776" w:rsidR="00A52B9A" w:rsidRPr="00883102" w:rsidRDefault="00A52B9A" w:rsidP="00A52B9A">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64224C">
        <w:rPr>
          <w:rFonts w:eastAsiaTheme="minorHAnsi" w:cstheme="minorHAnsi"/>
          <w:szCs w:val="24"/>
          <w:lang w:val="es-ES_tradnl" w:eastAsia="en-US"/>
        </w:rPr>
        <w:t>el</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Pr="00F45AAE">
        <w:rPr>
          <w:rFonts w:eastAsiaTheme="minorHAnsi" w:cstheme="minorHAnsi"/>
          <w:b/>
          <w:szCs w:val="24"/>
          <w:lang w:val="es-ES_tradnl" w:eastAsia="en-US"/>
        </w:rPr>
        <w:t xml:space="preserve">Considerando </w:t>
      </w:r>
      <w:r w:rsidR="00E47F06" w:rsidRPr="00F45AAE">
        <w:rPr>
          <w:rFonts w:eastAsiaTheme="minorHAnsi" w:cstheme="minorHAnsi"/>
          <w:b/>
          <w:szCs w:val="24"/>
          <w:lang w:val="es-ES_tradnl" w:eastAsia="en-US"/>
        </w:rPr>
        <w:t>CUAR</w:t>
      </w:r>
      <w:r w:rsidRPr="00F45AAE">
        <w:rPr>
          <w:rFonts w:eastAsiaTheme="minorHAnsi" w:cstheme="minorHAnsi"/>
          <w:b/>
          <w:szCs w:val="24"/>
          <w:lang w:val="es-ES_tradnl" w:eastAsia="en-US"/>
        </w:rPr>
        <w:t xml:space="preserve">TO </w:t>
      </w:r>
      <w:r w:rsidRPr="00F45AAE">
        <w:rPr>
          <w:rFonts w:eastAsiaTheme="minorHAnsi" w:cstheme="minorHAnsi"/>
          <w:szCs w:val="24"/>
          <w:lang w:val="es-ES_tradnl" w:eastAsia="en-US"/>
        </w:rPr>
        <w:t>de</w:t>
      </w:r>
      <w:r w:rsidRPr="00883102">
        <w:rPr>
          <w:rFonts w:eastAsiaTheme="minorHAnsi" w:cstheme="minorHAnsi"/>
          <w:szCs w:val="24"/>
          <w:lang w:val="es-ES_tradnl" w:eastAsia="en-US"/>
        </w:rPr>
        <w:t xml:space="preserve"> la presente resolución.</w:t>
      </w:r>
    </w:p>
    <w:p w14:paraId="23974DC1" w14:textId="77777777" w:rsidR="00A52B9A" w:rsidRPr="00883102" w:rsidRDefault="00A52B9A" w:rsidP="00A52B9A">
      <w:pPr>
        <w:rPr>
          <w:rFonts w:eastAsiaTheme="minorHAnsi" w:cstheme="minorHAnsi"/>
          <w:szCs w:val="24"/>
          <w:lang w:val="es-ES_tradnl" w:eastAsia="en-US"/>
        </w:rPr>
      </w:pPr>
    </w:p>
    <w:p w14:paraId="7E8EB5A8" w14:textId="6642F1C0" w:rsidR="00A52B9A" w:rsidRPr="00883102" w:rsidRDefault="00A52B9A" w:rsidP="00A52B9A">
      <w:pPr>
        <w:rPr>
          <w:rFonts w:eastAsiaTheme="minorHAnsi" w:cstheme="minorHAnsi"/>
          <w:szCs w:val="24"/>
          <w:lang w:val="es-ES_tradnl" w:eastAsia="en-US"/>
        </w:rPr>
      </w:pPr>
      <w:r w:rsidRPr="00883102">
        <w:rPr>
          <w:rFonts w:eastAsiaTheme="minorHAnsi" w:cstheme="minorHAnsi"/>
          <w:b/>
          <w:szCs w:val="24"/>
          <w:lang w:val="es-ES_tradnl" w:eastAsia="en-US"/>
        </w:rPr>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w:t>
      </w:r>
      <w:r w:rsidR="00853D09">
        <w:rPr>
          <w:rFonts w:eastAsiaTheme="minorHAnsi" w:cstheme="minorBidi"/>
          <w:bCs/>
          <w:color w:val="222222"/>
          <w:szCs w:val="24"/>
          <w:lang w:val="es-ES_tradnl"/>
        </w:rPr>
        <w:t>s</w:t>
      </w:r>
      <w:r w:rsidRPr="00883102">
        <w:rPr>
          <w:rFonts w:eastAsiaTheme="minorHAnsi" w:cstheme="minorBidi"/>
          <w:bCs/>
          <w:color w:val="222222"/>
          <w:szCs w:val="24"/>
          <w:lang w:val="es-ES_tradnl"/>
        </w:rPr>
        <w:t xml:space="preserve"> solicitud</w:t>
      </w:r>
      <w:r w:rsidR="00853D09">
        <w:rPr>
          <w:rFonts w:eastAsiaTheme="minorHAnsi" w:cstheme="minorBidi"/>
          <w:bCs/>
          <w:color w:val="222222"/>
          <w:szCs w:val="24"/>
          <w:lang w:val="es-ES_tradnl"/>
        </w:rPr>
        <w:t>es</w:t>
      </w:r>
      <w:r w:rsidRPr="00883102">
        <w:rPr>
          <w:rFonts w:eastAsiaTheme="minorHAnsi" w:cstheme="minorBidi"/>
          <w:bCs/>
          <w:color w:val="222222"/>
          <w:szCs w:val="24"/>
          <w:lang w:val="es-ES_tradnl"/>
        </w:rPr>
        <w:t xml:space="preserve"> de información </w:t>
      </w:r>
      <w:r w:rsidR="00853D09" w:rsidRPr="00D94FAF">
        <w:rPr>
          <w:rFonts w:eastAsia="Palatino Linotype" w:cs="Palatino Linotype"/>
          <w:b/>
          <w:bCs/>
          <w:color w:val="000000"/>
          <w:szCs w:val="24"/>
        </w:rPr>
        <w:t>00451/CUAUTIT/IP/2022</w:t>
      </w:r>
      <w:r w:rsidR="00853D09" w:rsidRPr="003F598D">
        <w:rPr>
          <w:rFonts w:eastAsia="Palatino Linotype" w:cs="Palatino Linotype"/>
          <w:color w:val="000000"/>
          <w:szCs w:val="24"/>
        </w:rPr>
        <w:t xml:space="preserve"> y </w:t>
      </w:r>
      <w:r w:rsidR="00853D09" w:rsidRPr="00D94FAF">
        <w:rPr>
          <w:rFonts w:eastAsia="Palatino Linotype" w:cs="Palatino Linotype"/>
          <w:b/>
          <w:bCs/>
          <w:color w:val="000000"/>
          <w:szCs w:val="24"/>
        </w:rPr>
        <w:t>0045</w:t>
      </w:r>
      <w:r w:rsidR="00853D09">
        <w:rPr>
          <w:rFonts w:eastAsia="Palatino Linotype" w:cs="Palatino Linotype"/>
          <w:b/>
          <w:bCs/>
          <w:color w:val="000000"/>
          <w:szCs w:val="24"/>
        </w:rPr>
        <w:t>0</w:t>
      </w:r>
      <w:r w:rsidR="00853D09" w:rsidRPr="00D94FAF">
        <w:rPr>
          <w:rFonts w:eastAsia="Palatino Linotype" w:cs="Palatino Linotype"/>
          <w:b/>
          <w:bCs/>
          <w:color w:val="000000"/>
          <w:szCs w:val="24"/>
        </w:rPr>
        <w:t>/CUAUTIT/IP/2022</w:t>
      </w:r>
      <w:r w:rsidR="0064224C">
        <w:rPr>
          <w:rFonts w:eastAsia="Palatino Linotype" w:cs="Palatino Linotype"/>
          <w:color w:val="000000"/>
          <w:szCs w:val="24"/>
        </w:rPr>
        <w:t xml:space="preserve">, que </w:t>
      </w:r>
      <w:r w:rsidR="00461B4C">
        <w:rPr>
          <w:rFonts w:eastAsia="Palatino Linotype" w:cs="Palatino Linotype"/>
          <w:color w:val="000000"/>
          <w:szCs w:val="24"/>
        </w:rPr>
        <w:t>di</w:t>
      </w:r>
      <w:r w:rsidR="00853D09">
        <w:rPr>
          <w:rFonts w:eastAsia="Palatino Linotype" w:cs="Palatino Linotype"/>
          <w:color w:val="000000"/>
          <w:szCs w:val="24"/>
        </w:rPr>
        <w:t>eron</w:t>
      </w:r>
      <w:r w:rsidR="00461B4C">
        <w:rPr>
          <w:rFonts w:eastAsia="Palatino Linotype" w:cs="Palatino Linotype"/>
          <w:color w:val="000000"/>
          <w:szCs w:val="24"/>
        </w:rPr>
        <w:t xml:space="preserve"> </w:t>
      </w:r>
      <w:r w:rsidR="0064224C">
        <w:rPr>
          <w:rFonts w:eastAsia="Palatino Linotype" w:cs="Palatino Linotype"/>
          <w:color w:val="000000"/>
          <w:szCs w:val="24"/>
        </w:rPr>
        <w:t>orig</w:t>
      </w:r>
      <w:r w:rsidR="00461B4C">
        <w:rPr>
          <w:rFonts w:eastAsia="Palatino Linotype" w:cs="Palatino Linotype"/>
          <w:color w:val="000000"/>
          <w:szCs w:val="24"/>
        </w:rPr>
        <w:t>en</w:t>
      </w:r>
      <w:r w:rsidR="00853D09">
        <w:rPr>
          <w:rFonts w:eastAsia="Palatino Linotype" w:cs="Palatino Linotype"/>
          <w:color w:val="000000"/>
          <w:szCs w:val="24"/>
        </w:rPr>
        <w:t xml:space="preserve"> a los</w:t>
      </w:r>
      <w:r w:rsidR="0064224C">
        <w:rPr>
          <w:rFonts w:eastAsia="Palatino Linotype" w:cs="Palatino Linotype"/>
          <w:color w:val="000000"/>
          <w:szCs w:val="24"/>
        </w:rPr>
        <w:t xml:space="preserve"> recurso</w:t>
      </w:r>
      <w:r w:rsidR="00853D09">
        <w:rPr>
          <w:rFonts w:eastAsia="Palatino Linotype" w:cs="Palatino Linotype"/>
          <w:color w:val="000000"/>
          <w:szCs w:val="24"/>
        </w:rPr>
        <w:t>s</w:t>
      </w:r>
      <w:r w:rsidR="0064224C">
        <w:rPr>
          <w:rFonts w:eastAsia="Palatino Linotype" w:cs="Palatino Linotype"/>
          <w:color w:val="000000"/>
          <w:szCs w:val="24"/>
        </w:rPr>
        <w:t xml:space="preserve"> de revisión </w:t>
      </w:r>
      <w:r w:rsidR="00853D09">
        <w:rPr>
          <w:rFonts w:eastAsia="Palatino Linotype" w:cs="Palatino Linotype"/>
          <w:b/>
          <w:color w:val="000000"/>
          <w:szCs w:val="24"/>
        </w:rPr>
        <w:t>00490</w:t>
      </w:r>
      <w:r w:rsidR="00853D09" w:rsidRPr="003F598D">
        <w:rPr>
          <w:rFonts w:eastAsia="Palatino Linotype" w:cs="Palatino Linotype"/>
          <w:b/>
          <w:color w:val="000000"/>
          <w:szCs w:val="24"/>
        </w:rPr>
        <w:t>/INFOEM/IP/RR/202</w:t>
      </w:r>
      <w:r w:rsidR="00853D09">
        <w:rPr>
          <w:rFonts w:eastAsia="Palatino Linotype" w:cs="Palatino Linotype"/>
          <w:b/>
          <w:color w:val="000000"/>
          <w:szCs w:val="24"/>
        </w:rPr>
        <w:t>3</w:t>
      </w:r>
      <w:r w:rsidR="00853D09" w:rsidRPr="003F598D">
        <w:rPr>
          <w:rFonts w:eastAsia="Palatino Linotype" w:cs="Palatino Linotype"/>
          <w:bCs/>
          <w:color w:val="000000"/>
          <w:szCs w:val="24"/>
        </w:rPr>
        <w:t xml:space="preserve"> y</w:t>
      </w:r>
      <w:r w:rsidR="00853D09">
        <w:rPr>
          <w:rFonts w:eastAsia="Palatino Linotype" w:cs="Palatino Linotype"/>
          <w:b/>
          <w:color w:val="000000"/>
          <w:szCs w:val="24"/>
        </w:rPr>
        <w:t xml:space="preserve"> </w:t>
      </w:r>
      <w:r w:rsidR="00853D09" w:rsidRPr="00E47F06">
        <w:rPr>
          <w:rFonts w:eastAsia="Palatino Linotype" w:cs="Palatino Linotype"/>
          <w:b/>
          <w:color w:val="000000"/>
          <w:szCs w:val="24"/>
        </w:rPr>
        <w:t>00491/INFOEM/</w:t>
      </w:r>
      <w:r w:rsidR="00853D09" w:rsidRPr="00F45AAE">
        <w:rPr>
          <w:rFonts w:eastAsia="Palatino Linotype" w:cs="Palatino Linotype"/>
          <w:b/>
          <w:color w:val="000000"/>
          <w:szCs w:val="24"/>
        </w:rPr>
        <w:t>IP/RR/202</w:t>
      </w:r>
      <w:r w:rsidR="00E47F06" w:rsidRPr="00F45AAE">
        <w:rPr>
          <w:rFonts w:eastAsia="Palatino Linotype" w:cs="Palatino Linotype"/>
          <w:b/>
          <w:color w:val="000000"/>
          <w:szCs w:val="24"/>
        </w:rPr>
        <w:t>3</w:t>
      </w:r>
      <w:r w:rsidR="0064224C" w:rsidRPr="00F45AAE">
        <w:rPr>
          <w:rFonts w:eastAsiaTheme="minorHAnsi" w:cstheme="minorBidi"/>
          <w:color w:val="222222"/>
          <w:szCs w:val="24"/>
        </w:rPr>
        <w:t xml:space="preserve"> </w:t>
      </w:r>
      <w:r w:rsidRPr="00F45AAE">
        <w:rPr>
          <w:rFonts w:eastAsiaTheme="minorHAnsi" w:cstheme="minorBidi"/>
          <w:color w:val="222222"/>
          <w:szCs w:val="24"/>
          <w:lang w:val="es-ES_tradnl"/>
        </w:rPr>
        <w:t>en</w:t>
      </w:r>
      <w:r w:rsidRPr="00883102">
        <w:rPr>
          <w:rFonts w:eastAsiaTheme="minorHAnsi" w:cstheme="minorBidi"/>
          <w:color w:val="222222"/>
          <w:szCs w:val="24"/>
          <w:lang w:val="es-ES_tradnl"/>
        </w:rPr>
        <w:t xml:space="preserve"> términos del </w:t>
      </w:r>
      <w:r w:rsidRPr="00F45AAE">
        <w:rPr>
          <w:rFonts w:eastAsiaTheme="minorHAnsi" w:cstheme="minorBidi"/>
          <w:b/>
          <w:color w:val="222222"/>
          <w:szCs w:val="24"/>
          <w:lang w:val="es-ES_tradnl"/>
        </w:rPr>
        <w:t xml:space="preserve">Considerando </w:t>
      </w:r>
      <w:r w:rsidR="00853D09" w:rsidRPr="00F45AAE">
        <w:rPr>
          <w:rFonts w:eastAsiaTheme="minorHAnsi" w:cstheme="minorBidi"/>
          <w:b/>
          <w:bCs/>
          <w:color w:val="222222"/>
          <w:szCs w:val="24"/>
          <w:lang w:val="es-ES_tradnl"/>
        </w:rPr>
        <w:t>CUAR</w:t>
      </w:r>
      <w:r w:rsidRPr="00F45AAE">
        <w:rPr>
          <w:rFonts w:eastAsiaTheme="minorHAnsi" w:cstheme="minorBidi"/>
          <w:b/>
          <w:bCs/>
          <w:color w:val="222222"/>
          <w:szCs w:val="24"/>
          <w:lang w:val="es-ES_tradnl"/>
        </w:rPr>
        <w:t xml:space="preserve">TO </w:t>
      </w:r>
      <w:r w:rsidRPr="00F45AAE">
        <w:rPr>
          <w:rFonts w:eastAsiaTheme="minorHAnsi" w:cstheme="minorBidi"/>
          <w:color w:val="222222"/>
          <w:szCs w:val="24"/>
          <w:lang w:val="es-ES_tradnl"/>
        </w:rPr>
        <w:t>de esta resolución; vía Sistema de Acceso a la Información Mexiquense (SAIMEX)</w:t>
      </w:r>
      <w:r w:rsidRPr="00F45AAE">
        <w:rPr>
          <w:rFonts w:eastAsiaTheme="minorHAnsi" w:cstheme="minorBidi"/>
          <w:bCs/>
          <w:color w:val="222222"/>
          <w:szCs w:val="24"/>
          <w:lang w:val="es-ES_tradnl"/>
        </w:rPr>
        <w:t>.</w:t>
      </w:r>
    </w:p>
    <w:p w14:paraId="43DBF859" w14:textId="3D3218D8" w:rsidR="00A52B9A" w:rsidRDefault="00A52B9A" w:rsidP="00A52B9A">
      <w:pPr>
        <w:rPr>
          <w:rFonts w:eastAsiaTheme="minorHAnsi" w:cstheme="minorHAnsi"/>
          <w:szCs w:val="24"/>
          <w:lang w:val="es-ES_tradnl" w:eastAsia="en-US"/>
        </w:rPr>
      </w:pPr>
    </w:p>
    <w:p w14:paraId="47B4F9D7" w14:textId="77777777" w:rsidR="00853D09" w:rsidRPr="00883102" w:rsidRDefault="00853D09" w:rsidP="00853D09">
      <w:pPr>
        <w:rPr>
          <w:rFonts w:eastAsiaTheme="minorHAnsi" w:cstheme="minorHAnsi"/>
          <w:szCs w:val="24"/>
          <w:lang w:val="es-ES_tradnl" w:eastAsia="en-US"/>
        </w:rPr>
      </w:pPr>
      <w:r w:rsidRPr="00883102">
        <w:rPr>
          <w:rFonts w:eastAsiaTheme="minorHAnsi" w:cstheme="minorHAnsi"/>
          <w:b/>
          <w:szCs w:val="24"/>
          <w:lang w:val="es-ES_tradnl" w:eastAsia="en-US"/>
        </w:rPr>
        <w:t>TERCERO. Notifíquese</w:t>
      </w:r>
      <w:r w:rsidRPr="00883102">
        <w:rPr>
          <w:rFonts w:eastAsiaTheme="minorHAnsi" w:cstheme="minorHAnsi"/>
          <w:i/>
          <w:szCs w:val="24"/>
          <w:lang w:val="es-ES_tradnl" w:eastAsia="en-US"/>
        </w:rPr>
        <w:t xml:space="preserve"> </w:t>
      </w:r>
      <w:r w:rsidRPr="00883102">
        <w:rPr>
          <w:rFonts w:eastAsiaTheme="minorHAnsi" w:cstheme="minorHAnsi"/>
          <w:szCs w:val="24"/>
          <w:lang w:val="es-ES_tradnl" w:eastAsia="en-US"/>
        </w:rPr>
        <w:t>la presente resolución al Titular de la Unidad de Transparencia del</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 xml:space="preserve">Sujeto Obligado mediante el </w:t>
      </w:r>
      <w:r w:rsidRPr="00883102">
        <w:rPr>
          <w:rFonts w:eastAsiaTheme="minorHAnsi" w:cstheme="minorBidi"/>
          <w:color w:val="222222"/>
          <w:szCs w:val="24"/>
          <w:lang w:val="es-ES_tradnl"/>
        </w:rPr>
        <w:t>Sistema de Acceso a la Información Mexiquense (SAIMEX)</w:t>
      </w:r>
      <w:r w:rsidRPr="00883102">
        <w:rPr>
          <w:rFonts w:eastAsiaTheme="minorHAnsi" w:cstheme="minorHAnsi"/>
          <w:szCs w:val="24"/>
          <w:lang w:val="es-ES_tradnl" w:eastAsia="en-US"/>
        </w:rPr>
        <w:t xml:space="preserve">, para que conforme al artículo 186, último párrafo, 189, segundo párrafo y 194, </w:t>
      </w:r>
      <w:r w:rsidRPr="00883102">
        <w:rPr>
          <w:rFonts w:eastAsiaTheme="minorHAnsi" w:cstheme="minorHAnsi"/>
          <w:szCs w:val="24"/>
          <w:lang w:val="es-ES_tradnl" w:eastAsia="en-US"/>
        </w:rPr>
        <w:lastRenderedPageBreak/>
        <w:t>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E19230" w14:textId="77777777" w:rsidR="00853D09" w:rsidRPr="00883102" w:rsidRDefault="00853D09" w:rsidP="00853D09">
      <w:pPr>
        <w:rPr>
          <w:rFonts w:eastAsiaTheme="minorHAnsi" w:cstheme="minorHAnsi"/>
          <w:szCs w:val="24"/>
          <w:lang w:val="es-ES_tradnl" w:eastAsia="en-US"/>
        </w:rPr>
      </w:pPr>
    </w:p>
    <w:p w14:paraId="5CB1F030" w14:textId="77777777" w:rsidR="00853D09" w:rsidRPr="00883102" w:rsidRDefault="00853D09" w:rsidP="00853D09">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Pr>
          <w:rFonts w:eastAsiaTheme="minorHAnsi" w:cstheme="minorHAnsi"/>
          <w:szCs w:val="24"/>
          <w:lang w:val="es-ES_tradnl" w:eastAsia="en-US"/>
        </w:rPr>
        <w:t xml:space="preserve">l Recurrente </w:t>
      </w:r>
      <w:r w:rsidRPr="00883102">
        <w:rPr>
          <w:rFonts w:eastAsiaTheme="minorHAnsi" w:cstheme="minorHAnsi"/>
          <w:szCs w:val="24"/>
          <w:lang w:val="es-ES_tradnl" w:eastAsia="en-US"/>
        </w:rPr>
        <w:t xml:space="preserve">la presente resolución por medio del </w:t>
      </w:r>
      <w:r w:rsidRPr="00883102">
        <w:rPr>
          <w:rFonts w:eastAsiaTheme="minorHAnsi" w:cstheme="minorBidi"/>
          <w:color w:val="222222"/>
          <w:szCs w:val="24"/>
          <w:lang w:val="es-ES_tradnl"/>
        </w:rPr>
        <w:t>Sistema de Acceso a la Información Mexiquense</w:t>
      </w:r>
      <w:r w:rsidRPr="00883102">
        <w:rPr>
          <w:rFonts w:eastAsiaTheme="minorHAnsi" w:cstheme="minorHAnsi"/>
          <w:szCs w:val="24"/>
          <w:lang w:val="es-ES_tradnl" w:eastAsia="en-US"/>
        </w:rPr>
        <w:t xml:space="preserve"> (SAIMEX)</w:t>
      </w:r>
      <w:r>
        <w:rPr>
          <w:rFonts w:eastAsiaTheme="minorHAnsi" w:cstheme="minorHAnsi"/>
          <w:szCs w:val="24"/>
          <w:lang w:val="es-ES_tradnl" w:eastAsia="en-US"/>
        </w:rPr>
        <w:t xml:space="preserve"> </w:t>
      </w:r>
      <w:r w:rsidRPr="00883102">
        <w:rPr>
          <w:rFonts w:eastAsiaTheme="minorHAnsi" w:cstheme="minorHAnsi"/>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158367B" w14:textId="77777777" w:rsidR="00853D09" w:rsidRPr="00883102" w:rsidRDefault="00853D09" w:rsidP="00853D09">
      <w:pPr>
        <w:rPr>
          <w:rFonts w:eastAsiaTheme="minorHAnsi" w:cstheme="minorHAnsi"/>
          <w:szCs w:val="24"/>
          <w:lang w:val="es-ES_tradnl" w:eastAsia="en-US"/>
        </w:rPr>
      </w:pPr>
    </w:p>
    <w:p w14:paraId="202EECBE" w14:textId="061AF537" w:rsidR="00853D09" w:rsidRPr="00883102" w:rsidRDefault="00853D09" w:rsidP="00853D09">
      <w:pPr>
        <w:rPr>
          <w:rFonts w:eastAsia="MS Mincho" w:cstheme="minorHAnsi"/>
          <w:szCs w:val="24"/>
          <w:lang w:val="es-ES_tradnl" w:eastAsia="en-US"/>
        </w:rPr>
      </w:pPr>
      <w:r w:rsidRPr="00883102">
        <w:rPr>
          <w:rFonts w:eastAsiaTheme="minorHAnsi" w:cstheme="minorHAnsi"/>
          <w:b/>
          <w:szCs w:val="24"/>
          <w:lang w:val="es-ES_tradnl" w:eastAsia="en-US"/>
        </w:rPr>
        <w:t>QUINTO. Gírese</w:t>
      </w:r>
      <w:r w:rsidRPr="00883102">
        <w:rPr>
          <w:rFonts w:eastAsia="MS Mincho" w:cstheme="minorHAnsi"/>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Pr="00F45AAE">
        <w:rPr>
          <w:rFonts w:eastAsia="MS Mincho" w:cstheme="minorHAnsi"/>
          <w:szCs w:val="24"/>
          <w:lang w:val="es-ES_tradnl" w:eastAsia="en-US"/>
        </w:rPr>
        <w:t xml:space="preserve">Información Pública del Estado de México y Municipios, determine lo conducente, en términos de lo señalado en el </w:t>
      </w:r>
      <w:r w:rsidRPr="00F45AAE">
        <w:rPr>
          <w:rFonts w:eastAsia="MS Mincho" w:cstheme="minorHAnsi"/>
          <w:b/>
          <w:szCs w:val="24"/>
          <w:lang w:val="es-ES_tradnl" w:eastAsia="en-US"/>
        </w:rPr>
        <w:t>Considerando</w:t>
      </w:r>
      <w:r w:rsidRPr="00F45AAE">
        <w:rPr>
          <w:rFonts w:eastAsia="MS Mincho" w:cstheme="minorHAnsi"/>
          <w:szCs w:val="24"/>
          <w:lang w:val="es-ES_tradnl" w:eastAsia="en-US"/>
        </w:rPr>
        <w:t xml:space="preserve"> </w:t>
      </w:r>
      <w:r w:rsidR="00E47F06" w:rsidRPr="00F45AAE">
        <w:rPr>
          <w:rFonts w:eastAsia="MS Mincho" w:cstheme="minorHAnsi"/>
          <w:b/>
          <w:szCs w:val="24"/>
          <w:lang w:val="es-ES_tradnl" w:eastAsia="en-US"/>
        </w:rPr>
        <w:t>CUAR</w:t>
      </w:r>
      <w:r w:rsidRPr="00F45AAE">
        <w:rPr>
          <w:rFonts w:eastAsia="MS Mincho" w:cstheme="minorHAnsi"/>
          <w:b/>
          <w:szCs w:val="24"/>
          <w:lang w:val="es-ES_tradnl" w:eastAsia="en-US"/>
        </w:rPr>
        <w:t>TO</w:t>
      </w:r>
      <w:r w:rsidRPr="00F45AAE">
        <w:rPr>
          <w:rFonts w:eastAsia="MS Mincho" w:cstheme="minorHAnsi"/>
          <w:szCs w:val="24"/>
          <w:lang w:val="es-ES_tradnl" w:eastAsia="en-US"/>
        </w:rPr>
        <w:t xml:space="preserve"> de la presente resolución.</w:t>
      </w:r>
      <w:r w:rsidRPr="00883102">
        <w:rPr>
          <w:rFonts w:eastAsia="MS Mincho" w:cstheme="minorHAnsi"/>
          <w:szCs w:val="24"/>
          <w:lang w:val="es-ES_tradnl" w:eastAsia="en-US"/>
        </w:rPr>
        <w:t xml:space="preserve"> </w:t>
      </w:r>
    </w:p>
    <w:p w14:paraId="433D099E" w14:textId="77777777" w:rsidR="00853D09" w:rsidRPr="00883102" w:rsidRDefault="00853D09" w:rsidP="00853D09">
      <w:pPr>
        <w:rPr>
          <w:rFonts w:eastAsiaTheme="minorHAnsi" w:cstheme="minorHAnsi"/>
          <w:szCs w:val="24"/>
          <w:lang w:val="es-ES_tradnl" w:eastAsia="en-US"/>
        </w:rPr>
      </w:pPr>
    </w:p>
    <w:p w14:paraId="17A6CF03"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Pr>
          <w:rFonts w:eastAsiaTheme="minorHAnsi" w:cstheme="minorHAnsi"/>
          <w:color w:val="222222"/>
          <w:szCs w:val="24"/>
          <w:lang w:val="es-ES_tradnl" w:eastAsia="es-ES_tradnl"/>
        </w:rPr>
        <w:t xml:space="preserve">l Recurrente </w:t>
      </w:r>
      <w:r w:rsidRPr="00883102">
        <w:rPr>
          <w:rFonts w:eastAsiaTheme="minorHAnsi" w:cstheme="minorHAnsi"/>
          <w:color w:val="222222"/>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5606D0B"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p>
    <w:p w14:paraId="0F443FBA" w14:textId="77777777" w:rsidR="00853D09" w:rsidRPr="00883102" w:rsidRDefault="00853D09" w:rsidP="00853D09">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b/>
          <w:color w:val="000000"/>
          <w:szCs w:val="24"/>
          <w:lang w:val="es-ES_tradnl"/>
        </w:rPr>
        <w:lastRenderedPageBreak/>
        <w:t>SÉPTIMO.</w:t>
      </w:r>
      <w:r w:rsidRPr="00883102">
        <w:rPr>
          <w:rFonts w:eastAsia="Palatino Linotype" w:cs="Palatino Linotype"/>
          <w:color w:val="000000"/>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5ACBB597" w14:textId="54025385" w:rsidR="00A52B9A" w:rsidRPr="00A52B9A" w:rsidRDefault="00A52B9A" w:rsidP="00A52B9A">
      <w:pPr>
        <w:rPr>
          <w:lang w:val="es-ES_tradnl"/>
        </w:rPr>
      </w:pPr>
    </w:p>
    <w:p w14:paraId="195067D1" w14:textId="5CC0F457" w:rsidR="00C44081" w:rsidRPr="003F598D" w:rsidRDefault="00C44081" w:rsidP="0064224C">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DC35CF">
        <w:rPr>
          <w:rFonts w:eastAsia="Palatino Linotype" w:cs="Palatino Linotype"/>
          <w:color w:val="000000"/>
          <w:szCs w:val="24"/>
        </w:rPr>
        <w:t xml:space="preserve">DÉCIMA PRIMERA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ELEBRADA EL</w:t>
      </w:r>
      <w:r w:rsidR="00DC35CF">
        <w:rPr>
          <w:rFonts w:eastAsia="Palatino Linotype" w:cs="Palatino Linotype"/>
          <w:color w:val="000000"/>
          <w:szCs w:val="24"/>
        </w:rPr>
        <w:t xml:space="preserve"> VEINTIDÓS DE MARZO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64224C">
        <w:rPr>
          <w:rFonts w:eastAsia="Palatino Linotype" w:cs="Palatino Linotype"/>
          <w:color w:val="000000"/>
          <w:szCs w:val="24"/>
        </w:rPr>
        <w:t>---------------------------------------------------------------------------------------------------------------------------------------------------------------------------------------------------------------------------------------------------------------------------------------------------------------------------------------------------------------------------------------------------------------------------------------------------------------------------------------------------------------------------------------------------------------------------------------------------------------------------------------------------------------------------------------------------------------------------------------------------------------------------------------------------------------------------------------------------</w:t>
      </w:r>
      <w:r w:rsidR="00DC35CF">
        <w:rPr>
          <w:rFonts w:eastAsia="Palatino Linotype" w:cs="Palatino Linotype"/>
          <w:color w:val="000000"/>
          <w:szCs w:val="24"/>
        </w:rPr>
        <w:t>-------------------------------------------------------------------------------------------------------</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D345" w14:textId="77777777" w:rsidR="009B24DF" w:rsidRDefault="009B24DF" w:rsidP="00F2498E">
      <w:pPr>
        <w:spacing w:line="240" w:lineRule="auto"/>
      </w:pPr>
      <w:r>
        <w:separator/>
      </w:r>
    </w:p>
  </w:endnote>
  <w:endnote w:type="continuationSeparator" w:id="0">
    <w:p w14:paraId="57228ABF" w14:textId="77777777" w:rsidR="009B24DF" w:rsidRDefault="009B24DF"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67AB91E8" w:rsidR="008E6291" w:rsidRPr="009F4922" w:rsidRDefault="008E6291"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35B9">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35B9">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6C9370B2" w:rsidR="008E6291" w:rsidRPr="009F4922" w:rsidRDefault="008E6291"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1CF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1CF8">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02FB9" w14:textId="77777777" w:rsidR="009B24DF" w:rsidRDefault="009B24DF" w:rsidP="00F2498E">
      <w:pPr>
        <w:spacing w:line="240" w:lineRule="auto"/>
      </w:pPr>
      <w:r>
        <w:separator/>
      </w:r>
    </w:p>
  </w:footnote>
  <w:footnote w:type="continuationSeparator" w:id="0">
    <w:p w14:paraId="5D6D9909" w14:textId="77777777" w:rsidR="009B24DF" w:rsidRDefault="009B24DF" w:rsidP="00F2498E">
      <w:pPr>
        <w:spacing w:line="240" w:lineRule="auto"/>
      </w:pPr>
      <w:r>
        <w:continuationSeparator/>
      </w:r>
    </w:p>
  </w:footnote>
  <w:footnote w:id="1">
    <w:p w14:paraId="5A2025F9" w14:textId="7414716A" w:rsidR="008E6291" w:rsidRPr="008F45CF" w:rsidRDefault="008E6291"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E6291" w:rsidRPr="008F45CF" w:rsidRDefault="008E6291"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E6291" w:rsidRPr="008F45CF" w:rsidRDefault="008E6291"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CB6C45" w14:textId="77777777" w:rsidR="00853D09" w:rsidRDefault="00853D09" w:rsidP="00853D09">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630562CA" w14:textId="77777777" w:rsidR="00853D09" w:rsidRPr="00891FE0" w:rsidRDefault="00853D09" w:rsidP="00853D09">
      <w:pPr>
        <w:pStyle w:val="Textonotapie"/>
        <w:rPr>
          <w:sz w:val="18"/>
          <w:szCs w:val="18"/>
        </w:rPr>
      </w:pPr>
      <w:r w:rsidRPr="00891FE0">
        <w:rPr>
          <w:rStyle w:val="Refdenotaalpie"/>
          <w:sz w:val="18"/>
          <w:szCs w:val="18"/>
        </w:rPr>
        <w:footnoteRef/>
      </w:r>
      <w:r w:rsidRPr="00891FE0">
        <w:rPr>
          <w:sz w:val="18"/>
          <w:szCs w:val="18"/>
        </w:rPr>
        <w:t xml:space="preserve"> Tesis [A.]: I.1º.A.E.133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60ABC369" w14:textId="77777777" w:rsidR="00853D09" w:rsidRPr="00891FE0" w:rsidRDefault="00853D09" w:rsidP="00853D09">
      <w:pPr>
        <w:pStyle w:val="Textonotapie"/>
        <w:rPr>
          <w:sz w:val="18"/>
          <w:szCs w:val="18"/>
        </w:rPr>
      </w:pPr>
      <w:r w:rsidRPr="00891FE0">
        <w:rPr>
          <w:rStyle w:val="Refdenotaalpie"/>
          <w:sz w:val="18"/>
          <w:szCs w:val="18"/>
        </w:rPr>
        <w:footnoteRef/>
      </w:r>
      <w:r w:rsidRPr="00891FE0">
        <w:rPr>
          <w:sz w:val="18"/>
          <w:szCs w:val="18"/>
        </w:rPr>
        <w:t xml:space="preserve"> Tesis [A.]: I.10º.A.79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8E6291" w:rsidRDefault="00ED35B9">
    <w:pPr>
      <w:pStyle w:val="Encabezado"/>
    </w:pPr>
    <w:r>
      <w:rPr>
        <w:noProof/>
        <w:lang w:val="es-MX" w:eastAsia="es-MX"/>
      </w:rPr>
      <w:pict w14:anchorId="7CA69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E6291" w:rsidRPr="00B17577" w14:paraId="37B9EBDE" w14:textId="77777777" w:rsidTr="00861F1D">
      <w:trPr>
        <w:trHeight w:val="227"/>
      </w:trPr>
      <w:tc>
        <w:tcPr>
          <w:tcW w:w="5245" w:type="dxa"/>
          <w:hideMark/>
        </w:tcPr>
        <w:p w14:paraId="4964FBC5" w14:textId="54CDA645" w:rsidR="008E6291" w:rsidRPr="00096248" w:rsidRDefault="008E6291"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7A9C0470" w:rsidR="008E6291" w:rsidRPr="00096248" w:rsidRDefault="00D94FAF" w:rsidP="00E72314">
          <w:pPr>
            <w:spacing w:after="120" w:line="240" w:lineRule="auto"/>
            <w:ind w:right="82"/>
            <w:jc w:val="right"/>
            <w:rPr>
              <w:rFonts w:cs="Arial"/>
              <w:b/>
              <w:szCs w:val="24"/>
            </w:rPr>
          </w:pPr>
          <w:r>
            <w:rPr>
              <w:rFonts w:cs="Arial"/>
              <w:b/>
              <w:bCs/>
              <w:szCs w:val="24"/>
            </w:rPr>
            <w:t>0049</w:t>
          </w:r>
          <w:r w:rsidR="008E6291">
            <w:rPr>
              <w:rFonts w:cs="Arial"/>
              <w:b/>
              <w:bCs/>
              <w:szCs w:val="24"/>
            </w:rPr>
            <w:t>0</w:t>
          </w:r>
          <w:r w:rsidR="008E6291" w:rsidRPr="00096248">
            <w:rPr>
              <w:rFonts w:cs="Arial"/>
              <w:b/>
              <w:bCs/>
              <w:szCs w:val="24"/>
            </w:rPr>
            <w:t>/INFOEM/IP/RR/202</w:t>
          </w:r>
          <w:r>
            <w:rPr>
              <w:rFonts w:cs="Arial"/>
              <w:b/>
              <w:bCs/>
              <w:szCs w:val="24"/>
            </w:rPr>
            <w:t>3</w:t>
          </w:r>
          <w:r w:rsidR="008E6291">
            <w:rPr>
              <w:rFonts w:cs="Arial"/>
              <w:b/>
              <w:bCs/>
              <w:szCs w:val="24"/>
            </w:rPr>
            <w:t xml:space="preserve"> y Acumulado</w:t>
          </w:r>
        </w:p>
      </w:tc>
    </w:tr>
    <w:tr w:rsidR="008E6291" w14:paraId="7591D3C9" w14:textId="77777777" w:rsidTr="00861F1D">
      <w:trPr>
        <w:trHeight w:val="242"/>
      </w:trPr>
      <w:tc>
        <w:tcPr>
          <w:tcW w:w="5245" w:type="dxa"/>
          <w:hideMark/>
        </w:tcPr>
        <w:p w14:paraId="729A65A8" w14:textId="77777777" w:rsidR="008E6291" w:rsidRPr="00096248" w:rsidRDefault="008E6291"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20B638C3" w:rsidR="008E6291" w:rsidRPr="00096248" w:rsidRDefault="008E6291" w:rsidP="00E72314">
          <w:pPr>
            <w:spacing w:after="120" w:line="240" w:lineRule="auto"/>
            <w:ind w:left="-68" w:right="74"/>
            <w:jc w:val="right"/>
            <w:rPr>
              <w:rFonts w:cs="Arial"/>
              <w:szCs w:val="24"/>
            </w:rPr>
          </w:pPr>
          <w:r>
            <w:rPr>
              <w:rFonts w:cs="Arial"/>
              <w:szCs w:val="24"/>
            </w:rPr>
            <w:t xml:space="preserve">Ayuntamiento de </w:t>
          </w:r>
          <w:r w:rsidR="00D94FAF">
            <w:rPr>
              <w:rFonts w:cs="Arial"/>
              <w:szCs w:val="24"/>
            </w:rPr>
            <w:t>Cua</w:t>
          </w:r>
          <w:r w:rsidR="009D334B">
            <w:rPr>
              <w:rFonts w:cs="Arial"/>
              <w:szCs w:val="24"/>
            </w:rPr>
            <w:t>u</w:t>
          </w:r>
          <w:r w:rsidR="00D94FAF">
            <w:rPr>
              <w:rFonts w:cs="Arial"/>
              <w:szCs w:val="24"/>
            </w:rPr>
            <w:t>titlán</w:t>
          </w:r>
        </w:p>
      </w:tc>
    </w:tr>
    <w:tr w:rsidR="008E6291" w:rsidRPr="00F63239" w14:paraId="037E914D" w14:textId="77777777" w:rsidTr="00861F1D">
      <w:trPr>
        <w:trHeight w:val="342"/>
      </w:trPr>
      <w:tc>
        <w:tcPr>
          <w:tcW w:w="5245" w:type="dxa"/>
          <w:hideMark/>
        </w:tcPr>
        <w:p w14:paraId="7676B68F" w14:textId="64D69EAF" w:rsidR="008E6291" w:rsidRPr="00096248" w:rsidRDefault="008E6291"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E6291" w:rsidRPr="00096248" w:rsidRDefault="008E6291"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E6291" w:rsidRPr="00861F1D" w:rsidRDefault="00ED35B9">
    <w:pPr>
      <w:pStyle w:val="Encabezado"/>
      <w:rPr>
        <w:sz w:val="2"/>
        <w:szCs w:val="2"/>
      </w:rPr>
    </w:pPr>
    <w:r>
      <w:rPr>
        <w:noProof/>
        <w:lang w:val="es-MX" w:eastAsia="es-MX"/>
      </w:rPr>
      <w:pict w14:anchorId="34416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0.7pt;margin-top:-146.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E6291">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E6291" w14:paraId="0F9FE9B6" w14:textId="77777777" w:rsidTr="00861F1D">
      <w:trPr>
        <w:trHeight w:val="227"/>
      </w:trPr>
      <w:tc>
        <w:tcPr>
          <w:tcW w:w="5245" w:type="dxa"/>
          <w:hideMark/>
        </w:tcPr>
        <w:p w14:paraId="6D1D9D71" w14:textId="11150E5A" w:rsidR="008E6291" w:rsidRPr="00663A37" w:rsidRDefault="008E6291"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4CF91AF" w:rsidR="008E6291" w:rsidRPr="00096248" w:rsidRDefault="00D94FAF" w:rsidP="00E72314">
          <w:pPr>
            <w:spacing w:after="120" w:line="240" w:lineRule="auto"/>
            <w:ind w:left="-488" w:right="68" w:firstLine="556"/>
            <w:jc w:val="right"/>
            <w:rPr>
              <w:rFonts w:cs="Arial"/>
              <w:b/>
              <w:szCs w:val="24"/>
            </w:rPr>
          </w:pPr>
          <w:r>
            <w:rPr>
              <w:rFonts w:cs="Arial"/>
              <w:b/>
              <w:bCs/>
              <w:szCs w:val="24"/>
            </w:rPr>
            <w:t>0049</w:t>
          </w:r>
          <w:r w:rsidR="008E6291">
            <w:rPr>
              <w:rFonts w:cs="Arial"/>
              <w:b/>
              <w:bCs/>
              <w:szCs w:val="24"/>
            </w:rPr>
            <w:t>0</w:t>
          </w:r>
          <w:r w:rsidR="008E6291" w:rsidRPr="00096248">
            <w:rPr>
              <w:rFonts w:cs="Arial"/>
              <w:b/>
              <w:bCs/>
              <w:szCs w:val="24"/>
            </w:rPr>
            <w:t>/INFOEM/IP/RR/202</w:t>
          </w:r>
          <w:r w:rsidR="00E47F06">
            <w:rPr>
              <w:rFonts w:cs="Arial"/>
              <w:b/>
              <w:bCs/>
              <w:szCs w:val="24"/>
            </w:rPr>
            <w:t>3</w:t>
          </w:r>
          <w:r w:rsidR="008E6291">
            <w:rPr>
              <w:rFonts w:cs="Arial"/>
              <w:b/>
              <w:bCs/>
              <w:szCs w:val="24"/>
            </w:rPr>
            <w:t xml:space="preserve"> y acumulado</w:t>
          </w:r>
        </w:p>
      </w:tc>
    </w:tr>
    <w:tr w:rsidR="008E6291" w:rsidRPr="001F57CD" w14:paraId="1377D264" w14:textId="77777777" w:rsidTr="00861F1D">
      <w:trPr>
        <w:trHeight w:val="196"/>
      </w:trPr>
      <w:tc>
        <w:tcPr>
          <w:tcW w:w="5245" w:type="dxa"/>
          <w:hideMark/>
        </w:tcPr>
        <w:p w14:paraId="04D597A1" w14:textId="77777777" w:rsidR="008E6291" w:rsidRPr="00663A37" w:rsidRDefault="008E6291"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39E17C05" w:rsidR="008E6291" w:rsidRPr="009F4922" w:rsidRDefault="004F1CF8" w:rsidP="00E72314">
          <w:pPr>
            <w:pStyle w:val="Prrafodelista"/>
            <w:spacing w:after="120" w:line="240" w:lineRule="auto"/>
            <w:ind w:left="720" w:right="68"/>
            <w:jc w:val="right"/>
            <w:rPr>
              <w:rFonts w:cs="Arial"/>
            </w:rPr>
          </w:pPr>
          <w:r>
            <w:rPr>
              <w:rFonts w:cs="Arial"/>
            </w:rPr>
            <w:t>XXXXXXXXXXX</w:t>
          </w:r>
        </w:p>
      </w:tc>
    </w:tr>
    <w:tr w:rsidR="008E6291" w14:paraId="4DC11993" w14:textId="77777777" w:rsidTr="00861F1D">
      <w:trPr>
        <w:trHeight w:val="242"/>
      </w:trPr>
      <w:tc>
        <w:tcPr>
          <w:tcW w:w="5245" w:type="dxa"/>
          <w:hideMark/>
        </w:tcPr>
        <w:p w14:paraId="76CEF1B5" w14:textId="77777777" w:rsidR="008E6291" w:rsidRPr="00663A37" w:rsidRDefault="008E6291"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54D4F2F7" w:rsidR="008E6291" w:rsidRPr="00663A37" w:rsidRDefault="008E6291" w:rsidP="00E72314">
          <w:pPr>
            <w:spacing w:after="120" w:line="240" w:lineRule="auto"/>
            <w:ind w:left="-68" w:right="68"/>
            <w:jc w:val="right"/>
            <w:rPr>
              <w:rFonts w:cs="Arial"/>
              <w:szCs w:val="24"/>
            </w:rPr>
          </w:pPr>
          <w:r>
            <w:rPr>
              <w:rFonts w:cs="Arial"/>
              <w:szCs w:val="24"/>
            </w:rPr>
            <w:t xml:space="preserve">Ayuntamiento de </w:t>
          </w:r>
          <w:r w:rsidR="00D94FAF">
            <w:rPr>
              <w:rFonts w:cs="Arial"/>
              <w:szCs w:val="24"/>
            </w:rPr>
            <w:t>Cuautitlán</w:t>
          </w:r>
        </w:p>
      </w:tc>
    </w:tr>
    <w:tr w:rsidR="008E6291" w14:paraId="5C2B511D" w14:textId="77777777" w:rsidTr="00861F1D">
      <w:trPr>
        <w:trHeight w:val="342"/>
      </w:trPr>
      <w:tc>
        <w:tcPr>
          <w:tcW w:w="5245" w:type="dxa"/>
          <w:hideMark/>
        </w:tcPr>
        <w:p w14:paraId="03FEF68C" w14:textId="45E91CF4" w:rsidR="008E6291" w:rsidRPr="00663A37" w:rsidRDefault="008E6291"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E6291" w:rsidRPr="00663A37" w:rsidRDefault="008E6291"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E6291" w:rsidRPr="00861F1D" w:rsidRDefault="00ED35B9">
    <w:pPr>
      <w:pStyle w:val="Encabezado"/>
      <w:rPr>
        <w:sz w:val="2"/>
        <w:szCs w:val="2"/>
      </w:rPr>
    </w:pPr>
    <w:r>
      <w:rPr>
        <w:noProof/>
        <w:lang w:val="es-MX" w:eastAsia="es-MX"/>
      </w:rPr>
      <w:pict w14:anchorId="79DF1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4097" type="#_x0000_t75" alt="" style="position:absolute;left:0;text-align:left;margin-left:-81.05pt;margin-top:-146.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E6291">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77F20"/>
    <w:multiLevelType w:val="multilevel"/>
    <w:tmpl w:val="59DA641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DE68F1"/>
    <w:multiLevelType w:val="hybridMultilevel"/>
    <w:tmpl w:val="B9D80414"/>
    <w:lvl w:ilvl="0" w:tplc="ED741B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88435A"/>
    <w:multiLevelType w:val="hybridMultilevel"/>
    <w:tmpl w:val="50508F7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4"/>
  </w:num>
  <w:num w:numId="4">
    <w:abstractNumId w:val="16"/>
  </w:num>
  <w:num w:numId="5">
    <w:abstractNumId w:val="24"/>
  </w:num>
  <w:num w:numId="6">
    <w:abstractNumId w:val="6"/>
  </w:num>
  <w:num w:numId="7">
    <w:abstractNumId w:val="1"/>
  </w:num>
  <w:num w:numId="8">
    <w:abstractNumId w:val="21"/>
  </w:num>
  <w:num w:numId="9">
    <w:abstractNumId w:val="26"/>
  </w:num>
  <w:num w:numId="10">
    <w:abstractNumId w:val="25"/>
  </w:num>
  <w:num w:numId="11">
    <w:abstractNumId w:val="32"/>
  </w:num>
  <w:num w:numId="12">
    <w:abstractNumId w:val="8"/>
  </w:num>
  <w:num w:numId="13">
    <w:abstractNumId w:val="4"/>
  </w:num>
  <w:num w:numId="14">
    <w:abstractNumId w:val="18"/>
  </w:num>
  <w:num w:numId="15">
    <w:abstractNumId w:val="28"/>
  </w:num>
  <w:num w:numId="16">
    <w:abstractNumId w:val="20"/>
  </w:num>
  <w:num w:numId="17">
    <w:abstractNumId w:val="9"/>
  </w:num>
  <w:num w:numId="18">
    <w:abstractNumId w:val="14"/>
  </w:num>
  <w:num w:numId="19">
    <w:abstractNumId w:val="10"/>
  </w:num>
  <w:num w:numId="20">
    <w:abstractNumId w:val="23"/>
  </w:num>
  <w:num w:numId="21">
    <w:abstractNumId w:val="29"/>
  </w:num>
  <w:num w:numId="22">
    <w:abstractNumId w:val="3"/>
  </w:num>
  <w:num w:numId="23">
    <w:abstractNumId w:val="17"/>
  </w:num>
  <w:num w:numId="24">
    <w:abstractNumId w:val="31"/>
  </w:num>
  <w:num w:numId="25">
    <w:abstractNumId w:val="5"/>
  </w:num>
  <w:num w:numId="26">
    <w:abstractNumId w:val="11"/>
  </w:num>
  <w:num w:numId="27">
    <w:abstractNumId w:val="0"/>
  </w:num>
  <w:num w:numId="28">
    <w:abstractNumId w:val="27"/>
  </w:num>
  <w:num w:numId="29">
    <w:abstractNumId w:val="22"/>
  </w:num>
  <w:num w:numId="30">
    <w:abstractNumId w:val="2"/>
  </w:num>
  <w:num w:numId="31">
    <w:abstractNumId w:val="3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0"/>
  </w:num>
  <w:num w:numId="35">
    <w:abstractNumId w:val="12"/>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30A"/>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1B4C"/>
    <w:rsid w:val="0046281E"/>
    <w:rsid w:val="00463909"/>
    <w:rsid w:val="00464049"/>
    <w:rsid w:val="004643B6"/>
    <w:rsid w:val="00464D6B"/>
    <w:rsid w:val="00465812"/>
    <w:rsid w:val="00467C83"/>
    <w:rsid w:val="00471533"/>
    <w:rsid w:val="00471B5C"/>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CF8"/>
    <w:rsid w:val="004F1DBA"/>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0025"/>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24C"/>
    <w:rsid w:val="00642A8B"/>
    <w:rsid w:val="006468ED"/>
    <w:rsid w:val="0065059A"/>
    <w:rsid w:val="00650D84"/>
    <w:rsid w:val="006512F6"/>
    <w:rsid w:val="00653220"/>
    <w:rsid w:val="00653B0F"/>
    <w:rsid w:val="0065599C"/>
    <w:rsid w:val="006560BD"/>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EDC"/>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6F47"/>
    <w:rsid w:val="00737773"/>
    <w:rsid w:val="00740DFE"/>
    <w:rsid w:val="007410C2"/>
    <w:rsid w:val="007411F0"/>
    <w:rsid w:val="00741827"/>
    <w:rsid w:val="0074208A"/>
    <w:rsid w:val="00742A19"/>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08D2"/>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5E9"/>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A7C"/>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1B1E"/>
    <w:rsid w:val="007D4712"/>
    <w:rsid w:val="007D4CA7"/>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3D09"/>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24DF"/>
    <w:rsid w:val="009B3A1D"/>
    <w:rsid w:val="009B41F0"/>
    <w:rsid w:val="009B480A"/>
    <w:rsid w:val="009B7FFD"/>
    <w:rsid w:val="009C01EC"/>
    <w:rsid w:val="009C3225"/>
    <w:rsid w:val="009C4284"/>
    <w:rsid w:val="009C5DC4"/>
    <w:rsid w:val="009C61A3"/>
    <w:rsid w:val="009C6B84"/>
    <w:rsid w:val="009D0BC2"/>
    <w:rsid w:val="009D334B"/>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4608"/>
    <w:rsid w:val="009E620D"/>
    <w:rsid w:val="009E7424"/>
    <w:rsid w:val="009E7F49"/>
    <w:rsid w:val="009F03D1"/>
    <w:rsid w:val="009F0B98"/>
    <w:rsid w:val="009F1C46"/>
    <w:rsid w:val="009F2079"/>
    <w:rsid w:val="009F4922"/>
    <w:rsid w:val="009F4BE1"/>
    <w:rsid w:val="009F5087"/>
    <w:rsid w:val="009F69B5"/>
    <w:rsid w:val="009F6C10"/>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2B9A"/>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19D1"/>
    <w:rsid w:val="00AE25BF"/>
    <w:rsid w:val="00AE2666"/>
    <w:rsid w:val="00AE29BE"/>
    <w:rsid w:val="00AE5D09"/>
    <w:rsid w:val="00AE6407"/>
    <w:rsid w:val="00AE7191"/>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6670"/>
    <w:rsid w:val="00B37176"/>
    <w:rsid w:val="00B373AA"/>
    <w:rsid w:val="00B40823"/>
    <w:rsid w:val="00B40DF9"/>
    <w:rsid w:val="00B42083"/>
    <w:rsid w:val="00B43455"/>
    <w:rsid w:val="00B435F8"/>
    <w:rsid w:val="00B4620E"/>
    <w:rsid w:val="00B46CB0"/>
    <w:rsid w:val="00B4737B"/>
    <w:rsid w:val="00B476BA"/>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97A4A"/>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B74"/>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35D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226"/>
    <w:rsid w:val="00D91C87"/>
    <w:rsid w:val="00D925D1"/>
    <w:rsid w:val="00D92668"/>
    <w:rsid w:val="00D93310"/>
    <w:rsid w:val="00D94F27"/>
    <w:rsid w:val="00D94FAF"/>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35CF"/>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47F06"/>
    <w:rsid w:val="00E503D4"/>
    <w:rsid w:val="00E507BE"/>
    <w:rsid w:val="00E50A06"/>
    <w:rsid w:val="00E51D63"/>
    <w:rsid w:val="00E5265D"/>
    <w:rsid w:val="00E53C5B"/>
    <w:rsid w:val="00E546D8"/>
    <w:rsid w:val="00E55C26"/>
    <w:rsid w:val="00E55EA0"/>
    <w:rsid w:val="00E562FA"/>
    <w:rsid w:val="00E600CD"/>
    <w:rsid w:val="00E627A5"/>
    <w:rsid w:val="00E62EF4"/>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6549"/>
    <w:rsid w:val="00EC6ABB"/>
    <w:rsid w:val="00EC7B44"/>
    <w:rsid w:val="00ED10D9"/>
    <w:rsid w:val="00ED28F4"/>
    <w:rsid w:val="00ED30A9"/>
    <w:rsid w:val="00ED35B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2C1"/>
    <w:rsid w:val="00F44AF7"/>
    <w:rsid w:val="00F44C63"/>
    <w:rsid w:val="00F44F84"/>
    <w:rsid w:val="00F45AAE"/>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1E1"/>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francesa"/>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numbering" w:customStyle="1" w:styleId="Listaactual11">
    <w:name w:val="Lista actual11"/>
    <w:uiPriority w:val="99"/>
    <w:rsid w:val="0064224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FCF0-7805-426B-87D3-49BDB8AF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35</Pages>
  <Words>8957</Words>
  <Characters>49267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cp:lastPrinted>2019-06-13T15:30:00Z</cp:lastPrinted>
  <dcterms:created xsi:type="dcterms:W3CDTF">2022-12-01T18:10:00Z</dcterms:created>
  <dcterms:modified xsi:type="dcterms:W3CDTF">2023-04-12T02:08:00Z</dcterms:modified>
</cp:coreProperties>
</file>