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A0" w:rsidRPr="0098181D" w:rsidRDefault="001B5ADE">
      <w:pPr>
        <w:spacing w:before="240" w:after="240" w:line="360" w:lineRule="auto"/>
        <w:jc w:val="both"/>
        <w:rPr>
          <w:rFonts w:ascii="Palatino Linotype" w:eastAsia="Palatino Linotype" w:hAnsi="Palatino Linotype" w:cs="Palatino Linotype"/>
        </w:rPr>
      </w:pPr>
      <w:bookmarkStart w:id="0" w:name="_GoBack"/>
      <w:bookmarkEnd w:id="0"/>
      <w:r w:rsidRPr="0098181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1456A" w:rsidRPr="0098181D">
        <w:rPr>
          <w:rFonts w:ascii="Palatino Linotype" w:eastAsia="Palatino Linotype" w:hAnsi="Palatino Linotype" w:cs="Palatino Linotype"/>
        </w:rPr>
        <w:t xml:space="preserve">veinticinco de </w:t>
      </w:r>
      <w:r w:rsidR="002F314A" w:rsidRPr="0098181D">
        <w:rPr>
          <w:rFonts w:ascii="Palatino Linotype" w:eastAsia="Palatino Linotype" w:hAnsi="Palatino Linotype" w:cs="Palatino Linotype"/>
        </w:rPr>
        <w:t>octubre</w:t>
      </w:r>
      <w:r w:rsidRPr="0098181D">
        <w:rPr>
          <w:rFonts w:ascii="Palatino Linotype" w:eastAsia="Palatino Linotype" w:hAnsi="Palatino Linotype" w:cs="Palatino Linotype"/>
        </w:rPr>
        <w:t xml:space="preserve"> de dos mil veintitrés.</w:t>
      </w:r>
    </w:p>
    <w:p w:rsidR="008D19A0" w:rsidRPr="0098181D" w:rsidRDefault="001B5ADE">
      <w:pPr>
        <w:spacing w:before="240" w:after="240" w:line="360" w:lineRule="auto"/>
        <w:jc w:val="both"/>
        <w:rPr>
          <w:rFonts w:ascii="Palatino Linotype" w:eastAsia="Palatino Linotype" w:hAnsi="Palatino Linotype" w:cs="Palatino Linotype"/>
          <w:b/>
        </w:rPr>
      </w:pPr>
      <w:bookmarkStart w:id="1" w:name="_heading=h.30j0zll" w:colFirst="0" w:colLast="0"/>
      <w:bookmarkEnd w:id="1"/>
      <w:r w:rsidRPr="0098181D">
        <w:rPr>
          <w:rFonts w:ascii="Palatino Linotype" w:eastAsia="Palatino Linotype" w:hAnsi="Palatino Linotype" w:cs="Palatino Linotype"/>
          <w:b/>
        </w:rPr>
        <w:t xml:space="preserve">VISTOS </w:t>
      </w:r>
      <w:r w:rsidRPr="0098181D">
        <w:rPr>
          <w:rFonts w:ascii="Palatino Linotype" w:eastAsia="Palatino Linotype" w:hAnsi="Palatino Linotype" w:cs="Palatino Linotype"/>
        </w:rPr>
        <w:t xml:space="preserve">los expedientes relativos a los recursos de revisión </w:t>
      </w:r>
      <w:r w:rsidR="006D5E69" w:rsidRPr="0098181D">
        <w:rPr>
          <w:rFonts w:ascii="Palatino Linotype" w:eastAsia="Palatino Linotype" w:hAnsi="Palatino Linotype" w:cs="Palatino Linotype"/>
          <w:b/>
        </w:rPr>
        <w:t>05609/INFOEM/IP/RR/2023</w:t>
      </w:r>
      <w:r w:rsidR="009830C2" w:rsidRPr="0098181D">
        <w:rPr>
          <w:rFonts w:ascii="Palatino Linotype" w:eastAsia="Palatino Linotype" w:hAnsi="Palatino Linotype" w:cs="Palatino Linotype"/>
          <w:b/>
        </w:rPr>
        <w:t xml:space="preserve"> </w:t>
      </w:r>
      <w:r w:rsidRPr="0098181D">
        <w:rPr>
          <w:rFonts w:ascii="Palatino Linotype" w:eastAsia="Palatino Linotype" w:hAnsi="Palatino Linotype" w:cs="Palatino Linotype"/>
        </w:rPr>
        <w:t xml:space="preserve">y </w:t>
      </w:r>
      <w:r w:rsidR="006D5E69" w:rsidRPr="0098181D">
        <w:rPr>
          <w:rFonts w:ascii="Palatino Linotype" w:eastAsia="Palatino Linotype" w:hAnsi="Palatino Linotype" w:cs="Palatino Linotype"/>
          <w:b/>
        </w:rPr>
        <w:t>05613/INFOEM/IP/RR/2023</w:t>
      </w:r>
      <w:r w:rsidRPr="0098181D">
        <w:rPr>
          <w:rFonts w:ascii="Palatino Linotype" w:eastAsia="Palatino Linotype" w:hAnsi="Palatino Linotype" w:cs="Palatino Linotype"/>
          <w:b/>
        </w:rPr>
        <w:t>, acumulados</w:t>
      </w:r>
      <w:r w:rsidRPr="0098181D">
        <w:rPr>
          <w:rFonts w:ascii="Palatino Linotype" w:eastAsia="Palatino Linotype" w:hAnsi="Palatino Linotype" w:cs="Palatino Linotype"/>
        </w:rPr>
        <w:t>, interpuestos por</w:t>
      </w:r>
      <w:r w:rsidR="006D5E69" w:rsidRPr="0098181D">
        <w:rPr>
          <w:rFonts w:ascii="Palatino Linotype" w:eastAsia="Palatino Linotype" w:hAnsi="Palatino Linotype" w:cs="Palatino Linotype"/>
          <w:b/>
        </w:rPr>
        <w:t xml:space="preserve"> una persona que no proporcionó nombre o seudónimo</w:t>
      </w:r>
      <w:r w:rsidRPr="0098181D">
        <w:rPr>
          <w:rFonts w:ascii="Palatino Linotype" w:eastAsia="Palatino Linotype" w:hAnsi="Palatino Linotype" w:cs="Palatino Linotype"/>
          <w:b/>
        </w:rPr>
        <w:t>,</w:t>
      </w:r>
      <w:r w:rsidRPr="0098181D">
        <w:rPr>
          <w:rFonts w:ascii="Palatino Linotype" w:eastAsia="Palatino Linotype" w:hAnsi="Palatino Linotype" w:cs="Palatino Linotype"/>
        </w:rPr>
        <w:t xml:space="preserve"> en lo sucesivo la parte </w:t>
      </w:r>
      <w:r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rPr>
        <w:t xml:space="preserve">, en contra de la respuesta sus solicitudes de información por parte del </w:t>
      </w:r>
      <w:r w:rsidR="006D5E69" w:rsidRPr="0098181D">
        <w:rPr>
          <w:rFonts w:ascii="Palatino Linotype" w:eastAsia="Palatino Linotype" w:hAnsi="Palatino Linotype" w:cs="Palatino Linotype"/>
          <w:b/>
        </w:rPr>
        <w:t>Ayuntamiento de Zinacantepec</w:t>
      </w:r>
      <w:r w:rsidRPr="0098181D">
        <w:rPr>
          <w:rFonts w:ascii="Palatino Linotype" w:eastAsia="Palatino Linotype" w:hAnsi="Palatino Linotype" w:cs="Palatino Linotype"/>
        </w:rPr>
        <w:t xml:space="preserve">, en lo sucesivo el </w:t>
      </w:r>
      <w:r w:rsidRPr="0098181D">
        <w:rPr>
          <w:rFonts w:ascii="Palatino Linotype" w:eastAsia="Palatino Linotype" w:hAnsi="Palatino Linotype" w:cs="Palatino Linotype"/>
          <w:b/>
        </w:rPr>
        <w:t xml:space="preserve">Sujeto Obligado; </w:t>
      </w:r>
      <w:r w:rsidRPr="0098181D">
        <w:rPr>
          <w:rFonts w:ascii="Palatino Linotype" w:eastAsia="Palatino Linotype" w:hAnsi="Palatino Linotype" w:cs="Palatino Linotype"/>
        </w:rPr>
        <w:t xml:space="preserve">se procede a dictar la presente resolución, con base en lo siguiente. </w:t>
      </w:r>
    </w:p>
    <w:p w:rsidR="008D19A0" w:rsidRPr="0098181D" w:rsidRDefault="001B5AD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8181D">
        <w:rPr>
          <w:rFonts w:ascii="Palatino Linotype" w:eastAsia="Palatino Linotype" w:hAnsi="Palatino Linotype" w:cs="Palatino Linotype"/>
          <w:b/>
        </w:rPr>
        <w:t>I. A N T E C E D E N T E S:</w:t>
      </w:r>
    </w:p>
    <w:p w:rsidR="008D19A0" w:rsidRPr="0098181D" w:rsidRDefault="001B5ADE">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98181D">
        <w:rPr>
          <w:rFonts w:ascii="Palatino Linotype" w:eastAsia="Palatino Linotype" w:hAnsi="Palatino Linotype" w:cs="Palatino Linotype"/>
          <w:b/>
        </w:rPr>
        <w:t>1. Solicitudes de acceso a la información.</w:t>
      </w:r>
      <w:r w:rsidR="00DD15F3" w:rsidRPr="0098181D">
        <w:rPr>
          <w:rFonts w:ascii="Palatino Linotype" w:eastAsia="Palatino Linotype" w:hAnsi="Palatino Linotype" w:cs="Palatino Linotype"/>
        </w:rPr>
        <w:t xml:space="preserve"> Con fecha </w:t>
      </w:r>
      <w:r w:rsidR="00F1456A" w:rsidRPr="0098181D">
        <w:rPr>
          <w:rFonts w:ascii="Palatino Linotype" w:eastAsia="Palatino Linotype" w:hAnsi="Palatino Linotype" w:cs="Palatino Linotype"/>
          <w:b/>
        </w:rPr>
        <w:t xml:space="preserve">dieciséis de agosto </w:t>
      </w:r>
      <w:r w:rsidRPr="0098181D">
        <w:rPr>
          <w:rFonts w:ascii="Palatino Linotype" w:eastAsia="Palatino Linotype" w:hAnsi="Palatino Linotype" w:cs="Palatino Linotype"/>
          <w:b/>
        </w:rPr>
        <w:t>de dos mil veinti</w:t>
      </w:r>
      <w:r w:rsidR="00F1456A" w:rsidRPr="0098181D">
        <w:rPr>
          <w:rFonts w:ascii="Palatino Linotype" w:eastAsia="Palatino Linotype" w:hAnsi="Palatino Linotype" w:cs="Palatino Linotype"/>
          <w:b/>
        </w:rPr>
        <w:t>trés</w:t>
      </w:r>
      <w:r w:rsidRPr="0098181D">
        <w:rPr>
          <w:rFonts w:ascii="Palatino Linotype" w:eastAsia="Palatino Linotype" w:hAnsi="Palatino Linotype" w:cs="Palatino Linotype"/>
          <w:b/>
        </w:rPr>
        <w:t xml:space="preserve">, </w:t>
      </w:r>
      <w:r w:rsidRPr="0098181D">
        <w:rPr>
          <w:rFonts w:ascii="Palatino Linotype" w:eastAsia="Palatino Linotype" w:hAnsi="Palatino Linotype" w:cs="Palatino Linotype"/>
        </w:rPr>
        <w:t>la persona solicitante</w:t>
      </w:r>
      <w:r w:rsidRPr="0098181D">
        <w:rPr>
          <w:rFonts w:ascii="Palatino Linotype" w:eastAsia="Palatino Linotype" w:hAnsi="Palatino Linotype" w:cs="Palatino Linotype"/>
          <w:b/>
        </w:rPr>
        <w:t xml:space="preserve"> </w:t>
      </w:r>
      <w:r w:rsidRPr="0098181D">
        <w:rPr>
          <w:rFonts w:ascii="Palatino Linotype" w:eastAsia="Palatino Linotype" w:hAnsi="Palatino Linotype" w:cs="Palatino Linotype"/>
        </w:rPr>
        <w:t xml:space="preserve">presentó, través del Sistema de Acceso a la Información Mexiquense, en lo subsecuente el </w:t>
      </w:r>
      <w:r w:rsidRPr="0098181D">
        <w:rPr>
          <w:rFonts w:ascii="Palatino Linotype" w:eastAsia="Palatino Linotype" w:hAnsi="Palatino Linotype" w:cs="Palatino Linotype"/>
          <w:b/>
        </w:rPr>
        <w:t xml:space="preserve">SAIMEX, </w:t>
      </w:r>
      <w:r w:rsidRPr="0098181D">
        <w:rPr>
          <w:rFonts w:ascii="Palatino Linotype" w:eastAsia="Palatino Linotype" w:hAnsi="Palatino Linotype" w:cs="Palatino Linotype"/>
        </w:rPr>
        <w:t xml:space="preserve">ante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las solicitudes de acceso a la información pública, mediante las cuales requirió la información siguiente:</w:t>
      </w:r>
    </w:p>
    <w:tbl>
      <w:tblPr>
        <w:tblStyle w:val="af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8181D" w:rsidRPr="0098181D">
        <w:trPr>
          <w:jc w:val="center"/>
        </w:trPr>
        <w:tc>
          <w:tcPr>
            <w:tcW w:w="2972" w:type="dxa"/>
            <w:shd w:val="clear" w:color="auto" w:fill="A6A6A6"/>
          </w:tcPr>
          <w:p w:rsidR="008D19A0" w:rsidRPr="0098181D" w:rsidRDefault="001B5ADE">
            <w:pPr>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Número de solicitud</w:t>
            </w:r>
          </w:p>
        </w:tc>
        <w:tc>
          <w:tcPr>
            <w:tcW w:w="5856" w:type="dxa"/>
            <w:shd w:val="clear" w:color="auto" w:fill="A6A6A6"/>
          </w:tcPr>
          <w:p w:rsidR="008D19A0" w:rsidRPr="0098181D" w:rsidRDefault="001B5ADE">
            <w:pPr>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Información solicitada</w:t>
            </w:r>
          </w:p>
        </w:tc>
      </w:tr>
      <w:tr w:rsidR="0098181D" w:rsidRPr="0098181D">
        <w:trPr>
          <w:jc w:val="center"/>
        </w:trPr>
        <w:tc>
          <w:tcPr>
            <w:tcW w:w="2972" w:type="dxa"/>
            <w:vAlign w:val="center"/>
          </w:tcPr>
          <w:p w:rsidR="008D19A0" w:rsidRPr="0098181D" w:rsidRDefault="00F1456A">
            <w:pPr>
              <w:spacing w:before="120" w:after="120"/>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01302/ZINACANT/IP/2023</w:t>
            </w:r>
          </w:p>
        </w:tc>
        <w:tc>
          <w:tcPr>
            <w:tcW w:w="5856" w:type="dxa"/>
          </w:tcPr>
          <w:p w:rsidR="008D19A0" w:rsidRPr="0098181D" w:rsidRDefault="001B5ADE" w:rsidP="00F1456A">
            <w:pPr>
              <w:spacing w:before="120" w:after="120"/>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w:t>
            </w:r>
            <w:r w:rsidR="00F1456A" w:rsidRPr="0098181D">
              <w:rPr>
                <w:rFonts w:ascii="Palatino Linotype" w:eastAsia="Palatino Linotype" w:hAnsi="Palatino Linotype" w:cs="Palatino Linotype"/>
                <w:i/>
                <w:sz w:val="20"/>
                <w:szCs w:val="20"/>
              </w:rPr>
              <w:t xml:space="preserve">Solicito el nombramiento de </w:t>
            </w:r>
            <w:proofErr w:type="spellStart"/>
            <w:r w:rsidR="00F1456A" w:rsidRPr="0098181D">
              <w:rPr>
                <w:rFonts w:ascii="Palatino Linotype" w:eastAsia="Palatino Linotype" w:hAnsi="Palatino Linotype" w:cs="Palatino Linotype"/>
                <w:i/>
                <w:sz w:val="20"/>
                <w:szCs w:val="20"/>
              </w:rPr>
              <w:t>Allexae</w:t>
            </w:r>
            <w:proofErr w:type="spellEnd"/>
            <w:r w:rsidR="00F1456A" w:rsidRPr="0098181D">
              <w:rPr>
                <w:rFonts w:ascii="Palatino Linotype" w:eastAsia="Palatino Linotype" w:hAnsi="Palatino Linotype" w:cs="Palatino Linotype"/>
                <w:i/>
                <w:sz w:val="20"/>
                <w:szCs w:val="20"/>
              </w:rPr>
              <w:t xml:space="preserve"> Trejo Velázquez</w:t>
            </w:r>
            <w:r w:rsidRPr="0098181D">
              <w:rPr>
                <w:rFonts w:ascii="Palatino Linotype" w:eastAsia="Palatino Linotype" w:hAnsi="Palatino Linotype" w:cs="Palatino Linotype"/>
                <w:i/>
                <w:sz w:val="20"/>
                <w:szCs w:val="20"/>
              </w:rPr>
              <w:t>” (sic)</w:t>
            </w:r>
          </w:p>
        </w:tc>
      </w:tr>
      <w:tr w:rsidR="0098181D" w:rsidRPr="0098181D">
        <w:trPr>
          <w:jc w:val="center"/>
        </w:trPr>
        <w:tc>
          <w:tcPr>
            <w:tcW w:w="2972" w:type="dxa"/>
            <w:vAlign w:val="center"/>
          </w:tcPr>
          <w:p w:rsidR="00F1456A" w:rsidRPr="0098181D" w:rsidRDefault="00F1456A" w:rsidP="00F1456A">
            <w:pPr>
              <w:spacing w:before="120" w:after="120"/>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01306/ZINACANT/IP/2023</w:t>
            </w:r>
          </w:p>
        </w:tc>
        <w:tc>
          <w:tcPr>
            <w:tcW w:w="5856" w:type="dxa"/>
          </w:tcPr>
          <w:p w:rsidR="00F1456A" w:rsidRPr="0098181D" w:rsidRDefault="00F1456A" w:rsidP="00F1456A">
            <w:pPr>
              <w:spacing w:before="120" w:after="120"/>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 xml:space="preserve">“Solicito el CV de </w:t>
            </w:r>
            <w:proofErr w:type="spellStart"/>
            <w:r w:rsidRPr="0098181D">
              <w:rPr>
                <w:rFonts w:ascii="Palatino Linotype" w:eastAsia="Palatino Linotype" w:hAnsi="Palatino Linotype" w:cs="Palatino Linotype"/>
                <w:i/>
                <w:sz w:val="20"/>
                <w:szCs w:val="20"/>
              </w:rPr>
              <w:t>Allexae</w:t>
            </w:r>
            <w:proofErr w:type="spellEnd"/>
            <w:r w:rsidRPr="0098181D">
              <w:rPr>
                <w:rFonts w:ascii="Palatino Linotype" w:eastAsia="Palatino Linotype" w:hAnsi="Palatino Linotype" w:cs="Palatino Linotype"/>
                <w:i/>
                <w:sz w:val="20"/>
                <w:szCs w:val="20"/>
              </w:rPr>
              <w:t xml:space="preserve"> Trejo Velázquez” (sic)</w:t>
            </w:r>
          </w:p>
        </w:tc>
      </w:tr>
    </w:tbl>
    <w:p w:rsidR="008D19A0" w:rsidRPr="0098181D" w:rsidRDefault="001B5ADE">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98181D">
        <w:rPr>
          <w:rFonts w:ascii="Palatino Linotype" w:eastAsia="Palatino Linotype" w:hAnsi="Palatino Linotype" w:cs="Palatino Linotype"/>
          <w:b/>
        </w:rPr>
        <w:t xml:space="preserve">Modalidad elegida para la entrega de la información: </w:t>
      </w:r>
      <w:r w:rsidRPr="0098181D">
        <w:rPr>
          <w:rFonts w:ascii="Palatino Linotype" w:eastAsia="Palatino Linotype" w:hAnsi="Palatino Linotype" w:cs="Palatino Linotype"/>
        </w:rPr>
        <w:t xml:space="preserve">a través del SAIMEX en </w:t>
      </w:r>
      <w:proofErr w:type="gramStart"/>
      <w:r w:rsidR="009830C2" w:rsidRPr="0098181D">
        <w:rPr>
          <w:rFonts w:ascii="Palatino Linotype" w:eastAsia="Palatino Linotype" w:hAnsi="Palatino Linotype" w:cs="Palatino Linotype"/>
        </w:rPr>
        <w:t>ambos</w:t>
      </w:r>
      <w:proofErr w:type="gramEnd"/>
      <w:r w:rsidRPr="0098181D">
        <w:rPr>
          <w:rFonts w:ascii="Palatino Linotype" w:eastAsia="Palatino Linotype" w:hAnsi="Palatino Linotype" w:cs="Palatino Linotype"/>
        </w:rPr>
        <w:t xml:space="preserve"> casos.</w:t>
      </w:r>
    </w:p>
    <w:p w:rsidR="008D19A0" w:rsidRPr="0098181D" w:rsidRDefault="009830C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lastRenderedPageBreak/>
        <w:t>2</w:t>
      </w:r>
      <w:r w:rsidR="00F152EC" w:rsidRPr="0098181D">
        <w:rPr>
          <w:rFonts w:ascii="Palatino Linotype" w:eastAsia="Palatino Linotype" w:hAnsi="Palatino Linotype" w:cs="Palatino Linotype"/>
          <w:b/>
        </w:rPr>
        <w:t xml:space="preserve">. </w:t>
      </w:r>
      <w:r w:rsidR="001B5ADE" w:rsidRPr="0098181D">
        <w:rPr>
          <w:rFonts w:ascii="Palatino Linotype" w:eastAsia="Palatino Linotype" w:hAnsi="Palatino Linotype" w:cs="Palatino Linotype"/>
          <w:b/>
        </w:rPr>
        <w:t xml:space="preserve">Respuesta. </w:t>
      </w:r>
      <w:r w:rsidR="00F1456A" w:rsidRPr="0098181D">
        <w:rPr>
          <w:rFonts w:ascii="Palatino Linotype" w:eastAsia="Palatino Linotype" w:hAnsi="Palatino Linotype" w:cs="Palatino Linotype"/>
        </w:rPr>
        <w:t>Con fecha</w:t>
      </w:r>
      <w:r w:rsidR="001B5ADE" w:rsidRPr="0098181D">
        <w:rPr>
          <w:rFonts w:ascii="Palatino Linotype" w:eastAsia="Palatino Linotype" w:hAnsi="Palatino Linotype" w:cs="Palatino Linotype"/>
          <w:b/>
        </w:rPr>
        <w:t xml:space="preserve"> </w:t>
      </w:r>
      <w:r w:rsidR="00F1456A" w:rsidRPr="0098181D">
        <w:rPr>
          <w:rFonts w:ascii="Palatino Linotype" w:eastAsia="Palatino Linotype" w:hAnsi="Palatino Linotype" w:cs="Palatino Linotype"/>
          <w:b/>
        </w:rPr>
        <w:t xml:space="preserve">seis de septiembre </w:t>
      </w:r>
      <w:r w:rsidR="00F152EC" w:rsidRPr="0098181D">
        <w:rPr>
          <w:rFonts w:ascii="Palatino Linotype" w:eastAsia="Palatino Linotype" w:hAnsi="Palatino Linotype" w:cs="Palatino Linotype"/>
          <w:b/>
        </w:rPr>
        <w:t>de</w:t>
      </w:r>
      <w:r w:rsidR="001B5ADE" w:rsidRPr="0098181D">
        <w:rPr>
          <w:rFonts w:ascii="Palatino Linotype" w:eastAsia="Palatino Linotype" w:hAnsi="Palatino Linotype" w:cs="Palatino Linotype"/>
          <w:b/>
        </w:rPr>
        <w:t xml:space="preserve"> dos mil veinti</w:t>
      </w:r>
      <w:r w:rsidR="00F152EC" w:rsidRPr="0098181D">
        <w:rPr>
          <w:rFonts w:ascii="Palatino Linotype" w:eastAsia="Palatino Linotype" w:hAnsi="Palatino Linotype" w:cs="Palatino Linotype"/>
          <w:b/>
        </w:rPr>
        <w:t>trés</w:t>
      </w:r>
      <w:r w:rsidR="001B5ADE" w:rsidRPr="0098181D">
        <w:rPr>
          <w:rFonts w:ascii="Palatino Linotype" w:eastAsia="Palatino Linotype" w:hAnsi="Palatino Linotype" w:cs="Palatino Linotype"/>
        </w:rPr>
        <w:t xml:space="preserve">, el </w:t>
      </w:r>
      <w:r w:rsidR="001B5ADE" w:rsidRPr="0098181D">
        <w:rPr>
          <w:rFonts w:ascii="Palatino Linotype" w:eastAsia="Palatino Linotype" w:hAnsi="Palatino Linotype" w:cs="Palatino Linotype"/>
          <w:b/>
        </w:rPr>
        <w:t xml:space="preserve">Sujeto Obligado </w:t>
      </w:r>
      <w:r w:rsidR="001B5ADE" w:rsidRPr="0098181D">
        <w:rPr>
          <w:rFonts w:ascii="Palatino Linotype" w:eastAsia="Palatino Linotype" w:hAnsi="Palatino Linotype" w:cs="Palatino Linotype"/>
        </w:rPr>
        <w:t xml:space="preserve">envió sus respuestas a las solicitudes de acceso a la información a través de SAIMEX, sustancialmente en los términos siguientes:   </w:t>
      </w:r>
    </w:p>
    <w:tbl>
      <w:tblPr>
        <w:tblStyle w:val="af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8181D" w:rsidRPr="0098181D" w:rsidTr="00F73FD6">
        <w:trPr>
          <w:jc w:val="center"/>
        </w:trPr>
        <w:tc>
          <w:tcPr>
            <w:tcW w:w="2972" w:type="dxa"/>
            <w:shd w:val="clear" w:color="auto" w:fill="A6A6A6"/>
          </w:tcPr>
          <w:p w:rsidR="009830C2" w:rsidRPr="0098181D" w:rsidRDefault="009830C2" w:rsidP="00F73FD6">
            <w:pPr>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Número de solicitud</w:t>
            </w:r>
          </w:p>
        </w:tc>
        <w:tc>
          <w:tcPr>
            <w:tcW w:w="5856" w:type="dxa"/>
            <w:shd w:val="clear" w:color="auto" w:fill="A6A6A6"/>
          </w:tcPr>
          <w:p w:rsidR="009830C2" w:rsidRPr="0098181D" w:rsidRDefault="00D77D29" w:rsidP="00D77D29">
            <w:pPr>
              <w:tabs>
                <w:tab w:val="left" w:pos="495"/>
                <w:tab w:val="center" w:pos="2813"/>
              </w:tabs>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ab/>
            </w:r>
            <w:r w:rsidRPr="0098181D">
              <w:rPr>
                <w:rFonts w:ascii="Palatino Linotype" w:eastAsia="Palatino Linotype" w:hAnsi="Palatino Linotype" w:cs="Palatino Linotype"/>
                <w:b/>
                <w:sz w:val="20"/>
                <w:szCs w:val="20"/>
              </w:rPr>
              <w:tab/>
            </w:r>
            <w:r w:rsidR="009830C2" w:rsidRPr="0098181D">
              <w:rPr>
                <w:rFonts w:ascii="Palatino Linotype" w:eastAsia="Palatino Linotype" w:hAnsi="Palatino Linotype" w:cs="Palatino Linotype"/>
                <w:b/>
                <w:sz w:val="20"/>
                <w:szCs w:val="20"/>
              </w:rPr>
              <w:t>Información entregada</w:t>
            </w:r>
          </w:p>
        </w:tc>
      </w:tr>
      <w:tr w:rsidR="0098181D" w:rsidRPr="0098181D" w:rsidTr="00F73FD6">
        <w:trPr>
          <w:jc w:val="center"/>
        </w:trPr>
        <w:tc>
          <w:tcPr>
            <w:tcW w:w="2972" w:type="dxa"/>
            <w:vAlign w:val="center"/>
          </w:tcPr>
          <w:p w:rsidR="00F1456A" w:rsidRPr="0098181D" w:rsidRDefault="00F1456A" w:rsidP="00F1456A">
            <w:pPr>
              <w:spacing w:before="120" w:after="120"/>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01302/ZINACANT/IP/2023</w:t>
            </w:r>
          </w:p>
        </w:tc>
        <w:tc>
          <w:tcPr>
            <w:tcW w:w="5856" w:type="dxa"/>
          </w:tcPr>
          <w:p w:rsidR="00F1456A" w:rsidRPr="0098181D" w:rsidRDefault="00F1456A" w:rsidP="00F1456A">
            <w:pPr>
              <w:spacing w:before="120" w:after="120"/>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“remito anexa al presente, la respuesta proporcionada por el área competente.” (sic)</w:t>
            </w:r>
          </w:p>
          <w:p w:rsidR="00F1456A" w:rsidRPr="0098181D" w:rsidRDefault="00F1456A" w:rsidP="00F1456A">
            <w:pPr>
              <w:spacing w:before="120" w:after="120"/>
              <w:jc w:val="both"/>
              <w:rPr>
                <w:rFonts w:ascii="Palatino Linotype" w:eastAsia="Palatino Linotype" w:hAnsi="Palatino Linotype" w:cs="Palatino Linotype"/>
                <w:sz w:val="20"/>
                <w:szCs w:val="20"/>
              </w:rPr>
            </w:pPr>
            <w:r w:rsidRPr="0098181D">
              <w:rPr>
                <w:rFonts w:ascii="Palatino Linotype" w:eastAsia="Palatino Linotype" w:hAnsi="Palatino Linotype" w:cs="Palatino Linotype"/>
                <w:sz w:val="20"/>
                <w:szCs w:val="20"/>
              </w:rPr>
              <w:t>Anexos:</w:t>
            </w:r>
          </w:p>
          <w:p w:rsidR="00D43A9A" w:rsidRPr="0098181D" w:rsidRDefault="00F1456A" w:rsidP="00F1456A">
            <w:pPr>
              <w:spacing w:before="120" w:after="120"/>
              <w:jc w:val="both"/>
              <w:rPr>
                <w:rFonts w:ascii="Palatino Linotype" w:eastAsia="Palatino Linotype" w:hAnsi="Palatino Linotype" w:cs="Palatino Linotype"/>
                <w:sz w:val="20"/>
                <w:szCs w:val="20"/>
              </w:rPr>
            </w:pPr>
            <w:r w:rsidRPr="0098181D">
              <w:rPr>
                <w:rFonts w:ascii="Palatino Linotype" w:eastAsia="Palatino Linotype" w:hAnsi="Palatino Linotype" w:cs="Palatino Linotype"/>
                <w:sz w:val="20"/>
                <w:szCs w:val="20"/>
              </w:rPr>
              <w:t xml:space="preserve">- Oficio número ZIN/DA/2555/2023, de fecha treinta y uno de agosto de dos mil veintitrés, </w:t>
            </w:r>
            <w:r w:rsidR="00D43A9A" w:rsidRPr="0098181D">
              <w:rPr>
                <w:rFonts w:ascii="Palatino Linotype" w:eastAsia="Palatino Linotype" w:hAnsi="Palatino Linotype" w:cs="Palatino Linotype"/>
                <w:sz w:val="20"/>
                <w:szCs w:val="20"/>
              </w:rPr>
              <w:t>signado por la Directora de Administración, mediante el cual, refiere adjuntar el nombramiento requerido.</w:t>
            </w:r>
          </w:p>
          <w:p w:rsidR="00F1456A" w:rsidRPr="0098181D" w:rsidRDefault="00D43A9A" w:rsidP="00D43A9A">
            <w:pPr>
              <w:spacing w:before="120" w:after="120"/>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sz w:val="20"/>
                <w:szCs w:val="20"/>
              </w:rPr>
              <w:t xml:space="preserve">-  </w:t>
            </w:r>
            <w:r w:rsidR="00F1456A" w:rsidRPr="0098181D">
              <w:rPr>
                <w:rFonts w:ascii="Palatino Linotype" w:eastAsia="Palatino Linotype" w:hAnsi="Palatino Linotype" w:cs="Palatino Linotype"/>
                <w:sz w:val="20"/>
                <w:szCs w:val="20"/>
              </w:rPr>
              <w:t xml:space="preserve"> </w:t>
            </w:r>
            <w:r w:rsidRPr="0098181D">
              <w:rPr>
                <w:rFonts w:ascii="Palatino Linotype" w:eastAsia="Palatino Linotype" w:hAnsi="Palatino Linotype" w:cs="Palatino Linotype"/>
                <w:sz w:val="20"/>
                <w:szCs w:val="20"/>
              </w:rPr>
              <w:t>Nombramiento a favor de la Servidora Pública referida en la solicitud de información, como Directora de la Dirección de la Mujer.</w:t>
            </w:r>
          </w:p>
        </w:tc>
      </w:tr>
      <w:tr w:rsidR="0098181D" w:rsidRPr="0098181D" w:rsidTr="00F73FD6">
        <w:trPr>
          <w:jc w:val="center"/>
        </w:trPr>
        <w:tc>
          <w:tcPr>
            <w:tcW w:w="2972" w:type="dxa"/>
            <w:vAlign w:val="center"/>
          </w:tcPr>
          <w:p w:rsidR="00F1456A" w:rsidRPr="0098181D" w:rsidRDefault="00F1456A" w:rsidP="00F1456A">
            <w:pPr>
              <w:spacing w:before="120" w:after="120"/>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01306/ZINACANT/IP/2023</w:t>
            </w:r>
          </w:p>
        </w:tc>
        <w:tc>
          <w:tcPr>
            <w:tcW w:w="5856" w:type="dxa"/>
          </w:tcPr>
          <w:p w:rsidR="00B90A0F" w:rsidRPr="0098181D" w:rsidRDefault="00B90A0F" w:rsidP="00B90A0F">
            <w:pPr>
              <w:spacing w:before="120" w:after="120"/>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“remito anexa al presente, la respuesta proporcionada por el área competente.” (sic)</w:t>
            </w:r>
          </w:p>
          <w:p w:rsidR="00B90A0F" w:rsidRPr="0098181D" w:rsidRDefault="00B90A0F" w:rsidP="00B90A0F">
            <w:pPr>
              <w:spacing w:before="120" w:after="120"/>
              <w:jc w:val="both"/>
              <w:rPr>
                <w:rFonts w:ascii="Palatino Linotype" w:eastAsia="Palatino Linotype" w:hAnsi="Palatino Linotype" w:cs="Palatino Linotype"/>
                <w:sz w:val="20"/>
                <w:szCs w:val="20"/>
              </w:rPr>
            </w:pPr>
            <w:r w:rsidRPr="0098181D">
              <w:rPr>
                <w:rFonts w:ascii="Palatino Linotype" w:eastAsia="Palatino Linotype" w:hAnsi="Palatino Linotype" w:cs="Palatino Linotype"/>
                <w:sz w:val="20"/>
                <w:szCs w:val="20"/>
              </w:rPr>
              <w:t>Anexos:</w:t>
            </w:r>
          </w:p>
          <w:p w:rsidR="00B90A0F" w:rsidRPr="0098181D" w:rsidRDefault="00B90A0F" w:rsidP="00B90A0F">
            <w:pPr>
              <w:spacing w:before="120" w:after="120"/>
              <w:jc w:val="both"/>
              <w:rPr>
                <w:rFonts w:ascii="Palatino Linotype" w:eastAsia="Palatino Linotype" w:hAnsi="Palatino Linotype" w:cs="Palatino Linotype"/>
                <w:sz w:val="20"/>
                <w:szCs w:val="20"/>
              </w:rPr>
            </w:pPr>
            <w:r w:rsidRPr="0098181D">
              <w:rPr>
                <w:rFonts w:ascii="Palatino Linotype" w:eastAsia="Palatino Linotype" w:hAnsi="Palatino Linotype" w:cs="Palatino Linotype"/>
                <w:sz w:val="20"/>
                <w:szCs w:val="20"/>
              </w:rPr>
              <w:t>- Oficio número ZIN/DA/</w:t>
            </w:r>
            <w:r w:rsidR="00785A28" w:rsidRPr="0098181D">
              <w:rPr>
                <w:rFonts w:ascii="Palatino Linotype" w:eastAsia="Palatino Linotype" w:hAnsi="Palatino Linotype" w:cs="Palatino Linotype"/>
                <w:sz w:val="20"/>
                <w:szCs w:val="20"/>
              </w:rPr>
              <w:t>2671</w:t>
            </w:r>
            <w:r w:rsidRPr="0098181D">
              <w:rPr>
                <w:rFonts w:ascii="Palatino Linotype" w:eastAsia="Palatino Linotype" w:hAnsi="Palatino Linotype" w:cs="Palatino Linotype"/>
                <w:sz w:val="20"/>
                <w:szCs w:val="20"/>
              </w:rPr>
              <w:t xml:space="preserve">/2023, de </w:t>
            </w:r>
            <w:r w:rsidR="00785A28" w:rsidRPr="0098181D">
              <w:rPr>
                <w:rFonts w:ascii="Palatino Linotype" w:eastAsia="Palatino Linotype" w:hAnsi="Palatino Linotype" w:cs="Palatino Linotype"/>
                <w:sz w:val="20"/>
                <w:szCs w:val="20"/>
              </w:rPr>
              <w:t>fecha cinco de septiembre</w:t>
            </w:r>
            <w:r w:rsidRPr="0098181D">
              <w:rPr>
                <w:rFonts w:ascii="Palatino Linotype" w:eastAsia="Palatino Linotype" w:hAnsi="Palatino Linotype" w:cs="Palatino Linotype"/>
                <w:sz w:val="20"/>
                <w:szCs w:val="20"/>
              </w:rPr>
              <w:t xml:space="preserve"> de dos mil veintitrés, signado por la Directora de Administración, mediante el cual, refiere adjuntar</w:t>
            </w:r>
            <w:r w:rsidR="006E514F" w:rsidRPr="0098181D">
              <w:rPr>
                <w:rFonts w:ascii="Palatino Linotype" w:eastAsia="Palatino Linotype" w:hAnsi="Palatino Linotype" w:cs="Palatino Linotype"/>
                <w:sz w:val="20"/>
                <w:szCs w:val="20"/>
              </w:rPr>
              <w:t>, en versión pública el documento señalado en el requerimiento de información mismo que obra en los archivos de la Subdirección de Recursos Humanos</w:t>
            </w:r>
            <w:r w:rsidRPr="0098181D">
              <w:rPr>
                <w:rFonts w:ascii="Palatino Linotype" w:eastAsia="Palatino Linotype" w:hAnsi="Palatino Linotype" w:cs="Palatino Linotype"/>
                <w:sz w:val="20"/>
                <w:szCs w:val="20"/>
              </w:rPr>
              <w:t>.</w:t>
            </w:r>
          </w:p>
          <w:p w:rsidR="00F1456A" w:rsidRPr="0098181D" w:rsidRDefault="00B90A0F" w:rsidP="0067099B">
            <w:pPr>
              <w:spacing w:before="120" w:after="120"/>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sz w:val="20"/>
                <w:szCs w:val="20"/>
              </w:rPr>
              <w:t xml:space="preserve">-   </w:t>
            </w:r>
            <w:proofErr w:type="spellStart"/>
            <w:r w:rsidR="006E514F" w:rsidRPr="0098181D">
              <w:rPr>
                <w:rFonts w:ascii="Palatino Linotype" w:eastAsia="Palatino Linotype" w:hAnsi="Palatino Linotype" w:cs="Palatino Linotype"/>
                <w:sz w:val="20"/>
                <w:szCs w:val="20"/>
              </w:rPr>
              <w:t>Curriculum</w:t>
            </w:r>
            <w:proofErr w:type="spellEnd"/>
            <w:r w:rsidR="006E514F" w:rsidRPr="0098181D">
              <w:rPr>
                <w:rFonts w:ascii="Palatino Linotype" w:eastAsia="Palatino Linotype" w:hAnsi="Palatino Linotype" w:cs="Palatino Linotype"/>
                <w:sz w:val="20"/>
                <w:szCs w:val="20"/>
              </w:rPr>
              <w:t xml:space="preserve"> vitae d</w:t>
            </w:r>
            <w:r w:rsidRPr="0098181D">
              <w:rPr>
                <w:rFonts w:ascii="Palatino Linotype" w:eastAsia="Palatino Linotype" w:hAnsi="Palatino Linotype" w:cs="Palatino Linotype"/>
                <w:sz w:val="20"/>
                <w:szCs w:val="20"/>
              </w:rPr>
              <w:t>e la Servidora Pública referida en la solicitud de información</w:t>
            </w:r>
            <w:r w:rsidR="006E514F" w:rsidRPr="0098181D">
              <w:rPr>
                <w:rFonts w:ascii="Palatino Linotype" w:eastAsia="Palatino Linotype" w:hAnsi="Palatino Linotype" w:cs="Palatino Linotype"/>
                <w:sz w:val="20"/>
                <w:szCs w:val="20"/>
              </w:rPr>
              <w:t xml:space="preserve">, </w:t>
            </w:r>
            <w:r w:rsidR="0067099B" w:rsidRPr="0098181D">
              <w:rPr>
                <w:rFonts w:ascii="Palatino Linotype" w:eastAsia="Palatino Linotype" w:hAnsi="Palatino Linotype" w:cs="Palatino Linotype"/>
                <w:sz w:val="20"/>
                <w:szCs w:val="20"/>
              </w:rPr>
              <w:t xml:space="preserve">en el que se testó: número de teléfono celular, correo electrónico, domicilio, nacionalidad, estado civil y fecha de nacimiento. </w:t>
            </w:r>
          </w:p>
        </w:tc>
      </w:tr>
    </w:tbl>
    <w:p w:rsidR="008D19A0" w:rsidRPr="0098181D" w:rsidRDefault="006E1D9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3</w:t>
      </w:r>
      <w:r w:rsidR="001B5ADE" w:rsidRPr="0098181D">
        <w:rPr>
          <w:rFonts w:ascii="Palatino Linotype" w:eastAsia="Palatino Linotype" w:hAnsi="Palatino Linotype" w:cs="Palatino Linotype"/>
          <w:b/>
        </w:rPr>
        <w:t xml:space="preserve">. Interposición de los recursos de revisión. </w:t>
      </w:r>
      <w:r w:rsidR="001B5ADE" w:rsidRPr="0098181D">
        <w:rPr>
          <w:rFonts w:ascii="Palatino Linotype" w:eastAsia="Palatino Linotype" w:hAnsi="Palatino Linotype" w:cs="Palatino Linotype"/>
        </w:rPr>
        <w:t xml:space="preserve">Inconforme la persona solicitante con la respuesta emitida por el </w:t>
      </w:r>
      <w:r w:rsidR="001B5ADE" w:rsidRPr="0098181D">
        <w:rPr>
          <w:rFonts w:ascii="Palatino Linotype" w:eastAsia="Palatino Linotype" w:hAnsi="Palatino Linotype" w:cs="Palatino Linotype"/>
          <w:b/>
        </w:rPr>
        <w:t>Sujeto Obligado</w:t>
      </w:r>
      <w:r w:rsidR="002C53B7" w:rsidRPr="0098181D">
        <w:rPr>
          <w:rFonts w:ascii="Palatino Linotype" w:eastAsia="Palatino Linotype" w:hAnsi="Palatino Linotype" w:cs="Palatino Linotype"/>
          <w:b/>
        </w:rPr>
        <w:t xml:space="preserve">  </w:t>
      </w:r>
      <w:r w:rsidR="002C53B7" w:rsidRPr="0098181D">
        <w:rPr>
          <w:rFonts w:ascii="Palatino Linotype" w:eastAsia="Palatino Linotype" w:hAnsi="Palatino Linotype" w:cs="Palatino Linotype"/>
        </w:rPr>
        <w:t>a sus solicitudes</w:t>
      </w:r>
      <w:r w:rsidR="001B5ADE" w:rsidRPr="0098181D">
        <w:rPr>
          <w:rFonts w:ascii="Palatino Linotype" w:eastAsia="Palatino Linotype" w:hAnsi="Palatino Linotype" w:cs="Palatino Linotype"/>
        </w:rPr>
        <w:t>, en fecha</w:t>
      </w:r>
      <w:r w:rsidR="008650AF" w:rsidRPr="0098181D">
        <w:rPr>
          <w:rFonts w:ascii="Palatino Linotype" w:eastAsia="Palatino Linotype" w:hAnsi="Palatino Linotype" w:cs="Palatino Linotype"/>
        </w:rPr>
        <w:t xml:space="preserve"> </w:t>
      </w:r>
      <w:r w:rsidR="0067099B" w:rsidRPr="0098181D">
        <w:rPr>
          <w:rFonts w:ascii="Palatino Linotype" w:eastAsia="Palatino Linotype" w:hAnsi="Palatino Linotype" w:cs="Palatino Linotype"/>
          <w:b/>
        </w:rPr>
        <w:t xml:space="preserve">siete de </w:t>
      </w:r>
      <w:r w:rsidR="0067099B" w:rsidRPr="0098181D">
        <w:rPr>
          <w:rFonts w:ascii="Palatino Linotype" w:eastAsia="Palatino Linotype" w:hAnsi="Palatino Linotype" w:cs="Palatino Linotype"/>
          <w:b/>
        </w:rPr>
        <w:lastRenderedPageBreak/>
        <w:t>septiembre</w:t>
      </w:r>
      <w:r w:rsidR="002C53B7" w:rsidRPr="0098181D">
        <w:rPr>
          <w:rFonts w:ascii="Palatino Linotype" w:eastAsia="Palatino Linotype" w:hAnsi="Palatino Linotype" w:cs="Palatino Linotype"/>
          <w:b/>
        </w:rPr>
        <w:t xml:space="preserve"> de dos mil veintitrés</w:t>
      </w:r>
      <w:r w:rsidR="001B5ADE" w:rsidRPr="0098181D">
        <w:rPr>
          <w:rFonts w:ascii="Palatino Linotype" w:eastAsia="Palatino Linotype" w:hAnsi="Palatino Linotype" w:cs="Palatino Linotype"/>
        </w:rPr>
        <w:t>, interpuso recursos de revisión a través del SAIMEX</w:t>
      </w:r>
      <w:r w:rsidR="002C53B7" w:rsidRPr="0098181D">
        <w:rPr>
          <w:rFonts w:ascii="Palatino Linotype" w:eastAsia="Palatino Linotype" w:hAnsi="Palatino Linotype" w:cs="Palatino Linotype"/>
        </w:rPr>
        <w:t>,</w:t>
      </w:r>
      <w:r w:rsidR="001B5ADE" w:rsidRPr="0098181D">
        <w:rPr>
          <w:rFonts w:ascii="Palatino Linotype" w:eastAsia="Palatino Linotype" w:hAnsi="Palatino Linotype" w:cs="Palatino Linotype"/>
        </w:rPr>
        <w:t xml:space="preserve"> expresando lo siguiente:</w:t>
      </w:r>
    </w:p>
    <w:tbl>
      <w:tblPr>
        <w:tblStyle w:val="af4"/>
        <w:tblW w:w="8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3043"/>
      </w:tblGrid>
      <w:tr w:rsidR="0098181D" w:rsidRPr="0098181D" w:rsidTr="00D77D29">
        <w:tc>
          <w:tcPr>
            <w:tcW w:w="2835" w:type="dxa"/>
            <w:shd w:val="clear" w:color="auto" w:fill="A6A6A6"/>
            <w:vAlign w:val="center"/>
          </w:tcPr>
          <w:p w:rsidR="00715C52" w:rsidRPr="0098181D" w:rsidRDefault="00715C52" w:rsidP="00F73FD6">
            <w:pPr>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Recurso de revisión</w:t>
            </w:r>
          </w:p>
        </w:tc>
        <w:tc>
          <w:tcPr>
            <w:tcW w:w="2977" w:type="dxa"/>
            <w:shd w:val="clear" w:color="auto" w:fill="A6A6A6"/>
            <w:vAlign w:val="center"/>
          </w:tcPr>
          <w:p w:rsidR="00715C52" w:rsidRPr="0098181D" w:rsidRDefault="00715C52" w:rsidP="00F73FD6">
            <w:pPr>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Acto impugnado.</w:t>
            </w:r>
          </w:p>
        </w:tc>
        <w:tc>
          <w:tcPr>
            <w:tcW w:w="3043" w:type="dxa"/>
            <w:shd w:val="clear" w:color="auto" w:fill="A6A6A6"/>
            <w:vAlign w:val="center"/>
          </w:tcPr>
          <w:p w:rsidR="00715C52" w:rsidRPr="0098181D" w:rsidRDefault="00715C52" w:rsidP="00F73FD6">
            <w:pPr>
              <w:jc w:val="center"/>
              <w:rPr>
                <w:rFonts w:ascii="Palatino Linotype" w:eastAsia="Palatino Linotype" w:hAnsi="Palatino Linotype" w:cs="Palatino Linotype"/>
                <w:b/>
                <w:sz w:val="20"/>
                <w:szCs w:val="20"/>
              </w:rPr>
            </w:pPr>
            <w:r w:rsidRPr="0098181D">
              <w:rPr>
                <w:rFonts w:ascii="Palatino Linotype" w:eastAsia="Palatino Linotype" w:hAnsi="Palatino Linotype" w:cs="Palatino Linotype"/>
                <w:b/>
                <w:sz w:val="20"/>
                <w:szCs w:val="20"/>
              </w:rPr>
              <w:t>Motivos de inconformidad.</w:t>
            </w:r>
          </w:p>
        </w:tc>
      </w:tr>
      <w:tr w:rsidR="0098181D" w:rsidRPr="0098181D" w:rsidTr="00715C52">
        <w:tc>
          <w:tcPr>
            <w:tcW w:w="2835" w:type="dxa"/>
            <w:vAlign w:val="center"/>
          </w:tcPr>
          <w:p w:rsidR="00007DA7" w:rsidRPr="0098181D" w:rsidRDefault="00007DA7" w:rsidP="00007DA7">
            <w:pPr>
              <w:jc w:val="center"/>
              <w:rPr>
                <w:rFonts w:ascii="Palatino Linotype" w:eastAsia="Palatino Linotype" w:hAnsi="Palatino Linotype" w:cs="Palatino Linotype"/>
                <w:b/>
                <w:sz w:val="16"/>
                <w:szCs w:val="16"/>
              </w:rPr>
            </w:pPr>
            <w:r w:rsidRPr="0098181D">
              <w:rPr>
                <w:rFonts w:ascii="Palatino Linotype" w:eastAsia="Palatino Linotype" w:hAnsi="Palatino Linotype" w:cs="Palatino Linotype"/>
                <w:b/>
                <w:sz w:val="16"/>
                <w:szCs w:val="16"/>
              </w:rPr>
              <w:t>05609/INFOEM/IP/RR/2023</w:t>
            </w:r>
          </w:p>
          <w:p w:rsidR="00007DA7" w:rsidRPr="0098181D" w:rsidRDefault="00007DA7" w:rsidP="00007DA7">
            <w:pPr>
              <w:jc w:val="center"/>
              <w:rPr>
                <w:rFonts w:ascii="Palatino Linotype" w:eastAsia="Palatino Linotype" w:hAnsi="Palatino Linotype" w:cs="Palatino Linotype"/>
                <w:sz w:val="20"/>
                <w:szCs w:val="20"/>
              </w:rPr>
            </w:pPr>
            <w:r w:rsidRPr="0098181D">
              <w:rPr>
                <w:rFonts w:ascii="Palatino Linotype" w:eastAsia="Palatino Linotype" w:hAnsi="Palatino Linotype" w:cs="Palatino Linotype"/>
                <w:b/>
                <w:sz w:val="16"/>
                <w:szCs w:val="16"/>
              </w:rPr>
              <w:t>Solicitud 1306/ZINACANT/IP/2023</w:t>
            </w:r>
          </w:p>
        </w:tc>
        <w:tc>
          <w:tcPr>
            <w:tcW w:w="2977" w:type="dxa"/>
            <w:shd w:val="clear" w:color="auto" w:fill="auto"/>
            <w:vAlign w:val="center"/>
          </w:tcPr>
          <w:p w:rsidR="00007DA7" w:rsidRPr="0098181D" w:rsidRDefault="00007DA7" w:rsidP="00007DA7">
            <w:pPr>
              <w:jc w:val="center"/>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“LA RESPUESTA.” (sic)</w:t>
            </w:r>
          </w:p>
        </w:tc>
        <w:tc>
          <w:tcPr>
            <w:tcW w:w="3043" w:type="dxa"/>
            <w:shd w:val="clear" w:color="auto" w:fill="auto"/>
          </w:tcPr>
          <w:p w:rsidR="00007DA7" w:rsidRPr="0098181D" w:rsidRDefault="00007DA7" w:rsidP="00007DA7">
            <w:pPr>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“NO ADJUNTAN EL ACUERDO DEL COMITE NI JUSTIFICAN POR QUE HAY DATOS EN BLANCO” (sic)</w:t>
            </w:r>
          </w:p>
        </w:tc>
      </w:tr>
      <w:tr w:rsidR="0098181D" w:rsidRPr="0098181D" w:rsidTr="00715C52">
        <w:tc>
          <w:tcPr>
            <w:tcW w:w="2835" w:type="dxa"/>
            <w:vAlign w:val="center"/>
          </w:tcPr>
          <w:p w:rsidR="006A5412" w:rsidRPr="0098181D" w:rsidRDefault="006A5412" w:rsidP="006A5412">
            <w:pPr>
              <w:jc w:val="center"/>
              <w:rPr>
                <w:rFonts w:ascii="Palatino Linotype" w:eastAsia="Palatino Linotype" w:hAnsi="Palatino Linotype" w:cs="Palatino Linotype"/>
                <w:b/>
                <w:sz w:val="16"/>
                <w:szCs w:val="16"/>
              </w:rPr>
            </w:pPr>
            <w:r w:rsidRPr="0098181D">
              <w:rPr>
                <w:rFonts w:ascii="Palatino Linotype" w:eastAsia="Palatino Linotype" w:hAnsi="Palatino Linotype" w:cs="Palatino Linotype"/>
                <w:b/>
                <w:sz w:val="16"/>
                <w:szCs w:val="16"/>
              </w:rPr>
              <w:t>05613/INFOEM/IP/RR/2023</w:t>
            </w:r>
          </w:p>
          <w:p w:rsidR="006A5412" w:rsidRPr="0098181D" w:rsidRDefault="006A5412" w:rsidP="006A5412">
            <w:pPr>
              <w:jc w:val="center"/>
              <w:rPr>
                <w:rFonts w:ascii="Palatino Linotype" w:eastAsia="Palatino Linotype" w:hAnsi="Palatino Linotype" w:cs="Palatino Linotype"/>
                <w:sz w:val="20"/>
                <w:szCs w:val="20"/>
              </w:rPr>
            </w:pPr>
            <w:r w:rsidRPr="0098181D">
              <w:rPr>
                <w:rFonts w:ascii="Palatino Linotype" w:eastAsia="Palatino Linotype" w:hAnsi="Palatino Linotype" w:cs="Palatino Linotype"/>
                <w:b/>
                <w:sz w:val="16"/>
                <w:szCs w:val="16"/>
              </w:rPr>
              <w:t>Solicitud 1302/ZINACANT/IP/2023</w:t>
            </w:r>
          </w:p>
        </w:tc>
        <w:tc>
          <w:tcPr>
            <w:tcW w:w="2977" w:type="dxa"/>
            <w:shd w:val="clear" w:color="auto" w:fill="auto"/>
            <w:vAlign w:val="center"/>
          </w:tcPr>
          <w:p w:rsidR="006A5412" w:rsidRPr="0098181D" w:rsidRDefault="006A5412" w:rsidP="006A5412">
            <w:pPr>
              <w:jc w:val="center"/>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“LA RESPUESTA.” (sic)</w:t>
            </w:r>
          </w:p>
        </w:tc>
        <w:tc>
          <w:tcPr>
            <w:tcW w:w="3043" w:type="dxa"/>
            <w:shd w:val="clear" w:color="auto" w:fill="auto"/>
          </w:tcPr>
          <w:p w:rsidR="006A5412" w:rsidRPr="0098181D" w:rsidRDefault="006A5412" w:rsidP="006A5412">
            <w:pPr>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“ACTA DE COMITE PARA CLASIFICAR INFORMACIÓN” (sic)</w:t>
            </w:r>
          </w:p>
        </w:tc>
      </w:tr>
    </w:tbl>
    <w:p w:rsidR="008D19A0" w:rsidRPr="0098181D" w:rsidRDefault="006E1D9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4</w:t>
      </w:r>
      <w:r w:rsidR="001B5ADE" w:rsidRPr="0098181D">
        <w:rPr>
          <w:rFonts w:ascii="Palatino Linotype" w:eastAsia="Palatino Linotype" w:hAnsi="Palatino Linotype" w:cs="Palatino Linotype"/>
          <w:b/>
        </w:rPr>
        <w:t>. Turno.</w:t>
      </w:r>
      <w:r w:rsidR="001B5ADE" w:rsidRPr="0098181D">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001B5ADE" w:rsidRPr="0098181D">
        <w:rPr>
          <w:rFonts w:ascii="Palatino Linotype" w:eastAsia="Palatino Linotype" w:hAnsi="Palatino Linotype" w:cs="Palatino Linotype"/>
          <w:b/>
        </w:rPr>
        <w:t xml:space="preserve"> Guadalupe Ramírez Peña</w:t>
      </w:r>
      <w:r w:rsidR="006C10C1" w:rsidRPr="0098181D">
        <w:rPr>
          <w:rFonts w:ascii="Palatino Linotype" w:eastAsia="Palatino Linotype" w:hAnsi="Palatino Linotype" w:cs="Palatino Linotype"/>
          <w:b/>
        </w:rPr>
        <w:t xml:space="preserve"> </w:t>
      </w:r>
      <w:r w:rsidR="006C10C1" w:rsidRPr="0098181D">
        <w:rPr>
          <w:rFonts w:ascii="Palatino Linotype" w:eastAsia="Palatino Linotype" w:hAnsi="Palatino Linotype" w:cs="Palatino Linotype"/>
        </w:rPr>
        <w:t xml:space="preserve">y </w:t>
      </w:r>
      <w:r w:rsidR="00F605A9" w:rsidRPr="0098181D">
        <w:rPr>
          <w:rFonts w:ascii="Palatino Linotype" w:eastAsia="Palatino Linotype" w:hAnsi="Palatino Linotype" w:cs="Palatino Linotype"/>
          <w:b/>
        </w:rPr>
        <w:t>María del Rosario Mejía Ayala</w:t>
      </w:r>
      <w:r w:rsidR="001B5ADE" w:rsidRPr="0098181D">
        <w:rPr>
          <w:rFonts w:ascii="Palatino Linotype" w:eastAsia="Palatino Linotype" w:hAnsi="Palatino Linotype" w:cs="Palatino Linotype"/>
          <w:b/>
        </w:rPr>
        <w:t xml:space="preserve">, </w:t>
      </w:r>
      <w:r w:rsidR="001B5ADE" w:rsidRPr="0098181D">
        <w:rPr>
          <w:rFonts w:ascii="Palatino Linotype" w:eastAsia="Palatino Linotype" w:hAnsi="Palatino Linotype" w:cs="Palatino Linotype"/>
        </w:rPr>
        <w:t xml:space="preserve">a efecto de que analizaran sobre su admisión o su </w:t>
      </w:r>
      <w:proofErr w:type="spellStart"/>
      <w:r w:rsidR="001B5ADE" w:rsidRPr="0098181D">
        <w:rPr>
          <w:rFonts w:ascii="Palatino Linotype" w:eastAsia="Palatino Linotype" w:hAnsi="Palatino Linotype" w:cs="Palatino Linotype"/>
        </w:rPr>
        <w:t>desechamiento</w:t>
      </w:r>
      <w:proofErr w:type="spellEnd"/>
      <w:r w:rsidR="001B5ADE" w:rsidRPr="0098181D">
        <w:rPr>
          <w:rFonts w:ascii="Palatino Linotype" w:eastAsia="Palatino Linotype" w:hAnsi="Palatino Linotype" w:cs="Palatino Linotype"/>
        </w:rPr>
        <w:t xml:space="preserve">. </w:t>
      </w:r>
    </w:p>
    <w:p w:rsidR="008D19A0" w:rsidRPr="0098181D" w:rsidRDefault="006E1D9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5</w:t>
      </w:r>
      <w:r w:rsidR="001B5ADE" w:rsidRPr="0098181D">
        <w:rPr>
          <w:rFonts w:ascii="Palatino Linotype" w:eastAsia="Palatino Linotype" w:hAnsi="Palatino Linotype" w:cs="Palatino Linotype"/>
          <w:b/>
        </w:rPr>
        <w:t xml:space="preserve">. Admisión de los Recursos de Revisión. </w:t>
      </w:r>
      <w:r w:rsidR="001B5ADE" w:rsidRPr="0098181D">
        <w:rPr>
          <w:rFonts w:ascii="Palatino Linotype" w:eastAsia="Palatino Linotype" w:hAnsi="Palatino Linotype" w:cs="Palatino Linotype"/>
        </w:rPr>
        <w:t xml:space="preserve">En fechas </w:t>
      </w:r>
      <w:r w:rsidR="00B02855" w:rsidRPr="0098181D">
        <w:rPr>
          <w:rFonts w:ascii="Palatino Linotype" w:eastAsia="Palatino Linotype" w:hAnsi="Palatino Linotype" w:cs="Palatino Linotype"/>
          <w:b/>
        </w:rPr>
        <w:t xml:space="preserve">once y doce de septiembre </w:t>
      </w:r>
      <w:r w:rsidR="00E3458A" w:rsidRPr="0098181D">
        <w:rPr>
          <w:rFonts w:ascii="Palatino Linotype" w:eastAsia="Palatino Linotype" w:hAnsi="Palatino Linotype" w:cs="Palatino Linotype"/>
          <w:b/>
        </w:rPr>
        <w:t xml:space="preserve">de dos </w:t>
      </w:r>
      <w:r w:rsidR="001B5ADE" w:rsidRPr="0098181D">
        <w:rPr>
          <w:rFonts w:ascii="Palatino Linotype" w:eastAsia="Palatino Linotype" w:hAnsi="Palatino Linotype" w:cs="Palatino Linotype"/>
          <w:b/>
        </w:rPr>
        <w:t>de dos mil veinti</w:t>
      </w:r>
      <w:r w:rsidR="00E3458A" w:rsidRPr="0098181D">
        <w:rPr>
          <w:rFonts w:ascii="Palatino Linotype" w:eastAsia="Palatino Linotype" w:hAnsi="Palatino Linotype" w:cs="Palatino Linotype"/>
          <w:b/>
        </w:rPr>
        <w:t>trés</w:t>
      </w:r>
      <w:r w:rsidR="001B5ADE" w:rsidRPr="0098181D">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rsidR="006418CC" w:rsidRPr="0098181D" w:rsidRDefault="006E1D92" w:rsidP="006418CC">
      <w:pPr>
        <w:pBdr>
          <w:top w:val="nil"/>
          <w:left w:val="nil"/>
          <w:bottom w:val="nil"/>
          <w:right w:val="nil"/>
          <w:between w:val="nil"/>
        </w:pBdr>
        <w:spacing w:before="240" w:after="240" w:line="360" w:lineRule="auto"/>
        <w:jc w:val="both"/>
      </w:pPr>
      <w:r w:rsidRPr="0098181D">
        <w:rPr>
          <w:rFonts w:ascii="Palatino Linotype" w:eastAsia="Palatino Linotype" w:hAnsi="Palatino Linotype" w:cs="Palatino Linotype"/>
          <w:b/>
        </w:rPr>
        <w:t>6</w:t>
      </w:r>
      <w:r w:rsidR="001B5ADE" w:rsidRPr="0098181D">
        <w:rPr>
          <w:rFonts w:ascii="Palatino Linotype" w:eastAsia="Palatino Linotype" w:hAnsi="Palatino Linotype" w:cs="Palatino Linotype"/>
          <w:b/>
        </w:rPr>
        <w:t xml:space="preserve">. Acumulación de los recursos de revisión. </w:t>
      </w:r>
      <w:r w:rsidR="001B5ADE" w:rsidRPr="0098181D">
        <w:rPr>
          <w:rFonts w:ascii="Palatino Linotype" w:eastAsia="Palatino Linotype" w:hAnsi="Palatino Linotype" w:cs="Palatino Linotype"/>
        </w:rPr>
        <w:t>Al respecto cabe señalar, que el</w:t>
      </w:r>
      <w:r w:rsidR="00C064E7" w:rsidRPr="0098181D">
        <w:rPr>
          <w:rFonts w:ascii="Palatino Linotype" w:eastAsia="Palatino Linotype" w:hAnsi="Palatino Linotype" w:cs="Palatino Linotype"/>
        </w:rPr>
        <w:t xml:space="preserve"> Pleno de este Instituto, en la </w:t>
      </w:r>
      <w:r w:rsidR="000B7A64" w:rsidRPr="0098181D">
        <w:rPr>
          <w:rFonts w:ascii="Palatino Linotype" w:eastAsia="Palatino Linotype" w:hAnsi="Palatino Linotype" w:cs="Palatino Linotype"/>
          <w:b/>
        </w:rPr>
        <w:t>Trigésimo Quinta</w:t>
      </w:r>
      <w:r w:rsidR="001B5ADE" w:rsidRPr="0098181D">
        <w:rPr>
          <w:rFonts w:ascii="Palatino Linotype" w:eastAsia="Palatino Linotype" w:hAnsi="Palatino Linotype" w:cs="Palatino Linotype"/>
          <w:b/>
        </w:rPr>
        <w:t xml:space="preserve"> Sesión</w:t>
      </w:r>
      <w:r w:rsidR="001B5ADE" w:rsidRPr="0098181D">
        <w:rPr>
          <w:rFonts w:ascii="Palatino Linotype" w:eastAsia="Palatino Linotype" w:hAnsi="Palatino Linotype" w:cs="Palatino Linotype"/>
        </w:rPr>
        <w:t xml:space="preserve"> </w:t>
      </w:r>
      <w:r w:rsidR="001B5ADE" w:rsidRPr="0098181D">
        <w:rPr>
          <w:rFonts w:ascii="Palatino Linotype" w:eastAsia="Palatino Linotype" w:hAnsi="Palatino Linotype" w:cs="Palatino Linotype"/>
          <w:b/>
        </w:rPr>
        <w:t>Ordinaria</w:t>
      </w:r>
      <w:r w:rsidR="001B5ADE" w:rsidRPr="0098181D">
        <w:rPr>
          <w:rFonts w:ascii="Palatino Linotype" w:eastAsia="Palatino Linotype" w:hAnsi="Palatino Linotype" w:cs="Palatino Linotype"/>
        </w:rPr>
        <w:t xml:space="preserve"> de fecha</w:t>
      </w:r>
      <w:r w:rsidR="001B5ADE" w:rsidRPr="0098181D">
        <w:rPr>
          <w:rFonts w:ascii="Palatino Linotype" w:eastAsia="Palatino Linotype" w:hAnsi="Palatino Linotype" w:cs="Palatino Linotype"/>
          <w:b/>
        </w:rPr>
        <w:t xml:space="preserve"> </w:t>
      </w:r>
      <w:r w:rsidR="006C10C1" w:rsidRPr="0098181D">
        <w:rPr>
          <w:rFonts w:ascii="Palatino Linotype" w:eastAsia="Palatino Linotype" w:hAnsi="Palatino Linotype" w:cs="Palatino Linotype"/>
          <w:b/>
        </w:rPr>
        <w:t>veinti</w:t>
      </w:r>
      <w:r w:rsidR="00BE030D" w:rsidRPr="0098181D">
        <w:rPr>
          <w:rFonts w:ascii="Palatino Linotype" w:eastAsia="Palatino Linotype" w:hAnsi="Palatino Linotype" w:cs="Palatino Linotype"/>
          <w:b/>
        </w:rPr>
        <w:t xml:space="preserve">siete de septiembre </w:t>
      </w:r>
      <w:r w:rsidR="001B5ADE" w:rsidRPr="0098181D">
        <w:rPr>
          <w:rFonts w:ascii="Palatino Linotype" w:eastAsia="Palatino Linotype" w:hAnsi="Palatino Linotype" w:cs="Palatino Linotype"/>
          <w:b/>
        </w:rPr>
        <w:t>de dos mil veinti</w:t>
      </w:r>
      <w:r w:rsidR="00C064E7" w:rsidRPr="0098181D">
        <w:rPr>
          <w:rFonts w:ascii="Palatino Linotype" w:eastAsia="Palatino Linotype" w:hAnsi="Palatino Linotype" w:cs="Palatino Linotype"/>
          <w:b/>
        </w:rPr>
        <w:t>trés</w:t>
      </w:r>
      <w:r w:rsidR="006418CC" w:rsidRPr="0098181D">
        <w:rPr>
          <w:rFonts w:ascii="Palatino Linotype" w:eastAsia="Palatino Linotype" w:hAnsi="Palatino Linotype" w:cs="Palatino Linotype"/>
          <w:b/>
        </w:rPr>
        <w:t>,</w:t>
      </w:r>
      <w:r w:rsidR="006418CC" w:rsidRPr="0098181D">
        <w:rPr>
          <w:rFonts w:ascii="Palatino Linotype" w:eastAsia="Palatino Linotype" w:hAnsi="Palatino Linotype" w:cs="Palatino Linotype"/>
        </w:rPr>
        <w:t xml:space="preserve"> ordenó la acumulación de los expedientes citados, </w:t>
      </w:r>
      <w:r w:rsidR="006418CC" w:rsidRPr="0098181D">
        <w:rPr>
          <w:rFonts w:ascii="Palatino Linotype" w:eastAsia="Palatino Linotype" w:hAnsi="Palatino Linotype" w:cs="Palatino Linotype"/>
        </w:rPr>
        <w:lastRenderedPageBreak/>
        <w:t xml:space="preserve">a efecto de que la Comisionada </w:t>
      </w:r>
      <w:r w:rsidR="006418CC" w:rsidRPr="0098181D">
        <w:rPr>
          <w:rFonts w:ascii="Palatino Linotype" w:eastAsia="Palatino Linotype" w:hAnsi="Palatino Linotype" w:cs="Palatino Linotype"/>
          <w:b/>
        </w:rPr>
        <w:t xml:space="preserve">Guadalupe Ramírez Peña </w:t>
      </w:r>
      <w:r w:rsidR="006418CC" w:rsidRPr="0098181D">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8D19A0" w:rsidRPr="0098181D" w:rsidRDefault="001B5ADE">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8181D">
        <w:rPr>
          <w:rFonts w:ascii="Palatino Linotype" w:eastAsia="Palatino Linotype" w:hAnsi="Palatino Linotype" w:cs="Palatino Linotype"/>
          <w:b/>
          <w:i/>
          <w:sz w:val="22"/>
          <w:szCs w:val="22"/>
        </w:rPr>
        <w:t>Código de Procedimientos Administrativos del Estado de México</w:t>
      </w:r>
    </w:p>
    <w:p w:rsidR="008D19A0" w:rsidRPr="0098181D" w:rsidRDefault="001B5ADE">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8181D">
        <w:rPr>
          <w:rFonts w:ascii="Palatino Linotype" w:eastAsia="Palatino Linotype" w:hAnsi="Palatino Linotype" w:cs="Palatino Linotype"/>
          <w:b/>
          <w:i/>
          <w:sz w:val="22"/>
          <w:szCs w:val="22"/>
        </w:rPr>
        <w:t>“Artículo 18.-</w:t>
      </w:r>
      <w:r w:rsidRPr="0098181D">
        <w:rPr>
          <w:rFonts w:ascii="Palatino Linotype" w:eastAsia="Palatino Linotype" w:hAnsi="Palatino Linotype" w:cs="Palatino Linotype"/>
          <w:i/>
          <w:sz w:val="22"/>
          <w:szCs w:val="22"/>
        </w:rPr>
        <w:t xml:space="preserve"> </w:t>
      </w:r>
      <w:r w:rsidRPr="0098181D">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98181D">
        <w:rPr>
          <w:rFonts w:ascii="Palatino Linotype" w:eastAsia="Palatino Linotype" w:hAnsi="Palatino Linotype" w:cs="Palatino Linotype"/>
          <w:i/>
          <w:sz w:val="22"/>
          <w:szCs w:val="22"/>
        </w:rPr>
        <w:t xml:space="preserve"> o a petición de parte, </w:t>
      </w:r>
      <w:r w:rsidRPr="0098181D">
        <w:rPr>
          <w:rFonts w:ascii="Palatino Linotype" w:eastAsia="Palatino Linotype" w:hAnsi="Palatino Linotype" w:cs="Palatino Linotype"/>
          <w:b/>
          <w:i/>
          <w:sz w:val="22"/>
          <w:szCs w:val="22"/>
        </w:rPr>
        <w:t>cuando las partes</w:t>
      </w:r>
      <w:r w:rsidRPr="0098181D">
        <w:rPr>
          <w:rFonts w:ascii="Palatino Linotype" w:eastAsia="Palatino Linotype" w:hAnsi="Palatino Linotype" w:cs="Palatino Linotype"/>
          <w:i/>
          <w:sz w:val="22"/>
          <w:szCs w:val="22"/>
        </w:rPr>
        <w:t xml:space="preserve"> o los actos administrativos sean iguales, se trate de actos conexos o </w:t>
      </w:r>
      <w:r w:rsidRPr="0098181D">
        <w:rPr>
          <w:rFonts w:ascii="Palatino Linotype" w:eastAsia="Palatino Linotype" w:hAnsi="Palatino Linotype" w:cs="Palatino Linotype"/>
          <w:b/>
          <w:i/>
          <w:sz w:val="22"/>
          <w:szCs w:val="22"/>
        </w:rPr>
        <w:t>resulte conveniente el trámite unificado de los asuntos, para evitar la emisión de resoluciones contradictorias</w:t>
      </w:r>
      <w:r w:rsidRPr="0098181D">
        <w:rPr>
          <w:rFonts w:ascii="Palatino Linotype" w:eastAsia="Palatino Linotype" w:hAnsi="Palatino Linotype" w:cs="Palatino Linotype"/>
          <w:i/>
          <w:sz w:val="22"/>
          <w:szCs w:val="22"/>
        </w:rPr>
        <w:t>. La misma regla se aplicará, en lo conducente, para la separación de los expedientes.”</w:t>
      </w:r>
    </w:p>
    <w:p w:rsidR="008D19A0" w:rsidRPr="0098181D" w:rsidRDefault="001B5ADE">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8181D">
        <w:rPr>
          <w:rFonts w:ascii="Palatino Linotype" w:eastAsia="Palatino Linotype" w:hAnsi="Palatino Linotype" w:cs="Palatino Linotype"/>
          <w:b/>
          <w:i/>
          <w:sz w:val="22"/>
          <w:szCs w:val="22"/>
        </w:rPr>
        <w:t>Ley de Transparencia y Acceso a la Información Pública del Estado de México y Municipios</w:t>
      </w:r>
    </w:p>
    <w:p w:rsidR="008D19A0" w:rsidRPr="0098181D" w:rsidRDefault="001B5ADE">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98181D">
        <w:rPr>
          <w:rFonts w:ascii="Palatino Linotype" w:eastAsia="Palatino Linotype" w:hAnsi="Palatino Linotype" w:cs="Palatino Linotype"/>
          <w:b/>
          <w:i/>
          <w:sz w:val="22"/>
          <w:szCs w:val="22"/>
        </w:rPr>
        <w:t>“Artículo 195.-</w:t>
      </w:r>
      <w:r w:rsidRPr="0098181D">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6A5412" w:rsidRPr="0098181D" w:rsidRDefault="006E1D92" w:rsidP="006A541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7</w:t>
      </w:r>
      <w:r w:rsidR="001B5ADE" w:rsidRPr="0098181D">
        <w:rPr>
          <w:rFonts w:ascii="Palatino Linotype" w:eastAsia="Palatino Linotype" w:hAnsi="Palatino Linotype" w:cs="Palatino Linotype"/>
          <w:b/>
        </w:rPr>
        <w:t xml:space="preserve">. Manifestaciones. </w:t>
      </w:r>
      <w:r w:rsidR="006A5412" w:rsidRPr="0098181D">
        <w:rPr>
          <w:rFonts w:ascii="Palatino Linotype" w:eastAsia="Palatino Linotype" w:hAnsi="Palatino Linotype" w:cs="Palatino Linotype"/>
        </w:rPr>
        <w:t xml:space="preserve">De las constancias que obran en los expedientes electrónicos del SAIMEX se desprende que el </w:t>
      </w:r>
      <w:r w:rsidR="006A5412" w:rsidRPr="0098181D">
        <w:rPr>
          <w:rFonts w:ascii="Palatino Linotype" w:eastAsia="Palatino Linotype" w:hAnsi="Palatino Linotype" w:cs="Palatino Linotype"/>
          <w:b/>
        </w:rPr>
        <w:t>Sujeto Obligado</w:t>
      </w:r>
      <w:r w:rsidR="006A5412" w:rsidRPr="0098181D">
        <w:rPr>
          <w:rFonts w:ascii="Palatino Linotype" w:eastAsia="Palatino Linotype" w:hAnsi="Palatino Linotype" w:cs="Palatino Linotype"/>
        </w:rPr>
        <w:t xml:space="preserve"> no rindió su informe justificado, del mismo modo la parte </w:t>
      </w:r>
      <w:r w:rsidR="006A5412" w:rsidRPr="0098181D">
        <w:rPr>
          <w:rFonts w:ascii="Palatino Linotype" w:eastAsia="Palatino Linotype" w:hAnsi="Palatino Linotype" w:cs="Palatino Linotype"/>
          <w:b/>
        </w:rPr>
        <w:t>Recurrente</w:t>
      </w:r>
      <w:r w:rsidR="006A5412" w:rsidRPr="0098181D">
        <w:rPr>
          <w:rFonts w:ascii="Palatino Linotype" w:eastAsia="Palatino Linotype" w:hAnsi="Palatino Linotype" w:cs="Palatino Linotype"/>
        </w:rPr>
        <w:t xml:space="preserve"> omitió realizar manifestaciones, como se observa a continuación:</w:t>
      </w:r>
    </w:p>
    <w:p w:rsidR="006A5412" w:rsidRPr="0098181D" w:rsidRDefault="006A5412" w:rsidP="006A5412">
      <w:pPr>
        <w:spacing w:before="240" w:after="240" w:line="360" w:lineRule="auto"/>
        <w:jc w:val="both"/>
        <w:rPr>
          <w:rFonts w:ascii="Palatino Linotype" w:eastAsia="Palatino Linotype" w:hAnsi="Palatino Linotype" w:cs="Palatino Linotype"/>
        </w:rPr>
      </w:pPr>
      <w:r w:rsidRPr="0098181D">
        <w:rPr>
          <w:noProof/>
          <w:lang w:eastAsia="es-MX"/>
        </w:rPr>
        <w:lastRenderedPageBreak/>
        <w:drawing>
          <wp:inline distT="0" distB="0" distL="0" distR="0" wp14:anchorId="55ABA795" wp14:editId="3548D333">
            <wp:extent cx="5612130" cy="162623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6235"/>
                    </a:xfrm>
                    <a:prstGeom prst="rect">
                      <a:avLst/>
                    </a:prstGeom>
                  </pic:spPr>
                </pic:pic>
              </a:graphicData>
            </a:graphic>
          </wp:inline>
        </w:drawing>
      </w:r>
    </w:p>
    <w:p w:rsidR="006A5412" w:rsidRPr="0098181D" w:rsidRDefault="006A5412" w:rsidP="006A5412">
      <w:pPr>
        <w:spacing w:before="240" w:after="240" w:line="360" w:lineRule="auto"/>
        <w:jc w:val="both"/>
        <w:rPr>
          <w:rFonts w:ascii="Palatino Linotype" w:eastAsia="Palatino Linotype" w:hAnsi="Palatino Linotype" w:cs="Palatino Linotype"/>
        </w:rPr>
      </w:pPr>
      <w:r w:rsidRPr="0098181D">
        <w:rPr>
          <w:noProof/>
          <w:lang w:eastAsia="es-MX"/>
        </w:rPr>
        <w:drawing>
          <wp:inline distT="0" distB="0" distL="0" distR="0" wp14:anchorId="2BF417DD" wp14:editId="038058B4">
            <wp:extent cx="5612130" cy="16446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644650"/>
                    </a:xfrm>
                    <a:prstGeom prst="rect">
                      <a:avLst/>
                    </a:prstGeom>
                  </pic:spPr>
                </pic:pic>
              </a:graphicData>
            </a:graphic>
          </wp:inline>
        </w:drawing>
      </w:r>
    </w:p>
    <w:p w:rsidR="00DD3560" w:rsidRPr="0098181D" w:rsidRDefault="006E1D92" w:rsidP="00DD3560">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8</w:t>
      </w:r>
      <w:r w:rsidR="001B5ADE" w:rsidRPr="0098181D">
        <w:rPr>
          <w:rFonts w:ascii="Palatino Linotype" w:eastAsia="Palatino Linotype" w:hAnsi="Palatino Linotype" w:cs="Palatino Linotype"/>
          <w:b/>
        </w:rPr>
        <w:t xml:space="preserve">. </w:t>
      </w:r>
      <w:r w:rsidR="00DD3560" w:rsidRPr="0098181D">
        <w:rPr>
          <w:rFonts w:ascii="Palatino Linotype" w:eastAsia="Palatino Linotype" w:hAnsi="Palatino Linotype" w:cs="Palatino Linotype"/>
          <w:b/>
        </w:rPr>
        <w:t xml:space="preserve">Cierre de Instrucción. </w:t>
      </w:r>
      <w:r w:rsidR="00DD3560" w:rsidRPr="0098181D">
        <w:rPr>
          <w:rFonts w:ascii="Palatino Linotype" w:eastAsia="Palatino Linotype" w:hAnsi="Palatino Linotype" w:cs="Palatino Linotype"/>
        </w:rPr>
        <w:t xml:space="preserve">En fecha </w:t>
      </w:r>
      <w:r w:rsidR="0080372F" w:rsidRPr="0098181D">
        <w:rPr>
          <w:rFonts w:ascii="Palatino Linotype" w:eastAsia="Palatino Linotype" w:hAnsi="Palatino Linotype" w:cs="Palatino Linotype"/>
          <w:b/>
        </w:rPr>
        <w:t>nueve de octubre de dos mil veintitrés</w:t>
      </w:r>
      <w:r w:rsidR="00DD3560" w:rsidRPr="0098181D">
        <w:rPr>
          <w:rFonts w:ascii="Palatino Linotype" w:eastAsia="Palatino Linotype" w:hAnsi="Palatino Linotype" w:cs="Palatino Linotype"/>
          <w:b/>
        </w:rPr>
        <w:t xml:space="preserve">, </w:t>
      </w:r>
      <w:r w:rsidR="00DD3560" w:rsidRPr="0098181D">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rsidR="008D19A0" w:rsidRPr="0098181D" w:rsidRDefault="00DD3560">
      <w:pPr>
        <w:spacing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 xml:space="preserve">9. </w:t>
      </w:r>
      <w:r w:rsidR="001B5ADE" w:rsidRPr="0098181D">
        <w:rPr>
          <w:rFonts w:ascii="Palatino Linotype" w:eastAsia="Palatino Linotype" w:hAnsi="Palatino Linotype" w:cs="Palatino Linotype"/>
          <w:b/>
        </w:rPr>
        <w:t>Ampliación del término para resolver</w:t>
      </w:r>
      <w:r w:rsidR="008329CD" w:rsidRPr="0098181D">
        <w:rPr>
          <w:rFonts w:ascii="Palatino Linotype" w:eastAsia="Palatino Linotype" w:hAnsi="Palatino Linotype" w:cs="Palatino Linotype"/>
        </w:rPr>
        <w:t>. En fecha</w:t>
      </w:r>
      <w:r w:rsidRPr="0098181D">
        <w:rPr>
          <w:rFonts w:ascii="Palatino Linotype" w:eastAsia="Palatino Linotype" w:hAnsi="Palatino Linotype" w:cs="Palatino Linotype"/>
        </w:rPr>
        <w:t xml:space="preserve"> </w:t>
      </w:r>
      <w:r w:rsidR="00B7381E" w:rsidRPr="0098181D">
        <w:rPr>
          <w:rFonts w:ascii="Palatino Linotype" w:eastAsia="Palatino Linotype" w:hAnsi="Palatino Linotype" w:cs="Palatino Linotype"/>
          <w:b/>
        </w:rPr>
        <w:t xml:space="preserve">veinticuatro </w:t>
      </w:r>
      <w:r w:rsidRPr="0098181D">
        <w:rPr>
          <w:rFonts w:ascii="Palatino Linotype" w:eastAsia="Palatino Linotype" w:hAnsi="Palatino Linotype" w:cs="Palatino Linotype"/>
          <w:b/>
        </w:rPr>
        <w:t xml:space="preserve">de octubre </w:t>
      </w:r>
      <w:r w:rsidR="001B5ADE" w:rsidRPr="0098181D">
        <w:rPr>
          <w:rFonts w:ascii="Palatino Linotype" w:eastAsia="Palatino Linotype" w:hAnsi="Palatino Linotype" w:cs="Palatino Linotype"/>
          <w:b/>
        </w:rPr>
        <w:t>de dos mil veintitrés</w:t>
      </w:r>
      <w:r w:rsidR="001B5ADE" w:rsidRPr="0098181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lastRenderedPageBreak/>
        <w:t xml:space="preserve">En razón de que fueron debidamente sustanciados los expedientes electrónicos y no existe diligencia pendiente de desahogo, se emite la Resolución que conforme a Derecho proceda, de acuerdo con los siguientes: </w:t>
      </w:r>
    </w:p>
    <w:p w:rsidR="008D19A0" w:rsidRPr="0098181D" w:rsidRDefault="001B5AD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8181D">
        <w:rPr>
          <w:rFonts w:ascii="Palatino Linotype" w:eastAsia="Palatino Linotype" w:hAnsi="Palatino Linotype" w:cs="Palatino Linotype"/>
          <w:b/>
        </w:rPr>
        <w:t>II. C O N S I D E R A N D O S:</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Primero. Competencia.</w:t>
      </w:r>
      <w:r w:rsidRPr="0098181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 xml:space="preserve">Segundo. Oportunidad y </w:t>
      </w:r>
      <w:proofErr w:type="spellStart"/>
      <w:r w:rsidRPr="0098181D">
        <w:rPr>
          <w:rFonts w:ascii="Palatino Linotype" w:eastAsia="Palatino Linotype" w:hAnsi="Palatino Linotype" w:cs="Palatino Linotype"/>
          <w:b/>
        </w:rPr>
        <w:t>Procedibilidad</w:t>
      </w:r>
      <w:proofErr w:type="spellEnd"/>
      <w:r w:rsidRPr="0098181D">
        <w:rPr>
          <w:rFonts w:ascii="Palatino Linotype" w:eastAsia="Palatino Linotype" w:hAnsi="Palatino Linotype" w:cs="Palatino Linotype"/>
          <w:b/>
        </w:rPr>
        <w:t xml:space="preserve"> del Recurso de Revisión</w:t>
      </w:r>
      <w:r w:rsidRPr="0098181D">
        <w:rPr>
          <w:rFonts w:ascii="Palatino Linotype" w:eastAsia="Palatino Linotype" w:hAnsi="Palatino Linotype" w:cs="Palatino Linotype"/>
        </w:rPr>
        <w:t xml:space="preserve">. Previo al estudio del fondo del asunto, se procede a analizar los requisitos de oportunidad y </w:t>
      </w:r>
      <w:proofErr w:type="spellStart"/>
      <w:r w:rsidRPr="0098181D">
        <w:rPr>
          <w:rFonts w:ascii="Palatino Linotype" w:eastAsia="Palatino Linotype" w:hAnsi="Palatino Linotype" w:cs="Palatino Linotype"/>
        </w:rPr>
        <w:t>procedibilidad</w:t>
      </w:r>
      <w:proofErr w:type="spellEnd"/>
      <w:r w:rsidRPr="0098181D">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y Acceso a la Información Pública del Estado de México y Municipios, toda vez que el </w:t>
      </w:r>
      <w:r w:rsidRPr="0098181D">
        <w:rPr>
          <w:rFonts w:ascii="Palatino Linotype" w:eastAsia="Palatino Linotype" w:hAnsi="Palatino Linotype" w:cs="Palatino Linotype"/>
          <w:b/>
        </w:rPr>
        <w:t xml:space="preserve">Sujeto Obligado </w:t>
      </w:r>
      <w:r w:rsidRPr="0098181D">
        <w:rPr>
          <w:rFonts w:ascii="Palatino Linotype" w:eastAsia="Palatino Linotype" w:hAnsi="Palatino Linotype" w:cs="Palatino Linotype"/>
        </w:rPr>
        <w:t xml:space="preserve">remitió la respuesta a las solicitudes de información </w:t>
      </w:r>
      <w:r w:rsidR="0076575D" w:rsidRPr="0098181D">
        <w:rPr>
          <w:rFonts w:ascii="Palatino Linotype" w:eastAsia="Palatino Linotype" w:hAnsi="Palatino Linotype" w:cs="Palatino Linotype"/>
        </w:rPr>
        <w:t xml:space="preserve">el día </w:t>
      </w:r>
      <w:r w:rsidR="0080372F" w:rsidRPr="0098181D">
        <w:rPr>
          <w:rFonts w:ascii="Palatino Linotype" w:eastAsia="Palatino Linotype" w:hAnsi="Palatino Linotype" w:cs="Palatino Linotype"/>
          <w:b/>
        </w:rPr>
        <w:t>seis de septiembre</w:t>
      </w:r>
      <w:r w:rsidR="00957B05" w:rsidRPr="0098181D">
        <w:rPr>
          <w:rFonts w:ascii="Palatino Linotype" w:eastAsia="Palatino Linotype" w:hAnsi="Palatino Linotype" w:cs="Palatino Linotype"/>
          <w:b/>
        </w:rPr>
        <w:t xml:space="preserve"> de dos mil veintitrés</w:t>
      </w:r>
      <w:r w:rsidRPr="0098181D">
        <w:rPr>
          <w:rFonts w:ascii="Palatino Linotype" w:eastAsia="Palatino Linotype" w:hAnsi="Palatino Linotype" w:cs="Palatino Linotype"/>
          <w:b/>
        </w:rPr>
        <w:t xml:space="preserve">, </w:t>
      </w:r>
      <w:r w:rsidRPr="0098181D">
        <w:rPr>
          <w:rFonts w:ascii="Palatino Linotype" w:eastAsia="Palatino Linotype" w:hAnsi="Palatino Linotype" w:cs="Palatino Linotype"/>
        </w:rPr>
        <w:t xml:space="preserve">mientras que los recursos de revisión interpuestos por la parte </w:t>
      </w:r>
      <w:r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rPr>
        <w:t xml:space="preserve">, se tuvieron por presentados </w:t>
      </w:r>
      <w:r w:rsidR="008A34CE" w:rsidRPr="0098181D">
        <w:rPr>
          <w:rFonts w:ascii="Palatino Linotype" w:eastAsia="Palatino Linotype" w:hAnsi="Palatino Linotype" w:cs="Palatino Linotype"/>
        </w:rPr>
        <w:t xml:space="preserve">el día </w:t>
      </w:r>
      <w:r w:rsidR="0080372F" w:rsidRPr="0098181D">
        <w:rPr>
          <w:rFonts w:ascii="Palatino Linotype" w:eastAsia="Palatino Linotype" w:hAnsi="Palatino Linotype" w:cs="Palatino Linotype"/>
          <w:b/>
        </w:rPr>
        <w:t>siete de septiembre</w:t>
      </w:r>
      <w:r w:rsidR="0076575D" w:rsidRPr="0098181D">
        <w:rPr>
          <w:rFonts w:ascii="Palatino Linotype" w:eastAsia="Palatino Linotype" w:hAnsi="Palatino Linotype" w:cs="Palatino Linotype"/>
          <w:b/>
        </w:rPr>
        <w:t xml:space="preserve"> </w:t>
      </w:r>
      <w:r w:rsidR="008A34CE" w:rsidRPr="0098181D">
        <w:rPr>
          <w:rFonts w:ascii="Palatino Linotype" w:eastAsia="Palatino Linotype" w:hAnsi="Palatino Linotype" w:cs="Palatino Linotype"/>
          <w:b/>
        </w:rPr>
        <w:t>de dos mil veintitrés</w:t>
      </w:r>
      <w:r w:rsidR="008A34CE" w:rsidRPr="0098181D">
        <w:rPr>
          <w:rFonts w:ascii="Palatino Linotype" w:eastAsia="Palatino Linotype" w:hAnsi="Palatino Linotype" w:cs="Palatino Linotype"/>
        </w:rPr>
        <w:t xml:space="preserve">, esto es </w:t>
      </w:r>
      <w:r w:rsidR="0076575D" w:rsidRPr="0098181D">
        <w:rPr>
          <w:rFonts w:ascii="Palatino Linotype" w:eastAsia="Palatino Linotype" w:hAnsi="Palatino Linotype" w:cs="Palatino Linotype"/>
        </w:rPr>
        <w:t xml:space="preserve">al </w:t>
      </w:r>
      <w:r w:rsidR="005A1997" w:rsidRPr="0098181D">
        <w:rPr>
          <w:rFonts w:ascii="Palatino Linotype" w:eastAsia="Palatino Linotype" w:hAnsi="Palatino Linotype" w:cs="Palatino Linotype"/>
        </w:rPr>
        <w:t>siguiente</w:t>
      </w:r>
      <w:r w:rsidR="0076575D" w:rsidRPr="0098181D">
        <w:rPr>
          <w:rFonts w:ascii="Palatino Linotype" w:eastAsia="Palatino Linotype" w:hAnsi="Palatino Linotype" w:cs="Palatino Linotype"/>
        </w:rPr>
        <w:t xml:space="preserve"> día hábil posterior </w:t>
      </w:r>
      <w:r w:rsidRPr="0098181D">
        <w:rPr>
          <w:rFonts w:ascii="Palatino Linotype" w:eastAsia="Palatino Linotype" w:hAnsi="Palatino Linotype" w:cs="Palatino Linotype"/>
        </w:rPr>
        <w:t>en que tuvo conocimiento</w:t>
      </w:r>
      <w:r w:rsidR="00214836" w:rsidRPr="0098181D">
        <w:rPr>
          <w:rFonts w:ascii="Palatino Linotype" w:eastAsia="Palatino Linotype" w:hAnsi="Palatino Linotype" w:cs="Palatino Linotype"/>
        </w:rPr>
        <w:t xml:space="preserve"> de las respuestas impugnadas</w:t>
      </w:r>
      <w:r w:rsidRPr="0098181D">
        <w:rPr>
          <w:rFonts w:ascii="Palatino Linotype" w:eastAsia="Palatino Linotype" w:hAnsi="Palatino Linotype" w:cs="Palatino Linotype"/>
        </w:rPr>
        <w:t>. En este sentido, se concluye que los presentes recurso</w:t>
      </w:r>
      <w:r w:rsidR="005E72D3" w:rsidRPr="0098181D">
        <w:rPr>
          <w:rFonts w:ascii="Palatino Linotype" w:eastAsia="Palatino Linotype" w:hAnsi="Palatino Linotype" w:cs="Palatino Linotype"/>
        </w:rPr>
        <w:t>s</w:t>
      </w:r>
      <w:r w:rsidRPr="0098181D">
        <w:rPr>
          <w:rFonts w:ascii="Palatino Linotype" w:eastAsia="Palatino Linotype" w:hAnsi="Palatino Linotype" w:cs="Palatino Linotype"/>
        </w:rPr>
        <w:t xml:space="preserve"> de revisión se encuentran dentro de los márgenes temporales previstos en las disposiciones legales referidas.</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Al mismo tiempo, por cuanto hace a la </w:t>
      </w:r>
      <w:proofErr w:type="spellStart"/>
      <w:r w:rsidRPr="0098181D">
        <w:rPr>
          <w:rFonts w:ascii="Palatino Linotype" w:eastAsia="Palatino Linotype" w:hAnsi="Palatino Linotype" w:cs="Palatino Linotype"/>
        </w:rPr>
        <w:t>procedibilidad</w:t>
      </w:r>
      <w:proofErr w:type="spellEnd"/>
      <w:r w:rsidRPr="0098181D">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5A1997" w:rsidRPr="0098181D" w:rsidRDefault="005A1997" w:rsidP="005A1997">
      <w:pPr>
        <w:spacing w:before="240" w:after="240" w:line="360" w:lineRule="auto"/>
        <w:jc w:val="both"/>
        <w:rPr>
          <w:rFonts w:ascii="Palatino Linotype" w:hAnsi="Palatino Linotype" w:cs="Arial"/>
        </w:rPr>
      </w:pPr>
      <w:r w:rsidRPr="0098181D">
        <w:rPr>
          <w:rFonts w:ascii="Palatino Linotype" w:hAnsi="Palatino Linotype" w:cs="Arial"/>
        </w:rPr>
        <w:t xml:space="preserve">A efecto de sustentar lo anterior, es de suma importancia mencionar que si bien la persona solicitante </w:t>
      </w:r>
      <w:r w:rsidRPr="0098181D">
        <w:rPr>
          <w:rFonts w:ascii="Palatino Linotype" w:hAnsi="Palatino Linotype" w:cs="Arial"/>
          <w:b/>
          <w:bCs/>
        </w:rPr>
        <w:t xml:space="preserve">no proporcionó nombre </w:t>
      </w:r>
      <w:r w:rsidRPr="0098181D">
        <w:rPr>
          <w:rFonts w:ascii="Palatino Linotype" w:hAnsi="Palatino Linotype" w:cs="Arial"/>
        </w:rPr>
        <w:t xml:space="preserve">como se advierte en el detalle de seguimiento del SAIMEX, el no proporcionar un nombre completo no es motivo para archivar la solicitud de acceso a la información pública como concluida, conforme a lo previsto en el artículo 155, penúltimo párrafo de la Ley de </w:t>
      </w:r>
      <w:r w:rsidRPr="0098181D">
        <w:rPr>
          <w:rFonts w:ascii="Palatino Linotype" w:hAnsi="Palatino Linotype" w:cs="Arial"/>
        </w:rPr>
        <w:lastRenderedPageBreak/>
        <w:t>Transparencia y Acceso a la Información Pública del Estado de México y Municipios que establece lo siguiente:</w:t>
      </w:r>
    </w:p>
    <w:p w:rsidR="005A1997" w:rsidRPr="0098181D" w:rsidRDefault="005A1997" w:rsidP="005A1997">
      <w:pPr>
        <w:spacing w:before="120" w:after="120"/>
        <w:ind w:left="851" w:right="902"/>
        <w:jc w:val="both"/>
        <w:rPr>
          <w:rFonts w:ascii="Palatino Linotype" w:hAnsi="Palatino Linotype" w:cs="Arial"/>
          <w:sz w:val="20"/>
        </w:rPr>
      </w:pPr>
      <w:r w:rsidRPr="0098181D">
        <w:rPr>
          <w:rFonts w:ascii="Palatino Linotype" w:hAnsi="Palatino Linotype" w:cs="Arial"/>
          <w:i/>
          <w:iCs/>
          <w:sz w:val="22"/>
        </w:rPr>
        <w:t>"</w:t>
      </w:r>
      <w:r w:rsidRPr="0098181D">
        <w:rPr>
          <w:rFonts w:ascii="Palatino Linotype" w:hAnsi="Palatino Linotype" w:cs="Arial"/>
          <w:b/>
          <w:bCs/>
          <w:i/>
          <w:iCs/>
          <w:sz w:val="22"/>
        </w:rPr>
        <w:t xml:space="preserve">Las solicitudes </w:t>
      </w:r>
      <w:r w:rsidRPr="0098181D">
        <w:rPr>
          <w:rFonts w:ascii="Palatino Linotype" w:hAnsi="Palatino Linotype" w:cs="Arial"/>
          <w:bCs/>
          <w:i/>
          <w:iCs/>
          <w:sz w:val="22"/>
        </w:rPr>
        <w:t>anónimas</w:t>
      </w:r>
      <w:r w:rsidRPr="0098181D">
        <w:rPr>
          <w:rFonts w:ascii="Palatino Linotype" w:hAnsi="Palatino Linotype" w:cs="Arial"/>
          <w:i/>
          <w:iCs/>
          <w:sz w:val="22"/>
        </w:rPr>
        <w:t xml:space="preserve">, </w:t>
      </w:r>
      <w:r w:rsidRPr="0098181D">
        <w:rPr>
          <w:rFonts w:ascii="Palatino Linotype" w:hAnsi="Palatino Linotype" w:cs="Arial"/>
          <w:b/>
          <w:i/>
          <w:iCs/>
          <w:sz w:val="22"/>
        </w:rPr>
        <w:t>con nombre incompleto</w:t>
      </w:r>
      <w:r w:rsidRPr="0098181D">
        <w:rPr>
          <w:rFonts w:ascii="Palatino Linotype" w:hAnsi="Palatino Linotype" w:cs="Arial"/>
          <w:i/>
          <w:iCs/>
          <w:sz w:val="22"/>
        </w:rPr>
        <w:t xml:space="preserve"> o seudónimo </w:t>
      </w:r>
      <w:r w:rsidRPr="0098181D">
        <w:rPr>
          <w:rFonts w:ascii="Palatino Linotype" w:hAnsi="Palatino Linotype" w:cs="Arial"/>
          <w:b/>
          <w:bCs/>
          <w:i/>
          <w:iCs/>
          <w:sz w:val="22"/>
        </w:rPr>
        <w:t>serán procedentes para su trámite por parte del sujeto obligado ante quien se presente</w:t>
      </w:r>
      <w:r w:rsidRPr="0098181D">
        <w:rPr>
          <w:rFonts w:ascii="Palatino Linotype" w:hAnsi="Palatino Linotype" w:cs="Arial"/>
          <w:i/>
          <w:iCs/>
          <w:sz w:val="22"/>
        </w:rPr>
        <w:t>. No podrá requerirse información adicional con motivo del nombre proporcionado por el solicitante."</w:t>
      </w:r>
    </w:p>
    <w:p w:rsidR="005A1997" w:rsidRPr="0098181D" w:rsidRDefault="005A1997" w:rsidP="005A1997">
      <w:pPr>
        <w:spacing w:before="240" w:after="240" w:line="360" w:lineRule="auto"/>
        <w:jc w:val="both"/>
        <w:rPr>
          <w:rFonts w:ascii="Palatino Linotype" w:hAnsi="Palatino Linotype" w:cs="Arial"/>
        </w:rPr>
      </w:pPr>
      <w:r w:rsidRPr="0098181D">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8181D">
        <w:rPr>
          <w:rFonts w:ascii="Palatino Linotype" w:hAnsi="Palatino Linotype"/>
          <w:b/>
        </w:rPr>
        <w:t>Recurrente</w:t>
      </w:r>
      <w:r w:rsidRPr="0098181D">
        <w:rPr>
          <w:rFonts w:ascii="Palatino Linotype" w:hAnsi="Palatino Linotype"/>
        </w:rPr>
        <w:t>, por lo que, en el presente caso, al haber sido presentado el recurso de revisión vía SAIMEX, dicho requisito resulta innecesario</w:t>
      </w:r>
      <w:r w:rsidRPr="0098181D">
        <w:rPr>
          <w:rFonts w:ascii="Palatino Linotype" w:hAnsi="Palatino Linotype" w:cs="Arial"/>
        </w:rPr>
        <w:t>.</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Finalmente, se advierte que resulta procedente la interposición de los recursos, según lo manifestado por la parte </w:t>
      </w:r>
      <w:r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rPr>
        <w:t xml:space="preserve"> en sus motivos de inconformidad, de </w:t>
      </w:r>
      <w:r w:rsidR="00932ECD" w:rsidRPr="0098181D">
        <w:rPr>
          <w:rFonts w:ascii="Palatino Linotype" w:eastAsia="Palatino Linotype" w:hAnsi="Palatino Linotype" w:cs="Palatino Linotype"/>
        </w:rPr>
        <w:t>acuerdo al artículo 179, fracció</w:t>
      </w:r>
      <w:r w:rsidRPr="0098181D">
        <w:rPr>
          <w:rFonts w:ascii="Palatino Linotype" w:eastAsia="Palatino Linotype" w:hAnsi="Palatino Linotype" w:cs="Palatino Linotype"/>
        </w:rPr>
        <w:t xml:space="preserve">n </w:t>
      </w:r>
      <w:r w:rsidR="005A1997" w:rsidRPr="0098181D">
        <w:rPr>
          <w:rFonts w:ascii="Palatino Linotype" w:eastAsia="Palatino Linotype" w:hAnsi="Palatino Linotype" w:cs="Palatino Linotype"/>
        </w:rPr>
        <w:t>I</w:t>
      </w:r>
      <w:r w:rsidRPr="0098181D">
        <w:rPr>
          <w:rFonts w:ascii="Palatino Linotype" w:eastAsia="Palatino Linotype" w:hAnsi="Palatino Linotype" w:cs="Palatino Linotype"/>
        </w:rPr>
        <w:t>I</w:t>
      </w:r>
      <w:r w:rsidR="00932ECD" w:rsidRPr="0098181D">
        <w:rPr>
          <w:rFonts w:ascii="Palatino Linotype" w:eastAsia="Palatino Linotype" w:hAnsi="Palatino Linotype" w:cs="Palatino Linotype"/>
        </w:rPr>
        <w:t xml:space="preserve"> </w:t>
      </w:r>
      <w:r w:rsidRPr="0098181D">
        <w:rPr>
          <w:rFonts w:ascii="Palatino Linotype" w:eastAsia="Palatino Linotype" w:hAnsi="Palatino Linotype" w:cs="Palatino Linotype"/>
        </w:rPr>
        <w:t>del ordenamiento legal citado, que a la letra dice: </w:t>
      </w:r>
    </w:p>
    <w:p w:rsidR="008D19A0" w:rsidRPr="0098181D" w:rsidRDefault="001B5ADE" w:rsidP="0080372F">
      <w:pPr>
        <w:spacing w:before="120" w:after="120"/>
        <w:ind w:left="851"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i/>
          <w:sz w:val="22"/>
          <w:szCs w:val="22"/>
        </w:rPr>
        <w:t>“</w:t>
      </w:r>
      <w:r w:rsidRPr="0098181D">
        <w:rPr>
          <w:rFonts w:ascii="Palatino Linotype" w:eastAsia="Palatino Linotype" w:hAnsi="Palatino Linotype" w:cs="Palatino Linotype"/>
          <w:b/>
          <w:i/>
          <w:sz w:val="22"/>
          <w:szCs w:val="22"/>
        </w:rPr>
        <w:t>Artículo 179.</w:t>
      </w:r>
      <w:r w:rsidRPr="0098181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82C66" w:rsidRPr="0098181D" w:rsidRDefault="00082C66">
      <w:pPr>
        <w:spacing w:before="120" w:after="120"/>
        <w:ind w:left="1134"/>
        <w:rPr>
          <w:rFonts w:ascii="Palatino Linotype" w:eastAsia="Palatino Linotype" w:hAnsi="Palatino Linotype" w:cs="Palatino Linotype"/>
          <w:b/>
          <w:i/>
          <w:sz w:val="22"/>
          <w:szCs w:val="22"/>
        </w:rPr>
      </w:pPr>
      <w:r w:rsidRPr="0098181D">
        <w:rPr>
          <w:rFonts w:ascii="Palatino Linotype" w:eastAsia="Palatino Linotype" w:hAnsi="Palatino Linotype" w:cs="Palatino Linotype"/>
          <w:b/>
          <w:i/>
          <w:sz w:val="22"/>
          <w:szCs w:val="22"/>
        </w:rPr>
        <w:t>…</w:t>
      </w:r>
    </w:p>
    <w:p w:rsidR="008D19A0" w:rsidRPr="0098181D" w:rsidRDefault="00082C66">
      <w:pPr>
        <w:spacing w:before="120" w:after="120"/>
        <w:ind w:left="1134"/>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 xml:space="preserve">II. </w:t>
      </w:r>
      <w:r w:rsidRPr="0098181D">
        <w:rPr>
          <w:rFonts w:ascii="Palatino Linotype" w:eastAsia="Palatino Linotype" w:hAnsi="Palatino Linotype" w:cs="Palatino Linotype"/>
          <w:i/>
          <w:sz w:val="22"/>
          <w:szCs w:val="22"/>
        </w:rPr>
        <w:t>La clasificación de la información</w:t>
      </w:r>
      <w:r w:rsidR="00932ECD" w:rsidRPr="0098181D">
        <w:rPr>
          <w:rFonts w:ascii="Palatino Linotype" w:eastAsia="Palatino Linotype" w:hAnsi="Palatino Linotype" w:cs="Palatino Linotype"/>
          <w:sz w:val="22"/>
          <w:szCs w:val="22"/>
        </w:rPr>
        <w:t>;</w:t>
      </w:r>
      <w:r w:rsidR="001B5ADE" w:rsidRPr="0098181D">
        <w:rPr>
          <w:rFonts w:ascii="Palatino Linotype" w:eastAsia="Palatino Linotype" w:hAnsi="Palatino Linotype" w:cs="Palatino Linotype"/>
          <w:i/>
          <w:sz w:val="22"/>
          <w:szCs w:val="22"/>
        </w:rPr>
        <w:t>”</w:t>
      </w:r>
    </w:p>
    <w:p w:rsidR="008D19A0" w:rsidRPr="0098181D" w:rsidRDefault="001B5ADE">
      <w:pPr>
        <w:tabs>
          <w:tab w:val="left" w:pos="8647"/>
        </w:tabs>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 xml:space="preserve">Tercero. Materia de la revisión. </w:t>
      </w:r>
      <w:r w:rsidRPr="0098181D">
        <w:rPr>
          <w:rFonts w:ascii="Palatino Linotype" w:eastAsia="Palatino Linotype" w:hAnsi="Palatino Linotype" w:cs="Palatino Linotype"/>
        </w:rPr>
        <w:t xml:space="preserve">Este Organismo Garante procede del análisis de los agravios hechos valer por la parte </w:t>
      </w:r>
      <w:r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8D19A0" w:rsidRPr="0098181D" w:rsidRDefault="001B5ADE">
      <w:pPr>
        <w:tabs>
          <w:tab w:val="left" w:pos="8647"/>
        </w:tabs>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lastRenderedPageBreak/>
        <w:t xml:space="preserve">Cuarto. Estudio del asunto. </w:t>
      </w:r>
      <w:r w:rsidRPr="0098181D">
        <w:rPr>
          <w:rFonts w:ascii="Palatino Linotype" w:eastAsia="Palatino Linotype" w:hAnsi="Palatino Linotype" w:cs="Palatino Linotype"/>
        </w:rPr>
        <w:t xml:space="preserve">Del análisis de las solicitudes de información, motivo de los recursos de revisión que ahora se resuelven se advierte que la parte </w:t>
      </w:r>
      <w:r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rPr>
        <w:t xml:space="preserve"> requirió al </w:t>
      </w:r>
      <w:r w:rsidRPr="0098181D">
        <w:rPr>
          <w:rFonts w:ascii="Palatino Linotype" w:eastAsia="Palatino Linotype" w:hAnsi="Palatino Linotype" w:cs="Palatino Linotype"/>
          <w:b/>
        </w:rPr>
        <w:t xml:space="preserve">Sujeto Obligado </w:t>
      </w:r>
      <w:r w:rsidRPr="0098181D">
        <w:rPr>
          <w:rFonts w:ascii="Palatino Linotype" w:eastAsia="Palatino Linotype" w:hAnsi="Palatino Linotype" w:cs="Palatino Linotype"/>
        </w:rPr>
        <w:t>le proporcione, información consistente en lo siguiente:</w:t>
      </w:r>
    </w:p>
    <w:p w:rsidR="00C64CC1" w:rsidRPr="0098181D" w:rsidRDefault="00C64CC1">
      <w:pPr>
        <w:tabs>
          <w:tab w:val="left" w:pos="8647"/>
        </w:tabs>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De la servidora pública referida en la solicitud:</w:t>
      </w:r>
    </w:p>
    <w:p w:rsidR="00C64CC1" w:rsidRPr="0098181D" w:rsidRDefault="00C64CC1" w:rsidP="00C64CC1">
      <w:pPr>
        <w:tabs>
          <w:tab w:val="left" w:pos="8647"/>
        </w:tabs>
        <w:spacing w:before="240" w:after="240" w:line="360" w:lineRule="auto"/>
        <w:ind w:left="567"/>
        <w:jc w:val="both"/>
        <w:rPr>
          <w:rFonts w:ascii="Palatino Linotype" w:eastAsia="Palatino Linotype" w:hAnsi="Palatino Linotype" w:cs="Palatino Linotype"/>
        </w:rPr>
      </w:pPr>
      <w:r w:rsidRPr="0098181D">
        <w:rPr>
          <w:rFonts w:ascii="Palatino Linotype" w:eastAsia="Palatino Linotype" w:hAnsi="Palatino Linotype" w:cs="Palatino Linotype"/>
        </w:rPr>
        <w:t>1. Nombramiento.</w:t>
      </w:r>
    </w:p>
    <w:p w:rsidR="00C64CC1" w:rsidRPr="0098181D" w:rsidRDefault="00C64CC1" w:rsidP="00C64CC1">
      <w:pPr>
        <w:tabs>
          <w:tab w:val="left" w:pos="8647"/>
        </w:tabs>
        <w:spacing w:before="240" w:after="240" w:line="360" w:lineRule="auto"/>
        <w:ind w:left="567"/>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2. </w:t>
      </w:r>
      <w:proofErr w:type="spellStart"/>
      <w:r w:rsidRPr="0098181D">
        <w:rPr>
          <w:rFonts w:ascii="Palatino Linotype" w:eastAsia="Palatino Linotype" w:hAnsi="Palatino Linotype" w:cs="Palatino Linotype"/>
        </w:rPr>
        <w:t>Curriculum</w:t>
      </w:r>
      <w:proofErr w:type="spellEnd"/>
      <w:r w:rsidRPr="0098181D">
        <w:rPr>
          <w:rFonts w:ascii="Palatino Linotype" w:eastAsia="Palatino Linotype" w:hAnsi="Palatino Linotype" w:cs="Palatino Linotype"/>
        </w:rPr>
        <w:t xml:space="preserve"> vitae.</w:t>
      </w:r>
    </w:p>
    <w:p w:rsidR="00C64CC1" w:rsidRPr="0098181D" w:rsidRDefault="00C64CC1">
      <w:pPr>
        <w:tabs>
          <w:tab w:val="left" w:pos="8647"/>
        </w:tabs>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En respuesta a las solicitudes de información la Titular de la Unidad de Transparencia </w:t>
      </w:r>
      <w:r w:rsidR="00266A72" w:rsidRPr="0098181D">
        <w:rPr>
          <w:rFonts w:ascii="Palatino Linotype" w:eastAsia="Palatino Linotype" w:hAnsi="Palatino Linotype" w:cs="Palatino Linotype"/>
        </w:rPr>
        <w:t xml:space="preserve">hizo del conocimiento de la persona solicitante el pronunciamiento emitido por </w:t>
      </w:r>
      <w:r w:rsidR="00AE0652" w:rsidRPr="0098181D">
        <w:rPr>
          <w:rFonts w:ascii="Palatino Linotype" w:eastAsia="Palatino Linotype" w:hAnsi="Palatino Linotype" w:cs="Palatino Linotype"/>
        </w:rPr>
        <w:t xml:space="preserve">la Dirección de Administración, quien proporcionó </w:t>
      </w:r>
      <w:r w:rsidR="003B665F" w:rsidRPr="0098181D">
        <w:rPr>
          <w:rFonts w:ascii="Palatino Linotype" w:eastAsia="Palatino Linotype" w:hAnsi="Palatino Linotype" w:cs="Palatino Linotype"/>
        </w:rPr>
        <w:t>el nombramiento de la servidora pública referida en la solicitud, as</w:t>
      </w:r>
      <w:r w:rsidR="00FA5A9B" w:rsidRPr="0098181D">
        <w:rPr>
          <w:rFonts w:ascii="Palatino Linotype" w:eastAsia="Palatino Linotype" w:hAnsi="Palatino Linotype" w:cs="Palatino Linotype"/>
        </w:rPr>
        <w:t xml:space="preserve">í como su </w:t>
      </w:r>
      <w:proofErr w:type="spellStart"/>
      <w:r w:rsidR="00FA5A9B" w:rsidRPr="0098181D">
        <w:rPr>
          <w:rFonts w:ascii="Palatino Linotype" w:eastAsia="Palatino Linotype" w:hAnsi="Palatino Linotype" w:cs="Palatino Linotype"/>
        </w:rPr>
        <w:t>curriculum</w:t>
      </w:r>
      <w:proofErr w:type="spellEnd"/>
      <w:r w:rsidR="00FA5A9B" w:rsidRPr="0098181D">
        <w:rPr>
          <w:rFonts w:ascii="Palatino Linotype" w:eastAsia="Palatino Linotype" w:hAnsi="Palatino Linotype" w:cs="Palatino Linotype"/>
        </w:rPr>
        <w:t xml:space="preserve"> vitae, en el que se testó: número de teléfono celular, correo electrónico, domicilio, </w:t>
      </w:r>
      <w:r w:rsidR="00FA5A9B" w:rsidRPr="0098181D">
        <w:rPr>
          <w:rFonts w:ascii="Palatino Linotype" w:eastAsia="Palatino Linotype" w:hAnsi="Palatino Linotype" w:cs="Palatino Linotype"/>
          <w:b/>
        </w:rPr>
        <w:t>nacionalidad,</w:t>
      </w:r>
      <w:r w:rsidR="00FA5A9B" w:rsidRPr="0098181D">
        <w:rPr>
          <w:rFonts w:ascii="Palatino Linotype" w:eastAsia="Palatino Linotype" w:hAnsi="Palatino Linotype" w:cs="Palatino Linotype"/>
        </w:rPr>
        <w:t xml:space="preserve"> estado civil y fecha de nacimiento.</w:t>
      </w:r>
    </w:p>
    <w:p w:rsidR="00FA5A9B" w:rsidRPr="0098181D" w:rsidRDefault="00C2281C" w:rsidP="002F716B">
      <w:pPr>
        <w:spacing w:before="240" w:after="240" w:line="360" w:lineRule="auto"/>
        <w:jc w:val="both"/>
        <w:rPr>
          <w:rFonts w:ascii="Palatino Linotype" w:eastAsia="Palatino Linotype" w:hAnsi="Palatino Linotype" w:cs="Palatino Linotype"/>
          <w:i/>
        </w:rPr>
      </w:pPr>
      <w:r w:rsidRPr="0098181D">
        <w:rPr>
          <w:rFonts w:ascii="Palatino Linotype" w:eastAsia="Palatino Linotype" w:hAnsi="Palatino Linotype" w:cs="Palatino Linotype"/>
        </w:rPr>
        <w:t>A</w:t>
      </w:r>
      <w:r w:rsidR="00D12CAF" w:rsidRPr="0098181D">
        <w:rPr>
          <w:rFonts w:ascii="Palatino Linotype" w:eastAsia="Palatino Linotype" w:hAnsi="Palatino Linotype" w:cs="Palatino Linotype"/>
        </w:rPr>
        <w:t>l</w:t>
      </w:r>
      <w:r w:rsidR="002F716B" w:rsidRPr="0098181D">
        <w:rPr>
          <w:rFonts w:ascii="Palatino Linotype" w:eastAsia="Palatino Linotype" w:hAnsi="Palatino Linotype" w:cs="Palatino Linotype"/>
        </w:rPr>
        <w:t xml:space="preserve"> no estar conforme con los términos de la respuesta otorgada a sus solicitudes, la persona solicitante interpuso </w:t>
      </w:r>
      <w:r w:rsidR="008F21B1" w:rsidRPr="0098181D">
        <w:rPr>
          <w:rFonts w:ascii="Palatino Linotype" w:eastAsia="Palatino Linotype" w:hAnsi="Palatino Linotype" w:cs="Palatino Linotype"/>
        </w:rPr>
        <w:t>los</w:t>
      </w:r>
      <w:r w:rsidR="002F716B" w:rsidRPr="0098181D">
        <w:rPr>
          <w:rFonts w:ascii="Palatino Linotype" w:eastAsia="Palatino Linotype" w:hAnsi="Palatino Linotype" w:cs="Palatino Linotype"/>
        </w:rPr>
        <w:t xml:space="preserve"> recurso</w:t>
      </w:r>
      <w:r w:rsidR="008F21B1" w:rsidRPr="0098181D">
        <w:rPr>
          <w:rFonts w:ascii="Palatino Linotype" w:eastAsia="Palatino Linotype" w:hAnsi="Palatino Linotype" w:cs="Palatino Linotype"/>
        </w:rPr>
        <w:t xml:space="preserve">s </w:t>
      </w:r>
      <w:r w:rsidR="002F716B" w:rsidRPr="0098181D">
        <w:rPr>
          <w:rFonts w:ascii="Palatino Linotype" w:eastAsia="Palatino Linotype" w:hAnsi="Palatino Linotype" w:cs="Palatino Linotype"/>
        </w:rPr>
        <w:t>de revisión que ahora nos ocupa</w:t>
      </w:r>
      <w:r w:rsidR="008F21B1" w:rsidRPr="0098181D">
        <w:rPr>
          <w:rFonts w:ascii="Palatino Linotype" w:eastAsia="Palatino Linotype" w:hAnsi="Palatino Linotype" w:cs="Palatino Linotype"/>
        </w:rPr>
        <w:t xml:space="preserve">n, en los </w:t>
      </w:r>
      <w:r w:rsidR="002F716B" w:rsidRPr="0098181D">
        <w:rPr>
          <w:rFonts w:ascii="Palatino Linotype" w:eastAsia="Palatino Linotype" w:hAnsi="Palatino Linotype" w:cs="Palatino Linotype"/>
        </w:rPr>
        <w:t>que señaló como motivo</w:t>
      </w:r>
      <w:r w:rsidR="000549E6" w:rsidRPr="0098181D">
        <w:rPr>
          <w:rFonts w:ascii="Palatino Linotype" w:eastAsia="Palatino Linotype" w:hAnsi="Palatino Linotype" w:cs="Palatino Linotype"/>
        </w:rPr>
        <w:t>s</w:t>
      </w:r>
      <w:r w:rsidR="002F716B" w:rsidRPr="0098181D">
        <w:rPr>
          <w:rFonts w:ascii="Palatino Linotype" w:eastAsia="Palatino Linotype" w:hAnsi="Palatino Linotype" w:cs="Palatino Linotype"/>
        </w:rPr>
        <w:t xml:space="preserve"> de inconformidad</w:t>
      </w:r>
      <w:r w:rsidR="000549E6" w:rsidRPr="0098181D">
        <w:rPr>
          <w:rFonts w:ascii="Palatino Linotype" w:eastAsia="Palatino Linotype" w:hAnsi="Palatino Linotype" w:cs="Palatino Linotype"/>
        </w:rPr>
        <w:t xml:space="preserve">, </w:t>
      </w:r>
      <w:r w:rsidR="00FA5A9B" w:rsidRPr="0098181D">
        <w:rPr>
          <w:rFonts w:ascii="Palatino Linotype" w:eastAsia="Palatino Linotype" w:hAnsi="Palatino Linotype" w:cs="Palatino Linotype"/>
        </w:rPr>
        <w:t>respecto al nombramiento “</w:t>
      </w:r>
      <w:r w:rsidR="00FA5A9B" w:rsidRPr="0098181D">
        <w:rPr>
          <w:rFonts w:ascii="Palatino Linotype" w:eastAsia="Palatino Linotype" w:hAnsi="Palatino Linotype" w:cs="Palatino Linotype"/>
          <w:i/>
        </w:rPr>
        <w:t>ACTA DE COMITE PARA CLASIFICAR INFORMACIÓN”</w:t>
      </w:r>
      <w:r w:rsidR="00FA5A9B" w:rsidRPr="0098181D">
        <w:rPr>
          <w:rFonts w:ascii="Palatino Linotype" w:eastAsia="Palatino Linotype" w:hAnsi="Palatino Linotype" w:cs="Palatino Linotype"/>
        </w:rPr>
        <w:t xml:space="preserve"> (sic), y, respecto al </w:t>
      </w:r>
      <w:proofErr w:type="spellStart"/>
      <w:r w:rsidR="00FA5A9B" w:rsidRPr="0098181D">
        <w:rPr>
          <w:rFonts w:ascii="Palatino Linotype" w:eastAsia="Palatino Linotype" w:hAnsi="Palatino Linotype" w:cs="Palatino Linotype"/>
        </w:rPr>
        <w:t>curriculum</w:t>
      </w:r>
      <w:proofErr w:type="spellEnd"/>
      <w:r w:rsidR="00FA5A9B" w:rsidRPr="0098181D">
        <w:rPr>
          <w:rFonts w:ascii="Palatino Linotype" w:eastAsia="Palatino Linotype" w:hAnsi="Palatino Linotype" w:cs="Palatino Linotype"/>
        </w:rPr>
        <w:t xml:space="preserve"> vitae </w:t>
      </w:r>
      <w:r w:rsidR="00FA5A9B" w:rsidRPr="0098181D">
        <w:rPr>
          <w:rFonts w:ascii="Palatino Linotype" w:eastAsia="Palatino Linotype" w:hAnsi="Palatino Linotype" w:cs="Palatino Linotype"/>
          <w:i/>
        </w:rPr>
        <w:t>“NO ADJUNTAN EL ACUERDO DEL COMITE NI JUSTIFICAN POR QUE HAY DATOS EN BLANCO” (sic).</w:t>
      </w:r>
    </w:p>
    <w:p w:rsidR="002F716B" w:rsidRPr="0098181D" w:rsidRDefault="002F716B" w:rsidP="002F716B">
      <w:pPr>
        <w:spacing w:before="280" w:after="28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lastRenderedPageBreak/>
        <w:t>Una vez admitido</w:t>
      </w:r>
      <w:r w:rsidR="008F21B1" w:rsidRPr="0098181D">
        <w:rPr>
          <w:rFonts w:ascii="Palatino Linotype" w:eastAsia="Palatino Linotype" w:hAnsi="Palatino Linotype" w:cs="Palatino Linotype"/>
        </w:rPr>
        <w:t xml:space="preserve">s </w:t>
      </w:r>
      <w:r w:rsidRPr="0098181D">
        <w:rPr>
          <w:rFonts w:ascii="Palatino Linotype" w:eastAsia="Palatino Linotype" w:hAnsi="Palatino Linotype" w:cs="Palatino Linotype"/>
        </w:rPr>
        <w:t>l</w:t>
      </w:r>
      <w:r w:rsidR="008F21B1" w:rsidRPr="0098181D">
        <w:rPr>
          <w:rFonts w:ascii="Palatino Linotype" w:eastAsia="Palatino Linotype" w:hAnsi="Palatino Linotype" w:cs="Palatino Linotype"/>
        </w:rPr>
        <w:t>os</w:t>
      </w:r>
      <w:r w:rsidRPr="0098181D">
        <w:rPr>
          <w:rFonts w:ascii="Palatino Linotype" w:eastAsia="Palatino Linotype" w:hAnsi="Palatino Linotype" w:cs="Palatino Linotype"/>
        </w:rPr>
        <w:t xml:space="preserve"> recurso</w:t>
      </w:r>
      <w:r w:rsidR="008F21B1" w:rsidRPr="0098181D">
        <w:rPr>
          <w:rFonts w:ascii="Palatino Linotype" w:eastAsia="Palatino Linotype" w:hAnsi="Palatino Linotype" w:cs="Palatino Linotype"/>
        </w:rPr>
        <w:t>s</w:t>
      </w:r>
      <w:r w:rsidRPr="0098181D">
        <w:rPr>
          <w:rFonts w:ascii="Palatino Linotype" w:eastAsia="Palatino Linotype" w:hAnsi="Palatino Linotype" w:cs="Palatino Linotype"/>
        </w:rPr>
        <w:t xml:space="preserve"> de revisión, en términos del artículo 185 fracción II</w:t>
      </w:r>
      <w:r w:rsidRPr="0098181D">
        <w:rPr>
          <w:rFonts w:ascii="Palatino Linotype" w:eastAsia="Palatino Linotype" w:hAnsi="Palatino Linotype" w:cs="Palatino Linotype"/>
          <w:vertAlign w:val="superscript"/>
        </w:rPr>
        <w:footnoteReference w:id="1"/>
      </w:r>
      <w:r w:rsidRPr="0098181D">
        <w:rPr>
          <w:rFonts w:ascii="Palatino Linotype" w:eastAsia="Palatino Linotype" w:hAnsi="Palatino Linotype" w:cs="Palatino Linotype"/>
        </w:rPr>
        <w:t xml:space="preserve"> de la Ley de Transparencia y Acceso a la Información Pública del Estado de</w:t>
      </w:r>
      <w:r w:rsidR="008F21B1" w:rsidRPr="0098181D">
        <w:rPr>
          <w:rFonts w:ascii="Palatino Linotype" w:eastAsia="Palatino Linotype" w:hAnsi="Palatino Linotype" w:cs="Palatino Linotype"/>
        </w:rPr>
        <w:t xml:space="preserve"> México y Municipios, se integraron </w:t>
      </w:r>
      <w:r w:rsidR="00C2281C" w:rsidRPr="0098181D">
        <w:rPr>
          <w:rFonts w:ascii="Palatino Linotype" w:eastAsia="Palatino Linotype" w:hAnsi="Palatino Linotype" w:cs="Palatino Linotype"/>
        </w:rPr>
        <w:t xml:space="preserve"> los</w:t>
      </w:r>
      <w:r w:rsidRPr="0098181D">
        <w:rPr>
          <w:rFonts w:ascii="Palatino Linotype" w:eastAsia="Palatino Linotype" w:hAnsi="Palatino Linotype" w:cs="Palatino Linotype"/>
        </w:rPr>
        <w:t xml:space="preserve"> expediente</w:t>
      </w:r>
      <w:r w:rsidR="00C2281C" w:rsidRPr="0098181D">
        <w:rPr>
          <w:rFonts w:ascii="Palatino Linotype" w:eastAsia="Palatino Linotype" w:hAnsi="Palatino Linotype" w:cs="Palatino Linotype"/>
        </w:rPr>
        <w:t xml:space="preserve">s </w:t>
      </w:r>
      <w:r w:rsidRPr="0098181D">
        <w:rPr>
          <w:rFonts w:ascii="Palatino Linotype" w:eastAsia="Palatino Linotype" w:hAnsi="Palatino Linotype" w:cs="Palatino Linotype"/>
        </w:rPr>
        <w:t>y se pus</w:t>
      </w:r>
      <w:r w:rsidR="00C2281C" w:rsidRPr="0098181D">
        <w:rPr>
          <w:rFonts w:ascii="Palatino Linotype" w:eastAsia="Palatino Linotype" w:hAnsi="Palatino Linotype" w:cs="Palatino Linotype"/>
        </w:rPr>
        <w:t xml:space="preserve">ieron </w:t>
      </w:r>
      <w:r w:rsidRPr="0098181D">
        <w:rPr>
          <w:rFonts w:ascii="Palatino Linotype" w:eastAsia="Palatino Linotype" w:hAnsi="Palatino Linotype" w:cs="Palatino Linotype"/>
        </w:rPr>
        <w:t>a disposición de las partes para que, en un plazo máximo de siete días hábiles, manifestaran lo que a s</w:t>
      </w:r>
      <w:r w:rsidR="00FA5A9B" w:rsidRPr="0098181D">
        <w:rPr>
          <w:rFonts w:ascii="Palatino Linotype" w:eastAsia="Palatino Linotype" w:hAnsi="Palatino Linotype" w:cs="Palatino Linotype"/>
        </w:rPr>
        <w:t>u derecho resultara conveniente, siendo ambas partes omisas en ejercer dicha prerrogativa, como se señaló anteriormente.</w:t>
      </w:r>
    </w:p>
    <w:p w:rsidR="005A1997" w:rsidRPr="0098181D" w:rsidRDefault="005A1997" w:rsidP="005A1997">
      <w:pPr>
        <w:spacing w:before="240" w:after="240" w:line="360" w:lineRule="auto"/>
        <w:ind w:right="49"/>
        <w:jc w:val="both"/>
        <w:rPr>
          <w:rFonts w:ascii="Palatino Linotype" w:hAnsi="Palatino Linotype" w:cs="Arial"/>
        </w:rPr>
      </w:pPr>
      <w:r w:rsidRPr="0098181D">
        <w:rPr>
          <w:rFonts w:ascii="Palatino Linotype" w:hAnsi="Palatino Linotype"/>
        </w:rPr>
        <w:t xml:space="preserve">En esta tesitura, de las constancias que integran el expediente electrónico  relacionado con el recurso de revisión materia de estudio, </w:t>
      </w:r>
      <w:r w:rsidRPr="0098181D">
        <w:rPr>
          <w:rFonts w:ascii="Palatino Linotype" w:hAnsi="Palatino Linotype" w:cs="Arial"/>
        </w:rPr>
        <w:t xml:space="preserve">se colige que </w:t>
      </w:r>
      <w:r w:rsidRPr="0098181D">
        <w:rPr>
          <w:rFonts w:ascii="Palatino Linotype" w:eastAsia="Calibri" w:hAnsi="Palatino Linotype" w:cs="Arial"/>
        </w:rPr>
        <w:t xml:space="preserve">el </w:t>
      </w:r>
      <w:r w:rsidRPr="0098181D">
        <w:rPr>
          <w:rFonts w:ascii="Palatino Linotype" w:eastAsia="Calibri" w:hAnsi="Palatino Linotype" w:cs="Arial"/>
          <w:b/>
          <w:bCs/>
        </w:rPr>
        <w:t>Sujeto Obligado</w:t>
      </w:r>
      <w:r w:rsidRPr="0098181D">
        <w:rPr>
          <w:rFonts w:ascii="Palatino Linotype" w:eastAsia="Calibri" w:hAnsi="Palatino Linotype" w:cs="Arial"/>
        </w:rPr>
        <w:t xml:space="preserve"> no niega la competencia para conocer de la información solicitada, sino por el contrario, con la respuesta pronunciada </w:t>
      </w:r>
      <w:r w:rsidRPr="0098181D">
        <w:rPr>
          <w:rFonts w:ascii="Palatino Linotype" w:hAnsi="Palatino Linotype" w:cs="Arial"/>
        </w:rPr>
        <w:t xml:space="preserve">asevera que es competente para conocer de la solicitud de información, </w:t>
      </w:r>
      <w:r w:rsidRPr="0098181D">
        <w:rPr>
          <w:rFonts w:ascii="Palatino Linotype" w:hAnsi="Palatino Linotype"/>
        </w:rPr>
        <w:t xml:space="preserve">motivo por el cual se actualiza el supuesto previsto en el artículo 12 de la legislación aplicable en la materia. </w:t>
      </w:r>
    </w:p>
    <w:p w:rsidR="00FA5A9B" w:rsidRPr="0098181D" w:rsidRDefault="005A1997" w:rsidP="005A1997">
      <w:pPr>
        <w:spacing w:before="240" w:after="240"/>
        <w:ind w:left="851" w:right="902"/>
        <w:jc w:val="both"/>
        <w:rPr>
          <w:rFonts w:ascii="Palatino Linotype" w:eastAsia="MS Mincho" w:hAnsi="Palatino Linotype" w:cs="Bookman Old Style"/>
          <w:i/>
          <w:iCs/>
          <w:sz w:val="22"/>
          <w:szCs w:val="20"/>
        </w:rPr>
      </w:pPr>
      <w:r w:rsidRPr="0098181D">
        <w:rPr>
          <w:rFonts w:ascii="Palatino Linotype" w:eastAsia="MS Mincho" w:hAnsi="Palatino Linotype" w:cs="Bookman Old Style"/>
          <w:b/>
          <w:bCs/>
          <w:i/>
          <w:iCs/>
          <w:sz w:val="22"/>
          <w:szCs w:val="20"/>
        </w:rPr>
        <w:t xml:space="preserve"> </w:t>
      </w:r>
      <w:r w:rsidR="00FA5A9B" w:rsidRPr="0098181D">
        <w:rPr>
          <w:rFonts w:ascii="Palatino Linotype" w:eastAsia="MS Mincho" w:hAnsi="Palatino Linotype" w:cs="Bookman Old Style"/>
          <w:b/>
          <w:bCs/>
          <w:i/>
          <w:iCs/>
          <w:sz w:val="22"/>
          <w:szCs w:val="20"/>
        </w:rPr>
        <w:t xml:space="preserve">“Artículo 12. </w:t>
      </w:r>
      <w:r w:rsidR="00FA5A9B" w:rsidRPr="0098181D">
        <w:rPr>
          <w:rFonts w:ascii="Palatino Linotype" w:eastAsia="MS Mincho" w:hAnsi="Palatino Linotype" w:cs="Bookman Old Style"/>
          <w:b/>
          <w:i/>
          <w:iCs/>
          <w:sz w:val="22"/>
          <w:szCs w:val="20"/>
        </w:rPr>
        <w:t>Quienes generen, recopilen, administren, manejen, procesen, archiven o conserven información pública serán responsables de la misma</w:t>
      </w:r>
      <w:r w:rsidR="00FA5A9B" w:rsidRPr="0098181D">
        <w:rPr>
          <w:rFonts w:ascii="Palatino Linotype" w:eastAsia="MS Mincho" w:hAnsi="Palatino Linotype" w:cs="Bookman Old Style"/>
          <w:i/>
          <w:iCs/>
          <w:sz w:val="22"/>
          <w:szCs w:val="20"/>
        </w:rPr>
        <w:t xml:space="preserve"> en los términos de las disposiciones jurídicas aplicables. </w:t>
      </w:r>
    </w:p>
    <w:p w:rsidR="00FA5A9B" w:rsidRPr="0098181D" w:rsidRDefault="00FA5A9B" w:rsidP="00FA5A9B">
      <w:pPr>
        <w:spacing w:before="240" w:after="240"/>
        <w:ind w:left="851" w:right="902"/>
        <w:jc w:val="both"/>
        <w:rPr>
          <w:rFonts w:ascii="Palatino Linotype" w:eastAsia="MS Mincho" w:hAnsi="Palatino Linotype" w:cs="Bookman Old Style"/>
          <w:i/>
          <w:iCs/>
          <w:sz w:val="22"/>
          <w:szCs w:val="20"/>
        </w:rPr>
      </w:pPr>
      <w:r w:rsidRPr="0098181D">
        <w:rPr>
          <w:rFonts w:ascii="Palatino Linotype" w:eastAsia="MS Mincho" w:hAnsi="Palatino Linotype" w:cs="Bookman Old Style"/>
          <w:b/>
          <w:i/>
          <w:iCs/>
          <w:sz w:val="22"/>
          <w:szCs w:val="20"/>
        </w:rPr>
        <w:t>Los sujetos obligados sólo proporcionarán la información pública que se les requiera y que obre en sus archivos y en el estado en que ésta se encuentre</w:t>
      </w:r>
      <w:r w:rsidRPr="0098181D">
        <w:rPr>
          <w:rFonts w:ascii="Palatino Linotype" w:eastAsia="MS Mincho" w:hAnsi="Palatino Linotype" w:cs="Bookman Old Style"/>
          <w:i/>
          <w:iCs/>
          <w:sz w:val="22"/>
          <w:szCs w:val="20"/>
        </w:rPr>
        <w:t>. La obligación de proporcionar información no comprende el procesamiento de la misma, ni el presentarla conforme al interés del solicitante; no estarán obligados a generarla, resumirla, efectuar cálculos o practicar investigaciones.”</w:t>
      </w:r>
    </w:p>
    <w:p w:rsidR="00FA5A9B" w:rsidRPr="0098181D" w:rsidRDefault="00FA5A9B" w:rsidP="00FA5A9B">
      <w:pPr>
        <w:spacing w:before="280" w:after="28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lastRenderedPageBreak/>
        <w:t xml:space="preserve">Por consiguiente, se procede al análisis de los requerimientos planteados por la particular y la respuesta proporcionada por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FA5A9B" w:rsidRPr="0098181D" w:rsidRDefault="00FA5A9B">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En primer lugar, es conveniente referir que la respuesta a las solicitudes fue proporcionada por la Dirección de Administración, como la unidad administrativa que de conformidad con los artículos 52 y 53 del Reglamento  se encarga de brindar apoyo administrativo, técnico y humano, a los servidores públicos que conforman la Administración Pública Municipal, y tiene entre otras atribuciones, la de </w:t>
      </w:r>
      <w:r w:rsidR="00FD58F7" w:rsidRPr="0098181D">
        <w:rPr>
          <w:rFonts w:ascii="Palatino Linotype" w:eastAsia="Palatino Linotype" w:hAnsi="Palatino Linotype" w:cs="Palatino Linotype"/>
        </w:rPr>
        <w:t>mantener el resguardo y actualización del Archi</w:t>
      </w:r>
      <w:r w:rsidR="005C19F6" w:rsidRPr="0098181D">
        <w:rPr>
          <w:rFonts w:ascii="Palatino Linotype" w:eastAsia="Palatino Linotype" w:hAnsi="Palatino Linotype" w:cs="Palatino Linotype"/>
        </w:rPr>
        <w:t xml:space="preserve">vo de personal del Ayuntamiento, es decir, la respuesta fue proporcionada por el área competente para </w:t>
      </w:r>
      <w:r w:rsidR="006038C4" w:rsidRPr="0098181D">
        <w:rPr>
          <w:rFonts w:ascii="Palatino Linotype" w:eastAsia="Palatino Linotype" w:hAnsi="Palatino Linotype" w:cs="Palatino Linotype"/>
        </w:rPr>
        <w:t>generar, administrar o poseer la información solicitada.</w:t>
      </w:r>
      <w:r w:rsidR="005C19F6" w:rsidRPr="0098181D">
        <w:rPr>
          <w:rFonts w:ascii="Palatino Linotype" w:eastAsia="Palatino Linotype" w:hAnsi="Palatino Linotype" w:cs="Palatino Linotype"/>
        </w:rPr>
        <w:t xml:space="preserve"> </w:t>
      </w:r>
    </w:p>
    <w:p w:rsidR="005C19F6" w:rsidRPr="0098181D" w:rsidRDefault="00706EA4">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En este tenor, la servidora pública habilitada competente </w:t>
      </w:r>
      <w:r w:rsidR="00E66E88" w:rsidRPr="0098181D">
        <w:rPr>
          <w:rFonts w:ascii="Palatino Linotype" w:eastAsia="Palatino Linotype" w:hAnsi="Palatino Linotype" w:cs="Palatino Linotype"/>
        </w:rPr>
        <w:t>remitió el nombramiento de la servidora pú</w:t>
      </w:r>
      <w:r w:rsidR="001D3916" w:rsidRPr="0098181D">
        <w:rPr>
          <w:rFonts w:ascii="Palatino Linotype" w:eastAsia="Palatino Linotype" w:hAnsi="Palatino Linotype" w:cs="Palatino Linotype"/>
        </w:rPr>
        <w:t xml:space="preserve">blica referida en la solicitud; </w:t>
      </w:r>
      <w:r w:rsidR="00E66E88" w:rsidRPr="0098181D">
        <w:rPr>
          <w:rFonts w:ascii="Palatino Linotype" w:eastAsia="Palatino Linotype" w:hAnsi="Palatino Linotype" w:cs="Palatino Linotype"/>
        </w:rPr>
        <w:t>para dar contestación a la solicitud 1302/ZINACANT/IP/2023</w:t>
      </w:r>
      <w:r w:rsidR="001D3916" w:rsidRPr="0098181D">
        <w:rPr>
          <w:rFonts w:ascii="Palatino Linotype" w:eastAsia="Palatino Linotype" w:hAnsi="Palatino Linotype" w:cs="Palatino Linotype"/>
        </w:rPr>
        <w:t xml:space="preserve">, así como su </w:t>
      </w:r>
      <w:proofErr w:type="spellStart"/>
      <w:r w:rsidR="001D3916" w:rsidRPr="0098181D">
        <w:rPr>
          <w:rFonts w:ascii="Palatino Linotype" w:eastAsia="Palatino Linotype" w:hAnsi="Palatino Linotype" w:cs="Palatino Linotype"/>
        </w:rPr>
        <w:t>curriculum</w:t>
      </w:r>
      <w:proofErr w:type="spellEnd"/>
      <w:r w:rsidR="001D3916" w:rsidRPr="0098181D">
        <w:rPr>
          <w:rFonts w:ascii="Palatino Linotype" w:eastAsia="Palatino Linotype" w:hAnsi="Palatino Linotype" w:cs="Palatino Linotype"/>
        </w:rPr>
        <w:t xml:space="preserve"> vitae para dar contestación a la solicitud de información 1306/ZINACANT/IP/2023, es decir, fueron remitidos los documentos idóneos para atender ambas solicitudes de información.</w:t>
      </w:r>
    </w:p>
    <w:p w:rsidR="001D3916" w:rsidRPr="0098181D" w:rsidRDefault="001D3916">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No obstante de lo anterior, la parte </w:t>
      </w:r>
      <w:r w:rsidRPr="0098181D">
        <w:rPr>
          <w:rFonts w:ascii="Palatino Linotype" w:eastAsia="Palatino Linotype" w:hAnsi="Palatino Linotype" w:cs="Palatino Linotype"/>
          <w:b/>
        </w:rPr>
        <w:t xml:space="preserve">Recurrente </w:t>
      </w:r>
      <w:r w:rsidRPr="0098181D">
        <w:rPr>
          <w:rFonts w:ascii="Palatino Linotype" w:eastAsia="Palatino Linotype" w:hAnsi="Palatino Linotype" w:cs="Palatino Linotype"/>
        </w:rPr>
        <w:t xml:space="preserve">se inconformó respecto del Acta del Comité para clasificar la información, señalando concretamente en el caso del </w:t>
      </w:r>
      <w:proofErr w:type="spellStart"/>
      <w:r w:rsidRPr="0098181D">
        <w:rPr>
          <w:rFonts w:ascii="Palatino Linotype" w:eastAsia="Palatino Linotype" w:hAnsi="Palatino Linotype" w:cs="Palatino Linotype"/>
        </w:rPr>
        <w:t>curriculum</w:t>
      </w:r>
      <w:proofErr w:type="spellEnd"/>
      <w:r w:rsidRPr="0098181D">
        <w:rPr>
          <w:rFonts w:ascii="Palatino Linotype" w:eastAsia="Palatino Linotype" w:hAnsi="Palatino Linotype" w:cs="Palatino Linotype"/>
        </w:rPr>
        <w:t xml:space="preserve"> vitae que no se justificó por que hay datos en blanco, razón por la cual, </w:t>
      </w:r>
      <w:r w:rsidRPr="0098181D">
        <w:rPr>
          <w:rFonts w:ascii="Palatino Linotype" w:eastAsia="Palatino Linotype" w:hAnsi="Palatino Linotype" w:cs="Palatino Linotype"/>
        </w:rPr>
        <w:lastRenderedPageBreak/>
        <w:t xml:space="preserve">este Organismo Garante procedió al análisis de los documentos remitidos por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arribando a las siguientes conclusiones:</w:t>
      </w:r>
    </w:p>
    <w:p w:rsidR="005D0EDE" w:rsidRPr="0098181D" w:rsidRDefault="001D3916" w:rsidP="001D3916">
      <w:pPr>
        <w:spacing w:before="240" w:after="240" w:line="360" w:lineRule="auto"/>
        <w:ind w:left="426"/>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1. El nombramiento de la servidora pública referida en la solicitud se remitió de forma íntegra, </w:t>
      </w:r>
      <w:r w:rsidR="005A1997" w:rsidRPr="0098181D">
        <w:rPr>
          <w:rFonts w:ascii="Palatino Linotype" w:eastAsia="Palatino Linotype" w:hAnsi="Palatino Linotype" w:cs="Palatino Linotype"/>
        </w:rPr>
        <w:t>al no contener datos personales</w:t>
      </w:r>
      <w:r w:rsidR="005D0EDE" w:rsidRPr="0098181D">
        <w:rPr>
          <w:rFonts w:ascii="Palatino Linotype" w:eastAsia="Palatino Linotype" w:hAnsi="Palatino Linotype" w:cs="Palatino Linotype"/>
        </w:rPr>
        <w:t>.</w:t>
      </w:r>
    </w:p>
    <w:p w:rsidR="001D3916" w:rsidRPr="0098181D" w:rsidRDefault="001D3916" w:rsidP="001D3916">
      <w:pPr>
        <w:spacing w:before="240" w:after="240" w:line="360" w:lineRule="auto"/>
        <w:ind w:left="426"/>
        <w:jc w:val="both"/>
        <w:rPr>
          <w:rFonts w:ascii="Palatino Linotype" w:eastAsia="Palatino Linotype" w:hAnsi="Palatino Linotype" w:cs="Palatino Linotype"/>
        </w:rPr>
      </w:pPr>
      <w:r w:rsidRPr="0098181D">
        <w:rPr>
          <w:rFonts w:ascii="Palatino Linotype" w:eastAsia="Palatino Linotype" w:hAnsi="Palatino Linotype" w:cs="Palatino Linotype"/>
        </w:rPr>
        <w:t>2.</w:t>
      </w:r>
      <w:r w:rsidR="00D079C0">
        <w:rPr>
          <w:rFonts w:ascii="Palatino Linotype" w:eastAsia="Palatino Linotype" w:hAnsi="Palatino Linotype" w:cs="Palatino Linotype"/>
        </w:rPr>
        <w:t xml:space="preserve"> En el</w:t>
      </w:r>
      <w:r w:rsidR="00F71EE6" w:rsidRPr="0098181D">
        <w:rPr>
          <w:rFonts w:ascii="Palatino Linotype" w:eastAsia="Palatino Linotype" w:hAnsi="Palatino Linotype" w:cs="Palatino Linotype"/>
        </w:rPr>
        <w:t xml:space="preserve"> </w:t>
      </w:r>
      <w:proofErr w:type="spellStart"/>
      <w:r w:rsidR="00F71EE6" w:rsidRPr="0098181D">
        <w:rPr>
          <w:rFonts w:ascii="Palatino Linotype" w:eastAsia="Palatino Linotype" w:hAnsi="Palatino Linotype" w:cs="Palatino Linotype"/>
        </w:rPr>
        <w:t>curriculum</w:t>
      </w:r>
      <w:proofErr w:type="spellEnd"/>
      <w:r w:rsidR="00F71EE6" w:rsidRPr="0098181D">
        <w:rPr>
          <w:rFonts w:ascii="Palatino Linotype" w:eastAsia="Palatino Linotype" w:hAnsi="Palatino Linotype" w:cs="Palatino Linotype"/>
        </w:rPr>
        <w:t xml:space="preserve"> vitae de servidora pública referida en la solicitud de información, se testó: número de teléfono celular, correo electrónico, domicilio, </w:t>
      </w:r>
      <w:r w:rsidR="00F71EE6" w:rsidRPr="0098181D">
        <w:rPr>
          <w:rFonts w:ascii="Palatino Linotype" w:eastAsia="Palatino Linotype" w:hAnsi="Palatino Linotype" w:cs="Palatino Linotype"/>
          <w:b/>
        </w:rPr>
        <w:t>nacionalidad</w:t>
      </w:r>
      <w:r w:rsidR="00F71EE6" w:rsidRPr="0098181D">
        <w:rPr>
          <w:rFonts w:ascii="Palatino Linotype" w:eastAsia="Palatino Linotype" w:hAnsi="Palatino Linotype" w:cs="Palatino Linotype"/>
        </w:rPr>
        <w:t>, estado civil y fecha de nacimiento, sin embargo, no se remi</w:t>
      </w:r>
      <w:r w:rsidR="005A1997" w:rsidRPr="0098181D">
        <w:rPr>
          <w:rFonts w:ascii="Palatino Linotype" w:eastAsia="Palatino Linotype" w:hAnsi="Palatino Linotype" w:cs="Palatino Linotype"/>
        </w:rPr>
        <w:t xml:space="preserve">tió el acuerdo mediante el cual, de manera fundada y motivada, </w:t>
      </w:r>
      <w:r w:rsidR="00F71EE6" w:rsidRPr="0098181D">
        <w:rPr>
          <w:rFonts w:ascii="Palatino Linotype" w:eastAsia="Palatino Linotype" w:hAnsi="Palatino Linotype" w:cs="Palatino Linotype"/>
        </w:rPr>
        <w:t>dichos datos se cl</w:t>
      </w:r>
      <w:r w:rsidR="00201909">
        <w:rPr>
          <w:rFonts w:ascii="Palatino Linotype" w:eastAsia="Palatino Linotype" w:hAnsi="Palatino Linotype" w:cs="Palatino Linotype"/>
        </w:rPr>
        <w:t>asificaran como confidenciales.</w:t>
      </w:r>
    </w:p>
    <w:p w:rsidR="00A73A0F" w:rsidRPr="0098181D" w:rsidRDefault="00F71EE6" w:rsidP="00A73A0F">
      <w:pPr>
        <w:spacing w:before="240" w:after="240" w:line="360" w:lineRule="auto"/>
        <w:ind w:right="51"/>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Atento a lo anterior, se colige que los motivos de inconformidad aducidos por la parte </w:t>
      </w:r>
      <w:r w:rsidRPr="0098181D">
        <w:rPr>
          <w:rFonts w:ascii="Palatino Linotype" w:eastAsia="Palatino Linotype" w:hAnsi="Palatino Linotype" w:cs="Palatino Linotype"/>
          <w:b/>
        </w:rPr>
        <w:t xml:space="preserve">Recurrente, </w:t>
      </w:r>
      <w:r w:rsidRPr="0098181D">
        <w:rPr>
          <w:rFonts w:ascii="Palatino Linotype" w:eastAsia="Palatino Linotype" w:hAnsi="Palatino Linotype" w:cs="Palatino Linotype"/>
        </w:rPr>
        <w:t xml:space="preserve">en el recurso de revisión </w:t>
      </w:r>
      <w:r w:rsidRPr="0098181D">
        <w:rPr>
          <w:rFonts w:ascii="Palatino Linotype" w:eastAsia="Palatino Linotype" w:hAnsi="Palatino Linotype" w:cs="Palatino Linotype"/>
          <w:b/>
        </w:rPr>
        <w:t xml:space="preserve">05613/INFOEM/IP/RR/2023, </w:t>
      </w:r>
      <w:r w:rsidR="00A73A0F" w:rsidRPr="0098181D">
        <w:rPr>
          <w:rFonts w:ascii="Palatino Linotype" w:eastAsia="Palatino Linotype" w:hAnsi="Palatino Linotype" w:cs="Palatino Linotype"/>
        </w:rPr>
        <w:t>devienen infundados, ya que</w:t>
      </w:r>
      <w:r w:rsidRPr="0098181D">
        <w:rPr>
          <w:rFonts w:ascii="Palatino Linotype" w:eastAsia="Palatino Linotype" w:hAnsi="Palatino Linotype" w:cs="Palatino Linotype"/>
        </w:rPr>
        <w:t xml:space="preserve"> el documento remitido </w:t>
      </w:r>
      <w:r w:rsidR="004D4347" w:rsidRPr="0098181D">
        <w:rPr>
          <w:rFonts w:ascii="Palatino Linotype" w:eastAsia="Palatino Linotype" w:hAnsi="Palatino Linotype" w:cs="Palatino Linotype"/>
        </w:rPr>
        <w:t xml:space="preserve">en atención a la solicitud que le dio origen, </w:t>
      </w:r>
      <w:r w:rsidRPr="0098181D">
        <w:rPr>
          <w:rFonts w:ascii="Palatino Linotype" w:eastAsia="Palatino Linotype" w:hAnsi="Palatino Linotype" w:cs="Palatino Linotype"/>
          <w:b/>
          <w:u w:val="single"/>
        </w:rPr>
        <w:t>no contiene datos susceptibles de clasificarse como confidenciales</w:t>
      </w:r>
      <w:r w:rsidRPr="0098181D">
        <w:rPr>
          <w:rFonts w:ascii="Palatino Linotype" w:eastAsia="Palatino Linotype" w:hAnsi="Palatino Linotype" w:cs="Palatino Linotype"/>
        </w:rPr>
        <w:t xml:space="preserve">, por tanto, no es necesario que el </w:t>
      </w:r>
      <w:r w:rsidR="004D4347" w:rsidRPr="0098181D">
        <w:rPr>
          <w:rFonts w:ascii="Palatino Linotype" w:eastAsia="Palatino Linotype" w:hAnsi="Palatino Linotype" w:cs="Palatino Linotype"/>
        </w:rPr>
        <w:t>Comité de Transparencia</w:t>
      </w:r>
      <w:r w:rsidR="00A37D92" w:rsidRPr="0098181D">
        <w:rPr>
          <w:rFonts w:ascii="Palatino Linotype" w:eastAsia="Palatino Linotype" w:hAnsi="Palatino Linotype" w:cs="Palatino Linotype"/>
          <w:b/>
        </w:rPr>
        <w:t xml:space="preserve"> </w:t>
      </w:r>
      <w:r w:rsidR="005D0EDE" w:rsidRPr="0098181D">
        <w:rPr>
          <w:rFonts w:ascii="Palatino Linotype" w:eastAsia="Palatino Linotype" w:hAnsi="Palatino Linotype" w:cs="Palatino Linotype"/>
        </w:rPr>
        <w:t>emita un acuerdo</w:t>
      </w:r>
      <w:r w:rsidR="005A1997" w:rsidRPr="0098181D">
        <w:rPr>
          <w:rFonts w:ascii="Palatino Linotype" w:eastAsia="Palatino Linotype" w:hAnsi="Palatino Linotype" w:cs="Palatino Linotype"/>
        </w:rPr>
        <w:t xml:space="preserve"> mediante el cual se clasifique información;</w:t>
      </w:r>
      <w:r w:rsidR="00A73A0F" w:rsidRPr="0098181D">
        <w:rPr>
          <w:rFonts w:ascii="Palatino Linotype" w:eastAsia="Palatino Linotype" w:hAnsi="Palatino Linotype" w:cs="Palatino Linotype"/>
        </w:rPr>
        <w:t xml:space="preserve"> </w:t>
      </w:r>
      <w:r w:rsidR="004D4347" w:rsidRPr="0098181D">
        <w:rPr>
          <w:rFonts w:ascii="Palatino Linotype" w:eastAsia="Palatino Linotype" w:hAnsi="Palatino Linotype" w:cs="Palatino Linotype"/>
        </w:rPr>
        <w:t>en consecuencia</w:t>
      </w:r>
      <w:r w:rsidR="00A73A0F" w:rsidRPr="0098181D">
        <w:rPr>
          <w:rFonts w:ascii="Palatino Linotype" w:eastAsia="Palatino Linotype" w:hAnsi="Palatino Linotype" w:cs="Palatino Linotype"/>
        </w:rPr>
        <w:t xml:space="preserve">, es procedente </w:t>
      </w:r>
      <w:r w:rsidR="00A73A0F" w:rsidRPr="0098181D">
        <w:rPr>
          <w:rFonts w:ascii="Palatino Linotype" w:eastAsia="Palatino Linotype" w:hAnsi="Palatino Linotype" w:cs="Palatino Linotype"/>
          <w:i/>
        </w:rPr>
        <w:t xml:space="preserve">Confirmar </w:t>
      </w:r>
      <w:r w:rsidR="00A73A0F" w:rsidRPr="0098181D">
        <w:rPr>
          <w:rFonts w:ascii="Palatino Linotype" w:eastAsia="Palatino Linotype" w:hAnsi="Palatino Linotype" w:cs="Palatino Linotype"/>
        </w:rPr>
        <w:t xml:space="preserve">la respuesta proporcionada por el </w:t>
      </w:r>
      <w:r w:rsidR="00A73A0F" w:rsidRPr="0098181D">
        <w:rPr>
          <w:rFonts w:ascii="Palatino Linotype" w:eastAsia="Palatino Linotype" w:hAnsi="Palatino Linotype" w:cs="Palatino Linotype"/>
          <w:b/>
        </w:rPr>
        <w:t xml:space="preserve">Sujeto Obligado </w:t>
      </w:r>
      <w:r w:rsidR="00A73A0F" w:rsidRPr="0098181D">
        <w:rPr>
          <w:rFonts w:ascii="Palatino Linotype" w:eastAsia="Palatino Linotype" w:hAnsi="Palatino Linotype" w:cs="Palatino Linotype"/>
        </w:rPr>
        <w:t>en términos del artículo 186 fracción II de la Ley de Transparencia y Acceso a la Información Pública del Estado de México y Municipios.</w:t>
      </w:r>
    </w:p>
    <w:p w:rsidR="00205B92" w:rsidRPr="0098181D" w:rsidRDefault="004D4347" w:rsidP="00205B92">
      <w:pPr>
        <w:spacing w:before="240" w:after="240" w:line="360" w:lineRule="auto"/>
        <w:jc w:val="both"/>
        <w:rPr>
          <w:rFonts w:ascii="Palatino Linotype" w:eastAsiaTheme="minorEastAsia" w:hAnsi="Palatino Linotype" w:cs="Arial"/>
        </w:rPr>
      </w:pPr>
      <w:r w:rsidRPr="0098181D">
        <w:rPr>
          <w:rFonts w:ascii="Palatino Linotype" w:eastAsia="Palatino Linotype" w:hAnsi="Palatino Linotype" w:cs="Palatino Linotype"/>
        </w:rPr>
        <w:t>Por otro lado, respecto del</w:t>
      </w:r>
      <w:r w:rsidR="00E060C9" w:rsidRPr="0098181D">
        <w:rPr>
          <w:rFonts w:ascii="Palatino Linotype" w:eastAsia="Palatino Linotype" w:hAnsi="Palatino Linotype" w:cs="Palatino Linotype"/>
        </w:rPr>
        <w:t xml:space="preserve"> </w:t>
      </w:r>
      <w:r w:rsidRPr="0098181D">
        <w:rPr>
          <w:rFonts w:ascii="Palatino Linotype" w:eastAsia="Palatino Linotype" w:hAnsi="Palatino Linotype" w:cs="Palatino Linotype"/>
        </w:rPr>
        <w:t xml:space="preserve">recurso de revisión </w:t>
      </w:r>
      <w:r w:rsidRPr="0098181D">
        <w:rPr>
          <w:rFonts w:ascii="Palatino Linotype" w:eastAsia="Palatino Linotype" w:hAnsi="Palatino Linotype" w:cs="Palatino Linotype"/>
          <w:b/>
        </w:rPr>
        <w:t xml:space="preserve">05609/INFOEM/IP/RR/2023, </w:t>
      </w:r>
      <w:r w:rsidRPr="0098181D">
        <w:rPr>
          <w:rFonts w:ascii="Palatino Linotype" w:eastAsia="Palatino Linotype" w:hAnsi="Palatino Linotype" w:cs="Palatino Linotype"/>
        </w:rPr>
        <w:t xml:space="preserve">es importante mencionar que </w:t>
      </w:r>
      <w:r w:rsidR="00205B92" w:rsidRPr="0098181D">
        <w:rPr>
          <w:rFonts w:ascii="Palatino Linotype" w:eastAsia="Palatino Linotype" w:hAnsi="Palatino Linotype" w:cs="Palatino Linotype"/>
        </w:rPr>
        <w:t xml:space="preserve">el </w:t>
      </w:r>
      <w:r w:rsidR="00205B92" w:rsidRPr="0098181D">
        <w:rPr>
          <w:rFonts w:ascii="Palatino Linotype" w:eastAsia="Palatino Linotype" w:hAnsi="Palatino Linotype" w:cs="Palatino Linotype"/>
          <w:b/>
        </w:rPr>
        <w:t>Sujeto Obligado</w:t>
      </w:r>
      <w:r w:rsidR="00205B92" w:rsidRPr="0098181D">
        <w:rPr>
          <w:rFonts w:ascii="Palatino Linotype" w:eastAsia="Palatino Linotype" w:hAnsi="Palatino Linotype" w:cs="Palatino Linotype"/>
        </w:rPr>
        <w:t xml:space="preserve">, al ser </w:t>
      </w:r>
      <w:r w:rsidR="00205B92" w:rsidRPr="0098181D">
        <w:rPr>
          <w:rFonts w:ascii="Palatino Linotype" w:hAnsi="Palatino Linotype"/>
        </w:rPr>
        <w:t xml:space="preserve">al ser un ente que ejerce recursos públicos, tiene la obligación de transparentar sus actuaciones, garantizando </w:t>
      </w:r>
      <w:r w:rsidR="00205B92" w:rsidRPr="0098181D">
        <w:rPr>
          <w:rFonts w:ascii="Palatino Linotype" w:hAnsi="Palatino Linotype"/>
        </w:rPr>
        <w:lastRenderedPageBreak/>
        <w:t xml:space="preserve">el derecho humano de acceso a la información pública, lo cierto es que dicho derecho puede ser restringido de manera </w:t>
      </w:r>
      <w:r w:rsidR="00205B92" w:rsidRPr="0098181D">
        <w:rPr>
          <w:rFonts w:ascii="Palatino Linotype" w:hAnsi="Palatino Linotype" w:cs="Arial"/>
        </w:rPr>
        <w:t xml:space="preserve">excepcional por razones de interés público, </w:t>
      </w:r>
      <w:r w:rsidR="00205B92" w:rsidRPr="0098181D">
        <w:rPr>
          <w:rFonts w:ascii="Palatino Linotype" w:eastAsiaTheme="minorEastAsia" w:hAnsi="Palatino Linotype" w:cs="Arial"/>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05B92" w:rsidRPr="0098181D" w:rsidRDefault="00205B92" w:rsidP="00205B92">
      <w:pPr>
        <w:autoSpaceDE w:val="0"/>
        <w:autoSpaceDN w:val="0"/>
        <w:adjustRightInd w:val="0"/>
        <w:ind w:left="851" w:right="900"/>
        <w:jc w:val="both"/>
        <w:rPr>
          <w:rFonts w:ascii="Palatino Linotype" w:eastAsiaTheme="minorEastAsia" w:hAnsi="Palatino Linotype" w:cs="Arial"/>
          <w:i/>
          <w:sz w:val="22"/>
          <w:szCs w:val="22"/>
        </w:rPr>
      </w:pPr>
      <w:r w:rsidRPr="0098181D">
        <w:rPr>
          <w:rFonts w:ascii="Palatino Linotype" w:eastAsiaTheme="minorEastAsia" w:hAnsi="Palatino Linotype" w:cs="Arial"/>
          <w:b/>
          <w:bCs/>
          <w:i/>
          <w:sz w:val="22"/>
          <w:szCs w:val="22"/>
        </w:rPr>
        <w:t xml:space="preserve">“Artículo 91. </w:t>
      </w:r>
      <w:r w:rsidRPr="0098181D">
        <w:rPr>
          <w:rFonts w:ascii="Palatino Linotype" w:eastAsiaTheme="minorEastAsia" w:hAnsi="Palatino Linotype" w:cs="Arial"/>
          <w:i/>
          <w:sz w:val="22"/>
          <w:szCs w:val="22"/>
        </w:rPr>
        <w:t>El acceso a la información pública será restringido  excepcionalmente, cuando ésta sea clasificada como reservada o confidencial.”</w:t>
      </w:r>
    </w:p>
    <w:p w:rsidR="00205B92" w:rsidRPr="0098181D" w:rsidRDefault="00205B92" w:rsidP="00205B9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Siendo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rsidR="00205B92" w:rsidRPr="0098181D" w:rsidRDefault="00205B92" w:rsidP="00205B92">
      <w:pPr>
        <w:spacing w:before="240" w:after="240" w:line="360" w:lineRule="auto"/>
        <w:jc w:val="both"/>
        <w:rPr>
          <w:rFonts w:ascii="Palatino Linotype" w:eastAsia="Palatino Linotype" w:hAnsi="Palatino Linotype" w:cs="Palatino Linotype"/>
          <w:sz w:val="18"/>
          <w:szCs w:val="18"/>
        </w:rPr>
      </w:pPr>
      <w:r w:rsidRPr="0098181D">
        <w:rPr>
          <w:rFonts w:ascii="Palatino Linotype" w:eastAsia="Palatino Linotype" w:hAnsi="Palatino Linotype" w:cs="Palatino Linotype"/>
        </w:rPr>
        <w:t>Así, se entiende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8181D">
        <w:rPr>
          <w:rFonts w:ascii="Palatino Linotype" w:eastAsia="Palatino Linotype" w:hAnsi="Palatino Linotype" w:cs="Palatino Linotype"/>
          <w:sz w:val="18"/>
          <w:szCs w:val="18"/>
        </w:rPr>
        <w:t xml:space="preserve">. </w:t>
      </w:r>
    </w:p>
    <w:p w:rsidR="00205B92" w:rsidRPr="0098181D" w:rsidRDefault="00205B92" w:rsidP="00205B92">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lastRenderedPageBreak/>
        <w:t>En lo que concierne a la información clasificada como confidencial, para que el acceso a la información pública pueda ser restringido, se deben actualizar los supuestos establecidos en el artículo 116 de la y Ley General de Transparencia Acceso a la Información Pública y el artículo 143 de la Ley de Transparencia y Acceso a la Información Pública del Estado de México y Municipios, que a la letra señalan lo siguiente:</w:t>
      </w:r>
    </w:p>
    <w:p w:rsidR="00205B92" w:rsidRPr="0098181D" w:rsidRDefault="00205B92" w:rsidP="00205B92">
      <w:pPr>
        <w:spacing w:before="120" w:after="120"/>
        <w:ind w:left="851" w:right="902"/>
        <w:jc w:val="both"/>
        <w:rPr>
          <w:rFonts w:ascii="Palatino Linotype" w:hAnsi="Palatino Linotype"/>
          <w:i/>
          <w:sz w:val="22"/>
        </w:rPr>
      </w:pPr>
      <w:r w:rsidRPr="0098181D">
        <w:rPr>
          <w:rFonts w:ascii="Palatino Linotype" w:eastAsia="Palatino Linotype" w:hAnsi="Palatino Linotype" w:cs="Palatino Linotype"/>
          <w:i/>
          <w:sz w:val="22"/>
        </w:rPr>
        <w:t>“</w:t>
      </w:r>
      <w:r w:rsidRPr="0098181D">
        <w:rPr>
          <w:rFonts w:ascii="Palatino Linotype" w:hAnsi="Palatino Linotype"/>
          <w:b/>
          <w:i/>
          <w:sz w:val="22"/>
        </w:rPr>
        <w:t>Artículo 116.</w:t>
      </w:r>
      <w:r w:rsidRPr="0098181D">
        <w:rPr>
          <w:rFonts w:ascii="Palatino Linotype" w:hAnsi="Palatino Linotype"/>
          <w:i/>
          <w:sz w:val="22"/>
        </w:rPr>
        <w:t xml:space="preserve"> Se considera información confidencial la que contiene datos personales concernientes a una persona identificada o identificable. </w:t>
      </w:r>
    </w:p>
    <w:p w:rsidR="00205B92" w:rsidRPr="0098181D" w:rsidRDefault="00205B92" w:rsidP="00205B92">
      <w:pPr>
        <w:spacing w:before="120" w:after="120"/>
        <w:ind w:left="851" w:right="902"/>
        <w:jc w:val="both"/>
        <w:rPr>
          <w:rFonts w:ascii="Palatino Linotype" w:hAnsi="Palatino Linotype"/>
          <w:i/>
          <w:sz w:val="22"/>
        </w:rPr>
      </w:pPr>
      <w:r w:rsidRPr="0098181D">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rsidR="00205B92" w:rsidRPr="0098181D" w:rsidRDefault="00205B92" w:rsidP="00205B92">
      <w:pPr>
        <w:spacing w:before="120" w:after="120"/>
        <w:ind w:left="851" w:right="902"/>
        <w:jc w:val="both"/>
        <w:rPr>
          <w:rFonts w:ascii="Palatino Linotype" w:hAnsi="Palatino Linotype"/>
          <w:i/>
          <w:sz w:val="22"/>
        </w:rPr>
      </w:pPr>
      <w:r w:rsidRPr="0098181D">
        <w:rPr>
          <w:rFonts w:ascii="Palatino Linotype" w:hAnsi="Palatino Linotype"/>
          <w:i/>
          <w:sz w:val="22"/>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05B92" w:rsidRPr="0098181D" w:rsidRDefault="00205B92" w:rsidP="00205B92">
      <w:pPr>
        <w:spacing w:before="120" w:after="120"/>
        <w:ind w:left="851" w:right="902"/>
        <w:jc w:val="both"/>
        <w:rPr>
          <w:rFonts w:ascii="Palatino Linotype" w:hAnsi="Palatino Linotype"/>
          <w:i/>
          <w:sz w:val="22"/>
        </w:rPr>
      </w:pPr>
      <w:r w:rsidRPr="0098181D">
        <w:rPr>
          <w:rFonts w:ascii="Palatino Linotype" w:hAnsi="Palatino Linotype"/>
          <w:i/>
          <w:sz w:val="22"/>
        </w:rPr>
        <w:t>Asimismo, será información confidencial aquella que presenten los particulares a los sujetos obligados, siempre que tengan el derecho a ello, de conformidad con lo dispuesto por las leyes o los tratados internacionales.”</w:t>
      </w:r>
    </w:p>
    <w:p w:rsidR="00205B92" w:rsidRPr="0098181D" w:rsidRDefault="00205B92" w:rsidP="00205B92">
      <w:pPr>
        <w:spacing w:before="120" w:after="120"/>
        <w:ind w:left="851" w:right="902"/>
        <w:jc w:val="both"/>
        <w:rPr>
          <w:rFonts w:ascii="Palatino Linotype" w:hAnsi="Palatino Linotype"/>
          <w:i/>
          <w:sz w:val="22"/>
        </w:rPr>
      </w:pPr>
      <w:r w:rsidRPr="0098181D">
        <w:rPr>
          <w:rFonts w:ascii="Palatino Linotype" w:hAnsi="Palatino Linotype"/>
          <w:i/>
          <w:sz w:val="22"/>
        </w:rPr>
        <w:t>“</w:t>
      </w:r>
      <w:r w:rsidRPr="0098181D">
        <w:rPr>
          <w:rFonts w:ascii="Palatino Linotype" w:hAnsi="Palatino Linotype"/>
          <w:b/>
          <w:i/>
          <w:sz w:val="22"/>
        </w:rPr>
        <w:t>Artículo 143.</w:t>
      </w:r>
      <w:r w:rsidRPr="0098181D">
        <w:rPr>
          <w:rFonts w:ascii="Palatino Linotype" w:hAnsi="Palatino Linotype"/>
          <w:i/>
          <w:sz w:val="22"/>
        </w:rPr>
        <w:t xml:space="preserve"> Para los efectos de esta Ley se considera información confidencial, la clasificada como tal, de manera permanente, por su naturaleza, cuando: </w:t>
      </w:r>
    </w:p>
    <w:p w:rsidR="00205B92" w:rsidRPr="0098181D" w:rsidRDefault="00205B92" w:rsidP="00205B92">
      <w:pPr>
        <w:spacing w:before="120" w:after="120"/>
        <w:ind w:left="1134" w:right="902"/>
        <w:jc w:val="both"/>
        <w:rPr>
          <w:rFonts w:ascii="Palatino Linotype" w:hAnsi="Palatino Linotype"/>
          <w:i/>
          <w:sz w:val="22"/>
        </w:rPr>
      </w:pPr>
      <w:r w:rsidRPr="0098181D">
        <w:rPr>
          <w:rFonts w:ascii="Palatino Linotype" w:hAnsi="Palatino Linotype"/>
          <w:b/>
          <w:i/>
          <w:sz w:val="22"/>
        </w:rPr>
        <w:t>I</w:t>
      </w:r>
      <w:r w:rsidRPr="0098181D">
        <w:rPr>
          <w:rFonts w:ascii="Palatino Linotype" w:hAnsi="Palatino Linotype"/>
          <w:i/>
          <w:sz w:val="22"/>
        </w:rPr>
        <w:t xml:space="preserve">. Se refiera a la información privada y los datos personales concernientes a una persona física o </w:t>
      </w:r>
      <w:proofErr w:type="gramStart"/>
      <w:r w:rsidRPr="0098181D">
        <w:rPr>
          <w:rFonts w:ascii="Palatino Linotype" w:hAnsi="Palatino Linotype"/>
          <w:i/>
          <w:sz w:val="22"/>
        </w:rPr>
        <w:t>jurídico</w:t>
      </w:r>
      <w:proofErr w:type="gramEnd"/>
      <w:r w:rsidRPr="0098181D">
        <w:rPr>
          <w:rFonts w:ascii="Palatino Linotype" w:hAnsi="Palatino Linotype"/>
          <w:i/>
          <w:sz w:val="22"/>
        </w:rPr>
        <w:t xml:space="preserve"> colectiva identificada o identificable; </w:t>
      </w:r>
    </w:p>
    <w:p w:rsidR="00205B92" w:rsidRPr="0098181D" w:rsidRDefault="00205B92" w:rsidP="00205B92">
      <w:pPr>
        <w:spacing w:before="120" w:after="120"/>
        <w:ind w:left="1134" w:right="902"/>
        <w:jc w:val="both"/>
        <w:rPr>
          <w:rFonts w:ascii="Palatino Linotype" w:hAnsi="Palatino Linotype"/>
          <w:i/>
          <w:sz w:val="22"/>
        </w:rPr>
      </w:pPr>
      <w:r w:rsidRPr="0098181D">
        <w:rPr>
          <w:rFonts w:ascii="Palatino Linotype" w:hAnsi="Palatino Linotype"/>
          <w:b/>
          <w:i/>
          <w:sz w:val="22"/>
        </w:rPr>
        <w:t>II.</w:t>
      </w:r>
      <w:r w:rsidRPr="0098181D">
        <w:rPr>
          <w:rFonts w:ascii="Palatino Linotype" w:hAnsi="Palatino Linotype"/>
          <w:i/>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205B92" w:rsidRPr="0098181D" w:rsidRDefault="00205B92" w:rsidP="00205B92">
      <w:pPr>
        <w:spacing w:before="120" w:after="120"/>
        <w:ind w:left="1134" w:right="902"/>
        <w:jc w:val="both"/>
        <w:rPr>
          <w:rFonts w:ascii="Palatino Linotype" w:hAnsi="Palatino Linotype"/>
          <w:i/>
          <w:sz w:val="22"/>
        </w:rPr>
      </w:pPr>
      <w:r w:rsidRPr="0098181D">
        <w:rPr>
          <w:rFonts w:ascii="Palatino Linotype" w:hAnsi="Palatino Linotype"/>
          <w:b/>
          <w:i/>
          <w:sz w:val="22"/>
        </w:rPr>
        <w:t>III.</w:t>
      </w:r>
      <w:r w:rsidRPr="0098181D">
        <w:rPr>
          <w:rFonts w:ascii="Palatino Linotype" w:hAnsi="Palatino Linotype"/>
          <w:i/>
          <w:sz w:val="22"/>
        </w:rPr>
        <w:t xml:space="preserve"> La que presenten los particulares a los sujetos obligados, de conformidad con lo dispuesto por las leyes o los tratados internacionales. </w:t>
      </w:r>
    </w:p>
    <w:p w:rsidR="00205B92" w:rsidRPr="0098181D" w:rsidRDefault="00205B92" w:rsidP="00205B92">
      <w:pPr>
        <w:spacing w:before="120" w:after="120"/>
        <w:ind w:left="851" w:right="902"/>
        <w:jc w:val="both"/>
        <w:rPr>
          <w:rFonts w:ascii="Palatino Linotype" w:hAnsi="Palatino Linotype"/>
          <w:i/>
          <w:sz w:val="22"/>
        </w:rPr>
      </w:pPr>
      <w:r w:rsidRPr="0098181D">
        <w:rPr>
          <w:rFonts w:ascii="Palatino Linotype" w:hAnsi="Palatino Linotype"/>
          <w:i/>
          <w:sz w:val="22"/>
        </w:rPr>
        <w:lastRenderedPageBreak/>
        <w:t xml:space="preserve">La información confidencial no estará sujeta a temporalidad alguna y sólo podrán tener acceso a ella los titulares de la misma, sus representantes y los servidores públicos facultados para ello. </w:t>
      </w:r>
    </w:p>
    <w:p w:rsidR="00205B92" w:rsidRPr="0098181D" w:rsidRDefault="00205B92" w:rsidP="00205B92">
      <w:pPr>
        <w:spacing w:before="120" w:after="120"/>
        <w:ind w:left="851" w:right="902"/>
        <w:jc w:val="both"/>
        <w:rPr>
          <w:rFonts w:ascii="Palatino Linotype" w:eastAsia="Palatino Linotype" w:hAnsi="Palatino Linotype" w:cs="Palatino Linotype"/>
          <w:i/>
          <w:sz w:val="22"/>
        </w:rPr>
      </w:pPr>
      <w:r w:rsidRPr="0098181D">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rsidR="00152912" w:rsidRPr="0098181D" w:rsidRDefault="00152912" w:rsidP="00152912">
      <w:pPr>
        <w:spacing w:before="280" w:after="28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52912" w:rsidRPr="0098181D" w:rsidRDefault="00152912" w:rsidP="00152912">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98181D">
        <w:rPr>
          <w:rFonts w:ascii="Palatino Linotype" w:eastAsia="Palatino Linotype" w:hAnsi="Palatino Linotype" w:cs="Palatino Linotype"/>
        </w:rPr>
        <w:t>Se reciba una solicitud de acceso a la información;</w:t>
      </w:r>
    </w:p>
    <w:p w:rsidR="00152912" w:rsidRPr="0098181D" w:rsidRDefault="00152912" w:rsidP="00152912">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98181D">
        <w:rPr>
          <w:rFonts w:ascii="Palatino Linotype" w:eastAsia="Palatino Linotype" w:hAnsi="Palatino Linotype" w:cs="Palatino Linotype"/>
        </w:rPr>
        <w:t>Se determine mediante resolución de autoridad competente; y/o</w:t>
      </w:r>
    </w:p>
    <w:p w:rsidR="00152912" w:rsidRPr="0098181D" w:rsidRDefault="00152912" w:rsidP="00152912">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98181D">
        <w:rPr>
          <w:rFonts w:ascii="Palatino Linotype" w:eastAsia="Palatino Linotype" w:hAnsi="Palatino Linotype" w:cs="Palatino Linotype"/>
        </w:rPr>
        <w:t>Se generen versiones públicas para dar cumplimiento a las obligaciones de transparencia previstas en la Ley.</w:t>
      </w:r>
    </w:p>
    <w:p w:rsidR="00152912" w:rsidRPr="0098181D" w:rsidRDefault="00152912" w:rsidP="00152912">
      <w:pPr>
        <w:spacing w:before="280" w:after="280" w:line="360" w:lineRule="auto"/>
        <w:ind w:right="51"/>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w:t>
      </w:r>
      <w:r w:rsidRPr="0098181D">
        <w:rPr>
          <w:rFonts w:ascii="Palatino Linotype" w:eastAsia="Palatino Linotype" w:hAnsi="Palatino Linotype" w:cs="Palatino Linotype"/>
        </w:rPr>
        <w:lastRenderedPageBreak/>
        <w:t>al Comité de Transparencia de así resultar procedente el proyecto de clasificación de la información y que finalmente sea este último quien apruebe, modifique o revoque la misma, como se desprende de los artículos 59 fracción V</w:t>
      </w:r>
      <w:r w:rsidRPr="0098181D">
        <w:rPr>
          <w:rFonts w:ascii="Palatino Linotype" w:eastAsia="Palatino Linotype" w:hAnsi="Palatino Linotype" w:cs="Palatino Linotype"/>
          <w:vertAlign w:val="superscript"/>
        </w:rPr>
        <w:footnoteReference w:id="2"/>
      </w:r>
      <w:r w:rsidRPr="0098181D">
        <w:rPr>
          <w:rFonts w:ascii="Palatino Linotype" w:eastAsia="Palatino Linotype" w:hAnsi="Palatino Linotype" w:cs="Palatino Linotype"/>
        </w:rPr>
        <w:t>, 53 fracción X</w:t>
      </w:r>
      <w:r w:rsidRPr="0098181D">
        <w:rPr>
          <w:rFonts w:ascii="Palatino Linotype" w:eastAsia="Palatino Linotype" w:hAnsi="Palatino Linotype" w:cs="Palatino Linotype"/>
          <w:vertAlign w:val="superscript"/>
        </w:rPr>
        <w:footnoteReference w:id="3"/>
      </w:r>
      <w:r w:rsidRPr="0098181D">
        <w:rPr>
          <w:rFonts w:ascii="Palatino Linotype" w:eastAsia="Palatino Linotype" w:hAnsi="Palatino Linotype" w:cs="Palatino Linotype"/>
        </w:rPr>
        <w:t>, y 49 fracciones II y VIII</w:t>
      </w:r>
      <w:r w:rsidRPr="0098181D">
        <w:rPr>
          <w:rFonts w:ascii="Palatino Linotype" w:eastAsia="Palatino Linotype" w:hAnsi="Palatino Linotype" w:cs="Palatino Linotype"/>
          <w:vertAlign w:val="superscript"/>
        </w:rPr>
        <w:footnoteReference w:id="4"/>
      </w:r>
      <w:r w:rsidRPr="0098181D">
        <w:rPr>
          <w:rFonts w:ascii="Palatino Linotype" w:eastAsia="Palatino Linotype" w:hAnsi="Palatino Linotype" w:cs="Palatino Linotype"/>
        </w:rPr>
        <w:t xml:space="preserve"> de la Ley de Transparencia y Acceso a la Información Pública del Estado de México y Municipios.</w:t>
      </w:r>
    </w:p>
    <w:p w:rsidR="00AA2EB9" w:rsidRPr="0098181D" w:rsidRDefault="00AA2EB9" w:rsidP="00AA2EB9">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Respecto a la</w:t>
      </w:r>
      <w:r w:rsidR="005C7BD8" w:rsidRPr="0098181D">
        <w:rPr>
          <w:rFonts w:ascii="Palatino Linotype" w:eastAsia="Palatino Linotype" w:hAnsi="Palatino Linotype" w:cs="Palatino Linotype"/>
        </w:rPr>
        <w:t xml:space="preserve"> </w:t>
      </w:r>
      <w:r w:rsidR="00152912" w:rsidRPr="0098181D">
        <w:rPr>
          <w:rFonts w:ascii="Palatino Linotype" w:eastAsia="Palatino Linotype" w:hAnsi="Palatino Linotype" w:cs="Palatino Linotype"/>
        </w:rPr>
        <w:t xml:space="preserve"> elaboración de versiones públicas</w:t>
      </w:r>
      <w:r w:rsidRPr="0098181D">
        <w:rPr>
          <w:rFonts w:ascii="Palatino Linotype" w:eastAsia="Palatino Linotype" w:hAnsi="Palatino Linotype" w:cs="Palatino Linotype"/>
        </w:rPr>
        <w:t xml:space="preserve"> de documentos que contengan datos personales</w:t>
      </w:r>
      <w:r w:rsidR="00152912" w:rsidRPr="0098181D">
        <w:rPr>
          <w:rFonts w:ascii="Palatino Linotype" w:eastAsia="Palatino Linotype" w:hAnsi="Palatino Linotype" w:cs="Palatino Linotype"/>
        </w:rPr>
        <w:t xml:space="preserve">, </w:t>
      </w:r>
      <w:r w:rsidRPr="0098181D">
        <w:rPr>
          <w:rFonts w:ascii="Palatino Linotype" w:eastAsia="Palatino Linotype" w:hAnsi="Palatino Linotype" w:cs="Palatino Linotype"/>
        </w:rPr>
        <w:t>los Sujetos Obligados deben observar, además,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A2EB9" w:rsidRPr="0098181D" w:rsidRDefault="00AA2EB9" w:rsidP="00AA2EB9">
      <w:pPr>
        <w:spacing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En este tenor, los Lineamientos Quincuagésimo, Quincuagésimo primero, Quincuagésimo segundo, de los Lineamientos Generales en Materia de Clasificación </w:t>
      </w:r>
      <w:r w:rsidRPr="0098181D">
        <w:rPr>
          <w:rFonts w:ascii="Palatino Linotype" w:eastAsia="Palatino Linotype" w:hAnsi="Palatino Linotype" w:cs="Palatino Linotype"/>
        </w:rPr>
        <w:lastRenderedPageBreak/>
        <w:t xml:space="preserve">y Desclasificación señalan las formalidades que deberá llevar el acuerdo de clasificación que deberá emitir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siendo estas las siguientes:</w:t>
      </w:r>
    </w:p>
    <w:p w:rsidR="00AA2EB9" w:rsidRPr="0098181D" w:rsidRDefault="00AA2EB9" w:rsidP="00AA2EB9">
      <w:pPr>
        <w:spacing w:before="120" w:after="120"/>
        <w:ind w:left="851"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 xml:space="preserve"> “Quincuagésimo. </w:t>
      </w:r>
      <w:r w:rsidRPr="0098181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AA2EB9" w:rsidRPr="0098181D" w:rsidRDefault="00AA2EB9" w:rsidP="00AA2EB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 xml:space="preserve">Quincuagésimo primero. </w:t>
      </w:r>
      <w:r w:rsidRPr="0098181D">
        <w:rPr>
          <w:rFonts w:ascii="Palatino Linotype" w:eastAsia="Palatino Linotype" w:hAnsi="Palatino Linotype" w:cs="Palatino Linotype"/>
          <w:i/>
          <w:sz w:val="22"/>
          <w:szCs w:val="22"/>
        </w:rPr>
        <w:t xml:space="preserve">Toda acta del Comité de Transparencia deberá contener: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w:t>
      </w:r>
      <w:r w:rsidRPr="0098181D">
        <w:rPr>
          <w:rFonts w:ascii="Palatino Linotype" w:eastAsia="Palatino Linotype" w:hAnsi="Palatino Linotype" w:cs="Palatino Linotype"/>
          <w:i/>
          <w:sz w:val="22"/>
          <w:szCs w:val="22"/>
        </w:rPr>
        <w:t xml:space="preserve"> El número de sesión y fecha;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II</w:t>
      </w:r>
      <w:r w:rsidRPr="0098181D">
        <w:rPr>
          <w:rFonts w:ascii="Palatino Linotype" w:eastAsia="Palatino Linotype" w:hAnsi="Palatino Linotype" w:cs="Palatino Linotype"/>
          <w:i/>
          <w:sz w:val="22"/>
          <w:szCs w:val="22"/>
        </w:rPr>
        <w:t xml:space="preserve">. El nombre del área que solicitó la clasificación de información;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III</w:t>
      </w:r>
      <w:r w:rsidRPr="0098181D">
        <w:rPr>
          <w:rFonts w:ascii="Palatino Linotype" w:eastAsia="Palatino Linotype" w:hAnsi="Palatino Linotype" w:cs="Palatino Linotype"/>
          <w:i/>
          <w:sz w:val="22"/>
          <w:szCs w:val="22"/>
        </w:rPr>
        <w:t xml:space="preserve">. La fundamentación legal y motivación correspondiente;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IV</w:t>
      </w:r>
      <w:r w:rsidRPr="0098181D">
        <w:rPr>
          <w:rFonts w:ascii="Palatino Linotype" w:eastAsia="Palatino Linotype" w:hAnsi="Palatino Linotype" w:cs="Palatino Linotype"/>
          <w:i/>
          <w:sz w:val="22"/>
          <w:szCs w:val="22"/>
        </w:rPr>
        <w:t xml:space="preserve">. La resolución o resoluciones aprobadas; y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V</w:t>
      </w:r>
      <w:r w:rsidRPr="0098181D">
        <w:rPr>
          <w:rFonts w:ascii="Palatino Linotype" w:eastAsia="Palatino Linotype" w:hAnsi="Palatino Linotype" w:cs="Palatino Linotype"/>
          <w:i/>
          <w:sz w:val="22"/>
          <w:szCs w:val="22"/>
        </w:rPr>
        <w:t xml:space="preserve">. La rúbrica o firma digital de cada integrante del Comité de Transparencia. </w:t>
      </w:r>
    </w:p>
    <w:p w:rsidR="00AA2EB9" w:rsidRPr="0098181D" w:rsidRDefault="00AA2EB9" w:rsidP="00AA2EB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w:t>
      </w:r>
      <w:r w:rsidRPr="0098181D">
        <w:rPr>
          <w:rFonts w:ascii="Palatino Linotype" w:eastAsia="Palatino Linotype" w:hAnsi="Palatino Linotype" w:cs="Palatino Linotype"/>
          <w:i/>
          <w:sz w:val="22"/>
          <w:szCs w:val="22"/>
        </w:rPr>
        <w:t xml:space="preserve"> Los motivos y razonamientos que sustenten la confirmación o modificación de la prueba de daño;</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98181D">
        <w:rPr>
          <w:rFonts w:ascii="Palatino Linotype" w:eastAsia="Palatino Linotype" w:hAnsi="Palatino Linotype" w:cs="Palatino Linotype"/>
          <w:b/>
          <w:i/>
          <w:sz w:val="22"/>
          <w:szCs w:val="22"/>
        </w:rPr>
        <w:t>II</w:t>
      </w:r>
      <w:r w:rsidRPr="0098181D">
        <w:rPr>
          <w:rFonts w:ascii="Palatino Linotype" w:eastAsia="Palatino Linotype" w:hAnsi="Palatino Linotype" w:cs="Palatino Linotype"/>
          <w:i/>
          <w:sz w:val="22"/>
          <w:szCs w:val="22"/>
        </w:rPr>
        <w:t>. Descripción de las partes o secciones reservadas, en caso de clasificación parcial</w:t>
      </w:r>
      <w:r w:rsidRPr="0098181D">
        <w:rPr>
          <w:rFonts w:ascii="Palatino Linotype" w:eastAsia="Palatino Linotype" w:hAnsi="Palatino Linotype" w:cs="Palatino Linotype"/>
          <w:b/>
          <w:i/>
          <w:sz w:val="22"/>
          <w:szCs w:val="22"/>
        </w:rPr>
        <w:t xml:space="preserve">;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III.</w:t>
      </w:r>
      <w:r w:rsidRPr="0098181D">
        <w:rPr>
          <w:rFonts w:ascii="Palatino Linotype" w:eastAsia="Palatino Linotype" w:hAnsi="Palatino Linotype" w:cs="Palatino Linotype"/>
          <w:i/>
          <w:sz w:val="22"/>
          <w:szCs w:val="22"/>
        </w:rPr>
        <w:t xml:space="preserve"> El periodo por el que mantendrá su clasificación y fecha de expiración; y </w:t>
      </w:r>
    </w:p>
    <w:p w:rsidR="00AA2EB9" w:rsidRPr="0098181D" w:rsidRDefault="00AA2EB9" w:rsidP="00AA2EB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IV.</w:t>
      </w:r>
      <w:r w:rsidRPr="0098181D">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AA2EB9" w:rsidRPr="0098181D" w:rsidRDefault="00AA2EB9" w:rsidP="00AA2EB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AA2EB9" w:rsidRPr="0098181D" w:rsidRDefault="00AA2EB9" w:rsidP="00AA2EB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AA2EB9" w:rsidRPr="0098181D" w:rsidRDefault="00AA2EB9" w:rsidP="00AA2EB9">
      <w:pPr>
        <w:spacing w:before="120" w:after="120"/>
        <w:ind w:left="851" w:right="900"/>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Quincuagésimo segundo</w:t>
      </w:r>
      <w:r w:rsidRPr="0098181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w:t>
      </w:r>
      <w:r w:rsidRPr="0098181D">
        <w:rPr>
          <w:rFonts w:ascii="Palatino Linotype" w:eastAsia="Palatino Linotype" w:hAnsi="Palatino Linotype" w:cs="Palatino Linotype"/>
          <w:i/>
          <w:sz w:val="22"/>
          <w:szCs w:val="22"/>
        </w:rPr>
        <w:lastRenderedPageBreak/>
        <w:t xml:space="preserve">confidencial, las áreas de los sujetos obligados deberán tomar las medidas pertinentes tendientes a asegurar que el espacio utilizado para testar la información no podrá ser empleado para la </w:t>
      </w:r>
      <w:proofErr w:type="spellStart"/>
      <w:r w:rsidRPr="0098181D">
        <w:rPr>
          <w:rFonts w:ascii="Palatino Linotype" w:eastAsia="Palatino Linotype" w:hAnsi="Palatino Linotype" w:cs="Palatino Linotype"/>
          <w:i/>
          <w:sz w:val="22"/>
          <w:szCs w:val="22"/>
        </w:rPr>
        <w:t>sobreposición</w:t>
      </w:r>
      <w:proofErr w:type="spellEnd"/>
      <w:r w:rsidRPr="0098181D">
        <w:rPr>
          <w:rFonts w:ascii="Palatino Linotype" w:eastAsia="Palatino Linotype" w:hAnsi="Palatino Linotype" w:cs="Palatino Linotype"/>
          <w:i/>
          <w:sz w:val="22"/>
          <w:szCs w:val="22"/>
        </w:rPr>
        <w:t xml:space="preserve"> de contenido distinto al autorizado por el Comité.</w:t>
      </w:r>
    </w:p>
    <w:p w:rsidR="00AA2EB9" w:rsidRPr="0098181D" w:rsidRDefault="00AA2EB9" w:rsidP="00AA2EB9">
      <w:pPr>
        <w:spacing w:before="120" w:after="120"/>
        <w:ind w:left="851" w:right="900"/>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i/>
          <w:sz w:val="22"/>
          <w:szCs w:val="22"/>
        </w:rPr>
        <w:t xml:space="preserve">En el caso </w:t>
      </w:r>
      <w:proofErr w:type="spellStart"/>
      <w:r w:rsidRPr="0098181D">
        <w:rPr>
          <w:rFonts w:ascii="Palatino Linotype" w:eastAsia="Palatino Linotype" w:hAnsi="Palatino Linotype" w:cs="Palatino Linotype"/>
          <w:i/>
          <w:sz w:val="22"/>
          <w:szCs w:val="22"/>
        </w:rPr>
        <w:t>especifico</w:t>
      </w:r>
      <w:proofErr w:type="spellEnd"/>
      <w:r w:rsidRPr="0098181D">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AA2EB9" w:rsidRPr="0098181D" w:rsidRDefault="00AA2EB9" w:rsidP="00AA2EB9">
      <w:pPr>
        <w:spacing w:before="120" w:after="120"/>
        <w:ind w:left="1134" w:right="900"/>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w:t>
      </w:r>
      <w:r w:rsidRPr="0098181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AA2EB9" w:rsidRPr="0098181D" w:rsidRDefault="00AA2EB9" w:rsidP="00AA2EB9">
      <w:pPr>
        <w:spacing w:before="120" w:after="120"/>
        <w:ind w:left="1134" w:right="900"/>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II.</w:t>
      </w:r>
      <w:r w:rsidRPr="0098181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AA2EB9" w:rsidRPr="0098181D" w:rsidRDefault="00AA2EB9" w:rsidP="00AA2EB9">
      <w:pPr>
        <w:spacing w:before="120" w:after="120"/>
        <w:ind w:left="1134" w:right="900"/>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b/>
          <w:i/>
          <w:sz w:val="22"/>
          <w:szCs w:val="22"/>
        </w:rPr>
        <w:t>III.</w:t>
      </w:r>
      <w:r w:rsidRPr="0098181D">
        <w:rPr>
          <w:rFonts w:ascii="Palatino Linotype" w:eastAsia="Palatino Linotype" w:hAnsi="Palatino Linotype" w:cs="Palatino Linotype"/>
          <w:i/>
          <w:sz w:val="22"/>
          <w:szCs w:val="22"/>
        </w:rPr>
        <w:t xml:space="preserve"> Señalar las personas o instancias autorizadas a acceder a la información clasificada.</w:t>
      </w:r>
    </w:p>
    <w:p w:rsidR="00AA2EB9" w:rsidRPr="0098181D" w:rsidRDefault="00AA2EB9" w:rsidP="00AA2EB9">
      <w:pPr>
        <w:spacing w:before="120" w:after="120"/>
        <w:ind w:left="851" w:right="900"/>
        <w:jc w:val="both"/>
        <w:rPr>
          <w:rFonts w:ascii="Palatino Linotype" w:eastAsia="Palatino Linotype" w:hAnsi="Palatino Linotype" w:cs="Palatino Linotype"/>
          <w:i/>
          <w:sz w:val="22"/>
          <w:szCs w:val="22"/>
        </w:rPr>
      </w:pPr>
      <w:r w:rsidRPr="0098181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AA2EB9" w:rsidRPr="0098181D" w:rsidRDefault="00AA2EB9" w:rsidP="00AA2EB9">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Asimismo, los Lineamientos Quincuagésimo cuarto, Quincuagésimo quinto, Quincuagésimo sexto, Quincuagésimo séptimo y Quincuagésimo octavo, de los Lineamientos Generales en Materia de Clasificación y Desclasificación, establecen lo siguiente:</w:t>
      </w:r>
    </w:p>
    <w:p w:rsidR="00AA2EB9" w:rsidRPr="0098181D" w:rsidRDefault="00AA2EB9" w:rsidP="00AA2EB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98181D">
        <w:rPr>
          <w:rFonts w:ascii="Palatino Linotype" w:hAnsi="Palatino Linotype"/>
          <w:i/>
          <w:iCs/>
          <w:sz w:val="22"/>
          <w:szCs w:val="22"/>
        </w:rPr>
        <w:t>“</w:t>
      </w:r>
      <w:r w:rsidRPr="0098181D">
        <w:rPr>
          <w:rFonts w:ascii="Palatino Linotype" w:eastAsia="Palatino Linotype" w:hAnsi="Palatino Linotype" w:cs="Palatino Linotype"/>
          <w:b/>
          <w:i/>
          <w:sz w:val="22"/>
          <w:szCs w:val="22"/>
        </w:rPr>
        <w:t xml:space="preserve">Quincuagésimo cuarto. </w:t>
      </w:r>
      <w:r w:rsidRPr="0098181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8181D">
        <w:rPr>
          <w:rFonts w:ascii="Palatino Linotype" w:eastAsia="Palatino Linotype" w:hAnsi="Palatino Linotype" w:cs="Palatino Linotype"/>
          <w:b/>
          <w:i/>
          <w:sz w:val="22"/>
          <w:szCs w:val="22"/>
        </w:rPr>
        <w:t xml:space="preserve"> </w:t>
      </w:r>
    </w:p>
    <w:p w:rsidR="00AA2EB9" w:rsidRPr="0098181D" w:rsidRDefault="00AA2EB9" w:rsidP="00AA2EB9">
      <w:pPr>
        <w:spacing w:before="120" w:after="120"/>
        <w:ind w:left="851" w:right="902"/>
        <w:jc w:val="both"/>
        <w:rPr>
          <w:rFonts w:ascii="Palatino Linotype" w:hAnsi="Palatino Linotype"/>
          <w:i/>
          <w:iCs/>
          <w:sz w:val="22"/>
          <w:szCs w:val="22"/>
        </w:rPr>
      </w:pPr>
      <w:r w:rsidRPr="0098181D">
        <w:rPr>
          <w:rFonts w:ascii="Palatino Linotype" w:eastAsia="Palatino Linotype" w:hAnsi="Palatino Linotype" w:cs="Palatino Linotype"/>
          <w:b/>
          <w:i/>
          <w:sz w:val="22"/>
          <w:szCs w:val="22"/>
        </w:rPr>
        <w:t xml:space="preserve">Quincuagésimo quinto. </w:t>
      </w:r>
      <w:r w:rsidRPr="0098181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98181D">
        <w:rPr>
          <w:rFonts w:ascii="Palatino Linotype" w:eastAsia="Palatino Linotype" w:hAnsi="Palatino Linotype" w:cs="Palatino Linotype"/>
          <w:i/>
          <w:sz w:val="22"/>
          <w:szCs w:val="22"/>
        </w:rPr>
        <w:t>testado</w:t>
      </w:r>
      <w:proofErr w:type="spellEnd"/>
      <w:r w:rsidRPr="0098181D">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w:t>
      </w:r>
      <w:r w:rsidRPr="0098181D">
        <w:rPr>
          <w:rFonts w:ascii="Palatino Linotype" w:eastAsia="Palatino Linotype" w:hAnsi="Palatino Linotype" w:cs="Palatino Linotype"/>
          <w:i/>
          <w:sz w:val="22"/>
          <w:szCs w:val="22"/>
        </w:rPr>
        <w:lastRenderedPageBreak/>
        <w:t>señalados en las Leyes Generales, los presentes Lineamientos y demás normativa aplicable antes de su confirmación por el Comité de Transparencia.</w:t>
      </w:r>
    </w:p>
    <w:p w:rsidR="00AA2EB9" w:rsidRPr="0098181D" w:rsidRDefault="00AA2EB9" w:rsidP="00AA2EB9">
      <w:pPr>
        <w:spacing w:before="120" w:after="120"/>
        <w:ind w:left="851" w:right="902"/>
        <w:jc w:val="both"/>
        <w:rPr>
          <w:rFonts w:ascii="Palatino Linotype" w:hAnsi="Palatino Linotype"/>
          <w:b/>
          <w:i/>
          <w:iCs/>
          <w:sz w:val="22"/>
          <w:szCs w:val="22"/>
        </w:rPr>
      </w:pPr>
      <w:r w:rsidRPr="0098181D">
        <w:rPr>
          <w:rFonts w:ascii="Palatino Linotype" w:hAnsi="Palatino Linotype"/>
          <w:b/>
          <w:bCs/>
          <w:i/>
          <w:iCs/>
          <w:sz w:val="22"/>
          <w:szCs w:val="22"/>
        </w:rPr>
        <w:t>..</w:t>
      </w:r>
      <w:r w:rsidRPr="0098181D">
        <w:rPr>
          <w:rFonts w:ascii="Palatino Linotype" w:hAnsi="Palatino Linotype"/>
          <w:b/>
          <w:i/>
          <w:iCs/>
          <w:sz w:val="22"/>
          <w:szCs w:val="22"/>
        </w:rPr>
        <w:t>.</w:t>
      </w:r>
    </w:p>
    <w:p w:rsidR="00AA2EB9" w:rsidRPr="0098181D" w:rsidRDefault="00AA2EB9" w:rsidP="00AA2EB9">
      <w:pPr>
        <w:spacing w:before="120" w:after="120"/>
        <w:ind w:left="851" w:right="902"/>
        <w:jc w:val="both"/>
        <w:rPr>
          <w:rFonts w:ascii="Palatino Linotype" w:hAnsi="Palatino Linotype"/>
          <w:i/>
          <w:iCs/>
          <w:sz w:val="22"/>
          <w:szCs w:val="22"/>
        </w:rPr>
      </w:pPr>
      <w:r w:rsidRPr="0098181D">
        <w:rPr>
          <w:rFonts w:ascii="Palatino Linotype" w:hAnsi="Palatino Linotype"/>
          <w:b/>
          <w:bCs/>
          <w:i/>
          <w:iCs/>
          <w:sz w:val="22"/>
          <w:szCs w:val="22"/>
        </w:rPr>
        <w:t>Quincuagésimo séptimo</w:t>
      </w:r>
      <w:r w:rsidRPr="0098181D">
        <w:rPr>
          <w:rFonts w:ascii="Palatino Linotype" w:hAnsi="Palatino Linotype"/>
          <w:i/>
          <w:iCs/>
          <w:sz w:val="22"/>
          <w:szCs w:val="22"/>
        </w:rPr>
        <w:t xml:space="preserve">. Se considera, en principio, como información pública y no podrá omitirse de las versiones públicas la siguiente: </w:t>
      </w:r>
    </w:p>
    <w:p w:rsidR="00AA2EB9" w:rsidRPr="0098181D" w:rsidRDefault="00AA2EB9" w:rsidP="00AA2EB9">
      <w:pPr>
        <w:spacing w:before="120" w:after="120"/>
        <w:ind w:left="1134" w:right="902"/>
        <w:jc w:val="both"/>
        <w:rPr>
          <w:rFonts w:ascii="Palatino Linotype" w:hAnsi="Palatino Linotype"/>
          <w:i/>
          <w:iCs/>
          <w:sz w:val="22"/>
          <w:szCs w:val="22"/>
        </w:rPr>
      </w:pPr>
      <w:r w:rsidRPr="0098181D">
        <w:rPr>
          <w:rFonts w:ascii="Palatino Linotype" w:hAnsi="Palatino Linotype"/>
          <w:b/>
          <w:bCs/>
          <w:i/>
          <w:iCs/>
          <w:sz w:val="22"/>
          <w:szCs w:val="22"/>
        </w:rPr>
        <w:t>I</w:t>
      </w:r>
      <w:r w:rsidRPr="0098181D">
        <w:rPr>
          <w:rFonts w:ascii="Palatino Linotype" w:hAnsi="Palatino Linotype"/>
          <w:i/>
          <w:iCs/>
          <w:sz w:val="22"/>
          <w:szCs w:val="22"/>
        </w:rPr>
        <w:t xml:space="preserve">. La relativa a las Obligaciones de Transparencia que contempla el Título V de la Ley General y las demás disposiciones legales aplicables; </w:t>
      </w:r>
    </w:p>
    <w:p w:rsidR="00AA2EB9" w:rsidRPr="0098181D" w:rsidRDefault="00AA2EB9" w:rsidP="00AA2EB9">
      <w:pPr>
        <w:spacing w:before="120" w:after="120"/>
        <w:ind w:left="1134" w:right="902"/>
        <w:jc w:val="both"/>
        <w:rPr>
          <w:rFonts w:ascii="Palatino Linotype" w:eastAsia="Palatino Linotype" w:hAnsi="Palatino Linotype" w:cs="Palatino Linotype"/>
          <w:i/>
          <w:iCs/>
          <w:sz w:val="22"/>
          <w:szCs w:val="22"/>
        </w:rPr>
      </w:pPr>
      <w:r w:rsidRPr="0098181D">
        <w:rPr>
          <w:rFonts w:ascii="Palatino Linotype" w:hAnsi="Palatino Linotype"/>
          <w:b/>
          <w:bCs/>
          <w:i/>
          <w:iCs/>
          <w:sz w:val="22"/>
          <w:szCs w:val="22"/>
        </w:rPr>
        <w:t>II.</w:t>
      </w:r>
      <w:r w:rsidRPr="0098181D">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AA2EB9" w:rsidRPr="0098181D" w:rsidRDefault="00AA2EB9" w:rsidP="00AA2EB9">
      <w:pPr>
        <w:spacing w:before="120" w:after="120"/>
        <w:ind w:left="1134" w:right="902"/>
        <w:jc w:val="both"/>
        <w:rPr>
          <w:rFonts w:ascii="Palatino Linotype" w:hAnsi="Palatino Linotype"/>
          <w:i/>
          <w:iCs/>
          <w:sz w:val="22"/>
          <w:szCs w:val="22"/>
        </w:rPr>
      </w:pPr>
      <w:r w:rsidRPr="0098181D">
        <w:rPr>
          <w:rFonts w:ascii="Palatino Linotype" w:hAnsi="Palatino Linotype"/>
          <w:b/>
          <w:bCs/>
          <w:i/>
          <w:iCs/>
          <w:sz w:val="22"/>
          <w:szCs w:val="22"/>
        </w:rPr>
        <w:t>III</w:t>
      </w:r>
      <w:r w:rsidRPr="0098181D">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AA2EB9" w:rsidRPr="0098181D" w:rsidRDefault="00AA2EB9" w:rsidP="00AA2EB9">
      <w:pPr>
        <w:spacing w:before="120" w:after="120"/>
        <w:ind w:left="851" w:right="902"/>
        <w:jc w:val="both"/>
        <w:rPr>
          <w:rFonts w:ascii="Palatino Linotype" w:eastAsia="Palatino Linotype" w:hAnsi="Palatino Linotype" w:cs="Palatino Linotype"/>
          <w:i/>
          <w:iCs/>
          <w:sz w:val="22"/>
          <w:szCs w:val="22"/>
        </w:rPr>
      </w:pPr>
      <w:r w:rsidRPr="0098181D">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98181D">
        <w:rPr>
          <w:rFonts w:ascii="Palatino Linotype" w:eastAsia="Palatino Linotype" w:hAnsi="Palatino Linotype" w:cs="Palatino Linotype"/>
          <w:i/>
          <w:iCs/>
          <w:sz w:val="22"/>
          <w:szCs w:val="22"/>
        </w:rPr>
        <w:t xml:space="preserve"> </w:t>
      </w:r>
    </w:p>
    <w:p w:rsidR="00AA2EB9" w:rsidRPr="0098181D" w:rsidRDefault="00AA2EB9" w:rsidP="00AA2EB9">
      <w:pPr>
        <w:spacing w:before="120" w:after="120"/>
        <w:ind w:left="851" w:right="902"/>
        <w:jc w:val="both"/>
        <w:rPr>
          <w:rFonts w:ascii="Palatino Linotype" w:eastAsia="Palatino Linotype" w:hAnsi="Palatino Linotype" w:cs="Palatino Linotype"/>
          <w:i/>
          <w:iCs/>
          <w:sz w:val="22"/>
          <w:szCs w:val="22"/>
        </w:rPr>
      </w:pPr>
      <w:r w:rsidRPr="0098181D">
        <w:rPr>
          <w:rFonts w:ascii="Palatino Linotype" w:hAnsi="Palatino Linotype"/>
          <w:b/>
          <w:bCs/>
          <w:i/>
          <w:iCs/>
          <w:sz w:val="22"/>
          <w:szCs w:val="22"/>
        </w:rPr>
        <w:t>Quincuagésimo octavo</w:t>
      </w:r>
      <w:r w:rsidRPr="0098181D">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rsidR="00AA2EB9" w:rsidRPr="0098181D" w:rsidRDefault="00AA2EB9" w:rsidP="00AA2EB9">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Por lo tanto, la entrega de documentos en su versión pública </w:t>
      </w:r>
      <w:r w:rsidRPr="0098181D">
        <w:rPr>
          <w:rFonts w:ascii="Palatino Linotype" w:eastAsia="Palatino Linotype" w:hAnsi="Palatino Linotype" w:cs="Palatino Linotype"/>
          <w:b/>
          <w:u w:val="single"/>
        </w:rPr>
        <w:t>debe acompañarse necesariamente del Acuerdo del Comité de Transparencia</w:t>
      </w:r>
      <w:r w:rsidRPr="0098181D">
        <w:rPr>
          <w:rFonts w:ascii="Palatino Linotype" w:eastAsia="Palatino Linotype" w:hAnsi="Palatino Linotype" w:cs="Palatino Linotype"/>
        </w:rPr>
        <w:t xml:space="preserve"> que la sustente</w:t>
      </w:r>
      <w:r w:rsidR="005A1997" w:rsidRPr="0098181D">
        <w:rPr>
          <w:rFonts w:ascii="Palatino Linotype" w:eastAsia="Palatino Linotype" w:hAnsi="Palatino Linotype" w:cs="Palatino Linotype"/>
        </w:rPr>
        <w:t>,</w:t>
      </w:r>
      <w:r w:rsidRPr="0098181D">
        <w:rPr>
          <w:rFonts w:ascii="Palatino Linotype" w:eastAsia="Palatino Linotype" w:hAnsi="Palatino Linotype" w:cs="Palatino Linotype"/>
        </w:rPr>
        <w:t xml:space="preserve"> el cual debe estar debidamente fundado y motivado, en el que se expongan los fundamentos y razonamientos que llevaron al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98181D">
        <w:rPr>
          <w:rFonts w:ascii="Palatino Linotype" w:eastAsia="Palatino Linotype" w:hAnsi="Palatino Linotype" w:cs="Palatino Linotype"/>
        </w:rPr>
        <w:lastRenderedPageBreak/>
        <w:t>se testan o suprimen- deja al solicitante en estado de incertidumbre, al no conocer o comprender porque no aparecen en la documentación respectiva.</w:t>
      </w:r>
    </w:p>
    <w:p w:rsidR="00AA2EB9" w:rsidRPr="0098181D" w:rsidRDefault="00AA2EB9" w:rsidP="00AA2EB9">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En el caso que se analiza, como se adelantó, el </w:t>
      </w:r>
      <w:r w:rsidRPr="0098181D">
        <w:rPr>
          <w:rFonts w:ascii="Palatino Linotype" w:eastAsia="Palatino Linotype" w:hAnsi="Palatino Linotype" w:cs="Palatino Linotype"/>
          <w:b/>
        </w:rPr>
        <w:t xml:space="preserve">Sujeto Obligado, </w:t>
      </w:r>
      <w:r w:rsidRPr="0098181D">
        <w:rPr>
          <w:rFonts w:ascii="Palatino Linotype" w:eastAsia="Palatino Linotype" w:hAnsi="Palatino Linotype" w:cs="Palatino Linotype"/>
        </w:rPr>
        <w:t xml:space="preserve">a través de la Dirección de Administración proporcionó el </w:t>
      </w:r>
      <w:proofErr w:type="spellStart"/>
      <w:r w:rsidRPr="0098181D">
        <w:rPr>
          <w:rFonts w:ascii="Palatino Linotype" w:eastAsia="Palatino Linotype" w:hAnsi="Palatino Linotype" w:cs="Palatino Linotype"/>
        </w:rPr>
        <w:t>curriculum</w:t>
      </w:r>
      <w:proofErr w:type="spellEnd"/>
      <w:r w:rsidRPr="0098181D">
        <w:rPr>
          <w:rFonts w:ascii="Palatino Linotype" w:eastAsia="Palatino Linotype" w:hAnsi="Palatino Linotype" w:cs="Palatino Linotype"/>
        </w:rPr>
        <w:t xml:space="preserve"> vitae de la servidora pública referida en la solicitud de información, en el cual eliminó el </w:t>
      </w:r>
      <w:r w:rsidR="00A42991" w:rsidRPr="0098181D">
        <w:rPr>
          <w:rFonts w:ascii="Palatino Linotype" w:eastAsia="Palatino Linotype" w:hAnsi="Palatino Linotype" w:cs="Palatino Linotype"/>
        </w:rPr>
        <w:t xml:space="preserve">teléfono celular, correo electrónico, domicilio, nacionalidad, estado civil y fecha de nacimiento, sin embargo, </w:t>
      </w:r>
      <w:r w:rsidR="00A42991" w:rsidRPr="0098181D">
        <w:rPr>
          <w:rFonts w:ascii="Palatino Linotype" w:eastAsia="Palatino Linotype" w:hAnsi="Palatino Linotype" w:cs="Palatino Linotype"/>
          <w:b/>
          <w:u w:val="single"/>
        </w:rPr>
        <w:t xml:space="preserve">omitió </w:t>
      </w:r>
      <w:r w:rsidR="00D15B49" w:rsidRPr="0098181D">
        <w:rPr>
          <w:rFonts w:ascii="Palatino Linotype" w:eastAsia="Palatino Linotype" w:hAnsi="Palatino Linotype" w:cs="Palatino Linotype"/>
          <w:b/>
          <w:u w:val="single"/>
        </w:rPr>
        <w:t>remitir el acuerdo que sustente de manera fundada y motivada la versión pública de dicho documento</w:t>
      </w:r>
      <w:r w:rsidR="00D15B49" w:rsidRPr="0098181D">
        <w:rPr>
          <w:rFonts w:ascii="Palatino Linotype" w:eastAsia="Palatino Linotype" w:hAnsi="Palatino Linotype" w:cs="Palatino Linotype"/>
        </w:rPr>
        <w:t>, por lo tanto, es evidente que no puede tenerse por satisfecho el Derecho humano de acceso de la persona solicitante, con base en los argumentos expuestos.</w:t>
      </w:r>
    </w:p>
    <w:p w:rsidR="00D15B49" w:rsidRPr="0098181D" w:rsidRDefault="00D15B49" w:rsidP="00AA2EB9">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Aunado a lo anterior, es imprescindible mencionar que si bien se coincide con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respecto de la clasificación del teléfono celular, correo electrónico, domicilio, estado civil y fecha de nacimiento de la servidora pública referida, toda vez que al relacionarse dichos datos con su esfera de privacidad, no abonan a la transparencia, ni a la rendición de cuentas por parte del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sino por el contrario, con la entrega de los mismos se estaría vulnerando el derecho a la protección de los datos personales de la servidora pública en comento</w:t>
      </w:r>
    </w:p>
    <w:p w:rsidR="00347053" w:rsidRPr="0098181D" w:rsidRDefault="00D15B49" w:rsidP="00347053">
      <w:pPr>
        <w:spacing w:before="280" w:after="280" w:line="360" w:lineRule="auto"/>
        <w:jc w:val="both"/>
        <w:rPr>
          <w:rFonts w:ascii="Palatino Linotype" w:hAnsi="Palatino Linotype"/>
        </w:rPr>
      </w:pPr>
      <w:r w:rsidRPr="0098181D">
        <w:rPr>
          <w:rFonts w:ascii="Palatino Linotype" w:eastAsia="Palatino Linotype" w:hAnsi="Palatino Linotype" w:cs="Palatino Linotype"/>
        </w:rPr>
        <w:t xml:space="preserve">No obstante, respecto a la </w:t>
      </w:r>
      <w:r w:rsidRPr="0098181D">
        <w:rPr>
          <w:rFonts w:ascii="Palatino Linotype" w:eastAsia="Palatino Linotype" w:hAnsi="Palatino Linotype" w:cs="Palatino Linotype"/>
          <w:b/>
        </w:rPr>
        <w:t>nacionalidad</w:t>
      </w:r>
      <w:r w:rsidRPr="0098181D">
        <w:rPr>
          <w:rFonts w:ascii="Palatino Linotype" w:eastAsia="Palatino Linotype" w:hAnsi="Palatino Linotype" w:cs="Palatino Linotype"/>
        </w:rPr>
        <w:t xml:space="preserve">, si bien dicho dato </w:t>
      </w:r>
      <w:r w:rsidR="0041690F" w:rsidRPr="0098181D">
        <w:rPr>
          <w:rFonts w:ascii="Palatino Linotype" w:eastAsia="Palatino Linotype" w:hAnsi="Palatino Linotype" w:cs="Palatino Linotype"/>
        </w:rPr>
        <w:t xml:space="preserve">es un atributo de la personalidad que señala al individuo como miembro de un Estado, es decir, es el vínculo legal que relaciona a una </w:t>
      </w:r>
      <w:r w:rsidR="00347053" w:rsidRPr="0098181D">
        <w:rPr>
          <w:rFonts w:ascii="Palatino Linotype" w:eastAsia="Palatino Linotype" w:hAnsi="Palatino Linotype" w:cs="Palatino Linotype"/>
        </w:rPr>
        <w:t xml:space="preserve">persona con su nación de origen, </w:t>
      </w:r>
      <w:r w:rsidR="0041690F" w:rsidRPr="0098181D">
        <w:rPr>
          <w:rFonts w:ascii="Palatino Linotype" w:eastAsia="Palatino Linotype" w:hAnsi="Palatino Linotype" w:cs="Palatino Linotype"/>
        </w:rPr>
        <w:t xml:space="preserve"> </w:t>
      </w:r>
      <w:r w:rsidR="00347053" w:rsidRPr="0098181D">
        <w:rPr>
          <w:rFonts w:ascii="Palatino Linotype" w:eastAsia="Palatino Linotype" w:hAnsi="Palatino Linotype" w:cs="Palatino Linotype"/>
        </w:rPr>
        <w:t xml:space="preserve">razón por la cual la nacionalidad de una persona, por regla general, </w:t>
      </w:r>
      <w:r w:rsidR="00347053" w:rsidRPr="0098181D">
        <w:rPr>
          <w:rFonts w:ascii="Palatino Linotype" w:hAnsi="Palatino Linotype"/>
        </w:rPr>
        <w:t xml:space="preserve">constituye un dato personal que debe ser protegido, sin embargo, </w:t>
      </w:r>
      <w:r w:rsidR="00347053" w:rsidRPr="0098181D">
        <w:rPr>
          <w:rFonts w:ascii="Palatino Linotype" w:hAnsi="Palatino Linotype"/>
          <w:b/>
        </w:rPr>
        <w:t xml:space="preserve">en el caso de los servidores públicos, </w:t>
      </w:r>
      <w:r w:rsidR="00347053" w:rsidRPr="0098181D">
        <w:rPr>
          <w:rFonts w:ascii="Palatino Linotype" w:hAnsi="Palatino Linotype"/>
          <w:b/>
          <w:u w:val="single"/>
        </w:rPr>
        <w:t xml:space="preserve">dicho dato </w:t>
      </w:r>
      <w:r w:rsidR="00347053" w:rsidRPr="0098181D">
        <w:rPr>
          <w:rFonts w:ascii="Palatino Linotype" w:hAnsi="Palatino Linotype"/>
          <w:b/>
          <w:u w:val="single"/>
        </w:rPr>
        <w:lastRenderedPageBreak/>
        <w:t>es público</w:t>
      </w:r>
      <w:r w:rsidR="00347053" w:rsidRPr="0098181D">
        <w:rPr>
          <w:rFonts w:ascii="Palatino Linotype" w:hAnsi="Palatino Linotype"/>
        </w:rPr>
        <w:t xml:space="preserve">, en el entendido de que la Ley del Trabajo de los Servidores Públicos del Estado de México y Municipios, dispone en su artículo 17, que </w:t>
      </w:r>
      <w:r w:rsidR="00347053" w:rsidRPr="0098181D">
        <w:rPr>
          <w:rFonts w:ascii="Palatino Linotype" w:hAnsi="Palatino Linotype"/>
          <w:b/>
          <w:u w:val="single"/>
        </w:rPr>
        <w:t>los servidores públicos deben ser de nacionalidad mexicana,</w:t>
      </w:r>
      <w:r w:rsidR="00347053" w:rsidRPr="0098181D">
        <w:rPr>
          <w:rFonts w:ascii="Palatino Linotype" w:hAnsi="Palatino Linotype"/>
        </w:rPr>
        <w:t xml:space="preserve"> y sólo podrán ser extranjeros cuando no existan nacionales que puedan desarrollar el servicio de que se trate, a saber:</w:t>
      </w:r>
    </w:p>
    <w:p w:rsidR="00347053" w:rsidRPr="0098181D" w:rsidRDefault="00347053" w:rsidP="00347053">
      <w:pPr>
        <w:spacing w:before="120" w:after="120"/>
        <w:ind w:left="851" w:right="902"/>
        <w:jc w:val="both"/>
        <w:rPr>
          <w:rFonts w:ascii="Palatino Linotype" w:hAnsi="Palatino Linotype"/>
          <w:b/>
          <w:i/>
          <w:sz w:val="22"/>
        </w:rPr>
      </w:pPr>
      <w:r w:rsidRPr="0098181D">
        <w:rPr>
          <w:rFonts w:ascii="Palatino Linotype" w:hAnsi="Palatino Linotype"/>
          <w:b/>
          <w:i/>
          <w:sz w:val="22"/>
        </w:rPr>
        <w:t>“ARTÍCULO 17</w:t>
      </w:r>
      <w:r w:rsidRPr="0098181D">
        <w:rPr>
          <w:rFonts w:ascii="Palatino Linotype" w:hAnsi="Palatino Linotype"/>
          <w:i/>
          <w:sz w:val="22"/>
        </w:rPr>
        <w:t xml:space="preserve">. </w:t>
      </w:r>
      <w:r w:rsidRPr="0098181D">
        <w:rPr>
          <w:rFonts w:ascii="Palatino Linotype" w:hAnsi="Palatino Linotype"/>
          <w:b/>
          <w:i/>
          <w:sz w:val="22"/>
        </w:rPr>
        <w:t>Los servidores públicos</w:t>
      </w:r>
      <w:r w:rsidRPr="0098181D">
        <w:rPr>
          <w:rFonts w:ascii="Palatino Linotype" w:hAnsi="Palatino Linotype"/>
          <w:i/>
          <w:sz w:val="22"/>
        </w:rPr>
        <w:t xml:space="preserve"> </w:t>
      </w:r>
      <w:r w:rsidRPr="0098181D">
        <w:rPr>
          <w:rFonts w:ascii="Palatino Linotype" w:hAnsi="Palatino Linotype"/>
          <w:b/>
          <w:i/>
          <w:sz w:val="22"/>
          <w:u w:val="single"/>
        </w:rPr>
        <w:t>deberán ser de nacionalidad mexicana</w:t>
      </w:r>
      <w:r w:rsidRPr="0098181D">
        <w:rPr>
          <w:rFonts w:ascii="Palatino Linotype" w:hAnsi="Palatino Linotype"/>
          <w:i/>
          <w:sz w:val="22"/>
        </w:rPr>
        <w:t xml:space="preserve"> y sólo podrán ser extranjeros cuando no existan nacionales que puedan desarrollar el servicio de que se trate. La contratación de éstos será decidida por los titulares de las instituciones públicas oyendo al sindicato, en su caso.”</w:t>
      </w:r>
    </w:p>
    <w:p w:rsidR="00347053" w:rsidRPr="0098181D" w:rsidRDefault="00347053" w:rsidP="00347053">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Bajo tales consideraciones, </w:t>
      </w:r>
      <w:r w:rsidR="003311DD" w:rsidRPr="0098181D">
        <w:rPr>
          <w:rFonts w:ascii="Palatino Linotype" w:eastAsia="Palatino Linotype" w:hAnsi="Palatino Linotype" w:cs="Palatino Linotype"/>
        </w:rPr>
        <w:t xml:space="preserve">se concluye que los motivos de inconformidad de la parte </w:t>
      </w:r>
      <w:r w:rsidR="003311DD" w:rsidRPr="0098181D">
        <w:rPr>
          <w:rFonts w:ascii="Palatino Linotype" w:eastAsia="Palatino Linotype" w:hAnsi="Palatino Linotype" w:cs="Palatino Linotype"/>
          <w:b/>
        </w:rPr>
        <w:t>Recurrente</w:t>
      </w:r>
      <w:r w:rsidRPr="0098181D">
        <w:rPr>
          <w:rFonts w:ascii="Palatino Linotype" w:eastAsia="Palatino Linotype" w:hAnsi="Palatino Linotype" w:cs="Palatino Linotype"/>
          <w:b/>
        </w:rPr>
        <w:t xml:space="preserve"> </w:t>
      </w:r>
      <w:r w:rsidRPr="0098181D">
        <w:rPr>
          <w:rFonts w:ascii="Palatino Linotype" w:eastAsia="Palatino Linotype" w:hAnsi="Palatino Linotype" w:cs="Palatino Linotype"/>
        </w:rPr>
        <w:t xml:space="preserve">en el recurso de revisión </w:t>
      </w:r>
      <w:r w:rsidRPr="0098181D">
        <w:rPr>
          <w:rFonts w:ascii="Palatino Linotype" w:eastAsia="Palatino Linotype" w:hAnsi="Palatino Linotype" w:cs="Palatino Linotype"/>
          <w:b/>
        </w:rPr>
        <w:t xml:space="preserve">05609/INFOEM/IP/RR/2023 </w:t>
      </w:r>
      <w:r w:rsidR="004666C1" w:rsidRPr="0098181D">
        <w:rPr>
          <w:rFonts w:ascii="Palatino Linotype" w:eastAsia="Palatino Linotype" w:hAnsi="Palatino Linotype" w:cs="Palatino Linotype"/>
        </w:rPr>
        <w:t xml:space="preserve">devienen </w:t>
      </w:r>
      <w:r w:rsidR="003311DD" w:rsidRPr="0098181D">
        <w:rPr>
          <w:rFonts w:ascii="Palatino Linotype" w:eastAsia="Palatino Linotype" w:hAnsi="Palatino Linotype" w:cs="Palatino Linotype"/>
        </w:rPr>
        <w:t xml:space="preserve">fundados, siendo procedente </w:t>
      </w:r>
      <w:r w:rsidRPr="0098181D">
        <w:rPr>
          <w:rFonts w:ascii="Palatino Linotype" w:eastAsia="Palatino Linotype" w:hAnsi="Palatino Linotype" w:cs="Palatino Linotype"/>
          <w:i/>
        </w:rPr>
        <w:t>Modificar</w:t>
      </w:r>
      <w:r w:rsidR="003311DD" w:rsidRPr="0098181D">
        <w:rPr>
          <w:rFonts w:ascii="Palatino Linotype" w:eastAsia="Palatino Linotype" w:hAnsi="Palatino Linotype" w:cs="Palatino Linotype"/>
          <w:i/>
        </w:rPr>
        <w:t xml:space="preserve"> </w:t>
      </w:r>
      <w:r w:rsidR="005A1997" w:rsidRPr="0098181D">
        <w:rPr>
          <w:rFonts w:ascii="Palatino Linotype" w:eastAsia="Palatino Linotype" w:hAnsi="Palatino Linotype" w:cs="Palatino Linotype"/>
        </w:rPr>
        <w:t>la</w:t>
      </w:r>
      <w:r w:rsidR="003311DD" w:rsidRPr="0098181D">
        <w:rPr>
          <w:rFonts w:ascii="Palatino Linotype" w:eastAsia="Palatino Linotype" w:hAnsi="Palatino Linotype" w:cs="Palatino Linotype"/>
        </w:rPr>
        <w:t xml:space="preserve"> respuesta proporcionada por el </w:t>
      </w:r>
      <w:r w:rsidR="003311DD" w:rsidRPr="0098181D">
        <w:rPr>
          <w:rFonts w:ascii="Palatino Linotype" w:eastAsia="Palatino Linotype" w:hAnsi="Palatino Linotype" w:cs="Palatino Linotype"/>
          <w:b/>
        </w:rPr>
        <w:t xml:space="preserve">Sujeto Obligado </w:t>
      </w:r>
      <w:r w:rsidR="003311DD" w:rsidRPr="0098181D">
        <w:rPr>
          <w:rFonts w:ascii="Palatino Linotype" w:eastAsia="Palatino Linotype" w:hAnsi="Palatino Linotype" w:cs="Palatino Linotype"/>
        </w:rPr>
        <w:t>en términos del artículo 186 fracción III de la Ley de Transparencia y Acceso a la Información Pública de</w:t>
      </w:r>
      <w:r w:rsidRPr="0098181D">
        <w:rPr>
          <w:rFonts w:ascii="Palatino Linotype" w:eastAsia="Palatino Linotype" w:hAnsi="Palatino Linotype" w:cs="Palatino Linotype"/>
        </w:rPr>
        <w:t xml:space="preserve">l Estado de México y Municipios, por lo que para tener por colmado del Derecho de acceso, se estima dable ordenar la entrega del </w:t>
      </w:r>
      <w:proofErr w:type="spellStart"/>
      <w:r w:rsidRPr="0098181D">
        <w:rPr>
          <w:rFonts w:ascii="Palatino Linotype" w:eastAsia="Palatino Linotype" w:hAnsi="Palatino Linotype" w:cs="Palatino Linotype"/>
        </w:rPr>
        <w:t>curriculum</w:t>
      </w:r>
      <w:proofErr w:type="spellEnd"/>
      <w:r w:rsidRPr="0098181D">
        <w:rPr>
          <w:rFonts w:ascii="Palatino Linotype" w:eastAsia="Palatino Linotype" w:hAnsi="Palatino Linotype" w:cs="Palatino Linotype"/>
        </w:rPr>
        <w:t xml:space="preserve"> vitae de la servidora pública referida en la solicitud de información 01306/ZINACANT/IP/2023, en una correcta versión pública, misma que deberá acompañarse del acuerdo de clasificación </w:t>
      </w:r>
      <w:r w:rsidR="00AF4788" w:rsidRPr="0098181D">
        <w:rPr>
          <w:rFonts w:ascii="Palatino Linotype" w:eastAsia="Palatino Linotype" w:hAnsi="Palatino Linotype" w:cs="Palatino Linotype"/>
        </w:rPr>
        <w:t>que para tal efecto emita el Comité de Transparencia, en los términos precisados con anterioridad.</w:t>
      </w:r>
      <w:r w:rsidRPr="0098181D">
        <w:rPr>
          <w:rFonts w:ascii="Palatino Linotype" w:eastAsia="Palatino Linotype" w:hAnsi="Palatino Linotype" w:cs="Palatino Linotype"/>
        </w:rPr>
        <w:t xml:space="preserve"> </w:t>
      </w:r>
    </w:p>
    <w:p w:rsidR="008D19A0" w:rsidRPr="0098181D" w:rsidRDefault="001B5ADE">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Así, con fundamento en lo prescrito en los artículos</w:t>
      </w:r>
      <w:r w:rsidR="006F32C5" w:rsidRPr="0098181D">
        <w:rPr>
          <w:rFonts w:ascii="Palatino Linotype" w:eastAsia="Palatino Linotype" w:hAnsi="Palatino Linotype" w:cs="Palatino Linotype"/>
        </w:rPr>
        <w:t xml:space="preserve"> 5 párrafos trigésimo segundo,</w:t>
      </w:r>
      <w:r w:rsidRPr="0098181D">
        <w:rPr>
          <w:rFonts w:ascii="Palatino Linotype" w:eastAsia="Palatino Linotype" w:hAnsi="Palatino Linotype" w:cs="Palatino Linotype"/>
        </w:rPr>
        <w:t xml:space="preserve">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D19A0" w:rsidRPr="0098181D" w:rsidRDefault="001B5ADE">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98181D">
        <w:rPr>
          <w:rFonts w:ascii="Palatino Linotype" w:eastAsia="Palatino Linotype" w:hAnsi="Palatino Linotype" w:cs="Palatino Linotype"/>
          <w:b/>
        </w:rPr>
        <w:lastRenderedPageBreak/>
        <w:t>III. R E S U E L V E:</w:t>
      </w:r>
    </w:p>
    <w:p w:rsidR="00AF4788" w:rsidRPr="0098181D" w:rsidRDefault="00870276" w:rsidP="00AF4788">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Primero.</w:t>
      </w:r>
      <w:r w:rsidR="00AF4788" w:rsidRPr="0098181D">
        <w:rPr>
          <w:rFonts w:ascii="Palatino Linotype" w:eastAsia="Palatino Linotype" w:hAnsi="Palatino Linotype" w:cs="Palatino Linotype"/>
          <w:b/>
        </w:rPr>
        <w:t xml:space="preserve"> </w:t>
      </w:r>
      <w:r w:rsidR="00AF4788" w:rsidRPr="0098181D">
        <w:rPr>
          <w:rFonts w:ascii="Palatino Linotype" w:eastAsia="Palatino Linotype" w:hAnsi="Palatino Linotype" w:cs="Palatino Linotype"/>
        </w:rPr>
        <w:t xml:space="preserve">Son </w:t>
      </w:r>
      <w:r w:rsidR="00AF4788" w:rsidRPr="0098181D">
        <w:rPr>
          <w:rFonts w:ascii="Palatino Linotype" w:eastAsia="Palatino Linotype" w:hAnsi="Palatino Linotype" w:cs="Palatino Linotype"/>
          <w:b/>
        </w:rPr>
        <w:t>infundadas</w:t>
      </w:r>
      <w:r w:rsidR="00AF4788" w:rsidRPr="0098181D">
        <w:rPr>
          <w:rFonts w:ascii="Palatino Linotype" w:eastAsia="Palatino Linotype" w:hAnsi="Palatino Linotype" w:cs="Palatino Linotype"/>
        </w:rPr>
        <w:t xml:space="preserve"> las razones o motivos de inconformidad hechos valer por la parte </w:t>
      </w:r>
      <w:r w:rsidR="00AF4788" w:rsidRPr="0098181D">
        <w:rPr>
          <w:rFonts w:ascii="Palatino Linotype" w:eastAsia="Palatino Linotype" w:hAnsi="Palatino Linotype" w:cs="Palatino Linotype"/>
          <w:b/>
        </w:rPr>
        <w:t>Recurrente</w:t>
      </w:r>
      <w:r w:rsidR="00AF4788" w:rsidRPr="0098181D">
        <w:rPr>
          <w:rFonts w:ascii="Palatino Linotype" w:eastAsia="Palatino Linotype" w:hAnsi="Palatino Linotype" w:cs="Palatino Linotype"/>
        </w:rPr>
        <w:t xml:space="preserve"> en el recurso de revisión </w:t>
      </w:r>
      <w:r w:rsidR="00AF4788" w:rsidRPr="0098181D">
        <w:rPr>
          <w:rFonts w:ascii="Palatino Linotype" w:eastAsia="Palatino Linotype" w:hAnsi="Palatino Linotype" w:cs="Palatino Linotype"/>
          <w:b/>
        </w:rPr>
        <w:t>05613/INFOEM/IP/RR/2023</w:t>
      </w:r>
      <w:r w:rsidR="00AF4788" w:rsidRPr="0098181D">
        <w:rPr>
          <w:rFonts w:ascii="Palatino Linotype" w:eastAsia="Palatino Linotype" w:hAnsi="Palatino Linotype" w:cs="Palatino Linotype"/>
        </w:rPr>
        <w:t xml:space="preserve">, por lo que, en términos de los argumentos de derecho señalados en el considerando </w:t>
      </w:r>
      <w:r w:rsidR="00AF4788" w:rsidRPr="0098181D">
        <w:rPr>
          <w:rFonts w:ascii="Palatino Linotype" w:eastAsia="Palatino Linotype" w:hAnsi="Palatino Linotype" w:cs="Palatino Linotype"/>
          <w:b/>
        </w:rPr>
        <w:t>Cuarto</w:t>
      </w:r>
      <w:r w:rsidR="00AF4788" w:rsidRPr="0098181D">
        <w:rPr>
          <w:rFonts w:ascii="Palatino Linotype" w:eastAsia="Palatino Linotype" w:hAnsi="Palatino Linotype" w:cs="Palatino Linotype"/>
        </w:rPr>
        <w:t>, se</w:t>
      </w:r>
      <w:r w:rsidR="00AF4788" w:rsidRPr="0098181D">
        <w:rPr>
          <w:rFonts w:ascii="Palatino Linotype" w:eastAsia="Palatino Linotype" w:hAnsi="Palatino Linotype" w:cs="Palatino Linotype"/>
          <w:b/>
        </w:rPr>
        <w:t xml:space="preserve"> Confirma </w:t>
      </w:r>
      <w:r w:rsidR="00AF4788" w:rsidRPr="0098181D">
        <w:rPr>
          <w:rFonts w:ascii="Palatino Linotype" w:eastAsia="Palatino Linotype" w:hAnsi="Palatino Linotype" w:cs="Palatino Linotype"/>
        </w:rPr>
        <w:t xml:space="preserve">la respuesta del </w:t>
      </w:r>
      <w:r w:rsidR="00AF4788" w:rsidRPr="0098181D">
        <w:rPr>
          <w:rFonts w:ascii="Palatino Linotype" w:eastAsia="Palatino Linotype" w:hAnsi="Palatino Linotype" w:cs="Palatino Linotype"/>
          <w:b/>
        </w:rPr>
        <w:t>Sujeto Obligado</w:t>
      </w:r>
      <w:r w:rsidR="00AF4788" w:rsidRPr="0098181D">
        <w:rPr>
          <w:rFonts w:ascii="Palatino Linotype" w:eastAsia="Palatino Linotype" w:hAnsi="Palatino Linotype" w:cs="Palatino Linotype"/>
        </w:rPr>
        <w:t>.</w:t>
      </w:r>
    </w:p>
    <w:p w:rsidR="00AF4788" w:rsidRPr="0098181D" w:rsidRDefault="00AF4788" w:rsidP="00AF4788">
      <w:pPr>
        <w:spacing w:before="240" w:after="240" w:line="360" w:lineRule="auto"/>
        <w:jc w:val="both"/>
        <w:rPr>
          <w:rFonts w:ascii="Palatino Linotype" w:eastAsia="Palatino Linotype" w:hAnsi="Palatino Linotype" w:cs="Palatino Linotype"/>
          <w:b/>
        </w:rPr>
      </w:pPr>
      <w:r w:rsidRPr="0098181D">
        <w:rPr>
          <w:rFonts w:ascii="Palatino Linotype" w:eastAsia="Palatino Linotype" w:hAnsi="Palatino Linotype" w:cs="Palatino Linotype"/>
          <w:b/>
        </w:rPr>
        <w:t xml:space="preserve">Segundo. </w:t>
      </w:r>
      <w:r w:rsidRPr="0098181D">
        <w:rPr>
          <w:rFonts w:ascii="Palatino Linotype" w:eastAsia="Palatino Linotype" w:hAnsi="Palatino Linotype" w:cs="Palatino Linotype"/>
        </w:rPr>
        <w:t>Resultan</w:t>
      </w:r>
      <w:r w:rsidRPr="0098181D">
        <w:rPr>
          <w:rFonts w:ascii="Palatino Linotype" w:eastAsia="Palatino Linotype" w:hAnsi="Palatino Linotype" w:cs="Palatino Linotype"/>
          <w:b/>
        </w:rPr>
        <w:t xml:space="preserve"> fundados</w:t>
      </w:r>
      <w:r w:rsidRPr="0098181D">
        <w:rPr>
          <w:rFonts w:ascii="Palatino Linotype" w:eastAsia="Palatino Linotype" w:hAnsi="Palatino Linotype" w:cs="Palatino Linotype"/>
        </w:rPr>
        <w:t xml:space="preserve"> los motivos de inconformidad hechos valer por la parte </w:t>
      </w:r>
      <w:r w:rsidRPr="0098181D">
        <w:rPr>
          <w:rFonts w:ascii="Palatino Linotype" w:eastAsia="Palatino Linotype" w:hAnsi="Palatino Linotype" w:cs="Palatino Linotype"/>
          <w:b/>
        </w:rPr>
        <w:t xml:space="preserve">Recurrente </w:t>
      </w:r>
      <w:r w:rsidRPr="0098181D">
        <w:rPr>
          <w:rFonts w:ascii="Palatino Linotype" w:eastAsia="Palatino Linotype" w:hAnsi="Palatino Linotype" w:cs="Palatino Linotype"/>
        </w:rPr>
        <w:t xml:space="preserve">en el recurso de revisión </w:t>
      </w:r>
      <w:r w:rsidRPr="0098181D">
        <w:rPr>
          <w:rFonts w:ascii="Palatino Linotype" w:eastAsia="Palatino Linotype" w:hAnsi="Palatino Linotype" w:cs="Palatino Linotype"/>
          <w:b/>
        </w:rPr>
        <w:t xml:space="preserve">05609/INFOEM/IP/RR/2023, </w:t>
      </w:r>
      <w:r w:rsidRPr="0098181D">
        <w:rPr>
          <w:rFonts w:ascii="Palatino Linotype" w:eastAsia="Palatino Linotype" w:hAnsi="Palatino Linotype" w:cs="Palatino Linotype"/>
        </w:rPr>
        <w:t xml:space="preserve">por lo que, en términos del Considerando </w:t>
      </w:r>
      <w:r w:rsidRPr="0098181D">
        <w:rPr>
          <w:rFonts w:ascii="Palatino Linotype" w:eastAsia="Palatino Linotype" w:hAnsi="Palatino Linotype" w:cs="Palatino Linotype"/>
          <w:b/>
        </w:rPr>
        <w:t>Cuarto</w:t>
      </w:r>
      <w:r w:rsidRPr="0098181D">
        <w:rPr>
          <w:rFonts w:ascii="Palatino Linotype" w:eastAsia="Palatino Linotype" w:hAnsi="Palatino Linotype" w:cs="Palatino Linotype"/>
        </w:rPr>
        <w:t xml:space="preserve"> de la presente resolución, se</w:t>
      </w:r>
      <w:r w:rsidRPr="0098181D">
        <w:rPr>
          <w:rFonts w:ascii="Palatino Linotype" w:eastAsia="Palatino Linotype" w:hAnsi="Palatino Linotype" w:cs="Palatino Linotype"/>
          <w:b/>
        </w:rPr>
        <w:t xml:space="preserve"> Modifica </w:t>
      </w:r>
      <w:r w:rsidRPr="0098181D">
        <w:rPr>
          <w:rFonts w:ascii="Palatino Linotype" w:eastAsia="Palatino Linotype" w:hAnsi="Palatino Linotype" w:cs="Palatino Linotype"/>
        </w:rPr>
        <w:t>la respuesta</w:t>
      </w:r>
      <w:r w:rsidRPr="0098181D">
        <w:rPr>
          <w:rFonts w:ascii="Palatino Linotype" w:eastAsia="Palatino Linotype" w:hAnsi="Palatino Linotype" w:cs="Palatino Linotype"/>
          <w:b/>
        </w:rPr>
        <w:t xml:space="preserve"> </w:t>
      </w:r>
      <w:r w:rsidRPr="0098181D">
        <w:rPr>
          <w:rFonts w:ascii="Palatino Linotype" w:eastAsia="Palatino Linotype" w:hAnsi="Palatino Linotype" w:cs="Palatino Linotype"/>
        </w:rPr>
        <w:t xml:space="preserve">del </w:t>
      </w:r>
      <w:r w:rsidRPr="0098181D">
        <w:rPr>
          <w:rFonts w:ascii="Palatino Linotype" w:eastAsia="Palatino Linotype" w:hAnsi="Palatino Linotype" w:cs="Palatino Linotype"/>
          <w:b/>
        </w:rPr>
        <w:t>Sujeto Obligado.</w:t>
      </w:r>
    </w:p>
    <w:p w:rsidR="00AF4788" w:rsidRPr="0098181D" w:rsidRDefault="00AF4788" w:rsidP="00AF4788">
      <w:pPr>
        <w:spacing w:before="240" w:after="240" w:line="360" w:lineRule="auto"/>
        <w:jc w:val="both"/>
        <w:rPr>
          <w:rFonts w:ascii="Palatino Linotype" w:eastAsia="Palatino Linotype" w:hAnsi="Palatino Linotype" w:cs="Palatino Linotype"/>
        </w:rPr>
      </w:pPr>
      <w:bookmarkStart w:id="4" w:name="_heading=h.4d34og8" w:colFirst="0" w:colLast="0"/>
      <w:bookmarkEnd w:id="4"/>
      <w:r w:rsidRPr="0098181D">
        <w:rPr>
          <w:rFonts w:ascii="Palatino Linotype" w:eastAsia="Palatino Linotype" w:hAnsi="Palatino Linotype" w:cs="Palatino Linotype"/>
          <w:b/>
        </w:rPr>
        <w:t>Tercero.</w:t>
      </w:r>
      <w:r w:rsidRPr="0098181D">
        <w:rPr>
          <w:rFonts w:ascii="Palatino Linotype" w:eastAsia="Palatino Linotype" w:hAnsi="Palatino Linotype" w:cs="Palatino Linotype"/>
        </w:rPr>
        <w:t xml:space="preserve"> </w:t>
      </w:r>
      <w:bookmarkStart w:id="5" w:name="_heading=h.s4wgn9ms4vzz" w:colFirst="0" w:colLast="0"/>
      <w:bookmarkEnd w:id="5"/>
      <w:r w:rsidRPr="0098181D">
        <w:rPr>
          <w:rFonts w:ascii="Palatino Linotype" w:eastAsia="Palatino Linotype" w:hAnsi="Palatino Linotype" w:cs="Palatino Linotype"/>
        </w:rPr>
        <w:t xml:space="preserve">Se </w:t>
      </w:r>
      <w:r w:rsidRPr="0098181D">
        <w:rPr>
          <w:rFonts w:ascii="Palatino Linotype" w:eastAsia="Palatino Linotype" w:hAnsi="Palatino Linotype" w:cs="Palatino Linotype"/>
          <w:b/>
        </w:rPr>
        <w:t>Ordena</w:t>
      </w:r>
      <w:r w:rsidRPr="0098181D">
        <w:rPr>
          <w:rFonts w:ascii="Palatino Linotype" w:eastAsia="Palatino Linotype" w:hAnsi="Palatino Linotype" w:cs="Palatino Linotype"/>
        </w:rPr>
        <w:t xml:space="preserve"> al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en términos del Considerando </w:t>
      </w:r>
      <w:r w:rsidRPr="0098181D">
        <w:rPr>
          <w:rFonts w:ascii="Palatino Linotype" w:eastAsia="Palatino Linotype" w:hAnsi="Palatino Linotype" w:cs="Palatino Linotype"/>
          <w:b/>
        </w:rPr>
        <w:t xml:space="preserve">Cuarto </w:t>
      </w:r>
      <w:r w:rsidRPr="0098181D">
        <w:rPr>
          <w:rFonts w:ascii="Palatino Linotype" w:eastAsia="Palatino Linotype" w:hAnsi="Palatino Linotype" w:cs="Palatino Linotype"/>
        </w:rPr>
        <w:t>de esta resolución, haga entrega, vía SAIMEX, en versión pública correcta de lo siguiente:</w:t>
      </w:r>
    </w:p>
    <w:p w:rsidR="00AF4788" w:rsidRPr="0098181D" w:rsidRDefault="00AF4788" w:rsidP="00AF4788">
      <w:pPr>
        <w:spacing w:before="240" w:after="240" w:line="360" w:lineRule="auto"/>
        <w:ind w:left="426"/>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1. </w:t>
      </w:r>
      <w:proofErr w:type="spellStart"/>
      <w:r w:rsidRPr="0098181D">
        <w:rPr>
          <w:rFonts w:ascii="Palatino Linotype" w:eastAsia="Palatino Linotype" w:hAnsi="Palatino Linotype" w:cs="Palatino Linotype"/>
        </w:rPr>
        <w:t>Curriculum</w:t>
      </w:r>
      <w:proofErr w:type="spellEnd"/>
      <w:r w:rsidRPr="0098181D">
        <w:rPr>
          <w:rFonts w:ascii="Palatino Linotype" w:eastAsia="Palatino Linotype" w:hAnsi="Palatino Linotype" w:cs="Palatino Linotype"/>
        </w:rPr>
        <w:t xml:space="preserve"> vitae de la servidora pública referida en la solicitud de información 01306/ZINACANT/IP/2023.</w:t>
      </w:r>
    </w:p>
    <w:p w:rsidR="00AF4788" w:rsidRPr="0098181D" w:rsidRDefault="00AF4788" w:rsidP="00AF4788">
      <w:pPr>
        <w:spacing w:before="240" w:after="240"/>
        <w:ind w:left="426"/>
        <w:jc w:val="both"/>
        <w:rPr>
          <w:rFonts w:ascii="Palatino Linotype" w:eastAsia="Palatino Linotype" w:hAnsi="Palatino Linotype" w:cs="Palatino Linotype"/>
          <w:i/>
          <w:sz w:val="20"/>
          <w:szCs w:val="20"/>
        </w:rPr>
      </w:pPr>
      <w:r w:rsidRPr="0098181D">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98181D">
        <w:rPr>
          <w:rFonts w:ascii="Palatino Linotype" w:eastAsia="Palatino Linotype" w:hAnsi="Palatino Linotype" w:cs="Palatino Linotype"/>
          <w:b/>
          <w:i/>
          <w:sz w:val="20"/>
          <w:szCs w:val="20"/>
        </w:rPr>
        <w:t>Recurrente</w:t>
      </w:r>
      <w:r w:rsidRPr="0098181D">
        <w:rPr>
          <w:rFonts w:ascii="Palatino Linotype" w:eastAsia="Palatino Linotype" w:hAnsi="Palatino Linotype" w:cs="Palatino Linotype"/>
          <w:i/>
          <w:sz w:val="20"/>
          <w:szCs w:val="20"/>
        </w:rPr>
        <w:t>.</w:t>
      </w:r>
    </w:p>
    <w:p w:rsidR="00870276" w:rsidRPr="0098181D" w:rsidRDefault="00AF4788" w:rsidP="00870276">
      <w:pPr>
        <w:spacing w:before="240" w:after="240" w:line="360" w:lineRule="auto"/>
        <w:jc w:val="both"/>
        <w:rPr>
          <w:rFonts w:ascii="Palatino Linotype" w:eastAsia="Palatino Linotype" w:hAnsi="Palatino Linotype" w:cs="Palatino Linotype"/>
          <w:b/>
        </w:rPr>
      </w:pPr>
      <w:r w:rsidRPr="0098181D">
        <w:rPr>
          <w:rFonts w:ascii="Palatino Linotype" w:eastAsia="Palatino Linotype" w:hAnsi="Palatino Linotype" w:cs="Palatino Linotype"/>
          <w:b/>
        </w:rPr>
        <w:t>Cuarto</w:t>
      </w:r>
      <w:r w:rsidR="00870276" w:rsidRPr="0098181D">
        <w:rPr>
          <w:rFonts w:ascii="Palatino Linotype" w:eastAsia="Palatino Linotype" w:hAnsi="Palatino Linotype" w:cs="Palatino Linotype"/>
          <w:b/>
        </w:rPr>
        <w:t xml:space="preserve">. Notifíquese, </w:t>
      </w:r>
      <w:r w:rsidR="00870276" w:rsidRPr="0098181D">
        <w:rPr>
          <w:rFonts w:ascii="Palatino Linotype" w:eastAsia="Palatino Linotype" w:hAnsi="Palatino Linotype" w:cs="Palatino Linotype"/>
        </w:rPr>
        <w:t xml:space="preserve">vía </w:t>
      </w:r>
      <w:r w:rsidR="00870276" w:rsidRPr="0098181D">
        <w:rPr>
          <w:rFonts w:ascii="Palatino Linotype" w:eastAsia="Palatino Linotype" w:hAnsi="Palatino Linotype" w:cs="Palatino Linotype"/>
          <w:b/>
        </w:rPr>
        <w:t>SAIMEX</w:t>
      </w:r>
      <w:r w:rsidR="00870276" w:rsidRPr="0098181D">
        <w:rPr>
          <w:rFonts w:ascii="Palatino Linotype" w:eastAsia="Palatino Linotype" w:hAnsi="Palatino Linotype" w:cs="Palatino Linotype"/>
        </w:rPr>
        <w:t xml:space="preserve">, al Titular de la Unidad de Transparencia del </w:t>
      </w:r>
      <w:r w:rsidR="00870276" w:rsidRPr="0098181D">
        <w:rPr>
          <w:rFonts w:ascii="Palatino Linotype" w:eastAsia="Palatino Linotype" w:hAnsi="Palatino Linotype" w:cs="Palatino Linotype"/>
          <w:b/>
        </w:rPr>
        <w:t>Sujeto Obligado,</w:t>
      </w:r>
      <w:r w:rsidR="00870276" w:rsidRPr="0098181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w:t>
      </w:r>
      <w:r w:rsidR="00870276" w:rsidRPr="0098181D">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70276" w:rsidRPr="0098181D" w:rsidRDefault="00870276" w:rsidP="00870276">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8181D">
        <w:rPr>
          <w:rFonts w:ascii="Palatino Linotype" w:eastAsia="Palatino Linotype" w:hAnsi="Palatino Linotype" w:cs="Palatino Linotype"/>
          <w:b/>
        </w:rPr>
        <w:t>Sujeto Obligado</w:t>
      </w:r>
      <w:r w:rsidRPr="0098181D">
        <w:rPr>
          <w:rFonts w:ascii="Palatino Linotype" w:eastAsia="Palatino Linotype" w:hAnsi="Palatino Linotype" w:cs="Palatino Linotype"/>
        </w:rPr>
        <w:t xml:space="preserve"> de manera fundada y motivada, podrá solicitar una ampliación de plazo para el cumplimiento de la presente resolución.</w:t>
      </w:r>
    </w:p>
    <w:p w:rsidR="00870276" w:rsidRPr="0098181D" w:rsidRDefault="00AF4788" w:rsidP="00870276">
      <w:pPr>
        <w:spacing w:before="240" w:after="240" w:line="360" w:lineRule="auto"/>
        <w:jc w:val="both"/>
        <w:rPr>
          <w:rFonts w:ascii="Palatino Linotype" w:eastAsia="Palatino Linotype" w:hAnsi="Palatino Linotype" w:cs="Palatino Linotype"/>
        </w:rPr>
      </w:pPr>
      <w:r w:rsidRPr="0098181D">
        <w:rPr>
          <w:rFonts w:ascii="Palatino Linotype" w:eastAsia="Palatino Linotype" w:hAnsi="Palatino Linotype" w:cs="Palatino Linotype"/>
          <w:b/>
        </w:rPr>
        <w:t>Quinto</w:t>
      </w:r>
      <w:r w:rsidR="00870276" w:rsidRPr="0098181D">
        <w:rPr>
          <w:rFonts w:ascii="Palatino Linotype" w:eastAsia="Palatino Linotype" w:hAnsi="Palatino Linotype" w:cs="Palatino Linotype"/>
          <w:b/>
        </w:rPr>
        <w:t xml:space="preserve">.  Notifíquese, </w:t>
      </w:r>
      <w:r w:rsidR="00870276" w:rsidRPr="0098181D">
        <w:rPr>
          <w:rFonts w:ascii="Palatino Linotype" w:eastAsia="Palatino Linotype" w:hAnsi="Palatino Linotype" w:cs="Palatino Linotype"/>
        </w:rPr>
        <w:t xml:space="preserve">vía </w:t>
      </w:r>
      <w:r w:rsidR="00870276" w:rsidRPr="0098181D">
        <w:rPr>
          <w:rFonts w:ascii="Palatino Linotype" w:eastAsia="Palatino Linotype" w:hAnsi="Palatino Linotype" w:cs="Palatino Linotype"/>
          <w:b/>
        </w:rPr>
        <w:t>SAIMEX</w:t>
      </w:r>
      <w:r w:rsidR="007136CD" w:rsidRPr="0098181D">
        <w:rPr>
          <w:rFonts w:ascii="Palatino Linotype" w:eastAsia="Palatino Linotype" w:hAnsi="Palatino Linotype" w:cs="Palatino Linotype"/>
        </w:rPr>
        <w:t xml:space="preserve">, a la parte </w:t>
      </w:r>
      <w:r w:rsidR="007136CD" w:rsidRPr="0098181D">
        <w:rPr>
          <w:rFonts w:ascii="Palatino Linotype" w:eastAsia="Palatino Linotype" w:hAnsi="Palatino Linotype" w:cs="Palatino Linotype"/>
          <w:b/>
        </w:rPr>
        <w:t>R</w:t>
      </w:r>
      <w:r w:rsidR="00870276" w:rsidRPr="0098181D">
        <w:rPr>
          <w:rFonts w:ascii="Palatino Linotype" w:eastAsia="Palatino Linotype" w:hAnsi="Palatino Linotype" w:cs="Palatino Linotype"/>
          <w:b/>
        </w:rPr>
        <w:t>ecurrente</w:t>
      </w:r>
      <w:r w:rsidR="00870276" w:rsidRPr="0098181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D19A0" w:rsidRPr="0098181D" w:rsidRDefault="001B5ADE">
      <w:pPr>
        <w:spacing w:line="360" w:lineRule="auto"/>
        <w:ind w:right="49"/>
        <w:jc w:val="both"/>
        <w:rPr>
          <w:rFonts w:ascii="Palatino Linotype" w:eastAsia="Palatino Linotype" w:hAnsi="Palatino Linotype" w:cs="Palatino Linotype"/>
        </w:rPr>
      </w:pPr>
      <w:r w:rsidRPr="0098181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92873" w:rsidRPr="0098181D">
        <w:rPr>
          <w:rFonts w:ascii="Palatino Linotype" w:eastAsia="Palatino Linotype" w:hAnsi="Palatino Linotype" w:cs="Palatino Linotype"/>
        </w:rPr>
        <w:t>TRIGÉSIM</w:t>
      </w:r>
      <w:r w:rsidR="00AF4788" w:rsidRPr="0098181D">
        <w:rPr>
          <w:rFonts w:ascii="Palatino Linotype" w:eastAsia="Palatino Linotype" w:hAnsi="Palatino Linotype" w:cs="Palatino Linotype"/>
        </w:rPr>
        <w:t xml:space="preserve">O OCTAVA </w:t>
      </w:r>
      <w:r w:rsidRPr="0098181D">
        <w:rPr>
          <w:rFonts w:ascii="Palatino Linotype" w:eastAsia="Palatino Linotype" w:hAnsi="Palatino Linotype" w:cs="Palatino Linotype"/>
        </w:rPr>
        <w:t xml:space="preserve">SESIÓN ORDINARIA </w:t>
      </w:r>
      <w:r w:rsidRPr="0098181D">
        <w:rPr>
          <w:rFonts w:ascii="Palatino Linotype" w:eastAsia="Palatino Linotype" w:hAnsi="Palatino Linotype" w:cs="Palatino Linotype"/>
        </w:rPr>
        <w:lastRenderedPageBreak/>
        <w:t xml:space="preserve">CELEBRADA EL </w:t>
      </w:r>
      <w:r w:rsidR="00AF4788" w:rsidRPr="0098181D">
        <w:rPr>
          <w:rFonts w:ascii="Palatino Linotype" w:eastAsia="Palatino Linotype" w:hAnsi="Palatino Linotype" w:cs="Palatino Linotype"/>
        </w:rPr>
        <w:t>VEINTICIN</w:t>
      </w:r>
      <w:r w:rsidR="005A1997" w:rsidRPr="0098181D">
        <w:rPr>
          <w:rFonts w:ascii="Palatino Linotype" w:eastAsia="Palatino Linotype" w:hAnsi="Palatino Linotype" w:cs="Palatino Linotype"/>
        </w:rPr>
        <w:t>C</w:t>
      </w:r>
      <w:r w:rsidR="00AF4788" w:rsidRPr="0098181D">
        <w:rPr>
          <w:rFonts w:ascii="Palatino Linotype" w:eastAsia="Palatino Linotype" w:hAnsi="Palatino Linotype" w:cs="Palatino Linotype"/>
        </w:rPr>
        <w:t xml:space="preserve">O </w:t>
      </w:r>
      <w:r w:rsidR="00EE1595" w:rsidRPr="0098181D">
        <w:rPr>
          <w:rFonts w:ascii="Palatino Linotype" w:eastAsia="Palatino Linotype" w:hAnsi="Palatino Linotype" w:cs="Palatino Linotype"/>
        </w:rPr>
        <w:t xml:space="preserve">DE </w:t>
      </w:r>
      <w:r w:rsidR="002F314A" w:rsidRPr="0098181D">
        <w:rPr>
          <w:rFonts w:ascii="Palatino Linotype" w:eastAsia="Palatino Linotype" w:hAnsi="Palatino Linotype" w:cs="Palatino Linotype"/>
        </w:rPr>
        <w:t>OCTUBRE</w:t>
      </w:r>
      <w:r w:rsidRPr="0098181D">
        <w:rPr>
          <w:rFonts w:ascii="Palatino Linotype" w:eastAsia="Palatino Linotype" w:hAnsi="Palatino Linotype" w:cs="Palatino Linotype"/>
        </w:rPr>
        <w:t xml:space="preserve"> DE DOS MIL VEINTITRÉS, ANTE EL SECRETARIO TÉCNICO DEL PLENO ALEXIS TAPIA RAMÍREZ.</w:t>
      </w:r>
    </w:p>
    <w:p w:rsidR="001B5ADE" w:rsidRPr="0098181D" w:rsidRDefault="00FD28DF">
      <w:pPr>
        <w:spacing w:line="360" w:lineRule="auto"/>
        <w:ind w:right="49"/>
        <w:jc w:val="both"/>
        <w:rPr>
          <w:rFonts w:ascii="Palatino Linotype" w:eastAsia="Palatino Linotype" w:hAnsi="Palatino Linotype" w:cs="Palatino Linotype"/>
        </w:rPr>
      </w:pPr>
      <w:r w:rsidRPr="0098181D">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29210</wp:posOffset>
                </wp:positionV>
                <wp:extent cx="5572125" cy="649605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572125" cy="6496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CB25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55pt,2.3pt" to="826.3pt,5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" strokecolor="black [3213]" strokeweight="2.25pt">
                <v:stroke joinstyle="miter"/>
                <w10:wrap anchorx="margin"/>
              </v:line>
            </w:pict>
          </mc:Fallback>
        </mc:AlternateContent>
      </w:r>
    </w:p>
    <w:p w:rsidR="00FD28DF" w:rsidRPr="0098181D" w:rsidRDefault="00FD28DF">
      <w:pPr>
        <w:spacing w:line="360" w:lineRule="auto"/>
        <w:ind w:right="49"/>
        <w:jc w:val="both"/>
        <w:rPr>
          <w:rFonts w:ascii="Palatino Linotype" w:eastAsia="Palatino Linotype" w:hAnsi="Palatino Linotype" w:cs="Palatino Linotype"/>
        </w:rPr>
        <w:sectPr w:rsidR="00FD28DF" w:rsidRPr="0098181D">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p>
    <w:p w:rsidR="00D15ECF" w:rsidRPr="0098181D" w:rsidRDefault="00D15ECF">
      <w:pPr>
        <w:tabs>
          <w:tab w:val="left" w:pos="709"/>
        </w:tabs>
        <w:spacing w:before="240" w:after="240" w:line="360" w:lineRule="auto"/>
        <w:jc w:val="both"/>
      </w:pPr>
    </w:p>
    <w:sectPr w:rsidR="00D15ECF" w:rsidRPr="0098181D">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E2D" w:rsidRDefault="00852E2D">
      <w:r>
        <w:separator/>
      </w:r>
    </w:p>
  </w:endnote>
  <w:endnote w:type="continuationSeparator" w:id="0">
    <w:p w:rsidR="00852E2D" w:rsidRDefault="0085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64" w:rsidRDefault="000B7A6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19A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19A7">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0B7A64" w:rsidRDefault="000B7A64">
    <w:pPr>
      <w:pBdr>
        <w:top w:val="nil"/>
        <w:left w:val="nil"/>
        <w:bottom w:val="nil"/>
        <w:right w:val="nil"/>
        <w:between w:val="nil"/>
      </w:pBdr>
      <w:tabs>
        <w:tab w:val="center" w:pos="4252"/>
        <w:tab w:val="right" w:pos="8504"/>
      </w:tabs>
      <w:rPr>
        <w:color w:val="000000"/>
      </w:rPr>
    </w:pPr>
  </w:p>
  <w:p w:rsidR="000B7A64" w:rsidRDefault="000B7A6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64" w:rsidRDefault="000B7A6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19A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19A7">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rsidR="000B7A64" w:rsidRDefault="000B7A6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E2D" w:rsidRDefault="00852E2D">
      <w:r>
        <w:separator/>
      </w:r>
    </w:p>
  </w:footnote>
  <w:footnote w:type="continuationSeparator" w:id="0">
    <w:p w:rsidR="00852E2D" w:rsidRDefault="00852E2D">
      <w:r>
        <w:continuationSeparator/>
      </w:r>
    </w:p>
  </w:footnote>
  <w:footnote w:id="1">
    <w:p w:rsidR="000B7A64" w:rsidRDefault="000B7A64" w:rsidP="002F716B">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rsidR="000B7A64" w:rsidRDefault="000B7A64" w:rsidP="002F716B">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52912" w:rsidRDefault="00152912" w:rsidP="0015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64" w:rsidRDefault="000B7A64">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-990589</wp:posOffset>
          </wp:positionH>
          <wp:positionV relativeFrom="paragraph">
            <wp:posOffset>-412740</wp:posOffset>
          </wp:positionV>
          <wp:extent cx="7635163" cy="9944100"/>
          <wp:effectExtent l="0" t="0" r="0" b="0"/>
          <wp:wrapNone/>
          <wp:docPr id="6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d"/>
      <w:tblW w:w="5812" w:type="dxa"/>
      <w:tblInd w:w="3119" w:type="dxa"/>
      <w:tblLayout w:type="fixed"/>
      <w:tblLook w:val="0400" w:firstRow="0" w:lastRow="0" w:firstColumn="0" w:lastColumn="0" w:noHBand="0" w:noVBand="1"/>
    </w:tblPr>
    <w:tblGrid>
      <w:gridCol w:w="2694"/>
      <w:gridCol w:w="3118"/>
    </w:tblGrid>
    <w:tr w:rsidR="000B7A64">
      <w:tc>
        <w:tcPr>
          <w:tcW w:w="2694" w:type="dxa"/>
          <w:vAlign w:val="center"/>
        </w:tcPr>
        <w:p w:rsidR="000B7A64" w:rsidRDefault="000B7A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0B7A64" w:rsidRDefault="000B7A64" w:rsidP="00B336D3">
          <w:pPr>
            <w:jc w:val="both"/>
            <w:rPr>
              <w:rFonts w:ascii="Palatino Linotype" w:eastAsia="Palatino Linotype" w:hAnsi="Palatino Linotype" w:cs="Palatino Linotype"/>
              <w:b/>
              <w:sz w:val="22"/>
              <w:szCs w:val="22"/>
            </w:rPr>
          </w:pPr>
          <w:r w:rsidRPr="006D5E69">
            <w:rPr>
              <w:rFonts w:ascii="Palatino Linotype" w:eastAsia="Palatino Linotype" w:hAnsi="Palatino Linotype" w:cs="Palatino Linotype"/>
              <w:b/>
              <w:sz w:val="22"/>
              <w:szCs w:val="22"/>
            </w:rPr>
            <w:t>05609/INFOEM/IP/RR/2023</w:t>
          </w:r>
          <w:r w:rsidR="0034705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y acumulado</w:t>
          </w:r>
        </w:p>
      </w:tc>
    </w:tr>
    <w:tr w:rsidR="000B7A64">
      <w:trPr>
        <w:trHeight w:val="228"/>
      </w:trPr>
      <w:tc>
        <w:tcPr>
          <w:tcW w:w="2694" w:type="dxa"/>
          <w:vAlign w:val="center"/>
        </w:tcPr>
        <w:p w:rsidR="000B7A64" w:rsidRDefault="000B7A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0B7A64" w:rsidRDefault="000B7A64">
          <w:pPr>
            <w:jc w:val="both"/>
            <w:rPr>
              <w:rFonts w:ascii="Palatino Linotype" w:eastAsia="Palatino Linotype" w:hAnsi="Palatino Linotype" w:cs="Palatino Linotype"/>
              <w:b/>
              <w:sz w:val="22"/>
              <w:szCs w:val="22"/>
            </w:rPr>
          </w:pPr>
          <w:r w:rsidRPr="006D5E69">
            <w:rPr>
              <w:rFonts w:ascii="Palatino Linotype" w:eastAsia="Palatino Linotype" w:hAnsi="Palatino Linotype" w:cs="Palatino Linotype"/>
              <w:b/>
              <w:sz w:val="22"/>
              <w:szCs w:val="22"/>
            </w:rPr>
            <w:t>Ayuntamiento de Zinacantepec</w:t>
          </w:r>
        </w:p>
      </w:tc>
    </w:tr>
    <w:tr w:rsidR="000B7A64">
      <w:tc>
        <w:tcPr>
          <w:tcW w:w="2694" w:type="dxa"/>
          <w:vAlign w:val="center"/>
        </w:tcPr>
        <w:p w:rsidR="000B7A64" w:rsidRDefault="000B7A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0B7A64" w:rsidRDefault="000B7A6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B7A64" w:rsidRDefault="000B7A6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64" w:rsidRDefault="000B7A6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fc"/>
      <w:tblW w:w="5953" w:type="dxa"/>
      <w:tblInd w:w="3119" w:type="dxa"/>
      <w:tblLayout w:type="fixed"/>
      <w:tblLook w:val="0400" w:firstRow="0" w:lastRow="0" w:firstColumn="0" w:lastColumn="0" w:noHBand="0" w:noVBand="1"/>
    </w:tblPr>
    <w:tblGrid>
      <w:gridCol w:w="2551"/>
      <w:gridCol w:w="3402"/>
    </w:tblGrid>
    <w:tr w:rsidR="000B7A64">
      <w:tc>
        <w:tcPr>
          <w:tcW w:w="2551" w:type="dxa"/>
          <w:vAlign w:val="center"/>
        </w:tcPr>
        <w:p w:rsidR="000B7A64" w:rsidRDefault="000B7A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rsidR="000B7A64" w:rsidRDefault="000B7A64">
          <w:pPr>
            <w:jc w:val="both"/>
            <w:rPr>
              <w:rFonts w:ascii="Palatino Linotype" w:eastAsia="Palatino Linotype" w:hAnsi="Palatino Linotype" w:cs="Palatino Linotype"/>
              <w:b/>
              <w:sz w:val="22"/>
              <w:szCs w:val="22"/>
            </w:rPr>
          </w:pPr>
          <w:r w:rsidRPr="006D5E69">
            <w:rPr>
              <w:rFonts w:ascii="Palatino Linotype" w:eastAsia="Palatino Linotype" w:hAnsi="Palatino Linotype" w:cs="Palatino Linotype"/>
              <w:b/>
              <w:sz w:val="22"/>
              <w:szCs w:val="22"/>
            </w:rPr>
            <w:t>05609/INFOEM/IP/RR/2023</w:t>
          </w:r>
          <w:r>
            <w:rPr>
              <w:rFonts w:ascii="Palatino Linotype" w:eastAsia="Palatino Linotype" w:hAnsi="Palatino Linotype" w:cs="Palatino Linotype"/>
              <w:b/>
              <w:sz w:val="22"/>
              <w:szCs w:val="22"/>
            </w:rPr>
            <w:t xml:space="preserve"> y acumulado</w:t>
          </w:r>
        </w:p>
      </w:tc>
    </w:tr>
    <w:tr w:rsidR="000B7A64">
      <w:tc>
        <w:tcPr>
          <w:tcW w:w="2551" w:type="dxa"/>
          <w:vAlign w:val="center"/>
        </w:tcPr>
        <w:p w:rsidR="000B7A64" w:rsidRDefault="000B7A6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rsidR="000B7A64" w:rsidRDefault="000B7A64">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simplePos x="0" y="0"/>
                <wp:positionH relativeFrom="column">
                  <wp:posOffset>-4685660</wp:posOffset>
                </wp:positionH>
                <wp:positionV relativeFrom="paragraph">
                  <wp:posOffset>-913757</wp:posOffset>
                </wp:positionV>
                <wp:extent cx="7635240" cy="9942830"/>
                <wp:effectExtent l="0" t="0" r="0" b="0"/>
                <wp:wrapNone/>
                <wp:docPr id="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0B7A64">
      <w:trPr>
        <w:trHeight w:val="228"/>
      </w:trPr>
      <w:tc>
        <w:tcPr>
          <w:tcW w:w="2551" w:type="dxa"/>
          <w:vAlign w:val="center"/>
        </w:tcPr>
        <w:p w:rsidR="000B7A64" w:rsidRDefault="000B7A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rsidR="000B7A64" w:rsidRDefault="000B7A64">
          <w:pPr>
            <w:jc w:val="both"/>
            <w:rPr>
              <w:rFonts w:ascii="Palatino Linotype" w:eastAsia="Palatino Linotype" w:hAnsi="Palatino Linotype" w:cs="Palatino Linotype"/>
              <w:b/>
              <w:sz w:val="22"/>
              <w:szCs w:val="22"/>
            </w:rPr>
          </w:pPr>
          <w:r w:rsidRPr="006D5E69">
            <w:rPr>
              <w:rFonts w:ascii="Palatino Linotype" w:eastAsia="Palatino Linotype" w:hAnsi="Palatino Linotype" w:cs="Palatino Linotype"/>
              <w:b/>
              <w:sz w:val="22"/>
              <w:szCs w:val="22"/>
            </w:rPr>
            <w:t>Ayuntamiento de Zinacantepec</w:t>
          </w:r>
        </w:p>
      </w:tc>
    </w:tr>
    <w:tr w:rsidR="000B7A64">
      <w:tc>
        <w:tcPr>
          <w:tcW w:w="2551" w:type="dxa"/>
          <w:vAlign w:val="center"/>
        </w:tcPr>
        <w:p w:rsidR="000B7A64" w:rsidRDefault="000B7A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rsidR="000B7A64" w:rsidRDefault="000B7A6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B7A64" w:rsidRDefault="000B7A6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64" w:rsidRDefault="000B7A6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0B7A64" w:rsidRDefault="000B7A6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CDC"/>
    <w:multiLevelType w:val="multilevel"/>
    <w:tmpl w:val="BF9C604C"/>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D551BF"/>
    <w:multiLevelType w:val="hybridMultilevel"/>
    <w:tmpl w:val="9B86D12A"/>
    <w:lvl w:ilvl="0" w:tplc="3744BEC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4A3D40"/>
    <w:multiLevelType w:val="multilevel"/>
    <w:tmpl w:val="1F74F5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DB15DE9"/>
    <w:multiLevelType w:val="multilevel"/>
    <w:tmpl w:val="D966D6E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6941052"/>
    <w:multiLevelType w:val="multilevel"/>
    <w:tmpl w:val="946C9C14"/>
    <w:lvl w:ilvl="0">
      <w:start w:val="1"/>
      <w:numFmt w:val="lowerLetter"/>
      <w:lvlText w:val="%1)"/>
      <w:lvlJc w:val="left"/>
      <w:pPr>
        <w:ind w:left="1495" w:hanging="360"/>
      </w:pPr>
      <w:rPr>
        <w:rFonts w:ascii="Times New Roman" w:eastAsia="Times New Roman" w:hAnsi="Times New Roman" w:cs="Times New Roman"/>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A0"/>
    <w:rsid w:val="00007DA7"/>
    <w:rsid w:val="00031E3A"/>
    <w:rsid w:val="000459E0"/>
    <w:rsid w:val="00052ECA"/>
    <w:rsid w:val="000549E6"/>
    <w:rsid w:val="00055D70"/>
    <w:rsid w:val="00064B56"/>
    <w:rsid w:val="00072357"/>
    <w:rsid w:val="00082C66"/>
    <w:rsid w:val="00083053"/>
    <w:rsid w:val="000838D9"/>
    <w:rsid w:val="0008702D"/>
    <w:rsid w:val="00096B41"/>
    <w:rsid w:val="000A46A2"/>
    <w:rsid w:val="000A7536"/>
    <w:rsid w:val="000B5775"/>
    <w:rsid w:val="000B7A64"/>
    <w:rsid w:val="000C31F2"/>
    <w:rsid w:val="000C628B"/>
    <w:rsid w:val="000E0A0A"/>
    <w:rsid w:val="00117018"/>
    <w:rsid w:val="0013033B"/>
    <w:rsid w:val="00131523"/>
    <w:rsid w:val="00131854"/>
    <w:rsid w:val="00134784"/>
    <w:rsid w:val="00144031"/>
    <w:rsid w:val="00145986"/>
    <w:rsid w:val="001466F4"/>
    <w:rsid w:val="00146995"/>
    <w:rsid w:val="00152912"/>
    <w:rsid w:val="00152B96"/>
    <w:rsid w:val="00154B8F"/>
    <w:rsid w:val="001831C6"/>
    <w:rsid w:val="00193548"/>
    <w:rsid w:val="001A03C5"/>
    <w:rsid w:val="001A0D02"/>
    <w:rsid w:val="001A142A"/>
    <w:rsid w:val="001A4E46"/>
    <w:rsid w:val="001B31E2"/>
    <w:rsid w:val="001B49C3"/>
    <w:rsid w:val="001B5ADE"/>
    <w:rsid w:val="001C3EAD"/>
    <w:rsid w:val="001C416F"/>
    <w:rsid w:val="001D3916"/>
    <w:rsid w:val="001D4E4B"/>
    <w:rsid w:val="001E70A7"/>
    <w:rsid w:val="001F0582"/>
    <w:rsid w:val="00201909"/>
    <w:rsid w:val="00205B92"/>
    <w:rsid w:val="00213F2C"/>
    <w:rsid w:val="00214836"/>
    <w:rsid w:val="00231D32"/>
    <w:rsid w:val="002367DC"/>
    <w:rsid w:val="00237D2A"/>
    <w:rsid w:val="00246BD6"/>
    <w:rsid w:val="00257335"/>
    <w:rsid w:val="00257606"/>
    <w:rsid w:val="00260FF3"/>
    <w:rsid w:val="002617DE"/>
    <w:rsid w:val="00266A72"/>
    <w:rsid w:val="0026739A"/>
    <w:rsid w:val="00273227"/>
    <w:rsid w:val="00273E92"/>
    <w:rsid w:val="00283CDD"/>
    <w:rsid w:val="002A46AB"/>
    <w:rsid w:val="002A4C63"/>
    <w:rsid w:val="002B1206"/>
    <w:rsid w:val="002B2A35"/>
    <w:rsid w:val="002B4060"/>
    <w:rsid w:val="002B6167"/>
    <w:rsid w:val="002C3953"/>
    <w:rsid w:val="002C4AF6"/>
    <w:rsid w:val="002C53B7"/>
    <w:rsid w:val="002D0F93"/>
    <w:rsid w:val="002E29AE"/>
    <w:rsid w:val="002F314A"/>
    <w:rsid w:val="002F53B8"/>
    <w:rsid w:val="002F6FF8"/>
    <w:rsid w:val="002F716B"/>
    <w:rsid w:val="003311DD"/>
    <w:rsid w:val="0033520D"/>
    <w:rsid w:val="0033670C"/>
    <w:rsid w:val="0034554E"/>
    <w:rsid w:val="00346DF0"/>
    <w:rsid w:val="00347053"/>
    <w:rsid w:val="0036403A"/>
    <w:rsid w:val="00374700"/>
    <w:rsid w:val="00375358"/>
    <w:rsid w:val="00377747"/>
    <w:rsid w:val="00381ADF"/>
    <w:rsid w:val="00381E40"/>
    <w:rsid w:val="003A3A72"/>
    <w:rsid w:val="003B665F"/>
    <w:rsid w:val="003C3506"/>
    <w:rsid w:val="003C513A"/>
    <w:rsid w:val="003E2FFE"/>
    <w:rsid w:val="003E4101"/>
    <w:rsid w:val="003F35AE"/>
    <w:rsid w:val="00400E34"/>
    <w:rsid w:val="00410E0B"/>
    <w:rsid w:val="004138C3"/>
    <w:rsid w:val="0041690F"/>
    <w:rsid w:val="00420116"/>
    <w:rsid w:val="004276F8"/>
    <w:rsid w:val="00435B4E"/>
    <w:rsid w:val="00450B99"/>
    <w:rsid w:val="0046509E"/>
    <w:rsid w:val="004666C1"/>
    <w:rsid w:val="00475734"/>
    <w:rsid w:val="00476612"/>
    <w:rsid w:val="00484A0E"/>
    <w:rsid w:val="0049294E"/>
    <w:rsid w:val="00494A29"/>
    <w:rsid w:val="004B0D07"/>
    <w:rsid w:val="004B117E"/>
    <w:rsid w:val="004B2EAF"/>
    <w:rsid w:val="004B7176"/>
    <w:rsid w:val="004D17A1"/>
    <w:rsid w:val="004D4347"/>
    <w:rsid w:val="004D5A98"/>
    <w:rsid w:val="004E3736"/>
    <w:rsid w:val="004F47A9"/>
    <w:rsid w:val="00522A3A"/>
    <w:rsid w:val="00527454"/>
    <w:rsid w:val="005459C0"/>
    <w:rsid w:val="00545DD0"/>
    <w:rsid w:val="0055477F"/>
    <w:rsid w:val="00557228"/>
    <w:rsid w:val="0055747D"/>
    <w:rsid w:val="00562D7B"/>
    <w:rsid w:val="005677D3"/>
    <w:rsid w:val="0057682D"/>
    <w:rsid w:val="0058059B"/>
    <w:rsid w:val="005820DC"/>
    <w:rsid w:val="00594915"/>
    <w:rsid w:val="005A1997"/>
    <w:rsid w:val="005B1096"/>
    <w:rsid w:val="005B5FDC"/>
    <w:rsid w:val="005C17AC"/>
    <w:rsid w:val="005C19F6"/>
    <w:rsid w:val="005C52C0"/>
    <w:rsid w:val="005C7BD8"/>
    <w:rsid w:val="005D0EDE"/>
    <w:rsid w:val="005D14E6"/>
    <w:rsid w:val="005D7159"/>
    <w:rsid w:val="005E72D3"/>
    <w:rsid w:val="005F2F42"/>
    <w:rsid w:val="005F477C"/>
    <w:rsid w:val="005F5CDA"/>
    <w:rsid w:val="00601CF7"/>
    <w:rsid w:val="00601D06"/>
    <w:rsid w:val="006038C4"/>
    <w:rsid w:val="00615816"/>
    <w:rsid w:val="0062073B"/>
    <w:rsid w:val="00624577"/>
    <w:rsid w:val="00626E13"/>
    <w:rsid w:val="006303A3"/>
    <w:rsid w:val="006418CC"/>
    <w:rsid w:val="006418CE"/>
    <w:rsid w:val="00654E21"/>
    <w:rsid w:val="00662AFE"/>
    <w:rsid w:val="0067099B"/>
    <w:rsid w:val="006820E1"/>
    <w:rsid w:val="00691379"/>
    <w:rsid w:val="00692164"/>
    <w:rsid w:val="00692873"/>
    <w:rsid w:val="00695D42"/>
    <w:rsid w:val="006A5412"/>
    <w:rsid w:val="006A6540"/>
    <w:rsid w:val="006B586C"/>
    <w:rsid w:val="006C10C1"/>
    <w:rsid w:val="006C4581"/>
    <w:rsid w:val="006D5E69"/>
    <w:rsid w:val="006E1D92"/>
    <w:rsid w:val="006E40DE"/>
    <w:rsid w:val="006E514F"/>
    <w:rsid w:val="006F2442"/>
    <w:rsid w:val="006F2715"/>
    <w:rsid w:val="006F32C5"/>
    <w:rsid w:val="00700EE9"/>
    <w:rsid w:val="0070434D"/>
    <w:rsid w:val="007055D0"/>
    <w:rsid w:val="00706EA4"/>
    <w:rsid w:val="00710E1B"/>
    <w:rsid w:val="007136CD"/>
    <w:rsid w:val="00715C52"/>
    <w:rsid w:val="00720DF9"/>
    <w:rsid w:val="00721B87"/>
    <w:rsid w:val="00724C24"/>
    <w:rsid w:val="00726326"/>
    <w:rsid w:val="007339FF"/>
    <w:rsid w:val="0074221D"/>
    <w:rsid w:val="00756991"/>
    <w:rsid w:val="0076575D"/>
    <w:rsid w:val="00766E77"/>
    <w:rsid w:val="0077144D"/>
    <w:rsid w:val="00777ACE"/>
    <w:rsid w:val="00777CF7"/>
    <w:rsid w:val="0078113A"/>
    <w:rsid w:val="00785A28"/>
    <w:rsid w:val="007968EE"/>
    <w:rsid w:val="00796E0A"/>
    <w:rsid w:val="007A7DA2"/>
    <w:rsid w:val="007B478A"/>
    <w:rsid w:val="007B799C"/>
    <w:rsid w:val="007C0CA7"/>
    <w:rsid w:val="007C1968"/>
    <w:rsid w:val="007D06B9"/>
    <w:rsid w:val="007D49AB"/>
    <w:rsid w:val="007E2348"/>
    <w:rsid w:val="007F60FB"/>
    <w:rsid w:val="00800178"/>
    <w:rsid w:val="00801099"/>
    <w:rsid w:val="0080372F"/>
    <w:rsid w:val="008107BD"/>
    <w:rsid w:val="008115B1"/>
    <w:rsid w:val="00821527"/>
    <w:rsid w:val="00822096"/>
    <w:rsid w:val="00825DEB"/>
    <w:rsid w:val="0082640C"/>
    <w:rsid w:val="008329CD"/>
    <w:rsid w:val="00833D1A"/>
    <w:rsid w:val="0084205F"/>
    <w:rsid w:val="0084614D"/>
    <w:rsid w:val="00847836"/>
    <w:rsid w:val="00852E2D"/>
    <w:rsid w:val="008650AF"/>
    <w:rsid w:val="00865374"/>
    <w:rsid w:val="00870276"/>
    <w:rsid w:val="00871397"/>
    <w:rsid w:val="00872042"/>
    <w:rsid w:val="00883775"/>
    <w:rsid w:val="00893D5E"/>
    <w:rsid w:val="008A34CE"/>
    <w:rsid w:val="008A4D4D"/>
    <w:rsid w:val="008B7C8C"/>
    <w:rsid w:val="008C252F"/>
    <w:rsid w:val="008D19A0"/>
    <w:rsid w:val="008D34C7"/>
    <w:rsid w:val="008E1900"/>
    <w:rsid w:val="008E4B12"/>
    <w:rsid w:val="008E4C8C"/>
    <w:rsid w:val="008E7D4F"/>
    <w:rsid w:val="008F21B1"/>
    <w:rsid w:val="008F3968"/>
    <w:rsid w:val="009008BC"/>
    <w:rsid w:val="00901CCC"/>
    <w:rsid w:val="00902B57"/>
    <w:rsid w:val="00907F19"/>
    <w:rsid w:val="009259F1"/>
    <w:rsid w:val="00927BCC"/>
    <w:rsid w:val="00932ECD"/>
    <w:rsid w:val="009342E8"/>
    <w:rsid w:val="009446E9"/>
    <w:rsid w:val="00951A9A"/>
    <w:rsid w:val="00952E76"/>
    <w:rsid w:val="00953B78"/>
    <w:rsid w:val="00954C3F"/>
    <w:rsid w:val="00955706"/>
    <w:rsid w:val="00957B05"/>
    <w:rsid w:val="00973A1E"/>
    <w:rsid w:val="00973C2A"/>
    <w:rsid w:val="009770FA"/>
    <w:rsid w:val="0098181D"/>
    <w:rsid w:val="009830C2"/>
    <w:rsid w:val="009925DD"/>
    <w:rsid w:val="009B1B8F"/>
    <w:rsid w:val="009B2DDE"/>
    <w:rsid w:val="009C0B88"/>
    <w:rsid w:val="009D090A"/>
    <w:rsid w:val="009E40F4"/>
    <w:rsid w:val="009E591F"/>
    <w:rsid w:val="009F0643"/>
    <w:rsid w:val="009F7139"/>
    <w:rsid w:val="00A00908"/>
    <w:rsid w:val="00A01D79"/>
    <w:rsid w:val="00A02065"/>
    <w:rsid w:val="00A128F4"/>
    <w:rsid w:val="00A15B47"/>
    <w:rsid w:val="00A31BD5"/>
    <w:rsid w:val="00A341AC"/>
    <w:rsid w:val="00A37D92"/>
    <w:rsid w:val="00A42991"/>
    <w:rsid w:val="00A53BC0"/>
    <w:rsid w:val="00A5417B"/>
    <w:rsid w:val="00A55778"/>
    <w:rsid w:val="00A651A8"/>
    <w:rsid w:val="00A73A0F"/>
    <w:rsid w:val="00A7793D"/>
    <w:rsid w:val="00A77C66"/>
    <w:rsid w:val="00AA2EB9"/>
    <w:rsid w:val="00AA54CD"/>
    <w:rsid w:val="00AB1982"/>
    <w:rsid w:val="00AC0092"/>
    <w:rsid w:val="00AC1CFA"/>
    <w:rsid w:val="00AC20CE"/>
    <w:rsid w:val="00AC70D4"/>
    <w:rsid w:val="00AE0652"/>
    <w:rsid w:val="00AF4788"/>
    <w:rsid w:val="00B001DC"/>
    <w:rsid w:val="00B01613"/>
    <w:rsid w:val="00B02855"/>
    <w:rsid w:val="00B02A3A"/>
    <w:rsid w:val="00B25225"/>
    <w:rsid w:val="00B336D3"/>
    <w:rsid w:val="00B34300"/>
    <w:rsid w:val="00B537F2"/>
    <w:rsid w:val="00B54653"/>
    <w:rsid w:val="00B54C5B"/>
    <w:rsid w:val="00B569F3"/>
    <w:rsid w:val="00B60D92"/>
    <w:rsid w:val="00B64B21"/>
    <w:rsid w:val="00B655E5"/>
    <w:rsid w:val="00B7381E"/>
    <w:rsid w:val="00B7760C"/>
    <w:rsid w:val="00B8015A"/>
    <w:rsid w:val="00B83BD0"/>
    <w:rsid w:val="00B840D7"/>
    <w:rsid w:val="00B862D7"/>
    <w:rsid w:val="00B86D47"/>
    <w:rsid w:val="00B9017D"/>
    <w:rsid w:val="00B90A0F"/>
    <w:rsid w:val="00B90C74"/>
    <w:rsid w:val="00B919A7"/>
    <w:rsid w:val="00B95474"/>
    <w:rsid w:val="00BA2E62"/>
    <w:rsid w:val="00BB3D3C"/>
    <w:rsid w:val="00BC36F6"/>
    <w:rsid w:val="00BC72F3"/>
    <w:rsid w:val="00BE030D"/>
    <w:rsid w:val="00BE03A4"/>
    <w:rsid w:val="00BE3B2E"/>
    <w:rsid w:val="00BE6CD1"/>
    <w:rsid w:val="00BE7D87"/>
    <w:rsid w:val="00BF2456"/>
    <w:rsid w:val="00BF4FF0"/>
    <w:rsid w:val="00BF7D56"/>
    <w:rsid w:val="00C02CAA"/>
    <w:rsid w:val="00C064E7"/>
    <w:rsid w:val="00C2191A"/>
    <w:rsid w:val="00C2281C"/>
    <w:rsid w:val="00C45AE6"/>
    <w:rsid w:val="00C5312F"/>
    <w:rsid w:val="00C53D0C"/>
    <w:rsid w:val="00C64CC1"/>
    <w:rsid w:val="00C65AE2"/>
    <w:rsid w:val="00C83068"/>
    <w:rsid w:val="00C83669"/>
    <w:rsid w:val="00C8792D"/>
    <w:rsid w:val="00C944C9"/>
    <w:rsid w:val="00C95400"/>
    <w:rsid w:val="00C9563A"/>
    <w:rsid w:val="00C96ACB"/>
    <w:rsid w:val="00CA2D39"/>
    <w:rsid w:val="00CA5559"/>
    <w:rsid w:val="00CB0A0F"/>
    <w:rsid w:val="00CB2790"/>
    <w:rsid w:val="00CB27A1"/>
    <w:rsid w:val="00CC26D1"/>
    <w:rsid w:val="00CD3817"/>
    <w:rsid w:val="00CD638E"/>
    <w:rsid w:val="00CE033E"/>
    <w:rsid w:val="00CF2B2A"/>
    <w:rsid w:val="00D02B36"/>
    <w:rsid w:val="00D0784A"/>
    <w:rsid w:val="00D079C0"/>
    <w:rsid w:val="00D12CAF"/>
    <w:rsid w:val="00D15B49"/>
    <w:rsid w:val="00D15ECF"/>
    <w:rsid w:val="00D22390"/>
    <w:rsid w:val="00D268CD"/>
    <w:rsid w:val="00D31EF2"/>
    <w:rsid w:val="00D37B1D"/>
    <w:rsid w:val="00D43A9A"/>
    <w:rsid w:val="00D73D97"/>
    <w:rsid w:val="00D77856"/>
    <w:rsid w:val="00D77D29"/>
    <w:rsid w:val="00D81879"/>
    <w:rsid w:val="00DA4B44"/>
    <w:rsid w:val="00DB392C"/>
    <w:rsid w:val="00DC17CE"/>
    <w:rsid w:val="00DC4166"/>
    <w:rsid w:val="00DD15F3"/>
    <w:rsid w:val="00DD3560"/>
    <w:rsid w:val="00DD5F8E"/>
    <w:rsid w:val="00DD7FB7"/>
    <w:rsid w:val="00DF5200"/>
    <w:rsid w:val="00E03C21"/>
    <w:rsid w:val="00E05670"/>
    <w:rsid w:val="00E060C9"/>
    <w:rsid w:val="00E10E6F"/>
    <w:rsid w:val="00E17B85"/>
    <w:rsid w:val="00E265EE"/>
    <w:rsid w:val="00E27C31"/>
    <w:rsid w:val="00E3458A"/>
    <w:rsid w:val="00E36EEC"/>
    <w:rsid w:val="00E374D2"/>
    <w:rsid w:val="00E46686"/>
    <w:rsid w:val="00E6234C"/>
    <w:rsid w:val="00E663CC"/>
    <w:rsid w:val="00E66E88"/>
    <w:rsid w:val="00E74EF4"/>
    <w:rsid w:val="00E91841"/>
    <w:rsid w:val="00EA2966"/>
    <w:rsid w:val="00EC554E"/>
    <w:rsid w:val="00ED0C06"/>
    <w:rsid w:val="00EE1595"/>
    <w:rsid w:val="00EE19A5"/>
    <w:rsid w:val="00EE5220"/>
    <w:rsid w:val="00EE73DD"/>
    <w:rsid w:val="00F106EA"/>
    <w:rsid w:val="00F1456A"/>
    <w:rsid w:val="00F152EC"/>
    <w:rsid w:val="00F24ACF"/>
    <w:rsid w:val="00F251FE"/>
    <w:rsid w:val="00F262A1"/>
    <w:rsid w:val="00F32026"/>
    <w:rsid w:val="00F34179"/>
    <w:rsid w:val="00F36FFC"/>
    <w:rsid w:val="00F42345"/>
    <w:rsid w:val="00F516FE"/>
    <w:rsid w:val="00F605A9"/>
    <w:rsid w:val="00F71EE6"/>
    <w:rsid w:val="00F73767"/>
    <w:rsid w:val="00F73FD6"/>
    <w:rsid w:val="00F750B9"/>
    <w:rsid w:val="00F8353A"/>
    <w:rsid w:val="00F900E4"/>
    <w:rsid w:val="00F91B14"/>
    <w:rsid w:val="00FA5A9B"/>
    <w:rsid w:val="00FB4468"/>
    <w:rsid w:val="00FC6F87"/>
    <w:rsid w:val="00FD28DF"/>
    <w:rsid w:val="00FD58F7"/>
    <w:rsid w:val="00FD65F4"/>
    <w:rsid w:val="00FD748B"/>
    <w:rsid w:val="00FE54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A96A1-9F18-4EFB-A1CF-979B6D5F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15" w:type="dxa"/>
        <w:bottom w:w="0" w:type="dxa"/>
        <w:right w:w="115"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7"/>
    <w:tblPr>
      <w:tblStyleRowBandSize w:val="1"/>
      <w:tblStyleColBandSize w:val="1"/>
      <w:tblCellMar>
        <w:top w:w="0" w:type="dxa"/>
        <w:left w:w="108" w:type="dxa"/>
        <w:bottom w:w="0" w:type="dxa"/>
        <w:right w:w="108" w:type="dxa"/>
      </w:tblCellMar>
    </w:tbl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5"/>
    <w:tblPr>
      <w:tblStyleRowBandSize w:val="1"/>
      <w:tblStyleColBandSize w:val="1"/>
      <w:tblCellMar>
        <w:top w:w="0" w:type="dxa"/>
        <w:left w:w="115" w:type="dxa"/>
        <w:bottom w:w="0" w:type="dxa"/>
        <w:right w:w="115" w:type="dxa"/>
      </w:tblCellMar>
    </w:tblPr>
  </w:style>
  <w:style w:type="table" w:customStyle="1" w:styleId="ac">
    <w:basedOn w:val="TableNormal5"/>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4"/>
    <w:tblPr>
      <w:tblStyleRowBandSize w:val="1"/>
      <w:tblStyleColBandSize w:val="1"/>
      <w:tblCellMar>
        <w:top w:w="0" w:type="dxa"/>
        <w:left w:w="115" w:type="dxa"/>
        <w:bottom w:w="0" w:type="dxa"/>
        <w:right w:w="115" w:type="dxa"/>
      </w:tblCellMar>
    </w:tblPr>
  </w:style>
  <w:style w:type="table" w:customStyle="1" w:styleId="ae">
    <w:basedOn w:val="TableNormal4"/>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rPr>
      <w:rFonts w:ascii="Calibri" w:eastAsia="Calibri" w:hAnsi="Calibri" w:cs="Calibri"/>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2"/>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a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2"/>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15" w:type="dxa"/>
        <w:bottom w:w="0" w:type="dxa"/>
        <w:right w:w="115" w:type="dxa"/>
      </w:tblCellMar>
    </w:tblPr>
  </w:style>
  <w:style w:type="table" w:customStyle="1" w:styleId="afe">
    <w:basedOn w:val="TableNormal2"/>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c">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paragraph" w:customStyle="1" w:styleId="Default">
    <w:name w:val="Default"/>
    <w:rsid w:val="00237D2A"/>
    <w:pPr>
      <w:autoSpaceDE w:val="0"/>
      <w:autoSpaceDN w:val="0"/>
      <w:adjustRightInd w:val="0"/>
    </w:pPr>
    <w:rPr>
      <w:color w:val="000000"/>
    </w:rPr>
  </w:style>
  <w:style w:type="paragraph" w:styleId="Listaconvietas3">
    <w:name w:val="List Bullet 3"/>
    <w:basedOn w:val="Normal"/>
    <w:uiPriority w:val="99"/>
    <w:unhideWhenUsed/>
    <w:rsid w:val="00601CF7"/>
    <w:pPr>
      <w:numPr>
        <w:numId w:val="3"/>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193735">
      <w:bodyDiv w:val="1"/>
      <w:marLeft w:val="0"/>
      <w:marRight w:val="0"/>
      <w:marTop w:val="0"/>
      <w:marBottom w:val="0"/>
      <w:divBdr>
        <w:top w:val="none" w:sz="0" w:space="0" w:color="auto"/>
        <w:left w:val="none" w:sz="0" w:space="0" w:color="auto"/>
        <w:bottom w:val="none" w:sz="0" w:space="0" w:color="auto"/>
        <w:right w:val="none" w:sz="0" w:space="0" w:color="auto"/>
      </w:divBdr>
    </w:div>
    <w:div w:id="76403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HM3cbKW1BUXbmkgo7PECt6JPg==">CgMxLjAyCWguMzBqMHpsbDIIaC5namRneHMyCWguMmV0OTJwMDIJaC4xZm9iOXRlMgloLjNyZGNyam4yCGgudHlqY3d0OAByITFxREZQckc5dGxUZG5WcGtyUGhoQU9tWE1vTlA1VVF5OA==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62B096-50C1-4390-9DC1-FF433279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5560</Words>
  <Characters>30582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2023-10-27T19:32:00Z</cp:lastPrinted>
  <dcterms:created xsi:type="dcterms:W3CDTF">2023-11-08T17:30:00Z</dcterms:created>
  <dcterms:modified xsi:type="dcterms:W3CDTF">2023-11-08T17:30:00Z</dcterms:modified>
</cp:coreProperties>
</file>