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veintiocho de junio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00119/INFOEM/IP/RR/2023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 XXXXXXX XXXXXXXXX XXXX, </w:t>
      </w:r>
      <w:r w:rsidDel="00000000" w:rsidR="00000000" w:rsidRPr="00000000">
        <w:rPr>
          <w:rFonts w:ascii="Palatino Linotype" w:cs="Palatino Linotype" w:eastAsia="Palatino Linotype" w:hAnsi="Palatino Linotype"/>
          <w:rtl w:val="0"/>
        </w:rPr>
        <w:t xml:space="preserve">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como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Atizapán de Zaragoza,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seis de diciembre de dos mil veintidós,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solicitud de acceso a la información pública registrada con el número </w:t>
      </w:r>
      <w:r w:rsidDel="00000000" w:rsidR="00000000" w:rsidRPr="00000000">
        <w:rPr>
          <w:rFonts w:ascii="Palatino Linotype" w:cs="Palatino Linotype" w:eastAsia="Palatino Linotype" w:hAnsi="Palatino Linotype"/>
          <w:b w:val="1"/>
          <w:rtl w:val="0"/>
        </w:rPr>
        <w:t xml:space="preserve">00695/ATIZARA/IP/2022,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line="276" w:lineRule="auto"/>
        <w:ind w:left="851" w:right="900"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“Realice una solicitud de información con folio 00686/ATIZARA/IP/2022, y recibí un requerimiento para aclarar, complementar, corregir datos de la solicitud, siendo esta la siguiente: Referente a "...</w:t>
      </w:r>
      <w:r w:rsidDel="00000000" w:rsidR="00000000" w:rsidRPr="00000000">
        <w:rPr>
          <w:rFonts w:ascii="Palatino Linotype" w:cs="Palatino Linotype" w:eastAsia="Palatino Linotype" w:hAnsi="Palatino Linotype"/>
          <w:b w:val="1"/>
          <w:i w:val="1"/>
          <w:sz w:val="22"/>
          <w:szCs w:val="22"/>
          <w:u w:val="single"/>
          <w:rtl w:val="0"/>
        </w:rPr>
        <w:t xml:space="preserve">Cuál es el tiempo máximo de respuesta a una solicitud realizada a través de la aplicación "Atizapán te escucha"</w:t>
      </w:r>
      <w:r w:rsidDel="00000000" w:rsidR="00000000" w:rsidRPr="00000000">
        <w:rPr>
          <w:rFonts w:ascii="Palatino Linotype" w:cs="Palatino Linotype" w:eastAsia="Palatino Linotype" w:hAnsi="Palatino Linotype"/>
          <w:i w:val="1"/>
          <w:sz w:val="22"/>
          <w:szCs w:val="22"/>
          <w:rtl w:val="0"/>
        </w:rPr>
        <w:t xml:space="preserve">, la cuál fue turnada a la contraloría municipal..."(sic). Con fundamento en el artículo 159 de la Ley de Transparencia y Acceso a la Información Pública del Estado de México y Municipios y para estar en posibilidad de dar atención a su petición, le solicitamos nos aclare el número de solicitud con la que fue ingresado dicho reporte. </w:t>
      </w:r>
      <w:r w:rsidDel="00000000" w:rsidR="00000000" w:rsidRPr="00000000">
        <w:rPr>
          <w:rFonts w:ascii="Palatino Linotype" w:cs="Palatino Linotype" w:eastAsia="Palatino Linotype" w:hAnsi="Palatino Linotype"/>
          <w:b w:val="1"/>
          <w:i w:val="1"/>
          <w:sz w:val="22"/>
          <w:szCs w:val="22"/>
          <w:rtl w:val="0"/>
        </w:rPr>
        <w:t xml:space="preserve">El folio es el 29523, mismo que les fue turnado el día 11 de Octubre del 2022 Cabe aclarar que envío la información a través de una solicitud nueva, ya que el campo que corresponde a “Captura Aclaración” no se encuentra habilitado”</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06">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276" w:lineRule="auto"/>
        <w:ind w:left="851"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08">
      <w:pPr>
        <w:spacing w:line="276" w:lineRule="auto"/>
        <w:ind w:left="851"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“Screenshot_2022-12-06-18-30-44-543_com.android.chrome.jpg”: </w:t>
      </w:r>
      <w:r w:rsidDel="00000000" w:rsidR="00000000" w:rsidRPr="00000000">
        <w:rPr>
          <w:rFonts w:ascii="Palatino Linotype" w:cs="Palatino Linotype" w:eastAsia="Palatino Linotype" w:hAnsi="Palatino Linotype"/>
          <w:sz w:val="22"/>
          <w:szCs w:val="22"/>
          <w:rtl w:val="0"/>
        </w:rPr>
        <w:t xml:space="preserve">Captura de pantalla de correo electrónico, mediante la cual la parte solicitante acredita que presentó una denuncia en la aplicación móvil denominada “Atizapán te escucha”</w:t>
      </w:r>
    </w:p>
    <w:p w:rsidR="00000000" w:rsidDel="00000000" w:rsidP="00000000" w:rsidRDefault="00000000" w:rsidRPr="00000000" w14:paraId="0000000A">
      <w:pPr>
        <w:spacing w:line="276" w:lineRule="auto"/>
        <w:ind w:left="851" w:right="900"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074808" cy="4835255"/>
            <wp:effectExtent b="0" l="0" r="0" t="0"/>
            <wp:docPr id="4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74808" cy="48352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“IMG-20221011-WA0070.jpg”, “IMG-20221011-WA0077.jpg” y “IMG-20221011-WA0072.jpg”:</w:t>
      </w:r>
      <w:r w:rsidDel="00000000" w:rsidR="00000000" w:rsidRPr="00000000">
        <w:rPr>
          <w:rFonts w:ascii="Palatino Linotype" w:cs="Palatino Linotype" w:eastAsia="Palatino Linotype" w:hAnsi="Palatino Linotype"/>
          <w:sz w:val="22"/>
          <w:szCs w:val="22"/>
          <w:rtl w:val="0"/>
        </w:rPr>
        <w:t xml:space="preserve"> corresponden a fotografías.</w:t>
      </w:r>
    </w:p>
    <w:p w:rsidR="00000000" w:rsidDel="00000000" w:rsidP="00000000" w:rsidRDefault="00000000" w:rsidRPr="00000000" w14:paraId="0000000C">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412265" cy="5263417"/>
            <wp:effectExtent b="0" l="0" r="0" t="0"/>
            <wp:docPr id="4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412265" cy="526341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172532" cy="4991797"/>
            <wp:effectExtent b="0" l="0" r="0" t="0"/>
            <wp:docPr id="4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172532" cy="499179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609527" cy="2523296"/>
            <wp:effectExtent b="0" l="0" r="0" t="0"/>
            <wp:docPr id="4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09527" cy="252329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w:t>
      </w:r>
      <w:r w:rsidDel="00000000" w:rsidR="00000000" w:rsidRPr="00000000">
        <w:rPr>
          <w:rFonts w:ascii="Palatino Linotype" w:cs="Palatino Linotype" w:eastAsia="Palatino Linotype" w:hAnsi="Palatino Linotype"/>
          <w:rtl w:val="0"/>
        </w:rPr>
        <w:t xml:space="preserve"> De las constancias que obran en el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respuesta a la solicitud de acceso a la información, el </w:t>
      </w:r>
      <w:r w:rsidDel="00000000" w:rsidR="00000000" w:rsidRPr="00000000">
        <w:rPr>
          <w:rFonts w:ascii="Palatino Linotype" w:cs="Palatino Linotype" w:eastAsia="Palatino Linotype" w:hAnsi="Palatino Linotype"/>
          <w:b w:val="1"/>
          <w:rtl w:val="0"/>
        </w:rPr>
        <w:t xml:space="preserve">veintiuno de diciembre de dos mil veintidós</w:t>
      </w:r>
      <w:r w:rsidDel="00000000" w:rsidR="00000000" w:rsidRPr="00000000">
        <w:rPr>
          <w:rFonts w:ascii="Palatino Linotype" w:cs="Palatino Linotype" w:eastAsia="Palatino Linotype" w:hAnsi="Palatino Linotype"/>
          <w:rtl w:val="0"/>
        </w:rPr>
        <w:t xml:space="preserve">, medularmente en los siguientes términos:</w:t>
      </w:r>
    </w:p>
    <w:p w:rsidR="00000000" w:rsidDel="00000000" w:rsidP="00000000" w:rsidRDefault="00000000" w:rsidRPr="00000000" w14:paraId="0000001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atendió la petición y se proporcionó la respuesta a la solicitud.</w:t>
      </w:r>
    </w:p>
    <w:p w:rsidR="00000000" w:rsidDel="00000000" w:rsidP="00000000" w:rsidRDefault="00000000" w:rsidRPr="00000000" w14:paraId="0000001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7">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SERGIO PEREZ SUAREZ” (Sic)</w:t>
      </w:r>
    </w:p>
    <w:p w:rsidR="00000000" w:rsidDel="00000000" w:rsidP="00000000" w:rsidRDefault="00000000" w:rsidRPr="00000000" w14:paraId="00000018">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19">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“211222doc..pdf”: </w:t>
      </w:r>
      <w:r w:rsidDel="00000000" w:rsidR="00000000" w:rsidRPr="00000000">
        <w:rPr>
          <w:rFonts w:ascii="Palatino Linotype" w:cs="Palatino Linotype" w:eastAsia="Palatino Linotype" w:hAnsi="Palatino Linotype"/>
          <w:rtl w:val="0"/>
        </w:rPr>
        <w:t xml:space="preserve">Documento de dos fojas en el que se aprecia  el pronunciamiento del Contralor Municipal y la Subdirectora Investigadora adscrita a la Contraloría Municipal, quienes medularmente manifiestan lo siguiente: </w:t>
      </w:r>
    </w:p>
    <w:p w:rsidR="00000000" w:rsidDel="00000000" w:rsidP="00000000" w:rsidRDefault="00000000" w:rsidRPr="00000000" w14:paraId="0000001A">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al primer planteamiento, hace del conocimiento de la parte solicitante que el tiempo para dar respuesta a las solicitudes ingresadas mediante la aplicación “Atizapán te escucha” por parte de la Contraloría Municipal </w:t>
      </w:r>
      <w:r w:rsidDel="00000000" w:rsidR="00000000" w:rsidRPr="00000000">
        <w:rPr>
          <w:rFonts w:ascii="Palatino Linotype" w:cs="Palatino Linotype" w:eastAsia="Palatino Linotype" w:hAnsi="Palatino Linotype"/>
          <w:b w:val="1"/>
          <w:u w:val="single"/>
          <w:rtl w:val="0"/>
        </w:rPr>
        <w:t xml:space="preserve">es de 15 días hábiles</w:t>
      </w:r>
      <w:r w:rsidDel="00000000" w:rsidR="00000000" w:rsidRPr="00000000">
        <w:rPr>
          <w:rFonts w:ascii="Palatino Linotype" w:cs="Palatino Linotype" w:eastAsia="Palatino Linotype" w:hAnsi="Palatino Linotype"/>
          <w:rtl w:val="0"/>
        </w:rPr>
        <w:t xml:space="preserve">, en cuanto al folio que se menciona este fue atendido en tiempo y forma por este órgano interno de control. </w:t>
      </w:r>
    </w:p>
    <w:p w:rsidR="00000000" w:rsidDel="00000000" w:rsidP="00000000" w:rsidRDefault="00000000" w:rsidRPr="00000000" w14:paraId="0000001B">
      <w:pPr>
        <w:spacing w:after="240" w:before="240" w:line="276" w:lineRule="auto"/>
        <w:ind w:left="567" w:right="90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717880" cy="4539658"/>
            <wp:effectExtent b="0" l="0" r="0" t="0"/>
            <wp:docPr id="4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717880" cy="453965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nueve de enero de dos mil veintitrés, 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inconforme con la respuesta, presentó el recurso de revisión en el que manifestó lo siguiente:</w:t>
      </w:r>
    </w:p>
    <w:p w:rsidR="00000000" w:rsidDel="00000000" w:rsidP="00000000" w:rsidRDefault="00000000" w:rsidRPr="00000000" w14:paraId="0000001D">
      <w:pPr>
        <w:tabs>
          <w:tab w:val="left" w:leader="none"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1E">
      <w:pPr>
        <w:spacing w:line="360" w:lineRule="auto"/>
        <w:ind w:left="851" w:right="900" w:firstLine="0"/>
        <w:jc w:val="both"/>
        <w:rPr>
          <w:rFonts w:ascii="Palatino Linotype" w:cs="Palatino Linotype" w:eastAsia="Palatino Linotype" w:hAnsi="Palatino Linotype"/>
          <w:i w:val="1"/>
          <w:sz w:val="2"/>
          <w:szCs w:val="2"/>
        </w:rPr>
      </w:pPr>
      <w:r w:rsidDel="00000000" w:rsidR="00000000" w:rsidRPr="00000000">
        <w:rPr>
          <w:rtl w:val="0"/>
        </w:rPr>
      </w:r>
    </w:p>
    <w:p w:rsidR="00000000" w:rsidDel="00000000" w:rsidP="00000000" w:rsidRDefault="00000000" w:rsidRPr="00000000" w14:paraId="0000001F">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“Solicité se </w:t>
      </w:r>
      <w:r w:rsidDel="00000000" w:rsidR="00000000" w:rsidRPr="00000000">
        <w:rPr>
          <w:rFonts w:ascii="Palatino Linotype" w:cs="Palatino Linotype" w:eastAsia="Palatino Linotype" w:hAnsi="Palatino Linotype"/>
          <w:b w:val="1"/>
          <w:i w:val="1"/>
          <w:sz w:val="22"/>
          <w:szCs w:val="22"/>
          <w:rtl w:val="0"/>
        </w:rPr>
        <w:t xml:space="preserve">me informara</w:t>
      </w:r>
      <w:r w:rsidDel="00000000" w:rsidR="00000000" w:rsidRPr="00000000">
        <w:rPr>
          <w:rFonts w:ascii="Palatino Linotype" w:cs="Palatino Linotype" w:eastAsia="Palatino Linotype" w:hAnsi="Palatino Linotype"/>
          <w:i w:val="1"/>
          <w:sz w:val="22"/>
          <w:szCs w:val="22"/>
          <w:rtl w:val="0"/>
        </w:rPr>
        <w:t xml:space="preserve"> respecto a </w:t>
      </w:r>
      <w:r w:rsidDel="00000000" w:rsidR="00000000" w:rsidRPr="00000000">
        <w:rPr>
          <w:rFonts w:ascii="Palatino Linotype" w:cs="Palatino Linotype" w:eastAsia="Palatino Linotype" w:hAnsi="Palatino Linotype"/>
          <w:b w:val="1"/>
          <w:i w:val="1"/>
          <w:sz w:val="22"/>
          <w:szCs w:val="22"/>
          <w:u w:val="single"/>
          <w:rtl w:val="0"/>
        </w:rPr>
        <w:t xml:space="preserve">la respuesta del folio 29523</w:t>
      </w:r>
      <w:r w:rsidDel="00000000" w:rsidR="00000000" w:rsidRPr="00000000">
        <w:rPr>
          <w:rFonts w:ascii="Palatino Linotype" w:cs="Palatino Linotype" w:eastAsia="Palatino Linotype" w:hAnsi="Palatino Linotype"/>
          <w:i w:val="1"/>
          <w:sz w:val="22"/>
          <w:szCs w:val="22"/>
          <w:rtl w:val="0"/>
        </w:rPr>
        <w:t xml:space="preserve"> correspondiente a la aplicación "Atizapán te escucha", del día 11 de Octubre del 2022, me envían como respuesta elMemorándum SI/0044/2022, signado por la Lic. Mariana Blanco Vargas, Subdirectora Investigadora de la Contraloría Municipal de Atizapán, señalando que el folio ya fue atendido en tiempo y forma y a esta fecha yo no tengo la respuesta que mencionan y el folio fue ingresado por el que suscribe” (Sic)</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5">
      <w:pPr>
        <w:spacing w:line="276" w:lineRule="auto"/>
        <w:ind w:left="851" w:right="900"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“En relación al Memorándum SI/0044/2022, signado por la Lic. Mariana Blanco Vargas, Subdirectora Investigadora de la Contraloría Municipal de Atizapán, mediante el cuál refiere que el folio 29523 correspondiente a la aplicación "Atizapán te escucha", del día 11 de Octubre del 2022 fue atendido en tiempo y forma por el Órgano de Control Interno, </w:t>
      </w:r>
      <w:r w:rsidDel="00000000" w:rsidR="00000000" w:rsidRPr="00000000">
        <w:rPr>
          <w:rFonts w:ascii="Palatino Linotype" w:cs="Palatino Linotype" w:eastAsia="Palatino Linotype" w:hAnsi="Palatino Linotype"/>
          <w:b w:val="1"/>
          <w:i w:val="1"/>
          <w:sz w:val="22"/>
          <w:szCs w:val="22"/>
          <w:u w:val="single"/>
          <w:rtl w:val="0"/>
        </w:rPr>
        <w:t xml:space="preserve">le pido me permita conocer la respuesta que brindaron al mismo, ya que a la fecha no he recibido respuesta alguna y fui yo quien gestionó el folio que nos ocupa, que me envíen por favor el acuse de respuesta ya que no se me ha notificado</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rtl w:val="0"/>
        </w:rPr>
        <w:t xml:space="preserve">doce de enero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r w:rsidDel="00000000" w:rsidR="00000000" w:rsidRPr="00000000">
        <w:rPr>
          <w:rtl w:val="0"/>
        </w:rPr>
      </w:r>
    </w:p>
    <w:p w:rsidR="00000000" w:rsidDel="00000000" w:rsidP="00000000" w:rsidRDefault="00000000" w:rsidRPr="00000000" w14:paraId="0000002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veinte de enero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informe justificado mediante los siguientes archivos electrónicos: </w:t>
      </w:r>
    </w:p>
    <w:p w:rsidR="00000000" w:rsidDel="00000000" w:rsidP="00000000" w:rsidRDefault="00000000" w:rsidRPr="00000000" w14:paraId="00000029">
      <w:pPr>
        <w:widowControl w:val="0"/>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w:t>
        <w:tab/>
        <w:t xml:space="preserve">20230120120449634.pdf”: </w:t>
      </w:r>
      <w:r w:rsidDel="00000000" w:rsidR="00000000" w:rsidRPr="00000000">
        <w:rPr>
          <w:rFonts w:ascii="Palatino Linotype" w:cs="Palatino Linotype" w:eastAsia="Palatino Linotype" w:hAnsi="Palatino Linotype"/>
          <w:rtl w:val="0"/>
        </w:rPr>
        <w:t xml:space="preserve">Documento de seis fojas en el que se visualiza el pronunciamiento de la Subdirectora Investigadora adscrita a la Contraloría Municipal, quien señala que la respuesta al folio 29523 no fue solicitada originalmente, sin embargo, adjunta unas capturas de pantalla en las que se advierte la notificación a la parte solicitante. </w:t>
      </w:r>
    </w:p>
    <w:p w:rsidR="00000000" w:rsidDel="00000000" w:rsidP="00000000" w:rsidRDefault="00000000" w:rsidRPr="00000000" w14:paraId="0000002A">
      <w:pPr>
        <w:widowControl w:val="0"/>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15586" cy="6697010"/>
            <wp:effectExtent b="0" l="0" r="0" t="0"/>
            <wp:docPr id="4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915586" cy="669701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076825" cy="5848350"/>
            <wp:effectExtent b="0" l="0" r="0" t="0"/>
            <wp:docPr id="5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076825"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precisar que este documento se puso a la vista de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mediante acuerdos de fecha </w:t>
      </w:r>
      <w:r w:rsidDel="00000000" w:rsidR="00000000" w:rsidRPr="00000000">
        <w:rPr>
          <w:rFonts w:ascii="Palatino Linotype" w:cs="Palatino Linotype" w:eastAsia="Palatino Linotype" w:hAnsi="Palatino Linotype"/>
          <w:b w:val="1"/>
          <w:rtl w:val="0"/>
        </w:rPr>
        <w:t xml:space="preserve">veintiuno de junio de dos mil veintitrés</w:t>
      </w:r>
      <w:r w:rsidDel="00000000" w:rsidR="00000000" w:rsidRPr="00000000">
        <w:rPr>
          <w:rFonts w:ascii="Palatino Linotype" w:cs="Palatino Linotype" w:eastAsia="Palatino Linotype" w:hAnsi="Palatino Linotype"/>
          <w:rtl w:val="0"/>
        </w:rPr>
        <w:t xml:space="preserve">, emitido por la Comisionada Ponente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otro lado,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realizó manifestaciones, ni formuló alegatos y tampoco ofreció medios de prueba, por lo que se tiene por precluido su derecho para tal efecto.</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veintiuno de junio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Actividad Procesal del interesado. Acciones u omisiones del interesado.</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afectación generada en la situación jurídica de la persona involucrada en el proceso: Violación a sus derechos humanos.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veintisiete de junio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1">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w:t>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bookmarkStart w:colFirst="0" w:colLast="0" w:name="_heading=h.tyjcwt" w:id="2"/>
      <w:bookmarkEnd w:id="2"/>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Ley de Transparencia y Acceso a la Información Pública del Estado de México y Municipios, establece lo siguiente:</w:t>
      </w:r>
    </w:p>
    <w:p w:rsidR="00000000" w:rsidDel="00000000" w:rsidP="00000000" w:rsidRDefault="00000000" w:rsidRPr="00000000" w14:paraId="00000045">
      <w:pPr>
        <w:ind w:left="851" w:right="900"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tl w:val="0"/>
        </w:rPr>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veintiuno de diciembre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nueve de enero de dos mil veintitrés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primer día hábil</w:t>
      </w:r>
      <w:r w:rsidDel="00000000" w:rsidR="00000000" w:rsidRPr="00000000">
        <w:rPr>
          <w:rFonts w:ascii="Palatino Linotype" w:cs="Palatino Linotype" w:eastAsia="Palatino Linotype" w:hAnsi="Palatino Linotype"/>
          <w:rtl w:val="0"/>
        </w:rPr>
        <w:t xml:space="preserve"> en que tuvo conocimiento de la respuesta impugnada.</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4C">
      <w:pPr>
        <w:spacing w:after="0" w:before="240" w:line="360" w:lineRule="auto"/>
        <w:ind w:right="6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Tercero. Análisis de las causales de improcedencia y sobreseimiento</w:t>
      </w:r>
      <w:r w:rsidDel="00000000" w:rsidR="00000000" w:rsidRPr="00000000">
        <w:rPr>
          <w:rFonts w:ascii="Palatino Linotype" w:cs="Palatino Linotype" w:eastAsia="Palatino Linotype" w:hAnsi="Palatino Linotype"/>
          <w:rtl w:val="0"/>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4D">
      <w:pPr>
        <w:spacing w:after="0" w:before="0" w:line="360" w:lineRule="auto"/>
        <w:ind w:right="6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before="0" w:line="360" w:lineRule="auto"/>
        <w:ind w:right="6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rsidR="00000000" w:rsidDel="00000000" w:rsidP="00000000" w:rsidRDefault="00000000" w:rsidRPr="00000000" w14:paraId="0000004F">
      <w:pPr>
        <w:spacing w:after="0" w:before="0" w:line="360" w:lineRule="auto"/>
        <w:ind w:right="6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before="0" w:line="360" w:lineRule="auto"/>
        <w:ind w:right="6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51">
      <w:pPr>
        <w:spacing w:after="0" w:before="0" w:line="360" w:lineRule="auto"/>
        <w:ind w:right="6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240" w:before="0" w:line="360" w:lineRule="auto"/>
        <w:ind w:right="6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y para una mayor comprensión de las constancias que integran el expediente se elabora el siguiente cuadro comparativo:</w:t>
      </w:r>
    </w:p>
    <w:tbl>
      <w:tblPr>
        <w:tblStyle w:val="Table1"/>
        <w:tblW w:w="882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307"/>
        <w:gridCol w:w="1650"/>
        <w:gridCol w:w="1690"/>
        <w:gridCol w:w="1531"/>
        <w:gridCol w:w="1650"/>
        <w:tblGridChange w:id="0">
          <w:tblGrid>
            <w:gridCol w:w="2307"/>
            <w:gridCol w:w="1650"/>
            <w:gridCol w:w="1690"/>
            <w:gridCol w:w="1531"/>
            <w:gridCol w:w="1650"/>
          </w:tblGrid>
        </w:tblGridChange>
      </w:tblGrid>
      <w:tr>
        <w:trPr>
          <w:cantSplit w:val="0"/>
          <w:tblHeader w:val="0"/>
        </w:trPr>
        <w:tc>
          <w:tcPr>
            <w:shd w:fill="ffc000" w:val="clear"/>
          </w:tcPr>
          <w:p w:rsidR="00000000" w:rsidDel="00000000" w:rsidP="00000000" w:rsidRDefault="00000000" w:rsidRPr="00000000" w14:paraId="00000053">
            <w:pPr>
              <w:spacing w:after="240" w:before="240" w:line="276" w:lineRule="auto"/>
              <w:ind w:right="62"/>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Solicitud</w:t>
            </w:r>
          </w:p>
        </w:tc>
        <w:tc>
          <w:tcPr>
            <w:shd w:fill="ffc000" w:val="clear"/>
          </w:tcPr>
          <w:p w:rsidR="00000000" w:rsidDel="00000000" w:rsidP="00000000" w:rsidRDefault="00000000" w:rsidRPr="00000000" w14:paraId="00000054">
            <w:pPr>
              <w:spacing w:after="240" w:before="240" w:line="276" w:lineRule="auto"/>
              <w:ind w:right="62"/>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Respuesta</w:t>
            </w:r>
          </w:p>
        </w:tc>
        <w:tc>
          <w:tcPr>
            <w:shd w:fill="ffc000" w:val="clear"/>
          </w:tcPr>
          <w:p w:rsidR="00000000" w:rsidDel="00000000" w:rsidP="00000000" w:rsidRDefault="00000000" w:rsidRPr="00000000" w14:paraId="00000055">
            <w:pPr>
              <w:spacing w:after="240" w:before="240" w:line="276" w:lineRule="auto"/>
              <w:ind w:right="62"/>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p>
        </w:tc>
        <w:tc>
          <w:tcPr>
            <w:shd w:fill="ffc000" w:val="clear"/>
          </w:tcPr>
          <w:p w:rsidR="00000000" w:rsidDel="00000000" w:rsidP="00000000" w:rsidRDefault="00000000" w:rsidRPr="00000000" w14:paraId="00000056">
            <w:pPr>
              <w:spacing w:after="240" w:before="240" w:line="276" w:lineRule="auto"/>
              <w:ind w:right="62"/>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Informe Justificado</w:t>
            </w:r>
          </w:p>
        </w:tc>
        <w:tc>
          <w:tcPr>
            <w:shd w:fill="ffc000" w:val="clear"/>
          </w:tcPr>
          <w:p w:rsidR="00000000" w:rsidDel="00000000" w:rsidP="00000000" w:rsidRDefault="00000000" w:rsidRPr="00000000" w14:paraId="00000057">
            <w:pPr>
              <w:spacing w:after="240" w:before="240" w:line="276" w:lineRule="auto"/>
              <w:ind w:right="62"/>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Conclusión</w:t>
            </w:r>
          </w:p>
        </w:tc>
      </w:tr>
      <w:tr>
        <w:trPr>
          <w:cantSplit w:val="0"/>
          <w:tblHeader w:val="0"/>
        </w:trPr>
        <w:tc>
          <w:tcPr/>
          <w:p w:rsidR="00000000" w:rsidDel="00000000" w:rsidP="00000000" w:rsidRDefault="00000000" w:rsidRPr="00000000" w14:paraId="00000058">
            <w:pPr>
              <w:spacing w:after="240" w:before="240" w:line="276"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Realice una solicitud de información con folio 00686/ATIZARA/IP/2022, y recibí un requerimiento para aclarar, complementar, corregir datos de la solicitud, siendo esta la siguiente: Referente a "...</w:t>
            </w:r>
            <w:r w:rsidDel="00000000" w:rsidR="00000000" w:rsidRPr="00000000">
              <w:rPr>
                <w:rFonts w:ascii="Palatino Linotype" w:cs="Palatino Linotype" w:eastAsia="Palatino Linotype" w:hAnsi="Palatino Linotype"/>
                <w:b w:val="1"/>
                <w:sz w:val="18"/>
                <w:szCs w:val="18"/>
                <w:u w:val="single"/>
                <w:rtl w:val="0"/>
              </w:rPr>
              <w:t xml:space="preserve">Cuál es el tiempo máximo de respuesta a una solicitud realizada a través de la aplicación "Atizapán te escucha", la cuál fue turnada a la contraloría municipal</w:t>
            </w:r>
            <w:r w:rsidDel="00000000" w:rsidR="00000000" w:rsidRPr="00000000">
              <w:rPr>
                <w:rFonts w:ascii="Palatino Linotype" w:cs="Palatino Linotype" w:eastAsia="Palatino Linotype" w:hAnsi="Palatino Linotype"/>
                <w:sz w:val="18"/>
                <w:szCs w:val="18"/>
                <w:rtl w:val="0"/>
              </w:rPr>
              <w:t xml:space="preserve">..."(sic). Con fundamento en el artículo 159 de la Ley de Transparencia y Acceso a la Información Pública del Estado de México y Municipios y para estar en posibilidad de dar atención a su petición, le solicitamos nos aclare el número de solicitud con la que fue ingresado dicho reporte. El folio es el 29523, mismo que les fue turnado el día 11 de Octubre del 2022 Cabe aclarar que envío la información a través de una solicitud nueva, ya que el campo que corresponde a “Captura Aclaración” no se encuentra habilitado” (Sic) (Énfasis añadido)</w:t>
            </w:r>
          </w:p>
        </w:tc>
        <w:tc>
          <w:tcPr/>
          <w:p w:rsidR="00000000" w:rsidDel="00000000" w:rsidP="00000000" w:rsidRDefault="00000000" w:rsidRPr="00000000" w14:paraId="00000059">
            <w:pPr>
              <w:spacing w:after="0" w:before="240" w:line="276"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Subdirectora Investigadora adscrita a la Contraloría Municipal:</w:t>
            </w:r>
            <w:r w:rsidDel="00000000" w:rsidR="00000000" w:rsidRPr="00000000">
              <w:rPr>
                <w:rFonts w:ascii="Palatino Linotype" w:cs="Palatino Linotype" w:eastAsia="Palatino Linotype" w:hAnsi="Palatino Linotype"/>
                <w:sz w:val="18"/>
                <w:szCs w:val="18"/>
                <w:rtl w:val="0"/>
              </w:rPr>
              <w:t xml:space="preserve"> medularmente manifiesta lo siguiente: </w:t>
            </w:r>
          </w:p>
          <w:p w:rsidR="00000000" w:rsidDel="00000000" w:rsidP="00000000" w:rsidRDefault="00000000" w:rsidRPr="00000000" w14:paraId="0000005A">
            <w:pPr>
              <w:spacing w:after="240" w:before="0" w:line="276"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respuesta al primer planteamiento, hace del conocimiento de la parte solicitante que el tiempo para dar respuesta a las solicitudes ingresadas mediante la aplicación “Atizapán te escucha” por parte de la Contraloría Municipal es de 15 días hábiles, en cuanto al folio que se menciona este fue atendido en tiempo y forma por este órgano interno de control.</w:t>
            </w:r>
          </w:p>
        </w:tc>
        <w:tc>
          <w:tcPr/>
          <w:p w:rsidR="00000000" w:rsidDel="00000000" w:rsidP="00000000" w:rsidRDefault="00000000" w:rsidRPr="00000000" w14:paraId="0000005B">
            <w:pPr>
              <w:spacing w:after="240" w:before="240" w:line="276"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relación al Memorándum SI/0044/2022, signado por la Lic. Mariana Blanco Vargas, Subdirectora Investigadora de la Contraloría Municipal de Atizapán, mediante el cuál refiere que el folio 29523 correspondiente a la aplicación "Atizapán te escucha", del día 11 de Octubre del 2022 fue atendido en tiempo y forma por el Órgano de Control Interno, </w:t>
            </w:r>
            <w:r w:rsidDel="00000000" w:rsidR="00000000" w:rsidRPr="00000000">
              <w:rPr>
                <w:rFonts w:ascii="Palatino Linotype" w:cs="Palatino Linotype" w:eastAsia="Palatino Linotype" w:hAnsi="Palatino Linotype"/>
                <w:b w:val="1"/>
                <w:sz w:val="18"/>
                <w:szCs w:val="18"/>
                <w:u w:val="single"/>
                <w:rtl w:val="0"/>
              </w:rPr>
              <w:t xml:space="preserve">le pido me permita conocer la respuesta que brindaron al mismo, ya que a la fecha no he recibido respuesta alguna</w:t>
            </w:r>
            <w:r w:rsidDel="00000000" w:rsidR="00000000" w:rsidRPr="00000000">
              <w:rPr>
                <w:rFonts w:ascii="Palatino Linotype" w:cs="Palatino Linotype" w:eastAsia="Palatino Linotype" w:hAnsi="Palatino Linotype"/>
                <w:sz w:val="18"/>
                <w:szCs w:val="18"/>
                <w:rtl w:val="0"/>
              </w:rPr>
              <w:t xml:space="preserve"> y fui yo quien gestionó el folio que nos ocupa, que me envíen por favor el acuse de respuesta ya que no se me ha notificado” (Sic) (Énfasis añadido)</w:t>
            </w:r>
          </w:p>
        </w:tc>
        <w:tc>
          <w:tcPr/>
          <w:p w:rsidR="00000000" w:rsidDel="00000000" w:rsidP="00000000" w:rsidRDefault="00000000" w:rsidRPr="00000000" w14:paraId="0000005C">
            <w:pPr>
              <w:spacing w:after="240" w:before="240" w:line="276"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Señala que la respuesta al folio no fue solicitada desde el inicio pero adjunta capturas de pantalla en la que se visualiza que se notificó la respuesta a dicho folio.</w:t>
            </w:r>
          </w:p>
        </w:tc>
        <w:tc>
          <w:tcPr/>
          <w:p w:rsidR="00000000" w:rsidDel="00000000" w:rsidP="00000000" w:rsidRDefault="00000000" w:rsidRPr="00000000" w14:paraId="0000005D">
            <w:pPr>
              <w:spacing w:after="0" w:before="240" w:lineRule="auto"/>
              <w:ind w:right="6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Los motivos de inconformidad van enfocados a la obtención de una respuesta a un folio que no fue solicitado de origen.</w:t>
            </w:r>
          </w:p>
          <w:p w:rsidR="00000000" w:rsidDel="00000000" w:rsidP="00000000" w:rsidRDefault="00000000" w:rsidRPr="00000000" w14:paraId="0000005E">
            <w:pPr>
              <w:spacing w:after="240" w:before="0" w:line="276" w:lineRule="auto"/>
              <w:ind w:right="62"/>
              <w:jc w:val="both"/>
              <w:rPr>
                <w:rFonts w:ascii="Palatino Linotype" w:cs="Palatino Linotype" w:eastAsia="Palatino Linotype" w:hAnsi="Palatino Linotype"/>
                <w:b w:val="1"/>
                <w:sz w:val="18"/>
                <w:szCs w:val="18"/>
                <w:u w:val="single"/>
              </w:rPr>
            </w:pPr>
            <w:r w:rsidDel="00000000" w:rsidR="00000000" w:rsidRPr="00000000">
              <w:rPr>
                <w:rFonts w:ascii="Palatino Linotype" w:cs="Palatino Linotype" w:eastAsia="Palatino Linotype" w:hAnsi="Palatino Linotype"/>
                <w:b w:val="1"/>
                <w:sz w:val="18"/>
                <w:szCs w:val="18"/>
                <w:u w:val="single"/>
                <w:rtl w:val="0"/>
              </w:rPr>
              <w:t xml:space="preserve">Se considera que es una Plus Petitio.</w:t>
            </w:r>
          </w:p>
        </w:tc>
      </w:tr>
    </w:tbl>
    <w:p w:rsidR="00000000" w:rsidDel="00000000" w:rsidP="00000000" w:rsidRDefault="00000000" w:rsidRPr="00000000" w14:paraId="0000005F">
      <w:pPr>
        <w:spacing w:after="0" w:before="240" w:line="360" w:lineRule="auto"/>
        <w:ind w:right="6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imprescindible traer a colación el contenido los artículos 186, 191 y 192 de la Ley en cita, disponen lo siguiente:</w:t>
      </w:r>
    </w:p>
    <w:p w:rsidR="00000000" w:rsidDel="00000000" w:rsidP="00000000" w:rsidRDefault="00000000" w:rsidRPr="00000000" w14:paraId="00000061">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12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186. </w:t>
      </w:r>
      <w:r w:rsidDel="00000000" w:rsidR="00000000" w:rsidRPr="00000000">
        <w:rPr>
          <w:rFonts w:ascii="Palatino Linotype" w:cs="Palatino Linotype" w:eastAsia="Palatino Linotype" w:hAnsi="Palatino Linotype"/>
          <w:i w:val="1"/>
          <w:sz w:val="22"/>
          <w:szCs w:val="22"/>
          <w:rtl w:val="0"/>
        </w:rPr>
        <w:t xml:space="preserve">Las resoluciones del Instituto podrán:</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Desechar o sobreseer el recurso;</w:t>
      </w:r>
      <w:r w:rsidDel="00000000" w:rsidR="00000000" w:rsidRPr="00000000">
        <w:rPr>
          <w:rtl w:val="0"/>
        </w:rPr>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Confirmar la respuesta del sujeto obligado;</w:t>
      </w:r>
    </w:p>
    <w:p w:rsidR="00000000" w:rsidDel="00000000" w:rsidP="00000000" w:rsidRDefault="00000000" w:rsidRPr="00000000" w14:paraId="0000006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Revocar o modificar la respuesta del sujeto obligado; y</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Ordenar la entrega de la información…”</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191. </w:t>
      </w:r>
      <w:r w:rsidDel="00000000" w:rsidR="00000000" w:rsidRPr="00000000">
        <w:rPr>
          <w:rFonts w:ascii="Palatino Linotype" w:cs="Palatino Linotype" w:eastAsia="Palatino Linotype" w:hAnsi="Palatino Linotype"/>
          <w:i w:val="1"/>
          <w:sz w:val="22"/>
          <w:szCs w:val="22"/>
          <w:rtl w:val="0"/>
        </w:rPr>
        <w:t xml:space="preserve">El recurso será desechado por improcedente cuando:</w:t>
      </w:r>
    </w:p>
    <w:p w:rsidR="00000000" w:rsidDel="00000000" w:rsidP="00000000" w:rsidRDefault="00000000" w:rsidRPr="00000000" w14:paraId="00000069">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Sea extemporáneo por haber transcurrido el plazo establecido en la presente Ley, a partir de la respuesta;</w:t>
      </w:r>
    </w:p>
    <w:p w:rsidR="00000000" w:rsidDel="00000000" w:rsidP="00000000" w:rsidRDefault="00000000" w:rsidRPr="00000000" w14:paraId="0000006A">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Se esté tramitando ante el Poder Judicial de la Federación algún recurso o medio de defensa interpuesto por el recurrente;</w:t>
      </w:r>
    </w:p>
    <w:p w:rsidR="00000000" w:rsidDel="00000000" w:rsidP="00000000" w:rsidRDefault="00000000" w:rsidRPr="00000000" w14:paraId="0000006B">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No actualice alguno de los supuestos previstos en la presente Ley;</w:t>
      </w:r>
    </w:p>
    <w:p w:rsidR="00000000" w:rsidDel="00000000" w:rsidP="00000000" w:rsidRDefault="00000000" w:rsidRPr="00000000" w14:paraId="0000006C">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No se haya desahogado la prevención en los términos establecidos en la presente Ley;</w:t>
      </w:r>
    </w:p>
    <w:p w:rsidR="00000000" w:rsidDel="00000000" w:rsidP="00000000" w:rsidRDefault="00000000" w:rsidRPr="00000000" w14:paraId="0000006D">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Se impugne la veracidad de la información proporcionada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6E">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Se trate de una consulta, o trámite en específico; y</w:t>
      </w:r>
    </w:p>
    <w:p w:rsidR="00000000" w:rsidDel="00000000" w:rsidP="00000000" w:rsidRDefault="00000000" w:rsidRPr="00000000" w14:paraId="0000006F">
      <w:pPr>
        <w:tabs>
          <w:tab w:val="left" w:leader="none" w:pos="1276"/>
        </w:tabs>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El recurrente amplíe su solicitud en el recurso de revisión, únicamente respecto de los nuevos contenidos.”</w:t>
      </w:r>
    </w:p>
    <w:p w:rsidR="00000000" w:rsidDel="00000000" w:rsidP="00000000" w:rsidRDefault="00000000" w:rsidRPr="00000000" w14:paraId="0000007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El recurrente se desista expresamente del recurso;</w:t>
      </w:r>
    </w:p>
    <w:p w:rsidR="00000000" w:rsidDel="00000000" w:rsidP="00000000" w:rsidRDefault="00000000" w:rsidRPr="00000000" w14:paraId="0000007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El recurrente fallezca o, tratándose de personas jurídicas colectivas, se disuelva;</w:t>
      </w:r>
    </w:p>
    <w:p w:rsidR="00000000" w:rsidDel="00000000" w:rsidP="00000000" w:rsidRDefault="00000000" w:rsidRPr="00000000" w14:paraId="000000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El sujeto obligado responsable del acto lo modifique o revoque de tal manera que el recurso de revisión quede sin materia;</w:t>
      </w:r>
    </w:p>
    <w:p w:rsidR="00000000" w:rsidDel="00000000" w:rsidP="00000000" w:rsidRDefault="00000000" w:rsidRPr="00000000" w14:paraId="00000075">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Admitido el recurso de revisión, aparezca alguna causal de improcedencia en los términos de la presente Ley; y</w:t>
      </w:r>
    </w:p>
    <w:p w:rsidR="00000000" w:rsidDel="00000000" w:rsidP="00000000" w:rsidRDefault="00000000" w:rsidRPr="00000000" w14:paraId="00000076">
      <w:pPr>
        <w:spacing w:after="120" w:before="120" w:lineRule="auto"/>
        <w:ind w:left="1134"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Cuando por cualquier motivo quede sin materia el recurso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las fracción VII del artículo 191 de la misma Ley citado con antelación, al no existir elementos de procedencia, en virtud de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amplió su solicitud en el recurso de revisión.</w:t>
      </w: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anterior se afirma así toda vez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mediante el recurso de revisión, </w:t>
      </w:r>
      <w:r w:rsidDel="00000000" w:rsidR="00000000" w:rsidRPr="00000000">
        <w:rPr>
          <w:rFonts w:ascii="Palatino Linotype" w:cs="Palatino Linotype" w:eastAsia="Palatino Linotype" w:hAnsi="Palatino Linotype"/>
          <w:b w:val="1"/>
          <w:u w:val="single"/>
          <w:rtl w:val="0"/>
        </w:rPr>
        <w:t xml:space="preserve">solicita le sea entregada información que no formó parte de la solicitud primigenia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pues de la confronta a la solicitud de información y el acto impugnado como las razones o motivos de inconformidad aducidos, se advierte que con dicha ampliación requiere lo siguiente: </w:t>
      </w:r>
      <w:r w:rsidDel="00000000" w:rsidR="00000000" w:rsidRPr="00000000">
        <w:rPr>
          <w:rFonts w:ascii="Palatino Linotype" w:cs="Palatino Linotype" w:eastAsia="Palatino Linotype" w:hAnsi="Palatino Linotype"/>
          <w:b w:val="1"/>
          <w:rtl w:val="0"/>
        </w:rPr>
        <w:t xml:space="preserve">La respuesta que brindaron al folio referido por la parte solicitante. </w:t>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cual no fue especificado en su solicitud inicial, como se desprende del antecedente marcado con el numeral 1 de la presente resolución, por lo que constituyen en su totalidad nuevos requerimientos de información, configurándose así lo que se conoce como </w:t>
      </w:r>
      <w:r w:rsidDel="00000000" w:rsidR="00000000" w:rsidRPr="00000000">
        <w:rPr>
          <w:rFonts w:ascii="Palatino Linotype" w:cs="Palatino Linotype" w:eastAsia="Palatino Linotype" w:hAnsi="Palatino Linotype"/>
          <w:i w:val="1"/>
          <w:rtl w:val="0"/>
        </w:rPr>
        <w:t xml:space="preserve">plus petitio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amplíe su solicitud en el Recurso de Revisión, cuestión que tuvo lugar en el presente caso, pues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nuevos cuestionamientos, en los que solicitó información que no formó parte de su solicitud inicial y por lo tanto son inatendibles a través del recurso de revisión. </w:t>
      </w: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360" w:lineRule="auto"/>
        <w:jc w:val="both"/>
        <w:rPr/>
      </w:pPr>
      <w:r w:rsidDel="00000000" w:rsidR="00000000" w:rsidRPr="00000000">
        <w:rPr>
          <w:rFonts w:ascii="Palatino Linotype" w:cs="Palatino Linotype" w:eastAsia="Palatino Linotype" w:hAnsi="Palatino Linotype"/>
          <w:rtl w:val="0"/>
        </w:rPr>
        <w:t xml:space="preserve">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lo plasmado en el criterio orientador número 01/17 emitido por el Instituto Nacional de Transparencia, Acceso a la Información y Protección de Datos Personales, INAI, que lleva por rubro y texto lo que a continuación se transcribe:</w:t>
      </w:r>
    </w:p>
    <w:p w:rsidR="00000000" w:rsidDel="00000000" w:rsidP="00000000" w:rsidRDefault="00000000" w:rsidRPr="00000000" w14:paraId="0000007E">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7F">
      <w:pPr>
        <w:spacing w:after="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se dejan a salvo los derechos de la persona solicitante, para que, en caso de considerar conveniente a sus intereses, el conocer la información que fue señalada, la solicite a través de una nueva solicitud, mediante el Sistema de Acceso, Rectificación, Cancelación y Oposición de Datos Personales del Estado de México.</w:t>
      </w:r>
    </w:p>
    <w:p w:rsidR="00000000" w:rsidDel="00000000" w:rsidP="00000000" w:rsidRDefault="00000000" w:rsidRPr="00000000" w14:paraId="00000081">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24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Dentro de este orden de ideas, es evidente que no se puede invocar el precepto legal 191 de la Ley en cita ulteriormente a que ha sido admitido, determinando la actualización de un desechamiento</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porque está ya sería posterior a la etapa procedimental en la que debió desecharse.</w:t>
      </w:r>
    </w:p>
    <w:p w:rsidR="00000000" w:rsidDel="00000000" w:rsidP="00000000" w:rsidRDefault="00000000" w:rsidRPr="00000000" w14:paraId="0000008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Del="00000000" w:rsidR="00000000" w:rsidRPr="00000000">
        <w:rPr>
          <w:rFonts w:ascii="Palatino Linotype" w:cs="Palatino Linotype" w:eastAsia="Palatino Linotype" w:hAnsi="Palatino Linotype"/>
          <w:i w:val="1"/>
          <w:rtl w:val="0"/>
        </w:rPr>
        <w:t xml:space="preserve">sobreseído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Atento a los razonamientos lógico jurídicos que han quedado precisados y toda vez que el  </w:t>
      </w:r>
      <w:r w:rsidDel="00000000" w:rsidR="00000000" w:rsidRPr="00000000">
        <w:rPr>
          <w:rFonts w:ascii="Palatino Linotype" w:cs="Palatino Linotype" w:eastAsia="Palatino Linotype" w:hAnsi="Palatino Linotype"/>
          <w:i w:val="1"/>
          <w:rtl w:val="0"/>
        </w:rPr>
        <w:t xml:space="preserve">sobreseimiento </w:t>
      </w:r>
      <w:r w:rsidDel="00000000" w:rsidR="00000000" w:rsidRPr="00000000">
        <w:rPr>
          <w:rFonts w:ascii="Palatino Linotype" w:cs="Palatino Linotype" w:eastAsia="Palatino Linotype" w:hAnsi="Palatino Linotype"/>
          <w:rtl w:val="0"/>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Del="00000000" w:rsidR="00000000" w:rsidRPr="00000000">
        <w:rPr>
          <w:rFonts w:ascii="Palatino Linotype" w:cs="Palatino Linotype" w:eastAsia="Palatino Linotype" w:hAnsi="Palatino Linotype"/>
          <w:b w:val="1"/>
          <w:rtl w:val="0"/>
        </w:rPr>
        <w:t xml:space="preserve">SOBRESEIMIENTO, NO PERMITE ENTRAR AL ESTUDIO DE LAS CUESTIONES DE FONDO</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Del="00000000" w:rsidR="00000000" w:rsidRPr="00000000">
        <w:rPr>
          <w:rFonts w:ascii="Palatino Linotype" w:cs="Palatino Linotype" w:eastAsia="Palatino Linotype" w:hAnsi="Palatino Linotype"/>
          <w:rtl w:val="0"/>
        </w:rPr>
        <w:tab/>
      </w: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7936"/>
        </w:tabs>
        <w:spacing w:after="240" w:before="240" w:line="360" w:lineRule="auto"/>
        <w:jc w:val="both"/>
        <w:rPr>
          <w:rFonts w:ascii="Palatino Linotype" w:cs="Palatino Linotype" w:eastAsia="Palatino Linotype" w:hAnsi="Palatino Linotype"/>
        </w:rPr>
      </w:pPr>
      <w:bookmarkStart w:colFirst="0" w:colLast="0" w:name="_heading=h.2et92p0" w:id="3"/>
      <w:bookmarkEnd w:id="3"/>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Sobresee </w:t>
      </w:r>
      <w:r w:rsidDel="00000000" w:rsidR="00000000" w:rsidRPr="00000000">
        <w:rPr>
          <w:rFonts w:ascii="Palatino Linotype" w:cs="Palatino Linotype" w:eastAsia="Palatino Linotype" w:hAnsi="Palatino Linotype"/>
          <w:rtl w:val="0"/>
        </w:rPr>
        <w:t xml:space="preserve">el recurso de revisión número </w:t>
      </w:r>
      <w:r w:rsidDel="00000000" w:rsidR="00000000" w:rsidRPr="00000000">
        <w:rPr>
          <w:rFonts w:ascii="Palatino Linotype" w:cs="Palatino Linotype" w:eastAsia="Palatino Linotype" w:hAnsi="Palatino Linotype"/>
          <w:b w:val="1"/>
          <w:rtl w:val="0"/>
        </w:rPr>
        <w:t xml:space="preserve">00119/INFOEM/IP/RR/2023,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 Tercero</w:t>
      </w:r>
      <w:r w:rsidDel="00000000" w:rsidR="00000000" w:rsidRPr="00000000">
        <w:rPr>
          <w:rFonts w:ascii="Palatino Linotype" w:cs="Palatino Linotype" w:eastAsia="Palatino Linotype" w:hAnsi="Palatino Linotype"/>
          <w:rtl w:val="0"/>
        </w:rPr>
        <w:t xml:space="preserve"> de la presente Resolución, por improcedente, de conformidad con el artículo 192, fracción IV de la Ley de Transparencia y Acceso a la Información Pública del Estado de México y Municipios. </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vía SAIMEX</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 </w:t>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a través del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VEINTIOCHO DE JUNIO DEL DOS MIL VEINTITRÉS, ANTE EL SECRETARIO TÉCNICO DEL PLENO ALEXIS TAPIA RAMÍREZ.</w:t>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292100</wp:posOffset>
                </wp:positionV>
                <wp:extent cx="5248275" cy="5286375"/>
                <wp:effectExtent b="0" l="0" r="0" t="0"/>
                <wp:wrapNone/>
                <wp:docPr id="41" name=""/>
                <a:graphic>
                  <a:graphicData uri="http://schemas.microsoft.com/office/word/2010/wordprocessingShape">
                    <wps:wsp>
                      <wps:cNvCnPr/>
                      <wps:spPr>
                        <a:xfrm>
                          <a:off x="2726625" y="1141575"/>
                          <a:ext cx="5238750" cy="5276850"/>
                        </a:xfrm>
                        <a:prstGeom prst="straightConnector1">
                          <a:avLst/>
                        </a:prstGeom>
                        <a:noFill/>
                        <a:ln cap="flat" cmpd="sng" w="9525">
                          <a:solidFill>
                            <a:srgbClr val="F591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292100</wp:posOffset>
                </wp:positionV>
                <wp:extent cx="5248275" cy="5286375"/>
                <wp:effectExtent b="0" l="0" r="0" t="0"/>
                <wp:wrapNone/>
                <wp:docPr id="4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248275" cy="5286375"/>
                        </a:xfrm>
                        <a:prstGeom prst="rect"/>
                        <a:ln/>
                      </pic:spPr>
                    </pic:pic>
                  </a:graphicData>
                </a:graphic>
              </wp:anchor>
            </w:drawing>
          </mc:Fallback>
        </mc:AlternateContent>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8">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B">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C">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F">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5">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6">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i w:val="1"/>
          <w:color w:val="000000"/>
          <w:sz w:val="16"/>
          <w:szCs w:val="16"/>
          <w:rtl w:val="0"/>
        </w:rPr>
        <w:t xml:space="preserve">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r w:rsidDel="00000000" w:rsidR="00000000" w:rsidRPr="00000000">
        <w:rPr>
          <w:rtl w:val="0"/>
        </w:rPr>
      </w:r>
    </w:p>
  </w:footnote>
  <w:footnote w:id="1">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Cuerpo de tesis:</w:t>
      </w:r>
      <w:r w:rsidDel="00000000" w:rsidR="00000000" w:rsidRPr="00000000">
        <w:rPr>
          <w:rFonts w:ascii="Palatino Linotype" w:cs="Palatino Linotype" w:eastAsia="Palatino Linotype" w:hAnsi="Palatino Linotype"/>
          <w:color w:val="000000"/>
          <w:sz w:val="16"/>
          <w:szCs w:val="16"/>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Localización</w:t>
      </w:r>
      <w:r w:rsidDel="00000000" w:rsidR="00000000" w:rsidRPr="00000000">
        <w:rPr>
          <w:rFonts w:ascii="Palatino Linotype" w:cs="Palatino Linotype" w:eastAsia="Palatino Linotype" w:hAnsi="Palatino Linotype"/>
          <w:color w:val="000000"/>
          <w:sz w:val="16"/>
          <w:szCs w:val="16"/>
          <w:rtl w:val="0"/>
        </w:rPr>
        <w:t xml:space="preserve">: 2</w:t>
      </w:r>
      <w:r w:rsidDel="00000000" w:rsidR="00000000" w:rsidRPr="00000000">
        <w:rPr>
          <w:rFonts w:ascii="Palatino Linotype" w:cs="Palatino Linotype" w:eastAsia="Palatino Linotype" w:hAnsi="Palatino Linotype"/>
          <w:color w:val="000000"/>
          <w:sz w:val="16"/>
          <w:szCs w:val="16"/>
          <w:highlight w:val="white"/>
          <w:rtl w:val="0"/>
        </w:rPr>
        <w:t xml:space="preserve">13609. II.2o.183 K. Tribunales Colegiados de Circuito. Octava Época. Semanario Judicial de la Federación. Tomo XIII, Febrero de 1994, Pág. 420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-1042669</wp:posOffset>
          </wp:positionH>
          <wp:positionV relativeFrom="paragraph">
            <wp:posOffset>-429259</wp:posOffset>
          </wp:positionV>
          <wp:extent cx="7809865" cy="10165715"/>
          <wp:effectExtent b="0" l="0" r="0" t="0"/>
          <wp:wrapNone/>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551"/>
      <w:gridCol w:w="3402"/>
      <w:tblGridChange w:id="0">
        <w:tblGrid>
          <w:gridCol w:w="2551"/>
          <w:gridCol w:w="3402"/>
        </w:tblGrid>
      </w:tblGridChange>
    </w:tblGrid>
    <w:tr>
      <w:trPr>
        <w:cantSplit w:val="0"/>
        <w:tblHeader w:val="0"/>
      </w:trPr>
      <w:tc>
        <w:tcPr>
          <w:shd w:fill="auto" w:val="clear"/>
          <w:vAlign w:val="center"/>
        </w:tcPr>
        <w:p w:rsidR="00000000" w:rsidDel="00000000" w:rsidP="00000000" w:rsidRDefault="00000000" w:rsidRPr="00000000" w14:paraId="000000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C">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00119/INFOEM/IP/RR/2023</w:t>
          </w:r>
        </w:p>
      </w:tc>
    </w:tr>
    <w:tr>
      <w:trPr>
        <w:cantSplit w:val="0"/>
        <w:trHeight w:val="130" w:hRule="atLeast"/>
        <w:tblHeader w:val="0"/>
      </w:trPr>
      <w:tc>
        <w:tcPr>
          <w:shd w:fill="auto" w:val="clear"/>
          <w:vAlign w:val="center"/>
        </w:tcPr>
        <w:p w:rsidR="00000000" w:rsidDel="00000000" w:rsidP="00000000" w:rsidRDefault="00000000" w:rsidRPr="00000000" w14:paraId="000000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E">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 XXXXXXXXX XXXX</w:t>
          </w:r>
        </w:p>
      </w:tc>
    </w:tr>
    <w:tr>
      <w:trPr>
        <w:cantSplit w:val="0"/>
        <w:trHeight w:val="228" w:hRule="atLeast"/>
        <w:tblHeader w:val="0"/>
      </w:trPr>
      <w:tc>
        <w:tcPr>
          <w:shd w:fill="auto" w:val="clear"/>
          <w:vAlign w:val="center"/>
        </w:tcPr>
        <w:p w:rsidR="00000000" w:rsidDel="00000000" w:rsidP="00000000" w:rsidRDefault="00000000" w:rsidRPr="00000000" w14:paraId="000000B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0">
          <w:pPr>
            <w:ind w:left="-45" w:right="3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 de Zaragoza</w:t>
          </w:r>
        </w:p>
      </w:tc>
    </w:tr>
    <w:tr>
      <w:trPr>
        <w:cantSplit w:val="0"/>
        <w:tblHeader w:val="0"/>
      </w:trPr>
      <w:tc>
        <w:tcPr>
          <w:shd w:fill="auto" w:val="clear"/>
          <w:vAlign w:val="center"/>
        </w:tcPr>
        <w:p w:rsidR="00000000" w:rsidDel="00000000" w:rsidP="00000000" w:rsidRDefault="00000000" w:rsidRPr="00000000" w14:paraId="000000C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2">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-396399</wp:posOffset>
          </wp:positionV>
          <wp:extent cx="7809865" cy="10165715"/>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00119/INFOEM/IP/RR/2023</w:t>
          </w:r>
        </w:p>
      </w:tc>
    </w:tr>
    <w:tr>
      <w:trPr>
        <w:cantSplit w:val="0"/>
        <w:trHeight w:val="228" w:hRule="atLeast"/>
        <w:tblHeader w:val="0"/>
      </w:trPr>
      <w:tc>
        <w:tcPr>
          <w:shd w:fill="auto" w:val="clear"/>
          <w:vAlign w:val="center"/>
        </w:tcPr>
        <w:p w:rsidR="00000000" w:rsidDel="00000000" w:rsidP="00000000" w:rsidRDefault="00000000" w:rsidRPr="00000000" w14:paraId="000000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 de Zaragoza</w:t>
          </w:r>
        </w:p>
      </w:tc>
    </w:tr>
    <w:tr>
      <w:trPr>
        <w:cantSplit w:val="0"/>
        <w:tblHeader w:val="0"/>
      </w:trPr>
      <w:tc>
        <w:tcPr>
          <w:shd w:fill="auto" w:val="clear"/>
          <w:vAlign w:val="center"/>
        </w:tcPr>
        <w:p w:rsidR="00000000" w:rsidDel="00000000" w:rsidP="00000000" w:rsidRDefault="00000000" w:rsidRPr="00000000" w14:paraId="000000C9">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Palatino Linotype" w:cs="Palatino Linotype" w:eastAsia="Palatino Linotype" w:hAnsi="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E1C30"/>
    <w:rPr>
      <w:lang w:eastAsia="zh-CN"/>
    </w:rPr>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lang w:eastAsia="es-ES" w:val="es-ES"/>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lang w:eastAsia="es-ES" w:val="es-ES"/>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hAnsiTheme="minorHAnsi"/>
      <w:lang w:eastAsia="es-ES"/>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hAnsiTheme="minorHAnsi"/>
      <w:lang w:eastAsia="es-ES"/>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rPr>
      <w:lang w:eastAsia="es-ES" w:val="es-ES"/>
    </w:r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rPr>
      <w:lang w:eastAsia="es-ES" w:val="es-ES"/>
    </w:r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eastAsia="es-ES" w:val="es-MX"/>
    </w:rPr>
  </w:style>
  <w:style w:type="paragraph" w:styleId="NormalWeb">
    <w:name w:val="Normal (Web)"/>
    <w:basedOn w:val="Normal"/>
    <w:uiPriority w:val="99"/>
    <w:rsid w:val="000470FE"/>
    <w:pPr>
      <w:spacing w:after="100" w:afterAutospacing="1" w:before="100" w:beforeAutospacing="1"/>
    </w:pPr>
    <w:rPr>
      <w:lang w:eastAsia="es-ES" w:val="es-ES"/>
    </w:r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rPr>
      <w:lang w:eastAsia="es-ES" w:val="es-ES"/>
    </w:r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lang w:eastAsia="es-ES" w:val="es-ES"/>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eastAsia="es-MX"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eastAsia="es-MX"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eastAsia="es-MX"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eastAsia="es-ES"/>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eastAsia="es-MX"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eastAsia="es-MX" w:val="es-MX"/>
    </w:rPr>
  </w:style>
  <w:style w:type="paragraph" w:styleId="m" w:customStyle="1">
    <w:name w:val="m"/>
    <w:basedOn w:val="Normal"/>
    <w:rsid w:val="007B00BD"/>
    <w:pPr>
      <w:spacing w:after="100" w:afterAutospacing="1" w:before="100" w:beforeAutospacing="1"/>
    </w:pPr>
    <w:rPr>
      <w:lang w:eastAsia="es-MX"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rPr>
      <w:lang w:eastAsia="es-ES" w:val="es-ES"/>
    </w:rPr>
  </w:style>
  <w:style w:type="paragraph" w:styleId="Lista2">
    <w:name w:val="List 2"/>
    <w:basedOn w:val="Normal"/>
    <w:uiPriority w:val="99"/>
    <w:unhideWhenUsed w:val="1"/>
    <w:rsid w:val="00603D72"/>
    <w:pPr>
      <w:ind w:left="566" w:hanging="283"/>
      <w:contextualSpacing w:val="1"/>
    </w:pPr>
    <w:rPr>
      <w:lang w:eastAsia="es-ES" w:val="es-ES"/>
    </w:rPr>
  </w:style>
  <w:style w:type="paragraph" w:styleId="Lista3">
    <w:name w:val="List 3"/>
    <w:basedOn w:val="Normal"/>
    <w:uiPriority w:val="99"/>
    <w:unhideWhenUsed w:val="1"/>
    <w:rsid w:val="00603D72"/>
    <w:pPr>
      <w:ind w:left="849" w:hanging="283"/>
      <w:contextualSpacing w:val="1"/>
    </w:pPr>
    <w:rPr>
      <w:lang w:eastAsia="es-ES" w:val="es-ES"/>
    </w:rPr>
  </w:style>
  <w:style w:type="paragraph" w:styleId="Listaconvietas3">
    <w:name w:val="List Bullet 3"/>
    <w:basedOn w:val="Normal"/>
    <w:uiPriority w:val="99"/>
    <w:unhideWhenUsed w:val="1"/>
    <w:rsid w:val="00603D72"/>
    <w:pPr>
      <w:numPr>
        <w:numId w:val="2"/>
      </w:numPr>
      <w:contextualSpacing w:val="1"/>
    </w:pPr>
    <w:rPr>
      <w:lang w:eastAsia="es-ES" w:val="es-ES"/>
    </w:rPr>
  </w:style>
  <w:style w:type="paragraph" w:styleId="Continuarlista">
    <w:name w:val="List Continue"/>
    <w:basedOn w:val="Normal"/>
    <w:uiPriority w:val="99"/>
    <w:unhideWhenUsed w:val="1"/>
    <w:rsid w:val="00603D72"/>
    <w:pPr>
      <w:spacing w:after="120"/>
      <w:ind w:left="283"/>
      <w:contextualSpacing w:val="1"/>
    </w:pPr>
    <w:rPr>
      <w:lang w:eastAsia="es-ES" w:val="es-ES"/>
    </w:rPr>
  </w:style>
  <w:style w:type="paragraph" w:styleId="Continuarlista2">
    <w:name w:val="List Continue 2"/>
    <w:basedOn w:val="Normal"/>
    <w:uiPriority w:val="99"/>
    <w:unhideWhenUsed w:val="1"/>
    <w:rsid w:val="00603D72"/>
    <w:pPr>
      <w:spacing w:after="120"/>
      <w:ind w:left="566"/>
      <w:contextualSpacing w:val="1"/>
    </w:pPr>
    <w:rPr>
      <w:lang w:eastAsia="es-ES" w:val="es-ES"/>
    </w:rPr>
  </w:style>
  <w:style w:type="paragraph" w:styleId="Textoindependiente">
    <w:name w:val="Body Text"/>
    <w:basedOn w:val="Normal"/>
    <w:link w:val="TextoindependienteCar"/>
    <w:uiPriority w:val="99"/>
    <w:unhideWhenUsed w:val="1"/>
    <w:rsid w:val="00603D72"/>
    <w:pPr>
      <w:spacing w:after="120"/>
    </w:pPr>
    <w:rPr>
      <w:lang w:eastAsia="es-ES" w:val="es-ES"/>
    </w:r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rPr>
      <w:lang w:eastAsia="es-ES" w:val="es-ES"/>
    </w:r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eastAsia="es-MX" w:val="es-MX"/>
    </w:rPr>
  </w:style>
  <w:style w:type="paragraph" w:styleId="n2" w:customStyle="1">
    <w:name w:val="n2"/>
    <w:basedOn w:val="Normal"/>
    <w:rsid w:val="009D307C"/>
    <w:pPr>
      <w:spacing w:after="100" w:afterAutospacing="1" w:before="100" w:beforeAutospacing="1"/>
    </w:pPr>
    <w:rPr>
      <w:lang w:eastAsia="es-MX"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eastAsia="es-MX" w:val="es-MX"/>
    </w:rPr>
  </w:style>
  <w:style w:type="paragraph" w:styleId="j2" w:customStyle="1">
    <w:name w:val="j2"/>
    <w:basedOn w:val="Normal"/>
    <w:rsid w:val="009D307C"/>
    <w:pPr>
      <w:spacing w:after="100" w:afterAutospacing="1" w:before="100" w:beforeAutospacing="1"/>
    </w:pPr>
    <w:rPr>
      <w:lang w:eastAsia="es-MX"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rPr>
      <w:lang w:val="es-ES"/>
    </w:rPr>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character" w:styleId="Mencinsinresolver3" w:customStyle="1">
    <w:name w:val="Mención sin resolver3"/>
    <w:basedOn w:val="Fuentedeprrafopredeter"/>
    <w:uiPriority w:val="99"/>
    <w:rsid w:val="00CF391A"/>
    <w:rPr>
      <w:color w:val="605e5c"/>
      <w:shd w:color="auto" w:fill="e1dfdd" w:val="clear"/>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C9PB+PXOIeUGDVoZypXXIyZkcg==">CgMxLjAyCGguZ2pkZ3hzMgloLjMwajB6bGwyCGgudHlqY3d0MgloLjJldDkycDA4AHIhMTdHdU1BalBIZXM3WEF2N1htTVVhN0YtYzl2dFFHa0gz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2023-07-03T18:24:00Z</dcterms:created>
  <dc:creator>iMac</dc:creator>
</cp:coreProperties>
</file>