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9A1" w:rsidRPr="00240A27" w:rsidRDefault="00B579A1" w:rsidP="00B579A1">
      <w:pPr>
        <w:tabs>
          <w:tab w:val="left" w:pos="0"/>
        </w:tabs>
        <w:spacing w:before="240" w:after="240" w:line="360" w:lineRule="auto"/>
        <w:jc w:val="both"/>
        <w:rPr>
          <w:rFonts w:ascii="Palatino Linotype" w:hAnsi="Palatino Linotype"/>
        </w:rPr>
      </w:pPr>
      <w:r w:rsidRPr="00240A27">
        <w:rPr>
          <w:rFonts w:ascii="Palatino Linotype" w:hAnsi="Palatino Linotype"/>
        </w:rPr>
        <w:t>Resolución del Pleno del Instituto de Transparencia, Acceso a la Información Pública y Protección de Datos Personales del Estado de México y Municipios, con domicilio en Metepe</w:t>
      </w:r>
      <w:r>
        <w:rPr>
          <w:rFonts w:ascii="Palatino Linotype" w:hAnsi="Palatino Linotype"/>
        </w:rPr>
        <w:t>c, Estado de México; de fecha treinta y uno (31) de mayo de dos mil veintitrés</w:t>
      </w:r>
      <w:r w:rsidRPr="00240A27">
        <w:rPr>
          <w:rFonts w:ascii="Palatino Linotype" w:hAnsi="Palatino Linotype"/>
        </w:rPr>
        <w:t xml:space="preserve">. </w:t>
      </w:r>
    </w:p>
    <w:p w:rsidR="00B579A1" w:rsidRPr="00240A27" w:rsidRDefault="00B579A1" w:rsidP="00B579A1">
      <w:pPr>
        <w:spacing w:before="240" w:after="240" w:line="360" w:lineRule="auto"/>
        <w:jc w:val="both"/>
        <w:rPr>
          <w:rFonts w:ascii="Palatino Linotype" w:hAnsi="Palatino Linotype"/>
        </w:rPr>
      </w:pPr>
      <w:r w:rsidRPr="00240A27">
        <w:rPr>
          <w:rFonts w:ascii="Palatino Linotype" w:hAnsi="Palatino Linotype"/>
          <w:b/>
        </w:rPr>
        <w:t>VISTO</w:t>
      </w:r>
      <w:r w:rsidRPr="00240A27">
        <w:rPr>
          <w:rFonts w:ascii="Palatino Linotype" w:hAnsi="Palatino Linotype"/>
        </w:rPr>
        <w:t xml:space="preserve"> el expediente electrónico formado con motivo del recurso de revisión </w:t>
      </w:r>
      <w:r>
        <w:rPr>
          <w:rFonts w:ascii="Palatino Linotype" w:hAnsi="Palatino Linotype" w:cs="Arial"/>
          <w:b/>
          <w:bCs/>
        </w:rPr>
        <w:t>02238/INFOEM/IP/RR/2023</w:t>
      </w:r>
      <w:r w:rsidRPr="00240A27">
        <w:rPr>
          <w:rFonts w:ascii="Palatino Linotype" w:hAnsi="Palatino Linotype" w:cs="Arial"/>
          <w:b/>
          <w:bCs/>
        </w:rPr>
        <w:t xml:space="preserve">, </w:t>
      </w:r>
      <w:r w:rsidRPr="00240A27">
        <w:rPr>
          <w:rFonts w:ascii="Palatino Linotype" w:hAnsi="Palatino Linotype"/>
        </w:rPr>
        <w:t xml:space="preserve">promovido </w:t>
      </w:r>
      <w:r>
        <w:rPr>
          <w:rFonts w:ascii="Palatino Linotype" w:hAnsi="Palatino Linotype"/>
        </w:rPr>
        <w:t xml:space="preserve">por </w:t>
      </w:r>
      <w:r w:rsidRPr="00B579A1">
        <w:rPr>
          <w:rFonts w:ascii="Palatino Linotype" w:hAnsi="Palatino Linotype"/>
          <w:bCs/>
        </w:rPr>
        <w:t xml:space="preserve">un </w:t>
      </w:r>
      <w:r w:rsidRPr="002574B1">
        <w:rPr>
          <w:rFonts w:ascii="Palatino Linotype" w:hAnsi="Palatino Linotype"/>
          <w:b/>
          <w:bCs/>
        </w:rPr>
        <w:t>usuario del Sistema de Acceso a la Información Mexiquense (SAIMEX)</w:t>
      </w:r>
      <w:r w:rsidRPr="00B579A1">
        <w:rPr>
          <w:rFonts w:ascii="Palatino Linotype" w:hAnsi="Palatino Linotype"/>
          <w:bCs/>
        </w:rPr>
        <w:t>,</w:t>
      </w:r>
      <w:r w:rsidR="002574B1">
        <w:rPr>
          <w:rFonts w:ascii="Palatino Linotype" w:hAnsi="Palatino Linotype"/>
          <w:bCs/>
        </w:rPr>
        <w:t xml:space="preserve"> quien</w:t>
      </w:r>
      <w:r w:rsidRPr="00B579A1">
        <w:rPr>
          <w:rFonts w:ascii="Palatino Linotype" w:hAnsi="Palatino Linotype"/>
          <w:bCs/>
        </w:rPr>
        <w:t xml:space="preserve"> no proporcionó nombre</w:t>
      </w:r>
      <w:r w:rsidR="002574B1">
        <w:rPr>
          <w:rFonts w:ascii="Palatino Linotype" w:hAnsi="Palatino Linotype"/>
          <w:bCs/>
        </w:rPr>
        <w:t xml:space="preserve"> alguno</w:t>
      </w:r>
      <w:r w:rsidR="002574B1">
        <w:rPr>
          <w:rFonts w:ascii="Palatino Linotype" w:hAnsi="Palatino Linotype"/>
          <w:b/>
          <w:bCs/>
        </w:rPr>
        <w:t xml:space="preserve">, </w:t>
      </w:r>
      <w:r w:rsidRPr="00240A27">
        <w:rPr>
          <w:rFonts w:ascii="Palatino Linotype" w:hAnsi="Palatino Linotype"/>
        </w:rPr>
        <w:t>en lo</w:t>
      </w:r>
      <w:r w:rsidR="002574B1">
        <w:rPr>
          <w:rFonts w:ascii="Palatino Linotype" w:hAnsi="Palatino Linotype"/>
        </w:rPr>
        <w:t xml:space="preserve"> sucesivo se le identificara </w:t>
      </w:r>
      <w:r w:rsidRPr="00240A27">
        <w:rPr>
          <w:rFonts w:ascii="Palatino Linotype" w:hAnsi="Palatino Linotype"/>
          <w:b/>
        </w:rPr>
        <w:t>RECURRENTE</w:t>
      </w:r>
      <w:r w:rsidRPr="00240A27">
        <w:rPr>
          <w:rFonts w:ascii="Palatino Linotype" w:hAnsi="Palatino Linotype"/>
        </w:rPr>
        <w:t>, en contra de la</w:t>
      </w:r>
      <w:r w:rsidRPr="00240A27">
        <w:rPr>
          <w:rFonts w:ascii="Palatino Linotype" w:hAnsi="Palatino Linotype" w:cs="Arial"/>
        </w:rPr>
        <w:t xml:space="preserve"> respuesta del  </w:t>
      </w:r>
      <w:r>
        <w:rPr>
          <w:rFonts w:ascii="Palatino Linotype" w:eastAsia="Calibri" w:hAnsi="Palatino Linotype" w:cs="Tahoma"/>
          <w:b/>
          <w:bCs/>
          <w:lang w:eastAsia="en-US"/>
        </w:rPr>
        <w:t>Ayuntamiento de Almoloya de Juárez</w:t>
      </w:r>
      <w:r w:rsidRPr="00CA188D">
        <w:rPr>
          <w:rFonts w:ascii="Palatino Linotype" w:hAnsi="Palatino Linotype" w:cs="Arial"/>
          <w:b/>
        </w:rPr>
        <w:t>,</w:t>
      </w:r>
      <w:r w:rsidRPr="00240A27">
        <w:rPr>
          <w:rFonts w:ascii="Palatino Linotype" w:hAnsi="Palatino Linotype" w:cs="Arial"/>
          <w:b/>
        </w:rPr>
        <w:t xml:space="preserve"> </w:t>
      </w:r>
      <w:r w:rsidRPr="00240A27">
        <w:rPr>
          <w:rFonts w:ascii="Palatino Linotype" w:hAnsi="Palatino Linotype"/>
        </w:rPr>
        <w:t xml:space="preserve">en </w:t>
      </w:r>
      <w:r w:rsidR="002574B1">
        <w:rPr>
          <w:rFonts w:ascii="Palatino Linotype" w:hAnsi="Palatino Linotype"/>
        </w:rPr>
        <w:t>adelante</w:t>
      </w:r>
      <w:r w:rsidRPr="00240A27">
        <w:rPr>
          <w:rFonts w:ascii="Palatino Linotype" w:hAnsi="Palatino Linotype"/>
        </w:rPr>
        <w:t xml:space="preserve"> el</w:t>
      </w:r>
      <w:r w:rsidRPr="00240A27">
        <w:rPr>
          <w:rFonts w:ascii="Palatino Linotype" w:hAnsi="Palatino Linotype"/>
          <w:b/>
        </w:rPr>
        <w:t xml:space="preserve"> SUJETO OBLIGADO, </w:t>
      </w:r>
      <w:r w:rsidRPr="00240A27">
        <w:rPr>
          <w:rFonts w:ascii="Palatino Linotype" w:hAnsi="Palatino Linotype"/>
        </w:rPr>
        <w:t xml:space="preserve">se procede a dictar la presente resolución, con base en los siguientes: </w:t>
      </w:r>
    </w:p>
    <w:p w:rsidR="00B579A1" w:rsidRPr="00240A27" w:rsidRDefault="00B579A1" w:rsidP="00B579A1">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240A27">
        <w:rPr>
          <w:rFonts w:ascii="Palatino Linotype" w:hAnsi="Palatino Linotype"/>
          <w:b/>
          <w:lang w:eastAsia="en-US"/>
        </w:rPr>
        <w:t>ANTECEDENTES</w:t>
      </w:r>
      <w:bookmarkEnd w:id="0"/>
      <w:bookmarkEnd w:id="1"/>
      <w:bookmarkEnd w:id="2"/>
      <w:bookmarkEnd w:id="3"/>
    </w:p>
    <w:p w:rsidR="00B579A1" w:rsidRPr="00240A27" w:rsidRDefault="00B579A1" w:rsidP="00B579A1">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240A27">
        <w:rPr>
          <w:rFonts w:ascii="Palatino Linotype" w:eastAsia="Calibri" w:hAnsi="Palatino Linotype" w:cs="Arial"/>
          <w:lang w:val="es-ES"/>
        </w:rPr>
        <w:t xml:space="preserve">El </w:t>
      </w:r>
      <w:r>
        <w:rPr>
          <w:rFonts w:ascii="Palatino Linotype" w:eastAsia="Calibri" w:hAnsi="Palatino Linotype" w:cs="Arial"/>
          <w:lang w:val="es-ES"/>
        </w:rPr>
        <w:t>veintiuno (21) de marzo de dos mil veintitrés</w:t>
      </w:r>
      <w:r w:rsidRPr="00240A27">
        <w:rPr>
          <w:rFonts w:ascii="Palatino Linotype" w:eastAsia="Calibri" w:hAnsi="Palatino Linotype" w:cs="Arial"/>
          <w:lang w:val="es-ES"/>
        </w:rPr>
        <w:t>,</w:t>
      </w:r>
      <w:r w:rsidRPr="00240A27">
        <w:rPr>
          <w:rFonts w:ascii="Palatino Linotype" w:eastAsia="Calibri" w:hAnsi="Palatino Linotype"/>
          <w:lang w:val="es-ES"/>
        </w:rPr>
        <w:t xml:space="preserve"> </w:t>
      </w:r>
      <w:r w:rsidRPr="00240A27">
        <w:rPr>
          <w:rFonts w:ascii="Palatino Linotype" w:hAnsi="Palatino Linotype"/>
        </w:rPr>
        <w:t>el</w:t>
      </w:r>
      <w:r w:rsidRPr="00240A27">
        <w:rPr>
          <w:rFonts w:ascii="Palatino Linotype" w:hAnsi="Palatino Linotype"/>
          <w:b/>
        </w:rPr>
        <w:t xml:space="preserve"> </w:t>
      </w:r>
      <w:r w:rsidRPr="00240A27">
        <w:rPr>
          <w:rFonts w:ascii="Palatino Linotype" w:hAnsi="Palatino Linotype"/>
        </w:rPr>
        <w:t>solicitante</w:t>
      </w:r>
      <w:r w:rsidRPr="00240A27">
        <w:rPr>
          <w:rFonts w:ascii="Palatino Linotype" w:hAnsi="Palatino Linotype"/>
          <w:b/>
        </w:rPr>
        <w:t xml:space="preserve">  </w:t>
      </w:r>
      <w:r w:rsidRPr="00240A27">
        <w:rPr>
          <w:rFonts w:ascii="Palatino Linotype" w:hAnsi="Palatino Linotype"/>
        </w:rPr>
        <w:t>presentó</w:t>
      </w:r>
      <w:r w:rsidRPr="00240A27">
        <w:rPr>
          <w:rFonts w:ascii="Palatino Linotype" w:hAnsi="Palatino Linotype"/>
          <w:b/>
        </w:rPr>
        <w:t xml:space="preserve"> </w:t>
      </w:r>
      <w:r w:rsidRPr="00240A27">
        <w:rPr>
          <w:rFonts w:ascii="Palatino Linotype" w:eastAsia="Calibri" w:hAnsi="Palatino Linotype" w:cs="Arial"/>
          <w:lang w:val="es-ES"/>
        </w:rPr>
        <w:t xml:space="preserve">ante el </w:t>
      </w:r>
      <w:r w:rsidRPr="00240A27">
        <w:rPr>
          <w:rFonts w:ascii="Palatino Linotype" w:eastAsia="Calibri" w:hAnsi="Palatino Linotype" w:cs="Arial"/>
          <w:b/>
          <w:lang w:val="es-ES"/>
        </w:rPr>
        <w:t>SUJETO OBLIGADO,</w:t>
      </w:r>
      <w:r w:rsidRPr="00240A27">
        <w:rPr>
          <w:rFonts w:ascii="Palatino Linotype" w:eastAsia="Calibri" w:hAnsi="Palatino Linotype" w:cs="Arial"/>
        </w:rPr>
        <w:t xml:space="preserve"> a través de la Plataforma digital Sistema de Acceso a la Información Mexiquense (SAIMEX),</w:t>
      </w:r>
      <w:r w:rsidRPr="00240A27">
        <w:rPr>
          <w:rFonts w:ascii="Palatino Linotype" w:eastAsia="Calibri" w:hAnsi="Palatino Linotype" w:cs="Arial"/>
          <w:lang w:val="es-ES"/>
        </w:rPr>
        <w:t xml:space="preserve"> la solicitud de información pública registrada con el número </w:t>
      </w:r>
      <w:r w:rsidRPr="00240A27">
        <w:rPr>
          <w:rFonts w:ascii="Palatino Linotype" w:hAnsi="Palatino Linotype"/>
          <w:b/>
          <w:bCs/>
        </w:rPr>
        <w:t> </w:t>
      </w:r>
      <w:r w:rsidRPr="00B579A1">
        <w:rPr>
          <w:rFonts w:ascii="Palatino Linotype" w:hAnsi="Palatino Linotype"/>
          <w:b/>
          <w:bCs/>
        </w:rPr>
        <w:t>00049/ALMOJU/IP/2023</w:t>
      </w:r>
      <w:r w:rsidRPr="00240A27">
        <w:rPr>
          <w:rFonts w:ascii="Palatino Linotype" w:eastAsia="Calibri" w:hAnsi="Palatino Linotype" w:cs="Arial"/>
          <w:lang w:val="es-ES"/>
        </w:rPr>
        <w:t>, mediante la cual se solicitó:</w:t>
      </w:r>
    </w:p>
    <w:p w:rsidR="00B579A1" w:rsidRPr="00240A27" w:rsidRDefault="00B579A1" w:rsidP="00B579A1">
      <w:pPr>
        <w:tabs>
          <w:tab w:val="left" w:pos="0"/>
        </w:tabs>
        <w:spacing w:before="240" w:after="240" w:line="360" w:lineRule="auto"/>
        <w:ind w:left="360"/>
        <w:contextualSpacing/>
        <w:jc w:val="both"/>
        <w:rPr>
          <w:rFonts w:ascii="Palatino Linotype" w:eastAsia="Calibri" w:hAnsi="Palatino Linotype" w:cs="Arial"/>
          <w:lang w:val="es-ES"/>
        </w:rPr>
      </w:pPr>
    </w:p>
    <w:p w:rsidR="00B579A1" w:rsidRPr="00240A27" w:rsidRDefault="00B579A1" w:rsidP="00B579A1">
      <w:pPr>
        <w:tabs>
          <w:tab w:val="left" w:pos="0"/>
        </w:tabs>
        <w:spacing w:before="240" w:after="240" w:line="360" w:lineRule="auto"/>
        <w:ind w:left="851" w:right="822"/>
        <w:contextualSpacing/>
        <w:jc w:val="both"/>
        <w:rPr>
          <w:rFonts w:ascii="Palatino Linotype" w:hAnsi="Palatino Linotype" w:cs="Arial"/>
          <w:i/>
          <w:sz w:val="22"/>
          <w:szCs w:val="22"/>
          <w:lang w:val="es-ES"/>
        </w:rPr>
      </w:pPr>
      <w:r w:rsidRPr="00240A27">
        <w:rPr>
          <w:rFonts w:ascii="Palatino Linotype" w:hAnsi="Palatino Linotype" w:cs="Arial"/>
          <w:i/>
          <w:sz w:val="22"/>
          <w:szCs w:val="22"/>
          <w:lang w:val="es-ES"/>
        </w:rPr>
        <w:t>“</w:t>
      </w:r>
      <w:r w:rsidRPr="00B579A1">
        <w:rPr>
          <w:rFonts w:ascii="Palatino Linotype" w:hAnsi="Palatino Linotype"/>
          <w:i/>
          <w:color w:val="000000"/>
          <w:sz w:val="22"/>
          <w:szCs w:val="22"/>
        </w:rPr>
        <w:t>Solicito saber para cuando el Ayuntamiento de Almoloya de Juárez pavimentara o realizara un bacheo en la carretera principal de la localidad de "SANTA CATARINA TABERNILLAS" del tramo que comprende de la iglesia ubicada en el centro de dicha localidad hasta donde termina el pavimento dirección a la comunidad conocida como la Lagunita, cabe hacer mención que la Pseudo-Delegada de dicha localidad es una inepta, prepotente y corrupta, misma que según ella presumió en sus redes sociales el disque "bacheo" dentro del siguiente enlace se puede constatar https://www.facebook.com/photo/?fbid=165612649469148&amp;set=pb.1000806124018</w:t>
      </w:r>
      <w:r w:rsidRPr="00B579A1">
        <w:rPr>
          <w:rFonts w:ascii="Palatino Linotype" w:hAnsi="Palatino Linotype"/>
          <w:i/>
          <w:color w:val="000000"/>
          <w:sz w:val="22"/>
          <w:szCs w:val="22"/>
        </w:rPr>
        <w:lastRenderedPageBreak/>
        <w:t>93.-2207520000, cosa que fue una vil mentira. Es por ello que solicito por medio de este medio me indiquen para cuando se tiene planeado bachear, así como el presupuesto que se tiene destinado para dicho concepto "bacheo o reencarpetamiento". Y aclaro que una vez que la Unidad de Transparencia turne el oficio al Servidor Público Habilitado de la Dirección de Obras Públicas, el deberá contestar con veracidad y no salir con su falacia que no hay presupuesto, por que en la fecha que estamos ya hay recursos dentro de Ayuntamiento para todo este tipo de trabajos. Aprovechando pido el oficio de requerimiento de información que se le turne al SPH y el cual no se debe testar nada, y de ser conveniente el punto de acuerdo sesionado dentro del Comité de Transparencia de la Administración 2022-2024 del Ayuntamiento de Almoloya de Juárez, para la entrega en versión pública .</w:t>
      </w:r>
      <w:r w:rsidRPr="00240A27">
        <w:rPr>
          <w:rFonts w:ascii="Palatino Linotype" w:hAnsi="Palatino Linotype" w:cs="Arial"/>
          <w:i/>
          <w:sz w:val="22"/>
          <w:szCs w:val="22"/>
          <w:lang w:val="es-ES"/>
        </w:rPr>
        <w:t>” (Sic)</w:t>
      </w:r>
    </w:p>
    <w:p w:rsidR="00B579A1" w:rsidRPr="00B579A1" w:rsidRDefault="00B579A1" w:rsidP="00B579A1">
      <w:pPr>
        <w:pStyle w:val="Prrafodelista"/>
        <w:numPr>
          <w:ilvl w:val="0"/>
          <w:numId w:val="1"/>
        </w:numPr>
        <w:spacing w:before="240" w:after="240" w:line="360" w:lineRule="auto"/>
        <w:ind w:left="0" w:firstLine="0"/>
        <w:jc w:val="both"/>
        <w:rPr>
          <w:rFonts w:ascii="Palatino Linotype" w:hAnsi="Palatino Linotype" w:cs="Arial"/>
          <w:i/>
          <w:sz w:val="24"/>
        </w:rPr>
      </w:pPr>
      <w:r w:rsidRPr="00240A27">
        <w:rPr>
          <w:rFonts w:ascii="Palatino Linotype" w:hAnsi="Palatino Linotype" w:cs="Arial"/>
          <w:sz w:val="24"/>
        </w:rPr>
        <w:t>Se hace constar que se señaló como modalidad de entrega de la información a través del Sistema de Acceso a la Información Mexiquense (SAIMEX).</w:t>
      </w:r>
      <w:r w:rsidRPr="00240A27">
        <w:rPr>
          <w:rFonts w:ascii="Palatino Linotype" w:hAnsi="Palatino Linotype" w:cs="Arial"/>
          <w:b/>
          <w:sz w:val="24"/>
        </w:rPr>
        <w:t xml:space="preserve">  </w:t>
      </w:r>
    </w:p>
    <w:p w:rsidR="00B579A1" w:rsidRDefault="00B579A1" w:rsidP="00B579A1">
      <w:pPr>
        <w:pStyle w:val="Prrafodelista"/>
        <w:spacing w:before="240" w:after="240" w:line="360" w:lineRule="auto"/>
        <w:ind w:left="0"/>
        <w:jc w:val="both"/>
        <w:rPr>
          <w:rFonts w:ascii="Palatino Linotype" w:hAnsi="Palatino Linotype" w:cs="Arial"/>
          <w:i/>
          <w:sz w:val="24"/>
        </w:rPr>
      </w:pPr>
    </w:p>
    <w:p w:rsidR="00B579A1" w:rsidRPr="00B579A1" w:rsidRDefault="00B579A1" w:rsidP="00B579A1">
      <w:pPr>
        <w:pStyle w:val="Prrafodelista"/>
        <w:numPr>
          <w:ilvl w:val="0"/>
          <w:numId w:val="1"/>
        </w:numPr>
        <w:spacing w:before="240" w:after="240" w:line="360" w:lineRule="auto"/>
        <w:ind w:left="0" w:firstLine="0"/>
        <w:jc w:val="both"/>
        <w:rPr>
          <w:rFonts w:ascii="Palatino Linotype" w:hAnsi="Palatino Linotype" w:cs="Arial"/>
          <w:sz w:val="24"/>
        </w:rPr>
      </w:pPr>
      <w:r w:rsidRPr="00B579A1">
        <w:rPr>
          <w:rFonts w:ascii="Palatino Linotype" w:hAnsi="Palatino Linotype" w:cs="Arial"/>
          <w:sz w:val="24"/>
        </w:rPr>
        <w:t xml:space="preserve">El veinticuatro (24) de marzo de dos mil veintitrés, se realizó un requerimiento al servidor público habilitado. </w:t>
      </w:r>
    </w:p>
    <w:p w:rsidR="00B579A1" w:rsidRPr="00061CC3" w:rsidRDefault="00B579A1" w:rsidP="00B579A1">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240A27">
        <w:rPr>
          <w:rFonts w:ascii="Palatino Linotype" w:eastAsia="Calibri" w:hAnsi="Palatino Linotype" w:cs="Arial"/>
          <w:lang w:val="es-AR"/>
        </w:rPr>
        <w:t>El</w:t>
      </w:r>
      <w:r w:rsidRPr="00240A27">
        <w:rPr>
          <w:rFonts w:ascii="Palatino Linotype" w:hAnsi="Palatino Linotype" w:cs="Arial"/>
          <w:lang w:val="es-ES"/>
        </w:rPr>
        <w:t xml:space="preserve"> </w:t>
      </w:r>
      <w:r>
        <w:rPr>
          <w:rFonts w:ascii="Palatino Linotype" w:hAnsi="Palatino Linotype" w:cs="Arial"/>
          <w:lang w:val="es-ES"/>
        </w:rPr>
        <w:t>dieciocho (18) de abril de dos mil veintitrés</w:t>
      </w:r>
      <w:r w:rsidRPr="00240A27">
        <w:rPr>
          <w:rFonts w:ascii="Palatino Linotype" w:hAnsi="Palatino Linotype" w:cs="Arial"/>
          <w:lang w:val="es-ES"/>
        </w:rPr>
        <w:t xml:space="preserve">, el </w:t>
      </w:r>
      <w:r w:rsidRPr="00240A27">
        <w:rPr>
          <w:rFonts w:ascii="Palatino Linotype" w:hAnsi="Palatino Linotype" w:cs="Arial"/>
          <w:b/>
          <w:lang w:val="es-ES"/>
        </w:rPr>
        <w:t xml:space="preserve">SUJETO OBLIGADO </w:t>
      </w:r>
      <w:bookmarkStart w:id="4" w:name="_Toc472500652"/>
      <w:bookmarkStart w:id="5" w:name="_Toc472427085"/>
      <w:bookmarkStart w:id="6" w:name="_Toc462307683"/>
      <w:r w:rsidRPr="00240A27">
        <w:rPr>
          <w:rFonts w:ascii="Palatino Linotype" w:hAnsi="Palatino Linotype" w:cs="Arial"/>
          <w:lang w:val="es-ES"/>
        </w:rPr>
        <w:t>dio respuesta a la solicitud en el siguiente sentido:</w:t>
      </w:r>
    </w:p>
    <w:p w:rsidR="00B579A1" w:rsidRDefault="00B579A1" w:rsidP="00B579A1">
      <w:pPr>
        <w:rPr>
          <w:rFonts w:ascii="Palatino Linotype" w:hAnsi="Palatino Linotype" w:cs="Arial"/>
          <w:szCs w:val="22"/>
          <w:lang w:val="es-ES"/>
        </w:rPr>
      </w:pPr>
    </w:p>
    <w:tbl>
      <w:tblPr>
        <w:tblW w:w="7360" w:type="dxa"/>
        <w:jc w:val="center"/>
        <w:tblCellSpacing w:w="0" w:type="dxa"/>
        <w:tblCellMar>
          <w:left w:w="0" w:type="dxa"/>
          <w:right w:w="0" w:type="dxa"/>
        </w:tblCellMar>
        <w:tblLook w:val="04A0" w:firstRow="1" w:lastRow="0" w:firstColumn="1" w:lastColumn="0" w:noHBand="0" w:noVBand="1"/>
      </w:tblPr>
      <w:tblGrid>
        <w:gridCol w:w="7360"/>
      </w:tblGrid>
      <w:tr w:rsidR="00B579A1" w:rsidRPr="00B579A1" w:rsidTr="00B579A1">
        <w:trPr>
          <w:trHeight w:val="500"/>
          <w:tblCellSpacing w:w="0" w:type="dxa"/>
          <w:jc w:val="center"/>
        </w:trPr>
        <w:tc>
          <w:tcPr>
            <w:tcW w:w="0" w:type="auto"/>
            <w:vAlign w:val="center"/>
            <w:hideMark/>
          </w:tcPr>
          <w:p w:rsidR="00B579A1" w:rsidRPr="00B579A1" w:rsidRDefault="00B579A1" w:rsidP="00B579A1">
            <w:pPr>
              <w:jc w:val="right"/>
              <w:rPr>
                <w:rFonts w:ascii="Palatino Linotype" w:hAnsi="Palatino Linotype" w:cs="Arial"/>
                <w:i/>
                <w:sz w:val="22"/>
                <w:szCs w:val="22"/>
                <w:lang w:val="es-ES"/>
              </w:rPr>
            </w:pPr>
            <w:r w:rsidRPr="00B579A1">
              <w:rPr>
                <w:rFonts w:ascii="Palatino Linotype" w:hAnsi="Palatino Linotype" w:cs="Arial"/>
                <w:i/>
                <w:sz w:val="22"/>
                <w:szCs w:val="22"/>
                <w:lang w:val="es-ES"/>
              </w:rPr>
              <w:t>Almoloya de Juárez, México a 18 de Abril de 2023</w:t>
            </w:r>
          </w:p>
        </w:tc>
      </w:tr>
      <w:tr w:rsidR="00B579A1" w:rsidRPr="00B579A1" w:rsidTr="00B579A1">
        <w:trPr>
          <w:trHeight w:val="500"/>
          <w:tblCellSpacing w:w="0" w:type="dxa"/>
          <w:jc w:val="center"/>
        </w:trPr>
        <w:tc>
          <w:tcPr>
            <w:tcW w:w="0" w:type="auto"/>
            <w:vAlign w:val="center"/>
            <w:hideMark/>
          </w:tcPr>
          <w:p w:rsidR="00B579A1" w:rsidRPr="00B579A1" w:rsidRDefault="00B579A1" w:rsidP="00B579A1">
            <w:pPr>
              <w:jc w:val="right"/>
              <w:rPr>
                <w:rFonts w:ascii="Palatino Linotype" w:hAnsi="Palatino Linotype" w:cs="Arial"/>
                <w:i/>
                <w:sz w:val="22"/>
                <w:szCs w:val="22"/>
                <w:lang w:val="es-ES"/>
              </w:rPr>
            </w:pPr>
            <w:r w:rsidRPr="00B579A1">
              <w:rPr>
                <w:rFonts w:ascii="Palatino Linotype" w:hAnsi="Palatino Linotype" w:cs="Arial"/>
                <w:i/>
                <w:sz w:val="22"/>
                <w:szCs w:val="22"/>
                <w:lang w:val="es-ES"/>
              </w:rPr>
              <w:t>Nombre del solicitante: C. Solicitante</w:t>
            </w:r>
          </w:p>
        </w:tc>
      </w:tr>
      <w:tr w:rsidR="00B579A1" w:rsidRPr="00B579A1" w:rsidTr="00B579A1">
        <w:trPr>
          <w:trHeight w:val="500"/>
          <w:tblCellSpacing w:w="0" w:type="dxa"/>
          <w:jc w:val="center"/>
        </w:trPr>
        <w:tc>
          <w:tcPr>
            <w:tcW w:w="0" w:type="auto"/>
            <w:vAlign w:val="center"/>
            <w:hideMark/>
          </w:tcPr>
          <w:p w:rsidR="00B579A1" w:rsidRPr="00B579A1" w:rsidRDefault="00B579A1" w:rsidP="00B579A1">
            <w:pPr>
              <w:jc w:val="right"/>
              <w:rPr>
                <w:rFonts w:ascii="Palatino Linotype" w:hAnsi="Palatino Linotype" w:cs="Arial"/>
                <w:i/>
                <w:sz w:val="22"/>
                <w:szCs w:val="22"/>
                <w:lang w:val="es-ES"/>
              </w:rPr>
            </w:pPr>
            <w:r w:rsidRPr="00B579A1">
              <w:rPr>
                <w:rFonts w:ascii="Palatino Linotype" w:hAnsi="Palatino Linotype" w:cs="Arial"/>
                <w:i/>
                <w:sz w:val="22"/>
                <w:szCs w:val="22"/>
                <w:lang w:val="es-ES"/>
              </w:rPr>
              <w:t>Folio de la solicitud: 00049/ALMOJU/IP/2023</w:t>
            </w:r>
          </w:p>
        </w:tc>
      </w:tr>
      <w:tr w:rsidR="00B579A1" w:rsidRPr="00B579A1" w:rsidTr="00B579A1">
        <w:trPr>
          <w:trHeight w:val="751"/>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p>
        </w:tc>
      </w:tr>
      <w:tr w:rsidR="00B579A1" w:rsidRPr="00B579A1" w:rsidTr="00B579A1">
        <w:trPr>
          <w:trHeight w:val="249"/>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r w:rsidRPr="00B579A1">
              <w:rPr>
                <w:rFonts w:ascii="Palatino Linotype" w:hAnsi="Palatino Linotype" w:cs="Arial"/>
                <w:i/>
                <w:sz w:val="22"/>
                <w:szCs w:val="22"/>
                <w:lang w:val="es-ES"/>
              </w:rPr>
              <w:t xml:space="preserve">En respuesta a la solicitud recibida, nos permitimos hacer de su conocimiento que con fundamento en el artículo 53, Fracciones: II, V y VI de la Ley de Transparencia </w:t>
            </w:r>
            <w:r w:rsidRPr="00B579A1">
              <w:rPr>
                <w:rFonts w:ascii="Palatino Linotype" w:hAnsi="Palatino Linotype" w:cs="Arial"/>
                <w:i/>
                <w:sz w:val="22"/>
                <w:szCs w:val="22"/>
                <w:lang w:val="es-ES"/>
              </w:rPr>
              <w:lastRenderedPageBreak/>
              <w:t>y Acceso a la Información Pública del Estado de México y Municipios, le contestamos que:</w:t>
            </w:r>
          </w:p>
        </w:tc>
      </w:tr>
      <w:tr w:rsidR="00B579A1" w:rsidRPr="00B579A1" w:rsidTr="00B579A1">
        <w:trPr>
          <w:trHeight w:val="626"/>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p>
        </w:tc>
      </w:tr>
      <w:tr w:rsidR="00B579A1" w:rsidRPr="00B579A1" w:rsidTr="00B579A1">
        <w:trPr>
          <w:trHeight w:val="249"/>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r w:rsidRPr="00B579A1">
              <w:rPr>
                <w:rFonts w:ascii="Palatino Linotype" w:hAnsi="Palatino Linotype" w:cs="Arial"/>
                <w:i/>
                <w:sz w:val="22"/>
                <w:szCs w:val="22"/>
                <w:lang w:val="es-ES"/>
              </w:rPr>
              <w:t>Con fundamento en los artículos 4, 12 y 59 de la Ley de Transparencia y Acceso a la Información Pública del Estado de México y Municipios; se anexa al presente Oficio a través del cual la Unidad de Transparencia turna la solicitud de información al área competente así como el Oficio de respuesta de la Dirección de Obras Públicas.</w:t>
            </w:r>
          </w:p>
        </w:tc>
      </w:tr>
      <w:tr w:rsidR="00B579A1" w:rsidRPr="00B579A1" w:rsidTr="00B579A1">
        <w:trPr>
          <w:trHeight w:val="249"/>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p>
        </w:tc>
      </w:tr>
      <w:tr w:rsidR="00B579A1" w:rsidRPr="00B579A1" w:rsidTr="00B579A1">
        <w:trPr>
          <w:trHeight w:val="249"/>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p>
        </w:tc>
      </w:tr>
      <w:tr w:rsidR="00B579A1" w:rsidRPr="00B579A1" w:rsidTr="00B579A1">
        <w:trPr>
          <w:trHeight w:val="249"/>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r w:rsidRPr="00B579A1">
              <w:rPr>
                <w:rFonts w:ascii="Palatino Linotype" w:hAnsi="Palatino Linotype" w:cs="Arial"/>
                <w:i/>
                <w:sz w:val="22"/>
                <w:szCs w:val="22"/>
                <w:lang w:val="es-ES"/>
              </w:rPr>
              <w:t>ATENTAMENTE</w:t>
            </w:r>
          </w:p>
        </w:tc>
      </w:tr>
      <w:tr w:rsidR="00B579A1" w:rsidRPr="00B579A1" w:rsidTr="00B579A1">
        <w:trPr>
          <w:trHeight w:val="375"/>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p>
        </w:tc>
      </w:tr>
      <w:tr w:rsidR="00B579A1" w:rsidRPr="00B579A1" w:rsidTr="00B579A1">
        <w:trPr>
          <w:trHeight w:val="249"/>
          <w:tblCellSpacing w:w="0" w:type="dxa"/>
          <w:jc w:val="center"/>
        </w:trPr>
        <w:tc>
          <w:tcPr>
            <w:tcW w:w="0" w:type="auto"/>
            <w:vAlign w:val="center"/>
            <w:hideMark/>
          </w:tcPr>
          <w:p w:rsidR="00B579A1" w:rsidRPr="00B579A1" w:rsidRDefault="00B579A1" w:rsidP="00B579A1">
            <w:pPr>
              <w:rPr>
                <w:rFonts w:ascii="Palatino Linotype" w:hAnsi="Palatino Linotype" w:cs="Arial"/>
                <w:i/>
                <w:sz w:val="22"/>
                <w:szCs w:val="22"/>
                <w:lang w:val="es-ES"/>
              </w:rPr>
            </w:pPr>
            <w:r w:rsidRPr="00B579A1">
              <w:rPr>
                <w:rFonts w:ascii="Palatino Linotype" w:hAnsi="Palatino Linotype" w:cs="Arial"/>
                <w:i/>
                <w:sz w:val="22"/>
                <w:szCs w:val="22"/>
                <w:lang w:val="es-ES"/>
              </w:rPr>
              <w:t>L.D ANA KAREN RODRIGUEZ QUIJADA</w:t>
            </w:r>
          </w:p>
        </w:tc>
      </w:tr>
    </w:tbl>
    <w:p w:rsidR="00B579A1" w:rsidRDefault="00B579A1" w:rsidP="00B579A1">
      <w:pPr>
        <w:rPr>
          <w:rFonts w:ascii="Palatino Linotype" w:hAnsi="Palatino Linotype" w:cs="Arial"/>
          <w:szCs w:val="22"/>
          <w:lang w:val="es-ES"/>
        </w:rPr>
      </w:pPr>
    </w:p>
    <w:p w:rsidR="00B579A1" w:rsidRDefault="00B579A1" w:rsidP="00B579A1">
      <w:pPr>
        <w:rPr>
          <w:rFonts w:ascii="Palatino Linotype" w:hAnsi="Palatino Linotype" w:cs="Arial"/>
          <w:szCs w:val="22"/>
          <w:lang w:val="es-ES"/>
        </w:rPr>
      </w:pPr>
    </w:p>
    <w:p w:rsidR="00B579A1" w:rsidRPr="00BE7E74" w:rsidRDefault="00B579A1" w:rsidP="00C334F6">
      <w:pPr>
        <w:pStyle w:val="Prrafodelista"/>
        <w:numPr>
          <w:ilvl w:val="0"/>
          <w:numId w:val="2"/>
        </w:numPr>
        <w:spacing w:line="360" w:lineRule="auto"/>
        <w:jc w:val="both"/>
        <w:rPr>
          <w:rFonts w:ascii="Palatino Linotype" w:hAnsi="Palatino Linotype"/>
          <w:szCs w:val="22"/>
        </w:rPr>
      </w:pPr>
      <w:r w:rsidRPr="00BE7E74">
        <w:rPr>
          <w:rFonts w:ascii="Palatino Linotype" w:hAnsi="Palatino Linotype" w:cs="Arial"/>
          <w:szCs w:val="22"/>
          <w:lang w:val="es-ES"/>
        </w:rPr>
        <w:t xml:space="preserve">A la respuesta se adjuntó  el archivo </w:t>
      </w:r>
      <w:hyperlink r:id="rId7" w:tgtFrame="_blank" w:history="1">
        <w:r w:rsidRPr="00BE7E74">
          <w:rPr>
            <w:rStyle w:val="Hipervnculo"/>
            <w:rFonts w:ascii="Palatino Linotype" w:eastAsiaTheme="majorEastAsia" w:hAnsi="Palatino Linotype" w:cs="Arial"/>
            <w:b/>
            <w:bCs/>
            <w:color w:val="auto"/>
            <w:szCs w:val="22"/>
          </w:rPr>
          <w:t>doc06322320230418181010.pdf</w:t>
        </w:r>
      </w:hyperlink>
      <w:r w:rsidRPr="00BE7E74">
        <w:rPr>
          <w:rFonts w:ascii="Palatino Linotype" w:hAnsi="Palatino Linotype"/>
          <w:szCs w:val="22"/>
        </w:rPr>
        <w:t xml:space="preserve">, en el cual se adjuntó el requerimiento de información al Director de Obras Públicas y el oficio de respuesta a la solicitud de información </w:t>
      </w:r>
      <w:r w:rsidR="00BE7E74" w:rsidRPr="00BE7E74">
        <w:rPr>
          <w:rFonts w:ascii="Palatino Linotype" w:hAnsi="Palatino Linotype"/>
          <w:szCs w:val="22"/>
        </w:rPr>
        <w:t xml:space="preserve">suscrita por el Director de Obras Públicas. </w:t>
      </w:r>
    </w:p>
    <w:p w:rsidR="00B579A1" w:rsidRPr="00B579A1" w:rsidRDefault="00B579A1" w:rsidP="00B579A1">
      <w:pPr>
        <w:pStyle w:val="Prrafodelista"/>
        <w:spacing w:line="360" w:lineRule="auto"/>
        <w:jc w:val="both"/>
        <w:rPr>
          <w:rFonts w:ascii="Palatino Linotype" w:hAnsi="Palatino Linotype"/>
          <w:szCs w:val="22"/>
        </w:rPr>
      </w:pPr>
    </w:p>
    <w:p w:rsidR="00B579A1" w:rsidRPr="00240A27" w:rsidRDefault="00B579A1" w:rsidP="00B579A1">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240A27">
        <w:rPr>
          <w:rFonts w:ascii="Palatino Linotype" w:hAnsi="Palatino Linotype" w:cs="Arial"/>
          <w:sz w:val="24"/>
          <w:lang w:val="es-ES"/>
        </w:rPr>
        <w:t>E</w:t>
      </w:r>
      <w:r>
        <w:rPr>
          <w:rFonts w:ascii="Palatino Linotype" w:hAnsi="Palatino Linotype" w:cs="Arial"/>
          <w:sz w:val="24"/>
          <w:lang w:val="es-ES"/>
        </w:rPr>
        <w:t>n l</w:t>
      </w:r>
      <w:r w:rsidR="00BE7E74">
        <w:rPr>
          <w:rFonts w:ascii="Palatino Linotype" w:hAnsi="Palatino Linotype" w:cs="Arial"/>
          <w:sz w:val="24"/>
          <w:lang w:val="es-ES"/>
        </w:rPr>
        <w:t>o sucesivo el veinti</w:t>
      </w:r>
      <w:r w:rsidR="007948BB">
        <w:rPr>
          <w:rFonts w:ascii="Palatino Linotype" w:hAnsi="Palatino Linotype" w:cs="Arial"/>
          <w:sz w:val="24"/>
          <w:lang w:val="es-ES"/>
        </w:rPr>
        <w:t>siete (27) de abril de dos mil veintitrés</w:t>
      </w:r>
      <w:r w:rsidRPr="00240A27">
        <w:rPr>
          <w:rFonts w:ascii="Palatino Linotype" w:hAnsi="Palatino Linotype" w:cs="Arial"/>
          <w:b/>
          <w:sz w:val="24"/>
          <w:lang w:val="es-ES"/>
        </w:rPr>
        <w:t>,</w:t>
      </w:r>
      <w:r w:rsidRPr="00240A27">
        <w:rPr>
          <w:rFonts w:ascii="Palatino Linotype" w:hAnsi="Palatino Linotype" w:cs="Arial"/>
          <w:sz w:val="24"/>
          <w:lang w:val="es-ES"/>
        </w:rPr>
        <w:t xml:space="preserve"> </w:t>
      </w:r>
      <w:r w:rsidRPr="00240A27">
        <w:rPr>
          <w:rFonts w:ascii="Palatino Linotype" w:hAnsi="Palatino Linotype" w:cs="Arial"/>
          <w:b/>
          <w:sz w:val="24"/>
          <w:lang w:val="es-ES"/>
        </w:rPr>
        <w:t xml:space="preserve"> </w:t>
      </w:r>
      <w:r w:rsidRPr="00240A27">
        <w:rPr>
          <w:rFonts w:ascii="Palatino Linotype" w:hAnsi="Palatino Linotype" w:cs="Arial"/>
          <w:sz w:val="24"/>
          <w:lang w:val="es-ES"/>
        </w:rPr>
        <w:t>el solicitante interpuso el recurso de revisión, señalando como:</w:t>
      </w:r>
    </w:p>
    <w:bookmarkEnd w:id="4"/>
    <w:bookmarkEnd w:id="5"/>
    <w:bookmarkEnd w:id="6"/>
    <w:p w:rsidR="00B579A1" w:rsidRPr="00240A27" w:rsidRDefault="00B579A1" w:rsidP="00B579A1">
      <w:pPr>
        <w:tabs>
          <w:tab w:val="left" w:pos="851"/>
          <w:tab w:val="left" w:pos="8222"/>
        </w:tabs>
        <w:spacing w:before="240" w:after="240" w:line="360" w:lineRule="auto"/>
        <w:ind w:left="851" w:right="567"/>
        <w:contextualSpacing/>
        <w:jc w:val="both"/>
        <w:rPr>
          <w:rFonts w:ascii="Palatino Linotype" w:eastAsia="Calibri" w:hAnsi="Palatino Linotype" w:cs="Arial"/>
          <w:i/>
          <w:lang w:val="es-ES"/>
        </w:rPr>
      </w:pPr>
      <w:r w:rsidRPr="00240A27">
        <w:rPr>
          <w:rFonts w:ascii="Palatino Linotype" w:eastAsia="Calibri" w:hAnsi="Palatino Linotype" w:cs="Arial"/>
          <w:b/>
          <w:lang w:val="es-ES"/>
        </w:rPr>
        <w:t>Acto impugnado:</w:t>
      </w:r>
      <w:r w:rsidRPr="00240A27">
        <w:rPr>
          <w:rFonts w:ascii="Palatino Linotype" w:eastAsia="Calibri" w:hAnsi="Palatino Linotype" w:cs="Arial"/>
          <w:i/>
          <w:lang w:val="es-ES"/>
        </w:rPr>
        <w:t xml:space="preserve"> </w:t>
      </w:r>
      <w:r w:rsidRPr="00240A27">
        <w:rPr>
          <w:rFonts w:ascii="Palatino Linotype" w:eastAsia="Calibri" w:hAnsi="Palatino Linotype" w:cs="Arial"/>
          <w:sz w:val="22"/>
          <w:szCs w:val="22"/>
          <w:lang w:val="es-ES"/>
        </w:rPr>
        <w:t>“</w:t>
      </w:r>
      <w:r w:rsidR="007948BB" w:rsidRPr="007948BB">
        <w:rPr>
          <w:rFonts w:ascii="Palatino Linotype" w:hAnsi="Palatino Linotype"/>
          <w:i/>
          <w:color w:val="000000"/>
          <w:sz w:val="22"/>
          <w:szCs w:val="22"/>
        </w:rPr>
        <w:t>No entrega la totalidad de la información.</w:t>
      </w:r>
      <w:r w:rsidRPr="00240A27">
        <w:rPr>
          <w:rFonts w:ascii="Palatino Linotype" w:hAnsi="Palatino Linotype"/>
          <w:i/>
          <w:color w:val="000000"/>
          <w:sz w:val="22"/>
          <w:szCs w:val="22"/>
        </w:rPr>
        <w:t>”</w:t>
      </w:r>
      <w:r w:rsidRPr="00240A27">
        <w:rPr>
          <w:rFonts w:ascii="Palatino Linotype" w:eastAsia="Calibri" w:hAnsi="Palatino Linotype" w:cs="Arial"/>
          <w:i/>
          <w:lang w:val="es-ES"/>
        </w:rPr>
        <w:t xml:space="preserve"> (Sic) </w:t>
      </w:r>
    </w:p>
    <w:p w:rsidR="00B579A1" w:rsidRPr="00240A27" w:rsidRDefault="00B579A1" w:rsidP="00B579A1">
      <w:pPr>
        <w:tabs>
          <w:tab w:val="left" w:pos="0"/>
        </w:tabs>
        <w:spacing w:before="240" w:after="240" w:line="360" w:lineRule="auto"/>
        <w:ind w:left="567" w:hanging="141"/>
        <w:contextualSpacing/>
        <w:rPr>
          <w:rFonts w:ascii="Palatino Linotype" w:eastAsia="Calibri" w:hAnsi="Palatino Linotype" w:cs="Arial"/>
          <w:i/>
          <w:lang w:val="es-ES"/>
        </w:rPr>
      </w:pPr>
    </w:p>
    <w:p w:rsidR="00B579A1" w:rsidRPr="00240A27" w:rsidRDefault="00B579A1" w:rsidP="00B579A1">
      <w:pPr>
        <w:tabs>
          <w:tab w:val="left" w:pos="851"/>
        </w:tabs>
        <w:spacing w:before="240" w:after="240" w:line="360" w:lineRule="auto"/>
        <w:ind w:left="851" w:right="567"/>
        <w:contextualSpacing/>
        <w:jc w:val="both"/>
        <w:rPr>
          <w:rFonts w:ascii="Palatino Linotype" w:eastAsia="MS Mincho" w:hAnsi="Palatino Linotype"/>
          <w:i/>
          <w:sz w:val="22"/>
          <w:szCs w:val="22"/>
        </w:rPr>
      </w:pPr>
      <w:r w:rsidRPr="00240A27">
        <w:rPr>
          <w:rFonts w:ascii="Palatino Linotype" w:eastAsia="MS Gothic" w:hAnsi="Palatino Linotype"/>
          <w:b/>
          <w:lang w:val="es-ES"/>
        </w:rPr>
        <w:t>Razones o Motivos de inconformidad</w:t>
      </w:r>
      <w:r w:rsidRPr="00240A27">
        <w:rPr>
          <w:rFonts w:ascii="Palatino Linotype" w:eastAsia="MS Mincho" w:hAnsi="Palatino Linotype"/>
          <w:i/>
        </w:rPr>
        <w:t xml:space="preserve">: </w:t>
      </w:r>
      <w:r w:rsidRPr="00240A27">
        <w:rPr>
          <w:rFonts w:ascii="Palatino Linotype" w:eastAsia="MS Mincho" w:hAnsi="Palatino Linotype"/>
          <w:i/>
          <w:sz w:val="22"/>
          <w:szCs w:val="22"/>
        </w:rPr>
        <w:t>“</w:t>
      </w:r>
      <w:r w:rsidR="007948BB" w:rsidRPr="007948BB">
        <w:rPr>
          <w:rFonts w:ascii="Palatino Linotype" w:hAnsi="Palatino Linotype"/>
          <w:i/>
          <w:color w:val="000000"/>
          <w:sz w:val="22"/>
          <w:szCs w:val="22"/>
        </w:rPr>
        <w:t>La unidad de transparencia no entrega la informacion completa, vulnera gravemente el acceso a la información pública.</w:t>
      </w:r>
      <w:r w:rsidRPr="00240A27">
        <w:rPr>
          <w:rFonts w:ascii="Palatino Linotype" w:eastAsia="MS Mincho" w:hAnsi="Palatino Linotype"/>
          <w:i/>
          <w:sz w:val="22"/>
          <w:szCs w:val="22"/>
        </w:rPr>
        <w:t>” (Sic)</w:t>
      </w:r>
    </w:p>
    <w:p w:rsidR="00B579A1" w:rsidRDefault="00B579A1" w:rsidP="00B579A1">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rsidR="00B579A1" w:rsidRPr="00240A27" w:rsidRDefault="00B579A1" w:rsidP="00B579A1">
      <w:pPr>
        <w:numPr>
          <w:ilvl w:val="0"/>
          <w:numId w:val="1"/>
        </w:numPr>
        <w:spacing w:before="240" w:after="240" w:line="360" w:lineRule="auto"/>
        <w:ind w:left="0" w:firstLine="0"/>
        <w:contextualSpacing/>
        <w:jc w:val="both"/>
        <w:rPr>
          <w:rFonts w:ascii="Palatino Linotype" w:eastAsia="MS Mincho" w:hAnsi="Palatino Linotype"/>
          <w:i/>
          <w:color w:val="000000"/>
        </w:rPr>
      </w:pPr>
      <w:r w:rsidRPr="00240A27">
        <w:rPr>
          <w:rFonts w:ascii="Palatino Linotype" w:hAnsi="Palatino Linotype" w:cs="Arial"/>
          <w:lang w:val="es-ES"/>
        </w:rPr>
        <w:t xml:space="preserve">Se registró el recurso de revisión bajo el número de expediente </w:t>
      </w:r>
      <w:r w:rsidRPr="00240A27">
        <w:rPr>
          <w:rFonts w:ascii="Palatino Linotype" w:eastAsia="MS Mincho" w:hAnsi="Palatino Linotype" w:cs="Arial"/>
          <w:bCs/>
        </w:rPr>
        <w:t xml:space="preserve">al rubro indicado, asimismo con fundamento en lo dispuesto por el </w:t>
      </w:r>
      <w:r w:rsidRPr="00240A27">
        <w:rPr>
          <w:rFonts w:ascii="Palatino Linotype" w:eastAsia="Calibri" w:hAnsi="Palatino Linotype" w:cs="Arial"/>
          <w:lang w:val="es-ES"/>
        </w:rPr>
        <w:t xml:space="preserve">artículo 185 fracción I de la Ley de Transparencia y Acceso a la Información Pública del Estado de México y </w:t>
      </w:r>
      <w:r w:rsidRPr="00240A27">
        <w:rPr>
          <w:rFonts w:ascii="Palatino Linotype" w:eastAsia="Calibri" w:hAnsi="Palatino Linotype" w:cs="Arial"/>
          <w:lang w:val="es-ES"/>
        </w:rPr>
        <w:lastRenderedPageBreak/>
        <w:t xml:space="preserve">Municipios </w:t>
      </w:r>
      <w:r w:rsidRPr="00240A27">
        <w:rPr>
          <w:rFonts w:ascii="Palatino Linotype" w:hAnsi="Palatino Linotype" w:cs="Arial"/>
          <w:lang w:val="es-ES"/>
        </w:rPr>
        <w:t xml:space="preserve">se turnó a la </w:t>
      </w:r>
      <w:r w:rsidRPr="00240A27">
        <w:rPr>
          <w:rFonts w:ascii="Palatino Linotype" w:hAnsi="Palatino Linotype" w:cs="Arial"/>
          <w:b/>
          <w:lang w:val="es-ES"/>
        </w:rPr>
        <w:t>Comisionada María del Rosario Mejía Ayala</w:t>
      </w:r>
      <w:r w:rsidRPr="00240A27">
        <w:rPr>
          <w:rFonts w:ascii="Palatino Linotype" w:hAnsi="Palatino Linotype" w:cs="Arial"/>
          <w:lang w:val="es-ES"/>
        </w:rPr>
        <w:t xml:space="preserve"> con el objeto de </w:t>
      </w:r>
      <w:r w:rsidRPr="00240A27">
        <w:rPr>
          <w:rFonts w:ascii="Palatino Linotype" w:hAnsi="Palatino Linotype" w:cs="Arial"/>
        </w:rPr>
        <w:t>su análisis.</w:t>
      </w:r>
    </w:p>
    <w:p w:rsidR="00B579A1" w:rsidRPr="00240A27" w:rsidRDefault="00B579A1" w:rsidP="00B579A1">
      <w:pPr>
        <w:spacing w:before="240" w:after="240" w:line="360" w:lineRule="auto"/>
        <w:contextualSpacing/>
        <w:jc w:val="both"/>
        <w:rPr>
          <w:rFonts w:ascii="Palatino Linotype" w:eastAsia="MS Mincho" w:hAnsi="Palatino Linotype"/>
          <w:i/>
          <w:color w:val="000000"/>
        </w:rPr>
      </w:pPr>
    </w:p>
    <w:p w:rsidR="00B579A1" w:rsidRPr="00B77F1F" w:rsidRDefault="00B579A1" w:rsidP="00B579A1">
      <w:pPr>
        <w:numPr>
          <w:ilvl w:val="0"/>
          <w:numId w:val="1"/>
        </w:numPr>
        <w:spacing w:before="240" w:after="240" w:line="360" w:lineRule="auto"/>
        <w:ind w:left="0" w:firstLine="0"/>
        <w:contextualSpacing/>
        <w:jc w:val="both"/>
        <w:rPr>
          <w:rFonts w:ascii="Palatino Linotype" w:eastAsia="MS Mincho" w:hAnsi="Palatino Linotype"/>
          <w:i/>
          <w:color w:val="000000"/>
        </w:rPr>
      </w:pPr>
      <w:r w:rsidRPr="00240A27">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7948BB">
        <w:rPr>
          <w:rFonts w:ascii="Palatino Linotype" w:eastAsia="Calibri" w:hAnsi="Palatino Linotype" w:cs="Arial"/>
          <w:lang w:val="es-ES"/>
        </w:rPr>
        <w:t>dos (02) de mayo de dos mil veintitrés</w:t>
      </w:r>
      <w:r w:rsidRPr="00240A27">
        <w:rPr>
          <w:rFonts w:ascii="Palatino Linotype" w:eastAsia="Calibri" w:hAnsi="Palatino Linotype" w:cs="Arial"/>
          <w:lang w:val="es-ES"/>
        </w:rPr>
        <w:t xml:space="preserve">, puso a disposición de las partes el expediente electrónico </w:t>
      </w:r>
      <w:r w:rsidRPr="00240A27">
        <w:rPr>
          <w:rFonts w:ascii="Palatino Linotype" w:eastAsia="Calibri" w:hAnsi="Palatino Linotype" w:cs="Arial"/>
        </w:rPr>
        <w:t xml:space="preserve">vía </w:t>
      </w:r>
      <w:r w:rsidRPr="00240A27">
        <w:rPr>
          <w:rFonts w:ascii="Palatino Linotype" w:eastAsia="Calibri" w:hAnsi="Palatino Linotype" w:cs="Arial"/>
          <w:lang w:val="es-ES"/>
        </w:rPr>
        <w:t xml:space="preserve">Sistema de Acceso a la Información Mexiquense </w:t>
      </w:r>
      <w:r w:rsidRPr="00240A27">
        <w:rPr>
          <w:rFonts w:ascii="Palatino Linotype" w:eastAsia="Calibri" w:hAnsi="Palatino Linotype" w:cs="Arial"/>
          <w:b/>
          <w:lang w:val="es-ES"/>
        </w:rPr>
        <w:t xml:space="preserve">(SAIMEX) </w:t>
      </w:r>
      <w:r w:rsidRPr="00240A2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40A27">
        <w:rPr>
          <w:rFonts w:ascii="Palatino Linotype" w:eastAsia="Calibri" w:hAnsi="Palatino Linotype" w:cs="Arial"/>
          <w:b/>
          <w:lang w:val="es-ES"/>
        </w:rPr>
        <w:t>SUJETO OBLIGADO</w:t>
      </w:r>
      <w:r w:rsidRPr="00240A27">
        <w:rPr>
          <w:rFonts w:ascii="Palatino Linotype" w:eastAsia="Calibri" w:hAnsi="Palatino Linotype" w:cs="Arial"/>
          <w:lang w:val="es-ES"/>
        </w:rPr>
        <w:t xml:space="preserve"> presentara el Informe Justificado procedente.  </w:t>
      </w:r>
    </w:p>
    <w:p w:rsidR="00B579A1" w:rsidRPr="003B03F4" w:rsidRDefault="00B579A1" w:rsidP="00B579A1">
      <w:pPr>
        <w:spacing w:before="240" w:after="240" w:line="360" w:lineRule="auto"/>
        <w:contextualSpacing/>
        <w:jc w:val="both"/>
        <w:rPr>
          <w:rFonts w:ascii="Palatino Linotype" w:eastAsia="MS Mincho" w:hAnsi="Palatino Linotype"/>
          <w:i/>
          <w:color w:val="000000"/>
        </w:rPr>
      </w:pPr>
    </w:p>
    <w:p w:rsidR="00B579A1" w:rsidRPr="00E87C99" w:rsidRDefault="00B579A1" w:rsidP="00B579A1">
      <w:pPr>
        <w:numPr>
          <w:ilvl w:val="0"/>
          <w:numId w:val="1"/>
        </w:numPr>
        <w:spacing w:before="240" w:after="240" w:line="360" w:lineRule="auto"/>
        <w:ind w:left="0" w:firstLine="0"/>
        <w:contextualSpacing/>
        <w:jc w:val="both"/>
        <w:rPr>
          <w:rFonts w:ascii="Palatino Linotype" w:eastAsia="MS Mincho" w:hAnsi="Palatino Linotype"/>
          <w:b/>
        </w:rPr>
      </w:pPr>
      <w:r w:rsidRPr="00240A27">
        <w:rPr>
          <w:rFonts w:ascii="Palatino Linotype" w:eastAsia="Calibri" w:hAnsi="Palatino Linotype" w:cs="Arial"/>
          <w:lang w:val="es-ES"/>
        </w:rPr>
        <w:t>De las constancias que obran en el expediente electrónico SAIMEX, se advierte que el particular no realizó manifestaciones, ni ofreció pruebas o alegatos que a su derecho conviniera; por</w:t>
      </w:r>
      <w:r>
        <w:rPr>
          <w:rFonts w:ascii="Palatino Linotype" w:eastAsia="Calibri" w:hAnsi="Palatino Linotype" w:cs="Arial"/>
          <w:lang w:val="es-ES"/>
        </w:rPr>
        <w:t xml:space="preserve"> su parte el Sujeto Obligado no remitió informe justificado.</w:t>
      </w:r>
    </w:p>
    <w:p w:rsidR="00B579A1" w:rsidRPr="00BF53CF" w:rsidRDefault="00B579A1" w:rsidP="00B579A1">
      <w:pPr>
        <w:pStyle w:val="Prrafodelista"/>
        <w:numPr>
          <w:ilvl w:val="0"/>
          <w:numId w:val="1"/>
        </w:numPr>
        <w:spacing w:before="240" w:after="240" w:line="360" w:lineRule="auto"/>
        <w:ind w:left="0" w:firstLine="0"/>
        <w:jc w:val="both"/>
        <w:rPr>
          <w:rFonts w:ascii="Palatino Linotype" w:eastAsia="MS Mincho" w:hAnsi="Palatino Linotype"/>
          <w:b/>
          <w:sz w:val="24"/>
        </w:rPr>
      </w:pPr>
      <w:r w:rsidRPr="00BF53CF">
        <w:rPr>
          <w:rFonts w:ascii="Palatino Linotype" w:eastAsia="MS Mincho" w:hAnsi="Palatino Linotype"/>
          <w:sz w:val="24"/>
        </w:rPr>
        <w:t>La Comisionada Ponente decretó el cierre de instrucción</w:t>
      </w:r>
      <w:r w:rsidRPr="00BF53CF">
        <w:rPr>
          <w:rFonts w:ascii="Palatino Linotype" w:eastAsia="MS Mincho" w:hAnsi="Palatino Linotype" w:cs="Arial"/>
          <w:sz w:val="24"/>
        </w:rPr>
        <w:t xml:space="preserve"> </w:t>
      </w:r>
      <w:r w:rsidRPr="00BF53CF">
        <w:rPr>
          <w:rFonts w:ascii="Palatino Linotype" w:eastAsia="MS Mincho" w:hAnsi="Palatino Linotype"/>
          <w:sz w:val="24"/>
        </w:rPr>
        <w:t xml:space="preserve">mediante acuerdo de fecha </w:t>
      </w:r>
      <w:r w:rsidR="007948BB">
        <w:rPr>
          <w:rFonts w:ascii="Palatino Linotype" w:eastAsia="MS Mincho" w:hAnsi="Palatino Linotype"/>
          <w:sz w:val="24"/>
        </w:rPr>
        <w:t>veinticinco (25) de mayo de dos mil veintitrés</w:t>
      </w:r>
      <w:r w:rsidRPr="00BF53CF">
        <w:rPr>
          <w:rFonts w:ascii="Palatino Linotype" w:eastAsia="MS Mincho" w:hAnsi="Palatino Linotype"/>
          <w:sz w:val="24"/>
        </w:rPr>
        <w:t xml:space="preserve">. </w:t>
      </w:r>
    </w:p>
    <w:p w:rsidR="00B579A1" w:rsidRPr="00240A27" w:rsidRDefault="00B579A1" w:rsidP="00B579A1">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240A27">
        <w:rPr>
          <w:rFonts w:ascii="Palatino Linotype" w:eastAsia="MS Gothic" w:hAnsi="Palatino Linotype"/>
          <w:b/>
          <w:lang w:eastAsia="en-US"/>
        </w:rPr>
        <w:t>CONSIDERANDO</w:t>
      </w:r>
      <w:bookmarkEnd w:id="7"/>
      <w:bookmarkEnd w:id="8"/>
      <w:bookmarkEnd w:id="9"/>
    </w:p>
    <w:p w:rsidR="00B579A1" w:rsidRPr="00240A27" w:rsidRDefault="00B579A1" w:rsidP="00B579A1">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240A27">
        <w:rPr>
          <w:rFonts w:ascii="Palatino Linotype" w:eastAsia="MS Gothic" w:hAnsi="Palatino Linotype"/>
          <w:b/>
          <w:lang w:eastAsia="en-US"/>
        </w:rPr>
        <w:t>PRIMERO. De la competencia</w:t>
      </w:r>
      <w:bookmarkEnd w:id="10"/>
      <w:bookmarkEnd w:id="11"/>
      <w:r w:rsidRPr="00240A27">
        <w:rPr>
          <w:rFonts w:ascii="Palatino Linotype" w:eastAsia="MS Gothic" w:hAnsi="Palatino Linotype"/>
          <w:b/>
          <w:lang w:eastAsia="en-US"/>
        </w:rPr>
        <w:t>.</w:t>
      </w:r>
      <w:bookmarkEnd w:id="12"/>
    </w:p>
    <w:p w:rsidR="007948BB" w:rsidRPr="007948BB" w:rsidRDefault="007948BB" w:rsidP="007948BB">
      <w:pPr>
        <w:pStyle w:val="Prrafodelista"/>
        <w:numPr>
          <w:ilvl w:val="0"/>
          <w:numId w:val="1"/>
        </w:numPr>
        <w:spacing w:line="360" w:lineRule="auto"/>
        <w:ind w:left="0" w:firstLine="0"/>
        <w:jc w:val="both"/>
        <w:rPr>
          <w:rFonts w:ascii="Palatino Linotype" w:hAnsi="Palatino Linotype"/>
          <w:sz w:val="24"/>
        </w:rPr>
      </w:pPr>
      <w:r w:rsidRPr="00CC7745">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w:t>
      </w:r>
      <w:r w:rsidRPr="007E34F7">
        <w:rPr>
          <w:rFonts w:ascii="Palatino Linotype" w:hAnsi="Palatino Linotype"/>
          <w:b/>
          <w:sz w:val="24"/>
        </w:rPr>
        <w:t>Constitución Política de los Estados Unidos Mexicanos</w:t>
      </w:r>
      <w:r w:rsidRPr="00CC7745">
        <w:rPr>
          <w:rFonts w:ascii="Palatino Linotype" w:hAnsi="Palatino Linotype"/>
          <w:sz w:val="24"/>
        </w:rPr>
        <w:t xml:space="preserve">; 5, párrafos trigésimo, trigésimo primero y trigésimo segundo, </w:t>
      </w:r>
      <w:r w:rsidRPr="00CC7745">
        <w:rPr>
          <w:rFonts w:ascii="Palatino Linotype" w:hAnsi="Palatino Linotype"/>
          <w:sz w:val="24"/>
        </w:rPr>
        <w:lastRenderedPageBreak/>
        <w:t xml:space="preserve">fracciones IV y V, de la </w:t>
      </w:r>
      <w:r w:rsidRPr="007E34F7">
        <w:rPr>
          <w:rFonts w:ascii="Palatino Linotype" w:hAnsi="Palatino Linotype"/>
          <w:b/>
          <w:sz w:val="24"/>
        </w:rPr>
        <w:t>Constitución Política del Estado Libre y Soberano de México</w:t>
      </w:r>
      <w:r w:rsidRPr="00CC7745">
        <w:rPr>
          <w:rFonts w:ascii="Palatino Linotype" w:hAnsi="Palatino Linotype"/>
          <w:sz w:val="24"/>
        </w:rPr>
        <w:t xml:space="preserve">; artículos 1, 2 fracción II, 13, 29, 36 fracciones I y II, 176, 178, 179, 181 párrafo tercero y 185 de la </w:t>
      </w:r>
      <w:r w:rsidRPr="007E34F7">
        <w:rPr>
          <w:rFonts w:ascii="Palatino Linotype" w:hAnsi="Palatino Linotype"/>
          <w:b/>
          <w:sz w:val="24"/>
        </w:rPr>
        <w:t>Ley de Transparencia y Acceso a la Información Pública del Estado de México y Municipios</w:t>
      </w:r>
      <w:r w:rsidRPr="00CC7745">
        <w:rPr>
          <w:rFonts w:ascii="Palatino Linotype" w:hAnsi="Palatino Linotype"/>
          <w:sz w:val="24"/>
        </w:rPr>
        <w:t xml:space="preserve">; 6, 9 fracciones I y XXIII, y 11 del </w:t>
      </w:r>
      <w:r w:rsidRPr="007E34F7">
        <w:rPr>
          <w:rFonts w:ascii="Palatino Linotype" w:hAnsi="Palatino Linotype"/>
          <w:b/>
          <w:sz w:val="24"/>
        </w:rPr>
        <w:t>Reglamento Interior del Instituto de Transparencia, Acceso a la Información Pública y Protección de Datos Personales del Estado de México y Municipios</w:t>
      </w:r>
      <w:r w:rsidRPr="00CC7745">
        <w:rPr>
          <w:rFonts w:ascii="Palatino Linotype" w:hAnsi="Palatino Linotype"/>
          <w:sz w:val="24"/>
        </w:rPr>
        <w:t>.</w:t>
      </w:r>
    </w:p>
    <w:p w:rsidR="00B579A1" w:rsidRPr="00240A27" w:rsidRDefault="00B579A1" w:rsidP="00B579A1">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240A27">
        <w:rPr>
          <w:rFonts w:ascii="Palatino Linotype" w:eastAsia="MS Gothic" w:hAnsi="Palatino Linotype"/>
          <w:b/>
          <w:lang w:eastAsia="en-US"/>
        </w:rPr>
        <w:t>SEGUNDO. De la oportunidad y procedencia.</w:t>
      </w:r>
      <w:bookmarkEnd w:id="13"/>
      <w:bookmarkEnd w:id="14"/>
      <w:bookmarkEnd w:id="15"/>
    </w:p>
    <w:p w:rsidR="00B579A1" w:rsidRPr="00050C35" w:rsidRDefault="00B579A1" w:rsidP="00B579A1">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240A27">
        <w:rPr>
          <w:rFonts w:ascii="Palatino Linotype" w:eastAsia="Calibri" w:hAnsi="Palatino Linotype" w:cs="Arial"/>
          <w:lang w:val="es-ES_tradnl" w:eastAsia="es-ES"/>
        </w:rPr>
        <w:t xml:space="preserve">El medio de impugnación fue presentado a través del </w:t>
      </w:r>
      <w:r w:rsidRPr="00240A27">
        <w:rPr>
          <w:rFonts w:ascii="Palatino Linotype" w:eastAsia="Calibri" w:hAnsi="Palatino Linotype" w:cs="Arial"/>
          <w:b/>
          <w:lang w:val="es-ES_tradnl" w:eastAsia="es-ES"/>
        </w:rPr>
        <w:t>SAIMEX,</w:t>
      </w:r>
      <w:r w:rsidRPr="00240A27">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240A27">
        <w:rPr>
          <w:rFonts w:ascii="Palatino Linotype" w:eastAsia="Calibri" w:hAnsi="Palatino Linotype" w:cs="Arial"/>
          <w:b/>
          <w:lang w:val="es-ES_tradnl" w:eastAsia="es-ES"/>
        </w:rPr>
        <w:t>SUJETO OBLIGADO</w:t>
      </w:r>
      <w:r>
        <w:rPr>
          <w:rFonts w:ascii="Palatino Linotype" w:eastAsia="Calibri" w:hAnsi="Palatino Linotype" w:cs="Arial"/>
          <w:lang w:val="es-ES_tradnl" w:eastAsia="es-ES"/>
        </w:rPr>
        <w:t xml:space="preserve"> entregó respuesta el día </w:t>
      </w:r>
      <w:r w:rsidR="001819B5">
        <w:rPr>
          <w:rFonts w:ascii="Palatino Linotype" w:eastAsia="Calibri" w:hAnsi="Palatino Linotype" w:cs="Arial"/>
          <w:lang w:val="es-ES_tradnl" w:eastAsia="es-ES"/>
        </w:rPr>
        <w:t>dieciocho (18) de abril de dos mil veintitrés</w:t>
      </w:r>
      <w:r w:rsidRPr="00240A27">
        <w:rPr>
          <w:rFonts w:ascii="Palatino Linotype" w:eastAsia="Calibri" w:hAnsi="Palatino Linotype" w:cs="Arial"/>
          <w:lang w:val="es-ES_tradnl" w:eastAsia="es-ES"/>
        </w:rPr>
        <w:t xml:space="preserve">, </w:t>
      </w:r>
      <w:r w:rsidRPr="00240A27">
        <w:rPr>
          <w:rFonts w:ascii="Palatino Linotype" w:eastAsiaTheme="minorEastAsia" w:hAnsi="Palatino Linotype" w:cs="Arial"/>
          <w:lang w:val="es-ES_tradnl" w:eastAsia="es-ES"/>
        </w:rPr>
        <w:t xml:space="preserve">de tal forma que el plazo para interponer el recurso transcurrió del </w:t>
      </w:r>
      <w:r w:rsidR="001819B5">
        <w:rPr>
          <w:rFonts w:ascii="Palatino Linotype" w:eastAsiaTheme="minorEastAsia" w:hAnsi="Palatino Linotype" w:cs="Arial"/>
          <w:lang w:val="es-ES_tradnl" w:eastAsia="es-ES"/>
        </w:rPr>
        <w:t>diecinueve (19) de abril al once (11) de mayo de dos mil veintitrés</w:t>
      </w:r>
      <w:r w:rsidRPr="00240A27">
        <w:rPr>
          <w:rFonts w:ascii="Palatino Linotype" w:eastAsiaTheme="minorEastAsia" w:hAnsi="Palatino Linotype" w:cs="Arial"/>
          <w:lang w:val="es-ES_tradnl" w:eastAsia="es-ES"/>
        </w:rPr>
        <w:t xml:space="preserve">; en consecuencia, si el particular presentó su inconformidad el día </w:t>
      </w:r>
      <w:r>
        <w:rPr>
          <w:rFonts w:ascii="Palatino Linotype" w:eastAsiaTheme="minorEastAsia" w:hAnsi="Palatino Linotype" w:cs="Arial"/>
          <w:lang w:val="es-ES_tradnl" w:eastAsia="es-ES"/>
        </w:rPr>
        <w:t>veintiuno (21) de noviembre</w:t>
      </w:r>
      <w:r w:rsidRPr="00240A27">
        <w:rPr>
          <w:rFonts w:ascii="Palatino Linotype" w:eastAsiaTheme="minorEastAsia" w:hAnsi="Palatino Linotype" w:cs="Arial"/>
          <w:lang w:val="es-ES_tradnl" w:eastAsia="es-ES"/>
        </w:rPr>
        <w:t xml:space="preserve"> del presente año, se encuentra dentro de los márgenes temporales previstos en el artículo 178 de la </w:t>
      </w:r>
      <w:r w:rsidRPr="00240A27">
        <w:rPr>
          <w:rFonts w:ascii="Palatino Linotype" w:eastAsiaTheme="minorEastAsia" w:hAnsi="Palatino Linotype" w:cs="Arial"/>
          <w:b/>
          <w:lang w:val="es-ES_tradnl" w:eastAsia="es-ES"/>
        </w:rPr>
        <w:t xml:space="preserve">Ley de Transparencia y Acceso a la Información Pública del Estado de México y Municipios </w:t>
      </w:r>
      <w:r w:rsidRPr="00240A27">
        <w:rPr>
          <w:rFonts w:ascii="Palatino Linotype" w:eastAsiaTheme="minorEastAsia" w:hAnsi="Palatino Linotype" w:cs="Arial"/>
          <w:lang w:val="es-ES_tradnl" w:eastAsia="es-ES"/>
        </w:rPr>
        <w:t xml:space="preserve">vigente. </w:t>
      </w:r>
    </w:p>
    <w:p w:rsidR="00B579A1" w:rsidRPr="00240A27" w:rsidRDefault="00B579A1" w:rsidP="00B579A1">
      <w:pPr>
        <w:spacing w:before="240" w:after="240" w:line="360" w:lineRule="auto"/>
        <w:ind w:right="48"/>
        <w:contextualSpacing/>
        <w:jc w:val="both"/>
        <w:rPr>
          <w:rFonts w:ascii="Palatino Linotype" w:eastAsiaTheme="minorEastAsia" w:hAnsi="Palatino Linotype"/>
          <w:lang w:val="es-ES_tradnl" w:eastAsia="es-ES"/>
        </w:rPr>
      </w:pPr>
    </w:p>
    <w:p w:rsidR="001819B5" w:rsidRPr="001819B5" w:rsidRDefault="001819B5" w:rsidP="001819B5">
      <w:pPr>
        <w:numPr>
          <w:ilvl w:val="0"/>
          <w:numId w:val="1"/>
        </w:numPr>
        <w:spacing w:line="360" w:lineRule="auto"/>
        <w:ind w:left="0" w:firstLine="0"/>
        <w:contextualSpacing/>
        <w:jc w:val="both"/>
        <w:rPr>
          <w:rFonts w:ascii="Palatino Linotype" w:eastAsia="Calibri" w:hAnsi="Palatino Linotype" w:cs="Arial"/>
          <w:lang w:val="es-ES_tradnl" w:eastAsia="es-ES"/>
        </w:rPr>
      </w:pPr>
      <w:r w:rsidRPr="001819B5">
        <w:rPr>
          <w:rFonts w:ascii="Palatino Linotype" w:eastAsia="Calibri" w:hAnsi="Palatino Linotype" w:cs="Arial"/>
          <w:lang w:val="es-ES_tradnl" w:eastAsia="es-ES"/>
        </w:rPr>
        <w:t xml:space="preserve">Por otra parte, de la revisión al expediente electrónico del </w:t>
      </w:r>
      <w:r w:rsidRPr="001819B5">
        <w:rPr>
          <w:rFonts w:ascii="Palatino Linotype" w:eastAsia="Calibri" w:hAnsi="Palatino Linotype" w:cs="Arial"/>
          <w:b/>
          <w:lang w:val="es-ES_tradnl" w:eastAsia="es-ES"/>
        </w:rPr>
        <w:t>SAIMEX</w:t>
      </w:r>
      <w:r w:rsidRPr="001819B5">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w:t>
      </w:r>
      <w:r w:rsidRPr="001819B5">
        <w:rPr>
          <w:rFonts w:ascii="Palatino Linotype" w:eastAsia="Calibri" w:hAnsi="Palatino Linotype" w:cs="Arial"/>
          <w:lang w:val="es-ES_tradnl" w:eastAsia="es-ES"/>
        </w:rPr>
        <w:lastRenderedPageBreak/>
        <w:t>tramitación del acto procesal específico en materia de acceso a la información, ello en estricto apego al numeral 155 párrafo tercero de la Ley de la materia, en concatenación con el 180 del mismo ordenamiento.</w:t>
      </w:r>
    </w:p>
    <w:p w:rsidR="001819B5" w:rsidRPr="001819B5" w:rsidRDefault="001819B5" w:rsidP="001819B5">
      <w:pPr>
        <w:pStyle w:val="Prrafodelista"/>
        <w:ind w:left="0"/>
        <w:rPr>
          <w:rFonts w:ascii="Palatino Linotype" w:eastAsia="Calibri" w:hAnsi="Palatino Linotype" w:cs="Arial"/>
          <w:sz w:val="24"/>
          <w:lang w:val="es-ES_tradnl" w:eastAsia="es-ES"/>
        </w:rPr>
      </w:pPr>
    </w:p>
    <w:p w:rsidR="001819B5" w:rsidRPr="001819B5" w:rsidRDefault="001819B5" w:rsidP="001819B5">
      <w:pPr>
        <w:numPr>
          <w:ilvl w:val="0"/>
          <w:numId w:val="1"/>
        </w:numPr>
        <w:spacing w:line="360" w:lineRule="auto"/>
        <w:ind w:left="0" w:firstLine="0"/>
        <w:contextualSpacing/>
        <w:jc w:val="both"/>
        <w:rPr>
          <w:rFonts w:ascii="Palatino Linotype" w:eastAsia="Calibri" w:hAnsi="Palatino Linotype" w:cs="Arial"/>
          <w:lang w:val="es-ES_tradnl" w:eastAsia="es-ES"/>
        </w:rPr>
      </w:pPr>
      <w:r w:rsidRPr="001819B5">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1819B5">
        <w:rPr>
          <w:rFonts w:ascii="Palatino Linotype" w:eastAsia="Calibri" w:hAnsi="Palatino Linotype" w:cs="Arial"/>
          <w:bCs/>
          <w:lang w:val="es-ES" w:eastAsia="es-ES"/>
        </w:rPr>
        <w:t xml:space="preserve">5, párrafos vigésimo, </w:t>
      </w:r>
      <w:r w:rsidR="00C269F8">
        <w:rPr>
          <w:rFonts w:ascii="Palatino Linotype" w:eastAsia="Calibri" w:hAnsi="Palatino Linotype" w:cs="Arial"/>
          <w:bCs/>
          <w:lang w:val="es-ES" w:eastAsia="es-ES"/>
        </w:rPr>
        <w:t>vigésimo primero y vigésimo segu</w:t>
      </w:r>
      <w:r w:rsidRPr="001819B5">
        <w:rPr>
          <w:rFonts w:ascii="Palatino Linotype" w:eastAsia="Calibri" w:hAnsi="Palatino Linotype" w:cs="Arial"/>
          <w:bCs/>
          <w:lang w:val="es-ES" w:eastAsia="es-ES"/>
        </w:rPr>
        <w:t>ndo fracciones IV y V </w:t>
      </w:r>
      <w:r w:rsidRPr="001819B5">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819B5" w:rsidRPr="001819B5" w:rsidRDefault="001819B5" w:rsidP="001819B5">
      <w:pPr>
        <w:pStyle w:val="Prrafodelista"/>
        <w:ind w:left="0"/>
        <w:rPr>
          <w:rFonts w:ascii="Palatino Linotype" w:eastAsia="Calibri" w:hAnsi="Palatino Linotype" w:cs="Arial"/>
          <w:sz w:val="24"/>
          <w:lang w:val="es-ES_tradnl" w:eastAsia="es-ES"/>
        </w:rPr>
      </w:pPr>
    </w:p>
    <w:p w:rsidR="001819B5" w:rsidRPr="001819B5" w:rsidRDefault="001819B5" w:rsidP="001819B5">
      <w:pPr>
        <w:numPr>
          <w:ilvl w:val="0"/>
          <w:numId w:val="1"/>
        </w:numPr>
        <w:spacing w:line="360" w:lineRule="auto"/>
        <w:ind w:left="0" w:firstLine="0"/>
        <w:contextualSpacing/>
        <w:jc w:val="both"/>
        <w:rPr>
          <w:rFonts w:ascii="Palatino Linotype" w:eastAsia="Calibri" w:hAnsi="Palatino Linotype" w:cs="Arial"/>
          <w:lang w:val="es-ES_tradnl" w:eastAsia="es-ES"/>
        </w:rPr>
      </w:pPr>
      <w:r w:rsidRPr="001819B5">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819B5" w:rsidRPr="001819B5" w:rsidRDefault="001819B5" w:rsidP="001819B5">
      <w:pPr>
        <w:pStyle w:val="Prrafodelista"/>
        <w:ind w:left="0"/>
        <w:rPr>
          <w:rFonts w:ascii="Palatino Linotype" w:eastAsia="Calibri" w:hAnsi="Palatino Linotype" w:cs="Arial"/>
          <w:sz w:val="24"/>
          <w:lang w:val="es-ES_tradnl" w:eastAsia="es-ES"/>
        </w:rPr>
      </w:pPr>
    </w:p>
    <w:p w:rsidR="001819B5" w:rsidRPr="001819B5" w:rsidRDefault="001819B5" w:rsidP="001819B5">
      <w:pPr>
        <w:numPr>
          <w:ilvl w:val="0"/>
          <w:numId w:val="1"/>
        </w:numPr>
        <w:spacing w:line="360" w:lineRule="auto"/>
        <w:ind w:left="0" w:firstLine="0"/>
        <w:contextualSpacing/>
        <w:jc w:val="both"/>
        <w:rPr>
          <w:rFonts w:ascii="Palatino Linotype" w:eastAsia="Calibri" w:hAnsi="Palatino Linotype" w:cs="Arial"/>
          <w:lang w:val="es-ES_tradnl" w:eastAsia="es-ES"/>
        </w:rPr>
      </w:pPr>
      <w:r w:rsidRPr="001819B5">
        <w:rPr>
          <w:rFonts w:ascii="Palatino Linotype" w:eastAsia="Calibri" w:hAnsi="Palatino Linotype" w:cs="Arial"/>
          <w:lang w:val="es-ES_tradnl" w:eastAsia="es-ES"/>
        </w:rPr>
        <w:t xml:space="preserve">En ese entendido, se omite un análisis más profundo en torno a los conceptos de interés jurídico y legitimación, debido a que se estima que a ningún efecto práctico </w:t>
      </w:r>
      <w:r w:rsidRPr="001819B5">
        <w:rPr>
          <w:rFonts w:ascii="Palatino Linotype" w:eastAsia="Calibri" w:hAnsi="Palatino Linotype" w:cs="Arial"/>
          <w:lang w:val="es-ES_tradnl" w:eastAsia="es-ES"/>
        </w:rPr>
        <w:lastRenderedPageBreak/>
        <w:t>conduciría, puesto que la propia estructura del derecho fundamental bajo análisis no lo exige.</w:t>
      </w:r>
    </w:p>
    <w:p w:rsidR="001819B5" w:rsidRPr="001819B5" w:rsidRDefault="001819B5" w:rsidP="001819B5">
      <w:pPr>
        <w:pStyle w:val="Prrafodelista"/>
        <w:ind w:left="0"/>
        <w:rPr>
          <w:rFonts w:ascii="Palatino Linotype" w:eastAsia="Calibri" w:hAnsi="Palatino Linotype" w:cs="Arial"/>
          <w:sz w:val="24"/>
          <w:lang w:val="es-ES_tradnl" w:eastAsia="es-ES"/>
        </w:rPr>
      </w:pPr>
    </w:p>
    <w:p w:rsidR="001819B5" w:rsidRPr="001819B5" w:rsidRDefault="001819B5" w:rsidP="001819B5">
      <w:pPr>
        <w:numPr>
          <w:ilvl w:val="0"/>
          <w:numId w:val="1"/>
        </w:numPr>
        <w:spacing w:line="360" w:lineRule="auto"/>
        <w:ind w:left="0" w:firstLine="0"/>
        <w:contextualSpacing/>
        <w:jc w:val="both"/>
        <w:rPr>
          <w:rFonts w:ascii="Palatino Linotype" w:eastAsia="Calibri" w:hAnsi="Palatino Linotype" w:cs="Arial"/>
          <w:lang w:val="es-ES_tradnl" w:eastAsia="es-ES"/>
        </w:rPr>
      </w:pPr>
      <w:r w:rsidRPr="001819B5">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1819B5" w:rsidRPr="001819B5" w:rsidRDefault="001819B5" w:rsidP="001819B5">
      <w:pPr>
        <w:spacing w:before="240" w:after="240" w:line="360" w:lineRule="auto"/>
        <w:ind w:right="49"/>
        <w:contextualSpacing/>
        <w:jc w:val="both"/>
        <w:rPr>
          <w:rFonts w:ascii="Palatino Linotype" w:eastAsia="Calibri" w:hAnsi="Palatino Linotype" w:cs="Arial"/>
          <w:b/>
        </w:rPr>
      </w:pPr>
    </w:p>
    <w:p w:rsidR="00B579A1" w:rsidRDefault="00B579A1" w:rsidP="00B579A1">
      <w:pPr>
        <w:numPr>
          <w:ilvl w:val="0"/>
          <w:numId w:val="1"/>
        </w:numPr>
        <w:spacing w:before="240" w:after="240" w:line="360" w:lineRule="auto"/>
        <w:ind w:left="0" w:right="49" w:firstLine="0"/>
        <w:contextualSpacing/>
        <w:jc w:val="both"/>
        <w:rPr>
          <w:rFonts w:ascii="Palatino Linotype" w:eastAsia="Calibri" w:hAnsi="Palatino Linotype" w:cs="Arial"/>
          <w:b/>
        </w:rPr>
      </w:pPr>
      <w:r w:rsidRPr="00240A27">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579A1" w:rsidRDefault="00B579A1" w:rsidP="00B579A1">
      <w:pPr>
        <w:rPr>
          <w:rFonts w:ascii="Palatino Linotype" w:eastAsia="Calibri" w:hAnsi="Palatino Linotype" w:cs="Arial"/>
          <w:b/>
        </w:rPr>
      </w:pPr>
    </w:p>
    <w:p w:rsidR="00B579A1" w:rsidRPr="00240A27" w:rsidRDefault="00B579A1" w:rsidP="00B579A1">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Pr>
          <w:rFonts w:ascii="Palatino Linotype" w:eastAsia="MS Mincho" w:hAnsi="Palatino Linotype" w:cstheme="majorBidi"/>
          <w:b/>
          <w:lang w:val="es-ES_tradnl" w:eastAsia="es-ES"/>
        </w:rPr>
        <w:t xml:space="preserve">TERCERO. </w:t>
      </w:r>
      <w:r w:rsidRPr="00240A27">
        <w:rPr>
          <w:rFonts w:ascii="Palatino Linotype" w:eastAsia="MS Mincho" w:hAnsi="Palatino Linotype" w:cstheme="majorBidi"/>
          <w:b/>
          <w:lang w:val="es-ES_tradnl" w:eastAsia="es-ES"/>
        </w:rPr>
        <w:t>Planteamiento de la Litis</w:t>
      </w:r>
      <w:r w:rsidRPr="00240A27">
        <w:rPr>
          <w:rFonts w:ascii="Palatino Linotype" w:eastAsia="MS Gothic" w:hAnsi="Palatino Linotype"/>
          <w:b/>
        </w:rPr>
        <w:t>.</w:t>
      </w:r>
      <w:bookmarkEnd w:id="16"/>
      <w:bookmarkEnd w:id="17"/>
    </w:p>
    <w:p w:rsidR="00B579A1" w:rsidRPr="001819B5" w:rsidRDefault="001819B5" w:rsidP="00302656">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Pr>
          <w:rFonts w:ascii="Palatino Linotype" w:hAnsi="Palatino Linotype" w:cs="Arial"/>
          <w:color w:val="000000" w:themeColor="text1"/>
          <w:sz w:val="24"/>
        </w:rPr>
        <w:t>El particular solicitó</w:t>
      </w:r>
      <w:r w:rsidRPr="001819B5">
        <w:rPr>
          <w:rFonts w:ascii="Palatino Linotype" w:hAnsi="Palatino Linotype" w:cs="Arial"/>
          <w:color w:val="000000" w:themeColor="text1"/>
          <w:sz w:val="24"/>
        </w:rPr>
        <w:t xml:space="preserve"> </w:t>
      </w:r>
      <w:r w:rsidRPr="001819B5">
        <w:rPr>
          <w:rFonts w:ascii="Palatino Linotype" w:hAnsi="Palatino Linotype" w:cs="Arial"/>
          <w:i/>
          <w:color w:val="000000" w:themeColor="text1"/>
          <w:sz w:val="24"/>
        </w:rPr>
        <w:t xml:space="preserve">“…saber para cuando el Ayuntamiento de Almoloya de Juárez pavimentara o realizara un bacheo en la carretera principal de la localidad de "SANTA CATARINA TABERNILLAS" del tramo que comprende de la iglesia ubicada en el centro de dicha localidad hasta donde termina el pavimento dirección a la comunidad conocida como la Lagunita, cabe hacer mención que la Pseudo-Delegada de dicha localidad es una inepta, prepotente y corrupta, misma que según ella presumió en sus redes sociales el disque "bacheo" dentro del siguiente enlace se puede constatar https://www.facebook.com/photo/?fbid=165612649469148&amp;set=pb.100080612401893.-2207520000, cosa que fue una vil mentira. Es por ello que solicito por medio de este medio me </w:t>
      </w:r>
      <w:r w:rsidRPr="001819B5">
        <w:rPr>
          <w:rFonts w:ascii="Palatino Linotype" w:hAnsi="Palatino Linotype" w:cs="Arial"/>
          <w:i/>
          <w:color w:val="000000" w:themeColor="text1"/>
          <w:sz w:val="24"/>
        </w:rPr>
        <w:lastRenderedPageBreak/>
        <w:t>indiquen para cuando se tiene planeado bachear, así como el presupuesto que se tiene destinado para dicho concepto "bacheo o reencarpetamiento". Y aclaro que una vez que la Unidad de Transparencia turne el oficio al Servidor Público Habilitado de la Dirección de Obras Públicas, el deberá contestar con veracidad y no salir con su falacia que no hay presupuesto, por que en la fecha que estamos ya hay recursos dentro de Ayuntamiento para todo este tipo de trabajos. Aprovechando pido el oficio de requerimiento de información que se le turne al SPH y el cual no se debe testar nada, y de ser conveniente el punto de acuerdo sesionado dentro del Comité de Transparencia de la Administración 2022-2024 del Ayuntamiento de Almoloya de Juárez, par</w:t>
      </w:r>
      <w:r>
        <w:rPr>
          <w:rFonts w:ascii="Palatino Linotype" w:hAnsi="Palatino Linotype" w:cs="Arial"/>
          <w:i/>
          <w:color w:val="000000" w:themeColor="text1"/>
          <w:sz w:val="24"/>
        </w:rPr>
        <w:t>a la entrega en versión pública</w:t>
      </w:r>
      <w:r w:rsidRPr="001819B5">
        <w:rPr>
          <w:rFonts w:ascii="Palatino Linotype" w:hAnsi="Palatino Linotype" w:cs="Arial"/>
          <w:i/>
          <w:color w:val="000000" w:themeColor="text1"/>
          <w:sz w:val="24"/>
        </w:rPr>
        <w:t>.</w:t>
      </w:r>
      <w:r>
        <w:rPr>
          <w:rFonts w:ascii="Palatino Linotype" w:hAnsi="Palatino Linotype" w:cs="Arial"/>
          <w:i/>
          <w:color w:val="000000" w:themeColor="text1"/>
          <w:sz w:val="24"/>
        </w:rPr>
        <w:t>”</w:t>
      </w:r>
    </w:p>
    <w:p w:rsidR="001819B5" w:rsidRPr="001819B5" w:rsidRDefault="001819B5" w:rsidP="001819B5">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B579A1" w:rsidRPr="00A358FA" w:rsidRDefault="00B579A1" w:rsidP="00B579A1">
      <w:pPr>
        <w:pStyle w:val="Prrafodelista"/>
        <w:numPr>
          <w:ilvl w:val="0"/>
          <w:numId w:val="1"/>
        </w:numPr>
        <w:spacing w:line="360" w:lineRule="auto"/>
        <w:ind w:left="0" w:firstLine="0"/>
        <w:jc w:val="both"/>
        <w:rPr>
          <w:rFonts w:ascii="Palatino Linotype" w:hAnsi="Palatino Linotype" w:cs="Arial"/>
          <w:sz w:val="24"/>
          <w:lang w:val="es-ES"/>
        </w:rPr>
      </w:pPr>
      <w:r w:rsidRPr="00240A27">
        <w:rPr>
          <w:rFonts w:ascii="Palatino Linotype" w:hAnsi="Palatino Linotype"/>
          <w:iCs/>
          <w:color w:val="000000"/>
          <w:sz w:val="24"/>
        </w:rPr>
        <w:t xml:space="preserve">En respuesta, el SUJETO OBLIGADO </w:t>
      </w:r>
      <w:r w:rsidR="001819B5">
        <w:rPr>
          <w:rFonts w:ascii="Palatino Linotype" w:hAnsi="Palatino Linotype"/>
          <w:iCs/>
          <w:color w:val="000000"/>
          <w:sz w:val="24"/>
        </w:rPr>
        <w:t xml:space="preserve">adjuntó el oficio de requerimiento de información y la respuesta del Director de Obras Públicas quien refirió que esa obra no se encuentra considerada en el programa anual de obras, ni en el programa de bacheo para el ejercicio fiscal 2023. </w:t>
      </w:r>
      <w:r>
        <w:rPr>
          <w:rFonts w:ascii="Palatino Linotype" w:hAnsi="Palatino Linotype"/>
          <w:iCs/>
          <w:color w:val="000000"/>
          <w:sz w:val="24"/>
        </w:rPr>
        <w:t xml:space="preserve"> </w:t>
      </w:r>
      <w:r w:rsidR="001819B5">
        <w:rPr>
          <w:rFonts w:ascii="Palatino Linotype" w:hAnsi="Palatino Linotype"/>
          <w:iCs/>
          <w:color w:val="000000"/>
          <w:sz w:val="24"/>
        </w:rPr>
        <w:t xml:space="preserve">Derivado de la respuesta, el particular se inconformó por la entrega de información incompleta. </w:t>
      </w:r>
    </w:p>
    <w:p w:rsidR="00B579A1" w:rsidRPr="00240A27" w:rsidRDefault="00B579A1" w:rsidP="00B579A1">
      <w:pPr>
        <w:pStyle w:val="Prrafodelista"/>
        <w:rPr>
          <w:rFonts w:ascii="Palatino Linotype" w:eastAsia="MS Gothic" w:hAnsi="Palatino Linotype"/>
          <w:sz w:val="24"/>
        </w:rPr>
      </w:pPr>
    </w:p>
    <w:p w:rsidR="00B579A1" w:rsidRPr="00240A27" w:rsidRDefault="00B579A1" w:rsidP="00B579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240A27">
        <w:rPr>
          <w:rFonts w:ascii="Palatino Linotype" w:eastAsia="MS Gothic" w:hAnsi="Palatino Linotype"/>
          <w:sz w:val="24"/>
        </w:rPr>
        <w:t xml:space="preserve">En consecuencia, la Litis a resolver en este recurso, se circunscribe a determinar si la respuesta colma con </w:t>
      </w:r>
      <w:r>
        <w:rPr>
          <w:rFonts w:ascii="Palatino Linotype" w:eastAsia="MS Gothic" w:hAnsi="Palatino Linotype"/>
          <w:sz w:val="24"/>
        </w:rPr>
        <w:t>lo solicitado o si se actualiza</w:t>
      </w:r>
      <w:r w:rsidR="001819B5">
        <w:rPr>
          <w:rFonts w:ascii="Palatino Linotype" w:eastAsia="MS Gothic" w:hAnsi="Palatino Linotype"/>
          <w:sz w:val="24"/>
        </w:rPr>
        <w:t>n</w:t>
      </w:r>
      <w:r>
        <w:rPr>
          <w:rFonts w:ascii="Palatino Linotype" w:eastAsia="MS Gothic" w:hAnsi="Palatino Linotype"/>
          <w:sz w:val="24"/>
        </w:rPr>
        <w:t xml:space="preserve"> la</w:t>
      </w:r>
      <w:r w:rsidR="001819B5">
        <w:rPr>
          <w:rFonts w:ascii="Palatino Linotype" w:eastAsia="MS Gothic" w:hAnsi="Palatino Linotype"/>
          <w:sz w:val="24"/>
        </w:rPr>
        <w:t>s</w:t>
      </w:r>
      <w:r>
        <w:rPr>
          <w:rFonts w:ascii="Palatino Linotype" w:eastAsia="MS Gothic" w:hAnsi="Palatino Linotype"/>
          <w:sz w:val="24"/>
        </w:rPr>
        <w:t xml:space="preserve"> causal</w:t>
      </w:r>
      <w:r w:rsidR="001819B5">
        <w:rPr>
          <w:rFonts w:ascii="Palatino Linotype" w:eastAsia="MS Gothic" w:hAnsi="Palatino Linotype"/>
          <w:sz w:val="24"/>
        </w:rPr>
        <w:t>es</w:t>
      </w:r>
      <w:r>
        <w:rPr>
          <w:rFonts w:ascii="Palatino Linotype" w:eastAsia="MS Gothic" w:hAnsi="Palatino Linotype"/>
          <w:sz w:val="24"/>
        </w:rPr>
        <w:t xml:space="preserve"> de procedencia prevista</w:t>
      </w:r>
      <w:r w:rsidR="001819B5">
        <w:rPr>
          <w:rFonts w:ascii="Palatino Linotype" w:eastAsia="MS Gothic" w:hAnsi="Palatino Linotype"/>
          <w:sz w:val="24"/>
        </w:rPr>
        <w:t>s</w:t>
      </w:r>
      <w:r w:rsidRPr="00240A27">
        <w:rPr>
          <w:rFonts w:ascii="Palatino Linotype" w:eastAsia="MS Gothic" w:hAnsi="Palatino Linotype"/>
          <w:sz w:val="24"/>
        </w:rPr>
        <w:t xml:space="preserve"> </w:t>
      </w:r>
      <w:r>
        <w:rPr>
          <w:rFonts w:ascii="Palatino Linotype" w:hAnsi="Palatino Linotype"/>
          <w:sz w:val="24"/>
        </w:rPr>
        <w:t>en</w:t>
      </w:r>
      <w:r w:rsidR="001819B5">
        <w:rPr>
          <w:rFonts w:ascii="Palatino Linotype" w:hAnsi="Palatino Linotype"/>
          <w:sz w:val="24"/>
        </w:rPr>
        <w:t xml:space="preserve"> el artículo 179, fracciones I y V</w:t>
      </w:r>
      <w:r>
        <w:rPr>
          <w:rFonts w:ascii="Palatino Linotype" w:hAnsi="Palatino Linotype"/>
          <w:sz w:val="24"/>
        </w:rPr>
        <w:t xml:space="preserve">  </w:t>
      </w:r>
      <w:r w:rsidRPr="00240A27">
        <w:rPr>
          <w:rFonts w:ascii="Palatino Linotype" w:hAnsi="Palatino Linotype"/>
          <w:sz w:val="24"/>
        </w:rPr>
        <w:t>de la Ley de Transparencia y Acceso a la Información Pública del Estado de México y Municipios; que establec</w:t>
      </w:r>
      <w:r w:rsidR="001819B5">
        <w:rPr>
          <w:rFonts w:ascii="Palatino Linotype" w:hAnsi="Palatino Linotype"/>
          <w:sz w:val="24"/>
        </w:rPr>
        <w:t xml:space="preserve">e la negativa de la información y la entrega de información incompleta. </w:t>
      </w:r>
    </w:p>
    <w:p w:rsidR="00B579A1" w:rsidRPr="00240A27" w:rsidRDefault="00B579A1" w:rsidP="00B579A1">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Pr>
          <w:rFonts w:ascii="Palatino Linotype" w:eastAsia="MS Gothic" w:hAnsi="Palatino Linotype"/>
          <w:b/>
          <w:color w:val="auto"/>
          <w:sz w:val="24"/>
          <w:szCs w:val="24"/>
          <w:lang w:val="es-ES_tradnl"/>
        </w:rPr>
        <w:lastRenderedPageBreak/>
        <w:t>CUARTO</w:t>
      </w:r>
      <w:r w:rsidRPr="00240A27">
        <w:rPr>
          <w:rFonts w:ascii="Palatino Linotype" w:eastAsia="MS Gothic" w:hAnsi="Palatino Linotype"/>
          <w:b/>
          <w:color w:val="auto"/>
          <w:sz w:val="24"/>
          <w:szCs w:val="24"/>
          <w:lang w:val="es-ES_tradnl"/>
        </w:rPr>
        <w:t>. Del estudio y resolución del recurso de revisión.</w:t>
      </w:r>
      <w:bookmarkEnd w:id="18"/>
      <w:bookmarkEnd w:id="19"/>
    </w:p>
    <w:p w:rsidR="00B579A1" w:rsidRPr="00240A27" w:rsidRDefault="00B579A1" w:rsidP="00B579A1">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240A27">
        <w:rPr>
          <w:rFonts w:ascii="Palatino Linotype" w:eastAsia="MS Gothic" w:hAnsi="Palatino Linotype"/>
          <w:b/>
          <w:color w:val="auto"/>
          <w:sz w:val="24"/>
          <w:lang w:val="es-ES_tradnl" w:eastAsia="es-ES"/>
        </w:rPr>
        <w:t>I. De</w:t>
      </w:r>
      <w:bookmarkEnd w:id="20"/>
      <w:r w:rsidRPr="00240A27">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rsidR="00B579A1" w:rsidRPr="00240A27" w:rsidRDefault="00B579A1" w:rsidP="00B579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240A27">
        <w:rPr>
          <w:rFonts w:ascii="Palatino Linotype" w:eastAsiaTheme="minorEastAsia" w:hAnsi="Palatino Linotype"/>
          <w:lang w:val="es-ES_tradnl" w:eastAsia="es-ES"/>
        </w:rPr>
        <w:t>E</w:t>
      </w:r>
      <w:r w:rsidRPr="00240A27">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40A27">
        <w:rPr>
          <w:rFonts w:ascii="Palatino Linotype" w:hAnsi="Palatino Linotype" w:cs="Arial"/>
          <w:color w:val="000000"/>
          <w:lang w:val="es-ES_tradnl" w:eastAsia="es-ES"/>
        </w:rPr>
        <w:t xml:space="preserve">. </w:t>
      </w:r>
    </w:p>
    <w:p w:rsidR="00B579A1" w:rsidRPr="00240A27" w:rsidRDefault="00B579A1" w:rsidP="00B579A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240A27">
        <w:rPr>
          <w:rFonts w:ascii="Palatino Linotype" w:hAnsi="Palatino Linotype"/>
          <w:lang w:val="es-ES_tradnl" w:eastAsia="es-ES"/>
        </w:rPr>
        <w:t xml:space="preserve">Definiendo el Derecho de Acceso a la Información Pública como: </w:t>
      </w:r>
      <w:r w:rsidRPr="00240A27">
        <w:rPr>
          <w:rFonts w:ascii="Palatino Linotype" w:eastAsiaTheme="minorEastAsia" w:hAnsi="Palatino Linotype"/>
          <w:i/>
          <w:color w:val="000000"/>
          <w:lang w:val="es-ES_tradnl" w:eastAsia="es-ES"/>
        </w:rPr>
        <w:t>La igualdad de oportunidades para recibir, buscar e impartir información</w:t>
      </w:r>
      <w:r w:rsidRPr="00240A27">
        <w:rPr>
          <w:rFonts w:ascii="Palatino Linotype" w:eastAsiaTheme="minorEastAsia" w:hAnsi="Palatino Linotype"/>
          <w:i/>
          <w:vertAlign w:val="superscript"/>
          <w:lang w:val="es-ES_tradnl" w:eastAsia="es-ES"/>
        </w:rPr>
        <w:footnoteReference w:id="1"/>
      </w:r>
      <w:r w:rsidRPr="00240A2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40A27">
        <w:rPr>
          <w:rFonts w:ascii="Palatino Linotype" w:eastAsiaTheme="minorEastAsia" w:hAnsi="Palatino Linotype"/>
          <w:i/>
          <w:vertAlign w:val="superscript"/>
          <w:lang w:val="es-ES_tradnl" w:eastAsia="es-ES"/>
        </w:rPr>
        <w:footnoteReference w:id="2"/>
      </w:r>
      <w:r w:rsidRPr="00240A27">
        <w:rPr>
          <w:rFonts w:ascii="Palatino Linotype" w:eastAsiaTheme="minorEastAsia" w:hAnsi="Palatino Linotype"/>
          <w:color w:val="000000"/>
          <w:lang w:val="es-ES_tradnl" w:eastAsia="es-ES"/>
        </w:rPr>
        <w:t>que se constituye como una herramienta fundamental para ejercer</w:t>
      </w:r>
      <w:r w:rsidRPr="00240A2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240A27">
        <w:rPr>
          <w:rFonts w:ascii="Palatino Linotype" w:eastAsiaTheme="minorEastAsia" w:hAnsi="Palatino Linotype"/>
          <w:i/>
          <w:vertAlign w:val="superscript"/>
          <w:lang w:val="es-ES_tradnl" w:eastAsia="es-ES"/>
        </w:rPr>
        <w:footnoteReference w:id="3"/>
      </w:r>
      <w:r w:rsidRPr="00240A27">
        <w:rPr>
          <w:rFonts w:ascii="Palatino Linotype" w:eastAsiaTheme="minorEastAsia" w:hAnsi="Palatino Linotype"/>
          <w:color w:val="000000"/>
          <w:lang w:val="es-ES_tradnl" w:eastAsia="es-ES"/>
        </w:rPr>
        <w:t>fomentando</w:t>
      </w:r>
      <w:r w:rsidRPr="00240A27">
        <w:rPr>
          <w:rFonts w:ascii="Palatino Linotype" w:eastAsiaTheme="minorEastAsia" w:hAnsi="Palatino Linotype"/>
          <w:i/>
          <w:color w:val="000000"/>
          <w:lang w:val="es-ES_tradnl" w:eastAsia="es-ES"/>
        </w:rPr>
        <w:t xml:space="preserve"> la transparencia de las actividades estatales y </w:t>
      </w:r>
      <w:r w:rsidRPr="00240A27">
        <w:rPr>
          <w:rFonts w:ascii="Palatino Linotype" w:eastAsiaTheme="minorEastAsia" w:hAnsi="Palatino Linotype"/>
          <w:color w:val="000000"/>
          <w:lang w:val="es-ES_tradnl" w:eastAsia="es-ES"/>
        </w:rPr>
        <w:t>promoviendo</w:t>
      </w:r>
      <w:r w:rsidRPr="00240A27">
        <w:rPr>
          <w:rFonts w:ascii="Palatino Linotype" w:eastAsiaTheme="minorEastAsia" w:hAnsi="Palatino Linotype"/>
          <w:i/>
          <w:color w:val="000000"/>
          <w:lang w:val="es-ES_tradnl" w:eastAsia="es-ES"/>
        </w:rPr>
        <w:t xml:space="preserve"> la responsabilidad de los funcionarios sobre su gestión pública,</w:t>
      </w:r>
      <w:r w:rsidRPr="00240A27">
        <w:rPr>
          <w:rFonts w:ascii="Palatino Linotype" w:eastAsiaTheme="minorEastAsia" w:hAnsi="Palatino Linotype"/>
          <w:i/>
          <w:vertAlign w:val="superscript"/>
          <w:lang w:val="es-ES_tradnl" w:eastAsia="es-ES"/>
        </w:rPr>
        <w:footnoteReference w:id="4"/>
      </w:r>
      <w:r w:rsidRPr="00240A27">
        <w:rPr>
          <w:rFonts w:ascii="Palatino Linotype" w:eastAsiaTheme="minorEastAsia" w:hAnsi="Palatino Linotype"/>
          <w:color w:val="000000"/>
          <w:lang w:val="es-ES_tradnl" w:eastAsia="es-ES"/>
        </w:rPr>
        <w:t>que permite</w:t>
      </w:r>
      <w:r w:rsidRPr="00240A2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B579A1" w:rsidRPr="00240A27" w:rsidRDefault="00B579A1" w:rsidP="00B579A1">
      <w:pPr>
        <w:spacing w:before="240" w:after="240" w:line="360" w:lineRule="auto"/>
        <w:ind w:right="49"/>
        <w:contextualSpacing/>
        <w:jc w:val="both"/>
        <w:rPr>
          <w:rFonts w:ascii="Palatino Linotype" w:eastAsiaTheme="minorEastAsia" w:hAnsi="Palatino Linotype"/>
          <w:lang w:val="es-ES_tradnl" w:eastAsia="es-ES"/>
        </w:rPr>
      </w:pPr>
    </w:p>
    <w:p w:rsidR="00B579A1" w:rsidRPr="00240A27" w:rsidRDefault="00B579A1" w:rsidP="00B579A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240A27">
        <w:rPr>
          <w:rFonts w:ascii="Palatino Linotype" w:hAnsi="Palatino Linotype"/>
          <w:lang w:val="es-ES_tradnl" w:eastAsia="es-ES"/>
        </w:rPr>
        <w:lastRenderedPageBreak/>
        <w:t>En México, además de los derechos, están reconocidas las garantías para su protección, en ese sentido el párrafo tercero de artículo primero de la Constitución Política de los Estados Unidos Mexicanos, dispone lo siguiente:</w:t>
      </w:r>
    </w:p>
    <w:p w:rsidR="00B579A1" w:rsidRPr="00240A27" w:rsidRDefault="00B579A1" w:rsidP="00B579A1">
      <w:pPr>
        <w:spacing w:before="240" w:after="240" w:line="360" w:lineRule="auto"/>
        <w:ind w:right="49"/>
        <w:contextualSpacing/>
        <w:jc w:val="both"/>
        <w:rPr>
          <w:rFonts w:ascii="Palatino Linotype" w:hAnsi="Palatino Linotype"/>
          <w:lang w:val="es-ES_tradnl" w:eastAsia="es-ES"/>
        </w:rPr>
      </w:pPr>
    </w:p>
    <w:p w:rsidR="00B579A1" w:rsidRPr="00240A27" w:rsidRDefault="00B579A1" w:rsidP="00B579A1">
      <w:pPr>
        <w:spacing w:before="240" w:after="240" w:line="360" w:lineRule="auto"/>
        <w:ind w:left="567" w:right="567"/>
        <w:contextualSpacing/>
        <w:jc w:val="both"/>
        <w:rPr>
          <w:rFonts w:ascii="Palatino Linotype" w:hAnsi="Palatino Linotype"/>
          <w:i/>
          <w:sz w:val="22"/>
          <w:lang w:val="es-ES_tradnl" w:eastAsia="es-ES"/>
        </w:rPr>
      </w:pPr>
      <w:r w:rsidRPr="00240A27">
        <w:rPr>
          <w:rFonts w:ascii="Palatino Linotype" w:hAnsi="Palatino Linotype"/>
          <w:i/>
          <w:sz w:val="22"/>
          <w:lang w:val="es-ES_tradnl" w:eastAsia="es-ES"/>
        </w:rPr>
        <w:t>“</w:t>
      </w:r>
      <w:r w:rsidRPr="00240A27">
        <w:rPr>
          <w:rFonts w:ascii="Palatino Linotype" w:hAnsi="Palatino Linotype"/>
          <w:b/>
          <w:i/>
          <w:sz w:val="22"/>
          <w:lang w:val="es-ES_tradnl" w:eastAsia="es-ES"/>
        </w:rPr>
        <w:t>Artículo 1.-</w:t>
      </w:r>
      <w:r w:rsidRPr="00240A27">
        <w:rPr>
          <w:rFonts w:ascii="Palatino Linotype" w:hAnsi="Palatino Linotype"/>
          <w:i/>
          <w:sz w:val="22"/>
          <w:lang w:val="es-ES_tradnl" w:eastAsia="es-ES"/>
        </w:rPr>
        <w:t xml:space="preserve"> </w:t>
      </w:r>
    </w:p>
    <w:p w:rsidR="00B579A1" w:rsidRPr="00240A27" w:rsidRDefault="00B579A1" w:rsidP="00B579A1">
      <w:pPr>
        <w:spacing w:before="240" w:after="240" w:line="360" w:lineRule="auto"/>
        <w:ind w:left="567" w:right="567"/>
        <w:contextualSpacing/>
        <w:jc w:val="both"/>
        <w:rPr>
          <w:rFonts w:ascii="Palatino Linotype" w:hAnsi="Palatino Linotype"/>
          <w:i/>
          <w:sz w:val="22"/>
          <w:lang w:val="es-ES_tradnl" w:eastAsia="es-ES"/>
        </w:rPr>
      </w:pPr>
      <w:r w:rsidRPr="00240A27">
        <w:rPr>
          <w:rFonts w:ascii="Palatino Linotype" w:hAnsi="Palatino Linotype"/>
          <w:i/>
          <w:sz w:val="22"/>
          <w:lang w:val="es-ES_tradnl" w:eastAsia="es-ES"/>
        </w:rPr>
        <w:t>(…)</w:t>
      </w:r>
    </w:p>
    <w:p w:rsidR="00B579A1" w:rsidRPr="00240A27" w:rsidRDefault="00B579A1" w:rsidP="00B579A1">
      <w:pPr>
        <w:spacing w:before="240" w:after="240" w:line="360" w:lineRule="auto"/>
        <w:ind w:left="567" w:right="567"/>
        <w:contextualSpacing/>
        <w:jc w:val="both"/>
        <w:rPr>
          <w:rFonts w:ascii="Palatino Linotype" w:hAnsi="Palatino Linotype"/>
          <w:i/>
          <w:sz w:val="22"/>
        </w:rPr>
      </w:pPr>
      <w:r w:rsidRPr="00240A27">
        <w:rPr>
          <w:rFonts w:ascii="Palatino Linotype" w:hAnsi="Palatino Linotype"/>
          <w:i/>
          <w:sz w:val="22"/>
          <w:lang w:val="es-ES_tradnl" w:eastAsia="es-ES"/>
        </w:rPr>
        <w:t>Todas las</w:t>
      </w:r>
      <w:r w:rsidRPr="00240A27">
        <w:rPr>
          <w:rFonts w:ascii="Palatino Linotype" w:hAnsi="Palatino Linotype"/>
          <w:sz w:val="22"/>
          <w:lang w:val="es-ES_tradnl" w:eastAsia="es-ES"/>
        </w:rPr>
        <w:t xml:space="preserve"> </w:t>
      </w:r>
      <w:r w:rsidRPr="00240A2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579A1" w:rsidRPr="00240A27" w:rsidRDefault="00B579A1" w:rsidP="00B579A1">
      <w:pPr>
        <w:spacing w:before="240" w:after="240" w:line="360" w:lineRule="auto"/>
        <w:ind w:left="567" w:right="567"/>
        <w:contextualSpacing/>
        <w:jc w:val="both"/>
        <w:rPr>
          <w:rFonts w:ascii="Palatino Linotype" w:hAnsi="Palatino Linotype"/>
          <w:sz w:val="22"/>
          <w:lang w:val="es-ES_tradnl" w:eastAsia="es-ES"/>
        </w:rPr>
      </w:pPr>
      <w:r w:rsidRPr="00240A27">
        <w:rPr>
          <w:rFonts w:ascii="Palatino Linotype" w:hAnsi="Palatino Linotype"/>
          <w:i/>
          <w:sz w:val="22"/>
        </w:rPr>
        <w:t>(…)</w:t>
      </w:r>
      <w:r w:rsidRPr="00240A27">
        <w:rPr>
          <w:rFonts w:ascii="Palatino Linotype" w:hAnsi="Palatino Linotype"/>
          <w:sz w:val="22"/>
          <w:lang w:val="es-ES_tradnl" w:eastAsia="es-ES"/>
        </w:rPr>
        <w:t>”.</w:t>
      </w:r>
    </w:p>
    <w:p w:rsidR="00B579A1" w:rsidRPr="00240A27" w:rsidRDefault="00B579A1" w:rsidP="00B579A1">
      <w:pPr>
        <w:spacing w:before="240" w:after="240" w:line="360" w:lineRule="auto"/>
        <w:ind w:left="567" w:right="567"/>
        <w:contextualSpacing/>
        <w:jc w:val="both"/>
        <w:rPr>
          <w:rFonts w:ascii="Palatino Linotype" w:hAnsi="Palatino Linotype"/>
          <w:b/>
          <w:sz w:val="22"/>
          <w:lang w:val="es-ES_tradnl" w:eastAsia="es-ES"/>
        </w:rPr>
      </w:pPr>
      <w:r w:rsidRPr="00240A27">
        <w:rPr>
          <w:rFonts w:ascii="Palatino Linotype" w:hAnsi="Palatino Linotype"/>
          <w:b/>
          <w:i/>
          <w:sz w:val="22"/>
        </w:rPr>
        <w:t>(Énfasis Añadido)</w:t>
      </w:r>
    </w:p>
    <w:p w:rsidR="00B579A1" w:rsidRPr="00240A27" w:rsidRDefault="00B579A1" w:rsidP="00B579A1">
      <w:pPr>
        <w:spacing w:before="240" w:after="240" w:line="360" w:lineRule="auto"/>
        <w:ind w:right="49"/>
        <w:contextualSpacing/>
        <w:jc w:val="both"/>
        <w:rPr>
          <w:rFonts w:ascii="Palatino Linotype" w:eastAsiaTheme="minorEastAsia" w:hAnsi="Palatino Linotype"/>
          <w:lang w:val="es-ES_tradnl" w:eastAsia="es-ES"/>
        </w:rPr>
      </w:pPr>
    </w:p>
    <w:p w:rsidR="00B579A1" w:rsidRPr="00240A27" w:rsidRDefault="00B579A1" w:rsidP="00B579A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240A2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B579A1" w:rsidRPr="00240A27" w:rsidRDefault="00B579A1" w:rsidP="00B579A1">
      <w:pPr>
        <w:spacing w:before="240" w:after="240" w:line="360" w:lineRule="auto"/>
        <w:ind w:right="49"/>
        <w:contextualSpacing/>
        <w:jc w:val="both"/>
        <w:rPr>
          <w:rFonts w:ascii="Palatino Linotype" w:eastAsiaTheme="minorEastAsia" w:hAnsi="Palatino Linotype"/>
          <w:lang w:val="es-ES_tradnl" w:eastAsia="es-ES"/>
        </w:rPr>
      </w:pPr>
    </w:p>
    <w:p w:rsidR="00B579A1" w:rsidRPr="00240A27" w:rsidRDefault="00B579A1" w:rsidP="00B579A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240A27">
        <w:rPr>
          <w:rFonts w:ascii="Palatino Linotype" w:eastAsiaTheme="minorEastAsia" w:hAnsi="Palatino Linotype"/>
          <w:lang w:val="es-ES_tradnl" w:eastAsia="es-ES"/>
        </w:rPr>
        <w:t xml:space="preserve">Así, conforme a la Constitución Política de las Estado Unidos Mexicanos </w:t>
      </w:r>
      <w:r w:rsidRPr="00240A27">
        <w:rPr>
          <w:rFonts w:ascii="Palatino Linotype" w:eastAsia="Calibri" w:hAnsi="Palatino Linotype"/>
          <w:lang w:val="es-ES_tradnl" w:eastAsia="es-ES"/>
        </w:rPr>
        <w:t>y la Constitución Política del Estado Libre y Soberano de México respectivamente</w:t>
      </w:r>
      <w:r w:rsidRPr="00240A2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B579A1" w:rsidRPr="00240A27" w:rsidRDefault="00B579A1" w:rsidP="00B579A1">
      <w:pPr>
        <w:spacing w:before="240" w:after="240" w:line="360" w:lineRule="auto"/>
        <w:ind w:right="49"/>
        <w:contextualSpacing/>
        <w:jc w:val="both"/>
        <w:rPr>
          <w:rFonts w:ascii="Palatino Linotype" w:eastAsiaTheme="minorEastAsia" w:hAnsi="Palatino Linotype"/>
          <w:lang w:val="es-ES_tradnl" w:eastAsia="es-ES"/>
        </w:rPr>
      </w:pPr>
    </w:p>
    <w:p w:rsidR="00B579A1" w:rsidRPr="00240A27" w:rsidRDefault="00B579A1" w:rsidP="00B579A1">
      <w:pPr>
        <w:spacing w:before="240" w:after="240" w:line="360" w:lineRule="auto"/>
        <w:ind w:left="567" w:right="567"/>
        <w:jc w:val="center"/>
        <w:rPr>
          <w:rFonts w:ascii="Palatino Linotype" w:eastAsiaTheme="minorEastAsia" w:hAnsi="Palatino Linotype" w:cs="Arial"/>
          <w:b/>
          <w:bCs/>
          <w:i/>
          <w:sz w:val="22"/>
          <w:lang w:val="es-ES_tradnl" w:eastAsia="es-ES"/>
        </w:rPr>
      </w:pPr>
      <w:r w:rsidRPr="00240A27">
        <w:rPr>
          <w:rFonts w:ascii="Palatino Linotype" w:eastAsiaTheme="minorEastAsia" w:hAnsi="Palatino Linotype" w:cs="Arial"/>
          <w:b/>
          <w:bCs/>
          <w:i/>
          <w:sz w:val="22"/>
          <w:lang w:val="es-ES_tradnl" w:eastAsia="es-ES"/>
        </w:rPr>
        <w:t>Constitución Política de los Estados Unidos Mexicanos</w:t>
      </w:r>
    </w:p>
    <w:p w:rsidR="00B579A1" w:rsidRPr="00240A27" w:rsidRDefault="00B579A1" w:rsidP="00B579A1">
      <w:pPr>
        <w:spacing w:before="240" w:after="240" w:line="360" w:lineRule="auto"/>
        <w:ind w:left="567" w:right="567"/>
        <w:jc w:val="both"/>
        <w:rPr>
          <w:rFonts w:ascii="Palatino Linotype" w:eastAsiaTheme="minorEastAsia" w:hAnsi="Palatino Linotype" w:cs="Arial"/>
          <w:b/>
          <w:bCs/>
          <w:i/>
          <w:sz w:val="22"/>
          <w:lang w:val="es-ES_tradnl" w:eastAsia="es-ES"/>
        </w:rPr>
      </w:pPr>
      <w:r w:rsidRPr="00240A27">
        <w:rPr>
          <w:rFonts w:ascii="Palatino Linotype" w:eastAsiaTheme="minorEastAsia" w:hAnsi="Palatino Linotype" w:cs="Arial"/>
          <w:b/>
          <w:bCs/>
          <w:i/>
          <w:sz w:val="22"/>
          <w:lang w:val="es-ES_tradnl" w:eastAsia="es-ES"/>
        </w:rPr>
        <w:t>“Artículo 6.</w:t>
      </w:r>
      <w:r w:rsidRPr="00240A27">
        <w:rPr>
          <w:rFonts w:ascii="Palatino Linotype" w:eastAsiaTheme="minorEastAsia" w:hAnsi="Palatino Linotype" w:cs="Arial"/>
          <w:bCs/>
          <w:i/>
          <w:sz w:val="22"/>
          <w:lang w:val="es-ES_tradnl" w:eastAsia="es-ES"/>
        </w:rPr>
        <w:t xml:space="preserve"> …</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Cs/>
          <w:i/>
          <w:sz w:val="22"/>
          <w:lang w:val="es-ES_tradnl" w:eastAsia="es-ES"/>
        </w:rPr>
        <w:t>…</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Cs/>
          <w:i/>
          <w:sz w:val="22"/>
          <w:lang w:val="es-ES_tradnl" w:eastAsia="es-ES"/>
        </w:rPr>
        <w:t>Para efectos de lo dispuesto en el presente artículo se observará lo siguiente:</w:t>
      </w:r>
    </w:p>
    <w:p w:rsidR="00B579A1" w:rsidRPr="00240A27" w:rsidRDefault="00B579A1" w:rsidP="00B579A1">
      <w:pPr>
        <w:spacing w:before="240" w:after="240" w:line="360" w:lineRule="auto"/>
        <w:ind w:left="567" w:right="567"/>
        <w:jc w:val="both"/>
        <w:rPr>
          <w:rFonts w:ascii="Palatino Linotype" w:eastAsiaTheme="minorEastAsia" w:hAnsi="Palatino Linotype" w:cs="Arial"/>
          <w:b/>
          <w:bCs/>
          <w:i/>
          <w:sz w:val="22"/>
          <w:lang w:val="es-ES_tradnl" w:eastAsia="es-ES"/>
        </w:rPr>
      </w:pPr>
      <w:r w:rsidRPr="00240A27">
        <w:rPr>
          <w:rFonts w:ascii="Palatino Linotype" w:eastAsiaTheme="minorEastAsia" w:hAnsi="Palatino Linotype" w:cs="Arial"/>
          <w:b/>
          <w:bCs/>
          <w:i/>
          <w:sz w:val="22"/>
          <w:lang w:val="es-ES_tradnl" w:eastAsia="es-ES"/>
        </w:rPr>
        <w:t>A</w:t>
      </w:r>
      <w:r w:rsidRPr="00240A27">
        <w:rPr>
          <w:rFonts w:ascii="Palatino Linotype" w:eastAsiaTheme="minorEastAsia" w:hAnsi="Palatino Linotype" w:cs="Arial"/>
          <w:bCs/>
          <w:i/>
          <w:sz w:val="22"/>
          <w:lang w:val="es-ES_tradnl" w:eastAsia="es-ES"/>
        </w:rPr>
        <w:t xml:space="preserve">. </w:t>
      </w:r>
      <w:r w:rsidRPr="00240A27">
        <w:rPr>
          <w:rFonts w:ascii="Palatino Linotype" w:eastAsiaTheme="minorEastAsia" w:hAnsi="Palatino Linotype" w:cs="Arial"/>
          <w:b/>
          <w:bCs/>
          <w:i/>
          <w:sz w:val="22"/>
          <w:lang w:val="es-ES_tradnl" w:eastAsia="es-ES"/>
        </w:rPr>
        <w:t>Para el ejercicio del derecho de acceso a la información</w:t>
      </w:r>
      <w:r w:rsidRPr="00240A27">
        <w:rPr>
          <w:rFonts w:ascii="Palatino Linotype" w:eastAsiaTheme="minorEastAsia" w:hAnsi="Palatino Linotype" w:cs="Arial"/>
          <w:bCs/>
          <w:i/>
          <w:sz w:val="22"/>
          <w:lang w:val="es-ES_tradnl" w:eastAsia="es-ES"/>
        </w:rPr>
        <w:t xml:space="preserve">, la Federación y </w:t>
      </w:r>
      <w:r w:rsidRPr="00240A27">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B579A1" w:rsidRPr="00240A27" w:rsidRDefault="00B579A1" w:rsidP="00B579A1">
      <w:pPr>
        <w:spacing w:before="240" w:after="240" w:line="360" w:lineRule="auto"/>
        <w:ind w:left="567" w:right="567"/>
        <w:jc w:val="both"/>
        <w:rPr>
          <w:rFonts w:ascii="Palatino Linotype" w:eastAsiaTheme="minorEastAsia" w:hAnsi="Palatino Linotype" w:cs="Arial"/>
          <w:b/>
          <w:bCs/>
          <w:i/>
          <w:sz w:val="22"/>
          <w:lang w:val="es-ES_tradnl" w:eastAsia="es-ES"/>
        </w:rPr>
      </w:pP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
          <w:bCs/>
          <w:i/>
          <w:sz w:val="22"/>
          <w:lang w:val="es-ES_tradnl" w:eastAsia="es-ES"/>
        </w:rPr>
        <w:t xml:space="preserve">I. </w:t>
      </w:r>
      <w:r w:rsidRPr="00240A27">
        <w:rPr>
          <w:rFonts w:ascii="Palatino Linotype" w:eastAsiaTheme="minorEastAsia" w:hAnsi="Palatino Linotype" w:cs="Arial"/>
          <w:b/>
          <w:bCs/>
          <w:i/>
          <w:sz w:val="22"/>
          <w:lang w:val="es-ES_tradnl" w:eastAsia="es-ES"/>
        </w:rPr>
        <w:tab/>
        <w:t>Toda la información en posesión de cualquier</w:t>
      </w:r>
      <w:r w:rsidRPr="00240A27">
        <w:rPr>
          <w:rFonts w:ascii="Palatino Linotype" w:eastAsiaTheme="minorEastAsia" w:hAnsi="Palatino Linotype" w:cs="Arial"/>
          <w:bCs/>
          <w:i/>
          <w:sz w:val="22"/>
          <w:lang w:val="es-ES_tradnl" w:eastAsia="es-ES"/>
        </w:rPr>
        <w:t xml:space="preserve"> </w:t>
      </w:r>
      <w:r w:rsidRPr="00240A27">
        <w:rPr>
          <w:rFonts w:ascii="Palatino Linotype" w:eastAsiaTheme="minorEastAsia" w:hAnsi="Palatino Linotype" w:cs="Arial"/>
          <w:b/>
          <w:bCs/>
          <w:i/>
          <w:sz w:val="22"/>
          <w:lang w:val="es-ES_tradnl" w:eastAsia="es-ES"/>
        </w:rPr>
        <w:t>autoridad</w:t>
      </w:r>
      <w:r w:rsidRPr="00240A27">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40A27">
        <w:rPr>
          <w:rFonts w:ascii="Palatino Linotype" w:eastAsiaTheme="minorEastAsia" w:hAnsi="Palatino Linotype" w:cs="Arial"/>
          <w:b/>
          <w:bCs/>
          <w:i/>
          <w:sz w:val="22"/>
          <w:lang w:val="es-ES_tradnl" w:eastAsia="es-ES"/>
        </w:rPr>
        <w:t>municipal</w:t>
      </w:r>
      <w:r w:rsidRPr="00240A27">
        <w:rPr>
          <w:rFonts w:ascii="Palatino Linotype" w:eastAsiaTheme="minorEastAsia" w:hAnsi="Palatino Linotype" w:cs="Arial"/>
          <w:bCs/>
          <w:i/>
          <w:sz w:val="22"/>
          <w:lang w:val="es-ES_tradnl" w:eastAsia="es-ES"/>
        </w:rPr>
        <w:t xml:space="preserve">, </w:t>
      </w:r>
      <w:r w:rsidRPr="00240A27">
        <w:rPr>
          <w:rFonts w:ascii="Palatino Linotype" w:eastAsiaTheme="minorEastAsia" w:hAnsi="Palatino Linotype" w:cs="Arial"/>
          <w:b/>
          <w:bCs/>
          <w:i/>
          <w:sz w:val="22"/>
          <w:lang w:val="es-ES_tradnl" w:eastAsia="es-ES"/>
        </w:rPr>
        <w:t>es pública</w:t>
      </w:r>
      <w:r w:rsidRPr="00240A27">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240A27">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240A2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B579A1" w:rsidRPr="00240A27" w:rsidRDefault="00B579A1" w:rsidP="00B579A1">
      <w:pPr>
        <w:pStyle w:val="Prrafodelista"/>
        <w:tabs>
          <w:tab w:val="left" w:pos="567"/>
        </w:tabs>
        <w:spacing w:before="240" w:after="240" w:line="360" w:lineRule="auto"/>
        <w:ind w:left="567" w:right="567"/>
        <w:jc w:val="both"/>
        <w:rPr>
          <w:rFonts w:ascii="Palatino Linotype" w:hAnsi="Palatino Linotype" w:cs="Arial"/>
          <w:b/>
          <w:bCs/>
          <w:i/>
        </w:rPr>
      </w:pPr>
      <w:r w:rsidRPr="00240A27">
        <w:rPr>
          <w:rFonts w:ascii="Palatino Linotype" w:hAnsi="Palatino Linotype" w:cs="Arial"/>
          <w:b/>
          <w:bCs/>
          <w:i/>
        </w:rPr>
        <w:t>(Énfasis añadido)</w:t>
      </w:r>
    </w:p>
    <w:p w:rsidR="00B579A1" w:rsidRPr="00240A27" w:rsidRDefault="00B579A1" w:rsidP="00B579A1">
      <w:pPr>
        <w:pStyle w:val="Prrafodelista"/>
        <w:tabs>
          <w:tab w:val="left" w:pos="567"/>
        </w:tabs>
        <w:spacing w:before="240" w:after="240" w:line="360" w:lineRule="auto"/>
        <w:ind w:left="567" w:right="567"/>
        <w:jc w:val="both"/>
        <w:rPr>
          <w:rFonts w:ascii="Palatino Linotype" w:hAnsi="Palatino Linotype" w:cs="Arial"/>
          <w:b/>
          <w:bCs/>
          <w:i/>
        </w:rPr>
      </w:pPr>
    </w:p>
    <w:p w:rsidR="00B579A1" w:rsidRPr="00240A27" w:rsidRDefault="00B579A1" w:rsidP="00B579A1">
      <w:pPr>
        <w:spacing w:before="240" w:after="240" w:line="360" w:lineRule="auto"/>
        <w:ind w:left="567" w:right="567"/>
        <w:jc w:val="center"/>
        <w:rPr>
          <w:rFonts w:ascii="Palatino Linotype" w:eastAsiaTheme="minorEastAsia" w:hAnsi="Palatino Linotype" w:cs="Arial"/>
          <w:b/>
          <w:bCs/>
          <w:i/>
          <w:sz w:val="22"/>
          <w:lang w:val="es-ES_tradnl" w:eastAsia="es-ES"/>
        </w:rPr>
      </w:pPr>
      <w:r w:rsidRPr="00240A27">
        <w:rPr>
          <w:rFonts w:ascii="Palatino Linotype" w:eastAsiaTheme="minorEastAsia" w:hAnsi="Palatino Linotype" w:cs="Arial"/>
          <w:b/>
          <w:bCs/>
          <w:i/>
          <w:sz w:val="22"/>
          <w:lang w:val="es-ES_tradnl" w:eastAsia="es-ES"/>
        </w:rPr>
        <w:t>Constitución Política del Estado Libre y Soberano de México</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
          <w:bCs/>
          <w:i/>
          <w:sz w:val="22"/>
          <w:lang w:val="es-ES_tradnl" w:eastAsia="es-ES"/>
        </w:rPr>
        <w:lastRenderedPageBreak/>
        <w:t>“Artículo 5</w:t>
      </w:r>
      <w:r w:rsidRPr="00240A27">
        <w:rPr>
          <w:rFonts w:ascii="Palatino Linotype" w:eastAsiaTheme="minorEastAsia" w:hAnsi="Palatino Linotype" w:cs="Arial"/>
          <w:bCs/>
          <w:i/>
          <w:sz w:val="22"/>
          <w:lang w:val="es-ES_tradnl" w:eastAsia="es-ES"/>
        </w:rPr>
        <w:t>.- …</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Cs/>
          <w:i/>
          <w:sz w:val="22"/>
          <w:lang w:val="es-ES_tradnl" w:eastAsia="es-ES"/>
        </w:rPr>
        <w:t>…</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240A27">
        <w:rPr>
          <w:rFonts w:ascii="Palatino Linotype" w:eastAsiaTheme="minorEastAsia" w:hAnsi="Palatino Linotype" w:cs="Arial"/>
          <w:bCs/>
          <w:i/>
          <w:sz w:val="22"/>
          <w:lang w:val="es-ES_tradnl" w:eastAsia="es-ES"/>
        </w:rPr>
        <w:t>.</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
          <w:bCs/>
          <w:i/>
          <w:sz w:val="22"/>
          <w:lang w:val="es-ES_tradnl" w:eastAsia="es-ES"/>
        </w:rPr>
        <w:t>Este derecho se regirá por los principios y bases siguientes</w:t>
      </w:r>
      <w:r w:rsidRPr="00240A27">
        <w:rPr>
          <w:rFonts w:ascii="Palatino Linotype" w:eastAsiaTheme="minorEastAsia" w:hAnsi="Palatino Linotype" w:cs="Arial"/>
          <w:bCs/>
          <w:i/>
          <w:sz w:val="22"/>
          <w:lang w:val="es-ES_tradnl" w:eastAsia="es-ES"/>
        </w:rPr>
        <w:t>:</w:t>
      </w:r>
    </w:p>
    <w:p w:rsidR="00B579A1" w:rsidRPr="00240A27" w:rsidRDefault="00B579A1" w:rsidP="00B579A1">
      <w:pPr>
        <w:spacing w:before="240" w:after="240" w:line="360" w:lineRule="auto"/>
        <w:ind w:left="567" w:right="567"/>
        <w:jc w:val="both"/>
        <w:rPr>
          <w:rFonts w:ascii="Palatino Linotype" w:eastAsiaTheme="minorEastAsia" w:hAnsi="Palatino Linotype" w:cs="Arial"/>
          <w:bCs/>
          <w:i/>
          <w:sz w:val="22"/>
          <w:lang w:val="es-ES_tradnl" w:eastAsia="es-ES"/>
        </w:rPr>
      </w:pPr>
      <w:r w:rsidRPr="00240A27">
        <w:rPr>
          <w:rFonts w:ascii="Palatino Linotype" w:eastAsiaTheme="minorEastAsia" w:hAnsi="Palatino Linotype" w:cs="Arial"/>
          <w:b/>
          <w:bCs/>
          <w:i/>
          <w:sz w:val="22"/>
          <w:lang w:val="es-ES_tradnl" w:eastAsia="es-ES"/>
        </w:rPr>
        <w:t>I. Toda la información en posesión de cualquier autoridad, entidad, órgano y organismos de los</w:t>
      </w:r>
      <w:r w:rsidRPr="00240A27">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240A27">
        <w:rPr>
          <w:rFonts w:ascii="Palatino Linotype" w:eastAsiaTheme="minorEastAsia" w:hAnsi="Palatino Linotype" w:cs="Arial"/>
          <w:b/>
          <w:bCs/>
          <w:i/>
          <w:sz w:val="22"/>
          <w:lang w:val="es-ES_tradnl" w:eastAsia="es-ES"/>
        </w:rPr>
        <w:t>municipales</w:t>
      </w:r>
      <w:r w:rsidRPr="00240A27">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40A27">
        <w:rPr>
          <w:rFonts w:ascii="Palatino Linotype" w:eastAsiaTheme="minorEastAsia" w:hAnsi="Palatino Linotype" w:cs="Arial"/>
          <w:b/>
          <w:bCs/>
          <w:i/>
          <w:sz w:val="22"/>
          <w:lang w:val="es-ES_tradnl" w:eastAsia="es-ES"/>
        </w:rPr>
        <w:t>es pública</w:t>
      </w:r>
      <w:r w:rsidRPr="00240A27">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240A27">
        <w:rPr>
          <w:rFonts w:ascii="Palatino Linotype" w:eastAsiaTheme="minorEastAsia" w:hAnsi="Palatino Linotype" w:cs="Arial"/>
          <w:b/>
          <w:bCs/>
          <w:i/>
          <w:sz w:val="22"/>
          <w:lang w:val="es-ES_tradnl" w:eastAsia="es-ES"/>
        </w:rPr>
        <w:t>En la interpretación de este derecho deberá prevalecer el principio de máxima publicidad</w:t>
      </w:r>
      <w:r w:rsidRPr="00240A27">
        <w:rPr>
          <w:rFonts w:ascii="Palatino Linotype" w:eastAsiaTheme="minorEastAsia" w:hAnsi="Palatino Linotype" w:cs="Arial"/>
          <w:bCs/>
          <w:i/>
          <w:sz w:val="22"/>
          <w:lang w:val="es-ES_tradnl" w:eastAsia="es-ES"/>
        </w:rPr>
        <w:t xml:space="preserve">. </w:t>
      </w:r>
      <w:r w:rsidRPr="00240A27">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240A2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B579A1" w:rsidRPr="00240A27" w:rsidRDefault="00B579A1" w:rsidP="00B579A1">
      <w:pPr>
        <w:pStyle w:val="Prrafodelista"/>
        <w:tabs>
          <w:tab w:val="left" w:pos="567"/>
        </w:tabs>
        <w:spacing w:before="240" w:after="240" w:line="360" w:lineRule="auto"/>
        <w:ind w:left="567" w:right="567"/>
        <w:jc w:val="both"/>
        <w:rPr>
          <w:rFonts w:ascii="Palatino Linotype" w:hAnsi="Palatino Linotype" w:cs="Arial"/>
          <w:b/>
          <w:bCs/>
          <w:i/>
        </w:rPr>
      </w:pPr>
      <w:r w:rsidRPr="00240A27">
        <w:rPr>
          <w:rFonts w:ascii="Palatino Linotype" w:hAnsi="Palatino Linotype" w:cs="Arial"/>
          <w:b/>
          <w:bCs/>
          <w:i/>
        </w:rPr>
        <w:t>(Énfasis añadido)</w:t>
      </w:r>
    </w:p>
    <w:p w:rsidR="00B579A1" w:rsidRPr="00240A27" w:rsidRDefault="00B579A1" w:rsidP="00B579A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240A27">
        <w:rPr>
          <w:rFonts w:ascii="Palatino Linotype" w:eastAsiaTheme="minorEastAsia" w:hAnsi="Palatino Linotype" w:cs="Arial"/>
          <w:lang w:val="es-ES_tradnl" w:eastAsia="es-ES"/>
        </w:rPr>
        <w:lastRenderedPageBreak/>
        <w:t xml:space="preserve">Según el artículo 150 de la Ley de Transparencia del Estado, la solicitud es la garantía primaria del Derecho de Acceso a la Información, además, establece que se regirá </w:t>
      </w:r>
      <w:r w:rsidRPr="00240A27">
        <w:rPr>
          <w:rFonts w:ascii="Palatino Linotype" w:eastAsiaTheme="minorEastAsia" w:hAnsi="Palatino Linotype" w:cs="Arial"/>
          <w:i/>
          <w:lang w:val="es-ES_tradnl" w:eastAsia="es-ES"/>
        </w:rPr>
        <w:t>por los principios de simplicidad, rapidez gratuidad del procedimiento, auxilio y orientación a los particulares</w:t>
      </w:r>
      <w:r w:rsidRPr="00240A27">
        <w:rPr>
          <w:rFonts w:ascii="Palatino Linotype" w:eastAsiaTheme="minorEastAsia" w:hAnsi="Palatino Linotype" w:cs="Arial"/>
          <w:lang w:val="es-ES_tradnl" w:eastAsia="es-ES"/>
        </w:rPr>
        <w:t>, contemplando el derecho de las personas con discapacidad y hablantes de lengua indígena.</w:t>
      </w:r>
    </w:p>
    <w:p w:rsidR="00B579A1" w:rsidRPr="00240A27" w:rsidRDefault="00B579A1" w:rsidP="00B579A1">
      <w:pPr>
        <w:spacing w:before="240" w:after="240" w:line="360" w:lineRule="auto"/>
        <w:ind w:right="49"/>
        <w:contextualSpacing/>
        <w:jc w:val="both"/>
        <w:rPr>
          <w:rFonts w:ascii="Palatino Linotype" w:eastAsiaTheme="minorEastAsia" w:hAnsi="Palatino Linotype"/>
          <w:lang w:val="es-ES_tradnl" w:eastAsia="es-ES"/>
        </w:rPr>
      </w:pPr>
    </w:p>
    <w:p w:rsidR="00B579A1" w:rsidRPr="00240A27" w:rsidRDefault="00B579A1" w:rsidP="00B579A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240A2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240A27">
        <w:rPr>
          <w:rFonts w:ascii="Palatino Linotype" w:eastAsiaTheme="minorEastAsia" w:hAnsi="Palatino Linotype" w:cs="Arial"/>
          <w:i/>
          <w:lang w:val="es-ES_tradnl" w:eastAsia="es-ES"/>
        </w:rPr>
        <w:t>solicitudes de acceso a la información</w:t>
      </w:r>
      <w:r w:rsidRPr="00240A27">
        <w:rPr>
          <w:rFonts w:ascii="Palatino Linotype" w:eastAsiaTheme="minorEastAsia" w:hAnsi="Palatino Linotype" w:cs="Arial"/>
          <w:lang w:val="es-ES_tradnl" w:eastAsia="es-ES"/>
        </w:rPr>
        <w:t>.</w:t>
      </w:r>
    </w:p>
    <w:p w:rsidR="00B579A1" w:rsidRPr="00240A27" w:rsidRDefault="00B579A1" w:rsidP="00B579A1">
      <w:pPr>
        <w:spacing w:before="240" w:after="240" w:line="360" w:lineRule="auto"/>
        <w:ind w:right="49"/>
        <w:contextualSpacing/>
        <w:jc w:val="both"/>
        <w:rPr>
          <w:rFonts w:ascii="Palatino Linotype" w:eastAsiaTheme="minorEastAsia" w:hAnsi="Palatino Linotype"/>
          <w:lang w:val="es-ES_tradnl" w:eastAsia="es-ES"/>
        </w:rPr>
      </w:pPr>
    </w:p>
    <w:p w:rsidR="00B579A1" w:rsidRPr="00240A27" w:rsidRDefault="00B579A1" w:rsidP="00B579A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40A27">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26" w:name="_Toc80812777"/>
    </w:p>
    <w:p w:rsidR="00B579A1" w:rsidRPr="00240A27" w:rsidRDefault="00B579A1" w:rsidP="00B579A1">
      <w:pPr>
        <w:spacing w:line="360" w:lineRule="auto"/>
        <w:ind w:right="49"/>
        <w:contextualSpacing/>
        <w:jc w:val="both"/>
        <w:rPr>
          <w:rFonts w:ascii="Palatino Linotype" w:eastAsiaTheme="minorEastAsia" w:hAnsi="Palatino Linotype"/>
          <w:lang w:val="es-ES_tradnl" w:eastAsia="es-ES"/>
        </w:rPr>
      </w:pPr>
    </w:p>
    <w:p w:rsidR="00B579A1" w:rsidRPr="00240A27" w:rsidRDefault="00B579A1" w:rsidP="00B579A1">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240A27">
        <w:rPr>
          <w:rFonts w:ascii="Palatino Linotype" w:hAnsi="Palatino Linotype"/>
          <w:b/>
          <w:color w:val="auto"/>
          <w:sz w:val="24"/>
          <w:szCs w:val="24"/>
        </w:rPr>
        <w:t>II. De la información solicitada</w:t>
      </w:r>
      <w:bookmarkEnd w:id="26"/>
      <w:bookmarkEnd w:id="27"/>
      <w:r w:rsidRPr="00240A27">
        <w:rPr>
          <w:rFonts w:ascii="Palatino Linotype" w:hAnsi="Palatino Linotype"/>
          <w:b/>
          <w:color w:val="auto"/>
          <w:sz w:val="24"/>
          <w:szCs w:val="24"/>
        </w:rPr>
        <w:t xml:space="preserve"> y la respuesta del Sujeto Obligado</w:t>
      </w:r>
      <w:bookmarkEnd w:id="28"/>
    </w:p>
    <w:p w:rsidR="00B579A1" w:rsidRDefault="00B579A1" w:rsidP="00B579A1">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240A27">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B579A1" w:rsidRDefault="00B579A1" w:rsidP="00B579A1">
      <w:pPr>
        <w:pStyle w:val="Prrafodelista"/>
        <w:spacing w:before="240" w:after="240" w:line="360" w:lineRule="auto"/>
        <w:ind w:left="0"/>
        <w:jc w:val="both"/>
        <w:rPr>
          <w:rFonts w:ascii="Palatino Linotype" w:eastAsia="Calibri" w:hAnsi="Palatino Linotype" w:cs="Arial"/>
          <w:sz w:val="24"/>
        </w:rPr>
      </w:pPr>
    </w:p>
    <w:p w:rsidR="00B579A1" w:rsidRPr="0024149B" w:rsidRDefault="00B579A1" w:rsidP="00B579A1">
      <w:pPr>
        <w:pStyle w:val="Prrafodelista"/>
        <w:numPr>
          <w:ilvl w:val="0"/>
          <w:numId w:val="1"/>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eastAsia="en-US"/>
        </w:rPr>
        <w:lastRenderedPageBreak/>
        <w:t xml:space="preserve">Primeramente,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B579A1" w:rsidRPr="0024149B" w:rsidRDefault="00B579A1" w:rsidP="00B579A1">
      <w:pPr>
        <w:pStyle w:val="Prrafodelista"/>
        <w:spacing w:line="360" w:lineRule="auto"/>
        <w:ind w:left="0"/>
        <w:jc w:val="both"/>
        <w:rPr>
          <w:rFonts w:ascii="Palatino Linotype" w:hAnsi="Palatino Linotype" w:cs="Arial"/>
          <w:sz w:val="24"/>
          <w:lang w:val="es-ES" w:eastAsia="es-ES"/>
        </w:rPr>
      </w:pPr>
    </w:p>
    <w:p w:rsidR="00B579A1" w:rsidRPr="0024149B" w:rsidRDefault="00B579A1" w:rsidP="00B579A1">
      <w:pPr>
        <w:pStyle w:val="Prrafodelista"/>
        <w:numPr>
          <w:ilvl w:val="0"/>
          <w:numId w:val="1"/>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B579A1" w:rsidRPr="0024149B" w:rsidRDefault="00B579A1" w:rsidP="00B579A1">
      <w:pPr>
        <w:pStyle w:val="Prrafodelista"/>
        <w:spacing w:line="360" w:lineRule="auto"/>
        <w:ind w:left="0"/>
        <w:jc w:val="both"/>
        <w:rPr>
          <w:rFonts w:ascii="Palatino Linotype" w:hAnsi="Palatino Linotype" w:cs="Arial"/>
          <w:sz w:val="24"/>
          <w:lang w:val="es-ES" w:eastAsia="es-ES"/>
        </w:rPr>
      </w:pPr>
    </w:p>
    <w:p w:rsidR="00B579A1" w:rsidRPr="002D69A8" w:rsidRDefault="00B579A1" w:rsidP="00B579A1">
      <w:pPr>
        <w:pStyle w:val="Prrafodelista"/>
        <w:numPr>
          <w:ilvl w:val="0"/>
          <w:numId w:val="1"/>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579A1" w:rsidRPr="00240A27" w:rsidRDefault="00B579A1" w:rsidP="00B579A1">
      <w:pPr>
        <w:pStyle w:val="Prrafodelista"/>
        <w:spacing w:before="240" w:after="240" w:line="360" w:lineRule="auto"/>
        <w:ind w:left="0"/>
        <w:jc w:val="both"/>
        <w:rPr>
          <w:rFonts w:ascii="Palatino Linotype" w:eastAsia="Calibri" w:hAnsi="Palatino Linotype" w:cs="Arial"/>
          <w:sz w:val="24"/>
        </w:rPr>
      </w:pPr>
    </w:p>
    <w:p w:rsidR="00367D45" w:rsidRPr="00367D45" w:rsidRDefault="00B579A1" w:rsidP="00367D45">
      <w:pPr>
        <w:pStyle w:val="Prrafodelista"/>
        <w:numPr>
          <w:ilvl w:val="0"/>
          <w:numId w:val="1"/>
        </w:numPr>
        <w:spacing w:before="240" w:after="240" w:line="360" w:lineRule="auto"/>
        <w:ind w:left="0" w:right="48" w:firstLine="0"/>
        <w:jc w:val="both"/>
        <w:rPr>
          <w:rFonts w:ascii="Palatino Linotype" w:hAnsi="Palatino Linotype" w:cs="Arial"/>
          <w:sz w:val="32"/>
          <w:lang w:val="es-ES" w:eastAsia="es-ES"/>
        </w:rPr>
      </w:pPr>
      <w:r>
        <w:rPr>
          <w:rFonts w:ascii="Palatino Linotype" w:eastAsia="Calibri" w:hAnsi="Palatino Linotype" w:cs="Arial"/>
          <w:sz w:val="24"/>
        </w:rPr>
        <w:t>En un principio, de</w:t>
      </w:r>
      <w:r w:rsidR="00367D45">
        <w:rPr>
          <w:rFonts w:ascii="Palatino Linotype" w:eastAsia="Calibri" w:hAnsi="Palatino Linotype" w:cs="Arial"/>
          <w:sz w:val="24"/>
        </w:rPr>
        <w:t>bemos recordar que el particular refirió  en su solicitud de información</w:t>
      </w:r>
      <w:r w:rsidRPr="00A05063">
        <w:rPr>
          <w:rFonts w:ascii="Palatino Linotype" w:eastAsia="Calibri" w:hAnsi="Palatino Linotype" w:cs="Arial"/>
          <w:sz w:val="24"/>
        </w:rPr>
        <w:t xml:space="preserve"> </w:t>
      </w:r>
      <w:r w:rsidR="00367D45">
        <w:rPr>
          <w:rFonts w:ascii="Palatino Linotype" w:eastAsia="Calibri" w:hAnsi="Palatino Linotype" w:cs="Arial"/>
          <w:sz w:val="24"/>
        </w:rPr>
        <w:t xml:space="preserve">lo siguiente: </w:t>
      </w:r>
    </w:p>
    <w:p w:rsidR="00367D45" w:rsidRPr="00367D45" w:rsidRDefault="00367D45" w:rsidP="00367D45">
      <w:pPr>
        <w:pStyle w:val="Prrafodelista"/>
        <w:spacing w:before="240" w:after="240" w:line="360" w:lineRule="auto"/>
        <w:ind w:left="851" w:right="822"/>
        <w:jc w:val="both"/>
        <w:rPr>
          <w:rFonts w:ascii="Palatino Linotype" w:hAnsi="Palatino Linotype" w:cs="Arial"/>
          <w:sz w:val="32"/>
          <w:lang w:val="es-ES" w:eastAsia="es-ES"/>
        </w:rPr>
      </w:pPr>
      <w:r w:rsidRPr="00367D45">
        <w:rPr>
          <w:rFonts w:ascii="Palatino Linotype" w:hAnsi="Palatino Linotype" w:cs="Arial"/>
          <w:i/>
          <w:color w:val="000000" w:themeColor="text1"/>
          <w:sz w:val="24"/>
        </w:rPr>
        <w:t xml:space="preserve">“…saber para cuando el Ayuntamiento de Almoloya de Juárez pavimentara o realizara un bacheo en la carretera principal de la localidad de "SANTA CATARINA TABERNILLAS" del tramo que comprende de la iglesia ubicada en el centro de dicha localidad hasta donde termina el pavimento dirección a </w:t>
      </w:r>
      <w:r w:rsidRPr="00367D45">
        <w:rPr>
          <w:rFonts w:ascii="Palatino Linotype" w:hAnsi="Palatino Linotype" w:cs="Arial"/>
          <w:i/>
          <w:color w:val="000000" w:themeColor="text1"/>
          <w:sz w:val="24"/>
        </w:rPr>
        <w:lastRenderedPageBreak/>
        <w:t>la comunidad conocida como la Lagunita, cabe hacer mención que la Pseudo-Delegada de dicha localidad es una inepta, prepotente y corrupta, misma que según ella presumió en sus redes sociales el disque "bacheo" dentro del siguiente enlace se puede constatar https://www.facebook.com/photo/?fbid=165612649469148&amp;set=pb.100080612401893.-2207520000, cosa que fue una vil mentira. Es por ello que solicito por medio de este medio me indiquen para cuando se tiene planeado bachear, así como el presupuesto que se tiene destinado para dicho concepto "bacheo o reencarpetamiento". Y aclaro que una vez que la Unidad de Transparencia turne el oficio al Servidor Público Habilitado de la Dirección de Obras Públicas, el deberá contestar con veracidad y no salir con su falacia que no hay presupuesto, por que en la fecha que estamos ya hay recursos dentro de Ayuntamiento para todo este tipo de trabajos. Aprovechando pido el oficio de requerimiento de información que se le turne al SPH y el cual no se debe testar nada, y de ser conveniente el punto de acuerdo sesionado dentro del Comité de Transparencia de la Administración 2022-2024 del Ayuntamiento de Almoloya de Juárez, para la entrega en versión pública.”</w:t>
      </w:r>
    </w:p>
    <w:p w:rsidR="00367D45" w:rsidRPr="001819B5" w:rsidRDefault="00367D45" w:rsidP="00367D45">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723E2E" w:rsidRDefault="00367D45" w:rsidP="00367D45">
      <w:pPr>
        <w:pStyle w:val="Prrafodelista"/>
        <w:numPr>
          <w:ilvl w:val="0"/>
          <w:numId w:val="1"/>
        </w:numPr>
        <w:spacing w:line="360" w:lineRule="auto"/>
        <w:ind w:left="0" w:firstLine="0"/>
        <w:jc w:val="both"/>
        <w:rPr>
          <w:rFonts w:ascii="Palatino Linotype" w:hAnsi="Palatino Linotype" w:cs="Arial"/>
          <w:sz w:val="24"/>
          <w:lang w:val="es-ES"/>
        </w:rPr>
      </w:pPr>
      <w:r>
        <w:rPr>
          <w:rFonts w:ascii="Palatino Linotype" w:hAnsi="Palatino Linotype" w:cs="Arial"/>
          <w:sz w:val="24"/>
          <w:lang w:val="es-ES"/>
        </w:rPr>
        <w:t>Del análisis a la solicitud, podemos advertir que el particul</w:t>
      </w:r>
      <w:r w:rsidR="00723E2E">
        <w:rPr>
          <w:rFonts w:ascii="Palatino Linotype" w:hAnsi="Palatino Linotype" w:cs="Arial"/>
          <w:sz w:val="24"/>
          <w:lang w:val="es-ES"/>
        </w:rPr>
        <w:t>ar quiere:</w:t>
      </w:r>
    </w:p>
    <w:p w:rsidR="00723E2E" w:rsidRDefault="00723E2E" w:rsidP="00723E2E">
      <w:pPr>
        <w:pStyle w:val="Prrafodelista"/>
        <w:spacing w:line="360" w:lineRule="auto"/>
        <w:ind w:left="0"/>
        <w:jc w:val="both"/>
        <w:rPr>
          <w:rFonts w:ascii="Palatino Linotype" w:hAnsi="Palatino Linotype" w:cs="Arial"/>
          <w:sz w:val="24"/>
          <w:lang w:val="es-ES"/>
        </w:rPr>
      </w:pPr>
    </w:p>
    <w:p w:rsidR="00367D45" w:rsidRDefault="00723E2E" w:rsidP="00723E2E">
      <w:pPr>
        <w:pStyle w:val="Prrafodelista"/>
        <w:numPr>
          <w:ilvl w:val="0"/>
          <w:numId w:val="4"/>
        </w:numPr>
        <w:spacing w:line="360" w:lineRule="auto"/>
        <w:jc w:val="both"/>
        <w:rPr>
          <w:rFonts w:ascii="Palatino Linotype" w:hAnsi="Palatino Linotype" w:cs="Arial"/>
          <w:sz w:val="24"/>
          <w:lang w:val="es-ES"/>
        </w:rPr>
      </w:pPr>
      <w:r>
        <w:rPr>
          <w:rFonts w:ascii="Palatino Linotype" w:hAnsi="Palatino Linotype" w:cs="Arial"/>
          <w:sz w:val="24"/>
          <w:lang w:val="es-ES"/>
        </w:rPr>
        <w:t>S</w:t>
      </w:r>
      <w:r w:rsidR="00367D45">
        <w:rPr>
          <w:rFonts w:ascii="Palatino Linotype" w:hAnsi="Palatino Linotype" w:cs="Arial"/>
          <w:sz w:val="24"/>
          <w:lang w:val="es-ES"/>
        </w:rPr>
        <w:t>aber cuándo se realizaran obras de pavimentación y bacheo en la carretera principal de la localidad de Santa Catarina Tabernillas</w:t>
      </w:r>
      <w:r>
        <w:rPr>
          <w:rFonts w:ascii="Palatino Linotype" w:hAnsi="Palatino Linotype" w:cs="Arial"/>
          <w:sz w:val="24"/>
          <w:lang w:val="es-ES"/>
        </w:rPr>
        <w:t xml:space="preserve">, del tramo de la iglesia ubicada en el centro en dirección a la comunidad conocida como Lagunita; </w:t>
      </w:r>
    </w:p>
    <w:p w:rsidR="00723E2E" w:rsidRDefault="00723E2E" w:rsidP="00A10818">
      <w:pPr>
        <w:pStyle w:val="Prrafodelista"/>
        <w:numPr>
          <w:ilvl w:val="0"/>
          <w:numId w:val="4"/>
        </w:numPr>
        <w:spacing w:line="360" w:lineRule="auto"/>
        <w:jc w:val="both"/>
        <w:rPr>
          <w:rFonts w:ascii="Palatino Linotype" w:hAnsi="Palatino Linotype" w:cs="Arial"/>
          <w:sz w:val="24"/>
          <w:lang w:val="es-ES"/>
        </w:rPr>
      </w:pPr>
      <w:r>
        <w:rPr>
          <w:rFonts w:ascii="Palatino Linotype" w:hAnsi="Palatino Linotype" w:cs="Arial"/>
          <w:sz w:val="24"/>
          <w:lang w:val="es-ES"/>
        </w:rPr>
        <w:lastRenderedPageBreak/>
        <w:t>Oficio de requerimiento de información turnado al servidor público habilitado para dar respuesta a la solicitud de informaci</w:t>
      </w:r>
      <w:r w:rsidR="00A10818">
        <w:rPr>
          <w:rFonts w:ascii="Palatino Linotype" w:hAnsi="Palatino Linotype" w:cs="Arial"/>
          <w:sz w:val="24"/>
          <w:lang w:val="es-ES"/>
        </w:rPr>
        <w:t xml:space="preserve">ón y en su caso el acuerdo de versión pública si se realiza. </w:t>
      </w:r>
    </w:p>
    <w:p w:rsidR="00A10818" w:rsidRPr="00A10818" w:rsidRDefault="00A10818" w:rsidP="00A10818">
      <w:pPr>
        <w:pStyle w:val="Prrafodelista"/>
        <w:spacing w:line="360" w:lineRule="auto"/>
        <w:jc w:val="both"/>
        <w:rPr>
          <w:rFonts w:ascii="Palatino Linotype" w:hAnsi="Palatino Linotype" w:cs="Arial"/>
          <w:sz w:val="24"/>
          <w:lang w:val="es-ES"/>
        </w:rPr>
      </w:pPr>
    </w:p>
    <w:p w:rsidR="00410790" w:rsidRPr="00410790" w:rsidRDefault="00723E2E" w:rsidP="00410790">
      <w:pPr>
        <w:pStyle w:val="Prrafodelista"/>
        <w:numPr>
          <w:ilvl w:val="0"/>
          <w:numId w:val="1"/>
        </w:numPr>
        <w:spacing w:line="360" w:lineRule="auto"/>
        <w:ind w:left="0" w:firstLine="0"/>
        <w:jc w:val="both"/>
        <w:rPr>
          <w:rFonts w:ascii="Palatino Linotype" w:hAnsi="Palatino Linotype" w:cs="Arial"/>
          <w:sz w:val="24"/>
          <w:lang w:val="es-ES"/>
        </w:rPr>
      </w:pPr>
      <w:r w:rsidRPr="00410790">
        <w:rPr>
          <w:rFonts w:ascii="Palatino Linotype" w:hAnsi="Palatino Linotype" w:cs="Arial"/>
          <w:sz w:val="24"/>
          <w:lang w:val="es-ES"/>
        </w:rPr>
        <w:t>Ahora bien, por lo que se refiere a la parte “…</w:t>
      </w:r>
      <w:r w:rsidRPr="00410790">
        <w:rPr>
          <w:rFonts w:ascii="Palatino Linotype" w:hAnsi="Palatino Linotype" w:cs="Arial"/>
          <w:i/>
          <w:color w:val="000000" w:themeColor="text1"/>
          <w:sz w:val="24"/>
        </w:rPr>
        <w:t>cabe hacer mención que la Pseudo-Delegada de dicha localidad es una inepta, prepotente y corrupta, misma que según ella presumió en sus redes sociales el disque "bacheo" dentro del siguiente enlace se puede constatar https://www.facebook.com/photo/?fbid=165612649469148&amp;set=pb.100080612401893.-2207520000, cosa que fue una vil mentira…”</w:t>
      </w:r>
      <w:r w:rsidR="00410790" w:rsidRPr="00410790">
        <w:rPr>
          <w:rFonts w:ascii="Palatino Linotype" w:hAnsi="Palatino Linotype"/>
          <w:color w:val="222222"/>
          <w:sz w:val="24"/>
        </w:rPr>
        <w:t>debe precisarse que se trata de manifestaciones unilaterales subjetivas del </w:t>
      </w:r>
      <w:r w:rsidR="00410790" w:rsidRPr="00410790">
        <w:rPr>
          <w:rFonts w:ascii="Palatino Linotype" w:hAnsi="Palatino Linotype"/>
          <w:b/>
          <w:bCs/>
          <w:color w:val="222222"/>
          <w:sz w:val="24"/>
        </w:rPr>
        <w:t>RECURRENTE</w:t>
      </w:r>
      <w:r w:rsidR="00410790" w:rsidRPr="00410790">
        <w:rPr>
          <w:rFonts w:ascii="Palatino Linotype" w:hAnsi="Palatino Linotype"/>
          <w:color w:val="222222"/>
          <w:sz w:val="24"/>
        </w:rPr>
        <w:t>,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rsidR="00410790" w:rsidRPr="00410790" w:rsidRDefault="00410790" w:rsidP="00410790">
      <w:pPr>
        <w:pStyle w:val="Prrafodelista"/>
        <w:spacing w:line="360" w:lineRule="auto"/>
        <w:ind w:left="0"/>
        <w:jc w:val="both"/>
        <w:rPr>
          <w:rFonts w:ascii="Palatino Linotype" w:hAnsi="Palatino Linotype" w:cs="Arial"/>
          <w:sz w:val="24"/>
          <w:lang w:val="es-ES"/>
        </w:rPr>
      </w:pPr>
    </w:p>
    <w:p w:rsidR="00410790" w:rsidRPr="00410790" w:rsidRDefault="00410790" w:rsidP="00410790">
      <w:pPr>
        <w:pStyle w:val="Prrafodelista"/>
        <w:numPr>
          <w:ilvl w:val="0"/>
          <w:numId w:val="1"/>
        </w:numPr>
        <w:spacing w:line="360" w:lineRule="auto"/>
        <w:ind w:left="0" w:firstLine="0"/>
        <w:jc w:val="both"/>
        <w:rPr>
          <w:rFonts w:ascii="Palatino Linotype" w:hAnsi="Palatino Linotype" w:cs="Arial"/>
          <w:sz w:val="24"/>
          <w:lang w:val="es-ES"/>
        </w:rPr>
      </w:pPr>
      <w:r w:rsidRPr="00410790">
        <w:rPr>
          <w:rFonts w:ascii="Palatino Linotype" w:hAnsi="Palatino Linotype"/>
          <w:color w:val="222222"/>
          <w:sz w:val="24"/>
        </w:rPr>
        <w:t>No obstante lo anterior, esta Ponencia Resolutora no es omisa en señalar que, el derecho constitucional del ejercicio de la libertad de expresión, no implica para los particulares el uso de frases y expresiones que sean absolutamente vejatorias, que sean </w:t>
      </w:r>
      <w:r w:rsidRPr="00410790">
        <w:rPr>
          <w:rFonts w:ascii="Palatino Linotype" w:hAnsi="Palatino Linotype"/>
          <w:b/>
          <w:bCs/>
          <w:color w:val="222222"/>
          <w:sz w:val="24"/>
        </w:rPr>
        <w:t>ofensivas u</w:t>
      </w:r>
      <w:r w:rsidRPr="00410790">
        <w:rPr>
          <w:rFonts w:ascii="Palatino Linotype" w:hAnsi="Palatino Linotype"/>
          <w:color w:val="222222"/>
          <w:sz w:val="24"/>
        </w:rPr>
        <w:t> </w:t>
      </w:r>
      <w:r w:rsidRPr="00410790">
        <w:rPr>
          <w:rFonts w:ascii="Palatino Linotype" w:hAnsi="Palatino Linotype"/>
          <w:b/>
          <w:bCs/>
          <w:color w:val="222222"/>
          <w:sz w:val="24"/>
        </w:rPr>
        <w:t>oprobiosas</w:t>
      </w:r>
      <w:r w:rsidRPr="00410790">
        <w:rPr>
          <w:rFonts w:ascii="Palatino Linotype" w:hAnsi="Palatino Linotype"/>
          <w:color w:val="222222"/>
          <w:sz w:val="24"/>
        </w:rPr>
        <w:t>, según el contexto, o bien, </w:t>
      </w:r>
      <w:r w:rsidRPr="00410790">
        <w:rPr>
          <w:rFonts w:ascii="Palatino Linotype" w:hAnsi="Palatino Linotype"/>
          <w:b/>
          <w:bCs/>
          <w:color w:val="222222"/>
          <w:sz w:val="24"/>
        </w:rPr>
        <w:t>impertinentes para expresar opiniones</w:t>
      </w:r>
      <w:r w:rsidRPr="00410790">
        <w:rPr>
          <w:rFonts w:ascii="Palatino Linotype" w:hAnsi="Palatino Linotype"/>
          <w:color w:val="222222"/>
          <w:sz w:val="24"/>
        </w:rPr>
        <w:t> o informaciones, </w:t>
      </w:r>
      <w:r w:rsidRPr="00410790">
        <w:rPr>
          <w:rFonts w:ascii="Palatino Linotype" w:hAnsi="Palatino Linotype"/>
          <w:b/>
          <w:bCs/>
          <w:color w:val="222222"/>
          <w:sz w:val="24"/>
        </w:rPr>
        <w:t>teniendo relación o no con lo manifestado</w:t>
      </w:r>
      <w:r w:rsidRPr="00410790">
        <w:rPr>
          <w:rFonts w:ascii="Palatino Linotype" w:hAnsi="Palatino Linotype"/>
          <w:color w:val="222222"/>
          <w:sz w:val="24"/>
        </w:rPr>
        <w:t>, por lo que, insta a </w:t>
      </w:r>
      <w:r w:rsidRPr="00410790">
        <w:rPr>
          <w:rFonts w:ascii="Palatino Linotype" w:hAnsi="Palatino Linotype"/>
          <w:b/>
          <w:bCs/>
          <w:color w:val="222222"/>
          <w:sz w:val="24"/>
        </w:rPr>
        <w:t>LA RECURRENTE</w:t>
      </w:r>
      <w:r w:rsidRPr="00410790">
        <w:rPr>
          <w:rFonts w:ascii="Palatino Linotype" w:hAnsi="Palatino Linotype"/>
          <w:color w:val="222222"/>
          <w:sz w:val="24"/>
        </w:rPr>
        <w:t xml:space="preserve"> para que se conduzca con respeto en sus expresiones. En apoyo a lo anterior, resulta aplicable por analogía la Jurisprudencia con número de registro 2003302, de la Décima Época, sustentada por la Primera Sala de la Suprema Corte de Justicia de la Nación, visible en la página 537, libro XIX, Tomo 1, de abril de </w:t>
      </w:r>
      <w:r w:rsidRPr="00410790">
        <w:rPr>
          <w:rFonts w:ascii="Palatino Linotype" w:hAnsi="Palatino Linotype"/>
          <w:color w:val="222222"/>
          <w:sz w:val="24"/>
        </w:rPr>
        <w:lastRenderedPageBreak/>
        <w:t>2013, del Semanario Judicial de la Federación y su Gaceta, la cual es del tenor literal siguiente:</w:t>
      </w:r>
    </w:p>
    <w:p w:rsidR="00410790" w:rsidRPr="00410790" w:rsidRDefault="00410790" w:rsidP="00410790">
      <w:pPr>
        <w:pStyle w:val="Prrafodelista"/>
        <w:spacing w:line="360" w:lineRule="auto"/>
        <w:ind w:left="0"/>
        <w:jc w:val="both"/>
        <w:rPr>
          <w:rFonts w:ascii="Palatino Linotype" w:hAnsi="Palatino Linotype" w:cs="Arial"/>
          <w:sz w:val="24"/>
          <w:lang w:val="es-ES"/>
        </w:rPr>
      </w:pPr>
    </w:p>
    <w:p w:rsidR="00410790" w:rsidRPr="00410790" w:rsidRDefault="00410790" w:rsidP="00410790">
      <w:pPr>
        <w:pStyle w:val="Prrafodelista"/>
        <w:shd w:val="clear" w:color="auto" w:fill="FFFFFF"/>
        <w:spacing w:before="120" w:after="120" w:line="360" w:lineRule="auto"/>
        <w:ind w:left="851" w:right="822"/>
        <w:jc w:val="both"/>
        <w:rPr>
          <w:rFonts w:ascii="Times New Roman" w:hAnsi="Times New Roman"/>
          <w:color w:val="222222"/>
          <w:sz w:val="24"/>
        </w:rPr>
      </w:pPr>
      <w:r w:rsidRPr="00410790">
        <w:rPr>
          <w:rFonts w:ascii="Palatino Linotype" w:hAnsi="Palatino Linotype"/>
          <w:i/>
          <w:iCs/>
          <w:color w:val="222222"/>
        </w:rPr>
        <w:t>“</w:t>
      </w:r>
      <w:r w:rsidRPr="00410790">
        <w:rPr>
          <w:rFonts w:ascii="Palatino Linotype" w:hAnsi="Palatino Linotype"/>
          <w:b/>
          <w:bCs/>
          <w:i/>
          <w:iCs/>
          <w:color w:val="222222"/>
        </w:rPr>
        <w:t>LIBERTAD DE EXPRESIÓN. </w:t>
      </w:r>
      <w:r w:rsidRPr="00410790">
        <w:rPr>
          <w:rFonts w:ascii="Palatino Linotype" w:hAnsi="Palatino Linotype"/>
          <w:b/>
          <w:bCs/>
          <w:i/>
          <w:iCs/>
          <w:color w:val="222222"/>
          <w:u w:val="single"/>
        </w:rPr>
        <w:t>LA CONSTITUCIÓN NO RECONOCE EL DERECHO AL INSULTO</w:t>
      </w:r>
      <w:r w:rsidRPr="00410790">
        <w:rPr>
          <w:rFonts w:ascii="Palatino Linotype" w:hAnsi="Palatino Linotype"/>
          <w:i/>
          <w:iCs/>
          <w:color w:val="222222"/>
        </w:rPr>
        <w:t>. </w:t>
      </w:r>
      <w:r w:rsidRPr="00410790">
        <w:rPr>
          <w:rFonts w:ascii="Palatino Linotype" w:hAnsi="Palatino Linotype"/>
          <w:b/>
          <w:bCs/>
          <w:i/>
          <w:iCs/>
          <w:color w:val="222222"/>
          <w:u w:val="single"/>
        </w:rPr>
        <w:t>Si bien es cierto que</w:t>
      </w:r>
      <w:r w:rsidRPr="00410790">
        <w:rPr>
          <w:rFonts w:ascii="Palatino Linotype" w:hAnsi="Palatino Linotype"/>
          <w:i/>
          <w:iCs/>
          <w:color w:val="222222"/>
        </w:rPr>
        <w:t> cualquier individuo que participe en un debate público de interés general debe abstenerse de exceder ciertos límites, como el respeto a la reputación y a los derechos de terceros, también lo es que </w:t>
      </w:r>
      <w:r w:rsidRPr="00410790">
        <w:rPr>
          <w:rFonts w:ascii="Palatino Linotype" w:hAnsi="Palatino Linotype"/>
          <w:b/>
          <w:bCs/>
          <w:i/>
          <w:iCs/>
          <w:color w:val="222222"/>
          <w:u w:val="single"/>
        </w:rPr>
        <w:t>está permitido recurrir a cierta dosis de exageración, incluso de provocación</w:t>
      </w:r>
      <w:r w:rsidRPr="00410790">
        <w:rPr>
          <w:rFonts w:ascii="Palatino Linotype" w:hAnsi="Palatino Linotype"/>
          <w:i/>
          <w:iCs/>
          <w:color w:val="222222"/>
        </w:rPr>
        <w:t>, es decir, puede ser un tanto desmedido en sus declaraciones, </w:t>
      </w:r>
      <w:r w:rsidRPr="00410790">
        <w:rPr>
          <w:rFonts w:ascii="Palatino Linotype" w:hAnsi="Palatino Linotype"/>
          <w:b/>
          <w:bCs/>
          <w:i/>
          <w:iCs/>
          <w:color w:val="222222"/>
          <w:u w:val="single"/>
        </w:rPr>
        <w:t>y es precisamente en las expresiones que puedan ofender, chocar, perturbar, molestar, inquietar o disgustar donde la libertad de expresión resulta más valiosa</w:t>
      </w:r>
      <w:r w:rsidRPr="00410790">
        <w:rPr>
          <w:rFonts w:ascii="Palatino Linotype" w:hAnsi="Palatino Linotype"/>
          <w:i/>
          <w:iCs/>
          <w:color w:val="222222"/>
        </w:rPr>
        <w:t>.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w:t>
      </w:r>
      <w:r w:rsidRPr="00410790">
        <w:rPr>
          <w:rFonts w:ascii="Palatino Linotype" w:hAnsi="Palatino Linotype"/>
          <w:b/>
          <w:bCs/>
          <w:i/>
          <w:iCs/>
          <w:color w:val="222222"/>
          <w:u w:val="single"/>
        </w:rPr>
        <w:t>En este sentido, es importante enfatizar que la Constitución </w:t>
      </w:r>
      <w:r w:rsidRPr="00410790">
        <w:rPr>
          <w:rFonts w:ascii="Palatino Linotype" w:hAnsi="Palatino Linotype"/>
          <w:i/>
          <w:iCs/>
          <w:color w:val="222222"/>
        </w:rPr>
        <w:t>Política de los Estados Unidos Mexicanos </w:t>
      </w:r>
      <w:r w:rsidRPr="00410790">
        <w:rPr>
          <w:rFonts w:ascii="Palatino Linotype" w:hAnsi="Palatino Linotype"/>
          <w:b/>
          <w:bCs/>
          <w:i/>
          <w:iCs/>
          <w:color w:val="222222"/>
          <w:u w:val="single"/>
        </w:rPr>
        <w:t>no reconoce un derecho al insulto</w:t>
      </w:r>
      <w:r w:rsidRPr="00410790">
        <w:rPr>
          <w:rFonts w:ascii="Palatino Linotype" w:hAnsi="Palatino Linotype"/>
          <w:i/>
          <w:iCs/>
          <w:color w:val="222222"/>
        </w:rPr>
        <w:t> o a la injuria gratuita, sin embargo, tampoco veda expresiones inusuales, alternativas, indecentes, escandalosas, excéntricas o simplemente contrarias a las creencias y posturas mayoritarias, aun cuando se expresen acompañadas de expresiones no verbales, sino simbólicas. </w:t>
      </w:r>
      <w:r w:rsidRPr="00410790">
        <w:rPr>
          <w:rFonts w:ascii="Palatino Linotype" w:hAnsi="Palatino Linotype"/>
          <w:b/>
          <w:bCs/>
          <w:i/>
          <w:iCs/>
          <w:color w:val="222222"/>
          <w:u w:val="single"/>
        </w:rPr>
        <w:t>Consecuentemente, el derecho al honor prevalece cuando la libertad de expresión utiliza frases y expresiones que están excluidas de protección constitucional</w:t>
      </w:r>
      <w:r w:rsidRPr="00410790">
        <w:rPr>
          <w:rFonts w:ascii="Palatino Linotype" w:hAnsi="Palatino Linotype"/>
          <w:i/>
          <w:iCs/>
          <w:color w:val="222222"/>
        </w:rPr>
        <w:t>, es decir, </w:t>
      </w:r>
      <w:r w:rsidRPr="00410790">
        <w:rPr>
          <w:rFonts w:ascii="Palatino Linotype" w:hAnsi="Palatino Linotype"/>
          <w:b/>
          <w:bCs/>
          <w:i/>
          <w:iCs/>
          <w:color w:val="222222"/>
          <w:u w:val="single"/>
        </w:rPr>
        <w:t>cuando sean absolutamente vejatorias</w:t>
      </w:r>
      <w:r w:rsidRPr="00410790">
        <w:rPr>
          <w:rFonts w:ascii="Palatino Linotype" w:hAnsi="Palatino Linotype"/>
          <w:i/>
          <w:iCs/>
          <w:color w:val="222222"/>
        </w:rPr>
        <w:t>, entendiendo como tales las que sean: </w:t>
      </w:r>
      <w:r w:rsidRPr="00410790">
        <w:rPr>
          <w:rFonts w:ascii="Palatino Linotype" w:hAnsi="Palatino Linotype"/>
          <w:b/>
          <w:bCs/>
          <w:i/>
          <w:iCs/>
          <w:color w:val="222222"/>
          <w:u w:val="single"/>
        </w:rPr>
        <w:t>a) ofensivas u oprobiosas, según el contexto; y, b) impertinentes para expresar opiniones o informaciones, según tengan o no relación con lo manifestado</w:t>
      </w:r>
      <w:r w:rsidRPr="00410790">
        <w:rPr>
          <w:rFonts w:ascii="Palatino Linotype" w:hAnsi="Palatino Linotype"/>
          <w:i/>
          <w:iCs/>
          <w:color w:val="222222"/>
        </w:rPr>
        <w:t xml:space="preserve">. Respecto del </w:t>
      </w:r>
      <w:r w:rsidRPr="00410790">
        <w:rPr>
          <w:rFonts w:ascii="Palatino Linotype" w:hAnsi="Palatino Linotype"/>
          <w:i/>
          <w:iCs/>
          <w:color w:val="222222"/>
        </w:rPr>
        <w:lastRenderedPageBreak/>
        <w:t>citado contexto, su importancia estriba en que la situación política o social de un Estado y las circunstancias concurrentes a la publicación de la nota pueden disminuir la significación ofensiva y aumentar el grado de tolerancia.</w:t>
      </w:r>
    </w:p>
    <w:p w:rsidR="00410790" w:rsidRPr="00410790" w:rsidRDefault="00410790" w:rsidP="00410790">
      <w:pPr>
        <w:pStyle w:val="Prrafodelista"/>
        <w:shd w:val="clear" w:color="auto" w:fill="FFFFFF"/>
        <w:spacing w:before="120" w:after="120" w:line="360" w:lineRule="auto"/>
        <w:ind w:left="851" w:right="822"/>
        <w:jc w:val="both"/>
        <w:rPr>
          <w:rFonts w:ascii="Times New Roman" w:hAnsi="Times New Roman"/>
          <w:color w:val="222222"/>
          <w:sz w:val="24"/>
        </w:rPr>
      </w:pPr>
      <w:r w:rsidRPr="00410790">
        <w:rPr>
          <w:rFonts w:ascii="Palatino Linotype" w:hAnsi="Palatino Linotype"/>
          <w:i/>
          <w:iCs/>
          <w:color w:val="222222"/>
        </w:rPr>
        <w:t>Amparo directo 28/2010. Demos, Desarrollo de Medios, S.A. de C.V. 23 de noviembre de 2011. Mayoría de cuatro votos. Disidente: Guillermo I. Ortiz Mayagoitia, quien reservó su derecho a formular voto particular; José Ramón Cossío Díaz reservó su derecho a formular voto concurrente. Ponente: Arturo Zaldívar Lelo de Larrea. Secretario: Javier Mijangos y González.</w:t>
      </w:r>
    </w:p>
    <w:p w:rsidR="00410790" w:rsidRPr="00410790" w:rsidRDefault="00410790" w:rsidP="00410790">
      <w:pPr>
        <w:pStyle w:val="Prrafodelista"/>
        <w:shd w:val="clear" w:color="auto" w:fill="FFFFFF"/>
        <w:spacing w:before="120" w:after="120" w:line="360" w:lineRule="auto"/>
        <w:ind w:left="851" w:right="822"/>
        <w:jc w:val="both"/>
        <w:rPr>
          <w:rFonts w:ascii="Times New Roman" w:hAnsi="Times New Roman"/>
          <w:color w:val="222222"/>
          <w:sz w:val="24"/>
        </w:rPr>
      </w:pPr>
      <w:r w:rsidRPr="00410790">
        <w:rPr>
          <w:rFonts w:ascii="Palatino Linotype" w:hAnsi="Palatino Linotype"/>
          <w:i/>
          <w:iCs/>
          <w:color w:val="222222"/>
        </w:rPr>
        <w:t>Amparo directo 25/2010. Eduardo Rey Huchim May. 28 de marzo de 2012. Unanimidad de cuatro votos. Ausente: Guillermo I. Ortiz Mayagoitia. Ponente: Olga Sánchez Cordero de García Villegas. Secretaria: Rosalía Argumosa López.</w:t>
      </w:r>
    </w:p>
    <w:p w:rsidR="00410790" w:rsidRPr="00410790" w:rsidRDefault="00410790" w:rsidP="00410790">
      <w:pPr>
        <w:pStyle w:val="Prrafodelista"/>
        <w:shd w:val="clear" w:color="auto" w:fill="FFFFFF"/>
        <w:spacing w:before="120" w:after="120" w:line="360" w:lineRule="auto"/>
        <w:ind w:left="851" w:right="822"/>
        <w:jc w:val="both"/>
        <w:rPr>
          <w:rFonts w:ascii="Times New Roman" w:hAnsi="Times New Roman"/>
          <w:color w:val="222222"/>
          <w:sz w:val="24"/>
        </w:rPr>
      </w:pPr>
      <w:r w:rsidRPr="00410790">
        <w:rPr>
          <w:rFonts w:ascii="Palatino Linotype" w:hAnsi="Palatino Linotype"/>
          <w:i/>
          <w:iCs/>
          <w:color w:val="222222"/>
        </w:rPr>
        <w:t>Amparo directo 26/2010. Rubén Lara León. 28 de marzo de 2012. Unanimidad de cuatro votos. Ausente: Guillermo I. Ortiz Mayagoitia. Ponente: Olga Sánchez Cordero de García Villegas. Secretario: Francisco Octavio Escudero Contreras.</w:t>
      </w:r>
    </w:p>
    <w:p w:rsidR="00410790" w:rsidRPr="00410790" w:rsidRDefault="00410790" w:rsidP="00410790">
      <w:pPr>
        <w:pStyle w:val="Prrafodelista"/>
        <w:shd w:val="clear" w:color="auto" w:fill="FFFFFF"/>
        <w:spacing w:before="120" w:after="120" w:line="360" w:lineRule="auto"/>
        <w:ind w:left="851" w:right="822"/>
        <w:jc w:val="both"/>
        <w:rPr>
          <w:rFonts w:ascii="Times New Roman" w:hAnsi="Times New Roman"/>
          <w:color w:val="222222"/>
          <w:sz w:val="24"/>
        </w:rPr>
      </w:pPr>
      <w:r w:rsidRPr="00410790">
        <w:rPr>
          <w:rFonts w:ascii="Palatino Linotype" w:hAnsi="Palatino Linotype"/>
          <w:i/>
          <w:iCs/>
          <w:color w:val="222222"/>
        </w:rPr>
        <w:t>Amparo directo 8/2012. Arrendadora Ocean Mexicana, S.A. de C.V. y otros. 4 de julio de 2012. Mayoría de cuatro votos. Disidente: Guillermo I. Ortiz Mayagoitia; José Ramón Cossío Díaz reservó su derecho para formular voto concurrente; Olga Sánchez Cordero de García Villegas también reservó su derecho a formular voto concurrente por lo que respecta al apartado XI. Ponente: Arturo Zaldívar Lelo de Larrea. Secretario: Javier Mijangos y González.</w:t>
      </w:r>
    </w:p>
    <w:p w:rsidR="00410790" w:rsidRPr="00410790" w:rsidRDefault="00410790" w:rsidP="00410790">
      <w:pPr>
        <w:pStyle w:val="Prrafodelista"/>
        <w:shd w:val="clear" w:color="auto" w:fill="FFFFFF"/>
        <w:spacing w:before="120" w:after="120" w:line="360" w:lineRule="auto"/>
        <w:ind w:left="851" w:right="822"/>
        <w:jc w:val="both"/>
        <w:rPr>
          <w:rFonts w:ascii="Times New Roman" w:hAnsi="Times New Roman"/>
          <w:color w:val="222222"/>
          <w:sz w:val="24"/>
        </w:rPr>
      </w:pPr>
      <w:r w:rsidRPr="00410790">
        <w:rPr>
          <w:rFonts w:ascii="Palatino Linotype" w:hAnsi="Palatino Linotype"/>
          <w:i/>
          <w:iCs/>
          <w:color w:val="222222"/>
        </w:rPr>
        <w:t>Amparo directo 16/2012. Federico Humberto Ruiz Lomelí. 11 de julio de 2012. Cinco votos; José Ramón Cossío Díaz, Olga Sánchez Cordero de García Villegas y Arturo Zaldívar Lelo de Larrea reservaron su derecho a formular voto concurrente. Ponente: Jorge Mario Pardo Rebolledo. Secretaria: Rosa María Rojas Vértiz Contreras.</w:t>
      </w:r>
    </w:p>
    <w:p w:rsidR="00410790" w:rsidRPr="00410790" w:rsidRDefault="00410790" w:rsidP="00410790">
      <w:pPr>
        <w:pStyle w:val="Prrafodelista"/>
        <w:shd w:val="clear" w:color="auto" w:fill="FFFFFF"/>
        <w:spacing w:before="120" w:after="120" w:line="360" w:lineRule="auto"/>
        <w:ind w:left="851" w:right="822"/>
        <w:jc w:val="both"/>
        <w:rPr>
          <w:rFonts w:ascii="Times New Roman" w:hAnsi="Times New Roman"/>
          <w:color w:val="222222"/>
          <w:sz w:val="24"/>
        </w:rPr>
      </w:pPr>
      <w:r w:rsidRPr="00410790">
        <w:rPr>
          <w:rFonts w:ascii="Palatino Linotype" w:hAnsi="Palatino Linotype"/>
          <w:i/>
          <w:iCs/>
          <w:color w:val="222222"/>
        </w:rPr>
        <w:t>Tesis de jurisprudencia 31/2013 (10a.). Aprobada por la Primera Sala de este Alto Tribunal, en sesión privada de veintisiete de febrero de dos mil trece.”</w:t>
      </w:r>
    </w:p>
    <w:p w:rsidR="00410790" w:rsidRPr="00A10818" w:rsidRDefault="00410790" w:rsidP="00A10818">
      <w:pPr>
        <w:pStyle w:val="Prrafodelista"/>
        <w:shd w:val="clear" w:color="auto" w:fill="FFFFFF"/>
        <w:spacing w:before="120" w:after="120" w:line="360" w:lineRule="auto"/>
        <w:ind w:left="851" w:right="822"/>
        <w:jc w:val="both"/>
        <w:rPr>
          <w:rFonts w:ascii="Palatino Linotype" w:hAnsi="Palatino Linotype"/>
          <w:color w:val="222222"/>
        </w:rPr>
      </w:pPr>
      <w:r w:rsidRPr="00410790">
        <w:rPr>
          <w:rFonts w:ascii="Palatino Linotype" w:hAnsi="Palatino Linotype"/>
          <w:color w:val="222222"/>
        </w:rPr>
        <w:t>(Énfasis añadido)</w:t>
      </w:r>
    </w:p>
    <w:p w:rsidR="00410790" w:rsidRDefault="00410790" w:rsidP="00410790">
      <w:pPr>
        <w:pStyle w:val="Prrafodelista"/>
        <w:numPr>
          <w:ilvl w:val="0"/>
          <w:numId w:val="5"/>
        </w:numPr>
        <w:spacing w:line="360" w:lineRule="auto"/>
        <w:ind w:left="0" w:firstLine="0"/>
        <w:jc w:val="both"/>
        <w:rPr>
          <w:rFonts w:ascii="Palatino Linotype" w:eastAsia="MS Mincho" w:hAnsi="Palatino Linotype" w:cs="Arial"/>
          <w:sz w:val="24"/>
          <w:lang w:val="es-ES_tradnl" w:eastAsia="es-ES"/>
        </w:rPr>
      </w:pPr>
      <w:r>
        <w:rPr>
          <w:rFonts w:ascii="Palatino Linotype" w:hAnsi="Palatino Linotype" w:cs="Arial"/>
          <w:sz w:val="24"/>
          <w:lang w:val="es-ES"/>
        </w:rPr>
        <w:lastRenderedPageBreak/>
        <w:t xml:space="preserve">Ahora bien, </w:t>
      </w:r>
      <w:r>
        <w:rPr>
          <w:rFonts w:ascii="Palatino Linotype" w:eastAsia="MS Mincho" w:hAnsi="Palatino Linotype" w:cs="Arial"/>
          <w:sz w:val="24"/>
          <w:lang w:val="es-ES_tradnl" w:eastAsia="es-ES"/>
        </w:rPr>
        <w:t>es necesario traer a contexto e</w:t>
      </w:r>
      <w:r w:rsidRPr="00873BB5">
        <w:rPr>
          <w:rFonts w:ascii="Palatino Linotype" w:eastAsia="MS Mincho" w:hAnsi="Palatino Linotype" w:cs="Arial"/>
          <w:sz w:val="24"/>
          <w:lang w:val="es-ES_tradnl" w:eastAsia="es-ES"/>
        </w:rPr>
        <w:t>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w:t>
      </w:r>
      <w:r>
        <w:rPr>
          <w:rFonts w:ascii="Palatino Linotype" w:eastAsia="MS Mincho" w:hAnsi="Palatino Linotype" w:cs="Arial"/>
          <w:sz w:val="24"/>
          <w:lang w:val="es-ES_tradnl" w:eastAsia="es-ES"/>
        </w:rPr>
        <w:t xml:space="preserve"> de la investigación practicada:</w:t>
      </w:r>
    </w:p>
    <w:p w:rsidR="00410790" w:rsidRPr="00410790" w:rsidRDefault="00410790" w:rsidP="00410790">
      <w:pPr>
        <w:pStyle w:val="Prrafodelista"/>
        <w:spacing w:line="360" w:lineRule="auto"/>
        <w:ind w:left="0"/>
        <w:jc w:val="both"/>
        <w:rPr>
          <w:rFonts w:ascii="Palatino Linotype" w:eastAsia="MS Mincho" w:hAnsi="Palatino Linotype" w:cs="Arial"/>
          <w:sz w:val="24"/>
          <w:lang w:val="es-ES_tradnl" w:eastAsia="es-ES"/>
        </w:rPr>
      </w:pPr>
    </w:p>
    <w:p w:rsidR="00410790" w:rsidRPr="00873BB5" w:rsidRDefault="00410790" w:rsidP="00410790">
      <w:pPr>
        <w:pStyle w:val="Prrafodelista"/>
        <w:spacing w:before="240" w:after="240" w:line="360" w:lineRule="auto"/>
        <w:ind w:left="851" w:right="822"/>
        <w:jc w:val="both"/>
        <w:rPr>
          <w:rFonts w:ascii="Palatino Linotype" w:eastAsia="MS Mincho" w:hAnsi="Palatino Linotype" w:cs="Arial"/>
          <w:i/>
          <w:lang w:val="es-ES_tradnl" w:eastAsia="es-ES"/>
        </w:rPr>
      </w:pPr>
      <w:r w:rsidRPr="00873BB5">
        <w:rPr>
          <w:rFonts w:ascii="Palatino Linotype" w:eastAsia="MS Mincho" w:hAnsi="Palatino Linotype"/>
          <w:b/>
          <w:i/>
          <w:lang w:val="es-ES_tradnl" w:eastAsia="es-ES"/>
        </w:rPr>
        <w:t>Artículo 162.</w:t>
      </w:r>
      <w:r w:rsidRPr="00873BB5">
        <w:rPr>
          <w:rFonts w:ascii="Palatino Linotype" w:eastAsia="MS Mincho" w:hAnsi="Palatino Linotype"/>
          <w:i/>
          <w:lang w:val="es-ES_tradnl" w:eastAsia="es-ES"/>
        </w:rPr>
        <w:t xml:space="preserve"> Las unidades de transparencia deberán garantizar que las solicitudes se </w:t>
      </w:r>
      <w:r w:rsidRPr="00873BB5">
        <w:rPr>
          <w:rFonts w:ascii="Palatino Linotype" w:eastAsia="MS Mincho" w:hAnsi="Palatino Linotype"/>
          <w:b/>
          <w:i/>
          <w:u w:val="single"/>
          <w:lang w:val="es-ES_tradnl" w:eastAsia="es-ES"/>
        </w:rPr>
        <w:t>turnen a todas las Áreas competentes</w:t>
      </w:r>
      <w:r w:rsidRPr="00873BB5">
        <w:rPr>
          <w:rFonts w:ascii="Palatino Linotype" w:eastAsia="MS Mincho" w:hAnsi="Palatino Linotype"/>
          <w:i/>
          <w:lang w:val="es-ES_tradnl" w:eastAsia="es-ES"/>
        </w:rPr>
        <w:t xml:space="preserve"> que cuenten con la información o deban tenerla de acuerdo a sus facultades, competencias y funciones, con el objeto de que realicen una búsqueda exhaustiva y razonable de la información solicitada.</w:t>
      </w:r>
    </w:p>
    <w:p w:rsidR="00410790" w:rsidRPr="00873BB5" w:rsidRDefault="00410790" w:rsidP="00410790">
      <w:pPr>
        <w:pStyle w:val="Prrafodelista"/>
        <w:spacing w:before="240" w:after="240" w:line="360" w:lineRule="auto"/>
        <w:ind w:left="502" w:right="49"/>
        <w:jc w:val="both"/>
        <w:rPr>
          <w:rFonts w:ascii="Palatino Linotype" w:eastAsia="MS Mincho" w:hAnsi="Palatino Linotype" w:cs="Arial"/>
          <w:lang w:val="es-ES_tradnl" w:eastAsia="es-ES"/>
        </w:rPr>
      </w:pPr>
    </w:p>
    <w:p w:rsidR="00410790" w:rsidRDefault="00410790" w:rsidP="00410790">
      <w:pPr>
        <w:pStyle w:val="Prrafodelista"/>
        <w:numPr>
          <w:ilvl w:val="0"/>
          <w:numId w:val="5"/>
        </w:numPr>
        <w:spacing w:line="360" w:lineRule="auto"/>
        <w:ind w:left="0" w:firstLine="0"/>
        <w:jc w:val="both"/>
        <w:rPr>
          <w:rFonts w:ascii="Palatino Linotype" w:eastAsia="MS Mincho" w:hAnsi="Palatino Linotype" w:cs="Arial"/>
          <w:sz w:val="24"/>
          <w:lang w:val="es-ES_tradnl" w:eastAsia="es-ES"/>
        </w:rPr>
      </w:pPr>
      <w:r>
        <w:rPr>
          <w:rFonts w:ascii="Palatino Linotype" w:eastAsia="MS Mincho" w:hAnsi="Palatino Linotype" w:cs="Arial"/>
          <w:sz w:val="24"/>
          <w:lang w:val="es-ES_tradnl" w:eastAsia="es-ES"/>
        </w:rPr>
        <w:t>Así, e</w:t>
      </w:r>
      <w:r w:rsidRPr="00873BB5">
        <w:rPr>
          <w:rFonts w:ascii="Palatino Linotype" w:eastAsia="MS Mincho" w:hAnsi="Palatino Linotype" w:cs="Arial"/>
          <w:sz w:val="24"/>
          <w:lang w:val="es-ES_tradnl" w:eastAsia="es-ES"/>
        </w:rPr>
        <w:t xml:space="preserve">l procedimiento de acceso a la información pública, descrito en el Título Séptimo de la Ley de Transparencia describe los pasos que debe seguir la autoridad para atender las solicitudes que presenten las personas en ejercicio de su derecho, </w:t>
      </w:r>
      <w:r w:rsidRPr="00873BB5">
        <w:rPr>
          <w:rFonts w:ascii="Palatino Linotype" w:eastAsia="MS Mincho" w:hAnsi="Palatino Linotype" w:cs="Arial"/>
          <w:sz w:val="24"/>
          <w:lang w:val="es-ES_tradnl" w:eastAsia="es-ES"/>
        </w:rPr>
        <w:lastRenderedPageBreak/>
        <w:t xml:space="preserve">entre los cuales se encuentra el deber de las unidades de transparencia de turnar </w:t>
      </w:r>
      <w:r w:rsidRPr="00873BB5">
        <w:rPr>
          <w:rFonts w:ascii="Palatino Linotype" w:eastAsia="MS Mincho" w:hAnsi="Palatino Linotype" w:cs="Arial"/>
          <w:i/>
          <w:sz w:val="24"/>
          <w:lang w:val="es-ES_tradnl" w:eastAsia="es-ES"/>
        </w:rPr>
        <w:t xml:space="preserve">a todas las áreas competentes que cuenten con la información o deban tenerla de acuerdo a sus facultades, competencias y funciones, </w:t>
      </w:r>
      <w:r w:rsidRPr="00873BB5">
        <w:rPr>
          <w:rFonts w:ascii="Palatino Linotype" w:eastAsia="MS Mincho" w:hAnsi="Palatino Linotype" w:cs="Arial"/>
          <w:b/>
          <w:i/>
          <w:sz w:val="24"/>
          <w:u w:val="single"/>
          <w:lang w:val="es-ES_tradnl" w:eastAsia="es-ES"/>
        </w:rPr>
        <w:t>con el objeto de que realicen una búsqueda exhaustiva y razonable de la información solicitada</w:t>
      </w:r>
      <w:r w:rsidRPr="00873BB5">
        <w:rPr>
          <w:rFonts w:ascii="Palatino Linotype" w:eastAsia="MS Mincho" w:hAnsi="Palatino Linotype" w:cs="Arial"/>
          <w:i/>
          <w:sz w:val="24"/>
          <w:lang w:val="es-ES_tradnl" w:eastAsia="es-ES"/>
        </w:rPr>
        <w:t>,</w:t>
      </w:r>
      <w:r w:rsidRPr="00873BB5">
        <w:rPr>
          <w:rFonts w:ascii="Palatino Linotype" w:eastAsia="MS Mincho" w:hAnsi="Palatino Linotype" w:cs="Arial"/>
          <w:sz w:val="24"/>
          <w:lang w:val="es-ES_tradnl" w:eastAsia="es-ES"/>
        </w:rPr>
        <w:t xml:space="preserve"> según se asienta en el artículo 162 de la ley citada. </w:t>
      </w:r>
    </w:p>
    <w:p w:rsidR="00410790" w:rsidRPr="00873BB5" w:rsidRDefault="00410790" w:rsidP="00410790">
      <w:pPr>
        <w:pStyle w:val="Prrafodelista"/>
        <w:spacing w:line="360" w:lineRule="auto"/>
        <w:ind w:left="0"/>
        <w:jc w:val="both"/>
        <w:rPr>
          <w:rFonts w:ascii="Palatino Linotype" w:eastAsia="MS Mincho" w:hAnsi="Palatino Linotype" w:cs="Arial"/>
          <w:sz w:val="24"/>
          <w:lang w:val="es-ES_tradnl" w:eastAsia="es-ES"/>
        </w:rPr>
      </w:pPr>
    </w:p>
    <w:p w:rsidR="00410790" w:rsidRDefault="00410790" w:rsidP="00410790">
      <w:pPr>
        <w:pStyle w:val="Prrafodelista"/>
        <w:numPr>
          <w:ilvl w:val="0"/>
          <w:numId w:val="5"/>
        </w:numPr>
        <w:spacing w:before="240" w:after="240" w:line="360" w:lineRule="auto"/>
        <w:ind w:left="0" w:right="49" w:firstLine="0"/>
        <w:jc w:val="both"/>
        <w:rPr>
          <w:rFonts w:ascii="Palatino Linotype" w:eastAsia="MS Mincho" w:hAnsi="Palatino Linotype" w:cs="Arial"/>
          <w:sz w:val="24"/>
          <w:lang w:val="es-ES_tradnl" w:eastAsia="es-ES"/>
        </w:rPr>
      </w:pPr>
      <w:r w:rsidRPr="00873BB5">
        <w:rPr>
          <w:rFonts w:ascii="Palatino Linotype" w:eastAsia="MS Mincho" w:hAnsi="Palatino Linotype" w:cs="Arial"/>
          <w:sz w:val="24"/>
          <w:lang w:val="es-ES_tradnl" w:eastAsia="es-ES"/>
        </w:rPr>
        <w:t>Por lo que</w:t>
      </w:r>
      <w:r w:rsidR="00263E27">
        <w:rPr>
          <w:rFonts w:ascii="Palatino Linotype" w:eastAsia="MS Mincho" w:hAnsi="Palatino Linotype" w:cs="Arial"/>
          <w:sz w:val="24"/>
          <w:lang w:val="es-ES_tradnl" w:eastAsia="es-ES"/>
        </w:rPr>
        <w:t>,</w:t>
      </w:r>
      <w:r w:rsidRPr="00873BB5">
        <w:rPr>
          <w:rFonts w:ascii="Palatino Linotype" w:eastAsia="MS Mincho" w:hAnsi="Palatino Linotype" w:cs="Arial"/>
          <w:sz w:val="24"/>
          <w:lang w:val="es-ES_tradnl" w:eastAsia="es-ES"/>
        </w:rPr>
        <w:t xml:space="preserv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p>
    <w:p w:rsidR="00367D45" w:rsidRPr="00263E27" w:rsidRDefault="00367D45" w:rsidP="00263E27">
      <w:pPr>
        <w:pStyle w:val="Prrafodelista"/>
        <w:spacing w:line="360" w:lineRule="auto"/>
        <w:ind w:left="0"/>
        <w:jc w:val="both"/>
        <w:rPr>
          <w:rFonts w:ascii="Palatino Linotype" w:hAnsi="Palatino Linotype" w:cs="Arial"/>
          <w:sz w:val="24"/>
          <w:lang w:val="es-ES"/>
        </w:rPr>
      </w:pPr>
    </w:p>
    <w:p w:rsidR="00E33632" w:rsidRPr="00E33632" w:rsidRDefault="00E33632" w:rsidP="00367D45">
      <w:pPr>
        <w:pStyle w:val="Prrafodelista"/>
        <w:numPr>
          <w:ilvl w:val="0"/>
          <w:numId w:val="1"/>
        </w:numPr>
        <w:spacing w:line="360" w:lineRule="auto"/>
        <w:ind w:left="0" w:firstLine="0"/>
        <w:jc w:val="both"/>
        <w:rPr>
          <w:rFonts w:ascii="Palatino Linotype" w:hAnsi="Palatino Linotype" w:cs="Arial"/>
          <w:sz w:val="24"/>
          <w:lang w:val="es-ES"/>
        </w:rPr>
      </w:pPr>
      <w:r>
        <w:rPr>
          <w:rFonts w:ascii="Palatino Linotype" w:hAnsi="Palatino Linotype"/>
          <w:iCs/>
          <w:color w:val="000000"/>
          <w:sz w:val="24"/>
        </w:rPr>
        <w:t>En este caso</w:t>
      </w:r>
      <w:r w:rsidR="00367D45" w:rsidRPr="00240A27">
        <w:rPr>
          <w:rFonts w:ascii="Palatino Linotype" w:hAnsi="Palatino Linotype"/>
          <w:iCs/>
          <w:color w:val="000000"/>
          <w:sz w:val="24"/>
        </w:rPr>
        <w:t xml:space="preserve">, el SUJETO OBLIGADO </w:t>
      </w:r>
      <w:r>
        <w:rPr>
          <w:rFonts w:ascii="Palatino Linotype" w:hAnsi="Palatino Linotype"/>
          <w:iCs/>
          <w:color w:val="000000"/>
          <w:sz w:val="24"/>
        </w:rPr>
        <w:t>manifestó, a través del Director de Obras Públicas, que no se encuentra considerada esa obra en el programa anual:</w:t>
      </w:r>
    </w:p>
    <w:p w:rsidR="00E33632" w:rsidRDefault="00E33632" w:rsidP="00E33632">
      <w:pPr>
        <w:pStyle w:val="Prrafodelista"/>
        <w:spacing w:line="360" w:lineRule="auto"/>
        <w:ind w:left="0"/>
        <w:jc w:val="both"/>
        <w:rPr>
          <w:rFonts w:ascii="Palatino Linotype" w:hAnsi="Palatino Linotype"/>
          <w:iCs/>
          <w:color w:val="000000"/>
          <w:sz w:val="24"/>
        </w:rPr>
      </w:pPr>
    </w:p>
    <w:p w:rsidR="00367D45" w:rsidRPr="00A358FA" w:rsidRDefault="00E33632" w:rsidP="00E33632">
      <w:pPr>
        <w:pStyle w:val="Prrafodelista"/>
        <w:spacing w:line="360" w:lineRule="auto"/>
        <w:ind w:left="0"/>
        <w:jc w:val="center"/>
        <w:rPr>
          <w:rFonts w:ascii="Palatino Linotype" w:hAnsi="Palatino Linotype" w:cs="Arial"/>
          <w:sz w:val="24"/>
          <w:lang w:val="es-ES"/>
        </w:rPr>
      </w:pPr>
      <w:r>
        <w:rPr>
          <w:noProof/>
        </w:rPr>
        <w:drawing>
          <wp:inline distT="0" distB="0" distL="0" distR="0" wp14:anchorId="70D98087" wp14:editId="1BC747E4">
            <wp:extent cx="4266565" cy="286702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37" t="17692" r="33160" b="21565"/>
                    <a:stretch/>
                  </pic:blipFill>
                  <pic:spPr bwMode="auto">
                    <a:xfrm>
                      <a:off x="0" y="0"/>
                      <a:ext cx="4280438" cy="2876347"/>
                    </a:xfrm>
                    <a:prstGeom prst="rect">
                      <a:avLst/>
                    </a:prstGeom>
                    <a:ln>
                      <a:noFill/>
                    </a:ln>
                    <a:extLst>
                      <a:ext uri="{53640926-AAD7-44D8-BBD7-CCE9431645EC}">
                        <a14:shadowObscured xmlns:a14="http://schemas.microsoft.com/office/drawing/2010/main"/>
                      </a:ext>
                    </a:extLst>
                  </pic:spPr>
                </pic:pic>
              </a:graphicData>
            </a:graphic>
          </wp:inline>
        </w:drawing>
      </w:r>
    </w:p>
    <w:p w:rsidR="00367D45" w:rsidRPr="00240A27" w:rsidRDefault="00367D45" w:rsidP="00367D45">
      <w:pPr>
        <w:pStyle w:val="Prrafodelista"/>
        <w:rPr>
          <w:rFonts w:ascii="Palatino Linotype" w:eastAsia="MS Gothic" w:hAnsi="Palatino Linotype"/>
          <w:sz w:val="24"/>
        </w:rPr>
      </w:pPr>
    </w:p>
    <w:p w:rsidR="004736F0" w:rsidRDefault="00E33632" w:rsidP="004736F0">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E33632">
        <w:rPr>
          <w:rFonts w:ascii="Palatino Linotype" w:eastAsia="MS Mincho" w:hAnsi="Palatino Linotype" w:cs="Arial"/>
          <w:sz w:val="24"/>
          <w:lang w:eastAsia="es-ES"/>
        </w:rPr>
        <w:lastRenderedPageBreak/>
        <w:t>Puntualizado lo anterior</w:t>
      </w:r>
      <w:r>
        <w:rPr>
          <w:rFonts w:ascii="Palatino Linotype" w:eastAsia="MS Mincho" w:hAnsi="Palatino Linotype" w:cs="Arial"/>
          <w:sz w:val="24"/>
          <w:lang w:eastAsia="es-ES"/>
        </w:rPr>
        <w:t xml:space="preserve">, de acuerdo al </w:t>
      </w:r>
      <w:r w:rsidR="00BC1594">
        <w:rPr>
          <w:rFonts w:ascii="Palatino Linotype" w:eastAsia="MS Mincho" w:hAnsi="Palatino Linotype" w:cs="Arial"/>
          <w:sz w:val="24"/>
          <w:lang w:eastAsia="es-ES"/>
        </w:rPr>
        <w:t xml:space="preserve">artículo 315 del </w:t>
      </w:r>
      <w:r>
        <w:rPr>
          <w:rFonts w:ascii="Palatino Linotype" w:eastAsia="MS Mincho" w:hAnsi="Palatino Linotype" w:cs="Arial"/>
          <w:sz w:val="24"/>
          <w:lang w:eastAsia="es-ES"/>
        </w:rPr>
        <w:t xml:space="preserve">Bando Municipal de Almoloya de Juárez, la Dirección de Obras Públicas, </w:t>
      </w:r>
      <w:r w:rsidR="00BC1594">
        <w:rPr>
          <w:rFonts w:ascii="Palatino Linotype" w:eastAsia="MS Mincho" w:hAnsi="Palatino Linotype" w:cs="Arial"/>
          <w:sz w:val="24"/>
          <w:lang w:eastAsia="es-ES"/>
        </w:rPr>
        <w:t xml:space="preserve">planeará, programará, presupuestará, ejecutará, conservará, mantendrá, controlará y, en su caso, adecuará las obras de infraestructura y equipamiento urbano municipal. </w:t>
      </w:r>
    </w:p>
    <w:p w:rsidR="004736F0" w:rsidRDefault="004736F0" w:rsidP="004736F0">
      <w:pPr>
        <w:pStyle w:val="Prrafodelista"/>
        <w:spacing w:before="240" w:after="240" w:line="360" w:lineRule="auto"/>
        <w:ind w:left="0" w:right="48"/>
        <w:jc w:val="both"/>
        <w:rPr>
          <w:rFonts w:ascii="Palatino Linotype" w:eastAsia="MS Mincho" w:hAnsi="Palatino Linotype" w:cs="Arial"/>
          <w:sz w:val="24"/>
          <w:lang w:eastAsia="es-ES"/>
        </w:rPr>
      </w:pPr>
    </w:p>
    <w:p w:rsidR="004736F0" w:rsidRDefault="004736F0" w:rsidP="004736F0">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Pr>
          <w:rFonts w:ascii="Palatino Linotype" w:eastAsia="MS Mincho" w:hAnsi="Palatino Linotype" w:cs="Arial"/>
          <w:sz w:val="24"/>
          <w:lang w:eastAsia="es-ES"/>
        </w:rPr>
        <w:t>Es decir, l</w:t>
      </w:r>
      <w:r w:rsidR="00BC1594" w:rsidRPr="004736F0">
        <w:rPr>
          <w:rFonts w:ascii="Palatino Linotype" w:eastAsia="MS Mincho" w:hAnsi="Palatino Linotype" w:cs="Arial"/>
          <w:sz w:val="24"/>
          <w:lang w:eastAsia="es-ES"/>
        </w:rPr>
        <w:t xml:space="preserve">a Dirección de Obras Públicas, es el área que de acuerdo a sus atribuciones tiene la facultad para conocer de la información solicitada. </w:t>
      </w:r>
      <w:r>
        <w:rPr>
          <w:rFonts w:ascii="Palatino Linotype" w:hAnsi="Palatino Linotype" w:cs="Arial"/>
          <w:sz w:val="24"/>
        </w:rPr>
        <w:t>Por lo tanto, al haber un pronunciamiento por parte del Sujeto Obligado,</w:t>
      </w:r>
      <w:r w:rsidRPr="004736F0">
        <w:rPr>
          <w:rFonts w:ascii="Palatino Linotype" w:hAnsi="Palatino Linotype" w:cs="Arial"/>
          <w:sz w:val="24"/>
        </w:rPr>
        <w:t xml:space="preserve"> éste Órgano Garante no está facultado para pronunciarse sobre la veracidad de la información que los Sujetos Obligados ponen a disposición de los solicitantes; situación que se aleja de las atribuciones de este Instituto </w:t>
      </w:r>
      <w:r w:rsidRPr="004736F0">
        <w:rPr>
          <w:rFonts w:ascii="Palatino Linotype" w:hAnsi="Palatino Linotype"/>
          <w:color w:val="000000"/>
          <w:sz w:val="24"/>
        </w:rPr>
        <w:t xml:space="preserve">máxime que al momento que ponen a disposición ésta, la misma tiene el carácter oficial y se presume veraz, tan es así que la misma queda registrada en el Sistema de Acceso a la </w:t>
      </w:r>
      <w:r>
        <w:rPr>
          <w:rFonts w:ascii="Palatino Linotype" w:hAnsi="Palatino Linotype"/>
          <w:color w:val="000000"/>
          <w:sz w:val="24"/>
        </w:rPr>
        <w:t>Información Mexiquense (SAIMEX).</w:t>
      </w:r>
    </w:p>
    <w:p w:rsidR="004736F0" w:rsidRPr="004736F0" w:rsidRDefault="004736F0" w:rsidP="004736F0">
      <w:pPr>
        <w:pStyle w:val="Prrafodelista"/>
        <w:spacing w:before="240" w:after="240" w:line="360" w:lineRule="auto"/>
        <w:ind w:left="0" w:right="48"/>
        <w:jc w:val="both"/>
        <w:rPr>
          <w:rFonts w:ascii="Palatino Linotype" w:eastAsia="MS Mincho" w:hAnsi="Palatino Linotype" w:cs="Arial"/>
          <w:sz w:val="24"/>
          <w:lang w:eastAsia="es-ES"/>
        </w:rPr>
      </w:pPr>
    </w:p>
    <w:p w:rsidR="004736F0" w:rsidRPr="004736F0" w:rsidRDefault="004736F0" w:rsidP="004736F0">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736F0">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4736F0" w:rsidRPr="004736F0" w:rsidRDefault="004736F0" w:rsidP="004736F0">
      <w:pPr>
        <w:pStyle w:val="Default"/>
        <w:spacing w:before="240" w:after="360" w:line="360" w:lineRule="auto"/>
        <w:ind w:left="851" w:right="850"/>
        <w:jc w:val="both"/>
        <w:rPr>
          <w:rFonts w:ascii="Palatino Linotype" w:hAnsi="Palatino Linotype"/>
          <w:i/>
          <w:sz w:val="22"/>
          <w:szCs w:val="20"/>
        </w:rPr>
      </w:pPr>
      <w:r w:rsidRPr="00031358">
        <w:rPr>
          <w:rFonts w:ascii="Palatino Linotype" w:hAnsi="Palatino Linotype"/>
          <w:i/>
          <w:sz w:val="22"/>
          <w:szCs w:val="20"/>
        </w:rPr>
        <w:t xml:space="preserve">El Instituto Federal de Acceso a la Información y Protección de Datos </w:t>
      </w:r>
      <w:r w:rsidRPr="004B3660">
        <w:rPr>
          <w:rFonts w:ascii="Palatino Linotype" w:hAnsi="Palatino Linotype"/>
          <w:b/>
          <w:i/>
          <w:sz w:val="22"/>
          <w:szCs w:val="20"/>
        </w:rPr>
        <w:t>no cuenta con facultades para pronunciarse respecto de la veracidad de los documentos proporcionados por los sujetos obligados.</w:t>
      </w:r>
      <w:r w:rsidRPr="00031358">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031358">
        <w:rPr>
          <w:rFonts w:ascii="Palatino Linotype" w:hAnsi="Palatino Linotype"/>
          <w:i/>
          <w:sz w:val="22"/>
          <w:szCs w:val="20"/>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sz w:val="22"/>
          <w:szCs w:val="20"/>
        </w:rPr>
        <w:t xml:space="preserve"> recurso revisión, al respecto.</w:t>
      </w:r>
    </w:p>
    <w:p w:rsidR="004736F0" w:rsidRPr="004736F0" w:rsidRDefault="004736F0" w:rsidP="004736F0">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736F0">
        <w:rPr>
          <w:rFonts w:ascii="Palatino Linotype" w:hAnsi="Palatino Linotype" w:cs="Arial"/>
          <w:sz w:val="24"/>
        </w:rPr>
        <w:t xml:space="preserve">Así mismo, la </w:t>
      </w:r>
      <w:r w:rsidRPr="004736F0">
        <w:rPr>
          <w:rFonts w:ascii="Palatino Linotype" w:hAnsi="Palatino Linotype" w:cs="Arial"/>
          <w:b/>
          <w:sz w:val="24"/>
        </w:rPr>
        <w:t>Ley de Transparencia y Acceso a la Información Pública del Estado de México y Municipios</w:t>
      </w:r>
      <w:r w:rsidRPr="004736F0">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736F0" w:rsidRDefault="004736F0" w:rsidP="004736F0">
      <w:pPr>
        <w:pStyle w:val="Prrafodelista"/>
        <w:spacing w:before="240" w:after="240" w:line="360" w:lineRule="auto"/>
        <w:ind w:left="0" w:right="48"/>
        <w:jc w:val="both"/>
        <w:rPr>
          <w:rFonts w:ascii="Palatino Linotype" w:hAnsi="Palatino Linotype" w:cs="Arial"/>
          <w:sz w:val="24"/>
        </w:rPr>
      </w:pPr>
    </w:p>
    <w:p w:rsidR="004736F0" w:rsidRPr="00E81F69" w:rsidRDefault="004736F0" w:rsidP="004736F0">
      <w:pPr>
        <w:pStyle w:val="Prrafodelista"/>
        <w:spacing w:line="360" w:lineRule="auto"/>
        <w:ind w:left="851" w:right="902"/>
        <w:jc w:val="both"/>
        <w:rPr>
          <w:rFonts w:ascii="Palatino Linotype" w:hAnsi="Palatino Linotype" w:cs="Arial"/>
          <w:b/>
          <w:i/>
        </w:rPr>
      </w:pPr>
      <w:r w:rsidRPr="00D51E1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81F69">
        <w:rPr>
          <w:rFonts w:ascii="Palatino Linotype" w:hAnsi="Palatino Linotype" w:cs="Arial"/>
          <w:b/>
          <w:i/>
        </w:rPr>
        <w:t>Los Sujetos Obligados deben poner en práctica, políticas y programas de acceso a la información que se apeguen a criterios de publicidad, veracidad, oportunidad, precisión y suficiencia en</w:t>
      </w:r>
      <w:r>
        <w:rPr>
          <w:rFonts w:ascii="Palatino Linotype" w:hAnsi="Palatino Linotype" w:cs="Arial"/>
          <w:b/>
          <w:i/>
        </w:rPr>
        <w:t xml:space="preserve"> beneficio de los solicitantes.</w:t>
      </w:r>
    </w:p>
    <w:p w:rsidR="004736F0" w:rsidRPr="004736F0" w:rsidRDefault="004736F0" w:rsidP="004736F0">
      <w:pPr>
        <w:pStyle w:val="Prrafodelista"/>
        <w:spacing w:before="240" w:after="240" w:line="360" w:lineRule="auto"/>
        <w:ind w:left="0" w:right="48"/>
        <w:jc w:val="both"/>
        <w:rPr>
          <w:rFonts w:ascii="Palatino Linotype" w:eastAsia="MS Mincho" w:hAnsi="Palatino Linotype" w:cs="Arial"/>
          <w:sz w:val="24"/>
          <w:lang w:eastAsia="es-ES"/>
        </w:rPr>
      </w:pPr>
    </w:p>
    <w:p w:rsidR="004736F0" w:rsidRPr="004736F0" w:rsidRDefault="004736F0" w:rsidP="004736F0">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736F0">
        <w:rPr>
          <w:rFonts w:ascii="Palatino Linotype" w:hAnsi="Palatino Linotype" w:cs="Arial"/>
          <w:noProof/>
          <w:sz w:val="24"/>
        </w:rPr>
        <w:t xml:space="preserve">Numerales que compelen al </w:t>
      </w:r>
      <w:r w:rsidRPr="004736F0">
        <w:rPr>
          <w:rFonts w:ascii="Palatino Linotype" w:hAnsi="Palatino Linotype" w:cs="Arial"/>
          <w:b/>
          <w:noProof/>
          <w:sz w:val="24"/>
        </w:rPr>
        <w:t>SUJETO OBLIGADO</w:t>
      </w:r>
      <w:r w:rsidRPr="004736F0">
        <w:rPr>
          <w:rFonts w:ascii="Palatino Linotype" w:hAnsi="Palatino Linotype" w:cs="Arial"/>
          <w:noProof/>
          <w:sz w:val="24"/>
        </w:rPr>
        <w:t xml:space="preserve"> a apegarse en todo momento a los criterios ya expuestos, imipidiendo a este Órgano Colegiado cuestionar la veracidad de la información.</w:t>
      </w:r>
      <w:r w:rsidRPr="004736F0">
        <w:rPr>
          <w:rFonts w:ascii="Palatino Linotype" w:hAnsi="Palatino Linotype" w:cs="Arial"/>
          <w:noProof/>
        </w:rPr>
        <w:t xml:space="preserve"> </w:t>
      </w:r>
    </w:p>
    <w:p w:rsidR="00367D45" w:rsidRDefault="004736F0" w:rsidP="00B579A1">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Pr>
          <w:rFonts w:ascii="Palatino Linotype" w:eastAsia="MS Mincho" w:hAnsi="Palatino Linotype" w:cs="Arial"/>
          <w:sz w:val="24"/>
          <w:lang w:eastAsia="es-ES"/>
        </w:rPr>
        <w:lastRenderedPageBreak/>
        <w:t xml:space="preserve">Ahora bien, el Sujeto Obligado adjuntó el oficio de requerimiento de información al servidor público habilitado, mismo que se inserta a continuación: </w:t>
      </w:r>
    </w:p>
    <w:p w:rsidR="004736F0" w:rsidRDefault="004736F0" w:rsidP="004736F0">
      <w:pPr>
        <w:pStyle w:val="Prrafodelista"/>
        <w:spacing w:before="240" w:after="240" w:line="360" w:lineRule="auto"/>
        <w:ind w:left="0" w:right="48"/>
        <w:jc w:val="both"/>
        <w:rPr>
          <w:rFonts w:ascii="Palatino Linotype" w:eastAsia="MS Mincho" w:hAnsi="Palatino Linotype" w:cs="Arial"/>
          <w:sz w:val="24"/>
          <w:lang w:eastAsia="es-ES"/>
        </w:rPr>
      </w:pPr>
    </w:p>
    <w:p w:rsidR="004736F0" w:rsidRDefault="004736F0" w:rsidP="004736F0">
      <w:pPr>
        <w:pStyle w:val="Prrafodelista"/>
        <w:spacing w:before="240" w:after="240" w:line="360" w:lineRule="auto"/>
        <w:ind w:left="0" w:right="48"/>
        <w:jc w:val="center"/>
        <w:rPr>
          <w:rFonts w:ascii="Palatino Linotype" w:eastAsia="MS Mincho" w:hAnsi="Palatino Linotype" w:cs="Arial"/>
          <w:sz w:val="24"/>
          <w:lang w:eastAsia="es-ES"/>
        </w:rPr>
      </w:pPr>
      <w:r>
        <w:rPr>
          <w:noProof/>
        </w:rPr>
        <w:drawing>
          <wp:inline distT="0" distB="0" distL="0" distR="0" wp14:anchorId="1D3CF633" wp14:editId="559B95C4">
            <wp:extent cx="4469765" cy="62007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30" t="14448" r="36477" b="6526"/>
                    <a:stretch/>
                  </pic:blipFill>
                  <pic:spPr bwMode="auto">
                    <a:xfrm>
                      <a:off x="0" y="0"/>
                      <a:ext cx="4476514" cy="6210137"/>
                    </a:xfrm>
                    <a:prstGeom prst="rect">
                      <a:avLst/>
                    </a:prstGeom>
                    <a:ln>
                      <a:noFill/>
                    </a:ln>
                    <a:extLst>
                      <a:ext uri="{53640926-AAD7-44D8-BBD7-CCE9431645EC}">
                        <a14:shadowObscured xmlns:a14="http://schemas.microsoft.com/office/drawing/2010/main"/>
                      </a:ext>
                    </a:extLst>
                  </pic:spPr>
                </pic:pic>
              </a:graphicData>
            </a:graphic>
          </wp:inline>
        </w:drawing>
      </w:r>
    </w:p>
    <w:p w:rsidR="004736F0" w:rsidRDefault="004736F0" w:rsidP="004736F0">
      <w:pPr>
        <w:pStyle w:val="Prrafodelista"/>
        <w:spacing w:before="240" w:after="240" w:line="360" w:lineRule="auto"/>
        <w:ind w:left="0" w:right="48"/>
        <w:jc w:val="center"/>
        <w:rPr>
          <w:rFonts w:ascii="Palatino Linotype" w:eastAsia="MS Mincho" w:hAnsi="Palatino Linotype" w:cs="Arial"/>
          <w:sz w:val="24"/>
          <w:lang w:eastAsia="es-ES"/>
        </w:rPr>
      </w:pPr>
    </w:p>
    <w:p w:rsidR="004736F0" w:rsidRDefault="004736F0" w:rsidP="004736F0">
      <w:pPr>
        <w:pStyle w:val="Prrafodelista"/>
        <w:spacing w:before="240" w:after="240" w:line="360" w:lineRule="auto"/>
        <w:ind w:left="0" w:right="48"/>
        <w:jc w:val="center"/>
        <w:rPr>
          <w:rFonts w:ascii="Palatino Linotype" w:eastAsia="MS Mincho" w:hAnsi="Palatino Linotype" w:cs="Arial"/>
          <w:sz w:val="24"/>
          <w:lang w:eastAsia="es-ES"/>
        </w:rPr>
      </w:pPr>
      <w:r>
        <w:rPr>
          <w:noProof/>
        </w:rPr>
        <w:lastRenderedPageBreak/>
        <w:drawing>
          <wp:inline distT="0" distB="0" distL="0" distR="0" wp14:anchorId="0A93BD95" wp14:editId="48528202">
            <wp:extent cx="3829050" cy="28827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32" t="19756" r="36809" b="41616"/>
                    <a:stretch/>
                  </pic:blipFill>
                  <pic:spPr bwMode="auto">
                    <a:xfrm>
                      <a:off x="0" y="0"/>
                      <a:ext cx="3842048" cy="2892577"/>
                    </a:xfrm>
                    <a:prstGeom prst="rect">
                      <a:avLst/>
                    </a:prstGeom>
                    <a:ln>
                      <a:noFill/>
                    </a:ln>
                    <a:extLst>
                      <a:ext uri="{53640926-AAD7-44D8-BBD7-CCE9431645EC}">
                        <a14:shadowObscured xmlns:a14="http://schemas.microsoft.com/office/drawing/2010/main"/>
                      </a:ext>
                    </a:extLst>
                  </pic:spPr>
                </pic:pic>
              </a:graphicData>
            </a:graphic>
          </wp:inline>
        </w:drawing>
      </w:r>
    </w:p>
    <w:p w:rsidR="004736F0" w:rsidRDefault="004736F0" w:rsidP="004736F0">
      <w:pPr>
        <w:pStyle w:val="Prrafodelista"/>
        <w:spacing w:before="240" w:after="240" w:line="360" w:lineRule="auto"/>
        <w:ind w:left="0" w:right="48"/>
        <w:jc w:val="center"/>
        <w:rPr>
          <w:rFonts w:ascii="Palatino Linotype" w:eastAsia="MS Mincho" w:hAnsi="Palatino Linotype" w:cs="Arial"/>
          <w:sz w:val="24"/>
          <w:lang w:eastAsia="es-ES"/>
        </w:rPr>
      </w:pPr>
    </w:p>
    <w:p w:rsidR="00367D45" w:rsidRDefault="004736F0" w:rsidP="00A10818">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Pr>
          <w:rFonts w:ascii="Palatino Linotype" w:eastAsia="MS Mincho" w:hAnsi="Palatino Linotype" w:cs="Arial"/>
          <w:sz w:val="24"/>
          <w:lang w:eastAsia="es-ES"/>
        </w:rPr>
        <w:t xml:space="preserve">Por lo tanto, con la entrega </w:t>
      </w:r>
      <w:r w:rsidR="00796BF6">
        <w:rPr>
          <w:rFonts w:ascii="Palatino Linotype" w:eastAsia="MS Mincho" w:hAnsi="Palatino Linotype" w:cs="Arial"/>
          <w:sz w:val="24"/>
          <w:lang w:eastAsia="es-ES"/>
        </w:rPr>
        <w:t xml:space="preserve">del oficio del requerimiento, se colma ese punto de la solicitud de información en términos del artículo 166 de la Ley de Transparencia y Acceso a l información Pública del Estado de México y Municipios que establece que la </w:t>
      </w:r>
      <w:r w:rsidR="00796BF6" w:rsidRPr="00796BF6">
        <w:rPr>
          <w:rFonts w:ascii="Palatino Linotype" w:eastAsia="MS Mincho" w:hAnsi="Palatino Linotype" w:cs="Arial"/>
          <w:sz w:val="24"/>
          <w:lang w:eastAsia="es-ES"/>
        </w:rPr>
        <w:t>obligación de acceso a la información pública se tendrá por cumplida cuando el solicitante tenga a su disposición la información requerida</w:t>
      </w:r>
      <w:r w:rsidR="00796BF6">
        <w:rPr>
          <w:rFonts w:ascii="Palatino Linotype" w:eastAsia="MS Mincho" w:hAnsi="Palatino Linotype" w:cs="Arial"/>
          <w:sz w:val="24"/>
          <w:lang w:eastAsia="es-ES"/>
        </w:rPr>
        <w:t>.</w:t>
      </w:r>
    </w:p>
    <w:p w:rsidR="00A10818" w:rsidRPr="00A10818" w:rsidRDefault="00A10818" w:rsidP="00A10818">
      <w:pPr>
        <w:pStyle w:val="Prrafodelista"/>
        <w:spacing w:before="240" w:after="240" w:line="360" w:lineRule="auto"/>
        <w:ind w:left="0" w:right="48"/>
        <w:jc w:val="both"/>
        <w:rPr>
          <w:rFonts w:ascii="Palatino Linotype" w:eastAsia="MS Mincho" w:hAnsi="Palatino Linotype" w:cs="Arial"/>
          <w:sz w:val="24"/>
          <w:lang w:eastAsia="es-ES"/>
        </w:rPr>
      </w:pPr>
    </w:p>
    <w:p w:rsidR="00B579A1" w:rsidRPr="003135A7" w:rsidRDefault="00B579A1" w:rsidP="00B579A1">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2C236C">
        <w:rPr>
          <w:rFonts w:ascii="Palatino Linotype" w:hAnsi="Palatino Linotype" w:cs="Arial"/>
          <w:sz w:val="24"/>
        </w:rPr>
        <w:t xml:space="preserve">Por lo anteriormente expuesto, resulta evidente que el </w:t>
      </w:r>
      <w:r w:rsidRPr="002C236C">
        <w:rPr>
          <w:rFonts w:ascii="Palatino Linotype" w:hAnsi="Palatino Linotype" w:cs="Arial"/>
          <w:b/>
          <w:sz w:val="24"/>
        </w:rPr>
        <w:t>SUJETO OBLIGADO</w:t>
      </w:r>
      <w:r w:rsidRPr="002C236C">
        <w:rPr>
          <w:rFonts w:ascii="Palatino Linotype" w:hAnsi="Palatino Linotype" w:cs="Arial"/>
          <w:sz w:val="24"/>
        </w:rPr>
        <w:t xml:space="preserve"> proporcionó respuesta a la solicitud de información que le fue presentada. </w:t>
      </w:r>
      <w:r w:rsidRPr="002C236C">
        <w:rPr>
          <w:rFonts w:ascii="Palatino Linotype" w:hAnsi="Palatino Linotype" w:cs="Arial"/>
          <w:color w:val="000000"/>
          <w:sz w:val="24"/>
          <w:lang w:val="es-ES"/>
        </w:rPr>
        <w:t>En esta tesitura se entiende que no se vulneró el derecho de acceso</w:t>
      </w:r>
      <w:r>
        <w:rPr>
          <w:rFonts w:ascii="Palatino Linotype" w:hAnsi="Palatino Linotype" w:cs="Arial"/>
          <w:color w:val="000000"/>
          <w:sz w:val="24"/>
          <w:lang w:val="es-ES"/>
        </w:rPr>
        <w:t xml:space="preserve"> a la información del recurrente.</w:t>
      </w:r>
    </w:p>
    <w:p w:rsidR="003135A7" w:rsidRPr="003135A7" w:rsidRDefault="003135A7" w:rsidP="003135A7">
      <w:pPr>
        <w:pStyle w:val="Prrafodelista"/>
        <w:ind w:left="0"/>
        <w:rPr>
          <w:rFonts w:ascii="Palatino Linotype" w:eastAsia="MS Mincho" w:hAnsi="Palatino Linotype" w:cs="Arial"/>
          <w:sz w:val="32"/>
          <w:lang w:eastAsia="es-ES"/>
        </w:rPr>
      </w:pPr>
    </w:p>
    <w:p w:rsidR="003135A7" w:rsidRPr="003135A7" w:rsidRDefault="003135A7" w:rsidP="003135A7">
      <w:pPr>
        <w:pStyle w:val="Prrafodelista"/>
        <w:numPr>
          <w:ilvl w:val="0"/>
          <w:numId w:val="1"/>
        </w:numPr>
        <w:spacing w:line="360" w:lineRule="auto"/>
        <w:ind w:left="0" w:firstLine="0"/>
        <w:jc w:val="both"/>
        <w:rPr>
          <w:rFonts w:ascii="Palatino Linotype" w:hAnsi="Palatino Linotype"/>
        </w:rPr>
      </w:pPr>
      <w:r w:rsidRPr="003135A7">
        <w:rPr>
          <w:rFonts w:ascii="Palatino Linotype" w:hAnsi="Palatino Linotype"/>
        </w:rPr>
        <w:t>Ahora bien, por lo que hace a las manifestaciones realizadas por el recurrente en los motivos de inconformidad relativas a: “</w:t>
      </w:r>
      <w:r>
        <w:rPr>
          <w:rFonts w:ascii="Palatino Linotype" w:hAnsi="Palatino Linotype"/>
        </w:rPr>
        <w:t>…</w:t>
      </w:r>
      <w:r>
        <w:rPr>
          <w:rFonts w:ascii="Palatino Linotype" w:hAnsi="Palatino Linotype"/>
          <w:i/>
          <w:color w:val="000000"/>
          <w:szCs w:val="22"/>
        </w:rPr>
        <w:t xml:space="preserve">cabe hacer mención que la Pseudo-Delegada de dicha localidad es una inepta, prepotente y corrupta, misma que según ella presumió en sus redes sociales el </w:t>
      </w:r>
      <w:r>
        <w:rPr>
          <w:rFonts w:ascii="Palatino Linotype" w:hAnsi="Palatino Linotype"/>
          <w:i/>
          <w:color w:val="000000"/>
          <w:szCs w:val="22"/>
        </w:rPr>
        <w:lastRenderedPageBreak/>
        <w:t>disque "bacheo" dentro del siguiente enlace se puede constatar https://www.facebook.com/photo/?fbid=165612649469148&amp;set=pb.100080612401893.-2207520000, cosa que fue una vil mentira…</w:t>
      </w:r>
      <w:r w:rsidRPr="003135A7">
        <w:rPr>
          <w:rFonts w:ascii="Palatino Linotype" w:hAnsi="Palatino Linotype"/>
          <w:i/>
          <w:iCs/>
        </w:rPr>
        <w:t xml:space="preserve">”, </w:t>
      </w:r>
      <w:r w:rsidRPr="003135A7">
        <w:rPr>
          <w:rFonts w:ascii="Palatino Linotype" w:hAnsi="Palatino Linotype"/>
        </w:rPr>
        <w:t xml:space="preserve">este Órgano Garante advierte que dicha solicitud no constituye un derecho de acceso a la información pública, sino más bien un derecho de petición, debido a que se tratan de manifestaciones subjetivas vertidas por el entonces solicitante, interrogantes y declaraciones que no se colman con la entrega de documentos, situación que conlleva a afirmar que se está en presencia del ejercicio del derecho enunciado. </w:t>
      </w:r>
    </w:p>
    <w:p w:rsidR="003135A7" w:rsidRPr="003135A7" w:rsidRDefault="003135A7" w:rsidP="003135A7">
      <w:pPr>
        <w:pStyle w:val="Prrafodelista"/>
        <w:ind w:left="0"/>
        <w:rPr>
          <w:rFonts w:ascii="Palatino Linotype" w:eastAsia="MS Mincho" w:hAnsi="Palatino Linotype" w:cs="Arial"/>
          <w:lang w:val="es-ES_tradnl" w:eastAsia="es-ES"/>
        </w:rPr>
      </w:pPr>
    </w:p>
    <w:p w:rsidR="003135A7" w:rsidRPr="003135A7" w:rsidRDefault="003135A7" w:rsidP="003135A7">
      <w:pPr>
        <w:pStyle w:val="Prrafodelista"/>
        <w:numPr>
          <w:ilvl w:val="0"/>
          <w:numId w:val="1"/>
        </w:numPr>
        <w:spacing w:line="360" w:lineRule="auto"/>
        <w:ind w:left="0" w:firstLine="0"/>
        <w:jc w:val="both"/>
        <w:rPr>
          <w:rFonts w:ascii="Palatino Linotype" w:hAnsi="Palatino Linotype"/>
        </w:rPr>
      </w:pPr>
      <w:r w:rsidRPr="003135A7">
        <w:rPr>
          <w:rFonts w:ascii="Palatino Linotype" w:eastAsia="MS Mincho" w:hAnsi="Palatino Linotype" w:cs="Arial"/>
          <w:lang w:val="es-ES_tradnl" w:eastAsia="es-ES"/>
        </w:rPr>
        <w:t xml:space="preserve">Por lo que se desprende que no hay una solicitud expresa de obtener un documento específico o que requiera el acceso a información pública. Es decir, </w:t>
      </w:r>
      <w:r w:rsidRPr="003135A7">
        <w:rPr>
          <w:rFonts w:ascii="Palatino Linotype" w:eastAsia="MS Mincho" w:hAnsi="Palatino Linotype" w:cs="Arial"/>
          <w:b/>
          <w:lang w:val="es-ES_tradnl" w:eastAsia="es-ES"/>
        </w:rPr>
        <w:t>EL</w:t>
      </w:r>
      <w:r w:rsidRPr="003135A7">
        <w:rPr>
          <w:rFonts w:ascii="Palatino Linotype" w:eastAsia="MS Mincho" w:hAnsi="Palatino Linotype" w:cs="Arial"/>
          <w:lang w:val="es-ES_tradnl" w:eastAsia="es-ES"/>
        </w:rPr>
        <w:t xml:space="preserve"> </w:t>
      </w:r>
      <w:r w:rsidRPr="003135A7">
        <w:rPr>
          <w:rFonts w:ascii="Palatino Linotype" w:eastAsia="MS Mincho" w:hAnsi="Palatino Linotype" w:cs="Arial"/>
          <w:b/>
          <w:lang w:val="es-ES_tradnl" w:eastAsia="es-ES"/>
        </w:rPr>
        <w:t>RECURRENTE</w:t>
      </w:r>
      <w:r w:rsidRPr="003135A7">
        <w:rPr>
          <w:rFonts w:ascii="Palatino Linotype" w:eastAsia="MS Mincho" w:hAnsi="Palatino Linotype" w:cs="Arial"/>
          <w:lang w:val="es-ES_tradnl" w:eastAsia="es-ES"/>
        </w:rPr>
        <w:t xml:space="preserve"> desea una contestación a su petición, mediante un documento ad hoc para satisfacer su pretensión, aunado a que como quedó asentado previamente este Órgano Garante del derecho de acceso a la Información pública no se encuentra facultado para ordenar al </w:t>
      </w:r>
      <w:r w:rsidRPr="003135A7">
        <w:rPr>
          <w:rFonts w:ascii="Palatino Linotype" w:eastAsia="MS Mincho" w:hAnsi="Palatino Linotype" w:cs="Arial"/>
          <w:b/>
          <w:lang w:val="es-ES_tradnl" w:eastAsia="es-ES"/>
        </w:rPr>
        <w:t xml:space="preserve">SUJETO OBLIGADO </w:t>
      </w:r>
      <w:r w:rsidRPr="003135A7">
        <w:rPr>
          <w:rFonts w:ascii="Palatino Linotype" w:eastAsia="MS Mincho" w:hAnsi="Palatino Linotype" w:cs="Arial"/>
          <w:lang w:val="es-ES_tradnl" w:eastAsia="es-ES"/>
        </w:rPr>
        <w:t>a realizar acciones respecto de cuestionamientos a manera de petición.</w:t>
      </w:r>
    </w:p>
    <w:p w:rsidR="003135A7" w:rsidRPr="003135A7" w:rsidRDefault="003135A7" w:rsidP="003135A7">
      <w:pPr>
        <w:spacing w:line="360" w:lineRule="auto"/>
        <w:jc w:val="both"/>
        <w:rPr>
          <w:rFonts w:ascii="Palatino Linotype" w:eastAsia="MS Mincho" w:hAnsi="Palatino Linotype" w:cs="Arial"/>
          <w:b/>
          <w:u w:val="single"/>
          <w:lang w:val="es-ES_tradnl" w:eastAsia="es-ES"/>
        </w:rPr>
      </w:pPr>
    </w:p>
    <w:p w:rsidR="003135A7" w:rsidRPr="003135A7" w:rsidRDefault="003135A7" w:rsidP="003135A7">
      <w:pPr>
        <w:numPr>
          <w:ilvl w:val="0"/>
          <w:numId w:val="1"/>
        </w:numPr>
        <w:spacing w:line="360" w:lineRule="auto"/>
        <w:ind w:left="0" w:firstLine="0"/>
        <w:contextualSpacing/>
        <w:jc w:val="both"/>
        <w:rPr>
          <w:rFonts w:ascii="Palatino Linotype" w:eastAsia="MS Mincho" w:hAnsi="Palatino Linotype" w:cs="Arial"/>
          <w:lang w:val="es-ES_tradnl" w:eastAsia="es-ES"/>
        </w:rPr>
      </w:pPr>
      <w:r w:rsidRPr="003135A7">
        <w:rPr>
          <w:rFonts w:ascii="Palatino Linotype" w:eastAsia="MS Mincho" w:hAnsi="Palatino Linotype" w:cs="Arial"/>
          <w:lang w:val="es-ES_tradnl" w:eastAsia="es-ES"/>
        </w:rPr>
        <w:t xml:space="preserve">Por lo que la entrega de una razón o un razonamiento por parte de </w:t>
      </w:r>
      <w:r w:rsidRPr="003135A7">
        <w:rPr>
          <w:rFonts w:ascii="Palatino Linotype" w:eastAsia="MS Mincho" w:hAnsi="Palatino Linotype" w:cs="Arial"/>
          <w:b/>
        </w:rPr>
        <w:t>EL SUJETO OBLIGADO</w:t>
      </w:r>
      <w:r w:rsidRPr="003135A7">
        <w:rPr>
          <w:rFonts w:ascii="Palatino Linotype" w:eastAsia="MS Mincho" w:hAnsi="Palatino Linotype" w:cs="Arial"/>
          <w:lang w:val="es-ES_tradnl" w:eastAsia="es-ES"/>
        </w:rPr>
        <w:t xml:space="preserve"> no es algo que la ley establezca como atribución, derecho, o facultad; pues ello implicaría un juicio de valor referente a un cuestionamiento realizado, los cuales, al constituir interrogantes, inquietudes y manifestaciones </w:t>
      </w:r>
      <w:r>
        <w:rPr>
          <w:rFonts w:ascii="Palatino Linotype" w:eastAsia="MS Mincho" w:hAnsi="Palatino Linotype" w:cs="Arial"/>
          <w:lang w:val="es-ES_tradnl" w:eastAsia="es-ES"/>
        </w:rPr>
        <w:t xml:space="preserve">subjetivas </w:t>
      </w:r>
      <w:r w:rsidRPr="003135A7">
        <w:rPr>
          <w:rFonts w:ascii="Palatino Linotype" w:eastAsia="MS Mincho" w:hAnsi="Palatino Linotype" w:cs="Arial"/>
          <w:lang w:val="es-ES_tradnl" w:eastAsia="es-ES"/>
        </w:rPr>
        <w:t xml:space="preserve">se satisfacen vía derecho de petición. </w:t>
      </w:r>
    </w:p>
    <w:p w:rsidR="003135A7" w:rsidRPr="003135A7" w:rsidRDefault="003135A7" w:rsidP="003135A7">
      <w:pPr>
        <w:pStyle w:val="Prrafodelista"/>
        <w:ind w:left="0"/>
        <w:rPr>
          <w:rFonts w:ascii="Palatino Linotype" w:eastAsia="MS Mincho" w:hAnsi="Palatino Linotype" w:cs="Arial"/>
          <w:sz w:val="32"/>
          <w:lang w:eastAsia="es-ES"/>
        </w:rPr>
      </w:pPr>
    </w:p>
    <w:p w:rsidR="00B579A1" w:rsidRPr="002C236C" w:rsidRDefault="00B579A1" w:rsidP="00B579A1">
      <w:pPr>
        <w:pStyle w:val="Prrafodelista"/>
        <w:rPr>
          <w:rFonts w:ascii="Palatino Linotype" w:hAnsi="Palatino Linotype" w:cs="Arial"/>
          <w:sz w:val="24"/>
          <w:lang w:val="es-ES"/>
        </w:rPr>
      </w:pPr>
    </w:p>
    <w:p w:rsidR="00B579A1" w:rsidRDefault="00B579A1" w:rsidP="00B579A1">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2C236C">
        <w:rPr>
          <w:rFonts w:ascii="Palatino Linotype" w:hAnsi="Palatino Linotype" w:cs="Arial"/>
          <w:sz w:val="24"/>
          <w:lang w:val="es-ES"/>
        </w:rPr>
        <w:t xml:space="preserve">De lo anterior, resultan infundadas las razones o motivos de </w:t>
      </w:r>
      <w:r w:rsidRPr="002C236C">
        <w:rPr>
          <w:rFonts w:ascii="Palatino Linotype" w:hAnsi="Palatino Linotype" w:cs="Arial"/>
          <w:sz w:val="24"/>
        </w:rPr>
        <w:t>inconformidad hechos valer por el</w:t>
      </w:r>
      <w:r w:rsidRPr="002C236C">
        <w:rPr>
          <w:rFonts w:ascii="Palatino Linotype" w:hAnsi="Palatino Linotype"/>
          <w:sz w:val="24"/>
        </w:rPr>
        <w:t xml:space="preserve"> </w:t>
      </w:r>
      <w:r>
        <w:rPr>
          <w:rFonts w:ascii="Palatino Linotype" w:hAnsi="Palatino Linotype"/>
          <w:b/>
          <w:sz w:val="24"/>
        </w:rPr>
        <w:t>RECURRENTE y</w:t>
      </w:r>
      <w:r w:rsidRPr="006E05C2">
        <w:rPr>
          <w:rFonts w:ascii="Palatino Linotype" w:eastAsiaTheme="minorEastAsia" w:hAnsi="Palatino Linotype" w:cs="Arial"/>
          <w:sz w:val="24"/>
          <w:lang w:val="es-ES_tradnl" w:eastAsia="es-ES"/>
        </w:rPr>
        <w:t xml:space="preserve"> en términos del artículo 186 fracción II este Pleno determina </w:t>
      </w:r>
      <w:r w:rsidRPr="006E05C2">
        <w:rPr>
          <w:rFonts w:ascii="Palatino Linotype" w:eastAsiaTheme="minorEastAsia" w:hAnsi="Palatino Linotype" w:cs="Arial"/>
          <w:b/>
          <w:sz w:val="24"/>
          <w:lang w:val="es-ES_tradnl" w:eastAsia="es-ES"/>
        </w:rPr>
        <w:t>CONFIRMAR</w:t>
      </w:r>
      <w:r w:rsidRPr="006E05C2">
        <w:rPr>
          <w:rFonts w:ascii="Palatino Linotype" w:eastAsiaTheme="minorEastAsia" w:hAnsi="Palatino Linotype" w:cs="Arial"/>
          <w:sz w:val="24"/>
          <w:lang w:val="es-ES_tradnl" w:eastAsia="es-ES"/>
        </w:rPr>
        <w:t xml:space="preserve"> la respuesta del presente recurso de revisión, toda vez que </w:t>
      </w:r>
      <w:r w:rsidRPr="006E05C2">
        <w:rPr>
          <w:rFonts w:ascii="Palatino Linotype" w:eastAsiaTheme="minorEastAsia" w:hAnsi="Palatino Linotype" w:cs="Arial"/>
          <w:sz w:val="24"/>
          <w:lang w:val="es-ES_tradnl" w:eastAsia="es-ES"/>
        </w:rPr>
        <w:lastRenderedPageBreak/>
        <w:t>no hubo afectación al derecho de acceso a la información pública establecido constitucionalmente a favor del particular.</w:t>
      </w:r>
    </w:p>
    <w:p w:rsidR="00B579A1" w:rsidRPr="006E05C2" w:rsidRDefault="00B579A1" w:rsidP="00B579A1">
      <w:pPr>
        <w:pStyle w:val="Prrafodelista"/>
        <w:rPr>
          <w:rFonts w:ascii="Palatino Linotype" w:eastAsia="MS Mincho" w:hAnsi="Palatino Linotype"/>
          <w:sz w:val="24"/>
          <w:lang w:val="es-ES_tradnl" w:eastAsia="es-ES"/>
        </w:rPr>
      </w:pPr>
    </w:p>
    <w:p w:rsidR="00B579A1" w:rsidRPr="006E05C2" w:rsidRDefault="00B579A1" w:rsidP="00B579A1">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6E05C2">
        <w:rPr>
          <w:rFonts w:ascii="Palatino Linotype" w:eastAsia="MS Mincho" w:hAnsi="Palatino Linotype"/>
          <w:sz w:val="24"/>
          <w:lang w:val="es-ES_tradnl" w:eastAsia="es-ES"/>
        </w:rPr>
        <w:t xml:space="preserve">Por lo </w:t>
      </w:r>
      <w:r w:rsidRPr="006E05C2">
        <w:rPr>
          <w:rFonts w:ascii="Palatino Linotype" w:eastAsia="MS Mincho" w:hAnsi="Palatino Linotype"/>
          <w:color w:val="000000"/>
          <w:sz w:val="24"/>
          <w:lang w:val="es-ES_tradnl" w:eastAsia="es-ES"/>
        </w:rPr>
        <w:t>anteriormente</w:t>
      </w:r>
      <w:r w:rsidRPr="006E05C2">
        <w:rPr>
          <w:rFonts w:ascii="Palatino Linotype" w:eastAsia="MS Mincho" w:hAnsi="Palatino Linotype"/>
          <w:sz w:val="24"/>
          <w:lang w:val="es-ES_tradnl" w:eastAsia="es-ES"/>
        </w:rPr>
        <w:t xml:space="preserve"> expuesto y fundado este </w:t>
      </w:r>
      <w:r w:rsidRPr="006E05C2">
        <w:rPr>
          <w:rFonts w:ascii="Palatino Linotype" w:eastAsia="MS Mincho" w:hAnsi="Palatino Linotype"/>
          <w:b/>
          <w:sz w:val="24"/>
          <w:lang w:val="es-ES_tradnl" w:eastAsia="es-ES"/>
        </w:rPr>
        <w:t>ÓRGANO GARANTE</w:t>
      </w:r>
      <w:r w:rsidRPr="006E05C2">
        <w:rPr>
          <w:rFonts w:ascii="Palatino Linotype" w:eastAsia="MS Mincho" w:hAnsi="Palatino Linotype"/>
          <w:sz w:val="24"/>
          <w:lang w:val="es-ES_tradnl" w:eastAsia="es-ES"/>
        </w:rPr>
        <w:t xml:space="preserve"> emite los siguientes</w:t>
      </w:r>
      <w:bookmarkStart w:id="29" w:name="_Toc454968928"/>
      <w:bookmarkStart w:id="30" w:name="_Toc455743517"/>
      <w:bookmarkStart w:id="31" w:name="_Toc458016386"/>
      <w:bookmarkStart w:id="32" w:name="_Toc461555893"/>
      <w:bookmarkStart w:id="33" w:name="_Toc462307690"/>
      <w:bookmarkStart w:id="34" w:name="_Toc475005143"/>
      <w:bookmarkStart w:id="35" w:name="_Toc499659080"/>
      <w:r w:rsidRPr="006E05C2">
        <w:rPr>
          <w:rFonts w:ascii="Palatino Linotype" w:eastAsia="Calibri" w:hAnsi="Palatino Linotype" w:cs="Arial"/>
          <w:sz w:val="24"/>
        </w:rPr>
        <w:t>:</w:t>
      </w:r>
    </w:p>
    <w:p w:rsidR="00B579A1" w:rsidRPr="00043C0E" w:rsidRDefault="00B579A1" w:rsidP="00B579A1">
      <w:pPr>
        <w:keepNext/>
        <w:keepLines/>
        <w:tabs>
          <w:tab w:val="left" w:pos="3043"/>
          <w:tab w:val="center" w:pos="4490"/>
        </w:tabs>
        <w:spacing w:line="360" w:lineRule="auto"/>
        <w:ind w:right="-142"/>
        <w:outlineLvl w:val="0"/>
        <w:rPr>
          <w:rFonts w:ascii="Palatino Linotype" w:eastAsia="Calibri" w:hAnsi="Palatino Linotype" w:cstheme="majorBidi"/>
          <w:b/>
          <w:lang w:val="es-ES" w:eastAsia="es-ES"/>
        </w:rPr>
      </w:pPr>
      <w:bookmarkStart w:id="36" w:name="_Toc447183492"/>
      <w:bookmarkStart w:id="37" w:name="_Toc450120667"/>
      <w:bookmarkStart w:id="38" w:name="_Toc461555895"/>
      <w:bookmarkEnd w:id="29"/>
      <w:bookmarkEnd w:id="30"/>
      <w:bookmarkEnd w:id="31"/>
      <w:bookmarkEnd w:id="32"/>
      <w:bookmarkEnd w:id="33"/>
      <w:bookmarkEnd w:id="34"/>
      <w:bookmarkEnd w:id="35"/>
      <w:r w:rsidRPr="00043C0E">
        <w:rPr>
          <w:rFonts w:ascii="Palatino Linotype" w:eastAsia="Calibri" w:hAnsi="Palatino Linotype" w:cstheme="majorBidi"/>
          <w:b/>
          <w:lang w:val="es-ES" w:eastAsia="es-ES"/>
        </w:rPr>
        <w:tab/>
      </w:r>
      <w:bookmarkStart w:id="39" w:name="_Toc33024851"/>
      <w:r w:rsidRPr="00043C0E">
        <w:rPr>
          <w:rFonts w:ascii="Palatino Linotype" w:eastAsia="Calibri" w:hAnsi="Palatino Linotype" w:cstheme="majorBidi"/>
          <w:b/>
          <w:lang w:val="es-ES" w:eastAsia="es-ES"/>
        </w:rPr>
        <w:t>R E S O L U T I V O S</w:t>
      </w:r>
      <w:bookmarkEnd w:id="36"/>
      <w:bookmarkEnd w:id="37"/>
      <w:bookmarkEnd w:id="38"/>
      <w:bookmarkEnd w:id="39"/>
      <w:r w:rsidRPr="00043C0E">
        <w:rPr>
          <w:rFonts w:ascii="Palatino Linotype" w:eastAsia="Calibri" w:hAnsi="Palatino Linotype" w:cstheme="majorBidi"/>
          <w:b/>
          <w:lang w:val="es-ES" w:eastAsia="es-ES"/>
        </w:rPr>
        <w:t xml:space="preserve"> </w:t>
      </w:r>
    </w:p>
    <w:p w:rsidR="00B579A1" w:rsidRPr="00F75C03" w:rsidRDefault="00B579A1" w:rsidP="00B579A1">
      <w:pPr>
        <w:shd w:val="clear" w:color="auto" w:fill="FFFFFF"/>
        <w:spacing w:line="360" w:lineRule="auto"/>
        <w:jc w:val="both"/>
        <w:rPr>
          <w:rFonts w:ascii="Palatino Linotype" w:eastAsia="MS Mincho" w:hAnsi="Palatino Linotype"/>
          <w:lang w:val="es-ES" w:eastAsia="es-ES"/>
        </w:rPr>
      </w:pPr>
    </w:p>
    <w:p w:rsidR="00B579A1" w:rsidRDefault="00B579A1" w:rsidP="00B579A1">
      <w:pPr>
        <w:spacing w:line="360" w:lineRule="auto"/>
        <w:jc w:val="both"/>
        <w:rPr>
          <w:rFonts w:ascii="Palatino Linotype" w:eastAsiaTheme="minorEastAsia" w:hAnsi="Palatino Linotype" w:cs="Arial"/>
          <w:bCs/>
          <w:lang w:val="es-ES_tradnl" w:eastAsia="es-ES"/>
        </w:rPr>
      </w:pPr>
      <w:r w:rsidRPr="00F75C03">
        <w:rPr>
          <w:rFonts w:ascii="Palatino Linotype" w:hAnsi="Palatino Linotype" w:cs="Arial"/>
          <w:b/>
          <w:lang w:val="es-ES_tradnl" w:eastAsia="es-ES"/>
        </w:rPr>
        <w:t xml:space="preserve">PRIMERO. </w:t>
      </w:r>
      <w:r w:rsidRPr="00F75C03">
        <w:rPr>
          <w:rFonts w:ascii="Palatino Linotype" w:hAnsi="Palatino Linotype" w:cs="Arial"/>
          <w:lang w:val="es-ES_tradnl" w:eastAsia="es-ES"/>
        </w:rPr>
        <w:t>Resultan infundadas las</w:t>
      </w:r>
      <w:r w:rsidRPr="00F75C03">
        <w:rPr>
          <w:rFonts w:ascii="Palatino Linotype" w:hAnsi="Palatino Linotype" w:cs="Arial"/>
          <w:b/>
          <w:lang w:val="es-ES_tradnl" w:eastAsia="es-ES"/>
        </w:rPr>
        <w:t xml:space="preserve"> </w:t>
      </w:r>
      <w:r w:rsidRPr="00F75C03">
        <w:rPr>
          <w:rFonts w:ascii="Palatino Linotype" w:hAnsi="Palatino Linotype" w:cs="Arial"/>
          <w:lang w:val="es-ES" w:eastAsia="es-ES"/>
        </w:rPr>
        <w:t xml:space="preserve">razones o motivos de inconformidad hechos valer </w:t>
      </w:r>
      <w:r w:rsidRPr="00F75C03">
        <w:rPr>
          <w:rFonts w:ascii="Palatino Linotype" w:eastAsia="Calibri" w:hAnsi="Palatino Linotype" w:cs="Arial"/>
          <w:lang w:val="es-ES" w:eastAsia="es-ES"/>
        </w:rPr>
        <w:t xml:space="preserve">en el recurso de </w:t>
      </w:r>
      <w:r w:rsidRPr="007C4115">
        <w:rPr>
          <w:rFonts w:ascii="Palatino Linotype" w:eastAsia="Calibri" w:hAnsi="Palatino Linotype" w:cs="Arial"/>
          <w:lang w:val="es-ES" w:eastAsia="es-ES"/>
        </w:rPr>
        <w:t xml:space="preserve">revisión </w:t>
      </w:r>
      <w:r w:rsidR="00A10818">
        <w:rPr>
          <w:rFonts w:ascii="Palatino Linotype" w:eastAsiaTheme="minorEastAsia" w:hAnsi="Palatino Linotype" w:cs="Arial"/>
          <w:b/>
          <w:bCs/>
          <w:lang w:val="es-ES_tradnl" w:eastAsia="es-ES"/>
        </w:rPr>
        <w:t>02238/INFOEM/IP/RR/2023</w:t>
      </w:r>
      <w:r w:rsidRPr="007C4115">
        <w:rPr>
          <w:rFonts w:ascii="Palatino Linotype" w:eastAsiaTheme="minorEastAsia" w:hAnsi="Palatino Linotype" w:cs="Arial"/>
          <w:b/>
          <w:bCs/>
          <w:lang w:val="es-ES_tradnl" w:eastAsia="es-ES"/>
        </w:rPr>
        <w:t>,</w:t>
      </w:r>
      <w:r w:rsidRPr="00F75C03">
        <w:rPr>
          <w:rFonts w:ascii="Palatino Linotype" w:eastAsiaTheme="minorEastAsia" w:hAnsi="Palatino Linotype" w:cs="Arial"/>
          <w:b/>
          <w:bCs/>
          <w:lang w:val="es-ES_tradnl" w:eastAsia="es-ES"/>
        </w:rPr>
        <w:t xml:space="preserve"> </w:t>
      </w:r>
      <w:r w:rsidRPr="00F75C03">
        <w:rPr>
          <w:rFonts w:ascii="Palatino Linotype" w:eastAsiaTheme="minorEastAsia" w:hAnsi="Palatino Linotype" w:cs="Arial"/>
          <w:bCs/>
          <w:lang w:val="es-ES_tradnl" w:eastAsia="es-ES"/>
        </w:rPr>
        <w:t xml:space="preserve">en términos del </w:t>
      </w:r>
      <w:r w:rsidRPr="007C4115">
        <w:rPr>
          <w:rFonts w:ascii="Palatino Linotype" w:eastAsiaTheme="minorEastAsia" w:hAnsi="Palatino Linotype" w:cs="Arial"/>
          <w:b/>
          <w:bCs/>
          <w:lang w:val="es-ES_tradnl" w:eastAsia="es-ES"/>
        </w:rPr>
        <w:t>Considerando</w:t>
      </w:r>
      <w:r w:rsidRPr="007C4115">
        <w:rPr>
          <w:rFonts w:ascii="Palatino Linotype" w:eastAsiaTheme="minorEastAsia" w:hAnsi="Palatino Linotype" w:cs="Arial"/>
          <w:bCs/>
          <w:lang w:val="es-ES_tradnl" w:eastAsia="es-ES"/>
        </w:rPr>
        <w:t xml:space="preserve"> </w:t>
      </w:r>
      <w:r w:rsidR="00A10818">
        <w:rPr>
          <w:rFonts w:ascii="Palatino Linotype" w:eastAsiaTheme="minorEastAsia" w:hAnsi="Palatino Linotype" w:cs="Arial"/>
          <w:b/>
          <w:bCs/>
          <w:lang w:val="es-ES_tradnl" w:eastAsia="es-ES"/>
        </w:rPr>
        <w:t>CUARTO</w:t>
      </w:r>
      <w:r w:rsidRPr="007C4115">
        <w:rPr>
          <w:rFonts w:ascii="Palatino Linotype" w:eastAsiaTheme="minorEastAsia" w:hAnsi="Palatino Linotype" w:cs="Arial"/>
          <w:bCs/>
          <w:lang w:val="es-ES_tradnl" w:eastAsia="es-ES"/>
        </w:rPr>
        <w:t xml:space="preserve"> de</w:t>
      </w:r>
      <w:r w:rsidRPr="00F75C03">
        <w:rPr>
          <w:rFonts w:ascii="Palatino Linotype" w:eastAsiaTheme="minorEastAsia" w:hAnsi="Palatino Linotype" w:cs="Arial"/>
          <w:bCs/>
          <w:lang w:val="es-ES_tradnl" w:eastAsia="es-ES"/>
        </w:rPr>
        <w:t xml:space="preserve"> la presente resolución.</w:t>
      </w:r>
    </w:p>
    <w:p w:rsidR="00B579A1" w:rsidRPr="00F75C03" w:rsidRDefault="00B579A1" w:rsidP="00B579A1">
      <w:pPr>
        <w:spacing w:line="360" w:lineRule="auto"/>
        <w:jc w:val="both"/>
        <w:rPr>
          <w:rFonts w:ascii="Palatino Linotype" w:hAnsi="Palatino Linotype"/>
          <w:lang w:val="es-ES_tradnl" w:eastAsia="es-ES"/>
        </w:rPr>
      </w:pPr>
    </w:p>
    <w:p w:rsidR="00B579A1" w:rsidRDefault="00B579A1" w:rsidP="00B579A1">
      <w:pPr>
        <w:spacing w:line="360" w:lineRule="auto"/>
        <w:jc w:val="both"/>
        <w:rPr>
          <w:rFonts w:ascii="Palatino Linotype" w:eastAsia="Calibri" w:hAnsi="Palatino Linotype" w:cs="Arial"/>
          <w:lang w:val="es-ES" w:eastAsia="es-ES"/>
        </w:rPr>
      </w:pPr>
      <w:r w:rsidRPr="00F75C03">
        <w:rPr>
          <w:rFonts w:ascii="Palatino Linotype" w:eastAsiaTheme="minorEastAsia" w:hAnsi="Palatino Linotype"/>
          <w:b/>
          <w:lang w:val="es-ES_tradnl" w:eastAsia="es-ES"/>
        </w:rPr>
        <w:t>SEGUNDO.</w:t>
      </w:r>
      <w:r w:rsidRPr="00043C0E">
        <w:rPr>
          <w:rFonts w:ascii="Palatino Linotype" w:eastAsiaTheme="majorEastAsia" w:hAnsi="Palatino Linotype" w:cstheme="majorBidi"/>
          <w:b/>
          <w:color w:val="2E74B5" w:themeColor="accent1" w:themeShade="BF"/>
          <w:sz w:val="26"/>
          <w:szCs w:val="26"/>
          <w:lang w:val="es-ES_tradnl" w:eastAsia="es-ES"/>
        </w:rPr>
        <w:t xml:space="preserve"> </w:t>
      </w:r>
      <w:r w:rsidRPr="00F75C03">
        <w:rPr>
          <w:rFonts w:ascii="Palatino Linotype" w:eastAsia="Calibri" w:hAnsi="Palatino Linotype" w:cs="Arial"/>
          <w:lang w:val="es-ES" w:eastAsia="es-ES"/>
        </w:rPr>
        <w:t>Se</w:t>
      </w:r>
      <w:r w:rsidRPr="00F75C03">
        <w:rPr>
          <w:rFonts w:ascii="Palatino Linotype" w:eastAsia="Calibri" w:hAnsi="Palatino Linotype" w:cs="Arial"/>
          <w:b/>
          <w:lang w:val="es-ES" w:eastAsia="es-ES"/>
        </w:rPr>
        <w:t xml:space="preserve"> CONFIRMA </w:t>
      </w:r>
      <w:r w:rsidRPr="00F75C03">
        <w:rPr>
          <w:rFonts w:ascii="Palatino Linotype" w:eastAsia="Calibri" w:hAnsi="Palatino Linotype" w:cs="Arial"/>
          <w:lang w:val="es-ES" w:eastAsia="es-ES"/>
        </w:rPr>
        <w:t xml:space="preserve">la respuesta emitida por la </w:t>
      </w:r>
      <w:r w:rsidR="00A10818">
        <w:rPr>
          <w:rFonts w:ascii="Palatino Linotype" w:eastAsiaTheme="minorEastAsia" w:hAnsi="Palatino Linotype" w:cs="Arial"/>
          <w:b/>
          <w:lang w:val="es-ES_tradnl" w:eastAsia="es-ES"/>
        </w:rPr>
        <w:t>Ayuntamiento de Almoloya de Juárez</w:t>
      </w:r>
      <w:r>
        <w:rPr>
          <w:rFonts w:ascii="Palatino Linotype" w:eastAsiaTheme="minorEastAsia" w:hAnsi="Palatino Linotype" w:cs="Arial"/>
          <w:b/>
          <w:lang w:val="es-ES_tradnl" w:eastAsia="es-ES"/>
        </w:rPr>
        <w:t xml:space="preserve"> </w:t>
      </w:r>
      <w:r w:rsidRPr="00F75C03">
        <w:rPr>
          <w:rFonts w:ascii="Palatino Linotype" w:eastAsia="Calibri" w:hAnsi="Palatino Linotype" w:cs="Arial"/>
          <w:lang w:val="es-ES" w:eastAsia="es-ES"/>
        </w:rPr>
        <w:t xml:space="preserve">a la solicitud </w:t>
      </w:r>
      <w:r w:rsidR="00A10818" w:rsidRPr="00A10818">
        <w:rPr>
          <w:rFonts w:ascii="Palatino Linotype" w:hAnsi="Palatino Linotype"/>
          <w:b/>
          <w:bCs/>
        </w:rPr>
        <w:t>00049/ALMOJU/IP/2023</w:t>
      </w:r>
      <w:r w:rsidRPr="00E832BB">
        <w:rPr>
          <w:rFonts w:ascii="Palatino Linotype" w:eastAsia="Calibri" w:hAnsi="Palatino Linotype" w:cs="Arial"/>
          <w:b/>
          <w:lang w:val="es-ES" w:eastAsia="es-ES"/>
        </w:rPr>
        <w:t>.</w:t>
      </w:r>
      <w:r w:rsidRPr="00E832BB">
        <w:rPr>
          <w:rFonts w:ascii="Palatino Linotype" w:eastAsia="Calibri" w:hAnsi="Palatino Linotype" w:cs="Arial"/>
          <w:lang w:val="es-ES" w:eastAsia="es-ES"/>
        </w:rPr>
        <w:t xml:space="preserve"> </w:t>
      </w:r>
    </w:p>
    <w:p w:rsidR="00B579A1" w:rsidRPr="00F75C03" w:rsidRDefault="00B579A1" w:rsidP="00B579A1">
      <w:pPr>
        <w:spacing w:line="360" w:lineRule="auto"/>
        <w:jc w:val="both"/>
        <w:rPr>
          <w:rFonts w:ascii="Palatino Linotype" w:eastAsia="Calibri" w:hAnsi="Palatino Linotype" w:cs="Arial"/>
          <w:lang w:val="es-ES" w:eastAsia="es-ES"/>
        </w:rPr>
      </w:pPr>
    </w:p>
    <w:p w:rsidR="00B579A1" w:rsidRPr="00F75C03" w:rsidRDefault="00B579A1" w:rsidP="00B579A1">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F75C03">
        <w:rPr>
          <w:rFonts w:ascii="Palatino Linotype" w:eastAsia="Palatino Linotype" w:hAnsi="Palatino Linotype" w:cs="Palatino Linotype"/>
          <w:b/>
          <w:lang w:val="es-ES_tradnl" w:eastAsia="es-ES"/>
        </w:rPr>
        <w:t xml:space="preserve">TERCERO. REMÍTASE, </w:t>
      </w:r>
      <w:r w:rsidRPr="00F75C03">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F75C03">
        <w:rPr>
          <w:rFonts w:ascii="Palatino Linotype" w:eastAsia="Palatino Linotype" w:hAnsi="Palatino Linotype" w:cs="Palatino Linotype"/>
          <w:b/>
          <w:lang w:val="es-ES_tradnl" w:eastAsia="es-ES"/>
        </w:rPr>
        <w:t>SUJETO OBLIGADO.</w:t>
      </w:r>
    </w:p>
    <w:p w:rsidR="00B579A1" w:rsidRPr="00F75C03" w:rsidRDefault="00B579A1" w:rsidP="00B579A1">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B579A1" w:rsidRPr="00043C0E" w:rsidRDefault="00B579A1" w:rsidP="00B579A1">
      <w:pPr>
        <w:shd w:val="clear" w:color="auto" w:fill="FFFFFF"/>
        <w:spacing w:line="360" w:lineRule="auto"/>
        <w:jc w:val="both"/>
        <w:rPr>
          <w:rFonts w:ascii="Palatino Linotype" w:eastAsiaTheme="minorEastAsia" w:hAnsi="Palatino Linotype"/>
          <w:lang w:val="es-ES_tradnl" w:eastAsia="es-ES"/>
        </w:rPr>
      </w:pPr>
      <w:r w:rsidRPr="00F75C03">
        <w:rPr>
          <w:rFonts w:ascii="Palatino Linotype" w:hAnsi="Palatino Linotype" w:cs="Arial"/>
          <w:b/>
          <w:lang w:val="es-ES_tradnl" w:eastAsia="es-ES"/>
        </w:rPr>
        <w:t xml:space="preserve">CUARTO. </w:t>
      </w:r>
      <w:r w:rsidRPr="006E05C2">
        <w:rPr>
          <w:rFonts w:ascii="Palatino Linotype" w:hAnsi="Palatino Linotype"/>
          <w:b/>
          <w:bCs/>
          <w:lang w:val="es-ES" w:eastAsia="es-ES"/>
        </w:rPr>
        <w:t>Notifíquese a</w:t>
      </w:r>
      <w:r w:rsidRPr="006E05C2">
        <w:rPr>
          <w:rFonts w:ascii="Palatino Linotype" w:eastAsiaTheme="minorEastAsia" w:hAnsi="Palatino Linotype"/>
          <w:b/>
          <w:lang w:val="es-ES_tradnl" w:eastAsia="es-ES"/>
        </w:rPr>
        <w:t xml:space="preserve">l </w:t>
      </w:r>
      <w:r w:rsidRPr="00043C0E">
        <w:rPr>
          <w:rFonts w:ascii="Palatino Linotype" w:eastAsiaTheme="minorEastAsia" w:hAnsi="Palatino Linotype"/>
          <w:b/>
          <w:lang w:val="es-ES_tradnl" w:eastAsia="es-ES"/>
        </w:rPr>
        <w:t xml:space="preserve">RECURRENTE </w:t>
      </w:r>
      <w:r w:rsidRPr="00043C0E">
        <w:rPr>
          <w:rFonts w:ascii="Palatino Linotype" w:eastAsiaTheme="minorEastAsia" w:hAnsi="Palatino Linotype"/>
          <w:lang w:val="es-ES_tradnl" w:eastAsia="es-ES"/>
        </w:rPr>
        <w:t>la presente resolución.</w:t>
      </w:r>
    </w:p>
    <w:p w:rsidR="00B579A1" w:rsidRPr="00F75C03" w:rsidRDefault="00B579A1" w:rsidP="00B579A1">
      <w:pPr>
        <w:shd w:val="clear" w:color="auto" w:fill="FFFFFF"/>
        <w:spacing w:line="360" w:lineRule="auto"/>
        <w:jc w:val="both"/>
        <w:rPr>
          <w:rFonts w:ascii="Palatino Linotype" w:eastAsiaTheme="minorEastAsia" w:hAnsi="Palatino Linotype"/>
          <w:lang w:val="es-ES_tradnl" w:eastAsia="es-ES"/>
        </w:rPr>
      </w:pPr>
    </w:p>
    <w:p w:rsidR="00B579A1" w:rsidRPr="00E91B45" w:rsidRDefault="00B579A1" w:rsidP="00B579A1">
      <w:pPr>
        <w:spacing w:line="360" w:lineRule="auto"/>
        <w:jc w:val="both"/>
        <w:rPr>
          <w:rFonts w:ascii="Palatino Linotype" w:eastAsia="MS Mincho" w:hAnsi="Palatino Linotype"/>
          <w:lang w:val="es-ES" w:eastAsia="es-ES"/>
        </w:rPr>
      </w:pPr>
      <w:r w:rsidRPr="00F75C03">
        <w:rPr>
          <w:rFonts w:ascii="Palatino Linotype" w:eastAsia="MS Mincho" w:hAnsi="Palatino Linotype"/>
          <w:b/>
          <w:lang w:eastAsia="es-ES"/>
        </w:rPr>
        <w:t>QUINTO.</w:t>
      </w:r>
      <w:r w:rsidRPr="00F75C03">
        <w:rPr>
          <w:rFonts w:ascii="Palatino Linotype" w:eastAsia="MS Mincho" w:hAnsi="Palatino Linotype"/>
          <w:lang w:eastAsia="es-ES"/>
        </w:rPr>
        <w:t xml:space="preserve"> </w:t>
      </w:r>
      <w:r w:rsidRPr="00F75C03">
        <w:rPr>
          <w:rFonts w:ascii="Palatino Linotype" w:eastAsia="MS Mincho" w:hAnsi="Palatino Linotype"/>
          <w:lang w:val="es-ES" w:eastAsia="es-ES"/>
        </w:rPr>
        <w:t>Se hace del conocimiento de</w:t>
      </w:r>
      <w:r w:rsidRPr="00043C0E">
        <w:rPr>
          <w:rFonts w:ascii="Palatino Linotype" w:eastAsia="MS Mincho" w:hAnsi="Palatino Linotype"/>
          <w:lang w:val="es-ES" w:eastAsia="es-ES"/>
        </w:rPr>
        <w:t>l</w:t>
      </w:r>
      <w:r w:rsidRPr="00F75C03">
        <w:rPr>
          <w:rFonts w:ascii="Palatino Linotype" w:eastAsia="MS Mincho" w:hAnsi="Palatino Linotype"/>
          <w:lang w:val="es-ES" w:eastAsia="es-ES"/>
        </w:rPr>
        <w:t xml:space="preserve"> </w:t>
      </w:r>
      <w:r w:rsidRPr="00043C0E">
        <w:rPr>
          <w:rFonts w:ascii="Palatino Linotype" w:eastAsiaTheme="minorEastAsia" w:hAnsi="Palatino Linotype"/>
          <w:b/>
          <w:lang w:val="es-ES_tradnl" w:eastAsia="es-ES"/>
        </w:rPr>
        <w:t>RECURRENTE</w:t>
      </w:r>
      <w:r w:rsidRPr="00F75C03">
        <w:rPr>
          <w:rFonts w:ascii="Palatino Linotype" w:eastAsiaTheme="minorEastAsia" w:hAnsi="Palatino Linotype"/>
          <w:b/>
          <w:lang w:val="es-ES_tradnl" w:eastAsia="es-ES"/>
        </w:rPr>
        <w:t xml:space="preserve"> </w:t>
      </w:r>
      <w:r w:rsidRPr="00F75C03">
        <w:rPr>
          <w:rFonts w:ascii="Palatino Linotype" w:eastAsia="MS Mincho" w:hAnsi="Palatino Linotype"/>
          <w:lang w:val="es-ES" w:eastAsia="es-ES"/>
        </w:rPr>
        <w:t xml:space="preserve">que, de conformidad con lo establecido en el artículo 196 de la Ley de Transparencia y Acceso a la Información Pública del Estado de México y Municipios, en caso de que considere que la resolución </w:t>
      </w:r>
      <w:r w:rsidRPr="00F75C03">
        <w:rPr>
          <w:rFonts w:ascii="Palatino Linotype" w:eastAsia="MS Mincho" w:hAnsi="Palatino Linotype"/>
          <w:lang w:val="es-ES" w:eastAsia="es-ES"/>
        </w:rPr>
        <w:lastRenderedPageBreak/>
        <w:t>le cause algún perjuicio podrá impugnarla </w:t>
      </w:r>
      <w:r w:rsidRPr="00F75C03">
        <w:rPr>
          <w:rFonts w:ascii="Palatino Linotype" w:eastAsia="MS Mincho" w:hAnsi="Palatino Linotype"/>
          <w:bCs/>
          <w:lang w:val="es-ES" w:eastAsia="es-ES"/>
        </w:rPr>
        <w:t>vía juicio de amparo</w:t>
      </w:r>
      <w:r w:rsidRPr="00F75C03">
        <w:rPr>
          <w:rFonts w:ascii="Palatino Linotype" w:eastAsia="MS Mincho" w:hAnsi="Palatino Linotype"/>
          <w:lang w:val="es-ES" w:eastAsia="es-ES"/>
        </w:rPr>
        <w:t> en los términos de las leyes aplicables.</w:t>
      </w:r>
    </w:p>
    <w:p w:rsidR="00730917" w:rsidRPr="008F5B3A" w:rsidRDefault="00730917" w:rsidP="00730917">
      <w:pPr>
        <w:spacing w:before="240" w:after="240" w:line="360" w:lineRule="auto"/>
        <w:ind w:firstLine="1"/>
        <w:jc w:val="both"/>
        <w:rPr>
          <w:rFonts w:ascii="Palatino Linotype" w:hAnsi="Palatino Linotype"/>
          <w:smallCaps/>
        </w:rPr>
      </w:pPr>
      <w:bookmarkStart w:id="40" w:name="_Hlk129792997"/>
      <w:r w:rsidRPr="008F5B3A">
        <w:rPr>
          <w:rStyle w:val="Referenciasutil"/>
          <w:rFonts w:ascii="Palatino Linotype" w:eastAsiaTheme="majorEastAsia"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Style w:val="Referenciasutil"/>
          <w:rFonts w:ascii="Palatino Linotype" w:eastAsiaTheme="majorEastAsia" w:hAnsi="Palatino Linotype"/>
          <w:color w:val="auto"/>
        </w:rPr>
        <w:t xml:space="preserve">VEGÉSIMA </w:t>
      </w:r>
      <w:r w:rsidRPr="008F5B3A">
        <w:rPr>
          <w:rStyle w:val="Referenciasutil"/>
          <w:rFonts w:ascii="Palatino Linotype" w:eastAsiaTheme="majorEastAsia" w:hAnsi="Palatino Linotype"/>
          <w:color w:val="auto"/>
        </w:rPr>
        <w:t xml:space="preserve">SESIÓN ORDINARIA CELEBRADA EL </w:t>
      </w:r>
      <w:r>
        <w:rPr>
          <w:rStyle w:val="Referenciasutil"/>
          <w:rFonts w:ascii="Palatino Linotype" w:eastAsiaTheme="majorEastAsia" w:hAnsi="Palatino Linotype"/>
          <w:color w:val="auto"/>
        </w:rPr>
        <w:t>TREINTA Y UNO</w:t>
      </w:r>
      <w:r w:rsidRPr="008F5B3A">
        <w:rPr>
          <w:rStyle w:val="Referenciasutil"/>
          <w:rFonts w:ascii="Palatino Linotype" w:eastAsiaTheme="majorEastAsia" w:hAnsi="Palatino Linotype"/>
          <w:color w:val="auto"/>
        </w:rPr>
        <w:t xml:space="preserve"> (</w:t>
      </w:r>
      <w:r>
        <w:rPr>
          <w:rStyle w:val="Referenciasutil"/>
          <w:rFonts w:ascii="Palatino Linotype" w:eastAsiaTheme="majorEastAsia" w:hAnsi="Palatino Linotype"/>
          <w:color w:val="auto"/>
        </w:rPr>
        <w:t>31</w:t>
      </w:r>
      <w:r w:rsidRPr="008F5B3A">
        <w:rPr>
          <w:rStyle w:val="Referenciasutil"/>
          <w:rFonts w:ascii="Palatino Linotype" w:eastAsiaTheme="majorEastAsia" w:hAnsi="Palatino Linotype"/>
          <w:color w:val="auto"/>
        </w:rPr>
        <w:t xml:space="preserve">) DE MAYO DE DOS MIL VEINTITRÉS, ANTE EL SECRETARIO TÉCNICO DEL PLENO ALEXIS TAPIA RAMÍREZ. </w:t>
      </w:r>
      <w:bookmarkStart w:id="41" w:name="_GoBack"/>
      <w:bookmarkEnd w:id="40"/>
      <w:bookmarkEnd w:id="41"/>
    </w:p>
    <w:p w:rsidR="00B579A1" w:rsidRPr="00730D0C" w:rsidRDefault="00B579A1" w:rsidP="00B579A1">
      <w:pPr>
        <w:spacing w:before="240" w:after="240" w:line="360" w:lineRule="auto"/>
        <w:jc w:val="both"/>
        <w:rPr>
          <w:rFonts w:ascii="Palatino Linotype" w:hAnsi="Palatino Linotype" w:cs="Arial"/>
        </w:rPr>
      </w:pPr>
    </w:p>
    <w:p w:rsidR="00B579A1" w:rsidRPr="00730D0C" w:rsidRDefault="00B579A1" w:rsidP="00B579A1">
      <w:pPr>
        <w:spacing w:before="240" w:after="240" w:line="360" w:lineRule="auto"/>
        <w:jc w:val="both"/>
        <w:rPr>
          <w:rFonts w:ascii="Palatino Linotype" w:hAnsi="Palatino Linotype" w:cs="Arial"/>
        </w:rPr>
      </w:pPr>
    </w:p>
    <w:p w:rsidR="00B579A1" w:rsidRPr="00730D0C" w:rsidRDefault="00B579A1" w:rsidP="00B579A1">
      <w:pPr>
        <w:spacing w:before="240" w:after="240" w:line="360" w:lineRule="auto"/>
        <w:rPr>
          <w:rFonts w:ascii="Palatino Linotype" w:hAnsi="Palatino Linotype"/>
        </w:rPr>
      </w:pPr>
    </w:p>
    <w:p w:rsidR="00B579A1" w:rsidRPr="00730D0C" w:rsidRDefault="00B579A1" w:rsidP="00B579A1">
      <w:pPr>
        <w:spacing w:before="240" w:after="240" w:line="360" w:lineRule="auto"/>
        <w:rPr>
          <w:rFonts w:ascii="Palatino Linotype" w:hAnsi="Palatino Linotype"/>
        </w:rPr>
      </w:pPr>
    </w:p>
    <w:p w:rsidR="00B579A1" w:rsidRPr="00730D0C" w:rsidRDefault="00B579A1" w:rsidP="00B579A1">
      <w:pPr>
        <w:spacing w:before="240" w:after="240" w:line="360" w:lineRule="auto"/>
        <w:rPr>
          <w:rFonts w:ascii="Palatino Linotype" w:hAnsi="Palatino Linotype"/>
        </w:rPr>
      </w:pPr>
    </w:p>
    <w:p w:rsidR="00B579A1" w:rsidRPr="00730D0C" w:rsidRDefault="00B579A1" w:rsidP="00B579A1">
      <w:pPr>
        <w:spacing w:before="240" w:after="240" w:line="360" w:lineRule="auto"/>
        <w:rPr>
          <w:rFonts w:ascii="Palatino Linotype" w:hAnsi="Palatino Linotype"/>
        </w:rPr>
      </w:pPr>
    </w:p>
    <w:p w:rsidR="00B579A1" w:rsidRPr="00730D0C" w:rsidRDefault="00B579A1" w:rsidP="00B579A1">
      <w:pPr>
        <w:spacing w:before="240" w:after="240" w:line="360" w:lineRule="auto"/>
        <w:rPr>
          <w:rFonts w:ascii="Palatino Linotype" w:hAnsi="Palatino Linotype"/>
        </w:rPr>
      </w:pPr>
    </w:p>
    <w:p w:rsidR="00B579A1" w:rsidRDefault="00B579A1" w:rsidP="00B579A1"/>
    <w:p w:rsidR="00B579A1" w:rsidRDefault="00B579A1" w:rsidP="00B579A1"/>
    <w:p w:rsidR="00B579A1" w:rsidRDefault="00B579A1" w:rsidP="00B579A1"/>
    <w:p w:rsidR="00B579A1" w:rsidRDefault="00B579A1" w:rsidP="00B579A1"/>
    <w:p w:rsidR="00B579A1" w:rsidRDefault="00B579A1" w:rsidP="00B579A1"/>
    <w:p w:rsidR="00B579A1" w:rsidRDefault="00B579A1" w:rsidP="00B579A1"/>
    <w:p w:rsidR="00B579A1" w:rsidRDefault="00B579A1" w:rsidP="00B579A1"/>
    <w:p w:rsidR="00B579A1" w:rsidRDefault="00B579A1" w:rsidP="00B579A1"/>
    <w:p w:rsidR="00B579A1" w:rsidRDefault="00B579A1" w:rsidP="00B579A1"/>
    <w:p w:rsidR="00B579A1" w:rsidRDefault="00B579A1" w:rsidP="00B579A1"/>
    <w:p w:rsidR="004E1710" w:rsidRDefault="0004304F"/>
    <w:sectPr w:rsidR="004E1710" w:rsidSect="008A09B0">
      <w:headerReference w:type="even" r:id="rId11"/>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04F" w:rsidRDefault="0004304F" w:rsidP="00B579A1">
      <w:r>
        <w:separator/>
      </w:r>
    </w:p>
  </w:endnote>
  <w:endnote w:type="continuationSeparator" w:id="0">
    <w:p w:rsidR="0004304F" w:rsidRDefault="0004304F" w:rsidP="00B5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B0" w:rsidRDefault="00150851">
    <w:pPr>
      <w:pStyle w:val="Piedepgina"/>
      <w:jc w:val="right"/>
    </w:pPr>
    <w:r>
      <w:rPr>
        <w:lang w:val="es-ES"/>
      </w:rPr>
      <w:t xml:space="preserve">Página </w:t>
    </w:r>
    <w:r>
      <w:rPr>
        <w:b/>
        <w:bCs/>
      </w:rPr>
      <w:fldChar w:fldCharType="begin"/>
    </w:r>
    <w:r>
      <w:rPr>
        <w:b/>
        <w:bCs/>
      </w:rPr>
      <w:instrText>PAGE</w:instrText>
    </w:r>
    <w:r>
      <w:rPr>
        <w:b/>
        <w:bCs/>
      </w:rPr>
      <w:fldChar w:fldCharType="separate"/>
    </w:r>
    <w:r w:rsidR="00730917">
      <w:rPr>
        <w:b/>
        <w:bCs/>
        <w:noProof/>
      </w:rPr>
      <w:t>26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30917">
      <w:rPr>
        <w:b/>
        <w:bCs/>
        <w:noProof/>
      </w:rPr>
      <w:t>28</w:t>
    </w:r>
    <w:r>
      <w:rPr>
        <w:b/>
        <w:bCs/>
      </w:rPr>
      <w:fldChar w:fldCharType="end"/>
    </w:r>
  </w:p>
  <w:p w:rsidR="008A09B0" w:rsidRDefault="000430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B0" w:rsidRDefault="00150851">
    <w:pPr>
      <w:pStyle w:val="Piedepgina"/>
      <w:jc w:val="right"/>
    </w:pPr>
    <w:r>
      <w:rPr>
        <w:lang w:val="es-ES"/>
      </w:rPr>
      <w:t xml:space="preserve">Página </w:t>
    </w:r>
    <w:r>
      <w:rPr>
        <w:b/>
        <w:bCs/>
      </w:rPr>
      <w:fldChar w:fldCharType="begin"/>
    </w:r>
    <w:r>
      <w:rPr>
        <w:b/>
        <w:bCs/>
      </w:rPr>
      <w:instrText>PAGE</w:instrText>
    </w:r>
    <w:r>
      <w:rPr>
        <w:b/>
        <w:bCs/>
      </w:rPr>
      <w:fldChar w:fldCharType="separate"/>
    </w:r>
    <w:r w:rsidR="0073091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30917">
      <w:rPr>
        <w:b/>
        <w:bCs/>
        <w:noProof/>
      </w:rPr>
      <w:t>28</w:t>
    </w:r>
    <w:r>
      <w:rPr>
        <w:b/>
        <w:bCs/>
      </w:rPr>
      <w:fldChar w:fldCharType="end"/>
    </w:r>
  </w:p>
  <w:p w:rsidR="008A09B0" w:rsidRDefault="000430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04F" w:rsidRDefault="0004304F" w:rsidP="00B579A1">
      <w:r>
        <w:separator/>
      </w:r>
    </w:p>
  </w:footnote>
  <w:footnote w:type="continuationSeparator" w:id="0">
    <w:p w:rsidR="0004304F" w:rsidRDefault="0004304F" w:rsidP="00B579A1">
      <w:r>
        <w:continuationSeparator/>
      </w:r>
    </w:p>
  </w:footnote>
  <w:footnote w:id="1">
    <w:p w:rsidR="00B579A1" w:rsidRDefault="00B579A1" w:rsidP="00B579A1">
      <w:pPr>
        <w:pStyle w:val="Textonotapie"/>
      </w:pPr>
      <w:r>
        <w:rPr>
          <w:rStyle w:val="Refdenotaalpie"/>
        </w:rPr>
        <w:footnoteRef/>
      </w:r>
      <w:r>
        <w:t xml:space="preserve"> Convención Americana sobre Derechos Humanos. Artículo 13.</w:t>
      </w:r>
    </w:p>
  </w:footnote>
  <w:footnote w:id="2">
    <w:p w:rsidR="00B579A1" w:rsidRDefault="00B579A1" w:rsidP="00B579A1">
      <w:pPr>
        <w:pStyle w:val="Textonotapie"/>
      </w:pPr>
      <w:r>
        <w:rPr>
          <w:rStyle w:val="Refdenotaalpie"/>
        </w:rPr>
        <w:footnoteRef/>
      </w:r>
      <w:r>
        <w:t xml:space="preserve"> Constitución Política de los Estados Unidos Mexicanos. Artículo sexto, sección A, fracción I.</w:t>
      </w:r>
    </w:p>
  </w:footnote>
  <w:footnote w:id="3">
    <w:p w:rsidR="00B579A1" w:rsidRDefault="00B579A1" w:rsidP="00B579A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579A1" w:rsidRDefault="00B579A1" w:rsidP="00B579A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B0" w:rsidRDefault="0004304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A09B0" w:rsidRPr="005C106F" w:rsidTr="008A09B0">
      <w:trPr>
        <w:trHeight w:val="1435"/>
      </w:trPr>
      <w:tc>
        <w:tcPr>
          <w:tcW w:w="2268" w:type="dxa"/>
          <w:shd w:val="clear" w:color="auto" w:fill="auto"/>
        </w:tcPr>
        <w:p w:rsidR="008A09B0" w:rsidRPr="005C106F" w:rsidRDefault="0004304F" w:rsidP="008A09B0">
          <w:pPr>
            <w:tabs>
              <w:tab w:val="right" w:pos="4273"/>
            </w:tabs>
            <w:rPr>
              <w:rFonts w:ascii="Garamond" w:eastAsia="Calibri" w:hAnsi="Garamond"/>
              <w:sz w:val="16"/>
              <w:szCs w:val="16"/>
              <w:lang w:eastAsia="en-US"/>
            </w:rPr>
          </w:pPr>
        </w:p>
      </w:tc>
      <w:tc>
        <w:tcPr>
          <w:tcW w:w="6946" w:type="dxa"/>
          <w:shd w:val="clear" w:color="auto" w:fill="auto"/>
        </w:tcPr>
        <w:p w:rsidR="008A09B0" w:rsidRDefault="0004304F" w:rsidP="008A09B0"/>
        <w:tbl>
          <w:tblPr>
            <w:tblW w:w="6662" w:type="dxa"/>
            <w:tblInd w:w="40" w:type="dxa"/>
            <w:tblLayout w:type="fixed"/>
            <w:tblLook w:val="0420" w:firstRow="1" w:lastRow="0" w:firstColumn="0" w:lastColumn="0" w:noHBand="0" w:noVBand="1"/>
          </w:tblPr>
          <w:tblGrid>
            <w:gridCol w:w="2551"/>
            <w:gridCol w:w="4111"/>
          </w:tblGrid>
          <w:tr w:rsidR="008A09B0" w:rsidTr="008A09B0">
            <w:trPr>
              <w:trHeight w:val="150"/>
            </w:trPr>
            <w:tc>
              <w:tcPr>
                <w:tcW w:w="2551" w:type="dxa"/>
                <w:shd w:val="clear" w:color="auto" w:fill="auto"/>
              </w:tcPr>
              <w:p w:rsidR="008A09B0" w:rsidRPr="00020E73" w:rsidRDefault="00150851" w:rsidP="008A09B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8A09B0" w:rsidRPr="00020E73" w:rsidRDefault="00B579A1" w:rsidP="008A09B0">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02238/INFOEM/IP/RR/2023</w:t>
                </w:r>
              </w:p>
            </w:tc>
          </w:tr>
          <w:tr w:rsidR="008A09B0" w:rsidTr="008A09B0">
            <w:trPr>
              <w:trHeight w:val="295"/>
            </w:trPr>
            <w:tc>
              <w:tcPr>
                <w:tcW w:w="2551" w:type="dxa"/>
                <w:shd w:val="clear" w:color="auto" w:fill="auto"/>
              </w:tcPr>
              <w:p w:rsidR="008A09B0" w:rsidRPr="00020E73" w:rsidRDefault="00150851" w:rsidP="008A09B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8A09B0" w:rsidRPr="00AA35D0" w:rsidRDefault="00B579A1" w:rsidP="008A09B0">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Almoloya de Juárez</w:t>
                </w:r>
                <w:r w:rsidR="00150851">
                  <w:rPr>
                    <w:rFonts w:ascii="Palatino Linotype" w:eastAsia="Calibri" w:hAnsi="Palatino Linotype" w:cs="Tahoma"/>
                    <w:bCs/>
                    <w:sz w:val="22"/>
                    <w:szCs w:val="22"/>
                    <w:lang w:eastAsia="en-US"/>
                  </w:rPr>
                  <w:t xml:space="preserve"> </w:t>
                </w:r>
              </w:p>
            </w:tc>
          </w:tr>
          <w:tr w:rsidR="008A09B0" w:rsidTr="008A09B0">
            <w:trPr>
              <w:trHeight w:val="295"/>
            </w:trPr>
            <w:tc>
              <w:tcPr>
                <w:tcW w:w="2551" w:type="dxa"/>
                <w:shd w:val="clear" w:color="auto" w:fill="auto"/>
              </w:tcPr>
              <w:p w:rsidR="008A09B0" w:rsidRPr="00020E73" w:rsidRDefault="00150851" w:rsidP="008A09B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8A09B0" w:rsidRPr="00020E73" w:rsidRDefault="00150851" w:rsidP="008A09B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A09B0" w:rsidRPr="00020E73" w:rsidRDefault="0004304F" w:rsidP="008A09B0">
                <w:pPr>
                  <w:tabs>
                    <w:tab w:val="right" w:pos="8838"/>
                  </w:tabs>
                  <w:ind w:left="-108" w:right="171"/>
                  <w:jc w:val="both"/>
                  <w:rPr>
                    <w:rFonts w:ascii="Palatino Linotype" w:eastAsia="Calibri" w:hAnsi="Palatino Linotype" w:cs="Tahoma"/>
                    <w:b/>
                    <w:sz w:val="22"/>
                    <w:szCs w:val="22"/>
                    <w:lang w:val="es-ES" w:eastAsia="en-US"/>
                  </w:rPr>
                </w:pPr>
              </w:p>
            </w:tc>
          </w:tr>
        </w:tbl>
        <w:p w:rsidR="008A09B0" w:rsidRPr="005C106F" w:rsidRDefault="0004304F" w:rsidP="008A09B0">
          <w:pPr>
            <w:tabs>
              <w:tab w:val="right" w:pos="8838"/>
            </w:tabs>
            <w:ind w:left="-28"/>
            <w:jc w:val="both"/>
            <w:rPr>
              <w:rFonts w:ascii="Arial" w:eastAsia="Calibri" w:hAnsi="Arial" w:cs="Arial"/>
              <w:b/>
              <w:sz w:val="22"/>
              <w:szCs w:val="22"/>
              <w:lang w:eastAsia="en-US"/>
            </w:rPr>
          </w:pPr>
        </w:p>
      </w:tc>
    </w:tr>
  </w:tbl>
  <w:p w:rsidR="008A09B0" w:rsidRPr="00443C6B" w:rsidRDefault="0004304F" w:rsidP="008A09B0">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A09B0" w:rsidRPr="00330DA7" w:rsidTr="008A09B0">
      <w:trPr>
        <w:trHeight w:val="1435"/>
      </w:trPr>
      <w:tc>
        <w:tcPr>
          <w:tcW w:w="2268" w:type="dxa"/>
          <w:shd w:val="clear" w:color="auto" w:fill="auto"/>
        </w:tcPr>
        <w:p w:rsidR="008A09B0" w:rsidRPr="00330DA7" w:rsidRDefault="0004304F" w:rsidP="008A09B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A09B0" w:rsidRPr="00330DA7" w:rsidTr="008A09B0">
            <w:trPr>
              <w:trHeight w:val="144"/>
            </w:trPr>
            <w:tc>
              <w:tcPr>
                <w:tcW w:w="2444" w:type="dxa"/>
                <w:shd w:val="clear" w:color="auto" w:fill="auto"/>
              </w:tcPr>
              <w:p w:rsidR="008A09B0" w:rsidRPr="00020E73" w:rsidRDefault="00150851" w:rsidP="008A09B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8A09B0" w:rsidRPr="00020E73" w:rsidRDefault="00150851" w:rsidP="008A09B0">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02238/INFOEM/IP/RR/2023</w:t>
                </w:r>
                <w:r>
                  <w:rPr>
                    <w:rFonts w:ascii="Palatino Linotype" w:eastAsia="Calibri" w:hAnsi="Palatino Linotype" w:cs="Tahoma"/>
                    <w:b/>
                    <w:bCs/>
                    <w:sz w:val="22"/>
                    <w:szCs w:val="22"/>
                    <w:lang w:eastAsia="en-US"/>
                  </w:rPr>
                  <w:t xml:space="preserve"> </w:t>
                </w:r>
              </w:p>
            </w:tc>
          </w:tr>
          <w:tr w:rsidR="008A09B0" w:rsidRPr="00330DA7" w:rsidTr="008A09B0">
            <w:trPr>
              <w:trHeight w:val="144"/>
            </w:trPr>
            <w:tc>
              <w:tcPr>
                <w:tcW w:w="2444" w:type="dxa"/>
                <w:shd w:val="clear" w:color="auto" w:fill="auto"/>
              </w:tcPr>
              <w:p w:rsidR="008A09B0" w:rsidRPr="00020E73" w:rsidRDefault="00150851" w:rsidP="008A09B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8A09B0" w:rsidRPr="00E87C99" w:rsidRDefault="0004304F" w:rsidP="008A09B0">
                <w:pPr>
                  <w:tabs>
                    <w:tab w:val="left" w:pos="3122"/>
                    <w:tab w:val="right" w:pos="8838"/>
                  </w:tabs>
                  <w:ind w:right="-105"/>
                  <w:jc w:val="both"/>
                  <w:rPr>
                    <w:rFonts w:ascii="Palatino Linotype" w:eastAsia="Calibri" w:hAnsi="Palatino Linotype" w:cs="Tahoma"/>
                    <w:sz w:val="22"/>
                    <w:szCs w:val="22"/>
                    <w:lang w:val="es-ES" w:eastAsia="en-US"/>
                  </w:rPr>
                </w:pPr>
              </w:p>
            </w:tc>
          </w:tr>
          <w:tr w:rsidR="008A09B0" w:rsidRPr="00330DA7" w:rsidTr="008A09B0">
            <w:trPr>
              <w:trHeight w:val="283"/>
            </w:trPr>
            <w:tc>
              <w:tcPr>
                <w:tcW w:w="2444" w:type="dxa"/>
                <w:shd w:val="clear" w:color="auto" w:fill="auto"/>
              </w:tcPr>
              <w:p w:rsidR="008A09B0" w:rsidRPr="00020E73" w:rsidRDefault="00150851" w:rsidP="008A09B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8A09B0" w:rsidRPr="00AA35D0" w:rsidRDefault="00B579A1" w:rsidP="008A09B0">
                <w:pPr>
                  <w:tabs>
                    <w:tab w:val="left" w:pos="2834"/>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Almoloya de Juárez</w:t>
                </w:r>
              </w:p>
            </w:tc>
          </w:tr>
          <w:tr w:rsidR="008A09B0" w:rsidRPr="00330DA7" w:rsidTr="008A09B0">
            <w:trPr>
              <w:trHeight w:val="283"/>
            </w:trPr>
            <w:tc>
              <w:tcPr>
                <w:tcW w:w="2444" w:type="dxa"/>
                <w:shd w:val="clear" w:color="auto" w:fill="auto"/>
              </w:tcPr>
              <w:p w:rsidR="008A09B0" w:rsidRPr="00020E73" w:rsidRDefault="00150851" w:rsidP="008A09B0">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8A09B0" w:rsidRPr="00020E73" w:rsidRDefault="00150851" w:rsidP="008A09B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A09B0" w:rsidRPr="00020E73" w:rsidRDefault="0004304F" w:rsidP="008A09B0">
                <w:pPr>
                  <w:tabs>
                    <w:tab w:val="right" w:pos="8838"/>
                  </w:tabs>
                  <w:ind w:left="-74" w:right="-105"/>
                  <w:jc w:val="both"/>
                  <w:rPr>
                    <w:rFonts w:ascii="Palatino Linotype" w:eastAsia="Calibri" w:hAnsi="Palatino Linotype" w:cs="Tahoma"/>
                    <w:b/>
                    <w:sz w:val="22"/>
                    <w:szCs w:val="22"/>
                    <w:lang w:val="es-ES" w:eastAsia="en-US"/>
                  </w:rPr>
                </w:pPr>
              </w:p>
            </w:tc>
          </w:tr>
        </w:tbl>
        <w:p w:rsidR="008A09B0" w:rsidRPr="00330DA7" w:rsidRDefault="0004304F" w:rsidP="008A09B0">
          <w:pPr>
            <w:tabs>
              <w:tab w:val="right" w:pos="8838"/>
            </w:tabs>
            <w:ind w:left="-28"/>
            <w:jc w:val="both"/>
            <w:rPr>
              <w:rFonts w:ascii="Arial" w:eastAsia="Calibri" w:hAnsi="Arial" w:cs="Arial"/>
              <w:b/>
              <w:sz w:val="22"/>
              <w:szCs w:val="22"/>
              <w:lang w:eastAsia="en-US"/>
            </w:rPr>
          </w:pPr>
        </w:p>
      </w:tc>
    </w:tr>
  </w:tbl>
  <w:p w:rsidR="008A09B0" w:rsidRPr="00827FA0" w:rsidRDefault="0004304F" w:rsidP="008A09B0">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AD820290"/>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3C012E47"/>
    <w:multiLevelType w:val="hybridMultilevel"/>
    <w:tmpl w:val="505A0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02B190D"/>
    <w:multiLevelType w:val="hybridMultilevel"/>
    <w:tmpl w:val="BE762A60"/>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E90672F"/>
    <w:multiLevelType w:val="hybridMultilevel"/>
    <w:tmpl w:val="7C509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9A1"/>
    <w:rsid w:val="00007A3C"/>
    <w:rsid w:val="00014DE8"/>
    <w:rsid w:val="0004304F"/>
    <w:rsid w:val="00150851"/>
    <w:rsid w:val="001819B5"/>
    <w:rsid w:val="00214EBE"/>
    <w:rsid w:val="002574B1"/>
    <w:rsid w:val="00263E27"/>
    <w:rsid w:val="003135A7"/>
    <w:rsid w:val="00367D45"/>
    <w:rsid w:val="00410790"/>
    <w:rsid w:val="004736F0"/>
    <w:rsid w:val="00723E2E"/>
    <w:rsid w:val="00730917"/>
    <w:rsid w:val="0076643E"/>
    <w:rsid w:val="007948BB"/>
    <w:rsid w:val="00796BF6"/>
    <w:rsid w:val="008C130C"/>
    <w:rsid w:val="00A10818"/>
    <w:rsid w:val="00B579A1"/>
    <w:rsid w:val="00BC1594"/>
    <w:rsid w:val="00BE7E74"/>
    <w:rsid w:val="00C15471"/>
    <w:rsid w:val="00C269F8"/>
    <w:rsid w:val="00E336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737E40E-F4F5-4981-8863-A70438DB3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9A1"/>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B579A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79A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B579A1"/>
    <w:pPr>
      <w:tabs>
        <w:tab w:val="center" w:pos="4419"/>
        <w:tab w:val="right" w:pos="8838"/>
      </w:tabs>
    </w:pPr>
  </w:style>
  <w:style w:type="character" w:customStyle="1" w:styleId="EncabezadoCar">
    <w:name w:val="Encabezado Car"/>
    <w:basedOn w:val="Fuentedeprrafopredeter"/>
    <w:link w:val="Encabezado"/>
    <w:uiPriority w:val="99"/>
    <w:rsid w:val="00B579A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B579A1"/>
    <w:pPr>
      <w:tabs>
        <w:tab w:val="center" w:pos="4419"/>
        <w:tab w:val="right" w:pos="8838"/>
      </w:tabs>
    </w:pPr>
  </w:style>
  <w:style w:type="character" w:customStyle="1" w:styleId="PiedepginaCar">
    <w:name w:val="Pie de página Car"/>
    <w:basedOn w:val="Fuentedeprrafopredeter"/>
    <w:link w:val="Piedepgina"/>
    <w:uiPriority w:val="99"/>
    <w:rsid w:val="00B579A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579A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B579A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B579A1"/>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579A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B579A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579A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B579A1"/>
    <w:rPr>
      <w:rFonts w:ascii="Times New Roman" w:eastAsia="Times New Roman" w:hAnsi="Times New Roman" w:cs="Times New Roman"/>
      <w:sz w:val="20"/>
      <w:szCs w:val="20"/>
      <w:lang w:val="es-MX" w:eastAsia="es-MX"/>
    </w:rPr>
  </w:style>
  <w:style w:type="paragraph" w:customStyle="1" w:styleId="Default">
    <w:name w:val="Default"/>
    <w:rsid w:val="004736F0"/>
    <w:pPr>
      <w:autoSpaceDE w:val="0"/>
      <w:autoSpaceDN w:val="0"/>
      <w:adjustRightInd w:val="0"/>
      <w:spacing w:after="0" w:line="240" w:lineRule="auto"/>
    </w:pPr>
    <w:rPr>
      <w:rFonts w:ascii="Arial" w:hAnsi="Arial" w:cs="Arial"/>
      <w:color w:val="000000"/>
      <w:sz w:val="24"/>
      <w:szCs w:val="24"/>
      <w:lang w:val="es-MX"/>
    </w:rPr>
  </w:style>
  <w:style w:type="character" w:styleId="Referenciasutil">
    <w:name w:val="Subtle Reference"/>
    <w:basedOn w:val="Fuentedeprrafopredeter"/>
    <w:uiPriority w:val="31"/>
    <w:qFormat/>
    <w:rsid w:val="0073091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36902">
      <w:bodyDiv w:val="1"/>
      <w:marLeft w:val="0"/>
      <w:marRight w:val="0"/>
      <w:marTop w:val="0"/>
      <w:marBottom w:val="0"/>
      <w:divBdr>
        <w:top w:val="none" w:sz="0" w:space="0" w:color="auto"/>
        <w:left w:val="none" w:sz="0" w:space="0" w:color="auto"/>
        <w:bottom w:val="none" w:sz="0" w:space="0" w:color="auto"/>
        <w:right w:val="none" w:sz="0" w:space="0" w:color="auto"/>
      </w:divBdr>
    </w:div>
    <w:div w:id="80612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aimex.org.mx/saimex/solicitud/downloadAttach/1763010.page"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28</Pages>
  <Words>6041</Words>
  <Characters>33228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6</cp:revision>
  <dcterms:created xsi:type="dcterms:W3CDTF">2023-05-25T17:20:00Z</dcterms:created>
  <dcterms:modified xsi:type="dcterms:W3CDTF">2023-06-01T00:30:00Z</dcterms:modified>
</cp:coreProperties>
</file>