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91F" w:rsidRPr="00AB7F17" w:rsidRDefault="00497D89">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AB7F1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veinte de septiembre de dos mil veintitrés. </w:t>
      </w:r>
    </w:p>
    <w:p w:rsidR="003F791F" w:rsidRPr="00AB7F17" w:rsidRDefault="003F791F">
      <w:pPr>
        <w:spacing w:line="360" w:lineRule="auto"/>
        <w:jc w:val="both"/>
        <w:rPr>
          <w:rFonts w:ascii="Palatino Linotype" w:eastAsia="Palatino Linotype" w:hAnsi="Palatino Linotype" w:cs="Palatino Linotype"/>
          <w:b/>
        </w:rPr>
      </w:pPr>
    </w:p>
    <w:p w:rsidR="003F791F" w:rsidRPr="00AB7F17" w:rsidRDefault="00497D89">
      <w:pPr>
        <w:spacing w:line="360" w:lineRule="auto"/>
        <w:jc w:val="both"/>
        <w:rPr>
          <w:rFonts w:ascii="Palatino Linotype" w:eastAsia="Palatino Linotype" w:hAnsi="Palatino Linotype" w:cs="Palatino Linotype"/>
          <w:b/>
        </w:rPr>
      </w:pPr>
      <w:bookmarkStart w:id="2" w:name="_heading=h.30j0zll" w:colFirst="0" w:colLast="0"/>
      <w:bookmarkEnd w:id="2"/>
      <w:r w:rsidRPr="00AB7F17">
        <w:rPr>
          <w:rFonts w:ascii="Palatino Linotype" w:eastAsia="Palatino Linotype" w:hAnsi="Palatino Linotype" w:cs="Palatino Linotype"/>
          <w:b/>
        </w:rPr>
        <w:t xml:space="preserve">VISTO </w:t>
      </w:r>
      <w:r w:rsidRPr="00AB7F17">
        <w:rPr>
          <w:rFonts w:ascii="Palatino Linotype" w:eastAsia="Palatino Linotype" w:hAnsi="Palatino Linotype" w:cs="Palatino Linotype"/>
        </w:rPr>
        <w:t xml:space="preserve">el expediente relativo al recurso de revisión </w:t>
      </w:r>
      <w:r w:rsidRPr="00AB7F17">
        <w:rPr>
          <w:rFonts w:ascii="Palatino Linotype" w:eastAsia="Palatino Linotype" w:hAnsi="Palatino Linotype" w:cs="Palatino Linotype"/>
          <w:b/>
        </w:rPr>
        <w:t>17064/INFOEM/ICR-289/IP/RR/2022</w:t>
      </w:r>
      <w:r w:rsidRPr="00AB7F17">
        <w:rPr>
          <w:rFonts w:ascii="Palatino Linotype" w:eastAsia="Palatino Linotype" w:hAnsi="Palatino Linotype" w:cs="Palatino Linotype"/>
        </w:rPr>
        <w:t xml:space="preserve">, interpuesto por una persona que </w:t>
      </w:r>
      <w:r w:rsidRPr="00AB7F17">
        <w:rPr>
          <w:rFonts w:ascii="Palatino Linotype" w:eastAsia="Palatino Linotype" w:hAnsi="Palatino Linotype" w:cs="Palatino Linotype"/>
          <w:b/>
        </w:rPr>
        <w:t>no señaló nombre o seudónimo,</w:t>
      </w:r>
      <w:r w:rsidRPr="00AB7F17">
        <w:rPr>
          <w:rFonts w:ascii="Palatino Linotype" w:eastAsia="Palatino Linotype" w:hAnsi="Palatino Linotype" w:cs="Palatino Linotype"/>
        </w:rPr>
        <w:t xml:space="preserve"> a quien en lo sucesivo le denominaremos como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en contra de la falta de respuesta a la solicitud de información con número de folio</w:t>
      </w:r>
      <w:r w:rsidRPr="00AB7F17">
        <w:rPr>
          <w:rFonts w:ascii="Palatino Linotype" w:eastAsia="Palatino Linotype" w:hAnsi="Palatino Linotype" w:cs="Palatino Linotype"/>
          <w:b/>
        </w:rPr>
        <w:t xml:space="preserve"> 00051/OASLAPAZ/IP/2022,</w:t>
      </w:r>
      <w:r w:rsidRPr="00AB7F17">
        <w:rPr>
          <w:rFonts w:ascii="Palatino Linotype" w:eastAsia="Palatino Linotype" w:hAnsi="Palatino Linotype" w:cs="Palatino Linotype"/>
        </w:rPr>
        <w:t xml:space="preserve"> por parte del </w:t>
      </w:r>
      <w:r w:rsidRPr="00AB7F17">
        <w:rPr>
          <w:rFonts w:ascii="Palatino Linotype" w:eastAsia="Palatino Linotype" w:hAnsi="Palatino Linotype" w:cs="Palatino Linotype"/>
          <w:b/>
        </w:rPr>
        <w:t xml:space="preserve">Organismo Público Descentralizado para la Prestación de los Servicios de Agua Potable, Alcantarillado y Saneamiento del Municipio de La Paz México, OPDAPAS </w:t>
      </w:r>
      <w:r w:rsidRPr="00AB7F17">
        <w:rPr>
          <w:rFonts w:ascii="Palatino Linotype" w:eastAsia="Palatino Linotype" w:hAnsi="Palatino Linotype" w:cs="Palatino Linotype"/>
        </w:rPr>
        <w:t xml:space="preserve">que en lo sucesivo será identificado como </w:t>
      </w:r>
      <w:r w:rsidRPr="00AB7F17">
        <w:rPr>
          <w:rFonts w:ascii="Palatino Linotype" w:eastAsia="Palatino Linotype" w:hAnsi="Palatino Linotype" w:cs="Palatino Linotype"/>
          <w:b/>
        </w:rPr>
        <w:t>EL SUJETO OBLIGADO;</w:t>
      </w:r>
      <w:r w:rsidRPr="00AB7F17">
        <w:rPr>
          <w:rFonts w:ascii="Palatino Linotype" w:eastAsia="Palatino Linotype" w:hAnsi="Palatino Linotype" w:cs="Palatino Linotype"/>
        </w:rPr>
        <w:t xml:space="preserve"> en cumplimiento a la determinación del diverso con número </w:t>
      </w:r>
      <w:r w:rsidRPr="00AB7F17">
        <w:rPr>
          <w:rFonts w:ascii="Palatino Linotype" w:eastAsia="Palatino Linotype" w:hAnsi="Palatino Linotype" w:cs="Palatino Linotype"/>
          <w:b/>
        </w:rPr>
        <w:t xml:space="preserve">17064/INFOEM/IP/RR/2022 </w:t>
      </w:r>
      <w:r w:rsidRPr="00AB7F17">
        <w:rPr>
          <w:rFonts w:ascii="Palatino Linotype" w:eastAsia="Palatino Linotype" w:hAnsi="Palatino Linotype" w:cs="Palatino Linotype"/>
        </w:rPr>
        <w:t>se procede a dictar la presente resolución, con base en los siguientes</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center"/>
        <w:rPr>
          <w:rFonts w:ascii="Palatino Linotype" w:eastAsia="Palatino Linotype" w:hAnsi="Palatino Linotype" w:cs="Palatino Linotype"/>
          <w:b/>
        </w:rPr>
      </w:pPr>
      <w:r w:rsidRPr="00AB7F17">
        <w:rPr>
          <w:rFonts w:ascii="Palatino Linotype" w:eastAsia="Palatino Linotype" w:hAnsi="Palatino Linotype" w:cs="Palatino Linotype"/>
          <w:b/>
        </w:rPr>
        <w:t>I. A N T E C E D E N T E S:</w:t>
      </w:r>
    </w:p>
    <w:p w:rsidR="003F791F" w:rsidRPr="00AB7F17" w:rsidRDefault="003F791F">
      <w:pPr>
        <w:pBdr>
          <w:top w:val="nil"/>
          <w:left w:val="nil"/>
          <w:bottom w:val="nil"/>
          <w:right w:val="nil"/>
          <w:between w:val="nil"/>
        </w:pBdr>
        <w:spacing w:line="360" w:lineRule="auto"/>
        <w:jc w:val="center"/>
        <w:rPr>
          <w:rFonts w:ascii="Palatino Linotype" w:eastAsia="Palatino Linotype" w:hAnsi="Palatino Linotype" w:cs="Palatino Linotype"/>
          <w:b/>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 xml:space="preserve">1. Solicitud de acceso a la información. </w:t>
      </w:r>
      <w:r w:rsidRPr="00AB7F17">
        <w:rPr>
          <w:rFonts w:ascii="Palatino Linotype" w:eastAsia="Palatino Linotype" w:hAnsi="Palatino Linotype" w:cs="Palatino Linotype"/>
        </w:rPr>
        <w:t xml:space="preserve">El </w:t>
      </w:r>
      <w:r w:rsidRPr="00AB7F17">
        <w:rPr>
          <w:rFonts w:ascii="Palatino Linotype" w:eastAsia="Palatino Linotype" w:hAnsi="Palatino Linotype" w:cs="Palatino Linotype"/>
          <w:b/>
        </w:rPr>
        <w:t xml:space="preserve">cuatro de noviembre de dos mil </w:t>
      </w:r>
      <w:proofErr w:type="gramStart"/>
      <w:r w:rsidRPr="00AB7F17">
        <w:rPr>
          <w:rFonts w:ascii="Palatino Linotype" w:eastAsia="Palatino Linotype" w:hAnsi="Palatino Linotype" w:cs="Palatino Linotype"/>
          <w:b/>
        </w:rPr>
        <w:t>veintidós</w:t>
      </w:r>
      <w:proofErr w:type="gramEnd"/>
      <w:r w:rsidRPr="00AB7F17">
        <w:rPr>
          <w:rFonts w:ascii="Palatino Linotype" w:eastAsia="Palatino Linotype" w:hAnsi="Palatino Linotype" w:cs="Palatino Linotype"/>
        </w:rPr>
        <w:t xml:space="preserve">,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formuló la solicitud </w:t>
      </w:r>
      <w:r w:rsidRPr="00AB7F17">
        <w:rPr>
          <w:rFonts w:ascii="Palatino Linotype" w:eastAsia="Palatino Linotype" w:hAnsi="Palatino Linotype" w:cs="Palatino Linotype"/>
          <w:b/>
        </w:rPr>
        <w:lastRenderedPageBreak/>
        <w:t xml:space="preserve">00051/OASLAPAZ/IP/2022, </w:t>
      </w:r>
      <w:r w:rsidRPr="00AB7F17">
        <w:rPr>
          <w:rFonts w:ascii="Palatino Linotype" w:eastAsia="Palatino Linotype" w:hAnsi="Palatino Linotype" w:cs="Palatino Linotype"/>
        </w:rPr>
        <w:t xml:space="preserve">al </w:t>
      </w:r>
      <w:r w:rsidRPr="00AB7F17">
        <w:rPr>
          <w:rFonts w:ascii="Palatino Linotype" w:eastAsia="Palatino Linotype" w:hAnsi="Palatino Linotype" w:cs="Palatino Linotype"/>
          <w:b/>
        </w:rPr>
        <w:t>SUJETO OBLIGADO</w:t>
      </w:r>
      <w:r w:rsidRPr="00AB7F17">
        <w:rPr>
          <w:rFonts w:ascii="Palatino Linotype" w:eastAsia="Palatino Linotype" w:hAnsi="Palatino Linotype" w:cs="Palatino Linotype"/>
        </w:rPr>
        <w:t xml:space="preserve"> a través del Sistema de Acceso a la Información Mexiquense, en adelante SAIMEX, requiriendo lo siguiente:</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“necesito que me entreguen las facturas de cada uno de los camiones que son utilizados como pipas de agua, </w:t>
      </w:r>
      <w:proofErr w:type="spellStart"/>
      <w:r w:rsidRPr="00AB7F17">
        <w:rPr>
          <w:rFonts w:ascii="Palatino Linotype" w:eastAsia="Palatino Linotype" w:hAnsi="Palatino Linotype" w:cs="Palatino Linotype"/>
          <w:i/>
          <w:sz w:val="22"/>
          <w:szCs w:val="22"/>
        </w:rPr>
        <w:t>numero</w:t>
      </w:r>
      <w:proofErr w:type="spellEnd"/>
      <w:r w:rsidRPr="00AB7F17">
        <w:rPr>
          <w:rFonts w:ascii="Palatino Linotype" w:eastAsia="Palatino Linotype" w:hAnsi="Palatino Linotype" w:cs="Palatino Linotype"/>
          <w:i/>
          <w:sz w:val="22"/>
          <w:szCs w:val="22"/>
        </w:rPr>
        <w:t xml:space="preserve"> total y REAL DE LAS PIPAS DE AGUA CON </w:t>
      </w:r>
      <w:proofErr w:type="gramStart"/>
      <w:r w:rsidRPr="00AB7F17">
        <w:rPr>
          <w:rFonts w:ascii="Palatino Linotype" w:eastAsia="Palatino Linotype" w:hAnsi="Palatino Linotype" w:cs="Palatino Linotype"/>
          <w:i/>
          <w:sz w:val="22"/>
          <w:szCs w:val="22"/>
        </w:rPr>
        <w:t>TANQUE ,</w:t>
      </w:r>
      <w:proofErr w:type="gramEnd"/>
      <w:r w:rsidRPr="00AB7F17">
        <w:rPr>
          <w:rFonts w:ascii="Palatino Linotype" w:eastAsia="Palatino Linotype" w:hAnsi="Palatino Linotype" w:cs="Palatino Linotype"/>
          <w:i/>
          <w:sz w:val="22"/>
          <w:szCs w:val="22"/>
        </w:rPr>
        <w:t xml:space="preserve"> el documento que acredite y valide la existencia legal de dichos camiones con sus respectivos tanques, así como foto de cada una de las pipas que refieren. </w:t>
      </w:r>
      <w:proofErr w:type="gramStart"/>
      <w:r w:rsidRPr="00AB7F17">
        <w:rPr>
          <w:rFonts w:ascii="Palatino Linotype" w:eastAsia="Palatino Linotype" w:hAnsi="Palatino Linotype" w:cs="Palatino Linotype"/>
          <w:i/>
          <w:sz w:val="22"/>
          <w:szCs w:val="22"/>
        </w:rPr>
        <w:t>de</w:t>
      </w:r>
      <w:proofErr w:type="gramEnd"/>
      <w:r w:rsidRPr="00AB7F17">
        <w:rPr>
          <w:rFonts w:ascii="Palatino Linotype" w:eastAsia="Palatino Linotype" w:hAnsi="Palatino Linotype" w:cs="Palatino Linotype"/>
          <w:i/>
          <w:sz w:val="22"/>
          <w:szCs w:val="22"/>
        </w:rPr>
        <w:t xml:space="preserve"> igual manera solicito que me entreguen nombre completo de la persona que </w:t>
      </w:r>
      <w:proofErr w:type="spellStart"/>
      <w:r w:rsidRPr="00AB7F17">
        <w:rPr>
          <w:rFonts w:ascii="Palatino Linotype" w:eastAsia="Palatino Linotype" w:hAnsi="Palatino Linotype" w:cs="Palatino Linotype"/>
          <w:i/>
          <w:sz w:val="22"/>
          <w:szCs w:val="22"/>
        </w:rPr>
        <w:t>esta</w:t>
      </w:r>
      <w:proofErr w:type="spellEnd"/>
      <w:r w:rsidRPr="00AB7F17">
        <w:rPr>
          <w:rFonts w:ascii="Palatino Linotype" w:eastAsia="Palatino Linotype" w:hAnsi="Palatino Linotype" w:cs="Palatino Linotype"/>
          <w:i/>
          <w:sz w:val="22"/>
          <w:szCs w:val="22"/>
        </w:rPr>
        <w:t xml:space="preserve"> asignada al manejo de cada una de las pipas de agua, currículum vitae de dichas personas, licencia para conducir de cada uno de los chóferes asignados al manejo de las pipas de agua, </w:t>
      </w:r>
      <w:proofErr w:type="spellStart"/>
      <w:r w:rsidRPr="00AB7F17">
        <w:rPr>
          <w:rFonts w:ascii="Palatino Linotype" w:eastAsia="Palatino Linotype" w:hAnsi="Palatino Linotype" w:cs="Palatino Linotype"/>
          <w:i/>
          <w:sz w:val="22"/>
          <w:szCs w:val="22"/>
        </w:rPr>
        <w:t>asi</w:t>
      </w:r>
      <w:proofErr w:type="spellEnd"/>
      <w:r w:rsidRPr="00AB7F17">
        <w:rPr>
          <w:rFonts w:ascii="Palatino Linotype" w:eastAsia="Palatino Linotype" w:hAnsi="Palatino Linotype" w:cs="Palatino Linotype"/>
          <w:i/>
          <w:sz w:val="22"/>
          <w:szCs w:val="22"/>
        </w:rPr>
        <w:t xml:space="preserve"> como EL RECIBO DE NOMINA DE CADA UNO DE ELLOS. </w:t>
      </w:r>
      <w:proofErr w:type="gramStart"/>
      <w:r w:rsidRPr="00AB7F17">
        <w:rPr>
          <w:rFonts w:ascii="Palatino Linotype" w:eastAsia="Palatino Linotype" w:hAnsi="Palatino Linotype" w:cs="Palatino Linotype"/>
          <w:i/>
          <w:sz w:val="22"/>
          <w:szCs w:val="22"/>
        </w:rPr>
        <w:t>en</w:t>
      </w:r>
      <w:proofErr w:type="gramEnd"/>
      <w:r w:rsidRPr="00AB7F17">
        <w:rPr>
          <w:rFonts w:ascii="Palatino Linotype" w:eastAsia="Palatino Linotype" w:hAnsi="Palatino Linotype" w:cs="Palatino Linotype"/>
          <w:i/>
          <w:sz w:val="22"/>
          <w:szCs w:val="22"/>
        </w:rPr>
        <w:t xml:space="preserve"> el caso de que hubiera </w:t>
      </w:r>
      <w:proofErr w:type="spellStart"/>
      <w:r w:rsidRPr="00AB7F17">
        <w:rPr>
          <w:rFonts w:ascii="Palatino Linotype" w:eastAsia="Palatino Linotype" w:hAnsi="Palatino Linotype" w:cs="Palatino Linotype"/>
          <w:i/>
          <w:sz w:val="22"/>
          <w:szCs w:val="22"/>
        </w:rPr>
        <w:t>mas</w:t>
      </w:r>
      <w:proofErr w:type="spellEnd"/>
      <w:r w:rsidRPr="00AB7F17">
        <w:rPr>
          <w:rFonts w:ascii="Palatino Linotype" w:eastAsia="Palatino Linotype" w:hAnsi="Palatino Linotype" w:cs="Palatino Linotype"/>
          <w:i/>
          <w:sz w:val="22"/>
          <w:szCs w:val="22"/>
        </w:rPr>
        <w:t xml:space="preserve"> de un chofer asignado por pipa, necesito los mismo datos. </w:t>
      </w:r>
      <w:proofErr w:type="gramStart"/>
      <w:r w:rsidRPr="00AB7F17">
        <w:rPr>
          <w:rFonts w:ascii="Palatino Linotype" w:eastAsia="Palatino Linotype" w:hAnsi="Palatino Linotype" w:cs="Palatino Linotype"/>
          <w:i/>
          <w:sz w:val="22"/>
          <w:szCs w:val="22"/>
        </w:rPr>
        <w:t>requiero</w:t>
      </w:r>
      <w:proofErr w:type="gramEnd"/>
      <w:r w:rsidRPr="00AB7F17">
        <w:rPr>
          <w:rFonts w:ascii="Palatino Linotype" w:eastAsia="Palatino Linotype" w:hAnsi="Palatino Linotype" w:cs="Palatino Linotype"/>
          <w:i/>
          <w:sz w:val="22"/>
          <w:szCs w:val="22"/>
        </w:rPr>
        <w:t xml:space="preserve"> que me informen y me entreguen las rutas asignadas por pipa y por chofer para la </w:t>
      </w:r>
      <w:proofErr w:type="spellStart"/>
      <w:r w:rsidRPr="00AB7F17">
        <w:rPr>
          <w:rFonts w:ascii="Palatino Linotype" w:eastAsia="Palatino Linotype" w:hAnsi="Palatino Linotype" w:cs="Palatino Linotype"/>
          <w:i/>
          <w:sz w:val="22"/>
          <w:szCs w:val="22"/>
        </w:rPr>
        <w:t>distribucion</w:t>
      </w:r>
      <w:proofErr w:type="spellEnd"/>
      <w:r w:rsidRPr="00AB7F17">
        <w:rPr>
          <w:rFonts w:ascii="Palatino Linotype" w:eastAsia="Palatino Linotype" w:hAnsi="Palatino Linotype" w:cs="Palatino Linotype"/>
          <w:i/>
          <w:sz w:val="22"/>
          <w:szCs w:val="22"/>
        </w:rPr>
        <w:t xml:space="preserve"> de agua en todo el municipio desde enero hasta la fecha. </w:t>
      </w:r>
      <w:proofErr w:type="gramStart"/>
      <w:r w:rsidRPr="00AB7F17">
        <w:rPr>
          <w:rFonts w:ascii="Palatino Linotype" w:eastAsia="Palatino Linotype" w:hAnsi="Palatino Linotype" w:cs="Palatino Linotype"/>
          <w:i/>
          <w:sz w:val="22"/>
          <w:szCs w:val="22"/>
        </w:rPr>
        <w:t>todo</w:t>
      </w:r>
      <w:proofErr w:type="gramEnd"/>
      <w:r w:rsidRPr="00AB7F17">
        <w:rPr>
          <w:rFonts w:ascii="Palatino Linotype" w:eastAsia="Palatino Linotype" w:hAnsi="Palatino Linotype" w:cs="Palatino Linotype"/>
          <w:i/>
          <w:sz w:val="22"/>
          <w:szCs w:val="22"/>
        </w:rPr>
        <w:t xml:space="preserve"> lo anterior lo requiero de la presente administración 2022 a partir del mes de enero.” (Sic)</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 xml:space="preserve">Modalidad elegida para la entrega de la información: </w:t>
      </w:r>
      <w:r w:rsidRPr="00AB7F17">
        <w:rPr>
          <w:rFonts w:ascii="Palatino Linotype" w:eastAsia="Palatino Linotype" w:hAnsi="Palatino Linotype" w:cs="Palatino Linotype"/>
        </w:rPr>
        <w:t>a través del SAIMEX.</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2. Interposición del recurso de revisión</w:t>
      </w:r>
      <w:r w:rsidRPr="00AB7F17">
        <w:rPr>
          <w:rFonts w:ascii="Palatino Linotype" w:eastAsia="Palatino Linotype" w:hAnsi="Palatino Linotype" w:cs="Palatino Linotype"/>
        </w:rPr>
        <w:t xml:space="preserve">. Inconforme la persona solicitante con la falta de respuesta del </w:t>
      </w:r>
      <w:r w:rsidRPr="00AB7F17">
        <w:rPr>
          <w:rFonts w:ascii="Palatino Linotype" w:eastAsia="Palatino Linotype" w:hAnsi="Palatino Linotype" w:cs="Palatino Linotype"/>
          <w:b/>
        </w:rPr>
        <w:t>SUJETO OBLIGADO</w:t>
      </w:r>
      <w:r w:rsidRPr="00AB7F17">
        <w:rPr>
          <w:rFonts w:ascii="Palatino Linotype" w:eastAsia="Palatino Linotype" w:hAnsi="Palatino Linotype" w:cs="Palatino Linotype"/>
        </w:rPr>
        <w:t xml:space="preserve">, con fecha </w:t>
      </w:r>
      <w:r w:rsidRPr="00AB7F17">
        <w:rPr>
          <w:rFonts w:ascii="Palatino Linotype" w:eastAsia="Palatino Linotype" w:hAnsi="Palatino Linotype" w:cs="Palatino Linotype"/>
          <w:b/>
        </w:rPr>
        <w:t>primero de diciembre de dos mil veintidós,</w:t>
      </w:r>
      <w:r w:rsidRPr="00AB7F17">
        <w:rPr>
          <w:rFonts w:ascii="Palatino Linotype" w:eastAsia="Palatino Linotype" w:hAnsi="Palatino Linotype" w:cs="Palatino Linotype"/>
        </w:rPr>
        <w:t xml:space="preserve"> accionó este recurso de revisión a través de SAIMEX, expresando lo siguiente:</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 xml:space="preserve">Acto impugnado: </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“NEGATIVA A LA ENTREGA DE INFORMACION” (Sic)</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spacing w:line="360" w:lineRule="auto"/>
        <w:jc w:val="both"/>
        <w:rPr>
          <w:rFonts w:ascii="Palatino Linotype" w:eastAsia="Palatino Linotype" w:hAnsi="Palatino Linotype" w:cs="Palatino Linotype"/>
        </w:rPr>
      </w:pPr>
      <w:bookmarkStart w:id="3" w:name="_heading=h.tyjcwt" w:colFirst="0" w:colLast="0"/>
      <w:bookmarkEnd w:id="3"/>
      <w:r w:rsidRPr="00AB7F17">
        <w:rPr>
          <w:rFonts w:ascii="Palatino Linotype" w:eastAsia="Palatino Linotype" w:hAnsi="Palatino Linotype" w:cs="Palatino Linotype"/>
          <w:b/>
        </w:rPr>
        <w:lastRenderedPageBreak/>
        <w:t>Razones o motivos de inconformidad</w:t>
      </w:r>
      <w:r w:rsidRPr="00AB7F17">
        <w:rPr>
          <w:rFonts w:ascii="Palatino Linotype" w:eastAsia="Palatino Linotype" w:hAnsi="Palatino Linotype" w:cs="Palatino Linotype"/>
        </w:rPr>
        <w:t>:</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 “NEGATIVA A LA ENTREGA DE INFORMACION " (Sic)</w:t>
      </w:r>
    </w:p>
    <w:p w:rsidR="003F791F" w:rsidRPr="00AB7F17" w:rsidRDefault="003F791F"/>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b/>
        </w:rPr>
      </w:pPr>
    </w:p>
    <w:p w:rsidR="003F791F" w:rsidRPr="00AB7F17" w:rsidRDefault="00497D89">
      <w:pPr>
        <w:spacing w:line="360" w:lineRule="auto"/>
        <w:ind w:right="51"/>
        <w:jc w:val="both"/>
        <w:rPr>
          <w:rFonts w:ascii="Palatino Linotype" w:eastAsia="Palatino Linotype" w:hAnsi="Palatino Linotype" w:cs="Palatino Linotype"/>
        </w:rPr>
      </w:pPr>
      <w:r w:rsidRPr="00AB7F17">
        <w:rPr>
          <w:rFonts w:ascii="Palatino Linotype" w:eastAsia="Palatino Linotype" w:hAnsi="Palatino Linotype" w:cs="Palatino Linotype"/>
          <w:b/>
        </w:rPr>
        <w:t xml:space="preserve">3. Turno. </w:t>
      </w:r>
      <w:r w:rsidRPr="00AB7F1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AB7F17">
        <w:rPr>
          <w:rFonts w:ascii="Palatino Linotype" w:eastAsia="Palatino Linotype" w:hAnsi="Palatino Linotype" w:cs="Palatino Linotype"/>
          <w:b/>
        </w:rPr>
        <w:t xml:space="preserve">Comisionada Guadalupe Ramírez Peña, </w:t>
      </w:r>
      <w:r w:rsidRPr="00AB7F17">
        <w:rPr>
          <w:rFonts w:ascii="Palatino Linotype" w:eastAsia="Palatino Linotype" w:hAnsi="Palatino Linotype" w:cs="Palatino Linotype"/>
        </w:rPr>
        <w:t xml:space="preserve">a efecto de que analizara sobre su admisión o su </w:t>
      </w:r>
      <w:proofErr w:type="spellStart"/>
      <w:r w:rsidRPr="00AB7F17">
        <w:rPr>
          <w:rFonts w:ascii="Palatino Linotype" w:eastAsia="Palatino Linotype" w:hAnsi="Palatino Linotype" w:cs="Palatino Linotype"/>
        </w:rPr>
        <w:t>desechamiento</w:t>
      </w:r>
      <w:proofErr w:type="spellEnd"/>
      <w:r w:rsidRPr="00AB7F17">
        <w:rPr>
          <w:rFonts w:ascii="Palatino Linotype" w:eastAsia="Palatino Linotype" w:hAnsi="Palatino Linotype" w:cs="Palatino Linotype"/>
        </w:rPr>
        <w:t>.</w:t>
      </w:r>
    </w:p>
    <w:p w:rsidR="003F791F" w:rsidRPr="00AB7F17" w:rsidRDefault="003F791F">
      <w:pPr>
        <w:spacing w:line="360" w:lineRule="auto"/>
        <w:ind w:right="51"/>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4. Admisión del Recurso de revisión.</w:t>
      </w:r>
      <w:r w:rsidRPr="00AB7F17">
        <w:rPr>
          <w:rFonts w:ascii="Palatino Linotype" w:eastAsia="Palatino Linotype" w:hAnsi="Palatino Linotype" w:cs="Palatino Linotype"/>
        </w:rPr>
        <w:t xml:space="preserve"> Con fecha</w:t>
      </w:r>
      <w:r w:rsidRPr="00AB7F17">
        <w:rPr>
          <w:rFonts w:ascii="Palatino Linotype" w:eastAsia="Palatino Linotype" w:hAnsi="Palatino Linotype" w:cs="Palatino Linotype"/>
          <w:b/>
        </w:rPr>
        <w:t xml:space="preserve"> seis de diciembre de dos mil veintidós, </w:t>
      </w:r>
      <w:r w:rsidRPr="00AB7F1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AB7F17">
        <w:rPr>
          <w:rFonts w:ascii="Palatino Linotype" w:eastAsia="Palatino Linotype" w:hAnsi="Palatino Linotype" w:cs="Palatino Linotype"/>
          <w:b/>
        </w:rPr>
        <w:t xml:space="preserve">EL SUJETO OBLIGADO </w:t>
      </w:r>
      <w:r w:rsidRPr="00AB7F17">
        <w:rPr>
          <w:rFonts w:ascii="Palatino Linotype" w:eastAsia="Palatino Linotype" w:hAnsi="Palatino Linotype" w:cs="Palatino Linotype"/>
        </w:rPr>
        <w:t>presentara su Informe Justificado.</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ind w:right="49"/>
        <w:jc w:val="both"/>
        <w:rPr>
          <w:rFonts w:ascii="Palatino Linotype" w:eastAsia="Palatino Linotype" w:hAnsi="Palatino Linotype" w:cs="Palatino Linotype"/>
        </w:rPr>
      </w:pPr>
      <w:bookmarkStart w:id="4" w:name="_heading=h.2s8eyo1" w:colFirst="0" w:colLast="0"/>
      <w:bookmarkEnd w:id="4"/>
      <w:r w:rsidRPr="00AB7F17">
        <w:rPr>
          <w:rFonts w:ascii="Palatino Linotype" w:eastAsia="Palatino Linotype" w:hAnsi="Palatino Linotype" w:cs="Palatino Linotype"/>
          <w:b/>
        </w:rPr>
        <w:t>5. Manifestaciones</w:t>
      </w:r>
      <w:r w:rsidRPr="00AB7F17">
        <w:rPr>
          <w:rFonts w:ascii="Palatino Linotype" w:eastAsia="Palatino Linotype" w:hAnsi="Palatino Linotype" w:cs="Palatino Linotype"/>
        </w:rPr>
        <w:t xml:space="preserve">. De las constancias que integran el expediente electrónico en que se actúa se advierte que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y </w:t>
      </w:r>
      <w:r w:rsidRPr="00AB7F17">
        <w:rPr>
          <w:rFonts w:ascii="Palatino Linotype" w:eastAsia="Palatino Linotype" w:hAnsi="Palatino Linotype" w:cs="Palatino Linotype"/>
          <w:b/>
        </w:rPr>
        <w:t xml:space="preserve">EL SUJETO </w:t>
      </w:r>
      <w:r w:rsidRPr="00AB7F17">
        <w:rPr>
          <w:rFonts w:ascii="Palatino Linotype" w:eastAsia="Palatino Linotype" w:hAnsi="Palatino Linotype" w:cs="Palatino Linotype"/>
          <w:b/>
        </w:rPr>
        <w:lastRenderedPageBreak/>
        <w:t>OBLIGADO</w:t>
      </w:r>
      <w:r w:rsidRPr="00AB7F17">
        <w:rPr>
          <w:rFonts w:ascii="Palatino Linotype" w:eastAsia="Palatino Linotype" w:hAnsi="Palatino Linotype" w:cs="Palatino Linotype"/>
        </w:rPr>
        <w:t xml:space="preserve"> no realizaron manifestaciones, ni la remisión del Informe Justificado, respectivamente, tal y como se hace constar:  </w:t>
      </w:r>
    </w:p>
    <w:p w:rsidR="003F791F" w:rsidRPr="00AB7F17" w:rsidRDefault="003F791F">
      <w:pPr>
        <w:spacing w:line="360" w:lineRule="auto"/>
        <w:ind w:right="49"/>
        <w:jc w:val="both"/>
      </w:pPr>
    </w:p>
    <w:p w:rsidR="003F791F" w:rsidRPr="00AB7F17" w:rsidRDefault="00497D89">
      <w:pPr>
        <w:spacing w:line="360" w:lineRule="auto"/>
        <w:ind w:right="49"/>
        <w:jc w:val="center"/>
        <w:rPr>
          <w:rFonts w:ascii="Palatino Linotype" w:eastAsia="Palatino Linotype" w:hAnsi="Palatino Linotype" w:cs="Palatino Linotype"/>
        </w:rPr>
      </w:pPr>
      <w:r w:rsidRPr="00AB7F17">
        <w:rPr>
          <w:noProof/>
          <w:lang w:eastAsia="es-MX"/>
        </w:rPr>
        <w:drawing>
          <wp:inline distT="0" distB="0" distL="0" distR="0">
            <wp:extent cx="2730950" cy="633056"/>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5500" t="31046" r="25566" b="48789"/>
                    <a:stretch>
                      <a:fillRect/>
                    </a:stretch>
                  </pic:blipFill>
                  <pic:spPr>
                    <a:xfrm>
                      <a:off x="0" y="0"/>
                      <a:ext cx="2730950" cy="633056"/>
                    </a:xfrm>
                    <a:prstGeom prst="rect">
                      <a:avLst/>
                    </a:prstGeom>
                    <a:ln/>
                  </pic:spPr>
                </pic:pic>
              </a:graphicData>
            </a:graphic>
          </wp:inline>
        </w:drawing>
      </w:r>
    </w:p>
    <w:p w:rsidR="003F791F" w:rsidRPr="00AB7F17" w:rsidRDefault="003F791F">
      <w:pPr>
        <w:spacing w:line="360" w:lineRule="auto"/>
        <w:ind w:right="49"/>
        <w:jc w:val="center"/>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bookmarkStart w:id="5" w:name="_heading=h.3rdcrjn" w:colFirst="0" w:colLast="0"/>
      <w:bookmarkEnd w:id="5"/>
      <w:r w:rsidRPr="00AB7F17">
        <w:rPr>
          <w:rFonts w:ascii="Palatino Linotype" w:eastAsia="Palatino Linotype" w:hAnsi="Palatino Linotype" w:cs="Palatino Linotype"/>
          <w:b/>
        </w:rPr>
        <w:t xml:space="preserve">6. Cierre de instrucción. </w:t>
      </w:r>
      <w:r w:rsidRPr="00AB7F17">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AB7F17">
        <w:rPr>
          <w:rFonts w:ascii="Palatino Linotype" w:eastAsia="Palatino Linotype" w:hAnsi="Palatino Linotype" w:cs="Palatino Linotype"/>
          <w:b/>
        </w:rPr>
        <w:t xml:space="preserve"> dieciséis de diciembre de dos mil veintitrés</w:t>
      </w:r>
      <w:r w:rsidRPr="00AB7F17">
        <w:rPr>
          <w:rFonts w:ascii="Palatino Linotype" w:eastAsia="Palatino Linotype" w:hAnsi="Palatino Linotype" w:cs="Palatino Linotype"/>
        </w:rPr>
        <w:t xml:space="preserve">, la </w:t>
      </w:r>
      <w:r w:rsidRPr="00AB7F17">
        <w:rPr>
          <w:rFonts w:ascii="Palatino Linotype" w:eastAsia="Palatino Linotype" w:hAnsi="Palatino Linotype" w:cs="Palatino Linotype"/>
          <w:b/>
        </w:rPr>
        <w:t>Comisionada Ponente</w:t>
      </w:r>
      <w:r w:rsidRPr="00AB7F17">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7. Resolución del recurso de revisión.</w:t>
      </w:r>
      <w:r w:rsidRPr="00AB7F17">
        <w:rPr>
          <w:rFonts w:ascii="Palatino Linotype" w:eastAsia="Palatino Linotype" w:hAnsi="Palatino Linotype" w:cs="Palatino Linotype"/>
        </w:rPr>
        <w:t xml:space="preserve"> Con fecha</w:t>
      </w:r>
      <w:r w:rsidRPr="00AB7F17">
        <w:rPr>
          <w:rFonts w:ascii="Palatino Linotype" w:eastAsia="Palatino Linotype" w:hAnsi="Palatino Linotype" w:cs="Palatino Linotype"/>
          <w:b/>
        </w:rPr>
        <w:t xml:space="preserve"> once de enero de dos mil veintitrés, </w:t>
      </w:r>
      <w:r w:rsidRPr="00AB7F17">
        <w:rPr>
          <w:rFonts w:ascii="Palatino Linotype" w:eastAsia="Palatino Linotype" w:hAnsi="Palatino Linotype" w:cs="Palatino Linotype"/>
        </w:rPr>
        <w:t xml:space="preserve">el Pleno del </w:t>
      </w:r>
      <w:proofErr w:type="spellStart"/>
      <w:r w:rsidRPr="00AB7F17">
        <w:rPr>
          <w:rFonts w:ascii="Palatino Linotype" w:eastAsia="Palatino Linotype" w:hAnsi="Palatino Linotype" w:cs="Palatino Linotype"/>
        </w:rPr>
        <w:t>Infoem</w:t>
      </w:r>
      <w:proofErr w:type="spellEnd"/>
      <w:r w:rsidRPr="00AB7F17">
        <w:rPr>
          <w:rFonts w:ascii="Palatino Linotype" w:eastAsia="Palatino Linotype" w:hAnsi="Palatino Linotype" w:cs="Palatino Linotype"/>
        </w:rPr>
        <w:t xml:space="preserve"> en la </w:t>
      </w:r>
      <w:r w:rsidRPr="00AB7F17">
        <w:rPr>
          <w:rFonts w:ascii="Palatino Linotype" w:eastAsia="Palatino Linotype" w:hAnsi="Palatino Linotype" w:cs="Palatino Linotype"/>
          <w:b/>
        </w:rPr>
        <w:t xml:space="preserve">Primera Sesión Ordinaria, </w:t>
      </w:r>
      <w:r w:rsidRPr="00AB7F17">
        <w:rPr>
          <w:rFonts w:ascii="Palatino Linotype" w:eastAsia="Palatino Linotype" w:hAnsi="Palatino Linotype" w:cs="Palatino Linotype"/>
        </w:rPr>
        <w:t xml:space="preserve">aprobó por unanimidad de votos la resolución del recurso de revisión </w:t>
      </w:r>
      <w:r w:rsidRPr="00AB7F17">
        <w:rPr>
          <w:rFonts w:ascii="Palatino Linotype" w:eastAsia="Palatino Linotype" w:hAnsi="Palatino Linotype" w:cs="Palatino Linotype"/>
          <w:b/>
        </w:rPr>
        <w:t>17064/INFOEM/RR/2022,</w:t>
      </w:r>
      <w:r w:rsidRPr="00AB7F17">
        <w:rPr>
          <w:rFonts w:ascii="Palatino Linotype" w:eastAsia="Palatino Linotype" w:hAnsi="Palatino Linotype" w:cs="Palatino Linotype"/>
        </w:rPr>
        <w:t xml:space="preserve"> en la cual se ordenó lo siguiente: </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“III. R E S U E L V E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Primero. Resultan fundados los motivos de inconformidad de la parte Recurrente, en términos del Considerando Cuarto de la presente resolución.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Segundo. Se Ordena al Sujeto Obligado dé trámite, vía Sistema de Acceso a la Información Mexiquense, SAIMEX, a la solicitud de acceso a la información pública 00051/OASLAPAZ/IP/2022 que dio origen al recurso de revisión </w:t>
      </w:r>
      <w:r w:rsidRPr="00AB7F17">
        <w:rPr>
          <w:rFonts w:ascii="Palatino Linotype" w:eastAsia="Palatino Linotype" w:hAnsi="Palatino Linotype" w:cs="Palatino Linotype"/>
          <w:i/>
          <w:sz w:val="22"/>
          <w:szCs w:val="22"/>
        </w:rPr>
        <w:lastRenderedPageBreak/>
        <w:t xml:space="preserve">17064/INFOEM/IP/RR/2022, en términos del Considerando Cuarto de esta resolución y emita respuesta, debiendo observar las excepciones contenidas en la Ley de Transparencia y Acceso a la Información Pública del Estado de México y Municipios.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 </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lastRenderedPageBreak/>
        <w:t xml:space="preserve">8. Notificación de la resolución del recurso de revisión 17064/INFOEM/IP/RR/2022. </w:t>
      </w:r>
      <w:r w:rsidRPr="00AB7F17">
        <w:rPr>
          <w:rFonts w:ascii="Palatino Linotype" w:eastAsia="Palatino Linotype" w:hAnsi="Palatino Linotype" w:cs="Palatino Linotype"/>
        </w:rPr>
        <w:t>El</w:t>
      </w:r>
      <w:r w:rsidRPr="00AB7F17">
        <w:rPr>
          <w:rFonts w:ascii="Palatino Linotype" w:eastAsia="Palatino Linotype" w:hAnsi="Palatino Linotype" w:cs="Palatino Linotype"/>
          <w:b/>
        </w:rPr>
        <w:t xml:space="preserve"> dieciséis de enero de dos mil veintitrés, </w:t>
      </w:r>
      <w:r w:rsidRPr="00AB7F17">
        <w:rPr>
          <w:rFonts w:ascii="Palatino Linotype" w:eastAsia="Palatino Linotype" w:hAnsi="Palatino Linotype" w:cs="Palatino Linotype"/>
        </w:rPr>
        <w:t>se notificó a las partes la resolución del medio de impugnación previamente referido, por medio del SAIMEX.</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9. Cumplimiento  del recurso de revisión 17064/INFOEM/IP/RR/2022.</w:t>
      </w:r>
      <w:r w:rsidRPr="00AB7F17">
        <w:rPr>
          <w:rFonts w:ascii="Palatino Linotype" w:eastAsia="Palatino Linotype" w:hAnsi="Palatino Linotype" w:cs="Palatino Linotype"/>
        </w:rPr>
        <w:t xml:space="preserve"> El</w:t>
      </w:r>
      <w:r w:rsidRPr="00AB7F17">
        <w:rPr>
          <w:rFonts w:ascii="Palatino Linotype" w:eastAsia="Palatino Linotype" w:hAnsi="Palatino Linotype" w:cs="Palatino Linotype"/>
          <w:b/>
        </w:rPr>
        <w:t xml:space="preserve"> treinta y uno de enero de dos mil veintitrés, </w:t>
      </w:r>
      <w:r w:rsidRPr="00AB7F17">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AB7F17">
        <w:rPr>
          <w:rFonts w:ascii="Palatino Linotype" w:eastAsia="Palatino Linotype" w:hAnsi="Palatino Linotype" w:cs="Palatino Linotype"/>
          <w:b/>
        </w:rPr>
        <w:t xml:space="preserve"> EL SUJETO OBLIGADO</w:t>
      </w:r>
      <w:r w:rsidRPr="00AB7F17">
        <w:rPr>
          <w:rFonts w:ascii="Palatino Linotype" w:eastAsia="Palatino Linotype" w:hAnsi="Palatino Linotype" w:cs="Palatino Linotype"/>
        </w:rPr>
        <w:t xml:space="preserve"> debió dar cumplimiento a la resolución del recurso de revisión </w:t>
      </w:r>
      <w:r w:rsidRPr="00AB7F17">
        <w:rPr>
          <w:rFonts w:ascii="Palatino Linotype" w:eastAsia="Palatino Linotype" w:hAnsi="Palatino Linotype" w:cs="Palatino Linotype"/>
          <w:b/>
        </w:rPr>
        <w:t>17064/INFOEM/IP/RR/2022;</w:t>
      </w:r>
      <w:r w:rsidRPr="00AB7F17">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AB7F17">
        <w:rPr>
          <w:rFonts w:ascii="Palatino Linotype" w:eastAsia="Palatino Linotype" w:hAnsi="Palatino Linotype" w:cs="Palatino Linotype"/>
        </w:rPr>
        <w:t>Infoem</w:t>
      </w:r>
      <w:proofErr w:type="spellEnd"/>
      <w:r w:rsidRPr="00AB7F17">
        <w:rPr>
          <w:rFonts w:ascii="Palatino Linotype" w:eastAsia="Palatino Linotype" w:hAnsi="Palatino Linotype" w:cs="Palatino Linotype"/>
        </w:rPr>
        <w:t xml:space="preserve"> notificó el acuerdo de incumplimiento a la resolución dictada por esta Autoridad Mexiquense. </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10. Turno a la Contraloría Interna para imposición de Medida de Apremio.</w:t>
      </w:r>
      <w:r w:rsidRPr="00AB7F17">
        <w:rPr>
          <w:rFonts w:ascii="Palatino Linotype" w:eastAsia="Palatino Linotype" w:hAnsi="Palatino Linotype" w:cs="Palatino Linotype"/>
        </w:rPr>
        <w:t xml:space="preserve"> El mismo día, mediante el oficio </w:t>
      </w:r>
      <w:r w:rsidRPr="00AB7F17">
        <w:rPr>
          <w:rFonts w:ascii="Palatino Linotype" w:eastAsia="Palatino Linotype" w:hAnsi="Palatino Linotype" w:cs="Palatino Linotype"/>
          <w:i/>
        </w:rPr>
        <w:t>INFOEM/STP/DC/482/2023,</w:t>
      </w:r>
      <w:r w:rsidRPr="00AB7F17">
        <w:rPr>
          <w:rFonts w:ascii="Palatino Linotype" w:eastAsia="Palatino Linotype" w:hAnsi="Palatino Linotype" w:cs="Palatino Linotype"/>
        </w:rPr>
        <w:t xml:space="preserve"> la Dirección de Cumplimientos hizo de conocimiento a la Contraloría Interna y Órgano Interno de Control y Vigilancia del </w:t>
      </w:r>
      <w:proofErr w:type="spellStart"/>
      <w:r w:rsidRPr="00AB7F17">
        <w:rPr>
          <w:rFonts w:ascii="Palatino Linotype" w:eastAsia="Palatino Linotype" w:hAnsi="Palatino Linotype" w:cs="Palatino Linotype"/>
        </w:rPr>
        <w:t>Infoem</w:t>
      </w:r>
      <w:proofErr w:type="spellEnd"/>
      <w:r w:rsidRPr="00AB7F17">
        <w:rPr>
          <w:rFonts w:ascii="Palatino Linotype" w:eastAsia="Palatino Linotype" w:hAnsi="Palatino Linotype" w:cs="Palatino Linotype"/>
        </w:rPr>
        <w:t xml:space="preserve">, el incumplimiento al fallo emitido por el Pleno de este Instituto para la imposición de la medida de apremio correspondiente. </w:t>
      </w:r>
    </w:p>
    <w:p w:rsidR="003F791F" w:rsidRPr="00AB7F17" w:rsidRDefault="00497D89">
      <w:pPr>
        <w:spacing w:line="360" w:lineRule="auto"/>
        <w:jc w:val="both"/>
        <w:rPr>
          <w:rFonts w:ascii="Palatino Linotype" w:eastAsia="Palatino Linotype" w:hAnsi="Palatino Linotype" w:cs="Palatino Linotype"/>
          <w:b/>
          <w:sz w:val="22"/>
          <w:szCs w:val="22"/>
        </w:rPr>
      </w:pPr>
      <w:r w:rsidRPr="00AB7F17">
        <w:rPr>
          <w:rFonts w:ascii="Palatino Linotype" w:eastAsia="Palatino Linotype" w:hAnsi="Palatino Linotype" w:cs="Palatino Linotype"/>
          <w:b/>
        </w:rPr>
        <w:lastRenderedPageBreak/>
        <w:t xml:space="preserve">11. Interposición del segundo recurso de revisión 17064/INFOEM/ICR-289/IP/RR/2022. </w:t>
      </w:r>
      <w:r w:rsidRPr="00AB7F17">
        <w:rPr>
          <w:rFonts w:ascii="Palatino Linotype" w:eastAsia="Palatino Linotype" w:hAnsi="Palatino Linotype" w:cs="Palatino Linotype"/>
        </w:rPr>
        <w:t xml:space="preserve">Con fecha </w:t>
      </w:r>
      <w:r w:rsidRPr="00AB7F17">
        <w:rPr>
          <w:rFonts w:ascii="Palatino Linotype" w:eastAsia="Palatino Linotype" w:hAnsi="Palatino Linotype" w:cs="Palatino Linotype"/>
          <w:b/>
        </w:rPr>
        <w:t>veintiséis de junio de dos mil veintitrés, LA PARTE RECURRENTE</w:t>
      </w:r>
      <w:r w:rsidRPr="00AB7F17">
        <w:rPr>
          <w:rFonts w:ascii="Palatino Linotype" w:eastAsia="Palatino Linotype" w:hAnsi="Palatino Linotype" w:cs="Palatino Linotype"/>
        </w:rPr>
        <w:t xml:space="preserve"> se manifestó de la siguiente manera: </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 xml:space="preserve">Acto impugnado: </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“EL ORGANISMO DE AGUA SE NIEGA A ENTREGAR LA INFORMACION SOLICITADA A PESAR DE QUE YA PUBLICO EL ACUERDO DE INCUMPLIMIENTO” (Sic)</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 xml:space="preserve">Motivos o razones de inconformidad: </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“EL ORGANISMO DE AGUA SE NIEGA A ENTREGAR LA INFORMACION SOLICITADA A PESAR DE QUE YA PUBLICO EL ACUERDO DE INCUMPLIMIENTO” (Sic) </w:t>
      </w:r>
    </w:p>
    <w:p w:rsidR="003F791F" w:rsidRPr="00AB7F17" w:rsidRDefault="003F791F">
      <w:pPr>
        <w:spacing w:line="360" w:lineRule="auto"/>
        <w:jc w:val="both"/>
        <w:rPr>
          <w:rFonts w:ascii="Palatino Linotype" w:eastAsia="Palatino Linotype" w:hAnsi="Palatino Linotype" w:cs="Palatino Linotype"/>
          <w:sz w:val="22"/>
          <w:szCs w:val="22"/>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 xml:space="preserve">12. Turno. </w:t>
      </w:r>
      <w:r w:rsidRPr="00AB7F1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AB7F17">
        <w:rPr>
          <w:rFonts w:ascii="Palatino Linotype" w:eastAsia="Palatino Linotype" w:hAnsi="Palatino Linotype" w:cs="Palatino Linotype"/>
          <w:b/>
        </w:rPr>
        <w:t>17064/INFOEM/ICR-289/IP/RR/2022</w:t>
      </w:r>
      <w:r w:rsidRPr="00AB7F17">
        <w:rPr>
          <w:rFonts w:ascii="Palatino Linotype" w:eastAsia="Palatino Linotype" w:hAnsi="Palatino Linotype" w:cs="Palatino Linotype"/>
          <w:b/>
          <w:sz w:val="22"/>
          <w:szCs w:val="22"/>
        </w:rPr>
        <w:t xml:space="preserve"> </w:t>
      </w:r>
      <w:r w:rsidRPr="00AB7F1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AB7F17">
        <w:rPr>
          <w:rFonts w:ascii="Palatino Linotype" w:eastAsia="Palatino Linotype" w:hAnsi="Palatino Linotype" w:cs="Palatino Linotype"/>
          <w:b/>
        </w:rPr>
        <w:t xml:space="preserve">Comisionada Guadalupe Ramírez Peña, </w:t>
      </w:r>
      <w:r w:rsidRPr="00AB7F17">
        <w:rPr>
          <w:rFonts w:ascii="Palatino Linotype" w:eastAsia="Palatino Linotype" w:hAnsi="Palatino Linotype" w:cs="Palatino Linotype"/>
        </w:rPr>
        <w:t xml:space="preserve">a efecto de que analizara sobre su admisión o su </w:t>
      </w:r>
      <w:proofErr w:type="spellStart"/>
      <w:r w:rsidRPr="00AB7F17">
        <w:rPr>
          <w:rFonts w:ascii="Palatino Linotype" w:eastAsia="Palatino Linotype" w:hAnsi="Palatino Linotype" w:cs="Palatino Linotype"/>
        </w:rPr>
        <w:t>desechamiento</w:t>
      </w:r>
      <w:proofErr w:type="spellEnd"/>
      <w:r w:rsidRPr="00AB7F17">
        <w:rPr>
          <w:rFonts w:ascii="Palatino Linotype" w:eastAsia="Palatino Linotype" w:hAnsi="Palatino Linotype" w:cs="Palatino Linotype"/>
        </w:rPr>
        <w:t>.</w:t>
      </w:r>
    </w:p>
    <w:p w:rsidR="003F791F" w:rsidRPr="00AB7F17" w:rsidRDefault="003F791F">
      <w:pPr>
        <w:spacing w:line="360" w:lineRule="auto"/>
        <w:ind w:right="51"/>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lastRenderedPageBreak/>
        <w:t>13. Admisión del recurso de revisión.</w:t>
      </w:r>
      <w:r w:rsidRPr="00AB7F17">
        <w:rPr>
          <w:rFonts w:ascii="Palatino Linotype" w:eastAsia="Palatino Linotype" w:hAnsi="Palatino Linotype" w:cs="Palatino Linotype"/>
        </w:rPr>
        <w:t xml:space="preserve"> Con fecha</w:t>
      </w:r>
      <w:r w:rsidRPr="00AB7F17">
        <w:rPr>
          <w:rFonts w:ascii="Palatino Linotype" w:eastAsia="Palatino Linotype" w:hAnsi="Palatino Linotype" w:cs="Palatino Linotype"/>
          <w:b/>
        </w:rPr>
        <w:t xml:space="preserve"> veintinueve de junio de dos mil veintitrés, </w:t>
      </w:r>
      <w:r w:rsidRPr="00AB7F1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AB7F17">
        <w:rPr>
          <w:rFonts w:ascii="Palatino Linotype" w:eastAsia="Palatino Linotype" w:hAnsi="Palatino Linotype" w:cs="Palatino Linotype"/>
          <w:b/>
        </w:rPr>
        <w:t xml:space="preserve">EL SUJETO OBLIGADO </w:t>
      </w:r>
      <w:r w:rsidRPr="00AB7F17">
        <w:rPr>
          <w:rFonts w:ascii="Palatino Linotype" w:eastAsia="Palatino Linotype" w:hAnsi="Palatino Linotype" w:cs="Palatino Linotype"/>
        </w:rPr>
        <w:t>presentara su Informe Justificado.</w:t>
      </w:r>
    </w:p>
    <w:p w:rsidR="003F791F" w:rsidRPr="00AB7F17" w:rsidRDefault="003F791F">
      <w:pPr>
        <w:spacing w:line="360" w:lineRule="auto"/>
        <w:jc w:val="both"/>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14. Manifestaciones</w:t>
      </w:r>
      <w:r w:rsidRPr="00AB7F17">
        <w:rPr>
          <w:rFonts w:ascii="Palatino Linotype" w:eastAsia="Palatino Linotype" w:hAnsi="Palatino Linotype" w:cs="Palatino Linotype"/>
        </w:rPr>
        <w:t xml:space="preserve">. De las constancias que obran en el expediente electrónico del SAIMEX se desprende que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y </w:t>
      </w:r>
      <w:r w:rsidRPr="00AB7F17">
        <w:rPr>
          <w:rFonts w:ascii="Palatino Linotype" w:eastAsia="Palatino Linotype" w:hAnsi="Palatino Linotype" w:cs="Palatino Linotype"/>
          <w:b/>
        </w:rPr>
        <w:t xml:space="preserve">EL SUJETO OBLIGADO </w:t>
      </w:r>
      <w:r w:rsidRPr="00AB7F17">
        <w:rPr>
          <w:rFonts w:ascii="Palatino Linotype" w:eastAsia="Palatino Linotype" w:hAnsi="Palatino Linotype" w:cs="Palatino Linotype"/>
        </w:rPr>
        <w:t>decidieron dejar de realizar alguna actuación y en consecuencia, no existieron manifestaciones ni el Informe Justificado, tal y como se hace constar:</w:t>
      </w:r>
      <w:r w:rsidRPr="00AB7F17">
        <w:rPr>
          <w:rFonts w:ascii="Palatino Linotype" w:eastAsia="Palatino Linotype" w:hAnsi="Palatino Linotype" w:cs="Palatino Linotype"/>
          <w:b/>
        </w:rPr>
        <w:t xml:space="preserve"> </w:t>
      </w:r>
    </w:p>
    <w:p w:rsidR="003F791F" w:rsidRPr="00AB7F17" w:rsidRDefault="003F791F">
      <w:pPr>
        <w:spacing w:line="360" w:lineRule="auto"/>
        <w:jc w:val="both"/>
        <w:rPr>
          <w:rFonts w:ascii="Palatino Linotype" w:eastAsia="Palatino Linotype" w:hAnsi="Palatino Linotype" w:cs="Palatino Linotype"/>
          <w:b/>
        </w:rPr>
      </w:pPr>
    </w:p>
    <w:p w:rsidR="003F791F" w:rsidRPr="00AB7F17" w:rsidRDefault="00497D89">
      <w:pPr>
        <w:spacing w:line="360" w:lineRule="auto"/>
        <w:jc w:val="center"/>
      </w:pPr>
      <w:r w:rsidRPr="00AB7F17">
        <w:rPr>
          <w:noProof/>
          <w:lang w:eastAsia="es-MX"/>
        </w:rPr>
        <w:drawing>
          <wp:inline distT="0" distB="0" distL="0" distR="0">
            <wp:extent cx="4286424" cy="1008606"/>
            <wp:effectExtent l="0" t="0" r="0" b="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5770" t="31230" r="25589" b="48422"/>
                    <a:stretch>
                      <a:fillRect/>
                    </a:stretch>
                  </pic:blipFill>
                  <pic:spPr>
                    <a:xfrm>
                      <a:off x="0" y="0"/>
                      <a:ext cx="4286424" cy="1008606"/>
                    </a:xfrm>
                    <a:prstGeom prst="rect">
                      <a:avLst/>
                    </a:prstGeom>
                    <a:ln/>
                  </pic:spPr>
                </pic:pic>
              </a:graphicData>
            </a:graphic>
          </wp:inline>
        </w:drawing>
      </w:r>
    </w:p>
    <w:p w:rsidR="003F791F" w:rsidRPr="00AB7F17" w:rsidRDefault="003F791F">
      <w:pPr>
        <w:spacing w:line="360" w:lineRule="auto"/>
        <w:rPr>
          <w:rFonts w:ascii="Palatino Linotype" w:eastAsia="Palatino Linotype" w:hAnsi="Palatino Linotype" w:cs="Palatino Linotype"/>
          <w:b/>
        </w:rPr>
      </w:pPr>
    </w:p>
    <w:p w:rsidR="003F791F" w:rsidRPr="00AB7F17" w:rsidRDefault="00497D89">
      <w:pPr>
        <w:widowControl w:val="0"/>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15. Ampliación del plazo para resolver el recurso 17064/INFOEM/ICR-289/IP/RR/2022.</w:t>
      </w:r>
      <w:r w:rsidRPr="00AB7F17">
        <w:rPr>
          <w:rFonts w:ascii="Palatino Linotype" w:eastAsia="Palatino Linotype" w:hAnsi="Palatino Linotype" w:cs="Palatino Linotype"/>
        </w:rPr>
        <w:t xml:space="preserve"> Con fecha </w:t>
      </w:r>
      <w:r w:rsidRPr="00AB7F17">
        <w:rPr>
          <w:rFonts w:ascii="Palatino Linotype" w:eastAsia="Palatino Linotype" w:hAnsi="Palatino Linotype" w:cs="Palatino Linotype"/>
          <w:b/>
        </w:rPr>
        <w:t>cinco de septiembre de dos mil veintitrés</w:t>
      </w:r>
      <w:r w:rsidRPr="00AB7F17">
        <w:rPr>
          <w:rFonts w:ascii="Palatino Linotype" w:eastAsia="Palatino Linotype" w:hAnsi="Palatino Linotype" w:cs="Palatino Linotype"/>
        </w:rPr>
        <w:t xml:space="preserve">, y con fundamento en el artículo 181, párrafo tercero de la Ley de Transparencia y Acceso a la Información Pública del Estado de México y Municipios, se acordó la </w:t>
      </w:r>
      <w:r w:rsidRPr="00AB7F17">
        <w:rPr>
          <w:rFonts w:ascii="Palatino Linotype" w:eastAsia="Palatino Linotype" w:hAnsi="Palatino Linotype" w:cs="Palatino Linotype"/>
        </w:rPr>
        <w:lastRenderedPageBreak/>
        <w:t>ampliación del plazo para su resolución.</w:t>
      </w:r>
    </w:p>
    <w:p w:rsidR="003F791F" w:rsidRPr="00AB7F17" w:rsidRDefault="003F791F">
      <w:pPr>
        <w:widowControl w:val="0"/>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strike/>
        </w:rPr>
      </w:pPr>
      <w:r w:rsidRPr="00AB7F1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numPr>
          <w:ilvl w:val="0"/>
          <w:numId w:val="1"/>
        </w:num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F791F" w:rsidRPr="00AB7F17" w:rsidRDefault="00497D89">
      <w:pPr>
        <w:numPr>
          <w:ilvl w:val="0"/>
          <w:numId w:val="1"/>
        </w:num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Actividad Procesal del interesado. Acciones u omisiones del interesado.</w:t>
      </w:r>
    </w:p>
    <w:p w:rsidR="003F791F" w:rsidRPr="00AB7F17" w:rsidRDefault="003F791F">
      <w:pPr>
        <w:spacing w:line="360" w:lineRule="auto"/>
        <w:ind w:left="927"/>
        <w:jc w:val="both"/>
        <w:rPr>
          <w:rFonts w:ascii="Palatino Linotype" w:eastAsia="Palatino Linotype" w:hAnsi="Palatino Linotype" w:cs="Palatino Linotype"/>
        </w:rPr>
      </w:pPr>
    </w:p>
    <w:p w:rsidR="003F791F" w:rsidRPr="00AB7F17" w:rsidRDefault="00497D89">
      <w:pPr>
        <w:numPr>
          <w:ilvl w:val="0"/>
          <w:numId w:val="1"/>
        </w:num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Conducta de la Autoridad: Las Acciones u omisiones realizadas en el procedimiento. Así como si la autoridad actuó con la debida diligencia.</w:t>
      </w:r>
    </w:p>
    <w:p w:rsidR="003F791F" w:rsidRPr="00AB7F17" w:rsidRDefault="00497D89">
      <w:pPr>
        <w:numPr>
          <w:ilvl w:val="0"/>
          <w:numId w:val="1"/>
        </w:num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 La afectación generada en la situación jurídica de la persona involucrada en el proceso: Violación a sus derechos humanos.</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rPr>
        <w:t>Argumento que encuentra sustento en la jurisprudencia P</w:t>
      </w:r>
      <w:proofErr w:type="gramStart"/>
      <w:r w:rsidRPr="00AB7F17">
        <w:rPr>
          <w:rFonts w:ascii="Palatino Linotype" w:eastAsia="Palatino Linotype" w:hAnsi="Palatino Linotype" w:cs="Palatino Linotype"/>
        </w:rPr>
        <w:t>./</w:t>
      </w:r>
      <w:proofErr w:type="gramEnd"/>
      <w:r w:rsidRPr="00AB7F17">
        <w:rPr>
          <w:rFonts w:ascii="Palatino Linotype" w:eastAsia="Palatino Linotype" w:hAnsi="Palatino Linotype" w:cs="Palatino Linotype"/>
        </w:rPr>
        <w:t xml:space="preserve">J. 32/92 emitida por el Pleno de la Suprema Corte de Justicia de la Nación de rubro </w:t>
      </w:r>
      <w:r w:rsidRPr="00AB7F1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B7F17">
        <w:rPr>
          <w:rFonts w:ascii="Palatino Linotype" w:eastAsia="Palatino Linotype" w:hAnsi="Palatino Linotype" w:cs="Palatino Linotype"/>
        </w:rPr>
        <w:t>, visible en la Gaceta del Seminario Judicial de la Federación con el registro digital 205635.</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B7F17">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3F791F" w:rsidRPr="00AB7F17" w:rsidRDefault="003F791F">
      <w:pPr>
        <w:widowControl w:val="0"/>
        <w:spacing w:line="360" w:lineRule="auto"/>
        <w:jc w:val="both"/>
        <w:rPr>
          <w:rFonts w:ascii="Palatino Linotype" w:eastAsia="Palatino Linotype" w:hAnsi="Palatino Linotype" w:cs="Palatino Linotype"/>
          <w:b/>
        </w:rPr>
      </w:pPr>
    </w:p>
    <w:p w:rsidR="003F791F" w:rsidRPr="00AB7F17" w:rsidRDefault="00497D89">
      <w:pPr>
        <w:widowControl w:val="0"/>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16. Cierre de instrucción.</w:t>
      </w:r>
      <w:r w:rsidRPr="00AB7F17">
        <w:rPr>
          <w:rFonts w:ascii="Palatino Linotype" w:eastAsia="Palatino Linotype" w:hAnsi="Palatino Linotype" w:cs="Palatino Linotype"/>
        </w:rPr>
        <w:t xml:space="preserve"> El </w:t>
      </w:r>
      <w:r w:rsidRPr="00AB7F17">
        <w:rPr>
          <w:rFonts w:ascii="Palatino Linotype" w:eastAsia="Palatino Linotype" w:hAnsi="Palatino Linotype" w:cs="Palatino Linotype"/>
          <w:b/>
        </w:rPr>
        <w:t>cinco de septiembre de dos mil veintitrés,</w:t>
      </w:r>
      <w:r w:rsidRPr="00AB7F17">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w:t>
      </w:r>
      <w:r w:rsidRPr="00AB7F17">
        <w:rPr>
          <w:rFonts w:ascii="Palatino Linotype" w:eastAsia="Palatino Linotype" w:hAnsi="Palatino Linotype" w:cs="Palatino Linotype"/>
        </w:rPr>
        <w:lastRenderedPageBreak/>
        <w:t xml:space="preserve">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rsidR="003F791F" w:rsidRPr="00AB7F17" w:rsidRDefault="003F791F">
      <w:pPr>
        <w:widowControl w:val="0"/>
        <w:spacing w:line="360" w:lineRule="auto"/>
        <w:jc w:val="both"/>
        <w:rPr>
          <w:rFonts w:ascii="Palatino Linotype" w:eastAsia="Palatino Linotype" w:hAnsi="Palatino Linotype" w:cs="Palatino Linotype"/>
          <w:b/>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center"/>
        <w:rPr>
          <w:rFonts w:ascii="Palatino Linotype" w:eastAsia="Palatino Linotype" w:hAnsi="Palatino Linotype" w:cs="Palatino Linotype"/>
          <w:b/>
        </w:rPr>
      </w:pPr>
      <w:r w:rsidRPr="00AB7F17">
        <w:rPr>
          <w:rFonts w:ascii="Palatino Linotype" w:eastAsia="Palatino Linotype" w:hAnsi="Palatino Linotype" w:cs="Palatino Linotype"/>
          <w:b/>
        </w:rPr>
        <w:t>II. C O N S I D E R A N D O:</w:t>
      </w:r>
    </w:p>
    <w:p w:rsidR="003F791F" w:rsidRPr="00AB7F17" w:rsidRDefault="003F791F">
      <w:pPr>
        <w:pBdr>
          <w:top w:val="nil"/>
          <w:left w:val="nil"/>
          <w:bottom w:val="nil"/>
          <w:right w:val="nil"/>
          <w:between w:val="nil"/>
        </w:pBdr>
        <w:spacing w:line="360" w:lineRule="auto"/>
        <w:jc w:val="center"/>
        <w:rPr>
          <w:rFonts w:ascii="Palatino Linotype" w:eastAsia="Palatino Linotype" w:hAnsi="Palatino Linotype" w:cs="Palatino Linotype"/>
          <w:b/>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PRIMERO. COMPETENCIA.</w:t>
      </w:r>
      <w:r w:rsidRPr="00AB7F1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AB7F17">
        <w:rPr>
          <w:rFonts w:ascii="Palatino Linotype" w:eastAsia="Palatino Linotype" w:hAnsi="Palatino Linotype" w:cs="Palatino Linotype"/>
          <w:b/>
        </w:rPr>
        <w:t>LA PARTE</w:t>
      </w:r>
      <w:r w:rsidRPr="00AB7F17">
        <w:rPr>
          <w:rFonts w:ascii="Palatino Linotype" w:eastAsia="Palatino Linotype" w:hAnsi="Palatino Linotype" w:cs="Palatino Linotype"/>
        </w:rPr>
        <w:t xml:space="preserve"> </w:t>
      </w:r>
      <w:r w:rsidRPr="00AB7F17">
        <w:rPr>
          <w:rFonts w:ascii="Palatino Linotype" w:eastAsia="Palatino Linotype" w:hAnsi="Palatino Linotype" w:cs="Palatino Linotype"/>
          <w:b/>
        </w:rPr>
        <w:t>RECURRENTE</w:t>
      </w:r>
      <w:r w:rsidRPr="00AB7F17">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AB7F17">
        <w:rPr>
          <w:rFonts w:ascii="Palatino Linotype" w:eastAsia="Palatino Linotype" w:hAnsi="Palatino Linotype" w:cs="Palatino Linotype"/>
        </w:rPr>
        <w:lastRenderedPageBreak/>
        <w:t>Información Pública y Protección de Datos Personales del Estado de México y Municipios.</w:t>
      </w:r>
    </w:p>
    <w:p w:rsidR="003F791F" w:rsidRPr="00AB7F17" w:rsidRDefault="003F791F">
      <w:pPr>
        <w:spacing w:line="360" w:lineRule="auto"/>
        <w:jc w:val="both"/>
        <w:rPr>
          <w:rFonts w:ascii="Palatino Linotype" w:eastAsia="Palatino Linotype" w:hAnsi="Palatino Linotype" w:cs="Palatino Linotype"/>
        </w:rPr>
      </w:pPr>
    </w:p>
    <w:p w:rsidR="003F791F" w:rsidRPr="00AB7F17" w:rsidRDefault="00497D89">
      <w:pP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b/>
        </w:rPr>
        <w:t>SEGUNDO</w:t>
      </w:r>
      <w:r w:rsidRPr="00AB7F17">
        <w:rPr>
          <w:rFonts w:ascii="Palatino Linotype" w:eastAsia="Palatino Linotype" w:hAnsi="Palatino Linotype" w:cs="Palatino Linotype"/>
          <w:b/>
          <w:sz w:val="28"/>
          <w:szCs w:val="28"/>
        </w:rPr>
        <w:t>.</w:t>
      </w:r>
      <w:r w:rsidRPr="00AB7F17">
        <w:rPr>
          <w:rFonts w:ascii="Palatino Linotype" w:eastAsia="Palatino Linotype" w:hAnsi="Palatino Linotype" w:cs="Palatino Linotype"/>
          <w:b/>
        </w:rPr>
        <w:t xml:space="preserve"> DE LOS ALCANCES DEL RECURSO DE REVISIÓN. </w:t>
      </w:r>
      <w:r w:rsidRPr="00AB7F17">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F791F" w:rsidRPr="00AB7F17" w:rsidRDefault="003F791F">
      <w:pPr>
        <w:spacing w:line="360" w:lineRule="auto"/>
        <w:jc w:val="both"/>
        <w:rPr>
          <w:rFonts w:ascii="Palatino Linotype" w:eastAsia="Palatino Linotype" w:hAnsi="Palatino Linotype" w:cs="Palatino Linotype"/>
          <w:b/>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b/>
        </w:rPr>
        <w:t>TERCERO. ANÁLISIS DE LAS CAUSALES DE IMPROCEDENCIA Y SOBRESEIMIENTO DEL RECURSO DE REVISIÓN.</w:t>
      </w:r>
      <w:r w:rsidRPr="00AB7F17">
        <w:rPr>
          <w:rFonts w:ascii="Palatino Linotype" w:eastAsia="Palatino Linotype" w:hAnsi="Palatino Linotype" w:cs="Palatino Linotype"/>
        </w:rPr>
        <w:t xml:space="preserve"> Por ser de previo y especial pronunciamiento, este Instituto analiza si se actualiza alguna causal de sobreseimiento. </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AB7F17">
        <w:rPr>
          <w:rFonts w:ascii="Palatino Linotype" w:eastAsia="Palatino Linotype" w:hAnsi="Palatino Linotype" w:cs="Palatino Linotype"/>
          <w:b/>
        </w:rPr>
        <w:t xml:space="preserve"> no se configuran las causales establecidas en las fracciones I, II, </w:t>
      </w:r>
      <w:r w:rsidRPr="00AB7F17">
        <w:rPr>
          <w:rFonts w:ascii="Palatino Linotype" w:eastAsia="Palatino Linotype" w:hAnsi="Palatino Linotype" w:cs="Palatino Linotype"/>
          <w:b/>
        </w:rPr>
        <w:lastRenderedPageBreak/>
        <w:t xml:space="preserve">III y V, </w:t>
      </w:r>
      <w:r w:rsidRPr="00AB7F17">
        <w:rPr>
          <w:rFonts w:ascii="Palatino Linotype" w:eastAsia="Palatino Linotype" w:hAnsi="Palatino Linotype" w:cs="Palatino Linotype"/>
        </w:rPr>
        <w:t xml:space="preserve">toda vez que no hay constancias en el expediente en que se actúa, de que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se haya desistido, fallecido, que </w:t>
      </w:r>
      <w:r w:rsidRPr="00AB7F17">
        <w:rPr>
          <w:rFonts w:ascii="Palatino Linotype" w:eastAsia="Palatino Linotype" w:hAnsi="Palatino Linotype" w:cs="Palatino Linotype"/>
          <w:b/>
        </w:rPr>
        <w:t>EL SUJETO OBLIGADO</w:t>
      </w:r>
      <w:r w:rsidRPr="00AB7F17">
        <w:rPr>
          <w:rFonts w:ascii="Palatino Linotype" w:eastAsia="Palatino Linotype" w:hAnsi="Palatino Linotype" w:cs="Palatino Linotype"/>
        </w:rPr>
        <w:t xml:space="preserve"> hubiese modificado o revocado el acto impugnado o bien, haya quedado sin materia.</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No obstante, por lo que hace a la hipótesis prevista en la</w:t>
      </w:r>
      <w:r w:rsidRPr="00AB7F17">
        <w:rPr>
          <w:rFonts w:ascii="Palatino Linotype" w:eastAsia="Palatino Linotype" w:hAnsi="Palatino Linotype" w:cs="Palatino Linotype"/>
          <w:b/>
        </w:rPr>
        <w:t xml:space="preserve"> fracción IV,</w:t>
      </w:r>
      <w:r w:rsidRPr="00AB7F17">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 xml:space="preserve">Artículo 179. </w:t>
      </w:r>
      <w:r w:rsidRPr="00AB7F1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 La negativa a la información solicitada;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II. La clasificación de la información;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III. La declaración de inexistencia de la información;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IV. La declaración de incompetencia por el sujeto obligado;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V. La entrega de información incompleta;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VI. La entrega de información que no corresponda con lo solicitado;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VII. La falta de respuesta a una solicitud de acceso a la información;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lastRenderedPageBreak/>
        <w:t xml:space="preserve">X. Los costos o tiempos de entrega de la información;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XI. La falta de trámite a una solicitud;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XII. La negativa a permitir la consulta directa de la información;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 xml:space="preserve">XIII. La falta, deficiencia o insuficiencia de la fundamentación y/o motivación en la respuesta; y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XIV. La orientación a un trámite específico.</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AB7F17">
          <w:rPr>
            <w:rFonts w:ascii="Palatino Linotype" w:eastAsia="Palatino Linotype" w:hAnsi="Palatino Linotype" w:cs="Palatino Linotype"/>
            <w:u w:val="single"/>
          </w:rPr>
          <w:t>https://www.infoem.org.mx/es/content/informacion-publica#queEsRRdeIP</w:t>
        </w:r>
      </w:hyperlink>
      <w:r w:rsidRPr="00AB7F17">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AB7F17">
        <w:rPr>
          <w:rFonts w:ascii="Palatino Linotype" w:eastAsia="Palatino Linotype" w:hAnsi="Palatino Linotype" w:cs="Palatino Linotype"/>
          <w:b/>
        </w:rPr>
        <w:t>EL SUJETO OBLIGADO</w:t>
      </w:r>
      <w:r w:rsidRPr="00AB7F17">
        <w:rPr>
          <w:rFonts w:ascii="Palatino Linotype" w:eastAsia="Palatino Linotype" w:hAnsi="Palatino Linotype" w:cs="Palatino Linotype"/>
        </w:rPr>
        <w:t xml:space="preserve"> a una solicitud de información pública.</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w:t>
      </w:r>
      <w:r w:rsidRPr="00AB7F17">
        <w:rPr>
          <w:rFonts w:ascii="Palatino Linotype" w:eastAsia="Palatino Linotype" w:hAnsi="Palatino Linotype" w:cs="Palatino Linotype"/>
        </w:rPr>
        <w:lastRenderedPageBreak/>
        <w:t xml:space="preserve">circunstancia de la contestación realizada por los Sujetos Obligados </w:t>
      </w:r>
      <w:r w:rsidRPr="00AB7F17">
        <w:rPr>
          <w:rFonts w:ascii="Palatino Linotype" w:eastAsia="Palatino Linotype" w:hAnsi="Palatino Linotype" w:cs="Palatino Linotype"/>
          <w:b/>
          <w:u w:val="single"/>
        </w:rPr>
        <w:t>a una solicitud de información específica.</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AB7F17">
        <w:rPr>
          <w:rFonts w:ascii="Palatino Linotype" w:eastAsia="Palatino Linotype" w:hAnsi="Palatino Linotype" w:cs="Palatino Linotype"/>
          <w:b/>
        </w:rPr>
        <w:t xml:space="preserve">17064/INFOEM/IP/RR/2022, </w:t>
      </w:r>
      <w:r w:rsidRPr="00AB7F17">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AB7F17">
        <w:rPr>
          <w:rFonts w:ascii="Palatino Linotype" w:eastAsia="Palatino Linotype" w:hAnsi="Palatino Linotype" w:cs="Palatino Linotype"/>
          <w:b/>
        </w:rPr>
        <w:t xml:space="preserve">ORDENAR </w:t>
      </w:r>
      <w:r w:rsidRPr="00AB7F17">
        <w:rPr>
          <w:rFonts w:ascii="Palatino Linotype" w:eastAsia="Palatino Linotype" w:hAnsi="Palatino Linotype" w:cs="Palatino Linotype"/>
        </w:rPr>
        <w:t xml:space="preserve">al </w:t>
      </w:r>
      <w:r w:rsidRPr="00AB7F17">
        <w:rPr>
          <w:rFonts w:ascii="Palatino Linotype" w:eastAsia="Palatino Linotype" w:hAnsi="Palatino Linotype" w:cs="Palatino Linotype"/>
          <w:b/>
        </w:rPr>
        <w:t>Organismo Público Descentralizado para la Prestación de los Servicios de Agua Potable, Alcantarillado y Saneamiento del Municipio de La Paz México, OPDAPAS,</w:t>
      </w:r>
      <w:r w:rsidRPr="00AB7F17">
        <w:rPr>
          <w:rFonts w:ascii="Palatino Linotype" w:eastAsia="Palatino Linotype" w:hAnsi="Palatino Linotype" w:cs="Palatino Linotype"/>
        </w:rPr>
        <w:t xml:space="preserve"> a través del Sistema de Acceso a la Información Mexiquense, dar trámite y respuesta a la solicitud de información</w:t>
      </w:r>
      <w:r w:rsidRPr="00AB7F17">
        <w:rPr>
          <w:rFonts w:ascii="Palatino Linotype" w:eastAsia="Palatino Linotype" w:hAnsi="Palatino Linotype" w:cs="Palatino Linotype"/>
          <w:b/>
        </w:rPr>
        <w:t xml:space="preserve"> 00051/OASLAPAZ/IP/2022.</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i/>
        </w:rPr>
      </w:pPr>
      <w:r w:rsidRPr="00AB7F17">
        <w:rPr>
          <w:rFonts w:ascii="Palatino Linotype" w:eastAsia="Palatino Linotype" w:hAnsi="Palatino Linotype" w:cs="Palatino Linotype"/>
        </w:rPr>
        <w:t xml:space="preserve">Asimismo, se le hizo del conocimiento a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que tenía derecho a interponer nuevamente recurso de revisión ante este Instituto, </w:t>
      </w:r>
      <w:r w:rsidRPr="00AB7F17">
        <w:rPr>
          <w:rFonts w:ascii="Palatino Linotype" w:eastAsia="Palatino Linotype" w:hAnsi="Palatino Linotype" w:cs="Palatino Linotype"/>
          <w:b/>
        </w:rPr>
        <w:t>por la respuesta que diera EL SUJETO OBLIGADO,</w:t>
      </w:r>
      <w:r w:rsidRPr="00AB7F17">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lastRenderedPageBreak/>
        <w:t xml:space="preserve">Artículo 179. </w:t>
      </w:r>
      <w:r w:rsidRPr="00AB7F1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u w:val="single"/>
        </w:rPr>
        <w:t>La respuesta que den los sujetos obligados derivada de la resoluci</w:t>
      </w:r>
      <w:r w:rsidRPr="00AB7F17">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AB7F17">
        <w:rPr>
          <w:rFonts w:ascii="Palatino Linotype" w:eastAsia="Palatino Linotype" w:hAnsi="Palatino Linotype" w:cs="Palatino Linotype"/>
          <w:b/>
          <w:i/>
          <w:sz w:val="22"/>
          <w:szCs w:val="22"/>
          <w:u w:val="single"/>
        </w:rPr>
        <w:t>es susceptible de ser impugnada de nueva cuenta</w:t>
      </w:r>
      <w:r w:rsidRPr="00AB7F17">
        <w:rPr>
          <w:rFonts w:ascii="Palatino Linotype" w:eastAsia="Palatino Linotype" w:hAnsi="Palatino Linotype" w:cs="Palatino Linotype"/>
          <w:i/>
          <w:sz w:val="22"/>
          <w:szCs w:val="22"/>
        </w:rPr>
        <w:t>, mediante recurso de revisión, ante el Instituto.</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Conforme a lo anterior, se logra vislumbrar que se puede interponer un nuevo recurso de revisión, </w:t>
      </w:r>
      <w:r w:rsidRPr="00AB7F17">
        <w:rPr>
          <w:rFonts w:ascii="Palatino Linotype" w:eastAsia="Palatino Linotype" w:hAnsi="Palatino Linotype" w:cs="Palatino Linotype"/>
          <w:b/>
        </w:rPr>
        <w:t>únicamente ante las respuestas que den los Sujetos Obligados en cumplimiento a las resoluciones de este Instituto,</w:t>
      </w:r>
      <w:r w:rsidRPr="00AB7F17">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Ahora bien, de las constancias que obran en el expediente, se logra vislumbrar que </w:t>
      </w:r>
      <w:r w:rsidRPr="00AB7F17">
        <w:rPr>
          <w:rFonts w:ascii="Palatino Linotype" w:eastAsia="Palatino Linotype" w:hAnsi="Palatino Linotype" w:cs="Palatino Linotype"/>
          <w:b/>
        </w:rPr>
        <w:t xml:space="preserve">EL SUJETO OBLIGADO </w:t>
      </w:r>
      <w:r w:rsidRPr="00AB7F17">
        <w:rPr>
          <w:rFonts w:ascii="Palatino Linotype" w:eastAsia="Palatino Linotype" w:hAnsi="Palatino Linotype" w:cs="Palatino Linotype"/>
        </w:rPr>
        <w:t xml:space="preserve">fue omiso dar cumplimiento a la resolución del recurso de revisión </w:t>
      </w:r>
      <w:r w:rsidRPr="00AB7F17">
        <w:rPr>
          <w:rFonts w:ascii="Palatino Linotype" w:eastAsia="Palatino Linotype" w:hAnsi="Palatino Linotype" w:cs="Palatino Linotype"/>
          <w:b/>
        </w:rPr>
        <w:t>17064/INFOEM/IP/RR/2022,</w:t>
      </w:r>
      <w:r w:rsidRPr="00AB7F17">
        <w:rPr>
          <w:rFonts w:ascii="Palatino Linotype" w:eastAsia="Palatino Linotype" w:hAnsi="Palatino Linotype" w:cs="Palatino Linotype"/>
        </w:rPr>
        <w:t xml:space="preserve"> es decir, no había emitido respuesta a la fecha de interposición del segundo medio de impugnación. </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b/>
        </w:rPr>
      </w:pPr>
      <w:r w:rsidRPr="00AB7F17">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AB7F17">
        <w:rPr>
          <w:rFonts w:ascii="Palatino Linotype" w:eastAsia="Palatino Linotype" w:hAnsi="Palatino Linotype" w:cs="Palatino Linotype"/>
          <w:b/>
        </w:rPr>
        <w:t>EL SUJETO OBLIGADO</w:t>
      </w:r>
      <w:r w:rsidRPr="00AB7F17">
        <w:rPr>
          <w:rFonts w:ascii="Palatino Linotype" w:eastAsia="Palatino Linotype" w:hAnsi="Palatino Linotype" w:cs="Palatino Linotype"/>
        </w:rPr>
        <w:t xml:space="preserve"> no había emitido alguna respuesta ante la cual se pudiera inconformar </w:t>
      </w:r>
      <w:r w:rsidRPr="00AB7F17">
        <w:rPr>
          <w:rFonts w:ascii="Palatino Linotype" w:eastAsia="Palatino Linotype" w:hAnsi="Palatino Linotype" w:cs="Palatino Linotype"/>
          <w:b/>
        </w:rPr>
        <w:t xml:space="preserve">LA PARTE RECURRENTE. </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lastRenderedPageBreak/>
        <w:t xml:space="preserve">En otras palabras,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interpuso el medio de impugnación </w:t>
      </w:r>
      <w:r w:rsidRPr="00AB7F17">
        <w:rPr>
          <w:rFonts w:ascii="Palatino Linotype" w:eastAsia="Palatino Linotype" w:hAnsi="Palatino Linotype" w:cs="Palatino Linotype"/>
          <w:b/>
        </w:rPr>
        <w:t xml:space="preserve">en un momento procesal no oportuno, </w:t>
      </w:r>
      <w:r w:rsidRPr="00AB7F17">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AB7F17">
        <w:rPr>
          <w:rFonts w:ascii="Palatino Linotype" w:eastAsia="Palatino Linotype" w:hAnsi="Palatino Linotype" w:cs="Palatino Linotype"/>
          <w:b/>
        </w:rPr>
        <w:t>17064/INFOEM/IP/RR/2022.</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b/>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Por lo expuesto, se logra vislumbrar que, la inconformidad referida por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AB7F17">
        <w:rPr>
          <w:rFonts w:ascii="Palatino Linotype" w:eastAsia="Palatino Linotype" w:hAnsi="Palatino Linotype" w:cs="Palatino Linotype"/>
        </w:rPr>
        <w:t>desechamiento</w:t>
      </w:r>
      <w:proofErr w:type="spellEnd"/>
      <w:r w:rsidRPr="00AB7F17">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AB7F17">
        <w:rPr>
          <w:rFonts w:ascii="Palatino Linotype" w:eastAsia="Palatino Linotype" w:hAnsi="Palatino Linotype" w:cs="Palatino Linotype"/>
          <w:b/>
        </w:rPr>
        <w:t>SOBRESEER</w:t>
      </w:r>
      <w:r w:rsidRPr="00AB7F17">
        <w:rPr>
          <w:rFonts w:ascii="Palatino Linotype" w:eastAsia="Palatino Linotype" w:hAnsi="Palatino Linotype" w:cs="Palatino Linotype"/>
        </w:rPr>
        <w:t xml:space="preserve"> el mismo. </w:t>
      </w:r>
    </w:p>
    <w:p w:rsidR="003F791F" w:rsidRPr="00AB7F17" w:rsidRDefault="003F791F">
      <w:pPr>
        <w:pBdr>
          <w:top w:val="nil"/>
          <w:left w:val="nil"/>
          <w:bottom w:val="nil"/>
          <w:right w:val="nil"/>
          <w:between w:val="nil"/>
        </w:pBdr>
        <w:spacing w:line="360" w:lineRule="auto"/>
        <w:jc w:val="both"/>
        <w:rPr>
          <w:rFonts w:ascii="Palatino Linotype" w:eastAsia="Palatino Linotype" w:hAnsi="Palatino Linotype" w:cs="Palatino Linotype"/>
        </w:rPr>
      </w:pPr>
    </w:p>
    <w:p w:rsidR="003F791F" w:rsidRPr="00AB7F17" w:rsidRDefault="00497D89">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AB7F17">
        <w:rPr>
          <w:rFonts w:ascii="Palatino Linotype" w:eastAsia="Palatino Linotype" w:hAnsi="Palatino Linotype" w:cs="Palatino Linotype"/>
          <w:b/>
        </w:rPr>
        <w:t>SOBRESEER</w:t>
      </w:r>
      <w:r w:rsidRPr="00AB7F17">
        <w:rPr>
          <w:rFonts w:ascii="Palatino Linotype" w:eastAsia="Palatino Linotype" w:hAnsi="Palatino Linotype" w:cs="Palatino Linotype"/>
          <w:i/>
        </w:rPr>
        <w:t xml:space="preserve"> </w:t>
      </w:r>
      <w:r w:rsidRPr="00AB7F17">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Artículo 191</w:t>
      </w:r>
      <w:r w:rsidRPr="00AB7F17">
        <w:rPr>
          <w:rFonts w:ascii="Palatino Linotype" w:eastAsia="Palatino Linotype" w:hAnsi="Palatino Linotype" w:cs="Palatino Linotype"/>
          <w:i/>
          <w:sz w:val="22"/>
          <w:szCs w:val="22"/>
        </w:rPr>
        <w:t xml:space="preserve">. </w:t>
      </w:r>
      <w:r w:rsidRPr="00AB7F17">
        <w:rPr>
          <w:rFonts w:ascii="Palatino Linotype" w:eastAsia="Palatino Linotype" w:hAnsi="Palatino Linotype" w:cs="Palatino Linotype"/>
          <w:b/>
          <w:i/>
          <w:sz w:val="22"/>
          <w:szCs w:val="22"/>
        </w:rPr>
        <w:t>El recurso</w:t>
      </w:r>
      <w:r w:rsidRPr="00AB7F17">
        <w:rPr>
          <w:rFonts w:ascii="Palatino Linotype" w:eastAsia="Palatino Linotype" w:hAnsi="Palatino Linotype" w:cs="Palatino Linotype"/>
          <w:i/>
          <w:sz w:val="22"/>
          <w:szCs w:val="22"/>
        </w:rPr>
        <w:t xml:space="preserve"> </w:t>
      </w:r>
      <w:r w:rsidRPr="00AB7F17">
        <w:rPr>
          <w:rFonts w:ascii="Palatino Linotype" w:eastAsia="Palatino Linotype" w:hAnsi="Palatino Linotype" w:cs="Palatino Linotype"/>
          <w:b/>
          <w:i/>
          <w:sz w:val="22"/>
          <w:szCs w:val="22"/>
        </w:rPr>
        <w:t xml:space="preserve">será </w:t>
      </w:r>
      <w:r w:rsidRPr="00AB7F17">
        <w:rPr>
          <w:rFonts w:ascii="Palatino Linotype" w:eastAsia="Palatino Linotype" w:hAnsi="Palatino Linotype" w:cs="Palatino Linotype"/>
          <w:i/>
          <w:sz w:val="22"/>
          <w:szCs w:val="22"/>
        </w:rPr>
        <w:t xml:space="preserve">desechado por </w:t>
      </w:r>
      <w:r w:rsidRPr="00AB7F17">
        <w:rPr>
          <w:rFonts w:ascii="Palatino Linotype" w:eastAsia="Palatino Linotype" w:hAnsi="Palatino Linotype" w:cs="Palatino Linotype"/>
          <w:b/>
          <w:i/>
          <w:sz w:val="22"/>
          <w:szCs w:val="22"/>
        </w:rPr>
        <w:t>improcedente cuando</w:t>
      </w:r>
      <w:r w:rsidRPr="00AB7F17">
        <w:rPr>
          <w:rFonts w:ascii="Palatino Linotype" w:eastAsia="Palatino Linotype" w:hAnsi="Palatino Linotype" w:cs="Palatino Linotype"/>
          <w:i/>
          <w:sz w:val="22"/>
          <w:szCs w:val="22"/>
        </w:rPr>
        <w:t>:</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B7F17">
        <w:rPr>
          <w:rFonts w:ascii="Palatino Linotype" w:eastAsia="Palatino Linotype" w:hAnsi="Palatino Linotype" w:cs="Palatino Linotype"/>
          <w:b/>
          <w:i/>
          <w:sz w:val="22"/>
          <w:szCs w:val="22"/>
        </w:rPr>
        <w:t xml:space="preserve">III. </w:t>
      </w:r>
      <w:r w:rsidRPr="00AB7F17">
        <w:rPr>
          <w:rFonts w:ascii="Palatino Linotype" w:eastAsia="Palatino Linotype" w:hAnsi="Palatino Linotype" w:cs="Palatino Linotype"/>
          <w:i/>
          <w:sz w:val="22"/>
          <w:szCs w:val="22"/>
        </w:rPr>
        <w:t>No actualice alguno de los supuestos previstos en la presente Ley</w:t>
      </w:r>
      <w:r w:rsidRPr="00AB7F17">
        <w:rPr>
          <w:rFonts w:ascii="Palatino Linotype" w:eastAsia="Palatino Linotype" w:hAnsi="Palatino Linotype" w:cs="Palatino Linotype"/>
          <w:b/>
          <w:i/>
          <w:sz w:val="22"/>
          <w:szCs w:val="22"/>
        </w:rPr>
        <w:t>;</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B7F17">
        <w:rPr>
          <w:rFonts w:ascii="Palatino Linotype" w:eastAsia="Palatino Linotype" w:hAnsi="Palatino Linotype" w:cs="Palatino Linotype"/>
          <w:b/>
          <w:i/>
          <w:sz w:val="22"/>
          <w:szCs w:val="22"/>
        </w:rPr>
        <w:t>(…)</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Artículo 192.</w:t>
      </w:r>
      <w:r w:rsidRPr="00AB7F1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i/>
          <w:sz w:val="22"/>
          <w:szCs w:val="22"/>
        </w:rPr>
        <w:t>(…)</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IV</w:t>
      </w:r>
      <w:r w:rsidRPr="00AB7F17">
        <w:rPr>
          <w:rFonts w:ascii="Palatino Linotype" w:eastAsia="Palatino Linotype" w:hAnsi="Palatino Linotype" w:cs="Palatino Linotype"/>
          <w:i/>
          <w:sz w:val="22"/>
          <w:szCs w:val="22"/>
        </w:rPr>
        <w:t xml:space="preserve">. Admitido el recurso de revisión, </w:t>
      </w:r>
      <w:r w:rsidRPr="00AB7F17">
        <w:rPr>
          <w:rFonts w:ascii="Palatino Linotype" w:eastAsia="Palatino Linotype" w:hAnsi="Palatino Linotype" w:cs="Palatino Linotype"/>
          <w:b/>
          <w:i/>
          <w:sz w:val="22"/>
          <w:szCs w:val="22"/>
        </w:rPr>
        <w:t>aparezca alguna causal de improcedencia</w:t>
      </w:r>
      <w:r w:rsidRPr="00AB7F17">
        <w:rPr>
          <w:rFonts w:ascii="Palatino Linotype" w:eastAsia="Palatino Linotype" w:hAnsi="Palatino Linotype" w:cs="Palatino Linotype"/>
          <w:i/>
          <w:sz w:val="22"/>
          <w:szCs w:val="22"/>
        </w:rPr>
        <w:t xml:space="preserve"> en los términos de la presente Ley.</w:t>
      </w: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w:t>
      </w:r>
      <w:r w:rsidRPr="00AB7F17">
        <w:rPr>
          <w:rFonts w:ascii="Palatino Linotype" w:eastAsia="Palatino Linotype" w:hAnsi="Palatino Linotype" w:cs="Palatino Linotype"/>
          <w:i/>
          <w:sz w:val="22"/>
          <w:szCs w:val="22"/>
        </w:rPr>
        <w:t>…)</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 xml:space="preserve">Siendo el sobreseimiento un acto que da por terminado el procedimiento administrativo de impugnación sin resolver el fondo de la cuestión planteada, por presentarse causas que impiden a la autoridad referirse a lo sustancial de lo </w:t>
      </w:r>
      <w:r w:rsidRPr="00AB7F17">
        <w:rPr>
          <w:rFonts w:ascii="Palatino Linotype" w:eastAsia="Palatino Linotype" w:hAnsi="Palatino Linotype" w:cs="Palatino Linotype"/>
        </w:rPr>
        <w:lastRenderedPageBreak/>
        <w:t>planteado por el recurrente, los efectos del sobreseimiento consisten en dar por concluido el recurso administrativo sin entrar al estudio de fondo del asunto de que se trate; lo anterior con apoyo en el criterio del Poder Judicial de la Federación con rubro:</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SOBRESEIMIENTO, NO PERMITE ENTRAR AL ESTUDIO DE LAS CUESTIONES DE FONDO</w:t>
      </w:r>
      <w:r w:rsidRPr="00AB7F17">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3F791F" w:rsidRPr="00AB7F17" w:rsidRDefault="00497D89">
      <w:pPr>
        <w:spacing w:line="360" w:lineRule="auto"/>
        <w:jc w:val="both"/>
        <w:rPr>
          <w:rFonts w:ascii="Palatino Linotype" w:eastAsia="Palatino Linotype" w:hAnsi="Palatino Linotype" w:cs="Palatino Linotype"/>
        </w:rPr>
      </w:pPr>
      <w:r w:rsidRPr="00AB7F1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3F791F" w:rsidRPr="00AB7F17" w:rsidRDefault="003F791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3F791F" w:rsidRPr="00AB7F17" w:rsidRDefault="00497D8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B7F17">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AB7F17">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AB7F17">
        <w:rPr>
          <w:rFonts w:ascii="Palatino Linotype" w:eastAsia="Palatino Linotype" w:hAnsi="Palatino Linotype" w:cs="Palatino Linotype"/>
          <w:i/>
          <w:sz w:val="22"/>
          <w:szCs w:val="22"/>
        </w:rPr>
        <w:t>promovente</w:t>
      </w:r>
      <w:proofErr w:type="spellEnd"/>
      <w:r w:rsidRPr="00AB7F17">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w:t>
      </w:r>
      <w:r w:rsidRPr="00AB7F17">
        <w:rPr>
          <w:rFonts w:ascii="Palatino Linotype" w:eastAsia="Palatino Linotype" w:hAnsi="Palatino Linotype" w:cs="Palatino Linotype"/>
          <w:i/>
          <w:sz w:val="22"/>
          <w:szCs w:val="22"/>
        </w:rPr>
        <w:lastRenderedPageBreak/>
        <w:t xml:space="preserve">comparta el sentido de la resolución, dado que de esa forma quien imparte justicia se pronuncia sobre la acción, diciendo así el derecho y permitiendo que impere el orden jurídico.” </w:t>
      </w:r>
    </w:p>
    <w:p w:rsidR="003F791F" w:rsidRPr="00AB7F17" w:rsidRDefault="003F791F">
      <w:pPr>
        <w:spacing w:line="360" w:lineRule="auto"/>
        <w:ind w:right="49"/>
        <w:jc w:val="both"/>
        <w:rPr>
          <w:rFonts w:ascii="Palatino Linotype" w:eastAsia="Palatino Linotype" w:hAnsi="Palatino Linotype" w:cs="Palatino Linotype"/>
          <w:i/>
          <w:sz w:val="22"/>
          <w:szCs w:val="22"/>
        </w:rPr>
      </w:pPr>
    </w:p>
    <w:p w:rsidR="003F791F" w:rsidRPr="00AB7F17" w:rsidRDefault="00497D89">
      <w:pPr>
        <w:spacing w:line="360" w:lineRule="auto"/>
        <w:ind w:right="49"/>
        <w:jc w:val="both"/>
        <w:rPr>
          <w:rFonts w:ascii="Palatino Linotype" w:eastAsia="Palatino Linotype" w:hAnsi="Palatino Linotype" w:cs="Palatino Linotype"/>
        </w:rPr>
      </w:pPr>
      <w:r w:rsidRPr="00AB7F17">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F791F" w:rsidRPr="00AB7F17" w:rsidRDefault="003F791F">
      <w:pPr>
        <w:tabs>
          <w:tab w:val="left" w:pos="709"/>
        </w:tabs>
        <w:spacing w:line="360" w:lineRule="auto"/>
        <w:jc w:val="both"/>
        <w:rPr>
          <w:rFonts w:ascii="Palatino Linotype" w:eastAsia="Palatino Linotype" w:hAnsi="Palatino Linotype" w:cs="Palatino Linotype"/>
        </w:rPr>
      </w:pPr>
    </w:p>
    <w:p w:rsidR="003F791F" w:rsidRPr="00AB7F17" w:rsidRDefault="00497D89">
      <w:pPr>
        <w:numPr>
          <w:ilvl w:val="0"/>
          <w:numId w:val="2"/>
        </w:numPr>
        <w:spacing w:line="360" w:lineRule="auto"/>
        <w:ind w:left="567"/>
        <w:jc w:val="center"/>
        <w:rPr>
          <w:rFonts w:ascii="Palatino Linotype" w:eastAsia="Palatino Linotype" w:hAnsi="Palatino Linotype" w:cs="Palatino Linotype"/>
          <w:b/>
        </w:rPr>
      </w:pPr>
      <w:r w:rsidRPr="00AB7F17">
        <w:rPr>
          <w:rFonts w:ascii="Palatino Linotype" w:eastAsia="Palatino Linotype" w:hAnsi="Palatino Linotype" w:cs="Palatino Linotype"/>
          <w:b/>
        </w:rPr>
        <w:t xml:space="preserve">R E S U E L V E: </w:t>
      </w:r>
    </w:p>
    <w:p w:rsidR="003F791F" w:rsidRPr="00AB7F17" w:rsidRDefault="003F791F">
      <w:pPr>
        <w:spacing w:line="360" w:lineRule="auto"/>
        <w:jc w:val="both"/>
        <w:rPr>
          <w:rFonts w:ascii="Palatino Linotype" w:eastAsia="Palatino Linotype" w:hAnsi="Palatino Linotype" w:cs="Palatino Linotype"/>
          <w:b/>
        </w:rPr>
      </w:pPr>
    </w:p>
    <w:p w:rsidR="003F791F" w:rsidRPr="00AB7F17" w:rsidRDefault="00497D89">
      <w:pPr>
        <w:tabs>
          <w:tab w:val="right" w:pos="8838"/>
        </w:tabs>
        <w:spacing w:line="360" w:lineRule="auto"/>
        <w:ind w:left="-57" w:right="-34"/>
        <w:jc w:val="both"/>
        <w:rPr>
          <w:rFonts w:ascii="Palatino Linotype" w:eastAsia="Palatino Linotype" w:hAnsi="Palatino Linotype" w:cs="Palatino Linotype"/>
        </w:rPr>
      </w:pPr>
      <w:r w:rsidRPr="00AB7F17">
        <w:rPr>
          <w:rFonts w:ascii="Palatino Linotype" w:eastAsia="Palatino Linotype" w:hAnsi="Palatino Linotype" w:cs="Palatino Linotype"/>
          <w:b/>
        </w:rPr>
        <w:t xml:space="preserve">PRIMERO. </w:t>
      </w:r>
      <w:r w:rsidRPr="00AB7F17">
        <w:rPr>
          <w:rFonts w:ascii="Palatino Linotype" w:eastAsia="Palatino Linotype" w:hAnsi="Palatino Linotype" w:cs="Palatino Linotype"/>
        </w:rPr>
        <w:t xml:space="preserve">Se </w:t>
      </w:r>
      <w:r w:rsidRPr="00AB7F17">
        <w:rPr>
          <w:rFonts w:ascii="Palatino Linotype" w:eastAsia="Palatino Linotype" w:hAnsi="Palatino Linotype" w:cs="Palatino Linotype"/>
          <w:b/>
        </w:rPr>
        <w:t xml:space="preserve">SOBRESEE </w:t>
      </w:r>
      <w:r w:rsidRPr="00AB7F17">
        <w:rPr>
          <w:rFonts w:ascii="Palatino Linotype" w:eastAsia="Palatino Linotype" w:hAnsi="Palatino Linotype" w:cs="Palatino Linotype"/>
        </w:rPr>
        <w:t>el recurso de revisión número</w:t>
      </w:r>
      <w:r w:rsidRPr="00AB7F17">
        <w:rPr>
          <w:rFonts w:ascii="Palatino Linotype" w:eastAsia="Palatino Linotype" w:hAnsi="Palatino Linotype" w:cs="Palatino Linotype"/>
          <w:b/>
        </w:rPr>
        <w:t xml:space="preserve"> 17064/INFOEM/ICR-289/IP/RR/2022</w:t>
      </w:r>
      <w:r w:rsidRPr="00AB7F17">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AB7F17">
        <w:rPr>
          <w:rFonts w:ascii="Palatino Linotype" w:eastAsia="Palatino Linotype" w:hAnsi="Palatino Linotype" w:cs="Palatino Linotype"/>
          <w:b/>
        </w:rPr>
        <w:t>CONSIDERANDO TERCERO</w:t>
      </w:r>
      <w:r w:rsidRPr="00AB7F17">
        <w:rPr>
          <w:rFonts w:ascii="Palatino Linotype" w:eastAsia="Palatino Linotype" w:hAnsi="Palatino Linotype" w:cs="Palatino Linotype"/>
        </w:rPr>
        <w:t xml:space="preserve"> de la presente resolución.</w:t>
      </w:r>
    </w:p>
    <w:p w:rsidR="003F791F" w:rsidRPr="00AB7F17" w:rsidRDefault="003F791F">
      <w:pPr>
        <w:tabs>
          <w:tab w:val="right" w:pos="8838"/>
        </w:tabs>
        <w:spacing w:line="360" w:lineRule="auto"/>
        <w:ind w:left="-57" w:right="-34"/>
        <w:jc w:val="both"/>
        <w:rPr>
          <w:rFonts w:ascii="Palatino Linotype" w:eastAsia="Palatino Linotype" w:hAnsi="Palatino Linotype" w:cs="Palatino Linotype"/>
          <w:b/>
        </w:rPr>
      </w:pPr>
    </w:p>
    <w:p w:rsidR="003F791F" w:rsidRPr="00AB7F17" w:rsidRDefault="00497D89">
      <w:pPr>
        <w:tabs>
          <w:tab w:val="right" w:pos="8838"/>
        </w:tabs>
        <w:spacing w:line="360" w:lineRule="auto"/>
        <w:ind w:left="-57" w:right="-34"/>
        <w:jc w:val="both"/>
        <w:rPr>
          <w:rFonts w:ascii="Palatino Linotype" w:eastAsia="Palatino Linotype" w:hAnsi="Palatino Linotype" w:cs="Palatino Linotype"/>
          <w:sz w:val="22"/>
          <w:szCs w:val="22"/>
        </w:rPr>
      </w:pPr>
      <w:r w:rsidRPr="00AB7F17">
        <w:rPr>
          <w:rFonts w:ascii="Palatino Linotype" w:eastAsia="Palatino Linotype" w:hAnsi="Palatino Linotype" w:cs="Palatino Linotype"/>
          <w:b/>
        </w:rPr>
        <w:t xml:space="preserve">SEGUNDO. NOTIFÍQUESE </w:t>
      </w:r>
      <w:r w:rsidRPr="00AB7F17">
        <w:rPr>
          <w:rFonts w:ascii="Palatino Linotype" w:eastAsia="Palatino Linotype" w:hAnsi="Palatino Linotype" w:cs="Palatino Linotype"/>
        </w:rPr>
        <w:t xml:space="preserve">vía </w:t>
      </w:r>
      <w:r w:rsidRPr="00AB7F17">
        <w:rPr>
          <w:rFonts w:ascii="Palatino Linotype" w:eastAsia="Palatino Linotype" w:hAnsi="Palatino Linotype" w:cs="Palatino Linotype"/>
          <w:b/>
        </w:rPr>
        <w:t xml:space="preserve">SAIMEX, </w:t>
      </w:r>
      <w:r w:rsidRPr="00AB7F17">
        <w:rPr>
          <w:rFonts w:ascii="Palatino Linotype" w:eastAsia="Palatino Linotype" w:hAnsi="Palatino Linotype" w:cs="Palatino Linotype"/>
        </w:rPr>
        <w:t xml:space="preserve">a la Persona Titular de la Unidad de Transparencia del </w:t>
      </w:r>
      <w:r w:rsidRPr="00AB7F17">
        <w:rPr>
          <w:rFonts w:ascii="Palatino Linotype" w:eastAsia="Palatino Linotype" w:hAnsi="Palatino Linotype" w:cs="Palatino Linotype"/>
          <w:b/>
        </w:rPr>
        <w:t>SUJETO OBLIGADO</w:t>
      </w:r>
      <w:r w:rsidRPr="00AB7F17">
        <w:rPr>
          <w:rFonts w:ascii="Palatino Linotype" w:eastAsia="Palatino Linotype" w:hAnsi="Palatino Linotype" w:cs="Palatino Linotype"/>
        </w:rPr>
        <w:t xml:space="preserve"> la presente resolución, para su conocimiento.</w:t>
      </w:r>
    </w:p>
    <w:p w:rsidR="003F791F" w:rsidRPr="00AB7F17" w:rsidRDefault="003F791F">
      <w:pPr>
        <w:tabs>
          <w:tab w:val="right" w:pos="8838"/>
        </w:tabs>
        <w:spacing w:line="360" w:lineRule="auto"/>
        <w:ind w:left="-57" w:right="-34"/>
        <w:jc w:val="both"/>
        <w:rPr>
          <w:rFonts w:ascii="Palatino Linotype" w:eastAsia="Palatino Linotype" w:hAnsi="Palatino Linotype" w:cs="Palatino Linotype"/>
          <w:b/>
        </w:rPr>
      </w:pPr>
    </w:p>
    <w:p w:rsidR="003F791F" w:rsidRPr="00AB7F17" w:rsidRDefault="00497D89">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AB7F17">
        <w:rPr>
          <w:rFonts w:ascii="Palatino Linotype" w:eastAsia="Palatino Linotype" w:hAnsi="Palatino Linotype" w:cs="Palatino Linotype"/>
          <w:b/>
        </w:rPr>
        <w:lastRenderedPageBreak/>
        <w:t xml:space="preserve">TERCERO. NOTIFÍQUESE </w:t>
      </w:r>
      <w:r w:rsidRPr="00AB7F17">
        <w:rPr>
          <w:rFonts w:ascii="Palatino Linotype" w:eastAsia="Palatino Linotype" w:hAnsi="Palatino Linotype" w:cs="Palatino Linotype"/>
        </w:rPr>
        <w:t xml:space="preserve">vía SAIMEX a </w:t>
      </w:r>
      <w:r w:rsidRPr="00AB7F17">
        <w:rPr>
          <w:rFonts w:ascii="Palatino Linotype" w:eastAsia="Palatino Linotype" w:hAnsi="Palatino Linotype" w:cs="Palatino Linotype"/>
          <w:b/>
        </w:rPr>
        <w:t>LA PARTE RECURRENTE</w:t>
      </w:r>
      <w:r w:rsidRPr="00AB7F1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rsidR="003F791F" w:rsidRPr="00AB7F17" w:rsidRDefault="003F791F">
      <w:pPr>
        <w:tabs>
          <w:tab w:val="right" w:pos="8838"/>
        </w:tabs>
        <w:spacing w:line="360" w:lineRule="auto"/>
        <w:ind w:left="-57" w:right="-34"/>
        <w:jc w:val="both"/>
        <w:rPr>
          <w:rFonts w:ascii="Palatino Linotype" w:eastAsia="Palatino Linotype" w:hAnsi="Palatino Linotype" w:cs="Palatino Linotype"/>
        </w:rPr>
      </w:pPr>
    </w:p>
    <w:p w:rsidR="003F791F" w:rsidRPr="00AB7F17" w:rsidRDefault="00497D89">
      <w:pPr>
        <w:tabs>
          <w:tab w:val="right" w:pos="8838"/>
        </w:tabs>
        <w:spacing w:line="360" w:lineRule="auto"/>
        <w:ind w:left="-57" w:right="-34"/>
        <w:jc w:val="both"/>
        <w:rPr>
          <w:rFonts w:ascii="Palatino Linotype" w:eastAsia="Palatino Linotype" w:hAnsi="Palatino Linotype" w:cs="Palatino Linotype"/>
        </w:rPr>
      </w:pPr>
      <w:r w:rsidRPr="00AB7F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CON AUSENCIA JUSTIFICADA, SHARON CRISTINA MORALES MARTÍNEZ, LUIS GUSTAVO PARRA NORIEGA Y GUADALUPE RAMÍREZ PEÑA; EN LA TRIGÉSIMA CUARTA SESIÓN ORDINARIA CELEBRADA EL VEINTE DE SEPTIEMBRE DE DOS MIL VEINTITRÉS, ANTE EL SECRETARIO TÉCNICO DEL PLENO ALEXIS TAPIA RAMÍREZ.</w:t>
      </w:r>
    </w:p>
    <w:p w:rsidR="003F791F" w:rsidRPr="00AB7F17" w:rsidRDefault="003F791F">
      <w:pPr>
        <w:tabs>
          <w:tab w:val="right" w:pos="8838"/>
        </w:tabs>
        <w:spacing w:line="360" w:lineRule="auto"/>
        <w:ind w:left="-57" w:right="-34"/>
        <w:jc w:val="both"/>
        <w:rPr>
          <w:rFonts w:ascii="Palatino Linotype" w:eastAsia="Palatino Linotype" w:hAnsi="Palatino Linotype" w:cs="Palatino Linotype"/>
        </w:rPr>
        <w:sectPr w:rsidR="003F791F" w:rsidRPr="00AB7F17">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rsidR="003F791F" w:rsidRPr="00AB7F17" w:rsidRDefault="003F791F">
      <w:bookmarkStart w:id="7" w:name="_heading=h.2et92p0" w:colFirst="0" w:colLast="0"/>
      <w:bookmarkEnd w:id="7"/>
    </w:p>
    <w:sectPr w:rsidR="003F791F" w:rsidRPr="00AB7F17">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32A" w:rsidRDefault="00C8332A">
      <w:r>
        <w:separator/>
      </w:r>
    </w:p>
  </w:endnote>
  <w:endnote w:type="continuationSeparator" w:id="0">
    <w:p w:rsidR="00C8332A" w:rsidRDefault="00C8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1F" w:rsidRDefault="00497D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294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294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3F791F" w:rsidRDefault="003F791F">
    <w:pPr>
      <w:pBdr>
        <w:top w:val="nil"/>
        <w:left w:val="nil"/>
        <w:bottom w:val="nil"/>
        <w:right w:val="nil"/>
        <w:between w:val="nil"/>
      </w:pBdr>
      <w:tabs>
        <w:tab w:val="center" w:pos="4252"/>
        <w:tab w:val="right" w:pos="8504"/>
      </w:tabs>
      <w:rPr>
        <w:color w:val="000000"/>
      </w:rPr>
    </w:pPr>
  </w:p>
  <w:p w:rsidR="003F791F" w:rsidRDefault="003F791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1F" w:rsidRDefault="00497D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294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294F">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3F791F" w:rsidRDefault="003F791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32A" w:rsidRDefault="00C8332A">
      <w:r>
        <w:separator/>
      </w:r>
    </w:p>
  </w:footnote>
  <w:footnote w:type="continuationSeparator" w:id="0">
    <w:p w:rsidR="00C8332A" w:rsidRDefault="00C8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1F" w:rsidRDefault="00497D89">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-1064574</wp:posOffset>
          </wp:positionH>
          <wp:positionV relativeFrom="paragraph">
            <wp:posOffset>-457107</wp:posOffset>
          </wp:positionV>
          <wp:extent cx="7635163" cy="9944100"/>
          <wp:effectExtent l="0" t="0" r="0" b="0"/>
          <wp:wrapNone/>
          <wp:docPr id="6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379" w:type="dxa"/>
      <w:tblInd w:w="2405" w:type="dxa"/>
      <w:tblLayout w:type="fixed"/>
      <w:tblLook w:val="0400" w:firstRow="0" w:lastRow="0" w:firstColumn="0" w:lastColumn="0" w:noHBand="0" w:noVBand="1"/>
    </w:tblPr>
    <w:tblGrid>
      <w:gridCol w:w="2552"/>
      <w:gridCol w:w="3827"/>
    </w:tblGrid>
    <w:tr w:rsidR="003F791F">
      <w:tc>
        <w:tcPr>
          <w:tcW w:w="2552"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rsidR="003F791F" w:rsidRDefault="00497D89">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17064/INFOEM/ICR-289/IP/RR/2022</w:t>
          </w:r>
        </w:p>
      </w:tc>
    </w:tr>
    <w:tr w:rsidR="003F791F">
      <w:trPr>
        <w:trHeight w:val="228"/>
      </w:trPr>
      <w:tc>
        <w:tcPr>
          <w:tcW w:w="2552"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rsidR="003F791F" w:rsidRDefault="00497D8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La Paz México, OPDAPAS</w:t>
          </w:r>
        </w:p>
      </w:tc>
    </w:tr>
    <w:tr w:rsidR="003F791F">
      <w:tc>
        <w:tcPr>
          <w:tcW w:w="2552"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rsidR="003F791F" w:rsidRDefault="00497D8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F791F" w:rsidRDefault="00497D89">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1F" w:rsidRDefault="00497D89">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-1076324</wp:posOffset>
          </wp:positionH>
          <wp:positionV relativeFrom="paragraph">
            <wp:posOffset>-474979</wp:posOffset>
          </wp:positionV>
          <wp:extent cx="7635240" cy="9942830"/>
          <wp:effectExtent l="0" t="0" r="0" b="0"/>
          <wp:wrapNone/>
          <wp:docPr id="6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3F791F">
      <w:tc>
        <w:tcPr>
          <w:tcW w:w="2551"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rsidR="003F791F" w:rsidRDefault="00497D89">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17064/INFOEM/ICR-289/IP/RR/2022</w:t>
          </w:r>
        </w:p>
      </w:tc>
    </w:tr>
    <w:tr w:rsidR="003F791F">
      <w:tc>
        <w:tcPr>
          <w:tcW w:w="2551" w:type="dxa"/>
          <w:vAlign w:val="center"/>
        </w:tcPr>
        <w:p w:rsidR="003F791F" w:rsidRDefault="00497D8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rsidR="003F791F" w:rsidRDefault="003F791F">
          <w:pPr>
            <w:jc w:val="both"/>
            <w:rPr>
              <w:rFonts w:ascii="Palatino Linotype" w:eastAsia="Palatino Linotype" w:hAnsi="Palatino Linotype" w:cs="Palatino Linotype"/>
              <w:b/>
              <w:sz w:val="22"/>
              <w:szCs w:val="22"/>
            </w:rPr>
          </w:pPr>
        </w:p>
      </w:tc>
    </w:tr>
    <w:tr w:rsidR="003F791F">
      <w:trPr>
        <w:trHeight w:val="228"/>
      </w:trPr>
      <w:tc>
        <w:tcPr>
          <w:tcW w:w="2551"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rsidR="003F791F" w:rsidRDefault="00497D8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La Paz México, OPDAPAS </w:t>
          </w:r>
        </w:p>
      </w:tc>
    </w:tr>
    <w:tr w:rsidR="003F791F">
      <w:tc>
        <w:tcPr>
          <w:tcW w:w="2551" w:type="dxa"/>
          <w:vAlign w:val="center"/>
        </w:tcPr>
        <w:p w:rsidR="003F791F" w:rsidRDefault="00497D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rsidR="003F791F" w:rsidRDefault="00497D8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F791F" w:rsidRDefault="003F791F">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1F" w:rsidRDefault="00497D8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F791F" w:rsidRDefault="003F791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A04F2"/>
    <w:multiLevelType w:val="multilevel"/>
    <w:tmpl w:val="DA88534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FB17746"/>
    <w:multiLevelType w:val="multilevel"/>
    <w:tmpl w:val="EFE81A2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DA0410D"/>
    <w:multiLevelType w:val="multilevel"/>
    <w:tmpl w:val="B33EFC0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1F"/>
    <w:rsid w:val="001D294F"/>
    <w:rsid w:val="002A26C1"/>
    <w:rsid w:val="003F791F"/>
    <w:rsid w:val="00497D89"/>
    <w:rsid w:val="004B0C38"/>
    <w:rsid w:val="00AB7F17"/>
    <w:rsid w:val="00C8332A"/>
    <w:rsid w:val="00D2657F"/>
    <w:rsid w:val="00D45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AAA12-0C57-4D20-83C0-2F3DE092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kpPQht17CQu2/CYGtMqCgI1bA==">CgMxLjAyCGguZ2pkZ3hzMgloLjMwajB6bGwyCGgudHlqY3d0MgloLjJzOGV5bzEyCWguM3JkY3JqbjIJaC4xN2RwOHZ1MgloLjJldDkycDA4AHIhMUFfRGpkdkxyOG5lR2dhdnd1V0JCQmdGM1RBX082SUNj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4749</Words>
  <Characters>26122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2023-09-22T16:28:00Z</cp:lastPrinted>
  <dcterms:created xsi:type="dcterms:W3CDTF">2023-09-27T20:31:00Z</dcterms:created>
  <dcterms:modified xsi:type="dcterms:W3CDTF">2023-09-27T20:31:00Z</dcterms:modified>
</cp:coreProperties>
</file>