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BD6" w:rsidRDefault="00883485">
      <w:pPr>
        <w:tabs>
          <w:tab w:val="left" w:pos="3686"/>
        </w:tabs>
        <w:spacing w:line="360" w:lineRule="auto"/>
        <w:jc w:val="both"/>
        <w:rPr>
          <w:rFonts w:ascii="Palatino Linotype" w:eastAsia="Palatino Linotype" w:hAnsi="Palatino Linotype" w:cs="Palatino Linotype"/>
          <w:color w:val="000000"/>
        </w:rPr>
      </w:pPr>
      <w:bookmarkStart w:id="0" w:name="_heading=h.tyjcwt" w:colFirst="0" w:colLast="0"/>
      <w:bookmarkEnd w:id="0"/>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dos de agosto de dos mil veintitrés. </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formado con motivo del recurso de revisión </w:t>
      </w:r>
      <w:r w:rsidR="00E54743">
        <w:rPr>
          <w:rFonts w:ascii="Palatino Linotype" w:eastAsia="Palatino Linotype" w:hAnsi="Palatino Linotype" w:cs="Palatino Linotype"/>
          <w:b/>
          <w:color w:val="000000"/>
        </w:rPr>
        <w:t>00</w:t>
      </w:r>
      <w:r>
        <w:rPr>
          <w:rFonts w:ascii="Palatino Linotype" w:eastAsia="Palatino Linotype" w:hAnsi="Palatino Linotype" w:cs="Palatino Linotype"/>
          <w:b/>
          <w:color w:val="000000"/>
        </w:rPr>
        <w:t>09/INFOEM/IP/RR/2023</w:t>
      </w:r>
      <w:r>
        <w:rPr>
          <w:rFonts w:ascii="Palatino Linotype" w:eastAsia="Palatino Linotype" w:hAnsi="Palatino Linotype" w:cs="Palatino Linotype"/>
          <w:color w:val="000000"/>
        </w:rPr>
        <w:t xml:space="preserve">, interpuesto por </w:t>
      </w:r>
      <w:r w:rsidR="008454B5">
        <w:rPr>
          <w:rFonts w:ascii="Palatino Linotype" w:eastAsia="Palatino Linotype" w:hAnsi="Palatino Linotype" w:cs="Palatino Linotype"/>
          <w:b/>
          <w:color w:val="000000"/>
          <w:highlight w:val="white"/>
        </w:rPr>
        <w:t>XXXXX XXXXXXXX XXXXXX</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color w:val="000000"/>
          <w:highlight w:val="white"/>
        </w:rPr>
        <w:t>que en</w:t>
      </w:r>
      <w:r>
        <w:rPr>
          <w:rFonts w:ascii="Palatino Linotype" w:eastAsia="Palatino Linotype" w:hAnsi="Palatino Linotype" w:cs="Palatino Linotype"/>
          <w:color w:val="000000"/>
        </w:rPr>
        <w:t xml:space="preserve"> lo subsecuente se le denominará como</w:t>
      </w:r>
      <w:r>
        <w:rPr>
          <w:rFonts w:ascii="Palatino Linotype" w:eastAsia="Palatino Linotype" w:hAnsi="Palatino Linotype" w:cs="Palatino Linotype"/>
          <w:b/>
          <w:color w:val="000000"/>
        </w:rPr>
        <w:t xml:space="preserve"> LA PARTE RECURRENTE,</w:t>
      </w:r>
      <w:r>
        <w:rPr>
          <w:rFonts w:ascii="Palatino Linotype" w:eastAsia="Palatino Linotype" w:hAnsi="Palatino Linotype" w:cs="Palatino Linotype"/>
          <w:color w:val="000000"/>
        </w:rPr>
        <w:t xml:space="preserve"> en contra de la respuesta a la solicitud </w:t>
      </w:r>
      <w:r>
        <w:rPr>
          <w:rFonts w:ascii="Palatino Linotype" w:eastAsia="Palatino Linotype" w:hAnsi="Palatino Linotype" w:cs="Palatino Linotype"/>
          <w:b/>
        </w:rPr>
        <w:t>00129/VIALLEN/IP/2022</w:t>
      </w:r>
      <w:r>
        <w:rPr>
          <w:rFonts w:ascii="Palatino Linotype" w:eastAsia="Palatino Linotype" w:hAnsi="Palatino Linotype" w:cs="Palatino Linotype"/>
          <w:color w:val="000000"/>
        </w:rPr>
        <w:t xml:space="preserve"> por parte del</w:t>
      </w:r>
      <w:r>
        <w:rPr>
          <w:rFonts w:ascii="Palatino Linotype" w:eastAsia="Palatino Linotype" w:hAnsi="Palatino Linotype" w:cs="Palatino Linotype"/>
          <w:b/>
          <w:color w:val="000000"/>
        </w:rPr>
        <w:t xml:space="preserve"> Ayuntamiento de Villa de Allende, </w:t>
      </w:r>
      <w:r>
        <w:rPr>
          <w:rFonts w:ascii="Palatino Linotype" w:eastAsia="Palatino Linotype" w:hAnsi="Palatino Linotype" w:cs="Palatino Linotype"/>
          <w:color w:val="000000"/>
        </w:rPr>
        <w:t xml:space="preserve">a quien en lo sucesivo se le denominará como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se procede a dictar la presente resolución con base en los siguientes</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C60BD6" w:rsidRDefault="00C60BD6">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C60BD6" w:rsidRDefault="00883485">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diecisiete de noviembre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 través del Sistema de Acceso a la Información Mexiquense o SAIMEX</w:t>
      </w:r>
      <w:r>
        <w:rPr>
          <w:rFonts w:ascii="Palatino Linotype" w:eastAsia="Palatino Linotype" w:hAnsi="Palatino Linotype" w:cs="Palatino Linotype"/>
          <w:b/>
        </w:rPr>
        <w:t>,</w:t>
      </w:r>
      <w:r>
        <w:rPr>
          <w:rFonts w:ascii="Palatino Linotype" w:eastAsia="Palatino Linotype" w:hAnsi="Palatino Linotype" w:cs="Palatino Linotype"/>
        </w:rPr>
        <w:t xml:space="preserve"> realizó la solicitud de acceso a la información pública</w:t>
      </w:r>
      <w:r>
        <w:rPr>
          <w:rFonts w:ascii="Palatino Linotype" w:eastAsia="Palatino Linotype" w:hAnsi="Palatino Linotype" w:cs="Palatino Linotype"/>
          <w:b/>
        </w:rPr>
        <w:t xml:space="preserve"> 00129/VIALLEN/IP/2022</w:t>
      </w:r>
      <w:r>
        <w:rPr>
          <w:rFonts w:ascii="Palatino Linotype" w:eastAsia="Palatino Linotype" w:hAnsi="Palatino Linotype" w:cs="Palatino Linotype"/>
        </w:rPr>
        <w:t>, en la cual requirió de:</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“Se solicitan todos los contratos de prestación de servicios y de </w:t>
      </w:r>
      <w:proofErr w:type="spellStart"/>
      <w:r>
        <w:rPr>
          <w:rFonts w:ascii="Palatino Linotype" w:eastAsia="Palatino Linotype" w:hAnsi="Palatino Linotype" w:cs="Palatino Linotype"/>
          <w:i/>
          <w:color w:val="000000"/>
          <w:sz w:val="22"/>
          <w:szCs w:val="22"/>
        </w:rPr>
        <w:t>comuniciación</w:t>
      </w:r>
      <w:proofErr w:type="spellEnd"/>
      <w:r>
        <w:rPr>
          <w:rFonts w:ascii="Palatino Linotype" w:eastAsia="Palatino Linotype" w:hAnsi="Palatino Linotype" w:cs="Palatino Linotype"/>
          <w:i/>
          <w:color w:val="000000"/>
          <w:sz w:val="22"/>
          <w:szCs w:val="22"/>
        </w:rPr>
        <w:t xml:space="preserve"> social o por cualquier servicio o contratación firmados en 2022.” (Sic)</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Modalidad de Entrega:</w:t>
      </w:r>
      <w:r>
        <w:rPr>
          <w:rFonts w:ascii="Palatino Linotype" w:eastAsia="Palatino Linotype" w:hAnsi="Palatino Linotype" w:cs="Palatino Linotype"/>
          <w:color w:val="000000"/>
        </w:rPr>
        <w:t xml:space="preserve"> A través del SAIMEX.</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2. Respuesta. </w:t>
      </w:r>
      <w:r>
        <w:rPr>
          <w:rFonts w:ascii="Palatino Linotype" w:eastAsia="Palatino Linotype" w:hAnsi="Palatino Linotype" w:cs="Palatino Linotype"/>
          <w:color w:val="000000"/>
        </w:rPr>
        <w:t>El</w:t>
      </w:r>
      <w:r>
        <w:rPr>
          <w:rFonts w:ascii="Palatino Linotype" w:eastAsia="Palatino Linotype" w:hAnsi="Palatino Linotype" w:cs="Palatino Linotype"/>
          <w:b/>
          <w:color w:val="000000"/>
        </w:rPr>
        <w:t xml:space="preserve"> doce de diciembre de dos mil veintidós, EL SUJETO OBLIGADO </w:t>
      </w:r>
      <w:r>
        <w:rPr>
          <w:rFonts w:ascii="Palatino Linotype" w:eastAsia="Palatino Linotype" w:hAnsi="Palatino Linotype" w:cs="Palatino Linotype"/>
          <w:color w:val="000000"/>
        </w:rPr>
        <w:t>respondió a la solicitud de información en los siguientes términos:</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“se </w:t>
      </w:r>
      <w:proofErr w:type="spellStart"/>
      <w:r>
        <w:rPr>
          <w:rFonts w:ascii="Palatino Linotype" w:eastAsia="Palatino Linotype" w:hAnsi="Palatino Linotype" w:cs="Palatino Linotype"/>
          <w:i/>
          <w:color w:val="000000"/>
          <w:sz w:val="22"/>
          <w:szCs w:val="22"/>
        </w:rPr>
        <w:t>envia</w:t>
      </w:r>
      <w:proofErr w:type="spellEnd"/>
      <w:r>
        <w:rPr>
          <w:rFonts w:ascii="Palatino Linotype" w:eastAsia="Palatino Linotype" w:hAnsi="Palatino Linotype" w:cs="Palatino Linotype"/>
          <w:i/>
          <w:color w:val="000000"/>
          <w:sz w:val="22"/>
          <w:szCs w:val="22"/>
        </w:rPr>
        <w:t xml:space="preserve"> la respuesta solicitada” (Sic)</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C60BD6" w:rsidRDefault="0088348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Archivo adjunto: </w:t>
      </w:r>
    </w:p>
    <w:p w:rsidR="00C60BD6" w:rsidRDefault="00C60BD6">
      <w:pPr>
        <w:spacing w:line="360" w:lineRule="auto"/>
        <w:jc w:val="both"/>
        <w:rPr>
          <w:rFonts w:ascii="Palatino Linotype" w:eastAsia="Palatino Linotype" w:hAnsi="Palatino Linotype" w:cs="Palatino Linotype"/>
          <w:b/>
          <w:color w:val="000000"/>
        </w:rPr>
      </w:pPr>
    </w:p>
    <w:p w:rsidR="00C60BD6" w:rsidRDefault="008454B5">
      <w:pPr>
        <w:numPr>
          <w:ilvl w:val="0"/>
          <w:numId w:val="4"/>
        </w:numPr>
        <w:pBdr>
          <w:top w:val="nil"/>
          <w:left w:val="nil"/>
          <w:bottom w:val="nil"/>
          <w:right w:val="nil"/>
          <w:between w:val="nil"/>
        </w:pBdr>
        <w:spacing w:line="360" w:lineRule="auto"/>
        <w:ind w:left="142" w:firstLine="218"/>
        <w:jc w:val="both"/>
        <w:rPr>
          <w:rFonts w:ascii="Palatino Linotype" w:eastAsia="Palatino Linotype" w:hAnsi="Palatino Linotype" w:cs="Palatino Linotype"/>
          <w:b/>
          <w:i/>
          <w:color w:val="000000"/>
        </w:rPr>
      </w:pPr>
      <w:hyperlink r:id="rId8">
        <w:r w:rsidR="00883485">
          <w:rPr>
            <w:rFonts w:ascii="Palatino Linotype" w:eastAsia="Palatino Linotype" w:hAnsi="Palatino Linotype" w:cs="Palatino Linotype"/>
            <w:b/>
            <w:i/>
            <w:color w:val="000000"/>
          </w:rPr>
          <w:t>00129.pdf</w:t>
        </w:r>
      </w:hyperlink>
      <w:r w:rsidR="00883485">
        <w:rPr>
          <w:rFonts w:ascii="Palatino Linotype" w:eastAsia="Palatino Linotype" w:hAnsi="Palatino Linotype" w:cs="Palatino Linotype"/>
          <w:b/>
          <w:i/>
          <w:color w:val="000000"/>
        </w:rPr>
        <w:t>: O</w:t>
      </w:r>
      <w:r w:rsidR="00883485">
        <w:rPr>
          <w:rFonts w:ascii="Palatino Linotype" w:eastAsia="Palatino Linotype" w:hAnsi="Palatino Linotype" w:cs="Palatino Linotype"/>
          <w:color w:val="000000"/>
        </w:rPr>
        <w:t xml:space="preserve">ficio </w:t>
      </w:r>
      <w:r w:rsidR="00883485">
        <w:rPr>
          <w:rFonts w:ascii="Palatino Linotype" w:eastAsia="Palatino Linotype" w:hAnsi="Palatino Linotype" w:cs="Palatino Linotype"/>
          <w:i/>
          <w:color w:val="000000"/>
        </w:rPr>
        <w:t>MVA/672/12/2022</w:t>
      </w:r>
      <w:r w:rsidR="00883485">
        <w:rPr>
          <w:rFonts w:ascii="Palatino Linotype" w:eastAsia="Palatino Linotype" w:hAnsi="Palatino Linotype" w:cs="Palatino Linotype"/>
          <w:color w:val="000000"/>
        </w:rPr>
        <w:t xml:space="preserve"> de fecha cinco de diciembre de dos mil veintidós, suscrito por la Dirección de Administración, y por medio del cual se hizo del conocimiento de </w:t>
      </w:r>
      <w:r w:rsidR="00883485">
        <w:rPr>
          <w:rFonts w:ascii="Palatino Linotype" w:eastAsia="Palatino Linotype" w:hAnsi="Palatino Linotype" w:cs="Palatino Linotype"/>
          <w:b/>
          <w:color w:val="000000"/>
        </w:rPr>
        <w:t>LA PARTE RECURRENTE</w:t>
      </w:r>
      <w:r w:rsidR="00883485">
        <w:rPr>
          <w:rFonts w:ascii="Palatino Linotype" w:eastAsia="Palatino Linotype" w:hAnsi="Palatino Linotype" w:cs="Palatino Linotype"/>
          <w:color w:val="000000"/>
        </w:rPr>
        <w:t xml:space="preserve"> que la información requerida era la relativa al ejercicio fiscal de dos mil veintidós, pero al ser requeridos “… todos los contratos…” (Sic), representan un total de setecientos doce documentos, por lo que según la referida Dirección, al ser fotocopiados para elaborarse la versión pública, se excedían de las veinte fojas, por lo que la entonces persona solicitante debería cubrir un pago en la Tesorería Municipal, y que luego de eso, las copias estarían disponibles para que se allegara de ellas. </w:t>
      </w:r>
    </w:p>
    <w:p w:rsidR="00C60BD6" w:rsidRDefault="00C60BD6">
      <w:pPr>
        <w:spacing w:line="360" w:lineRule="auto"/>
        <w:jc w:val="both"/>
        <w:rPr>
          <w:rFonts w:ascii="Palatino Linotype" w:eastAsia="Palatino Linotype" w:hAnsi="Palatino Linotype" w:cs="Palatino Linotype"/>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2"/>
          <w:szCs w:val="22"/>
        </w:rPr>
        <w:t>3.</w:t>
      </w:r>
      <w:r>
        <w:rPr>
          <w:rFonts w:ascii="Palatino Linotype" w:eastAsia="Palatino Linotype" w:hAnsi="Palatino Linotype" w:cs="Palatino Linotype"/>
          <w:b/>
          <w:color w:val="000000"/>
        </w:rPr>
        <w:t xml:space="preserve"> Interposición del recurso de revisión. </w:t>
      </w:r>
      <w:r>
        <w:rPr>
          <w:rFonts w:ascii="Palatino Linotype" w:eastAsia="Palatino Linotype" w:hAnsi="Palatino Linotype" w:cs="Palatino Linotype"/>
          <w:color w:val="000000"/>
        </w:rPr>
        <w:t xml:space="preserve">Inconforme la entonces persona solicitante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 día</w:t>
      </w:r>
      <w:r>
        <w:rPr>
          <w:rFonts w:ascii="Palatino Linotype" w:eastAsia="Palatino Linotype" w:hAnsi="Palatino Linotype" w:cs="Palatino Linotype"/>
          <w:b/>
          <w:color w:val="000000"/>
        </w:rPr>
        <w:t xml:space="preserve"> veintidós de diciembre de dos mil veintidós, </w:t>
      </w:r>
      <w:r>
        <w:rPr>
          <w:rFonts w:ascii="Palatino Linotype" w:eastAsia="Palatino Linotype" w:hAnsi="Palatino Linotype" w:cs="Palatino Linotype"/>
          <w:color w:val="000000"/>
        </w:rPr>
        <w:t xml:space="preserve">accionó este medio de defensa, sin embargo, no se tuvo por interpuesto hasta el </w:t>
      </w:r>
      <w:r>
        <w:rPr>
          <w:rFonts w:ascii="Palatino Linotype" w:eastAsia="Palatino Linotype" w:hAnsi="Palatino Linotype" w:cs="Palatino Linotype"/>
          <w:b/>
          <w:color w:val="000000"/>
        </w:rPr>
        <w:t>nueve de enero de dos mil veintitrés,</w:t>
      </w:r>
      <w:r>
        <w:rPr>
          <w:rFonts w:ascii="Palatino Linotype" w:eastAsia="Palatino Linotype" w:hAnsi="Palatino Linotype" w:cs="Palatino Linotype"/>
          <w:color w:val="000000"/>
        </w:rPr>
        <w:t xml:space="preserve"> en razón de lo dispuesto por el calendario oficial en materia de Transparencia y Protección de Datos Personales adoptado por el Pleno de este Instituto para el año dos mil veintitrés, mediante el cual </w:t>
      </w:r>
      <w:r>
        <w:rPr>
          <w:rFonts w:ascii="Palatino Linotype" w:eastAsia="Palatino Linotype" w:hAnsi="Palatino Linotype" w:cs="Palatino Linotype"/>
        </w:rPr>
        <w:t>manifestó lo siguiente</w:t>
      </w:r>
      <w:r>
        <w:rPr>
          <w:rFonts w:ascii="Palatino Linotype" w:eastAsia="Palatino Linotype" w:hAnsi="Palatino Linotype" w:cs="Palatino Linotype"/>
          <w:color w:val="000000"/>
        </w:rPr>
        <w:t xml:space="preserve">: </w:t>
      </w:r>
    </w:p>
    <w:p w:rsidR="00C60BD6" w:rsidRDefault="00C60BD6">
      <w:pPr>
        <w:tabs>
          <w:tab w:val="left" w:pos="2745"/>
        </w:tabs>
        <w:spacing w:line="360" w:lineRule="auto"/>
        <w:jc w:val="both"/>
        <w:rPr>
          <w:rFonts w:ascii="Palatino Linotype" w:eastAsia="Palatino Linotype" w:hAnsi="Palatino Linotype" w:cs="Palatino Linotype"/>
          <w:color w:val="000000"/>
        </w:rPr>
      </w:pPr>
    </w:p>
    <w:p w:rsidR="00C60BD6" w:rsidRDefault="00883485">
      <w:pPr>
        <w:tabs>
          <w:tab w:val="left" w:pos="2745"/>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“No entregaron lo solicitado” (Sic) </w:t>
      </w:r>
    </w:p>
    <w:p w:rsidR="00C60BD6" w:rsidRDefault="00C60BD6">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rsidR="00C60BD6" w:rsidRDefault="008834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rsidR="00C60BD6" w:rsidRDefault="00C60BD6" w:rsidP="009B7090">
      <w:pPr>
        <w:pStyle w:val="Citas"/>
        <w:spacing w:before="0" w:after="0" w:line="240" w:lineRule="auto"/>
      </w:pPr>
    </w:p>
    <w:p w:rsidR="00C60BD6" w:rsidRDefault="00883485" w:rsidP="009B7090">
      <w:pPr>
        <w:pStyle w:val="Citas"/>
        <w:spacing w:before="0" w:after="0" w:line="240" w:lineRule="auto"/>
      </w:pPr>
      <w:bookmarkStart w:id="2" w:name="_heading=h.30j0zll" w:colFirst="0" w:colLast="0"/>
      <w:bookmarkEnd w:id="2"/>
      <w:r>
        <w:t xml:space="preserve">“No entregaron lo solicitado” (Sic) </w:t>
      </w:r>
    </w:p>
    <w:p w:rsidR="00C60BD6" w:rsidRDefault="00C60BD6" w:rsidP="009B7090">
      <w:pPr>
        <w:pStyle w:val="Citas"/>
        <w:spacing w:before="0" w:after="0" w:line="240" w:lineRule="auto"/>
      </w:pPr>
    </w:p>
    <w:p w:rsidR="00C60BD6" w:rsidRDefault="00883485">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4. Turno. </w:t>
      </w:r>
      <w:r>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Pr>
          <w:rFonts w:ascii="Palatino Linotype" w:eastAsia="Palatino Linotype" w:hAnsi="Palatino Linotype" w:cs="Palatino Linotype"/>
          <w:b/>
          <w:color w:val="000000"/>
        </w:rPr>
        <w:t xml:space="preserve">Comisionada Guadalupe Ramírez Peña, </w:t>
      </w:r>
      <w:r>
        <w:rPr>
          <w:rFonts w:ascii="Palatino Linotype" w:eastAsia="Palatino Linotype" w:hAnsi="Palatino Linotype" w:cs="Palatino Linotype"/>
          <w:color w:val="000000"/>
        </w:rPr>
        <w:t>a efecto de que analizara sobre su admisión o su desechamiento.</w:t>
      </w:r>
    </w:p>
    <w:p w:rsidR="00C60BD6" w:rsidRDefault="00C60BD6">
      <w:pPr>
        <w:spacing w:line="360" w:lineRule="auto"/>
        <w:ind w:right="51"/>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5. Admisión del Recurso de revisión.</w:t>
      </w:r>
      <w:r>
        <w:rPr>
          <w:rFonts w:ascii="Palatino Linotype" w:eastAsia="Palatino Linotype" w:hAnsi="Palatino Linotype" w:cs="Palatino Linotype"/>
          <w:color w:val="000000"/>
        </w:rPr>
        <w:t xml:space="preserve"> El</w:t>
      </w:r>
      <w:r>
        <w:rPr>
          <w:rFonts w:ascii="Palatino Linotype" w:eastAsia="Palatino Linotype" w:hAnsi="Palatino Linotype" w:cs="Palatino Linotype"/>
          <w:b/>
          <w:color w:val="000000"/>
        </w:rPr>
        <w:t xml:space="preserve"> doce de enero de dos mil veintitrés, </w:t>
      </w:r>
      <w:r>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presentara su Informe Justificado.</w:t>
      </w:r>
    </w:p>
    <w:p w:rsidR="00C60BD6" w:rsidRDefault="00C60BD6">
      <w:pPr>
        <w:spacing w:line="360" w:lineRule="auto"/>
        <w:jc w:val="both"/>
        <w:rPr>
          <w:rFonts w:ascii="Palatino Linotype" w:eastAsia="Palatino Linotype" w:hAnsi="Palatino Linotype" w:cs="Palatino Linotype"/>
          <w:b/>
          <w:color w:val="000000"/>
        </w:rPr>
      </w:pPr>
    </w:p>
    <w:p w:rsidR="00C60BD6" w:rsidRDefault="00883485">
      <w:pPr>
        <w:spacing w:line="360" w:lineRule="auto"/>
        <w:ind w:right="49"/>
        <w:jc w:val="both"/>
        <w:rPr>
          <w:rFonts w:ascii="Palatino Linotype" w:eastAsia="Palatino Linotype" w:hAnsi="Palatino Linotype" w:cs="Palatino Linotype"/>
          <w:color w:val="000000"/>
        </w:rPr>
      </w:pPr>
      <w:bookmarkStart w:id="3" w:name="_heading=h.2s8eyo1" w:colFirst="0" w:colLast="0"/>
      <w:bookmarkEnd w:id="3"/>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electrónico en que se actúa se advierte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remitió su Informe Justificado el pasado veintitrés de enero de dos mil veintitrés, mismo que se notificó 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once de abril de dos mil veintitrés, en el que consta la siguiente información: </w:t>
      </w:r>
    </w:p>
    <w:p w:rsidR="00C60BD6" w:rsidRDefault="00C60BD6">
      <w:pPr>
        <w:spacing w:line="360" w:lineRule="auto"/>
        <w:ind w:right="49"/>
        <w:jc w:val="both"/>
        <w:rPr>
          <w:rFonts w:ascii="Palatino Linotype" w:eastAsia="Palatino Linotype" w:hAnsi="Palatino Linotype" w:cs="Palatino Linotype"/>
          <w:color w:val="000000"/>
        </w:rPr>
      </w:pPr>
    </w:p>
    <w:p w:rsidR="00C60BD6" w:rsidRDefault="008454B5">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hyperlink r:id="rId9">
        <w:proofErr w:type="spellStart"/>
        <w:r w:rsidR="00883485">
          <w:rPr>
            <w:rFonts w:ascii="Palatino Linotype" w:eastAsia="Palatino Linotype" w:hAnsi="Palatino Linotype" w:cs="Palatino Linotype"/>
            <w:b/>
            <w:i/>
            <w:color w:val="000000"/>
          </w:rPr>
          <w:t>CamScanner</w:t>
        </w:r>
        <w:proofErr w:type="spellEnd"/>
        <w:r w:rsidR="00883485">
          <w:rPr>
            <w:rFonts w:ascii="Palatino Linotype" w:eastAsia="Palatino Linotype" w:hAnsi="Palatino Linotype" w:cs="Palatino Linotype"/>
            <w:b/>
            <w:i/>
            <w:color w:val="000000"/>
          </w:rPr>
          <w:t xml:space="preserve"> 01-23-2023 11.51.pdf</w:t>
        </w:r>
      </w:hyperlink>
      <w:r w:rsidR="00883485">
        <w:rPr>
          <w:rFonts w:ascii="Palatino Linotype" w:eastAsia="Palatino Linotype" w:hAnsi="Palatino Linotype" w:cs="Palatino Linotype"/>
          <w:b/>
          <w:i/>
          <w:color w:val="000000"/>
        </w:rPr>
        <w:t xml:space="preserve">: </w:t>
      </w:r>
    </w:p>
    <w:p w:rsidR="00C60BD6" w:rsidRDefault="00883485">
      <w:pPr>
        <w:spacing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color w:val="000000"/>
        </w:rPr>
        <w:t>O</w:t>
      </w:r>
      <w:r>
        <w:rPr>
          <w:rFonts w:ascii="Palatino Linotype" w:eastAsia="Palatino Linotype" w:hAnsi="Palatino Linotype" w:cs="Palatino Linotype"/>
        </w:rPr>
        <w:t xml:space="preserve">ficio </w:t>
      </w:r>
      <w:r>
        <w:rPr>
          <w:rFonts w:ascii="Palatino Linotype" w:eastAsia="Palatino Linotype" w:hAnsi="Palatino Linotype" w:cs="Palatino Linotype"/>
          <w:i/>
        </w:rPr>
        <w:t>MVA/007/1/2023</w:t>
      </w:r>
      <w:r>
        <w:rPr>
          <w:rFonts w:ascii="Palatino Linotype" w:eastAsia="Palatino Linotype" w:hAnsi="Palatino Linotype" w:cs="Palatino Linotype"/>
        </w:rPr>
        <w:t xml:space="preserve"> de fecha dieciséis de enero de dos mil veintitrés, a través del cual la Dirección de Administración refirió que la información solicitada es muy </w:t>
      </w:r>
      <w:r>
        <w:rPr>
          <w:rFonts w:ascii="Palatino Linotype" w:eastAsia="Palatino Linotype" w:hAnsi="Palatino Linotype" w:cs="Palatino Linotype"/>
        </w:rPr>
        <w:lastRenderedPageBreak/>
        <w:t xml:space="preserve">amplia, pues implican todos los contratos de servicios y los de comunicación social, lo que significa que deben existir copias fotostáticas que exceden las veinte hojas de copias simples permitidas por el artículo 174 de la Ley de Transparencia y Acceso a la Información Pública del Estado de México y Municipios. </w:t>
      </w:r>
    </w:p>
    <w:p w:rsidR="00C60BD6" w:rsidRDefault="00C60BD6">
      <w:pPr>
        <w:spacing w:line="360" w:lineRule="auto"/>
        <w:ind w:right="49"/>
        <w:jc w:val="both"/>
        <w:rPr>
          <w:rFonts w:ascii="Palatino Linotype" w:eastAsia="Palatino Linotype" w:hAnsi="Palatino Linotype" w:cs="Palatino Linotype"/>
        </w:rPr>
      </w:pPr>
    </w:p>
    <w:p w:rsidR="00C60BD6" w:rsidRDefault="008834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Reiteró que con fundamento en el artículo 12 de la ley en cita, sólo podrán proporcionar la información en el estado en que se encuentre en sus archivos, misma que asciende a setecientas cincuenta y cinco hojas. </w:t>
      </w:r>
    </w:p>
    <w:p w:rsidR="00C60BD6" w:rsidRDefault="00C60BD6">
      <w:pPr>
        <w:spacing w:line="360" w:lineRule="auto"/>
        <w:ind w:right="49"/>
        <w:jc w:val="both"/>
        <w:rPr>
          <w:rFonts w:ascii="Palatino Linotype" w:eastAsia="Palatino Linotype" w:hAnsi="Palatino Linotype" w:cs="Palatino Linotype"/>
        </w:rPr>
      </w:pPr>
    </w:p>
    <w:p w:rsidR="00C60BD6" w:rsidRDefault="008834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Ayuntamiento de Villa de Allende, puso a disposición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la información referida, en las oficinas que ocupa la Dirección de Administración, señalando horarios para acceder a la misma, en un plazo de sesenta días hábiles. </w:t>
      </w:r>
    </w:p>
    <w:p w:rsidR="00C60BD6" w:rsidRDefault="00C60BD6">
      <w:pPr>
        <w:spacing w:line="360" w:lineRule="auto"/>
        <w:ind w:right="49"/>
        <w:jc w:val="both"/>
        <w:rPr>
          <w:rFonts w:ascii="Palatino Linotype" w:eastAsia="Palatino Linotype" w:hAnsi="Palatino Linotype" w:cs="Palatino Linotype"/>
        </w:rPr>
      </w:pPr>
    </w:p>
    <w:p w:rsidR="00C60BD6" w:rsidRDefault="008834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Conocido el Informe Justificado, es de señalar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realizó manifestación alguna.</w:t>
      </w:r>
    </w:p>
    <w:p w:rsidR="009B7090" w:rsidRDefault="009B7090">
      <w:pPr>
        <w:spacing w:line="360" w:lineRule="auto"/>
        <w:ind w:right="49"/>
        <w:jc w:val="both"/>
        <w:rPr>
          <w:rFonts w:ascii="Palatino Linotype" w:eastAsia="Palatino Linotype" w:hAnsi="Palatino Linotype" w:cs="Palatino Linotype"/>
        </w:rPr>
      </w:pPr>
    </w:p>
    <w:p w:rsidR="00C60BD6" w:rsidRDefault="00883485" w:rsidP="009B7090">
      <w:pPr>
        <w:spacing w:line="360" w:lineRule="auto"/>
        <w:ind w:right="49"/>
        <w:jc w:val="center"/>
        <w:rPr>
          <w:rFonts w:ascii="Palatino Linotype" w:eastAsia="Palatino Linotype" w:hAnsi="Palatino Linotype" w:cs="Palatino Linotype"/>
          <w:color w:val="000000"/>
        </w:rPr>
      </w:pPr>
      <w:r>
        <w:rPr>
          <w:noProof/>
        </w:rPr>
        <w:drawing>
          <wp:inline distT="0" distB="0" distL="0" distR="0">
            <wp:extent cx="3914133" cy="1247200"/>
            <wp:effectExtent l="0" t="0" r="0" b="0"/>
            <wp:docPr id="2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5577" t="29951" r="25601" b="42390"/>
                    <a:stretch>
                      <a:fillRect/>
                    </a:stretch>
                  </pic:blipFill>
                  <pic:spPr>
                    <a:xfrm>
                      <a:off x="0" y="0"/>
                      <a:ext cx="3914133" cy="1247200"/>
                    </a:xfrm>
                    <a:prstGeom prst="rect">
                      <a:avLst/>
                    </a:prstGeom>
                    <a:ln/>
                  </pic:spPr>
                </pic:pic>
              </a:graphicData>
            </a:graphic>
          </wp:inline>
        </w:drawing>
      </w:r>
    </w:p>
    <w:p w:rsidR="009B7090" w:rsidRDefault="009B7090" w:rsidP="009B7090">
      <w:pPr>
        <w:spacing w:line="360" w:lineRule="auto"/>
        <w:ind w:right="49"/>
        <w:jc w:val="center"/>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del plazo para emitir resolución.</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once de abril de dos mil </w:t>
      </w:r>
      <w:r>
        <w:rPr>
          <w:rFonts w:ascii="Palatino Linotype" w:eastAsia="Palatino Linotype" w:hAnsi="Palatino Linotype" w:cs="Palatino Linotype"/>
          <w:b/>
          <w:color w:val="000000"/>
        </w:rPr>
        <w:lastRenderedPageBreak/>
        <w:t>veintitrés,</w:t>
      </w:r>
      <w:r>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en términos de lo que establecen los artículos 8.1 y 25 de la Convención Americana sobre Derechos Humanos, los recursos deben ser sencillos y resolverse en el menor tiempo posible, tomando en consideración la dilación total del </w:t>
      </w:r>
      <w:r>
        <w:rPr>
          <w:rFonts w:ascii="Palatino Linotype" w:eastAsia="Palatino Linotype" w:hAnsi="Palatino Linotype" w:cs="Palatino Linotype"/>
          <w:color w:val="000000"/>
        </w:rPr>
        <w:lastRenderedPageBreak/>
        <w:t>procedimiento; esto es, en un plazo razonable.</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Complejidad del Asunto: </w:t>
      </w:r>
      <w:r>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rsidR="00C60BD6" w:rsidRDefault="00883485">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Actividad Procesal del interesado:</w:t>
      </w:r>
      <w:r>
        <w:rPr>
          <w:rFonts w:ascii="Palatino Linotype" w:eastAsia="Palatino Linotype" w:hAnsi="Palatino Linotype" w:cs="Palatino Linotype"/>
          <w:color w:val="000000"/>
        </w:rPr>
        <w:t xml:space="preserve"> Acciones u omisiones del interesado.</w:t>
      </w:r>
    </w:p>
    <w:p w:rsidR="00C60BD6" w:rsidRDefault="00883485">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Conducta de la Autoridad:</w:t>
      </w:r>
      <w:r>
        <w:rPr>
          <w:rFonts w:ascii="Palatino Linotype" w:eastAsia="Palatino Linotype" w:hAnsi="Palatino Linotype" w:cs="Palatino Linotype"/>
          <w:color w:val="000000"/>
        </w:rPr>
        <w:t xml:space="preserve"> Las Acciones u omisiones realizadas en el procedimiento. Así como si la autoridad actuó con la debida diligencia.</w:t>
      </w:r>
    </w:p>
    <w:p w:rsidR="00C60BD6" w:rsidRDefault="00883485">
      <w:pPr>
        <w:widowControl w:val="0"/>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La afectación generada en la situación jurídica de la persona involucrada en el proceso:</w:t>
      </w:r>
      <w:r>
        <w:rPr>
          <w:rFonts w:ascii="Palatino Linotype" w:eastAsia="Palatino Linotype" w:hAnsi="Palatino Linotype" w:cs="Palatino Linotype"/>
          <w:color w:val="000000"/>
        </w:rPr>
        <w:t xml:space="preserve"> Violación a sus derechos humanos.</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color w:val="000000"/>
        </w:rPr>
        <w:lastRenderedPageBreak/>
        <w:t>relación con la actuación del funcionario, como ha acontecido en el caso que nos ocupa.</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Argumento que encuentra sustento en la jurisprudencia P</w:t>
      </w:r>
      <w:proofErr w:type="gramStart"/>
      <w:r>
        <w:rPr>
          <w:rFonts w:ascii="Palatino Linotype" w:eastAsia="Palatino Linotype" w:hAnsi="Palatino Linotype" w:cs="Palatino Linotype"/>
          <w:color w:val="000000"/>
        </w:rPr>
        <w:t>./</w:t>
      </w:r>
      <w:proofErr w:type="gramEnd"/>
      <w:r>
        <w:rPr>
          <w:rFonts w:ascii="Palatino Linotype" w:eastAsia="Palatino Linotype" w:hAnsi="Palatino Linotype" w:cs="Palatino Linotype"/>
          <w:color w:val="000000"/>
        </w:rPr>
        <w:t xml:space="preserve">J. 32/92 emitida por el Pleno de la Suprema Corte de Justicia de la Nación de rubro </w:t>
      </w:r>
      <w:r>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la Gaceta del Seminario Judicial de la Federación con el registro digital 205635.</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también son de considerar los criterios sostenidos por el Cuarto Tribunal Colegiado en Materia Administrativa del Primer Circuito, cuyos rubros y </w:t>
      </w:r>
      <w:r>
        <w:rPr>
          <w:rFonts w:ascii="Palatino Linotype" w:eastAsia="Palatino Linotype" w:hAnsi="Palatino Linotype" w:cs="Palatino Linotype"/>
          <w:color w:val="000000"/>
        </w:rPr>
        <w:lastRenderedPageBreak/>
        <w:t>datos de identificación son los siguientes:</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DIMENSIÓN Y EFECTOS DE ESTE CONCEPTO CUANDO SE ADUCE EXCESIVA CARGA DE TRABAJO.”</w:t>
      </w:r>
      <w:r>
        <w:rPr>
          <w:rFonts w:ascii="Palatino Linotype" w:eastAsia="Palatino Linotype" w:hAnsi="Palatino Linotype" w:cs="Palatino Linotype"/>
          <w:color w:val="000000"/>
        </w:rPr>
        <w:t xml:space="preserve"> consultable en el Seminario Judicial de la Federación y su gaceta, con el registro digital 2002351.</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CONCEPTO Y ELEMENTOS QUE LO INTEGRAN A LA LUZ DEL DERECHO INTERNACIONAL DE LOS DERECHOS HUMANOS.”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el Seminario Judicial de la Federación y su gaceta, con el registro digital 2002350.</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C60BD6" w:rsidRDefault="00C60BD6">
      <w:pPr>
        <w:widowControl w:val="0"/>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Una vez transcurrido el periodo otorgado a las partes para realizar sus manifestaciones y no habiendo documentos que integrar al expediente, con fecha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diecisiete de abril de dos mil veintitrés</w:t>
      </w:r>
      <w:r>
        <w:rPr>
          <w:rFonts w:ascii="Palatino Linotype" w:eastAsia="Palatino Linotype" w:hAnsi="Palatino Linotype" w:cs="Palatino Linotype"/>
          <w:color w:val="000000"/>
        </w:rPr>
        <w:t xml:space="preserve">, la </w:t>
      </w:r>
      <w:r>
        <w:rPr>
          <w:rFonts w:ascii="Palatino Linotype" w:eastAsia="Palatino Linotype" w:hAnsi="Palatino Linotype" w:cs="Palatino Linotype"/>
          <w:b/>
          <w:color w:val="000000"/>
        </w:rPr>
        <w:t>Comisionada Ponente</w:t>
      </w:r>
      <w:r>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rsidR="00F23DCD" w:rsidRDefault="00F23DCD">
      <w:pPr>
        <w:spacing w:line="360" w:lineRule="auto"/>
        <w:jc w:val="both"/>
        <w:rPr>
          <w:rFonts w:ascii="Palatino Linotype" w:eastAsia="Palatino Linotype" w:hAnsi="Palatino Linotype" w:cs="Palatino Linotype"/>
          <w:color w:val="000000"/>
        </w:rPr>
      </w:pPr>
    </w:p>
    <w:p w:rsidR="00F23DCD" w:rsidRDefault="00F23DCD" w:rsidP="00F23DCD">
      <w:pPr>
        <w:spacing w:line="360" w:lineRule="auto"/>
        <w:jc w:val="both"/>
        <w:rPr>
          <w:rFonts w:ascii="Palatino Linotype" w:eastAsia="Palatino Linotype" w:hAnsi="Palatino Linotype" w:cs="Palatino Linotype"/>
          <w:color w:val="000000"/>
        </w:rPr>
      </w:pPr>
      <w:r w:rsidRPr="00F23DCD">
        <w:rPr>
          <w:rFonts w:ascii="Palatino Linotype" w:eastAsia="Palatino Linotype" w:hAnsi="Palatino Linotype" w:cs="Palatino Linotype"/>
          <w:b/>
          <w:color w:val="000000"/>
        </w:rPr>
        <w:lastRenderedPageBreak/>
        <w:t xml:space="preserve">9. Desistimiento del Recurso de Revisión. </w:t>
      </w:r>
      <w:r>
        <w:rPr>
          <w:rFonts w:ascii="Palatino Linotype" w:eastAsia="Palatino Linotype" w:hAnsi="Palatino Linotype" w:cs="Palatino Linotype"/>
          <w:color w:val="000000"/>
        </w:rPr>
        <w:t xml:space="preserve">Con fecha veintisiete de julio de dos mil veintidós, </w:t>
      </w:r>
      <w:r w:rsidRPr="009B7090">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decidió desistirse del presente medio de impugnación señalando como motivo el siguiente: </w:t>
      </w:r>
    </w:p>
    <w:p w:rsidR="00F23DCD" w:rsidRPr="00F23DCD" w:rsidRDefault="00F23DCD" w:rsidP="00F23DCD">
      <w:pPr>
        <w:pStyle w:val="Citas"/>
        <w:spacing w:before="0" w:after="0" w:line="240" w:lineRule="auto"/>
      </w:pPr>
    </w:p>
    <w:p w:rsidR="00F23DCD" w:rsidRPr="00F23DCD" w:rsidRDefault="00F23DCD" w:rsidP="00F23DCD">
      <w:pPr>
        <w:pStyle w:val="Citas"/>
        <w:spacing w:before="0" w:after="0" w:line="240" w:lineRule="auto"/>
      </w:pPr>
      <w:r w:rsidRPr="00F23DCD">
        <w:t xml:space="preserve">“Ninguno en particular” (Sic) </w:t>
      </w:r>
    </w:p>
    <w:p w:rsidR="00F23DCD" w:rsidRPr="00F23DCD" w:rsidRDefault="00F23DCD" w:rsidP="00F23DCD">
      <w:pPr>
        <w:pStyle w:val="Citas"/>
        <w:spacing w:before="0" w:after="0" w:line="240" w:lineRule="auto"/>
      </w:pPr>
    </w:p>
    <w:p w:rsidR="00F23DCD" w:rsidRDefault="00F23DC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Mismo que se tuvo por presentado ante el Infoem el pasado </w:t>
      </w:r>
      <w:r w:rsidRPr="009B7090">
        <w:rPr>
          <w:rFonts w:ascii="Palatino Linotype" w:eastAsia="Palatino Linotype" w:hAnsi="Palatino Linotype" w:cs="Palatino Linotype"/>
          <w:b/>
          <w:color w:val="000000"/>
        </w:rPr>
        <w:t xml:space="preserve">treinta y uno de julio de dos mil veintidós, </w:t>
      </w:r>
      <w:r w:rsidR="009B7090">
        <w:rPr>
          <w:rFonts w:ascii="Palatino Linotype" w:eastAsia="Palatino Linotype" w:hAnsi="Palatino Linotype" w:cs="Palatino Linotype"/>
          <w:color w:val="000000"/>
        </w:rPr>
        <w:t>conforme a lo dispuesto por el c</w:t>
      </w:r>
      <w:r>
        <w:rPr>
          <w:rFonts w:ascii="Palatino Linotype" w:eastAsia="Palatino Linotype" w:hAnsi="Palatino Linotype" w:cs="Palatino Linotype"/>
          <w:color w:val="000000"/>
        </w:rPr>
        <w:t xml:space="preserve">alendario oficial en materia de Transparencia y Protección de Datos Personales del Estado de México y Municipios para el </w:t>
      </w:r>
      <w:r w:rsidR="00C90892">
        <w:rPr>
          <w:rFonts w:ascii="Palatino Linotype" w:eastAsia="Palatino Linotype" w:hAnsi="Palatino Linotype" w:cs="Palatino Linotype"/>
          <w:color w:val="000000"/>
        </w:rPr>
        <w:t xml:space="preserve">año </w:t>
      </w:r>
      <w:r>
        <w:rPr>
          <w:rFonts w:ascii="Palatino Linotype" w:eastAsia="Palatino Linotype" w:hAnsi="Palatino Linotype" w:cs="Palatino Linotype"/>
          <w:color w:val="000000"/>
        </w:rPr>
        <w:t xml:space="preserve">dos mil veintitrés, aprobado por el Pleno del Instituto. </w:t>
      </w:r>
    </w:p>
    <w:p w:rsidR="00C60BD6" w:rsidRDefault="00C60BD6">
      <w:pPr>
        <w:spacing w:line="360" w:lineRule="auto"/>
        <w:jc w:val="both"/>
        <w:rPr>
          <w:rFonts w:ascii="Palatino Linotype" w:eastAsia="Palatino Linotype" w:hAnsi="Palatino Linotype" w:cs="Palatino Linotype"/>
          <w:b/>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rsidR="00C60BD6" w:rsidRDefault="00C60BD6">
      <w:pPr>
        <w:spacing w:line="360" w:lineRule="auto"/>
        <w:jc w:val="both"/>
        <w:rPr>
          <w:rFonts w:ascii="Palatino Linotype" w:eastAsia="Palatino Linotype" w:hAnsi="Palatino Linotype" w:cs="Palatino Linotype"/>
          <w:color w:val="000000"/>
          <w:sz w:val="22"/>
          <w:szCs w:val="22"/>
        </w:rPr>
      </w:pPr>
    </w:p>
    <w:p w:rsidR="00C60BD6" w:rsidRDefault="00883485">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C60BD6" w:rsidRDefault="00C60BD6">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 COMPETENCIA.</w:t>
      </w:r>
      <w:r>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w:t>
      </w:r>
      <w:r>
        <w:rPr>
          <w:rFonts w:ascii="Palatino Linotype" w:eastAsia="Palatino Linotype" w:hAnsi="Palatino Linotype" w:cs="Palatino Linotype"/>
          <w:color w:val="000000"/>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 OPORTUNIDAD Y PROCEDIBILIDAD DEL RECURSO DE REVISIÓN</w:t>
      </w:r>
      <w:r>
        <w:rPr>
          <w:rFonts w:ascii="Palatino Linotype" w:eastAsia="Palatino Linotype" w:hAnsi="Palatino Linotype" w:cs="Palatino Linotype"/>
          <w:color w:val="000000"/>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Pr>
          <w:rFonts w:ascii="Palatino Linotype" w:eastAsia="Palatino Linotype" w:hAnsi="Palatino Linotype" w:cs="Palatino Linotype"/>
          <w:b/>
          <w:color w:val="000000"/>
        </w:rPr>
        <w:t xml:space="preserve">doce de diciembre de dos mil veintidós, </w:t>
      </w:r>
      <w:r>
        <w:rPr>
          <w:rFonts w:ascii="Palatino Linotype" w:eastAsia="Palatino Linotype" w:hAnsi="Palatino Linotype" w:cs="Palatino Linotype"/>
          <w:color w:val="000000"/>
        </w:rPr>
        <w:t xml:space="preserve">mientras que el recurso de revisión se interpuso el </w:t>
      </w:r>
      <w:r>
        <w:rPr>
          <w:rFonts w:ascii="Palatino Linotype" w:eastAsia="Palatino Linotype" w:hAnsi="Palatino Linotype" w:cs="Palatino Linotype"/>
          <w:b/>
          <w:color w:val="000000"/>
        </w:rPr>
        <w:t>nueve de enero de dos mil veintitrés</w:t>
      </w:r>
      <w:r>
        <w:rPr>
          <w:rFonts w:ascii="Palatino Linotype" w:eastAsia="Palatino Linotype" w:hAnsi="Palatino Linotype" w:cs="Palatino Linotype"/>
          <w:color w:val="000000"/>
        </w:rPr>
        <w:t xml:space="preserve">, esto es, al </w:t>
      </w:r>
      <w:r>
        <w:rPr>
          <w:rFonts w:ascii="Palatino Linotype" w:eastAsia="Palatino Linotype" w:hAnsi="Palatino Linotype" w:cs="Palatino Linotype"/>
          <w:b/>
          <w:color w:val="000000"/>
        </w:rPr>
        <w:t>octavo día hábil</w:t>
      </w:r>
      <w:r>
        <w:rPr>
          <w:rFonts w:ascii="Palatino Linotype" w:eastAsia="Palatino Linotype" w:hAnsi="Palatino Linotype" w:cs="Palatino Linotype"/>
          <w:color w:val="000000"/>
        </w:rPr>
        <w:t xml:space="preserve"> posterior en que tuvo conocimiento de la respuesta impugnada.</w:t>
      </w:r>
    </w:p>
    <w:p w:rsidR="00C60BD6" w:rsidRDefault="00C60BD6">
      <w:pPr>
        <w:spacing w:line="360" w:lineRule="auto"/>
        <w:jc w:val="both"/>
        <w:rPr>
          <w:rFonts w:ascii="Palatino Linotype" w:eastAsia="Palatino Linotype" w:hAnsi="Palatino Linotype" w:cs="Palatino Linotype"/>
        </w:rPr>
      </w:pPr>
    </w:p>
    <w:p w:rsidR="00C60BD6" w:rsidRDefault="008834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Asimismo, por cuanto hace a la procedibilidad del recurso de revisión, es de suma importancia señalar que </w:t>
      </w:r>
      <w:r>
        <w:rPr>
          <w:rFonts w:ascii="Palatino Linotype" w:eastAsia="Palatino Linotype" w:hAnsi="Palatino Linotype" w:cs="Palatino Linotype"/>
        </w:rPr>
        <w:t>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60BD6" w:rsidRDefault="00C60BD6">
      <w:pPr>
        <w:spacing w:line="360" w:lineRule="auto"/>
        <w:jc w:val="both"/>
        <w:rPr>
          <w:rFonts w:ascii="Palatino Linotype" w:eastAsia="Palatino Linotype" w:hAnsi="Palatino Linotype" w:cs="Palatino Linotype"/>
          <w:color w:val="000000"/>
        </w:rPr>
      </w:pPr>
    </w:p>
    <w:p w:rsidR="00C60BD6" w:rsidRDefault="008834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 fracción I del artículo 179 del ordenamiento legal citada, que a la letra dicen: </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 La negativa a la información solicitada; </w:t>
      </w:r>
    </w:p>
    <w:p w:rsidR="00C60BD6" w:rsidRDefault="00883485">
      <w:pPr>
        <w:pBdr>
          <w:top w:val="nil"/>
          <w:left w:val="nil"/>
          <w:bottom w:val="nil"/>
          <w:right w:val="nil"/>
          <w:between w:val="nil"/>
        </w:pBdr>
        <w:ind w:left="851" w:right="851"/>
        <w:jc w:val="both"/>
        <w:rPr>
          <w:rFonts w:ascii="Palatino Linotype" w:eastAsia="Palatino Linotype" w:hAnsi="Palatino Linotype" w:cs="Palatino Linotype"/>
          <w:i/>
          <w:color w:val="FF0000"/>
          <w:sz w:val="22"/>
          <w:szCs w:val="22"/>
        </w:rPr>
      </w:pPr>
      <w:r>
        <w:rPr>
          <w:rFonts w:ascii="Palatino Linotype" w:eastAsia="Palatino Linotype" w:hAnsi="Palatino Linotype" w:cs="Palatino Linotype"/>
          <w:i/>
          <w:color w:val="000000"/>
          <w:sz w:val="22"/>
          <w:szCs w:val="22"/>
        </w:rPr>
        <w:t>(…)</w:t>
      </w:r>
    </w:p>
    <w:p w:rsidR="00C60BD6" w:rsidRDefault="00C60BD6">
      <w:pPr>
        <w:pBdr>
          <w:top w:val="nil"/>
          <w:left w:val="nil"/>
          <w:bottom w:val="nil"/>
          <w:right w:val="nil"/>
          <w:between w:val="nil"/>
        </w:pBdr>
        <w:ind w:left="851" w:right="851"/>
        <w:jc w:val="both"/>
        <w:rPr>
          <w:rFonts w:ascii="Palatino Linotype" w:eastAsia="Palatino Linotype" w:hAnsi="Palatino Linotype" w:cs="Palatino Linotype"/>
          <w:i/>
          <w:color w:val="FF0000"/>
          <w:sz w:val="22"/>
          <w:szCs w:val="22"/>
        </w:rPr>
      </w:pPr>
    </w:p>
    <w:p w:rsidR="00F23DCD" w:rsidRDefault="00925FAA" w:rsidP="00F23DC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w:t>
      </w:r>
      <w:r w:rsidR="00F23DCD" w:rsidRPr="00A873F8">
        <w:rPr>
          <w:rFonts w:ascii="Palatino Linotype" w:eastAsia="Palatino Linotype" w:hAnsi="Palatino Linotype" w:cs="Palatino Linotype"/>
          <w:b/>
        </w:rPr>
        <w:t>. ANÁLISIS DE LA CAUSAL DE SOBRESEIMIENTO DEL RECURSO DE REVISIÓN</w:t>
      </w:r>
      <w:r w:rsidR="00F23DCD">
        <w:rPr>
          <w:rFonts w:ascii="Palatino Linotype" w:eastAsia="Palatino Linotype" w:hAnsi="Palatino Linotype" w:cs="Palatino Linotype"/>
          <w:b/>
          <w:color w:val="000000"/>
        </w:rPr>
        <w:t xml:space="preserve">. </w:t>
      </w:r>
      <w:r w:rsidR="00F23DCD" w:rsidRPr="00F23DCD">
        <w:rPr>
          <w:rFonts w:ascii="Palatino Linotype" w:eastAsia="Palatino Linotype" w:hAnsi="Palatino Linotype" w:cs="Palatino Linotype"/>
        </w:rPr>
        <w:t>El artículo 192 de la Ley de Transparencia y Acceso a la Información Pública del Estado de Méxi</w:t>
      </w:r>
      <w:r w:rsidR="00F23DCD">
        <w:rPr>
          <w:rFonts w:ascii="Palatino Linotype" w:eastAsia="Palatino Linotype" w:hAnsi="Palatino Linotype" w:cs="Palatino Linotype"/>
        </w:rPr>
        <w:t>co y Municipios, señala que el recurso de r</w:t>
      </w:r>
      <w:r w:rsidR="00F23DCD" w:rsidRPr="00F23DCD">
        <w:rPr>
          <w:rFonts w:ascii="Palatino Linotype" w:eastAsia="Palatino Linotype" w:hAnsi="Palatino Linotype" w:cs="Palatino Linotype"/>
        </w:rPr>
        <w:t>evisión será sobreseído en todo o en parte, cuando, una vez admitido, se actualice alguno de los siguientes supuestos:</w:t>
      </w:r>
    </w:p>
    <w:p w:rsidR="00F23DCD" w:rsidRPr="00F23DCD" w:rsidRDefault="00F23DCD" w:rsidP="001C1CAB">
      <w:pPr>
        <w:pStyle w:val="Citas"/>
        <w:spacing w:before="0" w:after="0" w:line="240" w:lineRule="auto"/>
      </w:pPr>
    </w:p>
    <w:p w:rsidR="00F23DCD" w:rsidRDefault="00F23DCD" w:rsidP="001C1CAB">
      <w:pPr>
        <w:pStyle w:val="Citas"/>
        <w:spacing w:before="0" w:after="0" w:line="240" w:lineRule="auto"/>
      </w:pPr>
      <w:r w:rsidRPr="00F23DCD">
        <w:rPr>
          <w:b/>
        </w:rPr>
        <w:t>Artículo 192.</w:t>
      </w:r>
      <w:r w:rsidRPr="00F23DCD">
        <w:t xml:space="preserve"> El recurso será sobreseído, en todo o en parte, cuando una vez admitido, se actualicen alguno de los siguientes supuestos:  </w:t>
      </w:r>
    </w:p>
    <w:p w:rsidR="00F23DCD" w:rsidRPr="009B7090" w:rsidRDefault="00F23DCD" w:rsidP="001C1CAB">
      <w:pPr>
        <w:pStyle w:val="Citas"/>
        <w:spacing w:before="0" w:after="0" w:line="240" w:lineRule="auto"/>
        <w:rPr>
          <w:u w:val="single"/>
        </w:rPr>
      </w:pPr>
      <w:r w:rsidRPr="009B7090">
        <w:rPr>
          <w:b/>
          <w:u w:val="single"/>
        </w:rPr>
        <w:t xml:space="preserve">I. El recurrente se desista expresamente del recurso; </w:t>
      </w:r>
    </w:p>
    <w:p w:rsidR="00F23DCD" w:rsidRDefault="00F23DCD" w:rsidP="001C1CAB">
      <w:pPr>
        <w:pStyle w:val="Citas"/>
        <w:spacing w:before="0" w:after="0" w:line="240" w:lineRule="auto"/>
      </w:pPr>
      <w:r w:rsidRPr="00F23DCD">
        <w:rPr>
          <w:b/>
        </w:rPr>
        <w:t>II.</w:t>
      </w:r>
      <w:r w:rsidRPr="00F23DCD">
        <w:t xml:space="preserve"> El recurrente fallezca o, tratándose de personas jurídicas colectivas, se disuelva; </w:t>
      </w:r>
    </w:p>
    <w:p w:rsidR="00F23DCD" w:rsidRDefault="00F23DCD" w:rsidP="001C1CAB">
      <w:pPr>
        <w:pStyle w:val="Citas"/>
        <w:spacing w:before="0" w:after="0" w:line="240" w:lineRule="auto"/>
      </w:pPr>
      <w:r w:rsidRPr="00F23DCD">
        <w:rPr>
          <w:b/>
        </w:rPr>
        <w:t>III.</w:t>
      </w:r>
      <w:r w:rsidRPr="00F23DCD">
        <w:t xml:space="preserve"> El sujeto obligado responsable del acto lo modifique o revoque de tal manera que el recurso de revisión quede sin materia; </w:t>
      </w:r>
    </w:p>
    <w:p w:rsidR="00F23DCD" w:rsidRDefault="00F23DCD" w:rsidP="001C1CAB">
      <w:pPr>
        <w:pStyle w:val="Citas"/>
        <w:spacing w:before="0" w:after="0" w:line="240" w:lineRule="auto"/>
      </w:pPr>
      <w:r w:rsidRPr="00F23DCD">
        <w:rPr>
          <w:b/>
        </w:rPr>
        <w:t>IV</w:t>
      </w:r>
      <w:r w:rsidRPr="00F23DCD">
        <w:t xml:space="preserve">. Admitido el recurso de revisión, aparezca alguna causal de improcedencia en los términos de la presente Ley; y </w:t>
      </w:r>
    </w:p>
    <w:p w:rsidR="00F23DCD" w:rsidRDefault="00F23DCD" w:rsidP="001C1CAB">
      <w:pPr>
        <w:pStyle w:val="Citas"/>
        <w:spacing w:before="0" w:after="0" w:line="240" w:lineRule="auto"/>
      </w:pPr>
      <w:r w:rsidRPr="00F23DCD">
        <w:rPr>
          <w:b/>
        </w:rPr>
        <w:t>V.</w:t>
      </w:r>
      <w:r w:rsidRPr="00F23DCD">
        <w:t xml:space="preserve"> Cuando por cualquier motivo quede sin materia el recurso.</w:t>
      </w:r>
    </w:p>
    <w:p w:rsidR="00F23DCD" w:rsidRPr="00F23DCD" w:rsidRDefault="00F23DCD" w:rsidP="001C1CAB">
      <w:pPr>
        <w:pStyle w:val="Citas"/>
        <w:spacing w:before="0" w:after="0" w:line="240" w:lineRule="auto"/>
      </w:pPr>
    </w:p>
    <w:p w:rsidR="001C1CAB" w:rsidRDefault="00F23DCD"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rPr>
        <w:t>En ese sentido, es susceptible de análisis la actualización del supuesto jurídico previsto en la fracc</w:t>
      </w:r>
      <w:r w:rsidR="001C1CAB">
        <w:rPr>
          <w:rFonts w:ascii="Palatino Linotype" w:eastAsia="Palatino Linotype" w:hAnsi="Palatino Linotype" w:cs="Palatino Linotype"/>
        </w:rPr>
        <w:t>ión I, del artículo 192, de la l</w:t>
      </w:r>
      <w:r w:rsidRPr="00F23DCD">
        <w:rPr>
          <w:rFonts w:ascii="Palatino Linotype" w:eastAsia="Palatino Linotype" w:hAnsi="Palatino Linotype" w:cs="Palatino Linotype"/>
        </w:rPr>
        <w:t xml:space="preserve">ey en </w:t>
      </w:r>
      <w:r w:rsidR="001C1CAB">
        <w:rPr>
          <w:rFonts w:ascii="Palatino Linotype" w:eastAsia="Palatino Linotype" w:hAnsi="Palatino Linotype" w:cs="Palatino Linotype"/>
        </w:rPr>
        <w:t>cita, mismo que dispone que el recurso de r</w:t>
      </w:r>
      <w:r w:rsidRPr="00F23DCD">
        <w:rPr>
          <w:rFonts w:ascii="Palatino Linotype" w:eastAsia="Palatino Linotype" w:hAnsi="Palatino Linotype" w:cs="Palatino Linotype"/>
        </w:rPr>
        <w:t xml:space="preserve">evisión será sobreseído cuando </w:t>
      </w:r>
      <w:r w:rsidR="001C1CAB">
        <w:rPr>
          <w:rFonts w:ascii="Palatino Linotype" w:eastAsia="Palatino Linotype" w:hAnsi="Palatino Linotype" w:cs="Palatino Linotype"/>
          <w:b/>
        </w:rPr>
        <w:t xml:space="preserve">LA PARTE </w:t>
      </w:r>
      <w:r w:rsidR="001C1CAB" w:rsidRPr="00F23DCD">
        <w:rPr>
          <w:rFonts w:ascii="Palatino Linotype" w:eastAsia="Palatino Linotype" w:hAnsi="Palatino Linotype" w:cs="Palatino Linotype"/>
          <w:b/>
        </w:rPr>
        <w:t xml:space="preserve">RECURRENTE </w:t>
      </w:r>
      <w:r w:rsidRPr="00F23DCD">
        <w:rPr>
          <w:rFonts w:ascii="Palatino Linotype" w:eastAsia="Palatino Linotype" w:hAnsi="Palatino Linotype" w:cs="Palatino Linotype"/>
          <w:b/>
        </w:rPr>
        <w:t>se desista expresamente</w:t>
      </w:r>
      <w:r w:rsidRPr="00F23DCD">
        <w:rPr>
          <w:rFonts w:ascii="Palatino Linotype" w:eastAsia="Palatino Linotype" w:hAnsi="Palatino Linotype" w:cs="Palatino Linotype"/>
        </w:rPr>
        <w:t xml:space="preserve">. </w:t>
      </w:r>
    </w:p>
    <w:p w:rsidR="001C1CAB" w:rsidRDefault="001C1CAB" w:rsidP="00F23DCD">
      <w:pPr>
        <w:spacing w:line="360" w:lineRule="auto"/>
        <w:jc w:val="both"/>
        <w:rPr>
          <w:rFonts w:ascii="Palatino Linotype" w:eastAsia="Palatino Linotype" w:hAnsi="Palatino Linotype" w:cs="Palatino Linotype"/>
        </w:rPr>
      </w:pPr>
    </w:p>
    <w:p w:rsidR="00F23DCD" w:rsidRDefault="00F23DCD"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rPr>
        <w:t xml:space="preserve">Ello, toda vez que </w:t>
      </w:r>
      <w:r w:rsidR="001C1CAB" w:rsidRPr="001C1CAB">
        <w:rPr>
          <w:rFonts w:ascii="Palatino Linotype" w:eastAsia="Palatino Linotype" w:hAnsi="Palatino Linotype" w:cs="Palatino Linotype"/>
          <w:b/>
        </w:rPr>
        <w:t>LA PARTE RECURRENTE</w:t>
      </w:r>
      <w:r w:rsidR="001C1CAB" w:rsidRPr="00F23DCD">
        <w:rPr>
          <w:rFonts w:ascii="Palatino Linotype" w:eastAsia="Palatino Linotype" w:hAnsi="Palatino Linotype" w:cs="Palatino Linotype"/>
        </w:rPr>
        <w:t xml:space="preserve"> </w:t>
      </w:r>
      <w:r w:rsidR="001C1CAB">
        <w:rPr>
          <w:rFonts w:ascii="Palatino Linotype" w:eastAsia="Palatino Linotype" w:hAnsi="Palatino Linotype" w:cs="Palatino Linotype"/>
        </w:rPr>
        <w:t>con</w:t>
      </w:r>
      <w:r w:rsidRPr="00F23DCD">
        <w:rPr>
          <w:rFonts w:ascii="Palatino Linotype" w:eastAsia="Palatino Linotype" w:hAnsi="Palatino Linotype" w:cs="Palatino Linotype"/>
        </w:rPr>
        <w:t xml:space="preserve"> fecha </w:t>
      </w:r>
      <w:r w:rsidR="001C1CAB" w:rsidRPr="001C1CAB">
        <w:rPr>
          <w:rFonts w:ascii="Palatino Linotype" w:eastAsia="Palatino Linotype" w:hAnsi="Palatino Linotype" w:cs="Palatino Linotype"/>
        </w:rPr>
        <w:t xml:space="preserve">veintisiete de </w:t>
      </w:r>
      <w:r w:rsidRPr="001C1CAB">
        <w:rPr>
          <w:rFonts w:ascii="Palatino Linotype" w:eastAsia="Palatino Linotype" w:hAnsi="Palatino Linotype" w:cs="Palatino Linotype"/>
        </w:rPr>
        <w:t>julio de dos mil veintitrés,</w:t>
      </w:r>
      <w:r w:rsidRPr="00F23DCD">
        <w:rPr>
          <w:rFonts w:ascii="Palatino Linotype" w:eastAsia="Palatino Linotype" w:hAnsi="Palatino Linotype" w:cs="Palatino Linotype"/>
        </w:rPr>
        <w:t xml:space="preserve"> a través del</w:t>
      </w:r>
      <w:r w:rsidR="001C1CAB">
        <w:rPr>
          <w:rFonts w:ascii="Palatino Linotype" w:eastAsia="Palatino Linotype" w:hAnsi="Palatino Linotype" w:cs="Palatino Linotype"/>
        </w:rPr>
        <w:t xml:space="preserve"> SAIMEX, </w:t>
      </w:r>
      <w:r w:rsidRPr="00F23DCD">
        <w:rPr>
          <w:rFonts w:ascii="Palatino Linotype" w:eastAsia="Palatino Linotype" w:hAnsi="Palatino Linotype" w:cs="Palatino Linotype"/>
        </w:rPr>
        <w:t>se desi</w:t>
      </w:r>
      <w:r w:rsidR="001C1CAB">
        <w:rPr>
          <w:rFonts w:ascii="Palatino Linotype" w:eastAsia="Palatino Linotype" w:hAnsi="Palatino Linotype" w:cs="Palatino Linotype"/>
        </w:rPr>
        <w:t>stió expresamente del presente medio de impugnación</w:t>
      </w:r>
      <w:r w:rsidRPr="00F23DCD">
        <w:rPr>
          <w:rFonts w:ascii="Palatino Linotype" w:eastAsia="Palatino Linotype" w:hAnsi="Palatino Linotype" w:cs="Palatino Linotype"/>
        </w:rPr>
        <w:t xml:space="preserve">, </w:t>
      </w:r>
      <w:r w:rsidR="001C1CAB">
        <w:rPr>
          <w:rFonts w:ascii="Palatino Linotype" w:eastAsia="Palatino Linotype" w:hAnsi="Palatino Linotype" w:cs="Palatino Linotype"/>
        </w:rPr>
        <w:t xml:space="preserve">teniéndose por presentado ante el Infoem hasta el </w:t>
      </w:r>
      <w:r w:rsidR="001C1CAB" w:rsidRPr="001C1CAB">
        <w:rPr>
          <w:rFonts w:ascii="Palatino Linotype" w:eastAsia="Palatino Linotype" w:hAnsi="Palatino Linotype" w:cs="Palatino Linotype"/>
          <w:b/>
        </w:rPr>
        <w:t>treinta y uno de julio de dos mil veintitrés</w:t>
      </w:r>
      <w:r w:rsidR="001C1CAB" w:rsidRPr="00F23DCD">
        <w:rPr>
          <w:rFonts w:ascii="Palatino Linotype" w:eastAsia="Palatino Linotype" w:hAnsi="Palatino Linotype" w:cs="Palatino Linotype"/>
        </w:rPr>
        <w:t xml:space="preserve"> </w:t>
      </w:r>
      <w:r w:rsidR="001C1CAB">
        <w:rPr>
          <w:rFonts w:ascii="Palatino Linotype" w:eastAsia="Palatino Linotype" w:hAnsi="Palatino Linotype" w:cs="Palatino Linotype"/>
        </w:rPr>
        <w:t xml:space="preserve">y </w:t>
      </w:r>
      <w:r w:rsidRPr="00F23DCD">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rsidR="001C1CAB" w:rsidRPr="00F23DCD" w:rsidRDefault="001C1CAB" w:rsidP="00F23DCD">
      <w:pPr>
        <w:spacing w:line="360" w:lineRule="auto"/>
        <w:jc w:val="both"/>
        <w:rPr>
          <w:rFonts w:ascii="Palatino Linotype" w:eastAsia="Palatino Linotype" w:hAnsi="Palatino Linotype" w:cs="Palatino Linotype"/>
        </w:rPr>
      </w:pPr>
    </w:p>
    <w:p w:rsidR="00F23DCD" w:rsidRDefault="00F23DCD"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rPr>
        <w:t>En ese tenor, resulta aplicable la Jurisprudencia número 1a</w:t>
      </w:r>
      <w:proofErr w:type="gramStart"/>
      <w:r w:rsidRPr="00F23DCD">
        <w:rPr>
          <w:rFonts w:ascii="Palatino Linotype" w:eastAsia="Palatino Linotype" w:hAnsi="Palatino Linotype" w:cs="Palatino Linotype"/>
        </w:rPr>
        <w:t>./</w:t>
      </w:r>
      <w:proofErr w:type="gramEnd"/>
      <w:r w:rsidRPr="00F23DCD">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rsidR="001C1CAB" w:rsidRPr="00F23DCD" w:rsidRDefault="001C1CAB" w:rsidP="001C1CAB">
      <w:pPr>
        <w:pStyle w:val="Citas"/>
        <w:spacing w:before="0" w:after="0" w:line="240" w:lineRule="auto"/>
      </w:pPr>
    </w:p>
    <w:p w:rsidR="00F23DCD" w:rsidRDefault="00F23DCD" w:rsidP="001C1CAB">
      <w:pPr>
        <w:pStyle w:val="Citas"/>
        <w:spacing w:before="0" w:after="0" w:line="240" w:lineRule="auto"/>
      </w:pPr>
      <w:r w:rsidRPr="00F23DCD">
        <w:rPr>
          <w:b/>
        </w:rPr>
        <w:t xml:space="preserve">DESISTIMIENTO DE LA INSTANCIA. SURTE EFECTOS DESDE EL MOMENTO EN QUE SE PRESENTA EL ESCRITO CORRESPONDIENTE. </w:t>
      </w:r>
      <w:r w:rsidRPr="00F23DCD">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w:t>
      </w:r>
      <w:r w:rsidR="001C1CAB">
        <w:t>te la autoridad jurisdiccional.</w:t>
      </w:r>
    </w:p>
    <w:p w:rsidR="001C1CAB" w:rsidRPr="00F23DCD" w:rsidRDefault="001C1CAB" w:rsidP="001C1CAB">
      <w:pPr>
        <w:pStyle w:val="Citas"/>
        <w:spacing w:before="0" w:after="0" w:line="240" w:lineRule="auto"/>
      </w:pPr>
    </w:p>
    <w:p w:rsidR="00F23DCD" w:rsidRDefault="00F23DCD"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rPr>
        <w:lastRenderedPageBreak/>
        <w:t xml:space="preserve">Conforme a lo citado se pude colegir que cuando </w:t>
      </w:r>
      <w:r w:rsidR="001C1CAB" w:rsidRPr="001C1CAB">
        <w:rPr>
          <w:rFonts w:ascii="Palatino Linotype" w:eastAsia="Palatino Linotype" w:hAnsi="Palatino Linotype" w:cs="Palatino Linotype"/>
          <w:b/>
        </w:rPr>
        <w:t xml:space="preserve">LA PARTE RECURRENTE </w:t>
      </w:r>
      <w:r w:rsidRPr="00F23DCD">
        <w:rPr>
          <w:rFonts w:ascii="Palatino Linotype" w:eastAsia="Palatino Linotype" w:hAnsi="Palatino Linotype" w:cs="Palatino Linotype"/>
        </w:rPr>
        <w:t xml:space="preserve">presente un escrito de desistimiento, le hace saber a este Instituto la intención de cesar los efectos jurídicos generados con el </w:t>
      </w:r>
      <w:r w:rsidR="001C1CAB" w:rsidRPr="00F23DCD">
        <w:rPr>
          <w:rFonts w:ascii="Palatino Linotype" w:eastAsia="Palatino Linotype" w:hAnsi="Palatino Linotype" w:cs="Palatino Linotype"/>
        </w:rPr>
        <w:t>recurso de revisión</w:t>
      </w:r>
      <w:r w:rsidRPr="00F23DCD">
        <w:rPr>
          <w:rFonts w:ascii="Palatino Linotype" w:eastAsia="Palatino Linotype" w:hAnsi="Palatino Linotype" w:cs="Palatino Linotype"/>
        </w:rPr>
        <w:t xml:space="preserve">, situación que genera el efecto de que las cosas vuelvan al estado que tenía la solicitud de información antes de la presentación del medio de impugnación y por lo cual, desaparece cualquier efecto jurídico que pudiera haberse generado con el </w:t>
      </w:r>
      <w:r w:rsidR="001C1CAB" w:rsidRPr="00F23DCD">
        <w:rPr>
          <w:rFonts w:ascii="Palatino Linotype" w:eastAsia="Palatino Linotype" w:hAnsi="Palatino Linotype" w:cs="Palatino Linotype"/>
        </w:rPr>
        <w:t>medio de impugnación</w:t>
      </w:r>
      <w:r w:rsidRPr="00F23DCD">
        <w:rPr>
          <w:rFonts w:ascii="Palatino Linotype" w:eastAsia="Palatino Linotype" w:hAnsi="Palatino Linotype" w:cs="Palatino Linotype"/>
        </w:rPr>
        <w:t>, esto es, todos los derechos y obligaciones de las partes.</w:t>
      </w:r>
    </w:p>
    <w:p w:rsidR="001C1CAB" w:rsidRPr="00F23DCD" w:rsidRDefault="001C1CAB" w:rsidP="00F23DCD">
      <w:pPr>
        <w:spacing w:line="360" w:lineRule="auto"/>
        <w:jc w:val="both"/>
        <w:rPr>
          <w:rFonts w:ascii="Palatino Linotype" w:eastAsia="Palatino Linotype" w:hAnsi="Palatino Linotype" w:cs="Palatino Linotype"/>
        </w:rPr>
      </w:pPr>
    </w:p>
    <w:p w:rsidR="00F23DCD" w:rsidRDefault="00F23DCD"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rPr>
        <w:t xml:space="preserve">En ese sentido, toda vez que este Instituto </w:t>
      </w:r>
      <w:r w:rsidR="001C1CAB">
        <w:rPr>
          <w:rFonts w:ascii="Palatino Linotype" w:eastAsia="Palatino Linotype" w:hAnsi="Palatino Linotype" w:cs="Palatino Linotype"/>
        </w:rPr>
        <w:t xml:space="preserve">de Transparencia </w:t>
      </w:r>
      <w:r w:rsidRPr="00F23DCD">
        <w:rPr>
          <w:rFonts w:ascii="Palatino Linotype" w:eastAsia="Palatino Linotype" w:hAnsi="Palatino Linotype" w:cs="Palatino Linotype"/>
        </w:rPr>
        <w:t xml:space="preserve">constató que </w:t>
      </w:r>
      <w:r w:rsidR="001C1CAB" w:rsidRPr="001C1CAB">
        <w:rPr>
          <w:rFonts w:ascii="Palatino Linotype" w:eastAsia="Palatino Linotype" w:hAnsi="Palatino Linotype" w:cs="Palatino Linotype"/>
          <w:b/>
        </w:rPr>
        <w:t xml:space="preserve">LA PARTE RECURRENTE </w:t>
      </w:r>
      <w:r w:rsidRPr="00F23DCD">
        <w:rPr>
          <w:rFonts w:ascii="Palatino Linotype" w:eastAsia="Palatino Linotype" w:hAnsi="Palatino Linotype" w:cs="Palatino Linotype"/>
        </w:rPr>
        <w:t xml:space="preserve">se desistió por la vía idónea para realizar dicha acción, a saber, por el Sistema de Acceso a la Información Mexiquense, resulta procedente </w:t>
      </w:r>
      <w:r w:rsidR="001C1CAB" w:rsidRPr="001C1CAB">
        <w:rPr>
          <w:rFonts w:ascii="Palatino Linotype" w:eastAsia="Palatino Linotype" w:hAnsi="Palatino Linotype" w:cs="Palatino Linotype"/>
          <w:b/>
        </w:rPr>
        <w:t xml:space="preserve">SOBRESEER </w:t>
      </w:r>
      <w:r w:rsidRPr="00F23DCD">
        <w:rPr>
          <w:rFonts w:ascii="Palatino Linotype" w:eastAsia="Palatino Linotype" w:hAnsi="Palatino Linotype" w:cs="Palatino Linotype"/>
        </w:rPr>
        <w:t xml:space="preserve">el </w:t>
      </w:r>
      <w:r w:rsidR="001C1CAB" w:rsidRPr="00F23DCD">
        <w:rPr>
          <w:rFonts w:ascii="Palatino Linotype" w:eastAsia="Palatino Linotype" w:hAnsi="Palatino Linotype" w:cs="Palatino Linotype"/>
        </w:rPr>
        <w:t xml:space="preserve">recurso de revisión </w:t>
      </w:r>
      <w:r w:rsidRPr="00F23DCD">
        <w:rPr>
          <w:rFonts w:ascii="Palatino Linotype" w:eastAsia="Palatino Linotype" w:hAnsi="Palatino Linotype" w:cs="Palatino Linotype"/>
        </w:rPr>
        <w:t xml:space="preserve">con número </w:t>
      </w:r>
      <w:r w:rsidR="001C1CAB">
        <w:rPr>
          <w:rFonts w:ascii="Palatino Linotype" w:eastAsia="Palatino Linotype" w:hAnsi="Palatino Linotype" w:cs="Palatino Linotype"/>
          <w:b/>
        </w:rPr>
        <w:t>00009</w:t>
      </w:r>
      <w:r w:rsidRPr="00F23DCD">
        <w:rPr>
          <w:rFonts w:ascii="Palatino Linotype" w:eastAsia="Palatino Linotype" w:hAnsi="Palatino Linotype" w:cs="Palatino Linotype"/>
          <w:b/>
        </w:rPr>
        <w:t xml:space="preserve">/INFOEM/IP/RR/2023 </w:t>
      </w:r>
      <w:r w:rsidRPr="00F23DCD">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rsidR="001C1CAB" w:rsidRPr="00F23DCD" w:rsidRDefault="001C1CAB" w:rsidP="001C1CAB">
      <w:pPr>
        <w:pStyle w:val="Citas"/>
        <w:spacing w:before="0" w:after="0" w:line="240" w:lineRule="auto"/>
      </w:pPr>
    </w:p>
    <w:p w:rsidR="001C1CAB" w:rsidRDefault="00F23DCD" w:rsidP="001C1CAB">
      <w:pPr>
        <w:pStyle w:val="Citas"/>
        <w:spacing w:before="0" w:after="0" w:line="240" w:lineRule="auto"/>
      </w:pPr>
      <w:r w:rsidRPr="00F23DCD">
        <w:rPr>
          <w:b/>
        </w:rPr>
        <w:t>Artículo 186.</w:t>
      </w:r>
      <w:r w:rsidRPr="00F23DCD">
        <w:t xml:space="preserve"> Las resoluciones del Instituto podrán: </w:t>
      </w:r>
    </w:p>
    <w:p w:rsidR="00F23DCD" w:rsidRDefault="00F23DCD" w:rsidP="001C1CAB">
      <w:pPr>
        <w:pStyle w:val="Citas"/>
        <w:spacing w:before="0" w:after="0" w:line="240" w:lineRule="auto"/>
      </w:pPr>
      <w:r w:rsidRPr="00F23DCD">
        <w:rPr>
          <w:b/>
        </w:rPr>
        <w:t>I.</w:t>
      </w:r>
      <w:r w:rsidRPr="00F23DCD">
        <w:t xml:space="preserve"> Desechar o sobreseer el recurso; </w:t>
      </w:r>
    </w:p>
    <w:p w:rsidR="001C1CAB" w:rsidRDefault="001C1CAB" w:rsidP="001C1CAB">
      <w:pPr>
        <w:pStyle w:val="Citas"/>
        <w:spacing w:before="0" w:after="0" w:line="240" w:lineRule="auto"/>
      </w:pPr>
      <w:r>
        <w:rPr>
          <w:b/>
        </w:rPr>
        <w:t>(…</w:t>
      </w:r>
      <w:r>
        <w:t>)</w:t>
      </w:r>
    </w:p>
    <w:p w:rsidR="001C1CAB" w:rsidRPr="00F23DCD" w:rsidRDefault="001C1CAB" w:rsidP="001C1CAB">
      <w:pPr>
        <w:pStyle w:val="Citas"/>
        <w:spacing w:before="0" w:after="0" w:line="240" w:lineRule="auto"/>
      </w:pPr>
    </w:p>
    <w:p w:rsidR="00F23DCD" w:rsidRDefault="00F23DCD" w:rsidP="00F23DCD">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23DC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w:t>
      </w:r>
      <w:r w:rsidR="001C1CAB">
        <w:rPr>
          <w:rFonts w:ascii="Palatino Linotype" w:eastAsia="Palatino Linotype" w:hAnsi="Palatino Linotype" w:cs="Palatino Linotype"/>
        </w:rPr>
        <w:t xml:space="preserve">, 178, 181, 185 y 186 fracción </w:t>
      </w:r>
      <w:r w:rsidRPr="00F23DCD">
        <w:rPr>
          <w:rFonts w:ascii="Palatino Linotype" w:eastAsia="Palatino Linotype" w:hAnsi="Palatino Linotype" w:cs="Palatino Linotype"/>
        </w:rPr>
        <w:t xml:space="preserve">I de la Ley de Transparencia y Acceso a la Información Pública del Estado de </w:t>
      </w:r>
      <w:r w:rsidR="001C1CAB">
        <w:rPr>
          <w:rFonts w:ascii="Palatino Linotype" w:eastAsia="Palatino Linotype" w:hAnsi="Palatino Linotype" w:cs="Palatino Linotype"/>
        </w:rPr>
        <w:t>México y Municipios, este Pleno,</w:t>
      </w:r>
    </w:p>
    <w:p w:rsidR="001C1CAB" w:rsidRPr="00F23DCD" w:rsidRDefault="001C1CAB" w:rsidP="00F23DCD">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1C1CAB" w:rsidRDefault="00F23DCD" w:rsidP="001C1CAB">
      <w:pPr>
        <w:pStyle w:val="Prrafodelista"/>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1C1CAB">
        <w:rPr>
          <w:rFonts w:ascii="Palatino Linotype" w:eastAsia="Palatino Linotype" w:hAnsi="Palatino Linotype" w:cs="Palatino Linotype"/>
          <w:b/>
        </w:rPr>
        <w:lastRenderedPageBreak/>
        <w:t>R E S U E L V E:</w:t>
      </w:r>
    </w:p>
    <w:p w:rsidR="001C1CAB" w:rsidRPr="001C1CAB" w:rsidRDefault="001C1CAB" w:rsidP="001C1CAB">
      <w:pPr>
        <w:pStyle w:val="Prrafodelista"/>
        <w:pBdr>
          <w:top w:val="nil"/>
          <w:left w:val="nil"/>
          <w:bottom w:val="nil"/>
          <w:right w:val="nil"/>
          <w:between w:val="nil"/>
        </w:pBdr>
        <w:spacing w:line="360" w:lineRule="auto"/>
        <w:ind w:left="1080"/>
        <w:rPr>
          <w:rFonts w:ascii="Palatino Linotype" w:eastAsia="Palatino Linotype" w:hAnsi="Palatino Linotype" w:cs="Palatino Linotype"/>
          <w:b/>
        </w:rPr>
      </w:pPr>
    </w:p>
    <w:p w:rsidR="00F23DCD" w:rsidRDefault="001C1CAB" w:rsidP="00F23DC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4" w:name="_heading=h.3dy6vkm" w:colFirst="0" w:colLast="0"/>
      <w:bookmarkEnd w:id="4"/>
      <w:r w:rsidRPr="00F23DCD">
        <w:rPr>
          <w:rFonts w:ascii="Palatino Linotype" w:eastAsia="Palatino Linotype" w:hAnsi="Palatino Linotype" w:cs="Palatino Linotype"/>
          <w:b/>
        </w:rPr>
        <w:t>PRIMERO.</w:t>
      </w:r>
      <w:r w:rsidR="00F23DCD" w:rsidRPr="00F23DCD">
        <w:rPr>
          <w:rFonts w:ascii="Palatino Linotype" w:eastAsia="Palatino Linotype" w:hAnsi="Palatino Linotype" w:cs="Palatino Linotype"/>
          <w:b/>
        </w:rPr>
        <w:t xml:space="preserve"> </w:t>
      </w:r>
      <w:r w:rsidR="00F23DCD" w:rsidRPr="00F23DCD">
        <w:rPr>
          <w:rFonts w:ascii="Palatino Linotype" w:eastAsia="Palatino Linotype" w:hAnsi="Palatino Linotype" w:cs="Palatino Linotype"/>
        </w:rPr>
        <w:t>Se</w:t>
      </w:r>
      <w:r w:rsidR="00F23DCD" w:rsidRPr="00F23DCD">
        <w:rPr>
          <w:rFonts w:ascii="Palatino Linotype" w:eastAsia="Palatino Linotype" w:hAnsi="Palatino Linotype" w:cs="Palatino Linotype"/>
          <w:b/>
        </w:rPr>
        <w:t xml:space="preserve"> </w:t>
      </w:r>
      <w:r w:rsidRPr="00F23DCD">
        <w:rPr>
          <w:rFonts w:ascii="Palatino Linotype" w:eastAsia="Palatino Linotype" w:hAnsi="Palatino Linotype" w:cs="Palatino Linotype"/>
          <w:b/>
        </w:rPr>
        <w:t>SOBRESEE</w:t>
      </w:r>
      <w:r w:rsidR="00F23DCD" w:rsidRPr="00F23DCD">
        <w:rPr>
          <w:rFonts w:ascii="Palatino Linotype" w:eastAsia="Palatino Linotype" w:hAnsi="Palatino Linotype" w:cs="Palatino Linotype"/>
          <w:b/>
        </w:rPr>
        <w:t xml:space="preserve"> </w:t>
      </w:r>
      <w:r w:rsidR="00F23DCD" w:rsidRPr="00F23DCD">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00009</w:t>
      </w:r>
      <w:r w:rsidR="00F23DCD" w:rsidRPr="00F23DCD">
        <w:rPr>
          <w:rFonts w:ascii="Palatino Linotype" w:eastAsia="Palatino Linotype" w:hAnsi="Palatino Linotype" w:cs="Palatino Linotype"/>
          <w:b/>
        </w:rPr>
        <w:t xml:space="preserve">/INFOEM/IP/RR/2023, </w:t>
      </w:r>
      <w:r w:rsidR="00F23DCD" w:rsidRPr="00F23DCD">
        <w:rPr>
          <w:rFonts w:ascii="Palatino Linotype" w:eastAsia="Palatino Linotype" w:hAnsi="Palatino Linotype" w:cs="Palatino Linotype"/>
        </w:rPr>
        <w:t xml:space="preserve">en términos del </w:t>
      </w:r>
      <w:r w:rsidRPr="00F23DCD">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w:t>
      </w:r>
      <w:r w:rsidR="00F23DCD" w:rsidRPr="00F23DCD">
        <w:rPr>
          <w:rFonts w:ascii="Palatino Linotype" w:eastAsia="Palatino Linotype" w:hAnsi="Palatino Linotype" w:cs="Palatino Linotype"/>
        </w:rPr>
        <w:t xml:space="preserve">esolución, al actualizarse la fracción I del artículo 192 de la Ley de Transparencia y Acceso a la Información Pública del Estado de México y Municipios por haberse desistido expresamente </w:t>
      </w:r>
      <w:r w:rsidRPr="001C1CAB">
        <w:rPr>
          <w:rFonts w:ascii="Palatino Linotype" w:eastAsia="Palatino Linotype" w:hAnsi="Palatino Linotype" w:cs="Palatino Linotype"/>
          <w:b/>
        </w:rPr>
        <w:t>LA PARTE RECURRENTE.</w:t>
      </w:r>
    </w:p>
    <w:p w:rsidR="001C1CAB" w:rsidRPr="00F23DCD" w:rsidRDefault="001C1CAB" w:rsidP="00F23DC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rsidR="00F23DCD" w:rsidRDefault="001C1CAB" w:rsidP="00F23DC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b/>
        </w:rPr>
        <w:t>SEGUNDO. NOTIFÍQUESE,</w:t>
      </w:r>
      <w:r w:rsidR="00F23DCD" w:rsidRPr="00F23DCD">
        <w:rPr>
          <w:rFonts w:ascii="Palatino Linotype" w:eastAsia="Palatino Linotype" w:hAnsi="Palatino Linotype" w:cs="Palatino Linotype"/>
          <w:b/>
        </w:rPr>
        <w:t xml:space="preserve">  </w:t>
      </w:r>
      <w:r w:rsidR="00F23DCD" w:rsidRPr="00F23DCD">
        <w:rPr>
          <w:rFonts w:ascii="Palatino Linotype" w:eastAsia="Palatino Linotype" w:hAnsi="Palatino Linotype" w:cs="Palatino Linotype"/>
        </w:rPr>
        <w:t>vía Sistema de Acceso a la Información Mexiquense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 la Persona </w:t>
      </w:r>
      <w:r w:rsidR="00F23DCD" w:rsidRPr="00F23DCD">
        <w:rPr>
          <w:rFonts w:ascii="Palatino Linotype" w:eastAsia="Palatino Linotype" w:hAnsi="Palatino Linotype" w:cs="Palatino Linotype"/>
        </w:rPr>
        <w:t>Titular de la Unidad de Transparencia del</w:t>
      </w:r>
      <w:r w:rsidR="00F23DCD" w:rsidRPr="00F23DCD">
        <w:rPr>
          <w:rFonts w:ascii="Palatino Linotype" w:eastAsia="Palatino Linotype" w:hAnsi="Palatino Linotype" w:cs="Palatino Linotype"/>
          <w:b/>
        </w:rPr>
        <w:t xml:space="preserve"> </w:t>
      </w:r>
      <w:r w:rsidRPr="00F23DCD">
        <w:rPr>
          <w:rFonts w:ascii="Palatino Linotype" w:eastAsia="Palatino Linotype" w:hAnsi="Palatino Linotype" w:cs="Palatino Linotype"/>
          <w:b/>
        </w:rPr>
        <w:t xml:space="preserve">SUJETO OBLIGADO, </w:t>
      </w:r>
      <w:r w:rsidR="00F23DCD" w:rsidRPr="00F23DCD">
        <w:rPr>
          <w:rFonts w:ascii="Palatino Linotype" w:eastAsia="Palatino Linotype" w:hAnsi="Palatino Linotype" w:cs="Palatino Linotype"/>
        </w:rPr>
        <w:t>para su conocimiento.</w:t>
      </w:r>
    </w:p>
    <w:p w:rsidR="001C1CAB" w:rsidRPr="00F23DCD" w:rsidRDefault="001C1CAB" w:rsidP="00F23DC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rsidR="00F23DCD" w:rsidRDefault="001C1CAB" w:rsidP="00F23DCD">
      <w:pPr>
        <w:spacing w:line="360" w:lineRule="auto"/>
        <w:jc w:val="both"/>
        <w:rPr>
          <w:rFonts w:ascii="Palatino Linotype" w:eastAsia="Palatino Linotype" w:hAnsi="Palatino Linotype" w:cs="Palatino Linotype"/>
        </w:rPr>
      </w:pPr>
      <w:r w:rsidRPr="00F23DCD">
        <w:rPr>
          <w:rFonts w:ascii="Palatino Linotype" w:eastAsia="Palatino Linotype" w:hAnsi="Palatino Linotype" w:cs="Palatino Linotype"/>
          <w:b/>
        </w:rPr>
        <w:t xml:space="preserve">TERCERO. NOTIFÍQUESE, </w:t>
      </w:r>
      <w:r w:rsidR="00F23DCD" w:rsidRPr="00F23DCD">
        <w:rPr>
          <w:rFonts w:ascii="Palatino Linotype" w:eastAsia="Palatino Linotype" w:hAnsi="Palatino Linotype" w:cs="Palatino Linotype"/>
        </w:rPr>
        <w:t>vía</w:t>
      </w:r>
      <w:r>
        <w:rPr>
          <w:rFonts w:ascii="Palatino Linotype" w:eastAsia="Palatino Linotype" w:hAnsi="Palatino Linotype" w:cs="Palatino Linotype"/>
          <w:b/>
        </w:rPr>
        <w:t xml:space="preserve"> </w:t>
      </w:r>
      <w:r w:rsidRPr="00F23DCD">
        <w:rPr>
          <w:rFonts w:ascii="Palatino Linotype" w:eastAsia="Palatino Linotype" w:hAnsi="Palatino Linotype" w:cs="Palatino Linotype"/>
        </w:rPr>
        <w:t>Sistema de Acceso a la Información Mexiquense</w:t>
      </w:r>
      <w:r w:rsidR="00F23DCD" w:rsidRPr="00F23DCD">
        <w:rPr>
          <w:rFonts w:ascii="Palatino Linotype" w:eastAsia="Palatino Linotype" w:hAnsi="Palatino Linotype" w:cs="Palatino Linotype"/>
        </w:rPr>
        <w:t>, a</w:t>
      </w:r>
      <w:r w:rsidR="00F23DCD" w:rsidRPr="00F23DCD">
        <w:rPr>
          <w:rFonts w:ascii="Palatino Linotype" w:eastAsia="Palatino Linotype" w:hAnsi="Palatino Linotype" w:cs="Palatino Linotype"/>
          <w:b/>
        </w:rPr>
        <w:t xml:space="preserve"> </w:t>
      </w:r>
      <w:r w:rsidRPr="001C1CAB">
        <w:rPr>
          <w:rFonts w:ascii="Palatino Linotype" w:eastAsia="Palatino Linotype" w:hAnsi="Palatino Linotype" w:cs="Palatino Linotype"/>
          <w:b/>
        </w:rPr>
        <w:t>LA PARTE RECURRENTE</w:t>
      </w:r>
      <w:r w:rsidRPr="00F23DCD">
        <w:rPr>
          <w:rFonts w:ascii="Palatino Linotype" w:eastAsia="Palatino Linotype" w:hAnsi="Palatino Linotype" w:cs="Palatino Linotype"/>
        </w:rPr>
        <w:t xml:space="preserve"> </w:t>
      </w:r>
      <w:r w:rsidR="00F23DCD" w:rsidRPr="00F23DC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1C1CAB" w:rsidRPr="00F23DCD" w:rsidRDefault="001C1CAB" w:rsidP="00F23DCD">
      <w:pPr>
        <w:spacing w:line="360" w:lineRule="auto"/>
        <w:jc w:val="both"/>
        <w:rPr>
          <w:rFonts w:ascii="Palatino Linotype" w:eastAsia="Palatino Linotype" w:hAnsi="Palatino Linotype" w:cs="Palatino Linotype"/>
        </w:rPr>
      </w:pPr>
    </w:p>
    <w:p w:rsidR="00F23DCD" w:rsidRPr="00F23DCD" w:rsidRDefault="00F23DCD" w:rsidP="00F23DCD">
      <w:pPr>
        <w:spacing w:line="360" w:lineRule="auto"/>
        <w:jc w:val="both"/>
        <w:rPr>
          <w:rFonts w:ascii="Palatino Linotype" w:eastAsia="Palatino Linotype" w:hAnsi="Palatino Linotype" w:cs="Palatino Linotype"/>
        </w:rPr>
      </w:pPr>
      <w:bookmarkStart w:id="5" w:name="_heading=h.1t3h5sf" w:colFirst="0" w:colLast="0"/>
      <w:bookmarkEnd w:id="5"/>
      <w:r w:rsidRPr="00F23DC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w:t>
      </w:r>
      <w:bookmarkStart w:id="6" w:name="_GoBack"/>
      <w:bookmarkEnd w:id="6"/>
      <w:r w:rsidRPr="00F23DCD">
        <w:rPr>
          <w:rFonts w:ascii="Palatino Linotype" w:eastAsia="Palatino Linotype" w:hAnsi="Palatino Linotype" w:cs="Palatino Linotype"/>
        </w:rPr>
        <w:t xml:space="preserve">IPIOS, CONFORMADO POR LOS COMISIONADOS JOSÉ MARTÍNEZ VILCHIS, MARÍA DEL ROSARIO MEJÍA AYALA, SHARON CRISTINA MORALES MARTÍNEZ, LUIS GUSTAVO PARRA NORIEGA Y GUADALUPE </w:t>
      </w:r>
      <w:r w:rsidRPr="00F23DCD">
        <w:rPr>
          <w:rFonts w:ascii="Palatino Linotype" w:eastAsia="Palatino Linotype" w:hAnsi="Palatino Linotype" w:cs="Palatino Linotype"/>
        </w:rPr>
        <w:lastRenderedPageBreak/>
        <w:t>RA</w:t>
      </w:r>
      <w:r w:rsidR="001C1CAB">
        <w:rPr>
          <w:rFonts w:ascii="Palatino Linotype" w:eastAsia="Palatino Linotype" w:hAnsi="Palatino Linotype" w:cs="Palatino Linotype"/>
        </w:rPr>
        <w:t>MÍREZ PEÑA; EN LA VIGÉSIMO SÉPTIMA</w:t>
      </w:r>
      <w:r w:rsidRPr="00F23DCD">
        <w:rPr>
          <w:rFonts w:ascii="Palatino Linotype" w:eastAsia="Palatino Linotype" w:hAnsi="Palatino Linotype" w:cs="Palatino Linotype"/>
        </w:rPr>
        <w:t xml:space="preserve"> SESIÓN ORDINARIA CELEBRADA EL </w:t>
      </w:r>
      <w:r w:rsidR="00D62B38">
        <w:rPr>
          <w:rFonts w:ascii="Palatino Linotype" w:eastAsia="Palatino Linotype" w:hAnsi="Palatino Linotype" w:cs="Palatino Linotype"/>
        </w:rPr>
        <w:t>DOS</w:t>
      </w:r>
      <w:r w:rsidR="001C1CAB">
        <w:rPr>
          <w:rFonts w:ascii="Palatino Linotype" w:eastAsia="Palatino Linotype" w:hAnsi="Palatino Linotype" w:cs="Palatino Linotype"/>
        </w:rPr>
        <w:t xml:space="preserve"> DE AGOSTO </w:t>
      </w:r>
      <w:r w:rsidRPr="00F23DCD">
        <w:rPr>
          <w:rFonts w:ascii="Palatino Linotype" w:eastAsia="Palatino Linotype" w:hAnsi="Palatino Linotype" w:cs="Palatino Linotype"/>
        </w:rPr>
        <w:t>DE DOS MIL VEINTITRÉS, ANTE EL SECRETARIO TÉCNICO DEL PLENO ALEXIS TAPIA RAMÍREZ.</w:t>
      </w:r>
    </w:p>
    <w:p w:rsidR="00F23DCD" w:rsidRPr="00F23DCD" w:rsidRDefault="00F23DCD" w:rsidP="00F23DCD">
      <w:pPr>
        <w:spacing w:line="360" w:lineRule="auto"/>
        <w:jc w:val="both"/>
        <w:rPr>
          <w:rFonts w:ascii="Palatino Linotype" w:eastAsia="Palatino Linotype" w:hAnsi="Palatino Linotype" w:cs="Palatino Linotype"/>
          <w:b/>
          <w:color w:val="000000"/>
        </w:rPr>
      </w:pPr>
    </w:p>
    <w:p w:rsidR="00F23DCD" w:rsidRDefault="00486B5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rPr>
        <mc:AlternateContent>
          <mc:Choice Requires="wps">
            <w:drawing>
              <wp:anchor distT="0" distB="0" distL="114300" distR="114300" simplePos="0" relativeHeight="251659264" behindDoc="0" locked="0" layoutInCell="1" allowOverlap="1">
                <wp:simplePos x="0" y="0"/>
                <wp:positionH relativeFrom="column">
                  <wp:posOffset>339089</wp:posOffset>
                </wp:positionH>
                <wp:positionV relativeFrom="paragraph">
                  <wp:posOffset>62229</wp:posOffset>
                </wp:positionV>
                <wp:extent cx="5114925" cy="55149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114925" cy="55149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DA9ACF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4.9pt" to="429.45pt,4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" strokecolor="#f68c36 [3049]"/>
            </w:pict>
          </mc:Fallback>
        </mc:AlternateContent>
      </w: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F23DCD" w:rsidRDefault="00F23DCD">
      <w:pPr>
        <w:spacing w:line="360" w:lineRule="auto"/>
        <w:jc w:val="both"/>
        <w:rPr>
          <w:rFonts w:ascii="Palatino Linotype" w:eastAsia="Palatino Linotype" w:hAnsi="Palatino Linotype" w:cs="Palatino Linotype"/>
          <w:b/>
          <w:color w:val="000000"/>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rPr>
      </w:pPr>
    </w:p>
    <w:p w:rsidR="00C60BD6" w:rsidRDefault="00C60BD6">
      <w:pPr>
        <w:spacing w:line="360" w:lineRule="auto"/>
        <w:jc w:val="both"/>
        <w:rPr>
          <w:rFonts w:ascii="Palatino Linotype" w:eastAsia="Palatino Linotype" w:hAnsi="Palatino Linotype" w:cs="Palatino Linotype"/>
          <w:b/>
        </w:rPr>
      </w:pPr>
    </w:p>
    <w:p w:rsidR="00C60BD6" w:rsidRDefault="00C60BD6">
      <w:pPr>
        <w:spacing w:line="360" w:lineRule="auto"/>
        <w:jc w:val="both"/>
        <w:rPr>
          <w:rFonts w:ascii="Palatino Linotype" w:eastAsia="Palatino Linotype" w:hAnsi="Palatino Linotype" w:cs="Palatino Linotype"/>
          <w:b/>
        </w:rPr>
      </w:pPr>
    </w:p>
    <w:p w:rsidR="00C60BD6" w:rsidRDefault="00C60BD6">
      <w:pPr>
        <w:spacing w:line="360" w:lineRule="auto"/>
        <w:jc w:val="both"/>
        <w:rPr>
          <w:rFonts w:ascii="Palatino Linotype" w:eastAsia="Palatino Linotype" w:hAnsi="Palatino Linotype" w:cs="Palatino Linotype"/>
          <w:color w:val="000000"/>
        </w:rPr>
      </w:pPr>
      <w:bookmarkStart w:id="7" w:name="_heading=h.2et92p0" w:colFirst="0" w:colLast="0"/>
      <w:bookmarkEnd w:id="7"/>
    </w:p>
    <w:sectPr w:rsidR="00C60BD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DED" w:rsidRDefault="00985DED">
      <w:r>
        <w:separator/>
      </w:r>
    </w:p>
  </w:endnote>
  <w:endnote w:type="continuationSeparator" w:id="0">
    <w:p w:rsidR="00985DED" w:rsidRDefault="009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DCD" w:rsidRDefault="00F23D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454B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454B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F23DCD" w:rsidRDefault="00F23DC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DCD" w:rsidRDefault="00F23D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454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454B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DED" w:rsidRDefault="00985DED">
      <w:r>
        <w:separator/>
      </w:r>
    </w:p>
  </w:footnote>
  <w:footnote w:type="continuationSeparator" w:id="0">
    <w:p w:rsidR="00985DED" w:rsidRDefault="00985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DCD" w:rsidRDefault="00F23DCD">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-1079498</wp:posOffset>
          </wp:positionH>
          <wp:positionV relativeFrom="paragraph">
            <wp:posOffset>-430528</wp:posOffset>
          </wp:positionV>
          <wp:extent cx="7809865" cy="10165715"/>
          <wp:effectExtent l="0" t="0" r="0" b="0"/>
          <wp:wrapNone/>
          <wp:docPr id="2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953" w:type="dxa"/>
      <w:tblInd w:w="3261" w:type="dxa"/>
      <w:tblLayout w:type="fixed"/>
      <w:tblLook w:val="0400" w:firstRow="0" w:lastRow="0" w:firstColumn="0" w:lastColumn="0" w:noHBand="0" w:noVBand="1"/>
    </w:tblPr>
    <w:tblGrid>
      <w:gridCol w:w="2489"/>
      <w:gridCol w:w="3464"/>
    </w:tblGrid>
    <w:tr w:rsidR="00F23DCD">
      <w:tc>
        <w:tcPr>
          <w:tcW w:w="2489" w:type="dxa"/>
          <w:shd w:val="clear" w:color="auto" w:fill="auto"/>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23DCD" w:rsidRDefault="00F23DCD" w:rsidP="00E801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E801BA">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9/INFOEM/IP/RR/2023</w:t>
          </w:r>
        </w:p>
      </w:tc>
    </w:tr>
    <w:tr w:rsidR="00F23DCD">
      <w:trPr>
        <w:trHeight w:val="228"/>
      </w:trPr>
      <w:tc>
        <w:tcPr>
          <w:tcW w:w="2489" w:type="dxa"/>
          <w:shd w:val="clear" w:color="auto" w:fill="auto"/>
          <w:vAlign w:val="center"/>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23DCD" w:rsidRDefault="00F23DC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F23DCD">
      <w:tc>
        <w:tcPr>
          <w:tcW w:w="2489" w:type="dxa"/>
          <w:shd w:val="clear" w:color="auto" w:fill="auto"/>
          <w:vAlign w:val="center"/>
        </w:tcPr>
        <w:p w:rsidR="00F23DCD" w:rsidRDefault="00F23DC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23DCD" w:rsidRDefault="00F23DC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23DCD" w:rsidRDefault="00F23DCD">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DCD" w:rsidRDefault="00F23DC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-1089023</wp:posOffset>
          </wp:positionH>
          <wp:positionV relativeFrom="paragraph">
            <wp:posOffset>-459738</wp:posOffset>
          </wp:positionV>
          <wp:extent cx="7809865" cy="10165715"/>
          <wp:effectExtent l="0" t="0" r="0" b="0"/>
          <wp:wrapNone/>
          <wp:docPr id="2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6483" w:type="dxa"/>
      <w:tblInd w:w="3174" w:type="dxa"/>
      <w:tblLayout w:type="fixed"/>
      <w:tblLook w:val="0400" w:firstRow="0" w:lastRow="0" w:firstColumn="0" w:lastColumn="0" w:noHBand="0" w:noVBand="1"/>
    </w:tblPr>
    <w:tblGrid>
      <w:gridCol w:w="2917"/>
      <w:gridCol w:w="3566"/>
    </w:tblGrid>
    <w:tr w:rsidR="00F23DCD">
      <w:trPr>
        <w:trHeight w:val="213"/>
      </w:trPr>
      <w:tc>
        <w:tcPr>
          <w:tcW w:w="2917" w:type="dxa"/>
          <w:shd w:val="clear" w:color="auto" w:fill="auto"/>
          <w:vAlign w:val="center"/>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66" w:type="dxa"/>
          <w:tcBorders>
            <w:left w:val="nil"/>
          </w:tcBorders>
          <w:shd w:val="clear" w:color="auto" w:fill="auto"/>
          <w:vAlign w:val="center"/>
        </w:tcPr>
        <w:p w:rsidR="00F23DCD" w:rsidRDefault="00F23DCD">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w:t>
          </w:r>
          <w:r w:rsidR="00E801BA">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09/INFOEM/IP/RR/2023</w:t>
          </w:r>
        </w:p>
      </w:tc>
    </w:tr>
    <w:tr w:rsidR="00F23DCD">
      <w:trPr>
        <w:trHeight w:val="91"/>
      </w:trPr>
      <w:tc>
        <w:tcPr>
          <w:tcW w:w="2917" w:type="dxa"/>
          <w:tcBorders>
            <w:right w:val="single" w:sz="4" w:space="0" w:color="FFFFFF"/>
          </w:tcBorders>
          <w:shd w:val="clear" w:color="auto" w:fill="auto"/>
          <w:vAlign w:val="center"/>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66" w:type="dxa"/>
          <w:tcBorders>
            <w:left w:val="single" w:sz="4" w:space="0" w:color="FFFFFF"/>
            <w:right w:val="single" w:sz="4" w:space="0" w:color="FFFFFF"/>
          </w:tcBorders>
          <w:shd w:val="clear" w:color="auto" w:fill="FFFFFF"/>
          <w:vAlign w:val="center"/>
        </w:tcPr>
        <w:p w:rsidR="00F23DCD" w:rsidRDefault="008454B5" w:rsidP="008454B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p>
      </w:tc>
    </w:tr>
    <w:tr w:rsidR="00F23DCD">
      <w:trPr>
        <w:trHeight w:val="161"/>
      </w:trPr>
      <w:tc>
        <w:tcPr>
          <w:tcW w:w="2917" w:type="dxa"/>
          <w:tcBorders>
            <w:bottom w:val="single" w:sz="4" w:space="0" w:color="FFFFFF"/>
            <w:right w:val="single" w:sz="4" w:space="0" w:color="FFFFFF"/>
          </w:tcBorders>
          <w:shd w:val="clear" w:color="auto" w:fill="auto"/>
          <w:vAlign w:val="center"/>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66" w:type="dxa"/>
          <w:tcBorders>
            <w:left w:val="single" w:sz="4" w:space="0" w:color="FFFFFF"/>
            <w:bottom w:val="single" w:sz="4" w:space="0" w:color="FFFFFF"/>
            <w:right w:val="single" w:sz="4" w:space="0" w:color="FFFFFF"/>
          </w:tcBorders>
          <w:shd w:val="clear" w:color="auto" w:fill="auto"/>
          <w:vAlign w:val="center"/>
        </w:tcPr>
        <w:p w:rsidR="00F23DCD" w:rsidRDefault="00F23DC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F23DCD">
      <w:trPr>
        <w:trHeight w:val="102"/>
      </w:trPr>
      <w:tc>
        <w:tcPr>
          <w:tcW w:w="2917" w:type="dxa"/>
          <w:tcBorders>
            <w:top w:val="single" w:sz="4" w:space="0" w:color="FFFFFF"/>
            <w:right w:val="single" w:sz="4" w:space="0" w:color="FFFFFF"/>
          </w:tcBorders>
          <w:shd w:val="clear" w:color="auto" w:fill="auto"/>
          <w:vAlign w:val="center"/>
        </w:tcPr>
        <w:p w:rsidR="00F23DCD" w:rsidRDefault="00F23D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66" w:type="dxa"/>
          <w:tcBorders>
            <w:top w:val="single" w:sz="4" w:space="0" w:color="FFFFFF"/>
            <w:left w:val="single" w:sz="4" w:space="0" w:color="FFFFFF"/>
            <w:right w:val="single" w:sz="4" w:space="0" w:color="FFFFFF"/>
          </w:tcBorders>
          <w:shd w:val="clear" w:color="auto" w:fill="auto"/>
          <w:vAlign w:val="center"/>
        </w:tcPr>
        <w:p w:rsidR="00F23DCD" w:rsidRDefault="00F23DC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23DCD" w:rsidRDefault="00F23D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A21ED"/>
    <w:multiLevelType w:val="multilevel"/>
    <w:tmpl w:val="78E67B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FA25F3"/>
    <w:multiLevelType w:val="hybridMultilevel"/>
    <w:tmpl w:val="4A26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9C0878"/>
    <w:multiLevelType w:val="multilevel"/>
    <w:tmpl w:val="245C24B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090B48"/>
    <w:multiLevelType w:val="multilevel"/>
    <w:tmpl w:val="F1D0445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4385D84"/>
    <w:multiLevelType w:val="multilevel"/>
    <w:tmpl w:val="9FAAB3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53750C"/>
    <w:multiLevelType w:val="multilevel"/>
    <w:tmpl w:val="45928532"/>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8035BB"/>
    <w:multiLevelType w:val="multilevel"/>
    <w:tmpl w:val="1DB29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4"/>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D6"/>
    <w:rsid w:val="00050B0B"/>
    <w:rsid w:val="001C1CAB"/>
    <w:rsid w:val="002019C3"/>
    <w:rsid w:val="00244CAF"/>
    <w:rsid w:val="002C5697"/>
    <w:rsid w:val="00486B51"/>
    <w:rsid w:val="008454B5"/>
    <w:rsid w:val="00883485"/>
    <w:rsid w:val="00925FAA"/>
    <w:rsid w:val="00985DED"/>
    <w:rsid w:val="009B7090"/>
    <w:rsid w:val="00C60BD6"/>
    <w:rsid w:val="00C90892"/>
    <w:rsid w:val="00D62B38"/>
    <w:rsid w:val="00E54743"/>
    <w:rsid w:val="00E801BA"/>
    <w:rsid w:val="00F23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67F8F-44DA-4120-8752-64FC03BB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4"/>
    <w:tblPr>
      <w:tblStyleRowBandSize w:val="1"/>
      <w:tblStyleColBandSize w:val="1"/>
      <w:tblCellMar>
        <w:top w:w="0" w:type="dxa"/>
        <w:left w:w="108" w:type="dxa"/>
        <w:bottom w:w="0" w:type="dxa"/>
        <w:right w:w="108" w:type="dxa"/>
      </w:tblCellMar>
    </w:tblPr>
  </w:style>
  <w:style w:type="table" w:customStyle="1" w:styleId="a0">
    <w:basedOn w:val="TableNormal4"/>
    <w:tblPr>
      <w:tblStyleRowBandSize w:val="1"/>
      <w:tblStyleColBandSize w:val="1"/>
      <w:tblCellMar>
        <w:top w:w="0" w:type="dxa"/>
        <w:left w:w="108" w:type="dxa"/>
        <w:bottom w:w="0" w:type="dxa"/>
        <w:right w:w="108" w:type="dxa"/>
      </w:tblCellMar>
    </w:tblPr>
  </w:style>
  <w:style w:type="table" w:customStyle="1" w:styleId="a2">
    <w:basedOn w:val="TableNormal4"/>
    <w:tblPr>
      <w:tblStyleRowBandSize w:val="1"/>
      <w:tblStyleColBandSize w:val="1"/>
      <w:tblCellMar>
        <w:top w:w="0" w:type="dxa"/>
        <w:left w:w="108" w:type="dxa"/>
        <w:bottom w:w="0" w:type="dxa"/>
        <w:right w:w="108" w:type="dxa"/>
      </w:tblCellMar>
    </w:tblPr>
  </w:style>
  <w:style w:type="table" w:customStyle="1" w:styleId="a3">
    <w:basedOn w:val="TableNormal4"/>
    <w:tblPr>
      <w:tblStyleRowBandSize w:val="1"/>
      <w:tblStyleColBandSize w:val="1"/>
      <w:tblCellMar>
        <w:top w:w="0" w:type="dxa"/>
        <w:left w:w="108" w:type="dxa"/>
        <w:bottom w:w="0" w:type="dxa"/>
        <w:right w:w="108" w:type="dxa"/>
      </w:tblCellMar>
    </w:tblPr>
  </w:style>
  <w:style w:type="table" w:customStyle="1" w:styleId="a4">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2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6186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68700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iiyIylZnm00XktCnPOP2cz2XA==">CgMxLjAyCGgudHlqY3d0MghoLmdqZGd4czIJaC4zMGowemxsMgloLjJzOGV5bzEyCWguMWZvYjl0ZTIJaC40ZDM0b2c4MgloLjJldDkycDA4AHIhMXcwdWJ1V0hDWGdHTDBaUUJMWEVvZnFDeFF0eXNrN0xX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3121</Words>
  <Characters>17169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2023-08-04T16:34:00Z</cp:lastPrinted>
  <dcterms:created xsi:type="dcterms:W3CDTF">2023-08-10T16:49:00Z</dcterms:created>
  <dcterms:modified xsi:type="dcterms:W3CDTF">2023-08-10T16:49:00Z</dcterms:modified>
</cp:coreProperties>
</file>