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167" w:rsidRPr="007313CD" w:rsidRDefault="000F749C">
      <w:pPr>
        <w:tabs>
          <w:tab w:val="left" w:pos="3686"/>
        </w:tabs>
        <w:spacing w:line="360" w:lineRule="auto"/>
        <w:jc w:val="both"/>
        <w:rPr>
          <w:rFonts w:ascii="Palatino Linotype" w:eastAsia="Palatino Linotype" w:hAnsi="Palatino Linotype" w:cs="Palatino Linotype"/>
          <w:color w:val="000000"/>
        </w:rPr>
      </w:pPr>
      <w:bookmarkStart w:id="0" w:name="_heading=h.tyjcwt" w:colFirst="0" w:colLast="0"/>
      <w:bookmarkEnd w:id="0"/>
      <w:r w:rsidRPr="007313CD">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a primero de noviembre de dos mil veintitrés. </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A22BAB" w:rsidRDefault="000F749C">
      <w:pPr>
        <w:spacing w:line="360" w:lineRule="auto"/>
        <w:jc w:val="both"/>
        <w:rPr>
          <w:rFonts w:ascii="Palatino Linotype" w:eastAsia="Palatino Linotype" w:hAnsi="Palatino Linotype" w:cs="Palatino Linotype"/>
          <w:b/>
          <w:color w:val="000000"/>
        </w:rPr>
      </w:pPr>
      <w:r w:rsidRPr="007313CD">
        <w:rPr>
          <w:rFonts w:ascii="Palatino Linotype" w:eastAsia="Palatino Linotype" w:hAnsi="Palatino Linotype" w:cs="Palatino Linotype"/>
          <w:b/>
          <w:color w:val="000000"/>
        </w:rPr>
        <w:t>VISTO</w:t>
      </w:r>
      <w:r w:rsidRPr="007313CD">
        <w:rPr>
          <w:rFonts w:ascii="Palatino Linotype" w:eastAsia="Palatino Linotype" w:hAnsi="Palatino Linotype" w:cs="Palatino Linotype"/>
          <w:color w:val="000000"/>
        </w:rPr>
        <w:t xml:space="preserve"> el expediente formado con motivo del recurso de revisión </w:t>
      </w:r>
      <w:r w:rsidRPr="007313CD">
        <w:rPr>
          <w:rFonts w:ascii="Palatino Linotype" w:eastAsia="Palatino Linotype" w:hAnsi="Palatino Linotype" w:cs="Palatino Linotype"/>
          <w:b/>
          <w:color w:val="000000"/>
        </w:rPr>
        <w:t>02159/INFOEM/IP/RR/2023</w:t>
      </w:r>
      <w:r w:rsidRPr="007313CD">
        <w:rPr>
          <w:rFonts w:ascii="Palatino Linotype" w:eastAsia="Palatino Linotype" w:hAnsi="Palatino Linotype" w:cs="Palatino Linotype"/>
          <w:color w:val="000000"/>
        </w:rPr>
        <w:t>, interpuesto por quien dijo ser</w:t>
      </w:r>
      <w:r w:rsidR="00A22BAB">
        <w:rPr>
          <w:rFonts w:ascii="Palatino Linotype" w:eastAsia="Palatino Linotype" w:hAnsi="Palatino Linotype" w:cs="Palatino Linotype"/>
          <w:b/>
          <w:color w:val="000000"/>
        </w:rPr>
        <w:t xml:space="preserve"> XXXX XXXXXX XXXXX</w:t>
      </w:r>
      <w:r w:rsidRPr="007313CD">
        <w:rPr>
          <w:rFonts w:ascii="Palatino Linotype" w:eastAsia="Palatino Linotype" w:hAnsi="Palatino Linotype" w:cs="Palatino Linotype"/>
          <w:b/>
          <w:color w:val="000000"/>
        </w:rPr>
        <w:t xml:space="preserve">, </w:t>
      </w:r>
      <w:r w:rsidRPr="007313CD">
        <w:rPr>
          <w:rFonts w:ascii="Palatino Linotype" w:eastAsia="Palatino Linotype" w:hAnsi="Palatino Linotype" w:cs="Palatino Linotype"/>
          <w:color w:val="000000"/>
        </w:rPr>
        <w:t>que en lo subsecuente se le denominará como</w:t>
      </w:r>
      <w:r w:rsidRPr="007313CD">
        <w:rPr>
          <w:rFonts w:ascii="Palatino Linotype" w:eastAsia="Palatino Linotype" w:hAnsi="Palatino Linotype" w:cs="Palatino Linotype"/>
          <w:b/>
          <w:color w:val="000000"/>
        </w:rPr>
        <w:t xml:space="preserve"> LA PARTE RECURRENTE,</w:t>
      </w:r>
      <w:r w:rsidRPr="007313CD">
        <w:rPr>
          <w:rFonts w:ascii="Palatino Linotype" w:eastAsia="Palatino Linotype" w:hAnsi="Palatino Linotype" w:cs="Palatino Linotype"/>
          <w:color w:val="000000"/>
        </w:rPr>
        <w:t xml:space="preserve"> en contra de la respuesta a la solicitud </w:t>
      </w:r>
      <w:r w:rsidRPr="007313CD">
        <w:rPr>
          <w:rFonts w:ascii="Palatino Linotype" w:eastAsia="Palatino Linotype" w:hAnsi="Palatino Linotype" w:cs="Palatino Linotype"/>
          <w:b/>
        </w:rPr>
        <w:t>00753/TOLUCA/IP/2023</w:t>
      </w:r>
      <w:r w:rsidRPr="007313CD">
        <w:rPr>
          <w:rFonts w:ascii="Palatino Linotype" w:eastAsia="Palatino Linotype" w:hAnsi="Palatino Linotype" w:cs="Palatino Linotype"/>
          <w:color w:val="000000"/>
        </w:rPr>
        <w:t xml:space="preserve"> por parte del</w:t>
      </w:r>
      <w:r w:rsidRPr="007313CD">
        <w:rPr>
          <w:rFonts w:ascii="Palatino Linotype" w:eastAsia="Palatino Linotype" w:hAnsi="Palatino Linotype" w:cs="Palatino Linotype"/>
          <w:b/>
          <w:color w:val="000000"/>
        </w:rPr>
        <w:t xml:space="preserve"> Ayuntamiento de Toluca, </w:t>
      </w:r>
      <w:r w:rsidRPr="007313CD">
        <w:rPr>
          <w:rFonts w:ascii="Palatino Linotype" w:eastAsia="Palatino Linotype" w:hAnsi="Palatino Linotype" w:cs="Palatino Linotype"/>
          <w:color w:val="000000"/>
        </w:rPr>
        <w:t xml:space="preserve">a quien en lo sucesivo nos referiremos como </w:t>
      </w:r>
      <w:r w:rsidRPr="007313CD">
        <w:rPr>
          <w:rFonts w:ascii="Palatino Linotype" w:eastAsia="Palatino Linotype" w:hAnsi="Palatino Linotype" w:cs="Palatino Linotype"/>
          <w:b/>
          <w:color w:val="000000"/>
        </w:rPr>
        <w:t xml:space="preserve">EL SUJETO OBLIGADO, </w:t>
      </w:r>
      <w:r w:rsidRPr="007313CD">
        <w:rPr>
          <w:rFonts w:ascii="Palatino Linotype" w:eastAsia="Palatino Linotype" w:hAnsi="Palatino Linotype" w:cs="Palatino Linotype"/>
          <w:color w:val="000000"/>
        </w:rPr>
        <w:t>se procede a dictar la presente resolución con base en los siguientes</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313CD">
        <w:rPr>
          <w:rFonts w:ascii="Palatino Linotype" w:eastAsia="Palatino Linotype" w:hAnsi="Palatino Linotype" w:cs="Palatino Linotype"/>
          <w:b/>
          <w:color w:val="000000"/>
        </w:rPr>
        <w:t>A N T E C E D E N T E S:</w:t>
      </w:r>
    </w:p>
    <w:p w:rsidR="00DC1167" w:rsidRPr="007313CD" w:rsidRDefault="00DC1167">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DC1167" w:rsidRPr="007313CD" w:rsidRDefault="000F749C">
      <w:pPr>
        <w:spacing w:line="360" w:lineRule="auto"/>
        <w:jc w:val="both"/>
        <w:rPr>
          <w:rFonts w:ascii="Palatino Linotype" w:eastAsia="Palatino Linotype" w:hAnsi="Palatino Linotype" w:cs="Palatino Linotype"/>
        </w:rPr>
      </w:pPr>
      <w:bookmarkStart w:id="1" w:name="_heading=h.gjdgxs" w:colFirst="0" w:colLast="0"/>
      <w:bookmarkEnd w:id="1"/>
      <w:r w:rsidRPr="007313CD">
        <w:rPr>
          <w:rFonts w:ascii="Palatino Linotype" w:eastAsia="Palatino Linotype" w:hAnsi="Palatino Linotype" w:cs="Palatino Linotype"/>
          <w:b/>
        </w:rPr>
        <w:t>1. Solicitud de acceso a la información.</w:t>
      </w:r>
      <w:r w:rsidRPr="007313CD">
        <w:rPr>
          <w:rFonts w:ascii="Palatino Linotype" w:eastAsia="Palatino Linotype" w:hAnsi="Palatino Linotype" w:cs="Palatino Linotype"/>
        </w:rPr>
        <w:t xml:space="preserve"> El dos de marzo de dos mil veintitrés, </w:t>
      </w:r>
      <w:r w:rsidRPr="007313CD">
        <w:rPr>
          <w:rFonts w:ascii="Palatino Linotype" w:eastAsia="Palatino Linotype" w:hAnsi="Palatino Linotype" w:cs="Palatino Linotype"/>
          <w:b/>
        </w:rPr>
        <w:t>LA PARTE</w:t>
      </w:r>
      <w:r w:rsidRPr="007313CD">
        <w:rPr>
          <w:rFonts w:ascii="Palatino Linotype" w:eastAsia="Palatino Linotype" w:hAnsi="Palatino Linotype" w:cs="Palatino Linotype"/>
        </w:rPr>
        <w:t xml:space="preserve"> </w:t>
      </w:r>
      <w:r w:rsidRPr="007313CD">
        <w:rPr>
          <w:rFonts w:ascii="Palatino Linotype" w:eastAsia="Palatino Linotype" w:hAnsi="Palatino Linotype" w:cs="Palatino Linotype"/>
          <w:b/>
        </w:rPr>
        <w:t xml:space="preserve">RECURRENTE </w:t>
      </w:r>
      <w:r w:rsidRPr="007313CD">
        <w:rPr>
          <w:rFonts w:ascii="Palatino Linotype" w:eastAsia="Palatino Linotype" w:hAnsi="Palatino Linotype" w:cs="Palatino Linotype"/>
        </w:rPr>
        <w:t>a través de la Plataforma Nacional de Transparencia que se encuentra vinculada al Sistema de Acceso a la Información Mexiquense o SAIMEX</w:t>
      </w:r>
      <w:r w:rsidRPr="007313CD">
        <w:rPr>
          <w:rFonts w:ascii="Palatino Linotype" w:eastAsia="Palatino Linotype" w:hAnsi="Palatino Linotype" w:cs="Palatino Linotype"/>
          <w:b/>
        </w:rPr>
        <w:t>,</w:t>
      </w:r>
      <w:r w:rsidRPr="007313CD">
        <w:rPr>
          <w:rFonts w:ascii="Palatino Linotype" w:eastAsia="Palatino Linotype" w:hAnsi="Palatino Linotype" w:cs="Palatino Linotype"/>
        </w:rPr>
        <w:t xml:space="preserve"> realizó la solicitud de acceso a la información pública</w:t>
      </w:r>
      <w:r w:rsidRPr="007313CD">
        <w:rPr>
          <w:rFonts w:ascii="Palatino Linotype" w:eastAsia="Palatino Linotype" w:hAnsi="Palatino Linotype" w:cs="Palatino Linotype"/>
          <w:b/>
        </w:rPr>
        <w:t xml:space="preserve"> 00753/TOLUCA/IP/2023</w:t>
      </w:r>
      <w:r w:rsidRPr="007313CD">
        <w:rPr>
          <w:rFonts w:ascii="Palatino Linotype" w:eastAsia="Palatino Linotype" w:hAnsi="Palatino Linotype" w:cs="Palatino Linotype"/>
        </w:rPr>
        <w:t xml:space="preserve">, sin embargo, esta no se tuvo por interpuesta hasta el </w:t>
      </w:r>
      <w:r w:rsidRPr="007313CD">
        <w:rPr>
          <w:rFonts w:ascii="Palatino Linotype" w:eastAsia="Palatino Linotype" w:hAnsi="Palatino Linotype" w:cs="Palatino Linotype"/>
          <w:b/>
        </w:rPr>
        <w:t>tres de marzo de dos mil veintitrés</w:t>
      </w:r>
      <w:r w:rsidRPr="007313CD">
        <w:rPr>
          <w:rFonts w:ascii="Palatino Linotype" w:eastAsia="Palatino Linotype" w:hAnsi="Palatino Linotype" w:cs="Palatino Linotype"/>
        </w:rPr>
        <w:t xml:space="preserve"> en razón del Calendario oficial en materia de Transparencia, Acceso a la Información Pública y Protección de Datos Personales aprobado por el Pleno del </w:t>
      </w:r>
      <w:proofErr w:type="spellStart"/>
      <w:r w:rsidRPr="007313CD">
        <w:rPr>
          <w:rFonts w:ascii="Palatino Linotype" w:eastAsia="Palatino Linotype" w:hAnsi="Palatino Linotype" w:cs="Palatino Linotype"/>
        </w:rPr>
        <w:t>Infoem</w:t>
      </w:r>
      <w:proofErr w:type="spellEnd"/>
      <w:r w:rsidRPr="007313CD">
        <w:rPr>
          <w:rFonts w:ascii="Palatino Linotype" w:eastAsia="Palatino Linotype" w:hAnsi="Palatino Linotype" w:cs="Palatino Linotype"/>
        </w:rPr>
        <w:t xml:space="preserve"> para el año de dos mil veintitrés, y por medio de la cual requirió de:</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“Con base </w:t>
      </w:r>
      <w:proofErr w:type="spellStart"/>
      <w:r w:rsidRPr="007313CD">
        <w:rPr>
          <w:rFonts w:ascii="Palatino Linotype" w:eastAsia="Palatino Linotype" w:hAnsi="Palatino Linotype" w:cs="Palatino Linotype"/>
          <w:i/>
          <w:color w:val="000000"/>
          <w:sz w:val="22"/>
          <w:szCs w:val="22"/>
        </w:rPr>
        <w:t>el</w:t>
      </w:r>
      <w:proofErr w:type="spellEnd"/>
      <w:r w:rsidRPr="007313CD">
        <w:rPr>
          <w:rFonts w:ascii="Palatino Linotype" w:eastAsia="Palatino Linotype" w:hAnsi="Palatino Linotype" w:cs="Palatino Linotype"/>
          <w:i/>
          <w:color w:val="000000"/>
          <w:sz w:val="22"/>
          <w:szCs w:val="22"/>
        </w:rPr>
        <w:t xml:space="preserve"> </w:t>
      </w:r>
      <w:proofErr w:type="spellStart"/>
      <w:r w:rsidRPr="007313CD">
        <w:rPr>
          <w:rFonts w:ascii="Palatino Linotype" w:eastAsia="Palatino Linotype" w:hAnsi="Palatino Linotype" w:cs="Palatino Linotype"/>
          <w:i/>
          <w:color w:val="000000"/>
          <w:sz w:val="22"/>
          <w:szCs w:val="22"/>
        </w:rPr>
        <w:t>el</w:t>
      </w:r>
      <w:proofErr w:type="spellEnd"/>
      <w:r w:rsidRPr="007313CD">
        <w:rPr>
          <w:rFonts w:ascii="Palatino Linotype" w:eastAsia="Palatino Linotype" w:hAnsi="Palatino Linotype" w:cs="Palatino Linotype"/>
          <w:i/>
          <w:color w:val="000000"/>
          <w:sz w:val="22"/>
          <w:szCs w:val="22"/>
        </w:rPr>
        <w:t xml:space="preserve"> artículo 6º constitucional y de acuerdo con lo establecido en el artículo 51 de la Ley General de Contabilidad Gubernamental que a la letra dice: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lastRenderedPageBreak/>
        <w:t>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Así mismo con base en el artículo 51 </w:t>
      </w:r>
      <w:proofErr w:type="gramStart"/>
      <w:r w:rsidRPr="007313CD">
        <w:rPr>
          <w:rFonts w:ascii="Palatino Linotype" w:eastAsia="Palatino Linotype" w:hAnsi="Palatino Linotype" w:cs="Palatino Linotype"/>
          <w:i/>
          <w:color w:val="000000"/>
          <w:sz w:val="22"/>
          <w:szCs w:val="22"/>
        </w:rPr>
        <w:t>fracción</w:t>
      </w:r>
      <w:proofErr w:type="gramEnd"/>
      <w:r w:rsidRPr="007313CD">
        <w:rPr>
          <w:rFonts w:ascii="Palatino Linotype" w:eastAsia="Palatino Linotype" w:hAnsi="Palatino Linotype" w:cs="Palatino Linotype"/>
          <w:i/>
          <w:color w:val="000000"/>
          <w:sz w:val="22"/>
          <w:szCs w:val="22"/>
        </w:rPr>
        <w:t xml:space="preserve"> IX de la Ley de Disciplina Financiera de las Entidades Federativas y los Municipios que menciona:</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Los Entes Públicos deberán publicar su información financiera de acuerdo con las disposiciones de la Ley General de Contabilidad Gubernamental y las normas expedidas por el Consejo Nacional de Armonización Contable al cual hace referencia dicha Ley.</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Solicito amablemente se me proporcione la siguiente información, ya sea final o preliminar como parte del 4to avance trimestral:</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1. Resultados de la Clasificación por Objeto del Gasto entre el 1 de enero al 31 de diciembre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2. Resultados de la Clasificación Funcional del Gasto entre el 1 de enero al 31 de diciembre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3. Resultados de la Clasificación Administrativa del Gasto entre el 1 de enero al 31 de diciembre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4. Resultados del Estado Analítico de Ingresos Detallado entre el 1 de enero al 31 de diciembre (Formato 5 de la Ley de Disciplina Financiera)” (Sic)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Modalidad de Entrega:</w:t>
      </w:r>
      <w:r w:rsidRPr="007313CD">
        <w:rPr>
          <w:rFonts w:ascii="Palatino Linotype" w:eastAsia="Palatino Linotype" w:hAnsi="Palatino Linotype" w:cs="Palatino Linotype"/>
          <w:color w:val="000000"/>
        </w:rPr>
        <w:t xml:space="preserve"> A través del SAIMEX.</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 xml:space="preserve">2. Respuesta. </w:t>
      </w:r>
      <w:r w:rsidRPr="007313CD">
        <w:rPr>
          <w:rFonts w:ascii="Palatino Linotype" w:eastAsia="Palatino Linotype" w:hAnsi="Palatino Linotype" w:cs="Palatino Linotype"/>
          <w:color w:val="000000"/>
        </w:rPr>
        <w:t>El</w:t>
      </w:r>
      <w:r w:rsidRPr="007313CD">
        <w:rPr>
          <w:rFonts w:ascii="Palatino Linotype" w:eastAsia="Palatino Linotype" w:hAnsi="Palatino Linotype" w:cs="Palatino Linotype"/>
          <w:b/>
          <w:color w:val="000000"/>
        </w:rPr>
        <w:t xml:space="preserve"> diez de abril dos mil veintitrés, EL SUJETO OBLIGADO </w:t>
      </w:r>
      <w:r w:rsidRPr="007313CD">
        <w:rPr>
          <w:rFonts w:ascii="Palatino Linotype" w:eastAsia="Palatino Linotype" w:hAnsi="Palatino Linotype" w:cs="Palatino Linotype"/>
          <w:color w:val="000000"/>
        </w:rPr>
        <w:t xml:space="preserve">respondió a la solicitud de información de manera siguiente: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“Toluca, México a 10 de Abril de 2023</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Nombre del solicitante: </w:t>
      </w:r>
      <w:r w:rsidR="00A22BAB">
        <w:rPr>
          <w:rFonts w:ascii="Palatino Linotype" w:eastAsia="Palatino Linotype" w:hAnsi="Palatino Linotype" w:cs="Palatino Linotype"/>
          <w:i/>
          <w:color w:val="000000"/>
          <w:sz w:val="22"/>
          <w:szCs w:val="22"/>
        </w:rPr>
        <w:t>XXXX XXXXXX</w:t>
      </w:r>
      <w:bookmarkStart w:id="2" w:name="_GoBack"/>
      <w:bookmarkEnd w:id="2"/>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Folio de la solicitud: 00753/TOLUCA/IP/2023</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lastRenderedPageBreak/>
        <w:t xml:space="preserve">En atención a la solicitud con folio 00753/TOLUCA/IP/2023, me permito adjuntar al presente la respuesta correspondiente y </w:t>
      </w:r>
      <w:proofErr w:type="gramStart"/>
      <w:r w:rsidRPr="007313CD">
        <w:rPr>
          <w:rFonts w:ascii="Palatino Linotype" w:eastAsia="Palatino Linotype" w:hAnsi="Palatino Linotype" w:cs="Palatino Linotype"/>
          <w:i/>
          <w:color w:val="000000"/>
          <w:sz w:val="22"/>
          <w:szCs w:val="22"/>
        </w:rPr>
        <w:t>anexo</w:t>
      </w:r>
      <w:proofErr w:type="gramEnd"/>
      <w:r w:rsidRPr="007313CD">
        <w:rPr>
          <w:rFonts w:ascii="Palatino Linotype" w:eastAsia="Palatino Linotype" w:hAnsi="Palatino Linotype" w:cs="Palatino Linotype"/>
          <w:i/>
          <w:color w:val="000000"/>
          <w:sz w:val="22"/>
          <w:szCs w:val="22"/>
        </w:rPr>
        <w:t>. Sin más por el momento, reciba un saludo.</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ATENTAMENTE</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Lic. Norma Sofía Pérez Martínez” (Sic)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Y remitió los archivos que se enlistan: </w:t>
      </w:r>
    </w:p>
    <w:p w:rsidR="00DC1167" w:rsidRPr="007313CD" w:rsidRDefault="00DC1167">
      <w:pPr>
        <w:spacing w:line="360" w:lineRule="auto"/>
        <w:jc w:val="both"/>
        <w:rPr>
          <w:rFonts w:ascii="Palatino Linotype" w:eastAsia="Palatino Linotype" w:hAnsi="Palatino Linotype" w:cs="Palatino Linotype"/>
          <w:b/>
          <w:i/>
          <w:color w:val="000000"/>
        </w:rPr>
      </w:pPr>
    </w:p>
    <w:p w:rsidR="00DC1167" w:rsidRPr="007313CD" w:rsidRDefault="000F749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7313CD">
        <w:rPr>
          <w:rFonts w:ascii="Palatino Linotype" w:eastAsia="Palatino Linotype" w:hAnsi="Palatino Linotype" w:cs="Palatino Linotype"/>
          <w:b/>
          <w:i/>
          <w:color w:val="000000"/>
        </w:rPr>
        <w:t>Respuesta 753.pdf</w:t>
      </w: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Contiene el escrito de fecha diez de abril de dos mil veintitrés signado por la Unidad de Transparencia del Ayuntamiento de Toluca, y por medio del cual se informa a la persona solicitante que la Tesorería Municipal hizo de su conocimiento una guía para que la persona solicitante pueda acceder a la información deseada. </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roofErr w:type="spellStart"/>
      <w:r w:rsidRPr="007313CD">
        <w:rPr>
          <w:rFonts w:ascii="Palatino Linotype" w:eastAsia="Palatino Linotype" w:hAnsi="Palatino Linotype" w:cs="Palatino Linotype"/>
          <w:b/>
          <w:i/>
          <w:color w:val="000000"/>
        </w:rPr>
        <w:t>Guia</w:t>
      </w:r>
      <w:proofErr w:type="spellEnd"/>
      <w:r w:rsidRPr="007313CD">
        <w:rPr>
          <w:rFonts w:ascii="Palatino Linotype" w:eastAsia="Palatino Linotype" w:hAnsi="Palatino Linotype" w:cs="Palatino Linotype"/>
          <w:b/>
          <w:i/>
          <w:color w:val="000000"/>
        </w:rPr>
        <w:t xml:space="preserve"> ciudadana </w:t>
      </w:r>
      <w:proofErr w:type="spellStart"/>
      <w:r w:rsidRPr="007313CD">
        <w:rPr>
          <w:rFonts w:ascii="Palatino Linotype" w:eastAsia="Palatino Linotype" w:hAnsi="Palatino Linotype" w:cs="Palatino Linotype"/>
          <w:b/>
          <w:i/>
          <w:color w:val="000000"/>
        </w:rPr>
        <w:t>Casific</w:t>
      </w:r>
      <w:proofErr w:type="spellEnd"/>
      <w:r w:rsidRPr="007313CD">
        <w:rPr>
          <w:rFonts w:ascii="Palatino Linotype" w:eastAsia="Palatino Linotype" w:hAnsi="Palatino Linotype" w:cs="Palatino Linotype"/>
          <w:b/>
          <w:i/>
          <w:color w:val="000000"/>
        </w:rPr>
        <w:t xml:space="preserve"> del gasto </w:t>
      </w:r>
      <w:proofErr w:type="spellStart"/>
      <w:r w:rsidRPr="007313CD">
        <w:rPr>
          <w:rFonts w:ascii="Palatino Linotype" w:eastAsia="Palatino Linotype" w:hAnsi="Palatino Linotype" w:cs="Palatino Linotype"/>
          <w:b/>
          <w:i/>
          <w:color w:val="000000"/>
        </w:rPr>
        <w:t>Saimex</w:t>
      </w:r>
      <w:proofErr w:type="spellEnd"/>
      <w:r w:rsidRPr="007313CD">
        <w:rPr>
          <w:rFonts w:ascii="Palatino Linotype" w:eastAsia="Palatino Linotype" w:hAnsi="Palatino Linotype" w:cs="Palatino Linotype"/>
          <w:b/>
          <w:i/>
          <w:color w:val="000000"/>
        </w:rPr>
        <w:t xml:space="preserve"> 00753.pdf</w:t>
      </w: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Aparece como anexo la referida guía: </w:t>
      </w:r>
    </w:p>
    <w:p w:rsidR="00DC1167" w:rsidRPr="007313CD" w:rsidRDefault="000F749C">
      <w:pPr>
        <w:spacing w:line="360" w:lineRule="auto"/>
        <w:jc w:val="center"/>
      </w:pPr>
      <w:r w:rsidRPr="007313CD">
        <w:rPr>
          <w:noProof/>
        </w:rPr>
        <w:lastRenderedPageBreak/>
        <w:drawing>
          <wp:inline distT="0" distB="0" distL="0" distR="0">
            <wp:extent cx="3632036" cy="4568718"/>
            <wp:effectExtent l="0" t="0" r="0" b="0"/>
            <wp:docPr id="3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3266" t="20821" r="34484" b="7060"/>
                    <a:stretch>
                      <a:fillRect/>
                    </a:stretch>
                  </pic:blipFill>
                  <pic:spPr>
                    <a:xfrm>
                      <a:off x="0" y="0"/>
                      <a:ext cx="3632036" cy="4568718"/>
                    </a:xfrm>
                    <a:prstGeom prst="rect">
                      <a:avLst/>
                    </a:prstGeom>
                    <a:ln/>
                  </pic:spPr>
                </pic:pic>
              </a:graphicData>
            </a:graphic>
          </wp:inline>
        </w:drawing>
      </w:r>
    </w:p>
    <w:p w:rsidR="00DC1167" w:rsidRPr="007313CD" w:rsidRDefault="000F749C">
      <w:pPr>
        <w:spacing w:line="360" w:lineRule="auto"/>
        <w:jc w:val="center"/>
        <w:rPr>
          <w:rFonts w:ascii="Palatino Linotype" w:eastAsia="Palatino Linotype" w:hAnsi="Palatino Linotype" w:cs="Palatino Linotype"/>
          <w:color w:val="000000"/>
        </w:rPr>
      </w:pPr>
      <w:r w:rsidRPr="007313CD">
        <w:rPr>
          <w:noProof/>
        </w:rPr>
        <w:drawing>
          <wp:inline distT="0" distB="0" distL="0" distR="0">
            <wp:extent cx="3654857" cy="2533261"/>
            <wp:effectExtent l="0" t="0" r="0" b="0"/>
            <wp:docPr id="3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3605" t="31079" r="34318" b="29390"/>
                    <a:stretch>
                      <a:fillRect/>
                    </a:stretch>
                  </pic:blipFill>
                  <pic:spPr>
                    <a:xfrm>
                      <a:off x="0" y="0"/>
                      <a:ext cx="3654857" cy="2533261"/>
                    </a:xfrm>
                    <a:prstGeom prst="rect">
                      <a:avLst/>
                    </a:prstGeom>
                    <a:ln/>
                  </pic:spPr>
                </pic:pic>
              </a:graphicData>
            </a:graphic>
          </wp:inline>
        </w:drawing>
      </w:r>
    </w:p>
    <w:p w:rsidR="00DC1167" w:rsidRPr="007313CD" w:rsidRDefault="00DC1167">
      <w:pPr>
        <w:spacing w:line="360" w:lineRule="auto"/>
        <w:jc w:val="center"/>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sz w:val="22"/>
          <w:szCs w:val="22"/>
        </w:rPr>
        <w:lastRenderedPageBreak/>
        <w:t>3.</w:t>
      </w:r>
      <w:r w:rsidRPr="007313CD">
        <w:rPr>
          <w:rFonts w:ascii="Palatino Linotype" w:eastAsia="Palatino Linotype" w:hAnsi="Palatino Linotype" w:cs="Palatino Linotype"/>
          <w:b/>
          <w:color w:val="000000"/>
        </w:rPr>
        <w:t xml:space="preserve"> Interposición del recurso de revisión. </w:t>
      </w:r>
      <w:r w:rsidRPr="007313CD">
        <w:rPr>
          <w:rFonts w:ascii="Palatino Linotype" w:eastAsia="Palatino Linotype" w:hAnsi="Palatino Linotype" w:cs="Palatino Linotype"/>
          <w:color w:val="000000"/>
        </w:rPr>
        <w:t xml:space="preserve">Inconforme la entonces persona solicitante con la respuesta del </w:t>
      </w:r>
      <w:r w:rsidRPr="007313CD">
        <w:rPr>
          <w:rFonts w:ascii="Palatino Linotype" w:eastAsia="Palatino Linotype" w:hAnsi="Palatino Linotype" w:cs="Palatino Linotype"/>
          <w:b/>
          <w:color w:val="000000"/>
        </w:rPr>
        <w:t>SUJETO OBLIGADO</w:t>
      </w:r>
      <w:r w:rsidRPr="007313CD">
        <w:rPr>
          <w:rFonts w:ascii="Palatino Linotype" w:eastAsia="Palatino Linotype" w:hAnsi="Palatino Linotype" w:cs="Palatino Linotype"/>
          <w:color w:val="000000"/>
        </w:rPr>
        <w:t>, el día</w:t>
      </w:r>
      <w:r w:rsidRPr="007313CD">
        <w:rPr>
          <w:rFonts w:ascii="Palatino Linotype" w:eastAsia="Palatino Linotype" w:hAnsi="Palatino Linotype" w:cs="Palatino Linotype"/>
          <w:b/>
          <w:color w:val="000000"/>
        </w:rPr>
        <w:t xml:space="preserve"> veinticinco de abril de dos mil veintitrés, </w:t>
      </w:r>
      <w:r w:rsidRPr="007313CD">
        <w:rPr>
          <w:rFonts w:ascii="Palatino Linotype" w:eastAsia="Palatino Linotype" w:hAnsi="Palatino Linotype" w:cs="Palatino Linotype"/>
          <w:color w:val="000000"/>
        </w:rPr>
        <w:t xml:space="preserve">accionó este medio de defensa, mediante el cual </w:t>
      </w:r>
      <w:r w:rsidRPr="007313CD">
        <w:rPr>
          <w:rFonts w:ascii="Palatino Linotype" w:eastAsia="Palatino Linotype" w:hAnsi="Palatino Linotype" w:cs="Palatino Linotype"/>
        </w:rPr>
        <w:t>manifestó lo siguiente</w:t>
      </w:r>
      <w:r w:rsidRPr="007313CD">
        <w:rPr>
          <w:rFonts w:ascii="Palatino Linotype" w:eastAsia="Palatino Linotype" w:hAnsi="Palatino Linotype" w:cs="Palatino Linotype"/>
          <w:color w:val="000000"/>
        </w:rPr>
        <w:t xml:space="preserve">: </w:t>
      </w:r>
    </w:p>
    <w:p w:rsidR="00DC1167" w:rsidRPr="007313CD" w:rsidRDefault="00DC1167">
      <w:pPr>
        <w:tabs>
          <w:tab w:val="left" w:pos="2745"/>
        </w:tabs>
        <w:spacing w:line="360" w:lineRule="auto"/>
        <w:jc w:val="both"/>
        <w:rPr>
          <w:rFonts w:ascii="Palatino Linotype" w:eastAsia="Palatino Linotype" w:hAnsi="Palatino Linotype" w:cs="Palatino Linotype"/>
          <w:color w:val="000000"/>
        </w:rPr>
      </w:pPr>
    </w:p>
    <w:p w:rsidR="00DC1167" w:rsidRPr="007313CD" w:rsidRDefault="000F749C">
      <w:pPr>
        <w:tabs>
          <w:tab w:val="left" w:pos="2745"/>
        </w:tabs>
        <w:spacing w:line="360" w:lineRule="auto"/>
        <w:jc w:val="both"/>
        <w:rPr>
          <w:rFonts w:ascii="Palatino Linotype" w:eastAsia="Palatino Linotype" w:hAnsi="Palatino Linotype" w:cs="Palatino Linotype"/>
          <w:b/>
          <w:color w:val="000000"/>
        </w:rPr>
      </w:pPr>
      <w:r w:rsidRPr="007313CD">
        <w:rPr>
          <w:rFonts w:ascii="Palatino Linotype" w:eastAsia="Palatino Linotype" w:hAnsi="Palatino Linotype" w:cs="Palatino Linotype"/>
          <w:b/>
          <w:color w:val="000000"/>
        </w:rPr>
        <w:t xml:space="preserve">Acto impugnado: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“Dentro de la solicitud se especificó el requerimiento de "los Resultados del Estado Analítico de Ingresos Detallado entre el 1 de enero al 31 de diciembre (Formato 5 de la Ley de Disciplina Financiera)" El sujeto obligado solo respondió con la ruta al estado analítico de ingresos NO DETALLADO, un formato diferente al que obliga el formato 5 de la Ley de Disciplina Financiera” (Sic)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b/>
        </w:rPr>
        <w:t>Razones o motivos de inconformidad</w:t>
      </w:r>
      <w:r w:rsidRPr="007313CD">
        <w:rPr>
          <w:rFonts w:ascii="Palatino Linotype" w:eastAsia="Palatino Linotype" w:hAnsi="Palatino Linotype" w:cs="Palatino Linotype"/>
        </w:rPr>
        <w:t>:</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bookmarkStart w:id="3" w:name="_heading=h.30j0zll" w:colFirst="0" w:colLast="0"/>
      <w:bookmarkEnd w:id="3"/>
      <w:r w:rsidRPr="007313CD">
        <w:rPr>
          <w:rFonts w:ascii="Palatino Linotype" w:eastAsia="Palatino Linotype" w:hAnsi="Palatino Linotype" w:cs="Palatino Linotype"/>
          <w:i/>
          <w:color w:val="000000"/>
          <w:sz w:val="22"/>
          <w:szCs w:val="22"/>
        </w:rPr>
        <w:t xml:space="preserve">“Dentro de la solicitud se especificó el requerimiento de "los Resultados del Estado Analítico de Ingresos Detallado entre el 1 de enero al 31 de diciembre (Formato 5 de la Ley de Disciplina Financiera)" El sujeto obligado solo respondió con la ruta al estado analítico de ingresos NO DETALLADO, un formato diferente al que obliga el formato 5 de la Ley de Disciplina Financiera” (Sic)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spacing w:line="360" w:lineRule="auto"/>
        <w:ind w:right="51"/>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 xml:space="preserve">4. Turno. </w:t>
      </w:r>
      <w:r w:rsidRPr="007313CD">
        <w:rPr>
          <w:rFonts w:ascii="Palatino Linotype" w:eastAsia="Palatino Linotype" w:hAnsi="Palatino Linotype" w:cs="Palatino Linotype"/>
          <w:color w:val="000000"/>
        </w:rPr>
        <w:t xml:space="preserve">De conformidad con el artículo 185 fracción I de la Ley de Transparencia, el presente recurso de revisión se turnó por el sistema electrónico de este Instituto, a la </w:t>
      </w:r>
      <w:r w:rsidRPr="007313CD">
        <w:rPr>
          <w:rFonts w:ascii="Palatino Linotype" w:eastAsia="Palatino Linotype" w:hAnsi="Palatino Linotype" w:cs="Palatino Linotype"/>
          <w:b/>
          <w:color w:val="000000"/>
        </w:rPr>
        <w:t xml:space="preserve">Comisionada Guadalupe Ramírez Peña, </w:t>
      </w:r>
      <w:r w:rsidRPr="007313CD">
        <w:rPr>
          <w:rFonts w:ascii="Palatino Linotype" w:eastAsia="Palatino Linotype" w:hAnsi="Palatino Linotype" w:cs="Palatino Linotype"/>
          <w:color w:val="000000"/>
        </w:rPr>
        <w:t xml:space="preserve">a efecto de que analizara sobre su admisión o su </w:t>
      </w:r>
      <w:proofErr w:type="spellStart"/>
      <w:r w:rsidRPr="007313CD">
        <w:rPr>
          <w:rFonts w:ascii="Palatino Linotype" w:eastAsia="Palatino Linotype" w:hAnsi="Palatino Linotype" w:cs="Palatino Linotype"/>
          <w:color w:val="000000"/>
        </w:rPr>
        <w:t>desechamiento</w:t>
      </w:r>
      <w:proofErr w:type="spellEnd"/>
      <w:r w:rsidRPr="007313CD">
        <w:rPr>
          <w:rFonts w:ascii="Palatino Linotype" w:eastAsia="Palatino Linotype" w:hAnsi="Palatino Linotype" w:cs="Palatino Linotype"/>
          <w:color w:val="000000"/>
        </w:rPr>
        <w:t>.</w:t>
      </w:r>
    </w:p>
    <w:p w:rsidR="00DC1167" w:rsidRPr="007313CD" w:rsidRDefault="00DC1167">
      <w:pPr>
        <w:spacing w:line="360" w:lineRule="auto"/>
        <w:ind w:right="51"/>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5. Admisión del Recurso de revisión.</w:t>
      </w:r>
      <w:r w:rsidRPr="007313CD">
        <w:rPr>
          <w:rFonts w:ascii="Palatino Linotype" w:eastAsia="Palatino Linotype" w:hAnsi="Palatino Linotype" w:cs="Palatino Linotype"/>
          <w:color w:val="000000"/>
        </w:rPr>
        <w:t xml:space="preserve"> El</w:t>
      </w:r>
      <w:r w:rsidRPr="007313CD">
        <w:rPr>
          <w:rFonts w:ascii="Palatino Linotype" w:eastAsia="Palatino Linotype" w:hAnsi="Palatino Linotype" w:cs="Palatino Linotype"/>
          <w:b/>
          <w:color w:val="000000"/>
        </w:rPr>
        <w:t xml:space="preserve"> veintiocho de abril de dos mil veintitrés, </w:t>
      </w:r>
      <w:r w:rsidRPr="007313CD">
        <w:rPr>
          <w:rFonts w:ascii="Palatino Linotype" w:eastAsia="Palatino Linotype" w:hAnsi="Palatino Linotype" w:cs="Palatino Linotype"/>
          <w:color w:val="00000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7313CD">
        <w:rPr>
          <w:rFonts w:ascii="Palatino Linotype" w:eastAsia="Palatino Linotype" w:hAnsi="Palatino Linotype" w:cs="Palatino Linotype"/>
          <w:b/>
          <w:color w:val="000000"/>
        </w:rPr>
        <w:t xml:space="preserve">EL SUJETO OBLIGADO </w:t>
      </w:r>
      <w:r w:rsidRPr="007313CD">
        <w:rPr>
          <w:rFonts w:ascii="Palatino Linotype" w:eastAsia="Palatino Linotype" w:hAnsi="Palatino Linotype" w:cs="Palatino Linotype"/>
          <w:color w:val="000000"/>
        </w:rPr>
        <w:t>presentara su Informe Justificado.</w:t>
      </w:r>
    </w:p>
    <w:p w:rsidR="00DC1167" w:rsidRPr="007313CD" w:rsidRDefault="00DC1167">
      <w:pPr>
        <w:spacing w:line="360" w:lineRule="auto"/>
        <w:jc w:val="both"/>
        <w:rPr>
          <w:rFonts w:ascii="Palatino Linotype" w:eastAsia="Palatino Linotype" w:hAnsi="Palatino Linotype" w:cs="Palatino Linotype"/>
          <w:b/>
          <w:color w:val="000000"/>
        </w:rPr>
      </w:pPr>
    </w:p>
    <w:p w:rsidR="00DC1167" w:rsidRPr="007313CD" w:rsidRDefault="000F749C">
      <w:pPr>
        <w:spacing w:line="360" w:lineRule="auto"/>
        <w:ind w:right="49"/>
        <w:jc w:val="both"/>
        <w:rPr>
          <w:rFonts w:ascii="Palatino Linotype" w:eastAsia="Palatino Linotype" w:hAnsi="Palatino Linotype" w:cs="Palatino Linotype"/>
          <w:b/>
          <w:color w:val="000000"/>
        </w:rPr>
      </w:pPr>
      <w:bookmarkStart w:id="4" w:name="_heading=h.2s8eyo1" w:colFirst="0" w:colLast="0"/>
      <w:bookmarkEnd w:id="4"/>
      <w:r w:rsidRPr="007313CD">
        <w:rPr>
          <w:rFonts w:ascii="Palatino Linotype" w:eastAsia="Palatino Linotype" w:hAnsi="Palatino Linotype" w:cs="Palatino Linotype"/>
          <w:b/>
          <w:color w:val="000000"/>
        </w:rPr>
        <w:t>6. Manifestaciones</w:t>
      </w:r>
      <w:r w:rsidRPr="007313CD">
        <w:rPr>
          <w:rFonts w:ascii="Palatino Linotype" w:eastAsia="Palatino Linotype" w:hAnsi="Palatino Linotype" w:cs="Palatino Linotype"/>
          <w:color w:val="000000"/>
        </w:rPr>
        <w:t xml:space="preserve">. De las constancias que integran el expediente electrónico en que se actúa se advierte que </w:t>
      </w:r>
      <w:r w:rsidRPr="007313CD">
        <w:rPr>
          <w:rFonts w:ascii="Palatino Linotype" w:eastAsia="Palatino Linotype" w:hAnsi="Palatino Linotype" w:cs="Palatino Linotype"/>
          <w:b/>
          <w:color w:val="000000"/>
        </w:rPr>
        <w:t xml:space="preserve">EL SUJETO OBLIGADO </w:t>
      </w:r>
      <w:r w:rsidRPr="007313CD">
        <w:rPr>
          <w:rFonts w:ascii="Palatino Linotype" w:eastAsia="Palatino Linotype" w:hAnsi="Palatino Linotype" w:cs="Palatino Linotype"/>
          <w:color w:val="000000"/>
        </w:rPr>
        <w:t xml:space="preserve">remitió su Informe Justificado el pasado once de mayo de dos mil veintitrés, mientras que el mismo se hizo de conocimiento de </w:t>
      </w:r>
      <w:r w:rsidRPr="007313CD">
        <w:rPr>
          <w:rFonts w:ascii="Palatino Linotype" w:eastAsia="Palatino Linotype" w:hAnsi="Palatino Linotype" w:cs="Palatino Linotype"/>
          <w:b/>
          <w:color w:val="000000"/>
        </w:rPr>
        <w:t>LA PARTE RECURRENTE</w:t>
      </w:r>
      <w:r w:rsidRPr="007313CD">
        <w:rPr>
          <w:rFonts w:ascii="Palatino Linotype" w:eastAsia="Palatino Linotype" w:hAnsi="Palatino Linotype" w:cs="Palatino Linotype"/>
          <w:color w:val="000000"/>
        </w:rPr>
        <w:t xml:space="preserve"> el </w:t>
      </w:r>
      <w:r w:rsidRPr="007313CD">
        <w:rPr>
          <w:rFonts w:ascii="Palatino Linotype" w:eastAsia="Palatino Linotype" w:hAnsi="Palatino Linotype" w:cs="Palatino Linotype"/>
          <w:b/>
          <w:color w:val="000000"/>
        </w:rPr>
        <w:t xml:space="preserve">veintitrés de octubre del mismo año. </w:t>
      </w:r>
    </w:p>
    <w:p w:rsidR="00DC1167" w:rsidRPr="007313CD" w:rsidRDefault="00DC1167">
      <w:pPr>
        <w:spacing w:line="360" w:lineRule="auto"/>
        <w:ind w:right="49"/>
        <w:jc w:val="both"/>
        <w:rPr>
          <w:rFonts w:ascii="Palatino Linotype" w:eastAsia="Palatino Linotype" w:hAnsi="Palatino Linotype" w:cs="Palatino Linotype"/>
          <w:color w:val="000000"/>
        </w:rPr>
      </w:pPr>
    </w:p>
    <w:p w:rsidR="00DC1167" w:rsidRPr="007313CD" w:rsidRDefault="000F749C">
      <w:pPr>
        <w:spacing w:line="360" w:lineRule="auto"/>
        <w:ind w:right="49"/>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Dicho informe se compone de manera siguiente: </w:t>
      </w:r>
    </w:p>
    <w:p w:rsidR="00DC1167" w:rsidRPr="007313CD" w:rsidRDefault="00DC1167">
      <w:pPr>
        <w:spacing w:line="360" w:lineRule="auto"/>
        <w:ind w:right="49"/>
        <w:jc w:val="both"/>
        <w:rPr>
          <w:rFonts w:ascii="Palatino Linotype" w:eastAsia="Palatino Linotype" w:hAnsi="Palatino Linotype" w:cs="Palatino Linotype"/>
          <w:b/>
        </w:rPr>
      </w:pPr>
    </w:p>
    <w:p w:rsidR="00DC1167" w:rsidRPr="007313CD" w:rsidRDefault="00A22BA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hyperlink r:id="rId10">
        <w:r w:rsidR="000F749C" w:rsidRPr="007313CD">
          <w:rPr>
            <w:rFonts w:ascii="Palatino Linotype" w:eastAsia="Palatino Linotype" w:hAnsi="Palatino Linotype" w:cs="Palatino Linotype"/>
            <w:b/>
            <w:color w:val="000000"/>
          </w:rPr>
          <w:t>RR2159.pdf</w:t>
        </w:r>
      </w:hyperlink>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Oficio </w:t>
      </w:r>
      <w:r w:rsidRPr="007313CD">
        <w:rPr>
          <w:rFonts w:ascii="Palatino Linotype" w:eastAsia="Palatino Linotype" w:hAnsi="Palatino Linotype" w:cs="Palatino Linotype"/>
          <w:i/>
        </w:rPr>
        <w:t>2010A4000/UT/RR/0301/2023</w:t>
      </w:r>
      <w:r w:rsidRPr="007313CD">
        <w:rPr>
          <w:rFonts w:ascii="Palatino Linotype" w:eastAsia="Palatino Linotype" w:hAnsi="Palatino Linotype" w:cs="Palatino Linotype"/>
        </w:rPr>
        <w:t xml:space="preserve"> de fecha once de mayo de dos mil veintitrés dirigido a la </w:t>
      </w:r>
      <w:r w:rsidRPr="007313CD">
        <w:rPr>
          <w:rFonts w:ascii="Palatino Linotype" w:eastAsia="Palatino Linotype" w:hAnsi="Palatino Linotype" w:cs="Palatino Linotype"/>
          <w:b/>
        </w:rPr>
        <w:t>Comisionada Guadalupe Ramírez Peña,</w:t>
      </w:r>
      <w:r w:rsidRPr="007313CD">
        <w:rPr>
          <w:rFonts w:ascii="Palatino Linotype" w:eastAsia="Palatino Linotype" w:hAnsi="Palatino Linotype" w:cs="Palatino Linotype"/>
        </w:rPr>
        <w:t xml:space="preserve"> y a través del cual se ratifica la respuesta primigenia a la solicitud de acceso a la información </w:t>
      </w:r>
      <w:r w:rsidRPr="007313CD">
        <w:rPr>
          <w:rFonts w:ascii="Palatino Linotype" w:eastAsia="Palatino Linotype" w:hAnsi="Palatino Linotype" w:cs="Palatino Linotype"/>
          <w:b/>
        </w:rPr>
        <w:t xml:space="preserve">00753/TOLUCA/IP/2023, </w:t>
      </w:r>
      <w:r w:rsidRPr="007313CD">
        <w:rPr>
          <w:rFonts w:ascii="Palatino Linotype" w:eastAsia="Palatino Linotype" w:hAnsi="Palatino Linotype" w:cs="Palatino Linotype"/>
        </w:rPr>
        <w:t xml:space="preserve">sin embargo se advierte como una aportación novedosa la remisión del Estado Analítico de Ingresos Detallado del primero de enero de dos mil veintidós al treinta y uno de diciembre de dos mil veintidós, tal y como consta: </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center"/>
        <w:rPr>
          <w:rFonts w:ascii="Palatino Linotype" w:eastAsia="Palatino Linotype" w:hAnsi="Palatino Linotype" w:cs="Palatino Linotype"/>
        </w:rPr>
      </w:pPr>
      <w:r w:rsidRPr="007313CD">
        <w:rPr>
          <w:noProof/>
        </w:rPr>
        <w:drawing>
          <wp:inline distT="0" distB="0" distL="0" distR="0">
            <wp:extent cx="1748187" cy="2276286"/>
            <wp:effectExtent l="0" t="0" r="0" b="0"/>
            <wp:docPr id="3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3605" t="16898" r="33809" b="7664"/>
                    <a:stretch>
                      <a:fillRect/>
                    </a:stretch>
                  </pic:blipFill>
                  <pic:spPr>
                    <a:xfrm>
                      <a:off x="0" y="0"/>
                      <a:ext cx="1748187" cy="2276286"/>
                    </a:xfrm>
                    <a:prstGeom prst="rect">
                      <a:avLst/>
                    </a:prstGeom>
                    <a:ln/>
                  </pic:spPr>
                </pic:pic>
              </a:graphicData>
            </a:graphic>
          </wp:inline>
        </w:drawing>
      </w:r>
    </w:p>
    <w:p w:rsidR="00DC1167" w:rsidRPr="007313CD" w:rsidRDefault="000F749C">
      <w:pPr>
        <w:spacing w:line="360" w:lineRule="auto"/>
        <w:ind w:right="49"/>
        <w:jc w:val="center"/>
        <w:rPr>
          <w:rFonts w:ascii="Palatino Linotype" w:eastAsia="Palatino Linotype" w:hAnsi="Palatino Linotype" w:cs="Palatino Linotype"/>
        </w:rPr>
      </w:pPr>
      <w:r w:rsidRPr="007313CD">
        <w:rPr>
          <w:noProof/>
        </w:rPr>
        <w:lastRenderedPageBreak/>
        <w:drawing>
          <wp:inline distT="0" distB="0" distL="0" distR="0">
            <wp:extent cx="2185988" cy="2811559"/>
            <wp:effectExtent l="0" t="0" r="0" b="0"/>
            <wp:docPr id="3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5428" t="28799" r="36147" b="6181"/>
                    <a:stretch>
                      <a:fillRect/>
                    </a:stretch>
                  </pic:blipFill>
                  <pic:spPr>
                    <a:xfrm>
                      <a:off x="0" y="0"/>
                      <a:ext cx="2185988" cy="2811559"/>
                    </a:xfrm>
                    <a:prstGeom prst="rect">
                      <a:avLst/>
                    </a:prstGeom>
                    <a:ln/>
                  </pic:spPr>
                </pic:pic>
              </a:graphicData>
            </a:graphic>
          </wp:inline>
        </w:drawing>
      </w:r>
    </w:p>
    <w:p w:rsidR="00DC1167" w:rsidRPr="007313CD" w:rsidRDefault="000F749C">
      <w:pPr>
        <w:spacing w:line="360" w:lineRule="auto"/>
        <w:ind w:right="49"/>
        <w:jc w:val="center"/>
        <w:rPr>
          <w:rFonts w:ascii="Palatino Linotype" w:eastAsia="Palatino Linotype" w:hAnsi="Palatino Linotype" w:cs="Palatino Linotype"/>
          <w:color w:val="000000"/>
        </w:rPr>
      </w:pPr>
      <w:r w:rsidRPr="007313CD">
        <w:rPr>
          <w:noProof/>
        </w:rPr>
        <w:drawing>
          <wp:inline distT="0" distB="0" distL="0" distR="0">
            <wp:extent cx="2244155" cy="1745454"/>
            <wp:effectExtent l="0" t="0" r="0" b="0"/>
            <wp:docPr id="3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3096" t="35002" r="34827" b="20637"/>
                    <a:stretch>
                      <a:fillRect/>
                    </a:stretch>
                  </pic:blipFill>
                  <pic:spPr>
                    <a:xfrm>
                      <a:off x="0" y="0"/>
                      <a:ext cx="2244155" cy="1745454"/>
                    </a:xfrm>
                    <a:prstGeom prst="rect">
                      <a:avLst/>
                    </a:prstGeom>
                    <a:ln/>
                  </pic:spPr>
                </pic:pic>
              </a:graphicData>
            </a:graphic>
          </wp:inline>
        </w:drawing>
      </w:r>
    </w:p>
    <w:p w:rsidR="00DC1167" w:rsidRPr="007313CD" w:rsidRDefault="00DC1167">
      <w:pPr>
        <w:spacing w:line="360" w:lineRule="auto"/>
        <w:ind w:right="49"/>
        <w:jc w:val="both"/>
        <w:rPr>
          <w:rFonts w:ascii="Palatino Linotype" w:eastAsia="Palatino Linotype" w:hAnsi="Palatino Linotype" w:cs="Palatino Linotype"/>
          <w:color w:val="000000"/>
        </w:rPr>
      </w:pPr>
    </w:p>
    <w:p w:rsidR="00DC1167" w:rsidRPr="007313CD" w:rsidRDefault="000F749C">
      <w:pPr>
        <w:spacing w:line="360" w:lineRule="auto"/>
        <w:ind w:right="49"/>
        <w:jc w:val="both"/>
        <w:rPr>
          <w:rFonts w:ascii="Palatino Linotype" w:eastAsia="Palatino Linotype" w:hAnsi="Palatino Linotype" w:cs="Palatino Linotype"/>
        </w:rPr>
      </w:pPr>
      <w:bookmarkStart w:id="5" w:name="_heading=h.3znysh7" w:colFirst="0" w:colLast="0"/>
      <w:bookmarkEnd w:id="5"/>
      <w:r w:rsidRPr="007313CD">
        <w:rPr>
          <w:rFonts w:ascii="Palatino Linotype" w:eastAsia="Palatino Linotype" w:hAnsi="Palatino Linotype" w:cs="Palatino Linotype"/>
          <w:color w:val="000000"/>
        </w:rPr>
        <w:t xml:space="preserve">El pasado veinticinco de octubre de dos mil veintitrés, </w:t>
      </w:r>
      <w:r w:rsidRPr="007313CD">
        <w:rPr>
          <w:rFonts w:ascii="Palatino Linotype" w:eastAsia="Palatino Linotype" w:hAnsi="Palatino Linotype" w:cs="Palatino Linotype"/>
          <w:b/>
          <w:color w:val="000000"/>
        </w:rPr>
        <w:t>EL SUJETO OBLIGADO</w:t>
      </w:r>
      <w:r w:rsidRPr="007313CD">
        <w:rPr>
          <w:rFonts w:ascii="Palatino Linotype" w:eastAsia="Palatino Linotype" w:hAnsi="Palatino Linotype" w:cs="Palatino Linotype"/>
          <w:color w:val="000000"/>
        </w:rPr>
        <w:t xml:space="preserve"> remitió en forma de alcance al Informe Justificado el archivo </w:t>
      </w:r>
      <w:r w:rsidRPr="007313CD">
        <w:rPr>
          <w:rFonts w:ascii="Palatino Linotype" w:eastAsia="Palatino Linotype" w:hAnsi="Palatino Linotype" w:cs="Palatino Linotype"/>
          <w:i/>
          <w:color w:val="000000"/>
        </w:rPr>
        <w:t xml:space="preserve">EAIDLDF0101202204-2.pdf </w:t>
      </w:r>
      <w:r w:rsidRPr="007313CD">
        <w:rPr>
          <w:rFonts w:ascii="Palatino Linotype" w:eastAsia="Palatino Linotype" w:hAnsi="Palatino Linotype" w:cs="Palatino Linotype"/>
          <w:color w:val="000000"/>
        </w:rPr>
        <w:t xml:space="preserve">que contiene el escaneo de forma individual del Estado Analítico de Ingresos Detallado del año dos mil veintidós, en una mejor resolución que permite la apreciación a detalle de la información contenida en el documento, </w:t>
      </w:r>
      <w:r w:rsidRPr="007313CD">
        <w:rPr>
          <w:rFonts w:ascii="Palatino Linotype" w:eastAsia="Palatino Linotype" w:hAnsi="Palatino Linotype" w:cs="Palatino Linotype"/>
        </w:rPr>
        <w:t xml:space="preserve">recordemos </w:t>
      </w:r>
      <w:r w:rsidRPr="007313CD">
        <w:rPr>
          <w:rFonts w:ascii="Palatino Linotype" w:eastAsia="Palatino Linotype" w:hAnsi="Palatino Linotype" w:cs="Palatino Linotype"/>
          <w:color w:val="000000"/>
        </w:rPr>
        <w:t xml:space="preserve">que </w:t>
      </w:r>
      <w:r w:rsidRPr="007313CD">
        <w:rPr>
          <w:rFonts w:ascii="Palatino Linotype" w:eastAsia="Palatino Linotype" w:hAnsi="Palatino Linotype" w:cs="Palatino Linotype"/>
        </w:rPr>
        <w:t xml:space="preserve">fue remitido </w:t>
      </w:r>
      <w:r w:rsidRPr="007313CD">
        <w:rPr>
          <w:rFonts w:ascii="Palatino Linotype" w:eastAsia="Palatino Linotype" w:hAnsi="Palatino Linotype" w:cs="Palatino Linotype"/>
          <w:color w:val="000000"/>
        </w:rPr>
        <w:t xml:space="preserve">en el oficio </w:t>
      </w:r>
      <w:r w:rsidRPr="007313CD">
        <w:rPr>
          <w:rFonts w:ascii="Palatino Linotype" w:eastAsia="Palatino Linotype" w:hAnsi="Palatino Linotype" w:cs="Palatino Linotype"/>
          <w:i/>
        </w:rPr>
        <w:t>2010A4000/UT/RR/0301/2023</w:t>
      </w:r>
      <w:r w:rsidRPr="007313CD">
        <w:rPr>
          <w:rFonts w:ascii="Palatino Linotype" w:eastAsia="Palatino Linotype" w:hAnsi="Palatino Linotype" w:cs="Palatino Linotype"/>
        </w:rPr>
        <w:t xml:space="preserve"> por cuenta del Ayuntamiento de Toluca</w:t>
      </w:r>
      <w:r w:rsidRPr="007313CD">
        <w:rPr>
          <w:rFonts w:ascii="Palatino Linotype" w:eastAsia="Palatino Linotype" w:hAnsi="Palatino Linotype" w:cs="Palatino Linotype"/>
          <w:i/>
        </w:rPr>
        <w:t xml:space="preserve">, </w:t>
      </w:r>
      <w:r w:rsidRPr="007313CD">
        <w:rPr>
          <w:rFonts w:ascii="Palatino Linotype" w:eastAsia="Palatino Linotype" w:hAnsi="Palatino Linotype" w:cs="Palatino Linotype"/>
        </w:rPr>
        <w:t xml:space="preserve">y dicha actuación se hizo del conocimiento de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el mismo día que se enuncia.</w:t>
      </w:r>
    </w:p>
    <w:p w:rsidR="00DC1167" w:rsidRPr="007313CD" w:rsidRDefault="00DC1167">
      <w:pPr>
        <w:spacing w:line="360" w:lineRule="auto"/>
        <w:ind w:right="49"/>
        <w:jc w:val="both"/>
        <w:rPr>
          <w:rFonts w:ascii="Palatino Linotype" w:eastAsia="Palatino Linotype" w:hAnsi="Palatino Linotype" w:cs="Palatino Linotype"/>
          <w:color w:val="000000"/>
        </w:rPr>
      </w:pPr>
    </w:p>
    <w:p w:rsidR="00DC1167" w:rsidRPr="007313CD" w:rsidRDefault="000F749C">
      <w:pPr>
        <w:spacing w:line="360" w:lineRule="auto"/>
        <w:ind w:right="49"/>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 xml:space="preserve">LA PARTE RECURRENTE, </w:t>
      </w:r>
      <w:r w:rsidRPr="007313CD">
        <w:rPr>
          <w:rFonts w:ascii="Palatino Linotype" w:eastAsia="Palatino Linotype" w:hAnsi="Palatino Linotype" w:cs="Palatino Linotype"/>
          <w:color w:val="000000"/>
        </w:rPr>
        <w:t xml:space="preserve">omitió realizar las manifestaciones que a su derecho resultaran competentes, tal y como se muestra en la imagen que se adjunta: </w:t>
      </w:r>
    </w:p>
    <w:p w:rsidR="00DC1167" w:rsidRPr="007313CD" w:rsidRDefault="00DC1167">
      <w:pPr>
        <w:spacing w:line="360" w:lineRule="auto"/>
        <w:ind w:right="49"/>
        <w:jc w:val="both"/>
      </w:pPr>
    </w:p>
    <w:p w:rsidR="00DC1167" w:rsidRPr="007313CD" w:rsidRDefault="000F749C">
      <w:pPr>
        <w:spacing w:line="360" w:lineRule="auto"/>
        <w:ind w:right="49"/>
        <w:jc w:val="center"/>
        <w:rPr>
          <w:rFonts w:ascii="Palatino Linotype" w:eastAsia="Palatino Linotype" w:hAnsi="Palatino Linotype" w:cs="Palatino Linotype"/>
          <w:color w:val="000000"/>
        </w:rPr>
      </w:pPr>
      <w:r w:rsidRPr="007313CD">
        <w:rPr>
          <w:noProof/>
        </w:rPr>
        <w:drawing>
          <wp:inline distT="0" distB="0" distL="0" distR="0">
            <wp:extent cx="4267200" cy="1914525"/>
            <wp:effectExtent l="0" t="0" r="0" b="0"/>
            <wp:docPr id="3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3407" t="16896" r="10556" b="22451"/>
                    <a:stretch>
                      <a:fillRect/>
                    </a:stretch>
                  </pic:blipFill>
                  <pic:spPr>
                    <a:xfrm>
                      <a:off x="0" y="0"/>
                      <a:ext cx="4267200" cy="1914525"/>
                    </a:xfrm>
                    <a:prstGeom prst="rect">
                      <a:avLst/>
                    </a:prstGeom>
                    <a:ln/>
                  </pic:spPr>
                </pic:pic>
              </a:graphicData>
            </a:graphic>
          </wp:inline>
        </w:drawing>
      </w:r>
    </w:p>
    <w:p w:rsidR="00DC1167" w:rsidRPr="007313CD" w:rsidRDefault="00DC1167">
      <w:pPr>
        <w:spacing w:line="360" w:lineRule="auto"/>
        <w:ind w:right="49"/>
        <w:jc w:val="center"/>
      </w:pPr>
      <w:bookmarkStart w:id="6" w:name="_heading=h.1fob9te" w:colFirst="0" w:colLast="0"/>
      <w:bookmarkEnd w:id="6"/>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7. Ampliación del plazo para emitir resolución.</w:t>
      </w:r>
      <w:r w:rsidRPr="007313CD">
        <w:rPr>
          <w:rFonts w:ascii="Palatino Linotype" w:eastAsia="Palatino Linotype" w:hAnsi="Palatino Linotype" w:cs="Palatino Linotype"/>
          <w:color w:val="000000"/>
        </w:rPr>
        <w:t xml:space="preserve"> El </w:t>
      </w:r>
      <w:r w:rsidRPr="007313CD">
        <w:rPr>
          <w:rFonts w:ascii="Palatino Linotype" w:eastAsia="Palatino Linotype" w:hAnsi="Palatino Linotype" w:cs="Palatino Linotype"/>
          <w:b/>
          <w:color w:val="000000"/>
        </w:rPr>
        <w:t>veintitrés de octubre de dos mil veintitrés,</w:t>
      </w:r>
      <w:r w:rsidRPr="007313CD">
        <w:rPr>
          <w:rFonts w:ascii="Palatino Linotype" w:eastAsia="Palatino Linotype" w:hAnsi="Palatino Linotype" w:cs="Palatino Linotype"/>
          <w:color w:val="000000"/>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w:t>
      </w:r>
      <w:r w:rsidRPr="007313CD">
        <w:rPr>
          <w:rFonts w:ascii="Palatino Linotype" w:eastAsia="Palatino Linotype" w:hAnsi="Palatino Linotype" w:cs="Palatino Linotype"/>
          <w:color w:val="000000"/>
        </w:rPr>
        <w:lastRenderedPageBreak/>
        <w:t>impugnación.</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numPr>
          <w:ilvl w:val="0"/>
          <w:numId w:val="5"/>
        </w:num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 xml:space="preserve">Complejidad del Asunto: </w:t>
      </w:r>
      <w:r w:rsidRPr="007313CD">
        <w:rPr>
          <w:rFonts w:ascii="Palatino Linotype" w:eastAsia="Palatino Linotype" w:hAnsi="Palatino Linotype" w:cs="Palatino Linotype"/>
          <w:color w:val="000000"/>
        </w:rPr>
        <w:t xml:space="preserve">La complejidad de la prueba, la pluralidad de </w:t>
      </w:r>
      <w:r w:rsidRPr="007313CD">
        <w:rPr>
          <w:rFonts w:ascii="Palatino Linotype" w:eastAsia="Palatino Linotype" w:hAnsi="Palatino Linotype" w:cs="Palatino Linotype"/>
          <w:color w:val="000000"/>
        </w:rPr>
        <w:lastRenderedPageBreak/>
        <w:t xml:space="preserve">sujetos procesales, el tiempo transcurrido, las características y contexto del recurso. </w:t>
      </w:r>
    </w:p>
    <w:p w:rsidR="00DC1167" w:rsidRPr="007313CD" w:rsidRDefault="000F749C">
      <w:pPr>
        <w:widowControl w:val="0"/>
        <w:numPr>
          <w:ilvl w:val="0"/>
          <w:numId w:val="5"/>
        </w:num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Actividad Procesal del interesado:</w:t>
      </w:r>
      <w:r w:rsidRPr="007313CD">
        <w:rPr>
          <w:rFonts w:ascii="Palatino Linotype" w:eastAsia="Palatino Linotype" w:hAnsi="Palatino Linotype" w:cs="Palatino Linotype"/>
          <w:color w:val="000000"/>
        </w:rPr>
        <w:t xml:space="preserve"> Acciones u omisiones del interesado.</w:t>
      </w:r>
    </w:p>
    <w:p w:rsidR="00DC1167" w:rsidRPr="007313CD" w:rsidRDefault="000F749C">
      <w:pPr>
        <w:widowControl w:val="0"/>
        <w:numPr>
          <w:ilvl w:val="0"/>
          <w:numId w:val="5"/>
        </w:num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Conducta de la Autoridad:</w:t>
      </w:r>
      <w:r w:rsidRPr="007313CD">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DC1167" w:rsidRPr="007313CD" w:rsidRDefault="000F749C">
      <w:pPr>
        <w:widowControl w:val="0"/>
        <w:numPr>
          <w:ilvl w:val="0"/>
          <w:numId w:val="5"/>
        </w:num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La afectación generada en la situación jurídica de la persona involucrada en el proceso:</w:t>
      </w:r>
      <w:r w:rsidRPr="007313CD">
        <w:rPr>
          <w:rFonts w:ascii="Palatino Linotype" w:eastAsia="Palatino Linotype" w:hAnsi="Palatino Linotype" w:cs="Palatino Linotype"/>
          <w:color w:val="000000"/>
        </w:rPr>
        <w:t xml:space="preserve"> Violación a sus derechos humanos.</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Argumento que encuentra sustento en la jurisprudencia P</w:t>
      </w:r>
      <w:proofErr w:type="gramStart"/>
      <w:r w:rsidRPr="007313CD">
        <w:rPr>
          <w:rFonts w:ascii="Palatino Linotype" w:eastAsia="Palatino Linotype" w:hAnsi="Palatino Linotype" w:cs="Palatino Linotype"/>
          <w:color w:val="000000"/>
        </w:rPr>
        <w:t>./</w:t>
      </w:r>
      <w:proofErr w:type="gramEnd"/>
      <w:r w:rsidRPr="007313CD">
        <w:rPr>
          <w:rFonts w:ascii="Palatino Linotype" w:eastAsia="Palatino Linotype" w:hAnsi="Palatino Linotype" w:cs="Palatino Linotype"/>
          <w:color w:val="000000"/>
        </w:rPr>
        <w:t xml:space="preserve">J. 32/92 emitida por el Pleno de la Suprema Corte de Justicia de la Nación de rubro </w:t>
      </w:r>
      <w:r w:rsidRPr="007313CD">
        <w:rPr>
          <w:rFonts w:ascii="Palatino Linotype" w:eastAsia="Palatino Linotype" w:hAnsi="Palatino Linotype" w:cs="Palatino Linotype"/>
          <w:b/>
          <w:i/>
          <w:color w:val="000000"/>
        </w:rPr>
        <w:t>“TÉRMINOS PROCESALES. PARA DETERMINAR SI UN FUNCIONARIO JUDICIAL ACTUÓ INDEBIDAMENTE POR NO RESPETARLOS SE DEBE ATENDER AL PRESUPUESTO QUE CONSIDERÓ EL LEGISLADOR AL FIJARLOS Y LAS CARACTERÍSTICAS DEL CASO.”</w:t>
      </w:r>
      <w:r w:rsidRPr="007313CD">
        <w:rPr>
          <w:rFonts w:ascii="Palatino Linotype" w:eastAsia="Palatino Linotype" w:hAnsi="Palatino Linotype" w:cs="Palatino Linotype"/>
          <w:b/>
          <w:color w:val="000000"/>
        </w:rPr>
        <w:t>,</w:t>
      </w:r>
      <w:r w:rsidRPr="007313CD">
        <w:rPr>
          <w:rFonts w:ascii="Palatino Linotype" w:eastAsia="Palatino Linotype" w:hAnsi="Palatino Linotype" w:cs="Palatino Linotype"/>
          <w:color w:val="000000"/>
        </w:rPr>
        <w:t xml:space="preserve"> visible en la Gaceta del Seminario Judicial de la Federación con el registro digital 205635.</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Razones por las cuales cabe concluir que, la resolución al recurso de revisión se </w:t>
      </w:r>
      <w:r w:rsidRPr="007313CD">
        <w:rPr>
          <w:rFonts w:ascii="Palatino Linotype" w:eastAsia="Palatino Linotype" w:hAnsi="Palatino Linotype" w:cs="Palatino Linotype"/>
          <w:color w:val="000000"/>
        </w:rPr>
        <w:lastRenderedPageBreak/>
        <w:t>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i/>
          <w:color w:val="000000"/>
        </w:rPr>
        <w:t>“PLAZO RAZONABLE PARA RESOLVER. DIMENSIÓN Y EFECTOS DE ESTE CONCEPTO CUANDO SE ADUCE EXCESIVA CARGA DE TRABAJO.”</w:t>
      </w:r>
      <w:r w:rsidRPr="007313CD">
        <w:rPr>
          <w:rFonts w:ascii="Palatino Linotype" w:eastAsia="Palatino Linotype" w:hAnsi="Palatino Linotype" w:cs="Palatino Linotype"/>
          <w:color w:val="000000"/>
        </w:rPr>
        <w:t xml:space="preserve"> consultable en el Seminario Judicial de la Federación y su gaceta, con el registro digital 2002351.</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i/>
          <w:color w:val="000000"/>
        </w:rPr>
        <w:t>“PLAZO RAZONABLE PARA RESOLVER. CONCEPTO Y ELEMENTOS QUE LO INTEGRAN A LA LUZ DEL DERECHO INTERNACIONAL DE LOS DERECHOS HUMANOS.”</w:t>
      </w:r>
      <w:r w:rsidRPr="007313CD">
        <w:rPr>
          <w:rFonts w:ascii="Palatino Linotype" w:eastAsia="Palatino Linotype" w:hAnsi="Palatino Linotype" w:cs="Palatino Linotype"/>
          <w:b/>
          <w:color w:val="000000"/>
        </w:rPr>
        <w:t>,</w:t>
      </w:r>
      <w:r w:rsidRPr="007313CD">
        <w:rPr>
          <w:rFonts w:ascii="Palatino Linotype" w:eastAsia="Palatino Linotype" w:hAnsi="Palatino Linotype" w:cs="Palatino Linotype"/>
          <w:color w:val="000000"/>
        </w:rPr>
        <w:t xml:space="preserve"> visible en el Seminario Judicial de la Federación y su gaceta, con el registro digital 2002350.</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widowControl w:val="0"/>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rsidR="00DC1167" w:rsidRPr="007313CD" w:rsidRDefault="00DC1167">
      <w:pPr>
        <w:widowControl w:val="0"/>
        <w:spacing w:line="360" w:lineRule="auto"/>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 xml:space="preserve">8. Cierre de instrucción. </w:t>
      </w:r>
      <w:r w:rsidRPr="007313CD">
        <w:rPr>
          <w:rFonts w:ascii="Palatino Linotype" w:eastAsia="Palatino Linotype" w:hAnsi="Palatino Linotype" w:cs="Palatino Linotype"/>
          <w:color w:val="000000"/>
        </w:rPr>
        <w:t>Una vez transcurrido el periodo otorgado a las partes para realizar sus manifestaciones y no habiendo documentos que integrar al expediente, con fecha</w:t>
      </w:r>
      <w:r w:rsidRPr="007313CD">
        <w:rPr>
          <w:rFonts w:ascii="Palatino Linotype" w:eastAsia="Palatino Linotype" w:hAnsi="Palatino Linotype" w:cs="Palatino Linotype"/>
          <w:b/>
          <w:color w:val="000000"/>
        </w:rPr>
        <w:t xml:space="preserve"> </w:t>
      </w:r>
      <w:r w:rsidRPr="007313CD">
        <w:rPr>
          <w:rFonts w:ascii="Palatino Linotype" w:eastAsia="Palatino Linotype" w:hAnsi="Palatino Linotype" w:cs="Palatino Linotype"/>
          <w:b/>
        </w:rPr>
        <w:t>treinta y uno de octubre de dos mil veintitrés</w:t>
      </w:r>
      <w:r w:rsidRPr="007313CD">
        <w:rPr>
          <w:rFonts w:ascii="Palatino Linotype" w:eastAsia="Palatino Linotype" w:hAnsi="Palatino Linotype" w:cs="Palatino Linotype"/>
          <w:color w:val="000000"/>
        </w:rPr>
        <w:t xml:space="preserve">, la </w:t>
      </w:r>
      <w:r w:rsidRPr="007313CD">
        <w:rPr>
          <w:rFonts w:ascii="Palatino Linotype" w:eastAsia="Palatino Linotype" w:hAnsi="Palatino Linotype" w:cs="Palatino Linotype"/>
          <w:b/>
          <w:color w:val="000000"/>
        </w:rPr>
        <w:t>Comisionada Ponente</w:t>
      </w:r>
      <w:r w:rsidRPr="007313CD">
        <w:rPr>
          <w:rFonts w:ascii="Palatino Linotype" w:eastAsia="Palatino Linotype" w:hAnsi="Palatino Linotype" w:cs="Palatino Linotype"/>
          <w:color w:val="000000"/>
        </w:rPr>
        <w:t xml:space="preserve"> determinó el cierre de instrucción en términos de la fracción VI del artículo 185 de la Ley de Transparencia y Acceso a la Información Pública del Estado de México y Municipios.</w:t>
      </w:r>
    </w:p>
    <w:p w:rsidR="00DC1167" w:rsidRPr="007313CD" w:rsidRDefault="00DC1167">
      <w:pPr>
        <w:spacing w:line="360" w:lineRule="auto"/>
        <w:jc w:val="both"/>
        <w:rPr>
          <w:rFonts w:ascii="Palatino Linotype" w:eastAsia="Palatino Linotype" w:hAnsi="Palatino Linotype" w:cs="Palatino Linotype"/>
          <w:b/>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y</w:t>
      </w:r>
    </w:p>
    <w:p w:rsidR="00DC1167" w:rsidRPr="007313CD" w:rsidRDefault="00DC1167">
      <w:pPr>
        <w:spacing w:line="360" w:lineRule="auto"/>
        <w:jc w:val="both"/>
        <w:rPr>
          <w:rFonts w:ascii="Palatino Linotype" w:eastAsia="Palatino Linotype" w:hAnsi="Palatino Linotype" w:cs="Palatino Linotype"/>
          <w:sz w:val="22"/>
          <w:szCs w:val="22"/>
        </w:rPr>
      </w:pPr>
    </w:p>
    <w:p w:rsidR="00DC1167" w:rsidRPr="007313CD" w:rsidRDefault="00DC1167">
      <w:pPr>
        <w:spacing w:line="360" w:lineRule="auto"/>
        <w:jc w:val="both"/>
        <w:rPr>
          <w:rFonts w:ascii="Palatino Linotype" w:eastAsia="Palatino Linotype" w:hAnsi="Palatino Linotype" w:cs="Palatino Linotype"/>
          <w:sz w:val="22"/>
          <w:szCs w:val="22"/>
        </w:rPr>
      </w:pPr>
    </w:p>
    <w:p w:rsidR="00DC1167" w:rsidRPr="007313CD" w:rsidRDefault="000F749C">
      <w:pPr>
        <w:widowControl w:val="0"/>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313CD">
        <w:rPr>
          <w:rFonts w:ascii="Palatino Linotype" w:eastAsia="Palatino Linotype" w:hAnsi="Palatino Linotype" w:cs="Palatino Linotype"/>
          <w:b/>
          <w:color w:val="000000"/>
        </w:rPr>
        <w:t>C O N S I D E R A N D O:</w:t>
      </w:r>
    </w:p>
    <w:p w:rsidR="00DC1167" w:rsidRPr="007313CD" w:rsidRDefault="00DC1167">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PRIMERO. COMPETENCIA.</w:t>
      </w:r>
      <w:r w:rsidRPr="007313CD">
        <w:rPr>
          <w:rFonts w:ascii="Palatino Linotype" w:eastAsia="Palatino Linotype" w:hAnsi="Palatino Linotype" w:cs="Palatino Linotype"/>
          <w:color w:val="000000"/>
        </w:rPr>
        <w:t xml:space="preserve"> El Instituto de Transparencia, Acceso a la Información Pública y Protección de Datos Personales del Estado de México y Municipios, es competente para conocer y resolver el presente recurso de revisión interpuesto por </w:t>
      </w:r>
      <w:r w:rsidRPr="007313CD">
        <w:rPr>
          <w:rFonts w:ascii="Palatino Linotype" w:eastAsia="Palatino Linotype" w:hAnsi="Palatino Linotype" w:cs="Palatino Linotype"/>
          <w:b/>
          <w:color w:val="000000"/>
        </w:rPr>
        <w:t>LA PARTE RECURRENTE</w:t>
      </w:r>
      <w:r w:rsidRPr="007313CD">
        <w:rPr>
          <w:rFonts w:ascii="Palatino Linotype" w:eastAsia="Palatino Linotype" w:hAnsi="Palatino Linotype" w:cs="Palatino Linotype"/>
          <w:color w:val="000000"/>
        </w:rPr>
        <w:t xml:space="preserve">, conforme a lo dispuesto en los artículos 6, apartado A de la Constitución Política de los Estados Unidos Mexicanos; 5 párrafos trigésimo segundo, trigésimo tercero y trigésimo cuarto fracciones IV y V </w:t>
      </w:r>
      <w:r w:rsidRPr="007313CD">
        <w:rPr>
          <w:rFonts w:ascii="Palatino Linotype" w:eastAsia="Palatino Linotype" w:hAnsi="Palatino Linotype" w:cs="Palatino Linotype"/>
          <w:color w:val="000000"/>
        </w:rPr>
        <w:lastRenderedPageBreak/>
        <w:t>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b/>
          <w:color w:val="000000"/>
        </w:rPr>
        <w:t>SEGUNDO. OPORTUNIDAD Y PROCEDIBILIDAD DEL RECURSO DE REVISIÓN</w:t>
      </w:r>
      <w:r w:rsidRPr="007313CD">
        <w:rPr>
          <w:rFonts w:ascii="Palatino Linotype" w:eastAsia="Palatino Linotype" w:hAnsi="Palatino Linotype" w:cs="Palatino Linotype"/>
          <w:color w:val="000000"/>
        </w:rPr>
        <w:t xml:space="preserve">. Previo al estudio del fondo del asunto, se procede a analizar los requisitos de oportunidad y </w:t>
      </w:r>
      <w:proofErr w:type="spellStart"/>
      <w:r w:rsidRPr="007313CD">
        <w:rPr>
          <w:rFonts w:ascii="Palatino Linotype" w:eastAsia="Palatino Linotype" w:hAnsi="Palatino Linotype" w:cs="Palatino Linotype"/>
          <w:color w:val="000000"/>
        </w:rPr>
        <w:t>procedibilidad</w:t>
      </w:r>
      <w:proofErr w:type="spellEnd"/>
      <w:r w:rsidRPr="007313CD">
        <w:rPr>
          <w:rFonts w:ascii="Palatino Linotype" w:eastAsia="Palatino Linotype" w:hAnsi="Palatino Linotype" w:cs="Palatino Linotype"/>
          <w:color w:val="000000"/>
        </w:rPr>
        <w:t xml:space="preserve"> que debe reunir el recurso de revisión interpuesto, previstos en los artículos 178 y 180 de la Ley de Transparencia y Acceso a la Información Pública del Estado de México y Municipios.</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sidRPr="007313CD">
        <w:rPr>
          <w:rFonts w:ascii="Palatino Linotype" w:eastAsia="Palatino Linotype" w:hAnsi="Palatino Linotype" w:cs="Palatino Linotype"/>
          <w:b/>
          <w:color w:val="000000"/>
        </w:rPr>
        <w:t>EL SUJETO OBLIGADO</w:t>
      </w:r>
      <w:r w:rsidRPr="007313CD">
        <w:rPr>
          <w:rFonts w:ascii="Palatino Linotype" w:eastAsia="Palatino Linotype" w:hAnsi="Palatino Linotype" w:cs="Palatino Linotype"/>
          <w:color w:val="000000"/>
        </w:rPr>
        <w:t xml:space="preserve"> respondió a la solicitud de información el </w:t>
      </w:r>
      <w:r w:rsidRPr="007313CD">
        <w:rPr>
          <w:rFonts w:ascii="Palatino Linotype" w:eastAsia="Palatino Linotype" w:hAnsi="Palatino Linotype" w:cs="Palatino Linotype"/>
          <w:b/>
          <w:color w:val="000000"/>
        </w:rPr>
        <w:t xml:space="preserve">diez de abril de dos mil veintitrés, </w:t>
      </w:r>
      <w:r w:rsidRPr="007313CD">
        <w:rPr>
          <w:rFonts w:ascii="Palatino Linotype" w:eastAsia="Palatino Linotype" w:hAnsi="Palatino Linotype" w:cs="Palatino Linotype"/>
          <w:color w:val="000000"/>
        </w:rPr>
        <w:t xml:space="preserve">mientras que el recurso de revisión se interpuso </w:t>
      </w:r>
      <w:r w:rsidRPr="007313CD">
        <w:rPr>
          <w:rFonts w:ascii="Palatino Linotype" w:eastAsia="Palatino Linotype" w:hAnsi="Palatino Linotype" w:cs="Palatino Linotype"/>
          <w:b/>
          <w:color w:val="000000"/>
        </w:rPr>
        <w:t>veinticinco de abril de dos mil veintitrés</w:t>
      </w:r>
      <w:r w:rsidRPr="007313CD">
        <w:rPr>
          <w:rFonts w:ascii="Palatino Linotype" w:eastAsia="Palatino Linotype" w:hAnsi="Palatino Linotype" w:cs="Palatino Linotype"/>
          <w:color w:val="000000"/>
        </w:rPr>
        <w:t xml:space="preserve">, esto es, al </w:t>
      </w:r>
      <w:r w:rsidRPr="007313CD">
        <w:rPr>
          <w:rFonts w:ascii="Palatino Linotype" w:eastAsia="Palatino Linotype" w:hAnsi="Palatino Linotype" w:cs="Palatino Linotype"/>
          <w:b/>
          <w:color w:val="000000"/>
        </w:rPr>
        <w:t>décimo</w:t>
      </w:r>
      <w:r w:rsidRPr="007313CD">
        <w:rPr>
          <w:rFonts w:ascii="Palatino Linotype" w:eastAsia="Palatino Linotype" w:hAnsi="Palatino Linotype" w:cs="Palatino Linotype"/>
          <w:color w:val="000000"/>
        </w:rPr>
        <w:t xml:space="preserve"> </w:t>
      </w:r>
      <w:r w:rsidRPr="007313CD">
        <w:rPr>
          <w:rFonts w:ascii="Palatino Linotype" w:eastAsia="Palatino Linotype" w:hAnsi="Palatino Linotype" w:cs="Palatino Linotype"/>
          <w:b/>
          <w:color w:val="000000"/>
        </w:rPr>
        <w:t xml:space="preserve">primer día hábil </w:t>
      </w:r>
      <w:r w:rsidRPr="007313CD">
        <w:rPr>
          <w:rFonts w:ascii="Palatino Linotype" w:eastAsia="Palatino Linotype" w:hAnsi="Palatino Linotype" w:cs="Palatino Linotype"/>
          <w:color w:val="000000"/>
        </w:rPr>
        <w:t>posterior en que tuvo conocimiento de la respuesta impugnada.</w:t>
      </w:r>
    </w:p>
    <w:p w:rsidR="00DC1167" w:rsidRPr="007313CD" w:rsidRDefault="00DC1167">
      <w:pPr>
        <w:spacing w:line="360" w:lineRule="auto"/>
        <w:jc w:val="both"/>
        <w:rPr>
          <w:rFonts w:ascii="Palatino Linotype" w:eastAsia="Palatino Linotype" w:hAnsi="Palatino Linotype" w:cs="Palatino Linotype"/>
          <w:color w:val="000000"/>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Al mismo tiempo, por cuanto hace a la </w:t>
      </w:r>
      <w:proofErr w:type="spellStart"/>
      <w:r w:rsidRPr="007313CD">
        <w:rPr>
          <w:rFonts w:ascii="Palatino Linotype" w:eastAsia="Palatino Linotype" w:hAnsi="Palatino Linotype" w:cs="Palatino Linotype"/>
        </w:rPr>
        <w:t>procedibilidad</w:t>
      </w:r>
      <w:proofErr w:type="spellEnd"/>
      <w:r w:rsidRPr="007313C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7313CD">
        <w:rPr>
          <w:rFonts w:ascii="Palatino Linotype" w:eastAsia="Palatino Linotype" w:hAnsi="Palatino Linotype" w:cs="Palatino Linotype"/>
        </w:rPr>
        <w:lastRenderedPageBreak/>
        <w:t>Municipios, en atención a que fue presentado mediante el formato visible en el SAIMEX.</w:t>
      </w:r>
    </w:p>
    <w:p w:rsidR="00DC1167" w:rsidRPr="007313CD" w:rsidRDefault="00DC1167">
      <w:pPr>
        <w:spacing w:line="360" w:lineRule="auto"/>
        <w:jc w:val="both"/>
        <w:rPr>
          <w:rFonts w:ascii="Palatino Linotype" w:eastAsia="Palatino Linotype" w:hAnsi="Palatino Linotype" w:cs="Palatino Linotype"/>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por lo que, en el presente caso, al haber sido presentado el recurso de revisión vía SAIMEX, dicho requisito resulta innecesario.</w:t>
      </w:r>
    </w:p>
    <w:p w:rsidR="00DC1167" w:rsidRPr="007313CD" w:rsidRDefault="00DC1167">
      <w:pPr>
        <w:spacing w:line="360" w:lineRule="auto"/>
        <w:rPr>
          <w:rFonts w:ascii="Palatino Linotype" w:eastAsia="Palatino Linotype" w:hAnsi="Palatino Linotype" w:cs="Palatino Linotype"/>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b/>
          <w:color w:val="000000"/>
        </w:rPr>
        <w:t>TERCERO. ANÁLISIS DE LAS CAUSALES DE SOBRESEIMIENTO</w:t>
      </w:r>
      <w:r w:rsidRPr="007313CD">
        <w:rPr>
          <w:rFonts w:ascii="Palatino Linotype" w:eastAsia="Palatino Linotype" w:hAnsi="Palatino Linotype" w:cs="Palatino Linotype"/>
          <w:b/>
          <w:color w:val="000000"/>
          <w:sz w:val="28"/>
          <w:szCs w:val="28"/>
        </w:rPr>
        <w:t xml:space="preserve">. </w:t>
      </w:r>
      <w:r w:rsidRPr="007313CD">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Pr="007313CD">
        <w:rPr>
          <w:rFonts w:ascii="Palatino Linotype" w:eastAsia="Palatino Linotype" w:hAnsi="Palatino Linotype" w:cs="Palatino Linotype"/>
        </w:rPr>
        <w:t>procedibilidad</w:t>
      </w:r>
      <w:proofErr w:type="spellEnd"/>
      <w:r w:rsidRPr="007313CD">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C1167" w:rsidRPr="007313CD" w:rsidRDefault="00DC1167">
      <w:pPr>
        <w:spacing w:line="360" w:lineRule="auto"/>
        <w:jc w:val="both"/>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w:t>
      </w:r>
      <w:r w:rsidRPr="007313CD">
        <w:rPr>
          <w:rFonts w:ascii="Palatino Linotype" w:eastAsia="Palatino Linotype" w:hAnsi="Palatino Linotype" w:cs="Palatino Linotype"/>
        </w:rPr>
        <w:lastRenderedPageBreak/>
        <w:t>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DC1167" w:rsidRPr="007313CD" w:rsidRDefault="00DC1167">
      <w:pPr>
        <w:spacing w:line="360" w:lineRule="auto"/>
        <w:jc w:val="both"/>
      </w:pPr>
    </w:p>
    <w:p w:rsidR="00DC1167" w:rsidRPr="007313CD" w:rsidRDefault="000F749C">
      <w:pPr>
        <w:spacing w:line="360" w:lineRule="auto"/>
        <w:ind w:right="51"/>
        <w:jc w:val="both"/>
        <w:rPr>
          <w:rFonts w:ascii="Palatino Linotype" w:eastAsia="Palatino Linotype" w:hAnsi="Palatino Linotype" w:cs="Palatino Linotype"/>
        </w:rPr>
      </w:pPr>
      <w:r w:rsidRPr="007313CD">
        <w:rPr>
          <w:rFonts w:ascii="Palatino Linotype" w:eastAsia="Palatino Linotype" w:hAnsi="Palatino Linotype" w:cs="Palatino Linotype"/>
        </w:rPr>
        <w:t>De manera preliminar en el caso concreto conviene analizar si se actualiza alguna de las causales de sobreseimiento del recurso de revisión.</w:t>
      </w:r>
    </w:p>
    <w:p w:rsidR="00DC1167" w:rsidRPr="007313CD" w:rsidRDefault="00DC1167">
      <w:pPr>
        <w:spacing w:line="360" w:lineRule="auto"/>
        <w:ind w:right="51"/>
        <w:jc w:val="both"/>
        <w:rPr>
          <w:rFonts w:ascii="Palatino Linotype" w:eastAsia="Palatino Linotype" w:hAnsi="Palatino Linotype" w:cs="Palatino Linotype"/>
        </w:rPr>
      </w:pPr>
    </w:p>
    <w:p w:rsidR="00DC1167" w:rsidRPr="007313CD" w:rsidRDefault="000F749C">
      <w:pPr>
        <w:spacing w:line="360" w:lineRule="auto"/>
        <w:ind w:right="51"/>
        <w:jc w:val="both"/>
      </w:pPr>
      <w:r w:rsidRPr="007313CD">
        <w:rPr>
          <w:rFonts w:ascii="Palatino Linotype" w:eastAsia="Palatino Linotype" w:hAnsi="Palatino Linotype" w:cs="Palatino Linotype"/>
        </w:rPr>
        <w:t xml:space="preserve">Así, del análisis de la solicitud </w:t>
      </w:r>
      <w:r w:rsidRPr="007313CD">
        <w:rPr>
          <w:rFonts w:ascii="Palatino Linotype" w:eastAsia="Palatino Linotype" w:hAnsi="Palatino Linotype" w:cs="Palatino Linotype"/>
          <w:b/>
        </w:rPr>
        <w:t xml:space="preserve">00753/TOLUCA/IP/2023 </w:t>
      </w:r>
      <w:r w:rsidRPr="007313CD">
        <w:rPr>
          <w:rFonts w:ascii="Palatino Linotype" w:eastAsia="Palatino Linotype" w:hAnsi="Palatino Linotype" w:cs="Palatino Linotype"/>
        </w:rPr>
        <w:t xml:space="preserve">motivo del recurso de revisión que ahora se resuelve, se advierte que la persona solicitante requirió al </w:t>
      </w:r>
      <w:r w:rsidRPr="007313CD">
        <w:rPr>
          <w:rFonts w:ascii="Palatino Linotype" w:eastAsia="Palatino Linotype" w:hAnsi="Palatino Linotype" w:cs="Palatino Linotype"/>
          <w:b/>
        </w:rPr>
        <w:t>SUJETO OBLIGADO</w:t>
      </w:r>
      <w:r w:rsidRPr="007313CD">
        <w:rPr>
          <w:rFonts w:ascii="Palatino Linotype" w:eastAsia="Palatino Linotype" w:hAnsi="Palatino Linotype" w:cs="Palatino Linotype"/>
        </w:rPr>
        <w:t xml:space="preserve"> le proporcione información del primero de enero al treinta y uno de diciembre, consistente en:</w:t>
      </w:r>
      <w:r w:rsidRPr="007313CD">
        <w:t xml:space="preserve"> </w:t>
      </w:r>
    </w:p>
    <w:p w:rsidR="00DC1167" w:rsidRPr="007313CD" w:rsidRDefault="00DC1167">
      <w:pPr>
        <w:spacing w:line="360" w:lineRule="auto"/>
        <w:ind w:right="51"/>
        <w:jc w:val="both"/>
        <w:rPr>
          <w:rFonts w:ascii="Palatino Linotype" w:eastAsia="Palatino Linotype" w:hAnsi="Palatino Linotype" w:cs="Palatino Linotype"/>
        </w:rPr>
      </w:pPr>
    </w:p>
    <w:p w:rsidR="00DC1167" w:rsidRPr="007313CD" w:rsidRDefault="000F749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Resultados de la Clasificación por Objeto del Gasto; </w:t>
      </w:r>
    </w:p>
    <w:p w:rsidR="00DC1167" w:rsidRPr="007313CD" w:rsidRDefault="000F749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Resultados de la Clasificación Funcional del Gasto;</w:t>
      </w:r>
    </w:p>
    <w:p w:rsidR="00DC1167" w:rsidRPr="007313CD" w:rsidRDefault="000F749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Resultados de la Clasificación Administrativa del Gasto; </w:t>
      </w:r>
    </w:p>
    <w:p w:rsidR="00DC1167" w:rsidRPr="007313CD" w:rsidRDefault="000F749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 xml:space="preserve">Resultados del Estado Analítico de Ingresos Detallado (Formato 5 de la Ley de Disciplina Financiera). </w:t>
      </w:r>
    </w:p>
    <w:p w:rsidR="00DC1167" w:rsidRPr="007313CD" w:rsidRDefault="00DC1167">
      <w:pPr>
        <w:spacing w:line="360" w:lineRule="auto"/>
        <w:jc w:val="both"/>
        <w:rPr>
          <w:rFonts w:ascii="Palatino Linotype" w:eastAsia="Palatino Linotype" w:hAnsi="Palatino Linotype" w:cs="Palatino Linotype"/>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En la respuesta</w:t>
      </w:r>
      <w:r w:rsidRPr="007313CD">
        <w:rPr>
          <w:rFonts w:ascii="Palatino Linotype" w:eastAsia="Palatino Linotype" w:hAnsi="Palatino Linotype" w:cs="Palatino Linotype"/>
          <w:b/>
        </w:rPr>
        <w:t xml:space="preserve">, EL SUJETO OBLIGADO, </w:t>
      </w:r>
      <w:r w:rsidRPr="007313CD">
        <w:rPr>
          <w:rFonts w:ascii="Palatino Linotype" w:eastAsia="Palatino Linotype" w:hAnsi="Palatino Linotype" w:cs="Palatino Linotype"/>
        </w:rPr>
        <w:t xml:space="preserve">mediante la Unidad de Transparencia refirió que la Persona Servidora Pública Habilitada de la Tesorería Municipal había hecho entrega de una guía por medio de la cual la persona solicitante podía obtener la información solicitada en referencia al año dos mil veintidós, la cual se encontraba disponible para su consulta en la página del Ayuntamiento de Toluca. </w:t>
      </w:r>
    </w:p>
    <w:p w:rsidR="00DC1167" w:rsidRPr="007313CD" w:rsidRDefault="000F749C">
      <w:pPr>
        <w:spacing w:line="360" w:lineRule="auto"/>
        <w:jc w:val="center"/>
        <w:rPr>
          <w:rFonts w:ascii="Palatino Linotype" w:eastAsia="Palatino Linotype" w:hAnsi="Palatino Linotype" w:cs="Palatino Linotype"/>
        </w:rPr>
      </w:pPr>
      <w:r w:rsidRPr="007313CD">
        <w:rPr>
          <w:noProof/>
        </w:rPr>
        <w:lastRenderedPageBreak/>
        <w:drawing>
          <wp:inline distT="0" distB="0" distL="0" distR="0">
            <wp:extent cx="2252967" cy="2833994"/>
            <wp:effectExtent l="0" t="0" r="0" b="0"/>
            <wp:docPr id="3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3266" t="20821" r="34484" b="7060"/>
                    <a:stretch>
                      <a:fillRect/>
                    </a:stretch>
                  </pic:blipFill>
                  <pic:spPr>
                    <a:xfrm>
                      <a:off x="0" y="0"/>
                      <a:ext cx="2252967" cy="2833994"/>
                    </a:xfrm>
                    <a:prstGeom prst="rect">
                      <a:avLst/>
                    </a:prstGeom>
                    <a:ln/>
                  </pic:spPr>
                </pic:pic>
              </a:graphicData>
            </a:graphic>
          </wp:inline>
        </w:drawing>
      </w:r>
      <w:r w:rsidRPr="007313CD">
        <w:rPr>
          <w:noProof/>
        </w:rPr>
        <w:drawing>
          <wp:inline distT="0" distB="0" distL="0" distR="0">
            <wp:extent cx="3377177" cy="2340794"/>
            <wp:effectExtent l="0" t="0" r="0" b="0"/>
            <wp:docPr id="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3605" t="31079" r="34318" b="29390"/>
                    <a:stretch>
                      <a:fillRect/>
                    </a:stretch>
                  </pic:blipFill>
                  <pic:spPr>
                    <a:xfrm>
                      <a:off x="0" y="0"/>
                      <a:ext cx="3377177" cy="2340794"/>
                    </a:xfrm>
                    <a:prstGeom prst="rect">
                      <a:avLst/>
                    </a:prstGeom>
                    <a:ln/>
                  </pic:spPr>
                </pic:pic>
              </a:graphicData>
            </a:graphic>
          </wp:inline>
        </w:drawing>
      </w:r>
    </w:p>
    <w:p w:rsidR="00DC1167" w:rsidRPr="007313CD" w:rsidRDefault="00DC1167">
      <w:pPr>
        <w:spacing w:line="360" w:lineRule="auto"/>
        <w:jc w:val="both"/>
        <w:rPr>
          <w:rFonts w:ascii="Palatino Linotype" w:eastAsia="Palatino Linotype" w:hAnsi="Palatino Linotype" w:cs="Palatino Linotype"/>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No obstante,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al presentar su recurso de revisión que nos ocupa, se inconforma por la respuesta brindada porque según a su dicho,</w:t>
      </w:r>
      <w:r w:rsidRPr="007313CD">
        <w:rPr>
          <w:rFonts w:ascii="Verdana" w:eastAsia="Verdana" w:hAnsi="Verdana" w:cs="Verdana"/>
          <w:color w:val="000000"/>
          <w:sz w:val="14"/>
          <w:szCs w:val="14"/>
        </w:rPr>
        <w:t xml:space="preserve"> </w:t>
      </w:r>
      <w:r w:rsidRPr="007313CD">
        <w:rPr>
          <w:rFonts w:ascii="Palatino Linotype" w:eastAsia="Palatino Linotype" w:hAnsi="Palatino Linotype" w:cs="Palatino Linotype"/>
          <w:b/>
        </w:rPr>
        <w:t>EL SUJETO OBLIGADO</w:t>
      </w:r>
      <w:r w:rsidRPr="007313CD">
        <w:rPr>
          <w:rFonts w:ascii="Palatino Linotype" w:eastAsia="Palatino Linotype" w:hAnsi="Palatino Linotype" w:cs="Palatino Linotype"/>
        </w:rPr>
        <w:t xml:space="preserve"> </w:t>
      </w:r>
      <w:r w:rsidRPr="007313CD">
        <w:rPr>
          <w:rFonts w:ascii="Palatino Linotype" w:eastAsia="Palatino Linotype" w:hAnsi="Palatino Linotype" w:cs="Palatino Linotype"/>
          <w:i/>
        </w:rPr>
        <w:t xml:space="preserve">“… solo respondió con la ruta al estado analítico de ingresos NO DETALLADO, un formato diferente al que obliga el formato 5 de la Ley de Disciplina Financiera…” (Sic) </w:t>
      </w:r>
      <w:r w:rsidRPr="007313CD">
        <w:rPr>
          <w:rFonts w:ascii="Palatino Linotype" w:eastAsia="Palatino Linotype" w:hAnsi="Palatino Linotype" w:cs="Palatino Linotype"/>
        </w:rPr>
        <w:t>mientras ella requería el Estado Analítico de Ingresos Detallado del primero de enero al treinta y uno de diciembre.</w:t>
      </w:r>
    </w:p>
    <w:p w:rsidR="00DC1167" w:rsidRPr="007313CD" w:rsidRDefault="00DC1167">
      <w:pPr>
        <w:spacing w:line="360" w:lineRule="auto"/>
        <w:jc w:val="both"/>
        <w:rPr>
          <w:rFonts w:ascii="Palatino Linotype" w:eastAsia="Palatino Linotype" w:hAnsi="Palatino Linotype" w:cs="Palatino Linotype"/>
          <w:b/>
        </w:rPr>
      </w:pPr>
    </w:p>
    <w:p w:rsidR="00DC1167" w:rsidRPr="007313CD"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Bajo esa premisa, queda por demás manifiesto que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se inconformó únicamente porque no le fue entregado el Estado Analítico de Ingresos Detallado del primero de enero al treinta y uno de diciembre, y sin haber ninguna manifestación expresa en torno al resto de los requerimientos realizados como los Resultados de la Clasificación por Objeto del Gasto; Resultados de la Clasificación Funcional del Gasto y los Resultados de la Clasificación Administrativa del Gasto del ejercicio dos mil veintidós; </w:t>
      </w:r>
      <w:r w:rsidRPr="007313CD">
        <w:rPr>
          <w:rFonts w:ascii="Palatino Linotype" w:eastAsia="Palatino Linotype" w:hAnsi="Palatino Linotype" w:cs="Palatino Linotype"/>
          <w:color w:val="000000"/>
        </w:rPr>
        <w:t xml:space="preserve">por lo cual esas partes de la respuesta deben declararse como consentidas por </w:t>
      </w:r>
      <w:r w:rsidRPr="007313CD">
        <w:rPr>
          <w:rFonts w:ascii="Palatino Linotype" w:eastAsia="Palatino Linotype" w:hAnsi="Palatino Linotype" w:cs="Palatino Linotype"/>
          <w:b/>
          <w:color w:val="000000"/>
        </w:rPr>
        <w:t>LA PARTE RECURRENTE,</w:t>
      </w:r>
      <w:r w:rsidRPr="007313CD">
        <w:rPr>
          <w:rFonts w:ascii="Palatino Linotype" w:eastAsia="Palatino Linotype" w:hAnsi="Palatino Linotype" w:cs="Palatino Linotype"/>
          <w:color w:val="000000"/>
        </w:rPr>
        <w:t xml:space="preserve"> dicho que se apoya con lo plasmado en el criterio 01/20 emitido por el Instituto Nacional de Transparencia, Acceso a la Información, y Protección de Datos Personales, INAI, que lleva por rubro y texto los siguientes: </w:t>
      </w:r>
    </w:p>
    <w:p w:rsidR="00DC1167" w:rsidRPr="007313CD" w:rsidRDefault="00DC1167">
      <w:pPr>
        <w:pBdr>
          <w:top w:val="nil"/>
          <w:left w:val="nil"/>
          <w:bottom w:val="nil"/>
          <w:right w:val="nil"/>
          <w:between w:val="nil"/>
        </w:pBdr>
        <w:ind w:left="851" w:right="902"/>
        <w:jc w:val="both"/>
        <w:rPr>
          <w:rFonts w:ascii="Palatino Linotype" w:eastAsia="Palatino Linotype" w:hAnsi="Palatino Linotype" w:cs="Palatino Linotype"/>
          <w:b/>
          <w:i/>
          <w:color w:val="000000"/>
        </w:rPr>
      </w:pPr>
    </w:p>
    <w:p w:rsidR="00DC1167" w:rsidRPr="007313CD" w:rsidRDefault="000F749C">
      <w:pPr>
        <w:pBdr>
          <w:top w:val="nil"/>
          <w:left w:val="nil"/>
          <w:bottom w:val="nil"/>
          <w:right w:val="nil"/>
          <w:between w:val="nil"/>
        </w:pBdr>
        <w:ind w:left="851" w:right="902"/>
        <w:jc w:val="both"/>
        <w:rPr>
          <w:color w:val="000000"/>
          <w:sz w:val="22"/>
          <w:szCs w:val="22"/>
        </w:rPr>
      </w:pPr>
      <w:r w:rsidRPr="007313CD">
        <w:rPr>
          <w:rFonts w:ascii="Palatino Linotype" w:eastAsia="Palatino Linotype" w:hAnsi="Palatino Linotype" w:cs="Palatino Linotype"/>
          <w:b/>
          <w:i/>
          <w:color w:val="000000"/>
          <w:sz w:val="22"/>
          <w:szCs w:val="22"/>
        </w:rPr>
        <w:t xml:space="preserve">Actos consentidos tácitamente. Improcedencia de su análisis. </w:t>
      </w:r>
      <w:r w:rsidRPr="007313CD">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DC1167" w:rsidRPr="007313CD" w:rsidRDefault="00DC1167"/>
    <w:p w:rsidR="00DC1167" w:rsidRPr="007313CD" w:rsidRDefault="000F749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13CD">
        <w:rPr>
          <w:rFonts w:ascii="Palatino Linotype" w:eastAsia="Palatino Linotype" w:hAnsi="Palatino Linotype" w:cs="Palatino Linotype"/>
          <w:color w:val="000000"/>
        </w:rPr>
        <w:t>Asimismo, resulta aplicable por analogía la tesis jurisprudencial número VI.3o.C. J/60, publicada en el Semanario Judicial de la Federación y su Gaceta bajo el número de registro 176,608 que a la letra dice:</w:t>
      </w:r>
    </w:p>
    <w:p w:rsidR="00DC1167" w:rsidRPr="007313CD" w:rsidRDefault="00DC1167">
      <w:pPr>
        <w:pBdr>
          <w:top w:val="nil"/>
          <w:left w:val="nil"/>
          <w:bottom w:val="nil"/>
          <w:right w:val="nil"/>
          <w:between w:val="nil"/>
        </w:pBdr>
        <w:ind w:left="851" w:right="900"/>
        <w:jc w:val="both"/>
        <w:rPr>
          <w:rFonts w:ascii="Palatino Linotype" w:eastAsia="Palatino Linotype" w:hAnsi="Palatino Linotype" w:cs="Palatino Linotype"/>
          <w:b/>
          <w:i/>
          <w:smallCaps/>
          <w:color w:val="000000"/>
        </w:rPr>
      </w:pPr>
    </w:p>
    <w:p w:rsidR="00DC1167" w:rsidRPr="007313CD" w:rsidRDefault="000F749C">
      <w:pPr>
        <w:pBdr>
          <w:top w:val="nil"/>
          <w:left w:val="nil"/>
          <w:bottom w:val="nil"/>
          <w:right w:val="nil"/>
          <w:between w:val="nil"/>
        </w:pBdr>
        <w:ind w:left="851" w:right="900"/>
        <w:jc w:val="both"/>
        <w:rPr>
          <w:color w:val="000000"/>
          <w:sz w:val="22"/>
          <w:szCs w:val="22"/>
        </w:rPr>
      </w:pPr>
      <w:r w:rsidRPr="007313CD">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7313CD">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C1167" w:rsidRPr="007313CD" w:rsidRDefault="000F749C">
      <w:pPr>
        <w:pBdr>
          <w:top w:val="nil"/>
          <w:left w:val="nil"/>
          <w:bottom w:val="nil"/>
          <w:right w:val="nil"/>
          <w:between w:val="nil"/>
        </w:pBdr>
        <w:shd w:val="clear" w:color="auto" w:fill="FFFFFF"/>
        <w:spacing w:line="360" w:lineRule="auto"/>
        <w:ind w:right="49"/>
        <w:jc w:val="both"/>
        <w:rPr>
          <w:color w:val="000000"/>
        </w:rPr>
      </w:pPr>
      <w:r w:rsidRPr="007313CD">
        <w:rPr>
          <w:color w:val="000000"/>
        </w:rPr>
        <w:lastRenderedPageBreak/>
        <w:br/>
      </w:r>
      <w:r w:rsidRPr="007313CD">
        <w:rPr>
          <w:rFonts w:ascii="Palatino Linotype" w:eastAsia="Palatino Linotype" w:hAnsi="Palatino Linotype" w:cs="Palatino Linotype"/>
          <w:color w:val="000000"/>
        </w:rPr>
        <w:t>Consecuentemente, la parte de la respuesta relativas a</w:t>
      </w:r>
      <w:r w:rsidRPr="007313CD">
        <w:t xml:space="preserve"> los </w:t>
      </w:r>
      <w:r w:rsidRPr="007313CD">
        <w:rPr>
          <w:rFonts w:ascii="Palatino Linotype" w:eastAsia="Palatino Linotype" w:hAnsi="Palatino Linotype" w:cs="Palatino Linotype"/>
        </w:rPr>
        <w:t xml:space="preserve">Resultados de la Clasificación por Objeto del Gasto; Resultados de la Clasificación Funcional del Gasto y los Resultados de la Clasificación Administrativa del Gasto del dos mil veintidós; </w:t>
      </w:r>
      <w:r w:rsidRPr="007313CD">
        <w:rPr>
          <w:rFonts w:ascii="Palatino Linotype" w:eastAsia="Palatino Linotype" w:hAnsi="Palatino Linotype" w:cs="Palatino Linotype"/>
          <w:color w:val="000000"/>
        </w:rPr>
        <w:t xml:space="preserve">que no fueron impugnadas deben declararse consentidas, toda vez que, </w:t>
      </w:r>
      <w:r w:rsidRPr="007313CD">
        <w:rPr>
          <w:rFonts w:ascii="Palatino Linotype" w:eastAsia="Palatino Linotype" w:hAnsi="Palatino Linotype" w:cs="Palatino Linotype"/>
          <w:b/>
          <w:color w:val="000000"/>
        </w:rPr>
        <w:t>LA PARTE RECURRENTE</w:t>
      </w:r>
      <w:r w:rsidRPr="007313CD">
        <w:rPr>
          <w:rFonts w:ascii="Palatino Linotype" w:eastAsia="Palatino Linotype" w:hAnsi="Palatino Linotype" w:cs="Palatino Linotype"/>
          <w:color w:val="000000"/>
        </w:rPr>
        <w:t xml:space="preserve"> no realizó manifestaciones de inconformidad para combatirlas; por lo que, no pueden producirse efectos jurídicos tendentes a revocar, confirmar o modificar el acto reclamado, ya que se infiere su consentimiento ante la falta de impugnación eficaz.</w:t>
      </w:r>
    </w:p>
    <w:p w:rsidR="00DC1167" w:rsidRPr="007313CD" w:rsidRDefault="00DC1167">
      <w:pPr>
        <w:pBdr>
          <w:top w:val="nil"/>
          <w:left w:val="nil"/>
          <w:bottom w:val="nil"/>
          <w:right w:val="nil"/>
          <w:between w:val="nil"/>
        </w:pBdr>
        <w:shd w:val="clear" w:color="auto" w:fill="FFFFFF"/>
        <w:spacing w:line="360" w:lineRule="auto"/>
        <w:ind w:right="49"/>
        <w:jc w:val="both"/>
        <w:rPr>
          <w:color w:val="000000"/>
        </w:rPr>
      </w:pPr>
    </w:p>
    <w:p w:rsidR="00DC1167" w:rsidRPr="007313CD" w:rsidRDefault="000F749C">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Ahora bien respecto al punto relativo a los</w:t>
      </w:r>
      <w:r w:rsidRPr="007313CD">
        <w:rPr>
          <w:rFonts w:ascii="Palatino Linotype" w:eastAsia="Palatino Linotype" w:hAnsi="Palatino Linotype" w:cs="Palatino Linotype"/>
          <w:i/>
          <w:sz w:val="22"/>
          <w:szCs w:val="22"/>
        </w:rPr>
        <w:t xml:space="preserve"> Resultados del Estado Analítico de Ingresos Detallado entre el 1 de enero al 31 de diciembre (Formato 5 de la Ley de Disciplina Financiera)” (Sic) </w:t>
      </w:r>
      <w:r w:rsidRPr="007313CD">
        <w:rPr>
          <w:rFonts w:ascii="Palatino Linotype" w:eastAsia="Palatino Linotype" w:hAnsi="Palatino Linotype" w:cs="Palatino Linotype"/>
        </w:rPr>
        <w:t xml:space="preserve">se procede al análisis del marco normativo correspondiente: </w:t>
      </w:r>
    </w:p>
    <w:p w:rsidR="00DC1167" w:rsidRPr="007313CD" w:rsidRDefault="00DC116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650CF8" w:rsidRPr="007313CD" w:rsidRDefault="000F749C" w:rsidP="00650CF8">
      <w:pPr>
        <w:spacing w:line="360" w:lineRule="auto"/>
        <w:ind w:right="49"/>
        <w:jc w:val="both"/>
        <w:rPr>
          <w:rFonts w:ascii="Palatino Linotype" w:eastAsia="Palatino Linotype" w:hAnsi="Palatino Linotype" w:cs="Palatino Linotype"/>
          <w:color w:val="0A0909"/>
        </w:rPr>
      </w:pPr>
      <w:r w:rsidRPr="007313CD">
        <w:rPr>
          <w:rFonts w:ascii="Palatino Linotype" w:eastAsia="Palatino Linotype" w:hAnsi="Palatino Linotype" w:cs="Palatino Linotype"/>
        </w:rPr>
        <w:t xml:space="preserve">Sobre el tema </w:t>
      </w:r>
      <w:r w:rsidR="00650CF8" w:rsidRPr="007313CD">
        <w:rPr>
          <w:rFonts w:ascii="Palatino Linotype" w:eastAsia="Palatino Linotype" w:hAnsi="Palatino Linotype" w:cs="Palatino Linotype"/>
          <w:color w:val="0A0909"/>
        </w:rPr>
        <w:t xml:space="preserve">la Ley de Disciplina Financiera de las Entidades Federativas y los Municipios, refiere que: </w:t>
      </w:r>
    </w:p>
    <w:p w:rsidR="00650CF8" w:rsidRPr="007313CD" w:rsidRDefault="00650CF8" w:rsidP="00650C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650CF8" w:rsidRPr="007313CD" w:rsidRDefault="00650CF8" w:rsidP="00650C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Artículo 4.-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p>
    <w:p w:rsidR="00650CF8" w:rsidRPr="007313CD" w:rsidRDefault="00650CF8" w:rsidP="00650C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483E28" w:rsidRPr="007313CD" w:rsidRDefault="000E14ED" w:rsidP="00C42075">
      <w:pPr>
        <w:spacing w:line="360" w:lineRule="auto"/>
        <w:ind w:right="49"/>
        <w:jc w:val="both"/>
      </w:pPr>
      <w:r w:rsidRPr="007313CD">
        <w:rPr>
          <w:rFonts w:ascii="Palatino Linotype" w:eastAsia="Palatino Linotype" w:hAnsi="Palatino Linotype" w:cs="Palatino Linotype"/>
        </w:rPr>
        <w:t xml:space="preserve">En este sentido se publicaron en el Diario Oficial de la Federación los </w:t>
      </w:r>
      <w:r w:rsidRPr="007313CD">
        <w:rPr>
          <w:rFonts w:ascii="Palatino Linotype" w:hAnsi="Palatino Linotype"/>
        </w:rPr>
        <w:t>Criterios para la elaboración y presentación homogénea de la información financiera y de los formatos a que hace referencia la Ley de Disciplina Financiera de las Entidad</w:t>
      </w:r>
      <w:r w:rsidR="00C42075" w:rsidRPr="007313CD">
        <w:rPr>
          <w:rFonts w:ascii="Palatino Linotype" w:hAnsi="Palatino Linotype"/>
        </w:rPr>
        <w:t xml:space="preserve">es </w:t>
      </w:r>
      <w:r w:rsidR="00C42075" w:rsidRPr="007313CD">
        <w:rPr>
          <w:rFonts w:ascii="Palatino Linotype" w:hAnsi="Palatino Linotype"/>
        </w:rPr>
        <w:lastRenderedPageBreak/>
        <w:t>Federativas y los Municipios, mismos que son consultables en la siguiente liga electrónica</w:t>
      </w:r>
      <w:r w:rsidR="00C42075" w:rsidRPr="007313CD">
        <w:t xml:space="preserve">: </w:t>
      </w:r>
    </w:p>
    <w:p w:rsidR="00C42075" w:rsidRPr="007313CD" w:rsidRDefault="00A22BAB" w:rsidP="00C42075">
      <w:pPr>
        <w:spacing w:line="360" w:lineRule="auto"/>
        <w:ind w:right="49"/>
        <w:jc w:val="both"/>
        <w:rPr>
          <w:rFonts w:ascii="Palatino Linotype" w:eastAsia="Palatino Linotype" w:hAnsi="Palatino Linotype" w:cs="Palatino Linotype"/>
          <w:color w:val="0000FF"/>
          <w:u w:val="single"/>
        </w:rPr>
      </w:pPr>
      <w:hyperlink r:id="rId15">
        <w:r w:rsidR="00C42075" w:rsidRPr="007313CD">
          <w:rPr>
            <w:rFonts w:ascii="Palatino Linotype" w:eastAsia="Palatino Linotype" w:hAnsi="Palatino Linotype" w:cs="Palatino Linotype"/>
            <w:color w:val="0000FF"/>
            <w:u w:val="single"/>
          </w:rPr>
          <w:t>https://www.conac.gob.mx/work/models/CONAC/normatividad/CLDF_01_01_001.pdf</w:t>
        </w:r>
      </w:hyperlink>
    </w:p>
    <w:p w:rsidR="00650CF8" w:rsidRPr="007313CD" w:rsidRDefault="00650CF8">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0E14ED" w:rsidRPr="007313CD" w:rsidRDefault="0096001E">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eastAsia="Palatino Linotype" w:hAnsi="Palatino Linotype" w:cs="Palatino Linotype"/>
        </w:rPr>
        <w:t xml:space="preserve">Dichos criterios señalan que en </w:t>
      </w:r>
      <w:r w:rsidRPr="007313CD">
        <w:rPr>
          <w:rFonts w:ascii="Palatino Linotype" w:hAnsi="Palatino Linotype"/>
        </w:rPr>
        <w:t>cumplimiento de las obligaciones previstas en la Ley de Disciplina Financiera, se pondrán a disposición los formatos para su observancia, mismos que serán elaborados directamente por los Entes Públicos</w:t>
      </w:r>
      <w:r w:rsidR="002F5669" w:rsidRPr="007313CD">
        <w:rPr>
          <w:rFonts w:ascii="Palatino Linotype" w:hAnsi="Palatino Linotype"/>
        </w:rPr>
        <w:t xml:space="preserve">. </w:t>
      </w:r>
    </w:p>
    <w:p w:rsidR="002F5669" w:rsidRPr="007313CD" w:rsidRDefault="002F5669">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2F5669" w:rsidRPr="007313CD" w:rsidRDefault="002F5669">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eastAsia="Palatino Linotype" w:hAnsi="Palatino Linotype" w:cs="Palatino Linotype"/>
        </w:rPr>
        <w:t xml:space="preserve">Los citados criterios son de observancia obligatoria para el </w:t>
      </w:r>
      <w:r w:rsidRPr="007313CD">
        <w:rPr>
          <w:rFonts w:ascii="Palatino Linotype" w:hAnsi="Palatino Linotype"/>
        </w:rPr>
        <w:t xml:space="preserve">cumplimiento de las obligaciones previstas en la </w:t>
      </w:r>
      <w:r w:rsidR="007E3AB4" w:rsidRPr="007313CD">
        <w:rPr>
          <w:rFonts w:ascii="Palatino Linotype" w:hAnsi="Palatino Linotype"/>
        </w:rPr>
        <w:t>Ley de Disciplina Financiera</w:t>
      </w:r>
      <w:r w:rsidR="00D20BB9" w:rsidRPr="007313CD">
        <w:rPr>
          <w:rFonts w:ascii="Palatino Linotype" w:hAnsi="Palatino Linotype"/>
        </w:rPr>
        <w:t xml:space="preserve"> y en ellos </w:t>
      </w:r>
      <w:r w:rsidRPr="007313CD">
        <w:rPr>
          <w:rFonts w:ascii="Palatino Linotype" w:hAnsi="Palatino Linotype"/>
        </w:rPr>
        <w:t>se pondrán a disposición los formatos para su observancia, mismos que serán elaborados directamente por los Entes Públicos</w:t>
      </w:r>
      <w:r w:rsidR="00C42075" w:rsidRPr="007313CD">
        <w:rPr>
          <w:rFonts w:ascii="Palatino Linotype" w:hAnsi="Palatino Linotype"/>
        </w:rPr>
        <w:t xml:space="preserve"> de las Entidades Federativas y los Municipios, incluyendo los poderes Ejecutivo, Legislativo y Judicial, los organismos autónomos de las Entidades Federativas;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w:t>
      </w:r>
    </w:p>
    <w:p w:rsidR="00C42075" w:rsidRPr="007313CD" w:rsidRDefault="00C42075">
      <w:pPr>
        <w:pBdr>
          <w:top w:val="nil"/>
          <w:left w:val="nil"/>
          <w:bottom w:val="nil"/>
          <w:right w:val="nil"/>
          <w:between w:val="nil"/>
        </w:pBdr>
        <w:shd w:val="clear" w:color="auto" w:fill="FFFFFF"/>
        <w:spacing w:line="360" w:lineRule="auto"/>
        <w:ind w:right="49"/>
        <w:jc w:val="both"/>
        <w:rPr>
          <w:rFonts w:ascii="Palatino Linotype" w:hAnsi="Palatino Linotype"/>
        </w:rPr>
      </w:pPr>
    </w:p>
    <w:p w:rsidR="00C42075" w:rsidRPr="007313CD" w:rsidRDefault="00C42075">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hAnsi="Palatino Linotype"/>
        </w:rPr>
        <w:t>En el citado documento se plantea dentro de las consideraciones generales que los formatos e instructivos de llenado para dar cumplimiento a la Ley de Disciplina Financiera, se incluyen como Anexos 1 y 2, respectivamente, de los presentes Criterios</w:t>
      </w:r>
      <w:r w:rsidR="00F11B5F" w:rsidRPr="007313CD">
        <w:rPr>
          <w:rFonts w:ascii="Palatino Linotype" w:hAnsi="Palatino Linotype"/>
        </w:rPr>
        <w:t xml:space="preserve">. </w:t>
      </w:r>
    </w:p>
    <w:p w:rsidR="00F11B5F" w:rsidRPr="007313CD" w:rsidRDefault="00F11B5F">
      <w:pPr>
        <w:pBdr>
          <w:top w:val="nil"/>
          <w:left w:val="nil"/>
          <w:bottom w:val="nil"/>
          <w:right w:val="nil"/>
          <w:between w:val="nil"/>
        </w:pBdr>
        <w:shd w:val="clear" w:color="auto" w:fill="FFFFFF"/>
        <w:spacing w:line="360" w:lineRule="auto"/>
        <w:ind w:right="49"/>
        <w:jc w:val="both"/>
        <w:rPr>
          <w:rFonts w:ascii="Palatino Linotype" w:hAnsi="Palatino Linotype"/>
        </w:rPr>
      </w:pPr>
    </w:p>
    <w:p w:rsidR="00F11B5F" w:rsidRPr="007313CD" w:rsidRDefault="00F11B5F">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hAnsi="Palatino Linotype"/>
        </w:rPr>
        <w:lastRenderedPageBreak/>
        <w:t>Del análisis a dichos anexos se identificó el formato 5 al que hace referencia el particular, el cual consiste en el Estado Analítico de Ingresos D</w:t>
      </w:r>
      <w:r w:rsidR="00855B28" w:rsidRPr="007313CD">
        <w:rPr>
          <w:rFonts w:ascii="Palatino Linotype" w:hAnsi="Palatino Linotype"/>
        </w:rPr>
        <w:t xml:space="preserve">etallado, como se advierte a continuación: </w:t>
      </w:r>
    </w:p>
    <w:p w:rsidR="00855B28" w:rsidRPr="007313CD" w:rsidRDefault="00855B28">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hAnsi="Palatino Linotype"/>
          <w:noProof/>
        </w:rPr>
        <w:drawing>
          <wp:inline distT="0" distB="0" distL="0" distR="0" wp14:anchorId="203FF971" wp14:editId="618F1EBF">
            <wp:extent cx="5612130" cy="58864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886450"/>
                    </a:xfrm>
                    <a:prstGeom prst="rect">
                      <a:avLst/>
                    </a:prstGeom>
                  </pic:spPr>
                </pic:pic>
              </a:graphicData>
            </a:graphic>
          </wp:inline>
        </w:drawing>
      </w:r>
    </w:p>
    <w:p w:rsidR="00855B28" w:rsidRPr="007313CD" w:rsidRDefault="00432FF9">
      <w:pPr>
        <w:pBdr>
          <w:top w:val="nil"/>
          <w:left w:val="nil"/>
          <w:bottom w:val="nil"/>
          <w:right w:val="nil"/>
          <w:between w:val="nil"/>
        </w:pBdr>
        <w:shd w:val="clear" w:color="auto" w:fill="FFFFFF"/>
        <w:spacing w:line="360" w:lineRule="auto"/>
        <w:ind w:right="49"/>
        <w:jc w:val="both"/>
        <w:rPr>
          <w:rFonts w:ascii="Palatino Linotype" w:hAnsi="Palatino Linotype"/>
        </w:rPr>
      </w:pPr>
      <w:r w:rsidRPr="007313CD">
        <w:rPr>
          <w:rFonts w:ascii="Palatino Linotype" w:hAnsi="Palatino Linotype"/>
        </w:rPr>
        <w:t xml:space="preserve">Respecto a dicho formato el Anexo 2 de los citados criterios dispone lo siguiente: </w:t>
      </w:r>
    </w:p>
    <w:p w:rsidR="00432FF9" w:rsidRPr="007313CD" w:rsidRDefault="00432FF9">
      <w:pPr>
        <w:pBdr>
          <w:top w:val="nil"/>
          <w:left w:val="nil"/>
          <w:bottom w:val="nil"/>
          <w:right w:val="nil"/>
          <w:between w:val="nil"/>
        </w:pBdr>
        <w:shd w:val="clear" w:color="auto" w:fill="FFFFFF"/>
        <w:spacing w:line="360" w:lineRule="auto"/>
        <w:ind w:right="49"/>
        <w:jc w:val="both"/>
        <w:rPr>
          <w:rFonts w:ascii="Palatino Linotype" w:hAnsi="Palatino Linotype"/>
        </w:rPr>
      </w:pPr>
    </w:p>
    <w:p w:rsidR="00432FF9" w:rsidRPr="007313CD" w:rsidRDefault="00432FF9" w:rsidP="00D20BB9">
      <w:pPr>
        <w:pBdr>
          <w:top w:val="nil"/>
          <w:left w:val="nil"/>
          <w:bottom w:val="nil"/>
          <w:right w:val="nil"/>
          <w:between w:val="nil"/>
        </w:pBdr>
        <w:shd w:val="clear" w:color="auto" w:fill="FFFFFF"/>
        <w:spacing w:line="360" w:lineRule="auto"/>
        <w:ind w:left="567" w:right="616"/>
        <w:jc w:val="both"/>
        <w:rPr>
          <w:rFonts w:ascii="Palatino Linotype" w:hAnsi="Palatino Linotype"/>
          <w:i/>
          <w:sz w:val="22"/>
          <w:szCs w:val="22"/>
        </w:rPr>
      </w:pPr>
      <w:r w:rsidRPr="007313CD">
        <w:rPr>
          <w:rFonts w:ascii="Palatino Linotype" w:hAnsi="Palatino Linotype"/>
          <w:i/>
          <w:sz w:val="22"/>
          <w:szCs w:val="22"/>
        </w:rPr>
        <w:lastRenderedPageBreak/>
        <w:t>Formato 5 Estado Analítico de Ingresos Detallado – LD</w:t>
      </w:r>
    </w:p>
    <w:p w:rsidR="00432FF9" w:rsidRPr="007313CD" w:rsidRDefault="00432FF9" w:rsidP="00D20BB9">
      <w:pPr>
        <w:pBdr>
          <w:top w:val="nil"/>
          <w:left w:val="nil"/>
          <w:bottom w:val="nil"/>
          <w:right w:val="nil"/>
          <w:between w:val="nil"/>
        </w:pBdr>
        <w:shd w:val="clear" w:color="auto" w:fill="FFFFFF"/>
        <w:spacing w:line="360" w:lineRule="auto"/>
        <w:ind w:left="567" w:right="616"/>
        <w:jc w:val="both"/>
        <w:rPr>
          <w:rFonts w:ascii="Palatino Linotype" w:hAnsi="Palatino Linotype"/>
          <w:i/>
          <w:sz w:val="22"/>
          <w:szCs w:val="22"/>
        </w:rPr>
      </w:pPr>
    </w:p>
    <w:p w:rsidR="00F11B5F" w:rsidRPr="007313CD" w:rsidRDefault="00432FF9" w:rsidP="00D20BB9">
      <w:pPr>
        <w:pBdr>
          <w:top w:val="nil"/>
          <w:left w:val="nil"/>
          <w:bottom w:val="nil"/>
          <w:right w:val="nil"/>
          <w:between w:val="nil"/>
        </w:pBdr>
        <w:shd w:val="clear" w:color="auto" w:fill="FFFFFF"/>
        <w:spacing w:line="360" w:lineRule="auto"/>
        <w:ind w:left="567" w:right="616"/>
        <w:jc w:val="both"/>
        <w:rPr>
          <w:rFonts w:ascii="Palatino Linotype" w:hAnsi="Palatino Linotype"/>
          <w:i/>
          <w:sz w:val="22"/>
          <w:szCs w:val="22"/>
        </w:rPr>
      </w:pPr>
      <w:r w:rsidRPr="007313CD">
        <w:rPr>
          <w:rFonts w:ascii="Palatino Linotype" w:hAnsi="Palatino Linotype"/>
          <w:b/>
          <w:i/>
          <w:sz w:val="22"/>
          <w:szCs w:val="22"/>
          <w:u w:val="single"/>
        </w:rPr>
        <w:t>Su finalidad es realizar periódicamente el seguimiento del ejercicio de los egresos presupuestarios de conformidad con los Artículos 4 y 58 de la LDF</w:t>
      </w:r>
      <w:r w:rsidRPr="007313CD">
        <w:rPr>
          <w:rFonts w:ascii="Palatino Linotype" w:hAnsi="Palatino Linotype"/>
          <w:i/>
          <w:sz w:val="22"/>
          <w:szCs w:val="22"/>
        </w:rPr>
        <w:t>, los Entes Públicos deben presentar lo dispuesto en este formato.</w:t>
      </w:r>
    </w:p>
    <w:p w:rsidR="00C42075" w:rsidRPr="007313CD" w:rsidRDefault="00C42075">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i/>
        </w:rPr>
      </w:pPr>
    </w:p>
    <w:p w:rsidR="00DC1167" w:rsidRPr="007313CD" w:rsidRDefault="00E2731A">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En concordancia con lo anterior, </w:t>
      </w:r>
      <w:r w:rsidR="000F749C" w:rsidRPr="007313CD">
        <w:rPr>
          <w:rFonts w:ascii="Palatino Linotype" w:eastAsia="Palatino Linotype" w:hAnsi="Palatino Linotype" w:cs="Palatino Linotype"/>
        </w:rPr>
        <w:t xml:space="preserve">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rsidR="00DC1167" w:rsidRPr="007313CD" w:rsidRDefault="00DC1167">
      <w:pPr>
        <w:spacing w:line="360" w:lineRule="auto"/>
        <w:ind w:right="49"/>
        <w:jc w:val="both"/>
        <w:rPr>
          <w:rFonts w:ascii="Palatino Linotype" w:eastAsia="Palatino Linotype" w:hAnsi="Palatino Linotype" w:cs="Palatino Linotype"/>
        </w:rPr>
      </w:pPr>
    </w:p>
    <w:p w:rsidR="005E5522" w:rsidRPr="007313CD" w:rsidRDefault="000F749C" w:rsidP="005E5522">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Sobre dicha información, los artículos 46 y 48 de la Ley anteriormente mencionada, establece que la información presupuestaria se desagregará en un Estado Analítico de Ingresos del que se derivará la presentación en clasificación económica por fuente de financiamiento y concepto, incluyendo los ingresos excedentes generados, y un Estado Analítico del Ejercicio del Presupuesto de Egresos. </w:t>
      </w:r>
    </w:p>
    <w:p w:rsidR="005E5522" w:rsidRPr="007313CD" w:rsidRDefault="005E5522" w:rsidP="005E5522">
      <w:pPr>
        <w:spacing w:line="360" w:lineRule="auto"/>
        <w:ind w:right="49"/>
        <w:jc w:val="both"/>
        <w:rPr>
          <w:rFonts w:ascii="Palatino Linotype" w:eastAsia="Palatino Linotype" w:hAnsi="Palatino Linotype" w:cs="Palatino Linotype"/>
        </w:rPr>
      </w:pPr>
    </w:p>
    <w:p w:rsidR="00483E28" w:rsidRPr="007313CD" w:rsidRDefault="00483E28" w:rsidP="005E5522">
      <w:pPr>
        <w:spacing w:line="360" w:lineRule="auto"/>
        <w:ind w:right="49"/>
        <w:jc w:val="both"/>
        <w:rPr>
          <w:rFonts w:ascii="Palatino Linotype" w:hAnsi="Palatino Linotype" w:cs="Tahoma"/>
          <w:bCs/>
          <w:color w:val="000000"/>
        </w:rPr>
      </w:pPr>
      <w:r w:rsidRPr="007313CD">
        <w:rPr>
          <w:rFonts w:ascii="Palatino Linotype" w:hAnsi="Palatino Linotype"/>
          <w:bCs/>
        </w:rPr>
        <w:t xml:space="preserve">Dicho lo anterior, resulta procedente contextualizar la información, señalando en primer momento que de conformidad con el </w:t>
      </w:r>
      <w:r w:rsidR="005E5522" w:rsidRPr="007313CD">
        <w:rPr>
          <w:rFonts w:ascii="Palatino Linotype" w:hAnsi="Palatino Linotype" w:cs="Tahoma"/>
          <w:bCs/>
          <w:color w:val="000000"/>
        </w:rPr>
        <w:t>artículo 8</w:t>
      </w:r>
      <w:r w:rsidRPr="007313CD">
        <w:rPr>
          <w:rFonts w:ascii="Palatino Linotype" w:hAnsi="Palatino Linotype" w:cs="Tahoma"/>
          <w:bCs/>
          <w:color w:val="000000"/>
        </w:rPr>
        <w:t xml:space="preserve">, </w:t>
      </w:r>
      <w:r w:rsidR="005E5522" w:rsidRPr="007313CD">
        <w:rPr>
          <w:rFonts w:ascii="Palatino Linotype" w:hAnsi="Palatino Linotype" w:cs="Tahoma"/>
          <w:bCs/>
          <w:color w:val="000000"/>
        </w:rPr>
        <w:t>fracción XI</w:t>
      </w:r>
      <w:r w:rsidRPr="007313CD">
        <w:rPr>
          <w:rFonts w:ascii="Palatino Linotype" w:hAnsi="Palatino Linotype" w:cs="Tahoma"/>
          <w:bCs/>
          <w:color w:val="000000"/>
        </w:rPr>
        <w:t xml:space="preserve"> de la Ley de Fiscalización Superior del Estado de México, se establece que </w:t>
      </w:r>
      <w:r w:rsidR="005E5522" w:rsidRPr="007313CD">
        <w:rPr>
          <w:rFonts w:ascii="Palatino Linotype" w:hAnsi="Palatino Linotype" w:cs="Tahoma"/>
          <w:bCs/>
          <w:color w:val="000000"/>
        </w:rPr>
        <w:t xml:space="preserve">son atribuciones del Órgano Superior de Fiscalización Establecer los lineamientos, criterios, procedimientos, métodos y sistemas, así como todas aquellas disposiciones de </w:t>
      </w:r>
      <w:r w:rsidR="005E5522" w:rsidRPr="007313CD">
        <w:rPr>
          <w:rFonts w:ascii="Palatino Linotype" w:hAnsi="Palatino Linotype" w:cs="Tahoma"/>
          <w:bCs/>
          <w:color w:val="000000"/>
        </w:rPr>
        <w:lastRenderedPageBreak/>
        <w:t xml:space="preserve">carácter general para las acciones de control y evaluación, necesarios para la fiscalización de las cuentas públicas y los informes trimestrales. </w:t>
      </w:r>
    </w:p>
    <w:p w:rsidR="005E5522" w:rsidRPr="007313CD" w:rsidRDefault="005E5522" w:rsidP="005E5522">
      <w:pPr>
        <w:spacing w:line="360" w:lineRule="auto"/>
        <w:ind w:right="49"/>
        <w:jc w:val="both"/>
        <w:rPr>
          <w:rFonts w:ascii="Palatino Linotype" w:hAnsi="Palatino Linotype" w:cs="Tahoma"/>
          <w:bCs/>
          <w:color w:val="000000"/>
        </w:rPr>
      </w:pPr>
    </w:p>
    <w:p w:rsidR="005E5522" w:rsidRPr="007313CD" w:rsidRDefault="0053042B" w:rsidP="005E5522">
      <w:pPr>
        <w:spacing w:line="360" w:lineRule="auto"/>
        <w:ind w:right="49"/>
        <w:jc w:val="both"/>
        <w:rPr>
          <w:rFonts w:ascii="Palatino Linotype" w:hAnsi="Palatino Linotype" w:cs="Tahoma"/>
          <w:bCs/>
          <w:color w:val="000000"/>
        </w:rPr>
      </w:pPr>
      <w:r w:rsidRPr="007313CD">
        <w:rPr>
          <w:rFonts w:ascii="Palatino Linotype" w:hAnsi="Palatino Linotype" w:cs="Tahoma"/>
          <w:bCs/>
          <w:color w:val="000000"/>
        </w:rPr>
        <w:t xml:space="preserve">El citado </w:t>
      </w:r>
      <w:r w:rsidR="005E5522" w:rsidRPr="007313CD">
        <w:rPr>
          <w:rFonts w:ascii="Palatino Linotype" w:hAnsi="Palatino Linotype" w:cs="Tahoma"/>
          <w:bCs/>
          <w:color w:val="000000"/>
        </w:rPr>
        <w:t xml:space="preserve">artículo en su fracción XIV también establece que el </w:t>
      </w:r>
      <w:r w:rsidR="00030A58" w:rsidRPr="007313CD">
        <w:rPr>
          <w:rFonts w:ascii="Palatino Linotype" w:hAnsi="Palatino Linotype" w:cs="Tahoma"/>
          <w:bCs/>
          <w:color w:val="000000"/>
        </w:rPr>
        <w:t>Órgano</w:t>
      </w:r>
      <w:r w:rsidR="005E5522" w:rsidRPr="007313CD">
        <w:rPr>
          <w:rFonts w:ascii="Palatino Linotype" w:hAnsi="Palatino Linotype" w:cs="Tahoma"/>
          <w:bCs/>
          <w:color w:val="000000"/>
        </w:rPr>
        <w:t xml:space="preserve"> Superior de Fiscalización debe verificar que los </w:t>
      </w:r>
      <w:r w:rsidR="00691B63" w:rsidRPr="007313CD">
        <w:rPr>
          <w:rFonts w:ascii="Palatino Linotype" w:hAnsi="Palatino Linotype"/>
        </w:rPr>
        <w:t>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p>
    <w:p w:rsidR="005E5522" w:rsidRPr="007313CD" w:rsidRDefault="005E5522" w:rsidP="00483E28">
      <w:pPr>
        <w:pStyle w:val="Prrafodelista"/>
        <w:spacing w:line="360" w:lineRule="auto"/>
        <w:ind w:left="0"/>
        <w:jc w:val="both"/>
        <w:rPr>
          <w:rFonts w:ascii="Palatino Linotype" w:hAnsi="Palatino Linotype"/>
          <w:bCs/>
        </w:rPr>
      </w:pPr>
    </w:p>
    <w:p w:rsidR="00DC1167" w:rsidRPr="007313CD" w:rsidRDefault="00691B63">
      <w:pPr>
        <w:spacing w:line="360" w:lineRule="auto"/>
        <w:ind w:right="49"/>
        <w:jc w:val="both"/>
        <w:rPr>
          <w:rFonts w:ascii="Palatino Linotype" w:eastAsia="Palatino Linotype" w:hAnsi="Palatino Linotype" w:cs="Palatino Linotype"/>
          <w:color w:val="0A0909"/>
        </w:rPr>
      </w:pPr>
      <w:r w:rsidRPr="007313CD">
        <w:rPr>
          <w:rFonts w:ascii="Palatino Linotype" w:hAnsi="Palatino Linotype" w:cs="Tahoma"/>
          <w:bCs/>
        </w:rPr>
        <w:t>En ese contexto, los Lineamientos para la Integración y Entrega del Informe Trimestral Municipal</w:t>
      </w:r>
      <w:r w:rsidR="000F749C" w:rsidRPr="007313CD">
        <w:rPr>
          <w:rFonts w:ascii="Palatino Linotype" w:eastAsia="Palatino Linotype" w:hAnsi="Palatino Linotype" w:cs="Palatino Linotype"/>
          <w:color w:val="0A0909"/>
        </w:rPr>
        <w:t xml:space="preserve">, </w:t>
      </w:r>
      <w:r w:rsidR="00030A58" w:rsidRPr="007313CD">
        <w:rPr>
          <w:rFonts w:ascii="Palatino Linotype" w:hAnsi="Palatino Linotype" w:cs="Tahoma"/>
          <w:bCs/>
        </w:rPr>
        <w:t xml:space="preserve">emitidos por el Órgano Superior de Fiscalización del Estado de México, entre los formatos que maneja </w:t>
      </w:r>
      <w:r w:rsidR="000F749C" w:rsidRPr="007313CD">
        <w:rPr>
          <w:rFonts w:ascii="Palatino Linotype" w:eastAsia="Palatino Linotype" w:hAnsi="Palatino Linotype" w:cs="Palatino Linotype"/>
          <w:color w:val="0A0909"/>
        </w:rPr>
        <w:t xml:space="preserve">en el Módulo dos de la Información Presupuestaria, </w:t>
      </w:r>
      <w:proofErr w:type="spellStart"/>
      <w:r w:rsidR="000F749C" w:rsidRPr="007313CD">
        <w:rPr>
          <w:rFonts w:ascii="Palatino Linotype" w:eastAsia="Palatino Linotype" w:hAnsi="Palatino Linotype" w:cs="Palatino Linotype"/>
          <w:color w:val="0A0909"/>
        </w:rPr>
        <w:t>submódulo</w:t>
      </w:r>
      <w:proofErr w:type="spellEnd"/>
      <w:r w:rsidR="000F749C" w:rsidRPr="007313CD">
        <w:rPr>
          <w:rFonts w:ascii="Palatino Linotype" w:eastAsia="Palatino Linotype" w:hAnsi="Palatino Linotype" w:cs="Palatino Linotype"/>
          <w:color w:val="0A0909"/>
        </w:rPr>
        <w:t xml:space="preserve"> de Información Presupuestal aplicable para Entidades Fiscalizables Municipales </w:t>
      </w:r>
      <w:r w:rsidR="00030A58" w:rsidRPr="007313CD">
        <w:rPr>
          <w:rFonts w:ascii="Palatino Linotype" w:eastAsia="Palatino Linotype" w:hAnsi="Palatino Linotype" w:cs="Palatino Linotype"/>
          <w:color w:val="0A0909"/>
        </w:rPr>
        <w:t xml:space="preserve">se advierte que se contempla precisamente el Estado Analítico de Ingresos Detallado: </w:t>
      </w:r>
    </w:p>
    <w:p w:rsidR="00DC1167" w:rsidRPr="007313CD" w:rsidRDefault="00DC1167">
      <w:pPr>
        <w:spacing w:line="360" w:lineRule="auto"/>
        <w:ind w:right="49"/>
        <w:jc w:val="both"/>
        <w:rPr>
          <w:rFonts w:ascii="Palatino Linotype" w:eastAsia="Palatino Linotype" w:hAnsi="Palatino Linotype" w:cs="Palatino Linotype"/>
          <w:color w:val="0A0909"/>
        </w:rPr>
      </w:pPr>
    </w:p>
    <w:p w:rsidR="00DC1167" w:rsidRPr="007313CD" w:rsidRDefault="000F749C">
      <w:pPr>
        <w:spacing w:line="360" w:lineRule="auto"/>
        <w:ind w:right="49"/>
        <w:jc w:val="both"/>
        <w:rPr>
          <w:rFonts w:ascii="Palatino Linotype" w:eastAsia="Palatino Linotype" w:hAnsi="Palatino Linotype" w:cs="Palatino Linotype"/>
          <w:color w:val="0A0909"/>
        </w:rPr>
      </w:pPr>
      <w:r w:rsidRPr="007313CD">
        <w:rPr>
          <w:noProof/>
        </w:rPr>
        <w:lastRenderedPageBreak/>
        <w:drawing>
          <wp:inline distT="0" distB="0" distL="0" distR="0">
            <wp:extent cx="5420527" cy="3305664"/>
            <wp:effectExtent l="0" t="0" r="0" b="0"/>
            <wp:docPr id="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16122" t="15086" r="20739" b="9173"/>
                    <a:stretch>
                      <a:fillRect/>
                    </a:stretch>
                  </pic:blipFill>
                  <pic:spPr>
                    <a:xfrm>
                      <a:off x="0" y="0"/>
                      <a:ext cx="5420527" cy="3305664"/>
                    </a:xfrm>
                    <a:prstGeom prst="rect">
                      <a:avLst/>
                    </a:prstGeom>
                    <a:ln/>
                  </pic:spPr>
                </pic:pic>
              </a:graphicData>
            </a:graphic>
          </wp:inline>
        </w:drawing>
      </w:r>
      <w:r w:rsidRPr="007313CD">
        <w:rPr>
          <w:noProof/>
        </w:rPr>
        <mc:AlternateContent>
          <mc:Choice Requires="wps">
            <w:drawing>
              <wp:anchor distT="0" distB="0" distL="114300" distR="114300" simplePos="0" relativeHeight="251658240" behindDoc="0" locked="0" layoutInCell="1" hidden="0" allowOverlap="1">
                <wp:simplePos x="0" y="0"/>
                <wp:positionH relativeFrom="column">
                  <wp:posOffset>1143000</wp:posOffset>
                </wp:positionH>
                <wp:positionV relativeFrom="paragraph">
                  <wp:posOffset>2400300</wp:posOffset>
                </wp:positionV>
                <wp:extent cx="4171950" cy="171450"/>
                <wp:effectExtent l="0" t="0" r="0" b="0"/>
                <wp:wrapNone/>
                <wp:docPr id="312" name="Rectángulo 312"/>
                <wp:cNvGraphicFramePr/>
                <a:graphic xmlns:a="http://schemas.openxmlformats.org/drawingml/2006/main">
                  <a:graphicData uri="http://schemas.microsoft.com/office/word/2010/wordprocessingShape">
                    <wps:wsp>
                      <wps:cNvSpPr/>
                      <wps:spPr>
                        <a:xfrm>
                          <a:off x="3264788" y="3699038"/>
                          <a:ext cx="4162425" cy="161925"/>
                        </a:xfrm>
                        <a:prstGeom prst="rect">
                          <a:avLst/>
                        </a:prstGeom>
                        <a:noFill/>
                        <a:ln w="9525" cap="flat" cmpd="sng">
                          <a:solidFill>
                            <a:srgbClr val="FF0000"/>
                          </a:solidFill>
                          <a:prstDash val="solid"/>
                          <a:round/>
                          <a:headEnd type="none" w="sm" len="sm"/>
                          <a:tailEnd type="none" w="sm" len="sm"/>
                        </a:ln>
                      </wps:spPr>
                      <wps:txbx>
                        <w:txbxContent>
                          <w:p w:rsidR="00DC1167" w:rsidRDefault="00DC1167">
                            <w:pPr>
                              <w:textDirection w:val="btLr"/>
                            </w:pPr>
                          </w:p>
                        </w:txbxContent>
                      </wps:txbx>
                      <wps:bodyPr spcFirstLastPara="1" wrap="square" lIns="91425" tIns="91425" rIns="91425" bIns="91425" anchor="ctr" anchorCtr="0">
                        <a:noAutofit/>
                      </wps:bodyPr>
                    </wps:wsp>
                  </a:graphicData>
                </a:graphic>
              </wp:anchor>
            </w:drawing>
          </mc:Choice>
          <mc:Fallback>
            <w:pict>
              <v:rect id="Rectángulo 312" o:spid="_x0000_s1026" style="position:absolute;left:0;text-align:left;margin-left:90pt;margin-top:189pt;width:328.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" filled="f" strokecolor="red">
                <v:stroke startarrowwidth="narrow" startarrowlength="short" endarrowwidth="narrow" endarrowlength="short" joinstyle="round"/>
                <v:textbox inset="2.53958mm,2.53958mm,2.53958mm,2.53958mm">
                  <w:txbxContent>
                    <w:p w:rsidR="00DC1167" w:rsidRDefault="00DC1167">
                      <w:pPr>
                        <w:textDirection w:val="btLr"/>
                      </w:pPr>
                    </w:p>
                  </w:txbxContent>
                </v:textbox>
              </v:rect>
            </w:pict>
          </mc:Fallback>
        </mc:AlternateContent>
      </w:r>
    </w:p>
    <w:p w:rsidR="00DC1167" w:rsidRPr="007313CD" w:rsidRDefault="00DC1167">
      <w:pPr>
        <w:spacing w:line="360" w:lineRule="auto"/>
        <w:ind w:right="49"/>
        <w:jc w:val="both"/>
      </w:pPr>
    </w:p>
    <w:p w:rsidR="00DC1167" w:rsidRPr="007313CD" w:rsidRDefault="000F749C">
      <w:pPr>
        <w:spacing w:line="360" w:lineRule="auto"/>
        <w:ind w:right="49"/>
        <w:jc w:val="center"/>
        <w:rPr>
          <w:rFonts w:ascii="Palatino Linotype" w:eastAsia="Palatino Linotype" w:hAnsi="Palatino Linotype" w:cs="Palatino Linotype"/>
          <w:color w:val="0A0909"/>
        </w:rPr>
      </w:pPr>
      <w:r w:rsidRPr="007313CD">
        <w:rPr>
          <w:noProof/>
        </w:rPr>
        <w:lastRenderedPageBreak/>
        <w:drawing>
          <wp:inline distT="0" distB="0" distL="0" distR="0">
            <wp:extent cx="5155941" cy="6679864"/>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3096" t="13578" r="32451" b="7058"/>
                    <a:stretch>
                      <a:fillRect/>
                    </a:stretch>
                  </pic:blipFill>
                  <pic:spPr>
                    <a:xfrm>
                      <a:off x="0" y="0"/>
                      <a:ext cx="5155941" cy="6679864"/>
                    </a:xfrm>
                    <a:prstGeom prst="rect">
                      <a:avLst/>
                    </a:prstGeom>
                    <a:ln/>
                  </pic:spPr>
                </pic:pic>
              </a:graphicData>
            </a:graphic>
          </wp:inline>
        </w:drawing>
      </w:r>
    </w:p>
    <w:p w:rsidR="00DC1167" w:rsidRPr="007313CD" w:rsidRDefault="00DC1167" w:rsidP="002570CF">
      <w:pPr>
        <w:spacing w:line="360" w:lineRule="auto"/>
        <w:ind w:right="49"/>
        <w:rPr>
          <w:rFonts w:ascii="Palatino Linotype" w:eastAsia="Palatino Linotype" w:hAnsi="Palatino Linotype" w:cs="Palatino Linotype"/>
          <w:color w:val="0A0909"/>
        </w:rPr>
      </w:pPr>
    </w:p>
    <w:p w:rsidR="002570CF" w:rsidRPr="007313CD" w:rsidRDefault="002570CF" w:rsidP="007520D2">
      <w:pPr>
        <w:spacing w:line="360" w:lineRule="auto"/>
        <w:ind w:right="49"/>
        <w:jc w:val="both"/>
        <w:rPr>
          <w:rFonts w:ascii="Palatino Linotype" w:hAnsi="Palatino Linotype"/>
        </w:rPr>
      </w:pPr>
      <w:r w:rsidRPr="007313CD">
        <w:rPr>
          <w:rFonts w:ascii="Palatino Linotype" w:eastAsia="Palatino Linotype" w:hAnsi="Palatino Linotype" w:cs="Palatino Linotype"/>
          <w:color w:val="0A0909"/>
        </w:rPr>
        <w:lastRenderedPageBreak/>
        <w:t xml:space="preserve">Como se logra advertir el </w:t>
      </w:r>
      <w:r w:rsidR="007520D2" w:rsidRPr="007313CD">
        <w:rPr>
          <w:rFonts w:ascii="Palatino Linotype" w:eastAsia="Palatino Linotype" w:hAnsi="Palatino Linotype" w:cs="Palatino Linotype"/>
          <w:color w:val="0A0909"/>
        </w:rPr>
        <w:t xml:space="preserve">contenido del </w:t>
      </w:r>
      <w:r w:rsidRPr="007313CD">
        <w:rPr>
          <w:rFonts w:ascii="Palatino Linotype" w:eastAsia="Palatino Linotype" w:hAnsi="Palatino Linotype" w:cs="Palatino Linotype"/>
          <w:color w:val="0A0909"/>
        </w:rPr>
        <w:t xml:space="preserve">formato 5 establecido en los </w:t>
      </w:r>
      <w:r w:rsidR="007520D2" w:rsidRPr="007313CD">
        <w:rPr>
          <w:rFonts w:ascii="Palatino Linotype" w:hAnsi="Palatino Linotype"/>
        </w:rPr>
        <w:t>Criterios para la elaboración y presentación homogénea de la información financiera y de los formatos a que hace referencia la Ley de Disciplina Financiera de las Entidades Federativas y los Municipios, es coincidente con</w:t>
      </w:r>
      <w:r w:rsidR="00CE5F2E" w:rsidRPr="007313CD">
        <w:rPr>
          <w:rFonts w:ascii="Palatino Linotype" w:hAnsi="Palatino Linotype"/>
        </w:rPr>
        <w:t xml:space="preserve"> formato 8 que contiene </w:t>
      </w:r>
      <w:r w:rsidR="001045B5" w:rsidRPr="007313CD">
        <w:rPr>
          <w:rFonts w:ascii="Palatino Linotype" w:hAnsi="Palatino Linotype"/>
        </w:rPr>
        <w:t>el Estado Analítico Detallado que como parte de la información presupuestal debe remitir el Sujeto Obligado al Órgano Superior de Fiscalizaci</w:t>
      </w:r>
      <w:r w:rsidR="00CE5F2E" w:rsidRPr="007313CD">
        <w:rPr>
          <w:rFonts w:ascii="Palatino Linotype" w:hAnsi="Palatino Linotype"/>
        </w:rPr>
        <w:t xml:space="preserve">ón. </w:t>
      </w:r>
    </w:p>
    <w:p w:rsidR="007520D2" w:rsidRPr="007313CD" w:rsidRDefault="007520D2" w:rsidP="002570CF">
      <w:pPr>
        <w:spacing w:line="360" w:lineRule="auto"/>
        <w:ind w:right="49"/>
        <w:rPr>
          <w:rFonts w:ascii="Palatino Linotype" w:eastAsia="Palatino Linotype" w:hAnsi="Palatino Linotype" w:cs="Palatino Linotype"/>
          <w:color w:val="0A0909"/>
        </w:rPr>
      </w:pPr>
    </w:p>
    <w:p w:rsidR="00DC1167" w:rsidRPr="007313CD" w:rsidRDefault="000F749C">
      <w:pPr>
        <w:spacing w:line="360" w:lineRule="auto"/>
        <w:ind w:right="49"/>
        <w:jc w:val="both"/>
        <w:rPr>
          <w:rFonts w:ascii="Palatino Linotype" w:eastAsia="Palatino Linotype" w:hAnsi="Palatino Linotype" w:cs="Palatino Linotype"/>
          <w:color w:val="000000"/>
        </w:rPr>
      </w:pPr>
      <w:r w:rsidRPr="007313CD">
        <w:rPr>
          <w:rFonts w:ascii="Palatino Linotype" w:hAnsi="Palatino Linotype"/>
        </w:rPr>
        <w:t>Aunado a lo anterior la</w:t>
      </w:r>
      <w:r w:rsidRPr="007313CD">
        <w:rPr>
          <w:rFonts w:ascii="Palatino Linotype" w:eastAsia="Palatino Linotype" w:hAnsi="Palatino Linotype" w:cs="Palatino Linotype"/>
          <w:color w:val="0A0909"/>
        </w:rPr>
        <w:t xml:space="preserve"> </w:t>
      </w:r>
      <w:r w:rsidRPr="007313CD">
        <w:rPr>
          <w:rFonts w:ascii="Palatino Linotype" w:eastAsia="Palatino Linotype" w:hAnsi="Palatino Linotype" w:cs="Palatino Linotype"/>
          <w:b/>
          <w:i/>
          <w:color w:val="000000"/>
        </w:rPr>
        <w:t>LEY ORGÁNICA MUNICIPAL DEL ESTADO DE MÉXICO </w:t>
      </w:r>
      <w:r w:rsidRPr="007313CD">
        <w:rPr>
          <w:rFonts w:ascii="Palatino Linotype" w:eastAsia="Palatino Linotype" w:hAnsi="Palatino Linotype" w:cs="Palatino Linotype"/>
          <w:color w:val="000000"/>
        </w:rPr>
        <w:t xml:space="preserve">dispone: </w:t>
      </w:r>
    </w:p>
    <w:p w:rsidR="002570CF" w:rsidRPr="007313CD" w:rsidRDefault="002570CF">
      <w:pPr>
        <w:spacing w:line="360" w:lineRule="auto"/>
        <w:ind w:right="49"/>
        <w:jc w:val="both"/>
        <w:rPr>
          <w:rFonts w:ascii="Palatino Linotype" w:hAnsi="Palatino Linotype"/>
        </w:rPr>
      </w:pP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TITULO IV Régimen Administrativo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CAPITULO PRIMERO De las Dependencias Administrativas</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Artículo 87.- Para el despacho, estudio y planeación de los diversos asuntos de la administración municipal, el ayuntamiento contará por lo menos con las siguientes Dependencias: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II. La tesorería municipal.</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w:t>
      </w:r>
    </w:p>
    <w:p w:rsidR="00DC1167" w:rsidRPr="007313CD" w:rsidRDefault="00DC1167">
      <w:pPr>
        <w:rPr>
          <w:rFonts w:ascii="Palatino Linotype" w:hAnsi="Palatino Linotype"/>
        </w:rPr>
      </w:pP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CAPITULO SEGUNDO De la Tesorería Municipal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Artículo 93.- La tesorería municipal es el órgano encargado de la recaudación de los ingresos municipales y responsable de realizar las erogaciones que haga el ayuntamiento.</w:t>
      </w:r>
    </w:p>
    <w:p w:rsidR="00DC1167" w:rsidRPr="007313CD" w:rsidRDefault="00DC1167">
      <w:pPr>
        <w:rPr>
          <w:rFonts w:ascii="Palatino Linotype" w:hAnsi="Palatino Linotype"/>
        </w:rPr>
      </w:pP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Artículo 95.- Son atribuciones del tesorero municipal: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I. Administrar la hacienda pública municipal, de conformidad con las disposiciones legales aplicables;</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IV. Llevar los registros contables, financieros y administrativos de los ingresos, egresos, e inventarios;</w:t>
      </w:r>
    </w:p>
    <w:p w:rsidR="00DC1167" w:rsidRPr="007313CD" w:rsidRDefault="00DC1167">
      <w:pPr>
        <w:rPr>
          <w:rFonts w:ascii="Palatino Linotype" w:hAnsi="Palatino Linotype"/>
        </w:rPr>
      </w:pP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BANDO MUNICIPAL DEL AYUNTAMIENTO DE TOLUCA 2023</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CAPÍTULO SEGUNDO DE LA ORGANIZACIÓN ADMINISTRATIVA</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lastRenderedPageBreak/>
        <w:t>Artículo 23. Para la consulta, estudio, planeación y despacho de los asuntos en los diversos ramos de la Administración Pública Municipal, la o el Presidente Municipal se auxiliará de la Secretaría del Ayuntamiento y de las siguientes: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DEPENDENCIAS: </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b/>
          <w:i/>
          <w:color w:val="000000"/>
          <w:sz w:val="22"/>
          <w:szCs w:val="22"/>
        </w:rPr>
        <w:t>1. Tesorería Municipal;</w:t>
      </w:r>
    </w:p>
    <w:p w:rsidR="00DC1167" w:rsidRPr="007313CD" w:rsidRDefault="000F749C">
      <w:pPr>
        <w:pBdr>
          <w:top w:val="nil"/>
          <w:left w:val="nil"/>
          <w:bottom w:val="nil"/>
          <w:right w:val="nil"/>
          <w:between w:val="nil"/>
        </w:pBdr>
        <w:ind w:left="851" w:right="851"/>
        <w:jc w:val="both"/>
        <w:rPr>
          <w:rFonts w:ascii="Palatino Linotype" w:hAnsi="Palatino Linotype"/>
          <w:color w:val="000000"/>
        </w:rPr>
      </w:pPr>
      <w:r w:rsidRPr="007313CD">
        <w:rPr>
          <w:rFonts w:ascii="Palatino Linotype" w:eastAsia="Palatino Linotype" w:hAnsi="Palatino Linotype" w:cs="Palatino Linotype"/>
          <w:i/>
          <w:color w:val="000000"/>
          <w:sz w:val="22"/>
          <w:szCs w:val="22"/>
        </w:rPr>
        <w:t>(…)</w:t>
      </w:r>
    </w:p>
    <w:p w:rsidR="00DC1167" w:rsidRPr="007313CD" w:rsidRDefault="00DC1167">
      <w:pPr>
        <w:spacing w:line="360" w:lineRule="auto"/>
        <w:ind w:right="49"/>
        <w:jc w:val="both"/>
        <w:rPr>
          <w:rFonts w:ascii="Palatino Linotype" w:eastAsia="Palatino Linotype" w:hAnsi="Palatino Linotype" w:cs="Palatino Linotype"/>
          <w:color w:val="0A0909"/>
        </w:rPr>
      </w:pPr>
    </w:p>
    <w:p w:rsidR="00DC1167" w:rsidRPr="007313CD" w:rsidRDefault="000F749C">
      <w:pPr>
        <w:spacing w:line="360" w:lineRule="auto"/>
        <w:ind w:right="49"/>
        <w:jc w:val="both"/>
        <w:rPr>
          <w:rFonts w:ascii="Palatino Linotype" w:hAnsi="Palatino Linotype"/>
        </w:rPr>
      </w:pPr>
      <w:r w:rsidRPr="007313CD">
        <w:rPr>
          <w:rFonts w:ascii="Palatino Linotype" w:hAnsi="Palatino Linotype"/>
        </w:rPr>
        <w:t>Establecido lo anterior, el artículo veintitrés del Bando Municipal de Toluca del dos mil veintitrés, establece que el Ayuntamiento contará con la Tesorería Municipal que es la unidad administrativa encargada de la recaudación de los ingresos municipales y la administración de la hacienda pública municipal, llevando los registros contables, financieros y administrativos de los ingresos, egresos, e inventarios.</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AYUNTAMIENTO DE TOLUCA</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CAPÍTULO SEGUNDO DE LA ORGANIZACIÓN ADMINISTRATIVA</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A0909"/>
          <w:sz w:val="22"/>
          <w:szCs w:val="22"/>
        </w:rPr>
      </w:pPr>
      <w:r w:rsidRPr="007313CD">
        <w:rPr>
          <w:rFonts w:ascii="Palatino Linotype" w:eastAsia="Palatino Linotype" w:hAnsi="Palatino Linotype" w:cs="Palatino Linotype"/>
          <w:i/>
          <w:color w:val="000000"/>
          <w:sz w:val="22"/>
          <w:szCs w:val="22"/>
        </w:rPr>
        <w:t>Artículo 23. Para la consulta, estudio, planeación y despacho de los asuntos en los diversos ramos de la Administración Pública Municipal, la o el Presidente Municipal se auxiliará de la Secretaría del Ayuntamiento y de las siguientes: DEPENDENCIAS: 1.Tesorería Municipal;</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A0909"/>
          <w:sz w:val="22"/>
          <w:szCs w:val="22"/>
        </w:rPr>
      </w:pPr>
      <w:r w:rsidRPr="007313CD">
        <w:rPr>
          <w:rFonts w:ascii="Palatino Linotype" w:eastAsia="Palatino Linotype" w:hAnsi="Palatino Linotype" w:cs="Palatino Linotype"/>
          <w:i/>
          <w:color w:val="0A0909"/>
          <w:sz w:val="22"/>
          <w:szCs w:val="22"/>
        </w:rPr>
        <w:tab/>
      </w:r>
    </w:p>
    <w:p w:rsidR="00DC1167" w:rsidRPr="007313CD" w:rsidRDefault="000F749C">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Por todo lo anterior se advierte que cuenta con competencia para conocer de la información solicitada. </w:t>
      </w:r>
    </w:p>
    <w:p w:rsidR="00DC1167" w:rsidRPr="007313CD" w:rsidRDefault="00DC116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DC1167" w:rsidRPr="007313CD" w:rsidRDefault="000F749C">
      <w:pPr>
        <w:pBdr>
          <w:top w:val="nil"/>
          <w:left w:val="nil"/>
          <w:bottom w:val="nil"/>
          <w:right w:val="nil"/>
          <w:between w:val="nil"/>
        </w:pBdr>
        <w:shd w:val="clear" w:color="auto" w:fill="FFFFFF"/>
        <w:spacing w:line="360" w:lineRule="auto"/>
        <w:ind w:right="49"/>
        <w:jc w:val="both"/>
      </w:pPr>
      <w:r w:rsidRPr="007313CD">
        <w:rPr>
          <w:rFonts w:ascii="Palatino Linotype" w:eastAsia="Palatino Linotype" w:hAnsi="Palatino Linotype" w:cs="Palatino Linotype"/>
        </w:rPr>
        <w:t>En este sentido se procede al análisis de la respuesta así como del informe justificado y su alcance, a fin de determinar si se colma el derecho de acceso a la información del recurrente, para ello resultó pertinente realizar la</w:t>
      </w:r>
      <w:r w:rsidRPr="007313CD">
        <w:rPr>
          <w:rFonts w:ascii="Palatino Linotype" w:eastAsia="Palatino Linotype" w:hAnsi="Palatino Linotype" w:cs="Palatino Linotype"/>
          <w:b/>
        </w:rPr>
        <w:t xml:space="preserve"> </w:t>
      </w:r>
      <w:r w:rsidRPr="007313CD">
        <w:rPr>
          <w:rFonts w:ascii="Palatino Linotype" w:eastAsia="Palatino Linotype" w:hAnsi="Palatino Linotype" w:cs="Palatino Linotype"/>
        </w:rPr>
        <w:t xml:space="preserve">consulta al sitio oficial del Ayuntamiento de Toluca, siguiendo los pasos señalados, advirtiéndose lo siguiente: </w:t>
      </w:r>
    </w:p>
    <w:p w:rsidR="00DC1167" w:rsidRPr="007313CD" w:rsidRDefault="00DC1167">
      <w:pPr>
        <w:spacing w:line="360" w:lineRule="auto"/>
        <w:jc w:val="both"/>
      </w:pPr>
    </w:p>
    <w:p w:rsidR="00DC1167" w:rsidRPr="007313CD" w:rsidRDefault="000F749C">
      <w:pPr>
        <w:spacing w:line="360" w:lineRule="auto"/>
        <w:jc w:val="center"/>
        <w:rPr>
          <w:rFonts w:ascii="Palatino Linotype" w:eastAsia="Palatino Linotype" w:hAnsi="Palatino Linotype" w:cs="Palatino Linotype"/>
        </w:rPr>
      </w:pPr>
      <w:r w:rsidRPr="007313CD">
        <w:rPr>
          <w:noProof/>
        </w:rPr>
        <w:lastRenderedPageBreak/>
        <w:drawing>
          <wp:inline distT="0" distB="0" distL="0" distR="0">
            <wp:extent cx="5019675" cy="2809875"/>
            <wp:effectExtent l="0" t="0" r="0" b="0"/>
            <wp:docPr id="3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3903" t="4225" r="6653" b="6756"/>
                    <a:stretch>
                      <a:fillRect/>
                    </a:stretch>
                  </pic:blipFill>
                  <pic:spPr>
                    <a:xfrm>
                      <a:off x="0" y="0"/>
                      <a:ext cx="5019675" cy="2809875"/>
                    </a:xfrm>
                    <a:prstGeom prst="rect">
                      <a:avLst/>
                    </a:prstGeom>
                    <a:ln/>
                  </pic:spPr>
                </pic:pic>
              </a:graphicData>
            </a:graphic>
          </wp:inline>
        </w:drawing>
      </w:r>
    </w:p>
    <w:p w:rsidR="00DC1167" w:rsidRPr="007313CD" w:rsidRDefault="00DC1167">
      <w:pPr>
        <w:spacing w:line="360" w:lineRule="auto"/>
        <w:jc w:val="both"/>
        <w:rPr>
          <w:rFonts w:ascii="Palatino Linotype" w:eastAsia="Palatino Linotype" w:hAnsi="Palatino Linotype" w:cs="Palatino Linotype"/>
        </w:rPr>
      </w:pPr>
    </w:p>
    <w:p w:rsidR="00DC1167" w:rsidRPr="007313CD" w:rsidRDefault="00DC1167">
      <w:pPr>
        <w:spacing w:line="360" w:lineRule="auto"/>
        <w:jc w:val="both"/>
        <w:rPr>
          <w:rFonts w:ascii="Palatino Linotype" w:eastAsia="Palatino Linotype" w:hAnsi="Palatino Linotype" w:cs="Palatino Linotype"/>
        </w:rPr>
      </w:pPr>
    </w:p>
    <w:p w:rsidR="00DC1167" w:rsidRPr="007313CD" w:rsidRDefault="000F749C">
      <w:pPr>
        <w:spacing w:line="360" w:lineRule="auto"/>
        <w:jc w:val="both"/>
        <w:rPr>
          <w:rFonts w:ascii="Palatino Linotype" w:eastAsia="Palatino Linotype" w:hAnsi="Palatino Linotype" w:cs="Palatino Linotype"/>
          <w:color w:val="0A0909"/>
        </w:rPr>
      </w:pPr>
      <w:r w:rsidRPr="007313CD">
        <w:rPr>
          <w:rFonts w:ascii="Palatino Linotype" w:eastAsia="Palatino Linotype" w:hAnsi="Palatino Linotype" w:cs="Palatino Linotype"/>
        </w:rPr>
        <w:t xml:space="preserve">Sin embargo es cierto, de la consulta </w:t>
      </w:r>
      <w:r w:rsidR="007549F4" w:rsidRPr="007313CD">
        <w:rPr>
          <w:rFonts w:ascii="Palatino Linotype" w:eastAsia="Palatino Linotype" w:hAnsi="Palatino Linotype" w:cs="Palatino Linotype"/>
        </w:rPr>
        <w:t>no fue posible localizar</w:t>
      </w:r>
      <w:r w:rsidRPr="007313CD">
        <w:rPr>
          <w:rFonts w:ascii="Palatino Linotype" w:eastAsia="Palatino Linotype" w:hAnsi="Palatino Linotype" w:cs="Palatino Linotype"/>
          <w:color w:val="0A0909"/>
        </w:rPr>
        <w:t xml:space="preserve"> Estado Analítico de Ingresos Detallado como lo solicitó LA PARTE RECURRENTE, pues el archivo que </w:t>
      </w:r>
      <w:r w:rsidR="007549F4" w:rsidRPr="007313CD">
        <w:rPr>
          <w:rFonts w:ascii="Palatino Linotype" w:eastAsia="Palatino Linotype" w:hAnsi="Palatino Linotype" w:cs="Palatino Linotype"/>
          <w:color w:val="0A0909"/>
        </w:rPr>
        <w:t xml:space="preserve">únicamente se localizó un </w:t>
      </w:r>
      <w:r w:rsidRPr="007313CD">
        <w:rPr>
          <w:rFonts w:ascii="Palatino Linotype" w:eastAsia="Palatino Linotype" w:hAnsi="Palatino Linotype" w:cs="Palatino Linotype"/>
          <w:color w:val="0A0909"/>
        </w:rPr>
        <w:t xml:space="preserve">Estado Analítico de Ingresos Global, tal y como se aprecia: </w:t>
      </w:r>
    </w:p>
    <w:p w:rsidR="00DC1167" w:rsidRPr="007313CD" w:rsidRDefault="00DC1167">
      <w:pPr>
        <w:spacing w:line="360" w:lineRule="auto"/>
        <w:jc w:val="both"/>
      </w:pPr>
    </w:p>
    <w:p w:rsidR="00DC1167" w:rsidRPr="007313CD" w:rsidRDefault="000F749C">
      <w:pPr>
        <w:spacing w:line="360" w:lineRule="auto"/>
        <w:jc w:val="center"/>
        <w:rPr>
          <w:rFonts w:ascii="Arial" w:eastAsia="Arial" w:hAnsi="Arial" w:cs="Arial"/>
          <w:color w:val="0A0909"/>
          <w:sz w:val="21"/>
          <w:szCs w:val="21"/>
        </w:rPr>
      </w:pPr>
      <w:r w:rsidRPr="007313CD">
        <w:rPr>
          <w:noProof/>
        </w:rPr>
        <w:drawing>
          <wp:inline distT="0" distB="0" distL="0" distR="0">
            <wp:extent cx="4905328" cy="2294428"/>
            <wp:effectExtent l="0" t="0" r="0" b="0"/>
            <wp:docPr id="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18499" t="18407" r="18361" b="29087"/>
                    <a:stretch>
                      <a:fillRect/>
                    </a:stretch>
                  </pic:blipFill>
                  <pic:spPr>
                    <a:xfrm>
                      <a:off x="0" y="0"/>
                      <a:ext cx="4905328" cy="2294428"/>
                    </a:xfrm>
                    <a:prstGeom prst="rect">
                      <a:avLst/>
                    </a:prstGeom>
                    <a:ln/>
                  </pic:spPr>
                </pic:pic>
              </a:graphicData>
            </a:graphic>
          </wp:inline>
        </w:drawing>
      </w:r>
    </w:p>
    <w:p w:rsidR="00DC1167" w:rsidRPr="007313CD" w:rsidRDefault="00DC1167">
      <w:pPr>
        <w:spacing w:line="360" w:lineRule="auto"/>
        <w:jc w:val="center"/>
        <w:rPr>
          <w:rFonts w:ascii="Arial" w:eastAsia="Arial" w:hAnsi="Arial" w:cs="Arial"/>
          <w:color w:val="0A0909"/>
          <w:sz w:val="21"/>
          <w:szCs w:val="21"/>
        </w:rPr>
      </w:pPr>
    </w:p>
    <w:p w:rsidR="00DC1167" w:rsidRPr="007313CD" w:rsidRDefault="000F749C">
      <w:pPr>
        <w:spacing w:line="360" w:lineRule="auto"/>
        <w:ind w:right="49"/>
        <w:jc w:val="both"/>
        <w:rPr>
          <w:rFonts w:ascii="Palatino Linotype" w:eastAsia="Palatino Linotype" w:hAnsi="Palatino Linotype" w:cs="Palatino Linotype"/>
          <w:color w:val="0A0909"/>
        </w:rPr>
      </w:pPr>
      <w:r w:rsidRPr="007313CD">
        <w:rPr>
          <w:rFonts w:ascii="Palatino Linotype" w:eastAsia="Palatino Linotype" w:hAnsi="Palatino Linotype" w:cs="Palatino Linotype"/>
          <w:color w:val="000000"/>
        </w:rPr>
        <w:lastRenderedPageBreak/>
        <w:t xml:space="preserve">Sin embargo, no hay que perder de vista que </w:t>
      </w:r>
      <w:r w:rsidRPr="007313CD">
        <w:rPr>
          <w:rFonts w:ascii="Palatino Linotype" w:eastAsia="Palatino Linotype" w:hAnsi="Palatino Linotype" w:cs="Palatino Linotype"/>
          <w:b/>
          <w:color w:val="000000"/>
        </w:rPr>
        <w:t>EL SUJETO OBLIGADO</w:t>
      </w:r>
      <w:r w:rsidRPr="007313CD">
        <w:rPr>
          <w:rFonts w:ascii="Palatino Linotype" w:eastAsia="Palatino Linotype" w:hAnsi="Palatino Linotype" w:cs="Palatino Linotype"/>
          <w:color w:val="000000"/>
        </w:rPr>
        <w:t xml:space="preserve"> mediante la Etapa de Manifestaciones remitió a través de la Tesorería Municipal el referido </w:t>
      </w:r>
      <w:r w:rsidRPr="007313CD">
        <w:rPr>
          <w:rFonts w:ascii="Palatino Linotype" w:eastAsia="Palatino Linotype" w:hAnsi="Palatino Linotype" w:cs="Palatino Linotype"/>
          <w:color w:val="0A0909"/>
        </w:rPr>
        <w:t xml:space="preserve">Estado Analítico de Ingresos Detallado del primero de enero al treinta y uno de diciembre de dos mil veintidós, como se apreció en el antecedente número seis de este fallo: </w:t>
      </w:r>
    </w:p>
    <w:p w:rsidR="00DC1167" w:rsidRPr="007313CD" w:rsidRDefault="000F749C">
      <w:pPr>
        <w:spacing w:line="360" w:lineRule="auto"/>
        <w:ind w:right="49"/>
        <w:jc w:val="center"/>
        <w:rPr>
          <w:rFonts w:ascii="Palatino Linotype" w:eastAsia="Palatino Linotype" w:hAnsi="Palatino Linotype" w:cs="Palatino Linotype"/>
          <w:color w:val="0A0909"/>
        </w:rPr>
      </w:pPr>
      <w:r w:rsidRPr="007313CD">
        <w:rPr>
          <w:noProof/>
        </w:rPr>
        <w:drawing>
          <wp:inline distT="0" distB="0" distL="0" distR="0">
            <wp:extent cx="2437876" cy="3174318"/>
            <wp:effectExtent l="0" t="0" r="0" b="0"/>
            <wp:docPr id="3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3605" t="16898" r="33809" b="7664"/>
                    <a:stretch>
                      <a:fillRect/>
                    </a:stretch>
                  </pic:blipFill>
                  <pic:spPr>
                    <a:xfrm>
                      <a:off x="0" y="0"/>
                      <a:ext cx="2437876" cy="3174318"/>
                    </a:xfrm>
                    <a:prstGeom prst="rect">
                      <a:avLst/>
                    </a:prstGeom>
                    <a:ln/>
                  </pic:spPr>
                </pic:pic>
              </a:graphicData>
            </a:graphic>
          </wp:inline>
        </w:drawing>
      </w:r>
      <w:r w:rsidRPr="007313CD">
        <w:rPr>
          <w:noProof/>
        </w:rPr>
        <w:drawing>
          <wp:inline distT="0" distB="0" distL="0" distR="0">
            <wp:extent cx="2560729" cy="3294806"/>
            <wp:effectExtent l="0" t="0" r="0" b="0"/>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5428" t="28799" r="36147" b="6181"/>
                    <a:stretch>
                      <a:fillRect/>
                    </a:stretch>
                  </pic:blipFill>
                  <pic:spPr>
                    <a:xfrm>
                      <a:off x="0" y="0"/>
                      <a:ext cx="2560729" cy="3294806"/>
                    </a:xfrm>
                    <a:prstGeom prst="rect">
                      <a:avLst/>
                    </a:prstGeom>
                    <a:ln/>
                  </pic:spPr>
                </pic:pic>
              </a:graphicData>
            </a:graphic>
          </wp:inline>
        </w:drawing>
      </w:r>
    </w:p>
    <w:p w:rsidR="00DC1167" w:rsidRPr="007313CD" w:rsidRDefault="000F749C">
      <w:pPr>
        <w:spacing w:line="360" w:lineRule="auto"/>
        <w:ind w:right="49"/>
        <w:jc w:val="center"/>
        <w:rPr>
          <w:rFonts w:ascii="Palatino Linotype" w:eastAsia="Palatino Linotype" w:hAnsi="Palatino Linotype" w:cs="Palatino Linotype"/>
          <w:color w:val="0A0909"/>
        </w:rPr>
      </w:pPr>
      <w:r w:rsidRPr="007313CD">
        <w:rPr>
          <w:noProof/>
        </w:rPr>
        <w:drawing>
          <wp:inline distT="0" distB="0" distL="0" distR="0">
            <wp:extent cx="3053352" cy="2374829"/>
            <wp:effectExtent l="0" t="0" r="0" b="0"/>
            <wp:docPr id="3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33096" t="35002" r="34827" b="20637"/>
                    <a:stretch>
                      <a:fillRect/>
                    </a:stretch>
                  </pic:blipFill>
                  <pic:spPr>
                    <a:xfrm rot="10800000">
                      <a:off x="0" y="0"/>
                      <a:ext cx="3053352" cy="2374829"/>
                    </a:xfrm>
                    <a:prstGeom prst="rect">
                      <a:avLst/>
                    </a:prstGeom>
                    <a:ln/>
                  </pic:spPr>
                </pic:pic>
              </a:graphicData>
            </a:graphic>
          </wp:inline>
        </w:drawing>
      </w:r>
    </w:p>
    <w:p w:rsidR="00DC1167" w:rsidRPr="007313CD" w:rsidRDefault="000F749C">
      <w:pPr>
        <w:spacing w:line="360" w:lineRule="auto"/>
        <w:ind w:right="49"/>
        <w:jc w:val="both"/>
        <w:rPr>
          <w:rFonts w:ascii="Palatino Linotype" w:eastAsia="Palatino Linotype" w:hAnsi="Palatino Linotype" w:cs="Palatino Linotype"/>
          <w:b/>
          <w:color w:val="0A0909"/>
        </w:rPr>
      </w:pPr>
      <w:r w:rsidRPr="007313CD">
        <w:rPr>
          <w:rFonts w:ascii="Palatino Linotype" w:eastAsia="Palatino Linotype" w:hAnsi="Palatino Linotype" w:cs="Palatino Linotype"/>
          <w:color w:val="0A0909"/>
        </w:rPr>
        <w:lastRenderedPageBreak/>
        <w:t xml:space="preserve">Y si bien el formato remitido por el Ayuntamiento de Toluca en la Etapa de Manifestaciones coincide con el formato solicitado, lo cierto es que la información fue remitida de manera ilegible, no obstante lo anterior </w:t>
      </w:r>
      <w:r w:rsidRPr="007313CD">
        <w:rPr>
          <w:rFonts w:ascii="Palatino Linotype" w:eastAsia="Palatino Linotype" w:hAnsi="Palatino Linotype" w:cs="Palatino Linotype"/>
          <w:b/>
          <w:color w:val="0A0909"/>
        </w:rPr>
        <w:t>EL SUJETO OBLIGADO</w:t>
      </w:r>
      <w:r w:rsidRPr="007313CD">
        <w:rPr>
          <w:rFonts w:ascii="Palatino Linotype" w:eastAsia="Palatino Linotype" w:hAnsi="Palatino Linotype" w:cs="Palatino Linotype"/>
          <w:color w:val="0A0909"/>
        </w:rPr>
        <w:t xml:space="preserve"> el pasado veinticinco de octubre de dos mil veintitrés, dentro de la Etapa de Manifestaciones, remite de nueva cuenta la información pero escaneado de manera legible lográndose visualizar de manera óptima la información requerida por </w:t>
      </w:r>
      <w:r w:rsidRPr="007313CD">
        <w:rPr>
          <w:rFonts w:ascii="Palatino Linotype" w:eastAsia="Palatino Linotype" w:hAnsi="Palatino Linotype" w:cs="Palatino Linotype"/>
          <w:b/>
          <w:color w:val="0A0909"/>
        </w:rPr>
        <w:t xml:space="preserve">LA PARTE RECURRENTE, </w:t>
      </w:r>
      <w:r w:rsidRPr="007313CD">
        <w:rPr>
          <w:rFonts w:ascii="Palatino Linotype" w:eastAsia="Palatino Linotype" w:hAnsi="Palatino Linotype" w:cs="Palatino Linotype"/>
          <w:color w:val="0A0909"/>
        </w:rPr>
        <w:t xml:space="preserve">tal y como consta: </w:t>
      </w:r>
    </w:p>
    <w:p w:rsidR="00DC1167" w:rsidRPr="007313CD" w:rsidRDefault="00DC1167">
      <w:pPr>
        <w:spacing w:line="360" w:lineRule="auto"/>
        <w:ind w:right="49"/>
        <w:jc w:val="both"/>
      </w:pPr>
    </w:p>
    <w:p w:rsidR="00DC1167" w:rsidRPr="007313CD" w:rsidRDefault="000F749C">
      <w:pPr>
        <w:spacing w:line="360" w:lineRule="auto"/>
        <w:ind w:right="49"/>
        <w:jc w:val="center"/>
        <w:rPr>
          <w:rFonts w:ascii="Palatino Linotype" w:eastAsia="Palatino Linotype" w:hAnsi="Palatino Linotype" w:cs="Palatino Linotype"/>
          <w:b/>
          <w:color w:val="0A0909"/>
        </w:rPr>
      </w:pPr>
      <w:r w:rsidRPr="007313CD">
        <w:rPr>
          <w:noProof/>
        </w:rPr>
        <w:drawing>
          <wp:inline distT="0" distB="0" distL="0" distR="0">
            <wp:extent cx="3459463" cy="3620507"/>
            <wp:effectExtent l="0" t="0" r="0" b="0"/>
            <wp:docPr id="3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22089" t="17269" r="21815" b="6120"/>
                    <a:stretch>
                      <a:fillRect/>
                    </a:stretch>
                  </pic:blipFill>
                  <pic:spPr>
                    <a:xfrm>
                      <a:off x="0" y="0"/>
                      <a:ext cx="3459463" cy="3620507"/>
                    </a:xfrm>
                    <a:prstGeom prst="rect">
                      <a:avLst/>
                    </a:prstGeom>
                    <a:ln/>
                  </pic:spPr>
                </pic:pic>
              </a:graphicData>
            </a:graphic>
          </wp:inline>
        </w:drawing>
      </w:r>
    </w:p>
    <w:p w:rsidR="00DC1167" w:rsidRPr="007313CD" w:rsidRDefault="00DC1167">
      <w:pPr>
        <w:spacing w:line="360" w:lineRule="auto"/>
        <w:ind w:right="49"/>
        <w:rPr>
          <w:rFonts w:ascii="Palatino Linotype" w:eastAsia="Palatino Linotype" w:hAnsi="Palatino Linotype" w:cs="Palatino Linotype"/>
          <w:b/>
          <w:color w:val="0A0909"/>
        </w:rPr>
      </w:pPr>
    </w:p>
    <w:p w:rsidR="00DC1167" w:rsidRPr="007313CD" w:rsidRDefault="000F749C">
      <w:pPr>
        <w:spacing w:line="360" w:lineRule="auto"/>
        <w:ind w:right="49"/>
        <w:jc w:val="both"/>
        <w:rPr>
          <w:rFonts w:ascii="Palatino Linotype" w:eastAsia="Palatino Linotype" w:hAnsi="Palatino Linotype" w:cs="Palatino Linotype"/>
          <w:color w:val="0A0909"/>
        </w:rPr>
      </w:pPr>
      <w:r w:rsidRPr="007313CD">
        <w:rPr>
          <w:rFonts w:ascii="Palatino Linotype" w:eastAsia="Palatino Linotype" w:hAnsi="Palatino Linotype" w:cs="Palatino Linotype"/>
          <w:color w:val="0A0909"/>
        </w:rPr>
        <w:t>Efectivamente es que se advierte que corresponde al Estado Analítico de Ingresos Detallado y además corresponde con la temporalidad solicitada.</w:t>
      </w:r>
    </w:p>
    <w:p w:rsidR="00DC1167" w:rsidRPr="007313CD" w:rsidRDefault="00DC1167">
      <w:pPr>
        <w:spacing w:line="360" w:lineRule="auto"/>
        <w:ind w:right="49"/>
        <w:jc w:val="both"/>
        <w:rPr>
          <w:rFonts w:ascii="Palatino Linotype" w:eastAsia="Palatino Linotype" w:hAnsi="Palatino Linotype" w:cs="Palatino Linotype"/>
          <w:color w:val="0A0909"/>
        </w:rPr>
      </w:pPr>
    </w:p>
    <w:p w:rsidR="00DC1167" w:rsidRPr="007313CD" w:rsidRDefault="000F749C">
      <w:pPr>
        <w:pBdr>
          <w:top w:val="nil"/>
          <w:left w:val="nil"/>
          <w:bottom w:val="nil"/>
          <w:right w:val="nil"/>
          <w:between w:val="nil"/>
        </w:pBdr>
        <w:spacing w:line="360" w:lineRule="auto"/>
        <w:ind w:right="51"/>
        <w:jc w:val="both"/>
        <w:rPr>
          <w:color w:val="000000"/>
        </w:rPr>
      </w:pPr>
      <w:r w:rsidRPr="007313CD">
        <w:rPr>
          <w:rFonts w:ascii="Palatino Linotype" w:eastAsia="Palatino Linotype" w:hAnsi="Palatino Linotype" w:cs="Palatino Linotype"/>
          <w:color w:val="000000"/>
        </w:rPr>
        <w:lastRenderedPageBreak/>
        <w:t>Aunado a que la información fue proporcionada por la Unidad Administrativa Competente, siguiendo el procedimiento establecido por el artículo 162 de la Ley de Transparencia y 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40404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DC1167" w:rsidRPr="007313CD" w:rsidRDefault="00DC1167">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shd w:val="clear" w:color="auto" w:fill="FFFFFF"/>
        <w:spacing w:line="360" w:lineRule="auto"/>
        <w:jc w:val="both"/>
        <w:rPr>
          <w:color w:val="000000"/>
        </w:rPr>
      </w:pPr>
      <w:r w:rsidRPr="007313CD">
        <w:rPr>
          <w:rFonts w:ascii="Palatino Linotype" w:eastAsia="Palatino Linotype" w:hAnsi="Palatino Linotype" w:cs="Palatino Linotype"/>
          <w:color w:val="222222"/>
        </w:rPr>
        <w:t>En este orden de ideas, se advierte que efectivamente la Unidad de Transparencia cumplió con lo expresado en el artículo 162 de la Ley </w:t>
      </w:r>
      <w:r w:rsidRPr="007313CD">
        <w:rPr>
          <w:rFonts w:ascii="Palatino Linotype" w:eastAsia="Palatino Linotype" w:hAnsi="Palatino Linotype" w:cs="Palatino Linotype"/>
          <w:color w:val="000000"/>
        </w:rPr>
        <w:t>de Transparencia y Acceso a la Información Pública del Estado de México y Municipios, el cual menciona lo siguiente:</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404040"/>
          <w:sz w:val="22"/>
          <w:szCs w:val="22"/>
        </w:rPr>
        <w:t xml:space="preserve">Artículo 162. Las unidades de transparencia deberán garantizar que las solicitudes </w:t>
      </w:r>
      <w:r w:rsidRPr="007313CD">
        <w:rPr>
          <w:rFonts w:ascii="Palatino Linotype" w:eastAsia="Palatino Linotype" w:hAnsi="Palatino Linotype" w:cs="Palatino Linotype"/>
          <w:b/>
          <w:i/>
          <w:color w:val="404040"/>
          <w:sz w:val="22"/>
          <w:szCs w:val="22"/>
        </w:rPr>
        <w:t xml:space="preserve">se turnen a todas las Áreas competentes </w:t>
      </w:r>
      <w:r w:rsidRPr="007313CD">
        <w:rPr>
          <w:rFonts w:ascii="Palatino Linotype" w:eastAsia="Palatino Linotype" w:hAnsi="Palatino Linotype" w:cs="Palatino Linotype"/>
          <w:i/>
          <w:color w:val="404040"/>
          <w:sz w:val="22"/>
          <w:szCs w:val="22"/>
        </w:rPr>
        <w:t>que cuenten con la información o deban tenerla de acuerdo a sus facultades, competencias y funciones, con el objeto de que realicen una búsqueda exhaustiva y razonable de la información solicitada.</w:t>
      </w:r>
    </w:p>
    <w:p w:rsidR="00DC1167" w:rsidRPr="007313CD" w:rsidRDefault="00DC1167">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spacing w:line="360" w:lineRule="auto"/>
        <w:jc w:val="both"/>
        <w:rPr>
          <w:color w:val="000000"/>
        </w:rPr>
      </w:pPr>
      <w:bookmarkStart w:id="7" w:name="_heading=h.1t3h5sf" w:colFirst="0" w:colLast="0"/>
      <w:bookmarkEnd w:id="7"/>
      <w:r w:rsidRPr="007313CD">
        <w:rPr>
          <w:rFonts w:ascii="Palatino Linotype" w:eastAsia="Palatino Linotype" w:hAnsi="Palatino Linotype" w:cs="Palatino Linotype"/>
          <w:color w:val="000000"/>
        </w:rPr>
        <w:t xml:space="preserve">En este sentido, al existir el referido pronunciamiento para atender el requerimiento de información, es procedente advertir que este Órgano Garante no está facultado para dudar de la veracidad de lo manifestado en respuesta por </w:t>
      </w:r>
      <w:r w:rsidRPr="007313CD">
        <w:rPr>
          <w:rFonts w:ascii="Palatino Linotype" w:eastAsia="Palatino Linotype" w:hAnsi="Palatino Linotype" w:cs="Palatino Linotype"/>
          <w:b/>
          <w:color w:val="000000"/>
        </w:rPr>
        <w:t>EL SUJETO OBLIGADO</w:t>
      </w:r>
      <w:r w:rsidRPr="007313CD">
        <w:rPr>
          <w:rFonts w:ascii="Palatino Linotype" w:eastAsia="Palatino Linotype" w:hAnsi="Palatino Linotype" w:cs="Palatino Linotype"/>
          <w:color w:val="000000"/>
        </w:rPr>
        <w:t xml:space="preserve">, lo cual, se robustece con lo plasmado en el criterio de interpretación para sujetos obligados reiterado histórico con clave de control </w:t>
      </w:r>
      <w:r w:rsidRPr="007313CD">
        <w:rPr>
          <w:rFonts w:ascii="Palatino Linotype" w:eastAsia="Palatino Linotype" w:hAnsi="Palatino Linotype" w:cs="Palatino Linotype"/>
          <w:i/>
          <w:color w:val="000000"/>
        </w:rPr>
        <w:t>SO/031/2010</w:t>
      </w:r>
      <w:r w:rsidRPr="007313CD">
        <w:rPr>
          <w:rFonts w:ascii="Palatino Linotype" w:eastAsia="Palatino Linotype" w:hAnsi="Palatino Linotype" w:cs="Palatino Linotype"/>
          <w:color w:val="000000"/>
        </w:rPr>
        <w:t xml:space="preserve"> emitido </w:t>
      </w:r>
      <w:r w:rsidRPr="007313CD">
        <w:rPr>
          <w:rFonts w:ascii="Palatino Linotype" w:eastAsia="Palatino Linotype" w:hAnsi="Palatino Linotype" w:cs="Palatino Linotype"/>
          <w:color w:val="000000"/>
        </w:rPr>
        <w:lastRenderedPageBreak/>
        <w:t>por el entonces Instituto Federal de Acceso a la Información y Protección de Datos (IFAI) ahora Instituto Nacional de Transparencia, Acceso a la Información, y Protección de Datos Personales (INAI), que lleva por rubro y texto los siguientes:</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A0909"/>
          <w:sz w:val="22"/>
          <w:szCs w:val="22"/>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En consecuencia, ante la información adicional y precisa remitida en el Informe Justificado, conviene hacer alusión de manera específica a lo que señala el artículo 192, fracción III de la Ley de Transparencia y Acceso a la Información Pública del Estado de México y Municipios vigente, a saber:</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Artículo 192. El recurso será sobreseído, en todo o en parte, cuando una vez admitido, se actualicen alguno de los siguientes supuestos: </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sidRPr="007313CD">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 xml:space="preserve"> </w:t>
      </w: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De lo establecido en el precepto legal citado se advierte que el sobreseimiento del recurso de revisión procede en los siguientes casos:</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numPr>
          <w:ilvl w:val="0"/>
          <w:numId w:val="1"/>
        </w:numPr>
        <w:spacing w:line="360" w:lineRule="auto"/>
        <w:ind w:right="49"/>
        <w:jc w:val="both"/>
        <w:rPr>
          <w:rFonts w:ascii="Palatino Linotype" w:eastAsia="Palatino Linotype" w:hAnsi="Palatino Linotype" w:cs="Palatino Linotype"/>
          <w:b/>
        </w:rPr>
      </w:pPr>
      <w:r w:rsidRPr="007313CD">
        <w:rPr>
          <w:rFonts w:ascii="Palatino Linotype" w:eastAsia="Palatino Linotype" w:hAnsi="Palatino Linotype" w:cs="Palatino Linotype"/>
          <w:b/>
        </w:rPr>
        <w:lastRenderedPageBreak/>
        <w:t>Cuando el Sujeto Obligado modifique el acto impugnado. </w:t>
      </w:r>
    </w:p>
    <w:p w:rsidR="00DC1167" w:rsidRPr="007313CD" w:rsidRDefault="000F749C">
      <w:pPr>
        <w:numPr>
          <w:ilvl w:val="0"/>
          <w:numId w:val="1"/>
        </w:num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Cuando el Sujeto Obligado revoque el acto impugnado; </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Quedando en ambos casos el acto combatido sin materia o sin efectos.</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accionado por la parte recurrente.</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En tanto que, un acto impugnado queda sin materia, cuando ha sido satisfecha la pretensión de la parte recurrente de manera que el Sujeto Obligado entrega una respuesta completa aunque sea posterior a los términos previstos en la ley y mediante ésta concede la información solicitada.</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Ahora bien, en el caso que ya estudiamos, es evidente que </w:t>
      </w:r>
      <w:r w:rsidRPr="007313CD">
        <w:rPr>
          <w:rFonts w:ascii="Palatino Linotype" w:eastAsia="Palatino Linotype" w:hAnsi="Palatino Linotype" w:cs="Palatino Linotype"/>
          <w:b/>
        </w:rPr>
        <w:t>EL SUJETO OBLIGADO</w:t>
      </w:r>
      <w:r w:rsidRPr="007313CD">
        <w:rPr>
          <w:rFonts w:ascii="Palatino Linotype" w:eastAsia="Palatino Linotype" w:hAnsi="Palatino Linotype" w:cs="Palatino Linotype"/>
        </w:rPr>
        <w:t xml:space="preserve"> modificó su respuesta, ya que, a través de sus pronunciamientos emitidos en la Etapa de Manifestaciones, atendió el planteamiento formulado en la interposición de la solicitud, pues hizo entrega de la información que en un primer momento omitió como fue el </w:t>
      </w:r>
      <w:r w:rsidRPr="007313CD">
        <w:rPr>
          <w:rFonts w:ascii="Palatino Linotype" w:eastAsia="Palatino Linotype" w:hAnsi="Palatino Linotype" w:cs="Palatino Linotype"/>
          <w:color w:val="000000"/>
        </w:rPr>
        <w:t xml:space="preserve">Estado Analítico de Ingresos Detallado del primero de enero al treinta y uno de diciembre de dos mil veintidós, </w:t>
      </w:r>
      <w:r w:rsidRPr="007313CD">
        <w:rPr>
          <w:rFonts w:ascii="Palatino Linotype" w:eastAsia="Palatino Linotype" w:hAnsi="Palatino Linotype" w:cs="Palatino Linotype"/>
        </w:rPr>
        <w:t xml:space="preserve">y que fue combatido por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De este modo, cuando un Sujeto Obligado</w:t>
      </w:r>
      <w:r w:rsidRPr="007313CD">
        <w:rPr>
          <w:rFonts w:ascii="Palatino Linotype" w:eastAsia="Palatino Linotype" w:hAnsi="Palatino Linotype" w:cs="Palatino Linotype"/>
          <w:b/>
        </w:rPr>
        <w:t xml:space="preserve">, </w:t>
      </w:r>
      <w:r w:rsidRPr="007313CD">
        <w:rPr>
          <w:rFonts w:ascii="Palatino Linotype" w:eastAsia="Palatino Linotype" w:hAnsi="Palatino Linotype" w:cs="Palatino Linotype"/>
        </w:rPr>
        <w:t xml:space="preserve">antes de que se dicte resolución definitiva, remite información a la que en un primer momento omitió enviar; el recurso de revisión que al efecto se haya interpuesto queda sin materia lo que imposibilita el estudio de fondo de la </w:t>
      </w:r>
      <w:proofErr w:type="spellStart"/>
      <w:r w:rsidRPr="007313CD">
        <w:rPr>
          <w:rFonts w:ascii="Palatino Linotype" w:eastAsia="Palatino Linotype" w:hAnsi="Palatino Linotype" w:cs="Palatino Linotype"/>
          <w:i/>
        </w:rPr>
        <w:t>litis</w:t>
      </w:r>
      <w:proofErr w:type="spellEnd"/>
      <w:r w:rsidRPr="007313CD">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b/>
          <w:u w:val="single"/>
        </w:rPr>
      </w:pPr>
      <w:r w:rsidRPr="007313CD">
        <w:rPr>
          <w:rFonts w:ascii="Palatino Linotype" w:eastAsia="Palatino Linotype" w:hAnsi="Palatino Linotype" w:cs="Palatino Linotype"/>
        </w:rPr>
        <w:t xml:space="preserve">Por lo tanto, para que se actualice el sobreseimiento de un recurso de revisión, el Sujeto Obligado puede entregar o completar la información al momento de rendir su Informe Justificado dentro de los siete días previstos para manifestar lo que a su derecho convenga, lo anterior también puede ocurrir si entrega la información después de ese lapso, </w:t>
      </w:r>
      <w:r w:rsidRPr="007313CD">
        <w:rPr>
          <w:rFonts w:ascii="Palatino Linotype" w:eastAsia="Palatino Linotype" w:hAnsi="Palatino Linotype" w:cs="Palatino Linotype"/>
          <w:b/>
        </w:rPr>
        <w:t>pero antes del cierre de instrucción.</w:t>
      </w:r>
      <w:r w:rsidRPr="007313CD">
        <w:rPr>
          <w:rFonts w:ascii="Palatino Linotype" w:eastAsia="Palatino Linotype" w:hAnsi="Palatino Linotype" w:cs="Palatino Linotype"/>
          <w:b/>
          <w:u w:val="single"/>
        </w:rPr>
        <w:t xml:space="preserve"> </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Este Pleno advierte que </w:t>
      </w:r>
      <w:r w:rsidRPr="007313CD">
        <w:rPr>
          <w:rFonts w:ascii="Palatino Linotype" w:eastAsia="Palatino Linotype" w:hAnsi="Palatino Linotype" w:cs="Palatino Linotype"/>
          <w:b/>
        </w:rPr>
        <w:t>EL SUJETO OBLIGADO</w:t>
      </w:r>
      <w:r w:rsidRPr="007313CD">
        <w:rPr>
          <w:rFonts w:ascii="Palatino Linotype" w:eastAsia="Palatino Linotype" w:hAnsi="Palatino Linotype" w:cs="Palatino Linotype"/>
        </w:rPr>
        <w:t xml:space="preserve"> con la información enviada, </w:t>
      </w:r>
      <w:r w:rsidRPr="007313CD">
        <w:rPr>
          <w:rFonts w:ascii="Palatino Linotype" w:eastAsia="Palatino Linotype" w:hAnsi="Palatino Linotype" w:cs="Palatino Linotype"/>
          <w:b/>
        </w:rPr>
        <w:t>modifica</w:t>
      </w:r>
      <w:r w:rsidRPr="007313CD">
        <w:rPr>
          <w:rFonts w:ascii="Palatino Linotype" w:eastAsia="Palatino Linotype" w:hAnsi="Palatino Linotype" w:cs="Palatino Linotype"/>
        </w:rPr>
        <w:t xml:space="preserve"> el acto que le dio origen al recurso de revisión, por lo que trae como </w:t>
      </w:r>
      <w:r w:rsidRPr="007313CD">
        <w:rPr>
          <w:rFonts w:ascii="Palatino Linotype" w:eastAsia="Palatino Linotype" w:hAnsi="Palatino Linotype" w:cs="Palatino Linotype"/>
        </w:rPr>
        <w:lastRenderedPageBreak/>
        <w:t xml:space="preserve">consecuencia que el mismo quede sin materia, actualizándose de este modo, la hipótesis jurídica contenida en la </w:t>
      </w:r>
      <w:r w:rsidRPr="007313CD">
        <w:rPr>
          <w:rFonts w:ascii="Palatino Linotype" w:eastAsia="Palatino Linotype" w:hAnsi="Palatino Linotype" w:cs="Palatino Linotype"/>
          <w:b/>
        </w:rPr>
        <w:t>fracción III</w:t>
      </w:r>
      <w:r w:rsidRPr="007313CD">
        <w:rPr>
          <w:rFonts w:ascii="Palatino Linotype" w:eastAsia="Palatino Linotype" w:hAnsi="Palatino Linotype" w:cs="Palatino Linotype"/>
        </w:rPr>
        <w:t xml:space="preserve"> del citado artículo </w:t>
      </w:r>
      <w:r w:rsidRPr="007313CD">
        <w:rPr>
          <w:rFonts w:ascii="Palatino Linotype" w:eastAsia="Palatino Linotype" w:hAnsi="Palatino Linotype" w:cs="Palatino Linotype"/>
          <w:b/>
        </w:rPr>
        <w:t>192</w:t>
      </w:r>
      <w:r w:rsidRPr="007313CD">
        <w:rPr>
          <w:rFonts w:ascii="Palatino Linotype" w:eastAsia="Palatino Linotype" w:hAnsi="Palatino Linotype" w:cs="Palatino Linotype"/>
        </w:rPr>
        <w:t>.</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b/>
        </w:rPr>
      </w:pPr>
      <w:r w:rsidRPr="007313CD">
        <w:rPr>
          <w:rFonts w:ascii="Palatino Linotype" w:eastAsia="Palatino Linotype" w:hAnsi="Palatino Linotype" w:cs="Palatino Linotype"/>
        </w:rPr>
        <w:t xml:space="preserve">Así, siendo el sobreseimiento un acto que da por terminado el procedimiento administrativo de impugnación por alguna causa sobreviniente en el juicio de que se trate, que impide a la autoridad referirse a lo sustancial de lo planteado por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7313CD">
        <w:rPr>
          <w:rFonts w:ascii="Palatino Linotype" w:eastAsia="Palatino Linotype" w:hAnsi="Palatino Linotype" w:cs="Palatino Linotype"/>
          <w:b/>
        </w:rPr>
        <w:t xml:space="preserve">SOBRESEIMIENTO, NO PERMITE ENTRAR AL ESTUDIO DE LAS CUESTIONES DE FONDO. </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rsidR="00DC1167" w:rsidRPr="007313CD" w:rsidRDefault="000F7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313CD">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rsidR="00DC1167" w:rsidRPr="007313CD" w:rsidRDefault="00DC1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Por lo tanto, en términos del artículo 186 fracción I este Pleno determina el </w:t>
      </w:r>
      <w:r w:rsidRPr="007313CD">
        <w:rPr>
          <w:rFonts w:ascii="Palatino Linotype" w:eastAsia="Palatino Linotype" w:hAnsi="Palatino Linotype" w:cs="Palatino Linotype"/>
          <w:b/>
        </w:rPr>
        <w:t xml:space="preserve">SOBRESEIMIENTO </w:t>
      </w:r>
      <w:r w:rsidRPr="007313CD">
        <w:rPr>
          <w:rFonts w:ascii="Palatino Linotype" w:eastAsia="Palatino Linotype" w:hAnsi="Palatino Linotype" w:cs="Palatino Linotype"/>
        </w:rPr>
        <w:t xml:space="preserve">del recurso de revisión </w:t>
      </w:r>
      <w:r w:rsidRPr="007313CD">
        <w:rPr>
          <w:rFonts w:ascii="Palatino Linotype" w:eastAsia="Palatino Linotype" w:hAnsi="Palatino Linotype" w:cs="Palatino Linotype"/>
          <w:b/>
        </w:rPr>
        <w:t>02159/INFOEM/IP/RR2023</w:t>
      </w:r>
      <w:r w:rsidRPr="007313CD">
        <w:rPr>
          <w:rFonts w:ascii="Palatino Linotype" w:eastAsia="Palatino Linotype" w:hAnsi="Palatino Linotype" w:cs="Palatino Linotype"/>
        </w:rPr>
        <w:t xml:space="preserve"> toda vez que la afectación al Derecho de Acceso a la Información Pública establecido Constitucionalmente a favor de </w:t>
      </w:r>
      <w:r w:rsidRPr="007313CD">
        <w:rPr>
          <w:rFonts w:ascii="Palatino Linotype" w:eastAsia="Palatino Linotype" w:hAnsi="Palatino Linotype" w:cs="Palatino Linotype"/>
          <w:b/>
        </w:rPr>
        <w:t>LA PARTE RECURRENTE</w:t>
      </w:r>
      <w:r w:rsidRPr="007313CD">
        <w:rPr>
          <w:rFonts w:ascii="Palatino Linotype" w:eastAsia="Palatino Linotype" w:hAnsi="Palatino Linotype" w:cs="Palatino Linotype"/>
        </w:rPr>
        <w:t xml:space="preserve"> ha sido resarcida al proporcionar la información que ha sido observada por este Órgano Garante.</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w:t>
      </w:r>
      <w:r w:rsidRPr="007313CD">
        <w:rPr>
          <w:rFonts w:ascii="Palatino Linotype" w:eastAsia="Palatino Linotype" w:hAnsi="Palatino Linotype" w:cs="Palatino Linotype"/>
        </w:rPr>
        <w:lastRenderedPageBreak/>
        <w:t>Soberano de México; 2, fracción II; 29, 36 fracciones I y II; 176, 178, 181, 185 y 186 fracción I de la Ley de Transparencia y Acceso a la Información Pública del Estado de México y Municipios, este Pleno</w:t>
      </w:r>
    </w:p>
    <w:p w:rsidR="00DC1167" w:rsidRPr="007313CD" w:rsidRDefault="00DC1167">
      <w:pPr>
        <w:spacing w:line="360" w:lineRule="auto"/>
        <w:ind w:right="49"/>
        <w:jc w:val="center"/>
        <w:rPr>
          <w:rFonts w:ascii="Palatino Linotype" w:eastAsia="Palatino Linotype" w:hAnsi="Palatino Linotype" w:cs="Palatino Linotype"/>
        </w:rPr>
      </w:pPr>
    </w:p>
    <w:p w:rsidR="00DC1167" w:rsidRPr="007313CD" w:rsidRDefault="000F749C">
      <w:pPr>
        <w:numPr>
          <w:ilvl w:val="0"/>
          <w:numId w:val="4"/>
        </w:numPr>
        <w:spacing w:line="360" w:lineRule="auto"/>
        <w:ind w:right="49"/>
        <w:jc w:val="center"/>
        <w:rPr>
          <w:rFonts w:ascii="Palatino Linotype" w:eastAsia="Palatino Linotype" w:hAnsi="Palatino Linotype" w:cs="Palatino Linotype"/>
          <w:b/>
        </w:rPr>
      </w:pPr>
      <w:r w:rsidRPr="007313CD">
        <w:rPr>
          <w:rFonts w:ascii="Palatino Linotype" w:eastAsia="Palatino Linotype" w:hAnsi="Palatino Linotype" w:cs="Palatino Linotype"/>
          <w:b/>
        </w:rPr>
        <w:t>R E S U E L V E:</w:t>
      </w:r>
    </w:p>
    <w:p w:rsidR="00DC1167" w:rsidRPr="007313CD" w:rsidRDefault="00DC1167">
      <w:pPr>
        <w:spacing w:line="360" w:lineRule="auto"/>
        <w:ind w:right="49"/>
        <w:jc w:val="center"/>
        <w:rPr>
          <w:rFonts w:ascii="Palatino Linotype" w:eastAsia="Palatino Linotype" w:hAnsi="Palatino Linotype" w:cs="Palatino Linotype"/>
          <w:b/>
        </w:rPr>
      </w:pPr>
    </w:p>
    <w:p w:rsidR="00DC1167" w:rsidRPr="007313CD" w:rsidRDefault="000F749C">
      <w:pPr>
        <w:spacing w:line="360" w:lineRule="auto"/>
        <w:ind w:right="49"/>
        <w:jc w:val="both"/>
        <w:rPr>
          <w:rFonts w:ascii="Palatino Linotype" w:eastAsia="Palatino Linotype" w:hAnsi="Palatino Linotype" w:cs="Palatino Linotype"/>
          <w:b/>
        </w:rPr>
      </w:pPr>
      <w:bookmarkStart w:id="8" w:name="_heading=h.3dy6vkm" w:colFirst="0" w:colLast="0"/>
      <w:bookmarkEnd w:id="8"/>
      <w:r w:rsidRPr="007313CD">
        <w:rPr>
          <w:rFonts w:ascii="Palatino Linotype" w:eastAsia="Palatino Linotype" w:hAnsi="Palatino Linotype" w:cs="Palatino Linotype"/>
          <w:b/>
        </w:rPr>
        <w:t xml:space="preserve">PRIMERO. </w:t>
      </w:r>
      <w:r w:rsidRPr="007313CD">
        <w:rPr>
          <w:rFonts w:ascii="Palatino Linotype" w:eastAsia="Palatino Linotype" w:hAnsi="Palatino Linotype" w:cs="Palatino Linotype"/>
        </w:rPr>
        <w:t>Se</w:t>
      </w:r>
      <w:r w:rsidRPr="007313CD">
        <w:rPr>
          <w:rFonts w:ascii="Palatino Linotype" w:eastAsia="Palatino Linotype" w:hAnsi="Palatino Linotype" w:cs="Palatino Linotype"/>
          <w:b/>
        </w:rPr>
        <w:t xml:space="preserve"> SOBRESEE </w:t>
      </w:r>
      <w:r w:rsidRPr="007313CD">
        <w:rPr>
          <w:rFonts w:ascii="Palatino Linotype" w:eastAsia="Palatino Linotype" w:hAnsi="Palatino Linotype" w:cs="Palatino Linotype"/>
        </w:rPr>
        <w:t xml:space="preserve">el recurso de revisión </w:t>
      </w:r>
      <w:r w:rsidRPr="007313CD">
        <w:rPr>
          <w:rFonts w:ascii="Palatino Linotype" w:eastAsia="Palatino Linotype" w:hAnsi="Palatino Linotype" w:cs="Palatino Linotype"/>
          <w:b/>
        </w:rPr>
        <w:t xml:space="preserve">02159/INFOEM/IP/RR/2023 </w:t>
      </w:r>
      <w:r w:rsidRPr="007313CD">
        <w:rPr>
          <w:rFonts w:ascii="Palatino Linotype" w:eastAsia="Palatino Linotype" w:hAnsi="Palatino Linotype" w:cs="Palatino Linotype"/>
        </w:rPr>
        <w:t xml:space="preserve">conforme a la fracción III del artículo 192 de la Ley de Transparencia y Acceso a la Información Pública del Estado de México y Municipios, porque al modificarse la respuesta a la solicitud </w:t>
      </w:r>
      <w:r w:rsidRPr="007313CD">
        <w:rPr>
          <w:rFonts w:ascii="Palatino Linotype" w:eastAsia="Palatino Linotype" w:hAnsi="Palatino Linotype" w:cs="Palatino Linotype"/>
          <w:b/>
        </w:rPr>
        <w:t>00753/TOLUCA/IP/2023</w:t>
      </w:r>
      <w:r w:rsidRPr="007313CD">
        <w:rPr>
          <w:rFonts w:ascii="Palatino Linotype" w:eastAsia="Palatino Linotype" w:hAnsi="Palatino Linotype" w:cs="Palatino Linotype"/>
        </w:rPr>
        <w:t xml:space="preserve">, quedó sin materia en términos del </w:t>
      </w:r>
      <w:r w:rsidRPr="007313CD">
        <w:rPr>
          <w:rFonts w:ascii="Palatino Linotype" w:eastAsia="Palatino Linotype" w:hAnsi="Palatino Linotype" w:cs="Palatino Linotype"/>
          <w:b/>
        </w:rPr>
        <w:t>CONSIDERANDO TERCERO</w:t>
      </w:r>
      <w:r w:rsidRPr="007313CD">
        <w:rPr>
          <w:rFonts w:ascii="Palatino Linotype" w:eastAsia="Palatino Linotype" w:hAnsi="Palatino Linotype" w:cs="Palatino Linotype"/>
        </w:rPr>
        <w:t xml:space="preserve"> de la presente resolución.</w:t>
      </w:r>
    </w:p>
    <w:p w:rsidR="00DC1167" w:rsidRPr="007313CD" w:rsidRDefault="00DC1167">
      <w:pPr>
        <w:spacing w:line="360" w:lineRule="auto"/>
        <w:ind w:right="49"/>
        <w:jc w:val="both"/>
        <w:rPr>
          <w:rFonts w:ascii="Palatino Linotype" w:eastAsia="Palatino Linotype" w:hAnsi="Palatino Linotype" w:cs="Palatino Linotype"/>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b/>
        </w:rPr>
        <w:t xml:space="preserve">SEGUNDO. NOTIFÍQUESE,  </w:t>
      </w:r>
      <w:r w:rsidRPr="007313CD">
        <w:rPr>
          <w:rFonts w:ascii="Palatino Linotype" w:eastAsia="Palatino Linotype" w:hAnsi="Palatino Linotype" w:cs="Palatino Linotype"/>
        </w:rPr>
        <w:t>vía Sistema de Acceso a la Información Mexiquense</w:t>
      </w:r>
      <w:r w:rsidRPr="007313CD">
        <w:rPr>
          <w:rFonts w:ascii="Palatino Linotype" w:eastAsia="Palatino Linotype" w:hAnsi="Palatino Linotype" w:cs="Palatino Linotype"/>
          <w:b/>
        </w:rPr>
        <w:t xml:space="preserve">, </w:t>
      </w:r>
      <w:r w:rsidRPr="007313CD">
        <w:rPr>
          <w:rFonts w:ascii="Palatino Linotype" w:eastAsia="Palatino Linotype" w:hAnsi="Palatino Linotype" w:cs="Palatino Linotype"/>
        </w:rPr>
        <w:t>la presente resolución a la Persona Titular de la Unidad de Transparencia del</w:t>
      </w:r>
      <w:r w:rsidRPr="007313CD">
        <w:rPr>
          <w:rFonts w:ascii="Palatino Linotype" w:eastAsia="Palatino Linotype" w:hAnsi="Palatino Linotype" w:cs="Palatino Linotype"/>
          <w:b/>
        </w:rPr>
        <w:t xml:space="preserve"> SUJETO OBLIGADO </w:t>
      </w:r>
      <w:r w:rsidRPr="007313CD">
        <w:rPr>
          <w:rFonts w:ascii="Palatino Linotype" w:eastAsia="Palatino Linotype" w:hAnsi="Palatino Linotype" w:cs="Palatino Linotype"/>
        </w:rPr>
        <w:t>para su conocimiento.</w:t>
      </w:r>
    </w:p>
    <w:p w:rsidR="00DC1167" w:rsidRPr="007313CD" w:rsidRDefault="00DC1167">
      <w:pPr>
        <w:spacing w:line="360" w:lineRule="auto"/>
        <w:ind w:right="49"/>
        <w:jc w:val="both"/>
        <w:rPr>
          <w:rFonts w:ascii="Palatino Linotype" w:eastAsia="Palatino Linotype" w:hAnsi="Palatino Linotype" w:cs="Palatino Linotype"/>
          <w:b/>
        </w:rPr>
      </w:pPr>
    </w:p>
    <w:p w:rsidR="00DC1167" w:rsidRPr="007313CD" w:rsidRDefault="000F749C">
      <w:pPr>
        <w:spacing w:line="360" w:lineRule="auto"/>
        <w:ind w:right="49"/>
        <w:jc w:val="both"/>
        <w:rPr>
          <w:rFonts w:ascii="Palatino Linotype" w:eastAsia="Palatino Linotype" w:hAnsi="Palatino Linotype" w:cs="Palatino Linotype"/>
        </w:rPr>
      </w:pPr>
      <w:r w:rsidRPr="007313CD">
        <w:rPr>
          <w:rFonts w:ascii="Palatino Linotype" w:eastAsia="Palatino Linotype" w:hAnsi="Palatino Linotype" w:cs="Palatino Linotype"/>
          <w:b/>
        </w:rPr>
        <w:t xml:space="preserve">TERCERO. NOTIFÍQUESE, </w:t>
      </w:r>
      <w:r w:rsidRPr="007313CD">
        <w:rPr>
          <w:rFonts w:ascii="Palatino Linotype" w:eastAsia="Palatino Linotype" w:hAnsi="Palatino Linotype" w:cs="Palatino Linotype"/>
        </w:rPr>
        <w:t>vía</w:t>
      </w:r>
      <w:r w:rsidRPr="007313CD">
        <w:rPr>
          <w:rFonts w:ascii="Palatino Linotype" w:eastAsia="Palatino Linotype" w:hAnsi="Palatino Linotype" w:cs="Palatino Linotype"/>
          <w:b/>
        </w:rPr>
        <w:t xml:space="preserve"> </w:t>
      </w:r>
      <w:r w:rsidRPr="007313CD">
        <w:rPr>
          <w:rFonts w:ascii="Palatino Linotype" w:eastAsia="Palatino Linotype" w:hAnsi="Palatino Linotype" w:cs="Palatino Linotype"/>
        </w:rPr>
        <w:t>Sistema de Acceso a la Información Mexiquense, a</w:t>
      </w:r>
      <w:r w:rsidRPr="007313CD">
        <w:rPr>
          <w:rFonts w:ascii="Palatino Linotype" w:eastAsia="Palatino Linotype" w:hAnsi="Palatino Linotype" w:cs="Palatino Linotype"/>
          <w:b/>
        </w:rPr>
        <w:t xml:space="preserve"> LA PARTE RECURRENTE</w:t>
      </w:r>
      <w:r w:rsidRPr="007313C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DC1167" w:rsidRPr="007313CD" w:rsidRDefault="00DC1167">
      <w:pPr>
        <w:spacing w:line="360" w:lineRule="auto"/>
        <w:ind w:right="49"/>
        <w:jc w:val="both"/>
        <w:rPr>
          <w:rFonts w:ascii="Palatino Linotype" w:eastAsia="Palatino Linotype" w:hAnsi="Palatino Linotype" w:cs="Palatino Linotype"/>
        </w:rPr>
      </w:pPr>
    </w:p>
    <w:p w:rsidR="00DC1167" w:rsidRDefault="000F749C">
      <w:pPr>
        <w:spacing w:line="360" w:lineRule="auto"/>
        <w:jc w:val="both"/>
        <w:rPr>
          <w:rFonts w:ascii="Palatino Linotype" w:eastAsia="Palatino Linotype" w:hAnsi="Palatino Linotype" w:cs="Palatino Linotype"/>
        </w:rPr>
      </w:pPr>
      <w:r w:rsidRPr="007313CD">
        <w:rPr>
          <w:rFonts w:ascii="Palatino Linotype" w:eastAsia="Palatino Linotype" w:hAnsi="Palatino Linotype" w:cs="Palatino Linotype"/>
        </w:rPr>
        <w:t xml:space="preserve">ASÍ LO RESUELVE, POR UNANIMIDAD DE VOTOS, EL PLENO DEL INSTITUTO DE TRANSPARENCIA, ACCESO A LA INFORMACIÓN PÚBLICA Y </w:t>
      </w:r>
      <w:r w:rsidRPr="007313CD">
        <w:rPr>
          <w:rFonts w:ascii="Palatino Linotype" w:eastAsia="Palatino Linotype" w:hAnsi="Palatino Linotype" w:cs="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w:t>
      </w:r>
      <w:r w:rsidR="00A525D0" w:rsidRPr="007313CD">
        <w:rPr>
          <w:rFonts w:ascii="Palatino Linotype" w:eastAsia="Palatino Linotype" w:hAnsi="Palatino Linotype" w:cs="Palatino Linotype"/>
        </w:rPr>
        <w:t xml:space="preserve">AUSENCIA JUSTIFICADA </w:t>
      </w:r>
      <w:r w:rsidRPr="007313CD">
        <w:rPr>
          <w:rFonts w:ascii="Palatino Linotype" w:eastAsia="Palatino Linotype" w:hAnsi="Palatino Linotype" w:cs="Palatino Linotype"/>
        </w:rPr>
        <w:t>Y GUADALUPE RAMÍREZ PEÑA; EN LA TRIGÉSIMA NOVENA SESIÓN ORDINARIA, CELEBRADA EL PRIMERO DE NOVIEMBRE DE DOS MIL VEINTITRÉS, ANTE EL SECRETARIO TÉCNICO DEL PLENO ALEXIS TAPIA RAMÍREZ.</w:t>
      </w:r>
    </w:p>
    <w:p w:rsidR="00DC1167" w:rsidRDefault="00DC1167">
      <w:pPr>
        <w:spacing w:line="360" w:lineRule="auto"/>
        <w:ind w:right="49"/>
        <w:jc w:val="both"/>
        <w:rPr>
          <w:rFonts w:ascii="Palatino Linotype" w:eastAsia="Palatino Linotype" w:hAnsi="Palatino Linotype" w:cs="Palatino Linotype"/>
        </w:rPr>
      </w:pPr>
    </w:p>
    <w:p w:rsidR="00DC1167" w:rsidRDefault="00DC1167">
      <w:pPr>
        <w:spacing w:line="360" w:lineRule="auto"/>
        <w:ind w:right="49"/>
        <w:jc w:val="both"/>
        <w:rPr>
          <w:rFonts w:ascii="Palatino Linotype" w:eastAsia="Palatino Linotype" w:hAnsi="Palatino Linotype" w:cs="Palatino Linotype"/>
        </w:rPr>
      </w:pPr>
    </w:p>
    <w:p w:rsidR="00DC1167" w:rsidRDefault="00DC1167">
      <w:pPr>
        <w:spacing w:line="360" w:lineRule="auto"/>
        <w:ind w:right="49"/>
        <w:jc w:val="both"/>
        <w:rPr>
          <w:rFonts w:ascii="Palatino Linotype" w:eastAsia="Palatino Linotype" w:hAnsi="Palatino Linotype" w:cs="Palatino Linotype"/>
        </w:rPr>
      </w:pPr>
    </w:p>
    <w:p w:rsidR="00DC1167" w:rsidRDefault="00DC1167">
      <w:pPr>
        <w:spacing w:line="360" w:lineRule="auto"/>
        <w:jc w:val="both"/>
        <w:rPr>
          <w:rFonts w:ascii="Palatino Linotype" w:eastAsia="Palatino Linotype" w:hAnsi="Palatino Linotype" w:cs="Palatino Linotype"/>
          <w:color w:val="000000"/>
        </w:rPr>
      </w:pPr>
      <w:bookmarkStart w:id="9" w:name="_heading=h.2et92p0" w:colFirst="0" w:colLast="0"/>
      <w:bookmarkEnd w:id="9"/>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DC1167" w:rsidRDefault="00DC1167">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p w:rsidR="00A525D0" w:rsidRDefault="00A525D0">
      <w:pPr>
        <w:spacing w:line="360" w:lineRule="auto"/>
        <w:jc w:val="both"/>
        <w:rPr>
          <w:rFonts w:ascii="Palatino Linotype" w:eastAsia="Palatino Linotype" w:hAnsi="Palatino Linotype" w:cs="Palatino Linotype"/>
          <w:color w:val="000000"/>
        </w:rPr>
      </w:pPr>
    </w:p>
    <w:sectPr w:rsidR="00A525D0">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A3F" w:rsidRDefault="00137A3F">
      <w:r>
        <w:separator/>
      </w:r>
    </w:p>
  </w:endnote>
  <w:endnote w:type="continuationSeparator" w:id="0">
    <w:p w:rsidR="00137A3F" w:rsidRDefault="0013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167" w:rsidRDefault="000F74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BA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BA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DC1167" w:rsidRDefault="00DC11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167" w:rsidRDefault="000F74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BA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BA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A3F" w:rsidRDefault="00137A3F">
      <w:r>
        <w:separator/>
      </w:r>
    </w:p>
  </w:footnote>
  <w:footnote w:type="continuationSeparator" w:id="0">
    <w:p w:rsidR="00137A3F" w:rsidRDefault="00137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167" w:rsidRDefault="000F749C">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-1079495</wp:posOffset>
          </wp:positionH>
          <wp:positionV relativeFrom="paragraph">
            <wp:posOffset>-430525</wp:posOffset>
          </wp:positionV>
          <wp:extent cx="7809865" cy="1016571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4" w:type="dxa"/>
      <w:tblInd w:w="2830" w:type="dxa"/>
      <w:tblLayout w:type="fixed"/>
      <w:tblLook w:val="0400" w:firstRow="0" w:lastRow="0" w:firstColumn="0" w:lastColumn="0" w:noHBand="0" w:noVBand="1"/>
    </w:tblPr>
    <w:tblGrid>
      <w:gridCol w:w="2410"/>
      <w:gridCol w:w="3544"/>
    </w:tblGrid>
    <w:tr w:rsidR="00DC1167">
      <w:tc>
        <w:tcPr>
          <w:tcW w:w="2410" w:type="dxa"/>
          <w:shd w:val="clear" w:color="auto" w:fill="auto"/>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rsidR="00DC1167" w:rsidRDefault="000F74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02159/INFOEM/IP/RR/2023</w:t>
          </w:r>
        </w:p>
      </w:tc>
    </w:tr>
    <w:tr w:rsidR="00DC1167">
      <w:trPr>
        <w:trHeight w:val="228"/>
      </w:trPr>
      <w:tc>
        <w:tcPr>
          <w:tcW w:w="2410" w:type="dxa"/>
          <w:shd w:val="clear" w:color="auto" w:fill="auto"/>
          <w:vAlign w:val="center"/>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rsidR="00DC1167" w:rsidRDefault="000F749C">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DC1167">
      <w:tc>
        <w:tcPr>
          <w:tcW w:w="2410" w:type="dxa"/>
          <w:shd w:val="clear" w:color="auto" w:fill="auto"/>
          <w:vAlign w:val="center"/>
        </w:tcPr>
        <w:p w:rsidR="00DC1167" w:rsidRDefault="000F749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rsidR="00DC1167" w:rsidRDefault="000F74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1167" w:rsidRDefault="000F749C">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167" w:rsidRDefault="000F749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-1088387</wp:posOffset>
          </wp:positionH>
          <wp:positionV relativeFrom="paragraph">
            <wp:posOffset>-459102</wp:posOffset>
          </wp:positionV>
          <wp:extent cx="7809865" cy="101657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6095" w:type="dxa"/>
      <w:tblInd w:w="2830" w:type="dxa"/>
      <w:tblLayout w:type="fixed"/>
      <w:tblLook w:val="0400" w:firstRow="0" w:lastRow="0" w:firstColumn="0" w:lastColumn="0" w:noHBand="0" w:noVBand="1"/>
    </w:tblPr>
    <w:tblGrid>
      <w:gridCol w:w="2552"/>
      <w:gridCol w:w="3543"/>
    </w:tblGrid>
    <w:tr w:rsidR="00DC1167">
      <w:trPr>
        <w:trHeight w:val="213"/>
      </w:trPr>
      <w:tc>
        <w:tcPr>
          <w:tcW w:w="2552" w:type="dxa"/>
          <w:shd w:val="clear" w:color="auto" w:fill="auto"/>
          <w:vAlign w:val="center"/>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shd w:val="clear" w:color="auto" w:fill="auto"/>
          <w:vAlign w:val="center"/>
        </w:tcPr>
        <w:p w:rsidR="00DC1167" w:rsidRDefault="000F749C">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02159/INFOEM/IP/RR/2023</w:t>
          </w:r>
        </w:p>
      </w:tc>
    </w:tr>
    <w:tr w:rsidR="00DC1167">
      <w:trPr>
        <w:trHeight w:val="91"/>
      </w:trPr>
      <w:tc>
        <w:tcPr>
          <w:tcW w:w="2552" w:type="dxa"/>
          <w:shd w:val="clear" w:color="auto" w:fill="auto"/>
          <w:vAlign w:val="center"/>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shd w:val="clear" w:color="auto" w:fill="FFFFFF"/>
          <w:vAlign w:val="center"/>
        </w:tcPr>
        <w:p w:rsidR="00DC1167" w:rsidRDefault="00A22BAB" w:rsidP="00A22B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w:t>
          </w:r>
          <w:r w:rsidR="000F749C">
            <w:rPr>
              <w:rFonts w:ascii="Palatino Linotype" w:eastAsia="Palatino Linotype" w:hAnsi="Palatino Linotype" w:cs="Palatino Linotype"/>
              <w:b/>
              <w:sz w:val="22"/>
              <w:szCs w:val="22"/>
            </w:rPr>
            <w:t xml:space="preserve"> </w:t>
          </w:r>
        </w:p>
      </w:tc>
    </w:tr>
    <w:tr w:rsidR="00DC1167">
      <w:trPr>
        <w:trHeight w:val="161"/>
      </w:trPr>
      <w:tc>
        <w:tcPr>
          <w:tcW w:w="2552" w:type="dxa"/>
          <w:shd w:val="clear" w:color="auto" w:fill="auto"/>
          <w:vAlign w:val="center"/>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rsidR="00DC1167" w:rsidRDefault="000F749C">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Toluca </w:t>
          </w:r>
        </w:p>
      </w:tc>
    </w:tr>
    <w:tr w:rsidR="00DC1167">
      <w:trPr>
        <w:trHeight w:val="102"/>
      </w:trPr>
      <w:tc>
        <w:tcPr>
          <w:tcW w:w="2552" w:type="dxa"/>
          <w:shd w:val="clear" w:color="auto" w:fill="auto"/>
          <w:vAlign w:val="center"/>
        </w:tcPr>
        <w:p w:rsidR="00DC1167" w:rsidRDefault="000F74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shd w:val="clear" w:color="auto" w:fill="auto"/>
          <w:vAlign w:val="center"/>
        </w:tcPr>
        <w:p w:rsidR="00DC1167" w:rsidRDefault="000F749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1167" w:rsidRDefault="00DC11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D104E"/>
    <w:multiLevelType w:val="multilevel"/>
    <w:tmpl w:val="89309B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BE5972"/>
    <w:multiLevelType w:val="multilevel"/>
    <w:tmpl w:val="62B652E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8181CA8"/>
    <w:multiLevelType w:val="multilevel"/>
    <w:tmpl w:val="FF9A852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48D9638D"/>
    <w:multiLevelType w:val="multilevel"/>
    <w:tmpl w:val="ECD67F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DF203D6"/>
    <w:multiLevelType w:val="multilevel"/>
    <w:tmpl w:val="C1F8D1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167"/>
    <w:rsid w:val="00030A58"/>
    <w:rsid w:val="000E14ED"/>
    <w:rsid w:val="000F749C"/>
    <w:rsid w:val="001045B5"/>
    <w:rsid w:val="00137A3F"/>
    <w:rsid w:val="0017572E"/>
    <w:rsid w:val="002570CF"/>
    <w:rsid w:val="002F5669"/>
    <w:rsid w:val="00325750"/>
    <w:rsid w:val="00330D90"/>
    <w:rsid w:val="003D7DA9"/>
    <w:rsid w:val="00432FF9"/>
    <w:rsid w:val="00483E28"/>
    <w:rsid w:val="0053042B"/>
    <w:rsid w:val="005650A4"/>
    <w:rsid w:val="005E5522"/>
    <w:rsid w:val="00650CF8"/>
    <w:rsid w:val="00691B63"/>
    <w:rsid w:val="007313CD"/>
    <w:rsid w:val="007520D2"/>
    <w:rsid w:val="007549F4"/>
    <w:rsid w:val="0077128C"/>
    <w:rsid w:val="007D16FF"/>
    <w:rsid w:val="007E3AB4"/>
    <w:rsid w:val="0085198D"/>
    <w:rsid w:val="00855B28"/>
    <w:rsid w:val="0096001E"/>
    <w:rsid w:val="009D559A"/>
    <w:rsid w:val="00A22BAB"/>
    <w:rsid w:val="00A525D0"/>
    <w:rsid w:val="00A8411A"/>
    <w:rsid w:val="00B61ECB"/>
    <w:rsid w:val="00C42075"/>
    <w:rsid w:val="00CE5F2E"/>
    <w:rsid w:val="00D20BB9"/>
    <w:rsid w:val="00DC1167"/>
    <w:rsid w:val="00DC2915"/>
    <w:rsid w:val="00E23F27"/>
    <w:rsid w:val="00E2731A"/>
    <w:rsid w:val="00F11B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4FB042-9835-4AA5-8996-20AF0F73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23">
    <w:name w:val="23"/>
    <w:basedOn w:val="TableNormal50"/>
    <w:tblPr>
      <w:tblStyleRowBandSize w:val="1"/>
      <w:tblStyleColBandSize w:val="1"/>
      <w:tblCellMar>
        <w:top w:w="0" w:type="dxa"/>
        <w:left w:w="115" w:type="dxa"/>
        <w:bottom w:w="0" w:type="dxa"/>
        <w:right w:w="115" w:type="dxa"/>
      </w:tblCellMar>
    </w:tblPr>
  </w:style>
  <w:style w:type="table" w:customStyle="1" w:styleId="22">
    <w:name w:val="22"/>
    <w:basedOn w:val="TableNormal50"/>
    <w:tblPr>
      <w:tblStyleRowBandSize w:val="1"/>
      <w:tblStyleColBandSize w:val="1"/>
      <w:tblCellMar>
        <w:top w:w="0" w:type="dxa"/>
        <w:left w:w="115" w:type="dxa"/>
        <w:bottom w:w="0" w:type="dxa"/>
        <w:right w:w="115" w:type="dxa"/>
      </w:tblCellMar>
    </w:tblPr>
  </w:style>
  <w:style w:type="table" w:customStyle="1" w:styleId="21">
    <w:name w:val="21"/>
    <w:basedOn w:val="TableNormal60"/>
    <w:tblPr>
      <w:tblStyleRowBandSize w:val="1"/>
      <w:tblStyleColBandSize w:val="1"/>
      <w:tblCellMar>
        <w:top w:w="0" w:type="dxa"/>
        <w:left w:w="115" w:type="dxa"/>
        <w:bottom w:w="0" w:type="dxa"/>
        <w:right w:w="115" w:type="dxa"/>
      </w:tblCellMar>
    </w:tblPr>
  </w:style>
  <w:style w:type="table" w:customStyle="1" w:styleId="20">
    <w:name w:val="20"/>
    <w:basedOn w:val="TableNormal60"/>
    <w:tblPr>
      <w:tblStyleRowBandSize w:val="1"/>
      <w:tblStyleColBandSize w:val="1"/>
      <w:tblCellMar>
        <w:top w:w="0" w:type="dxa"/>
        <w:left w:w="115" w:type="dxa"/>
        <w:bottom w:w="0" w:type="dxa"/>
        <w:right w:w="115" w:type="dxa"/>
      </w:tblCellMar>
    </w:tblPr>
  </w:style>
  <w:style w:type="table" w:customStyle="1" w:styleId="19">
    <w:name w:val="19"/>
    <w:basedOn w:val="TableNormal7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0"/>
    <w:tblPr>
      <w:tblStyleRowBandSize w:val="1"/>
      <w:tblStyleColBandSize w:val="1"/>
      <w:tblCellMar>
        <w:top w:w="0" w:type="dxa"/>
        <w:left w:w="115" w:type="dxa"/>
        <w:bottom w:w="0" w:type="dxa"/>
        <w:right w:w="115" w:type="dxa"/>
      </w:tblCellMar>
    </w:tblPr>
  </w:style>
  <w:style w:type="table" w:customStyle="1" w:styleId="17">
    <w:name w:val="17"/>
    <w:basedOn w:val="TableNormal70"/>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7"/>
    <w:tblPr>
      <w:tblStyleRowBandSize w:val="1"/>
      <w:tblStyleColBandSize w:val="1"/>
      <w:tblCellMar>
        <w:top w:w="0" w:type="dxa"/>
        <w:left w:w="108" w:type="dxa"/>
        <w:bottom w:w="0" w:type="dxa"/>
        <w:right w:w="108" w:type="dxa"/>
      </w:tblCellMar>
    </w:tblPr>
  </w:style>
  <w:style w:type="table" w:customStyle="1" w:styleId="a0">
    <w:basedOn w:val="TableNormal7"/>
    <w:tblPr>
      <w:tblStyleRowBandSize w:val="1"/>
      <w:tblStyleColBandSize w:val="1"/>
      <w:tblCellMar>
        <w:top w:w="0" w:type="dxa"/>
        <w:left w:w="108" w:type="dxa"/>
        <w:bottom w:w="0" w:type="dxa"/>
        <w:right w:w="108" w:type="dxa"/>
      </w:tblCellMar>
    </w:tblPr>
  </w:style>
  <w:style w:type="table" w:customStyle="1" w:styleId="a2">
    <w:basedOn w:val="TableNormal7"/>
    <w:tblPr>
      <w:tblStyleRowBandSize w:val="1"/>
      <w:tblStyleColBandSize w:val="1"/>
      <w:tblCellMar>
        <w:top w:w="0" w:type="dxa"/>
        <w:left w:w="108" w:type="dxa"/>
        <w:bottom w:w="0" w:type="dxa"/>
        <w:right w:w="108" w:type="dxa"/>
      </w:tblCellMar>
    </w:tblPr>
  </w:style>
  <w:style w:type="table" w:customStyle="1" w:styleId="a3">
    <w:basedOn w:val="TableNormal7"/>
    <w:tblPr>
      <w:tblStyleRowBandSize w:val="1"/>
      <w:tblStyleColBandSize w:val="1"/>
      <w:tblCellMar>
        <w:top w:w="0" w:type="dxa"/>
        <w:left w:w="108" w:type="dxa"/>
        <w:bottom w:w="0" w:type="dxa"/>
        <w:right w:w="108" w:type="dxa"/>
      </w:tblCellMar>
    </w:tblPr>
  </w:style>
  <w:style w:type="table" w:customStyle="1" w:styleId="a4">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top w:w="0" w:type="dxa"/>
        <w:left w:w="115" w:type="dxa"/>
        <w:bottom w:w="0" w:type="dxa"/>
        <w:right w:w="115" w:type="dxa"/>
      </w:tblCellMar>
    </w:tblPr>
  </w:style>
  <w:style w:type="table" w:customStyle="1" w:styleId="a6">
    <w:basedOn w:val="TableNormal7"/>
    <w:tblPr>
      <w:tblStyleRowBandSize w:val="1"/>
      <w:tblStyleColBandSize w:val="1"/>
      <w:tblCellMar>
        <w:top w:w="0" w:type="dxa"/>
        <w:left w:w="115" w:type="dxa"/>
        <w:bottom w:w="0" w:type="dxa"/>
        <w:right w:w="115" w:type="dxa"/>
      </w:tblCellMar>
    </w:tblPr>
  </w:style>
  <w:style w:type="table" w:customStyle="1" w:styleId="a7">
    <w:basedOn w:val="TableNormal6"/>
    <w:tblPr>
      <w:tblStyleRowBandSize w:val="1"/>
      <w:tblStyleColBandSize w:val="1"/>
      <w:tblCellMar>
        <w:top w:w="0" w:type="dxa"/>
        <w:left w:w="115" w:type="dxa"/>
        <w:bottom w:w="0" w:type="dxa"/>
        <w:right w:w="115" w:type="dxa"/>
      </w:tblCellMar>
    </w:tblPr>
  </w:style>
  <w:style w:type="table" w:customStyle="1" w:styleId="a8">
    <w:basedOn w:val="TableNormal6"/>
    <w:tblPr>
      <w:tblStyleRowBandSize w:val="1"/>
      <w:tblStyleColBandSize w:val="1"/>
      <w:tblCellMar>
        <w:top w:w="0" w:type="dxa"/>
        <w:left w:w="115" w:type="dxa"/>
        <w:bottom w:w="0" w:type="dxa"/>
        <w:right w:w="115"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4"/>
    <w:tblPr>
      <w:tblStyleRowBandSize w:val="1"/>
      <w:tblStyleColBandSize w:val="1"/>
      <w:tblCellMar>
        <w:top w:w="0" w:type="dxa"/>
        <w:left w:w="108" w:type="dxa"/>
        <w:bottom w:w="0" w:type="dxa"/>
        <w:right w:w="108" w:type="dxa"/>
      </w:tblCellMar>
    </w:tblPr>
  </w:style>
  <w:style w:type="table" w:customStyle="1" w:styleId="ac">
    <w:basedOn w:val="TableNormal4"/>
    <w:tblPr>
      <w:tblStyleRowBandSize w:val="1"/>
      <w:tblStyleColBandSize w:val="1"/>
      <w:tblCellMar>
        <w:top w:w="0" w:type="dxa"/>
        <w:left w:w="108" w:type="dxa"/>
        <w:bottom w:w="0" w:type="dxa"/>
        <w:right w:w="108"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table" w:customStyle="1" w:styleId="af">
    <w:basedOn w:val="TableNormal4"/>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table" w:customStyle="1" w:styleId="af3">
    <w:basedOn w:val="TableNormal2"/>
    <w:tblPr>
      <w:tblStyleRowBandSize w:val="1"/>
      <w:tblStyleColBandSize w:val="1"/>
      <w:tblCellMar>
        <w:top w:w="15" w:type="dxa"/>
        <w:left w:w="115" w:type="dxa"/>
        <w:bottom w:w="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ac.gob.mx/work/models/CONAC/normatividad/CLDF_01_01_001.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781815.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DukynpA+WPZIMaeJCHZFgeu3Q==">CgMxLjAyCGgudHlqY3d0MghoLmdqZGd4czIJaC4zMGowemxsMgloLjJzOGV5bzEyCWguM3pueXNoNzIJaC4xZm9iOXRlMgloLjF0M2g1c2YyCWguM2R5NnZrbTIJaC4yZXQ5MnAwOAByITFBNVRSdVoxNi11VDM2cHJyLUFfM0VRdVE1WUU2N2tkag==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6286</Words>
  <Characters>34575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2023-11-06T17:55:00Z</cp:lastPrinted>
  <dcterms:created xsi:type="dcterms:W3CDTF">2023-11-15T00:18:00Z</dcterms:created>
  <dcterms:modified xsi:type="dcterms:W3CDTF">2023-11-15T00:18:00Z</dcterms:modified>
</cp:coreProperties>
</file>