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B2ED7"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veinticinco de octubre de dos mil veintitrés. </w:t>
      </w:r>
    </w:p>
    <w:p w14:paraId="24B0B7D6"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2A895C65" w14:textId="1A16CFB8"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Visto el expediente relativo al recurso de revisión </w:t>
      </w:r>
      <w:r w:rsidRPr="00C7790F">
        <w:rPr>
          <w:rFonts w:ascii="Palatino Linotype" w:eastAsia="Palatino Linotype" w:hAnsi="Palatino Linotype" w:cs="Palatino Linotype"/>
          <w:b/>
          <w:sz w:val="24"/>
          <w:szCs w:val="24"/>
        </w:rPr>
        <w:t>01469/INFOEM/IP/RR/2023</w:t>
      </w:r>
      <w:r w:rsidRPr="00C7790F">
        <w:rPr>
          <w:rFonts w:ascii="Palatino Linotype" w:eastAsia="Palatino Linotype" w:hAnsi="Palatino Linotype" w:cs="Palatino Linotype"/>
          <w:sz w:val="24"/>
          <w:szCs w:val="24"/>
        </w:rPr>
        <w:t xml:space="preserve">, interpuesto por </w:t>
      </w:r>
      <w:r w:rsidR="003C744A">
        <w:rPr>
          <w:rFonts w:ascii="Palatino Linotype" w:eastAsia="Palatino Linotype" w:hAnsi="Palatino Linotype" w:cs="Palatino Linotype"/>
          <w:b/>
          <w:sz w:val="24"/>
          <w:szCs w:val="24"/>
        </w:rPr>
        <w:t>XXXXX XXXXXX XXXXXXX</w:t>
      </w:r>
      <w:r w:rsidRPr="00C7790F">
        <w:rPr>
          <w:rFonts w:ascii="Palatino Linotype" w:eastAsia="Palatino Linotype" w:hAnsi="Palatino Linotype" w:cs="Palatino Linotype"/>
          <w:sz w:val="24"/>
          <w:szCs w:val="24"/>
        </w:rPr>
        <w:t xml:space="preserve">, al cual en lo sucesivo se le denominará </w:t>
      </w:r>
      <w:r w:rsidRPr="00C7790F">
        <w:rPr>
          <w:rFonts w:ascii="Palatino Linotype" w:eastAsia="Palatino Linotype" w:hAnsi="Palatino Linotype" w:cs="Palatino Linotype"/>
          <w:b/>
          <w:sz w:val="24"/>
          <w:szCs w:val="24"/>
        </w:rPr>
        <w:t>la parte Recurrente</w:t>
      </w:r>
      <w:r w:rsidRPr="00C7790F">
        <w:rPr>
          <w:rFonts w:ascii="Palatino Linotype" w:eastAsia="Palatino Linotype" w:hAnsi="Palatino Linotype" w:cs="Palatino Linotype"/>
          <w:sz w:val="24"/>
          <w:szCs w:val="24"/>
        </w:rPr>
        <w:t xml:space="preserve">, en contra de la respuesta a su solicitud de información identificada con número de folio </w:t>
      </w:r>
      <w:r w:rsidRPr="00C7790F">
        <w:rPr>
          <w:rFonts w:ascii="Palatino Linotype" w:eastAsia="Palatino Linotype" w:hAnsi="Palatino Linotype" w:cs="Palatino Linotype"/>
          <w:b/>
          <w:sz w:val="24"/>
          <w:szCs w:val="24"/>
        </w:rPr>
        <w:t>00404/TOLUCA/IP/2023</w:t>
      </w:r>
      <w:r w:rsidRPr="00C7790F">
        <w:rPr>
          <w:rFonts w:ascii="Palatino Linotype" w:eastAsia="Palatino Linotype" w:hAnsi="Palatino Linotype" w:cs="Palatino Linotype"/>
          <w:sz w:val="24"/>
          <w:szCs w:val="24"/>
        </w:rPr>
        <w:t xml:space="preserve"> proporcionada por parte del </w:t>
      </w:r>
      <w:r w:rsidRPr="00C7790F">
        <w:rPr>
          <w:rFonts w:ascii="Palatino Linotype" w:eastAsia="Palatino Linotype" w:hAnsi="Palatino Linotype" w:cs="Palatino Linotype"/>
          <w:b/>
          <w:sz w:val="24"/>
          <w:szCs w:val="24"/>
        </w:rPr>
        <w:t>Ayuntamiento de Toluca</w:t>
      </w:r>
      <w:r w:rsidRPr="00C7790F">
        <w:rPr>
          <w:rFonts w:ascii="Palatino Linotype" w:eastAsia="Palatino Linotype" w:hAnsi="Palatino Linotype" w:cs="Palatino Linotype"/>
          <w:sz w:val="24"/>
          <w:szCs w:val="24"/>
        </w:rPr>
        <w:t xml:space="preserve">, en lo sucesivo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se procede a dictar la presente resolución, con base en los siguientes:</w:t>
      </w:r>
    </w:p>
    <w:p w14:paraId="72AA4563"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0934D7BC" w14:textId="77777777" w:rsidR="00375659" w:rsidRPr="00C7790F" w:rsidRDefault="00A67FCF">
      <w:pPr>
        <w:spacing w:after="0" w:line="360" w:lineRule="auto"/>
        <w:ind w:right="49"/>
        <w:jc w:val="center"/>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I.</w:t>
      </w:r>
      <w:r w:rsidRPr="00C7790F">
        <w:rPr>
          <w:rFonts w:ascii="Palatino Linotype" w:eastAsia="Palatino Linotype" w:hAnsi="Palatino Linotype" w:cs="Palatino Linotype"/>
          <w:b/>
          <w:sz w:val="24"/>
          <w:szCs w:val="24"/>
        </w:rPr>
        <w:tab/>
        <w:t>A N T E C E D E N T E S</w:t>
      </w:r>
    </w:p>
    <w:p w14:paraId="4B450902"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32777708" w14:textId="77777777" w:rsidR="00375659" w:rsidRPr="00C7790F" w:rsidRDefault="00A67FCF">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0" w:name="_heading=h.2et92p0" w:colFirst="0" w:colLast="0"/>
      <w:bookmarkEnd w:id="0"/>
      <w:r w:rsidRPr="00C7790F">
        <w:rPr>
          <w:rFonts w:ascii="Palatino Linotype" w:eastAsia="Palatino Linotype" w:hAnsi="Palatino Linotype" w:cs="Palatino Linotype"/>
          <w:b/>
          <w:sz w:val="24"/>
          <w:szCs w:val="24"/>
        </w:rPr>
        <w:t>Solicitud de acceso a la información.</w:t>
      </w:r>
      <w:r w:rsidRPr="00C7790F">
        <w:rPr>
          <w:rFonts w:ascii="Palatino Linotype" w:eastAsia="Palatino Linotype" w:hAnsi="Palatino Linotype" w:cs="Palatino Linotype"/>
          <w:sz w:val="24"/>
          <w:szCs w:val="24"/>
        </w:rPr>
        <w:t xml:space="preserve"> Con fecha </w:t>
      </w:r>
      <w:r w:rsidRPr="00C7790F">
        <w:rPr>
          <w:rFonts w:ascii="Palatino Linotype" w:eastAsia="Palatino Linotype" w:hAnsi="Palatino Linotype" w:cs="Palatino Linotype"/>
          <w:b/>
          <w:sz w:val="24"/>
          <w:szCs w:val="24"/>
        </w:rPr>
        <w:t>siete de febrero de dos mil veintitrés</w:t>
      </w:r>
      <w:r w:rsidRPr="00C7790F">
        <w:rPr>
          <w:rFonts w:ascii="Palatino Linotype" w:eastAsia="Palatino Linotype" w:hAnsi="Palatino Linotype" w:cs="Palatino Linotype"/>
          <w:sz w:val="24"/>
          <w:szCs w:val="24"/>
        </w:rPr>
        <w:t xml:space="preserve">,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formuló solicitud de acceso a información pública al</w:t>
      </w:r>
      <w:r w:rsidRPr="00C7790F">
        <w:rPr>
          <w:rFonts w:ascii="Palatino Linotype" w:eastAsia="Palatino Linotype" w:hAnsi="Palatino Linotype" w:cs="Palatino Linotype"/>
          <w:b/>
          <w:sz w:val="24"/>
          <w:szCs w:val="24"/>
        </w:rPr>
        <w:t xml:space="preserve"> Sujeto Obligado</w:t>
      </w:r>
      <w:r w:rsidRPr="00C7790F">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2C1E3790" w14:textId="77777777" w:rsidR="00375659" w:rsidRPr="00C7790F" w:rsidRDefault="00375659">
      <w:pPr>
        <w:tabs>
          <w:tab w:val="left" w:pos="8505"/>
        </w:tabs>
        <w:spacing w:after="0"/>
        <w:ind w:left="567" w:right="560"/>
        <w:jc w:val="both"/>
        <w:rPr>
          <w:rFonts w:ascii="Palatino Linotype" w:eastAsia="Palatino Linotype" w:hAnsi="Palatino Linotype" w:cs="Palatino Linotype"/>
          <w:i/>
        </w:rPr>
      </w:pPr>
      <w:bookmarkStart w:id="1" w:name="_heading=h.30j0zll" w:colFirst="0" w:colLast="0"/>
      <w:bookmarkEnd w:id="1"/>
    </w:p>
    <w:p w14:paraId="1E4657FF" w14:textId="77777777" w:rsidR="00375659" w:rsidRPr="00C7790F" w:rsidRDefault="00A67FCF">
      <w:pPr>
        <w:tabs>
          <w:tab w:val="left" w:pos="8505"/>
        </w:tabs>
        <w:spacing w:after="0"/>
        <w:ind w:left="567" w:right="560"/>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“Solicito </w:t>
      </w:r>
      <w:proofErr w:type="spellStart"/>
      <w:r w:rsidRPr="00C7790F">
        <w:rPr>
          <w:rFonts w:ascii="Palatino Linotype" w:eastAsia="Palatino Linotype" w:hAnsi="Palatino Linotype" w:cs="Palatino Linotype"/>
          <w:i/>
        </w:rPr>
        <w:t>informacion</w:t>
      </w:r>
      <w:proofErr w:type="spellEnd"/>
      <w:r w:rsidRPr="00C7790F">
        <w:rPr>
          <w:rFonts w:ascii="Palatino Linotype" w:eastAsia="Palatino Linotype" w:hAnsi="Palatino Linotype" w:cs="Palatino Linotype"/>
          <w:i/>
        </w:rPr>
        <w:t xml:space="preserve"> detallada de los pagos a proveedores que quedaron pendiente (pasivo) del año 2019, 2020 y 2021, indicando </w:t>
      </w:r>
      <w:proofErr w:type="spellStart"/>
      <w:r w:rsidRPr="00C7790F">
        <w:rPr>
          <w:rFonts w:ascii="Palatino Linotype" w:eastAsia="Palatino Linotype" w:hAnsi="Palatino Linotype" w:cs="Palatino Linotype"/>
          <w:i/>
        </w:rPr>
        <w:t>numero</w:t>
      </w:r>
      <w:proofErr w:type="spellEnd"/>
      <w:r w:rsidRPr="00C7790F">
        <w:rPr>
          <w:rFonts w:ascii="Palatino Linotype" w:eastAsia="Palatino Linotype" w:hAnsi="Palatino Linotype" w:cs="Palatino Linotype"/>
          <w:i/>
        </w:rPr>
        <w:t xml:space="preserve"> de factura, nombre de proveedor, conceptos a pagar, cantidad sin </w:t>
      </w:r>
      <w:proofErr w:type="spellStart"/>
      <w:r w:rsidRPr="00C7790F">
        <w:rPr>
          <w:rFonts w:ascii="Palatino Linotype" w:eastAsia="Palatino Linotype" w:hAnsi="Palatino Linotype" w:cs="Palatino Linotype"/>
          <w:i/>
        </w:rPr>
        <w:t>iva</w:t>
      </w:r>
      <w:proofErr w:type="spellEnd"/>
      <w:r w:rsidRPr="00C7790F">
        <w:rPr>
          <w:rFonts w:ascii="Palatino Linotype" w:eastAsia="Palatino Linotype" w:hAnsi="Palatino Linotype" w:cs="Palatino Linotype"/>
          <w:i/>
        </w:rPr>
        <w:t xml:space="preserve">, </w:t>
      </w:r>
      <w:proofErr w:type="spellStart"/>
      <w:r w:rsidRPr="00C7790F">
        <w:rPr>
          <w:rFonts w:ascii="Palatino Linotype" w:eastAsia="Palatino Linotype" w:hAnsi="Palatino Linotype" w:cs="Palatino Linotype"/>
          <w:i/>
        </w:rPr>
        <w:t>iva</w:t>
      </w:r>
      <w:proofErr w:type="spellEnd"/>
      <w:r w:rsidRPr="00C7790F">
        <w:rPr>
          <w:rFonts w:ascii="Palatino Linotype" w:eastAsia="Palatino Linotype" w:hAnsi="Palatino Linotype" w:cs="Palatino Linotype"/>
          <w:i/>
        </w:rPr>
        <w:t xml:space="preserve"> de la factura, fecha de pago, indicando además cuanto se </w:t>
      </w:r>
      <w:proofErr w:type="gramStart"/>
      <w:r w:rsidRPr="00C7790F">
        <w:rPr>
          <w:rFonts w:ascii="Palatino Linotype" w:eastAsia="Palatino Linotype" w:hAnsi="Palatino Linotype" w:cs="Palatino Linotype"/>
          <w:i/>
        </w:rPr>
        <w:t>le</w:t>
      </w:r>
      <w:proofErr w:type="gramEnd"/>
      <w:r w:rsidRPr="00C7790F">
        <w:rPr>
          <w:rFonts w:ascii="Palatino Linotype" w:eastAsia="Palatino Linotype" w:hAnsi="Palatino Linotype" w:cs="Palatino Linotype"/>
          <w:i/>
        </w:rPr>
        <w:t xml:space="preserve"> adeuda a dichos proveedores.” (Sic)</w:t>
      </w:r>
    </w:p>
    <w:p w14:paraId="0BAA8C75" w14:textId="77777777" w:rsidR="00375659" w:rsidRPr="00C7790F" w:rsidRDefault="00375659">
      <w:pPr>
        <w:tabs>
          <w:tab w:val="left" w:pos="8505"/>
        </w:tabs>
        <w:spacing w:after="0"/>
        <w:ind w:left="567" w:right="560"/>
        <w:jc w:val="both"/>
        <w:rPr>
          <w:rFonts w:ascii="Palatino Linotype" w:eastAsia="Palatino Linotype" w:hAnsi="Palatino Linotype" w:cs="Palatino Linotype"/>
          <w:i/>
        </w:rPr>
      </w:pPr>
    </w:p>
    <w:p w14:paraId="28DB2E89"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Modalidad elegida para la entrega de la información:</w:t>
      </w:r>
      <w:r w:rsidRPr="00C7790F">
        <w:rPr>
          <w:rFonts w:ascii="Palatino Linotype" w:eastAsia="Palatino Linotype" w:hAnsi="Palatino Linotype" w:cs="Palatino Linotype"/>
          <w:sz w:val="24"/>
          <w:szCs w:val="24"/>
        </w:rPr>
        <w:t xml:space="preserve"> a través del Sistema de Acceso a la Información Mexiquense (SAIMEX). </w:t>
      </w:r>
    </w:p>
    <w:p w14:paraId="7B9502ED"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1E9E310A" w14:textId="77777777" w:rsidR="00375659" w:rsidRPr="00C7790F" w:rsidRDefault="00A67FCF">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Respuesta.</w:t>
      </w:r>
      <w:r w:rsidRPr="00C7790F">
        <w:rPr>
          <w:rFonts w:ascii="Palatino Linotype" w:eastAsia="Palatino Linotype" w:hAnsi="Palatino Linotype" w:cs="Palatino Linotype"/>
          <w:sz w:val="24"/>
          <w:szCs w:val="24"/>
        </w:rPr>
        <w:t xml:space="preserve"> En fecha </w:t>
      </w:r>
      <w:r w:rsidRPr="00C7790F">
        <w:rPr>
          <w:rFonts w:ascii="Palatino Linotype" w:eastAsia="Palatino Linotype" w:hAnsi="Palatino Linotype" w:cs="Palatino Linotype"/>
          <w:b/>
          <w:sz w:val="24"/>
          <w:szCs w:val="24"/>
        </w:rPr>
        <w:t>veintiocho de febrero de dos mil veintitrés</w:t>
      </w:r>
      <w:r w:rsidRPr="00C7790F">
        <w:rPr>
          <w:rFonts w:ascii="Palatino Linotype" w:eastAsia="Palatino Linotype" w:hAnsi="Palatino Linotype" w:cs="Palatino Linotype"/>
          <w:sz w:val="24"/>
          <w:szCs w:val="24"/>
        </w:rPr>
        <w:t xml:space="preserve">, el </w:t>
      </w:r>
      <w:r w:rsidRPr="00C7790F">
        <w:rPr>
          <w:rFonts w:ascii="Palatino Linotype" w:eastAsia="Palatino Linotype" w:hAnsi="Palatino Linotype" w:cs="Palatino Linotype"/>
          <w:b/>
          <w:sz w:val="24"/>
          <w:szCs w:val="24"/>
        </w:rPr>
        <w:t xml:space="preserve">Sujeto Obligado </w:t>
      </w:r>
      <w:r w:rsidRPr="00C7790F">
        <w:rPr>
          <w:rFonts w:ascii="Palatino Linotype" w:eastAsia="Palatino Linotype" w:hAnsi="Palatino Linotype" w:cs="Palatino Linotype"/>
          <w:sz w:val="24"/>
          <w:szCs w:val="24"/>
        </w:rPr>
        <w:t xml:space="preserve">remitió respuesta a la solicitud de información, al tenor de lo siguiente: </w:t>
      </w:r>
    </w:p>
    <w:p w14:paraId="35CC18B0"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1DBD96C" w14:textId="77777777" w:rsidR="00375659" w:rsidRPr="00C7790F" w:rsidRDefault="00A67FCF">
      <w:pPr>
        <w:spacing w:after="0" w:line="276" w:lineRule="auto"/>
        <w:ind w:left="567" w:right="560"/>
        <w:jc w:val="both"/>
        <w:rPr>
          <w:rFonts w:ascii="Palatino Linotype" w:eastAsia="Palatino Linotype" w:hAnsi="Palatino Linotype" w:cs="Palatino Linotype"/>
          <w:i/>
        </w:rPr>
      </w:pPr>
      <w:r w:rsidRPr="00C7790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30FB00" w14:textId="77777777" w:rsidR="00375659" w:rsidRPr="00C7790F" w:rsidRDefault="00375659">
      <w:pPr>
        <w:spacing w:after="0" w:line="276" w:lineRule="auto"/>
        <w:ind w:left="567" w:right="560"/>
        <w:jc w:val="both"/>
        <w:rPr>
          <w:rFonts w:ascii="Palatino Linotype" w:eastAsia="Palatino Linotype" w:hAnsi="Palatino Linotype" w:cs="Palatino Linotype"/>
          <w:i/>
        </w:rPr>
      </w:pPr>
    </w:p>
    <w:p w14:paraId="6419DEBA" w14:textId="77777777" w:rsidR="00375659" w:rsidRPr="00C7790F" w:rsidRDefault="00A67FCF">
      <w:pPr>
        <w:spacing w:after="0" w:line="276" w:lineRule="auto"/>
        <w:ind w:left="567" w:right="560"/>
        <w:jc w:val="both"/>
        <w:rPr>
          <w:rFonts w:ascii="Palatino Linotype" w:eastAsia="Palatino Linotype" w:hAnsi="Palatino Linotype" w:cs="Palatino Linotype"/>
          <w:i/>
        </w:rPr>
      </w:pPr>
      <w:r w:rsidRPr="00C7790F">
        <w:rPr>
          <w:rFonts w:ascii="Palatino Linotype" w:eastAsia="Palatino Linotype" w:hAnsi="Palatino Linotype" w:cs="Palatino Linotype"/>
          <w:i/>
        </w:rPr>
        <w:t>En atención a la solicitud con folio 00404/TOLUCA/IP/2023, me permito adjuntar al presente la respuesta correspondiente y anexos. Sin más por el momento, reciba un saludo.” (Sic)</w:t>
      </w:r>
    </w:p>
    <w:p w14:paraId="4F827A75" w14:textId="77777777" w:rsidR="00375659" w:rsidRPr="00C7790F" w:rsidRDefault="00375659">
      <w:pPr>
        <w:spacing w:after="0" w:line="360" w:lineRule="auto"/>
        <w:ind w:right="560"/>
        <w:jc w:val="both"/>
        <w:rPr>
          <w:rFonts w:ascii="Palatino Linotype" w:eastAsia="Palatino Linotype" w:hAnsi="Palatino Linotype" w:cs="Palatino Linotype"/>
          <w:i/>
        </w:rPr>
      </w:pPr>
    </w:p>
    <w:p w14:paraId="5BA0C221" w14:textId="77777777" w:rsidR="00375659" w:rsidRPr="00C7790F" w:rsidRDefault="00A67FCF">
      <w:pP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 xml:space="preserve">Adjunto a la respuesta, el </w:t>
      </w:r>
      <w:r w:rsidRPr="00C7790F">
        <w:rPr>
          <w:rFonts w:ascii="Palatino Linotype" w:eastAsia="Palatino Linotype" w:hAnsi="Palatino Linotype" w:cs="Palatino Linotype"/>
          <w:b/>
        </w:rPr>
        <w:t xml:space="preserve">Sujeto Obligado </w:t>
      </w:r>
      <w:r w:rsidRPr="00C7790F">
        <w:rPr>
          <w:rFonts w:ascii="Palatino Linotype" w:eastAsia="Palatino Linotype" w:hAnsi="Palatino Linotype" w:cs="Palatino Linotype"/>
        </w:rPr>
        <w:t xml:space="preserve">aportó los archivos electrónicos que contienen la información que a continuación se describen: </w:t>
      </w:r>
    </w:p>
    <w:p w14:paraId="41444DD8" w14:textId="77777777" w:rsidR="00375659" w:rsidRPr="00C7790F" w:rsidRDefault="00375659">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bookmarkStart w:id="2" w:name="_heading=h.tyjcwt" w:colFirst="0" w:colLast="0"/>
      <w:bookmarkEnd w:id="2"/>
    </w:p>
    <w:p w14:paraId="746B39D9"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Archivo electrónico denominado “</w:t>
      </w:r>
      <w:r w:rsidRPr="00C7790F">
        <w:rPr>
          <w:rFonts w:ascii="Palatino Linotype" w:eastAsia="Palatino Linotype" w:hAnsi="Palatino Linotype" w:cs="Palatino Linotype"/>
          <w:b/>
          <w:i/>
        </w:rPr>
        <w:t xml:space="preserve">Edo </w:t>
      </w:r>
      <w:proofErr w:type="spellStart"/>
      <w:r w:rsidRPr="00C7790F">
        <w:rPr>
          <w:rFonts w:ascii="Palatino Linotype" w:eastAsia="Palatino Linotype" w:hAnsi="Palatino Linotype" w:cs="Palatino Linotype"/>
          <w:b/>
          <w:i/>
        </w:rPr>
        <w:t>Analitico</w:t>
      </w:r>
      <w:proofErr w:type="spellEnd"/>
      <w:r w:rsidRPr="00C7790F">
        <w:rPr>
          <w:rFonts w:ascii="Palatino Linotype" w:eastAsia="Palatino Linotype" w:hAnsi="Palatino Linotype" w:cs="Palatino Linotype"/>
          <w:b/>
          <w:i/>
        </w:rPr>
        <w:t xml:space="preserve"> de Deuda 2020.pdf</w:t>
      </w:r>
      <w:r w:rsidRPr="00C7790F">
        <w:rPr>
          <w:rFonts w:ascii="Palatino Linotype" w:eastAsia="Palatino Linotype" w:hAnsi="Palatino Linotype" w:cs="Palatino Linotype"/>
        </w:rPr>
        <w:t>” que contiene: Estado analítico de la deuda y otros pasivos del periodo comprendido del primero de enero al treinta y uno de diciembre del año dos mil veinte, en donde se observa la deuda a proveedores en dicho periodo, como se observa en la siguiente imagen que se inserta a continuación a manera de ejemplo:</w:t>
      </w:r>
    </w:p>
    <w:p w14:paraId="509726A1"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6B001A08" wp14:editId="7DF382DD">
            <wp:extent cx="5521189" cy="3293955"/>
            <wp:effectExtent l="0" t="0" r="0" b="0"/>
            <wp:docPr id="21459084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21189" cy="3293955"/>
                    </a:xfrm>
                    <a:prstGeom prst="rect">
                      <a:avLst/>
                    </a:prstGeom>
                    <a:ln/>
                  </pic:spPr>
                </pic:pic>
              </a:graphicData>
            </a:graphic>
          </wp:inline>
        </w:drawing>
      </w:r>
    </w:p>
    <w:p w14:paraId="51B1BE70"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Archivo electrónico denominado “</w:t>
      </w:r>
      <w:r w:rsidRPr="00C7790F">
        <w:rPr>
          <w:rFonts w:ascii="Palatino Linotype" w:eastAsia="Palatino Linotype" w:hAnsi="Palatino Linotype" w:cs="Palatino Linotype"/>
          <w:b/>
          <w:i/>
        </w:rPr>
        <w:t xml:space="preserve">Edo </w:t>
      </w:r>
      <w:proofErr w:type="spellStart"/>
      <w:r w:rsidRPr="00C7790F">
        <w:rPr>
          <w:rFonts w:ascii="Palatino Linotype" w:eastAsia="Palatino Linotype" w:hAnsi="Palatino Linotype" w:cs="Palatino Linotype"/>
          <w:b/>
          <w:i/>
        </w:rPr>
        <w:t>Analitico</w:t>
      </w:r>
      <w:proofErr w:type="spellEnd"/>
      <w:r w:rsidRPr="00C7790F">
        <w:rPr>
          <w:rFonts w:ascii="Palatino Linotype" w:eastAsia="Palatino Linotype" w:hAnsi="Palatino Linotype" w:cs="Palatino Linotype"/>
          <w:b/>
          <w:i/>
        </w:rPr>
        <w:t xml:space="preserve"> de Deuda 2019.pdf</w:t>
      </w:r>
      <w:r w:rsidRPr="00C7790F">
        <w:rPr>
          <w:rFonts w:ascii="Palatino Linotype" w:eastAsia="Palatino Linotype" w:hAnsi="Palatino Linotype" w:cs="Palatino Linotype"/>
        </w:rPr>
        <w:t>” que contiene: Estado analítico de la deuda y otros pasivos del periodo comprendido del primero de enero al treinta y uno de diciembre del año dos mil diecinueve, en donde se observa la deuda a proveedores 2019-2021, como se observa en las siguientes imágenes que se insertan a continuación a manera de ejemplo:</w:t>
      </w:r>
    </w:p>
    <w:p w14:paraId="2AE3A143"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01F0501A" wp14:editId="7B3D93A3">
            <wp:extent cx="5510932" cy="2017685"/>
            <wp:effectExtent l="3175" t="3175" r="3175" b="3175"/>
            <wp:docPr id="21459084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54637"/>
                    <a:stretch>
                      <a:fillRect/>
                    </a:stretch>
                  </pic:blipFill>
                  <pic:spPr>
                    <a:xfrm>
                      <a:off x="0" y="0"/>
                      <a:ext cx="5510932" cy="2017685"/>
                    </a:xfrm>
                    <a:prstGeom prst="rect">
                      <a:avLst/>
                    </a:prstGeom>
                    <a:ln w="3175">
                      <a:solidFill>
                        <a:srgbClr val="000000"/>
                      </a:solidFill>
                      <a:prstDash val="solid"/>
                    </a:ln>
                  </pic:spPr>
                </pic:pic>
              </a:graphicData>
            </a:graphic>
          </wp:inline>
        </w:drawing>
      </w:r>
    </w:p>
    <w:p w14:paraId="79AE4142"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rPr>
        <w:t>[…]</w:t>
      </w:r>
    </w:p>
    <w:p w14:paraId="2D0A6A7A"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0455DC24" wp14:editId="6CEB084C">
            <wp:extent cx="5518434" cy="4089610"/>
            <wp:effectExtent l="3175" t="3175" r="3175" b="3175"/>
            <wp:docPr id="21459084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18434" cy="4089610"/>
                    </a:xfrm>
                    <a:prstGeom prst="rect">
                      <a:avLst/>
                    </a:prstGeom>
                    <a:ln w="3175">
                      <a:solidFill>
                        <a:srgbClr val="000000"/>
                      </a:solidFill>
                      <a:prstDash val="solid"/>
                    </a:ln>
                  </pic:spPr>
                </pic:pic>
              </a:graphicData>
            </a:graphic>
          </wp:inline>
        </w:drawing>
      </w:r>
    </w:p>
    <w:p w14:paraId="03A39A93"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rPr>
        <w:t>[…]”</w:t>
      </w:r>
    </w:p>
    <w:p w14:paraId="366D9B1F"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Archivo electrónico denominado “</w:t>
      </w:r>
      <w:r w:rsidRPr="00C7790F">
        <w:rPr>
          <w:rFonts w:ascii="Palatino Linotype" w:eastAsia="Palatino Linotype" w:hAnsi="Palatino Linotype" w:cs="Palatino Linotype"/>
          <w:b/>
          <w:i/>
        </w:rPr>
        <w:t xml:space="preserve">Edo </w:t>
      </w:r>
      <w:proofErr w:type="spellStart"/>
      <w:r w:rsidRPr="00C7790F">
        <w:rPr>
          <w:rFonts w:ascii="Palatino Linotype" w:eastAsia="Palatino Linotype" w:hAnsi="Palatino Linotype" w:cs="Palatino Linotype"/>
          <w:b/>
          <w:i/>
        </w:rPr>
        <w:t>Analitico</w:t>
      </w:r>
      <w:proofErr w:type="spellEnd"/>
      <w:r w:rsidRPr="00C7790F">
        <w:rPr>
          <w:rFonts w:ascii="Palatino Linotype" w:eastAsia="Palatino Linotype" w:hAnsi="Palatino Linotype" w:cs="Palatino Linotype"/>
          <w:b/>
          <w:i/>
        </w:rPr>
        <w:t xml:space="preserve"> de Deuda 2021.pdf</w:t>
      </w:r>
      <w:r w:rsidRPr="00C7790F">
        <w:rPr>
          <w:rFonts w:ascii="Palatino Linotype" w:eastAsia="Palatino Linotype" w:hAnsi="Palatino Linotype" w:cs="Palatino Linotype"/>
        </w:rPr>
        <w:t>” que contiene: Estado analítico de la deuda y otros pasivos del periodo comprendido del primero de octubre al treinta y uno de diciembre del año del año dos mil veintiuno, en donde se observa la deuda a proveedores 2019-2021, como se observa en las siguientes imágenes que se insertan a continuación a manera de ejemplo:</w:t>
      </w:r>
    </w:p>
    <w:p w14:paraId="25E4C410"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0FAA46CB" wp14:editId="126AA4E7">
            <wp:extent cx="5590686" cy="1339645"/>
            <wp:effectExtent l="3175" t="3175" r="3175" b="3175"/>
            <wp:docPr id="21459084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90686" cy="1339645"/>
                    </a:xfrm>
                    <a:prstGeom prst="rect">
                      <a:avLst/>
                    </a:prstGeom>
                    <a:ln w="3175">
                      <a:solidFill>
                        <a:srgbClr val="000000"/>
                      </a:solidFill>
                      <a:prstDash val="solid"/>
                    </a:ln>
                  </pic:spPr>
                </pic:pic>
              </a:graphicData>
            </a:graphic>
          </wp:inline>
        </w:drawing>
      </w:r>
    </w:p>
    <w:p w14:paraId="54425E72"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2044EC84" wp14:editId="0F323915">
            <wp:extent cx="5547062" cy="2937811"/>
            <wp:effectExtent l="3175" t="3175" r="3175" b="3175"/>
            <wp:docPr id="21459084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47062" cy="2937811"/>
                    </a:xfrm>
                    <a:prstGeom prst="rect">
                      <a:avLst/>
                    </a:prstGeom>
                    <a:ln w="3175">
                      <a:solidFill>
                        <a:srgbClr val="000000"/>
                      </a:solidFill>
                      <a:prstDash val="solid"/>
                    </a:ln>
                  </pic:spPr>
                </pic:pic>
              </a:graphicData>
            </a:graphic>
          </wp:inline>
        </w:drawing>
      </w:r>
    </w:p>
    <w:p w14:paraId="112E23F1"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rPr>
        <w:t>[…]”</w:t>
      </w:r>
    </w:p>
    <w:p w14:paraId="322596F0"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Archivo electrónico denominado “</w:t>
      </w:r>
      <w:r w:rsidRPr="00C7790F">
        <w:rPr>
          <w:rFonts w:ascii="Palatino Linotype" w:eastAsia="Palatino Linotype" w:hAnsi="Palatino Linotype" w:cs="Palatino Linotype"/>
          <w:b/>
          <w:i/>
        </w:rPr>
        <w:t>Respuesta 404.pdf</w:t>
      </w:r>
      <w:r w:rsidRPr="00C7790F">
        <w:rPr>
          <w:rFonts w:ascii="Palatino Linotype" w:eastAsia="Palatino Linotype" w:hAnsi="Palatino Linotype" w:cs="Palatino Linotype"/>
        </w:rPr>
        <w:t>” que contiene: Oficio sin número, del veintiocho de febrero de dos mil veintitrés, a través del cual la Titular de la Unidad de Transparencia informó al solicitante que la Tesorería Municipal y Servidor Público Habilitado, hacían entrega en formato digital “ESTADO ANALITICO DE DEUDA Y OTROS PASIVOS” de los años 2019, 2020 y 2021, debido a que la información se encuentra de manera general y que indica se adjunta a la respuesta.</w:t>
      </w:r>
    </w:p>
    <w:p w14:paraId="671C4C7A" w14:textId="77777777" w:rsidR="00375659" w:rsidRPr="00C7790F" w:rsidRDefault="00375659">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43AED59D" w14:textId="77777777" w:rsidR="00375659" w:rsidRPr="00C7790F" w:rsidRDefault="00A67FCF">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Recurso de revisión.</w:t>
      </w:r>
      <w:r w:rsidRPr="00C7790F">
        <w:rPr>
          <w:rFonts w:ascii="Palatino Linotype" w:eastAsia="Palatino Linotype" w:hAnsi="Palatino Linotype" w:cs="Palatino Linotype"/>
          <w:sz w:val="24"/>
          <w:szCs w:val="24"/>
        </w:rPr>
        <w:t xml:space="preserve"> El Particular, derivado de la respuesta del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interpuso Recurso de Revisión a través del </w:t>
      </w:r>
      <w:r w:rsidRPr="00C7790F">
        <w:rPr>
          <w:rFonts w:ascii="Palatino Linotype" w:eastAsia="Palatino Linotype" w:hAnsi="Palatino Linotype" w:cs="Palatino Linotype"/>
          <w:b/>
          <w:sz w:val="24"/>
          <w:szCs w:val="24"/>
        </w:rPr>
        <w:t>SAIMEX</w:t>
      </w:r>
      <w:r w:rsidRPr="00C7790F">
        <w:rPr>
          <w:rFonts w:ascii="Palatino Linotype" w:eastAsia="Palatino Linotype" w:hAnsi="Palatino Linotype" w:cs="Palatino Linotype"/>
          <w:sz w:val="24"/>
          <w:szCs w:val="24"/>
        </w:rPr>
        <w:t xml:space="preserve"> en fecha </w:t>
      </w:r>
      <w:r w:rsidRPr="00C7790F">
        <w:rPr>
          <w:rFonts w:ascii="Palatino Linotype" w:eastAsia="Palatino Linotype" w:hAnsi="Palatino Linotype" w:cs="Palatino Linotype"/>
          <w:b/>
          <w:sz w:val="24"/>
          <w:szCs w:val="24"/>
        </w:rPr>
        <w:t>diecisiete de marzo de dos mil veintitrés</w:t>
      </w:r>
      <w:r w:rsidRPr="00C7790F">
        <w:rPr>
          <w:rFonts w:ascii="Palatino Linotype" w:eastAsia="Palatino Linotype" w:hAnsi="Palatino Linotype" w:cs="Palatino Linotype"/>
          <w:sz w:val="24"/>
          <w:szCs w:val="24"/>
        </w:rPr>
        <w:t>, a través del cual expresó lo siguiente:</w:t>
      </w:r>
    </w:p>
    <w:p w14:paraId="2545B417" w14:textId="77777777" w:rsidR="00375659" w:rsidRPr="00C7790F" w:rsidRDefault="00375659">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sz w:val="24"/>
          <w:szCs w:val="24"/>
        </w:rPr>
      </w:pPr>
    </w:p>
    <w:p w14:paraId="7E1A97D7" w14:textId="77777777" w:rsidR="00375659" w:rsidRPr="00C7790F" w:rsidRDefault="00A67FCF">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C7790F">
        <w:rPr>
          <w:rFonts w:ascii="Palatino Linotype" w:eastAsia="Palatino Linotype" w:hAnsi="Palatino Linotype" w:cs="Palatino Linotype"/>
          <w:b/>
          <w:sz w:val="24"/>
          <w:szCs w:val="24"/>
        </w:rPr>
        <w:t xml:space="preserve">Acto impugnado. </w:t>
      </w:r>
      <w:r w:rsidRPr="00C7790F">
        <w:rPr>
          <w:rFonts w:ascii="Palatino Linotype" w:eastAsia="Palatino Linotype" w:hAnsi="Palatino Linotype" w:cs="Palatino Linotype"/>
          <w:i/>
        </w:rPr>
        <w:t>“La respuesta fue entregada de manera incompleta</w:t>
      </w:r>
      <w:r w:rsidRPr="00C7790F">
        <w:rPr>
          <w:rFonts w:ascii="Palatino Linotype" w:eastAsia="Palatino Linotype" w:hAnsi="Palatino Linotype" w:cs="Palatino Linotype"/>
          <w:i/>
          <w:sz w:val="24"/>
          <w:szCs w:val="24"/>
        </w:rPr>
        <w:t>”.</w:t>
      </w:r>
    </w:p>
    <w:p w14:paraId="5D4009DE" w14:textId="77777777" w:rsidR="00375659" w:rsidRPr="00C7790F" w:rsidRDefault="00375659">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7CC75FBD" w14:textId="77777777" w:rsidR="00375659" w:rsidRPr="00C7790F" w:rsidRDefault="00A67FCF">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C7790F">
        <w:rPr>
          <w:rFonts w:ascii="Palatino Linotype" w:eastAsia="Palatino Linotype" w:hAnsi="Palatino Linotype" w:cs="Palatino Linotype"/>
          <w:b/>
          <w:sz w:val="24"/>
          <w:szCs w:val="24"/>
        </w:rPr>
        <w:lastRenderedPageBreak/>
        <w:t xml:space="preserve">Razones o motivos de la inconformidad: </w:t>
      </w:r>
      <w:r w:rsidRPr="00C7790F">
        <w:rPr>
          <w:rFonts w:ascii="Palatino Linotype" w:eastAsia="Palatino Linotype" w:hAnsi="Palatino Linotype" w:cs="Palatino Linotype"/>
          <w:i/>
        </w:rPr>
        <w:t>“La respuesta fue entregada de manera incompleta</w:t>
      </w:r>
      <w:r w:rsidRPr="00C7790F">
        <w:rPr>
          <w:rFonts w:ascii="Palatino Linotype" w:eastAsia="Palatino Linotype" w:hAnsi="Palatino Linotype" w:cs="Palatino Linotype"/>
          <w:i/>
          <w:sz w:val="24"/>
          <w:szCs w:val="24"/>
        </w:rPr>
        <w:t>”.</w:t>
      </w:r>
    </w:p>
    <w:p w14:paraId="07B0CA8D"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2457447D" w14:textId="77777777" w:rsidR="00375659" w:rsidRPr="00C7790F" w:rsidRDefault="00A67FCF">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Turno.</w:t>
      </w:r>
      <w:r w:rsidRPr="00C7790F">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C7790F">
        <w:rPr>
          <w:rFonts w:ascii="Palatino Linotype" w:eastAsia="Palatino Linotype" w:hAnsi="Palatino Linotype" w:cs="Palatino Linotype"/>
          <w:b/>
          <w:sz w:val="24"/>
          <w:szCs w:val="24"/>
        </w:rPr>
        <w:t>01469/INFOEM/IP/RR/2023</w:t>
      </w:r>
      <w:r w:rsidRPr="00C7790F">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C7790F">
        <w:rPr>
          <w:rFonts w:ascii="Palatino Linotype" w:eastAsia="Palatino Linotype" w:hAnsi="Palatino Linotype" w:cs="Palatino Linotype"/>
          <w:b/>
          <w:sz w:val="24"/>
          <w:szCs w:val="24"/>
        </w:rPr>
        <w:t>Comisionada Guadalupe Ramírez Peña</w:t>
      </w:r>
      <w:r w:rsidRPr="00C7790F">
        <w:rPr>
          <w:rFonts w:ascii="Palatino Linotype" w:eastAsia="Palatino Linotype" w:hAnsi="Palatino Linotype" w:cs="Palatino Linotype"/>
          <w:sz w:val="24"/>
          <w:szCs w:val="24"/>
        </w:rPr>
        <w:t xml:space="preserve"> para su análisis, estudio, elaboración del proyecto y presentación ante el Pleno de este Instituto.</w:t>
      </w:r>
    </w:p>
    <w:p w14:paraId="42EB2AE7"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2D9C24C" w14:textId="77777777" w:rsidR="00375659" w:rsidRPr="00C7790F" w:rsidRDefault="00A67FCF">
      <w:pPr>
        <w:numPr>
          <w:ilvl w:val="0"/>
          <w:numId w:val="4"/>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Admisión del recurso de revisión</w:t>
      </w:r>
      <w:r w:rsidRPr="00C7790F">
        <w:rPr>
          <w:rFonts w:ascii="Palatino Linotype" w:eastAsia="Palatino Linotype" w:hAnsi="Palatino Linotype" w:cs="Palatino Linotype"/>
          <w:sz w:val="24"/>
          <w:szCs w:val="24"/>
        </w:rPr>
        <w:t xml:space="preserve">: En fecha </w:t>
      </w:r>
      <w:r w:rsidRPr="00C7790F">
        <w:rPr>
          <w:rFonts w:ascii="Palatino Linotype" w:eastAsia="Palatino Linotype" w:hAnsi="Palatino Linotype" w:cs="Palatino Linotype"/>
          <w:b/>
          <w:sz w:val="24"/>
          <w:szCs w:val="24"/>
        </w:rPr>
        <w:t>veintitrés de marzo de dos mil veintitrés</w:t>
      </w:r>
      <w:r w:rsidRPr="00C7790F">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06FFCA69"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E04C7BB" w14:textId="77777777" w:rsidR="00375659" w:rsidRPr="00C7790F" w:rsidRDefault="00A67FCF">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C7790F">
        <w:rPr>
          <w:rFonts w:ascii="Palatino Linotype" w:eastAsia="Palatino Linotype" w:hAnsi="Palatino Linotype" w:cs="Palatino Linotype"/>
          <w:b/>
          <w:sz w:val="24"/>
          <w:szCs w:val="24"/>
        </w:rPr>
        <w:t xml:space="preserve">Informe Justificado. </w:t>
      </w:r>
      <w:r w:rsidRPr="00C7790F">
        <w:rPr>
          <w:rFonts w:ascii="Palatino Linotype" w:eastAsia="Palatino Linotype" w:hAnsi="Palatino Linotype" w:cs="Palatino Linotype"/>
          <w:sz w:val="24"/>
          <w:szCs w:val="24"/>
        </w:rPr>
        <w:t xml:space="preserve">En fecha </w:t>
      </w:r>
      <w:r w:rsidRPr="00C7790F">
        <w:rPr>
          <w:rFonts w:ascii="Palatino Linotype" w:eastAsia="Palatino Linotype" w:hAnsi="Palatino Linotype" w:cs="Palatino Linotype"/>
          <w:b/>
          <w:sz w:val="24"/>
          <w:szCs w:val="24"/>
        </w:rPr>
        <w:t>diez de octubre de dos mil veintitrés</w:t>
      </w:r>
      <w:r w:rsidRPr="00C7790F">
        <w:rPr>
          <w:rFonts w:ascii="Palatino Linotype" w:eastAsia="Palatino Linotype" w:hAnsi="Palatino Linotype" w:cs="Palatino Linotype"/>
          <w:sz w:val="24"/>
          <w:szCs w:val="24"/>
        </w:rPr>
        <w:t xml:space="preserve">, el </w:t>
      </w:r>
      <w:r w:rsidRPr="00C7790F">
        <w:rPr>
          <w:rFonts w:ascii="Palatino Linotype" w:eastAsia="Palatino Linotype" w:hAnsi="Palatino Linotype" w:cs="Palatino Linotype"/>
          <w:b/>
          <w:sz w:val="24"/>
          <w:szCs w:val="24"/>
        </w:rPr>
        <w:t xml:space="preserve">Sujeto Obligado </w:t>
      </w:r>
      <w:r w:rsidRPr="00C7790F">
        <w:rPr>
          <w:rFonts w:ascii="Palatino Linotype" w:eastAsia="Palatino Linotype" w:hAnsi="Palatino Linotype" w:cs="Palatino Linotype"/>
          <w:sz w:val="24"/>
          <w:szCs w:val="24"/>
        </w:rPr>
        <w:t xml:space="preserve">remitió su informe justificado, mediante el archivo electrónico en el que aporta lo siguiente: </w:t>
      </w:r>
    </w:p>
    <w:p w14:paraId="386F2381" w14:textId="77777777" w:rsidR="00375659" w:rsidRPr="00C7790F" w:rsidRDefault="00375659">
      <w:pPr>
        <w:pBdr>
          <w:top w:val="nil"/>
          <w:left w:val="nil"/>
          <w:bottom w:val="nil"/>
          <w:right w:val="nil"/>
          <w:between w:val="nil"/>
        </w:pBdr>
        <w:spacing w:after="0"/>
        <w:ind w:left="720"/>
        <w:rPr>
          <w:rFonts w:ascii="Palatino Linotype" w:eastAsia="Palatino Linotype" w:hAnsi="Palatino Linotype" w:cs="Palatino Linotype"/>
        </w:rPr>
      </w:pPr>
    </w:p>
    <w:p w14:paraId="1AB1EC26" w14:textId="77777777" w:rsidR="00375659" w:rsidRPr="00C7790F" w:rsidRDefault="00A67FCF">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7790F">
        <w:rPr>
          <w:rFonts w:ascii="Palatino Linotype" w:eastAsia="Palatino Linotype" w:hAnsi="Palatino Linotype" w:cs="Palatino Linotype"/>
        </w:rPr>
        <w:t>Archivo electrónico denominado “</w:t>
      </w:r>
      <w:r w:rsidRPr="00C7790F">
        <w:rPr>
          <w:rFonts w:ascii="Palatino Linotype" w:eastAsia="Palatino Linotype" w:hAnsi="Palatino Linotype" w:cs="Palatino Linotype"/>
          <w:b/>
          <w:i/>
        </w:rPr>
        <w:t>RR1469_23.pdf</w:t>
      </w:r>
      <w:r w:rsidRPr="00C7790F">
        <w:rPr>
          <w:rFonts w:ascii="Palatino Linotype" w:eastAsia="Palatino Linotype" w:hAnsi="Palatino Linotype" w:cs="Palatino Linotype"/>
        </w:rPr>
        <w:t xml:space="preserve">” que contiene: Oficio número 2010A4000/UT/RR/0225/2023 del diez de abril de dos mil veintitrés, a través del cual se </w:t>
      </w:r>
      <w:r w:rsidRPr="00C7790F">
        <w:rPr>
          <w:rFonts w:ascii="Palatino Linotype" w:eastAsia="Palatino Linotype" w:hAnsi="Palatino Linotype" w:cs="Palatino Linotype"/>
          <w:b/>
        </w:rPr>
        <w:t>ratificó la respuesta inicial</w:t>
      </w:r>
      <w:r w:rsidRPr="00C7790F">
        <w:rPr>
          <w:rFonts w:ascii="Palatino Linotype" w:eastAsia="Palatino Linotype" w:hAnsi="Palatino Linotype" w:cs="Palatino Linotype"/>
        </w:rPr>
        <w:t xml:space="preserve">, bajo el argumento de que la información aportada en respuesta fue la que obra en sus archivos del servidor público habilitado competente, y </w:t>
      </w:r>
      <w:r w:rsidRPr="00C7790F">
        <w:rPr>
          <w:rFonts w:ascii="Palatino Linotype" w:eastAsia="Palatino Linotype" w:hAnsi="Palatino Linotype" w:cs="Palatino Linotype"/>
        </w:rPr>
        <w:lastRenderedPageBreak/>
        <w:t>que la solicitud se turnó a las áreas competentes que cuentan con la información, colmando el principio de legalidad y el derecho de acceso a la información pública.</w:t>
      </w:r>
    </w:p>
    <w:p w14:paraId="36BD30F1"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30B5DCD" w14:textId="77777777" w:rsidR="00375659" w:rsidRPr="00C7790F" w:rsidRDefault="00A67FC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Documento que en fecha </w:t>
      </w:r>
      <w:r w:rsidRPr="00C7790F">
        <w:rPr>
          <w:rFonts w:ascii="Palatino Linotype" w:eastAsia="Palatino Linotype" w:hAnsi="Palatino Linotype" w:cs="Palatino Linotype"/>
          <w:b/>
          <w:sz w:val="24"/>
          <w:szCs w:val="24"/>
        </w:rPr>
        <w:t>veintinueve de mayo de dos mil veintitrés</w:t>
      </w:r>
      <w:r w:rsidRPr="00C7790F">
        <w:rPr>
          <w:rFonts w:ascii="Palatino Linotype" w:eastAsia="Palatino Linotype" w:hAnsi="Palatino Linotype" w:cs="Palatino Linotype"/>
          <w:sz w:val="24"/>
          <w:szCs w:val="24"/>
        </w:rPr>
        <w:t xml:space="preserve"> se hizo del conocimiento de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con la finalidad de que manifestara lo que a su derecho estimara conveniente; sin embargo, fue omisa en ejercer dicha prerrogativa.</w:t>
      </w:r>
    </w:p>
    <w:p w14:paraId="361A498E" w14:textId="77777777" w:rsidR="00375659" w:rsidRPr="00C7790F" w:rsidRDefault="00375659">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29849C63" w14:textId="77777777" w:rsidR="00375659" w:rsidRPr="00C7790F" w:rsidRDefault="00A67FCF">
      <w:pPr>
        <w:numPr>
          <w:ilvl w:val="0"/>
          <w:numId w:val="4"/>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Ampliación de plazo:</w:t>
      </w:r>
      <w:r w:rsidRPr="00C7790F">
        <w:rPr>
          <w:rFonts w:ascii="Palatino Linotype" w:eastAsia="Palatino Linotype" w:hAnsi="Palatino Linotype" w:cs="Palatino Linotype"/>
          <w:sz w:val="24"/>
          <w:szCs w:val="24"/>
        </w:rPr>
        <w:t xml:space="preserve"> El</w:t>
      </w:r>
      <w:r w:rsidRPr="00C7790F">
        <w:rPr>
          <w:rFonts w:ascii="Palatino Linotype" w:eastAsia="Palatino Linotype" w:hAnsi="Palatino Linotype" w:cs="Palatino Linotype"/>
          <w:b/>
          <w:sz w:val="24"/>
          <w:szCs w:val="24"/>
        </w:rPr>
        <w:t xml:space="preserve"> veintinueve de mayo de dos mil veintitrés</w:t>
      </w:r>
      <w:r w:rsidRPr="00C7790F">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F704699"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7151441B"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5AEA88F"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28854D64"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C7790F">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1CF6CE32"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435117F9"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11940F"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5269CCCE"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FE2CE02"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7B05EE07"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D897170"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0CD1A8F0" w14:textId="77777777" w:rsidR="00375659" w:rsidRPr="00C7790F" w:rsidRDefault="00A67FCF">
      <w:pPr>
        <w:tabs>
          <w:tab w:val="left" w:pos="709"/>
        </w:tabs>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b/>
          <w:sz w:val="24"/>
          <w:szCs w:val="24"/>
        </w:rPr>
        <w:t>a</w:t>
      </w:r>
      <w:r w:rsidRPr="00C7790F">
        <w:rPr>
          <w:rFonts w:ascii="Palatino Linotype" w:eastAsia="Palatino Linotype" w:hAnsi="Palatino Linotype" w:cs="Palatino Linotype"/>
          <w:b/>
        </w:rPr>
        <w:t>)    Complejidad del asunto:</w:t>
      </w:r>
      <w:r w:rsidRPr="00C7790F">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24AAB18" w14:textId="77777777" w:rsidR="00375659" w:rsidRPr="00C7790F" w:rsidRDefault="00A67FCF">
      <w:pPr>
        <w:tabs>
          <w:tab w:val="left" w:pos="709"/>
        </w:tabs>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b/>
        </w:rPr>
        <w:t>b)   Actividad Procesal del interesado</w:t>
      </w:r>
      <w:r w:rsidRPr="00C7790F">
        <w:rPr>
          <w:rFonts w:ascii="Palatino Linotype" w:eastAsia="Palatino Linotype" w:hAnsi="Palatino Linotype" w:cs="Palatino Linotype"/>
        </w:rPr>
        <w:t>: Acciones u omisiones del interesado.</w:t>
      </w:r>
    </w:p>
    <w:p w14:paraId="6592A27D" w14:textId="77777777" w:rsidR="00375659" w:rsidRPr="00C7790F" w:rsidRDefault="00A67FCF">
      <w:pPr>
        <w:tabs>
          <w:tab w:val="left" w:pos="851"/>
        </w:tabs>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b/>
        </w:rPr>
        <w:t>c)  Conducta de la Autoridad:</w:t>
      </w:r>
      <w:r w:rsidRPr="00C7790F">
        <w:rPr>
          <w:rFonts w:ascii="Palatino Linotype" w:eastAsia="Palatino Linotype" w:hAnsi="Palatino Linotype" w:cs="Palatino Linotype"/>
        </w:rPr>
        <w:t xml:space="preserve"> Las Acciones u omisiones realizadas en el procedimiento. Así como si la autoridad actuó con la debida diligencia.</w:t>
      </w:r>
    </w:p>
    <w:p w14:paraId="45708F65" w14:textId="77777777" w:rsidR="00375659" w:rsidRPr="00C7790F" w:rsidRDefault="00A67FCF">
      <w:pPr>
        <w:tabs>
          <w:tab w:val="left" w:pos="851"/>
        </w:tabs>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b/>
        </w:rPr>
        <w:t>d) La afectación generada en la situación jurídica de la persona involucrada en el proceso:</w:t>
      </w:r>
      <w:r w:rsidRPr="00C7790F">
        <w:rPr>
          <w:rFonts w:ascii="Palatino Linotype" w:eastAsia="Palatino Linotype" w:hAnsi="Palatino Linotype" w:cs="Palatino Linotype"/>
        </w:rPr>
        <w:t xml:space="preserve"> Violación a sus derechos humanos.</w:t>
      </w:r>
    </w:p>
    <w:p w14:paraId="0A39E472" w14:textId="77777777" w:rsidR="00375659" w:rsidRPr="00C7790F" w:rsidRDefault="00375659">
      <w:pPr>
        <w:tabs>
          <w:tab w:val="left" w:pos="851"/>
        </w:tabs>
        <w:spacing w:after="0" w:line="360" w:lineRule="auto"/>
        <w:ind w:left="567" w:right="560"/>
        <w:jc w:val="both"/>
        <w:rPr>
          <w:rFonts w:ascii="Palatino Linotype" w:eastAsia="Palatino Linotype" w:hAnsi="Palatino Linotype" w:cs="Palatino Linotype"/>
        </w:rPr>
      </w:pPr>
    </w:p>
    <w:p w14:paraId="69FD9937"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BCED6"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316ACB40"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C7790F">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C7790F">
        <w:rPr>
          <w:rFonts w:ascii="Palatino Linotype" w:eastAsia="Palatino Linotype" w:hAnsi="Palatino Linotype" w:cs="Palatino Linotype"/>
          <w:sz w:val="24"/>
          <w:szCs w:val="24"/>
        </w:rPr>
        <w:t>, visible en la Gaceta del Seminario Judicial de la Federación con el registro digital 205635.</w:t>
      </w:r>
    </w:p>
    <w:p w14:paraId="6904121E"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5C37E7C2"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C7790F">
        <w:rPr>
          <w:rFonts w:ascii="Palatino Linotype" w:eastAsia="Palatino Linotype" w:hAnsi="Palatino Linotype" w:cs="Palatino Linotype"/>
          <w:sz w:val="24"/>
          <w:szCs w:val="24"/>
        </w:rPr>
        <w:lastRenderedPageBreak/>
        <w:t>términos legales previamente establecidos por la Ley, por tratarse de causas de fuerza mayor.</w:t>
      </w:r>
    </w:p>
    <w:p w14:paraId="67C2D5AA"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388BD2F2"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7284EE0"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1066D3B9" w14:textId="77777777" w:rsidR="00375659" w:rsidRPr="00C7790F" w:rsidRDefault="00A67FCF">
      <w:pPr>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b/>
        </w:rPr>
        <w:t xml:space="preserve"> “PLAZO RAZONABLE PARA RESOLVER. DIMENSIÓN Y EFECTOS DE ESTE CONCEPTO CUANDO SE ADUCE EXCESIVA CARGA DE TRABAJO.”</w:t>
      </w:r>
      <w:r w:rsidRPr="00C7790F">
        <w:rPr>
          <w:rFonts w:ascii="Palatino Linotype" w:eastAsia="Palatino Linotype" w:hAnsi="Palatino Linotype" w:cs="Palatino Linotype"/>
        </w:rPr>
        <w:t xml:space="preserve"> consultable en el Seminario Judicial de la Federación y su gaceta, con el registro digital 2002351.</w:t>
      </w:r>
    </w:p>
    <w:p w14:paraId="53D52CB5" w14:textId="77777777" w:rsidR="00375659" w:rsidRPr="00C7790F" w:rsidRDefault="00A67FCF">
      <w:pPr>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rPr>
        <w:t xml:space="preserve"> </w:t>
      </w:r>
    </w:p>
    <w:p w14:paraId="3421070D" w14:textId="77777777" w:rsidR="00375659" w:rsidRPr="00C7790F" w:rsidRDefault="00A67FCF">
      <w:pPr>
        <w:spacing w:after="0" w:line="360" w:lineRule="auto"/>
        <w:ind w:left="567" w:right="560"/>
        <w:jc w:val="both"/>
        <w:rPr>
          <w:rFonts w:ascii="Palatino Linotype" w:eastAsia="Palatino Linotype" w:hAnsi="Palatino Linotype" w:cs="Palatino Linotype"/>
        </w:rPr>
      </w:pPr>
      <w:r w:rsidRPr="00C7790F">
        <w:rPr>
          <w:rFonts w:ascii="Palatino Linotype" w:eastAsia="Palatino Linotype" w:hAnsi="Palatino Linotype" w:cs="Palatino Linotype"/>
          <w:b/>
        </w:rPr>
        <w:t>“PLAZO RAZONABLE PARA RESOLVER. CONCEPTO Y ELEMENTOS QUE LO INTEGRAN A LA LUZ DEL DERECHO INTERNACIONAL DE LOS DERECHOS HUMANOS.”,</w:t>
      </w:r>
      <w:r w:rsidRPr="00C7790F">
        <w:rPr>
          <w:rFonts w:ascii="Palatino Linotype" w:eastAsia="Palatino Linotype" w:hAnsi="Palatino Linotype" w:cs="Palatino Linotype"/>
        </w:rPr>
        <w:t xml:space="preserve"> visible en el Seminario Judicial de la Federación y su gaceta, con el registro digital 2002350.</w:t>
      </w:r>
    </w:p>
    <w:p w14:paraId="72185BC1"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B84F9BE" w14:textId="77777777" w:rsidR="00375659" w:rsidRPr="00C7790F" w:rsidRDefault="00A67FC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276DC6F7"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76BC82" w14:textId="77777777" w:rsidR="00375659" w:rsidRPr="00C7790F" w:rsidRDefault="00A67FCF">
      <w:pPr>
        <w:numPr>
          <w:ilvl w:val="0"/>
          <w:numId w:val="4"/>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Cierre de instrucción</w:t>
      </w:r>
      <w:r w:rsidRPr="00C7790F">
        <w:rPr>
          <w:rFonts w:ascii="Palatino Linotype" w:eastAsia="Palatino Linotype" w:hAnsi="Palatino Linotype" w:cs="Palatino Linotype"/>
          <w:sz w:val="24"/>
          <w:szCs w:val="24"/>
        </w:rPr>
        <w:t xml:space="preserve">. En fecha </w:t>
      </w:r>
      <w:r w:rsidRPr="00C7790F">
        <w:rPr>
          <w:rFonts w:ascii="Palatino Linotype" w:eastAsia="Palatino Linotype" w:hAnsi="Palatino Linotype" w:cs="Palatino Linotype"/>
          <w:b/>
          <w:sz w:val="24"/>
          <w:szCs w:val="24"/>
        </w:rPr>
        <w:t>dieciocho de octubre de dos mil veintitrés</w:t>
      </w:r>
      <w:r w:rsidRPr="00C7790F">
        <w:rPr>
          <w:rFonts w:ascii="Palatino Linotype" w:eastAsia="Palatino Linotype" w:hAnsi="Palatino Linotype" w:cs="Palatino Linotype"/>
          <w:sz w:val="24"/>
          <w:szCs w:val="24"/>
        </w:rPr>
        <w:t xml:space="preserve">, la Comisionada Ponente determinó el cierre de instrucción en términos de la fracción VI </w:t>
      </w:r>
      <w:r w:rsidRPr="00C7790F">
        <w:rPr>
          <w:rFonts w:ascii="Palatino Linotype" w:eastAsia="Palatino Linotype" w:hAnsi="Palatino Linotype" w:cs="Palatino Linotype"/>
          <w:sz w:val="24"/>
          <w:szCs w:val="24"/>
        </w:rPr>
        <w:lastRenderedPageBreak/>
        <w:t>del artículo 185 de la Ley de Transparencia y Acceso a la Información Pública del Estado de México y Municipios.</w:t>
      </w:r>
    </w:p>
    <w:p w14:paraId="1B2AABB5"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F0A087C"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4EF44CB2" w14:textId="77777777" w:rsidR="00375659" w:rsidRPr="00C7790F" w:rsidRDefault="0037565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D2F25BA" w14:textId="77777777" w:rsidR="00375659" w:rsidRPr="00C7790F" w:rsidRDefault="00A67FCF">
      <w:pPr>
        <w:spacing w:after="0" w:line="360" w:lineRule="auto"/>
        <w:ind w:right="49"/>
        <w:jc w:val="center"/>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II.</w:t>
      </w:r>
      <w:r w:rsidRPr="00C7790F">
        <w:rPr>
          <w:rFonts w:ascii="Palatino Linotype" w:eastAsia="Palatino Linotype" w:hAnsi="Palatino Linotype" w:cs="Palatino Linotype"/>
          <w:b/>
          <w:sz w:val="24"/>
          <w:szCs w:val="24"/>
        </w:rPr>
        <w:tab/>
        <w:t>C O N S I D E R A N D O:</w:t>
      </w:r>
    </w:p>
    <w:p w14:paraId="64C71AF9"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4562AA75"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Primero. Competencia.</w:t>
      </w:r>
      <w:r w:rsidRPr="00C7790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53228D6"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20558DE2"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Segundo. Oportunidad y Procedibilidad del Recurso de Revisión</w:t>
      </w:r>
      <w:r w:rsidRPr="00C7790F">
        <w:rPr>
          <w:rFonts w:ascii="Palatino Linotype" w:eastAsia="Palatino Linotype" w:hAnsi="Palatino Linotype" w:cs="Palatino Linotype"/>
          <w:sz w:val="24"/>
          <w:szCs w:val="24"/>
        </w:rPr>
        <w:t xml:space="preserve">. Previo al estudio del fondo del asunto, se procede a analizar los requisitos de oportunidad y procedibilidad que debe reunir el recurso de revisión interpuesto, previstos en los </w:t>
      </w:r>
      <w:r w:rsidRPr="00C7790F">
        <w:rPr>
          <w:rFonts w:ascii="Palatino Linotype" w:eastAsia="Palatino Linotype" w:hAnsi="Palatino Linotype" w:cs="Palatino Linotype"/>
          <w:sz w:val="24"/>
          <w:szCs w:val="24"/>
        </w:rPr>
        <w:lastRenderedPageBreak/>
        <w:t>artículos 178 y 180 de la Ley de Transparencia y Acceso a la Información Pública del Estado de México y Municipios.</w:t>
      </w:r>
    </w:p>
    <w:p w14:paraId="0D30DF90" w14:textId="77777777" w:rsidR="00375659" w:rsidRPr="00C7790F" w:rsidRDefault="00375659">
      <w:pPr>
        <w:spacing w:after="0" w:line="360" w:lineRule="auto"/>
        <w:jc w:val="both"/>
        <w:rPr>
          <w:rFonts w:ascii="Palatino Linotype" w:eastAsia="Palatino Linotype" w:hAnsi="Palatino Linotype" w:cs="Palatino Linotype"/>
        </w:rPr>
      </w:pPr>
    </w:p>
    <w:p w14:paraId="26FD3D3A" w14:textId="77777777" w:rsidR="00375659" w:rsidRPr="00C7790F" w:rsidRDefault="00A67FCF">
      <w:pPr>
        <w:spacing w:after="0" w:line="360" w:lineRule="auto"/>
        <w:jc w:val="both"/>
        <w:rPr>
          <w:rFonts w:ascii="Palatino Linotype" w:eastAsia="Palatino Linotype" w:hAnsi="Palatino Linotype" w:cs="Palatino Linotype"/>
          <w:sz w:val="24"/>
          <w:szCs w:val="24"/>
        </w:rPr>
      </w:pPr>
      <w:bookmarkStart w:id="3" w:name="_heading=h.3znysh7" w:colFirst="0" w:colLast="0"/>
      <w:bookmarkEnd w:id="3"/>
      <w:r w:rsidRPr="00C7790F">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remitió su respuesta en fecha </w:t>
      </w:r>
      <w:r w:rsidRPr="00C7790F">
        <w:rPr>
          <w:rFonts w:ascii="Palatino Linotype" w:eastAsia="Palatino Linotype" w:hAnsi="Palatino Linotype" w:cs="Palatino Linotype"/>
          <w:b/>
          <w:sz w:val="24"/>
          <w:szCs w:val="24"/>
        </w:rPr>
        <w:t>veintiocho de febrero de dos mil veintitrés</w:t>
      </w:r>
      <w:r w:rsidRPr="00C7790F">
        <w:rPr>
          <w:rFonts w:ascii="Palatino Linotype" w:eastAsia="Palatino Linotype" w:hAnsi="Palatino Linotype" w:cs="Palatino Linotype"/>
          <w:sz w:val="24"/>
          <w:szCs w:val="24"/>
        </w:rPr>
        <w:t>,</w:t>
      </w:r>
      <w:r w:rsidRPr="00C7790F">
        <w:rPr>
          <w:rFonts w:ascii="Palatino Linotype" w:eastAsia="Palatino Linotype" w:hAnsi="Palatino Linotype" w:cs="Palatino Linotype"/>
          <w:b/>
          <w:sz w:val="24"/>
          <w:szCs w:val="24"/>
        </w:rPr>
        <w:t xml:space="preserve"> </w:t>
      </w:r>
      <w:r w:rsidRPr="00C7790F">
        <w:rPr>
          <w:rFonts w:ascii="Palatino Linotype" w:eastAsia="Palatino Linotype" w:hAnsi="Palatino Linotype" w:cs="Palatino Linotype"/>
          <w:sz w:val="24"/>
          <w:szCs w:val="24"/>
        </w:rPr>
        <w:t xml:space="preserve">mientras que el recurso de revisión interpuesto por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se tuvo por presentado el </w:t>
      </w:r>
      <w:r w:rsidRPr="00C7790F">
        <w:rPr>
          <w:rFonts w:ascii="Palatino Linotype" w:eastAsia="Palatino Linotype" w:hAnsi="Palatino Linotype" w:cs="Palatino Linotype"/>
          <w:b/>
          <w:sz w:val="24"/>
          <w:szCs w:val="24"/>
        </w:rPr>
        <w:t>diecisiete de marzo de dos mil veintitrés</w:t>
      </w:r>
      <w:r w:rsidRPr="00C7790F">
        <w:rPr>
          <w:rFonts w:ascii="Palatino Linotype" w:eastAsia="Palatino Linotype" w:hAnsi="Palatino Linotype" w:cs="Palatino Linotype"/>
          <w:sz w:val="24"/>
          <w:szCs w:val="24"/>
        </w:rPr>
        <w:t xml:space="preserve">, esto es al doceavo día hábil siguiente a la fecha en que se tuvo conocimiento de la respuesta. </w:t>
      </w:r>
    </w:p>
    <w:p w14:paraId="5C22B076"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39D88944" w14:textId="77777777" w:rsidR="00375659" w:rsidRPr="00C7790F" w:rsidRDefault="00A67FCF">
      <w:pPr>
        <w:spacing w:after="0" w:line="360" w:lineRule="auto"/>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C7790F">
        <w:rPr>
          <w:rFonts w:ascii="Palatino Linotype" w:eastAsia="Palatino Linotype" w:hAnsi="Palatino Linotype" w:cs="Palatino Linotype"/>
          <w:b/>
          <w:sz w:val="24"/>
          <w:szCs w:val="24"/>
        </w:rPr>
        <w:t>SAIMEX.</w:t>
      </w:r>
    </w:p>
    <w:p w14:paraId="4316CCD8" w14:textId="77777777" w:rsidR="00375659" w:rsidRPr="00C7790F" w:rsidRDefault="00375659">
      <w:pPr>
        <w:spacing w:after="0" w:line="360" w:lineRule="auto"/>
        <w:jc w:val="both"/>
        <w:rPr>
          <w:rFonts w:ascii="Palatino Linotype" w:eastAsia="Palatino Linotype" w:hAnsi="Palatino Linotype" w:cs="Palatino Linotype"/>
        </w:rPr>
      </w:pPr>
    </w:p>
    <w:p w14:paraId="5CBD5DD2"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en sus motivos de inconformidad, de acuerdo con el artículo 179, fracción V el ordenamiento legal citado, que a la letra dice: </w:t>
      </w:r>
    </w:p>
    <w:p w14:paraId="67C53BF2" w14:textId="77777777" w:rsidR="00375659" w:rsidRPr="00C7790F" w:rsidRDefault="00375659">
      <w:pPr>
        <w:spacing w:after="0" w:line="360" w:lineRule="auto"/>
        <w:jc w:val="both"/>
        <w:rPr>
          <w:rFonts w:ascii="Palatino Linotype" w:eastAsia="Palatino Linotype" w:hAnsi="Palatino Linotype" w:cs="Palatino Linotype"/>
        </w:rPr>
      </w:pPr>
    </w:p>
    <w:p w14:paraId="14999A05" w14:textId="77777777" w:rsidR="00375659" w:rsidRPr="00C7790F" w:rsidRDefault="00A67FCF">
      <w:pPr>
        <w:spacing w:after="0" w:line="276" w:lineRule="auto"/>
        <w:ind w:left="567"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Artículo 179.</w:t>
      </w:r>
      <w:r w:rsidRPr="00C7790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3B662E5" w14:textId="77777777" w:rsidR="00375659" w:rsidRPr="00C7790F" w:rsidRDefault="00A67FC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lastRenderedPageBreak/>
        <w:t>…</w:t>
      </w:r>
    </w:p>
    <w:p w14:paraId="66FCC40E" w14:textId="77777777" w:rsidR="00375659" w:rsidRPr="00C7790F" w:rsidRDefault="00A67FC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V. La entrega de información incompleta;</w:t>
      </w:r>
    </w:p>
    <w:p w14:paraId="09FA3743" w14:textId="77777777" w:rsidR="00375659" w:rsidRPr="00C7790F" w:rsidRDefault="00A67FC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5F26C793" w14:textId="77777777" w:rsidR="00375659" w:rsidRPr="00C7790F" w:rsidRDefault="00375659">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6DC3421E" w14:textId="77777777" w:rsidR="00375659" w:rsidRPr="00C7790F" w:rsidRDefault="00A67FCF">
      <w:pPr>
        <w:spacing w:after="0" w:line="360" w:lineRule="auto"/>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 xml:space="preserve">Tercero. Materia de la revisión. </w:t>
      </w:r>
      <w:r w:rsidRPr="00C7790F">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C7790F">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sidRPr="00C7790F">
        <w:rPr>
          <w:rFonts w:ascii="Palatino Linotype" w:eastAsia="Palatino Linotype" w:hAnsi="Palatino Linotype" w:cs="Palatino Linotype"/>
          <w:sz w:val="24"/>
          <w:szCs w:val="24"/>
        </w:rPr>
        <w:t xml:space="preserve"> o en su defecto, en caso de ser procedente, ordenar la entrega de información oportuna.</w:t>
      </w:r>
    </w:p>
    <w:p w14:paraId="76CC726E"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1C4ED7C8" w14:textId="77777777" w:rsidR="00375659" w:rsidRPr="00C7790F" w:rsidRDefault="00A67FCF">
      <w:pPr>
        <w:pBdr>
          <w:top w:val="nil"/>
          <w:left w:val="nil"/>
          <w:bottom w:val="nil"/>
          <w:right w:val="nil"/>
          <w:between w:val="nil"/>
        </w:pBdr>
        <w:spacing w:before="240" w:after="240" w:line="360" w:lineRule="auto"/>
        <w:jc w:val="both"/>
      </w:pPr>
      <w:r w:rsidRPr="00C7790F">
        <w:rPr>
          <w:rFonts w:ascii="Palatino Linotype" w:eastAsia="Palatino Linotype" w:hAnsi="Palatino Linotype" w:cs="Palatino Linotype"/>
          <w:b/>
          <w:sz w:val="24"/>
          <w:szCs w:val="24"/>
        </w:rPr>
        <w:t xml:space="preserve">Cuarto. Estudio del asunto. </w:t>
      </w:r>
      <w:r w:rsidRPr="00C7790F">
        <w:rPr>
          <w:rFonts w:ascii="Palatino Linotype" w:eastAsia="Palatino Linotype" w:hAnsi="Palatino Linotype" w:cs="Palatino Linotype"/>
          <w:sz w:val="24"/>
          <w:szCs w:val="24"/>
        </w:rPr>
        <w:t xml:space="preserve">Antes de entrar al análisis de los pronunciamientos del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7B8C3D7" w14:textId="77777777" w:rsidR="00375659" w:rsidRPr="00C7790F" w:rsidRDefault="00A67FCF">
      <w:pPr>
        <w:pBdr>
          <w:top w:val="nil"/>
          <w:left w:val="nil"/>
          <w:bottom w:val="nil"/>
          <w:right w:val="nil"/>
          <w:between w:val="nil"/>
        </w:pBdr>
        <w:spacing w:before="240" w:after="240"/>
        <w:ind w:left="851" w:right="850"/>
        <w:jc w:val="both"/>
      </w:pPr>
      <w:r w:rsidRPr="00C7790F">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7790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63DBAB7" w14:textId="77777777" w:rsidR="00375659" w:rsidRPr="00C7790F" w:rsidRDefault="00A67FCF">
      <w:pPr>
        <w:pBdr>
          <w:top w:val="nil"/>
          <w:left w:val="nil"/>
          <w:bottom w:val="nil"/>
          <w:right w:val="nil"/>
          <w:between w:val="nil"/>
        </w:pBdr>
        <w:spacing w:before="240" w:after="240"/>
        <w:ind w:left="851" w:right="850"/>
        <w:jc w:val="both"/>
      </w:pPr>
      <w:r w:rsidRPr="00C7790F">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2930CD62" w14:textId="77777777" w:rsidR="00375659" w:rsidRPr="00C7790F" w:rsidRDefault="00A67FCF">
      <w:pPr>
        <w:pBdr>
          <w:top w:val="nil"/>
          <w:left w:val="nil"/>
          <w:bottom w:val="nil"/>
          <w:right w:val="nil"/>
          <w:between w:val="nil"/>
        </w:pBdr>
        <w:spacing w:before="240" w:after="240"/>
        <w:ind w:left="851" w:right="850"/>
        <w:jc w:val="both"/>
      </w:pPr>
      <w:r w:rsidRPr="00C7790F">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7790F">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043E658" w14:textId="77777777" w:rsidR="00375659" w:rsidRPr="00C7790F" w:rsidRDefault="00A67FCF">
      <w:pPr>
        <w:pBdr>
          <w:top w:val="nil"/>
          <w:left w:val="nil"/>
          <w:bottom w:val="nil"/>
          <w:right w:val="nil"/>
          <w:between w:val="nil"/>
        </w:pBdr>
        <w:spacing w:before="240" w:after="240"/>
        <w:ind w:left="851" w:right="850"/>
        <w:jc w:val="both"/>
      </w:pPr>
      <w:r w:rsidRPr="00C7790F">
        <w:rPr>
          <w:rFonts w:ascii="Palatino Linotype" w:eastAsia="Palatino Linotype" w:hAnsi="Palatino Linotype" w:cs="Palatino Linotype"/>
          <w:i/>
        </w:rPr>
        <w:t>[…]</w:t>
      </w:r>
    </w:p>
    <w:p w14:paraId="57E88B38" w14:textId="77777777" w:rsidR="00375659" w:rsidRPr="00C7790F" w:rsidRDefault="00A67FCF">
      <w:pPr>
        <w:pBdr>
          <w:top w:val="nil"/>
          <w:left w:val="nil"/>
          <w:bottom w:val="nil"/>
          <w:right w:val="nil"/>
          <w:between w:val="nil"/>
        </w:pBdr>
        <w:spacing w:before="240" w:after="240"/>
        <w:ind w:left="851" w:right="901"/>
        <w:jc w:val="both"/>
      </w:pPr>
      <w:r w:rsidRPr="00C7790F">
        <w:rPr>
          <w:rFonts w:ascii="Palatino Linotype" w:eastAsia="Palatino Linotype" w:hAnsi="Palatino Linotype" w:cs="Palatino Linotype"/>
          <w:b/>
          <w:i/>
        </w:rPr>
        <w:t>“Artículo 6o.</w:t>
      </w:r>
    </w:p>
    <w:p w14:paraId="0F31C79A" w14:textId="77777777" w:rsidR="00375659" w:rsidRPr="00C7790F" w:rsidRDefault="00A67FCF">
      <w:pPr>
        <w:pBdr>
          <w:top w:val="nil"/>
          <w:left w:val="nil"/>
          <w:bottom w:val="nil"/>
          <w:right w:val="nil"/>
          <w:between w:val="nil"/>
        </w:pBdr>
        <w:spacing w:before="240" w:after="240"/>
        <w:ind w:left="851" w:right="901"/>
        <w:jc w:val="both"/>
      </w:pPr>
      <w:r w:rsidRPr="00C7790F">
        <w:rPr>
          <w:rFonts w:ascii="Palatino Linotype" w:eastAsia="Palatino Linotype" w:hAnsi="Palatino Linotype" w:cs="Palatino Linotype"/>
          <w:i/>
        </w:rPr>
        <w:t>[...]</w:t>
      </w:r>
    </w:p>
    <w:p w14:paraId="03C313C6"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b/>
          <w:i/>
        </w:rPr>
        <w:t xml:space="preserve">A. Para el ejercicio del derecho de acceso a la información, la Federación y </w:t>
      </w:r>
      <w:r w:rsidRPr="00C7790F">
        <w:rPr>
          <w:rFonts w:ascii="Palatino Linotype" w:eastAsia="Palatino Linotype" w:hAnsi="Palatino Linotype" w:cs="Palatino Linotype"/>
          <w:b/>
          <w:i/>
          <w:u w:val="single"/>
        </w:rPr>
        <w:t>las entidades federativas</w:t>
      </w:r>
      <w:r w:rsidRPr="00C7790F">
        <w:rPr>
          <w:rFonts w:ascii="Palatino Linotype" w:eastAsia="Palatino Linotype" w:hAnsi="Palatino Linotype" w:cs="Palatino Linotype"/>
          <w:b/>
          <w:i/>
        </w:rPr>
        <w:t>,</w:t>
      </w:r>
      <w:r w:rsidRPr="00C7790F">
        <w:rPr>
          <w:rFonts w:ascii="Palatino Linotype" w:eastAsia="Palatino Linotype" w:hAnsi="Palatino Linotype" w:cs="Palatino Linotype"/>
          <w:i/>
        </w:rPr>
        <w:t xml:space="preserve"> en el ámbito de sus respectivas competencias, se regirán por los siguientes principios y bases:</w:t>
      </w:r>
    </w:p>
    <w:p w14:paraId="6DDA4893"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i/>
        </w:rPr>
        <w:t> </w:t>
      </w:r>
      <w:r w:rsidRPr="00C7790F">
        <w:rPr>
          <w:rFonts w:ascii="Palatino Linotype" w:eastAsia="Palatino Linotype" w:hAnsi="Palatino Linotype" w:cs="Palatino Linotype"/>
          <w:b/>
          <w:i/>
        </w:rPr>
        <w:t xml:space="preserve">I. </w:t>
      </w:r>
      <w:r w:rsidRPr="00C7790F">
        <w:rPr>
          <w:rFonts w:ascii="Palatino Linotype" w:eastAsia="Palatino Linotype" w:hAnsi="Palatino Linotype" w:cs="Palatino Linotype"/>
          <w:b/>
          <w:i/>
          <w:u w:val="single"/>
        </w:rPr>
        <w:t>Toda la información en posesión de cualquier autoridad, entidad, órgano y organismo de los Poderes</w:t>
      </w:r>
      <w:r w:rsidRPr="00C7790F">
        <w:rPr>
          <w:rFonts w:ascii="Palatino Linotype" w:eastAsia="Palatino Linotype" w:hAnsi="Palatino Linotype" w:cs="Palatino Linotype"/>
          <w:i/>
        </w:rPr>
        <w:t xml:space="preserve"> Ejecutivo, Legislativo </w:t>
      </w:r>
      <w:r w:rsidRPr="00C7790F">
        <w:rPr>
          <w:rFonts w:ascii="Palatino Linotype" w:eastAsia="Palatino Linotype" w:hAnsi="Palatino Linotype" w:cs="Palatino Linotype"/>
          <w:b/>
          <w:i/>
          <w:u w:val="single"/>
        </w:rPr>
        <w:t>y Judicial</w:t>
      </w:r>
      <w:r w:rsidRPr="00C7790F">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7790F">
        <w:rPr>
          <w:rFonts w:ascii="Palatino Linotype" w:eastAsia="Palatino Linotype" w:hAnsi="Palatino Linotype" w:cs="Palatino Linotype"/>
          <w:b/>
          <w:i/>
        </w:rPr>
        <w:t>es pública y sólo podrá ser reservada temporalmente por razones de interés público y seguridad nacional,</w:t>
      </w:r>
      <w:r w:rsidRPr="00C7790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A1F31B3"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i/>
        </w:rPr>
        <w:t> </w:t>
      </w:r>
      <w:r w:rsidRPr="00C7790F">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9C29B6F"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i/>
        </w:rPr>
        <w:lastRenderedPageBreak/>
        <w:t> </w:t>
      </w:r>
      <w:r w:rsidRPr="00C7790F">
        <w:rPr>
          <w:rFonts w:ascii="Palatino Linotype" w:eastAsia="Palatino Linotype" w:hAnsi="Palatino Linotype" w:cs="Palatino Linotype"/>
          <w:b/>
          <w:i/>
        </w:rPr>
        <w:t xml:space="preserve">III. </w:t>
      </w:r>
      <w:r w:rsidRPr="00C7790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7790F">
        <w:rPr>
          <w:rFonts w:ascii="Palatino Linotype" w:eastAsia="Palatino Linotype" w:hAnsi="Palatino Linotype" w:cs="Palatino Linotype"/>
          <w:i/>
        </w:rPr>
        <w:t xml:space="preserve"> a sus datos personales o a la rectificación de éstos.</w:t>
      </w:r>
    </w:p>
    <w:p w14:paraId="49D1D162"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i/>
        </w:rPr>
        <w:t> </w:t>
      </w:r>
      <w:r w:rsidRPr="00C7790F">
        <w:rPr>
          <w:rFonts w:ascii="Palatino Linotype" w:eastAsia="Palatino Linotype" w:hAnsi="Palatino Linotype" w:cs="Palatino Linotype"/>
          <w:b/>
          <w:i/>
        </w:rPr>
        <w:t xml:space="preserve">IV. </w:t>
      </w:r>
      <w:r w:rsidRPr="00C7790F">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15A7133"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b/>
          <w:i/>
        </w:rPr>
        <w:t xml:space="preserve">V. </w:t>
      </w:r>
      <w:r w:rsidRPr="00C7790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B567C6"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i/>
        </w:rPr>
        <w:t> </w:t>
      </w:r>
      <w:r w:rsidRPr="00C7790F">
        <w:rPr>
          <w:rFonts w:ascii="Palatino Linotype" w:eastAsia="Palatino Linotype" w:hAnsi="Palatino Linotype" w:cs="Palatino Linotype"/>
          <w:b/>
          <w:i/>
        </w:rPr>
        <w:t xml:space="preserve">VI. </w:t>
      </w:r>
      <w:r w:rsidRPr="00C7790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B5B0440" w14:textId="77777777" w:rsidR="00375659" w:rsidRPr="00C7790F" w:rsidRDefault="00A67FCF">
      <w:pPr>
        <w:pBdr>
          <w:top w:val="nil"/>
          <w:left w:val="nil"/>
          <w:bottom w:val="nil"/>
          <w:right w:val="nil"/>
          <w:between w:val="nil"/>
        </w:pBdr>
        <w:spacing w:before="240" w:after="240"/>
        <w:ind w:left="851" w:right="851"/>
        <w:jc w:val="both"/>
      </w:pPr>
      <w:r w:rsidRPr="00C7790F">
        <w:rPr>
          <w:rFonts w:ascii="Palatino Linotype" w:eastAsia="Palatino Linotype" w:hAnsi="Palatino Linotype" w:cs="Palatino Linotype"/>
          <w:i/>
        </w:rPr>
        <w:t> </w:t>
      </w:r>
      <w:r w:rsidRPr="00C7790F">
        <w:rPr>
          <w:rFonts w:ascii="Palatino Linotype" w:eastAsia="Palatino Linotype" w:hAnsi="Palatino Linotype" w:cs="Palatino Linotype"/>
          <w:b/>
          <w:i/>
        </w:rPr>
        <w:t xml:space="preserve">VII. </w:t>
      </w:r>
      <w:r w:rsidRPr="00C7790F">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DBEE59D" w14:textId="77777777" w:rsidR="00375659" w:rsidRPr="00C7790F" w:rsidRDefault="00A67FCF">
      <w:pPr>
        <w:pBdr>
          <w:top w:val="nil"/>
          <w:left w:val="nil"/>
          <w:bottom w:val="nil"/>
          <w:right w:val="nil"/>
          <w:between w:val="nil"/>
        </w:pBdr>
        <w:spacing w:before="240" w:after="240" w:line="360" w:lineRule="auto"/>
        <w:jc w:val="both"/>
        <w:rPr>
          <w:sz w:val="24"/>
          <w:szCs w:val="24"/>
        </w:rPr>
      </w:pPr>
      <w:r w:rsidRPr="00C7790F">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7B941E"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42EE4C2B" w14:textId="77777777" w:rsidR="00375659" w:rsidRPr="00C7790F" w:rsidRDefault="00375659">
      <w:pPr>
        <w:spacing w:after="0" w:line="360" w:lineRule="auto"/>
        <w:jc w:val="both"/>
        <w:rPr>
          <w:rFonts w:ascii="Palatino Linotype" w:eastAsia="Palatino Linotype" w:hAnsi="Palatino Linotype" w:cs="Palatino Linotype"/>
        </w:rPr>
      </w:pPr>
    </w:p>
    <w:p w14:paraId="4AECDE78" w14:textId="77777777" w:rsidR="00375659" w:rsidRPr="00C7790F" w:rsidRDefault="00A67FCF">
      <w:pPr>
        <w:spacing w:after="0" w:line="276"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Artículo 4</w:t>
      </w:r>
      <w:r w:rsidRPr="00C7790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1F7B0E" w14:textId="77777777" w:rsidR="00375659" w:rsidRPr="00C7790F" w:rsidRDefault="00375659">
      <w:pPr>
        <w:spacing w:after="0" w:line="276" w:lineRule="auto"/>
        <w:ind w:left="567" w:right="616"/>
        <w:jc w:val="both"/>
        <w:rPr>
          <w:rFonts w:ascii="Palatino Linotype" w:eastAsia="Palatino Linotype" w:hAnsi="Palatino Linotype" w:cs="Palatino Linotype"/>
          <w:i/>
        </w:rPr>
      </w:pPr>
    </w:p>
    <w:p w14:paraId="5EC0C3A4" w14:textId="77777777" w:rsidR="00375659" w:rsidRPr="00C7790F" w:rsidRDefault="00A67FCF">
      <w:pPr>
        <w:spacing w:after="0" w:line="276"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7790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1E58A6" w14:textId="77777777" w:rsidR="00375659" w:rsidRPr="00C7790F" w:rsidRDefault="00375659">
      <w:pPr>
        <w:spacing w:after="0" w:line="276" w:lineRule="auto"/>
        <w:ind w:left="567" w:right="616"/>
        <w:jc w:val="both"/>
        <w:rPr>
          <w:rFonts w:ascii="Palatino Linotype" w:eastAsia="Palatino Linotype" w:hAnsi="Palatino Linotype" w:cs="Palatino Linotype"/>
          <w:i/>
        </w:rPr>
      </w:pPr>
    </w:p>
    <w:p w14:paraId="3B3BABA0" w14:textId="77777777" w:rsidR="00375659" w:rsidRPr="00C7790F" w:rsidRDefault="00A67FCF">
      <w:pPr>
        <w:spacing w:after="0" w:line="276"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7790F">
        <w:rPr>
          <w:rFonts w:ascii="Palatino Linotype" w:eastAsia="Palatino Linotype" w:hAnsi="Palatino Linotype" w:cs="Palatino Linotype"/>
          <w:i/>
        </w:rPr>
        <w:t>.”</w:t>
      </w:r>
    </w:p>
    <w:p w14:paraId="7B33F25C" w14:textId="77777777" w:rsidR="00375659" w:rsidRPr="00C7790F" w:rsidRDefault="00375659">
      <w:pPr>
        <w:spacing w:after="0" w:line="360" w:lineRule="auto"/>
        <w:jc w:val="both"/>
        <w:rPr>
          <w:rFonts w:ascii="Palatino Linotype" w:eastAsia="Palatino Linotype" w:hAnsi="Palatino Linotype" w:cs="Palatino Linotype"/>
        </w:rPr>
      </w:pPr>
    </w:p>
    <w:p w14:paraId="12E5C071"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3145CD6"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0F3A308C"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b/>
          <w:i/>
        </w:rPr>
        <w:t>“Artículo 12.-</w:t>
      </w:r>
      <w:r w:rsidRPr="00C7790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665242E" w14:textId="77777777" w:rsidR="00375659" w:rsidRPr="00C7790F" w:rsidRDefault="00375659">
      <w:pPr>
        <w:spacing w:after="0" w:line="240" w:lineRule="auto"/>
        <w:ind w:left="567" w:right="616"/>
        <w:jc w:val="both"/>
        <w:rPr>
          <w:rFonts w:ascii="Palatino Linotype" w:eastAsia="Palatino Linotype" w:hAnsi="Palatino Linotype" w:cs="Palatino Linotype"/>
          <w:i/>
        </w:rPr>
      </w:pPr>
    </w:p>
    <w:p w14:paraId="3129D0D4" w14:textId="77777777" w:rsidR="00375659" w:rsidRPr="00C7790F" w:rsidRDefault="00A67FCF">
      <w:pPr>
        <w:spacing w:after="0" w:line="240" w:lineRule="auto"/>
        <w:ind w:left="567" w:right="616"/>
        <w:jc w:val="both"/>
        <w:rPr>
          <w:rFonts w:ascii="Palatino Linotype" w:eastAsia="Palatino Linotype" w:hAnsi="Palatino Linotype" w:cs="Palatino Linotype"/>
          <w:b/>
          <w:i/>
        </w:rPr>
      </w:pPr>
      <w:r w:rsidRPr="00C7790F">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C7790F">
        <w:rPr>
          <w:rFonts w:ascii="Palatino Linotype" w:eastAsia="Palatino Linotype" w:hAnsi="Palatino Linotype" w:cs="Palatino Linotype"/>
          <w:i/>
        </w:rPr>
        <w:t xml:space="preserve">. </w:t>
      </w:r>
      <w:r w:rsidRPr="00C7790F">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C3D1FDF" w14:textId="77777777" w:rsidR="00375659" w:rsidRPr="00C7790F" w:rsidRDefault="00375659">
      <w:pPr>
        <w:spacing w:after="0" w:line="360" w:lineRule="auto"/>
        <w:ind w:left="567" w:right="616"/>
        <w:jc w:val="both"/>
        <w:rPr>
          <w:rFonts w:ascii="Palatino Linotype" w:eastAsia="Palatino Linotype" w:hAnsi="Palatino Linotype" w:cs="Palatino Linotype"/>
          <w:i/>
          <w:sz w:val="24"/>
          <w:szCs w:val="24"/>
        </w:rPr>
      </w:pPr>
    </w:p>
    <w:p w14:paraId="3FFC7319" w14:textId="77777777" w:rsidR="00375659" w:rsidRPr="00C7790F" w:rsidRDefault="00A67FCF">
      <w:pPr>
        <w:spacing w:after="0" w:line="360" w:lineRule="auto"/>
        <w:ind w:right="-93"/>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2D84BB1" w14:textId="77777777" w:rsidR="00375659" w:rsidRPr="00C7790F" w:rsidRDefault="00375659">
      <w:pPr>
        <w:spacing w:after="0" w:line="360" w:lineRule="auto"/>
        <w:ind w:right="-93"/>
        <w:jc w:val="both"/>
        <w:rPr>
          <w:rFonts w:ascii="Palatino Linotype" w:eastAsia="Palatino Linotype" w:hAnsi="Palatino Linotype" w:cs="Palatino Linotype"/>
          <w:sz w:val="24"/>
          <w:szCs w:val="24"/>
        </w:rPr>
      </w:pPr>
    </w:p>
    <w:p w14:paraId="4EDC9553" w14:textId="77777777" w:rsidR="00375659" w:rsidRPr="00C7790F" w:rsidRDefault="00A67FCF">
      <w:pPr>
        <w:spacing w:after="0" w:line="360" w:lineRule="auto"/>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C7790F">
        <w:rPr>
          <w:rFonts w:ascii="Palatino Linotype" w:eastAsia="Palatino Linotype" w:hAnsi="Palatino Linotype" w:cs="Palatino Linotype"/>
          <w:b/>
          <w:sz w:val="24"/>
          <w:szCs w:val="24"/>
        </w:rPr>
        <w:t xml:space="preserve"> </w:t>
      </w:r>
    </w:p>
    <w:p w14:paraId="7F596AB0" w14:textId="77777777" w:rsidR="00375659" w:rsidRPr="00C7790F" w:rsidRDefault="00375659">
      <w:pPr>
        <w:spacing w:after="0" w:line="360" w:lineRule="auto"/>
        <w:jc w:val="both"/>
        <w:rPr>
          <w:rFonts w:ascii="Palatino Linotype" w:eastAsia="Palatino Linotype" w:hAnsi="Palatino Linotype" w:cs="Palatino Linotype"/>
          <w:b/>
          <w:sz w:val="24"/>
          <w:szCs w:val="24"/>
        </w:rPr>
      </w:pPr>
    </w:p>
    <w:p w14:paraId="245EE477"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No existe obligación de elaborar documentos ad hoc para atender las solicitudes de acceso a la información.</w:t>
      </w:r>
      <w:r w:rsidRPr="00C7790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76F6CE3" w14:textId="77777777" w:rsidR="00375659" w:rsidRPr="00C7790F" w:rsidRDefault="00375659">
      <w:pPr>
        <w:spacing w:after="0" w:line="360" w:lineRule="auto"/>
        <w:ind w:right="-93"/>
        <w:jc w:val="both"/>
        <w:rPr>
          <w:rFonts w:ascii="Palatino Linotype" w:eastAsia="Palatino Linotype" w:hAnsi="Palatino Linotype" w:cs="Palatino Linotype"/>
        </w:rPr>
      </w:pPr>
    </w:p>
    <w:p w14:paraId="38B1417E"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2A5060" w14:textId="77777777" w:rsidR="00375659" w:rsidRPr="00C7790F" w:rsidRDefault="00375659">
      <w:pPr>
        <w:spacing w:after="0" w:line="360" w:lineRule="auto"/>
        <w:jc w:val="both"/>
        <w:rPr>
          <w:rFonts w:ascii="Palatino Linotype" w:eastAsia="Palatino Linotype" w:hAnsi="Palatino Linotype" w:cs="Palatino Linotype"/>
        </w:rPr>
      </w:pPr>
    </w:p>
    <w:p w14:paraId="095A1EF0"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61892C" w14:textId="77777777" w:rsidR="00375659" w:rsidRPr="00C7790F" w:rsidRDefault="00375659">
      <w:pPr>
        <w:spacing w:after="0" w:line="360" w:lineRule="auto"/>
        <w:ind w:right="49"/>
        <w:jc w:val="both"/>
        <w:rPr>
          <w:rFonts w:ascii="Palatino Linotype" w:eastAsia="Palatino Linotype" w:hAnsi="Palatino Linotype" w:cs="Palatino Linotype"/>
          <w:sz w:val="24"/>
          <w:szCs w:val="24"/>
        </w:rPr>
      </w:pPr>
    </w:p>
    <w:p w14:paraId="75D83F5A"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4036393" w14:textId="77777777" w:rsidR="00375659" w:rsidRPr="00C7790F" w:rsidRDefault="00375659">
      <w:pPr>
        <w:spacing w:after="0" w:line="360" w:lineRule="auto"/>
        <w:ind w:left="851" w:right="899"/>
        <w:jc w:val="both"/>
        <w:rPr>
          <w:rFonts w:ascii="Palatino Linotype" w:eastAsia="Palatino Linotype" w:hAnsi="Palatino Linotype" w:cs="Palatino Linotype"/>
          <w:i/>
        </w:rPr>
      </w:pPr>
    </w:p>
    <w:p w14:paraId="110FA5E5"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i/>
        </w:rPr>
        <w:lastRenderedPageBreak/>
        <w:t>“</w:t>
      </w:r>
      <w:r w:rsidRPr="00C7790F">
        <w:rPr>
          <w:rFonts w:ascii="Palatino Linotype" w:eastAsia="Palatino Linotype" w:hAnsi="Palatino Linotype" w:cs="Palatino Linotype"/>
          <w:b/>
          <w:i/>
        </w:rPr>
        <w:t xml:space="preserve">Artículo 3. </w:t>
      </w:r>
      <w:r w:rsidRPr="00C7790F">
        <w:rPr>
          <w:rFonts w:ascii="Palatino Linotype" w:eastAsia="Palatino Linotype" w:hAnsi="Palatino Linotype" w:cs="Palatino Linotype"/>
          <w:i/>
        </w:rPr>
        <w:t>Para los efectos de la presente Ley se entenderá por:</w:t>
      </w:r>
    </w:p>
    <w:p w14:paraId="205BEB1B"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01572508"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b/>
          <w:i/>
        </w:rPr>
        <w:t>XI. Documento:</w:t>
      </w:r>
      <w:r w:rsidRPr="00C7790F">
        <w:rPr>
          <w:rFonts w:ascii="Palatino Linotype" w:eastAsia="Palatino Linotype" w:hAnsi="Palatino Linotype" w:cs="Palatino Linotype"/>
          <w:i/>
        </w:rPr>
        <w:t xml:space="preserve"> Los expedientes, reportes, estudios, actas</w:t>
      </w:r>
      <w:r w:rsidRPr="00C7790F">
        <w:rPr>
          <w:rFonts w:ascii="Palatino Linotype" w:eastAsia="Palatino Linotype" w:hAnsi="Palatino Linotype" w:cs="Palatino Linotype"/>
          <w:b/>
          <w:i/>
        </w:rPr>
        <w:t>,</w:t>
      </w:r>
      <w:r w:rsidRPr="00C7790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7345C8E" w14:textId="77777777" w:rsidR="00375659" w:rsidRPr="00C7790F" w:rsidRDefault="00375659">
      <w:pPr>
        <w:spacing w:after="0" w:line="360" w:lineRule="auto"/>
        <w:ind w:left="851" w:right="899"/>
        <w:jc w:val="both"/>
        <w:rPr>
          <w:rFonts w:ascii="Palatino Linotype" w:eastAsia="Palatino Linotype" w:hAnsi="Palatino Linotype" w:cs="Palatino Linotype"/>
          <w:sz w:val="24"/>
          <w:szCs w:val="24"/>
        </w:rPr>
      </w:pPr>
    </w:p>
    <w:p w14:paraId="7ECF7359"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78918C6"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61885AB0" w14:textId="77777777" w:rsidR="00375659" w:rsidRPr="00C7790F" w:rsidRDefault="00A67FCF">
      <w:pPr>
        <w:spacing w:after="0" w:line="240" w:lineRule="auto"/>
        <w:ind w:left="567" w:right="616"/>
        <w:jc w:val="both"/>
        <w:rPr>
          <w:rFonts w:ascii="Palatino Linotype" w:eastAsia="Palatino Linotype" w:hAnsi="Palatino Linotype" w:cs="Palatino Linotype"/>
          <w:b/>
          <w:i/>
        </w:rPr>
      </w:pPr>
      <w:r w:rsidRPr="00C7790F">
        <w:rPr>
          <w:rFonts w:ascii="Palatino Linotype" w:eastAsia="Palatino Linotype" w:hAnsi="Palatino Linotype" w:cs="Palatino Linotype"/>
          <w:b/>
        </w:rPr>
        <w:t>“</w:t>
      </w:r>
      <w:r w:rsidRPr="00C7790F">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7790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0C0E65"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En </w:t>
      </w:r>
      <w:proofErr w:type="gramStart"/>
      <w:r w:rsidRPr="00C7790F">
        <w:rPr>
          <w:rFonts w:ascii="Palatino Linotype" w:eastAsia="Palatino Linotype" w:hAnsi="Palatino Linotype" w:cs="Palatino Linotype"/>
          <w:i/>
        </w:rPr>
        <w:t>consecuencia</w:t>
      </w:r>
      <w:proofErr w:type="gramEnd"/>
      <w:r w:rsidRPr="00C7790F">
        <w:rPr>
          <w:rFonts w:ascii="Palatino Linotype" w:eastAsia="Palatino Linotype" w:hAnsi="Palatino Linotype" w:cs="Palatino Linotype"/>
          <w:i/>
        </w:rPr>
        <w:t xml:space="preserve"> el acceso a la información se refiere a que se cumplan cualquiera de los siguientes tres supuestos:</w:t>
      </w:r>
    </w:p>
    <w:p w14:paraId="34910738" w14:textId="77777777" w:rsidR="00375659" w:rsidRPr="00C7790F" w:rsidRDefault="00A67FCF">
      <w:pPr>
        <w:spacing w:after="0" w:line="240" w:lineRule="auto"/>
        <w:ind w:left="567" w:right="616"/>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1) Que se trate de información registrada en cualquier soporte documental, </w:t>
      </w:r>
      <w:proofErr w:type="gramStart"/>
      <w:r w:rsidRPr="00C7790F">
        <w:rPr>
          <w:rFonts w:ascii="Palatino Linotype" w:eastAsia="Palatino Linotype" w:hAnsi="Palatino Linotype" w:cs="Palatino Linotype"/>
          <w:i/>
        </w:rPr>
        <w:t>que</w:t>
      </w:r>
      <w:proofErr w:type="gramEnd"/>
      <w:r w:rsidRPr="00C7790F">
        <w:rPr>
          <w:rFonts w:ascii="Palatino Linotype" w:eastAsia="Palatino Linotype" w:hAnsi="Palatino Linotype" w:cs="Palatino Linotype"/>
          <w:i/>
        </w:rPr>
        <w:t xml:space="preserve"> en ejercicio de las atribuciones conferidas, sea generada por los Sujetos Obligados;</w:t>
      </w:r>
    </w:p>
    <w:p w14:paraId="3ACEB09B" w14:textId="77777777" w:rsidR="00375659" w:rsidRPr="00C7790F" w:rsidRDefault="00A67FCF">
      <w:pPr>
        <w:spacing w:after="0" w:line="240" w:lineRule="auto"/>
        <w:ind w:left="567" w:right="616"/>
        <w:jc w:val="both"/>
        <w:rPr>
          <w:rFonts w:ascii="Palatino Linotype" w:eastAsia="Palatino Linotype" w:hAnsi="Palatino Linotype" w:cs="Palatino Linotype"/>
          <w:b/>
          <w:i/>
        </w:rPr>
      </w:pPr>
      <w:r w:rsidRPr="00C7790F">
        <w:rPr>
          <w:rFonts w:ascii="Palatino Linotype" w:eastAsia="Palatino Linotype" w:hAnsi="Palatino Linotype" w:cs="Palatino Linotype"/>
          <w:b/>
          <w:i/>
        </w:rPr>
        <w:t xml:space="preserve">2) Que se trate de información registrada en cualquier soporte documental, </w:t>
      </w:r>
      <w:proofErr w:type="gramStart"/>
      <w:r w:rsidRPr="00C7790F">
        <w:rPr>
          <w:rFonts w:ascii="Palatino Linotype" w:eastAsia="Palatino Linotype" w:hAnsi="Palatino Linotype" w:cs="Palatino Linotype"/>
          <w:b/>
          <w:i/>
        </w:rPr>
        <w:t>que</w:t>
      </w:r>
      <w:proofErr w:type="gramEnd"/>
      <w:r w:rsidRPr="00C7790F">
        <w:rPr>
          <w:rFonts w:ascii="Palatino Linotype" w:eastAsia="Palatino Linotype" w:hAnsi="Palatino Linotype" w:cs="Palatino Linotype"/>
          <w:b/>
          <w:i/>
        </w:rPr>
        <w:t xml:space="preserve"> en ejercicio de las atribuciones conferidas, sea administrada por los Sujetos Obligados, y</w:t>
      </w:r>
    </w:p>
    <w:p w14:paraId="265A0C2B" w14:textId="77777777" w:rsidR="00375659" w:rsidRPr="00C7790F" w:rsidRDefault="00A67FCF">
      <w:pPr>
        <w:spacing w:after="0" w:line="240" w:lineRule="auto"/>
        <w:ind w:left="567" w:right="616"/>
        <w:jc w:val="both"/>
        <w:rPr>
          <w:rFonts w:ascii="Palatino Linotype" w:eastAsia="Palatino Linotype" w:hAnsi="Palatino Linotype" w:cs="Palatino Linotype"/>
          <w:b/>
          <w:i/>
        </w:rPr>
      </w:pPr>
      <w:r w:rsidRPr="00C7790F">
        <w:rPr>
          <w:rFonts w:ascii="Palatino Linotype" w:eastAsia="Palatino Linotype" w:hAnsi="Palatino Linotype" w:cs="Palatino Linotype"/>
          <w:b/>
          <w:i/>
        </w:rPr>
        <w:t xml:space="preserve">3) Que se trate de información registrada en cualquier soporte documental, </w:t>
      </w:r>
      <w:proofErr w:type="gramStart"/>
      <w:r w:rsidRPr="00C7790F">
        <w:rPr>
          <w:rFonts w:ascii="Palatino Linotype" w:eastAsia="Palatino Linotype" w:hAnsi="Palatino Linotype" w:cs="Palatino Linotype"/>
          <w:b/>
          <w:i/>
        </w:rPr>
        <w:t>que</w:t>
      </w:r>
      <w:proofErr w:type="gramEnd"/>
      <w:r w:rsidRPr="00C7790F">
        <w:rPr>
          <w:rFonts w:ascii="Palatino Linotype" w:eastAsia="Palatino Linotype" w:hAnsi="Palatino Linotype" w:cs="Palatino Linotype"/>
          <w:b/>
          <w:i/>
        </w:rPr>
        <w:t xml:space="preserve"> en ejercicio de las atribuciones conferidas, se encuentre en posesión de los Sujetos Obligados.” </w:t>
      </w:r>
    </w:p>
    <w:p w14:paraId="679189A3" w14:textId="77777777" w:rsidR="00375659" w:rsidRPr="00C7790F" w:rsidRDefault="00A67FCF">
      <w:pPr>
        <w:spacing w:before="280" w:after="28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 xml:space="preserve">De ahí que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7790F">
        <w:rPr>
          <w:rFonts w:ascii="Palatino Linotype" w:eastAsia="Palatino Linotype" w:hAnsi="Palatino Linotype" w:cs="Palatino Linotype"/>
          <w:sz w:val="24"/>
          <w:szCs w:val="24"/>
          <w:vertAlign w:val="superscript"/>
        </w:rPr>
        <w:footnoteReference w:id="1"/>
      </w:r>
      <w:r w:rsidRPr="00C7790F">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7790F">
        <w:rPr>
          <w:rFonts w:ascii="Palatino Linotype" w:eastAsia="Palatino Linotype" w:hAnsi="Palatino Linotype" w:cs="Palatino Linotype"/>
          <w:sz w:val="24"/>
          <w:szCs w:val="24"/>
          <w:vertAlign w:val="superscript"/>
        </w:rPr>
        <w:footnoteReference w:id="2"/>
      </w:r>
      <w:r w:rsidRPr="00C7790F">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555A1F02" w14:textId="77777777" w:rsidR="00375659" w:rsidRPr="00C7790F" w:rsidRDefault="00375659">
      <w:pPr>
        <w:spacing w:before="280" w:after="280" w:line="360" w:lineRule="auto"/>
        <w:jc w:val="both"/>
        <w:rPr>
          <w:rFonts w:ascii="Palatino Linotype" w:eastAsia="Palatino Linotype" w:hAnsi="Palatino Linotype" w:cs="Palatino Linotype"/>
          <w:sz w:val="24"/>
          <w:szCs w:val="24"/>
        </w:rPr>
      </w:pPr>
    </w:p>
    <w:p w14:paraId="7D648609" w14:textId="77777777" w:rsidR="00375659" w:rsidRPr="00C7790F" w:rsidRDefault="00A67FCF">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De la solicitud de información, respuesta e informe justificado:</w:t>
      </w:r>
    </w:p>
    <w:p w14:paraId="14770035" w14:textId="77777777" w:rsidR="00375659" w:rsidRPr="00C7790F" w:rsidRDefault="00375659">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344FAB53" w14:textId="77777777" w:rsidR="00375659" w:rsidRPr="00C7790F" w:rsidRDefault="00A67FC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Dicho lo anterior, en el caso se analizará el agravio hecho valer por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que actualiza la causal de procedencia previstas en la fracción V del artículo 179 de la Ley de Transparencia y Acceso a la Información del Estado de México y Municipios, relativa a la entrega de información incompleta.</w:t>
      </w:r>
    </w:p>
    <w:p w14:paraId="6F6C6039" w14:textId="77777777" w:rsidR="00375659" w:rsidRPr="00C7790F" w:rsidRDefault="0037565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BB45914" w14:textId="77777777" w:rsidR="00375659" w:rsidRPr="00C7790F" w:rsidRDefault="00A67FC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Para ello, conviene iniciar el presente estudio señalando que la persona solicitante requirió lo siguiente:</w:t>
      </w:r>
    </w:p>
    <w:p w14:paraId="40CA1D2C" w14:textId="77777777" w:rsidR="00375659" w:rsidRPr="00C7790F" w:rsidRDefault="0037565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4CDF0B6" w14:textId="77777777" w:rsidR="00375659" w:rsidRPr="00C7790F" w:rsidRDefault="00A67FCF">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 xml:space="preserve">Los pagos a proveedores que quedaron pendiente (pasivo) del año 2019, 2020 y 2021, indicando número de factura, nombre de proveedor, conceptos a pagar, cantidad sin </w:t>
      </w:r>
      <w:proofErr w:type="spellStart"/>
      <w:r w:rsidRPr="00C7790F">
        <w:rPr>
          <w:rFonts w:ascii="Palatino Linotype" w:eastAsia="Palatino Linotype" w:hAnsi="Palatino Linotype" w:cs="Palatino Linotype"/>
          <w:b/>
          <w:sz w:val="24"/>
          <w:szCs w:val="24"/>
        </w:rPr>
        <w:t>iva</w:t>
      </w:r>
      <w:proofErr w:type="spellEnd"/>
      <w:r w:rsidRPr="00C7790F">
        <w:rPr>
          <w:rFonts w:ascii="Palatino Linotype" w:eastAsia="Palatino Linotype" w:hAnsi="Palatino Linotype" w:cs="Palatino Linotype"/>
          <w:b/>
          <w:sz w:val="24"/>
          <w:szCs w:val="24"/>
        </w:rPr>
        <w:t xml:space="preserve">, </w:t>
      </w:r>
      <w:proofErr w:type="spellStart"/>
      <w:r w:rsidRPr="00C7790F">
        <w:rPr>
          <w:rFonts w:ascii="Palatino Linotype" w:eastAsia="Palatino Linotype" w:hAnsi="Palatino Linotype" w:cs="Palatino Linotype"/>
          <w:b/>
          <w:sz w:val="24"/>
          <w:szCs w:val="24"/>
        </w:rPr>
        <w:t>iva</w:t>
      </w:r>
      <w:proofErr w:type="spellEnd"/>
      <w:r w:rsidRPr="00C7790F">
        <w:rPr>
          <w:rFonts w:ascii="Palatino Linotype" w:eastAsia="Palatino Linotype" w:hAnsi="Palatino Linotype" w:cs="Palatino Linotype"/>
          <w:b/>
          <w:sz w:val="24"/>
          <w:szCs w:val="24"/>
        </w:rPr>
        <w:t xml:space="preserve"> de la factura, fecha de pago, indicando además cuanto se </w:t>
      </w:r>
      <w:proofErr w:type="gramStart"/>
      <w:r w:rsidRPr="00C7790F">
        <w:rPr>
          <w:rFonts w:ascii="Palatino Linotype" w:eastAsia="Palatino Linotype" w:hAnsi="Palatino Linotype" w:cs="Palatino Linotype"/>
          <w:b/>
          <w:sz w:val="24"/>
          <w:szCs w:val="24"/>
        </w:rPr>
        <w:t>le</w:t>
      </w:r>
      <w:proofErr w:type="gramEnd"/>
      <w:r w:rsidRPr="00C7790F">
        <w:rPr>
          <w:rFonts w:ascii="Palatino Linotype" w:eastAsia="Palatino Linotype" w:hAnsi="Palatino Linotype" w:cs="Palatino Linotype"/>
          <w:b/>
          <w:sz w:val="24"/>
          <w:szCs w:val="24"/>
        </w:rPr>
        <w:t xml:space="preserve"> adeuda a dichos proveedores.</w:t>
      </w:r>
    </w:p>
    <w:p w14:paraId="0B9833C9" w14:textId="77777777" w:rsidR="00375659" w:rsidRPr="00C7790F" w:rsidRDefault="00A67FCF">
      <w:pPr>
        <w:spacing w:before="240" w:after="240" w:line="360" w:lineRule="auto"/>
        <w:ind w:right="49"/>
        <w:jc w:val="both"/>
        <w:rPr>
          <w:rFonts w:ascii="Palatino Linotype" w:eastAsia="Palatino Linotype" w:hAnsi="Palatino Linotype" w:cs="Palatino Linotype"/>
        </w:rPr>
      </w:pPr>
      <w:r w:rsidRPr="00C7790F">
        <w:rPr>
          <w:rFonts w:ascii="Palatino Linotype" w:eastAsia="Palatino Linotype" w:hAnsi="Palatino Linotype" w:cs="Palatino Linotype"/>
          <w:sz w:val="24"/>
          <w:szCs w:val="24"/>
        </w:rPr>
        <w:t xml:space="preserve">En respuesta, el </w:t>
      </w:r>
      <w:r w:rsidRPr="00C7790F">
        <w:rPr>
          <w:rFonts w:ascii="Palatino Linotype" w:eastAsia="Palatino Linotype" w:hAnsi="Palatino Linotype" w:cs="Palatino Linotype"/>
          <w:b/>
          <w:sz w:val="24"/>
          <w:szCs w:val="24"/>
        </w:rPr>
        <w:t xml:space="preserve">Sujeto Obligado </w:t>
      </w:r>
      <w:r w:rsidRPr="00C7790F">
        <w:rPr>
          <w:rFonts w:ascii="Palatino Linotype" w:eastAsia="Palatino Linotype" w:hAnsi="Palatino Linotype" w:cs="Palatino Linotype"/>
          <w:sz w:val="24"/>
          <w:szCs w:val="24"/>
        </w:rPr>
        <w:t xml:space="preserve">a través de Tesorero Municipal señaló que la información con la que cuenta es de forma general, de tal manera hace entrega en tres documentos el Estado analítico de la deuda y otros pasivos de los años 2019, 2020 y 2021. </w:t>
      </w:r>
    </w:p>
    <w:p w14:paraId="69076C4D"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No conforme con la respuesta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interpuso el recurso de revisión que se analiza en el presente asunto, por medio del cual se inconformó porque le entregaron la información de manera incompleta.</w:t>
      </w:r>
    </w:p>
    <w:p w14:paraId="5CD2AE59" w14:textId="77777777" w:rsidR="00375659" w:rsidRPr="00C7790F" w:rsidRDefault="00A67FCF">
      <w:pPr>
        <w:spacing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Ante la interposición del recurso de revisión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rindió su informe justificado mediante el cual en lo medular ratificó su respuesta inicial. </w:t>
      </w:r>
    </w:p>
    <w:p w14:paraId="19776726" w14:textId="77777777" w:rsidR="00375659" w:rsidRPr="00C7790F" w:rsidRDefault="00A67FCF">
      <w:pPr>
        <w:spacing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Con base en lo precedente, se determina que la información proporcionada por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en su respuesta, cumple parcialmente con lo establecido por los artículos 4, 12 y 24 último párrafo de la Ley de Transparencia y Acceso a la Información Pública del Estado de México y Municipios; por ello, los motivos de inconformidad </w:t>
      </w:r>
      <w:r w:rsidRPr="00C7790F">
        <w:rPr>
          <w:rFonts w:ascii="Palatino Linotype" w:eastAsia="Palatino Linotype" w:hAnsi="Palatino Linotype" w:cs="Palatino Linotype"/>
          <w:sz w:val="24"/>
          <w:szCs w:val="24"/>
        </w:rPr>
        <w:lastRenderedPageBreak/>
        <w:t xml:space="preserve">acontecen fundados para modificar la respuesta del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en razón de las consideraciones de derecho que a continuación se exponen:</w:t>
      </w:r>
    </w:p>
    <w:p w14:paraId="14BCD5FA" w14:textId="77777777" w:rsidR="00375659" w:rsidRPr="00C7790F" w:rsidRDefault="00A67FCF">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De la naturaleza de la información requerida vía acceso a la información pública:</w:t>
      </w:r>
    </w:p>
    <w:p w14:paraId="2B69A200" w14:textId="77777777" w:rsidR="00375659" w:rsidRPr="00C7790F" w:rsidRDefault="00A67FC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0E78AD19" w14:textId="77777777" w:rsidR="00375659" w:rsidRPr="00C7790F" w:rsidRDefault="00A67FCF">
      <w:pPr>
        <w:spacing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Antes del estudio de fondo, es pertinente señalar que se entiende por “pasivos”, el cual es definido por el Diccionario de la Real Academia Española, como:</w:t>
      </w:r>
    </w:p>
    <w:p w14:paraId="46955C6B" w14:textId="77777777" w:rsidR="00375659" w:rsidRPr="00C7790F" w:rsidRDefault="00A67FCF">
      <w:pPr>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“Valor monetario total de las deudas y compromisos que gravan a una empresa, institución o individuo, y que se reflejan en su contabilidad.” </w:t>
      </w:r>
    </w:p>
    <w:p w14:paraId="6B074185" w14:textId="77777777" w:rsidR="00375659" w:rsidRPr="00C7790F" w:rsidRDefault="00A67FCF">
      <w:pPr>
        <w:spacing w:before="240" w:after="240" w:line="360" w:lineRule="auto"/>
        <w:ind w:right="51"/>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Esto es, la cantidad de dinero que se le debe a una persona física o jurídica colectiva por la prestación o venta de un servicio o bienes. </w:t>
      </w:r>
    </w:p>
    <w:p w14:paraId="1069848E" w14:textId="77777777" w:rsidR="00375659" w:rsidRPr="00C7790F" w:rsidRDefault="00A67FCF">
      <w:pPr>
        <w:spacing w:before="240" w:after="240" w:line="360" w:lineRule="auto"/>
        <w:ind w:right="51"/>
        <w:jc w:val="both"/>
        <w:rPr>
          <w:rFonts w:ascii="Palatino Linotype" w:eastAsia="Palatino Linotype" w:hAnsi="Palatino Linotype" w:cs="Palatino Linotype"/>
          <w:sz w:val="24"/>
          <w:szCs w:val="24"/>
        </w:rPr>
      </w:pPr>
      <w:bookmarkStart w:id="4" w:name="_heading=h.1fob9te" w:colFirst="0" w:colLast="0"/>
      <w:bookmarkEnd w:id="4"/>
      <w:r w:rsidRPr="00C7790F">
        <w:rPr>
          <w:rFonts w:ascii="Palatino Linotype" w:eastAsia="Palatino Linotype" w:hAnsi="Palatino Linotype" w:cs="Palatino Linotype"/>
          <w:sz w:val="24"/>
          <w:szCs w:val="24"/>
        </w:rPr>
        <w:t>En ese sentido, sobre la deuda pública, es necesario señalar que artículo 117 fracción VIII de la Constitución Política de los Estados Unidos Mexicanos, establece que las obligaciones de deuda pública estarán destinadas al financiamiento de inversiones públicas productivas; a la prestación de servicios públicos que en forma directa o mediata generen recursos públicos, incluyendo sin limitar, la contratación de obligaciones de deuda para el pago de pasivos anteriores o la reestructuración de pasivos a cargo de los Municipios, por lo que no debe pasar desapercibido que el Código Financiero del Estado de México y Municipios establece que la deuda pública está constituida por las obligaciones de pasivo directas, indirectas o contingentes, derivadas de financiamientos a cargo de los entes públicos, sobre el particular es conveniente agregar que el artículo 259 fracción II del Código Financiero vigente en la entidad refiere lo siguiente:</w:t>
      </w:r>
    </w:p>
    <w:p w14:paraId="3B0EEB2B"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lastRenderedPageBreak/>
        <w:t>“Artículo 259.-</w:t>
      </w:r>
      <w:r w:rsidRPr="00C7790F">
        <w:rPr>
          <w:rFonts w:ascii="Palatino Linotype" w:eastAsia="Palatino Linotype" w:hAnsi="Palatino Linotype" w:cs="Palatino Linotype"/>
          <w:i/>
        </w:rPr>
        <w:t xml:space="preserve"> La </w:t>
      </w:r>
      <w:r w:rsidRPr="00C7790F">
        <w:rPr>
          <w:rFonts w:ascii="Palatino Linotype" w:eastAsia="Palatino Linotype" w:hAnsi="Palatino Linotype" w:cs="Palatino Linotype"/>
          <w:b/>
          <w:i/>
          <w:u w:val="single"/>
        </w:rPr>
        <w:t>deuda pública se integra</w:t>
      </w:r>
      <w:r w:rsidRPr="00C7790F">
        <w:rPr>
          <w:rFonts w:ascii="Palatino Linotype" w:eastAsia="Palatino Linotype" w:hAnsi="Palatino Linotype" w:cs="Palatino Linotype"/>
          <w:i/>
        </w:rPr>
        <w:t xml:space="preserve"> por: </w:t>
      </w:r>
    </w:p>
    <w:p w14:paraId="46609136"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t>…</w:t>
      </w:r>
    </w:p>
    <w:p w14:paraId="01AF8E20"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II. La deuda pública de los municipios: </w:t>
      </w:r>
    </w:p>
    <w:p w14:paraId="46EC1C5E"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A). Directa, la que contraten los ayuntamientos. </w:t>
      </w:r>
    </w:p>
    <w:p w14:paraId="6B092B93"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B). Indirecta, la que contraten los organismos públicos descentralizados municipales, empresas de participación municipal mayoritaria y fideicomisos en los que el fideicomitente sea el propio ayuntamiento. </w:t>
      </w:r>
    </w:p>
    <w:p w14:paraId="59D986AF"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C). Contingente, cualquier financiamiento sin fuente o garantía de pago definida, que sea asumida de manera solidaria o subsidiaria por los municipios con sus respectivos organismos descentralizados y empresas de participación municipal mayoritaria.” </w:t>
      </w:r>
    </w:p>
    <w:p w14:paraId="0910D127" w14:textId="77777777" w:rsidR="00375659" w:rsidRPr="00C7790F" w:rsidRDefault="00A67FCF">
      <w:pPr>
        <w:tabs>
          <w:tab w:val="left" w:pos="709"/>
        </w:tabs>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En este mismo sentido es conveniente agregar que el numeral 273 del cuerpo legal en comento entre otras cosas refiere que todas las obligaciones de pasivo directas, indirectas y contingentes que contraigan los entes públicos, entre ellos el Ayuntamiento de Toluca, es considerado como obligación de transparencia en términos de lo señalado por el artículo 92 fracción XXVI de la Ley de la Materia, que señala:</w:t>
      </w:r>
    </w:p>
    <w:p w14:paraId="65347605"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A08824"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31939D41" w14:textId="77777777" w:rsidR="00375659" w:rsidRPr="00C7790F" w:rsidRDefault="00A67FCF">
      <w:pPr>
        <w:tabs>
          <w:tab w:val="left" w:pos="709"/>
        </w:tabs>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XXVI. La información relativa a la deuda pública, en términos de las disposiciones jurídicas aplicables…” </w:t>
      </w:r>
    </w:p>
    <w:p w14:paraId="070487BB"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Por otro lado, el Órgano Superior de Fiscalización del Estado de México (OSFEM), emite anualmente los Lineamientos para definir los criterios, formatos y documentación necesaria para presentar los informes trimestrales, donde se detalla la información en 4 módulos, los cuales deberán entregarse trimestralmente al OSFEM, y de los que destaca, en relación con el análisis que nos ocupa, el “Modulo 1”, dentro del cual se encuentra lo relativo a la deuda pública, como se observa en las siguiente imágenes que se inserta a continuación de manera ilustrativa:</w:t>
      </w:r>
    </w:p>
    <w:p w14:paraId="53D7BE7D" w14:textId="77777777" w:rsidR="00375659" w:rsidRPr="00C7790F" w:rsidRDefault="00A67FCF">
      <w:pPr>
        <w:spacing w:before="240" w:after="240" w:line="360" w:lineRule="auto"/>
        <w:jc w:val="center"/>
        <w:rPr>
          <w:rFonts w:ascii="Palatino Linotype" w:eastAsia="Palatino Linotype" w:hAnsi="Palatino Linotype" w:cs="Palatino Linotype"/>
          <w:sz w:val="24"/>
          <w:szCs w:val="24"/>
        </w:rPr>
      </w:pPr>
      <w:r w:rsidRPr="00C7790F">
        <w:rPr>
          <w:rFonts w:ascii="Palatino Linotype" w:eastAsia="Palatino Linotype" w:hAnsi="Palatino Linotype" w:cs="Palatino Linotype"/>
          <w:noProof/>
          <w:sz w:val="24"/>
          <w:szCs w:val="24"/>
        </w:rPr>
        <w:drawing>
          <wp:inline distT="0" distB="0" distL="0" distR="0" wp14:anchorId="14C485CA" wp14:editId="524D61D6">
            <wp:extent cx="4908120" cy="2280949"/>
            <wp:effectExtent l="3175" t="3175" r="3175" b="3175"/>
            <wp:docPr id="214590849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908120" cy="2280949"/>
                    </a:xfrm>
                    <a:prstGeom prst="rect">
                      <a:avLst/>
                    </a:prstGeom>
                    <a:ln w="3175">
                      <a:solidFill>
                        <a:srgbClr val="000000"/>
                      </a:solidFill>
                      <a:prstDash val="solid"/>
                    </a:ln>
                  </pic:spPr>
                </pic:pic>
              </a:graphicData>
            </a:graphic>
          </wp:inline>
        </w:drawing>
      </w:r>
    </w:p>
    <w:p w14:paraId="16B3AC09" w14:textId="77777777" w:rsidR="00375659" w:rsidRPr="00C7790F" w:rsidRDefault="00A67FCF">
      <w:pPr>
        <w:spacing w:before="240" w:after="240" w:line="360" w:lineRule="auto"/>
        <w:jc w:val="center"/>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7DAF2535" wp14:editId="4333539F">
            <wp:extent cx="4890404" cy="3405357"/>
            <wp:effectExtent l="3175" t="3175" r="3175" b="3175"/>
            <wp:docPr id="21459084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890404" cy="3405357"/>
                    </a:xfrm>
                    <a:prstGeom prst="rect">
                      <a:avLst/>
                    </a:prstGeom>
                    <a:ln w="3175">
                      <a:solidFill>
                        <a:srgbClr val="000000"/>
                      </a:solidFill>
                      <a:prstDash val="solid"/>
                    </a:ln>
                  </pic:spPr>
                </pic:pic>
              </a:graphicData>
            </a:graphic>
          </wp:inline>
        </w:drawing>
      </w:r>
    </w:p>
    <w:p w14:paraId="05DB9AF5" w14:textId="77777777" w:rsidR="00375659" w:rsidRPr="00C7790F" w:rsidRDefault="00A67FCF">
      <w:pPr>
        <w:spacing w:before="240" w:after="240" w:line="360" w:lineRule="auto"/>
        <w:jc w:val="center"/>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231BCDDC" wp14:editId="7CB53541">
            <wp:extent cx="5148749" cy="3338578"/>
            <wp:effectExtent l="3175" t="3175" r="3175" b="3175"/>
            <wp:docPr id="21459085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148749" cy="3338578"/>
                    </a:xfrm>
                    <a:prstGeom prst="rect">
                      <a:avLst/>
                    </a:prstGeom>
                    <a:ln w="3175">
                      <a:solidFill>
                        <a:srgbClr val="000000"/>
                      </a:solidFill>
                      <a:prstDash val="solid"/>
                    </a:ln>
                  </pic:spPr>
                </pic:pic>
              </a:graphicData>
            </a:graphic>
          </wp:inline>
        </w:drawing>
      </w:r>
    </w:p>
    <w:p w14:paraId="54D459A2" w14:textId="77777777" w:rsidR="00375659" w:rsidRPr="00C7790F" w:rsidRDefault="00A67FCF">
      <w:pPr>
        <w:spacing w:before="240" w:after="240" w:line="360" w:lineRule="auto"/>
        <w:jc w:val="center"/>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4EC8F1A1" wp14:editId="0DEA8070">
            <wp:extent cx="5149699" cy="3429315"/>
            <wp:effectExtent l="3175" t="3175" r="3175" b="3175"/>
            <wp:docPr id="21459085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149699" cy="3429315"/>
                    </a:xfrm>
                    <a:prstGeom prst="rect">
                      <a:avLst/>
                    </a:prstGeom>
                    <a:ln w="3175">
                      <a:solidFill>
                        <a:srgbClr val="000000"/>
                      </a:solidFill>
                      <a:prstDash val="solid"/>
                    </a:ln>
                  </pic:spPr>
                </pic:pic>
              </a:graphicData>
            </a:graphic>
          </wp:inline>
        </w:drawing>
      </w:r>
    </w:p>
    <w:p w14:paraId="717F7144" w14:textId="77777777" w:rsidR="00375659" w:rsidRPr="00C7790F" w:rsidRDefault="00A67FCF">
      <w:pPr>
        <w:spacing w:before="240" w:after="240" w:line="360" w:lineRule="auto"/>
        <w:ind w:right="-142"/>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Tal y como señalaron los citados lineamientos,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14:paraId="4129409A" w14:textId="77777777" w:rsidR="00375659" w:rsidRPr="00C7790F" w:rsidRDefault="00A67FCF">
      <w:pPr>
        <w:spacing w:line="360" w:lineRule="auto"/>
        <w:jc w:val="both"/>
        <w:rPr>
          <w:rFonts w:ascii="Palatino Linotype" w:eastAsia="Palatino Linotype" w:hAnsi="Palatino Linotype" w:cs="Palatino Linotype"/>
          <w:b/>
          <w:sz w:val="24"/>
          <w:szCs w:val="24"/>
          <w:u w:val="single"/>
        </w:rPr>
      </w:pPr>
      <w:r w:rsidRPr="00C7790F">
        <w:rPr>
          <w:rFonts w:ascii="Palatino Linotype" w:eastAsia="Palatino Linotype" w:hAnsi="Palatino Linotype" w:cs="Palatino Linotype"/>
          <w:sz w:val="24"/>
          <w:szCs w:val="24"/>
        </w:rPr>
        <w:t xml:space="preserve">Ahora bien, en cuanto, punto de la solicitud en donde se solicitó </w:t>
      </w:r>
      <w:r w:rsidRPr="00C7790F">
        <w:rPr>
          <w:rFonts w:ascii="Palatino Linotype" w:eastAsia="Palatino Linotype" w:hAnsi="Palatino Linotype" w:cs="Palatino Linotype"/>
          <w:b/>
          <w:sz w:val="24"/>
          <w:szCs w:val="24"/>
          <w:u w:val="single"/>
        </w:rPr>
        <w:t>la información detallada de los pagos a proveedores que quedaron pendiente (pasivo) del año 2019 a 2021.</w:t>
      </w:r>
    </w:p>
    <w:p w14:paraId="66A03A5F"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El </w:t>
      </w:r>
      <w:r w:rsidRPr="00C7790F">
        <w:rPr>
          <w:rFonts w:ascii="Palatino Linotype" w:eastAsia="Palatino Linotype" w:hAnsi="Palatino Linotype" w:cs="Palatino Linotype"/>
          <w:b/>
          <w:sz w:val="24"/>
          <w:szCs w:val="24"/>
        </w:rPr>
        <w:t xml:space="preserve">Sujeto Obligado </w:t>
      </w:r>
      <w:r w:rsidRPr="00C7790F">
        <w:rPr>
          <w:rFonts w:ascii="Palatino Linotype" w:eastAsia="Palatino Linotype" w:hAnsi="Palatino Linotype" w:cs="Palatino Linotype"/>
          <w:sz w:val="24"/>
          <w:szCs w:val="24"/>
        </w:rPr>
        <w:t xml:space="preserve">a través de su Tesorero Municipal, entregó diversos documentos que contienen el estado analítico de la deuda y otros pasivos del primero de enero al </w:t>
      </w:r>
      <w:r w:rsidRPr="00C7790F">
        <w:rPr>
          <w:rFonts w:ascii="Palatino Linotype" w:eastAsia="Palatino Linotype" w:hAnsi="Palatino Linotype" w:cs="Palatino Linotype"/>
          <w:sz w:val="24"/>
          <w:szCs w:val="24"/>
        </w:rPr>
        <w:lastRenderedPageBreak/>
        <w:t>treinta y uno de diciembre de dos mil diecinueve, del primero de enero al treinta y uno de diciembre de dos mil veinte y del primero de octubre al treinta y uno de diciembre de dos mil veintiuno, en donde se observa la deuda a los proveedores del periodo 2019-2021, como se muestra a continuación de las imágenes siguientes:</w:t>
      </w:r>
    </w:p>
    <w:p w14:paraId="2BEC33F7"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Estado analítico de la deuda y otros pasivos del periodo comprendido del primero de enero al treinta y uno de diciembre del año dos mil veinte, en donde se observa la deuda a proveedores en dicho periodo:</w:t>
      </w:r>
    </w:p>
    <w:p w14:paraId="1F926253"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784DFF15" wp14:editId="633FC3E2">
            <wp:extent cx="5510915" cy="3765813"/>
            <wp:effectExtent l="0" t="0" r="0" b="0"/>
            <wp:docPr id="21459085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10915" cy="3765813"/>
                    </a:xfrm>
                    <a:prstGeom prst="rect">
                      <a:avLst/>
                    </a:prstGeom>
                    <a:ln/>
                  </pic:spPr>
                </pic:pic>
              </a:graphicData>
            </a:graphic>
          </wp:inline>
        </w:drawing>
      </w:r>
    </w:p>
    <w:p w14:paraId="4DD2CA97"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Estado analítico de la deuda y otros pasivos del periodo comprendido del primero de enero al treinta y uno de diciembre del año dos mil diecinueve, en donde se observa la deuda a proveedores 2019-2021, como se observa en las siguientes imágenes que se insertan a continuación a manera de ejemplo:</w:t>
      </w:r>
    </w:p>
    <w:p w14:paraId="2AB2E4CA"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204AADAA" wp14:editId="6BF51032">
            <wp:extent cx="5523757" cy="1643720"/>
            <wp:effectExtent l="3175" t="3175" r="3175" b="3175"/>
            <wp:docPr id="21459085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54637"/>
                    <a:stretch>
                      <a:fillRect/>
                    </a:stretch>
                  </pic:blipFill>
                  <pic:spPr>
                    <a:xfrm>
                      <a:off x="0" y="0"/>
                      <a:ext cx="5523757" cy="1643720"/>
                    </a:xfrm>
                    <a:prstGeom prst="rect">
                      <a:avLst/>
                    </a:prstGeom>
                    <a:ln w="3175">
                      <a:solidFill>
                        <a:srgbClr val="000000"/>
                      </a:solidFill>
                      <a:prstDash val="solid"/>
                    </a:ln>
                  </pic:spPr>
                </pic:pic>
              </a:graphicData>
            </a:graphic>
          </wp:inline>
        </w:drawing>
      </w:r>
      <w:r w:rsidRPr="00C7790F">
        <w:rPr>
          <w:noProof/>
        </w:rPr>
        <mc:AlternateContent>
          <mc:Choice Requires="wpg">
            <w:drawing>
              <wp:anchor distT="0" distB="0" distL="114300" distR="114300" simplePos="0" relativeHeight="251658240" behindDoc="0" locked="0" layoutInCell="1" hidden="0" allowOverlap="1" wp14:anchorId="337B4C45" wp14:editId="1C29C185">
                <wp:simplePos x="0" y="0"/>
                <wp:positionH relativeFrom="column">
                  <wp:posOffset>850900</wp:posOffset>
                </wp:positionH>
                <wp:positionV relativeFrom="paragraph">
                  <wp:posOffset>622300</wp:posOffset>
                </wp:positionV>
                <wp:extent cx="467962" cy="699530"/>
                <wp:effectExtent l="0" t="0" r="0" b="0"/>
                <wp:wrapNone/>
                <wp:docPr id="2145908491" name="Flecha arriba 2145908491"/>
                <wp:cNvGraphicFramePr/>
                <a:graphic xmlns:a="http://schemas.openxmlformats.org/drawingml/2006/main">
                  <a:graphicData uri="http://schemas.microsoft.com/office/word/2010/wordprocessingShape">
                    <wps:wsp>
                      <wps:cNvSpPr/>
                      <wps:spPr>
                        <a:xfrm rot="10800000">
                          <a:off x="5116782" y="3434997"/>
                          <a:ext cx="458437" cy="690006"/>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1F7363CE" w14:textId="77777777" w:rsidR="00375659" w:rsidRDefault="00375659">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850900</wp:posOffset>
                </wp:positionH>
                <wp:positionV relativeFrom="paragraph">
                  <wp:posOffset>622300</wp:posOffset>
                </wp:positionV>
                <wp:extent cx="467962" cy="699530"/>
                <wp:effectExtent b="0" l="0" r="0" t="0"/>
                <wp:wrapNone/>
                <wp:docPr id="2145908491"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467962" cy="699530"/>
                        </a:xfrm>
                        <a:prstGeom prst="rect"/>
                        <a:ln/>
                      </pic:spPr>
                    </pic:pic>
                  </a:graphicData>
                </a:graphic>
              </wp:anchor>
            </w:drawing>
          </mc:Fallback>
        </mc:AlternateContent>
      </w:r>
    </w:p>
    <w:p w14:paraId="2BFFDC5F"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rPr>
        <w:t>[…]</w:t>
      </w:r>
    </w:p>
    <w:p w14:paraId="11B5EAD4"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08F1C59D" wp14:editId="3E36D7A6">
            <wp:extent cx="5520436" cy="3704884"/>
            <wp:effectExtent l="3175" t="3175" r="3175" b="3175"/>
            <wp:docPr id="21459085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20436" cy="3704884"/>
                    </a:xfrm>
                    <a:prstGeom prst="rect">
                      <a:avLst/>
                    </a:prstGeom>
                    <a:ln w="3175">
                      <a:solidFill>
                        <a:srgbClr val="000000"/>
                      </a:solidFill>
                      <a:prstDash val="solid"/>
                    </a:ln>
                  </pic:spPr>
                </pic:pic>
              </a:graphicData>
            </a:graphic>
          </wp:inline>
        </w:drawing>
      </w:r>
    </w:p>
    <w:p w14:paraId="0AFE70FB"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rPr>
        <w:t>[…]”</w:t>
      </w:r>
    </w:p>
    <w:p w14:paraId="5E40F5DE" w14:textId="77777777" w:rsidR="00375659" w:rsidRPr="00C7790F" w:rsidRDefault="00A67FC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7790F">
        <w:rPr>
          <w:rFonts w:ascii="Palatino Linotype" w:eastAsia="Palatino Linotype" w:hAnsi="Palatino Linotype" w:cs="Palatino Linotype"/>
        </w:rPr>
        <w:t>Estado analítico de la deuda y otros pasivos del periodo comprendido del primero de octubre al treinta y uno de diciembre del año del año dos mil veintiuno, en donde se observa la deuda a proveedores 2019-2021, como se observa en las siguientes imágenes que se insertan a continuación a manera de ejemplo:</w:t>
      </w:r>
    </w:p>
    <w:p w14:paraId="7D2537B0"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58FBDD4F" wp14:editId="51661004">
            <wp:extent cx="5590686" cy="1339645"/>
            <wp:effectExtent l="3175" t="3175" r="3175" b="3175"/>
            <wp:docPr id="21459085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90686" cy="1339645"/>
                    </a:xfrm>
                    <a:prstGeom prst="rect">
                      <a:avLst/>
                    </a:prstGeom>
                    <a:ln w="3175">
                      <a:solidFill>
                        <a:srgbClr val="000000"/>
                      </a:solidFill>
                      <a:prstDash val="solid"/>
                    </a:ln>
                  </pic:spPr>
                </pic:pic>
              </a:graphicData>
            </a:graphic>
          </wp:inline>
        </w:drawing>
      </w:r>
      <w:r w:rsidRPr="00C7790F">
        <w:rPr>
          <w:noProof/>
        </w:rPr>
        <mc:AlternateContent>
          <mc:Choice Requires="wpg">
            <w:drawing>
              <wp:anchor distT="0" distB="0" distL="114300" distR="114300" simplePos="0" relativeHeight="251659264" behindDoc="0" locked="0" layoutInCell="1" hidden="0" allowOverlap="1" wp14:anchorId="53814E02" wp14:editId="229A736D">
                <wp:simplePos x="0" y="0"/>
                <wp:positionH relativeFrom="column">
                  <wp:posOffset>660400</wp:posOffset>
                </wp:positionH>
                <wp:positionV relativeFrom="paragraph">
                  <wp:posOffset>495300</wp:posOffset>
                </wp:positionV>
                <wp:extent cx="467962" cy="699531"/>
                <wp:effectExtent l="0" t="0" r="0" b="0"/>
                <wp:wrapNone/>
                <wp:docPr id="2145908489" name="Flecha arriba 2145908489"/>
                <wp:cNvGraphicFramePr/>
                <a:graphic xmlns:a="http://schemas.openxmlformats.org/drawingml/2006/main">
                  <a:graphicData uri="http://schemas.microsoft.com/office/word/2010/wordprocessingShape">
                    <wps:wsp>
                      <wps:cNvSpPr/>
                      <wps:spPr>
                        <a:xfrm>
                          <a:off x="5116782" y="3434997"/>
                          <a:ext cx="458437" cy="690006"/>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16DC68B" w14:textId="77777777" w:rsidR="00375659" w:rsidRDefault="00375659">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660400</wp:posOffset>
                </wp:positionH>
                <wp:positionV relativeFrom="paragraph">
                  <wp:posOffset>495300</wp:posOffset>
                </wp:positionV>
                <wp:extent cx="467962" cy="699531"/>
                <wp:effectExtent b="0" l="0" r="0" t="0"/>
                <wp:wrapNone/>
                <wp:docPr id="2145908489"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467962" cy="699531"/>
                        </a:xfrm>
                        <a:prstGeom prst="rect"/>
                        <a:ln/>
                      </pic:spPr>
                    </pic:pic>
                  </a:graphicData>
                </a:graphic>
              </wp:anchor>
            </w:drawing>
          </mc:Fallback>
        </mc:AlternateContent>
      </w:r>
    </w:p>
    <w:p w14:paraId="17D64650" w14:textId="77777777" w:rsidR="00375659" w:rsidRPr="00C7790F" w:rsidRDefault="00A67FC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1A4AE821" wp14:editId="46B7F10F">
            <wp:extent cx="5547062" cy="2937811"/>
            <wp:effectExtent l="3175" t="3175" r="3175" b="3175"/>
            <wp:docPr id="21459085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47062" cy="2937811"/>
                    </a:xfrm>
                    <a:prstGeom prst="rect">
                      <a:avLst/>
                    </a:prstGeom>
                    <a:ln w="3175">
                      <a:solidFill>
                        <a:srgbClr val="000000"/>
                      </a:solidFill>
                      <a:prstDash val="solid"/>
                    </a:ln>
                  </pic:spPr>
                </pic:pic>
              </a:graphicData>
            </a:graphic>
          </wp:inline>
        </w:drawing>
      </w:r>
    </w:p>
    <w:p w14:paraId="125429C8" w14:textId="77777777" w:rsidR="00375659" w:rsidRPr="00C7790F" w:rsidRDefault="00A67FC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C7790F">
        <w:rPr>
          <w:rFonts w:ascii="Palatino Linotype" w:eastAsia="Palatino Linotype" w:hAnsi="Palatino Linotype" w:cs="Palatino Linotype"/>
        </w:rPr>
        <w:t>[…]”</w:t>
      </w:r>
    </w:p>
    <w:p w14:paraId="41D39268"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Colmando con lo anterior, el derecho de acceso a la información pública del particular, respecto al requerimiento relativo a los proveedores y el monto que se adeuda a cada uno de 2019-2021, en razón de que la Tesorería Municipal del Ayuntamiento de Toluca, es el área competente para conocer de la información en términos de lo señalado por el artículo 95 fracción IV de la Ley Orgánica Municipal del Estado de México, que señala:</w:t>
      </w:r>
    </w:p>
    <w:p w14:paraId="6CA474D3" w14:textId="77777777" w:rsidR="00375659" w:rsidRPr="00C7790F" w:rsidRDefault="00A67FCF">
      <w:pPr>
        <w:tabs>
          <w:tab w:val="left" w:pos="709"/>
        </w:tabs>
        <w:spacing w:after="0"/>
        <w:ind w:left="851" w:right="851"/>
        <w:jc w:val="both"/>
        <w:rPr>
          <w:rFonts w:ascii="Palatino Linotype" w:eastAsia="Palatino Linotype" w:hAnsi="Palatino Linotype" w:cs="Palatino Linotype"/>
          <w:b/>
          <w:i/>
        </w:rPr>
      </w:pPr>
      <w:r w:rsidRPr="00C7790F">
        <w:rPr>
          <w:rFonts w:ascii="Palatino Linotype" w:eastAsia="Palatino Linotype" w:hAnsi="Palatino Linotype" w:cs="Palatino Linotype"/>
          <w:i/>
        </w:rPr>
        <w:t xml:space="preserve">“Artículo 95.- </w:t>
      </w:r>
      <w:r w:rsidRPr="00C7790F">
        <w:rPr>
          <w:rFonts w:ascii="Palatino Linotype" w:eastAsia="Palatino Linotype" w:hAnsi="Palatino Linotype" w:cs="Palatino Linotype"/>
          <w:b/>
          <w:i/>
        </w:rPr>
        <w:t>Son atribuciones del tesorero municipal:</w:t>
      </w:r>
    </w:p>
    <w:p w14:paraId="7C22A2B5" w14:textId="77777777" w:rsidR="00375659" w:rsidRPr="00C7790F" w:rsidRDefault="00A67FCF">
      <w:pPr>
        <w:tabs>
          <w:tab w:val="left" w:pos="709"/>
        </w:tabs>
        <w:spacing w:after="0"/>
        <w:ind w:left="851" w:right="851"/>
        <w:jc w:val="both"/>
        <w:rPr>
          <w:rFonts w:ascii="Palatino Linotype" w:eastAsia="Palatino Linotype" w:hAnsi="Palatino Linotype" w:cs="Palatino Linotype"/>
          <w:b/>
          <w:i/>
        </w:rPr>
      </w:pPr>
      <w:r w:rsidRPr="00C7790F">
        <w:rPr>
          <w:rFonts w:ascii="Palatino Linotype" w:eastAsia="Palatino Linotype" w:hAnsi="Palatino Linotype" w:cs="Palatino Linotype"/>
          <w:b/>
          <w:i/>
        </w:rPr>
        <w:t>…</w:t>
      </w:r>
    </w:p>
    <w:p w14:paraId="57C8F4DC" w14:textId="77777777" w:rsidR="00375659" w:rsidRPr="00C7790F" w:rsidRDefault="00A67FCF">
      <w:pPr>
        <w:tabs>
          <w:tab w:val="left" w:pos="709"/>
        </w:tabs>
        <w:spacing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lastRenderedPageBreak/>
        <w:t>IV. Llevar los registros contables, financieros y administrativos</w:t>
      </w:r>
      <w:r w:rsidRPr="00C7790F">
        <w:rPr>
          <w:rFonts w:ascii="Palatino Linotype" w:eastAsia="Palatino Linotype" w:hAnsi="Palatino Linotype" w:cs="Palatino Linotype"/>
          <w:i/>
        </w:rPr>
        <w:t xml:space="preserve"> </w:t>
      </w:r>
      <w:r w:rsidRPr="00C7790F">
        <w:rPr>
          <w:rFonts w:ascii="Palatino Linotype" w:eastAsia="Palatino Linotype" w:hAnsi="Palatino Linotype" w:cs="Palatino Linotype"/>
          <w:b/>
          <w:i/>
        </w:rPr>
        <w:t>de los</w:t>
      </w:r>
      <w:r w:rsidRPr="00C7790F">
        <w:rPr>
          <w:rFonts w:ascii="Palatino Linotype" w:eastAsia="Palatino Linotype" w:hAnsi="Palatino Linotype" w:cs="Palatino Linotype"/>
          <w:i/>
        </w:rPr>
        <w:t xml:space="preserve"> ingresos, </w:t>
      </w:r>
      <w:r w:rsidRPr="00C7790F">
        <w:rPr>
          <w:rFonts w:ascii="Palatino Linotype" w:eastAsia="Palatino Linotype" w:hAnsi="Palatino Linotype" w:cs="Palatino Linotype"/>
          <w:b/>
          <w:i/>
        </w:rPr>
        <w:t>egresos</w:t>
      </w:r>
      <w:r w:rsidRPr="00C7790F">
        <w:rPr>
          <w:rFonts w:ascii="Palatino Linotype" w:eastAsia="Palatino Linotype" w:hAnsi="Palatino Linotype" w:cs="Palatino Linotype"/>
          <w:i/>
        </w:rPr>
        <w:t>, e inventarios…” (Sic)</w:t>
      </w:r>
    </w:p>
    <w:p w14:paraId="5366868B" w14:textId="77777777" w:rsidR="00375659" w:rsidRPr="00C7790F" w:rsidRDefault="00A67FCF">
      <w:pPr>
        <w:spacing w:before="240"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Lo que se robustece con lo señalado por los artículos 3.20 y 3.23 del código reglamentario del Ayuntamiento de Toluca, que señalan:</w:t>
      </w:r>
    </w:p>
    <w:p w14:paraId="1F446E8C" w14:textId="77777777" w:rsidR="00375659" w:rsidRPr="00C7790F" w:rsidRDefault="00375659">
      <w:pPr>
        <w:tabs>
          <w:tab w:val="left" w:pos="709"/>
        </w:tabs>
        <w:spacing w:after="0"/>
        <w:ind w:left="851" w:right="851"/>
        <w:jc w:val="both"/>
        <w:rPr>
          <w:rFonts w:ascii="Palatino Linotype" w:eastAsia="Palatino Linotype" w:hAnsi="Palatino Linotype" w:cs="Palatino Linotype"/>
          <w:i/>
        </w:rPr>
      </w:pPr>
    </w:p>
    <w:p w14:paraId="1F51A17D" w14:textId="77777777" w:rsidR="00375659" w:rsidRPr="00C7790F" w:rsidRDefault="00A67FCF">
      <w:pPr>
        <w:tabs>
          <w:tab w:val="left" w:pos="709"/>
        </w:tabs>
        <w:spacing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“Artículo 3.20. Para el cumplimiento de sus atribuciones </w:t>
      </w:r>
      <w:r w:rsidRPr="00C7790F">
        <w:rPr>
          <w:rFonts w:ascii="Palatino Linotype" w:eastAsia="Palatino Linotype" w:hAnsi="Palatino Linotype" w:cs="Palatino Linotype"/>
          <w:b/>
          <w:i/>
        </w:rPr>
        <w:t>la Tesorería Municipal se auxiliará de la</w:t>
      </w:r>
      <w:r w:rsidRPr="00C7790F">
        <w:rPr>
          <w:rFonts w:ascii="Palatino Linotype" w:eastAsia="Palatino Linotype" w:hAnsi="Palatino Linotype" w:cs="Palatino Linotype"/>
          <w:i/>
        </w:rPr>
        <w:t xml:space="preserve"> Dirección de Ingresos, de la </w:t>
      </w:r>
      <w:r w:rsidRPr="00C7790F">
        <w:rPr>
          <w:rFonts w:ascii="Palatino Linotype" w:eastAsia="Palatino Linotype" w:hAnsi="Palatino Linotype" w:cs="Palatino Linotype"/>
          <w:b/>
          <w:i/>
        </w:rPr>
        <w:t>Dirección de Egresos</w:t>
      </w:r>
      <w:r w:rsidRPr="00C7790F">
        <w:rPr>
          <w:rFonts w:ascii="Palatino Linotype" w:eastAsia="Palatino Linotype" w:hAnsi="Palatino Linotype" w:cs="Palatino Linotype"/>
          <w:i/>
        </w:rPr>
        <w:t xml:space="preserve">, de la Dirección de Contaduría y la Unidad de Catastro. </w:t>
      </w:r>
    </w:p>
    <w:p w14:paraId="19AD0DD5" w14:textId="77777777" w:rsidR="00375659" w:rsidRPr="00C7790F" w:rsidRDefault="00A67FCF">
      <w:pPr>
        <w:tabs>
          <w:tab w:val="left" w:pos="709"/>
        </w:tabs>
        <w:spacing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1EF85A8E" w14:textId="77777777" w:rsidR="00375659" w:rsidRPr="00C7790F" w:rsidRDefault="00A67FCF">
      <w:pPr>
        <w:tabs>
          <w:tab w:val="left" w:pos="709"/>
        </w:tabs>
        <w:spacing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Artículo 3.22. </w:t>
      </w:r>
      <w:r w:rsidRPr="00C7790F">
        <w:rPr>
          <w:rFonts w:ascii="Palatino Linotype" w:eastAsia="Palatino Linotype" w:hAnsi="Palatino Linotype" w:cs="Palatino Linotype"/>
          <w:b/>
          <w:i/>
        </w:rPr>
        <w:t>La o el titular de la Dirección de Egresos</w:t>
      </w:r>
      <w:r w:rsidRPr="00C7790F">
        <w:rPr>
          <w:rFonts w:ascii="Palatino Linotype" w:eastAsia="Palatino Linotype" w:hAnsi="Palatino Linotype" w:cs="Palatino Linotype"/>
          <w:i/>
        </w:rPr>
        <w:t xml:space="preserve"> tendrá las siguientes atribuciones:</w:t>
      </w:r>
    </w:p>
    <w:p w14:paraId="38B6B993" w14:textId="77777777" w:rsidR="00375659" w:rsidRPr="00C7790F" w:rsidRDefault="00A67FCF">
      <w:pPr>
        <w:tabs>
          <w:tab w:val="left" w:pos="709"/>
        </w:tabs>
        <w:spacing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54FA1AE3" w14:textId="77777777" w:rsidR="00375659" w:rsidRPr="00C7790F" w:rsidRDefault="00A67FCF">
      <w:pPr>
        <w:tabs>
          <w:tab w:val="left" w:pos="709"/>
        </w:tabs>
        <w:spacing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XI.</w:t>
      </w:r>
      <w:r w:rsidRPr="00C7790F">
        <w:t xml:space="preserve"> </w:t>
      </w:r>
      <w:r w:rsidRPr="00C7790F">
        <w:rPr>
          <w:rFonts w:ascii="Palatino Linotype" w:eastAsia="Palatino Linotype" w:hAnsi="Palatino Linotype" w:cs="Palatino Linotype"/>
          <w:i/>
        </w:rPr>
        <w:t xml:space="preserve">Coordinar la distribución de los recursos financieros del Ayuntamiento de Toluca, para el pago de las obligaciones contraídas con </w:t>
      </w:r>
      <w:r w:rsidRPr="00C7790F">
        <w:rPr>
          <w:rFonts w:ascii="Palatino Linotype" w:eastAsia="Palatino Linotype" w:hAnsi="Palatino Linotype" w:cs="Palatino Linotype"/>
          <w:b/>
          <w:i/>
        </w:rPr>
        <w:t>proveedores de bienes y servicios</w:t>
      </w:r>
      <w:r w:rsidRPr="00C7790F">
        <w:rPr>
          <w:rFonts w:ascii="Palatino Linotype" w:eastAsia="Palatino Linotype" w:hAnsi="Palatino Linotype" w:cs="Palatino Linotype"/>
          <w:i/>
        </w:rPr>
        <w:t>, con base a la disposición de recursos y al flujo de efectivo. Así como otorgar la autorización de suficiencia presupuestal, con base al presupuesto autorizado a cada dependencia, vigilando su adecuado ejercicio y estableciendo las medidas necesarias para la operación de los programas de inversión y gasto corriente (público (a excepción del capítulo 1000 Servicios personales del Código Financiero del Estado de México y Municipios);” (Sic)</w:t>
      </w:r>
    </w:p>
    <w:p w14:paraId="19E6522E" w14:textId="77777777" w:rsidR="00375659" w:rsidRPr="00C7790F" w:rsidRDefault="00375659">
      <w:pPr>
        <w:spacing w:after="0" w:line="360" w:lineRule="auto"/>
        <w:jc w:val="both"/>
        <w:rPr>
          <w:rFonts w:ascii="Palatino Linotype" w:eastAsia="Palatino Linotype" w:hAnsi="Palatino Linotype" w:cs="Palatino Linotype"/>
        </w:rPr>
      </w:pPr>
    </w:p>
    <w:p w14:paraId="33EB6EC7"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6A058761"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C7790F">
        <w:rPr>
          <w:rFonts w:ascii="Palatino Linotype" w:eastAsia="Palatino Linotype" w:hAnsi="Palatino Linotype" w:cs="Palatino Linotype"/>
          <w:i/>
        </w:rPr>
        <w:t xml:space="preserve"> El Instituto Federal de </w:t>
      </w:r>
      <w:r w:rsidRPr="00C7790F">
        <w:rPr>
          <w:rFonts w:ascii="Palatino Linotype" w:eastAsia="Palatino Linotype" w:hAnsi="Palatino Linotype" w:cs="Palatino Linotype"/>
          <w:i/>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C7790F">
        <w:rPr>
          <w:rFonts w:ascii="Palatino Linotype" w:eastAsia="Palatino Linotype" w:hAnsi="Palatino Linotype" w:cs="Palatino Linotype"/>
          <w:i/>
        </w:rPr>
        <w:t>.”(</w:t>
      </w:r>
      <w:proofErr w:type="gramEnd"/>
      <w:r w:rsidRPr="00C7790F">
        <w:rPr>
          <w:rFonts w:ascii="Palatino Linotype" w:eastAsia="Palatino Linotype" w:hAnsi="Palatino Linotype" w:cs="Palatino Linotype"/>
          <w:i/>
        </w:rPr>
        <w:t>Sic)</w:t>
      </w:r>
    </w:p>
    <w:p w14:paraId="71279231" w14:textId="77777777" w:rsidR="00375659" w:rsidRPr="00C7790F" w:rsidRDefault="00375659">
      <w:pPr>
        <w:spacing w:after="0" w:line="360" w:lineRule="auto"/>
        <w:jc w:val="both"/>
        <w:rPr>
          <w:rFonts w:ascii="Palatino Linotype" w:eastAsia="Palatino Linotype" w:hAnsi="Palatino Linotype" w:cs="Palatino Linotype"/>
        </w:rPr>
      </w:pPr>
    </w:p>
    <w:p w14:paraId="1620489B"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6F8E1DE0"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3A1D03BA"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Por otro lado, en cuanto al punto de la solicitud en donde se solicitó, </w:t>
      </w:r>
      <w:r w:rsidRPr="00C7790F">
        <w:rPr>
          <w:rFonts w:ascii="Palatino Linotype" w:eastAsia="Palatino Linotype" w:hAnsi="Palatino Linotype" w:cs="Palatino Linotype"/>
          <w:b/>
          <w:sz w:val="24"/>
          <w:szCs w:val="24"/>
          <w:u w:val="single"/>
        </w:rPr>
        <w:t xml:space="preserve">número de factura, nombre de proveedor, conceptos a pagar, cantidad sin </w:t>
      </w:r>
      <w:proofErr w:type="spellStart"/>
      <w:r w:rsidRPr="00C7790F">
        <w:rPr>
          <w:rFonts w:ascii="Palatino Linotype" w:eastAsia="Palatino Linotype" w:hAnsi="Palatino Linotype" w:cs="Palatino Linotype"/>
          <w:b/>
          <w:sz w:val="24"/>
          <w:szCs w:val="24"/>
          <w:u w:val="single"/>
        </w:rPr>
        <w:t>iva</w:t>
      </w:r>
      <w:proofErr w:type="spellEnd"/>
      <w:r w:rsidRPr="00C7790F">
        <w:rPr>
          <w:rFonts w:ascii="Palatino Linotype" w:eastAsia="Palatino Linotype" w:hAnsi="Palatino Linotype" w:cs="Palatino Linotype"/>
          <w:b/>
          <w:sz w:val="24"/>
          <w:szCs w:val="24"/>
          <w:u w:val="single"/>
        </w:rPr>
        <w:t xml:space="preserve">, </w:t>
      </w:r>
      <w:proofErr w:type="spellStart"/>
      <w:r w:rsidRPr="00C7790F">
        <w:rPr>
          <w:rFonts w:ascii="Palatino Linotype" w:eastAsia="Palatino Linotype" w:hAnsi="Palatino Linotype" w:cs="Palatino Linotype"/>
          <w:b/>
          <w:sz w:val="24"/>
          <w:szCs w:val="24"/>
          <w:u w:val="single"/>
        </w:rPr>
        <w:t>iva</w:t>
      </w:r>
      <w:proofErr w:type="spellEnd"/>
      <w:r w:rsidRPr="00C7790F">
        <w:rPr>
          <w:rFonts w:ascii="Palatino Linotype" w:eastAsia="Palatino Linotype" w:hAnsi="Palatino Linotype" w:cs="Palatino Linotype"/>
          <w:b/>
          <w:sz w:val="24"/>
          <w:szCs w:val="24"/>
          <w:u w:val="single"/>
        </w:rPr>
        <w:t xml:space="preserve"> de la factura, fecha de pago, </w:t>
      </w:r>
      <w:r w:rsidRPr="00C7790F">
        <w:rPr>
          <w:rFonts w:ascii="Palatino Linotype" w:eastAsia="Palatino Linotype" w:hAnsi="Palatino Linotype" w:cs="Palatino Linotype"/>
          <w:sz w:val="24"/>
          <w:szCs w:val="24"/>
        </w:rPr>
        <w:t xml:space="preserve">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en respuesta a través de su Tesorero Municipal, sólo se concretó a señalar que la información con la que cuenta es de forma general, entregando del Estado analítico de la deuda y otros pasivos del primero de enero al treinta y uno de diciembre de dos mil diecinueve, del primero de enero al treinta y uno de diciembre de dos mil veinte y del primero de octubre al treinta y uno de diciembre de dos mil veintiuno, en donde se observa la deuda a los proveedores del periodo 2019-2021; sin que se pronunciara al respecto de los presentes puntos en cuestión; ante </w:t>
      </w:r>
      <w:r w:rsidRPr="00C7790F">
        <w:rPr>
          <w:rFonts w:ascii="Palatino Linotype" w:eastAsia="Palatino Linotype" w:hAnsi="Palatino Linotype" w:cs="Palatino Linotype"/>
          <w:sz w:val="24"/>
          <w:szCs w:val="24"/>
        </w:rPr>
        <w:lastRenderedPageBreak/>
        <w:t>ello, en términos de los previsto por los artículo 11, 20 y 21 de la Ley de Disciplina Financiera de las Entidades Federativas y los Municipios, que señalan:</w:t>
      </w:r>
    </w:p>
    <w:p w14:paraId="0624B909"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“Artículo 11.- Las Entidades Federativas deberán considerar en sus correspondientes Presupuestos de Egresos, las previsiones de gasto necesarias para hacer frente a los compromisos de pago que se deriven de los contratos de Asociación Público-Privada celebrados o por celebrarse durante el siguiente ejercicio fiscal. </w:t>
      </w:r>
    </w:p>
    <w:p w14:paraId="49DB462A"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Para el caso de Asociaciones Público Privadas con recursos federales, se observará lo dispuesto en el artículo 4, fracción IV de la Ley de Asociaciones Público Privadas. </w:t>
      </w:r>
    </w:p>
    <w:p w14:paraId="7C1FA66D"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65409663"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Artículo 20.- Los recursos para cubrir los adeudos del ejercicio fiscal anterior, previstos en el proyecto de Presupuesto de Egresos, podrán ser hasta por el 2.5 por ciento de los Ingresos totales del respectivo Municipio.</w:t>
      </w:r>
    </w:p>
    <w:p w14:paraId="79D6384A" w14:textId="77777777" w:rsidR="00375659" w:rsidRPr="00C7790F" w:rsidRDefault="00375659">
      <w:pPr>
        <w:spacing w:before="120" w:after="0"/>
        <w:ind w:left="851" w:right="851"/>
        <w:jc w:val="both"/>
        <w:rPr>
          <w:rFonts w:ascii="Palatino Linotype" w:eastAsia="Palatino Linotype" w:hAnsi="Palatino Linotype" w:cs="Palatino Linotype"/>
          <w:i/>
        </w:rPr>
      </w:pPr>
    </w:p>
    <w:p w14:paraId="2A3A7767"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Artículo 21.- Los Municipios y sus Entes Públicos deberán observar las disposiciones establecidas en los artículos 8, 10, 11, 14, 15 y 17 de esta Ley.” (Sic)</w:t>
      </w:r>
    </w:p>
    <w:p w14:paraId="20038276" w14:textId="77777777" w:rsidR="00375659" w:rsidRPr="00C7790F" w:rsidRDefault="00375659">
      <w:pPr>
        <w:spacing w:before="120" w:after="0"/>
        <w:ind w:left="851" w:right="851"/>
        <w:jc w:val="both"/>
        <w:rPr>
          <w:rFonts w:ascii="Palatino Linotype" w:eastAsia="Palatino Linotype" w:hAnsi="Palatino Linotype" w:cs="Palatino Linotype"/>
          <w:i/>
        </w:rPr>
      </w:pPr>
    </w:p>
    <w:p w14:paraId="41B0ACC1"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Se establece que los municipios del Estado de México, entre ellos el Ayuntamiento de Toluca, debieron fijar en su proyecto de presupuesto de egresos los recursos para cubrir los adeudos del ejercicio fiscal anterior; esto es, que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respecto de los adeudos con los proveedores del año 2019 a 2021, debió establecer un monto de dinero en su proyecto de presupuesto de egresos del año 2023, para pagar los adeudos con sus proveedores del ejercicio fiscal anterior; máxime que dentro del Manual para la Planeación, Programación y Presupuesto de Egresos Municipal para el año 2023, se advierte que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debió contemplar un sección específica, en donde se establezca las erogaciones correspondientes a:</w:t>
      </w:r>
    </w:p>
    <w:p w14:paraId="31E03152"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lastRenderedPageBreak/>
        <w:t>“En el proyecto de presupuesto de egresos se deberá presentar en una sección específica, las erogaciones correspondientes al gasto en servicios personales, la cual comprende:</w:t>
      </w:r>
    </w:p>
    <w:p w14:paraId="00D0DC07"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6795A5B9"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7. Los recursos para cubrir los adeudos del ejercicio fiscal anterior, previstos en el proyecto de presupuesto de egresos, podrán ser hasta por el 2.5 por ciento de los Ingresos totales del respectivo Municipio. </w:t>
      </w:r>
    </w:p>
    <w:p w14:paraId="7303985A"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8. Los Municipios deberán considerar en sus correspondientes presupuestos de egresos, las previsiones de gasto necesarias para hacer frente a los compromisos de pago que se deriven de los contratos de Asociación Público-Privada celebrados o por celebrarse durante el siguiente ejercicio fiscal.” (Sic)</w:t>
      </w:r>
    </w:p>
    <w:p w14:paraId="6BF89A72" w14:textId="77777777" w:rsidR="00375659" w:rsidRPr="00C7790F" w:rsidRDefault="00375659">
      <w:pPr>
        <w:spacing w:after="0" w:line="360" w:lineRule="auto"/>
        <w:ind w:right="49"/>
        <w:jc w:val="both"/>
      </w:pPr>
    </w:p>
    <w:p w14:paraId="3B49FB07" w14:textId="77777777" w:rsidR="00375659" w:rsidRPr="00C7790F" w:rsidRDefault="00A67FCF">
      <w:pPr>
        <w:spacing w:after="0"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Advirtiéndose que el Ayuntamiento de Toluca, debió presupuestar dentro del presupuesto de egresos para el año 2023, una sección específica en la cual se fije los recursos para cubrir los adeudos generados en el ejercicio fiscal anterior,  en ese sentido, es necesario analizar el Manual Único de Contabilidad Gubernamental para las Dependencias y Entidades Públicas del Gobierno y Municipios Del Estado De México 2023, en donde se establece respecto de los adeudos de ejercicios fiscales anteriores, lo siguiente:</w:t>
      </w:r>
    </w:p>
    <w:p w14:paraId="20301FE0"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“19) Adeudos de Ejercicios Fiscales Anteriores </w:t>
      </w:r>
    </w:p>
    <w:p w14:paraId="7143902A"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Se considerarán Adeudos de Ejercicios Fiscales Anteriores aquellos pasivos que se generen por conceptos de gastos devengados y registrados contable y presupuestalmente al 31 de diciembre de cada ejercicio y no pagados en esa fecha.</w:t>
      </w:r>
    </w:p>
    <w:p w14:paraId="47FE9983"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t>Las operaciones aplicables a un ciclo presupuestal deberán estar sustentadas con la documentación que acredite el compromiso del ente gubernamental</w:t>
      </w:r>
      <w:r w:rsidRPr="00C7790F">
        <w:rPr>
          <w:rFonts w:ascii="Palatino Linotype" w:eastAsia="Palatino Linotype" w:hAnsi="Palatino Linotype" w:cs="Palatino Linotype"/>
          <w:i/>
        </w:rPr>
        <w:t xml:space="preserve">, </w:t>
      </w:r>
      <w:r w:rsidRPr="00C7790F">
        <w:rPr>
          <w:rFonts w:ascii="Palatino Linotype" w:eastAsia="Palatino Linotype" w:hAnsi="Palatino Linotype" w:cs="Palatino Linotype"/>
          <w:b/>
          <w:i/>
        </w:rPr>
        <w:t>es decir que acrediten haber recibido los bienes o servicios o la construcción de obras.</w:t>
      </w:r>
      <w:r w:rsidRPr="00C7790F">
        <w:rPr>
          <w:rFonts w:ascii="Palatino Linotype" w:eastAsia="Palatino Linotype" w:hAnsi="Palatino Linotype" w:cs="Palatino Linotype"/>
          <w:i/>
        </w:rPr>
        <w:t xml:space="preserve"> </w:t>
      </w:r>
    </w:p>
    <w:p w14:paraId="0D5412FB"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lastRenderedPageBreak/>
        <w:t>Con la documentación que acredite el compromiso, se deberá crear el pasivo correspondiente afectando el presupuesto del ejercicio fiscal en curso, constituyéndose con esta cuenta por pagar el registro de los adeudos</w:t>
      </w:r>
      <w:r w:rsidRPr="00C7790F">
        <w:rPr>
          <w:rFonts w:ascii="Palatino Linotype" w:eastAsia="Palatino Linotype" w:hAnsi="Palatino Linotype" w:cs="Palatino Linotype"/>
          <w:i/>
        </w:rPr>
        <w:t xml:space="preserve">. </w:t>
      </w:r>
    </w:p>
    <w:p w14:paraId="6D68D93C"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t>La documentación comprobatoria, Comprobante Fiscal Digital por Internet (CFDI), estimaciones y cheques entre otros, podrá ser presentada con fecha posterior.</w:t>
      </w:r>
      <w:r w:rsidRPr="00C7790F">
        <w:rPr>
          <w:rFonts w:ascii="Palatino Linotype" w:eastAsia="Palatino Linotype" w:hAnsi="Palatino Linotype" w:cs="Palatino Linotype"/>
          <w:i/>
        </w:rPr>
        <w:t xml:space="preserve"> </w:t>
      </w:r>
    </w:p>
    <w:p w14:paraId="6A62B985"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En el caso de servicios personales se incluirán aquellas operaciones devengadas no pagadas incluyendo retenciones a favor de terceros por pagar. </w:t>
      </w:r>
    </w:p>
    <w:p w14:paraId="687424B7"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b/>
          <w:i/>
        </w:rPr>
        <w:t xml:space="preserve">Al finalizar cada ejercicio fiscal, se deberá registrar presupuestalmente, en la cuenta de ingresos, el monto de los adeudos que se tengan al cierre del ejercicio, </w:t>
      </w:r>
      <w:r w:rsidRPr="00C7790F">
        <w:rPr>
          <w:rFonts w:ascii="Palatino Linotype" w:eastAsia="Palatino Linotype" w:hAnsi="Palatino Linotype" w:cs="Palatino Linotype"/>
          <w:b/>
          <w:i/>
          <w:u w:val="single"/>
        </w:rPr>
        <w:t>mismos que serán pagados en el siguiente ejercicio fiscal</w:t>
      </w:r>
      <w:r w:rsidRPr="00C7790F">
        <w:rPr>
          <w:rFonts w:ascii="Palatino Linotype" w:eastAsia="Palatino Linotype" w:hAnsi="Palatino Linotype" w:cs="Palatino Linotype"/>
          <w:b/>
          <w:i/>
        </w:rPr>
        <w:t>; en su caso se deberán disminuir las ADEFAS generadas en ejercicio anteriores no pagadas</w:t>
      </w:r>
      <w:r w:rsidRPr="00C7790F">
        <w:rPr>
          <w:rFonts w:ascii="Palatino Linotype" w:eastAsia="Palatino Linotype" w:hAnsi="Palatino Linotype" w:cs="Palatino Linotype"/>
          <w:i/>
        </w:rPr>
        <w:t xml:space="preserve">. </w:t>
      </w:r>
    </w:p>
    <w:p w14:paraId="4AB174EB"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El registro de las ADEFAS en el egreso se realizará por los pagos realizados en el ejercicio de adeudos generados en el año inmediato anterior o en ejercicio anteriores.</w:t>
      </w:r>
    </w:p>
    <w:p w14:paraId="14DF3F8E" w14:textId="77777777" w:rsidR="00375659" w:rsidRPr="00C7790F" w:rsidRDefault="00375659">
      <w:pPr>
        <w:spacing w:before="120" w:after="0"/>
        <w:ind w:left="851" w:right="851"/>
        <w:jc w:val="center"/>
        <w:rPr>
          <w:rFonts w:ascii="Palatino Linotype" w:eastAsia="Palatino Linotype" w:hAnsi="Palatino Linotype" w:cs="Palatino Linotype"/>
          <w:i/>
        </w:rPr>
      </w:pPr>
    </w:p>
    <w:p w14:paraId="5395D871" w14:textId="77777777" w:rsidR="00375659" w:rsidRPr="00C7790F" w:rsidRDefault="00A67FCF">
      <w:pPr>
        <w:spacing w:before="120" w:after="0"/>
        <w:ind w:left="851" w:right="851"/>
        <w:jc w:val="center"/>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369D472F" w14:textId="77777777" w:rsidR="00375659" w:rsidRPr="00C7790F" w:rsidRDefault="00A67FCF">
      <w:pPr>
        <w:spacing w:before="120" w:after="0"/>
        <w:ind w:right="851"/>
        <w:jc w:val="center"/>
        <w:rPr>
          <w:rFonts w:ascii="Palatino Linotype" w:eastAsia="Palatino Linotype" w:hAnsi="Palatino Linotype" w:cs="Palatino Linotype"/>
          <w:i/>
        </w:rPr>
      </w:pPr>
      <w:r w:rsidRPr="00C7790F">
        <w:rPr>
          <w:rFonts w:ascii="Palatino Linotype" w:eastAsia="Palatino Linotype" w:hAnsi="Palatino Linotype" w:cs="Palatino Linotype"/>
          <w:i/>
          <w:noProof/>
        </w:rPr>
        <w:lastRenderedPageBreak/>
        <w:drawing>
          <wp:inline distT="0" distB="0" distL="0" distR="0" wp14:anchorId="19A7B9B3" wp14:editId="528BB50F">
            <wp:extent cx="5500496" cy="4450900"/>
            <wp:effectExtent l="0" t="0" r="0" b="0"/>
            <wp:docPr id="21459085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500496" cy="4450900"/>
                    </a:xfrm>
                    <a:prstGeom prst="rect">
                      <a:avLst/>
                    </a:prstGeom>
                    <a:ln/>
                  </pic:spPr>
                </pic:pic>
              </a:graphicData>
            </a:graphic>
          </wp:inline>
        </w:drawing>
      </w:r>
    </w:p>
    <w:p w14:paraId="4AC0B1A3" w14:textId="77777777" w:rsidR="00375659" w:rsidRPr="00C7790F" w:rsidRDefault="00375659">
      <w:pPr>
        <w:spacing w:after="0" w:line="360" w:lineRule="auto"/>
        <w:jc w:val="both"/>
      </w:pPr>
    </w:p>
    <w:p w14:paraId="5D6B92B4" w14:textId="77777777" w:rsidR="00375659" w:rsidRPr="00C7790F" w:rsidRDefault="00375659">
      <w:pPr>
        <w:spacing w:after="0" w:line="360" w:lineRule="auto"/>
        <w:jc w:val="both"/>
        <w:rPr>
          <w:rFonts w:ascii="Palatino Linotype" w:eastAsia="Palatino Linotype" w:hAnsi="Palatino Linotype" w:cs="Palatino Linotype"/>
        </w:rPr>
      </w:pPr>
    </w:p>
    <w:p w14:paraId="02E7F117" w14:textId="77777777" w:rsidR="00375659" w:rsidRPr="00C7790F" w:rsidRDefault="00A67FCF">
      <w:pPr>
        <w:spacing w:after="0" w:line="360" w:lineRule="auto"/>
        <w:jc w:val="center"/>
        <w:rPr>
          <w:rFonts w:ascii="Palatino Linotype" w:eastAsia="Palatino Linotype" w:hAnsi="Palatino Linotype" w:cs="Palatino Linotype"/>
        </w:rPr>
      </w:pPr>
      <w:r w:rsidRPr="00C7790F">
        <w:rPr>
          <w:rFonts w:ascii="Palatino Linotype" w:eastAsia="Palatino Linotype" w:hAnsi="Palatino Linotype" w:cs="Palatino Linotype"/>
          <w:noProof/>
        </w:rPr>
        <w:lastRenderedPageBreak/>
        <w:drawing>
          <wp:inline distT="0" distB="0" distL="0" distR="0" wp14:anchorId="54ADE0A8" wp14:editId="2D906F90">
            <wp:extent cx="5558360" cy="3869249"/>
            <wp:effectExtent l="0" t="0" r="0" b="0"/>
            <wp:docPr id="21459085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558360" cy="3869249"/>
                    </a:xfrm>
                    <a:prstGeom prst="rect">
                      <a:avLst/>
                    </a:prstGeom>
                    <a:ln/>
                  </pic:spPr>
                </pic:pic>
              </a:graphicData>
            </a:graphic>
          </wp:inline>
        </w:drawing>
      </w:r>
    </w:p>
    <w:p w14:paraId="1718AFD6" w14:textId="77777777" w:rsidR="00375659" w:rsidRPr="00C7790F" w:rsidRDefault="00375659">
      <w:pPr>
        <w:spacing w:after="0" w:line="360" w:lineRule="auto"/>
        <w:jc w:val="both"/>
        <w:rPr>
          <w:rFonts w:ascii="Palatino Linotype" w:eastAsia="Palatino Linotype" w:hAnsi="Palatino Linotype" w:cs="Palatino Linotype"/>
        </w:rPr>
      </w:pPr>
    </w:p>
    <w:p w14:paraId="291E6C3A"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De lo anterior, se establece que los adeudos del ejercicio fiscal anterior, se debió crear el pasivo correspondiente en el presupuesto de egresos del ejercicio fiscal en curso, en este caso en el ejercicio fiscal del año 2023, constituyéndose una cuenta a pagar en el año 2023, mismo que deberá ser sustentado con la documentación comprobatoria que acredite el compromiso como por ejemplo el comprobante fiscal digital por internet (CFDI), estimaciones y cheques. </w:t>
      </w:r>
    </w:p>
    <w:p w14:paraId="0F2AC27E"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767411F2"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Es pertinente aclarar que respecto del comprobante fiscal digital por internet (CFDI), es considerado por el Servicio de Administración Tributaria (SAT), la cual puede ser consultada en la liga electrónica </w:t>
      </w:r>
      <w:r w:rsidRPr="00C7790F">
        <w:rPr>
          <w:rFonts w:ascii="Palatino Linotype" w:eastAsia="Palatino Linotype" w:hAnsi="Palatino Linotype" w:cs="Palatino Linotype"/>
          <w:sz w:val="24"/>
          <w:szCs w:val="24"/>
        </w:rPr>
        <w:lastRenderedPageBreak/>
        <w:t>“http://omawww.sat.gob.mx/tramitesyservicios/Paginas/documentos/Anexo_20_Guia_de_llenado_CFDI.pdf</w:t>
      </w:r>
      <w:proofErr w:type="gramStart"/>
      <w:r w:rsidRPr="00C7790F">
        <w:rPr>
          <w:rFonts w:ascii="Palatino Linotype" w:eastAsia="Palatino Linotype" w:hAnsi="Palatino Linotype" w:cs="Palatino Linotype"/>
          <w:sz w:val="24"/>
          <w:szCs w:val="24"/>
        </w:rPr>
        <w:t>” ,</w:t>
      </w:r>
      <w:proofErr w:type="gramEnd"/>
      <w:r w:rsidRPr="00C7790F">
        <w:rPr>
          <w:rFonts w:ascii="Palatino Linotype" w:eastAsia="Palatino Linotype" w:hAnsi="Palatino Linotype" w:cs="Palatino Linotype"/>
          <w:sz w:val="24"/>
          <w:szCs w:val="24"/>
        </w:rPr>
        <w:t xml:space="preserve"> también como la factura del pago realizado, como se advierte a continuación:</w:t>
      </w:r>
    </w:p>
    <w:p w14:paraId="5DE15744" w14:textId="77777777" w:rsidR="00375659" w:rsidRPr="00C7790F" w:rsidRDefault="00A67FCF">
      <w:pPr>
        <w:spacing w:before="120" w:after="0"/>
        <w:ind w:left="851" w:right="851"/>
        <w:jc w:val="both"/>
        <w:rPr>
          <w:rFonts w:ascii="Palatino Linotype" w:eastAsia="Palatino Linotype" w:hAnsi="Palatino Linotype" w:cs="Palatino Linotype"/>
          <w:i/>
        </w:rPr>
      </w:pPr>
      <w:r w:rsidRPr="00C7790F">
        <w:rPr>
          <w:rFonts w:ascii="Palatino Linotype" w:eastAsia="Palatino Linotype" w:hAnsi="Palatino Linotype" w:cs="Palatino Linotype"/>
          <w:i/>
        </w:rPr>
        <w:t>“Expedir CFDI es una obligación de los contribuyentes personas físicas o morales de conformidad con los artículos 29, párrafos primero y segundo, fracción IV y penúltimo párrafo del CFF y 39 del Reglamento del CFF, en relación con la regla 2.7.5.4., y el Capítulo 2.7. “</w:t>
      </w:r>
      <w:r w:rsidRPr="00C7790F">
        <w:rPr>
          <w:rFonts w:ascii="Palatino Linotype" w:eastAsia="Palatino Linotype" w:hAnsi="Palatino Linotype" w:cs="Palatino Linotype"/>
          <w:b/>
          <w:i/>
        </w:rPr>
        <w:t>De los Comprobantes Fiscales Digitales por Internet o Factura Electrónica”</w:t>
      </w:r>
      <w:r w:rsidRPr="00C7790F">
        <w:rPr>
          <w:rFonts w:ascii="Palatino Linotype" w:eastAsia="Palatino Linotype" w:hAnsi="Palatino Linotype" w:cs="Palatino Linotype"/>
          <w:i/>
        </w:rPr>
        <w:t xml:space="preserve"> de la Resolución Miscelánea Fiscal vigente.</w:t>
      </w:r>
    </w:p>
    <w:p w14:paraId="28DDAA57" w14:textId="77777777" w:rsidR="00375659" w:rsidRPr="00C7790F" w:rsidRDefault="00375659">
      <w:pPr>
        <w:spacing w:after="0" w:line="360" w:lineRule="auto"/>
        <w:jc w:val="both"/>
        <w:rPr>
          <w:rFonts w:ascii="Palatino Linotype" w:eastAsia="Palatino Linotype" w:hAnsi="Palatino Linotype" w:cs="Palatino Linotype"/>
        </w:rPr>
      </w:pPr>
    </w:p>
    <w:p w14:paraId="5ADC8EE4"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Cuyo llenado del CFDI o Factura Electrónica, debe incluir, entre otros datos, nombre del receptor quien es el receptor del comprobante, conceptos a pagar, impuestos (IVA Impuesto sobre el Valor) y fecha de pago, lo cual puede ser corroborado en la Guía de llenado de los comprobantes fiscales digitales por Internet en la siguiente liga electrónica, </w:t>
      </w:r>
      <w:hyperlink r:id="rId21">
        <w:r w:rsidRPr="00C7790F">
          <w:rPr>
            <w:rFonts w:ascii="Palatino Linotype" w:eastAsia="Palatino Linotype" w:hAnsi="Palatino Linotype" w:cs="Palatino Linotype"/>
            <w:sz w:val="24"/>
            <w:szCs w:val="24"/>
            <w:u w:val="single"/>
          </w:rPr>
          <w:t>http://omawww.sat.gob.mx/tramitesyservicios/Paginas/documentos/Anexo_20_Guia_de_llenado_CFDI.pdf</w:t>
        </w:r>
      </w:hyperlink>
      <w:r w:rsidRPr="00C7790F">
        <w:rPr>
          <w:rFonts w:ascii="Palatino Linotype" w:eastAsia="Palatino Linotype" w:hAnsi="Palatino Linotype" w:cs="Palatino Linotype"/>
          <w:sz w:val="24"/>
          <w:szCs w:val="24"/>
        </w:rPr>
        <w:t>, para mayor referencia.</w:t>
      </w:r>
    </w:p>
    <w:p w14:paraId="5A629F03"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147B1C4C" w14:textId="77777777" w:rsidR="00375659" w:rsidRPr="00C7790F" w:rsidRDefault="00A67FCF">
      <w:pPr>
        <w:spacing w:after="0" w:line="360" w:lineRule="auto"/>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sz w:val="24"/>
          <w:szCs w:val="24"/>
        </w:rPr>
        <w:t xml:space="preserve">Razones por las cuales lo procedente es </w:t>
      </w:r>
      <w:r w:rsidRPr="00C7790F">
        <w:rPr>
          <w:rFonts w:ascii="Palatino Linotype" w:eastAsia="Palatino Linotype" w:hAnsi="Palatino Linotype" w:cs="Palatino Linotype"/>
          <w:b/>
          <w:sz w:val="24"/>
          <w:szCs w:val="24"/>
        </w:rPr>
        <w:t>ordenar el documento en donde conste el pago realizado a los proveedores a la fecha de la presentación de la solicitud de acceso a la información, esto es, al siete de febrero de dos mil veintitrés, que había pendientes de pasivos en el periodo 2019-2021 y la documentación comprobatoria del compromiso del pago a dichos proveedores.</w:t>
      </w:r>
    </w:p>
    <w:p w14:paraId="51F939CB" w14:textId="77777777" w:rsidR="00375659" w:rsidRPr="00C7790F" w:rsidRDefault="00375659">
      <w:pPr>
        <w:spacing w:after="0" w:line="360" w:lineRule="auto"/>
        <w:jc w:val="both"/>
        <w:rPr>
          <w:rFonts w:ascii="Palatino Linotype" w:eastAsia="Palatino Linotype" w:hAnsi="Palatino Linotype" w:cs="Palatino Linotype"/>
          <w:i/>
          <w:sz w:val="18"/>
          <w:szCs w:val="18"/>
        </w:rPr>
      </w:pPr>
    </w:p>
    <w:p w14:paraId="612B04B3"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 xml:space="preserve">Con la salvedad que para el caso de que aún no se </w:t>
      </w:r>
      <w:proofErr w:type="gramStart"/>
      <w:r w:rsidRPr="00C7790F">
        <w:rPr>
          <w:rFonts w:ascii="Palatino Linotype" w:eastAsia="Palatino Linotype" w:hAnsi="Palatino Linotype" w:cs="Palatino Linotype"/>
          <w:sz w:val="24"/>
          <w:szCs w:val="24"/>
        </w:rPr>
        <w:t>le</w:t>
      </w:r>
      <w:proofErr w:type="gramEnd"/>
      <w:r w:rsidRPr="00C7790F">
        <w:rPr>
          <w:rFonts w:ascii="Palatino Linotype" w:eastAsia="Palatino Linotype" w:hAnsi="Palatino Linotype" w:cs="Palatino Linotype"/>
          <w:sz w:val="24"/>
          <w:szCs w:val="24"/>
        </w:rPr>
        <w:t xml:space="preserve"> hayan pagado a todos los proveedores del periodo 2019-2021, con los cuales tiene una deuda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bastará que así se lo haga saber al particular de manera fundada y motivada.</w:t>
      </w:r>
    </w:p>
    <w:p w14:paraId="4A602CB4" w14:textId="77777777" w:rsidR="00375659" w:rsidRPr="00C7790F" w:rsidRDefault="00A67FCF">
      <w:pPr>
        <w:widowControl w:val="0"/>
        <w:spacing w:before="240" w:after="240" w:line="360" w:lineRule="auto"/>
        <w:jc w:val="both"/>
        <w:rPr>
          <w:rFonts w:ascii="Palatino Linotype" w:eastAsia="Palatino Linotype" w:hAnsi="Palatino Linotype" w:cs="Palatino Linotype"/>
        </w:rPr>
      </w:pPr>
      <w:r w:rsidRPr="00C7790F">
        <w:rPr>
          <w:rFonts w:ascii="Palatino Linotype" w:eastAsia="Palatino Linotype" w:hAnsi="Palatino Linotype" w:cs="Palatino Linotype"/>
          <w:sz w:val="24"/>
          <w:szCs w:val="24"/>
        </w:rPr>
        <w:t xml:space="preserve">La anterior información se ordena deberá ser la que se haya generado hasta la fecha de la solicitud. </w:t>
      </w:r>
    </w:p>
    <w:p w14:paraId="669FE1E2"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Finalmente, en cuanto al punto de la solicitud en donde se solicitó, </w:t>
      </w:r>
      <w:r w:rsidRPr="00C7790F">
        <w:rPr>
          <w:rFonts w:ascii="Palatino Linotype" w:eastAsia="Palatino Linotype" w:hAnsi="Palatino Linotype" w:cs="Palatino Linotype"/>
          <w:b/>
          <w:sz w:val="24"/>
          <w:szCs w:val="24"/>
          <w:u w:val="single"/>
        </w:rPr>
        <w:t>indicando además cuanto se le adeuda a dichos proveedores</w:t>
      </w:r>
      <w:r w:rsidRPr="00C7790F">
        <w:rPr>
          <w:rFonts w:ascii="Palatino Linotype" w:eastAsia="Palatino Linotype" w:hAnsi="Palatino Linotype" w:cs="Palatino Linotype"/>
          <w:sz w:val="24"/>
          <w:szCs w:val="24"/>
        </w:rPr>
        <w:t xml:space="preserve">, en términos de lo señalado por los artículos 13 y 181 párrafo cuarto de la Ley de Transparencia y Acceso a la Información Pública del Estado de México y Municipios, este Organismo Garante estima conveniente señalar que lo requerido por el particular es el monto que se le adeuda a los proveedores a la fecha de presentación de su solicitud de información, esto es al siete de febrero de dos mil veintitrés; ante ello, el documento que colmaría el requerimiento de información del particular, de manera enunciativa más no limitativa, sería la </w:t>
      </w:r>
      <w:r w:rsidRPr="00C7790F">
        <w:rPr>
          <w:rFonts w:ascii="Palatino Linotype" w:eastAsia="Palatino Linotype" w:hAnsi="Palatino Linotype" w:cs="Palatino Linotype"/>
          <w:b/>
          <w:sz w:val="24"/>
          <w:szCs w:val="24"/>
        </w:rPr>
        <w:t>balanza de comprobación detallada</w:t>
      </w:r>
      <w:r w:rsidRPr="00C7790F">
        <w:rPr>
          <w:rFonts w:ascii="Palatino Linotype" w:eastAsia="Palatino Linotype" w:hAnsi="Palatino Linotype" w:cs="Palatino Linotype"/>
          <w:sz w:val="24"/>
          <w:szCs w:val="24"/>
        </w:rPr>
        <w:t xml:space="preserve">, la cual forma parte del </w:t>
      </w:r>
      <w:r w:rsidRPr="00C7790F">
        <w:rPr>
          <w:rFonts w:ascii="Palatino Linotype" w:eastAsia="Palatino Linotype" w:hAnsi="Palatino Linotype" w:cs="Palatino Linotype"/>
          <w:b/>
          <w:sz w:val="24"/>
          <w:szCs w:val="24"/>
        </w:rPr>
        <w:t>Informe Trimestral de los Sujetos de Fiscalización Municipales para el ejercicio 2023</w:t>
      </w:r>
      <w:r w:rsidRPr="00C7790F">
        <w:rPr>
          <w:rFonts w:ascii="Palatino Linotype" w:eastAsia="Palatino Linotype" w:hAnsi="Palatino Linotype" w:cs="Palatino Linotype"/>
          <w:sz w:val="24"/>
          <w:szCs w:val="24"/>
        </w:rPr>
        <w:t>.</w:t>
      </w:r>
    </w:p>
    <w:p w14:paraId="1EA99BE8"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6BCECFF9"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780D623D" w14:textId="77777777" w:rsidR="00375659" w:rsidRPr="00C7790F" w:rsidRDefault="00375659">
      <w:pPr>
        <w:spacing w:after="0"/>
        <w:jc w:val="both"/>
        <w:rPr>
          <w:rFonts w:ascii="Palatino Linotype" w:eastAsia="Palatino Linotype" w:hAnsi="Palatino Linotype" w:cs="Palatino Linotype"/>
        </w:rPr>
      </w:pPr>
    </w:p>
    <w:p w14:paraId="347EB5D2"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“Artículo 8.- El Órgano Superior tendrá las siguientes atribuciones:</w:t>
      </w:r>
    </w:p>
    <w:p w14:paraId="7C121646"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5CED653A" w14:textId="77777777" w:rsidR="00375659" w:rsidRPr="00C7790F" w:rsidRDefault="00A67FCF">
      <w:pPr>
        <w:spacing w:after="0"/>
        <w:ind w:left="851" w:right="899"/>
        <w:jc w:val="both"/>
        <w:rPr>
          <w:rFonts w:ascii="Palatino Linotype" w:eastAsia="Palatino Linotype" w:hAnsi="Palatino Linotype" w:cs="Palatino Linotype"/>
          <w:b/>
          <w:i/>
          <w:u w:val="single"/>
        </w:rPr>
      </w:pPr>
      <w:r w:rsidRPr="00C7790F">
        <w:rPr>
          <w:rFonts w:ascii="Palatino Linotype" w:eastAsia="Palatino Linotype" w:hAnsi="Palatino Linotype" w:cs="Palatino Linotype"/>
          <w:b/>
          <w:i/>
          <w:u w:val="single"/>
        </w:rPr>
        <w:t xml:space="preserve">XI. Establecer los lineamientos, criterios, procedimientos, métodos y sistemas, así como todas aquellas disposiciones de carácter general para </w:t>
      </w:r>
      <w:r w:rsidRPr="00C7790F">
        <w:rPr>
          <w:rFonts w:ascii="Palatino Linotype" w:eastAsia="Palatino Linotype" w:hAnsi="Palatino Linotype" w:cs="Palatino Linotype"/>
          <w:b/>
          <w:i/>
          <w:u w:val="single"/>
        </w:rPr>
        <w:lastRenderedPageBreak/>
        <w:t>las acciones de control y evaluación, necesarios para la fiscalización de las cuentas públicas y los informes trimestrales</w:t>
      </w:r>
    </w:p>
    <w:p w14:paraId="1A514E32"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3C318BC3"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b/>
          <w:i/>
          <w:u w:val="single"/>
        </w:rPr>
        <w:t xml:space="preserve">XIV. Verificar que las cuentas públicas, los informes trimestrales </w:t>
      </w:r>
      <w:r w:rsidRPr="00C7790F">
        <w:rPr>
          <w:rFonts w:ascii="Palatino Linotype" w:eastAsia="Palatino Linotype" w:hAnsi="Palatino Linotype" w:cs="Palatino Linotype"/>
          <w:i/>
        </w:rPr>
        <w:t xml:space="preserve">y la información económica, financiera y, en su caso, la deuda pública, </w:t>
      </w:r>
      <w:r w:rsidRPr="00C7790F">
        <w:rPr>
          <w:rFonts w:ascii="Palatino Linotype" w:eastAsia="Palatino Linotype" w:hAnsi="Palatino Linotype" w:cs="Palatino Linotype"/>
          <w:b/>
          <w:i/>
          <w:u w:val="single"/>
        </w:rPr>
        <w:t>se hayan presentado de conformidad con lo dispuesto en la Ley General de Contabilidad Gubernamental, la Ley de Disciplina Financiera de las Entidades Federativas y los Municipios, y demás disposiciones aplicables;</w:t>
      </w:r>
      <w:r w:rsidRPr="00C7790F">
        <w:rPr>
          <w:rFonts w:ascii="Palatino Linotype" w:eastAsia="Palatino Linotype" w:hAnsi="Palatino Linotype" w:cs="Palatino Linotype"/>
          <w:i/>
        </w:rPr>
        <w:t>” (Sic)</w:t>
      </w:r>
    </w:p>
    <w:p w14:paraId="53CB8923" w14:textId="77777777" w:rsidR="00375659" w:rsidRPr="00C7790F" w:rsidRDefault="00375659">
      <w:pPr>
        <w:spacing w:after="0" w:line="360" w:lineRule="auto"/>
        <w:jc w:val="both"/>
        <w:rPr>
          <w:rFonts w:ascii="Palatino Linotype" w:eastAsia="Palatino Linotype" w:hAnsi="Palatino Linotype" w:cs="Palatino Linotype"/>
        </w:rPr>
      </w:pPr>
    </w:p>
    <w:p w14:paraId="4258E0A0"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66AE3CF4"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45654CE2"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Ahora bien, es conveniente precisar que la Ley en cita, en su artículo 2 en su fracción XI define al informe trimestral, como: </w:t>
      </w:r>
    </w:p>
    <w:p w14:paraId="5A4357B0" w14:textId="77777777" w:rsidR="00375659" w:rsidRPr="00C7790F" w:rsidRDefault="00375659">
      <w:pPr>
        <w:spacing w:after="0"/>
        <w:jc w:val="both"/>
        <w:rPr>
          <w:rFonts w:ascii="Palatino Linotype" w:eastAsia="Palatino Linotype" w:hAnsi="Palatino Linotype" w:cs="Palatino Linotype"/>
        </w:rPr>
      </w:pPr>
    </w:p>
    <w:p w14:paraId="6487CFC1"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“Artículo 2. Para los efectos de la presente Ley, se entenderá por:</w:t>
      </w:r>
    </w:p>
    <w:p w14:paraId="493A10A1"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539CD172" w14:textId="77777777" w:rsidR="00375659" w:rsidRPr="00C7790F" w:rsidRDefault="00A67FCF">
      <w:pPr>
        <w:spacing w:after="0"/>
        <w:ind w:left="851" w:right="899"/>
        <w:jc w:val="both"/>
        <w:rPr>
          <w:rFonts w:ascii="Palatino Linotype" w:eastAsia="Palatino Linotype" w:hAnsi="Palatino Linotype" w:cs="Palatino Linotype"/>
          <w:b/>
          <w:i/>
          <w:u w:val="single"/>
        </w:rPr>
      </w:pPr>
      <w:r w:rsidRPr="00C7790F">
        <w:rPr>
          <w:rFonts w:ascii="Palatino Linotype" w:eastAsia="Palatino Linotype" w:hAnsi="Palatino Linotype" w:cs="Palatino Linotype"/>
          <w:b/>
          <w:i/>
          <w:u w:val="single"/>
        </w:rPr>
        <w:t>XI. Informe Trimestral: Al documento físico y/o electrónico que trimestralmente presentan las entidades fiscalizables,</w:t>
      </w:r>
      <w:r w:rsidRPr="00C7790F">
        <w:t xml:space="preserve"> </w:t>
      </w:r>
      <w:r w:rsidRPr="00C7790F">
        <w:rPr>
          <w:rFonts w:ascii="Palatino Linotype" w:eastAsia="Palatino Linotype" w:hAnsi="Palatino Linotype" w:cs="Palatino Linotype"/>
          <w:b/>
          <w:i/>
          <w:u w:val="single"/>
        </w:rPr>
        <w:t>a través de las tesorerías municipales y de la Secretaría de Finanzas o equivalentes, sobre la situación económica, las finanzas públicas y, en su caso, respecto a la</w:t>
      </w:r>
    </w:p>
    <w:p w14:paraId="421BDDE7"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b/>
          <w:i/>
          <w:u w:val="single"/>
        </w:rPr>
        <w:t>deuda pública, para su análisis por el Órgano Superior</w:t>
      </w:r>
      <w:r w:rsidRPr="00C7790F">
        <w:rPr>
          <w:rFonts w:ascii="Palatino Linotype" w:eastAsia="Palatino Linotype" w:hAnsi="Palatino Linotype" w:cs="Palatino Linotype"/>
          <w:i/>
        </w:rPr>
        <w:t>;” (Sic)</w:t>
      </w:r>
    </w:p>
    <w:p w14:paraId="421CB871" w14:textId="77777777" w:rsidR="00375659" w:rsidRPr="00C7790F" w:rsidRDefault="00A67FCF">
      <w:pPr>
        <w:spacing w:before="280"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Asimismo, el artículo 32 de la legislación en referencia mandata a los entes fiscalizables la entrega de los informes trimestrales dentro de los veinte días hábiles posteriores al término del trimestre correspondiente, además en términos del segundo párrafo del </w:t>
      </w:r>
      <w:r w:rsidRPr="00C7790F">
        <w:rPr>
          <w:rFonts w:ascii="Palatino Linotype" w:eastAsia="Palatino Linotype" w:hAnsi="Palatino Linotype" w:cs="Palatino Linotype"/>
          <w:sz w:val="24"/>
          <w:szCs w:val="24"/>
        </w:rPr>
        <w:lastRenderedPageBreak/>
        <w:t xml:space="preserve">artículo 48, los informes trimestrales deberán firmarse por el </w:t>
      </w:r>
      <w:proofErr w:type="gramStart"/>
      <w:r w:rsidRPr="00C7790F">
        <w:rPr>
          <w:rFonts w:ascii="Palatino Linotype" w:eastAsia="Palatino Linotype" w:hAnsi="Palatino Linotype" w:cs="Palatino Linotype"/>
          <w:sz w:val="24"/>
          <w:szCs w:val="24"/>
        </w:rPr>
        <w:t>Presidente</w:t>
      </w:r>
      <w:proofErr w:type="gramEnd"/>
      <w:r w:rsidRPr="00C7790F">
        <w:rPr>
          <w:rFonts w:ascii="Palatino Linotype" w:eastAsia="Palatino Linotype" w:hAnsi="Palatino Linotype" w:cs="Palatino Linotype"/>
          <w:sz w:val="24"/>
          <w:szCs w:val="24"/>
        </w:rPr>
        <w:t xml:space="preserve"> Municipal, el Tesorero y el Secretario del Ayuntamiento. </w:t>
      </w:r>
    </w:p>
    <w:p w14:paraId="62DC9280" w14:textId="77777777" w:rsidR="00375659" w:rsidRPr="00C7790F" w:rsidRDefault="00A67FCF">
      <w:pPr>
        <w:spacing w:before="280"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Ahora bien, en observancia a lo dispuesto por los Lineamientos para la integración y entrega del Informe Trimestral Municipal para el 2022 y 2023, el informe trimestral contendrá entre otros documentos la </w:t>
      </w:r>
      <w:r w:rsidRPr="00C7790F">
        <w:rPr>
          <w:rFonts w:ascii="Palatino Linotype" w:eastAsia="Palatino Linotype" w:hAnsi="Palatino Linotype" w:cs="Palatino Linotype"/>
          <w:b/>
          <w:sz w:val="24"/>
          <w:szCs w:val="24"/>
        </w:rPr>
        <w:t>balanza de comprobación detallada</w:t>
      </w:r>
      <w:r w:rsidRPr="00C7790F">
        <w:rPr>
          <w:rFonts w:ascii="Palatino Linotype" w:eastAsia="Palatino Linotype" w:hAnsi="Palatino Linotype" w:cs="Palatino Linotype"/>
          <w:sz w:val="24"/>
          <w:szCs w:val="24"/>
        </w:rPr>
        <w:t xml:space="preserve">, la cual forma parte del módulo 1, correspondiente a la información contable y financiera, la cual si bien se hace entrega de manera trimestral al Órgano Superior de Fiscalización del Estado de México, su integración por parte del </w:t>
      </w:r>
      <w:r w:rsidRPr="00C7790F">
        <w:rPr>
          <w:rFonts w:ascii="Palatino Linotype" w:eastAsia="Palatino Linotype" w:hAnsi="Palatino Linotype" w:cs="Palatino Linotype"/>
          <w:b/>
          <w:sz w:val="24"/>
          <w:szCs w:val="24"/>
        </w:rPr>
        <w:t xml:space="preserve">Sujeto Obligado </w:t>
      </w:r>
      <w:r w:rsidRPr="00C7790F">
        <w:rPr>
          <w:rFonts w:ascii="Palatino Linotype" w:eastAsia="Palatino Linotype" w:hAnsi="Palatino Linotype" w:cs="Palatino Linotype"/>
          <w:sz w:val="24"/>
          <w:szCs w:val="24"/>
        </w:rPr>
        <w:t>es de manera mensual; para mayor referencia se insertan la siguiente imagen:</w:t>
      </w:r>
    </w:p>
    <w:p w14:paraId="42ED3555" w14:textId="77777777" w:rsidR="00375659" w:rsidRPr="00C7790F" w:rsidRDefault="00A67FCF">
      <w:pPr>
        <w:numPr>
          <w:ilvl w:val="0"/>
          <w:numId w:val="1"/>
        </w:numPr>
        <w:pBdr>
          <w:top w:val="nil"/>
          <w:left w:val="nil"/>
          <w:bottom w:val="nil"/>
          <w:right w:val="nil"/>
          <w:between w:val="nil"/>
        </w:pBdr>
        <w:spacing w:before="280"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Para 2022:</w:t>
      </w:r>
    </w:p>
    <w:p w14:paraId="2123C8E2" w14:textId="77777777" w:rsidR="00375659" w:rsidRPr="00C7790F" w:rsidRDefault="00A67FCF">
      <w:pPr>
        <w:spacing w:before="280" w:after="0" w:line="360" w:lineRule="auto"/>
        <w:jc w:val="both"/>
        <w:rPr>
          <w:rFonts w:ascii="Palatino Linotype" w:eastAsia="Palatino Linotype" w:hAnsi="Palatino Linotype" w:cs="Palatino Linotype"/>
          <w:sz w:val="24"/>
          <w:szCs w:val="24"/>
        </w:rPr>
      </w:pPr>
      <w:r w:rsidRPr="00C7790F">
        <w:rPr>
          <w:noProof/>
        </w:rPr>
        <w:drawing>
          <wp:inline distT="0" distB="0" distL="0" distR="0" wp14:anchorId="1914BBAF" wp14:editId="4B70F048">
            <wp:extent cx="5433645" cy="3010224"/>
            <wp:effectExtent l="0" t="0" r="0" b="0"/>
            <wp:docPr id="21459085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46391" t="19922" r="3709" b="3400"/>
                    <a:stretch>
                      <a:fillRect/>
                    </a:stretch>
                  </pic:blipFill>
                  <pic:spPr>
                    <a:xfrm>
                      <a:off x="0" y="0"/>
                      <a:ext cx="5433645" cy="3010224"/>
                    </a:xfrm>
                    <a:prstGeom prst="rect">
                      <a:avLst/>
                    </a:prstGeom>
                    <a:ln/>
                  </pic:spPr>
                </pic:pic>
              </a:graphicData>
            </a:graphic>
          </wp:inline>
        </w:drawing>
      </w:r>
      <w:r w:rsidRPr="00C7790F">
        <w:rPr>
          <w:noProof/>
        </w:rPr>
        <mc:AlternateContent>
          <mc:Choice Requires="wpg">
            <w:drawing>
              <wp:anchor distT="0" distB="0" distL="114300" distR="114300" simplePos="0" relativeHeight="251660288" behindDoc="0" locked="0" layoutInCell="1" hidden="0" allowOverlap="1" wp14:anchorId="46BECD7A" wp14:editId="20DD9A90">
                <wp:simplePos x="0" y="0"/>
                <wp:positionH relativeFrom="column">
                  <wp:posOffset>-38099</wp:posOffset>
                </wp:positionH>
                <wp:positionV relativeFrom="paragraph">
                  <wp:posOffset>1905000</wp:posOffset>
                </wp:positionV>
                <wp:extent cx="692149" cy="723900"/>
                <wp:effectExtent l="0" t="0" r="0" b="0"/>
                <wp:wrapNone/>
                <wp:docPr id="2145908490" name="Flecha izquierda 2145908490"/>
                <wp:cNvGraphicFramePr/>
                <a:graphic xmlns:a="http://schemas.openxmlformats.org/drawingml/2006/main">
                  <a:graphicData uri="http://schemas.microsoft.com/office/word/2010/wordprocessingShape">
                    <wps:wsp>
                      <wps:cNvSpPr/>
                      <wps:spPr>
                        <a:xfrm rot="10800000">
                          <a:off x="5012625" y="3430750"/>
                          <a:ext cx="666750" cy="698500"/>
                        </a:xfrm>
                        <a:prstGeom prst="left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14:paraId="0AB65ED9" w14:textId="77777777" w:rsidR="00375659" w:rsidRDefault="00375659">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1905000</wp:posOffset>
                </wp:positionV>
                <wp:extent cx="692149" cy="723900"/>
                <wp:effectExtent b="0" l="0" r="0" t="0"/>
                <wp:wrapNone/>
                <wp:docPr id="2145908490"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692149" cy="723900"/>
                        </a:xfrm>
                        <a:prstGeom prst="rect"/>
                        <a:ln/>
                      </pic:spPr>
                    </pic:pic>
                  </a:graphicData>
                </a:graphic>
              </wp:anchor>
            </w:drawing>
          </mc:Fallback>
        </mc:AlternateContent>
      </w:r>
    </w:p>
    <w:p w14:paraId="74DE591F" w14:textId="77777777" w:rsidR="00375659" w:rsidRPr="00C7790F" w:rsidRDefault="00A67FCF">
      <w:pPr>
        <w:numPr>
          <w:ilvl w:val="0"/>
          <w:numId w:val="1"/>
        </w:numPr>
        <w:pBdr>
          <w:top w:val="nil"/>
          <w:left w:val="nil"/>
          <w:bottom w:val="nil"/>
          <w:right w:val="nil"/>
          <w:between w:val="nil"/>
        </w:pBdr>
        <w:spacing w:before="280"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Para 2023:</w:t>
      </w:r>
    </w:p>
    <w:p w14:paraId="110DDDFF" w14:textId="77777777" w:rsidR="00375659" w:rsidRPr="00C7790F" w:rsidRDefault="00375659">
      <w:pPr>
        <w:spacing w:before="280" w:after="0" w:line="360" w:lineRule="auto"/>
        <w:jc w:val="both"/>
        <w:rPr>
          <w:rFonts w:ascii="Palatino Linotype" w:eastAsia="Palatino Linotype" w:hAnsi="Palatino Linotype" w:cs="Palatino Linotype"/>
          <w:sz w:val="24"/>
          <w:szCs w:val="24"/>
        </w:rPr>
      </w:pPr>
    </w:p>
    <w:p w14:paraId="5C0A2A1F" w14:textId="77777777" w:rsidR="00375659" w:rsidRPr="00C7790F" w:rsidRDefault="00A67FCF">
      <w:pPr>
        <w:spacing w:after="0" w:line="360" w:lineRule="auto"/>
        <w:jc w:val="both"/>
        <w:rPr>
          <w:rFonts w:ascii="Palatino Linotype" w:eastAsia="Palatino Linotype" w:hAnsi="Palatino Linotype" w:cs="Palatino Linotype"/>
        </w:rPr>
      </w:pPr>
      <w:r w:rsidRPr="00C7790F">
        <w:rPr>
          <w:rFonts w:ascii="Palatino Linotype" w:eastAsia="Palatino Linotype" w:hAnsi="Palatino Linotype" w:cs="Palatino Linotype"/>
          <w:noProof/>
        </w:rPr>
        <w:drawing>
          <wp:inline distT="0" distB="0" distL="0" distR="0" wp14:anchorId="707F4699" wp14:editId="5DC455F0">
            <wp:extent cx="5349875" cy="4563745"/>
            <wp:effectExtent l="3175" t="3175" r="3175" b="3175"/>
            <wp:docPr id="21459085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349875" cy="4563745"/>
                    </a:xfrm>
                    <a:prstGeom prst="rect">
                      <a:avLst/>
                    </a:prstGeom>
                    <a:ln w="3175">
                      <a:solidFill>
                        <a:srgbClr val="000000"/>
                      </a:solidFill>
                      <a:prstDash val="solid"/>
                    </a:ln>
                  </pic:spPr>
                </pic:pic>
              </a:graphicData>
            </a:graphic>
          </wp:inline>
        </w:drawing>
      </w:r>
    </w:p>
    <w:p w14:paraId="0CFEC0BB" w14:textId="77777777" w:rsidR="00375659" w:rsidRPr="00C7790F" w:rsidRDefault="00375659">
      <w:pPr>
        <w:spacing w:after="0" w:line="360" w:lineRule="auto"/>
        <w:jc w:val="both"/>
        <w:rPr>
          <w:rFonts w:ascii="Palatino Linotype" w:eastAsia="Palatino Linotype" w:hAnsi="Palatino Linotype" w:cs="Palatino Linotype"/>
        </w:rPr>
      </w:pPr>
    </w:p>
    <w:p w14:paraId="243474C4"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Aunado a lo anterior, es importante referir que la </w:t>
      </w:r>
      <w:r w:rsidRPr="00C7790F">
        <w:rPr>
          <w:rFonts w:ascii="Palatino Linotype" w:eastAsia="Palatino Linotype" w:hAnsi="Palatino Linotype" w:cs="Palatino Linotype"/>
          <w:b/>
          <w:sz w:val="24"/>
          <w:szCs w:val="24"/>
        </w:rPr>
        <w:t xml:space="preserve">balanza de comprobación detallada </w:t>
      </w:r>
      <w:r w:rsidRPr="00C7790F">
        <w:rPr>
          <w:rFonts w:ascii="Palatino Linotype" w:eastAsia="Palatino Linotype" w:hAnsi="Palatino Linotype" w:cs="Palatino Linotype"/>
          <w:sz w:val="24"/>
          <w:szCs w:val="24"/>
        </w:rPr>
        <w:t xml:space="preserve">es parte también de la Cuenta Pública la cual conforme al artículo 352 del Código Financiero del Estado de México, se encuentra integrada de la siguiente manera: </w:t>
      </w:r>
    </w:p>
    <w:p w14:paraId="0B704AD7" w14:textId="77777777" w:rsidR="00375659" w:rsidRPr="00C7790F" w:rsidRDefault="00375659">
      <w:pPr>
        <w:spacing w:after="0" w:line="360" w:lineRule="auto"/>
        <w:jc w:val="both"/>
        <w:rPr>
          <w:rFonts w:ascii="Palatino Linotype" w:eastAsia="Palatino Linotype" w:hAnsi="Palatino Linotype" w:cs="Palatino Linotype"/>
        </w:rPr>
      </w:pPr>
    </w:p>
    <w:p w14:paraId="6DF3C017"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Artículo 352.-</w:t>
      </w:r>
      <w:r w:rsidRPr="00C7790F">
        <w:rPr>
          <w:rFonts w:ascii="Palatino Linotype" w:eastAsia="Palatino Linotype" w:hAnsi="Palatino Linotype" w:cs="Palatino Linotype"/>
          <w:i/>
        </w:rPr>
        <w:t xml:space="preserve"> La cuenta pública se constituye por la información económica, patrimonial, presupuestal, programática, cualitativa y cuantitativa que muestre los resultados de la ejecución de la Ley de Ingresos y del Presupuesto de Egresos. </w:t>
      </w:r>
    </w:p>
    <w:p w14:paraId="3B1D3614" w14:textId="77777777" w:rsidR="00375659" w:rsidRPr="00C7790F" w:rsidRDefault="00375659">
      <w:pPr>
        <w:spacing w:after="0"/>
        <w:ind w:left="851" w:right="899"/>
        <w:jc w:val="both"/>
        <w:rPr>
          <w:rFonts w:ascii="Palatino Linotype" w:eastAsia="Palatino Linotype" w:hAnsi="Palatino Linotype" w:cs="Palatino Linotype"/>
          <w:i/>
        </w:rPr>
      </w:pPr>
    </w:p>
    <w:p w14:paraId="6AB083B1"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lastRenderedPageBreak/>
        <w:t xml:space="preserve">La Secretaría y las Tesorerías, proporcionarán la información complementaria requerida por los Órganos de Fiscalización locales y federales, según corresponda, para el análisis y evaluación de la cuenta pública correspondiente. </w:t>
      </w:r>
    </w:p>
    <w:p w14:paraId="10B902C2" w14:textId="77777777" w:rsidR="00375659" w:rsidRPr="00C7790F" w:rsidRDefault="00375659">
      <w:pPr>
        <w:spacing w:after="0"/>
        <w:ind w:left="851" w:right="899"/>
        <w:jc w:val="both"/>
        <w:rPr>
          <w:rFonts w:ascii="Palatino Linotype" w:eastAsia="Palatino Linotype" w:hAnsi="Palatino Linotype" w:cs="Palatino Linotype"/>
          <w:i/>
        </w:rPr>
      </w:pPr>
    </w:p>
    <w:p w14:paraId="24AB7DB5" w14:textId="77777777" w:rsidR="00375659" w:rsidRPr="00C7790F" w:rsidRDefault="00A67FCF">
      <w:pPr>
        <w:spacing w:after="0"/>
        <w:ind w:left="851" w:right="899"/>
        <w:jc w:val="both"/>
        <w:rPr>
          <w:rFonts w:ascii="Palatino Linotype" w:eastAsia="Palatino Linotype" w:hAnsi="Palatino Linotype" w:cs="Palatino Linotype"/>
          <w:i/>
        </w:rPr>
      </w:pPr>
      <w:r w:rsidRPr="00C7790F">
        <w:rPr>
          <w:rFonts w:ascii="Palatino Linotype" w:eastAsia="Palatino Linotype" w:hAnsi="Palatino Linotype" w:cs="Palatino Linotype"/>
          <w:i/>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(Sic)</w:t>
      </w:r>
    </w:p>
    <w:p w14:paraId="62024931" w14:textId="77777777" w:rsidR="00375659" w:rsidRPr="00C7790F" w:rsidRDefault="00375659">
      <w:pPr>
        <w:spacing w:after="0"/>
        <w:ind w:left="851" w:right="899"/>
        <w:jc w:val="both"/>
        <w:rPr>
          <w:rFonts w:ascii="Palatino Linotype" w:eastAsia="Palatino Linotype" w:hAnsi="Palatino Linotype" w:cs="Palatino Linotype"/>
          <w:i/>
        </w:rPr>
      </w:pPr>
    </w:p>
    <w:p w14:paraId="0CBEBEBC"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Por su parte, la Ley de Fiscalización Superior del Estado de México en su artículo 32, párrafos segundo y tercero señala:</w:t>
      </w:r>
    </w:p>
    <w:p w14:paraId="0CA7F549" w14:textId="77777777" w:rsidR="00375659" w:rsidRPr="00C7790F" w:rsidRDefault="00375659">
      <w:pPr>
        <w:spacing w:after="0"/>
        <w:ind w:left="851" w:right="850"/>
        <w:jc w:val="both"/>
        <w:rPr>
          <w:rFonts w:ascii="Palatino Linotype" w:eastAsia="Palatino Linotype" w:hAnsi="Palatino Linotype" w:cs="Palatino Linotype"/>
          <w:i/>
        </w:rPr>
      </w:pPr>
    </w:p>
    <w:p w14:paraId="2279B3D5" w14:textId="77777777" w:rsidR="00375659" w:rsidRPr="00C7790F" w:rsidRDefault="00A67FCF">
      <w:pPr>
        <w:spacing w:after="0"/>
        <w:ind w:left="851" w:right="850"/>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“…Los </w:t>
      </w:r>
      <w:proofErr w:type="gramStart"/>
      <w:r w:rsidRPr="00C7790F">
        <w:rPr>
          <w:rFonts w:ascii="Palatino Linotype" w:eastAsia="Palatino Linotype" w:hAnsi="Palatino Linotype" w:cs="Palatino Linotype"/>
          <w:i/>
        </w:rPr>
        <w:t>Presidentes</w:t>
      </w:r>
      <w:proofErr w:type="gramEnd"/>
      <w:r w:rsidRPr="00C7790F">
        <w:rPr>
          <w:rFonts w:ascii="Palatino Linotype" w:eastAsia="Palatino Linotype" w:hAnsi="Palatino Linotype" w:cs="Palatino Linotype"/>
          <w:i/>
        </w:rPr>
        <w:t xml:space="preserve"> Municipales presentarán a la Legislatura las cuentas públicas anuales de sus respectivos municipios, del ejercicio fiscal inmediato anterior, dentro de los quince primeros días del mes de marzo de cada año; asimismo…" (Sic)</w:t>
      </w:r>
    </w:p>
    <w:p w14:paraId="31F4C2B4" w14:textId="77777777" w:rsidR="00375659" w:rsidRPr="00C7790F" w:rsidRDefault="00375659">
      <w:pPr>
        <w:spacing w:after="0"/>
        <w:ind w:left="851" w:right="850"/>
        <w:jc w:val="both"/>
        <w:rPr>
          <w:rFonts w:ascii="Palatino Linotype" w:eastAsia="Palatino Linotype" w:hAnsi="Palatino Linotype" w:cs="Palatino Linotype"/>
          <w:i/>
        </w:rPr>
      </w:pPr>
    </w:p>
    <w:p w14:paraId="15DE4271" w14:textId="77777777" w:rsidR="00375659" w:rsidRPr="00C7790F" w:rsidRDefault="00A67FCF">
      <w:pPr>
        <w:spacing w:after="0"/>
        <w:ind w:left="851" w:right="850"/>
        <w:jc w:val="both"/>
        <w:rPr>
          <w:rFonts w:ascii="Palatino Linotype" w:eastAsia="Palatino Linotype" w:hAnsi="Palatino Linotype" w:cs="Palatino Linotype"/>
          <w:i/>
        </w:rPr>
      </w:pPr>
      <w:r w:rsidRPr="00C7790F">
        <w:rPr>
          <w:rFonts w:ascii="Palatino Linotype" w:eastAsia="Palatino Linotype" w:hAnsi="Palatino Linotype" w:cs="Palatino Linotype"/>
          <w:i/>
        </w:rPr>
        <w:t>Las cuentas públicas deberán presentarse conforme a lo establecido en la Ley General de Contabilidad Gubernamental, Ley de Disciplina Financiera de las Entidades Federativas y los Municipios y demás disposiciones aplicables…” (Sic)</w:t>
      </w:r>
    </w:p>
    <w:p w14:paraId="0AA7B4BB" w14:textId="77777777" w:rsidR="00375659" w:rsidRPr="00C7790F" w:rsidRDefault="00375659">
      <w:pPr>
        <w:spacing w:after="0" w:line="360" w:lineRule="auto"/>
        <w:jc w:val="both"/>
        <w:rPr>
          <w:rFonts w:ascii="Palatino Linotype" w:eastAsia="Palatino Linotype" w:hAnsi="Palatino Linotype" w:cs="Palatino Linotype"/>
        </w:rPr>
      </w:pPr>
    </w:p>
    <w:p w14:paraId="5ECD2EF1"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La balanza de comprobación detalla, en términos de lo señalado en párrafos anteriores y de los lineamientos alusivos, es información que se debe general trimestralmente, luego entonces en atención a la fecha de la solicitud que fue el pasado siete de febrero de dos mil veintitrés, ya se debió haber generado por parte del Ayuntamiento de Toluca la balanza de comprobación detallada al mes de diciembre del año 2022; es decir, del cuarto trimestre del año 2022.</w:t>
      </w:r>
    </w:p>
    <w:p w14:paraId="008EB88F"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7E4AF3BA"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 xml:space="preserve">Derivado de lo anterior, se puede advertir que existe fuente obligacional que constriñe al </w:t>
      </w:r>
      <w:r w:rsidRPr="00C7790F">
        <w:rPr>
          <w:rFonts w:ascii="Palatino Linotype" w:eastAsia="Palatino Linotype" w:hAnsi="Palatino Linotype" w:cs="Palatino Linotype"/>
          <w:b/>
          <w:sz w:val="24"/>
          <w:szCs w:val="24"/>
        </w:rPr>
        <w:t xml:space="preserve">Sujeto Obligado </w:t>
      </w:r>
      <w:r w:rsidRPr="00C7790F">
        <w:rPr>
          <w:rFonts w:ascii="Palatino Linotype" w:eastAsia="Palatino Linotype" w:hAnsi="Palatino Linotype" w:cs="Palatino Linotype"/>
          <w:sz w:val="24"/>
          <w:szCs w:val="24"/>
        </w:rPr>
        <w:t xml:space="preserve">a generar la información requerida por el particular; pues como ya se mencionó la balanza de comprobación detallada es el documento idóneo que de manera enunciativa más no limitativa pudiera colmar el requerimiento del particular; pues éste es entregado de manera trimestral al Órgano Superior de Fiscalización del Estado de México, mismo que debe ser elaborado de manera mensual y que también es parte para la integración de la cuenta pública. </w:t>
      </w:r>
    </w:p>
    <w:p w14:paraId="1C75261A"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5543784E"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En consecuencia, este Organismo Garante determina ordenar de ser procedente en versión pública el o los documentos donde conste el monto que se le adeuda a los proveedores al siete de febrero de dos mil veintitrés, fecha en que fue presentada la solicitud por el hoy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en su caso, debiendo acompañar el acuerdo de clasificación de la información a través del cual se apruebe la versión pública de los documentos en cuestión, debidamente fundado y motivado, precisando los motivos o razones por los cuales llevaron a suprimir, eliminar o testar cada apartado  y en términos de los señalado por el considerando quinto del presente fallo.</w:t>
      </w:r>
    </w:p>
    <w:p w14:paraId="186B1F68"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60A08ECE" w14:textId="77777777" w:rsidR="00375659" w:rsidRPr="00C7790F" w:rsidRDefault="00A67FCF">
      <w:pPr>
        <w:pBdr>
          <w:top w:val="nil"/>
          <w:left w:val="nil"/>
          <w:bottom w:val="nil"/>
          <w:right w:val="nil"/>
          <w:between w:val="nil"/>
        </w:pBdr>
        <w:spacing w:line="360" w:lineRule="auto"/>
        <w:jc w:val="both"/>
        <w:rPr>
          <w:sz w:val="24"/>
          <w:szCs w:val="24"/>
        </w:rPr>
      </w:pPr>
      <w:r w:rsidRPr="00C7790F">
        <w:rPr>
          <w:rFonts w:ascii="Palatino Linotype" w:eastAsia="Palatino Linotype" w:hAnsi="Palatino Linotype" w:cs="Palatino Linotype"/>
          <w:b/>
          <w:sz w:val="24"/>
          <w:szCs w:val="24"/>
        </w:rPr>
        <w:t>Quinto. Versión Pública.</w:t>
      </w:r>
      <w:r w:rsidRPr="00C7790F">
        <w:rPr>
          <w:rFonts w:ascii="Palatino Linotype" w:eastAsia="Palatino Linotype" w:hAnsi="Palatino Linotype" w:cs="Palatino Linotype"/>
          <w:b/>
          <w:sz w:val="28"/>
          <w:szCs w:val="28"/>
        </w:rPr>
        <w:t xml:space="preserve"> </w:t>
      </w:r>
      <w:r w:rsidRPr="00C7790F">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tendrá que hacer la elaboración de una versión pública de los documentos que vaya entregar para dar cumplimiento a esta resolución, a fin de </w:t>
      </w:r>
      <w:r w:rsidRPr="00C7790F">
        <w:rPr>
          <w:rFonts w:ascii="Palatino Linotype" w:eastAsia="Palatino Linotype" w:hAnsi="Palatino Linotype" w:cs="Palatino Linotype"/>
          <w:sz w:val="24"/>
          <w:szCs w:val="24"/>
        </w:rPr>
        <w:lastRenderedPageBreak/>
        <w:t xml:space="preserve">satisfacer el derecho de acceso a la información pública de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sin menoscabar el derecho a la protección de los datos personales de terceros.</w:t>
      </w:r>
    </w:p>
    <w:p w14:paraId="0A934D41" w14:textId="77777777" w:rsidR="00375659" w:rsidRPr="00C7790F" w:rsidRDefault="00A67FCF">
      <w:pPr>
        <w:pBdr>
          <w:top w:val="nil"/>
          <w:left w:val="nil"/>
          <w:bottom w:val="nil"/>
          <w:right w:val="nil"/>
          <w:between w:val="nil"/>
        </w:pBdr>
        <w:spacing w:line="360" w:lineRule="auto"/>
        <w:ind w:right="50"/>
        <w:jc w:val="both"/>
        <w:rPr>
          <w:sz w:val="24"/>
          <w:szCs w:val="24"/>
        </w:rPr>
      </w:pPr>
      <w:r w:rsidRPr="00C7790F">
        <w:rPr>
          <w:rFonts w:ascii="Palatino Linotype" w:eastAsia="Palatino Linotype" w:hAnsi="Palatino Linotype" w:cs="Palatino Linotype"/>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14:paraId="500776FA" w14:textId="77777777" w:rsidR="00375659" w:rsidRPr="00C7790F" w:rsidRDefault="00375659"/>
    <w:p w14:paraId="496C2FC8"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Artículo 3.</w:t>
      </w:r>
      <w:r w:rsidRPr="00C7790F">
        <w:rPr>
          <w:rFonts w:ascii="Palatino Linotype" w:eastAsia="Palatino Linotype" w:hAnsi="Palatino Linotype" w:cs="Palatino Linotype"/>
          <w:i/>
        </w:rPr>
        <w:t xml:space="preserve"> Para los efectos de la presente Ley se entenderá por:</w:t>
      </w:r>
    </w:p>
    <w:p w14:paraId="5671F920"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w:t>
      </w:r>
    </w:p>
    <w:p w14:paraId="6D6F28EC"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 </w:t>
      </w:r>
    </w:p>
    <w:p w14:paraId="5C81DFF1"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XX. Información clasificada: Aquella considerada por la presente Ley como reservada o confidencial;</w:t>
      </w:r>
    </w:p>
    <w:p w14:paraId="7D790447"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A60EEE"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4B97931B"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w:t>
      </w:r>
    </w:p>
    <w:p w14:paraId="10F35A10"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b/>
          <w:i/>
        </w:rPr>
        <w:t>Artículo 91.</w:t>
      </w:r>
      <w:r w:rsidRPr="00C7790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2D2D6D3"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b/>
          <w:i/>
        </w:rPr>
        <w:t>Artículo 132.</w:t>
      </w:r>
      <w:r w:rsidRPr="00C7790F">
        <w:rPr>
          <w:rFonts w:ascii="Palatino Linotype" w:eastAsia="Palatino Linotype" w:hAnsi="Palatino Linotype" w:cs="Palatino Linotype"/>
          <w:i/>
        </w:rPr>
        <w:t xml:space="preserve"> La clasificación de la información se llevará a cabo en el momento en que:</w:t>
      </w:r>
    </w:p>
    <w:p w14:paraId="4D8853A3"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I. Se reciba una solicitud de acceso a la información;</w:t>
      </w:r>
    </w:p>
    <w:p w14:paraId="01FD7F24"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II. Se determine mediante resolución de autoridad competente; o</w:t>
      </w:r>
    </w:p>
    <w:p w14:paraId="75034345"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lastRenderedPageBreak/>
        <w:t>III. Se generen versiones públicas para dar cumplimiento a las obligaciones de transparencia previstas en esta Ley.</w:t>
      </w:r>
    </w:p>
    <w:p w14:paraId="19389AF1"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w:t>
      </w:r>
    </w:p>
    <w:p w14:paraId="2B9CD71C"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b/>
          <w:i/>
        </w:rPr>
        <w:t>Artículo 143</w:t>
      </w:r>
      <w:r w:rsidRPr="00C7790F">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AF5128E"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66D5B311"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F437914"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III. La que presenten los particulares a los sujetos obligados, de conformidad con lo dispuesto por las leyes o los tratados internacionales.</w:t>
      </w:r>
    </w:p>
    <w:p w14:paraId="4A88CF4E"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D85B168" w14:textId="77777777" w:rsidR="00375659" w:rsidRPr="00C7790F" w:rsidRDefault="00A67FCF">
      <w:pPr>
        <w:pBdr>
          <w:top w:val="nil"/>
          <w:left w:val="nil"/>
          <w:bottom w:val="nil"/>
          <w:right w:val="nil"/>
          <w:between w:val="nil"/>
        </w:pBdr>
        <w:ind w:left="567" w:right="616"/>
        <w:jc w:val="both"/>
      </w:pPr>
      <w:r w:rsidRPr="00C7790F">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CF3ED54" w14:textId="77777777" w:rsidR="00375659" w:rsidRPr="00C7790F" w:rsidRDefault="00375659"/>
    <w:p w14:paraId="04E45D73" w14:textId="77777777" w:rsidR="00375659" w:rsidRPr="00C7790F" w:rsidRDefault="00A67FCF">
      <w:pPr>
        <w:spacing w:after="0" w:line="360" w:lineRule="auto"/>
        <w:ind w:right="51"/>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esto es, los datos concernientes a una persona identificada o identificable, o aquellos datos que tengan el carácter de </w:t>
      </w:r>
      <w:r w:rsidRPr="00C7790F">
        <w:rPr>
          <w:rFonts w:ascii="Palatino Linotype" w:eastAsia="Palatino Linotype" w:hAnsi="Palatino Linotype" w:cs="Palatino Linotype"/>
          <w:sz w:val="24"/>
          <w:szCs w:val="24"/>
        </w:rPr>
        <w:lastRenderedPageBreak/>
        <w:t>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7E1C584" w14:textId="77777777" w:rsidR="00375659" w:rsidRPr="00C7790F" w:rsidRDefault="00375659">
      <w:pPr>
        <w:spacing w:after="0" w:line="360" w:lineRule="auto"/>
        <w:ind w:right="51"/>
        <w:jc w:val="both"/>
        <w:rPr>
          <w:rFonts w:ascii="Palatino Linotype" w:eastAsia="Palatino Linotype" w:hAnsi="Palatino Linotype" w:cs="Palatino Linotype"/>
          <w:sz w:val="24"/>
          <w:szCs w:val="24"/>
        </w:rPr>
      </w:pPr>
    </w:p>
    <w:p w14:paraId="3B633065" w14:textId="77777777" w:rsidR="00375659" w:rsidRPr="00C7790F" w:rsidRDefault="00A67FCF">
      <w:pPr>
        <w:spacing w:after="0" w:line="360" w:lineRule="auto"/>
        <w:ind w:right="51"/>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w:t>
      </w:r>
      <w:proofErr w:type="gramStart"/>
      <w:r w:rsidRPr="00C7790F">
        <w:rPr>
          <w:rFonts w:ascii="Palatino Linotype" w:eastAsia="Palatino Linotype" w:hAnsi="Palatino Linotype" w:cs="Palatino Linotype"/>
          <w:sz w:val="24"/>
          <w:szCs w:val="24"/>
        </w:rPr>
        <w:t>Responsable</w:t>
      </w:r>
      <w:proofErr w:type="gramEnd"/>
      <w:r w:rsidRPr="00C7790F">
        <w:rPr>
          <w:rFonts w:ascii="Palatino Linotype" w:eastAsia="Palatino Linotype" w:hAnsi="Palatino Linotype" w:cs="Palatino Linotype"/>
          <w:sz w:val="24"/>
          <w:szCs w:val="24"/>
        </w:rPr>
        <w:t xml:space="preserve"> de la Unidad de Transparencia del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14:paraId="67446B8E" w14:textId="77777777" w:rsidR="00375659" w:rsidRPr="00C7790F" w:rsidRDefault="00375659">
      <w:pPr>
        <w:spacing w:after="0" w:line="360" w:lineRule="auto"/>
        <w:ind w:right="51"/>
        <w:jc w:val="both"/>
        <w:rPr>
          <w:rFonts w:ascii="Palatino Linotype" w:eastAsia="Palatino Linotype" w:hAnsi="Palatino Linotype" w:cs="Palatino Linotype"/>
          <w:sz w:val="24"/>
          <w:szCs w:val="24"/>
        </w:rPr>
      </w:pPr>
    </w:p>
    <w:p w14:paraId="46DF10C2" w14:textId="77777777" w:rsidR="00375659" w:rsidRPr="00C7790F" w:rsidRDefault="00A67FCF">
      <w:pPr>
        <w:spacing w:after="0"/>
        <w:ind w:left="992" w:right="1043"/>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b/>
          <w:i/>
          <w:sz w:val="24"/>
          <w:szCs w:val="24"/>
        </w:rPr>
        <w:t>“Artículo 49.</w:t>
      </w:r>
      <w:r w:rsidRPr="00C7790F">
        <w:rPr>
          <w:rFonts w:ascii="Palatino Linotype" w:eastAsia="Palatino Linotype" w:hAnsi="Palatino Linotype" w:cs="Palatino Linotype"/>
          <w:i/>
          <w:sz w:val="24"/>
          <w:szCs w:val="24"/>
        </w:rPr>
        <w:t xml:space="preserve"> </w:t>
      </w:r>
      <w:r w:rsidRPr="00C7790F">
        <w:rPr>
          <w:rFonts w:ascii="Palatino Linotype" w:eastAsia="Palatino Linotype" w:hAnsi="Palatino Linotype" w:cs="Palatino Linotype"/>
          <w:b/>
          <w:i/>
          <w:sz w:val="24"/>
          <w:szCs w:val="24"/>
        </w:rPr>
        <w:t>Los Comités de Transparencia</w:t>
      </w:r>
      <w:r w:rsidRPr="00C7790F">
        <w:rPr>
          <w:rFonts w:ascii="Palatino Linotype" w:eastAsia="Palatino Linotype" w:hAnsi="Palatino Linotype" w:cs="Palatino Linotype"/>
          <w:i/>
          <w:sz w:val="24"/>
          <w:szCs w:val="24"/>
        </w:rPr>
        <w:t xml:space="preserve"> tendrán las siguientes atribuciones:</w:t>
      </w:r>
    </w:p>
    <w:p w14:paraId="7692CB13" w14:textId="77777777" w:rsidR="00375659" w:rsidRPr="00C7790F" w:rsidRDefault="00A67FCF">
      <w:pPr>
        <w:spacing w:after="0"/>
        <w:ind w:left="992" w:right="1043"/>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b/>
          <w:i/>
          <w:sz w:val="24"/>
          <w:szCs w:val="24"/>
        </w:rPr>
        <w:t>VIII. Aprobar, modificar o revocar la clasificación de la información</w:t>
      </w:r>
      <w:r w:rsidRPr="00C7790F">
        <w:rPr>
          <w:rFonts w:ascii="Palatino Linotype" w:eastAsia="Palatino Linotype" w:hAnsi="Palatino Linotype" w:cs="Palatino Linotype"/>
          <w:i/>
          <w:sz w:val="24"/>
          <w:szCs w:val="24"/>
        </w:rPr>
        <w:t>…”</w:t>
      </w:r>
    </w:p>
    <w:p w14:paraId="7885879E" w14:textId="77777777" w:rsidR="00375659" w:rsidRPr="00C7790F" w:rsidRDefault="00A67FCF">
      <w:pPr>
        <w:spacing w:after="0"/>
        <w:ind w:left="992" w:right="1043"/>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i/>
          <w:sz w:val="24"/>
          <w:szCs w:val="24"/>
        </w:rPr>
        <w:t>“</w:t>
      </w:r>
      <w:r w:rsidRPr="00C7790F">
        <w:rPr>
          <w:rFonts w:ascii="Palatino Linotype" w:eastAsia="Palatino Linotype" w:hAnsi="Palatino Linotype" w:cs="Palatino Linotype"/>
          <w:b/>
          <w:i/>
          <w:sz w:val="24"/>
          <w:szCs w:val="24"/>
        </w:rPr>
        <w:t>Artículo 53.</w:t>
      </w:r>
      <w:r w:rsidRPr="00C7790F">
        <w:rPr>
          <w:rFonts w:ascii="Palatino Linotype" w:eastAsia="Palatino Linotype" w:hAnsi="Palatino Linotype" w:cs="Palatino Linotype"/>
          <w:i/>
          <w:sz w:val="24"/>
          <w:szCs w:val="24"/>
        </w:rPr>
        <w:t xml:space="preserve"> Las </w:t>
      </w:r>
      <w:r w:rsidRPr="00C7790F">
        <w:rPr>
          <w:rFonts w:ascii="Palatino Linotype" w:eastAsia="Palatino Linotype" w:hAnsi="Palatino Linotype" w:cs="Palatino Linotype"/>
          <w:b/>
          <w:i/>
          <w:sz w:val="24"/>
          <w:szCs w:val="24"/>
        </w:rPr>
        <w:t>Unidades de Transparencia</w:t>
      </w:r>
      <w:r w:rsidRPr="00C7790F">
        <w:rPr>
          <w:rFonts w:ascii="Palatino Linotype" w:eastAsia="Palatino Linotype" w:hAnsi="Palatino Linotype" w:cs="Palatino Linotype"/>
          <w:i/>
          <w:sz w:val="24"/>
          <w:szCs w:val="24"/>
        </w:rPr>
        <w:t xml:space="preserve"> tendrán las siguientes </w:t>
      </w:r>
      <w:r w:rsidRPr="00C7790F">
        <w:rPr>
          <w:rFonts w:ascii="Palatino Linotype" w:eastAsia="Palatino Linotype" w:hAnsi="Palatino Linotype" w:cs="Palatino Linotype"/>
          <w:b/>
          <w:i/>
          <w:sz w:val="24"/>
          <w:szCs w:val="24"/>
        </w:rPr>
        <w:t>funciones</w:t>
      </w:r>
      <w:r w:rsidRPr="00C7790F">
        <w:rPr>
          <w:rFonts w:ascii="Palatino Linotype" w:eastAsia="Palatino Linotype" w:hAnsi="Palatino Linotype" w:cs="Palatino Linotype"/>
          <w:i/>
          <w:sz w:val="24"/>
          <w:szCs w:val="24"/>
        </w:rPr>
        <w:t>:</w:t>
      </w:r>
    </w:p>
    <w:p w14:paraId="35B0B202" w14:textId="77777777" w:rsidR="00375659" w:rsidRPr="00C7790F" w:rsidRDefault="00A67FCF">
      <w:pPr>
        <w:spacing w:after="0"/>
        <w:ind w:left="992" w:right="1043"/>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b/>
          <w:i/>
          <w:sz w:val="24"/>
          <w:szCs w:val="24"/>
        </w:rPr>
        <w:t>X. Presentar ante el Comité, el proyecto de clasificación de información</w:t>
      </w:r>
      <w:r w:rsidRPr="00C7790F">
        <w:rPr>
          <w:rFonts w:ascii="Palatino Linotype" w:eastAsia="Palatino Linotype" w:hAnsi="Palatino Linotype" w:cs="Palatino Linotype"/>
          <w:i/>
          <w:sz w:val="24"/>
          <w:szCs w:val="24"/>
        </w:rPr>
        <w:t xml:space="preserve">…” </w:t>
      </w:r>
    </w:p>
    <w:p w14:paraId="56A9C912" w14:textId="77777777" w:rsidR="00375659" w:rsidRPr="00C7790F" w:rsidRDefault="00A67FCF">
      <w:pPr>
        <w:spacing w:after="0"/>
        <w:ind w:left="992" w:right="1043"/>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b/>
          <w:i/>
          <w:sz w:val="24"/>
          <w:szCs w:val="24"/>
        </w:rPr>
        <w:t>“Artículo 59.</w:t>
      </w:r>
      <w:r w:rsidRPr="00C7790F">
        <w:rPr>
          <w:rFonts w:ascii="Palatino Linotype" w:eastAsia="Palatino Linotype" w:hAnsi="Palatino Linotype" w:cs="Palatino Linotype"/>
          <w:i/>
          <w:sz w:val="24"/>
          <w:szCs w:val="24"/>
        </w:rPr>
        <w:t xml:space="preserve"> Los </w:t>
      </w:r>
      <w:r w:rsidRPr="00C7790F">
        <w:rPr>
          <w:rFonts w:ascii="Palatino Linotype" w:eastAsia="Palatino Linotype" w:hAnsi="Palatino Linotype" w:cs="Palatino Linotype"/>
          <w:b/>
          <w:i/>
          <w:sz w:val="24"/>
          <w:szCs w:val="24"/>
        </w:rPr>
        <w:t>servidores públicos habilitados</w:t>
      </w:r>
      <w:r w:rsidRPr="00C7790F">
        <w:rPr>
          <w:rFonts w:ascii="Palatino Linotype" w:eastAsia="Palatino Linotype" w:hAnsi="Palatino Linotype" w:cs="Palatino Linotype"/>
          <w:i/>
          <w:sz w:val="24"/>
          <w:szCs w:val="24"/>
        </w:rPr>
        <w:t xml:space="preserve"> tendrán las </w:t>
      </w:r>
      <w:r w:rsidRPr="00C7790F">
        <w:rPr>
          <w:rFonts w:ascii="Palatino Linotype" w:eastAsia="Palatino Linotype" w:hAnsi="Palatino Linotype" w:cs="Palatino Linotype"/>
          <w:b/>
          <w:i/>
          <w:sz w:val="24"/>
          <w:szCs w:val="24"/>
        </w:rPr>
        <w:t>funciones</w:t>
      </w:r>
      <w:r w:rsidRPr="00C7790F">
        <w:rPr>
          <w:rFonts w:ascii="Palatino Linotype" w:eastAsia="Palatino Linotype" w:hAnsi="Palatino Linotype" w:cs="Palatino Linotype"/>
          <w:i/>
          <w:sz w:val="24"/>
          <w:szCs w:val="24"/>
        </w:rPr>
        <w:t xml:space="preserve"> siguientes:</w:t>
      </w:r>
    </w:p>
    <w:p w14:paraId="4A93A948" w14:textId="77777777" w:rsidR="00375659" w:rsidRPr="00C7790F" w:rsidRDefault="00A67FCF">
      <w:pPr>
        <w:spacing w:after="0"/>
        <w:ind w:left="992" w:right="1043"/>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b/>
          <w:i/>
          <w:sz w:val="24"/>
          <w:szCs w:val="24"/>
        </w:rPr>
        <w:t>V. Integrar y presentar al responsable de la Unidad de Transparencia la propuesta de clasificación de información</w:t>
      </w:r>
      <w:r w:rsidRPr="00C7790F">
        <w:rPr>
          <w:rFonts w:ascii="Palatino Linotype" w:eastAsia="Palatino Linotype" w:hAnsi="Palatino Linotype" w:cs="Palatino Linotype"/>
          <w:i/>
          <w:sz w:val="24"/>
          <w:szCs w:val="24"/>
        </w:rPr>
        <w:t>, la cual tendrá los fundamentos y argumentos en que se basa dicha propuesta…” (Sic)</w:t>
      </w:r>
    </w:p>
    <w:p w14:paraId="1DD1FEA8" w14:textId="77777777" w:rsidR="00375659" w:rsidRPr="00C7790F" w:rsidRDefault="00375659">
      <w:pPr>
        <w:spacing w:after="0"/>
        <w:ind w:left="992" w:right="1043"/>
        <w:jc w:val="both"/>
        <w:rPr>
          <w:rFonts w:ascii="Palatino Linotype" w:eastAsia="Palatino Linotype" w:hAnsi="Palatino Linotype" w:cs="Palatino Linotype"/>
          <w:i/>
          <w:sz w:val="24"/>
          <w:szCs w:val="24"/>
        </w:rPr>
      </w:pPr>
    </w:p>
    <w:p w14:paraId="1C234228"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FADCB2E"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1958649A"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6F1826F5" w14:textId="77777777" w:rsidR="00375659" w:rsidRPr="00C7790F" w:rsidRDefault="00375659">
      <w:pPr>
        <w:spacing w:after="0" w:line="360" w:lineRule="auto"/>
        <w:jc w:val="both"/>
        <w:rPr>
          <w:rFonts w:ascii="Palatino Linotype" w:eastAsia="Palatino Linotype" w:hAnsi="Palatino Linotype" w:cs="Palatino Linotype"/>
          <w:sz w:val="24"/>
          <w:szCs w:val="24"/>
        </w:rPr>
      </w:pPr>
    </w:p>
    <w:p w14:paraId="0C9B7BFE" w14:textId="77777777" w:rsidR="00375659" w:rsidRPr="00C7790F" w:rsidRDefault="00A67FCF">
      <w:pPr>
        <w:spacing w:after="0"/>
        <w:ind w:left="993" w:right="1041"/>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i/>
          <w:sz w:val="24"/>
          <w:szCs w:val="24"/>
        </w:rPr>
        <w:t>“</w:t>
      </w:r>
      <w:r w:rsidRPr="00C7790F">
        <w:rPr>
          <w:rFonts w:ascii="Palatino Linotype" w:eastAsia="Palatino Linotype" w:hAnsi="Palatino Linotype" w:cs="Palatino Linotype"/>
          <w:b/>
          <w:i/>
          <w:sz w:val="24"/>
          <w:szCs w:val="24"/>
        </w:rPr>
        <w:t>Artículo 149.</w:t>
      </w:r>
      <w:r w:rsidRPr="00C7790F">
        <w:rPr>
          <w:rFonts w:ascii="Palatino Linotype" w:eastAsia="Palatino Linotype" w:hAnsi="Palatino Linotype" w:cs="Palatino Linotype"/>
          <w:i/>
          <w:sz w:val="24"/>
          <w:szCs w:val="24"/>
        </w:rPr>
        <w:t xml:space="preserve"> El </w:t>
      </w:r>
      <w:r w:rsidRPr="00C7790F">
        <w:rPr>
          <w:rFonts w:ascii="Palatino Linotype" w:eastAsia="Palatino Linotype" w:hAnsi="Palatino Linotype" w:cs="Palatino Linotype"/>
          <w:b/>
          <w:i/>
          <w:sz w:val="24"/>
          <w:szCs w:val="24"/>
        </w:rPr>
        <w:t>acuerdo que clasifique la información como confidencial</w:t>
      </w:r>
      <w:r w:rsidRPr="00C7790F">
        <w:rPr>
          <w:rFonts w:ascii="Palatino Linotype" w:eastAsia="Palatino Linotype" w:hAnsi="Palatino Linotype" w:cs="Palatino Linotype"/>
          <w:i/>
          <w:sz w:val="24"/>
          <w:szCs w:val="24"/>
        </w:rPr>
        <w:t xml:space="preserve"> deberá contener un razonamiento lógico en el que demuestre que la información se encuentra en alguna o algunas de las hipótesis previstas en la presente Ley</w:t>
      </w:r>
      <w:proofErr w:type="gramStart"/>
      <w:r w:rsidRPr="00C7790F">
        <w:rPr>
          <w:rFonts w:ascii="Palatino Linotype" w:eastAsia="Palatino Linotype" w:hAnsi="Palatino Linotype" w:cs="Palatino Linotype"/>
          <w:i/>
          <w:sz w:val="24"/>
          <w:szCs w:val="24"/>
        </w:rPr>
        <w:t>.”(</w:t>
      </w:r>
      <w:proofErr w:type="gramEnd"/>
      <w:r w:rsidRPr="00C7790F">
        <w:rPr>
          <w:rFonts w:ascii="Palatino Linotype" w:eastAsia="Palatino Linotype" w:hAnsi="Palatino Linotype" w:cs="Palatino Linotype"/>
          <w:i/>
          <w:sz w:val="24"/>
          <w:szCs w:val="24"/>
        </w:rPr>
        <w:t>Sic)</w:t>
      </w:r>
    </w:p>
    <w:p w14:paraId="43F083D5" w14:textId="77777777" w:rsidR="00375659" w:rsidRPr="00C7790F" w:rsidRDefault="00375659">
      <w:pPr>
        <w:spacing w:before="240" w:after="0" w:line="360" w:lineRule="auto"/>
        <w:ind w:right="51"/>
        <w:jc w:val="both"/>
        <w:rPr>
          <w:rFonts w:ascii="Palatino Linotype" w:eastAsia="Palatino Linotype" w:hAnsi="Palatino Linotype" w:cs="Palatino Linotype"/>
          <w:i/>
          <w:sz w:val="24"/>
          <w:szCs w:val="24"/>
        </w:rPr>
      </w:pPr>
    </w:p>
    <w:p w14:paraId="7CFE63EF" w14:textId="77777777" w:rsidR="00375659" w:rsidRPr="00C7790F" w:rsidRDefault="00A67FCF">
      <w:pPr>
        <w:spacing w:after="0" w:line="360" w:lineRule="auto"/>
        <w:ind w:right="51"/>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Es decir,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w:t>
      </w:r>
      <w:r w:rsidRPr="00C7790F">
        <w:rPr>
          <w:rFonts w:ascii="Palatino Linotype" w:eastAsia="Palatino Linotype" w:hAnsi="Palatino Linotype" w:cs="Palatino Linotype"/>
          <w:sz w:val="24"/>
          <w:szCs w:val="24"/>
        </w:rPr>
        <w:lastRenderedPageBreak/>
        <w:t>otras palabras si no se exponen de manera puntual las razones de la versión pública de la documentación entregada se estaría violentando el derecho de acceso a la información de la parte solicitante.</w:t>
      </w:r>
    </w:p>
    <w:p w14:paraId="464CB4B2" w14:textId="77777777" w:rsidR="00375659" w:rsidRPr="00C7790F" w:rsidRDefault="00375659">
      <w:pPr>
        <w:spacing w:after="0" w:line="360" w:lineRule="auto"/>
        <w:ind w:right="51"/>
        <w:jc w:val="both"/>
        <w:rPr>
          <w:rFonts w:ascii="Palatino Linotype" w:eastAsia="Palatino Linotype" w:hAnsi="Palatino Linotype" w:cs="Palatino Linotype"/>
          <w:sz w:val="24"/>
          <w:szCs w:val="24"/>
        </w:rPr>
      </w:pPr>
    </w:p>
    <w:p w14:paraId="07BCE7A9" w14:textId="77777777" w:rsidR="00375659" w:rsidRPr="00C7790F" w:rsidRDefault="00A67FCF">
      <w:pPr>
        <w:spacing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50FED72" w14:textId="77777777" w:rsidR="00375659" w:rsidRPr="00C7790F" w:rsidRDefault="00375659">
      <w:pPr>
        <w:spacing w:after="0" w:line="360" w:lineRule="auto"/>
        <w:ind w:right="50"/>
        <w:jc w:val="both"/>
        <w:rPr>
          <w:rFonts w:ascii="Palatino Linotype" w:eastAsia="Palatino Linotype" w:hAnsi="Palatino Linotype" w:cs="Palatino Linotype"/>
          <w:sz w:val="24"/>
          <w:szCs w:val="24"/>
        </w:rPr>
      </w:pPr>
    </w:p>
    <w:p w14:paraId="7F15314F" w14:textId="77777777" w:rsidR="00375659" w:rsidRPr="00C7790F" w:rsidRDefault="00A67FCF">
      <w:pPr>
        <w:spacing w:after="0" w:line="360" w:lineRule="auto"/>
        <w:ind w:right="51"/>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B11B07D" w14:textId="77777777" w:rsidR="00375659" w:rsidRPr="00C7790F" w:rsidRDefault="00375659">
      <w:pPr>
        <w:spacing w:after="0" w:line="360" w:lineRule="auto"/>
        <w:ind w:right="51"/>
        <w:jc w:val="both"/>
        <w:rPr>
          <w:rFonts w:ascii="Palatino Linotype" w:eastAsia="Palatino Linotype" w:hAnsi="Palatino Linotype" w:cs="Palatino Linotype"/>
          <w:sz w:val="24"/>
          <w:szCs w:val="24"/>
        </w:rPr>
      </w:pPr>
    </w:p>
    <w:p w14:paraId="20AC90F1" w14:textId="77777777" w:rsidR="00375659" w:rsidRPr="00C7790F" w:rsidRDefault="00A67FCF">
      <w:pPr>
        <w:spacing w:after="0" w:line="360" w:lineRule="auto"/>
        <w:ind w:right="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Lo anterior encuentra sustento en el criterio 10/17 emitido por el Instituto Nacional de Transparencia y Acceso a la Información Pública del Estado de México y Municipios, que a la letra dicen:</w:t>
      </w:r>
    </w:p>
    <w:p w14:paraId="174125D3" w14:textId="77777777" w:rsidR="00375659" w:rsidRPr="00C7790F" w:rsidRDefault="00375659">
      <w:pPr>
        <w:spacing w:after="0"/>
        <w:ind w:right="50"/>
        <w:jc w:val="both"/>
        <w:rPr>
          <w:rFonts w:ascii="Palatino Linotype" w:eastAsia="Palatino Linotype" w:hAnsi="Palatino Linotype" w:cs="Palatino Linotype"/>
          <w:sz w:val="24"/>
          <w:szCs w:val="24"/>
        </w:rPr>
      </w:pPr>
    </w:p>
    <w:p w14:paraId="3954D2F0" w14:textId="77777777" w:rsidR="00375659" w:rsidRPr="00C7790F" w:rsidRDefault="00A67FCF">
      <w:pPr>
        <w:spacing w:after="0"/>
        <w:ind w:left="851" w:right="1134"/>
        <w:jc w:val="both"/>
        <w:rPr>
          <w:rFonts w:ascii="Palatino Linotype" w:eastAsia="Palatino Linotype" w:hAnsi="Palatino Linotype" w:cs="Palatino Linotype"/>
          <w:i/>
        </w:rPr>
      </w:pPr>
      <w:r w:rsidRPr="00C7790F">
        <w:rPr>
          <w:rFonts w:ascii="Palatino Linotype" w:eastAsia="Palatino Linotype" w:hAnsi="Palatino Linotype" w:cs="Palatino Linotype"/>
          <w:b/>
          <w:i/>
        </w:rPr>
        <w:t>“Cuentas bancarias y/o CLABE interbancaria de personas físicas y morales privadas.</w:t>
      </w:r>
      <w:r w:rsidRPr="00C7790F">
        <w:rPr>
          <w:rFonts w:ascii="Palatino Linotype" w:eastAsia="Palatino Linotype" w:hAnsi="Palatino Linotype" w:cs="Palatino Linotype"/>
          <w:i/>
        </w:rPr>
        <w:t xml:space="preserve"> El número de cuenta bancaria y/o CLABE interbancaria de particulares es información confidencial, al tratarse de un conjunto de caracteres </w:t>
      </w:r>
      <w:r w:rsidRPr="00C7790F">
        <w:rPr>
          <w:rFonts w:ascii="Palatino Linotype" w:eastAsia="Palatino Linotype" w:hAnsi="Palatino Linotype" w:cs="Palatino Linotype"/>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62D1F60" w14:textId="77777777" w:rsidR="00375659" w:rsidRPr="00C7790F" w:rsidRDefault="00375659">
      <w:pPr>
        <w:spacing w:after="0"/>
        <w:ind w:left="851" w:right="899"/>
        <w:jc w:val="center"/>
        <w:rPr>
          <w:rFonts w:ascii="Palatino Linotype" w:eastAsia="Palatino Linotype" w:hAnsi="Palatino Linotype" w:cs="Palatino Linotype"/>
          <w:b/>
          <w:i/>
          <w:sz w:val="24"/>
          <w:szCs w:val="24"/>
        </w:rPr>
      </w:pPr>
    </w:p>
    <w:p w14:paraId="0C1965B8" w14:textId="77777777" w:rsidR="00375659" w:rsidRPr="00C7790F" w:rsidRDefault="00A67FCF">
      <w:pPr>
        <w:spacing w:after="0" w:line="360" w:lineRule="auto"/>
        <w:ind w:right="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55FEE07" w14:textId="77777777" w:rsidR="00375659" w:rsidRPr="00C7790F" w:rsidRDefault="00375659">
      <w:pPr>
        <w:spacing w:after="0"/>
        <w:ind w:right="50"/>
        <w:jc w:val="both"/>
        <w:rPr>
          <w:rFonts w:ascii="Palatino Linotype" w:eastAsia="Palatino Linotype" w:hAnsi="Palatino Linotype" w:cs="Palatino Linotype"/>
          <w:sz w:val="24"/>
          <w:szCs w:val="24"/>
        </w:rPr>
      </w:pPr>
    </w:p>
    <w:p w14:paraId="0C3B6680" w14:textId="77777777" w:rsidR="00375659" w:rsidRPr="00C7790F" w:rsidRDefault="00A67FCF">
      <w:pPr>
        <w:spacing w:after="0"/>
        <w:ind w:left="851" w:right="1134"/>
        <w:jc w:val="both"/>
        <w:rPr>
          <w:rFonts w:ascii="Palatino Linotype" w:eastAsia="Palatino Linotype" w:hAnsi="Palatino Linotype" w:cs="Palatino Linotype"/>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Cuentas bancarias y/o CLABE interbancaria de sujetos obligados que reciben y/o transfieren recursos públicos, son información pública.</w:t>
      </w:r>
      <w:r w:rsidRPr="00C7790F">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5DD7FBD0" w14:textId="77777777" w:rsidR="00375659" w:rsidRPr="00C7790F" w:rsidRDefault="00375659">
      <w:pPr>
        <w:spacing w:after="0" w:line="360" w:lineRule="auto"/>
        <w:ind w:right="51"/>
        <w:jc w:val="both"/>
        <w:rPr>
          <w:rFonts w:ascii="Palatino Linotype" w:eastAsia="Palatino Linotype" w:hAnsi="Palatino Linotype" w:cs="Palatino Linotype"/>
          <w:sz w:val="24"/>
          <w:szCs w:val="24"/>
        </w:rPr>
      </w:pPr>
    </w:p>
    <w:p w14:paraId="41E4470F" w14:textId="77777777" w:rsidR="00375659" w:rsidRPr="00C7790F" w:rsidRDefault="00A67FCF">
      <w:pPr>
        <w:spacing w:before="240" w:after="0" w:line="360" w:lineRule="auto"/>
        <w:ind w:right="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D86E4E3" w14:textId="77777777" w:rsidR="00375659" w:rsidRPr="00C7790F" w:rsidRDefault="00A67FCF">
      <w:pPr>
        <w:spacing w:before="240" w:after="0" w:line="360" w:lineRule="auto"/>
        <w:ind w:right="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B07BB85" w14:textId="77777777" w:rsidR="00375659" w:rsidRPr="00C7790F" w:rsidRDefault="00A67FCF">
      <w:pPr>
        <w:spacing w:before="240" w:after="0" w:line="360" w:lineRule="auto"/>
        <w:ind w:right="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22B1BC41" w14:textId="77777777" w:rsidR="00375659" w:rsidRPr="00C7790F" w:rsidRDefault="00A67FCF">
      <w:pPr>
        <w:spacing w:before="240" w:after="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78FC27D" w14:textId="77777777" w:rsidR="00375659" w:rsidRPr="00C7790F" w:rsidRDefault="00375659">
      <w:pPr>
        <w:spacing w:before="240" w:after="0" w:line="360" w:lineRule="auto"/>
        <w:jc w:val="both"/>
        <w:rPr>
          <w:rFonts w:ascii="Palatino Linotype" w:eastAsia="Palatino Linotype" w:hAnsi="Palatino Linotype" w:cs="Palatino Linotype"/>
          <w:sz w:val="24"/>
          <w:szCs w:val="24"/>
        </w:rPr>
      </w:pPr>
    </w:p>
    <w:p w14:paraId="0124E3B8" w14:textId="77777777" w:rsidR="00375659" w:rsidRPr="00C7790F" w:rsidRDefault="00A67FCF">
      <w:pPr>
        <w:spacing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siendo estas las siguientes:</w:t>
      </w:r>
    </w:p>
    <w:p w14:paraId="7F40C70E"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 xml:space="preserve"> “Quincuagésimo. </w:t>
      </w:r>
      <w:r w:rsidRPr="00C7790F">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32173A6" w14:textId="77777777" w:rsidR="00375659" w:rsidRPr="00C7790F" w:rsidRDefault="00A67FC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 xml:space="preserve">Quincuagésimo primero. </w:t>
      </w:r>
      <w:r w:rsidRPr="00C7790F">
        <w:rPr>
          <w:rFonts w:ascii="Palatino Linotype" w:eastAsia="Palatino Linotype" w:hAnsi="Palatino Linotype" w:cs="Palatino Linotype"/>
          <w:i/>
        </w:rPr>
        <w:t xml:space="preserve">Toda acta del Comité de Transparencia deberá contener: </w:t>
      </w:r>
    </w:p>
    <w:p w14:paraId="655E8D94"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w:t>
      </w:r>
      <w:r w:rsidRPr="00C7790F">
        <w:rPr>
          <w:rFonts w:ascii="Palatino Linotype" w:eastAsia="Palatino Linotype" w:hAnsi="Palatino Linotype" w:cs="Palatino Linotype"/>
          <w:i/>
        </w:rPr>
        <w:t xml:space="preserve"> El número de sesión y fecha; </w:t>
      </w:r>
    </w:p>
    <w:p w14:paraId="776A64B8"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w:t>
      </w:r>
      <w:r w:rsidRPr="00C7790F">
        <w:rPr>
          <w:rFonts w:ascii="Palatino Linotype" w:eastAsia="Palatino Linotype" w:hAnsi="Palatino Linotype" w:cs="Palatino Linotype"/>
          <w:i/>
        </w:rPr>
        <w:t xml:space="preserve">. El nombre del área que solicitó la clasificación de información; </w:t>
      </w:r>
    </w:p>
    <w:p w14:paraId="47A6CDA5"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III</w:t>
      </w:r>
      <w:r w:rsidRPr="00C7790F">
        <w:rPr>
          <w:rFonts w:ascii="Palatino Linotype" w:eastAsia="Palatino Linotype" w:hAnsi="Palatino Linotype" w:cs="Palatino Linotype"/>
          <w:i/>
        </w:rPr>
        <w:t xml:space="preserve">. La fundamentación legal y motivación correspondiente; </w:t>
      </w:r>
    </w:p>
    <w:p w14:paraId="652C14DF"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IV</w:t>
      </w:r>
      <w:r w:rsidRPr="00C7790F">
        <w:rPr>
          <w:rFonts w:ascii="Palatino Linotype" w:eastAsia="Palatino Linotype" w:hAnsi="Palatino Linotype" w:cs="Palatino Linotype"/>
          <w:i/>
        </w:rPr>
        <w:t xml:space="preserve">. La resolución o resoluciones aprobadas; y </w:t>
      </w:r>
    </w:p>
    <w:p w14:paraId="6729985C"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V</w:t>
      </w:r>
      <w:r w:rsidRPr="00C7790F">
        <w:rPr>
          <w:rFonts w:ascii="Palatino Linotype" w:eastAsia="Palatino Linotype" w:hAnsi="Palatino Linotype" w:cs="Palatino Linotype"/>
          <w:i/>
        </w:rPr>
        <w:t xml:space="preserve">. La rúbrica o firma digital de cada integrante del Comité de Transparencia. </w:t>
      </w:r>
    </w:p>
    <w:p w14:paraId="41C6EA19" w14:textId="77777777" w:rsidR="00375659" w:rsidRPr="00C7790F" w:rsidRDefault="00A67FC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70F9169"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w:t>
      </w:r>
      <w:r w:rsidRPr="00C7790F">
        <w:rPr>
          <w:rFonts w:ascii="Palatino Linotype" w:eastAsia="Palatino Linotype" w:hAnsi="Palatino Linotype" w:cs="Palatino Linotype"/>
          <w:i/>
        </w:rPr>
        <w:t xml:space="preserve"> Los motivos y razonamientos que sustenten la confirmación o modificación de la prueba de daño;</w:t>
      </w:r>
    </w:p>
    <w:p w14:paraId="7B4A11D4"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C7790F">
        <w:rPr>
          <w:rFonts w:ascii="Palatino Linotype" w:eastAsia="Palatino Linotype" w:hAnsi="Palatino Linotype" w:cs="Palatino Linotype"/>
          <w:b/>
          <w:i/>
        </w:rPr>
        <w:t>II</w:t>
      </w:r>
      <w:r w:rsidRPr="00C7790F">
        <w:rPr>
          <w:rFonts w:ascii="Palatino Linotype" w:eastAsia="Palatino Linotype" w:hAnsi="Palatino Linotype" w:cs="Palatino Linotype"/>
          <w:i/>
        </w:rPr>
        <w:t>. Descripción de las partes o secciones reservadas, en caso de clasificación parcial</w:t>
      </w:r>
      <w:r w:rsidRPr="00C7790F">
        <w:rPr>
          <w:rFonts w:ascii="Palatino Linotype" w:eastAsia="Palatino Linotype" w:hAnsi="Palatino Linotype" w:cs="Palatino Linotype"/>
          <w:b/>
          <w:i/>
        </w:rPr>
        <w:t xml:space="preserve">; </w:t>
      </w:r>
    </w:p>
    <w:p w14:paraId="639AE40E"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III.</w:t>
      </w:r>
      <w:r w:rsidRPr="00C7790F">
        <w:rPr>
          <w:rFonts w:ascii="Palatino Linotype" w:eastAsia="Palatino Linotype" w:hAnsi="Palatino Linotype" w:cs="Palatino Linotype"/>
          <w:i/>
        </w:rPr>
        <w:t xml:space="preserve"> El periodo por el que mantendrá su clasificación y fecha de expiración; y </w:t>
      </w:r>
    </w:p>
    <w:p w14:paraId="482BD89C" w14:textId="77777777" w:rsidR="00375659" w:rsidRPr="00C7790F" w:rsidRDefault="00A67FC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IV.</w:t>
      </w:r>
      <w:r w:rsidRPr="00C7790F">
        <w:rPr>
          <w:rFonts w:ascii="Palatino Linotype" w:eastAsia="Palatino Linotype" w:hAnsi="Palatino Linotype" w:cs="Palatino Linotype"/>
          <w:i/>
        </w:rPr>
        <w:t xml:space="preserve"> El nombre del titular y área encargada de realizar la versión pública del documento, en su caso. </w:t>
      </w:r>
    </w:p>
    <w:p w14:paraId="5521A53F" w14:textId="77777777" w:rsidR="00375659" w:rsidRPr="00C7790F" w:rsidRDefault="00A67FC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6CD5428" w14:textId="77777777" w:rsidR="00375659" w:rsidRPr="00C7790F" w:rsidRDefault="00A67FC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0E223616" w14:textId="77777777" w:rsidR="00375659" w:rsidRPr="00C7790F" w:rsidRDefault="00A67FCF">
      <w:pPr>
        <w:spacing w:before="120" w:after="120"/>
        <w:ind w:left="851" w:right="900"/>
        <w:jc w:val="both"/>
        <w:rPr>
          <w:rFonts w:ascii="Palatino Linotype" w:eastAsia="Palatino Linotype" w:hAnsi="Palatino Linotype" w:cs="Palatino Linotype"/>
          <w:i/>
        </w:rPr>
      </w:pPr>
      <w:r w:rsidRPr="00C7790F">
        <w:rPr>
          <w:rFonts w:ascii="Palatino Linotype" w:eastAsia="Palatino Linotype" w:hAnsi="Palatino Linotype" w:cs="Palatino Linotype"/>
          <w:b/>
          <w:i/>
        </w:rPr>
        <w:t xml:space="preserve"> Quincuagésimo segundo</w:t>
      </w:r>
      <w:r w:rsidRPr="00C7790F">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1819C45" w14:textId="77777777" w:rsidR="00375659" w:rsidRPr="00C7790F" w:rsidRDefault="00A67FCF">
      <w:pPr>
        <w:spacing w:before="120" w:after="120"/>
        <w:ind w:left="851" w:right="900"/>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En el caso </w:t>
      </w:r>
      <w:proofErr w:type="spellStart"/>
      <w:r w:rsidRPr="00C7790F">
        <w:rPr>
          <w:rFonts w:ascii="Palatino Linotype" w:eastAsia="Palatino Linotype" w:hAnsi="Palatino Linotype" w:cs="Palatino Linotype"/>
          <w:i/>
        </w:rPr>
        <w:t>especifico</w:t>
      </w:r>
      <w:proofErr w:type="spellEnd"/>
      <w:r w:rsidRPr="00C7790F">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7454D855" w14:textId="77777777" w:rsidR="00375659" w:rsidRPr="00C7790F" w:rsidRDefault="00A67FCF">
      <w:pPr>
        <w:spacing w:before="120" w:after="120"/>
        <w:ind w:left="1134" w:right="900"/>
        <w:jc w:val="both"/>
        <w:rPr>
          <w:rFonts w:ascii="Palatino Linotype" w:eastAsia="Palatino Linotype" w:hAnsi="Palatino Linotype" w:cs="Palatino Linotype"/>
          <w:i/>
        </w:rPr>
      </w:pPr>
      <w:r w:rsidRPr="00C7790F">
        <w:rPr>
          <w:rFonts w:ascii="Palatino Linotype" w:eastAsia="Palatino Linotype" w:hAnsi="Palatino Linotype" w:cs="Palatino Linotype"/>
          <w:b/>
          <w:i/>
        </w:rPr>
        <w:t>I.</w:t>
      </w:r>
      <w:r w:rsidRPr="00C7790F">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75FC29D7" w14:textId="77777777" w:rsidR="00375659" w:rsidRPr="00C7790F" w:rsidRDefault="00A67FCF">
      <w:pPr>
        <w:spacing w:before="120" w:after="120"/>
        <w:ind w:left="1134" w:right="900"/>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w:t>
      </w:r>
      <w:r w:rsidRPr="00C7790F">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65DE0BC6" w14:textId="77777777" w:rsidR="00375659" w:rsidRPr="00C7790F" w:rsidRDefault="00A67FCF">
      <w:pPr>
        <w:spacing w:before="120" w:after="120"/>
        <w:ind w:left="1134" w:right="900"/>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III.</w:t>
      </w:r>
      <w:r w:rsidRPr="00C7790F">
        <w:rPr>
          <w:rFonts w:ascii="Palatino Linotype" w:eastAsia="Palatino Linotype" w:hAnsi="Palatino Linotype" w:cs="Palatino Linotype"/>
          <w:i/>
        </w:rPr>
        <w:t xml:space="preserve"> Señalar las personas o instancias autorizadas a acceder a la información clasificada.</w:t>
      </w:r>
    </w:p>
    <w:p w14:paraId="12768FB6" w14:textId="77777777" w:rsidR="00375659" w:rsidRPr="00C7790F" w:rsidRDefault="00A67FCF">
      <w:pPr>
        <w:spacing w:before="120" w:after="120"/>
        <w:ind w:left="851" w:right="900"/>
        <w:jc w:val="both"/>
        <w:rPr>
          <w:rFonts w:ascii="Palatino Linotype" w:eastAsia="Palatino Linotype" w:hAnsi="Palatino Linotype" w:cs="Palatino Linotype"/>
          <w:i/>
        </w:rPr>
      </w:pPr>
      <w:r w:rsidRPr="00C7790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973F85B" w14:textId="77777777" w:rsidR="00375659" w:rsidRPr="00C7790F" w:rsidRDefault="00A67FCF">
      <w:pPr>
        <w:spacing w:before="240" w:after="240" w:line="360" w:lineRule="auto"/>
        <w:ind w:right="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w:t>
      </w:r>
      <w:proofErr w:type="spellStart"/>
      <w:r w:rsidRPr="00C7790F">
        <w:rPr>
          <w:rFonts w:ascii="Palatino Linotype" w:eastAsia="Palatino Linotype" w:hAnsi="Palatino Linotype" w:cs="Palatino Linotype"/>
          <w:sz w:val="24"/>
          <w:szCs w:val="24"/>
        </w:rPr>
        <w:t>supraindicados</w:t>
      </w:r>
      <w:proofErr w:type="spellEnd"/>
      <w:r w:rsidRPr="00C7790F">
        <w:rPr>
          <w:rFonts w:ascii="Palatino Linotype" w:eastAsia="Palatino Linotype" w:hAnsi="Palatino Linotype" w:cs="Palatino Linotype"/>
          <w:sz w:val="24"/>
          <w:szCs w:val="24"/>
        </w:rPr>
        <w:t xml:space="preserve">, que establece los formatos para la clasificación de los documentos, conforme a lo siguiente: </w:t>
      </w:r>
    </w:p>
    <w:p w14:paraId="210BA097" w14:textId="77777777" w:rsidR="00375659" w:rsidRPr="00C7790F" w:rsidRDefault="00A67FCF">
      <w:pPr>
        <w:ind w:left="851" w:right="900"/>
        <w:jc w:val="center"/>
        <w:rPr>
          <w:rFonts w:ascii="Palatino Linotype" w:eastAsia="Palatino Linotype" w:hAnsi="Palatino Linotype" w:cs="Palatino Linotype"/>
          <w:b/>
          <w:i/>
        </w:rPr>
      </w:pPr>
      <w:r w:rsidRPr="00C7790F">
        <w:rPr>
          <w:rFonts w:ascii="Palatino Linotype" w:eastAsia="Palatino Linotype" w:hAnsi="Palatino Linotype" w:cs="Palatino Linotype"/>
          <w:b/>
          <w:i/>
        </w:rPr>
        <w:t>CAPÍTULO VIII</w:t>
      </w:r>
    </w:p>
    <w:p w14:paraId="561C790D" w14:textId="77777777" w:rsidR="00375659" w:rsidRPr="00C7790F" w:rsidRDefault="00A67FCF">
      <w:pPr>
        <w:ind w:left="851" w:right="900"/>
        <w:jc w:val="center"/>
        <w:rPr>
          <w:rFonts w:ascii="Palatino Linotype" w:eastAsia="Palatino Linotype" w:hAnsi="Palatino Linotype" w:cs="Palatino Linotype"/>
          <w:b/>
          <w:i/>
        </w:rPr>
      </w:pPr>
      <w:r w:rsidRPr="00C7790F">
        <w:rPr>
          <w:rFonts w:ascii="Palatino Linotype" w:eastAsia="Palatino Linotype" w:hAnsi="Palatino Linotype" w:cs="Palatino Linotype"/>
          <w:b/>
          <w:i/>
        </w:rPr>
        <w:t xml:space="preserve">DE LOS ELEMENTOS PARA LA CLASIFICACIÓN </w:t>
      </w:r>
    </w:p>
    <w:p w14:paraId="1D5CCA68" w14:textId="77777777" w:rsidR="00375659" w:rsidRPr="00C7790F" w:rsidRDefault="00A67FCF">
      <w:pPr>
        <w:ind w:left="851" w:right="900"/>
        <w:rPr>
          <w:rFonts w:ascii="Palatino Linotype" w:eastAsia="Palatino Linotype" w:hAnsi="Palatino Linotype" w:cs="Palatino Linotype"/>
          <w:i/>
        </w:rPr>
      </w:pPr>
      <w:r w:rsidRPr="00C7790F">
        <w:rPr>
          <w:rFonts w:ascii="Palatino Linotype" w:eastAsia="Palatino Linotype" w:hAnsi="Palatino Linotype" w:cs="Palatino Linotype"/>
          <w:i/>
        </w:rPr>
        <w:t>…</w:t>
      </w:r>
    </w:p>
    <w:p w14:paraId="0BCDB3BA"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lastRenderedPageBreak/>
        <w:t xml:space="preserve">Quincuagésimo tercero. </w:t>
      </w:r>
      <w:r w:rsidRPr="00C7790F">
        <w:rPr>
          <w:rFonts w:ascii="Palatino Linotype" w:eastAsia="Palatino Linotype" w:hAnsi="Palatino Linotype" w:cs="Palatino Linotype"/>
          <w:b/>
          <w:i/>
          <w:u w:val="single"/>
        </w:rPr>
        <w:t>El formato para señalar la clasificación de un documento o expediente que contenga información reservada</w:t>
      </w:r>
      <w:r w:rsidRPr="00C7790F">
        <w:rPr>
          <w:rFonts w:ascii="Palatino Linotype" w:eastAsia="Palatino Linotype" w:hAnsi="Palatino Linotype" w:cs="Palatino Linotype"/>
          <w:b/>
          <w:i/>
        </w:rPr>
        <w:t xml:space="preserve">, </w:t>
      </w:r>
      <w:r w:rsidRPr="00C7790F">
        <w:rPr>
          <w:rFonts w:ascii="Palatino Linotype" w:eastAsia="Palatino Linotype" w:hAnsi="Palatino Linotype" w:cs="Palatino Linotype"/>
          <w:i/>
        </w:rPr>
        <w:t xml:space="preserve">es el siguiente: </w:t>
      </w:r>
    </w:p>
    <w:p w14:paraId="6D74A608" w14:textId="77777777" w:rsidR="00375659" w:rsidRPr="00C7790F" w:rsidRDefault="00A67FCF">
      <w:pPr>
        <w:spacing w:before="120" w:after="120"/>
        <w:ind w:left="851" w:right="902"/>
        <w:jc w:val="both"/>
        <w:rPr>
          <w:rFonts w:ascii="Palatino Linotype" w:eastAsia="Palatino Linotype" w:hAnsi="Palatino Linotype" w:cs="Palatino Linotype"/>
          <w:b/>
          <w:i/>
        </w:rPr>
      </w:pPr>
      <w:r w:rsidRPr="00C7790F">
        <w:rPr>
          <w:rFonts w:ascii="Palatino Linotype" w:eastAsia="Palatino Linotype" w:hAnsi="Palatino Linotype" w:cs="Palatino Linotype"/>
          <w:b/>
          <w:i/>
          <w:noProof/>
        </w:rPr>
        <w:drawing>
          <wp:inline distT="0" distB="0" distL="0" distR="0" wp14:anchorId="5021C9DA" wp14:editId="3B499F17">
            <wp:extent cx="4295775" cy="295275"/>
            <wp:effectExtent l="0" t="0" r="0" b="0"/>
            <wp:docPr id="21459085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b="95731"/>
                    <a:stretch>
                      <a:fillRect/>
                    </a:stretch>
                  </pic:blipFill>
                  <pic:spPr>
                    <a:xfrm>
                      <a:off x="0" y="0"/>
                      <a:ext cx="4295775" cy="295275"/>
                    </a:xfrm>
                    <a:prstGeom prst="rect">
                      <a:avLst/>
                    </a:prstGeom>
                    <a:ln/>
                  </pic:spPr>
                </pic:pic>
              </a:graphicData>
            </a:graphic>
          </wp:inline>
        </w:drawing>
      </w:r>
    </w:p>
    <w:p w14:paraId="2F127B57" w14:textId="77777777" w:rsidR="00375659" w:rsidRPr="00C7790F" w:rsidRDefault="00A67FCF">
      <w:pPr>
        <w:spacing w:before="120" w:after="120"/>
        <w:ind w:left="851" w:right="902"/>
        <w:jc w:val="both"/>
        <w:rPr>
          <w:rFonts w:ascii="Palatino Linotype" w:eastAsia="Palatino Linotype" w:hAnsi="Palatino Linotype" w:cs="Palatino Linotype"/>
          <w:b/>
          <w:i/>
        </w:rPr>
      </w:pPr>
      <w:r w:rsidRPr="00C7790F">
        <w:rPr>
          <w:rFonts w:ascii="Palatino Linotype" w:eastAsia="Palatino Linotype" w:hAnsi="Palatino Linotype" w:cs="Palatino Linotype"/>
          <w:b/>
          <w:i/>
          <w:noProof/>
        </w:rPr>
        <w:drawing>
          <wp:inline distT="0" distB="0" distL="0" distR="0" wp14:anchorId="1269089B" wp14:editId="627BCE37">
            <wp:extent cx="4333875" cy="4725619"/>
            <wp:effectExtent l="0" t="0" r="0" b="0"/>
            <wp:docPr id="21459085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t="30908" b="669"/>
                    <a:stretch>
                      <a:fillRect/>
                    </a:stretch>
                  </pic:blipFill>
                  <pic:spPr>
                    <a:xfrm>
                      <a:off x="0" y="0"/>
                      <a:ext cx="4333875" cy="4725619"/>
                    </a:xfrm>
                    <a:prstGeom prst="rect">
                      <a:avLst/>
                    </a:prstGeom>
                    <a:ln/>
                  </pic:spPr>
                </pic:pic>
              </a:graphicData>
            </a:graphic>
          </wp:inline>
        </w:drawing>
      </w:r>
    </w:p>
    <w:p w14:paraId="73128AF3"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Los documentos que integren un expediente reservado en su totalidad no deberán marcarse en lo individual.</w:t>
      </w:r>
    </w:p>
    <w:p w14:paraId="29697E05"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4F145577"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Asimismo, deberá observar los Lineamientos Quincuagésimo cuarto, Quincuagésimo quinto, Quincuagésimo sexto, Quincuagésimo séptimo y Quincuagésimo octavo, establecen lo siguiente:</w:t>
      </w:r>
    </w:p>
    <w:p w14:paraId="5A1F934A" w14:textId="77777777" w:rsidR="00375659" w:rsidRPr="00C7790F" w:rsidRDefault="00A67FCF">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C7790F">
        <w:rPr>
          <w:rFonts w:ascii="Palatino Linotype" w:eastAsia="Palatino Linotype" w:hAnsi="Palatino Linotype" w:cs="Palatino Linotype"/>
          <w:i/>
        </w:rPr>
        <w:t>“</w:t>
      </w:r>
      <w:r w:rsidRPr="00C7790F">
        <w:rPr>
          <w:rFonts w:ascii="Palatino Linotype" w:eastAsia="Palatino Linotype" w:hAnsi="Palatino Linotype" w:cs="Palatino Linotype"/>
          <w:b/>
          <w:i/>
        </w:rPr>
        <w:t xml:space="preserve">Quincuagésimo cuarto. </w:t>
      </w:r>
      <w:r w:rsidRPr="00C7790F">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7790F">
        <w:rPr>
          <w:rFonts w:ascii="Palatino Linotype" w:eastAsia="Palatino Linotype" w:hAnsi="Palatino Linotype" w:cs="Palatino Linotype"/>
          <w:b/>
          <w:i/>
        </w:rPr>
        <w:t xml:space="preserve"> </w:t>
      </w:r>
    </w:p>
    <w:p w14:paraId="08626EA7"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 xml:space="preserve">Quincuagésimo quinto. </w:t>
      </w:r>
      <w:r w:rsidRPr="00C7790F">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C7790F">
        <w:rPr>
          <w:rFonts w:ascii="Palatino Linotype" w:eastAsia="Palatino Linotype" w:hAnsi="Palatino Linotype" w:cs="Palatino Linotype"/>
          <w:i/>
        </w:rPr>
        <w:t>testado</w:t>
      </w:r>
      <w:proofErr w:type="spellEnd"/>
      <w:r w:rsidRPr="00C7790F">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33BBE4E" w14:textId="77777777" w:rsidR="00375659" w:rsidRPr="00C7790F" w:rsidRDefault="00A67FCF">
      <w:pPr>
        <w:spacing w:before="120" w:after="120"/>
        <w:ind w:left="851" w:right="902"/>
        <w:jc w:val="both"/>
        <w:rPr>
          <w:rFonts w:ascii="Palatino Linotype" w:eastAsia="Palatino Linotype" w:hAnsi="Palatino Linotype" w:cs="Palatino Linotype"/>
          <w:b/>
          <w:i/>
        </w:rPr>
      </w:pPr>
      <w:r w:rsidRPr="00C7790F">
        <w:rPr>
          <w:rFonts w:ascii="Palatino Linotype" w:eastAsia="Palatino Linotype" w:hAnsi="Palatino Linotype" w:cs="Palatino Linotype"/>
          <w:b/>
          <w:i/>
        </w:rPr>
        <w:t>...</w:t>
      </w:r>
    </w:p>
    <w:p w14:paraId="660094AB"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Quincuagésimo séptimo</w:t>
      </w:r>
      <w:r w:rsidRPr="00C7790F">
        <w:rPr>
          <w:rFonts w:ascii="Palatino Linotype" w:eastAsia="Palatino Linotype" w:hAnsi="Palatino Linotype" w:cs="Palatino Linotype"/>
          <w:i/>
        </w:rPr>
        <w:t xml:space="preserve">. Se considera, en principio, como información pública y no podrá omitirse de las versiones públicas la siguiente: </w:t>
      </w:r>
    </w:p>
    <w:p w14:paraId="3F545843" w14:textId="77777777" w:rsidR="00375659" w:rsidRPr="00C7790F" w:rsidRDefault="00A67FCF">
      <w:pP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w:t>
      </w:r>
      <w:r w:rsidRPr="00C7790F">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1CACAA6" w14:textId="77777777" w:rsidR="00375659" w:rsidRPr="00C7790F" w:rsidRDefault="00A67FCF">
      <w:pP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w:t>
      </w:r>
      <w:r w:rsidRPr="00C7790F">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7BCD00A4" w14:textId="77777777" w:rsidR="00375659" w:rsidRPr="00C7790F" w:rsidRDefault="00A67FCF">
      <w:pPr>
        <w:spacing w:before="120" w:after="120"/>
        <w:ind w:left="1134"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III</w:t>
      </w:r>
      <w:r w:rsidRPr="00C7790F">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29E9894"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19502921" w14:textId="77777777" w:rsidR="00375659" w:rsidRPr="00C7790F" w:rsidRDefault="00A67FCF">
      <w:pPr>
        <w:spacing w:before="120" w:after="120"/>
        <w:ind w:left="851" w:right="902"/>
        <w:jc w:val="both"/>
        <w:rPr>
          <w:rFonts w:ascii="Palatino Linotype" w:eastAsia="Palatino Linotype" w:hAnsi="Palatino Linotype" w:cs="Palatino Linotype"/>
          <w:i/>
        </w:rPr>
      </w:pPr>
      <w:r w:rsidRPr="00C7790F">
        <w:rPr>
          <w:rFonts w:ascii="Palatino Linotype" w:eastAsia="Palatino Linotype" w:hAnsi="Palatino Linotype" w:cs="Palatino Linotype"/>
          <w:b/>
          <w:i/>
        </w:rPr>
        <w:t>Quincuagésimo octavo</w:t>
      </w:r>
      <w:r w:rsidRPr="00C7790F">
        <w:rPr>
          <w:rFonts w:ascii="Palatino Linotype" w:eastAsia="Palatino Linotype" w:hAnsi="Palatino Linotype" w:cs="Palatino Linotype"/>
          <w:i/>
        </w:rPr>
        <w:t xml:space="preserve">. Los sujetos obligados garantizarán que los sistemas o medios empleados para eliminar la información en las versiones públicas sean </w:t>
      </w:r>
      <w:r w:rsidRPr="00C7790F">
        <w:rPr>
          <w:rFonts w:ascii="Palatino Linotype" w:eastAsia="Palatino Linotype" w:hAnsi="Palatino Linotype" w:cs="Palatino Linotype"/>
          <w:i/>
        </w:rPr>
        <w:lastRenderedPageBreak/>
        <w:t>irreversibles, de tal forma que no permitan su recuperación o la visualización de la misma.”</w:t>
      </w:r>
    </w:p>
    <w:p w14:paraId="334695C8"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C7790F">
        <w:rPr>
          <w:rFonts w:ascii="Palatino Linotype" w:eastAsia="Palatino Linotype" w:hAnsi="Palatino Linotype" w:cs="Palatino Linotype"/>
          <w:b/>
          <w:sz w:val="24"/>
          <w:szCs w:val="24"/>
        </w:rPr>
        <w:t>Recurrente.</w:t>
      </w:r>
    </w:p>
    <w:p w14:paraId="35ECEC61" w14:textId="77777777" w:rsidR="00375659" w:rsidRPr="00C7790F" w:rsidRDefault="00A67FCF">
      <w:pPr>
        <w:spacing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En mérito de lo expuesto en líneas anteriores; devienen fundados los motivos de inconformidad de la parte </w:t>
      </w:r>
      <w:r w:rsidRPr="00C7790F">
        <w:rPr>
          <w:rFonts w:ascii="Palatino Linotype" w:eastAsia="Palatino Linotype" w:hAnsi="Palatino Linotype" w:cs="Palatino Linotype"/>
          <w:b/>
          <w:sz w:val="24"/>
          <w:szCs w:val="24"/>
        </w:rPr>
        <w:t xml:space="preserve">Recurrente </w:t>
      </w:r>
      <w:r w:rsidRPr="00C7790F">
        <w:rPr>
          <w:rFonts w:ascii="Palatino Linotype" w:eastAsia="Palatino Linotype" w:hAnsi="Palatino Linotype" w:cs="Palatino Linotype"/>
          <w:sz w:val="24"/>
          <w:szCs w:val="24"/>
        </w:rPr>
        <w:t xml:space="preserve">hechos valer en el recurso de revisión </w:t>
      </w:r>
      <w:r w:rsidRPr="00C7790F">
        <w:rPr>
          <w:rFonts w:ascii="Palatino Linotype" w:eastAsia="Palatino Linotype" w:hAnsi="Palatino Linotype" w:cs="Palatino Linotype"/>
          <w:b/>
          <w:sz w:val="24"/>
          <w:szCs w:val="24"/>
        </w:rPr>
        <w:t>01469/INFOEM/IP/RR/2023,</w:t>
      </w:r>
      <w:r w:rsidRPr="00C7790F">
        <w:rPr>
          <w:rFonts w:ascii="Palatino Linotype" w:eastAsia="Palatino Linotype" w:hAnsi="Palatino Linotype" w:cs="Palatino Linotype"/>
          <w:sz w:val="24"/>
          <w:szCs w:val="24"/>
        </w:rPr>
        <w:t xml:space="preserve"> siendo procedente Modifica</w:t>
      </w:r>
      <w:r w:rsidRPr="00C7790F">
        <w:rPr>
          <w:rFonts w:ascii="Palatino Linotype" w:eastAsia="Palatino Linotype" w:hAnsi="Palatino Linotype" w:cs="Palatino Linotype"/>
          <w:i/>
          <w:sz w:val="24"/>
          <w:szCs w:val="24"/>
        </w:rPr>
        <w:t xml:space="preserve"> </w:t>
      </w:r>
      <w:r w:rsidRPr="00C7790F">
        <w:rPr>
          <w:rFonts w:ascii="Palatino Linotype" w:eastAsia="Palatino Linotype" w:hAnsi="Palatino Linotype" w:cs="Palatino Linotype"/>
          <w:sz w:val="24"/>
          <w:szCs w:val="24"/>
        </w:rPr>
        <w:t xml:space="preserve">la respuesta del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de conformidad con el artículo 186 fracción III de la Ley de Transparencia, Acceso a la Información Pública y Protección de Datos Personales del Estado de México y Municipios, en los términos señalados en el considerando </w:t>
      </w:r>
      <w:r w:rsidRPr="00C7790F">
        <w:rPr>
          <w:rFonts w:ascii="Palatino Linotype" w:eastAsia="Palatino Linotype" w:hAnsi="Palatino Linotype" w:cs="Palatino Linotype"/>
          <w:b/>
          <w:sz w:val="24"/>
          <w:szCs w:val="24"/>
        </w:rPr>
        <w:t>Cuarto</w:t>
      </w:r>
      <w:r w:rsidRPr="00C7790F">
        <w:rPr>
          <w:rFonts w:ascii="Palatino Linotype" w:eastAsia="Palatino Linotype" w:hAnsi="Palatino Linotype" w:cs="Palatino Linotype"/>
          <w:sz w:val="24"/>
          <w:szCs w:val="24"/>
        </w:rPr>
        <w:t xml:space="preserve"> de esta resolución.</w:t>
      </w:r>
    </w:p>
    <w:p w14:paraId="5D350D18"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fracciones III, así como 188 de la Ley de Transparencia y Acceso a la Información Pública del Estado de México y Municipios, este Pleno:</w:t>
      </w:r>
    </w:p>
    <w:p w14:paraId="574432F9" w14:textId="77777777" w:rsidR="00375659" w:rsidRPr="00C7790F" w:rsidRDefault="00A67FCF">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R E S U E L V E:</w:t>
      </w:r>
    </w:p>
    <w:p w14:paraId="6E6471D1" w14:textId="77777777" w:rsidR="00375659" w:rsidRPr="00C7790F" w:rsidRDefault="00A67FCF">
      <w:pPr>
        <w:spacing w:line="360" w:lineRule="auto"/>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 xml:space="preserve">Primero. </w:t>
      </w:r>
      <w:r w:rsidRPr="00C7790F">
        <w:rPr>
          <w:rFonts w:ascii="Palatino Linotype" w:eastAsia="Palatino Linotype" w:hAnsi="Palatino Linotype" w:cs="Palatino Linotype"/>
          <w:sz w:val="24"/>
          <w:szCs w:val="24"/>
        </w:rPr>
        <w:t xml:space="preserve">Resultan </w:t>
      </w:r>
      <w:r w:rsidRPr="00C7790F">
        <w:rPr>
          <w:rFonts w:ascii="Palatino Linotype" w:eastAsia="Palatino Linotype" w:hAnsi="Palatino Linotype" w:cs="Palatino Linotype"/>
          <w:b/>
          <w:sz w:val="24"/>
          <w:szCs w:val="24"/>
        </w:rPr>
        <w:t>fundadas</w:t>
      </w:r>
      <w:r w:rsidRPr="00C7790F">
        <w:rPr>
          <w:rFonts w:ascii="Palatino Linotype" w:eastAsia="Palatino Linotype" w:hAnsi="Palatino Linotype" w:cs="Palatino Linotype"/>
          <w:sz w:val="24"/>
          <w:szCs w:val="24"/>
        </w:rPr>
        <w:t xml:space="preserve"> las</w:t>
      </w:r>
      <w:r w:rsidRPr="00C7790F">
        <w:rPr>
          <w:rFonts w:ascii="Palatino Linotype" w:eastAsia="Palatino Linotype" w:hAnsi="Palatino Linotype" w:cs="Palatino Linotype"/>
          <w:b/>
          <w:sz w:val="24"/>
          <w:szCs w:val="24"/>
        </w:rPr>
        <w:t xml:space="preserve"> </w:t>
      </w:r>
      <w:r w:rsidRPr="00C7790F">
        <w:rPr>
          <w:rFonts w:ascii="Palatino Linotype" w:eastAsia="Palatino Linotype" w:hAnsi="Palatino Linotype" w:cs="Palatino Linotype"/>
          <w:sz w:val="24"/>
          <w:szCs w:val="24"/>
        </w:rPr>
        <w:t xml:space="preserve">razones o motivos de inconformidad hechos valer por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en el Recurso de Revisión </w:t>
      </w:r>
      <w:r w:rsidRPr="00C7790F">
        <w:rPr>
          <w:rFonts w:ascii="Palatino Linotype" w:eastAsia="Palatino Linotype" w:hAnsi="Palatino Linotype" w:cs="Palatino Linotype"/>
          <w:b/>
          <w:sz w:val="24"/>
          <w:szCs w:val="24"/>
        </w:rPr>
        <w:t xml:space="preserve">01469/INFOEM/IP/RR/2023; </w:t>
      </w:r>
      <w:r w:rsidRPr="00C7790F">
        <w:rPr>
          <w:rFonts w:ascii="Palatino Linotype" w:eastAsia="Palatino Linotype" w:hAnsi="Palatino Linotype" w:cs="Palatino Linotype"/>
          <w:sz w:val="24"/>
          <w:szCs w:val="24"/>
        </w:rPr>
        <w:t xml:space="preserve">por lo que, en términos del Considerando </w:t>
      </w:r>
      <w:r w:rsidRPr="00C7790F">
        <w:rPr>
          <w:rFonts w:ascii="Palatino Linotype" w:eastAsia="Palatino Linotype" w:hAnsi="Palatino Linotype" w:cs="Palatino Linotype"/>
          <w:b/>
          <w:sz w:val="24"/>
          <w:szCs w:val="24"/>
        </w:rPr>
        <w:t>Cuarto</w:t>
      </w:r>
      <w:r w:rsidRPr="00C7790F">
        <w:rPr>
          <w:rFonts w:ascii="Palatino Linotype" w:eastAsia="Palatino Linotype" w:hAnsi="Palatino Linotype" w:cs="Palatino Linotype"/>
          <w:sz w:val="24"/>
          <w:szCs w:val="24"/>
        </w:rPr>
        <w:t xml:space="preserve"> de la presente resolución se </w:t>
      </w:r>
      <w:r w:rsidRPr="00C7790F">
        <w:rPr>
          <w:rFonts w:ascii="Palatino Linotype" w:eastAsia="Palatino Linotype" w:hAnsi="Palatino Linotype" w:cs="Palatino Linotype"/>
          <w:b/>
          <w:sz w:val="24"/>
          <w:szCs w:val="24"/>
        </w:rPr>
        <w:t xml:space="preserve">Modifica </w:t>
      </w:r>
      <w:r w:rsidRPr="00C7790F">
        <w:rPr>
          <w:rFonts w:ascii="Palatino Linotype" w:eastAsia="Palatino Linotype" w:hAnsi="Palatino Linotype" w:cs="Palatino Linotype"/>
          <w:sz w:val="24"/>
          <w:szCs w:val="24"/>
        </w:rPr>
        <w:t xml:space="preserve">la respuesta emitida por el </w:t>
      </w:r>
      <w:r w:rsidRPr="00C7790F">
        <w:rPr>
          <w:rFonts w:ascii="Palatino Linotype" w:eastAsia="Palatino Linotype" w:hAnsi="Palatino Linotype" w:cs="Palatino Linotype"/>
          <w:b/>
          <w:sz w:val="24"/>
          <w:szCs w:val="24"/>
        </w:rPr>
        <w:t xml:space="preserve">Sujeto Obligado. </w:t>
      </w:r>
    </w:p>
    <w:p w14:paraId="1E6F4654" w14:textId="77777777" w:rsidR="00375659" w:rsidRPr="00C7790F" w:rsidRDefault="00A67FCF">
      <w:pPr>
        <w:spacing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 xml:space="preserve">Segundo. </w:t>
      </w:r>
      <w:r w:rsidRPr="00C7790F">
        <w:rPr>
          <w:rFonts w:ascii="Palatino Linotype" w:eastAsia="Palatino Linotype" w:hAnsi="Palatino Linotype" w:cs="Palatino Linotype"/>
          <w:sz w:val="24"/>
          <w:szCs w:val="24"/>
        </w:rPr>
        <w:t xml:space="preserve">Se </w:t>
      </w:r>
      <w:r w:rsidRPr="00C7790F">
        <w:rPr>
          <w:rFonts w:ascii="Palatino Linotype" w:eastAsia="Palatino Linotype" w:hAnsi="Palatino Linotype" w:cs="Palatino Linotype"/>
          <w:b/>
          <w:sz w:val="24"/>
          <w:szCs w:val="24"/>
        </w:rPr>
        <w:t>ordena</w:t>
      </w:r>
      <w:r w:rsidRPr="00C7790F">
        <w:rPr>
          <w:rFonts w:ascii="Palatino Linotype" w:eastAsia="Palatino Linotype" w:hAnsi="Palatino Linotype" w:cs="Palatino Linotype"/>
          <w:sz w:val="24"/>
          <w:szCs w:val="24"/>
        </w:rPr>
        <w:t xml:space="preserve"> al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que, en términos de los Considerandos Cuarto y Quinto, haga entrega vía Sistema de Acceso a la Información Mexiquense, de ser procedente en versión pública, </w:t>
      </w:r>
      <w:r w:rsidRPr="00C7790F">
        <w:rPr>
          <w:rFonts w:ascii="Palatino Linotype" w:eastAsia="Palatino Linotype" w:hAnsi="Palatino Linotype" w:cs="Palatino Linotype"/>
          <w:b/>
          <w:sz w:val="24"/>
          <w:szCs w:val="24"/>
        </w:rPr>
        <w:t>de los adeudos a proveedores registrados en pasivo de los años 2019 a 2021, los documentos generados al siete de febrero de dos mil veintitrés</w:t>
      </w:r>
      <w:r w:rsidRPr="00C7790F">
        <w:rPr>
          <w:rFonts w:ascii="Palatino Linotype" w:eastAsia="Palatino Linotype" w:hAnsi="Palatino Linotype" w:cs="Palatino Linotype"/>
          <w:sz w:val="24"/>
          <w:szCs w:val="24"/>
        </w:rPr>
        <w:t xml:space="preserve">, donde conste lo siguiente: </w:t>
      </w:r>
    </w:p>
    <w:p w14:paraId="2DE9D178" w14:textId="77777777" w:rsidR="00375659" w:rsidRPr="00C7790F" w:rsidRDefault="00375659"/>
    <w:p w14:paraId="7E15B0F9" w14:textId="77777777" w:rsidR="00375659" w:rsidRPr="00C7790F" w:rsidRDefault="00A67FCF">
      <w:pPr>
        <w:numPr>
          <w:ilvl w:val="0"/>
          <w:numId w:val="3"/>
        </w:numPr>
        <w:pBdr>
          <w:top w:val="nil"/>
          <w:left w:val="nil"/>
          <w:bottom w:val="nil"/>
          <w:right w:val="nil"/>
          <w:between w:val="nil"/>
        </w:pBdr>
        <w:spacing w:before="200" w:after="0" w:line="240" w:lineRule="auto"/>
        <w:ind w:right="616"/>
        <w:jc w:val="both"/>
        <w:rPr>
          <w:rFonts w:ascii="Palatino Linotype" w:eastAsia="Palatino Linotype" w:hAnsi="Palatino Linotype" w:cs="Palatino Linotype"/>
          <w:b/>
          <w:sz w:val="24"/>
          <w:szCs w:val="24"/>
        </w:rPr>
      </w:pPr>
      <w:bookmarkStart w:id="5" w:name="_heading=h.3dy6vkm" w:colFirst="0" w:colLast="0"/>
      <w:bookmarkEnd w:id="5"/>
      <w:r w:rsidRPr="00C7790F">
        <w:rPr>
          <w:rFonts w:ascii="Palatino Linotype" w:eastAsia="Palatino Linotype" w:hAnsi="Palatino Linotype" w:cs="Palatino Linotype"/>
          <w:b/>
          <w:sz w:val="24"/>
          <w:szCs w:val="24"/>
        </w:rPr>
        <w:t xml:space="preserve">Pagos realizados a los proveedores; </w:t>
      </w:r>
    </w:p>
    <w:p w14:paraId="21332C22" w14:textId="77777777" w:rsidR="00375659" w:rsidRPr="00C7790F" w:rsidRDefault="00A67FCF">
      <w:pPr>
        <w:numPr>
          <w:ilvl w:val="0"/>
          <w:numId w:val="3"/>
        </w:numPr>
        <w:pBdr>
          <w:top w:val="nil"/>
          <w:left w:val="nil"/>
          <w:bottom w:val="nil"/>
          <w:right w:val="nil"/>
          <w:between w:val="nil"/>
        </w:pBdr>
        <w:spacing w:before="200" w:after="0" w:line="240" w:lineRule="auto"/>
        <w:ind w:right="616"/>
        <w:jc w:val="both"/>
        <w:rPr>
          <w:rFonts w:ascii="Palatino Linotype" w:eastAsia="Palatino Linotype" w:hAnsi="Palatino Linotype" w:cs="Palatino Linotype"/>
          <w:b/>
          <w:sz w:val="24"/>
          <w:szCs w:val="24"/>
        </w:rPr>
      </w:pPr>
      <w:bookmarkStart w:id="6" w:name="_heading=h.h4k48le8hch3" w:colFirst="0" w:colLast="0"/>
      <w:bookmarkEnd w:id="6"/>
      <w:r w:rsidRPr="00C7790F">
        <w:rPr>
          <w:rFonts w:ascii="Palatino Linotype" w:eastAsia="Palatino Linotype" w:hAnsi="Palatino Linotype" w:cs="Palatino Linotype"/>
          <w:b/>
          <w:sz w:val="24"/>
          <w:szCs w:val="24"/>
        </w:rPr>
        <w:t>La documentación comprobatoria del compromiso del pago; y,</w:t>
      </w:r>
    </w:p>
    <w:p w14:paraId="4330C894" w14:textId="77777777" w:rsidR="00375659" w:rsidRPr="00C7790F" w:rsidRDefault="00375659">
      <w:pPr>
        <w:pBdr>
          <w:top w:val="nil"/>
          <w:left w:val="nil"/>
          <w:bottom w:val="nil"/>
          <w:right w:val="nil"/>
          <w:between w:val="nil"/>
        </w:pBdr>
        <w:spacing w:after="0" w:line="240" w:lineRule="auto"/>
        <w:ind w:left="720" w:right="616"/>
        <w:jc w:val="both"/>
        <w:rPr>
          <w:rFonts w:ascii="Palatino Linotype" w:eastAsia="Palatino Linotype" w:hAnsi="Palatino Linotype" w:cs="Palatino Linotype"/>
          <w:b/>
          <w:sz w:val="24"/>
          <w:szCs w:val="24"/>
        </w:rPr>
      </w:pPr>
    </w:p>
    <w:p w14:paraId="418BA065" w14:textId="77777777" w:rsidR="00375659" w:rsidRPr="00C7790F" w:rsidRDefault="00A67FCF">
      <w:pPr>
        <w:numPr>
          <w:ilvl w:val="0"/>
          <w:numId w:val="3"/>
        </w:numPr>
        <w:pBdr>
          <w:top w:val="nil"/>
          <w:left w:val="nil"/>
          <w:bottom w:val="nil"/>
          <w:right w:val="nil"/>
          <w:between w:val="nil"/>
        </w:pBdr>
        <w:spacing w:after="0" w:line="240" w:lineRule="auto"/>
        <w:ind w:right="616"/>
        <w:jc w:val="both"/>
        <w:rPr>
          <w:rFonts w:ascii="Palatino Linotype" w:eastAsia="Palatino Linotype" w:hAnsi="Palatino Linotype" w:cs="Palatino Linotype"/>
          <w:b/>
          <w:sz w:val="24"/>
          <w:szCs w:val="24"/>
        </w:rPr>
      </w:pPr>
      <w:r w:rsidRPr="00C7790F">
        <w:rPr>
          <w:rFonts w:ascii="Palatino Linotype" w:eastAsia="Palatino Linotype" w:hAnsi="Palatino Linotype" w:cs="Palatino Linotype"/>
          <w:b/>
          <w:sz w:val="24"/>
          <w:szCs w:val="24"/>
        </w:rPr>
        <w:t xml:space="preserve">El monto que se le adeuda a los proveedores </w:t>
      </w:r>
    </w:p>
    <w:p w14:paraId="2495193C" w14:textId="77777777" w:rsidR="00375659" w:rsidRPr="00C7790F" w:rsidRDefault="00375659">
      <w:pPr>
        <w:pBdr>
          <w:top w:val="nil"/>
          <w:left w:val="nil"/>
          <w:bottom w:val="nil"/>
          <w:right w:val="nil"/>
          <w:between w:val="nil"/>
        </w:pBdr>
        <w:spacing w:after="0" w:line="240" w:lineRule="auto"/>
        <w:ind w:left="720" w:right="616"/>
        <w:jc w:val="both"/>
        <w:rPr>
          <w:rFonts w:ascii="Palatino Linotype" w:eastAsia="Palatino Linotype" w:hAnsi="Palatino Linotype" w:cs="Palatino Linotype"/>
          <w:b/>
          <w:sz w:val="24"/>
          <w:szCs w:val="24"/>
        </w:rPr>
      </w:pPr>
    </w:p>
    <w:p w14:paraId="06F5E4C6" w14:textId="77777777" w:rsidR="00375659" w:rsidRPr="00C7790F" w:rsidRDefault="00A67FCF">
      <w:pPr>
        <w:pBdr>
          <w:top w:val="nil"/>
          <w:left w:val="nil"/>
          <w:bottom w:val="nil"/>
          <w:right w:val="nil"/>
          <w:between w:val="nil"/>
        </w:pBdr>
        <w:spacing w:after="0" w:line="240" w:lineRule="auto"/>
        <w:ind w:left="720" w:right="616"/>
        <w:jc w:val="both"/>
        <w:rPr>
          <w:rFonts w:ascii="Times New Roman" w:eastAsia="Times New Roman" w:hAnsi="Times New Roman" w:cs="Times New Roman"/>
          <w:i/>
          <w:sz w:val="24"/>
          <w:szCs w:val="24"/>
        </w:rPr>
      </w:pPr>
      <w:r w:rsidRPr="00C7790F">
        <w:rPr>
          <w:rFonts w:ascii="Palatino Linotype" w:eastAsia="Palatino Linotype" w:hAnsi="Palatino Linotype" w:cs="Palatino Linotype"/>
          <w:i/>
          <w:sz w:val="24"/>
          <w:szCs w:val="24"/>
        </w:rPr>
        <w:t xml:space="preserve">Debiendo acompañar con el Acuerdo del Comité de Transparencia de conformidad a la Ley de Transparencia y Acceso a la Información Pública del Estado de México y Municipios, en el que funde y motive las razones sobre los </w:t>
      </w:r>
      <w:r w:rsidRPr="00C7790F">
        <w:rPr>
          <w:rFonts w:ascii="Palatino Linotype" w:eastAsia="Palatino Linotype" w:hAnsi="Palatino Linotype" w:cs="Palatino Linotype"/>
          <w:i/>
          <w:sz w:val="24"/>
          <w:szCs w:val="24"/>
        </w:rPr>
        <w:lastRenderedPageBreak/>
        <w:t>datos que se supriman o eliminen de los soportes documentales objeto de las versiones públicas que se formulen y se pongan a disposición de la parte recurrente.</w:t>
      </w:r>
      <w:r w:rsidRPr="00C7790F">
        <w:rPr>
          <w:rFonts w:ascii="Times New Roman" w:eastAsia="Times New Roman" w:hAnsi="Times New Roman" w:cs="Times New Roman"/>
          <w:i/>
          <w:sz w:val="24"/>
          <w:szCs w:val="24"/>
        </w:rPr>
        <w:t xml:space="preserve"> </w:t>
      </w:r>
    </w:p>
    <w:p w14:paraId="22562878" w14:textId="77777777" w:rsidR="00375659" w:rsidRPr="00C7790F" w:rsidRDefault="00375659">
      <w:pPr>
        <w:pBdr>
          <w:top w:val="nil"/>
          <w:left w:val="nil"/>
          <w:bottom w:val="nil"/>
          <w:right w:val="nil"/>
          <w:between w:val="nil"/>
        </w:pBdr>
        <w:spacing w:after="0" w:line="240" w:lineRule="auto"/>
        <w:ind w:left="720" w:right="616"/>
        <w:jc w:val="both"/>
        <w:rPr>
          <w:rFonts w:ascii="Times New Roman" w:eastAsia="Times New Roman" w:hAnsi="Times New Roman" w:cs="Times New Roman"/>
          <w:i/>
          <w:sz w:val="24"/>
          <w:szCs w:val="24"/>
        </w:rPr>
      </w:pPr>
    </w:p>
    <w:p w14:paraId="5E5B4155" w14:textId="77777777" w:rsidR="00375659" w:rsidRPr="00C7790F" w:rsidRDefault="00A67FCF">
      <w:pPr>
        <w:pBdr>
          <w:top w:val="nil"/>
          <w:left w:val="nil"/>
          <w:bottom w:val="nil"/>
          <w:right w:val="nil"/>
          <w:between w:val="nil"/>
        </w:pBdr>
        <w:spacing w:after="0" w:line="240" w:lineRule="auto"/>
        <w:ind w:left="720" w:right="616"/>
        <w:jc w:val="both"/>
        <w:rPr>
          <w:rFonts w:ascii="Palatino Linotype" w:eastAsia="Palatino Linotype" w:hAnsi="Palatino Linotype" w:cs="Palatino Linotype"/>
          <w:i/>
          <w:sz w:val="24"/>
          <w:szCs w:val="24"/>
        </w:rPr>
      </w:pPr>
      <w:r w:rsidRPr="00C7790F">
        <w:rPr>
          <w:rFonts w:ascii="Palatino Linotype" w:eastAsia="Palatino Linotype" w:hAnsi="Palatino Linotype" w:cs="Palatino Linotype"/>
          <w:i/>
          <w:sz w:val="24"/>
          <w:szCs w:val="24"/>
        </w:rPr>
        <w:t xml:space="preserve">Para el caso de la información que se ordena en el numeral </w:t>
      </w:r>
      <w:r w:rsidRPr="00C7790F">
        <w:rPr>
          <w:rFonts w:ascii="Palatino Linotype" w:eastAsia="Palatino Linotype" w:hAnsi="Palatino Linotype" w:cs="Palatino Linotype"/>
          <w:b/>
          <w:i/>
          <w:sz w:val="24"/>
          <w:szCs w:val="24"/>
        </w:rPr>
        <w:t xml:space="preserve">“1” </w:t>
      </w:r>
      <w:r w:rsidRPr="00C7790F">
        <w:rPr>
          <w:rFonts w:ascii="Palatino Linotype" w:eastAsia="Palatino Linotype" w:hAnsi="Palatino Linotype" w:cs="Palatino Linotype"/>
          <w:i/>
          <w:sz w:val="24"/>
          <w:szCs w:val="24"/>
        </w:rPr>
        <w:t>no se haya generado, por no haber realizado pagos, bastará que así se lo haga saber al Recurrente de manera fundada y motivada en términos de lo señalado por el segundo párrafo del artículo 19 de la Ley en la materia.</w:t>
      </w:r>
    </w:p>
    <w:p w14:paraId="6DE64D7E" w14:textId="77777777" w:rsidR="00375659" w:rsidRPr="00C7790F" w:rsidRDefault="00375659"/>
    <w:p w14:paraId="3737BF07" w14:textId="77777777" w:rsidR="00375659" w:rsidRPr="00C7790F" w:rsidRDefault="00A67FCF">
      <w:pPr>
        <w:spacing w:line="360" w:lineRule="auto"/>
        <w:jc w:val="both"/>
        <w:rPr>
          <w:sz w:val="24"/>
          <w:szCs w:val="24"/>
        </w:rPr>
      </w:pPr>
      <w:r w:rsidRPr="00C7790F">
        <w:rPr>
          <w:rFonts w:ascii="Palatino Linotype" w:eastAsia="Palatino Linotype" w:hAnsi="Palatino Linotype" w:cs="Palatino Linotype"/>
          <w:b/>
          <w:sz w:val="24"/>
          <w:szCs w:val="24"/>
        </w:rPr>
        <w:t>Tercero.</w:t>
      </w:r>
      <w:r w:rsidRPr="00C7790F">
        <w:rPr>
          <w:rFonts w:ascii="Palatino Linotype" w:eastAsia="Palatino Linotype" w:hAnsi="Palatino Linotype" w:cs="Palatino Linotype"/>
          <w:b/>
          <w:sz w:val="32"/>
          <w:szCs w:val="32"/>
        </w:rPr>
        <w:t xml:space="preserve">  </w:t>
      </w:r>
      <w:r w:rsidRPr="00C7790F">
        <w:rPr>
          <w:rFonts w:ascii="Palatino Linotype" w:eastAsia="Palatino Linotype" w:hAnsi="Palatino Linotype" w:cs="Palatino Linotype"/>
          <w:b/>
          <w:sz w:val="24"/>
          <w:szCs w:val="24"/>
        </w:rPr>
        <w:t>Notifíquese,</w:t>
      </w:r>
      <w:r w:rsidRPr="00C7790F">
        <w:rPr>
          <w:rFonts w:ascii="Palatino Linotype" w:eastAsia="Palatino Linotype" w:hAnsi="Palatino Linotype" w:cs="Palatino Linotype"/>
          <w:b/>
          <w:sz w:val="32"/>
          <w:szCs w:val="32"/>
        </w:rPr>
        <w:t xml:space="preserve"> </w:t>
      </w:r>
      <w:r w:rsidRPr="00C7790F">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C7790F">
        <w:rPr>
          <w:sz w:val="24"/>
          <w:szCs w:val="24"/>
        </w:rPr>
        <w:t>.</w:t>
      </w:r>
    </w:p>
    <w:p w14:paraId="70A84AE1"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Cuarto.</w:t>
      </w:r>
      <w:r w:rsidRPr="00C7790F">
        <w:rPr>
          <w:rFonts w:ascii="Palatino Linotype" w:eastAsia="Palatino Linotype" w:hAnsi="Palatino Linotype" w:cs="Palatino Linotype"/>
          <w:b/>
          <w:sz w:val="32"/>
          <w:szCs w:val="32"/>
        </w:rPr>
        <w:t xml:space="preserve"> </w:t>
      </w:r>
      <w:r w:rsidRPr="00C7790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C7790F">
        <w:rPr>
          <w:rFonts w:ascii="Palatino Linotype" w:eastAsia="Palatino Linotype" w:hAnsi="Palatino Linotype" w:cs="Palatino Linotype"/>
          <w:b/>
          <w:sz w:val="24"/>
          <w:szCs w:val="24"/>
        </w:rPr>
        <w:t>Sujeto Obligado</w:t>
      </w:r>
      <w:r w:rsidRPr="00C7790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34D83B1" w14:textId="77777777" w:rsidR="00375659" w:rsidRPr="00C7790F" w:rsidRDefault="00A67FCF">
      <w:pPr>
        <w:spacing w:line="360" w:lineRule="auto"/>
        <w:ind w:right="49"/>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b/>
          <w:sz w:val="24"/>
          <w:szCs w:val="24"/>
        </w:rPr>
        <w:t>Quinto. Notifíquese vía SAIMEX</w:t>
      </w:r>
      <w:r w:rsidRPr="00C7790F">
        <w:rPr>
          <w:rFonts w:ascii="Palatino Linotype" w:eastAsia="Palatino Linotype" w:hAnsi="Palatino Linotype" w:cs="Palatino Linotype"/>
          <w:sz w:val="24"/>
          <w:szCs w:val="24"/>
        </w:rPr>
        <w:t>,</w:t>
      </w:r>
      <w:r w:rsidRPr="00C7790F">
        <w:rPr>
          <w:rFonts w:ascii="Palatino Linotype" w:eastAsia="Palatino Linotype" w:hAnsi="Palatino Linotype" w:cs="Palatino Linotype"/>
          <w:b/>
          <w:sz w:val="24"/>
          <w:szCs w:val="24"/>
        </w:rPr>
        <w:t xml:space="preserve"> </w:t>
      </w:r>
      <w:r w:rsidRPr="00C7790F">
        <w:rPr>
          <w:rFonts w:ascii="Palatino Linotype" w:eastAsia="Palatino Linotype" w:hAnsi="Palatino Linotype" w:cs="Palatino Linotype"/>
          <w:sz w:val="24"/>
          <w:szCs w:val="24"/>
        </w:rPr>
        <w:t xml:space="preserve">a la parte </w:t>
      </w:r>
      <w:r w:rsidRPr="00C7790F">
        <w:rPr>
          <w:rFonts w:ascii="Palatino Linotype" w:eastAsia="Palatino Linotype" w:hAnsi="Palatino Linotype" w:cs="Palatino Linotype"/>
          <w:b/>
          <w:sz w:val="24"/>
          <w:szCs w:val="24"/>
        </w:rPr>
        <w:t>Recurrente</w:t>
      </w:r>
      <w:r w:rsidRPr="00C7790F">
        <w:rPr>
          <w:rFonts w:ascii="Palatino Linotype" w:eastAsia="Palatino Linotype" w:hAnsi="Palatino Linotype" w:cs="Palatino Linotype"/>
          <w:sz w:val="24"/>
          <w:szCs w:val="24"/>
        </w:rPr>
        <w:t xml:space="preserve"> la presente resolución, así como, que de conformidad con lo establecido en el artículo 196 de la Ley de </w:t>
      </w:r>
      <w:r w:rsidRPr="00C7790F">
        <w:rPr>
          <w:rFonts w:ascii="Palatino Linotype" w:eastAsia="Palatino Linotype" w:hAnsi="Palatino Linotype" w:cs="Palatino Linotype"/>
          <w:sz w:val="24"/>
          <w:szCs w:val="24"/>
        </w:rPr>
        <w:lastRenderedPageBreak/>
        <w:t xml:space="preserve">Transparencia y Acceso a la Información Pública del Estado de México y Municipios podrá impugnarla, vía Juicio de Amparo en los términos de las leyes aplicables. </w:t>
      </w:r>
    </w:p>
    <w:p w14:paraId="4FC1CAC8" w14:textId="77777777" w:rsidR="00375659" w:rsidRPr="00C7790F" w:rsidRDefault="00A67FCF">
      <w:pPr>
        <w:spacing w:after="0" w:line="360" w:lineRule="auto"/>
        <w:ind w:right="-93"/>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14:paraId="588D3E50" w14:textId="77777777" w:rsidR="00375659" w:rsidRPr="00C7790F" w:rsidRDefault="00A67FCF">
      <w:pPr>
        <w:spacing w:before="240" w:after="240" w:line="360" w:lineRule="auto"/>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noProof/>
          <w:sz w:val="24"/>
          <w:szCs w:val="24"/>
        </w:rPr>
        <mc:AlternateContent>
          <mc:Choice Requires="wps">
            <w:drawing>
              <wp:anchor distT="0" distB="0" distL="114300" distR="114300" simplePos="0" relativeHeight="251661312" behindDoc="0" locked="0" layoutInCell="1" allowOverlap="1" wp14:anchorId="42A2FEC1" wp14:editId="021405BD">
                <wp:simplePos x="0" y="0"/>
                <wp:positionH relativeFrom="margin">
                  <wp:align>right</wp:align>
                </wp:positionH>
                <wp:positionV relativeFrom="paragraph">
                  <wp:posOffset>164465</wp:posOffset>
                </wp:positionV>
                <wp:extent cx="5743575" cy="36480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43575" cy="3648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30AC5" id="Conector recto 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2.95pt" to="853.3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" strokecolor="black [3213]" strokeweight=".5pt">
                <v:stroke joinstyle="miter"/>
                <w10:wrap anchorx="margin"/>
              </v:line>
            </w:pict>
          </mc:Fallback>
        </mc:AlternateContent>
      </w:r>
    </w:p>
    <w:p w14:paraId="3D9C63DF" w14:textId="77777777" w:rsidR="00375659" w:rsidRPr="00C7790F" w:rsidRDefault="00A67FC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7790F">
        <w:rPr>
          <w:rFonts w:ascii="Palatino Linotype" w:eastAsia="Palatino Linotype" w:hAnsi="Palatino Linotype" w:cs="Palatino Linotype"/>
          <w:sz w:val="24"/>
          <w:szCs w:val="24"/>
        </w:rPr>
        <w:t xml:space="preserve"> </w:t>
      </w:r>
    </w:p>
    <w:p w14:paraId="33B02F90" w14:textId="77777777" w:rsidR="00375659" w:rsidRDefault="00375659">
      <w:pPr>
        <w:spacing w:after="0" w:line="360" w:lineRule="auto"/>
        <w:ind w:right="-93"/>
        <w:jc w:val="both"/>
        <w:rPr>
          <w:rFonts w:ascii="Palatino Linotype" w:eastAsia="Palatino Linotype" w:hAnsi="Palatino Linotype" w:cs="Palatino Linotype"/>
          <w:sz w:val="24"/>
          <w:szCs w:val="24"/>
        </w:rPr>
      </w:pPr>
    </w:p>
    <w:p w14:paraId="091D8115"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4BEDA6F8"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772B559A"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547FE928"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4A20993E"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5FA3C713"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2918FECB"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3EF371E3"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1C64D786"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63AD0326"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7F5EAFFA"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6E920E97"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7446B1F6" w14:textId="77777777" w:rsidR="005E500C" w:rsidRDefault="005E500C">
      <w:pPr>
        <w:spacing w:after="0" w:line="360" w:lineRule="auto"/>
        <w:ind w:right="-93"/>
        <w:jc w:val="both"/>
        <w:rPr>
          <w:rFonts w:ascii="Palatino Linotype" w:eastAsia="Palatino Linotype" w:hAnsi="Palatino Linotype" w:cs="Palatino Linotype"/>
          <w:sz w:val="24"/>
          <w:szCs w:val="24"/>
        </w:rPr>
      </w:pPr>
    </w:p>
    <w:p w14:paraId="572614FD" w14:textId="77777777" w:rsidR="005E500C" w:rsidRPr="00C7790F" w:rsidRDefault="005E500C">
      <w:pPr>
        <w:spacing w:after="0" w:line="360" w:lineRule="auto"/>
        <w:ind w:right="-93"/>
        <w:jc w:val="both"/>
        <w:rPr>
          <w:rFonts w:ascii="Palatino Linotype" w:eastAsia="Palatino Linotype" w:hAnsi="Palatino Linotype" w:cs="Palatino Linotype"/>
          <w:sz w:val="24"/>
          <w:szCs w:val="24"/>
        </w:rPr>
      </w:pPr>
    </w:p>
    <w:sectPr w:rsidR="005E500C" w:rsidRPr="00C7790F">
      <w:headerReference w:type="default" r:id="rId26"/>
      <w:footerReference w:type="default" r:id="rId27"/>
      <w:headerReference w:type="first" r:id="rId28"/>
      <w:footerReference w:type="first" r:id="rId2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38118" w14:textId="77777777" w:rsidR="00D71261" w:rsidRDefault="00D71261">
      <w:pPr>
        <w:spacing w:after="0" w:line="240" w:lineRule="auto"/>
      </w:pPr>
      <w:r>
        <w:separator/>
      </w:r>
    </w:p>
  </w:endnote>
  <w:endnote w:type="continuationSeparator" w:id="0">
    <w:p w14:paraId="6012AA15" w14:textId="77777777" w:rsidR="00D71261" w:rsidRDefault="00D71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1765" w14:textId="77777777" w:rsidR="00375659" w:rsidRDefault="00A67F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95E8E">
      <w:rPr>
        <w:b/>
        <w:noProof/>
        <w:color w:val="000000"/>
        <w:sz w:val="24"/>
        <w:szCs w:val="24"/>
      </w:rPr>
      <w:t>59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5E8E">
      <w:rPr>
        <w:b/>
        <w:noProof/>
        <w:color w:val="000000"/>
        <w:sz w:val="24"/>
        <w:szCs w:val="24"/>
      </w:rPr>
      <w:t>59</w:t>
    </w:r>
    <w:r>
      <w:rPr>
        <w:b/>
        <w:color w:val="000000"/>
        <w:sz w:val="24"/>
        <w:szCs w:val="24"/>
      </w:rPr>
      <w:fldChar w:fldCharType="end"/>
    </w:r>
  </w:p>
  <w:p w14:paraId="0F6E6C70" w14:textId="77777777" w:rsidR="00375659" w:rsidRDefault="0037565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BB9D" w14:textId="77777777" w:rsidR="00375659" w:rsidRDefault="00A67F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95E8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5E8E">
      <w:rPr>
        <w:b/>
        <w:noProof/>
        <w:color w:val="000000"/>
        <w:sz w:val="24"/>
        <w:szCs w:val="24"/>
      </w:rPr>
      <w:t>59</w:t>
    </w:r>
    <w:r>
      <w:rPr>
        <w:b/>
        <w:color w:val="000000"/>
        <w:sz w:val="24"/>
        <w:szCs w:val="24"/>
      </w:rPr>
      <w:fldChar w:fldCharType="end"/>
    </w:r>
  </w:p>
  <w:p w14:paraId="21E9361A" w14:textId="77777777" w:rsidR="00375659" w:rsidRDefault="0037565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CCC0C" w14:textId="77777777" w:rsidR="00D71261" w:rsidRDefault="00D71261">
      <w:pPr>
        <w:spacing w:after="0" w:line="240" w:lineRule="auto"/>
      </w:pPr>
      <w:r>
        <w:separator/>
      </w:r>
    </w:p>
  </w:footnote>
  <w:footnote w:type="continuationSeparator" w:id="0">
    <w:p w14:paraId="42462D8A" w14:textId="77777777" w:rsidR="00D71261" w:rsidRDefault="00D71261">
      <w:pPr>
        <w:spacing w:after="0" w:line="240" w:lineRule="auto"/>
      </w:pPr>
      <w:r>
        <w:continuationSeparator/>
      </w:r>
    </w:p>
  </w:footnote>
  <w:footnote w:id="1">
    <w:p w14:paraId="14A97D50" w14:textId="77777777" w:rsidR="00375659" w:rsidRDefault="00A67FC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53915B8" w14:textId="77777777" w:rsidR="00375659" w:rsidRDefault="00A67FC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2EC6" w14:textId="77777777" w:rsidR="00375659" w:rsidRDefault="00A67FCF">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2D37053A" wp14:editId="32D03DA4">
          <wp:simplePos x="0" y="0"/>
          <wp:positionH relativeFrom="column">
            <wp:posOffset>-746122</wp:posOffset>
          </wp:positionH>
          <wp:positionV relativeFrom="paragraph">
            <wp:posOffset>-448307</wp:posOffset>
          </wp:positionV>
          <wp:extent cx="7809876" cy="10165823"/>
          <wp:effectExtent l="0" t="0" r="0" b="0"/>
          <wp:wrapNone/>
          <wp:docPr id="21459085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375659" w14:paraId="2E4F8768" w14:textId="77777777">
      <w:tc>
        <w:tcPr>
          <w:tcW w:w="2551" w:type="dxa"/>
          <w:vAlign w:val="center"/>
        </w:tcPr>
        <w:p w14:paraId="113B51CD"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BBDE038"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01469/INFOEM/IP/RR/2023</w:t>
          </w:r>
        </w:p>
      </w:tc>
    </w:tr>
    <w:tr w:rsidR="00375659" w14:paraId="5E599BE5" w14:textId="77777777">
      <w:trPr>
        <w:trHeight w:val="228"/>
      </w:trPr>
      <w:tc>
        <w:tcPr>
          <w:tcW w:w="2551" w:type="dxa"/>
          <w:vAlign w:val="center"/>
        </w:tcPr>
        <w:p w14:paraId="3C0A6A10"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693B403" w14:textId="77777777" w:rsidR="00375659" w:rsidRDefault="0037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B6DCCE1" w14:textId="77777777" w:rsidR="00375659" w:rsidRDefault="00A67FCF">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375659" w14:paraId="342B4FA4" w14:textId="77777777">
      <w:tc>
        <w:tcPr>
          <w:tcW w:w="2551" w:type="dxa"/>
          <w:vAlign w:val="center"/>
        </w:tcPr>
        <w:p w14:paraId="2EBE76F6"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BE67BE1"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C9B0571" w14:textId="77777777" w:rsidR="00375659" w:rsidRDefault="0037565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1627" w14:textId="77777777" w:rsidR="00375659" w:rsidRDefault="00A67FCF">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9D97F90" wp14:editId="27FF9FFD">
          <wp:simplePos x="0" y="0"/>
          <wp:positionH relativeFrom="column">
            <wp:posOffset>-713102</wp:posOffset>
          </wp:positionH>
          <wp:positionV relativeFrom="paragraph">
            <wp:posOffset>-154937</wp:posOffset>
          </wp:positionV>
          <wp:extent cx="7809876" cy="10165823"/>
          <wp:effectExtent l="0" t="0" r="0" b="0"/>
          <wp:wrapNone/>
          <wp:docPr id="21459084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375659" w14:paraId="1CADC8F6" w14:textId="77777777">
      <w:tc>
        <w:tcPr>
          <w:tcW w:w="2551" w:type="dxa"/>
          <w:vAlign w:val="center"/>
        </w:tcPr>
        <w:p w14:paraId="74FA99D3"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CEC34AE"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01469/INFOEM/IP/RR/2023</w:t>
          </w:r>
        </w:p>
      </w:tc>
    </w:tr>
    <w:tr w:rsidR="00375659" w14:paraId="3669A2F5" w14:textId="77777777">
      <w:tc>
        <w:tcPr>
          <w:tcW w:w="2551" w:type="dxa"/>
          <w:vAlign w:val="center"/>
        </w:tcPr>
        <w:p w14:paraId="52033F5C"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1A29CE3" w14:textId="776B2597" w:rsidR="00375659" w:rsidRDefault="003C744A">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 XXXXXX XXXXXXX</w:t>
          </w:r>
        </w:p>
      </w:tc>
    </w:tr>
    <w:tr w:rsidR="00375659" w14:paraId="489862C7" w14:textId="77777777">
      <w:trPr>
        <w:trHeight w:val="228"/>
      </w:trPr>
      <w:tc>
        <w:tcPr>
          <w:tcW w:w="2551" w:type="dxa"/>
          <w:vAlign w:val="center"/>
        </w:tcPr>
        <w:p w14:paraId="0D9D5977"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87DD024" w14:textId="77777777" w:rsidR="00375659" w:rsidRDefault="0037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3DA6F1D6" w14:textId="77777777" w:rsidR="00375659" w:rsidRDefault="00A67FCF">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375659" w14:paraId="7E6BD380" w14:textId="77777777">
      <w:tc>
        <w:tcPr>
          <w:tcW w:w="2551" w:type="dxa"/>
          <w:vAlign w:val="center"/>
        </w:tcPr>
        <w:p w14:paraId="19124370"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CB1DCAD" w14:textId="77777777" w:rsidR="00375659" w:rsidRDefault="00A67FC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99DE30B" w14:textId="77777777" w:rsidR="00375659" w:rsidRDefault="00A67FCF">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44AD8"/>
    <w:multiLevelType w:val="multilevel"/>
    <w:tmpl w:val="1E12F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2C2999"/>
    <w:multiLevelType w:val="multilevel"/>
    <w:tmpl w:val="0CB4A3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F974CD"/>
    <w:multiLevelType w:val="multilevel"/>
    <w:tmpl w:val="6AD04F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CD56DB2"/>
    <w:multiLevelType w:val="multilevel"/>
    <w:tmpl w:val="3F421C6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659"/>
    <w:rsid w:val="00095E8E"/>
    <w:rsid w:val="00375659"/>
    <w:rsid w:val="003C744A"/>
    <w:rsid w:val="005A7E67"/>
    <w:rsid w:val="005E500C"/>
    <w:rsid w:val="008C59EB"/>
    <w:rsid w:val="00A67FCF"/>
    <w:rsid w:val="00C7790F"/>
    <w:rsid w:val="00D712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071F"/>
  <w15:docId w15:val="{FAA926CF-E64B-4629-BD60-82639049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paragraph" w:styleId="Cita">
    <w:name w:val="Quote"/>
    <w:basedOn w:val="Normal"/>
    <w:next w:val="Normal"/>
    <w:link w:val="CitaCar"/>
    <w:uiPriority w:val="29"/>
    <w:qFormat/>
    <w:rsid w:val="000B0A5D"/>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0B0A5D"/>
    <w:rPr>
      <w:rFonts w:ascii="Times New Roman" w:eastAsia="Times New Roman" w:hAnsi="Times New Roman" w:cs="Times New Roman"/>
      <w:i/>
      <w:iCs/>
      <w:color w:val="404040" w:themeColor="text1" w:themeTint="BF"/>
      <w:sz w:val="24"/>
      <w:szCs w:val="24"/>
    </w:rPr>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omawww.sat.gob.mx/tramitesyservicios/Paginas/documentos/Anexo_20_Guia_de_llenado_CFDI.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he7+zcFrKEdYBVNvMAAnRoGsdQ==">CgMxLjAyCWguMmV0OTJwMDIJaC4zMGowemxsMghoLnR5amN3dDIJaC4zem55c2g3MgloLjFmb2I5dGUyCWguM2R5NnZrbTIOaC5oNGs0OGxlOGhjaDM4AHIhMVZURHNYaWwwa1hUeEdUNUVDYnFoZTBsM1p2OElhMmhK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11879</Words>
  <Characters>65337</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Villagomez</cp:lastModifiedBy>
  <cp:revision>2</cp:revision>
  <cp:lastPrinted>2023-10-27T18:24:00Z</cp:lastPrinted>
  <dcterms:created xsi:type="dcterms:W3CDTF">2023-11-06T23:15:00Z</dcterms:created>
  <dcterms:modified xsi:type="dcterms:W3CDTF">2023-11-06T23:15:00Z</dcterms:modified>
</cp:coreProperties>
</file>