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57D9123" w:rsidR="00662C69" w:rsidRPr="00750135"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750135">
        <w:rPr>
          <w:rFonts w:ascii="Palatino Linotype" w:hAnsi="Palatino Linotype"/>
          <w:color w:val="000000" w:themeColor="text1"/>
        </w:rPr>
        <w:t>R</w:t>
      </w:r>
      <w:r w:rsidR="00662C69" w:rsidRPr="0075013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750135">
        <w:rPr>
          <w:rFonts w:ascii="Palatino Linotype" w:hAnsi="Palatino Linotype"/>
          <w:color w:val="000000" w:themeColor="text1"/>
        </w:rPr>
        <w:t>icipios, con</w:t>
      </w:r>
      <w:r w:rsidR="00662C69" w:rsidRPr="00750135">
        <w:rPr>
          <w:rFonts w:ascii="Palatino Linotype" w:hAnsi="Palatino Linotype"/>
          <w:color w:val="000000" w:themeColor="text1"/>
        </w:rPr>
        <w:t xml:space="preserve"> </w:t>
      </w:r>
      <w:r w:rsidR="00485DB6" w:rsidRPr="00750135">
        <w:rPr>
          <w:rFonts w:ascii="Palatino Linotype" w:hAnsi="Palatino Linotype"/>
          <w:color w:val="000000" w:themeColor="text1"/>
        </w:rPr>
        <w:t xml:space="preserve">domicilio </w:t>
      </w:r>
      <w:r w:rsidR="00662C69" w:rsidRPr="00750135">
        <w:rPr>
          <w:rFonts w:ascii="Palatino Linotype" w:hAnsi="Palatino Linotype"/>
          <w:color w:val="000000" w:themeColor="text1"/>
        </w:rPr>
        <w:t xml:space="preserve">en Metepec, Estado de México; de </w:t>
      </w:r>
      <w:r w:rsidR="00513685" w:rsidRPr="00750135">
        <w:rPr>
          <w:rFonts w:ascii="Palatino Linotype" w:hAnsi="Palatino Linotype"/>
          <w:color w:val="000000" w:themeColor="text1"/>
        </w:rPr>
        <w:t>veintisiete (27) de</w:t>
      </w:r>
      <w:r w:rsidR="00FE576E" w:rsidRPr="00750135">
        <w:rPr>
          <w:rFonts w:ascii="Palatino Linotype" w:hAnsi="Palatino Linotype"/>
          <w:color w:val="000000" w:themeColor="text1"/>
        </w:rPr>
        <w:t xml:space="preserve"> </w:t>
      </w:r>
      <w:r w:rsidR="00514A30" w:rsidRPr="00750135">
        <w:rPr>
          <w:rFonts w:ascii="Palatino Linotype" w:hAnsi="Palatino Linotype"/>
          <w:color w:val="000000" w:themeColor="text1"/>
        </w:rPr>
        <w:t>septiembre</w:t>
      </w:r>
      <w:r w:rsidR="002D1AA7" w:rsidRPr="00750135">
        <w:rPr>
          <w:rFonts w:ascii="Palatino Linotype" w:hAnsi="Palatino Linotype"/>
          <w:color w:val="000000" w:themeColor="text1"/>
        </w:rPr>
        <w:t xml:space="preserve"> de dos mil veinti</w:t>
      </w:r>
      <w:r w:rsidR="00D542F0" w:rsidRPr="00750135">
        <w:rPr>
          <w:rFonts w:ascii="Palatino Linotype" w:hAnsi="Palatino Linotype"/>
          <w:color w:val="000000" w:themeColor="text1"/>
        </w:rPr>
        <w:t>trés</w:t>
      </w:r>
      <w:r w:rsidR="00662C69" w:rsidRPr="00750135">
        <w:rPr>
          <w:rFonts w:ascii="Palatino Linotype" w:hAnsi="Palatino Linotype"/>
          <w:color w:val="000000" w:themeColor="text1"/>
        </w:rPr>
        <w:t>.</w:t>
      </w:r>
    </w:p>
    <w:p w14:paraId="1181C59D" w14:textId="77777777" w:rsidR="00B31E90" w:rsidRPr="00750135" w:rsidRDefault="00B31E90" w:rsidP="00B31E90">
      <w:pPr>
        <w:tabs>
          <w:tab w:val="left" w:pos="3465"/>
        </w:tabs>
        <w:spacing w:line="360" w:lineRule="auto"/>
        <w:jc w:val="both"/>
        <w:rPr>
          <w:rFonts w:ascii="Palatino Linotype" w:hAnsi="Palatino Linotype"/>
          <w:color w:val="000000" w:themeColor="text1"/>
        </w:rPr>
      </w:pPr>
    </w:p>
    <w:p w14:paraId="04F87235" w14:textId="5F140F80" w:rsidR="005F0007" w:rsidRPr="00750135" w:rsidRDefault="00662C69" w:rsidP="00B31E90">
      <w:pPr>
        <w:spacing w:line="360" w:lineRule="auto"/>
        <w:jc w:val="both"/>
        <w:rPr>
          <w:rFonts w:ascii="Palatino Linotype" w:eastAsia="Times New Roman" w:hAnsi="Palatino Linotype" w:cs="Times New Roman"/>
          <w:color w:val="000000" w:themeColor="text1"/>
        </w:rPr>
      </w:pPr>
      <w:r w:rsidRPr="00750135">
        <w:rPr>
          <w:rFonts w:ascii="Palatino Linotype" w:hAnsi="Palatino Linotype"/>
          <w:b/>
          <w:color w:val="000000" w:themeColor="text1"/>
        </w:rPr>
        <w:t>VISTO</w:t>
      </w:r>
      <w:r w:rsidRPr="00750135">
        <w:rPr>
          <w:rFonts w:ascii="Palatino Linotype" w:hAnsi="Palatino Linotype"/>
          <w:color w:val="000000" w:themeColor="text1"/>
        </w:rPr>
        <w:t xml:space="preserve"> el expediente electrónico for</w:t>
      </w:r>
      <w:r w:rsidR="00D37494" w:rsidRPr="00750135">
        <w:rPr>
          <w:rFonts w:ascii="Palatino Linotype" w:hAnsi="Palatino Linotype"/>
          <w:color w:val="000000" w:themeColor="text1"/>
        </w:rPr>
        <w:t>mado con motivo del</w:t>
      </w:r>
      <w:r w:rsidRPr="00750135">
        <w:rPr>
          <w:rFonts w:ascii="Palatino Linotype" w:hAnsi="Palatino Linotype"/>
          <w:color w:val="000000" w:themeColor="text1"/>
        </w:rPr>
        <w:t xml:space="preserve"> recurso de revisión </w:t>
      </w:r>
      <w:r w:rsidR="00514A30" w:rsidRPr="00750135">
        <w:rPr>
          <w:rFonts w:ascii="Palatino Linotype" w:hAnsi="Palatino Linotype"/>
          <w:b/>
          <w:szCs w:val="22"/>
        </w:rPr>
        <w:t>07943/INFOEM/IP/RR/2022</w:t>
      </w:r>
      <w:r w:rsidR="005F1362" w:rsidRPr="00750135">
        <w:rPr>
          <w:rFonts w:ascii="Palatino Linotype" w:eastAsia="Times New Roman" w:hAnsi="Palatino Linotype" w:cs="Arial"/>
          <w:bCs/>
          <w:color w:val="000000" w:themeColor="text1"/>
        </w:rPr>
        <w:t xml:space="preserve">, </w:t>
      </w:r>
      <w:r w:rsidR="006B31E7" w:rsidRPr="00750135">
        <w:rPr>
          <w:rFonts w:ascii="Palatino Linotype" w:eastAsia="Times New Roman" w:hAnsi="Palatino Linotype" w:cs="Times New Roman"/>
          <w:color w:val="000000" w:themeColor="text1"/>
        </w:rPr>
        <w:t>interpuesto por</w:t>
      </w:r>
      <w:r w:rsidR="0078249C" w:rsidRPr="00750135">
        <w:rPr>
          <w:rFonts w:ascii="Palatino Linotype" w:eastAsia="Times New Roman" w:hAnsi="Palatino Linotype" w:cs="Times New Roman"/>
          <w:color w:val="000000" w:themeColor="text1"/>
        </w:rPr>
        <w:t xml:space="preserve"> </w:t>
      </w:r>
      <w:r w:rsidR="00290A0A">
        <w:rPr>
          <w:rFonts w:ascii="Palatino Linotype" w:eastAsia="Times New Roman" w:hAnsi="Palatino Linotype" w:cs="Times New Roman"/>
          <w:b/>
          <w:color w:val="000000" w:themeColor="text1"/>
        </w:rPr>
        <w:t>XXX XXX XXX</w:t>
      </w:r>
      <w:r w:rsidR="007415F9" w:rsidRPr="00750135">
        <w:rPr>
          <w:rFonts w:ascii="Palatino Linotype" w:hAnsi="Palatino Linotype"/>
          <w:b/>
          <w:sz w:val="22"/>
          <w:szCs w:val="22"/>
        </w:rPr>
        <w:t>,</w:t>
      </w:r>
      <w:r w:rsidR="00D0377B" w:rsidRPr="00750135">
        <w:rPr>
          <w:rFonts w:ascii="Palatino Linotype" w:eastAsia="Times New Roman" w:hAnsi="Palatino Linotype" w:cs="Times New Roman"/>
          <w:color w:val="000000" w:themeColor="text1"/>
        </w:rPr>
        <w:t xml:space="preserve"> </w:t>
      </w:r>
      <w:r w:rsidR="000F6E72" w:rsidRPr="00750135">
        <w:rPr>
          <w:rFonts w:ascii="Palatino Linotype" w:eastAsia="Times New Roman" w:hAnsi="Palatino Linotype" w:cs="Times New Roman"/>
          <w:color w:val="000000" w:themeColor="text1"/>
        </w:rPr>
        <w:t>en adelante el</w:t>
      </w:r>
      <w:r w:rsidR="00E92215" w:rsidRPr="00750135">
        <w:rPr>
          <w:rFonts w:ascii="Palatino Linotype" w:eastAsia="Times New Roman" w:hAnsi="Palatino Linotype" w:cs="Times New Roman"/>
          <w:color w:val="000000" w:themeColor="text1"/>
        </w:rPr>
        <w:t xml:space="preserve"> </w:t>
      </w:r>
      <w:r w:rsidR="006B31E7" w:rsidRPr="00750135">
        <w:rPr>
          <w:rFonts w:ascii="Palatino Linotype" w:eastAsia="Times New Roman" w:hAnsi="Palatino Linotype" w:cs="Times New Roman"/>
          <w:b/>
          <w:bCs/>
          <w:color w:val="000000" w:themeColor="text1"/>
        </w:rPr>
        <w:t>RECURRENTE</w:t>
      </w:r>
      <w:r w:rsidR="00E647FF" w:rsidRPr="00750135">
        <w:rPr>
          <w:rFonts w:ascii="Palatino Linotype" w:eastAsia="Times New Roman" w:hAnsi="Palatino Linotype" w:cs="Arial"/>
          <w:color w:val="000000" w:themeColor="text1"/>
        </w:rPr>
        <w:t>;</w:t>
      </w:r>
      <w:r w:rsidR="005F1362" w:rsidRPr="00750135">
        <w:rPr>
          <w:rFonts w:ascii="Palatino Linotype" w:eastAsia="Times New Roman" w:hAnsi="Palatino Linotype" w:cs="Arial"/>
          <w:color w:val="000000" w:themeColor="text1"/>
        </w:rPr>
        <w:t xml:space="preserve"> en contra de la respuesta del</w:t>
      </w:r>
      <w:r w:rsidR="002C1007" w:rsidRPr="00750135">
        <w:rPr>
          <w:rFonts w:ascii="Palatino Linotype" w:eastAsia="Times New Roman" w:hAnsi="Palatino Linotype" w:cs="Arial"/>
          <w:color w:val="000000" w:themeColor="text1"/>
        </w:rPr>
        <w:t xml:space="preserve"> </w:t>
      </w:r>
      <w:r w:rsidR="00514A30" w:rsidRPr="00750135">
        <w:rPr>
          <w:rFonts w:ascii="Palatino Linotype" w:eastAsia="Calibri" w:hAnsi="Palatino Linotype" w:cs="Arial"/>
          <w:b/>
          <w:bCs/>
          <w:lang w:val="es-ES"/>
        </w:rPr>
        <w:t>Ayuntamiento de Cuautitlán Izcalli</w:t>
      </w:r>
      <w:r w:rsidR="009572EE" w:rsidRPr="00750135">
        <w:rPr>
          <w:rFonts w:ascii="Palatino Linotype" w:eastAsia="Calibri" w:hAnsi="Palatino Linotype" w:cs="Arial"/>
          <w:color w:val="000000" w:themeColor="text1"/>
          <w:lang w:val="es-ES"/>
        </w:rPr>
        <w:t>,</w:t>
      </w:r>
      <w:r w:rsidR="005F1362" w:rsidRPr="00750135">
        <w:rPr>
          <w:rFonts w:ascii="Palatino Linotype" w:eastAsia="Calibri" w:hAnsi="Palatino Linotype" w:cs="Arial"/>
          <w:color w:val="000000" w:themeColor="text1"/>
          <w:lang w:val="es-ES"/>
        </w:rPr>
        <w:t xml:space="preserve"> </w:t>
      </w:r>
      <w:r w:rsidR="005F1362" w:rsidRPr="00750135">
        <w:rPr>
          <w:rFonts w:ascii="Palatino Linotype" w:eastAsia="Times New Roman" w:hAnsi="Palatino Linotype" w:cs="Times New Roman"/>
          <w:color w:val="000000" w:themeColor="text1"/>
        </w:rPr>
        <w:t>en lo sucesivo el</w:t>
      </w:r>
      <w:r w:rsidR="005F1362" w:rsidRPr="00750135">
        <w:rPr>
          <w:rFonts w:ascii="Palatino Linotype" w:eastAsia="Times New Roman" w:hAnsi="Palatino Linotype" w:cs="Times New Roman"/>
          <w:b/>
          <w:color w:val="000000" w:themeColor="text1"/>
        </w:rPr>
        <w:t xml:space="preserve"> SUJETO OBLIGADO, </w:t>
      </w:r>
      <w:r w:rsidR="005F1362" w:rsidRPr="00750135">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750135"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750135"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750135">
        <w:rPr>
          <w:b/>
          <w:color w:val="000000" w:themeColor="text1"/>
        </w:rPr>
        <w:t>A</w:t>
      </w:r>
      <w:r w:rsidR="00C967DD" w:rsidRPr="00750135">
        <w:rPr>
          <w:b/>
          <w:color w:val="000000" w:themeColor="text1"/>
        </w:rPr>
        <w:t xml:space="preserve"> </w:t>
      </w:r>
      <w:r w:rsidRPr="00750135">
        <w:rPr>
          <w:b/>
          <w:color w:val="000000" w:themeColor="text1"/>
        </w:rPr>
        <w:t>N</w:t>
      </w:r>
      <w:r w:rsidR="00C967DD" w:rsidRPr="00750135">
        <w:rPr>
          <w:b/>
          <w:color w:val="000000" w:themeColor="text1"/>
        </w:rPr>
        <w:t xml:space="preserve"> </w:t>
      </w:r>
      <w:r w:rsidRPr="00750135">
        <w:rPr>
          <w:b/>
          <w:color w:val="000000" w:themeColor="text1"/>
        </w:rPr>
        <w:t>T</w:t>
      </w:r>
      <w:r w:rsidR="00C967DD" w:rsidRPr="00750135">
        <w:rPr>
          <w:b/>
          <w:color w:val="000000" w:themeColor="text1"/>
        </w:rPr>
        <w:t xml:space="preserve"> </w:t>
      </w:r>
      <w:r w:rsidRPr="00750135">
        <w:rPr>
          <w:b/>
          <w:color w:val="000000" w:themeColor="text1"/>
        </w:rPr>
        <w:t>E</w:t>
      </w:r>
      <w:r w:rsidR="00C967DD" w:rsidRPr="00750135">
        <w:rPr>
          <w:b/>
          <w:color w:val="000000" w:themeColor="text1"/>
        </w:rPr>
        <w:t xml:space="preserve"> </w:t>
      </w:r>
      <w:r w:rsidRPr="00750135">
        <w:rPr>
          <w:b/>
          <w:color w:val="000000" w:themeColor="text1"/>
        </w:rPr>
        <w:t>C</w:t>
      </w:r>
      <w:r w:rsidR="00C967DD" w:rsidRPr="00750135">
        <w:rPr>
          <w:b/>
          <w:color w:val="000000" w:themeColor="text1"/>
        </w:rPr>
        <w:t xml:space="preserve"> </w:t>
      </w:r>
      <w:r w:rsidRPr="00750135">
        <w:rPr>
          <w:b/>
          <w:color w:val="000000" w:themeColor="text1"/>
        </w:rPr>
        <w:t>E</w:t>
      </w:r>
      <w:r w:rsidR="00C967DD" w:rsidRPr="00750135">
        <w:rPr>
          <w:b/>
          <w:color w:val="000000" w:themeColor="text1"/>
        </w:rPr>
        <w:t xml:space="preserve"> </w:t>
      </w:r>
      <w:r w:rsidRPr="00750135">
        <w:rPr>
          <w:b/>
          <w:color w:val="000000" w:themeColor="text1"/>
        </w:rPr>
        <w:t>D</w:t>
      </w:r>
      <w:r w:rsidR="00C967DD" w:rsidRPr="00750135">
        <w:rPr>
          <w:b/>
          <w:color w:val="000000" w:themeColor="text1"/>
        </w:rPr>
        <w:t xml:space="preserve"> </w:t>
      </w:r>
      <w:r w:rsidRPr="00750135">
        <w:rPr>
          <w:b/>
          <w:color w:val="000000" w:themeColor="text1"/>
        </w:rPr>
        <w:t>E</w:t>
      </w:r>
      <w:r w:rsidR="00C967DD" w:rsidRPr="00750135">
        <w:rPr>
          <w:b/>
          <w:color w:val="000000" w:themeColor="text1"/>
        </w:rPr>
        <w:t xml:space="preserve"> </w:t>
      </w:r>
      <w:r w:rsidRPr="00750135">
        <w:rPr>
          <w:b/>
          <w:color w:val="000000" w:themeColor="text1"/>
        </w:rPr>
        <w:t>N</w:t>
      </w:r>
      <w:r w:rsidR="00C967DD" w:rsidRPr="00750135">
        <w:rPr>
          <w:b/>
          <w:color w:val="000000" w:themeColor="text1"/>
        </w:rPr>
        <w:t xml:space="preserve"> </w:t>
      </w:r>
      <w:r w:rsidRPr="00750135">
        <w:rPr>
          <w:b/>
          <w:color w:val="000000" w:themeColor="text1"/>
        </w:rPr>
        <w:t>T</w:t>
      </w:r>
      <w:r w:rsidR="00C967DD" w:rsidRPr="00750135">
        <w:rPr>
          <w:b/>
          <w:color w:val="000000" w:themeColor="text1"/>
        </w:rPr>
        <w:t xml:space="preserve"> </w:t>
      </w:r>
      <w:r w:rsidRPr="00750135">
        <w:rPr>
          <w:b/>
          <w:color w:val="000000" w:themeColor="text1"/>
        </w:rPr>
        <w:t>E</w:t>
      </w:r>
      <w:r w:rsidR="00C967DD" w:rsidRPr="00750135">
        <w:rPr>
          <w:b/>
          <w:color w:val="000000" w:themeColor="text1"/>
        </w:rPr>
        <w:t xml:space="preserve"> </w:t>
      </w:r>
      <w:r w:rsidRPr="00750135">
        <w:rPr>
          <w:b/>
          <w:color w:val="000000" w:themeColor="text1"/>
        </w:rPr>
        <w:t>S</w:t>
      </w:r>
      <w:bookmarkEnd w:id="0"/>
      <w:bookmarkEnd w:id="1"/>
      <w:bookmarkEnd w:id="2"/>
    </w:p>
    <w:p w14:paraId="5F73BCCB" w14:textId="77777777" w:rsidR="003F1A79" w:rsidRPr="00750135" w:rsidRDefault="003F1A79" w:rsidP="003F1A79">
      <w:pPr>
        <w:rPr>
          <w:lang w:eastAsia="en-US"/>
        </w:rPr>
      </w:pPr>
    </w:p>
    <w:p w14:paraId="402A4C0A" w14:textId="7D7B0CE6" w:rsidR="00D9392E" w:rsidRPr="00750135"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50135">
        <w:rPr>
          <w:rFonts w:ascii="Palatino Linotype" w:eastAsia="Calibri" w:hAnsi="Palatino Linotype" w:cs="Arial"/>
          <w:color w:val="000000" w:themeColor="text1"/>
          <w:lang w:val="es-ES"/>
        </w:rPr>
        <w:t>El</w:t>
      </w:r>
      <w:r w:rsidR="00D9392E" w:rsidRPr="00750135">
        <w:rPr>
          <w:rFonts w:ascii="Palatino Linotype" w:eastAsia="Calibri" w:hAnsi="Palatino Linotype" w:cs="Arial"/>
          <w:color w:val="000000" w:themeColor="text1"/>
          <w:lang w:val="es-ES"/>
        </w:rPr>
        <w:t xml:space="preserve"> </w:t>
      </w:r>
      <w:r w:rsidR="007415F9" w:rsidRPr="00750135">
        <w:rPr>
          <w:rFonts w:ascii="Palatino Linotype" w:eastAsia="Calibri" w:hAnsi="Palatino Linotype" w:cs="Arial"/>
          <w:color w:val="000000" w:themeColor="text1"/>
          <w:lang w:val="es-ES"/>
        </w:rPr>
        <w:t>veintiocho</w:t>
      </w:r>
      <w:r w:rsidR="00755146" w:rsidRPr="00750135">
        <w:rPr>
          <w:rFonts w:ascii="Palatino Linotype" w:eastAsia="Calibri" w:hAnsi="Palatino Linotype" w:cs="Arial"/>
          <w:color w:val="000000" w:themeColor="text1"/>
          <w:lang w:val="es-ES"/>
        </w:rPr>
        <w:t xml:space="preserve"> </w:t>
      </w:r>
      <w:r w:rsidR="007076C5" w:rsidRPr="00750135">
        <w:rPr>
          <w:rFonts w:ascii="Palatino Linotype" w:eastAsia="Calibri" w:hAnsi="Palatino Linotype" w:cs="Arial"/>
          <w:color w:val="000000" w:themeColor="text1"/>
          <w:lang w:val="es-ES"/>
        </w:rPr>
        <w:t>(</w:t>
      </w:r>
      <w:r w:rsidR="007415F9" w:rsidRPr="00750135">
        <w:rPr>
          <w:rFonts w:ascii="Palatino Linotype" w:eastAsia="Calibri" w:hAnsi="Palatino Linotype" w:cs="Arial"/>
          <w:color w:val="000000" w:themeColor="text1"/>
          <w:lang w:val="es-ES"/>
        </w:rPr>
        <w:t>28</w:t>
      </w:r>
      <w:r w:rsidR="007076C5" w:rsidRPr="00750135">
        <w:rPr>
          <w:rFonts w:ascii="Palatino Linotype" w:eastAsia="Calibri" w:hAnsi="Palatino Linotype" w:cs="Arial"/>
          <w:color w:val="000000" w:themeColor="text1"/>
          <w:lang w:val="es-ES"/>
        </w:rPr>
        <w:t xml:space="preserve">) de </w:t>
      </w:r>
      <w:r w:rsidR="007415F9" w:rsidRPr="00750135">
        <w:rPr>
          <w:rFonts w:ascii="Palatino Linotype" w:eastAsia="Calibri" w:hAnsi="Palatino Linotype" w:cs="Arial"/>
          <w:color w:val="000000" w:themeColor="text1"/>
          <w:lang w:val="es-ES"/>
        </w:rPr>
        <w:t>marzo</w:t>
      </w:r>
      <w:r w:rsidR="00B31E90" w:rsidRPr="00750135">
        <w:rPr>
          <w:rFonts w:ascii="Palatino Linotype" w:eastAsia="Calibri" w:hAnsi="Palatino Linotype" w:cs="Arial"/>
          <w:color w:val="000000" w:themeColor="text1"/>
          <w:lang w:val="es-ES"/>
        </w:rPr>
        <w:t xml:space="preserve"> de dos mil veinti</w:t>
      </w:r>
      <w:r w:rsidR="00DC6944" w:rsidRPr="00750135">
        <w:rPr>
          <w:rFonts w:ascii="Palatino Linotype" w:eastAsia="Calibri" w:hAnsi="Palatino Linotype" w:cs="Arial"/>
          <w:color w:val="000000" w:themeColor="text1"/>
          <w:lang w:val="es-ES"/>
        </w:rPr>
        <w:t>dós</w:t>
      </w:r>
      <w:r w:rsidR="005F1362" w:rsidRPr="00750135">
        <w:rPr>
          <w:rFonts w:ascii="Palatino Linotype" w:eastAsia="Calibri" w:hAnsi="Palatino Linotype" w:cs="Arial"/>
          <w:color w:val="000000" w:themeColor="text1"/>
          <w:lang w:val="es-ES"/>
        </w:rPr>
        <w:t xml:space="preserve">, </w:t>
      </w:r>
      <w:r w:rsidR="004E197E" w:rsidRPr="00750135">
        <w:rPr>
          <w:rFonts w:ascii="Palatino Linotype" w:eastAsia="Calibri" w:hAnsi="Palatino Linotype" w:cs="Arial"/>
          <w:color w:val="000000" w:themeColor="text1"/>
          <w:lang w:val="es-ES"/>
        </w:rPr>
        <w:t>el</w:t>
      </w:r>
      <w:r w:rsidR="00B31E90" w:rsidRPr="00750135">
        <w:rPr>
          <w:rFonts w:ascii="Palatino Linotype" w:hAnsi="Palatino Linotype"/>
          <w:color w:val="000000" w:themeColor="text1"/>
        </w:rPr>
        <w:t xml:space="preserve"> particular</w:t>
      </w:r>
      <w:r w:rsidR="005F1362" w:rsidRPr="00750135">
        <w:rPr>
          <w:rFonts w:ascii="Palatino Linotype" w:hAnsi="Palatino Linotype"/>
          <w:color w:val="000000" w:themeColor="text1"/>
        </w:rPr>
        <w:t xml:space="preserve"> presentó</w:t>
      </w:r>
      <w:r w:rsidR="005F1362" w:rsidRPr="00750135">
        <w:rPr>
          <w:rFonts w:ascii="Palatino Linotype" w:hAnsi="Palatino Linotype"/>
          <w:b/>
          <w:color w:val="000000" w:themeColor="text1"/>
        </w:rPr>
        <w:t xml:space="preserve"> </w:t>
      </w:r>
      <w:r w:rsidR="00127E68" w:rsidRPr="00750135">
        <w:rPr>
          <w:rFonts w:ascii="Palatino Linotype" w:hAnsi="Palatino Linotype"/>
          <w:bCs/>
          <w:color w:val="000000" w:themeColor="text1"/>
        </w:rPr>
        <w:t xml:space="preserve">a través </w:t>
      </w:r>
      <w:r w:rsidR="00994E0F" w:rsidRPr="00750135">
        <w:rPr>
          <w:rFonts w:ascii="Palatino Linotype" w:hAnsi="Palatino Linotype"/>
          <w:bCs/>
          <w:color w:val="000000" w:themeColor="text1"/>
        </w:rPr>
        <w:t>d</w:t>
      </w:r>
      <w:r w:rsidR="000021A0" w:rsidRPr="00750135">
        <w:rPr>
          <w:rFonts w:ascii="Palatino Linotype" w:hAnsi="Palatino Linotype"/>
          <w:bCs/>
          <w:color w:val="000000" w:themeColor="text1"/>
        </w:rPr>
        <w:t>el</w:t>
      </w:r>
      <w:r w:rsidR="004863BC" w:rsidRPr="00750135">
        <w:rPr>
          <w:rFonts w:ascii="Palatino Linotype" w:hAnsi="Palatino Linotype"/>
          <w:bCs/>
          <w:color w:val="000000" w:themeColor="text1"/>
        </w:rPr>
        <w:t xml:space="preserve"> </w:t>
      </w:r>
      <w:r w:rsidR="005F1362" w:rsidRPr="00750135">
        <w:rPr>
          <w:rFonts w:ascii="Palatino Linotype" w:eastAsia="Calibri" w:hAnsi="Palatino Linotype" w:cs="Arial"/>
          <w:color w:val="000000" w:themeColor="text1"/>
          <w:lang w:val="es-ES"/>
        </w:rPr>
        <w:t xml:space="preserve">Sistema de Acceso a la Información Mexiquense </w:t>
      </w:r>
      <w:r w:rsidR="005F1362" w:rsidRPr="00750135">
        <w:rPr>
          <w:rFonts w:ascii="Palatino Linotype" w:eastAsia="Calibri" w:hAnsi="Palatino Linotype" w:cs="Arial"/>
          <w:bCs/>
          <w:color w:val="000000" w:themeColor="text1"/>
          <w:lang w:val="es-ES"/>
        </w:rPr>
        <w:t>(SAIMEX)</w:t>
      </w:r>
      <w:r w:rsidR="005F1362" w:rsidRPr="00750135">
        <w:rPr>
          <w:rFonts w:ascii="Palatino Linotype" w:eastAsia="Calibri" w:hAnsi="Palatino Linotype" w:cs="Arial"/>
          <w:color w:val="000000" w:themeColor="text1"/>
          <w:lang w:val="es-ES"/>
        </w:rPr>
        <w:t>, la solicitud de información pública registrada con el número</w:t>
      </w:r>
      <w:r w:rsidR="005F1362" w:rsidRPr="00750135">
        <w:rPr>
          <w:rFonts w:ascii="Palatino Linotype" w:hAnsi="Palatino Linotype"/>
          <w:b/>
          <w:bCs/>
          <w:color w:val="000000" w:themeColor="text1"/>
        </w:rPr>
        <w:t xml:space="preserve"> </w:t>
      </w:r>
      <w:r w:rsidR="000544CE" w:rsidRPr="00750135">
        <w:rPr>
          <w:rFonts w:ascii="Palatino Linotype" w:hAnsi="Palatino Linotype"/>
          <w:b/>
          <w:bCs/>
          <w:color w:val="000000" w:themeColor="text1"/>
        </w:rPr>
        <w:t>00</w:t>
      </w:r>
      <w:r w:rsidR="00514A30" w:rsidRPr="00750135">
        <w:rPr>
          <w:rFonts w:ascii="Palatino Linotype" w:hAnsi="Palatino Linotype"/>
          <w:b/>
          <w:bCs/>
          <w:color w:val="000000" w:themeColor="text1"/>
        </w:rPr>
        <w:t>286</w:t>
      </w:r>
      <w:r w:rsidR="00304056" w:rsidRPr="00750135">
        <w:rPr>
          <w:rFonts w:ascii="Palatino Linotype" w:hAnsi="Palatino Linotype"/>
          <w:b/>
          <w:bCs/>
          <w:color w:val="000000" w:themeColor="text1"/>
        </w:rPr>
        <w:t>/</w:t>
      </w:r>
      <w:r w:rsidR="00514A30" w:rsidRPr="00750135">
        <w:rPr>
          <w:rFonts w:ascii="Palatino Linotype" w:hAnsi="Palatino Linotype"/>
          <w:b/>
          <w:bCs/>
          <w:color w:val="000000" w:themeColor="text1"/>
        </w:rPr>
        <w:t>CUAUTIZC</w:t>
      </w:r>
      <w:r w:rsidR="007B50DF" w:rsidRPr="00750135">
        <w:rPr>
          <w:rFonts w:ascii="Palatino Linotype" w:hAnsi="Palatino Linotype"/>
          <w:b/>
          <w:bCs/>
          <w:color w:val="000000" w:themeColor="text1"/>
        </w:rPr>
        <w:t>/IP/202</w:t>
      </w:r>
      <w:r w:rsidR="000544CE" w:rsidRPr="00750135">
        <w:rPr>
          <w:rFonts w:ascii="Palatino Linotype" w:hAnsi="Palatino Linotype"/>
          <w:b/>
          <w:bCs/>
          <w:color w:val="000000" w:themeColor="text1"/>
        </w:rPr>
        <w:t>2</w:t>
      </w:r>
      <w:r w:rsidR="005F1362" w:rsidRPr="00750135">
        <w:rPr>
          <w:rFonts w:ascii="Palatino Linotype" w:hAnsi="Palatino Linotype"/>
          <w:b/>
          <w:bCs/>
          <w:color w:val="000000" w:themeColor="text1"/>
        </w:rPr>
        <w:t>,</w:t>
      </w:r>
      <w:r w:rsidR="005F1362" w:rsidRPr="00750135">
        <w:rPr>
          <w:rFonts w:ascii="Palatino Linotype" w:eastAsia="Calibri" w:hAnsi="Palatino Linotype" w:cs="Arial"/>
          <w:color w:val="000000" w:themeColor="text1"/>
          <w:lang w:val="es-ES"/>
        </w:rPr>
        <w:t xml:space="preserve"> mediante la cual requirió</w:t>
      </w:r>
      <w:r w:rsidR="00022D89" w:rsidRPr="00750135">
        <w:rPr>
          <w:rFonts w:ascii="Palatino Linotype" w:eastAsia="Calibri" w:hAnsi="Palatino Linotype" w:cs="Arial"/>
          <w:color w:val="000000" w:themeColor="text1"/>
          <w:lang w:val="es-ES"/>
        </w:rPr>
        <w:t xml:space="preserve"> lo siguiente</w:t>
      </w:r>
      <w:r w:rsidR="005F1362" w:rsidRPr="00750135">
        <w:rPr>
          <w:rFonts w:ascii="Palatino Linotype" w:eastAsia="Calibri" w:hAnsi="Palatino Linotype" w:cs="Arial"/>
          <w:color w:val="000000" w:themeColor="text1"/>
          <w:lang w:val="es-ES"/>
        </w:rPr>
        <w:t>:</w:t>
      </w:r>
    </w:p>
    <w:p w14:paraId="76EB7490" w14:textId="77777777" w:rsidR="00B31E90" w:rsidRPr="00750135"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42596408" w:rsidR="0097210F" w:rsidRPr="00750135" w:rsidRDefault="005F1362" w:rsidP="00755146">
      <w:pPr>
        <w:pStyle w:val="Prrafodelista"/>
        <w:spacing w:line="276" w:lineRule="auto"/>
        <w:ind w:left="567" w:right="567"/>
        <w:jc w:val="both"/>
        <w:rPr>
          <w:rFonts w:ascii="Palatino Linotype" w:hAnsi="Palatino Linotype"/>
          <w:i/>
          <w:color w:val="000000" w:themeColor="text1"/>
          <w:szCs w:val="22"/>
        </w:rPr>
      </w:pPr>
      <w:r w:rsidRPr="00750135">
        <w:rPr>
          <w:rFonts w:ascii="Palatino Linotype" w:hAnsi="Palatino Linotype"/>
          <w:i/>
          <w:color w:val="000000" w:themeColor="text1"/>
          <w:szCs w:val="22"/>
        </w:rPr>
        <w:t>“</w:t>
      </w:r>
      <w:r w:rsidR="00514A30" w:rsidRPr="00750135">
        <w:rPr>
          <w:rFonts w:ascii="Palatino Linotype" w:hAnsi="Palatino Linotype"/>
          <w:bCs/>
          <w:i/>
          <w:color w:val="000000"/>
          <w:szCs w:val="22"/>
        </w:rPr>
        <w:t xml:space="preserve">De la manera más atenta, solicito que se conteste el siguiente cuestionario: 1. ¿Lleva a cabo el municipio acciones tendientes a la armonización contable? ¿Cuáles? 2. ¿A cuanto asciende la deuda total del municipio? Especificar conceptos, nombres de acreedores y montos de deuda, incluyendo deuda por pago </w:t>
      </w:r>
      <w:r w:rsidR="00514A30" w:rsidRPr="00750135">
        <w:rPr>
          <w:rFonts w:ascii="Palatino Linotype" w:hAnsi="Palatino Linotype"/>
          <w:bCs/>
          <w:i/>
          <w:color w:val="000000"/>
          <w:szCs w:val="22"/>
        </w:rPr>
        <w:lastRenderedPageBreak/>
        <w:t>de compras, proveedores y juicios (Civiles, mercantiles, laborales y otros) 3. ¿Cuántos elementos de seguridad por cada 1000 habitantes tiene el municipio? 4. ¿Cuántos elementos son en total? 5. ¿Cuántos elementos se encuentran comisionados a labores distintas a la prevención del delito y seguridad pública? ¿Cuántos tienen función de escolta y cuantos están comisionados al resguardo de instalaciones municipales? 6. ¿Cuentan los elementos de seguridad con el equipo básico y en qué consiste? 7. ¿El municipio está implementando el Servicio Profesional de Carrera Policial? 8. ¿Lleva a cabo el municipio acciones tendientes al cumplimiento de los exámenes de control de confianza? Y ¿Cuándo se realizaron los últimos? 9. ¿Existe y se opera un Comisión de Honor y Justicia de los cuerpos de Seguridad Pública? ¿Quiénes la integran? Numero, Nombres, cargos y sueldos y fecha de última sesión. 10. ¿Se cuenta con indicadores de medición y seguimiento del personal de policía municipal con participación de instancias ciudadanas? 11. ¿El municipio ha gestionado la incorporación de sus elementos de seguridad a la licencia colectiva para la portación de armamento? 12. ¿Se cuenta con la información referente a la incidencia de delitos y de faltas administrativas? Favor de anexar información desde enero 2022 a la fecha de recepción de la presente. 13. ¿Se operan programas para la prevención de conductas antisociales? 14. ¿Se tiene coordinación interinstitucional con otros órdenes de gobierno en materia de seguridad pública y de qué forma? 15. ¿Se cuenta con índices e identificación de zonas conflictivas y cuál es la metodología?</w:t>
      </w:r>
      <w:r w:rsidRPr="00750135">
        <w:rPr>
          <w:rFonts w:ascii="Palatino Linotype" w:hAnsi="Palatino Linotype"/>
          <w:i/>
          <w:color w:val="000000" w:themeColor="text1"/>
          <w:szCs w:val="22"/>
        </w:rPr>
        <w:t>” (Sic).</w:t>
      </w:r>
    </w:p>
    <w:p w14:paraId="010F49EF" w14:textId="4293FA51" w:rsidR="004E197E" w:rsidRPr="00750135" w:rsidRDefault="004E197E" w:rsidP="00B31E90">
      <w:pPr>
        <w:pStyle w:val="Prrafodelista"/>
        <w:spacing w:line="276" w:lineRule="auto"/>
        <w:ind w:left="567" w:right="567"/>
        <w:jc w:val="both"/>
        <w:rPr>
          <w:rFonts w:ascii="Palatino Linotype" w:hAnsi="Palatino Linotype"/>
          <w:i/>
          <w:color w:val="000000" w:themeColor="text1"/>
          <w:sz w:val="28"/>
          <w:szCs w:val="22"/>
        </w:rPr>
      </w:pPr>
    </w:p>
    <w:p w14:paraId="3FAB3771" w14:textId="77777777" w:rsidR="007415F9" w:rsidRPr="00750135" w:rsidRDefault="007415F9" w:rsidP="007415F9">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49C21E77" w14:textId="38BBC94D" w:rsidR="0039142B" w:rsidRPr="00750135"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50135">
        <w:rPr>
          <w:rFonts w:ascii="Palatino Linotype" w:hAnsi="Palatino Linotype" w:cs="Arial"/>
          <w:color w:val="000000" w:themeColor="text1"/>
        </w:rPr>
        <w:t>Modalidad de entrega: A través d</w:t>
      </w:r>
      <w:r w:rsidR="009C0215" w:rsidRPr="00750135">
        <w:rPr>
          <w:rFonts w:ascii="Palatino Linotype" w:hAnsi="Palatino Linotype" w:cs="Arial"/>
          <w:color w:val="000000" w:themeColor="text1"/>
        </w:rPr>
        <w:t>e</w:t>
      </w:r>
      <w:r w:rsidR="00755146" w:rsidRPr="00750135">
        <w:rPr>
          <w:rFonts w:ascii="Palatino Linotype" w:hAnsi="Palatino Linotype" w:cs="Arial"/>
          <w:color w:val="000000" w:themeColor="text1"/>
        </w:rPr>
        <w:t>l SAIMEX</w:t>
      </w:r>
    </w:p>
    <w:p w14:paraId="35BA18A9" w14:textId="77777777" w:rsidR="0039142B" w:rsidRPr="00750135"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B6EAB3D" w:rsidR="0022448D" w:rsidRPr="00750135"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750135">
        <w:rPr>
          <w:rFonts w:ascii="Palatino Linotype" w:eastAsia="MS Mincho" w:hAnsi="Palatino Linotype" w:cs="Times New Roman"/>
          <w:color w:val="000000" w:themeColor="text1"/>
        </w:rPr>
        <w:t xml:space="preserve">El </w:t>
      </w:r>
      <w:r w:rsidR="00FB63DD" w:rsidRPr="00750135">
        <w:rPr>
          <w:rFonts w:ascii="Palatino Linotype" w:eastAsia="MS Mincho" w:hAnsi="Palatino Linotype" w:cs="Times New Roman"/>
          <w:color w:val="000000" w:themeColor="text1"/>
        </w:rPr>
        <w:t>veinti</w:t>
      </w:r>
      <w:r w:rsidR="0023775E" w:rsidRPr="00750135">
        <w:rPr>
          <w:rFonts w:ascii="Palatino Linotype" w:eastAsia="MS Mincho" w:hAnsi="Palatino Linotype" w:cs="Times New Roman"/>
          <w:color w:val="000000" w:themeColor="text1"/>
        </w:rPr>
        <w:t>cinco</w:t>
      </w:r>
      <w:r w:rsidR="00FD2865" w:rsidRPr="00750135">
        <w:rPr>
          <w:rFonts w:ascii="Palatino Linotype" w:eastAsia="MS Mincho" w:hAnsi="Palatino Linotype" w:cs="Times New Roman"/>
          <w:color w:val="000000" w:themeColor="text1"/>
        </w:rPr>
        <w:t xml:space="preserve"> </w:t>
      </w:r>
      <w:r w:rsidR="007076C5" w:rsidRPr="00750135">
        <w:rPr>
          <w:rFonts w:ascii="Palatino Linotype" w:eastAsia="MS Mincho" w:hAnsi="Palatino Linotype" w:cs="Times New Roman"/>
          <w:color w:val="000000" w:themeColor="text1"/>
        </w:rPr>
        <w:t>(</w:t>
      </w:r>
      <w:r w:rsidR="0023775E" w:rsidRPr="00750135">
        <w:rPr>
          <w:rFonts w:ascii="Palatino Linotype" w:eastAsia="MS Mincho" w:hAnsi="Palatino Linotype" w:cs="Times New Roman"/>
          <w:color w:val="000000" w:themeColor="text1"/>
        </w:rPr>
        <w:t>25</w:t>
      </w:r>
      <w:r w:rsidR="007076C5" w:rsidRPr="00750135">
        <w:rPr>
          <w:rFonts w:ascii="Palatino Linotype" w:eastAsia="MS Mincho" w:hAnsi="Palatino Linotype" w:cs="Times New Roman"/>
          <w:color w:val="000000" w:themeColor="text1"/>
        </w:rPr>
        <w:t xml:space="preserve">) de </w:t>
      </w:r>
      <w:r w:rsidR="00FB63DD" w:rsidRPr="00750135">
        <w:rPr>
          <w:rFonts w:ascii="Palatino Linotype" w:eastAsia="MS Mincho" w:hAnsi="Palatino Linotype" w:cs="Times New Roman"/>
          <w:color w:val="000000" w:themeColor="text1"/>
        </w:rPr>
        <w:t>abril</w:t>
      </w:r>
      <w:r w:rsidR="00762697" w:rsidRPr="00750135">
        <w:rPr>
          <w:rFonts w:ascii="Palatino Linotype" w:eastAsia="MS Mincho" w:hAnsi="Palatino Linotype" w:cs="Times New Roman"/>
          <w:color w:val="000000" w:themeColor="text1"/>
        </w:rPr>
        <w:t xml:space="preserve"> de dos mil veinti</w:t>
      </w:r>
      <w:r w:rsidR="00AD2900" w:rsidRPr="00750135">
        <w:rPr>
          <w:rFonts w:ascii="Palatino Linotype" w:eastAsia="MS Mincho" w:hAnsi="Palatino Linotype" w:cs="Times New Roman"/>
          <w:color w:val="000000" w:themeColor="text1"/>
        </w:rPr>
        <w:t>dós</w:t>
      </w:r>
      <w:r w:rsidR="00762697" w:rsidRPr="00750135">
        <w:rPr>
          <w:rFonts w:ascii="Palatino Linotype" w:eastAsia="MS Mincho" w:hAnsi="Palatino Linotype" w:cs="Times New Roman"/>
          <w:color w:val="000000" w:themeColor="text1"/>
        </w:rPr>
        <w:t xml:space="preserve">, </w:t>
      </w:r>
      <w:r w:rsidR="005F1362" w:rsidRPr="00750135">
        <w:rPr>
          <w:rFonts w:ascii="Palatino Linotype" w:hAnsi="Palatino Linotype"/>
          <w:color w:val="000000" w:themeColor="text1"/>
          <w:szCs w:val="14"/>
        </w:rPr>
        <w:t xml:space="preserve">el </w:t>
      </w:r>
      <w:r w:rsidR="005F1362" w:rsidRPr="00750135">
        <w:rPr>
          <w:rFonts w:ascii="Palatino Linotype" w:hAnsi="Palatino Linotype"/>
          <w:b/>
          <w:color w:val="000000" w:themeColor="text1"/>
          <w:szCs w:val="14"/>
        </w:rPr>
        <w:t>SUJETO OBLIGADO</w:t>
      </w:r>
      <w:r w:rsidR="005F1362" w:rsidRPr="00750135">
        <w:rPr>
          <w:rFonts w:ascii="Palatino Linotype" w:hAnsi="Palatino Linotype"/>
          <w:color w:val="000000" w:themeColor="text1"/>
          <w:szCs w:val="14"/>
        </w:rPr>
        <w:t xml:space="preserve"> </w:t>
      </w:r>
      <w:r w:rsidR="007076C5" w:rsidRPr="00750135">
        <w:rPr>
          <w:rFonts w:ascii="Palatino Linotype" w:hAnsi="Palatino Linotype"/>
          <w:color w:val="000000" w:themeColor="text1"/>
          <w:szCs w:val="14"/>
        </w:rPr>
        <w:t xml:space="preserve">dio respuesta a la solicitud de información </w:t>
      </w:r>
      <w:r w:rsidR="00514A30" w:rsidRPr="00750135">
        <w:rPr>
          <w:rFonts w:ascii="Palatino Linotype" w:hAnsi="Palatino Linotype"/>
          <w:b/>
          <w:bCs/>
          <w:color w:val="000000" w:themeColor="text1"/>
        </w:rPr>
        <w:t>00286/CUAUTIZC/IP/2022</w:t>
      </w:r>
      <w:r w:rsidR="007076C5" w:rsidRPr="00750135">
        <w:rPr>
          <w:rFonts w:ascii="Palatino Linotype" w:hAnsi="Palatino Linotype"/>
          <w:color w:val="000000" w:themeColor="text1"/>
          <w:szCs w:val="14"/>
        </w:rPr>
        <w:t xml:space="preserve"> en los siguientes términos</w:t>
      </w:r>
      <w:r w:rsidR="005F1362" w:rsidRPr="00750135">
        <w:rPr>
          <w:rFonts w:ascii="Palatino Linotype" w:hAnsi="Palatino Linotype"/>
          <w:color w:val="000000" w:themeColor="text1"/>
          <w:szCs w:val="14"/>
        </w:rPr>
        <w:t>:</w:t>
      </w:r>
    </w:p>
    <w:p w14:paraId="0E759FD5" w14:textId="77777777" w:rsidR="009A593A" w:rsidRPr="00750135" w:rsidRDefault="009A593A" w:rsidP="00B31E90">
      <w:pPr>
        <w:pStyle w:val="Sinespaciado"/>
        <w:ind w:left="567" w:right="567"/>
        <w:jc w:val="right"/>
        <w:rPr>
          <w:rFonts w:ascii="Palatino Linotype" w:hAnsi="Palatino Linotype"/>
          <w:i/>
          <w:noProof/>
          <w:color w:val="000000" w:themeColor="text1"/>
          <w:lang w:eastAsia="es-MX"/>
        </w:rPr>
      </w:pPr>
    </w:p>
    <w:p w14:paraId="03ACDD66" w14:textId="77777777" w:rsidR="00514A30" w:rsidRPr="00750135" w:rsidRDefault="009C0057" w:rsidP="00514A3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50135">
        <w:rPr>
          <w:rFonts w:ascii="Palatino Linotype" w:eastAsia="MS Mincho" w:hAnsi="Palatino Linotype" w:cs="Times New Roman"/>
          <w:i/>
          <w:color w:val="000000" w:themeColor="text1"/>
          <w:sz w:val="22"/>
        </w:rPr>
        <w:lastRenderedPageBreak/>
        <w:t>“</w:t>
      </w:r>
      <w:r w:rsidR="00514A30" w:rsidRPr="00750135">
        <w:rPr>
          <w:rFonts w:ascii="Palatino Linotype" w:eastAsia="MS Mincho" w:hAnsi="Palatino Linotype" w:cs="Times New Roman"/>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002C2BA" w14:textId="19B64F46" w:rsidR="009C0057" w:rsidRPr="00750135" w:rsidRDefault="00514A30" w:rsidP="00514A30">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750135">
        <w:rPr>
          <w:rFonts w:ascii="Palatino Linotype" w:eastAsia="MS Mincho" w:hAnsi="Palatino Linotype" w:cs="Times New Roman"/>
          <w:i/>
          <w:color w:val="000000" w:themeColor="text1"/>
          <w:sz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le informo la contestación que a su solicitud la efectuó, (1) Tesorería Municipal, (2) Dirección de Administración, (3) Dirección Jurídica, (4) Comisaría General de Seguridad Ciudadana, (5)Presidencia Municipal. 1.- “Por medio del presente reciba un cordial saludo y al mismo tiempo, en atención a la solicitud de información que fue turnada a esta Tesorería Municipal por la Coordinación de Transparencia del H. Ayuntamiento de Cuautitlán Izcalli, Estado de México, misma que fue registrada mediante el Sistema de Acceso a la Información Mexiquense (SAIMEX), bajo el folio número 00286/CUAUTIZC/IP/2022, la que a la letra señala lo siguiente: 2. ¿A cuanto asciende la deuda total del municipio? Especificar conceptos, nombres de acreedores y montos de deuda, incluyendo deuda por pago de compras, proveedores y juicios (Civiles, mercantiles, laborales y otros) TESORERIA,…(SIC) Por lo tanto y toda vez que la solicitud se considera de su competencia, respetuosamente le solicitó, gire sus apreciables instrucciones a quien corresponda a efectos de remitir a la suscrita en breve término que no exceda de siete días hábiles, la información solicitada por el particular, o bien informe a la brevedad posible en caso de no contar con dicha información y las razones que lo solventen para así estar en posibilidad de otorgar contestación en tiempo y forma a la solicitud de mérito, tal y como lo establece el artículo 165 de la Ley de </w:t>
      </w:r>
      <w:r w:rsidRPr="00750135">
        <w:rPr>
          <w:rFonts w:ascii="Palatino Linotype" w:eastAsia="MS Mincho" w:hAnsi="Palatino Linotype" w:cs="Times New Roman"/>
          <w:i/>
          <w:color w:val="000000" w:themeColor="text1"/>
          <w:sz w:val="22"/>
        </w:rPr>
        <w:lastRenderedPageBreak/>
        <w:t xml:space="preserve">Transparencia y Acceso a la Información Pública del Estado de México y Municipios. ”sic 2.- “Con fundamento en lo dispuesto por el artículo 6° de la Constitución Política de los Estados Unidos Mexicanos; 5° de la Constitución Política del Estado Libre y Soberano de México; 3 fracción XLV, 12, 23 fracción IV, 24 fracción XI y XXV, 25, 52 Y 88 de la Ley de Transparencia y Acceso a la Información Pública del Estado de México y Municipios; 86 de la Ley Orgánica Municipal del Estado de México; 24 fracción X del Bando Municipal 2022 de Cuautitlán Izcalli; 39 y 40 del Reglamento Interior de la Administración Pública Municipal de Cuautitlán Izcalli, Estado de México; en el ámbito de competencia de esta Dirección de Administración, y en atención a la Solicitud de Información Pública marcada con el número de folio 00280/CUAUTIZC/IP/2022 turnada a través del Sistema SAIMEX a esta Unidad Administrativa, en la que se solicitó: “Solicito datos sobre el costo de la renta de una carpa contratada por el Gobierno Municipal de Cuautitlán Izcalli que estuvo en la explanada del Palacio Municipal para diversas actividades de la presidenta municipal de Cuautitlán Izcalli, Karla Leticia Fiesco, con fecha del 3 de enero al 6 de marzo del 2022, así como los datos de la empresa a la que se contrató para este servicio, si fue por licitación o por adjudicación directa y detalles de cualquiera de los dos movimientos que se realizaron para dicha acción.” (SIC). Al respecto, se remite la respuesta emitida por la persona Encargada del Despacho de la Subdirección de Recursos Humanos, mediante la cual emite pronunciamiento respecto de la solicitud formulada por el peticionario, adjuntando archivo electrónico que contiene la información referida por el área competente para brindar atención a la solicitud de mérito. ”sic 3.- “Le hago de su conocimiento que la Dirección Jurídica es incompetente para conocer con respecto a la información solicitada en los numerales 1, 3 a 15, de conformidad con el Capítulo Décimo Tercero del Reglamento Interior de la Administración Pública Municipal del Cuautitlán Izcalli 2022 y que de forma particular con respecto al numeral 12, se informa que el monto por concepto de la deuda relacionada con el cumplimiento de juicios laborales, mercantiles, civiles y otros </w:t>
      </w:r>
      <w:r w:rsidRPr="00750135">
        <w:rPr>
          <w:rFonts w:ascii="Palatino Linotype" w:eastAsia="MS Mincho" w:hAnsi="Palatino Linotype" w:cs="Times New Roman"/>
          <w:i/>
          <w:color w:val="000000" w:themeColor="text1"/>
          <w:sz w:val="22"/>
        </w:rPr>
        <w:lastRenderedPageBreak/>
        <w:t xml:space="preserve">corresponde aproximadamente a $ 254,936,751( Doscientos cincuenta y cuatro millones novecientos treinta y seis mil setecientos treinta y uno) de conformidad con lo reportado hasta el 25 de febrero de 2022. ”sic 4.- “Con fundamento en los artículos 6 de la Constitución Política de los Estados Unidos Mexicanos; 5 párrafo décimo séptimo, décimo octavo y décimo noveno de la Constitución Política del Estado Libre y Soberano de México; así como los artículos 1, 4,12 segundo párrafo, 23 fracción IV, 24 tercer párrafo, 53, 59, 88, 163 y 173 todos de la Ley de Transparencia y Acceso a la Información Pública del Estado de México y Municipios; me permito comunicarle a Usted la solicitud de información que fue recibida por la Coordinación de Transparencia en fecha 28 DE MARZO DEL AÑO DOS MIL VEINTIDÓS , la cual fue registrada vía Internet, mediante el Sistema de Acceso a la Información Mexiquense (SAIMEX), bajo el folio 00286/CUAUTIZC/IP/2022, la que a la letra señala; De la manera más atenta, solicito que se conteste el siguiente cuestionario: 1. ¿Lleva a cabo el municipio acciones tendientes a la armonización contable? ¿Cuáles? TESORERIA MUNICIPAL 2. ¿A cuanto asciende la deuda total del municipio? Especificar conceptos, nombres de acreedores y montos de deuda, incluyendo deuda por pago de compras, proveedores y juicios (Civiles, mercantiles, laborales y otros) TESORERIA, ADMINISTRACION , DIRECCIÓN JURÍDICA 3. ¿Cuántos elementos de seguridad por cada 1000 habitantes tiene el municipio? 4. ¿Cuántos elementos son en total? 5. ¿Cuántos elementos se encuentran comisionados a labores distintas a la prevención del delito y seguridad pública? ¿Cuántos tienen función de escolta y cuantos están comisionados al resguardo de instalaciones municipales? 6. ¿Cuentan los elementos de seguridad con el equipo básico y en qué consiste? 7. ¿El municipio está implementando el Servicio Profesional de Carrera Policial? COMISARIA GENERAL 8. ¿Lleva a cabo el municipio acciones tendientes al cumplimiento de los exámenes de control de confianza? Y ¿Cuándo se realizaron los últimos? PRESIDENCIA 9. ¿Existe y se opera un Comisión de Honor y Justicia de los cuerpos de Seguridad Pública? ¿Quiénes la integran? Numero, Nombres, </w:t>
      </w:r>
      <w:r w:rsidRPr="00750135">
        <w:rPr>
          <w:rFonts w:ascii="Palatino Linotype" w:eastAsia="MS Mincho" w:hAnsi="Palatino Linotype" w:cs="Times New Roman"/>
          <w:i/>
          <w:color w:val="000000" w:themeColor="text1"/>
          <w:sz w:val="22"/>
        </w:rPr>
        <w:lastRenderedPageBreak/>
        <w:t xml:space="preserve">cargos y sueldos y fecha de última sesión. COMISARIA GENERAL Y ADMINISTRACIÓN 10. ¿Se cuenta con indicadores de medición y seguimiento del personal de policía municipal con participación de instancias ciudadanas? 11. ¿El municipio ha gestionado la incorporación de sus elementos de seguridad a la licencia colectiva para la portación de armamento? 12. ¿Se cuenta con la información referente a la incidencia de delitos y de faltas administrativas? Favor de anexar información desde enero 2022 a la fecha de recepción de la presente. 13. ¿Se operan programas para la prevención de conductas antisociales? 14. ¿Se tiene coordinación interinstitucional con otros órdenes de gobierno en materia de seguridad pública y de qué forma? 15. ¿Se cuenta con índices e identificación de zonas conflictivas y cuál es la metodología? COMISARIA GENERAL, SECRETARIA DEL AYUNTAMIENTO ”sic 5.- “Área: Secretaría Técnica del Consejo Municipal de Seguridad Pública. Oficio: PM/STCMSP/0237/2022. Asunto: Respuesta Transparencia. Cuautitlán Izcalli, Estado de México, a 19 de abril de 2022. C. María Isabel Cisneros Márquez Coordinadora de Trasparencia Presente Sirva el presente para enviar un cordial saludo y, con fundamento en lo dispuesto en el Artículo 6 de la Constitución Política de los Estado Unidos Mexicanos, Artículos 1, 3, 8, 14 fracción IV, 19 fracción II, de la Ley de Seguridad Pública del Estado de México; Titulo Segundo, Capitulo Séptimo, artículo 1, 29 fracción I inciso e), artículo 30 fracción XI Reglamento Interior de la Administración Pública Municipal de Cuautitlán Izcalli, Estado de México, artículos 12, 23 Fracción IV y 24 Fracción XI de la Ley de Transparencia y Acceso a la Información Pública del Estado de México y Municipios, en atención al folio 00286/CUAUTIZC/IP/2022 recibida el 28 de marzo del presente en el Sistema de Acceso a la Información Mexiquense (SAIMEX]), en el cual solicita se informe: “Lleva a cabo el municipio acciones tendientes al cumplimiento de los exámenes de control de confianza y Cuando se realizaron los últimos” (sic). Al respecto hago de su conocimiento lo siguiente: De conformidad a lo establecido en los artículos 21, párrafo noveno y 115, fracción III, inciso </w:t>
      </w:r>
      <w:r w:rsidRPr="00750135">
        <w:rPr>
          <w:rFonts w:ascii="Palatino Linotype" w:eastAsia="MS Mincho" w:hAnsi="Palatino Linotype" w:cs="Times New Roman"/>
          <w:i/>
          <w:color w:val="000000" w:themeColor="text1"/>
          <w:sz w:val="22"/>
        </w:rPr>
        <w:lastRenderedPageBreak/>
        <w:t>h), de la Constitución Política de los Estados Unidos Mexicanos; artículo 122, segundo párrafo de la Constitución Política del Estado Libre y Soberano de México; artículo 88 inciso A fracción VII, inciso B, fracción VI de la Ley General del Sistema Nacional de Seguridad Pública y articulo 13, fracción VII y 16 fracción XXV del Reglamento del Servicio Profesional de Carrera Policial del Municipio de Cuautitlán Izcalli, Estado de México. • Si, se llevan a cabo las medidas tendientes para el cumplimiento de los exámenes de Control de Confianza. • Las Ultimas evaluaciones para personal de nuevo ingreso y permanencia que se realizaron fueron durante el año 2021 Lo anterior, para los efectos legales y administrativos que tenga lugar. ”sic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9C0057" w:rsidRPr="00750135">
        <w:rPr>
          <w:rFonts w:ascii="Palatino Linotype" w:eastAsia="MS Mincho" w:hAnsi="Palatino Linotype" w:cs="Times New Roman"/>
          <w:i/>
          <w:color w:val="000000" w:themeColor="text1"/>
          <w:sz w:val="22"/>
        </w:rPr>
        <w:t>” (sic)</w:t>
      </w:r>
    </w:p>
    <w:p w14:paraId="2D68519B" w14:textId="77777777" w:rsidR="0097210F" w:rsidRPr="00750135" w:rsidRDefault="0097210F" w:rsidP="009A593A">
      <w:pPr>
        <w:pStyle w:val="Sinespaciado"/>
        <w:ind w:right="567"/>
        <w:jc w:val="both"/>
        <w:rPr>
          <w:rFonts w:ascii="Palatino Linotype" w:hAnsi="Palatino Linotype"/>
          <w:noProof/>
          <w:color w:val="000000" w:themeColor="text1"/>
          <w:lang w:val="es-MX" w:eastAsia="es-MX"/>
        </w:rPr>
      </w:pPr>
    </w:p>
    <w:p w14:paraId="656798CB" w14:textId="695402D6" w:rsidR="00FB63DD" w:rsidRPr="00750135"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750135">
        <w:rPr>
          <w:rFonts w:ascii="Palatino Linotype" w:hAnsi="Palatino Linotype"/>
          <w:color w:val="000000" w:themeColor="text1"/>
          <w:szCs w:val="22"/>
        </w:rPr>
        <w:t>El Sujeto Obligado acompañó la respuesta de</w:t>
      </w:r>
      <w:r w:rsidR="0083380F" w:rsidRPr="00750135">
        <w:rPr>
          <w:rFonts w:ascii="Palatino Linotype" w:hAnsi="Palatino Linotype"/>
          <w:color w:val="000000" w:themeColor="text1"/>
          <w:szCs w:val="22"/>
        </w:rPr>
        <w:t xml:space="preserve"> </w:t>
      </w:r>
      <w:r w:rsidRPr="00750135">
        <w:rPr>
          <w:rFonts w:ascii="Palatino Linotype" w:hAnsi="Palatino Linotype"/>
          <w:color w:val="000000" w:themeColor="text1"/>
          <w:szCs w:val="22"/>
        </w:rPr>
        <w:t>l</w:t>
      </w:r>
      <w:r w:rsidR="0083380F" w:rsidRPr="00750135">
        <w:rPr>
          <w:rFonts w:ascii="Palatino Linotype" w:hAnsi="Palatino Linotype"/>
          <w:color w:val="000000" w:themeColor="text1"/>
          <w:szCs w:val="22"/>
        </w:rPr>
        <w:t>os</w:t>
      </w:r>
      <w:r w:rsidRPr="00750135">
        <w:rPr>
          <w:rFonts w:ascii="Palatino Linotype" w:hAnsi="Palatino Linotype"/>
          <w:color w:val="000000" w:themeColor="text1"/>
          <w:szCs w:val="22"/>
        </w:rPr>
        <w:t xml:space="preserve"> documento</w:t>
      </w:r>
      <w:r w:rsidR="0083380F" w:rsidRPr="00750135">
        <w:rPr>
          <w:rFonts w:ascii="Palatino Linotype" w:hAnsi="Palatino Linotype"/>
          <w:color w:val="000000" w:themeColor="text1"/>
          <w:szCs w:val="22"/>
        </w:rPr>
        <w:t>s</w:t>
      </w:r>
      <w:r w:rsidRPr="00750135">
        <w:rPr>
          <w:rFonts w:ascii="Palatino Linotype" w:hAnsi="Palatino Linotype"/>
          <w:color w:val="000000" w:themeColor="text1"/>
          <w:szCs w:val="22"/>
        </w:rPr>
        <w:t xml:space="preserve"> electrónico</w:t>
      </w:r>
      <w:r w:rsidR="0083380F" w:rsidRPr="00750135">
        <w:rPr>
          <w:rFonts w:ascii="Palatino Linotype" w:hAnsi="Palatino Linotype"/>
          <w:color w:val="000000" w:themeColor="text1"/>
          <w:szCs w:val="22"/>
        </w:rPr>
        <w:t>s</w:t>
      </w:r>
      <w:r w:rsidRPr="00750135">
        <w:rPr>
          <w:rFonts w:ascii="Palatino Linotype" w:hAnsi="Palatino Linotype"/>
          <w:color w:val="000000" w:themeColor="text1"/>
          <w:szCs w:val="22"/>
        </w:rPr>
        <w:t xml:space="preserve"> denominado</w:t>
      </w:r>
      <w:r w:rsidR="00FB63DD" w:rsidRPr="00750135">
        <w:rPr>
          <w:rFonts w:ascii="Palatino Linotype" w:hAnsi="Palatino Linotype"/>
          <w:color w:val="000000" w:themeColor="text1"/>
          <w:szCs w:val="22"/>
        </w:rPr>
        <w:t>s:</w:t>
      </w:r>
    </w:p>
    <w:p w14:paraId="6D2555EC" w14:textId="77777777" w:rsidR="00FB63DD" w:rsidRPr="00750135" w:rsidRDefault="00FB63DD" w:rsidP="00FB63DD">
      <w:pPr>
        <w:pStyle w:val="Prrafodelista"/>
        <w:tabs>
          <w:tab w:val="left" w:pos="284"/>
          <w:tab w:val="left" w:pos="426"/>
        </w:tabs>
        <w:spacing w:line="360" w:lineRule="auto"/>
        <w:ind w:left="709"/>
        <w:jc w:val="both"/>
        <w:rPr>
          <w:rFonts w:ascii="Palatino Linotype" w:hAnsi="Palatino Linotype"/>
          <w:b/>
          <w:i/>
          <w:color w:val="000000" w:themeColor="text1"/>
          <w:sz w:val="22"/>
          <w:szCs w:val="22"/>
        </w:rPr>
      </w:pPr>
    </w:p>
    <w:p w14:paraId="4D04EB01" w14:textId="23FAEC3A"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color w:val="000000" w:themeColor="text1"/>
          <w:sz w:val="22"/>
          <w:szCs w:val="22"/>
        </w:rPr>
      </w:pPr>
      <w:r w:rsidRPr="00750135">
        <w:rPr>
          <w:rFonts w:ascii="Palatino Linotype" w:hAnsi="Palatino Linotype"/>
          <w:b/>
          <w:color w:val="000000" w:themeColor="text1"/>
          <w:sz w:val="22"/>
          <w:szCs w:val="22"/>
        </w:rPr>
        <w:t>ANEXO UNO.pdf: Oficio CGSC/SPD/2031/2022</w:t>
      </w:r>
      <w:r w:rsidRPr="00750135">
        <w:rPr>
          <w:rFonts w:ascii="Palatino Linotype" w:hAnsi="Palatino Linotype"/>
          <w:color w:val="000000" w:themeColor="text1"/>
          <w:sz w:val="22"/>
          <w:szCs w:val="22"/>
        </w:rPr>
        <w:t xml:space="preserve"> suscrito por el Subdirector de Prevención del Delito mediante el cual refiere que no se cuenta con indicadores de medición y seguimiento del personal de policía con participación de instancias ciudadanas y que por medio de operativos se tiene coordinación interinstitucional con otros órdenes de gobierno en materia de seguridad pública.</w:t>
      </w:r>
    </w:p>
    <w:p w14:paraId="50B852EA" w14:textId="08E1A8C1"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t xml:space="preserve">DESAHOGO 286.pdf: </w:t>
      </w:r>
      <w:r w:rsidRPr="00750135">
        <w:rPr>
          <w:rFonts w:ascii="Palatino Linotype" w:hAnsi="Palatino Linotype"/>
          <w:color w:val="000000" w:themeColor="text1"/>
          <w:sz w:val="22"/>
          <w:szCs w:val="22"/>
        </w:rPr>
        <w:t>Oficio DGSC/3914/2022 suscrito por el Comisario General de Seguridad Ciudadana, mediante el cual refiere que de la información requerida en los puntos 3, 4, 5, 6 y 7 es información reservada.</w:t>
      </w:r>
    </w:p>
    <w:p w14:paraId="4A51B4C6" w14:textId="4F6B41D0"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lastRenderedPageBreak/>
        <w:t>ANEXO DOS.pdf</w:t>
      </w:r>
      <w:r w:rsidR="0013132A" w:rsidRPr="00750135">
        <w:rPr>
          <w:rFonts w:ascii="Palatino Linotype" w:hAnsi="Palatino Linotype"/>
          <w:b/>
          <w:color w:val="000000" w:themeColor="text1"/>
          <w:sz w:val="22"/>
          <w:szCs w:val="22"/>
        </w:rPr>
        <w:t xml:space="preserve">: </w:t>
      </w:r>
      <w:r w:rsidR="0013132A" w:rsidRPr="00750135">
        <w:rPr>
          <w:rFonts w:ascii="Palatino Linotype" w:hAnsi="Palatino Linotype"/>
          <w:color w:val="000000" w:themeColor="text1"/>
          <w:sz w:val="22"/>
          <w:szCs w:val="22"/>
        </w:rPr>
        <w:t>Oficio CGSC/CHJ/277/2022 suscrito por el Presidente de la Comisión de Honor y Justicia mediante el cual refiere información de dicha Comisión, como integrantes, nombre y cargo y la fecha de la última sesión.</w:t>
      </w:r>
    </w:p>
    <w:p w14:paraId="016F774E" w14:textId="32894662" w:rsidR="0013132A"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t>ACUERDO RESERVA 042 COMISARÍA - copia.pdf</w:t>
      </w:r>
      <w:r w:rsidR="0013132A" w:rsidRPr="00750135">
        <w:rPr>
          <w:rFonts w:ascii="Palatino Linotype" w:hAnsi="Palatino Linotype"/>
          <w:b/>
          <w:color w:val="000000" w:themeColor="text1"/>
          <w:sz w:val="22"/>
          <w:szCs w:val="22"/>
        </w:rPr>
        <w:t xml:space="preserve">: </w:t>
      </w:r>
      <w:r w:rsidR="0013132A" w:rsidRPr="00750135">
        <w:rPr>
          <w:rFonts w:ascii="Palatino Linotype" w:hAnsi="Palatino Linotype"/>
          <w:color w:val="000000" w:themeColor="text1"/>
          <w:sz w:val="22"/>
          <w:szCs w:val="22"/>
        </w:rPr>
        <w:t>Contiene el acuerdo 042/CUAUTIZC/CT/CGSPT/2021 del Comité de Transparencia mediante el cual se somete a su consideración la clasificación como reservada de la información señalada en los requerimientos 3, 4, 5, 6 y 7.</w:t>
      </w:r>
    </w:p>
    <w:p w14:paraId="3F20565D" w14:textId="33BFB484"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t>ANEXO CUATRO.pdf</w:t>
      </w:r>
      <w:r w:rsidR="0013132A" w:rsidRPr="00750135">
        <w:rPr>
          <w:rFonts w:ascii="Palatino Linotype" w:hAnsi="Palatino Linotype"/>
          <w:b/>
          <w:color w:val="000000" w:themeColor="text1"/>
          <w:sz w:val="22"/>
          <w:szCs w:val="22"/>
        </w:rPr>
        <w:t xml:space="preserve">: </w:t>
      </w:r>
      <w:r w:rsidR="0013132A" w:rsidRPr="00750135">
        <w:rPr>
          <w:rFonts w:ascii="Palatino Linotype" w:hAnsi="Palatino Linotype"/>
          <w:color w:val="000000" w:themeColor="text1"/>
          <w:sz w:val="22"/>
          <w:szCs w:val="22"/>
        </w:rPr>
        <w:t>Documento integrado por veintitrés páginas mediante el cual anexa copia simple de la incidencia de delitos y de faltas administrativas.</w:t>
      </w:r>
    </w:p>
    <w:p w14:paraId="569DFBA2" w14:textId="2F4E565B"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t>ANEXO TRES.pdf</w:t>
      </w:r>
      <w:r w:rsidR="0013132A" w:rsidRPr="00750135">
        <w:rPr>
          <w:rFonts w:ascii="Palatino Linotype" w:hAnsi="Palatino Linotype"/>
          <w:b/>
          <w:color w:val="000000" w:themeColor="text1"/>
          <w:sz w:val="22"/>
          <w:szCs w:val="22"/>
        </w:rPr>
        <w:t xml:space="preserve">: </w:t>
      </w:r>
      <w:r w:rsidR="0013132A" w:rsidRPr="00750135">
        <w:rPr>
          <w:rFonts w:ascii="Palatino Linotype" w:hAnsi="Palatino Linotype"/>
          <w:color w:val="000000" w:themeColor="text1"/>
          <w:sz w:val="22"/>
          <w:szCs w:val="22"/>
        </w:rPr>
        <w:t>Oficio CGSC/UAVVGM/64/2022 suscrito por el Titular de la Unidad de Atención a Víctimas del Delito de Violencia a Mujeres en Razón de Género, mediante el cual refiere que lleva a cabo un programa de capacitación en coordinación con distintas instituciones en el que se imparten cursos, talleres, pláticas y conferencias en materia de psicología y prevención de conductas antisociales, con la finalidad de proporcionar información a las niñas, niños y adolescentes, así como a la comunidad en general.</w:t>
      </w:r>
    </w:p>
    <w:p w14:paraId="05CB6B7E" w14:textId="74C099DD"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color w:val="000000" w:themeColor="text1"/>
          <w:sz w:val="22"/>
          <w:szCs w:val="22"/>
        </w:rPr>
      </w:pPr>
      <w:r w:rsidRPr="00750135">
        <w:rPr>
          <w:rFonts w:ascii="Palatino Linotype" w:hAnsi="Palatino Linotype"/>
          <w:b/>
          <w:color w:val="000000" w:themeColor="text1"/>
          <w:sz w:val="22"/>
          <w:szCs w:val="22"/>
        </w:rPr>
        <w:t>286.jpg</w:t>
      </w:r>
      <w:r w:rsidR="0013132A" w:rsidRPr="00750135">
        <w:rPr>
          <w:rFonts w:ascii="Palatino Linotype" w:hAnsi="Palatino Linotype"/>
          <w:b/>
          <w:color w:val="000000" w:themeColor="text1"/>
          <w:sz w:val="22"/>
          <w:szCs w:val="22"/>
        </w:rPr>
        <w:t xml:space="preserve">: </w:t>
      </w:r>
      <w:r w:rsidR="0013132A" w:rsidRPr="00750135">
        <w:rPr>
          <w:rFonts w:ascii="Palatino Linotype" w:hAnsi="Palatino Linotype"/>
          <w:color w:val="000000" w:themeColor="text1"/>
          <w:sz w:val="22"/>
          <w:szCs w:val="22"/>
        </w:rPr>
        <w:t xml:space="preserve">Cirular DJ/1439/2022 suscrito por el Titular de la Dirección Jurídica mediante el cual </w:t>
      </w:r>
      <w:r w:rsidR="00B94F7D" w:rsidRPr="00750135">
        <w:rPr>
          <w:rFonts w:ascii="Palatino Linotype" w:hAnsi="Palatino Linotype"/>
          <w:color w:val="000000" w:themeColor="text1"/>
          <w:sz w:val="22"/>
          <w:szCs w:val="22"/>
        </w:rPr>
        <w:t>refiere que el monto por concepto de deuda relacionada con el cumplimiento de juicios laborales, mercantiles y civiles corresponde a aproximadamente $254, 956,731, con lo reportado al 25 de febrero de 2022.</w:t>
      </w:r>
    </w:p>
    <w:p w14:paraId="67E77AFE" w14:textId="24001E01"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color w:val="000000" w:themeColor="text1"/>
          <w:sz w:val="22"/>
          <w:szCs w:val="22"/>
        </w:rPr>
      </w:pPr>
      <w:r w:rsidRPr="00750135">
        <w:rPr>
          <w:rFonts w:ascii="Palatino Linotype" w:hAnsi="Palatino Linotype"/>
          <w:b/>
          <w:color w:val="000000" w:themeColor="text1"/>
          <w:sz w:val="22"/>
          <w:szCs w:val="22"/>
        </w:rPr>
        <w:t>286.pdf</w:t>
      </w:r>
      <w:r w:rsidR="0013132A" w:rsidRPr="00750135">
        <w:rPr>
          <w:rFonts w:ascii="Palatino Linotype" w:hAnsi="Palatino Linotype"/>
          <w:b/>
          <w:color w:val="000000" w:themeColor="text1"/>
          <w:sz w:val="22"/>
          <w:szCs w:val="22"/>
        </w:rPr>
        <w:t>:</w:t>
      </w:r>
      <w:r w:rsidR="00B94F7D" w:rsidRPr="00750135">
        <w:rPr>
          <w:rFonts w:ascii="Palatino Linotype" w:hAnsi="Palatino Linotype"/>
          <w:b/>
          <w:color w:val="000000" w:themeColor="text1"/>
          <w:sz w:val="22"/>
          <w:szCs w:val="22"/>
        </w:rPr>
        <w:t xml:space="preserve"> </w:t>
      </w:r>
      <w:r w:rsidR="00B94F7D" w:rsidRPr="00750135">
        <w:rPr>
          <w:rFonts w:ascii="Palatino Linotype" w:hAnsi="Palatino Linotype"/>
          <w:color w:val="000000" w:themeColor="text1"/>
          <w:sz w:val="22"/>
          <w:szCs w:val="22"/>
        </w:rPr>
        <w:t>Oficio TM/1406/2022 suscrito por el Tesorero M</w:t>
      </w:r>
      <w:r w:rsidR="0023775E" w:rsidRPr="00750135">
        <w:rPr>
          <w:rFonts w:ascii="Palatino Linotype" w:hAnsi="Palatino Linotype"/>
          <w:color w:val="000000" w:themeColor="text1"/>
          <w:sz w:val="22"/>
          <w:szCs w:val="22"/>
        </w:rPr>
        <w:t>unicipal, mediante el refiere que el monto de la deuda total del municipio se encuentra preparando para la entrega del primer informe trimestral del 2022. Asimismo, refiere que se entrega la balanza de comprobación detallada en la que se aprecian las cuentas por pagar.</w:t>
      </w:r>
    </w:p>
    <w:p w14:paraId="36664149" w14:textId="00DB549B"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t>ACUSE 00286.CUAUTIZC.IP.22.pdf</w:t>
      </w:r>
      <w:r w:rsidR="0013132A" w:rsidRPr="00750135">
        <w:rPr>
          <w:rFonts w:ascii="Palatino Linotype" w:hAnsi="Palatino Linotype"/>
          <w:b/>
          <w:color w:val="000000" w:themeColor="text1"/>
          <w:sz w:val="22"/>
          <w:szCs w:val="22"/>
        </w:rPr>
        <w:t>:</w:t>
      </w:r>
      <w:r w:rsidR="0023775E" w:rsidRPr="00750135">
        <w:rPr>
          <w:rFonts w:ascii="Palatino Linotype" w:hAnsi="Palatino Linotype"/>
          <w:b/>
          <w:color w:val="000000" w:themeColor="text1"/>
          <w:sz w:val="22"/>
          <w:szCs w:val="22"/>
        </w:rPr>
        <w:t xml:space="preserve"> </w:t>
      </w:r>
      <w:r w:rsidR="0023775E" w:rsidRPr="00750135">
        <w:rPr>
          <w:rFonts w:ascii="Palatino Linotype" w:hAnsi="Palatino Linotype"/>
          <w:color w:val="000000" w:themeColor="text1"/>
          <w:sz w:val="22"/>
          <w:szCs w:val="22"/>
        </w:rPr>
        <w:t>Documento mediante el cual refiere que se cuenta con un total de 670 elementos de seguridad pública y da el nombre, cargo y sueldo de los integrantes de la Comisión de Honor y Justicia.</w:t>
      </w:r>
    </w:p>
    <w:p w14:paraId="020BF345" w14:textId="3B1F77C6" w:rsidR="00514A30" w:rsidRPr="00750135" w:rsidRDefault="00514A30" w:rsidP="00514A30">
      <w:pPr>
        <w:pStyle w:val="Prrafodelista"/>
        <w:numPr>
          <w:ilvl w:val="0"/>
          <w:numId w:val="12"/>
        </w:numPr>
        <w:tabs>
          <w:tab w:val="left" w:pos="284"/>
          <w:tab w:val="left" w:pos="426"/>
        </w:tabs>
        <w:spacing w:line="360" w:lineRule="auto"/>
        <w:ind w:left="709"/>
        <w:jc w:val="both"/>
        <w:rPr>
          <w:rFonts w:ascii="Palatino Linotype" w:hAnsi="Palatino Linotype"/>
          <w:b/>
          <w:color w:val="000000" w:themeColor="text1"/>
          <w:sz w:val="22"/>
          <w:szCs w:val="22"/>
        </w:rPr>
      </w:pPr>
      <w:r w:rsidRPr="00750135">
        <w:rPr>
          <w:rFonts w:ascii="Palatino Linotype" w:hAnsi="Palatino Linotype"/>
          <w:b/>
          <w:color w:val="000000" w:themeColor="text1"/>
          <w:sz w:val="22"/>
          <w:szCs w:val="22"/>
        </w:rPr>
        <w:lastRenderedPageBreak/>
        <w:t>CONTESTACION TRANSPARENCIA 286.pdf</w:t>
      </w:r>
      <w:r w:rsidR="0013132A" w:rsidRPr="00750135">
        <w:rPr>
          <w:rFonts w:ascii="Palatino Linotype" w:hAnsi="Palatino Linotype"/>
          <w:b/>
          <w:color w:val="000000" w:themeColor="text1"/>
          <w:sz w:val="22"/>
          <w:szCs w:val="22"/>
        </w:rPr>
        <w:t>:</w:t>
      </w:r>
      <w:r w:rsidR="0023775E" w:rsidRPr="00750135">
        <w:rPr>
          <w:rFonts w:ascii="Palatino Linotype" w:hAnsi="Palatino Linotype"/>
          <w:b/>
          <w:color w:val="000000" w:themeColor="text1"/>
          <w:sz w:val="22"/>
          <w:szCs w:val="22"/>
        </w:rPr>
        <w:t xml:space="preserve"> </w:t>
      </w:r>
      <w:r w:rsidR="0023775E" w:rsidRPr="00750135">
        <w:rPr>
          <w:rFonts w:ascii="Palatino Linotype" w:hAnsi="Palatino Linotype"/>
          <w:color w:val="000000" w:themeColor="text1"/>
          <w:sz w:val="22"/>
          <w:szCs w:val="22"/>
        </w:rPr>
        <w:t>Documento sin número de oficio suscrito por la Titular de la Secretaría Técnica del Consejo Municipal de Seguridad Pública mediante la cual refiere que se llevan a cabo medidas tendientes para el cumplimiento de los exámenes de Control y confianza. Las últimas evaluaciones para el personal de nuevo ingreso se realizaron durante el 2021.</w:t>
      </w:r>
    </w:p>
    <w:p w14:paraId="1F805272" w14:textId="77777777" w:rsidR="00514A30" w:rsidRPr="00750135" w:rsidRDefault="00514A30" w:rsidP="00514A30">
      <w:pPr>
        <w:pStyle w:val="Prrafodelista"/>
        <w:tabs>
          <w:tab w:val="left" w:pos="284"/>
          <w:tab w:val="left" w:pos="426"/>
        </w:tabs>
        <w:spacing w:line="360" w:lineRule="auto"/>
        <w:ind w:left="567"/>
        <w:jc w:val="both"/>
        <w:rPr>
          <w:rFonts w:ascii="Palatino Linotype" w:hAnsi="Palatino Linotype"/>
          <w:color w:val="000000" w:themeColor="text1"/>
          <w:sz w:val="22"/>
          <w:szCs w:val="22"/>
        </w:rPr>
      </w:pPr>
    </w:p>
    <w:p w14:paraId="272B63B3" w14:textId="21452A95" w:rsidR="000D5A1D" w:rsidRPr="00750135"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750135">
        <w:rPr>
          <w:rFonts w:ascii="Palatino Linotype" w:eastAsia="Times New Roman" w:hAnsi="Palatino Linotype" w:cs="Arial"/>
          <w:color w:val="000000" w:themeColor="text1"/>
          <w:lang w:val="es-ES"/>
        </w:rPr>
        <w:t>D</w:t>
      </w:r>
      <w:r w:rsidR="00561ED1" w:rsidRPr="00750135">
        <w:rPr>
          <w:rFonts w:ascii="Palatino Linotype" w:eastAsia="Times New Roman" w:hAnsi="Palatino Linotype" w:cs="Arial"/>
          <w:color w:val="000000" w:themeColor="text1"/>
          <w:lang w:val="es-ES"/>
        </w:rPr>
        <w:t xml:space="preserve">erivado de la respuesta emitida por el </w:t>
      </w:r>
      <w:r w:rsidR="00561ED1" w:rsidRPr="00750135">
        <w:rPr>
          <w:rFonts w:ascii="Palatino Linotype" w:eastAsia="Times New Roman" w:hAnsi="Palatino Linotype" w:cs="Arial"/>
          <w:b/>
          <w:color w:val="000000" w:themeColor="text1"/>
          <w:lang w:val="es-ES"/>
        </w:rPr>
        <w:t>SUJETO OBLIGADO</w:t>
      </w:r>
      <w:r w:rsidR="00561ED1" w:rsidRPr="00750135">
        <w:rPr>
          <w:rFonts w:ascii="Palatino Linotype" w:eastAsia="Times New Roman" w:hAnsi="Palatino Linotype" w:cs="Arial"/>
          <w:color w:val="000000" w:themeColor="text1"/>
          <w:lang w:val="es-ES"/>
        </w:rPr>
        <w:t>, e</w:t>
      </w:r>
      <w:r w:rsidR="0083380F" w:rsidRPr="00750135">
        <w:rPr>
          <w:rFonts w:ascii="Palatino Linotype" w:eastAsia="Times New Roman" w:hAnsi="Palatino Linotype" w:cs="Arial"/>
          <w:color w:val="000000" w:themeColor="text1"/>
          <w:lang w:val="es-ES"/>
        </w:rPr>
        <w:t xml:space="preserve">l </w:t>
      </w:r>
      <w:r w:rsidR="00FD5C92" w:rsidRPr="00750135">
        <w:rPr>
          <w:rFonts w:ascii="Palatino Linotype" w:eastAsia="Times New Roman" w:hAnsi="Palatino Linotype" w:cs="Arial"/>
          <w:color w:val="000000" w:themeColor="text1"/>
          <w:lang w:val="es-ES"/>
        </w:rPr>
        <w:t>dieci</w:t>
      </w:r>
      <w:r w:rsidR="0023775E" w:rsidRPr="00750135">
        <w:rPr>
          <w:rFonts w:ascii="Palatino Linotype" w:eastAsia="Times New Roman" w:hAnsi="Palatino Linotype" w:cs="Arial"/>
          <w:color w:val="000000" w:themeColor="text1"/>
          <w:lang w:val="es-ES"/>
        </w:rPr>
        <w:t>séis</w:t>
      </w:r>
      <w:r w:rsidR="00FD5C92" w:rsidRPr="00750135">
        <w:rPr>
          <w:rFonts w:ascii="Palatino Linotype" w:eastAsia="Times New Roman" w:hAnsi="Palatino Linotype" w:cs="Arial"/>
          <w:color w:val="000000" w:themeColor="text1"/>
          <w:lang w:val="es-ES"/>
        </w:rPr>
        <w:t xml:space="preserve"> </w:t>
      </w:r>
      <w:r w:rsidR="002D6CF5" w:rsidRPr="00750135">
        <w:rPr>
          <w:rFonts w:ascii="Palatino Linotype" w:eastAsia="Times New Roman" w:hAnsi="Palatino Linotype" w:cs="Arial"/>
          <w:color w:val="000000" w:themeColor="text1"/>
          <w:lang w:val="es-ES"/>
        </w:rPr>
        <w:t>(</w:t>
      </w:r>
      <w:r w:rsidR="0023775E" w:rsidRPr="00750135">
        <w:rPr>
          <w:rFonts w:ascii="Palatino Linotype" w:eastAsia="Times New Roman" w:hAnsi="Palatino Linotype" w:cs="Arial"/>
          <w:color w:val="000000" w:themeColor="text1"/>
          <w:lang w:val="es-ES"/>
        </w:rPr>
        <w:t>16</w:t>
      </w:r>
      <w:r w:rsidR="007A078A" w:rsidRPr="00750135">
        <w:rPr>
          <w:rFonts w:ascii="Palatino Linotype" w:eastAsia="Times New Roman" w:hAnsi="Palatino Linotype" w:cs="Arial"/>
          <w:color w:val="000000" w:themeColor="text1"/>
          <w:lang w:val="es-ES"/>
        </w:rPr>
        <w:t xml:space="preserve">) de </w:t>
      </w:r>
      <w:r w:rsidR="00FD5C92" w:rsidRPr="00750135">
        <w:rPr>
          <w:rFonts w:ascii="Palatino Linotype" w:eastAsia="Times New Roman" w:hAnsi="Palatino Linotype" w:cs="Arial"/>
          <w:color w:val="000000" w:themeColor="text1"/>
          <w:lang w:val="es-ES"/>
        </w:rPr>
        <w:t>mayo</w:t>
      </w:r>
      <w:r w:rsidR="00293711" w:rsidRPr="00750135">
        <w:rPr>
          <w:rFonts w:ascii="Palatino Linotype" w:eastAsia="Times New Roman" w:hAnsi="Palatino Linotype" w:cs="Arial"/>
          <w:color w:val="000000" w:themeColor="text1"/>
          <w:lang w:val="es-ES"/>
        </w:rPr>
        <w:t xml:space="preserve"> </w:t>
      </w:r>
      <w:r w:rsidR="00613655" w:rsidRPr="00750135">
        <w:rPr>
          <w:rFonts w:ascii="Palatino Linotype" w:eastAsia="Times New Roman" w:hAnsi="Palatino Linotype" w:cs="Arial"/>
          <w:color w:val="000000" w:themeColor="text1"/>
          <w:lang w:val="es-ES"/>
        </w:rPr>
        <w:t>de dos mil veinti</w:t>
      </w:r>
      <w:r w:rsidR="00751F6F" w:rsidRPr="00750135">
        <w:rPr>
          <w:rFonts w:ascii="Palatino Linotype" w:eastAsia="Times New Roman" w:hAnsi="Palatino Linotype" w:cs="Arial"/>
          <w:color w:val="000000" w:themeColor="text1"/>
          <w:lang w:val="es-ES"/>
        </w:rPr>
        <w:t>dós</w:t>
      </w:r>
      <w:r w:rsidR="00FE49E3" w:rsidRPr="00750135">
        <w:rPr>
          <w:rFonts w:ascii="Palatino Linotype" w:eastAsia="Times New Roman" w:hAnsi="Palatino Linotype" w:cs="Arial"/>
          <w:color w:val="000000" w:themeColor="text1"/>
          <w:lang w:val="es-ES"/>
        </w:rPr>
        <w:t xml:space="preserve">, </w:t>
      </w:r>
      <w:r w:rsidR="007A078A" w:rsidRPr="00750135">
        <w:rPr>
          <w:rFonts w:ascii="Palatino Linotype" w:eastAsia="Times New Roman" w:hAnsi="Palatino Linotype" w:cs="Arial"/>
          <w:color w:val="000000" w:themeColor="text1"/>
          <w:lang w:val="es-ES"/>
        </w:rPr>
        <w:t>la</w:t>
      </w:r>
      <w:r w:rsidR="005F1362" w:rsidRPr="00750135">
        <w:rPr>
          <w:rFonts w:ascii="Palatino Linotype" w:eastAsia="Times New Roman" w:hAnsi="Palatino Linotype" w:cs="Arial"/>
          <w:color w:val="000000" w:themeColor="text1"/>
          <w:lang w:val="es-ES"/>
        </w:rPr>
        <w:t xml:space="preserve"> particular</w:t>
      </w:r>
      <w:r w:rsidR="00DB4BEF" w:rsidRPr="00750135">
        <w:rPr>
          <w:rFonts w:ascii="Palatino Linotype" w:eastAsia="Times New Roman" w:hAnsi="Palatino Linotype" w:cs="Arial"/>
          <w:color w:val="000000" w:themeColor="text1"/>
          <w:lang w:val="es-ES"/>
        </w:rPr>
        <w:t xml:space="preserve"> interpuso</w:t>
      </w:r>
      <w:r w:rsidR="009316E9" w:rsidRPr="00750135">
        <w:rPr>
          <w:rFonts w:ascii="Palatino Linotype" w:eastAsia="Times New Roman" w:hAnsi="Palatino Linotype" w:cs="Arial"/>
          <w:color w:val="000000" w:themeColor="text1"/>
          <w:lang w:val="es-ES"/>
        </w:rPr>
        <w:t xml:space="preserve"> </w:t>
      </w:r>
      <w:r w:rsidR="00102D65" w:rsidRPr="00750135">
        <w:rPr>
          <w:rFonts w:ascii="Palatino Linotype" w:eastAsia="Times New Roman" w:hAnsi="Palatino Linotype" w:cs="Arial"/>
          <w:color w:val="000000" w:themeColor="text1"/>
          <w:lang w:val="es-ES"/>
        </w:rPr>
        <w:t>el</w:t>
      </w:r>
      <w:r w:rsidR="004D68F8" w:rsidRPr="00750135">
        <w:rPr>
          <w:rFonts w:ascii="Palatino Linotype" w:eastAsia="Times New Roman" w:hAnsi="Palatino Linotype" w:cs="Arial"/>
          <w:color w:val="000000" w:themeColor="text1"/>
          <w:lang w:val="es-ES"/>
        </w:rPr>
        <w:t xml:space="preserve"> recurso de revisión </w:t>
      </w:r>
      <w:r w:rsidR="00514A30" w:rsidRPr="00750135">
        <w:rPr>
          <w:rFonts w:ascii="Palatino Linotype" w:hAnsi="Palatino Linotype"/>
          <w:b/>
          <w:szCs w:val="22"/>
        </w:rPr>
        <w:t>07943/INFOEM/IP/RR/2022</w:t>
      </w:r>
      <w:r w:rsidR="009A0461" w:rsidRPr="00750135">
        <w:rPr>
          <w:rFonts w:ascii="Palatino Linotype" w:eastAsia="Calibri" w:hAnsi="Palatino Linotype" w:cs="Arial"/>
          <w:b/>
          <w:color w:val="000000" w:themeColor="text1"/>
          <w:lang w:val="es-ES"/>
        </w:rPr>
        <w:t>;</w:t>
      </w:r>
      <w:r w:rsidR="00102D65" w:rsidRPr="00750135">
        <w:rPr>
          <w:rFonts w:ascii="Palatino Linotype" w:eastAsia="Times New Roman" w:hAnsi="Palatino Linotype" w:cs="Arial"/>
          <w:color w:val="000000" w:themeColor="text1"/>
          <w:lang w:val="es-ES"/>
        </w:rPr>
        <w:t xml:space="preserve"> impugnación</w:t>
      </w:r>
      <w:r w:rsidR="004D68F8" w:rsidRPr="00750135">
        <w:rPr>
          <w:rFonts w:ascii="Palatino Linotype" w:eastAsia="Times New Roman" w:hAnsi="Palatino Linotype" w:cs="Arial"/>
          <w:color w:val="000000" w:themeColor="text1"/>
          <w:lang w:val="es-ES"/>
        </w:rPr>
        <w:t xml:space="preserve"> </w:t>
      </w:r>
      <w:r w:rsidR="00A45546" w:rsidRPr="00750135">
        <w:rPr>
          <w:rFonts w:ascii="Palatino Linotype" w:eastAsia="Times New Roman" w:hAnsi="Palatino Linotype" w:cs="Arial"/>
          <w:color w:val="000000" w:themeColor="text1"/>
          <w:lang w:val="es-ES"/>
        </w:rPr>
        <w:t xml:space="preserve">en </w:t>
      </w:r>
      <w:r w:rsidR="00977D37" w:rsidRPr="00750135">
        <w:rPr>
          <w:rFonts w:ascii="Palatino Linotype" w:eastAsia="Times New Roman" w:hAnsi="Palatino Linotype" w:cs="Arial"/>
          <w:color w:val="000000" w:themeColor="text1"/>
          <w:lang w:val="es-ES"/>
        </w:rPr>
        <w:t>la</w:t>
      </w:r>
      <w:r w:rsidR="00A45546" w:rsidRPr="00750135">
        <w:rPr>
          <w:rFonts w:ascii="Palatino Linotype" w:eastAsia="Times New Roman" w:hAnsi="Palatino Linotype" w:cs="Arial"/>
          <w:color w:val="000000" w:themeColor="text1"/>
          <w:lang w:val="es-ES"/>
        </w:rPr>
        <w:t xml:space="preserve"> que refirió </w:t>
      </w:r>
      <w:r w:rsidR="004D68F8" w:rsidRPr="00750135">
        <w:rPr>
          <w:rFonts w:ascii="Palatino Linotype" w:eastAsia="Times New Roman" w:hAnsi="Palatino Linotype" w:cs="Arial"/>
          <w:color w:val="000000" w:themeColor="text1"/>
          <w:lang w:val="es-ES"/>
        </w:rPr>
        <w:t>lo siguiente:</w:t>
      </w:r>
    </w:p>
    <w:p w14:paraId="054906C6" w14:textId="77777777" w:rsidR="00E34622" w:rsidRPr="00750135"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sz w:val="22"/>
          <w:szCs w:val="22"/>
        </w:rPr>
      </w:pPr>
    </w:p>
    <w:p w14:paraId="5D958B88" w14:textId="4B5945A6" w:rsidR="00E34622" w:rsidRPr="00750135" w:rsidRDefault="00E34622" w:rsidP="0023775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750135">
        <w:rPr>
          <w:rFonts w:ascii="Palatino Linotype" w:eastAsia="Times New Roman" w:hAnsi="Palatino Linotype" w:cs="Arial"/>
          <w:b/>
          <w:color w:val="000000" w:themeColor="text1"/>
          <w:sz w:val="22"/>
          <w:szCs w:val="22"/>
          <w:lang w:val="es-ES"/>
        </w:rPr>
        <w:t>Acto impugnado:</w:t>
      </w:r>
      <w:r w:rsidRPr="00750135">
        <w:rPr>
          <w:rFonts w:ascii="Palatino Linotype" w:eastAsia="Times New Roman" w:hAnsi="Palatino Linotype" w:cs="Arial"/>
          <w:color w:val="000000" w:themeColor="text1"/>
          <w:sz w:val="22"/>
          <w:szCs w:val="22"/>
          <w:lang w:val="es-ES"/>
        </w:rPr>
        <w:t xml:space="preserve"> “</w:t>
      </w:r>
      <w:r w:rsidR="0023775E" w:rsidRPr="00750135">
        <w:rPr>
          <w:rFonts w:ascii="Palatino Linotype" w:eastAsia="Times New Roman" w:hAnsi="Palatino Linotype" w:cs="Arial"/>
          <w:i/>
          <w:color w:val="000000" w:themeColor="text1"/>
          <w:sz w:val="22"/>
          <w:szCs w:val="22"/>
          <w:lang w:val="es-ES"/>
        </w:rPr>
        <w:t xml:space="preserve">Solicité al Ayuntamiento de Cuautitlán Izcalli que respondiera los siguientes cuestionamientos: 1. ¿Lleva a cabo el municipio acciones tendientes a la armonización contable? ¿cúales? 3. ¿Cuántos elementos de seguridad por cada 1000 habitantes tiene el municipio? 4. ¿Cuántos elementos son en total? 5. ¿Cuántos elementos se encuentran comisionados a labores distintas a la prevención del delito y seguridad pública? ¿Cuántos tienen función de escolta y cuantos estan comisionados al resguardo de instalaciones municipales? 6. ¿Cuentan los elementos de seguridad con el equipo básico </w:t>
      </w:r>
      <w:r w:rsidR="00B84B36">
        <w:rPr>
          <w:rFonts w:ascii="Palatino Linotype" w:eastAsia="Times New Roman" w:hAnsi="Palatino Linotype" w:cs="Arial"/>
          <w:i/>
          <w:color w:val="000000" w:themeColor="text1"/>
          <w:sz w:val="22"/>
          <w:szCs w:val="22"/>
          <w:lang w:val="es-ES"/>
        </w:rPr>
        <w:t xml:space="preserve">  </w:t>
      </w:r>
      <w:bookmarkStart w:id="3" w:name="_GoBack"/>
      <w:bookmarkEnd w:id="3"/>
      <w:r w:rsidR="0023775E" w:rsidRPr="00750135">
        <w:rPr>
          <w:rFonts w:ascii="Palatino Linotype" w:eastAsia="Times New Roman" w:hAnsi="Palatino Linotype" w:cs="Arial"/>
          <w:i/>
          <w:color w:val="000000" w:themeColor="text1"/>
          <w:sz w:val="22"/>
          <w:szCs w:val="22"/>
          <w:lang w:val="es-ES"/>
        </w:rPr>
        <w:t>y en qué consiste? 7. ¿El municipio está implementando el Servicio Profesional de Carrera Policial? 11. ¿El municipio ha gestionado la incorporación de sus elementos de seguridad a la licencia colectiva para la portación de armamento?</w:t>
      </w:r>
      <w:r w:rsidRPr="00750135">
        <w:rPr>
          <w:rFonts w:ascii="Palatino Linotype" w:eastAsia="Times New Roman" w:hAnsi="Palatino Linotype" w:cs="Arial"/>
          <w:i/>
          <w:color w:val="000000" w:themeColor="text1"/>
          <w:sz w:val="22"/>
          <w:szCs w:val="22"/>
          <w:lang w:val="es-ES"/>
        </w:rPr>
        <w:t>”</w:t>
      </w:r>
      <w:r w:rsidRPr="00750135">
        <w:rPr>
          <w:rFonts w:ascii="Palatino Linotype" w:eastAsia="Times New Roman" w:hAnsi="Palatino Linotype" w:cs="Arial"/>
          <w:color w:val="000000" w:themeColor="text1"/>
          <w:sz w:val="22"/>
          <w:szCs w:val="22"/>
          <w:lang w:val="es-ES"/>
        </w:rPr>
        <w:t xml:space="preserve"> (Sic).</w:t>
      </w:r>
    </w:p>
    <w:p w14:paraId="033BFDE8" w14:textId="6A1277BE" w:rsidR="00901BB1" w:rsidRPr="00750135" w:rsidRDefault="00901BB1" w:rsidP="0023775E">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sz w:val="22"/>
          <w:szCs w:val="22"/>
          <w:lang w:val="es-ES"/>
        </w:rPr>
      </w:pPr>
      <w:r w:rsidRPr="00750135">
        <w:rPr>
          <w:rFonts w:ascii="Palatino Linotype" w:eastAsia="Times New Roman" w:hAnsi="Palatino Linotype" w:cs="Arial"/>
          <w:b/>
          <w:color w:val="000000" w:themeColor="text1"/>
          <w:sz w:val="22"/>
          <w:szCs w:val="22"/>
          <w:lang w:val="es-ES"/>
        </w:rPr>
        <w:t>Motivos o razones de inconformidad:</w:t>
      </w:r>
      <w:r w:rsidRPr="00750135">
        <w:rPr>
          <w:rFonts w:ascii="Palatino Linotype" w:eastAsia="Times New Roman" w:hAnsi="Palatino Linotype" w:cs="Arial"/>
          <w:color w:val="000000" w:themeColor="text1"/>
          <w:sz w:val="22"/>
          <w:szCs w:val="22"/>
          <w:lang w:val="es-ES"/>
        </w:rPr>
        <w:t xml:space="preserve"> </w:t>
      </w:r>
      <w:r w:rsidRPr="00750135">
        <w:rPr>
          <w:rFonts w:ascii="Palatino Linotype" w:eastAsia="Times New Roman" w:hAnsi="Palatino Linotype" w:cs="Arial"/>
          <w:i/>
          <w:color w:val="000000" w:themeColor="text1"/>
          <w:sz w:val="22"/>
          <w:szCs w:val="22"/>
          <w:lang w:val="es-ES"/>
        </w:rPr>
        <w:t>“</w:t>
      </w:r>
      <w:r w:rsidR="0023775E" w:rsidRPr="00750135">
        <w:rPr>
          <w:rFonts w:ascii="Palatino Linotype" w:eastAsia="Times New Roman" w:hAnsi="Palatino Linotype" w:cs="Arial"/>
          <w:i/>
          <w:color w:val="000000" w:themeColor="text1"/>
          <w:sz w:val="22"/>
          <w:szCs w:val="22"/>
          <w:lang w:val="es-ES"/>
        </w:rPr>
        <w:t xml:space="preserve">La información solicitada en el numeral 3,4,5,6 y 11 no fue proporcionada por el hecho de que se consideró "información como reservada parcial"; El acuerdo número 042/CUAUTIZC/CT/CGSPT/2021 mediante el cual se clasifica como información como reservada parcialmente por el suscrito, mediante la solicitud de información pública con número de folio 00286/CUAUTIZC/IP/2022, en la que solicité: "3. ¿Cuántos elementos de seguridad por cada 1000 habitantes tiene el municipio?, 4. ¿Cuántos elementos son en total?, 5. ¿Cuántos elementos se encuentran </w:t>
      </w:r>
      <w:r w:rsidR="0023775E" w:rsidRPr="00750135">
        <w:rPr>
          <w:rFonts w:ascii="Palatino Linotype" w:eastAsia="Times New Roman" w:hAnsi="Palatino Linotype" w:cs="Arial"/>
          <w:i/>
          <w:color w:val="000000" w:themeColor="text1"/>
          <w:sz w:val="22"/>
          <w:szCs w:val="22"/>
          <w:lang w:val="es-ES"/>
        </w:rPr>
        <w:lastRenderedPageBreak/>
        <w:t>comisionados a labores distintas a la prevención del delito y seguridad pública? ¿Cuántos tienen función de escolta y cuantos están comisionados al resguardo de instalaciones municipales?, 6. ¿Cuentan los elementos de seguridad con el equipo básico y en qué consiste?, 7. ¿El municipio está implementando el Servicio Profesional de Carrera Policial?..." En mi carácter de gobernado y ciudadano mexicano, tengo el pleno derecho de solicitar y acceder a toda información pública ya que es un derecho humano que se encuentra consagrado en nuestra Constitución Política de los Estados Unidos Mexicanos, en su artículo 6, fracción III. La respuesta del acuerdo del Comité de Transparencia, con número 042/CUAUTIZC/CT/CGSPT/2021 supone un peligro a la integridad y a los derechos de los elementos de seguridad, así como el orden público, sin embargo, a pesar de que no esté obligado a justificar mi solicitud, bajo protesta de decir verdad manifiesto que la información solicitada no será utilizada para afectar de firma alguna al municipio, o alguno de los elementos de seguridad. Por otro lado, el numeral 1 y 11 del mismo cuestionario, no fueron respondidos, por lo tanto solicito que sean resueltos y se respete el derecho de acceso a la información pública.</w:t>
      </w:r>
      <w:r w:rsidR="007F089C" w:rsidRPr="00750135">
        <w:rPr>
          <w:rFonts w:ascii="Palatino Linotype" w:eastAsia="Times New Roman" w:hAnsi="Palatino Linotype" w:cs="Arial"/>
          <w:i/>
          <w:color w:val="000000" w:themeColor="text1"/>
          <w:sz w:val="22"/>
          <w:szCs w:val="22"/>
          <w:lang w:val="es-ES"/>
        </w:rPr>
        <w:t xml:space="preserve">". </w:t>
      </w:r>
      <w:r w:rsidR="005B0765" w:rsidRPr="00750135">
        <w:rPr>
          <w:rFonts w:ascii="Palatino Linotype" w:eastAsia="Times New Roman" w:hAnsi="Palatino Linotype" w:cs="Arial"/>
          <w:i/>
          <w:color w:val="000000" w:themeColor="text1"/>
          <w:sz w:val="22"/>
          <w:szCs w:val="22"/>
          <w:lang w:val="es-ES"/>
        </w:rPr>
        <w:t>(sic)</w:t>
      </w:r>
      <w:r w:rsidR="00E76251" w:rsidRPr="00750135">
        <w:rPr>
          <w:rFonts w:ascii="Palatino Linotype" w:eastAsia="Times New Roman" w:hAnsi="Palatino Linotype" w:cs="Arial"/>
          <w:color w:val="000000" w:themeColor="text1"/>
          <w:sz w:val="22"/>
          <w:szCs w:val="22"/>
          <w:lang w:val="es-ES"/>
        </w:rPr>
        <w:t xml:space="preserve"> </w:t>
      </w:r>
    </w:p>
    <w:p w14:paraId="3F6CFE6A" w14:textId="77777777" w:rsidR="0083380F" w:rsidRPr="00750135"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sz w:val="22"/>
          <w:szCs w:val="22"/>
          <w:lang w:val="es-ES"/>
        </w:rPr>
      </w:pPr>
    </w:p>
    <w:p w14:paraId="65CB77BE" w14:textId="2739AA78" w:rsidR="005F1362" w:rsidRPr="00750135"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50135">
        <w:rPr>
          <w:rFonts w:ascii="Palatino Linotype" w:eastAsia="Times New Roman" w:hAnsi="Palatino Linotype" w:cs="Arial"/>
          <w:color w:val="000000" w:themeColor="text1"/>
          <w:lang w:val="es-ES"/>
        </w:rPr>
        <w:t xml:space="preserve">Se registró el recurso de revisión bajo el número de expediente </w:t>
      </w:r>
      <w:r w:rsidR="004F785F" w:rsidRPr="00750135">
        <w:rPr>
          <w:rFonts w:ascii="Palatino Linotype" w:hAnsi="Palatino Linotype" w:cs="Arial"/>
          <w:bCs/>
          <w:color w:val="000000" w:themeColor="text1"/>
        </w:rPr>
        <w:t>al rubro indicado, asi</w:t>
      </w:r>
      <w:r w:rsidRPr="00750135">
        <w:rPr>
          <w:rFonts w:ascii="Palatino Linotype" w:hAnsi="Palatino Linotype" w:cs="Arial"/>
          <w:bCs/>
          <w:color w:val="000000" w:themeColor="text1"/>
        </w:rPr>
        <w:t xml:space="preserve">mismo, con fundamento en lo dispuesto por el </w:t>
      </w:r>
      <w:r w:rsidRPr="0075013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750135">
        <w:rPr>
          <w:rFonts w:ascii="Palatino Linotype" w:eastAsia="Times New Roman" w:hAnsi="Palatino Linotype" w:cs="Arial"/>
          <w:bCs/>
          <w:color w:val="000000" w:themeColor="text1"/>
          <w:lang w:val="es-ES"/>
        </w:rPr>
        <w:t xml:space="preserve">se turnó </w:t>
      </w:r>
      <w:r w:rsidR="0096234B" w:rsidRPr="00750135">
        <w:rPr>
          <w:rFonts w:ascii="Palatino Linotype" w:eastAsia="Times New Roman" w:hAnsi="Palatino Linotype" w:cs="Arial"/>
          <w:bCs/>
          <w:color w:val="000000" w:themeColor="text1"/>
          <w:lang w:val="es-ES"/>
        </w:rPr>
        <w:t xml:space="preserve">a la </w:t>
      </w:r>
      <w:r w:rsidR="0096234B" w:rsidRPr="00750135">
        <w:rPr>
          <w:rFonts w:ascii="Palatino Linotype" w:eastAsia="Times New Roman" w:hAnsi="Palatino Linotype" w:cs="Arial"/>
          <w:b/>
          <w:bCs/>
          <w:color w:val="000000" w:themeColor="text1"/>
          <w:lang w:val="es-ES"/>
        </w:rPr>
        <w:t xml:space="preserve">Comisionada </w:t>
      </w:r>
      <w:r w:rsidR="00D12402" w:rsidRPr="00750135">
        <w:rPr>
          <w:rFonts w:ascii="Palatino Linotype" w:eastAsia="Times New Roman" w:hAnsi="Palatino Linotype" w:cs="Arial"/>
          <w:b/>
          <w:bCs/>
          <w:color w:val="000000" w:themeColor="text1"/>
          <w:lang w:val="es-ES"/>
        </w:rPr>
        <w:t>María del Rosario Mejía Ayala</w:t>
      </w:r>
      <w:r w:rsidRPr="00750135">
        <w:rPr>
          <w:rFonts w:ascii="Palatino Linotype" w:eastAsia="Times New Roman" w:hAnsi="Palatino Linotype" w:cs="Arial"/>
          <w:bCs/>
          <w:color w:val="000000" w:themeColor="text1"/>
          <w:lang w:val="es-ES"/>
        </w:rPr>
        <w:t xml:space="preserve">, </w:t>
      </w:r>
      <w:r w:rsidR="000F6E72" w:rsidRPr="00750135">
        <w:rPr>
          <w:rFonts w:ascii="Palatino Linotype" w:eastAsia="Times New Roman" w:hAnsi="Palatino Linotype" w:cs="Arial"/>
          <w:bCs/>
          <w:color w:val="000000" w:themeColor="text1"/>
          <w:lang w:val="es-ES"/>
        </w:rPr>
        <w:t>para</w:t>
      </w:r>
      <w:r w:rsidRPr="00750135">
        <w:rPr>
          <w:rFonts w:ascii="Palatino Linotype" w:eastAsia="Times New Roman" w:hAnsi="Palatino Linotype" w:cs="Arial"/>
          <w:bCs/>
          <w:color w:val="000000" w:themeColor="text1"/>
          <w:lang w:val="es-ES"/>
        </w:rPr>
        <w:t xml:space="preserve"> </w:t>
      </w:r>
      <w:r w:rsidRPr="00750135">
        <w:rPr>
          <w:rFonts w:ascii="Palatino Linotype" w:eastAsia="Times New Roman" w:hAnsi="Palatino Linotype" w:cs="Arial"/>
          <w:bCs/>
          <w:color w:val="000000" w:themeColor="text1"/>
        </w:rPr>
        <w:t>su análisis.</w:t>
      </w:r>
    </w:p>
    <w:p w14:paraId="2BDE682E" w14:textId="77777777" w:rsidR="005F1362" w:rsidRPr="00750135"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3145FED" w:rsidR="007446C2" w:rsidRPr="00750135"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50135">
        <w:rPr>
          <w:rFonts w:ascii="Palatino Linotype" w:eastAsia="Times New Roman" w:hAnsi="Palatino Linotype" w:cs="Arial"/>
          <w:color w:val="000000" w:themeColor="text1"/>
          <w:lang w:val="es-ES"/>
        </w:rPr>
        <w:t>La</w:t>
      </w:r>
      <w:r w:rsidR="00E647FF" w:rsidRPr="00750135">
        <w:rPr>
          <w:rFonts w:ascii="Palatino Linotype" w:eastAsia="Times New Roman" w:hAnsi="Palatino Linotype" w:cs="Arial"/>
          <w:color w:val="000000" w:themeColor="text1"/>
          <w:lang w:val="es-ES"/>
        </w:rPr>
        <w:t xml:space="preserve"> </w:t>
      </w:r>
      <w:r w:rsidR="0004686A" w:rsidRPr="00750135">
        <w:rPr>
          <w:rFonts w:ascii="Palatino Linotype" w:eastAsia="Calibri" w:hAnsi="Palatino Linotype" w:cs="Arial"/>
          <w:color w:val="000000" w:themeColor="text1"/>
          <w:lang w:val="es-ES"/>
        </w:rPr>
        <w:t>Comisionad</w:t>
      </w:r>
      <w:r w:rsidRPr="00750135">
        <w:rPr>
          <w:rFonts w:ascii="Palatino Linotype" w:eastAsia="Calibri" w:hAnsi="Palatino Linotype" w:cs="Arial"/>
          <w:color w:val="000000" w:themeColor="text1"/>
          <w:lang w:val="es-ES"/>
        </w:rPr>
        <w:t>a</w:t>
      </w:r>
      <w:r w:rsidR="0004686A" w:rsidRPr="00750135">
        <w:rPr>
          <w:rFonts w:ascii="Palatino Linotype" w:eastAsia="Calibri" w:hAnsi="Palatino Linotype" w:cs="Arial"/>
          <w:color w:val="000000" w:themeColor="text1"/>
          <w:lang w:val="es-ES"/>
        </w:rPr>
        <w:t xml:space="preserve"> Ponente</w:t>
      </w:r>
      <w:r w:rsidR="006B31E7" w:rsidRPr="00750135">
        <w:rPr>
          <w:rFonts w:ascii="Palatino Linotype" w:eastAsia="Calibri" w:hAnsi="Palatino Linotype" w:cs="Arial"/>
          <w:color w:val="000000" w:themeColor="text1"/>
          <w:lang w:val="es-ES"/>
        </w:rPr>
        <w:t>,</w:t>
      </w:r>
      <w:r w:rsidR="0004686A" w:rsidRPr="00750135">
        <w:rPr>
          <w:rFonts w:ascii="Palatino Linotype" w:eastAsia="Calibri" w:hAnsi="Palatino Linotype" w:cs="Arial"/>
          <w:color w:val="000000" w:themeColor="text1"/>
          <w:lang w:val="es-ES"/>
        </w:rPr>
        <w:t xml:space="preserve"> con fundamento en lo dispuesto por el artículo 185 fracción II de la </w:t>
      </w:r>
      <w:r w:rsidR="00613655" w:rsidRPr="00750135">
        <w:rPr>
          <w:rFonts w:ascii="Palatino Linotype" w:eastAsia="Calibri" w:hAnsi="Palatino Linotype" w:cs="Arial"/>
          <w:color w:val="000000" w:themeColor="text1"/>
          <w:lang w:val="es-ES"/>
        </w:rPr>
        <w:t>Ley de Transparencia y Acceso a la Información Pública del Estado de México y Municipios</w:t>
      </w:r>
      <w:r w:rsidR="0004686A" w:rsidRPr="00750135">
        <w:rPr>
          <w:rFonts w:ascii="Palatino Linotype" w:eastAsia="Calibri" w:hAnsi="Palatino Linotype" w:cs="Arial"/>
          <w:color w:val="000000" w:themeColor="text1"/>
          <w:lang w:val="es-ES"/>
        </w:rPr>
        <w:t xml:space="preserve">, a través </w:t>
      </w:r>
      <w:r w:rsidR="006E4E2A" w:rsidRPr="00750135">
        <w:rPr>
          <w:rFonts w:ascii="Palatino Linotype" w:eastAsia="Calibri" w:hAnsi="Palatino Linotype" w:cs="Arial"/>
          <w:color w:val="000000" w:themeColor="text1"/>
          <w:lang w:val="es-ES"/>
        </w:rPr>
        <w:t>del</w:t>
      </w:r>
      <w:r w:rsidR="0004686A" w:rsidRPr="00750135">
        <w:rPr>
          <w:rFonts w:ascii="Palatino Linotype" w:eastAsia="Calibri" w:hAnsi="Palatino Linotype" w:cs="Arial"/>
          <w:color w:val="000000" w:themeColor="text1"/>
          <w:lang w:val="es-ES"/>
        </w:rPr>
        <w:t xml:space="preserve"> </w:t>
      </w:r>
      <w:r w:rsidR="00B81371" w:rsidRPr="00750135">
        <w:rPr>
          <w:rFonts w:ascii="Palatino Linotype" w:eastAsia="Calibri" w:hAnsi="Palatino Linotype" w:cs="Arial"/>
          <w:color w:val="000000" w:themeColor="text1"/>
          <w:lang w:val="es-ES"/>
        </w:rPr>
        <w:t xml:space="preserve">acuerdo </w:t>
      </w:r>
      <w:r w:rsidR="00F147C6" w:rsidRPr="00750135">
        <w:rPr>
          <w:rFonts w:ascii="Palatino Linotype" w:eastAsia="Calibri" w:hAnsi="Palatino Linotype" w:cs="Arial"/>
          <w:color w:val="000000" w:themeColor="text1"/>
          <w:lang w:val="es-ES"/>
        </w:rPr>
        <w:t xml:space="preserve">de admisión </w:t>
      </w:r>
      <w:r w:rsidR="00091F3E" w:rsidRPr="00750135">
        <w:rPr>
          <w:rFonts w:ascii="Palatino Linotype" w:eastAsia="Calibri" w:hAnsi="Palatino Linotype" w:cs="Arial"/>
          <w:color w:val="000000" w:themeColor="text1"/>
          <w:lang w:val="es-ES"/>
        </w:rPr>
        <w:t>de</w:t>
      </w:r>
      <w:r w:rsidR="00395353" w:rsidRPr="00750135">
        <w:rPr>
          <w:rFonts w:ascii="Palatino Linotype" w:eastAsia="Calibri" w:hAnsi="Palatino Linotype" w:cs="Arial"/>
          <w:color w:val="000000" w:themeColor="text1"/>
          <w:lang w:val="es-ES"/>
        </w:rPr>
        <w:t xml:space="preserve"> fecha </w:t>
      </w:r>
      <w:r w:rsidR="00BF7E59" w:rsidRPr="00750135">
        <w:rPr>
          <w:rFonts w:ascii="Palatino Linotype" w:eastAsia="Calibri" w:hAnsi="Palatino Linotype" w:cs="Arial"/>
          <w:color w:val="000000" w:themeColor="text1"/>
          <w:lang w:val="es-ES"/>
        </w:rPr>
        <w:t>veint</w:t>
      </w:r>
      <w:r w:rsidR="0023775E" w:rsidRPr="00750135">
        <w:rPr>
          <w:rFonts w:ascii="Palatino Linotype" w:eastAsia="Calibri" w:hAnsi="Palatino Linotype" w:cs="Arial"/>
          <w:color w:val="000000" w:themeColor="text1"/>
          <w:lang w:val="es-ES"/>
        </w:rPr>
        <w:t>e</w:t>
      </w:r>
      <w:r w:rsidR="00BD6C40" w:rsidRPr="00750135">
        <w:rPr>
          <w:rFonts w:ascii="Palatino Linotype" w:eastAsia="Calibri" w:hAnsi="Palatino Linotype" w:cs="Arial"/>
          <w:color w:val="000000" w:themeColor="text1"/>
          <w:lang w:val="es-ES"/>
        </w:rPr>
        <w:t xml:space="preserve"> (</w:t>
      </w:r>
      <w:r w:rsidR="0023775E" w:rsidRPr="00750135">
        <w:rPr>
          <w:rFonts w:ascii="Palatino Linotype" w:eastAsia="Calibri" w:hAnsi="Palatino Linotype" w:cs="Arial"/>
          <w:color w:val="000000" w:themeColor="text1"/>
          <w:lang w:val="es-ES"/>
        </w:rPr>
        <w:t>20</w:t>
      </w:r>
      <w:r w:rsidR="00BD6C40" w:rsidRPr="00750135">
        <w:rPr>
          <w:rFonts w:ascii="Palatino Linotype" w:eastAsia="Calibri" w:hAnsi="Palatino Linotype" w:cs="Arial"/>
          <w:color w:val="000000" w:themeColor="text1"/>
          <w:lang w:val="es-ES"/>
        </w:rPr>
        <w:t xml:space="preserve">) de </w:t>
      </w:r>
      <w:r w:rsidR="00FB63DD" w:rsidRPr="00750135">
        <w:rPr>
          <w:rFonts w:ascii="Palatino Linotype" w:eastAsia="Calibri" w:hAnsi="Palatino Linotype" w:cs="Arial"/>
          <w:color w:val="000000" w:themeColor="text1"/>
          <w:lang w:val="es-ES"/>
        </w:rPr>
        <w:t>mayo</w:t>
      </w:r>
      <w:r w:rsidR="00613655" w:rsidRPr="00750135">
        <w:rPr>
          <w:rFonts w:ascii="Palatino Linotype" w:eastAsia="Calibri" w:hAnsi="Palatino Linotype" w:cs="Arial"/>
          <w:color w:val="000000" w:themeColor="text1"/>
          <w:lang w:val="es-ES"/>
        </w:rPr>
        <w:t xml:space="preserve"> de dos mil veinti</w:t>
      </w:r>
      <w:r w:rsidR="00751F6F" w:rsidRPr="00750135">
        <w:rPr>
          <w:rFonts w:ascii="Palatino Linotype" w:eastAsia="Calibri" w:hAnsi="Palatino Linotype" w:cs="Arial"/>
          <w:color w:val="000000" w:themeColor="text1"/>
          <w:lang w:val="es-ES"/>
        </w:rPr>
        <w:t>dós</w:t>
      </w:r>
      <w:r w:rsidR="006A1047" w:rsidRPr="00750135">
        <w:rPr>
          <w:rFonts w:ascii="Palatino Linotype" w:eastAsia="Calibri" w:hAnsi="Palatino Linotype" w:cs="Arial"/>
          <w:color w:val="000000" w:themeColor="text1"/>
          <w:lang w:val="es-ES"/>
        </w:rPr>
        <w:t xml:space="preserve">, </w:t>
      </w:r>
      <w:r w:rsidR="00B81371" w:rsidRPr="00750135">
        <w:rPr>
          <w:rFonts w:ascii="Palatino Linotype" w:eastAsia="Calibri" w:hAnsi="Palatino Linotype" w:cs="Arial"/>
          <w:color w:val="000000" w:themeColor="text1"/>
          <w:lang w:val="es-ES"/>
        </w:rPr>
        <w:t xml:space="preserve">puso a </w:t>
      </w:r>
      <w:r w:rsidR="00875167" w:rsidRPr="00750135">
        <w:rPr>
          <w:rFonts w:ascii="Palatino Linotype" w:eastAsia="Calibri" w:hAnsi="Palatino Linotype" w:cs="Arial"/>
          <w:color w:val="000000" w:themeColor="text1"/>
          <w:lang w:val="es-ES"/>
        </w:rPr>
        <w:t>disposición</w:t>
      </w:r>
      <w:r w:rsidR="00B81371" w:rsidRPr="00750135">
        <w:rPr>
          <w:rFonts w:ascii="Palatino Linotype" w:eastAsia="Calibri" w:hAnsi="Palatino Linotype" w:cs="Arial"/>
          <w:color w:val="000000" w:themeColor="text1"/>
          <w:lang w:val="es-ES"/>
        </w:rPr>
        <w:t xml:space="preserve"> de las partes el expediente electrónico </w:t>
      </w:r>
      <w:r w:rsidR="00B81371" w:rsidRPr="00750135">
        <w:rPr>
          <w:rFonts w:ascii="Palatino Linotype" w:eastAsia="Calibri" w:hAnsi="Palatino Linotype" w:cs="Arial"/>
          <w:color w:val="000000" w:themeColor="text1"/>
        </w:rPr>
        <w:t xml:space="preserve">vía </w:t>
      </w:r>
      <w:r w:rsidR="00B81371" w:rsidRPr="00750135">
        <w:rPr>
          <w:rFonts w:ascii="Palatino Linotype" w:eastAsia="Calibri" w:hAnsi="Palatino Linotype" w:cs="Arial"/>
          <w:color w:val="000000" w:themeColor="text1"/>
          <w:lang w:val="es-ES"/>
        </w:rPr>
        <w:t xml:space="preserve">Sistema de Acceso a la Información Mexiquense </w:t>
      </w:r>
      <w:r w:rsidR="001468E9" w:rsidRPr="00750135">
        <w:rPr>
          <w:rFonts w:ascii="Palatino Linotype" w:eastAsia="Calibri" w:hAnsi="Palatino Linotype" w:cs="Arial"/>
          <w:color w:val="000000" w:themeColor="text1"/>
          <w:lang w:val="es-ES"/>
        </w:rPr>
        <w:t>(</w:t>
      </w:r>
      <w:r w:rsidR="00B81371" w:rsidRPr="00750135">
        <w:rPr>
          <w:rFonts w:ascii="Palatino Linotype" w:eastAsia="Calibri" w:hAnsi="Palatino Linotype" w:cs="Arial"/>
          <w:b/>
          <w:i/>
          <w:color w:val="000000" w:themeColor="text1"/>
          <w:lang w:val="es-ES"/>
        </w:rPr>
        <w:t>SAIMEX</w:t>
      </w:r>
      <w:r w:rsidR="001468E9" w:rsidRPr="00750135">
        <w:rPr>
          <w:rFonts w:ascii="Palatino Linotype" w:eastAsia="Calibri" w:hAnsi="Palatino Linotype" w:cs="Arial"/>
          <w:b/>
          <w:i/>
          <w:color w:val="000000" w:themeColor="text1"/>
          <w:lang w:val="es-ES"/>
        </w:rPr>
        <w:t>)</w:t>
      </w:r>
      <w:r w:rsidR="00B81371" w:rsidRPr="00750135">
        <w:rPr>
          <w:rFonts w:ascii="Palatino Linotype" w:eastAsia="Calibri" w:hAnsi="Palatino Linotype" w:cs="Arial"/>
          <w:b/>
          <w:color w:val="000000" w:themeColor="text1"/>
          <w:lang w:val="es-ES"/>
        </w:rPr>
        <w:t xml:space="preserve"> </w:t>
      </w:r>
      <w:r w:rsidR="00B81371" w:rsidRPr="00750135">
        <w:rPr>
          <w:rFonts w:ascii="Palatino Linotype" w:eastAsia="Calibri" w:hAnsi="Palatino Linotype" w:cs="Arial"/>
          <w:color w:val="000000" w:themeColor="text1"/>
          <w:lang w:val="es-ES"/>
        </w:rPr>
        <w:t xml:space="preserve">a efecto de que en un </w:t>
      </w:r>
      <w:r w:rsidR="00B81371" w:rsidRPr="00750135">
        <w:rPr>
          <w:rFonts w:ascii="Palatino Linotype" w:eastAsia="Calibri" w:hAnsi="Palatino Linotype" w:cs="Arial"/>
          <w:color w:val="000000" w:themeColor="text1"/>
          <w:lang w:val="es-ES"/>
        </w:rPr>
        <w:lastRenderedPageBreak/>
        <w:t xml:space="preserve">plazo máximo de siete días </w:t>
      </w:r>
      <w:r w:rsidR="00875167" w:rsidRPr="00750135">
        <w:rPr>
          <w:rFonts w:ascii="Palatino Linotype" w:eastAsia="Calibri" w:hAnsi="Palatino Linotype" w:cs="Arial"/>
          <w:color w:val="000000" w:themeColor="text1"/>
          <w:lang w:val="es-ES"/>
        </w:rPr>
        <w:t>manifestaran</w:t>
      </w:r>
      <w:r w:rsidR="00B81371" w:rsidRPr="00750135">
        <w:rPr>
          <w:rFonts w:ascii="Palatino Linotype" w:eastAsia="Calibri" w:hAnsi="Palatino Linotype" w:cs="Arial"/>
          <w:color w:val="000000" w:themeColor="text1"/>
          <w:lang w:val="es-ES"/>
        </w:rPr>
        <w:t xml:space="preserve"> lo que a</w:t>
      </w:r>
      <w:r w:rsidR="003A2029" w:rsidRPr="00750135">
        <w:rPr>
          <w:rFonts w:ascii="Palatino Linotype" w:eastAsia="Calibri" w:hAnsi="Palatino Linotype" w:cs="Arial"/>
          <w:color w:val="000000" w:themeColor="text1"/>
          <w:lang w:val="es-ES"/>
        </w:rPr>
        <w:t xml:space="preserve"> su</w:t>
      </w:r>
      <w:r w:rsidR="00B81371" w:rsidRPr="00750135">
        <w:rPr>
          <w:rFonts w:ascii="Palatino Linotype" w:eastAsia="Calibri" w:hAnsi="Palatino Linotype" w:cs="Arial"/>
          <w:color w:val="000000" w:themeColor="text1"/>
          <w:lang w:val="es-ES"/>
        </w:rPr>
        <w:t xml:space="preserve"> derecho conviniera</w:t>
      </w:r>
      <w:r w:rsidR="00875167" w:rsidRPr="00750135">
        <w:rPr>
          <w:rFonts w:ascii="Palatino Linotype" w:eastAsia="Calibri" w:hAnsi="Palatino Linotype" w:cs="Arial"/>
          <w:color w:val="000000" w:themeColor="text1"/>
          <w:lang w:val="es-ES"/>
        </w:rPr>
        <w:t>n</w:t>
      </w:r>
      <w:r w:rsidR="00032493" w:rsidRPr="00750135">
        <w:rPr>
          <w:rFonts w:ascii="Palatino Linotype" w:eastAsia="Calibri" w:hAnsi="Palatino Linotype" w:cs="Arial"/>
          <w:color w:val="000000" w:themeColor="text1"/>
          <w:lang w:val="es-ES"/>
        </w:rPr>
        <w:t>,</w:t>
      </w:r>
      <w:r w:rsidR="00B81371" w:rsidRPr="00750135">
        <w:rPr>
          <w:rFonts w:ascii="Palatino Linotype" w:eastAsia="Calibri" w:hAnsi="Palatino Linotype" w:cs="Arial"/>
          <w:color w:val="000000" w:themeColor="text1"/>
          <w:lang w:val="es-ES"/>
        </w:rPr>
        <w:t xml:space="preserve"> </w:t>
      </w:r>
      <w:r w:rsidR="00875167" w:rsidRPr="00750135">
        <w:rPr>
          <w:rFonts w:ascii="Palatino Linotype" w:eastAsia="Calibri" w:hAnsi="Palatino Linotype" w:cs="Arial"/>
          <w:color w:val="000000" w:themeColor="text1"/>
          <w:lang w:val="es-ES"/>
        </w:rPr>
        <w:t>ofrecieran pruebas y</w:t>
      </w:r>
      <w:r w:rsidR="00132C06" w:rsidRPr="00750135">
        <w:rPr>
          <w:rFonts w:ascii="Palatino Linotype" w:eastAsia="Calibri" w:hAnsi="Palatino Linotype" w:cs="Arial"/>
          <w:color w:val="000000" w:themeColor="text1"/>
          <w:lang w:val="es-ES"/>
        </w:rPr>
        <w:t xml:space="preserve"> </w:t>
      </w:r>
      <w:r w:rsidR="00875167" w:rsidRPr="00750135">
        <w:rPr>
          <w:rFonts w:ascii="Palatino Linotype" w:eastAsia="Calibri" w:hAnsi="Palatino Linotype" w:cs="Arial"/>
          <w:color w:val="000000" w:themeColor="text1"/>
          <w:lang w:val="es-ES"/>
        </w:rPr>
        <w:t>alegatos según corresponda a</w:t>
      </w:r>
      <w:r w:rsidR="004C20F2" w:rsidRPr="00750135">
        <w:rPr>
          <w:rFonts w:ascii="Palatino Linotype" w:eastAsia="Calibri" w:hAnsi="Palatino Linotype" w:cs="Arial"/>
          <w:color w:val="000000" w:themeColor="text1"/>
          <w:lang w:val="es-ES"/>
        </w:rPr>
        <w:t xml:space="preserve"> </w:t>
      </w:r>
      <w:r w:rsidR="00875167" w:rsidRPr="00750135">
        <w:rPr>
          <w:rFonts w:ascii="Palatino Linotype" w:eastAsia="Calibri" w:hAnsi="Palatino Linotype" w:cs="Arial"/>
          <w:color w:val="000000" w:themeColor="text1"/>
          <w:lang w:val="es-ES"/>
        </w:rPr>
        <w:t>l</w:t>
      </w:r>
      <w:r w:rsidR="004C20F2" w:rsidRPr="00750135">
        <w:rPr>
          <w:rFonts w:ascii="Palatino Linotype" w:eastAsia="Calibri" w:hAnsi="Palatino Linotype" w:cs="Arial"/>
          <w:color w:val="000000" w:themeColor="text1"/>
          <w:lang w:val="es-ES"/>
        </w:rPr>
        <w:t>os</w:t>
      </w:r>
      <w:r w:rsidR="00875167" w:rsidRPr="00750135">
        <w:rPr>
          <w:rFonts w:ascii="Palatino Linotype" w:eastAsia="Calibri" w:hAnsi="Palatino Linotype" w:cs="Arial"/>
          <w:color w:val="000000" w:themeColor="text1"/>
          <w:lang w:val="es-ES"/>
        </w:rPr>
        <w:t xml:space="preserve"> caso</w:t>
      </w:r>
      <w:r w:rsidR="004C20F2" w:rsidRPr="00750135">
        <w:rPr>
          <w:rFonts w:ascii="Palatino Linotype" w:eastAsia="Calibri" w:hAnsi="Palatino Linotype" w:cs="Arial"/>
          <w:color w:val="000000" w:themeColor="text1"/>
          <w:lang w:val="es-ES"/>
        </w:rPr>
        <w:t>s</w:t>
      </w:r>
      <w:r w:rsidR="00875167" w:rsidRPr="00750135">
        <w:rPr>
          <w:rFonts w:ascii="Palatino Linotype" w:eastAsia="Calibri" w:hAnsi="Palatino Linotype" w:cs="Arial"/>
          <w:color w:val="000000" w:themeColor="text1"/>
          <w:lang w:val="es-ES"/>
        </w:rPr>
        <w:t xml:space="preserve"> concreto</w:t>
      </w:r>
      <w:r w:rsidR="004C20F2" w:rsidRPr="00750135">
        <w:rPr>
          <w:rFonts w:ascii="Palatino Linotype" w:eastAsia="Calibri" w:hAnsi="Palatino Linotype" w:cs="Arial"/>
          <w:color w:val="000000" w:themeColor="text1"/>
          <w:lang w:val="es-ES"/>
        </w:rPr>
        <w:t>s</w:t>
      </w:r>
      <w:r w:rsidR="00875167" w:rsidRPr="00750135">
        <w:rPr>
          <w:rFonts w:ascii="Palatino Linotype" w:eastAsia="Calibri" w:hAnsi="Palatino Linotype" w:cs="Arial"/>
          <w:color w:val="000000" w:themeColor="text1"/>
          <w:lang w:val="es-ES"/>
        </w:rPr>
        <w:t xml:space="preserve">, </w:t>
      </w:r>
      <w:r w:rsidR="00F147C6" w:rsidRPr="00750135">
        <w:rPr>
          <w:rFonts w:ascii="Palatino Linotype" w:eastAsia="Calibri" w:hAnsi="Palatino Linotype" w:cs="Arial"/>
          <w:color w:val="000000" w:themeColor="text1"/>
          <w:lang w:val="es-ES"/>
        </w:rPr>
        <w:t>de esta forma</w:t>
      </w:r>
      <w:r w:rsidR="00875167" w:rsidRPr="00750135">
        <w:rPr>
          <w:rFonts w:ascii="Palatino Linotype" w:eastAsia="Calibri" w:hAnsi="Palatino Linotype" w:cs="Arial"/>
          <w:color w:val="000000" w:themeColor="text1"/>
          <w:lang w:val="es-ES"/>
        </w:rPr>
        <w:t xml:space="preserve"> para que el </w:t>
      </w:r>
      <w:r w:rsidR="00875167" w:rsidRPr="00750135">
        <w:rPr>
          <w:rFonts w:ascii="Palatino Linotype" w:eastAsia="Calibri" w:hAnsi="Palatino Linotype" w:cs="Arial"/>
          <w:b/>
          <w:color w:val="000000" w:themeColor="text1"/>
          <w:lang w:val="es-ES"/>
        </w:rPr>
        <w:t>SUJETO OBLIGADO</w:t>
      </w:r>
      <w:r w:rsidR="00875167" w:rsidRPr="00750135">
        <w:rPr>
          <w:rFonts w:ascii="Palatino Linotype" w:eastAsia="Calibri" w:hAnsi="Palatino Linotype" w:cs="Arial"/>
          <w:color w:val="000000" w:themeColor="text1"/>
          <w:lang w:val="es-ES"/>
        </w:rPr>
        <w:t xml:space="preserve"> </w:t>
      </w:r>
      <w:r w:rsidR="00B81371" w:rsidRPr="00750135">
        <w:rPr>
          <w:rFonts w:ascii="Palatino Linotype" w:eastAsia="Calibri" w:hAnsi="Palatino Linotype" w:cs="Arial"/>
          <w:color w:val="000000" w:themeColor="text1"/>
          <w:lang w:val="es-ES"/>
        </w:rPr>
        <w:t>presentar</w:t>
      </w:r>
      <w:r w:rsidR="003A03D0" w:rsidRPr="00750135">
        <w:rPr>
          <w:rFonts w:ascii="Palatino Linotype" w:eastAsia="Calibri" w:hAnsi="Palatino Linotype" w:cs="Arial"/>
          <w:color w:val="000000" w:themeColor="text1"/>
          <w:lang w:val="es-ES"/>
        </w:rPr>
        <w:t>a</w:t>
      </w:r>
      <w:r w:rsidR="00B81371" w:rsidRPr="00750135">
        <w:rPr>
          <w:rFonts w:ascii="Palatino Linotype" w:eastAsia="Calibri" w:hAnsi="Palatino Linotype" w:cs="Arial"/>
          <w:color w:val="000000" w:themeColor="text1"/>
          <w:lang w:val="es-ES"/>
        </w:rPr>
        <w:t xml:space="preserve"> el </w:t>
      </w:r>
      <w:r w:rsidR="00556F72" w:rsidRPr="00750135">
        <w:rPr>
          <w:rFonts w:ascii="Palatino Linotype" w:eastAsia="Calibri" w:hAnsi="Palatino Linotype" w:cs="Arial"/>
          <w:color w:val="000000" w:themeColor="text1"/>
          <w:lang w:val="es-ES"/>
        </w:rPr>
        <w:t xml:space="preserve">informe justificado </w:t>
      </w:r>
      <w:r w:rsidR="00875167" w:rsidRPr="00750135">
        <w:rPr>
          <w:rFonts w:ascii="Palatino Linotype" w:eastAsia="Calibri" w:hAnsi="Palatino Linotype" w:cs="Arial"/>
          <w:color w:val="000000" w:themeColor="text1"/>
          <w:lang w:val="es-ES"/>
        </w:rPr>
        <w:t>procedente</w:t>
      </w:r>
      <w:r w:rsidR="00787184" w:rsidRPr="00750135">
        <w:rPr>
          <w:rFonts w:ascii="Palatino Linotype" w:eastAsia="Calibri" w:hAnsi="Palatino Linotype" w:cs="Arial"/>
          <w:color w:val="000000" w:themeColor="text1"/>
          <w:lang w:val="es-ES"/>
        </w:rPr>
        <w:t>.</w:t>
      </w:r>
    </w:p>
    <w:p w14:paraId="67D7209A" w14:textId="77777777" w:rsidR="001B32B2" w:rsidRPr="00750135" w:rsidRDefault="001B32B2" w:rsidP="001B32B2">
      <w:pPr>
        <w:pStyle w:val="Prrafodelista"/>
        <w:rPr>
          <w:rFonts w:ascii="Palatino Linotype" w:eastAsia="Calibri" w:hAnsi="Palatino Linotype" w:cs="Arial"/>
          <w:color w:val="000000" w:themeColor="text1"/>
          <w:lang w:val="es-ES"/>
        </w:rPr>
      </w:pPr>
    </w:p>
    <w:p w14:paraId="3A2D2DDE" w14:textId="77777777" w:rsidR="00BF7E59" w:rsidRPr="00750135" w:rsidRDefault="00BF7E59" w:rsidP="00BF7E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C6BA896" w14:textId="77777777" w:rsidR="0023775E" w:rsidRPr="00750135" w:rsidRDefault="00BF7E59" w:rsidP="0023775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50135">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23775E" w:rsidRPr="00750135">
        <w:rPr>
          <w:rFonts w:ascii="Palatino Linotype" w:eastAsia="Calibri" w:hAnsi="Palatino Linotype" w:cs="Arial"/>
          <w:color w:val="000000" w:themeColor="text1"/>
          <w:lang w:val="es-ES"/>
        </w:rPr>
        <w:t xml:space="preserve">rindió informe justificado el treinta y uno (31) de mayo de dos mil veintidós a través del documento electrónico denominado </w:t>
      </w:r>
      <w:r w:rsidR="0023775E" w:rsidRPr="00750135">
        <w:rPr>
          <w:rFonts w:ascii="Palatino Linotype" w:eastAsia="Calibri" w:hAnsi="Palatino Linotype" w:cs="Arial"/>
          <w:b/>
          <w:color w:val="000000" w:themeColor="text1"/>
          <w:lang w:val="es-ES"/>
        </w:rPr>
        <w:t>286-7943 INFORME JUSTIFICADO.pdf,</w:t>
      </w:r>
      <w:r w:rsidR="0023775E" w:rsidRPr="00750135">
        <w:rPr>
          <w:rFonts w:ascii="Palatino Linotype" w:eastAsia="Calibri" w:hAnsi="Palatino Linotype" w:cs="Arial"/>
          <w:color w:val="000000" w:themeColor="text1"/>
          <w:lang w:val="es-ES"/>
        </w:rPr>
        <w:t xml:space="preserve"> el cual se puso a la vista del particular el veintiséis (26) de septiembre de dos mil veintidós; sin embargo, se procede a describir su contenido medular, siendo el siguiente:</w:t>
      </w:r>
    </w:p>
    <w:p w14:paraId="24E91694" w14:textId="77777777" w:rsidR="0023775E" w:rsidRPr="00750135" w:rsidRDefault="0023775E" w:rsidP="0023775E">
      <w:pPr>
        <w:tabs>
          <w:tab w:val="left" w:pos="426"/>
        </w:tabs>
        <w:spacing w:line="360" w:lineRule="auto"/>
        <w:jc w:val="both"/>
        <w:rPr>
          <w:rFonts w:ascii="Palatino Linotype" w:eastAsia="Calibri" w:hAnsi="Palatino Linotype" w:cs="Arial"/>
          <w:color w:val="000000" w:themeColor="text1"/>
          <w:lang w:val="es-ES"/>
        </w:rPr>
      </w:pPr>
    </w:p>
    <w:p w14:paraId="14DE0612" w14:textId="041B9DBD" w:rsidR="00BF7E59" w:rsidRPr="00750135" w:rsidRDefault="0023775E" w:rsidP="007B6CF2">
      <w:pPr>
        <w:pStyle w:val="Prrafodelista"/>
        <w:numPr>
          <w:ilvl w:val="0"/>
          <w:numId w:val="20"/>
        </w:numPr>
        <w:tabs>
          <w:tab w:val="left" w:pos="426"/>
        </w:tabs>
        <w:spacing w:line="360" w:lineRule="auto"/>
        <w:ind w:left="567"/>
        <w:jc w:val="both"/>
        <w:rPr>
          <w:rFonts w:ascii="Palatino Linotype" w:eastAsia="Calibri" w:hAnsi="Palatino Linotype" w:cs="Arial"/>
          <w:color w:val="000000" w:themeColor="text1"/>
          <w:sz w:val="22"/>
          <w:lang w:val="es-ES"/>
        </w:rPr>
      </w:pPr>
      <w:r w:rsidRPr="00750135">
        <w:rPr>
          <w:rFonts w:ascii="Palatino Linotype" w:eastAsia="Calibri" w:hAnsi="Palatino Linotype" w:cs="Arial"/>
          <w:b/>
          <w:color w:val="000000" w:themeColor="text1"/>
          <w:sz w:val="22"/>
          <w:lang w:val="es-ES"/>
        </w:rPr>
        <w:t xml:space="preserve">286-7943 INFORME JUSTIFICADO.pdf: </w:t>
      </w:r>
      <w:r w:rsidRPr="00750135">
        <w:rPr>
          <w:rFonts w:ascii="Palatino Linotype" w:eastAsia="Calibri" w:hAnsi="Palatino Linotype" w:cs="Arial"/>
          <w:color w:val="000000" w:themeColor="text1"/>
          <w:sz w:val="22"/>
          <w:lang w:val="es-ES"/>
        </w:rPr>
        <w:t>Documento mediante el cual se ratifica su respuesta inicial, en el entendido de la clasificación de la información como reservada. Asimismo refiere lo siguiente:</w:t>
      </w:r>
    </w:p>
    <w:p w14:paraId="327F0CF7" w14:textId="76CE5991" w:rsidR="0023775E" w:rsidRPr="00750135" w:rsidRDefault="0023775E" w:rsidP="007B6CF2">
      <w:pPr>
        <w:pStyle w:val="Prrafodelista"/>
        <w:numPr>
          <w:ilvl w:val="0"/>
          <w:numId w:val="21"/>
        </w:numPr>
        <w:tabs>
          <w:tab w:val="left" w:pos="426"/>
        </w:tabs>
        <w:spacing w:line="360" w:lineRule="auto"/>
        <w:ind w:left="1276"/>
        <w:jc w:val="both"/>
        <w:rPr>
          <w:rFonts w:ascii="Palatino Linotype" w:eastAsia="Calibri" w:hAnsi="Palatino Linotype" w:cs="Arial"/>
          <w:color w:val="000000" w:themeColor="text1"/>
          <w:sz w:val="22"/>
          <w:lang w:val="es-ES"/>
        </w:rPr>
      </w:pPr>
      <w:r w:rsidRPr="00750135">
        <w:rPr>
          <w:rFonts w:ascii="Palatino Linotype" w:eastAsia="Calibri" w:hAnsi="Palatino Linotype" w:cs="Arial"/>
          <w:b/>
          <w:color w:val="000000" w:themeColor="text1"/>
          <w:sz w:val="22"/>
          <w:lang w:val="es-ES"/>
        </w:rPr>
        <w:t>Los elementos de seguridad cuentan con equipo básico;</w:t>
      </w:r>
    </w:p>
    <w:p w14:paraId="654F181E" w14:textId="04A8391E" w:rsidR="0023775E" w:rsidRPr="00750135" w:rsidRDefault="0023775E" w:rsidP="007B6CF2">
      <w:pPr>
        <w:pStyle w:val="Prrafodelista"/>
        <w:numPr>
          <w:ilvl w:val="0"/>
          <w:numId w:val="21"/>
        </w:numPr>
        <w:tabs>
          <w:tab w:val="left" w:pos="426"/>
        </w:tabs>
        <w:spacing w:line="360" w:lineRule="auto"/>
        <w:ind w:left="1276"/>
        <w:jc w:val="both"/>
        <w:rPr>
          <w:rFonts w:ascii="Palatino Linotype" w:eastAsia="Calibri" w:hAnsi="Palatino Linotype" w:cs="Arial"/>
          <w:color w:val="000000" w:themeColor="text1"/>
          <w:sz w:val="22"/>
          <w:lang w:val="es-ES"/>
        </w:rPr>
      </w:pPr>
      <w:r w:rsidRPr="00750135">
        <w:rPr>
          <w:rFonts w:ascii="Palatino Linotype" w:eastAsia="Calibri" w:hAnsi="Palatino Linotype" w:cs="Arial"/>
          <w:color w:val="000000" w:themeColor="text1"/>
          <w:sz w:val="22"/>
          <w:lang w:val="es-ES"/>
        </w:rPr>
        <w:t>Se realiza la gestión para la incorporación de los elementos a la licencia colectiva para la portación de arma de fuego;</w:t>
      </w:r>
    </w:p>
    <w:p w14:paraId="5DC85088" w14:textId="172DCBE7" w:rsidR="007B6CF2" w:rsidRPr="00750135" w:rsidRDefault="007B6CF2" w:rsidP="007B6CF2">
      <w:pPr>
        <w:pStyle w:val="Prrafodelista"/>
        <w:numPr>
          <w:ilvl w:val="0"/>
          <w:numId w:val="21"/>
        </w:numPr>
        <w:tabs>
          <w:tab w:val="left" w:pos="426"/>
        </w:tabs>
        <w:spacing w:line="360" w:lineRule="auto"/>
        <w:ind w:left="1276"/>
        <w:jc w:val="both"/>
        <w:rPr>
          <w:rFonts w:ascii="Palatino Linotype" w:eastAsia="Calibri" w:hAnsi="Palatino Linotype" w:cs="Arial"/>
          <w:color w:val="000000" w:themeColor="text1"/>
          <w:sz w:val="22"/>
          <w:lang w:val="es-ES"/>
        </w:rPr>
      </w:pPr>
      <w:r w:rsidRPr="00750135">
        <w:rPr>
          <w:rFonts w:ascii="Palatino Linotype" w:eastAsia="Calibri" w:hAnsi="Palatino Linotype" w:cs="Arial"/>
          <w:color w:val="000000" w:themeColor="text1"/>
          <w:sz w:val="22"/>
          <w:lang w:val="es-ES"/>
        </w:rPr>
        <w:t>Si se ha implementado el servicio profesional de carrera policial de acuerdo a las disposiciones en materia de corporación del servicio profesional.</w:t>
      </w:r>
    </w:p>
    <w:p w14:paraId="249BA7CC" w14:textId="1FB0F552" w:rsidR="00BF7E59" w:rsidRPr="00750135" w:rsidRDefault="00BF7E59" w:rsidP="00BF7E59">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686BA1C" w14:textId="15B6DFE6" w:rsidR="007B6CF2" w:rsidRPr="00750135" w:rsidRDefault="007B6CF2" w:rsidP="00A65689">
      <w:pPr>
        <w:pStyle w:val="Prrafodelista"/>
        <w:numPr>
          <w:ilvl w:val="0"/>
          <w:numId w:val="1"/>
        </w:numPr>
        <w:spacing w:before="240" w:after="240" w:line="360" w:lineRule="auto"/>
        <w:ind w:hanging="11"/>
        <w:jc w:val="both"/>
        <w:rPr>
          <w:rFonts w:ascii="Palatino Linotype" w:hAnsi="Palatino Linotype"/>
        </w:rPr>
      </w:pPr>
      <w:bookmarkStart w:id="4" w:name="_Toc461555889"/>
      <w:bookmarkStart w:id="5" w:name="_Toc466371858"/>
      <w:r w:rsidRPr="00750135">
        <w:rPr>
          <w:rFonts w:ascii="Palatino Linotype" w:hAnsi="Palatino Linotype"/>
        </w:rPr>
        <w:t>Por su parte, el Recurrente fue omiso en presentar manifestaciones, pruebas o alegatos que a su derecho convengan.</w:t>
      </w:r>
    </w:p>
    <w:p w14:paraId="00ECC10E" w14:textId="77777777" w:rsidR="007B6CF2" w:rsidRPr="00750135" w:rsidRDefault="007B6CF2" w:rsidP="007B6CF2">
      <w:pPr>
        <w:pStyle w:val="Prrafodelista"/>
        <w:spacing w:before="240" w:after="240" w:line="360" w:lineRule="auto"/>
        <w:ind w:left="0"/>
        <w:jc w:val="both"/>
        <w:rPr>
          <w:rFonts w:ascii="Palatino Linotype" w:hAnsi="Palatino Linotype"/>
          <w:b/>
          <w:u w:val="single"/>
        </w:rPr>
      </w:pPr>
    </w:p>
    <w:p w14:paraId="2E8E1964" w14:textId="4461CBF6" w:rsidR="007B6CF2" w:rsidRPr="00750135" w:rsidRDefault="00F778B2"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750135">
        <w:rPr>
          <w:rFonts w:ascii="Palatino Linotype" w:hAnsi="Palatino Linotype" w:cs="Arial"/>
          <w:color w:val="000000" w:themeColor="text1"/>
        </w:rPr>
        <w:lastRenderedPageBreak/>
        <w:t xml:space="preserve">El </w:t>
      </w:r>
      <w:r w:rsidR="007B6CF2" w:rsidRPr="00750135">
        <w:rPr>
          <w:rFonts w:ascii="Palatino Linotype" w:hAnsi="Palatino Linotype" w:cs="Arial"/>
          <w:color w:val="000000" w:themeColor="text1"/>
        </w:rPr>
        <w:t>doce</w:t>
      </w:r>
      <w:r w:rsidR="000152B8" w:rsidRPr="00750135">
        <w:rPr>
          <w:rFonts w:ascii="Palatino Linotype" w:hAnsi="Palatino Linotype" w:cs="Arial"/>
          <w:color w:val="000000" w:themeColor="text1"/>
        </w:rPr>
        <w:t xml:space="preserve"> (</w:t>
      </w:r>
      <w:r w:rsidR="007B6CF2" w:rsidRPr="00750135">
        <w:rPr>
          <w:rFonts w:ascii="Palatino Linotype" w:hAnsi="Palatino Linotype" w:cs="Arial"/>
          <w:color w:val="000000" w:themeColor="text1"/>
        </w:rPr>
        <w:t>12</w:t>
      </w:r>
      <w:r w:rsidR="000152B8" w:rsidRPr="00750135">
        <w:rPr>
          <w:rFonts w:ascii="Palatino Linotype" w:hAnsi="Palatino Linotype" w:cs="Arial"/>
          <w:color w:val="000000" w:themeColor="text1"/>
        </w:rPr>
        <w:t xml:space="preserve">) de </w:t>
      </w:r>
      <w:r w:rsidR="007B6CF2" w:rsidRPr="00750135">
        <w:rPr>
          <w:rFonts w:ascii="Palatino Linotype" w:hAnsi="Palatino Linotype" w:cs="Arial"/>
          <w:color w:val="000000" w:themeColor="text1"/>
        </w:rPr>
        <w:t>diciembre</w:t>
      </w:r>
      <w:r w:rsidR="00E23CA4" w:rsidRPr="00750135">
        <w:rPr>
          <w:rFonts w:ascii="Palatino Linotype" w:hAnsi="Palatino Linotype" w:cs="Arial"/>
          <w:color w:val="000000" w:themeColor="text1"/>
        </w:rPr>
        <w:t xml:space="preserve"> de dos mil veintidós, </w:t>
      </w:r>
      <w:r w:rsidR="007B6CF2" w:rsidRPr="00750135">
        <w:rPr>
          <w:rFonts w:ascii="Palatino Linotype" w:hAnsi="Palatino Linotype" w:cs="Arial"/>
          <w:color w:val="000000" w:themeColor="text1"/>
        </w:rPr>
        <w:t>la Comisionada Ponente notificó el acuerdo mediante el cual se amplió el plazo para emitir resolución, por lo que ordenó turnar el expediente para su resolución, misma que ahora se pronuncia.</w:t>
      </w:r>
    </w:p>
    <w:p w14:paraId="30F81972" w14:textId="77777777" w:rsidR="007B6CF2" w:rsidRPr="00750135" w:rsidRDefault="007B6CF2" w:rsidP="007B6CF2">
      <w:pPr>
        <w:pStyle w:val="Prrafodelista"/>
        <w:rPr>
          <w:rFonts w:ascii="Palatino Linotype" w:hAnsi="Palatino Linotype" w:cs="Arial"/>
          <w:color w:val="000000" w:themeColor="text1"/>
        </w:rPr>
      </w:pPr>
    </w:p>
    <w:p w14:paraId="2677BD6F" w14:textId="51E7C6EE" w:rsidR="00F34503" w:rsidRPr="00750135" w:rsidRDefault="007B6CF2"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750135">
        <w:rPr>
          <w:rFonts w:ascii="Palatino Linotype" w:hAnsi="Palatino Linotype" w:cs="Arial"/>
          <w:color w:val="000000" w:themeColor="text1"/>
        </w:rPr>
        <w:t>El catorce (14) de septiembre de dos mil veintitrés, la</w:t>
      </w:r>
      <w:r w:rsidR="00041DCC" w:rsidRPr="00750135">
        <w:rPr>
          <w:rFonts w:ascii="Palatino Linotype" w:hAnsi="Palatino Linotype" w:cs="Arial"/>
          <w:color w:val="000000" w:themeColor="text1"/>
        </w:rPr>
        <w:t xml:space="preserve"> Comisionada Ponente de</w:t>
      </w:r>
      <w:r w:rsidR="0055252F" w:rsidRPr="00750135">
        <w:rPr>
          <w:rFonts w:ascii="Palatino Linotype" w:hAnsi="Palatino Linotype" w:cs="Arial"/>
          <w:color w:val="000000" w:themeColor="text1"/>
        </w:rPr>
        <w:t>cretó el cierre de instrucción</w:t>
      </w:r>
      <w:r w:rsidR="00F34503" w:rsidRPr="00750135">
        <w:rPr>
          <w:rFonts w:ascii="Palatino Linotype" w:hAnsi="Palatino Linotype" w:cs="Arial"/>
          <w:color w:val="000000" w:themeColor="text1"/>
        </w:rPr>
        <w:t>.</w:t>
      </w:r>
    </w:p>
    <w:p w14:paraId="70ACA5B9" w14:textId="77777777" w:rsidR="00F34503" w:rsidRPr="00750135" w:rsidRDefault="00F34503" w:rsidP="00F34503">
      <w:pPr>
        <w:pStyle w:val="Prrafodelista"/>
        <w:rPr>
          <w:rFonts w:ascii="Palatino Linotype" w:hAnsi="Palatino Linotype" w:cs="Arial"/>
          <w:color w:val="000000" w:themeColor="text1"/>
        </w:rPr>
      </w:pPr>
    </w:p>
    <w:p w14:paraId="64C95299" w14:textId="0A731A56" w:rsidR="00A65689" w:rsidRPr="00750135" w:rsidRDefault="00A65689" w:rsidP="00A65689">
      <w:pPr>
        <w:pStyle w:val="Prrafodelista"/>
        <w:numPr>
          <w:ilvl w:val="0"/>
          <w:numId w:val="1"/>
        </w:numPr>
        <w:spacing w:before="240" w:after="240" w:line="360" w:lineRule="auto"/>
        <w:ind w:hanging="11"/>
        <w:jc w:val="both"/>
        <w:rPr>
          <w:rFonts w:ascii="Palatino Linotype" w:hAnsi="Palatino Linotype"/>
          <w:b/>
          <w:sz w:val="32"/>
          <w:u w:val="single"/>
        </w:rPr>
      </w:pPr>
      <w:r w:rsidRPr="00750135">
        <w:rPr>
          <w:rFonts w:ascii="Palatino Linotype" w:hAnsi="Palatino Linotype"/>
        </w:rPr>
        <w:t xml:space="preserve"> 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A72B1DE" w14:textId="77777777" w:rsidR="00A65689" w:rsidRPr="00750135" w:rsidRDefault="00A65689" w:rsidP="00A65689">
      <w:pPr>
        <w:pStyle w:val="Prrafodelista"/>
        <w:rPr>
          <w:rFonts w:ascii="Palatino Linotype" w:hAnsi="Palatino Linotype"/>
        </w:rPr>
      </w:pPr>
    </w:p>
    <w:p w14:paraId="3D1E55E9"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FD29154" w14:textId="77777777" w:rsidR="00A65689" w:rsidRPr="00750135" w:rsidRDefault="00A65689" w:rsidP="00A65689">
      <w:pPr>
        <w:pStyle w:val="Prrafodelista"/>
        <w:spacing w:before="240" w:after="240" w:line="360" w:lineRule="auto"/>
        <w:ind w:left="0"/>
        <w:jc w:val="both"/>
        <w:rPr>
          <w:rFonts w:ascii="Palatino Linotype" w:hAnsi="Palatino Linotype"/>
        </w:rPr>
      </w:pPr>
    </w:p>
    <w:p w14:paraId="5C1E1A82"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97107B"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5FFEAD" w14:textId="77777777" w:rsidR="00A65689" w:rsidRPr="00750135" w:rsidRDefault="00A65689" w:rsidP="00A65689">
      <w:pPr>
        <w:pStyle w:val="Prrafodelista"/>
        <w:spacing w:before="240" w:after="240" w:line="360" w:lineRule="auto"/>
        <w:ind w:left="0"/>
        <w:jc w:val="both"/>
        <w:rPr>
          <w:rFonts w:ascii="Palatino Linotype" w:hAnsi="Palatino Linotype"/>
        </w:rPr>
      </w:pPr>
    </w:p>
    <w:p w14:paraId="57B9EAF8"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7807CF" w14:textId="77777777" w:rsidR="00A65689" w:rsidRPr="00750135" w:rsidRDefault="00A65689" w:rsidP="00A65689">
      <w:pPr>
        <w:pStyle w:val="Prrafodelista"/>
        <w:spacing w:before="240" w:after="240" w:line="360" w:lineRule="auto"/>
        <w:ind w:left="0"/>
        <w:jc w:val="both"/>
        <w:rPr>
          <w:rFonts w:ascii="Palatino Linotype" w:hAnsi="Palatino Linotype"/>
          <w:sz w:val="22"/>
        </w:rPr>
      </w:pPr>
    </w:p>
    <w:p w14:paraId="21D05044" w14:textId="3E4C0D23" w:rsidR="00A65689" w:rsidRPr="00750135" w:rsidRDefault="000F6E72" w:rsidP="00A65689">
      <w:pPr>
        <w:pStyle w:val="Prrafodelista"/>
        <w:spacing w:before="240" w:after="240" w:line="360" w:lineRule="auto"/>
        <w:ind w:left="284"/>
        <w:jc w:val="both"/>
        <w:rPr>
          <w:rFonts w:ascii="Palatino Linotype" w:hAnsi="Palatino Linotype"/>
          <w:sz w:val="22"/>
        </w:rPr>
      </w:pPr>
      <w:r w:rsidRPr="00750135">
        <w:rPr>
          <w:rFonts w:ascii="Palatino Linotype" w:hAnsi="Palatino Linotype"/>
          <w:sz w:val="22"/>
        </w:rPr>
        <w:t xml:space="preserve">a)  </w:t>
      </w:r>
      <w:r w:rsidR="00A65689" w:rsidRPr="00750135">
        <w:rPr>
          <w:rFonts w:ascii="Palatino Linotype" w:hAnsi="Palatino Linotype"/>
          <w:sz w:val="22"/>
        </w:rPr>
        <w:t>Complejidad del asunto: La complejidad de la prueba, la pluralidad de sujetos procesales, el tiempo transcurrido, las características y contexto del recurso.</w:t>
      </w:r>
    </w:p>
    <w:p w14:paraId="4FA3FFCB" w14:textId="0FC61CD0" w:rsidR="00A65689" w:rsidRPr="00750135" w:rsidRDefault="00A65689" w:rsidP="00A65689">
      <w:pPr>
        <w:pStyle w:val="Prrafodelista"/>
        <w:spacing w:before="240" w:after="240" w:line="360" w:lineRule="auto"/>
        <w:ind w:left="284"/>
        <w:jc w:val="both"/>
        <w:rPr>
          <w:rFonts w:ascii="Palatino Linotype" w:hAnsi="Palatino Linotype"/>
          <w:sz w:val="22"/>
        </w:rPr>
      </w:pPr>
      <w:r w:rsidRPr="00750135">
        <w:rPr>
          <w:rFonts w:ascii="Palatino Linotype" w:hAnsi="Palatino Linotype"/>
          <w:sz w:val="22"/>
        </w:rPr>
        <w:t>b)    Actividad Procesal del interesado: Acciones u omisiones del interesado.</w:t>
      </w:r>
    </w:p>
    <w:p w14:paraId="6198E656" w14:textId="77777777" w:rsidR="00A65689" w:rsidRPr="00750135" w:rsidRDefault="00A65689" w:rsidP="00A65689">
      <w:pPr>
        <w:pStyle w:val="Prrafodelista"/>
        <w:spacing w:before="240" w:after="240" w:line="360" w:lineRule="auto"/>
        <w:ind w:left="284"/>
        <w:jc w:val="both"/>
        <w:rPr>
          <w:rFonts w:ascii="Palatino Linotype" w:hAnsi="Palatino Linotype"/>
          <w:sz w:val="22"/>
        </w:rPr>
      </w:pPr>
      <w:r w:rsidRPr="00750135">
        <w:rPr>
          <w:rFonts w:ascii="Palatino Linotype" w:hAnsi="Palatino Linotype"/>
          <w:sz w:val="22"/>
        </w:rPr>
        <w:t>c)      Conducta de la Autoridad: Las Acciones u omisiones realizadas en el procedimiento. Así como si la autoridad actuó con la debida diligencia.</w:t>
      </w:r>
    </w:p>
    <w:p w14:paraId="41C9580B" w14:textId="06A0CCB0" w:rsidR="00A65689" w:rsidRPr="00750135" w:rsidRDefault="00A65689" w:rsidP="00A65689">
      <w:pPr>
        <w:pStyle w:val="Prrafodelista"/>
        <w:spacing w:before="240" w:after="240" w:line="360" w:lineRule="auto"/>
        <w:ind w:left="284"/>
        <w:jc w:val="both"/>
        <w:rPr>
          <w:rFonts w:ascii="Palatino Linotype" w:hAnsi="Palatino Linotype"/>
          <w:sz w:val="22"/>
        </w:rPr>
      </w:pPr>
      <w:r w:rsidRPr="00750135">
        <w:rPr>
          <w:rFonts w:ascii="Palatino Linotype" w:hAnsi="Palatino Linotype"/>
          <w:sz w:val="22"/>
        </w:rPr>
        <w:t xml:space="preserve">d) </w:t>
      </w:r>
      <w:r w:rsidR="000F6E72" w:rsidRPr="00750135">
        <w:rPr>
          <w:rFonts w:ascii="Palatino Linotype" w:hAnsi="Palatino Linotype"/>
          <w:sz w:val="22"/>
        </w:rPr>
        <w:t xml:space="preserve">  </w:t>
      </w:r>
      <w:r w:rsidRPr="00750135">
        <w:rPr>
          <w:rFonts w:ascii="Palatino Linotype" w:hAnsi="Palatino Linotype"/>
          <w:sz w:val="22"/>
        </w:rPr>
        <w:t>La afectación generada en la situación jurídica de la persona involucrada en el proceso: Violación a sus derechos humanos.</w:t>
      </w:r>
    </w:p>
    <w:p w14:paraId="64437FED" w14:textId="77777777" w:rsidR="00A65689" w:rsidRPr="00750135" w:rsidRDefault="00A65689" w:rsidP="00A65689">
      <w:pPr>
        <w:pStyle w:val="Prrafodelista"/>
        <w:spacing w:before="240" w:after="240" w:line="360" w:lineRule="auto"/>
        <w:ind w:left="0"/>
        <w:jc w:val="both"/>
        <w:rPr>
          <w:rFonts w:ascii="Palatino Linotype" w:hAnsi="Palatino Linotype"/>
          <w:sz w:val="22"/>
        </w:rPr>
      </w:pPr>
    </w:p>
    <w:p w14:paraId="0C8F9073"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AA54E16" w14:textId="77777777" w:rsidR="00A65689" w:rsidRPr="00750135" w:rsidRDefault="00A65689" w:rsidP="00A65689">
      <w:pPr>
        <w:pStyle w:val="Prrafodelista"/>
        <w:spacing w:before="240" w:after="240" w:line="360" w:lineRule="auto"/>
        <w:ind w:left="0"/>
        <w:jc w:val="both"/>
        <w:rPr>
          <w:rFonts w:ascii="Palatino Linotype" w:hAnsi="Palatino Linotype"/>
        </w:rPr>
      </w:pPr>
    </w:p>
    <w:p w14:paraId="32B198AE"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23B1A42" w14:textId="77777777" w:rsidR="00A65689" w:rsidRPr="00750135" w:rsidRDefault="00A65689" w:rsidP="00A65689">
      <w:pPr>
        <w:pStyle w:val="Prrafodelista"/>
        <w:rPr>
          <w:rFonts w:ascii="Palatino Linotype" w:hAnsi="Palatino Linotype"/>
        </w:rPr>
      </w:pPr>
    </w:p>
    <w:p w14:paraId="106B4805"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B6ACD2" w14:textId="77777777" w:rsidR="00A65689" w:rsidRPr="00750135" w:rsidRDefault="00A65689" w:rsidP="00A65689">
      <w:pPr>
        <w:pStyle w:val="Prrafodelista"/>
        <w:spacing w:before="240" w:after="240" w:line="360" w:lineRule="auto"/>
        <w:ind w:left="0"/>
        <w:jc w:val="both"/>
        <w:rPr>
          <w:rFonts w:ascii="Palatino Linotype" w:hAnsi="Palatino Linotype"/>
        </w:rPr>
      </w:pPr>
    </w:p>
    <w:p w14:paraId="4110FFA8" w14:textId="77777777" w:rsidR="00A65689" w:rsidRPr="00750135" w:rsidRDefault="00A65689" w:rsidP="00A65689">
      <w:pPr>
        <w:pStyle w:val="Prrafodelista"/>
        <w:numPr>
          <w:ilvl w:val="0"/>
          <w:numId w:val="1"/>
        </w:numPr>
        <w:spacing w:before="240" w:after="240" w:line="360" w:lineRule="auto"/>
        <w:jc w:val="both"/>
        <w:rPr>
          <w:rFonts w:ascii="Palatino Linotype" w:hAnsi="Palatino Linotype"/>
        </w:rPr>
      </w:pPr>
      <w:r w:rsidRPr="0075013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442CA42D" w14:textId="77777777" w:rsidR="00A65689" w:rsidRPr="00750135" w:rsidRDefault="00A65689" w:rsidP="00A65689">
      <w:pPr>
        <w:pStyle w:val="Prrafodelista"/>
        <w:rPr>
          <w:rFonts w:ascii="Palatino Linotype" w:hAnsi="Palatino Linotype"/>
          <w:sz w:val="22"/>
        </w:rPr>
      </w:pPr>
    </w:p>
    <w:p w14:paraId="7FA32B82" w14:textId="77777777" w:rsidR="00A65689" w:rsidRPr="00750135" w:rsidRDefault="00A65689" w:rsidP="00A65689">
      <w:pPr>
        <w:pStyle w:val="Prrafodelista"/>
        <w:spacing w:before="240" w:after="240" w:line="360" w:lineRule="auto"/>
        <w:ind w:left="567"/>
        <w:jc w:val="both"/>
        <w:rPr>
          <w:rFonts w:ascii="Palatino Linotype" w:hAnsi="Palatino Linotype"/>
          <w:sz w:val="22"/>
        </w:rPr>
      </w:pPr>
      <w:r w:rsidRPr="00750135">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31C92046" w14:textId="77777777" w:rsidR="00A65689" w:rsidRPr="00750135" w:rsidRDefault="00A65689" w:rsidP="00A65689">
      <w:pPr>
        <w:pStyle w:val="Prrafodelista"/>
        <w:spacing w:before="240" w:after="240" w:line="360" w:lineRule="auto"/>
        <w:ind w:left="567"/>
        <w:jc w:val="both"/>
        <w:rPr>
          <w:rFonts w:ascii="Palatino Linotype" w:hAnsi="Palatino Linotype"/>
          <w:sz w:val="22"/>
        </w:rPr>
      </w:pPr>
      <w:r w:rsidRPr="00750135">
        <w:rPr>
          <w:rFonts w:ascii="Palatino Linotype" w:hAnsi="Palatino Linotype"/>
          <w:sz w:val="22"/>
        </w:rPr>
        <w:lastRenderedPageBreak/>
        <w:t>“PLAZO RAZONABLE PARA RESOLVER. CONCEPTO Y ELEMENTOS QUE LO INTEGRAN A LA LUZ DEL DERECHO INTERNACIONAL DE LOS DERECHOS HUMANOS.”, visible en el Seminario Judicial de la Federación y su gaceta, con el registro digital 2002350.</w:t>
      </w:r>
    </w:p>
    <w:p w14:paraId="0BE7F5A0" w14:textId="77777777" w:rsidR="00A65689" w:rsidRPr="00750135" w:rsidRDefault="00A65689" w:rsidP="00A65689">
      <w:pPr>
        <w:pStyle w:val="Prrafodelista"/>
        <w:spacing w:before="240" w:after="240" w:line="360" w:lineRule="auto"/>
        <w:ind w:left="708"/>
        <w:jc w:val="both"/>
        <w:rPr>
          <w:rFonts w:ascii="Palatino Linotype" w:hAnsi="Palatino Linotype"/>
          <w:sz w:val="22"/>
        </w:rPr>
      </w:pPr>
    </w:p>
    <w:p w14:paraId="6CD48F5F" w14:textId="0E10E93D" w:rsidR="00A65689" w:rsidRPr="00750135" w:rsidRDefault="00A65689" w:rsidP="00A65689">
      <w:pPr>
        <w:pStyle w:val="Prrafodelista"/>
        <w:numPr>
          <w:ilvl w:val="0"/>
          <w:numId w:val="1"/>
        </w:numPr>
        <w:tabs>
          <w:tab w:val="left" w:pos="426"/>
        </w:tabs>
        <w:spacing w:line="360" w:lineRule="auto"/>
        <w:jc w:val="both"/>
        <w:rPr>
          <w:rFonts w:ascii="Palatino Linotype" w:hAnsi="Palatino Linotype"/>
          <w:color w:val="000000" w:themeColor="text1"/>
        </w:rPr>
      </w:pPr>
      <w:r w:rsidRPr="0075013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750135"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750135" w:rsidRDefault="007C0013" w:rsidP="00B31E90">
      <w:pPr>
        <w:pStyle w:val="Ttulo1"/>
        <w:spacing w:before="0"/>
        <w:jc w:val="center"/>
        <w:rPr>
          <w:b/>
          <w:color w:val="000000" w:themeColor="text1"/>
        </w:rPr>
      </w:pPr>
      <w:bookmarkStart w:id="6" w:name="_Toc87456485"/>
      <w:r w:rsidRPr="00750135">
        <w:rPr>
          <w:b/>
          <w:color w:val="000000" w:themeColor="text1"/>
        </w:rPr>
        <w:t>CONSIDERANDO</w:t>
      </w:r>
      <w:bookmarkEnd w:id="4"/>
      <w:bookmarkEnd w:id="5"/>
      <w:bookmarkEnd w:id="6"/>
    </w:p>
    <w:p w14:paraId="435CF9A4" w14:textId="77777777" w:rsidR="00FC1DA7" w:rsidRPr="00750135" w:rsidRDefault="00FC1DA7" w:rsidP="00B31E90">
      <w:pPr>
        <w:rPr>
          <w:color w:val="000000" w:themeColor="text1"/>
          <w:lang w:eastAsia="en-US"/>
        </w:rPr>
      </w:pPr>
    </w:p>
    <w:p w14:paraId="629A5BE2" w14:textId="56C3E7D5" w:rsidR="007C0013" w:rsidRPr="00750135"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750135">
        <w:rPr>
          <w:rFonts w:ascii="Palatino Linotype" w:hAnsi="Palatino Linotype"/>
          <w:b/>
          <w:color w:val="000000" w:themeColor="text1"/>
          <w:sz w:val="24"/>
        </w:rPr>
        <w:t>PRIMERO. De la competencia</w:t>
      </w:r>
      <w:bookmarkEnd w:id="7"/>
      <w:bookmarkEnd w:id="8"/>
      <w:bookmarkEnd w:id="9"/>
    </w:p>
    <w:p w14:paraId="60FBD8C7" w14:textId="77777777" w:rsidR="00FC1DA7" w:rsidRPr="00750135" w:rsidRDefault="00FC1DA7" w:rsidP="00B31E90">
      <w:pPr>
        <w:rPr>
          <w:rFonts w:ascii="Palatino Linotype" w:hAnsi="Palatino Linotype"/>
          <w:color w:val="000000" w:themeColor="text1"/>
          <w:lang w:eastAsia="en-US"/>
        </w:rPr>
      </w:pPr>
    </w:p>
    <w:p w14:paraId="54AD9623" w14:textId="77777777" w:rsidR="00246B22" w:rsidRPr="00750135" w:rsidRDefault="00246B22" w:rsidP="00246B22">
      <w:pPr>
        <w:pStyle w:val="Prrafodelista"/>
        <w:numPr>
          <w:ilvl w:val="0"/>
          <w:numId w:val="1"/>
        </w:numPr>
        <w:spacing w:before="240" w:after="240" w:line="360" w:lineRule="auto"/>
        <w:jc w:val="both"/>
        <w:rPr>
          <w:rFonts w:ascii="Palatino Linotype" w:hAnsi="Palatino Linotype"/>
        </w:rPr>
      </w:pPr>
      <w:r w:rsidRPr="00750135">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50135">
        <w:rPr>
          <w:rFonts w:ascii="Palatino Linotype" w:eastAsia="Calibri" w:hAnsi="Palatino Linotype"/>
          <w:b/>
          <w:lang w:val="es-ES"/>
        </w:rPr>
        <w:t>Constitución Política de los Estados Unidos Mexicanos</w:t>
      </w:r>
      <w:r w:rsidRPr="00750135">
        <w:rPr>
          <w:rFonts w:ascii="Palatino Linotype" w:eastAsia="Calibri" w:hAnsi="Palatino Linotype"/>
          <w:lang w:val="es-ES"/>
        </w:rPr>
        <w:t xml:space="preserve">; 5, párrafos </w:t>
      </w:r>
      <w:r w:rsidRPr="00750135">
        <w:rPr>
          <w:rFonts w:ascii="Palatino Linotype" w:hAnsi="Palatino Linotype" w:cs="Arial"/>
          <w:bCs/>
          <w:color w:val="222222"/>
          <w:lang w:val="es-ES"/>
        </w:rPr>
        <w:t>trigésimo y trigésimo primero fracciones</w:t>
      </w:r>
      <w:r w:rsidRPr="00750135">
        <w:rPr>
          <w:rFonts w:ascii="Palatino Linotype" w:eastAsia="Calibri" w:hAnsi="Palatino Linotype"/>
          <w:lang w:val="es-ES"/>
        </w:rPr>
        <w:t xml:space="preserve"> IV y V de la </w:t>
      </w:r>
      <w:r w:rsidRPr="00750135">
        <w:rPr>
          <w:rFonts w:ascii="Palatino Linotype" w:eastAsia="Calibri" w:hAnsi="Palatino Linotype"/>
          <w:b/>
          <w:lang w:val="es-ES"/>
        </w:rPr>
        <w:t>Constitución Política del Estado Libre y Soberano de México</w:t>
      </w:r>
      <w:r w:rsidRPr="00750135">
        <w:rPr>
          <w:rFonts w:ascii="Palatino Linotype" w:eastAsia="Calibri" w:hAnsi="Palatino Linotype"/>
          <w:lang w:val="es-ES"/>
        </w:rPr>
        <w:t xml:space="preserve">; artículos 1, 2 fracción II, 13, 29, 36 fracciones I y II, 176, 178, 179, 181 párrafo tercero y 185 </w:t>
      </w:r>
      <w:r w:rsidRPr="00750135">
        <w:rPr>
          <w:rFonts w:ascii="Palatino Linotype" w:eastAsia="Calibri" w:hAnsi="Palatino Linotype" w:cs="Arial"/>
          <w:lang w:val="es-ES"/>
        </w:rPr>
        <w:t xml:space="preserve">de la </w:t>
      </w:r>
      <w:r w:rsidRPr="00750135">
        <w:rPr>
          <w:rFonts w:ascii="Palatino Linotype" w:eastAsia="Calibri" w:hAnsi="Palatino Linotype" w:cs="Arial"/>
          <w:b/>
          <w:lang w:val="es-ES"/>
        </w:rPr>
        <w:t>Ley de Transparencia y Acceso a la Información Pública del Estado de México y Municipios</w:t>
      </w:r>
      <w:r w:rsidRPr="00750135">
        <w:rPr>
          <w:rFonts w:ascii="Palatino Linotype" w:eastAsia="Calibri" w:hAnsi="Palatino Linotype" w:cs="Arial"/>
          <w:lang w:val="es-ES"/>
        </w:rPr>
        <w:t xml:space="preserve">; y 7, 9 fracciones I y XXIV, y 11 del </w:t>
      </w:r>
      <w:r w:rsidRPr="00750135">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50135">
        <w:rPr>
          <w:rFonts w:ascii="Palatino Linotype" w:hAnsi="Palatino Linotype"/>
        </w:rPr>
        <w:t>.</w:t>
      </w:r>
    </w:p>
    <w:p w14:paraId="2265AFBB" w14:textId="77777777" w:rsidR="00246B22" w:rsidRPr="00750135" w:rsidRDefault="00246B22" w:rsidP="00246B2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750135"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750135">
        <w:rPr>
          <w:rFonts w:ascii="Palatino Linotype" w:hAnsi="Palatino Linotype"/>
          <w:b/>
          <w:color w:val="000000" w:themeColor="text1"/>
          <w:sz w:val="24"/>
        </w:rPr>
        <w:lastRenderedPageBreak/>
        <w:t>SEGUNDO. De la oportunidad y proced</w:t>
      </w:r>
      <w:r w:rsidR="00F35C44" w:rsidRPr="00750135">
        <w:rPr>
          <w:rFonts w:ascii="Palatino Linotype" w:hAnsi="Palatino Linotype"/>
          <w:b/>
          <w:color w:val="000000" w:themeColor="text1"/>
          <w:sz w:val="24"/>
        </w:rPr>
        <w:t>encia</w:t>
      </w:r>
      <w:r w:rsidRPr="00750135">
        <w:rPr>
          <w:rFonts w:ascii="Palatino Linotype" w:hAnsi="Palatino Linotype"/>
          <w:b/>
          <w:color w:val="000000" w:themeColor="text1"/>
          <w:sz w:val="24"/>
        </w:rPr>
        <w:t>.</w:t>
      </w:r>
      <w:bookmarkEnd w:id="10"/>
      <w:bookmarkEnd w:id="11"/>
      <w:bookmarkEnd w:id="12"/>
    </w:p>
    <w:p w14:paraId="18E22450" w14:textId="77777777" w:rsidR="00C6440A" w:rsidRPr="00750135" w:rsidRDefault="00C6440A" w:rsidP="00B31E90">
      <w:pPr>
        <w:rPr>
          <w:color w:val="000000" w:themeColor="text1"/>
          <w:lang w:eastAsia="en-US"/>
        </w:rPr>
      </w:pPr>
    </w:p>
    <w:p w14:paraId="7D631690" w14:textId="075672C9" w:rsidR="00B34758" w:rsidRPr="00750135"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50135">
        <w:rPr>
          <w:rFonts w:ascii="Palatino Linotype" w:eastAsia="Calibri" w:hAnsi="Palatino Linotype" w:cs="Arial"/>
          <w:color w:val="000000" w:themeColor="text1"/>
        </w:rPr>
        <w:t xml:space="preserve">El </w:t>
      </w:r>
      <w:r w:rsidR="00740BA4" w:rsidRPr="00750135">
        <w:rPr>
          <w:rFonts w:ascii="Palatino Linotype" w:eastAsia="Calibri" w:hAnsi="Palatino Linotype" w:cs="Arial"/>
          <w:color w:val="000000" w:themeColor="text1"/>
        </w:rPr>
        <w:t xml:space="preserve">medio de impugnación fue presentado a través del </w:t>
      </w:r>
      <w:r w:rsidR="00740BA4" w:rsidRPr="00750135">
        <w:rPr>
          <w:rFonts w:ascii="Palatino Linotype" w:eastAsia="Calibri" w:hAnsi="Palatino Linotype" w:cs="Arial"/>
          <w:bCs/>
          <w:iCs/>
          <w:color w:val="000000" w:themeColor="text1"/>
        </w:rPr>
        <w:t>SAIMEX</w:t>
      </w:r>
      <w:r w:rsidR="00740BA4" w:rsidRPr="0075013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50135">
        <w:rPr>
          <w:rFonts w:ascii="Palatino Linotype" w:eastAsia="Calibri" w:hAnsi="Palatino Linotype" w:cs="Arial"/>
          <w:b/>
          <w:color w:val="000000" w:themeColor="text1"/>
        </w:rPr>
        <w:t>SUJETO OBLIGADO</w:t>
      </w:r>
      <w:r w:rsidR="00740BA4" w:rsidRPr="00750135">
        <w:rPr>
          <w:rFonts w:ascii="Palatino Linotype" w:eastAsia="Calibri" w:hAnsi="Palatino Linotype" w:cs="Arial"/>
          <w:color w:val="000000" w:themeColor="text1"/>
        </w:rPr>
        <w:t xml:space="preserve"> entregó respuesta el </w:t>
      </w:r>
      <w:r w:rsidR="002D1EBB" w:rsidRPr="00750135">
        <w:rPr>
          <w:rFonts w:ascii="Palatino Linotype" w:eastAsia="Calibri" w:hAnsi="Palatino Linotype" w:cs="Arial"/>
          <w:color w:val="000000" w:themeColor="text1"/>
        </w:rPr>
        <w:t>veinti</w:t>
      </w:r>
      <w:r w:rsidR="00F34503" w:rsidRPr="00750135">
        <w:rPr>
          <w:rFonts w:ascii="Palatino Linotype" w:eastAsia="Calibri" w:hAnsi="Palatino Linotype" w:cs="Arial"/>
          <w:color w:val="000000" w:themeColor="text1"/>
        </w:rPr>
        <w:t>nueve</w:t>
      </w:r>
      <w:r w:rsidR="00F778B2" w:rsidRPr="00750135">
        <w:rPr>
          <w:rFonts w:ascii="Palatino Linotype" w:eastAsia="Calibri" w:hAnsi="Palatino Linotype" w:cs="Arial"/>
          <w:color w:val="000000" w:themeColor="text1"/>
        </w:rPr>
        <w:t xml:space="preserve"> (</w:t>
      </w:r>
      <w:r w:rsidR="002D1EBB" w:rsidRPr="00750135">
        <w:rPr>
          <w:rFonts w:ascii="Palatino Linotype" w:eastAsia="Calibri" w:hAnsi="Palatino Linotype" w:cs="Arial"/>
          <w:color w:val="000000" w:themeColor="text1"/>
        </w:rPr>
        <w:t>2</w:t>
      </w:r>
      <w:r w:rsidR="00F34503" w:rsidRPr="00750135">
        <w:rPr>
          <w:rFonts w:ascii="Palatino Linotype" w:eastAsia="Calibri" w:hAnsi="Palatino Linotype" w:cs="Arial"/>
          <w:color w:val="000000" w:themeColor="text1"/>
        </w:rPr>
        <w:t>9</w:t>
      </w:r>
      <w:r w:rsidR="00F778B2" w:rsidRPr="00750135">
        <w:rPr>
          <w:rFonts w:ascii="Palatino Linotype" w:eastAsia="Calibri" w:hAnsi="Palatino Linotype" w:cs="Arial"/>
          <w:color w:val="000000" w:themeColor="text1"/>
        </w:rPr>
        <w:t>) d</w:t>
      </w:r>
      <w:r w:rsidR="00921375" w:rsidRPr="00750135">
        <w:rPr>
          <w:rFonts w:ascii="Palatino Linotype" w:eastAsia="Calibri" w:hAnsi="Palatino Linotype" w:cs="Arial"/>
          <w:color w:val="000000" w:themeColor="text1"/>
        </w:rPr>
        <w:t xml:space="preserve">e </w:t>
      </w:r>
      <w:r w:rsidR="002D1EBB" w:rsidRPr="00750135">
        <w:rPr>
          <w:rFonts w:ascii="Palatino Linotype" w:eastAsia="Calibri" w:hAnsi="Palatino Linotype" w:cs="Arial"/>
          <w:color w:val="000000" w:themeColor="text1"/>
        </w:rPr>
        <w:t>abril</w:t>
      </w:r>
      <w:r w:rsidR="007F372C" w:rsidRPr="00750135">
        <w:rPr>
          <w:rFonts w:ascii="Palatino Linotype" w:eastAsia="Calibri" w:hAnsi="Palatino Linotype" w:cs="Arial"/>
          <w:color w:val="000000" w:themeColor="text1"/>
        </w:rPr>
        <w:t xml:space="preserve"> </w:t>
      </w:r>
      <w:r w:rsidR="00740BA4" w:rsidRPr="00750135">
        <w:rPr>
          <w:rFonts w:ascii="Palatino Linotype" w:eastAsia="Calibri" w:hAnsi="Palatino Linotype" w:cs="Arial"/>
          <w:color w:val="000000" w:themeColor="text1"/>
        </w:rPr>
        <w:t>de dos mil veinti</w:t>
      </w:r>
      <w:r w:rsidR="001B32B2" w:rsidRPr="00750135">
        <w:rPr>
          <w:rFonts w:ascii="Palatino Linotype" w:eastAsia="Calibri" w:hAnsi="Palatino Linotype" w:cs="Arial"/>
          <w:color w:val="000000" w:themeColor="text1"/>
        </w:rPr>
        <w:t>dós</w:t>
      </w:r>
      <w:r w:rsidR="00740BA4" w:rsidRPr="00750135">
        <w:rPr>
          <w:rFonts w:ascii="Palatino Linotype" w:eastAsia="Calibri" w:hAnsi="Palatino Linotype" w:cs="Arial"/>
          <w:color w:val="000000" w:themeColor="text1"/>
        </w:rPr>
        <w:t>, de tal forma que el plazo para interponer el recurso de revisión transcurrió del</w:t>
      </w:r>
      <w:r w:rsidR="005A3F61" w:rsidRPr="00750135">
        <w:rPr>
          <w:rFonts w:ascii="Palatino Linotype" w:eastAsia="Calibri" w:hAnsi="Palatino Linotype" w:cs="Arial"/>
          <w:color w:val="000000" w:themeColor="text1"/>
        </w:rPr>
        <w:t xml:space="preserve"> </w:t>
      </w:r>
      <w:r w:rsidR="00F34503" w:rsidRPr="00750135">
        <w:rPr>
          <w:rFonts w:ascii="Palatino Linotype" w:eastAsia="Calibri" w:hAnsi="Palatino Linotype" w:cs="Arial"/>
          <w:color w:val="000000" w:themeColor="text1"/>
        </w:rPr>
        <w:t>dos</w:t>
      </w:r>
      <w:r w:rsidR="009A3B2B" w:rsidRPr="00750135">
        <w:rPr>
          <w:rFonts w:ascii="Palatino Linotype" w:eastAsia="Calibri" w:hAnsi="Palatino Linotype" w:cs="Arial"/>
          <w:color w:val="000000" w:themeColor="text1"/>
        </w:rPr>
        <w:t xml:space="preserve"> </w:t>
      </w:r>
      <w:r w:rsidR="00921375" w:rsidRPr="00750135">
        <w:rPr>
          <w:rFonts w:ascii="Palatino Linotype" w:eastAsia="Calibri" w:hAnsi="Palatino Linotype" w:cs="Arial"/>
          <w:color w:val="000000" w:themeColor="text1"/>
        </w:rPr>
        <w:t>(</w:t>
      </w:r>
      <w:r w:rsidR="002D1EBB" w:rsidRPr="00750135">
        <w:rPr>
          <w:rFonts w:ascii="Palatino Linotype" w:eastAsia="Calibri" w:hAnsi="Palatino Linotype" w:cs="Arial"/>
          <w:color w:val="000000" w:themeColor="text1"/>
        </w:rPr>
        <w:t>2</w:t>
      </w:r>
      <w:r w:rsidR="00921375" w:rsidRPr="00750135">
        <w:rPr>
          <w:rFonts w:ascii="Palatino Linotype" w:eastAsia="Calibri" w:hAnsi="Palatino Linotype" w:cs="Arial"/>
          <w:color w:val="000000" w:themeColor="text1"/>
        </w:rPr>
        <w:t xml:space="preserve">) </w:t>
      </w:r>
      <w:r w:rsidR="00F34503" w:rsidRPr="00750135">
        <w:rPr>
          <w:rFonts w:ascii="Palatino Linotype" w:eastAsia="Calibri" w:hAnsi="Palatino Linotype" w:cs="Arial"/>
          <w:color w:val="000000" w:themeColor="text1"/>
        </w:rPr>
        <w:t>al veintitrés</w:t>
      </w:r>
      <w:r w:rsidR="00CC63CB" w:rsidRPr="00750135">
        <w:rPr>
          <w:rFonts w:ascii="Palatino Linotype" w:eastAsia="Calibri" w:hAnsi="Palatino Linotype" w:cs="Arial"/>
          <w:color w:val="000000" w:themeColor="text1"/>
        </w:rPr>
        <w:t xml:space="preserve"> (</w:t>
      </w:r>
      <w:r w:rsidR="00F34503" w:rsidRPr="00750135">
        <w:rPr>
          <w:rFonts w:ascii="Palatino Linotype" w:eastAsia="Calibri" w:hAnsi="Palatino Linotype" w:cs="Arial"/>
          <w:color w:val="000000" w:themeColor="text1"/>
        </w:rPr>
        <w:t>23</w:t>
      </w:r>
      <w:r w:rsidR="00CC63CB" w:rsidRPr="00750135">
        <w:rPr>
          <w:rFonts w:ascii="Palatino Linotype" w:eastAsia="Calibri" w:hAnsi="Palatino Linotype" w:cs="Arial"/>
          <w:color w:val="000000" w:themeColor="text1"/>
        </w:rPr>
        <w:t xml:space="preserve">) de </w:t>
      </w:r>
      <w:r w:rsidR="002D1EBB" w:rsidRPr="00750135">
        <w:rPr>
          <w:rFonts w:ascii="Palatino Linotype" w:eastAsia="Calibri" w:hAnsi="Palatino Linotype" w:cs="Arial"/>
          <w:color w:val="000000" w:themeColor="text1"/>
        </w:rPr>
        <w:t>mayo</w:t>
      </w:r>
      <w:r w:rsidR="00CC63CB" w:rsidRPr="00750135">
        <w:rPr>
          <w:rFonts w:ascii="Palatino Linotype" w:eastAsia="Calibri" w:hAnsi="Palatino Linotype" w:cs="Arial"/>
          <w:color w:val="000000" w:themeColor="text1"/>
        </w:rPr>
        <w:t xml:space="preserve"> d</w:t>
      </w:r>
      <w:r w:rsidR="00921375" w:rsidRPr="00750135">
        <w:rPr>
          <w:rFonts w:ascii="Palatino Linotype" w:eastAsia="Calibri" w:hAnsi="Palatino Linotype" w:cs="Arial"/>
          <w:color w:val="000000" w:themeColor="text1"/>
        </w:rPr>
        <w:t xml:space="preserve">e dos mil </w:t>
      </w:r>
      <w:r w:rsidR="00AA37A7" w:rsidRPr="00750135">
        <w:rPr>
          <w:rFonts w:ascii="Palatino Linotype" w:eastAsia="Calibri" w:hAnsi="Palatino Linotype" w:cs="Arial"/>
          <w:color w:val="000000" w:themeColor="text1"/>
        </w:rPr>
        <w:t>veintidós</w:t>
      </w:r>
      <w:r w:rsidR="00CE035D" w:rsidRPr="00750135">
        <w:rPr>
          <w:rFonts w:ascii="Palatino Linotype" w:eastAsia="Calibri" w:hAnsi="Palatino Linotype" w:cs="Arial"/>
          <w:color w:val="000000" w:themeColor="text1"/>
        </w:rPr>
        <w:t xml:space="preserve">, el recurso de revisión </w:t>
      </w:r>
      <w:r w:rsidR="00E95534" w:rsidRPr="00750135">
        <w:rPr>
          <w:rFonts w:ascii="Palatino Linotype" w:hAnsi="Palatino Linotype"/>
          <w:color w:val="000000" w:themeColor="text1"/>
        </w:rPr>
        <w:t xml:space="preserve">fue interpuesto el </w:t>
      </w:r>
      <w:r w:rsidR="00F34503" w:rsidRPr="00750135">
        <w:rPr>
          <w:rFonts w:ascii="Palatino Linotype" w:hAnsi="Palatino Linotype"/>
          <w:color w:val="000000" w:themeColor="text1"/>
        </w:rPr>
        <w:t>dieciocho</w:t>
      </w:r>
      <w:r w:rsidR="00CE035D" w:rsidRPr="00750135">
        <w:rPr>
          <w:rFonts w:ascii="Palatino Linotype" w:hAnsi="Palatino Linotype"/>
          <w:color w:val="000000" w:themeColor="text1"/>
        </w:rPr>
        <w:t xml:space="preserve"> </w:t>
      </w:r>
      <w:r w:rsidR="00921375" w:rsidRPr="00750135">
        <w:rPr>
          <w:rFonts w:ascii="Palatino Linotype" w:hAnsi="Palatino Linotype"/>
          <w:color w:val="000000" w:themeColor="text1"/>
        </w:rPr>
        <w:t>(</w:t>
      </w:r>
      <w:r w:rsidR="00F34503" w:rsidRPr="00750135">
        <w:rPr>
          <w:rFonts w:ascii="Palatino Linotype" w:hAnsi="Palatino Linotype"/>
          <w:color w:val="000000" w:themeColor="text1"/>
        </w:rPr>
        <w:t>1</w:t>
      </w:r>
      <w:r w:rsidR="002D1EBB" w:rsidRPr="00750135">
        <w:rPr>
          <w:rFonts w:ascii="Palatino Linotype" w:hAnsi="Palatino Linotype"/>
          <w:color w:val="000000" w:themeColor="text1"/>
        </w:rPr>
        <w:t>8</w:t>
      </w:r>
      <w:r w:rsidR="00921375" w:rsidRPr="00750135">
        <w:rPr>
          <w:rFonts w:ascii="Palatino Linotype" w:hAnsi="Palatino Linotype"/>
          <w:color w:val="000000" w:themeColor="text1"/>
        </w:rPr>
        <w:t xml:space="preserve">) de </w:t>
      </w:r>
      <w:r w:rsidR="00F34503" w:rsidRPr="00750135">
        <w:rPr>
          <w:rFonts w:ascii="Palatino Linotype" w:hAnsi="Palatino Linotype"/>
          <w:color w:val="000000" w:themeColor="text1"/>
        </w:rPr>
        <w:t>mayo</w:t>
      </w:r>
      <w:r w:rsidR="00061A86" w:rsidRPr="00750135">
        <w:rPr>
          <w:rFonts w:ascii="Palatino Linotype" w:hAnsi="Palatino Linotype"/>
          <w:color w:val="000000" w:themeColor="text1"/>
        </w:rPr>
        <w:t xml:space="preserve"> de dos mil veintidós</w:t>
      </w:r>
      <w:r w:rsidR="00E95534" w:rsidRPr="00750135">
        <w:rPr>
          <w:rFonts w:ascii="Palatino Linotype" w:hAnsi="Palatino Linotype"/>
          <w:color w:val="000000" w:themeColor="text1"/>
        </w:rPr>
        <w:t>, éste</w:t>
      </w:r>
      <w:r w:rsidR="00E95534" w:rsidRPr="0075013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750135">
        <w:rPr>
          <w:rFonts w:ascii="Palatino Linotype" w:hAnsi="Palatino Linotype" w:cs="Arial"/>
          <w:b/>
          <w:color w:val="000000" w:themeColor="text1"/>
        </w:rPr>
        <w:t xml:space="preserve"> </w:t>
      </w:r>
      <w:r w:rsidR="00E95534" w:rsidRPr="00750135">
        <w:rPr>
          <w:rFonts w:ascii="Palatino Linotype" w:hAnsi="Palatino Linotype" w:cs="Arial"/>
          <w:color w:val="000000" w:themeColor="text1"/>
        </w:rPr>
        <w:t>vigente.</w:t>
      </w:r>
    </w:p>
    <w:p w14:paraId="5CB8FFBB" w14:textId="77777777" w:rsidR="00D91544" w:rsidRPr="00750135"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750135"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750135">
        <w:rPr>
          <w:rFonts w:ascii="Palatino Linotype" w:eastAsia="Calibri" w:hAnsi="Palatino Linotype" w:cs="Arial"/>
          <w:color w:val="000000" w:themeColor="text1"/>
        </w:rPr>
        <w:t>C</w:t>
      </w:r>
      <w:r w:rsidR="00AF6795" w:rsidRPr="00750135">
        <w:rPr>
          <w:rFonts w:ascii="Palatino Linotype" w:eastAsia="Calibri" w:hAnsi="Palatino Linotype" w:cs="Arial"/>
          <w:color w:val="000000" w:themeColor="text1"/>
        </w:rPr>
        <w:t>onsecuencia de lo anterior, este</w:t>
      </w:r>
      <w:r w:rsidRPr="00750135">
        <w:rPr>
          <w:rFonts w:ascii="Palatino Linotype" w:eastAsia="Calibri" w:hAnsi="Palatino Linotype" w:cs="Arial"/>
          <w:color w:val="000000" w:themeColor="text1"/>
        </w:rPr>
        <w:t xml:space="preserve"> </w:t>
      </w:r>
      <w:r w:rsidR="00AF6795" w:rsidRPr="00750135">
        <w:rPr>
          <w:rFonts w:ascii="Palatino Linotype" w:eastAsia="Calibri" w:hAnsi="Palatino Linotype" w:cs="Arial"/>
          <w:color w:val="000000" w:themeColor="text1"/>
        </w:rPr>
        <w:t>Órgano Garante</w:t>
      </w:r>
      <w:r w:rsidRPr="00750135">
        <w:rPr>
          <w:rFonts w:ascii="Palatino Linotype" w:eastAsia="Calibri" w:hAnsi="Palatino Linotype" w:cs="Arial"/>
          <w:color w:val="000000" w:themeColor="text1"/>
        </w:rPr>
        <w:t xml:space="preserve"> advierte que </w:t>
      </w:r>
      <w:r w:rsidR="00540208" w:rsidRPr="00750135">
        <w:rPr>
          <w:rFonts w:ascii="Palatino Linotype" w:eastAsia="Calibri" w:hAnsi="Palatino Linotype" w:cs="Arial"/>
          <w:color w:val="000000" w:themeColor="text1"/>
        </w:rPr>
        <w:t xml:space="preserve">el escrito contiene las formalidades previstas por el artículo 180 último párrafo de la Ley </w:t>
      </w:r>
      <w:r w:rsidR="004911B6" w:rsidRPr="00750135">
        <w:rPr>
          <w:rFonts w:ascii="Palatino Linotype" w:eastAsia="Calibri" w:hAnsi="Palatino Linotype" w:cs="Arial"/>
          <w:color w:val="000000" w:themeColor="text1"/>
        </w:rPr>
        <w:t>de Transparencia y Acceso a la Información Pública del Estado de México y Municipios</w:t>
      </w:r>
      <w:r w:rsidR="00540208" w:rsidRPr="00750135">
        <w:rPr>
          <w:rFonts w:ascii="Palatino Linotype" w:eastAsia="Calibri" w:hAnsi="Palatino Linotype" w:cs="Arial"/>
          <w:color w:val="000000" w:themeColor="text1"/>
        </w:rPr>
        <w:t xml:space="preserve">, por lo que es procedente que </w:t>
      </w:r>
      <w:r w:rsidR="004911B6" w:rsidRPr="00750135">
        <w:rPr>
          <w:rFonts w:ascii="Palatino Linotype" w:eastAsia="Calibri" w:hAnsi="Palatino Linotype" w:cs="Arial"/>
          <w:color w:val="000000" w:themeColor="text1"/>
        </w:rPr>
        <w:t>e</w:t>
      </w:r>
      <w:r w:rsidR="00540208" w:rsidRPr="00750135">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5661DD9" w14:textId="2CDF4EE3" w:rsidR="00540208" w:rsidRPr="00750135"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750135">
        <w:rPr>
          <w:rFonts w:ascii="Palatino Linotype" w:hAnsi="Palatino Linotype"/>
          <w:b/>
          <w:color w:val="000000" w:themeColor="text1"/>
          <w:sz w:val="24"/>
          <w:szCs w:val="24"/>
        </w:rPr>
        <w:t>TERCERO</w:t>
      </w:r>
      <w:r w:rsidR="00C50A2B" w:rsidRPr="00750135">
        <w:rPr>
          <w:rFonts w:ascii="Palatino Linotype" w:hAnsi="Palatino Linotype"/>
          <w:b/>
          <w:color w:val="000000" w:themeColor="text1"/>
          <w:sz w:val="24"/>
          <w:szCs w:val="24"/>
        </w:rPr>
        <w:t>. De</w:t>
      </w:r>
      <w:r w:rsidR="00AD76A1" w:rsidRPr="00750135">
        <w:rPr>
          <w:rFonts w:ascii="Palatino Linotype" w:hAnsi="Palatino Linotype"/>
          <w:b/>
          <w:color w:val="000000" w:themeColor="text1"/>
          <w:sz w:val="24"/>
          <w:szCs w:val="24"/>
        </w:rPr>
        <w:t xml:space="preserve">l planteamiento de la </w:t>
      </w:r>
      <w:r w:rsidR="00AD76A1" w:rsidRPr="00750135">
        <w:rPr>
          <w:rFonts w:ascii="Palatino Linotype" w:hAnsi="Palatino Linotype"/>
          <w:b/>
          <w:i/>
          <w:color w:val="000000" w:themeColor="text1"/>
          <w:sz w:val="24"/>
          <w:szCs w:val="24"/>
        </w:rPr>
        <w:t>Litis</w:t>
      </w:r>
      <w:r w:rsidR="00C50A2B" w:rsidRPr="00750135">
        <w:rPr>
          <w:rFonts w:ascii="Palatino Linotype" w:hAnsi="Palatino Linotype"/>
          <w:b/>
          <w:color w:val="000000" w:themeColor="text1"/>
          <w:sz w:val="24"/>
          <w:szCs w:val="24"/>
        </w:rPr>
        <w:t>.</w:t>
      </w:r>
      <w:bookmarkEnd w:id="13"/>
      <w:bookmarkEnd w:id="14"/>
      <w:bookmarkEnd w:id="15"/>
    </w:p>
    <w:p w14:paraId="4231B8D5" w14:textId="77777777" w:rsidR="00540208" w:rsidRPr="00750135" w:rsidRDefault="00540208" w:rsidP="00B31E90">
      <w:pPr>
        <w:rPr>
          <w:rFonts w:ascii="Palatino Linotype" w:hAnsi="Palatino Linotype"/>
          <w:color w:val="000000" w:themeColor="text1"/>
          <w:lang w:eastAsia="en-US"/>
        </w:rPr>
      </w:pPr>
    </w:p>
    <w:bookmarkEnd w:id="16"/>
    <w:bookmarkEnd w:id="17"/>
    <w:p w14:paraId="34E542D1" w14:textId="6FF88359" w:rsidR="00F778B2" w:rsidRPr="0075013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50135">
        <w:rPr>
          <w:rFonts w:ascii="Palatino Linotype" w:hAnsi="Palatino Linotype" w:cs="Arial"/>
          <w:color w:val="000000" w:themeColor="text1"/>
        </w:rPr>
        <w:t>El Recurrente solicitó</w:t>
      </w:r>
      <w:r w:rsidR="00F778B2" w:rsidRPr="00750135">
        <w:rPr>
          <w:rFonts w:ascii="Palatino Linotype" w:hAnsi="Palatino Linotype" w:cs="Arial"/>
          <w:color w:val="000000" w:themeColor="text1"/>
        </w:rPr>
        <w:t xml:space="preserve"> lo siguiente:</w:t>
      </w:r>
    </w:p>
    <w:p w14:paraId="71226947" w14:textId="77777777" w:rsidR="009A3B2B" w:rsidRPr="00750135" w:rsidRDefault="009A3B2B" w:rsidP="009A3B2B">
      <w:pPr>
        <w:spacing w:line="360" w:lineRule="auto"/>
        <w:ind w:left="567" w:right="616"/>
        <w:jc w:val="both"/>
        <w:rPr>
          <w:rFonts w:ascii="Palatino Linotype" w:eastAsia="Times New Roman" w:hAnsi="Palatino Linotype" w:cs="Times New Roman"/>
          <w:i/>
          <w:sz w:val="20"/>
          <w:szCs w:val="22"/>
          <w:lang w:eastAsia="es-MX"/>
        </w:rPr>
      </w:pPr>
    </w:p>
    <w:p w14:paraId="481E4C81"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 ¿Lleva a cabo el municipio acciones tendientes a la armonización contable? ¿Cuáles? </w:t>
      </w:r>
    </w:p>
    <w:p w14:paraId="6DB7B6E4"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lastRenderedPageBreak/>
        <w:t xml:space="preserve">2. ¿A cuanto asciende la deuda total del municipio? Especificar conceptos, nombres de acreedores y montos de deuda, incluyendo deuda por pago de compras, proveedores y juicios (Civiles, mercantiles, laborales y otros) </w:t>
      </w:r>
    </w:p>
    <w:p w14:paraId="074F01C9"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3. ¿Cuántos elementos de seguridad por cada 1000 habitantes tiene el municipio? </w:t>
      </w:r>
    </w:p>
    <w:p w14:paraId="236B5AA6"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4. ¿Cuántos elementos son en total? </w:t>
      </w:r>
    </w:p>
    <w:p w14:paraId="4527BB41"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5. ¿Cuántos elementos se encuentran comisionados a labores distintas a la prevención del delito y seguridad pública? ¿Cuántos tienen función de escolta y cuantos están comisionados al resguardo de instalaciones municipales? </w:t>
      </w:r>
    </w:p>
    <w:p w14:paraId="74FD8ACA"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6. ¿Cuentan los elementos de seguridad con el equipo básico y en qué consiste? </w:t>
      </w:r>
    </w:p>
    <w:p w14:paraId="65494008"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7. ¿El municipio está implementando el Servicio Profesional de Carrera Policial? </w:t>
      </w:r>
    </w:p>
    <w:p w14:paraId="62898DA1"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8. ¿Lleva a cabo el municipio acciones tendientes al cumplimiento de los exámenes de control de confianza? Y ¿Cuándo se realizaron los últimos? </w:t>
      </w:r>
    </w:p>
    <w:p w14:paraId="17D3149B"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9. ¿Existe y se opera un Comisión de Honor y Justicia de los cuerpos de Seguridad Pública? ¿Quiénes la integran? Numero, Nombres, cargos y sueldos y fecha de última sesión. </w:t>
      </w:r>
    </w:p>
    <w:p w14:paraId="44C4C818"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10. ¿Se cuenta con indicadores de medición y seguimiento del personal de policía municipal con participación de instancias ciudadanas? </w:t>
      </w:r>
    </w:p>
    <w:p w14:paraId="5F788E63"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11. ¿El municipio ha gestionado la incorporación de sus elementos de seguridad a la licencia colectiva para la portación de armamento? </w:t>
      </w:r>
    </w:p>
    <w:p w14:paraId="7A6F4D76"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12. ¿Se cuenta con la información referente a la incidencia de delitos y de faltas administrativas? Favor de anexar información desde enero 2022 a la fecha de recepción de la presente. </w:t>
      </w:r>
    </w:p>
    <w:p w14:paraId="3F9D180D"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13. ¿Se operan programas para la prevención de conductas antisociales? </w:t>
      </w:r>
    </w:p>
    <w:p w14:paraId="792D5F36" w14:textId="77777777" w:rsidR="007B6CF2" w:rsidRPr="00750135" w:rsidRDefault="007B6CF2" w:rsidP="007B6CF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 xml:space="preserve">14. ¿Se tiene coordinación interinstitucional con otros órdenes de gobierno en materia de seguridad pública y de qué forma? </w:t>
      </w:r>
    </w:p>
    <w:p w14:paraId="7769A44A" w14:textId="6834B508" w:rsidR="00F34503" w:rsidRPr="00750135" w:rsidRDefault="007B6CF2" w:rsidP="000F6E72">
      <w:pPr>
        <w:pStyle w:val="Prrafodelista"/>
        <w:numPr>
          <w:ilvl w:val="0"/>
          <w:numId w:val="6"/>
        </w:numPr>
        <w:spacing w:line="360" w:lineRule="auto"/>
        <w:ind w:right="49"/>
        <w:jc w:val="both"/>
        <w:rPr>
          <w:rFonts w:ascii="Palatino Linotype" w:eastAsia="Times New Roman" w:hAnsi="Palatino Linotype" w:cs="Times New Roman"/>
          <w:sz w:val="22"/>
          <w:szCs w:val="22"/>
          <w:lang w:eastAsia="es-MX"/>
        </w:rPr>
      </w:pPr>
      <w:r w:rsidRPr="00750135">
        <w:rPr>
          <w:rFonts w:ascii="Palatino Linotype" w:eastAsia="Times New Roman" w:hAnsi="Palatino Linotype" w:cs="Times New Roman"/>
          <w:sz w:val="22"/>
          <w:szCs w:val="22"/>
          <w:lang w:eastAsia="es-MX"/>
        </w:rPr>
        <w:t>15. ¿Se cuenta con índices e identificación de zonas conflictivas y cuál es la metodología?</w:t>
      </w:r>
    </w:p>
    <w:p w14:paraId="5A287894" w14:textId="758D6400" w:rsidR="001961E4" w:rsidRPr="00750135"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50135">
        <w:rPr>
          <w:rFonts w:ascii="Palatino Linotype" w:hAnsi="Palatino Linotype" w:cs="Arial"/>
          <w:color w:val="000000" w:themeColor="text1"/>
        </w:rPr>
        <w:lastRenderedPageBreak/>
        <w:t xml:space="preserve">El Sujeto Obligado </w:t>
      </w:r>
      <w:r w:rsidR="00A16D17" w:rsidRPr="00750135">
        <w:rPr>
          <w:rFonts w:ascii="Palatino Linotype" w:hAnsi="Palatino Linotype" w:cs="Arial"/>
          <w:color w:val="000000" w:themeColor="text1"/>
        </w:rPr>
        <w:t xml:space="preserve">entregó </w:t>
      </w:r>
      <w:r w:rsidR="00F34503" w:rsidRPr="00750135">
        <w:rPr>
          <w:rFonts w:ascii="Palatino Linotype" w:hAnsi="Palatino Linotype" w:cs="Arial"/>
          <w:color w:val="000000" w:themeColor="text1"/>
        </w:rPr>
        <w:t>parte de la información requerida.</w:t>
      </w:r>
    </w:p>
    <w:p w14:paraId="3DF60B3B" w14:textId="77777777" w:rsidR="000152B8" w:rsidRPr="00750135"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650F02E8" w:rsidR="00CC63CB" w:rsidRPr="00750135"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50135">
        <w:rPr>
          <w:rFonts w:ascii="Palatino Linotype" w:eastAsia="Calibri" w:hAnsi="Palatino Linotype" w:cs="Tahoma"/>
          <w:color w:val="000000"/>
          <w:lang w:val="es-ES" w:eastAsia="es-MX"/>
        </w:rPr>
        <w:t>El Particular se inconformó</w:t>
      </w:r>
      <w:r w:rsidR="00CC63CB" w:rsidRPr="00750135">
        <w:rPr>
          <w:rFonts w:ascii="Palatino Linotype" w:eastAsia="Calibri" w:hAnsi="Palatino Linotype" w:cs="Tahoma"/>
          <w:color w:val="000000"/>
          <w:lang w:val="es-ES" w:eastAsia="es-MX"/>
        </w:rPr>
        <w:t xml:space="preserve"> por</w:t>
      </w:r>
      <w:r w:rsidR="007B6CF2" w:rsidRPr="00750135">
        <w:rPr>
          <w:rFonts w:ascii="Palatino Linotype" w:eastAsia="Calibri" w:hAnsi="Palatino Linotype" w:cs="Tahoma"/>
          <w:color w:val="000000"/>
          <w:lang w:val="es-ES" w:eastAsia="es-MX"/>
        </w:rPr>
        <w:t xml:space="preserve"> la </w:t>
      </w:r>
      <w:r w:rsidR="00B50214" w:rsidRPr="00750135">
        <w:rPr>
          <w:rFonts w:ascii="Palatino Linotype" w:eastAsia="Calibri" w:hAnsi="Palatino Linotype" w:cs="Tahoma"/>
          <w:color w:val="000000"/>
          <w:lang w:val="es-ES" w:eastAsia="es-MX"/>
        </w:rPr>
        <w:t>clasificación de la información e información incompleta.</w:t>
      </w:r>
    </w:p>
    <w:p w14:paraId="49E3C58D" w14:textId="77777777" w:rsidR="00CC63CB" w:rsidRPr="00750135" w:rsidRDefault="00CC63CB" w:rsidP="00CC63CB">
      <w:pPr>
        <w:pStyle w:val="Prrafodelista"/>
        <w:rPr>
          <w:rFonts w:ascii="Palatino Linotype" w:eastAsia="Calibri" w:hAnsi="Palatino Linotype" w:cs="Tahoma"/>
          <w:color w:val="000000"/>
          <w:lang w:val="es-ES" w:eastAsia="es-MX"/>
        </w:rPr>
      </w:pPr>
    </w:p>
    <w:p w14:paraId="1C5AB6B5" w14:textId="3E402F90" w:rsidR="009F1566" w:rsidRPr="00750135"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750135">
        <w:rPr>
          <w:rFonts w:ascii="Palatino Linotype" w:hAnsi="Palatino Linotype" w:cs="Arial"/>
          <w:color w:val="000000" w:themeColor="text1"/>
          <w:szCs w:val="23"/>
        </w:rPr>
        <w:t xml:space="preserve">Por lo anterior, la </w:t>
      </w:r>
      <w:r w:rsidRPr="00750135">
        <w:rPr>
          <w:rFonts w:ascii="Palatino Linotype" w:hAnsi="Palatino Linotype" w:cs="Arial"/>
          <w:i/>
          <w:color w:val="000000" w:themeColor="text1"/>
          <w:szCs w:val="23"/>
        </w:rPr>
        <w:t>Litis</w:t>
      </w:r>
      <w:r w:rsidRPr="00750135">
        <w:rPr>
          <w:rFonts w:ascii="Palatino Linotype" w:hAnsi="Palatino Linotype" w:cs="Arial"/>
          <w:color w:val="000000" w:themeColor="text1"/>
          <w:szCs w:val="23"/>
        </w:rPr>
        <w:t xml:space="preserve"> a resolver en el presente recurso se circunscribe en determinar si</w:t>
      </w:r>
      <w:r w:rsidR="002C6561" w:rsidRPr="00750135">
        <w:rPr>
          <w:rFonts w:ascii="Palatino Linotype" w:hAnsi="Palatino Linotype" w:cs="Arial"/>
          <w:color w:val="000000" w:themeColor="text1"/>
          <w:szCs w:val="23"/>
        </w:rPr>
        <w:t xml:space="preserve"> </w:t>
      </w:r>
      <w:r w:rsidR="004B0EB6" w:rsidRPr="00750135">
        <w:rPr>
          <w:rFonts w:ascii="Palatino Linotype" w:hAnsi="Palatino Linotype" w:cs="Arial"/>
          <w:color w:val="000000" w:themeColor="text1"/>
          <w:szCs w:val="23"/>
        </w:rPr>
        <w:t>la respuesta del</w:t>
      </w:r>
      <w:r w:rsidR="002C6561" w:rsidRPr="00750135">
        <w:rPr>
          <w:rFonts w:ascii="Palatino Linotype" w:hAnsi="Palatino Linotype" w:cs="Arial"/>
          <w:color w:val="000000" w:themeColor="text1"/>
          <w:szCs w:val="23"/>
        </w:rPr>
        <w:t xml:space="preserve"> </w:t>
      </w:r>
      <w:r w:rsidR="002C6561" w:rsidRPr="00750135">
        <w:rPr>
          <w:rFonts w:ascii="Palatino Linotype" w:hAnsi="Palatino Linotype" w:cs="Arial"/>
          <w:b/>
          <w:bCs/>
          <w:color w:val="000000" w:themeColor="text1"/>
          <w:szCs w:val="23"/>
        </w:rPr>
        <w:t>SUJETO OBLIGADO</w:t>
      </w:r>
      <w:r w:rsidR="002C6561" w:rsidRPr="00750135">
        <w:rPr>
          <w:rFonts w:ascii="Palatino Linotype" w:hAnsi="Palatino Linotype" w:cs="Arial"/>
          <w:color w:val="000000" w:themeColor="text1"/>
          <w:szCs w:val="23"/>
        </w:rPr>
        <w:t xml:space="preserve"> </w:t>
      </w:r>
      <w:r w:rsidR="004B0EB6" w:rsidRPr="00750135">
        <w:rPr>
          <w:rFonts w:ascii="Palatino Linotype" w:hAnsi="Palatino Linotype" w:cs="Arial"/>
          <w:color w:val="000000" w:themeColor="text1"/>
          <w:szCs w:val="23"/>
        </w:rPr>
        <w:t xml:space="preserve">colma el derecho de acceso a la información ejercido por el </w:t>
      </w:r>
      <w:r w:rsidR="004B0EB6" w:rsidRPr="00750135">
        <w:rPr>
          <w:rFonts w:ascii="Palatino Linotype" w:hAnsi="Palatino Linotype" w:cs="Arial"/>
          <w:b/>
          <w:bCs/>
          <w:color w:val="000000" w:themeColor="text1"/>
          <w:szCs w:val="23"/>
        </w:rPr>
        <w:t>RECURRENTE</w:t>
      </w:r>
      <w:r w:rsidR="002C6561" w:rsidRPr="00750135">
        <w:rPr>
          <w:rFonts w:ascii="Palatino Linotype" w:hAnsi="Palatino Linotype" w:cs="Arial"/>
          <w:color w:val="000000" w:themeColor="text1"/>
          <w:szCs w:val="23"/>
        </w:rPr>
        <w:t>; o si, por el contrario, se</w:t>
      </w:r>
      <w:r w:rsidR="00E32652" w:rsidRPr="00750135">
        <w:rPr>
          <w:rFonts w:ascii="Palatino Linotype" w:hAnsi="Palatino Linotype" w:cs="Arial"/>
          <w:color w:val="000000" w:themeColor="text1"/>
          <w:szCs w:val="23"/>
        </w:rPr>
        <w:t xml:space="preserve"> </w:t>
      </w:r>
      <w:r w:rsidR="0028248C" w:rsidRPr="00750135">
        <w:rPr>
          <w:rFonts w:ascii="Palatino Linotype" w:hAnsi="Palatino Linotype"/>
          <w:color w:val="000000" w:themeColor="text1"/>
        </w:rPr>
        <w:t>actualiza la causal de procedencia</w:t>
      </w:r>
      <w:r w:rsidR="00E66A80" w:rsidRPr="00750135">
        <w:rPr>
          <w:rFonts w:ascii="Palatino Linotype" w:hAnsi="Palatino Linotype" w:cs="Arial"/>
          <w:color w:val="000000" w:themeColor="text1"/>
          <w:szCs w:val="23"/>
        </w:rPr>
        <w:t xml:space="preserve"> del recurso de revisión establecida</w:t>
      </w:r>
      <w:r w:rsidR="00A42161" w:rsidRPr="00750135">
        <w:rPr>
          <w:rFonts w:ascii="Palatino Linotype" w:hAnsi="Palatino Linotype" w:cs="Arial"/>
          <w:color w:val="000000" w:themeColor="text1"/>
          <w:szCs w:val="23"/>
        </w:rPr>
        <w:t xml:space="preserve"> en la fracci</w:t>
      </w:r>
      <w:r w:rsidR="00765786" w:rsidRPr="00750135">
        <w:rPr>
          <w:rFonts w:ascii="Palatino Linotype" w:hAnsi="Palatino Linotype" w:cs="Arial"/>
          <w:color w:val="000000" w:themeColor="text1"/>
          <w:szCs w:val="23"/>
        </w:rPr>
        <w:t>ón</w:t>
      </w:r>
      <w:r w:rsidR="00A42161" w:rsidRPr="00750135">
        <w:rPr>
          <w:rFonts w:ascii="Palatino Linotype" w:hAnsi="Palatino Linotype" w:cs="Arial"/>
          <w:color w:val="000000" w:themeColor="text1"/>
          <w:szCs w:val="23"/>
        </w:rPr>
        <w:t xml:space="preserve"> </w:t>
      </w:r>
      <w:r w:rsidR="007B6CF2" w:rsidRPr="00750135">
        <w:rPr>
          <w:rFonts w:ascii="Palatino Linotype" w:hAnsi="Palatino Linotype" w:cs="Arial"/>
          <w:color w:val="000000" w:themeColor="text1"/>
          <w:szCs w:val="23"/>
        </w:rPr>
        <w:t xml:space="preserve">II </w:t>
      </w:r>
      <w:r w:rsidR="00A42161" w:rsidRPr="00750135">
        <w:rPr>
          <w:rFonts w:ascii="Palatino Linotype" w:hAnsi="Palatino Linotype" w:cs="Arial"/>
          <w:color w:val="000000" w:themeColor="text1"/>
          <w:szCs w:val="23"/>
        </w:rPr>
        <w:t>de</w:t>
      </w:r>
      <w:r w:rsidR="00E66A80" w:rsidRPr="00750135">
        <w:rPr>
          <w:rFonts w:ascii="Palatino Linotype" w:hAnsi="Palatino Linotype" w:cs="Arial"/>
          <w:color w:val="000000" w:themeColor="text1"/>
          <w:szCs w:val="23"/>
        </w:rPr>
        <w:t>l artículo 179</w:t>
      </w:r>
      <w:r w:rsidR="008E4483" w:rsidRPr="00750135">
        <w:rPr>
          <w:rFonts w:ascii="Palatino Linotype" w:hAnsi="Palatino Linotype" w:cs="Arial"/>
          <w:color w:val="000000" w:themeColor="text1"/>
          <w:szCs w:val="23"/>
        </w:rPr>
        <w:t xml:space="preserve"> </w:t>
      </w:r>
      <w:r w:rsidR="00E66A80" w:rsidRPr="00750135">
        <w:rPr>
          <w:rFonts w:ascii="Palatino Linotype" w:hAnsi="Palatino Linotype" w:cs="Arial"/>
          <w:color w:val="000000" w:themeColor="text1"/>
          <w:szCs w:val="23"/>
        </w:rPr>
        <w:t xml:space="preserve">de la Ley de Transparencia y Acceso a la Información Pública del Estado de México y Municipios, </w:t>
      </w:r>
      <w:r w:rsidR="004364EE" w:rsidRPr="00750135">
        <w:rPr>
          <w:rFonts w:ascii="Palatino Linotype" w:hAnsi="Palatino Linotype" w:cs="Arial"/>
          <w:color w:val="000000" w:themeColor="text1"/>
          <w:szCs w:val="23"/>
        </w:rPr>
        <w:t>misma</w:t>
      </w:r>
      <w:r w:rsidR="00C51671" w:rsidRPr="00750135">
        <w:rPr>
          <w:rFonts w:ascii="Palatino Linotype" w:hAnsi="Palatino Linotype" w:cs="Arial"/>
          <w:color w:val="000000" w:themeColor="text1"/>
          <w:szCs w:val="23"/>
        </w:rPr>
        <w:t xml:space="preserve"> </w:t>
      </w:r>
      <w:r w:rsidR="00E66A80" w:rsidRPr="00750135">
        <w:rPr>
          <w:rFonts w:ascii="Palatino Linotype" w:hAnsi="Palatino Linotype" w:cs="Arial"/>
          <w:color w:val="000000" w:themeColor="text1"/>
          <w:szCs w:val="23"/>
        </w:rPr>
        <w:t>que se transcribe a continuación:</w:t>
      </w:r>
    </w:p>
    <w:p w14:paraId="0F0C773B" w14:textId="77777777" w:rsidR="005946F4" w:rsidRPr="00750135" w:rsidRDefault="005946F4" w:rsidP="005946F4">
      <w:pPr>
        <w:pStyle w:val="Prrafodelista"/>
        <w:rPr>
          <w:rFonts w:ascii="Palatino Linotype" w:hAnsi="Palatino Linotype" w:cs="Arial"/>
          <w:color w:val="000000" w:themeColor="text1"/>
          <w:sz w:val="22"/>
          <w:szCs w:val="22"/>
        </w:rPr>
      </w:pPr>
    </w:p>
    <w:p w14:paraId="31379DA7" w14:textId="77777777" w:rsidR="005946F4" w:rsidRPr="00750135" w:rsidRDefault="005946F4" w:rsidP="005946F4">
      <w:pPr>
        <w:tabs>
          <w:tab w:val="left" w:pos="426"/>
        </w:tabs>
        <w:spacing w:line="360" w:lineRule="auto"/>
        <w:ind w:left="567" w:right="616"/>
        <w:jc w:val="both"/>
        <w:rPr>
          <w:rFonts w:ascii="Palatino Linotype" w:hAnsi="Palatino Linotype"/>
          <w:i/>
          <w:iCs/>
          <w:sz w:val="22"/>
          <w:szCs w:val="22"/>
        </w:rPr>
      </w:pPr>
      <w:r w:rsidRPr="00750135">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750135" w:rsidRDefault="00445CA7" w:rsidP="005946F4">
      <w:pPr>
        <w:tabs>
          <w:tab w:val="left" w:pos="426"/>
        </w:tabs>
        <w:spacing w:line="360" w:lineRule="auto"/>
        <w:ind w:left="567" w:right="616"/>
        <w:jc w:val="both"/>
        <w:rPr>
          <w:rFonts w:ascii="Palatino Linotype" w:hAnsi="Palatino Linotype"/>
          <w:i/>
          <w:iCs/>
          <w:sz w:val="22"/>
          <w:szCs w:val="22"/>
        </w:rPr>
      </w:pPr>
      <w:r w:rsidRPr="00750135">
        <w:rPr>
          <w:rFonts w:ascii="Palatino Linotype" w:hAnsi="Palatino Linotype"/>
          <w:i/>
          <w:iCs/>
          <w:sz w:val="22"/>
          <w:szCs w:val="22"/>
        </w:rPr>
        <w:t>…</w:t>
      </w:r>
    </w:p>
    <w:p w14:paraId="649824E1" w14:textId="4F98498E" w:rsidR="00445CA7" w:rsidRPr="00750135" w:rsidRDefault="007B6CF2" w:rsidP="00445CA7">
      <w:pPr>
        <w:tabs>
          <w:tab w:val="left" w:pos="426"/>
        </w:tabs>
        <w:spacing w:line="360" w:lineRule="auto"/>
        <w:ind w:left="567" w:right="616"/>
        <w:jc w:val="both"/>
        <w:rPr>
          <w:rFonts w:ascii="Palatino Linotype" w:hAnsi="Palatino Linotype"/>
          <w:i/>
          <w:sz w:val="22"/>
          <w:szCs w:val="22"/>
        </w:rPr>
      </w:pPr>
      <w:r w:rsidRPr="00750135">
        <w:rPr>
          <w:rFonts w:ascii="Palatino Linotype" w:hAnsi="Palatino Linotype"/>
          <w:i/>
          <w:sz w:val="22"/>
          <w:szCs w:val="22"/>
        </w:rPr>
        <w:t>II. La clasificación de la información;</w:t>
      </w:r>
      <w:r w:rsidRPr="00750135">
        <w:rPr>
          <w:rFonts w:ascii="Palatino Linotype" w:hAnsi="Palatino Linotype"/>
          <w:i/>
          <w:sz w:val="22"/>
          <w:szCs w:val="22"/>
        </w:rPr>
        <w:cr/>
      </w:r>
      <w:r w:rsidR="00445CA7" w:rsidRPr="00750135">
        <w:rPr>
          <w:rFonts w:ascii="Palatino Linotype" w:hAnsi="Palatino Linotype"/>
          <w:i/>
          <w:sz w:val="22"/>
          <w:szCs w:val="22"/>
        </w:rPr>
        <w:t>…</w:t>
      </w:r>
    </w:p>
    <w:p w14:paraId="0BEF70ED" w14:textId="6DBB4665" w:rsidR="00B50214" w:rsidRPr="00750135" w:rsidRDefault="00B50214" w:rsidP="00445CA7">
      <w:pPr>
        <w:tabs>
          <w:tab w:val="left" w:pos="426"/>
        </w:tabs>
        <w:spacing w:line="360" w:lineRule="auto"/>
        <w:ind w:left="567" w:right="616"/>
        <w:jc w:val="both"/>
        <w:rPr>
          <w:rFonts w:ascii="Palatino Linotype" w:hAnsi="Palatino Linotype"/>
          <w:i/>
          <w:sz w:val="22"/>
          <w:szCs w:val="22"/>
        </w:rPr>
      </w:pPr>
      <w:r w:rsidRPr="00750135">
        <w:rPr>
          <w:rFonts w:ascii="Palatino Linotype" w:hAnsi="Palatino Linotype"/>
          <w:i/>
          <w:sz w:val="22"/>
          <w:szCs w:val="22"/>
        </w:rPr>
        <w:t>V. La entrega de información incompleta;</w:t>
      </w:r>
    </w:p>
    <w:p w14:paraId="44888E7F" w14:textId="0B865B7A" w:rsidR="00B50214" w:rsidRPr="00750135" w:rsidRDefault="00B50214" w:rsidP="00445CA7">
      <w:pPr>
        <w:tabs>
          <w:tab w:val="left" w:pos="426"/>
        </w:tabs>
        <w:spacing w:line="360" w:lineRule="auto"/>
        <w:ind w:left="567" w:right="616"/>
        <w:jc w:val="both"/>
        <w:rPr>
          <w:rFonts w:ascii="Palatino Linotype" w:hAnsi="Palatino Linotype"/>
          <w:i/>
          <w:sz w:val="22"/>
          <w:szCs w:val="22"/>
        </w:rPr>
      </w:pPr>
      <w:r w:rsidRPr="00750135">
        <w:rPr>
          <w:rFonts w:ascii="Palatino Linotype" w:hAnsi="Palatino Linotype"/>
          <w:i/>
          <w:sz w:val="22"/>
          <w:szCs w:val="22"/>
        </w:rPr>
        <w:t>…</w:t>
      </w:r>
    </w:p>
    <w:p w14:paraId="26AD5E23" w14:textId="77777777" w:rsidR="008E4483" w:rsidRPr="00750135" w:rsidRDefault="008E4483" w:rsidP="008E4483">
      <w:pPr>
        <w:pStyle w:val="Prrafodelista"/>
        <w:rPr>
          <w:rFonts w:ascii="Palatino Linotype" w:hAnsi="Palatino Linotype" w:cs="Arial"/>
          <w:color w:val="000000" w:themeColor="text1"/>
          <w:sz w:val="22"/>
          <w:szCs w:val="22"/>
        </w:rPr>
      </w:pPr>
    </w:p>
    <w:p w14:paraId="5CEC2F48" w14:textId="1B05DC04" w:rsidR="00EF014A" w:rsidRPr="00750135" w:rsidRDefault="00273D1A" w:rsidP="00F96156">
      <w:pPr>
        <w:pStyle w:val="Ttulo2"/>
        <w:tabs>
          <w:tab w:val="left" w:pos="426"/>
        </w:tabs>
        <w:rPr>
          <w:rFonts w:ascii="Palatino Linotype" w:hAnsi="Palatino Linotype" w:cs="Arial"/>
          <w:b/>
          <w:color w:val="000000" w:themeColor="text1"/>
          <w:sz w:val="24"/>
        </w:rPr>
      </w:pPr>
      <w:bookmarkStart w:id="23" w:name="_Toc87456489"/>
      <w:r w:rsidRPr="00750135">
        <w:rPr>
          <w:rFonts w:ascii="Palatino Linotype" w:hAnsi="Palatino Linotype" w:cs="Arial"/>
          <w:b/>
          <w:color w:val="000000" w:themeColor="text1"/>
          <w:sz w:val="24"/>
        </w:rPr>
        <w:t>CUARTO</w:t>
      </w:r>
      <w:r w:rsidR="00EF014A" w:rsidRPr="00750135">
        <w:rPr>
          <w:rFonts w:ascii="Palatino Linotype" w:hAnsi="Palatino Linotype" w:cs="Arial"/>
          <w:b/>
          <w:color w:val="000000" w:themeColor="text1"/>
          <w:sz w:val="24"/>
        </w:rPr>
        <w:t>. Estudio y Resolución del asunto.</w:t>
      </w:r>
      <w:bookmarkEnd w:id="23"/>
    </w:p>
    <w:p w14:paraId="6E979250" w14:textId="2A34D6B5" w:rsidR="00A55D2B" w:rsidRPr="00750135"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750135"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750135">
        <w:rPr>
          <w:rFonts w:ascii="Palatino Linotype" w:hAnsi="Palatino Linotype"/>
          <w:b/>
          <w:bCs/>
          <w:color w:val="000000" w:themeColor="text1"/>
        </w:rPr>
        <w:t xml:space="preserve">I. De la </w:t>
      </w:r>
      <w:r w:rsidR="00167813" w:rsidRPr="00750135">
        <w:rPr>
          <w:rFonts w:ascii="Palatino Linotype" w:hAnsi="Palatino Linotype"/>
          <w:b/>
          <w:bCs/>
          <w:color w:val="000000" w:themeColor="text1"/>
        </w:rPr>
        <w:t>atención</w:t>
      </w:r>
      <w:r w:rsidR="00D00269" w:rsidRPr="00750135">
        <w:rPr>
          <w:rFonts w:ascii="Palatino Linotype" w:hAnsi="Palatino Linotype"/>
          <w:b/>
          <w:bCs/>
          <w:color w:val="000000" w:themeColor="text1"/>
        </w:rPr>
        <w:t xml:space="preserve"> a la solicitud de información</w:t>
      </w:r>
      <w:r w:rsidRPr="00750135">
        <w:rPr>
          <w:rFonts w:ascii="Palatino Linotype" w:hAnsi="Palatino Linotype"/>
          <w:b/>
          <w:bCs/>
          <w:color w:val="000000" w:themeColor="text1"/>
        </w:rPr>
        <w:t>.</w:t>
      </w:r>
      <w:bookmarkEnd w:id="26"/>
    </w:p>
    <w:p w14:paraId="4AC32336" w14:textId="77777777" w:rsidR="008E4483" w:rsidRPr="00750135"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750135">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750135" w:rsidRDefault="008E4483" w:rsidP="008E4483">
      <w:pPr>
        <w:rPr>
          <w:lang w:val="es-ES"/>
        </w:rPr>
      </w:pPr>
    </w:p>
    <w:p w14:paraId="7178C08C" w14:textId="77777777" w:rsidR="008E4483" w:rsidRPr="00750135" w:rsidRDefault="008E4483" w:rsidP="008E4483">
      <w:pPr>
        <w:numPr>
          <w:ilvl w:val="0"/>
          <w:numId w:val="1"/>
        </w:numPr>
        <w:spacing w:line="360" w:lineRule="auto"/>
        <w:ind w:right="34"/>
        <w:contextualSpacing/>
        <w:jc w:val="both"/>
        <w:rPr>
          <w:rFonts w:ascii="Palatino Linotype" w:eastAsia="MS Mincho" w:hAnsi="Palatino Linotype" w:cs="Arial"/>
        </w:rPr>
      </w:pPr>
      <w:r w:rsidRPr="00750135">
        <w:rPr>
          <w:rFonts w:ascii="Palatino Linotype" w:hAnsi="Palatino Linotype" w:cs="Arial"/>
          <w:color w:val="000000"/>
          <w:lang w:eastAsia="es-MX"/>
        </w:rPr>
        <w:lastRenderedPageBreak/>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50135">
        <w:rPr>
          <w:rFonts w:ascii="Palatino Linotype" w:hAnsi="Palatino Linotype" w:cs="Arial"/>
          <w:color w:val="000000"/>
        </w:rPr>
        <w:t xml:space="preserve"> </w:t>
      </w:r>
      <w:r w:rsidRPr="00750135">
        <w:rPr>
          <w:rFonts w:ascii="Palatino Linotype" w:hAnsi="Palatino Linotype" w:cs="Arial"/>
          <w:b/>
          <w:color w:val="000000"/>
        </w:rPr>
        <w:t>SUJETO OBLIGADO</w:t>
      </w:r>
      <w:r w:rsidRPr="00750135">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50135">
        <w:rPr>
          <w:rFonts w:ascii="Palatino Linotype" w:hAnsi="Palatino Linotype" w:cs="Arial"/>
          <w:b/>
          <w:color w:val="000000"/>
        </w:rPr>
        <w:t xml:space="preserve">Constitución Política de los Estados Unidos Mexicanos </w:t>
      </w:r>
      <w:r w:rsidRPr="00750135">
        <w:rPr>
          <w:rFonts w:ascii="Palatino Linotype" w:hAnsi="Palatino Linotype" w:cs="Arial"/>
          <w:color w:val="000000"/>
        </w:rPr>
        <w:t xml:space="preserve">al señalar la obligación de “promover, </w:t>
      </w:r>
      <w:r w:rsidRPr="00750135">
        <w:rPr>
          <w:rFonts w:ascii="Palatino Linotype" w:hAnsi="Palatino Linotype" w:cs="Arial"/>
          <w:b/>
          <w:color w:val="000000"/>
        </w:rPr>
        <w:t>respetar</w:t>
      </w:r>
      <w:r w:rsidRPr="00750135">
        <w:rPr>
          <w:rFonts w:ascii="Palatino Linotype" w:hAnsi="Palatino Linotype" w:cs="Arial"/>
          <w:color w:val="000000"/>
        </w:rPr>
        <w:t xml:space="preserve">, proteger y </w:t>
      </w:r>
      <w:r w:rsidRPr="00750135">
        <w:rPr>
          <w:rFonts w:ascii="Palatino Linotype" w:hAnsi="Palatino Linotype" w:cs="Arial"/>
          <w:b/>
          <w:color w:val="000000"/>
        </w:rPr>
        <w:t>garantizar</w:t>
      </w:r>
      <w:r w:rsidRPr="00750135">
        <w:rPr>
          <w:rFonts w:ascii="Palatino Linotype" w:hAnsi="Palatino Linotype" w:cs="Arial"/>
          <w:color w:val="000000"/>
        </w:rPr>
        <w:t xml:space="preserve"> los derechos humanos”, entre los cuales se encuentra dicho derecho. </w:t>
      </w:r>
    </w:p>
    <w:p w14:paraId="407FBD4F" w14:textId="77777777" w:rsidR="008E4483" w:rsidRPr="00750135"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75013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50135">
        <w:rPr>
          <w:rFonts w:ascii="Palatino Linotype" w:hAnsi="Palatino Linotype"/>
        </w:rPr>
        <w:t xml:space="preserve">Definiendo el Derecho de Acceso a la Información Pública como: </w:t>
      </w:r>
      <w:r w:rsidRPr="00750135">
        <w:rPr>
          <w:rFonts w:ascii="Palatino Linotype" w:hAnsi="Palatino Linotype"/>
          <w:i/>
          <w:color w:val="000000"/>
          <w:sz w:val="22"/>
        </w:rPr>
        <w:t>La igualdad de oportunidades para recibir, buscar e impartir información</w:t>
      </w:r>
      <w:r w:rsidRPr="00750135">
        <w:rPr>
          <w:rFonts w:ascii="Palatino Linotype" w:hAnsi="Palatino Linotype"/>
          <w:i/>
          <w:color w:val="000000"/>
          <w:sz w:val="22"/>
          <w:vertAlign w:val="superscript"/>
        </w:rPr>
        <w:footnoteReference w:id="1"/>
      </w:r>
      <w:r w:rsidRPr="00750135">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50135">
        <w:rPr>
          <w:rFonts w:ascii="Palatino Linotype" w:hAnsi="Palatino Linotype"/>
          <w:i/>
          <w:color w:val="000000"/>
          <w:sz w:val="22"/>
          <w:vertAlign w:val="superscript"/>
        </w:rPr>
        <w:footnoteReference w:id="2"/>
      </w:r>
      <w:r w:rsidRPr="00750135">
        <w:rPr>
          <w:rFonts w:ascii="Palatino Linotype" w:hAnsi="Palatino Linotype"/>
          <w:color w:val="000000"/>
          <w:sz w:val="22"/>
        </w:rPr>
        <w:t>que se constituye como una herramienta fundamental para ejercer</w:t>
      </w:r>
      <w:r w:rsidRPr="00750135">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750135">
        <w:rPr>
          <w:rFonts w:ascii="Palatino Linotype" w:hAnsi="Palatino Linotype"/>
          <w:i/>
          <w:color w:val="000000"/>
          <w:sz w:val="22"/>
          <w:vertAlign w:val="superscript"/>
        </w:rPr>
        <w:footnoteReference w:id="3"/>
      </w:r>
      <w:r w:rsidRPr="00750135">
        <w:rPr>
          <w:rFonts w:ascii="Palatino Linotype" w:hAnsi="Palatino Linotype"/>
          <w:color w:val="000000"/>
          <w:sz w:val="22"/>
        </w:rPr>
        <w:t>fomentando</w:t>
      </w:r>
      <w:r w:rsidRPr="00750135">
        <w:rPr>
          <w:rFonts w:ascii="Palatino Linotype" w:hAnsi="Palatino Linotype"/>
          <w:i/>
          <w:color w:val="000000"/>
          <w:sz w:val="22"/>
        </w:rPr>
        <w:t xml:space="preserve"> la transparencia de las actividades estatales y </w:t>
      </w:r>
      <w:r w:rsidRPr="00750135">
        <w:rPr>
          <w:rFonts w:ascii="Palatino Linotype" w:hAnsi="Palatino Linotype"/>
          <w:color w:val="000000"/>
          <w:sz w:val="22"/>
        </w:rPr>
        <w:t>promoviendo</w:t>
      </w:r>
      <w:r w:rsidRPr="00750135">
        <w:rPr>
          <w:rFonts w:ascii="Palatino Linotype" w:hAnsi="Palatino Linotype"/>
          <w:i/>
          <w:color w:val="000000"/>
          <w:sz w:val="22"/>
        </w:rPr>
        <w:t xml:space="preserve"> la responsabilidad de los funcionarios sobre su gestión </w:t>
      </w:r>
      <w:r w:rsidRPr="00750135">
        <w:rPr>
          <w:rFonts w:ascii="Palatino Linotype" w:hAnsi="Palatino Linotype"/>
          <w:i/>
          <w:color w:val="000000"/>
          <w:sz w:val="22"/>
        </w:rPr>
        <w:lastRenderedPageBreak/>
        <w:t>pública,</w:t>
      </w:r>
      <w:r w:rsidRPr="00750135">
        <w:rPr>
          <w:rFonts w:ascii="Palatino Linotype" w:hAnsi="Palatino Linotype"/>
          <w:i/>
          <w:color w:val="000000"/>
          <w:sz w:val="22"/>
          <w:vertAlign w:val="superscript"/>
        </w:rPr>
        <w:footnoteReference w:id="4"/>
      </w:r>
      <w:r w:rsidRPr="00750135">
        <w:rPr>
          <w:rFonts w:ascii="Palatino Linotype" w:hAnsi="Palatino Linotype"/>
          <w:color w:val="000000"/>
          <w:sz w:val="22"/>
        </w:rPr>
        <w:t>que permite</w:t>
      </w:r>
      <w:r w:rsidRPr="00750135">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750135" w:rsidRDefault="008E4483" w:rsidP="008E4483">
      <w:pPr>
        <w:tabs>
          <w:tab w:val="left" w:pos="284"/>
        </w:tabs>
        <w:contextualSpacing/>
        <w:rPr>
          <w:rFonts w:ascii="Palatino Linotype" w:hAnsi="Palatino Linotype"/>
        </w:rPr>
      </w:pPr>
    </w:p>
    <w:p w14:paraId="223832E3" w14:textId="3A93AA98" w:rsidR="008E4483" w:rsidRPr="00750135"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750135">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750135" w:rsidRDefault="008E4483" w:rsidP="008E4483">
      <w:pPr>
        <w:tabs>
          <w:tab w:val="left" w:pos="284"/>
        </w:tabs>
        <w:spacing w:before="240" w:after="240" w:line="360" w:lineRule="auto"/>
        <w:contextualSpacing/>
        <w:jc w:val="both"/>
        <w:rPr>
          <w:rFonts w:ascii="Palatino Linotype" w:hAnsi="Palatino Linotype"/>
          <w:i/>
        </w:rPr>
      </w:pPr>
      <w:r w:rsidRPr="00750135">
        <w:rPr>
          <w:rFonts w:ascii="Palatino Linotype" w:hAnsi="Palatino Linotype"/>
          <w:i/>
        </w:rPr>
        <w:t xml:space="preserve"> </w:t>
      </w:r>
    </w:p>
    <w:p w14:paraId="18789162" w14:textId="77777777" w:rsidR="008E4483" w:rsidRPr="00750135" w:rsidRDefault="008E4483" w:rsidP="008E4483">
      <w:pPr>
        <w:numPr>
          <w:ilvl w:val="0"/>
          <w:numId w:val="1"/>
        </w:numPr>
        <w:tabs>
          <w:tab w:val="left" w:pos="284"/>
        </w:tabs>
        <w:spacing w:before="240" w:line="360" w:lineRule="auto"/>
        <w:contextualSpacing/>
        <w:jc w:val="both"/>
        <w:rPr>
          <w:rFonts w:ascii="Palatino Linotype" w:hAnsi="Palatino Linotype"/>
        </w:rPr>
      </w:pPr>
      <w:r w:rsidRPr="00750135">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50135">
        <w:rPr>
          <w:rFonts w:ascii="Palatino Linotype" w:hAnsi="Palatino Linotype" w:cs="Arial"/>
          <w:i/>
          <w:sz w:val="22"/>
        </w:rPr>
        <w:t>por los principios de simplicidad, rapidez gratuidad del procedimiento, auxilio y orientación a los particulares</w:t>
      </w:r>
      <w:r w:rsidRPr="00750135">
        <w:rPr>
          <w:rFonts w:ascii="Palatino Linotype" w:hAnsi="Palatino Linotype" w:cs="Arial"/>
          <w:sz w:val="22"/>
        </w:rPr>
        <w:t xml:space="preserve">, contemplando el derecho de las personas con discapacidad y hablantes de lengua indígena. </w:t>
      </w:r>
    </w:p>
    <w:p w14:paraId="646E1459" w14:textId="77777777" w:rsidR="008E4483" w:rsidRPr="00750135"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750135"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750135">
        <w:rPr>
          <w:rFonts w:ascii="Palatino Linotype" w:hAnsi="Palatino Linotype"/>
        </w:rPr>
        <w:t xml:space="preserve">Es así que la </w:t>
      </w:r>
      <w:r w:rsidRPr="00750135">
        <w:rPr>
          <w:rFonts w:ascii="Palatino Linotype" w:hAnsi="Palatino Linotype"/>
          <w:b/>
        </w:rPr>
        <w:t xml:space="preserve">Ley de Transparencia y Acceso a la Información Pública del Estado de México y Municipios, </w:t>
      </w:r>
      <w:r w:rsidRPr="00750135">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750135">
        <w:rPr>
          <w:rFonts w:ascii="Palatino Linotype" w:hAnsi="Palatino Linotype"/>
          <w:b/>
        </w:rPr>
        <w:t xml:space="preserve"> </w:t>
      </w:r>
      <w:r w:rsidRPr="00750135">
        <w:rPr>
          <w:rFonts w:ascii="Palatino Linotype" w:hAnsi="Palatino Linotype"/>
        </w:rPr>
        <w:t xml:space="preserve">establece que </w:t>
      </w:r>
      <w:r w:rsidRPr="00750135">
        <w:rPr>
          <w:rFonts w:ascii="Palatino Linotype" w:hAnsi="Palatino Linotype"/>
          <w:b/>
          <w:i/>
          <w:sz w:val="22"/>
          <w:u w:val="single"/>
        </w:rPr>
        <w:t>el recurso de revisión es la garantía secundaria</w:t>
      </w:r>
      <w:r w:rsidRPr="00750135">
        <w:rPr>
          <w:rFonts w:ascii="Palatino Linotype" w:hAnsi="Palatino Linotype"/>
          <w:b/>
          <w:i/>
          <w:sz w:val="22"/>
        </w:rPr>
        <w:t xml:space="preserve"> mediante la cual se pretende reparar cualquier posible afectación al derecho de acceso a la información pública</w:t>
      </w:r>
      <w:r w:rsidRPr="00750135">
        <w:rPr>
          <w:rFonts w:ascii="Palatino Linotype" w:hAnsi="Palatino Linotype"/>
          <w:b/>
          <w:sz w:val="22"/>
        </w:rPr>
        <w:t>, s</w:t>
      </w:r>
      <w:r w:rsidRPr="00750135">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750135">
        <w:rPr>
          <w:rFonts w:ascii="Palatino Linotype" w:hAnsi="Palatino Linotype"/>
          <w:sz w:val="22"/>
        </w:rPr>
        <w:t xml:space="preserve"> </w:t>
      </w:r>
    </w:p>
    <w:p w14:paraId="62B78458" w14:textId="77777777" w:rsidR="008E4483" w:rsidRPr="00750135" w:rsidRDefault="008E4483" w:rsidP="008E4483">
      <w:pPr>
        <w:tabs>
          <w:tab w:val="left" w:pos="284"/>
        </w:tabs>
        <w:rPr>
          <w:rFonts w:ascii="Palatino Linotype" w:eastAsia="MS Mincho" w:hAnsi="Palatino Linotype" w:cs="Arial"/>
        </w:rPr>
      </w:pPr>
    </w:p>
    <w:p w14:paraId="355D07B3" w14:textId="77777777" w:rsidR="008E4483" w:rsidRPr="00750135"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750135">
        <w:rPr>
          <w:rFonts w:ascii="Palatino Linotype" w:eastAsia="Calibri" w:hAnsi="Palatino Linotype"/>
        </w:rPr>
        <w:lastRenderedPageBreak/>
        <w:t xml:space="preserve">Establecido lo anterior, resulta evidente que las razones o motivos de inconformidad hechos valer en el recurso de revisión resultan </w:t>
      </w:r>
      <w:r w:rsidRPr="00750135">
        <w:rPr>
          <w:rFonts w:ascii="Palatino Linotype" w:eastAsia="Calibri" w:hAnsi="Palatino Linotype"/>
          <w:b/>
        </w:rPr>
        <w:t>fundadas y procedentes</w:t>
      </w:r>
      <w:r w:rsidRPr="00750135">
        <w:rPr>
          <w:rFonts w:ascii="Palatino Linotype" w:eastAsia="Calibri" w:hAnsi="Palatino Linotype"/>
        </w:rPr>
        <w:t xml:space="preserve">, debido a que el </w:t>
      </w:r>
      <w:r w:rsidRPr="00750135">
        <w:rPr>
          <w:rFonts w:ascii="Palatino Linotype" w:eastAsia="Calibri" w:hAnsi="Palatino Linotype"/>
          <w:b/>
        </w:rPr>
        <w:t>SUJETO OBLIGADO</w:t>
      </w:r>
      <w:r w:rsidRPr="00750135">
        <w:rPr>
          <w:rFonts w:ascii="Palatino Linotype" w:eastAsia="Calibri" w:hAnsi="Palatino Linotype"/>
        </w:rPr>
        <w:t xml:space="preserve"> proporcionó información que no corresponde con lo solicitado.</w:t>
      </w:r>
    </w:p>
    <w:p w14:paraId="4CFD2ECD" w14:textId="0AA5462A" w:rsidR="008E4483" w:rsidRPr="00750135"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750135">
        <w:rPr>
          <w:rFonts w:ascii="Palatino Linotype" w:hAnsi="Palatino Linotype" w:cs="Arial"/>
        </w:rPr>
        <w:t xml:space="preserve">Ahora bien, para entender los alcances de la información pública se considera importante citar el criterio </w:t>
      </w:r>
      <w:r w:rsidRPr="00750135">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50135">
        <w:rPr>
          <w:rFonts w:ascii="Palatino Linotype" w:hAnsi="Palatino Linotype" w:cs="Arial"/>
        </w:rPr>
        <w:t>cuyo rubro y texto dispone:</w:t>
      </w:r>
    </w:p>
    <w:p w14:paraId="27F940F8" w14:textId="77777777" w:rsidR="008E4483" w:rsidRPr="00750135"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750135"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750135">
        <w:rPr>
          <w:rFonts w:ascii="Palatino Linotype" w:hAnsi="Palatino Linotype" w:cs="Arial"/>
          <w:b/>
          <w:i/>
          <w:sz w:val="22"/>
          <w:szCs w:val="22"/>
          <w:lang w:eastAsia="es-MX"/>
        </w:rPr>
        <w:t>“CRITERIO 0002-11</w:t>
      </w:r>
    </w:p>
    <w:p w14:paraId="0FACDA68" w14:textId="77777777" w:rsidR="008E4483" w:rsidRPr="0075013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50135">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750135">
        <w:rPr>
          <w:rFonts w:ascii="Palatino Linotype" w:hAnsi="Palatino Linotype" w:cs="Arial"/>
          <w:b/>
          <w:bCs/>
          <w:i/>
          <w:sz w:val="22"/>
          <w:szCs w:val="22"/>
          <w:lang w:eastAsia="es-MX"/>
        </w:rPr>
        <w:t xml:space="preserve">V, XV, Y XVI, </w:t>
      </w:r>
      <w:r w:rsidRPr="00750135">
        <w:rPr>
          <w:rFonts w:ascii="Palatino Linotype" w:hAnsi="Palatino Linotype" w:cs="Arial"/>
          <w:b/>
          <w:i/>
          <w:sz w:val="22"/>
          <w:szCs w:val="22"/>
          <w:lang w:eastAsia="es-MX"/>
        </w:rPr>
        <w:t>3, 4,11 Y 41.</w:t>
      </w:r>
      <w:r w:rsidRPr="0075013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75013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50135">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75013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50135">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750135"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750135">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750135" w:rsidRDefault="008E4483" w:rsidP="008E4483">
      <w:pPr>
        <w:ind w:left="567" w:right="567"/>
        <w:jc w:val="both"/>
        <w:rPr>
          <w:rFonts w:ascii="Palatino Linotype" w:hAnsi="Palatino Linotype" w:cs="Arial"/>
          <w:i/>
          <w:color w:val="000000" w:themeColor="text1"/>
          <w:sz w:val="22"/>
          <w:szCs w:val="22"/>
        </w:rPr>
      </w:pPr>
      <w:r w:rsidRPr="00750135">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750135"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750135"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750135">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750135">
        <w:rPr>
          <w:rFonts w:ascii="Palatino Linotype" w:eastAsiaTheme="minorHAnsi" w:hAnsi="Palatino Linotype" w:cs="Bookman Old Style,Bold"/>
          <w:b/>
          <w:bCs/>
          <w:i/>
          <w:sz w:val="22"/>
          <w:lang w:eastAsia="en-US"/>
        </w:rPr>
        <w:t xml:space="preserve">XI. Documento: </w:t>
      </w:r>
      <w:r w:rsidRPr="00750135">
        <w:rPr>
          <w:rFonts w:ascii="Palatino Linotype" w:eastAsiaTheme="minorHAnsi" w:hAnsi="Palatino Linotype" w:cs="Bookman Old Style"/>
          <w:i/>
          <w:sz w:val="22"/>
          <w:lang w:eastAsia="en-US"/>
        </w:rPr>
        <w:t xml:space="preserve">Los expedientes, reportes, estudios, actas, resoluciones, </w:t>
      </w:r>
      <w:r w:rsidRPr="00750135">
        <w:rPr>
          <w:rFonts w:ascii="Palatino Linotype" w:eastAsiaTheme="minorHAnsi" w:hAnsi="Palatino Linotype" w:cs="Bookman Old Style"/>
          <w:b/>
          <w:i/>
          <w:sz w:val="22"/>
          <w:lang w:eastAsia="en-US"/>
        </w:rPr>
        <w:t>oficios,</w:t>
      </w:r>
      <w:r w:rsidRPr="00750135">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750135">
        <w:rPr>
          <w:rFonts w:ascii="Palatino Linotype" w:eastAsiaTheme="minorHAnsi" w:hAnsi="Palatino Linotype" w:cs="Bookman Old Style"/>
          <w:b/>
          <w:i/>
          <w:sz w:val="22"/>
          <w:lang w:eastAsia="en-US"/>
        </w:rPr>
        <w:t>cualquier otro registro</w:t>
      </w:r>
      <w:r w:rsidRPr="00750135">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750135"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75013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50135">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750135"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750135" w:rsidRDefault="008E4483" w:rsidP="003B5FD2">
      <w:pPr>
        <w:pStyle w:val="Prrafodelista"/>
        <w:numPr>
          <w:ilvl w:val="0"/>
          <w:numId w:val="4"/>
        </w:numPr>
        <w:spacing w:line="360" w:lineRule="auto"/>
        <w:jc w:val="both"/>
        <w:rPr>
          <w:rFonts w:ascii="Palatino Linotype" w:eastAsia="Calibri" w:hAnsi="Palatino Linotype" w:cs="Arial"/>
        </w:rPr>
      </w:pPr>
      <w:r w:rsidRPr="00750135">
        <w:rPr>
          <w:rFonts w:ascii="Palatino Linotype" w:hAnsi="Palatino Linotype"/>
          <w:color w:val="000000" w:themeColor="text1"/>
        </w:rPr>
        <w:t xml:space="preserve">Resulta necesario referir que, el </w:t>
      </w:r>
      <w:r w:rsidRPr="00750135">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50135">
        <w:rPr>
          <w:rFonts w:ascii="Palatino Linotype" w:eastAsia="Calibri" w:hAnsi="Palatino Linotype" w:cs="Arial"/>
          <w:b/>
        </w:rPr>
        <w:t>los Sujetos Obligados deberán documentar todo acto que se derive del ejercicio de sus facultades, competencias o funciones,</w:t>
      </w:r>
      <w:r w:rsidRPr="00750135">
        <w:rPr>
          <w:rFonts w:ascii="Palatino Linotype" w:eastAsia="Calibri" w:hAnsi="Palatino Linotype" w:cs="Arial"/>
        </w:rPr>
        <w:t xml:space="preserve"> considerando desde su origen la eventual publicidad y reutilización de la información que generen, posean o administren.</w:t>
      </w:r>
    </w:p>
    <w:p w14:paraId="308FCB42" w14:textId="77777777" w:rsidR="008E4483" w:rsidRPr="00750135" w:rsidRDefault="008E4483" w:rsidP="003B5FD2">
      <w:pPr>
        <w:pStyle w:val="Prrafodelista"/>
        <w:numPr>
          <w:ilvl w:val="0"/>
          <w:numId w:val="4"/>
        </w:numPr>
        <w:spacing w:line="360" w:lineRule="auto"/>
        <w:jc w:val="both"/>
        <w:rPr>
          <w:rFonts w:ascii="Palatino Linotype" w:eastAsia="Calibri" w:hAnsi="Palatino Linotype" w:cs="Arial"/>
        </w:rPr>
      </w:pPr>
      <w:r w:rsidRPr="00750135">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750135" w:rsidRDefault="008E4483" w:rsidP="008E4483">
      <w:pPr>
        <w:pStyle w:val="Prrafodelista"/>
        <w:spacing w:line="360" w:lineRule="auto"/>
        <w:rPr>
          <w:rFonts w:ascii="Palatino Linotype" w:hAnsi="Palatino Linotype" w:cs="Arial"/>
          <w:color w:val="000000"/>
        </w:rPr>
      </w:pPr>
    </w:p>
    <w:p w14:paraId="0DE0F687"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50135">
        <w:rPr>
          <w:rFonts w:ascii="Palatino Linotype" w:hAnsi="Palatino Linotype" w:cs="Bookman Old Style,Bold"/>
          <w:b/>
          <w:bCs/>
          <w:i/>
          <w:sz w:val="22"/>
        </w:rPr>
        <w:t xml:space="preserve">Artículo 4. </w:t>
      </w:r>
      <w:r w:rsidRPr="00750135">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50135">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50135">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750135">
        <w:rPr>
          <w:rFonts w:ascii="Palatino Linotype" w:hAnsi="Palatino Linotype" w:cs="Bookman Old Style,Bold"/>
          <w:b/>
          <w:bCs/>
          <w:i/>
          <w:sz w:val="22"/>
        </w:rPr>
        <w:t xml:space="preserve">Artículo 12. </w:t>
      </w:r>
      <w:r w:rsidRPr="00750135">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750135"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750135">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750135">
        <w:rPr>
          <w:rFonts w:ascii="Palatino Linotype" w:hAnsi="Palatino Linotype" w:cs="Bookman Old Style"/>
          <w:b/>
          <w:i/>
          <w:sz w:val="22"/>
        </w:rPr>
        <w:t xml:space="preserve">La obligación de proporcionar información no comprende el procesamiento de la misma, ni el </w:t>
      </w:r>
      <w:r w:rsidRPr="00750135">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750135"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75013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50135">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50135">
        <w:rPr>
          <w:rStyle w:val="Refdenotaalpie"/>
          <w:lang w:val="es-ES"/>
        </w:rPr>
        <w:footnoteReference w:id="5"/>
      </w:r>
      <w:r w:rsidRPr="00750135">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750135"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75013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50135">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750135" w:rsidRDefault="008E4483" w:rsidP="001636EB">
      <w:pPr>
        <w:pStyle w:val="Prrafodelista"/>
        <w:tabs>
          <w:tab w:val="left" w:pos="851"/>
        </w:tabs>
        <w:spacing w:line="360" w:lineRule="auto"/>
        <w:ind w:left="567" w:right="567"/>
        <w:jc w:val="both"/>
        <w:rPr>
          <w:rFonts w:ascii="Palatino Linotype" w:hAnsi="Palatino Linotype"/>
          <w:i/>
          <w:sz w:val="22"/>
        </w:rPr>
      </w:pPr>
      <w:r w:rsidRPr="00750135">
        <w:rPr>
          <w:rFonts w:ascii="Palatino Linotype" w:hAnsi="Palatino Linotype"/>
          <w:b/>
          <w:i/>
          <w:sz w:val="22"/>
        </w:rPr>
        <w:t>ACCESO A LA INFORMACIÓN. IMPLICACIÓN DEL PRINCIPIO DE MÁXIMA PUBLICIDAD EN EL DERECHO FUNDAMENTAL RELATIVO.</w:t>
      </w:r>
      <w:r w:rsidRPr="00750135">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750135">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750135"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750135" w:rsidRDefault="008E4483" w:rsidP="001636EB">
      <w:pPr>
        <w:pStyle w:val="Prrafodelista"/>
        <w:tabs>
          <w:tab w:val="left" w:pos="851"/>
        </w:tabs>
        <w:spacing w:line="360" w:lineRule="auto"/>
        <w:ind w:left="567" w:right="567"/>
        <w:jc w:val="both"/>
        <w:rPr>
          <w:rFonts w:ascii="Palatino Linotype" w:hAnsi="Palatino Linotype"/>
          <w:i/>
          <w:sz w:val="22"/>
        </w:rPr>
      </w:pPr>
      <w:r w:rsidRPr="00750135">
        <w:rPr>
          <w:rFonts w:ascii="Palatino Linotype" w:hAnsi="Palatino Linotype"/>
          <w:i/>
          <w:sz w:val="22"/>
        </w:rPr>
        <w:t xml:space="preserve">CUARTO TRIBUNAL COLEGIADO EN MATERIA ADMINISTRATIVA DEL PRIMER CIRCUITO. </w:t>
      </w:r>
    </w:p>
    <w:p w14:paraId="31A63FA8" w14:textId="77777777" w:rsidR="008E4483" w:rsidRPr="00750135"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750135" w:rsidRDefault="008E4483" w:rsidP="001636EB">
      <w:pPr>
        <w:pStyle w:val="Prrafodelista"/>
        <w:tabs>
          <w:tab w:val="left" w:pos="851"/>
        </w:tabs>
        <w:spacing w:line="360" w:lineRule="auto"/>
        <w:ind w:left="567" w:right="567"/>
        <w:jc w:val="both"/>
        <w:rPr>
          <w:rFonts w:ascii="Palatino Linotype" w:hAnsi="Palatino Linotype"/>
          <w:i/>
          <w:sz w:val="22"/>
        </w:rPr>
      </w:pPr>
      <w:r w:rsidRPr="00750135">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750135"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750135"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750135">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750135"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750135"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750135">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b/>
          <w:i/>
          <w:sz w:val="22"/>
        </w:rPr>
        <w:t>“Artículo 6o.</w:t>
      </w:r>
      <w:r w:rsidRPr="0075013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50135">
        <w:rPr>
          <w:rFonts w:ascii="Palatino Linotype" w:hAnsi="Palatino Linotype" w:cs="Arial"/>
          <w:b/>
          <w:i/>
          <w:sz w:val="22"/>
        </w:rPr>
        <w:t>El derecho a la información será garantizado por el Estado.</w:t>
      </w:r>
      <w:r w:rsidRPr="00750135">
        <w:rPr>
          <w:rFonts w:ascii="Palatino Linotype" w:hAnsi="Palatino Linotype" w:cs="Arial"/>
          <w:i/>
          <w:sz w:val="22"/>
        </w:rPr>
        <w:t xml:space="preserve"> </w:t>
      </w:r>
    </w:p>
    <w:p w14:paraId="4AC38F1F" w14:textId="77777777" w:rsidR="008E4483" w:rsidRPr="00750135" w:rsidRDefault="008E4483" w:rsidP="001636EB">
      <w:pPr>
        <w:spacing w:line="360" w:lineRule="auto"/>
        <w:ind w:left="567" w:right="567"/>
        <w:jc w:val="both"/>
        <w:rPr>
          <w:rFonts w:ascii="Palatino Linotype" w:hAnsi="Palatino Linotype" w:cs="Arial"/>
          <w:i/>
          <w:sz w:val="22"/>
        </w:rPr>
      </w:pPr>
    </w:p>
    <w:p w14:paraId="4B5681D6"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750135" w:rsidRDefault="008E4483" w:rsidP="001636EB">
      <w:pPr>
        <w:spacing w:line="360" w:lineRule="auto"/>
        <w:ind w:left="567" w:right="567"/>
        <w:jc w:val="both"/>
        <w:rPr>
          <w:rFonts w:ascii="Palatino Linotype" w:hAnsi="Palatino Linotype" w:cs="Arial"/>
          <w:i/>
          <w:sz w:val="22"/>
        </w:rPr>
      </w:pPr>
    </w:p>
    <w:p w14:paraId="681A3253"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Para efectos de lo dispuesto en el presente artículo se observará lo siguiente:</w:t>
      </w:r>
    </w:p>
    <w:p w14:paraId="500990B0" w14:textId="77777777" w:rsidR="008E4483" w:rsidRPr="00750135" w:rsidRDefault="008E4483" w:rsidP="001636EB">
      <w:pPr>
        <w:spacing w:line="360" w:lineRule="auto"/>
        <w:ind w:left="567" w:right="567"/>
        <w:jc w:val="both"/>
        <w:rPr>
          <w:rFonts w:ascii="Palatino Linotype" w:hAnsi="Palatino Linotype" w:cs="Arial"/>
          <w:i/>
          <w:sz w:val="22"/>
        </w:rPr>
      </w:pPr>
    </w:p>
    <w:p w14:paraId="1A00976B"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750135" w:rsidRDefault="008E4483" w:rsidP="001636EB">
      <w:pPr>
        <w:spacing w:line="360" w:lineRule="auto"/>
        <w:ind w:left="567" w:right="567"/>
        <w:jc w:val="both"/>
        <w:rPr>
          <w:rFonts w:ascii="Palatino Linotype" w:hAnsi="Palatino Linotype" w:cs="Arial"/>
          <w:b/>
          <w:i/>
          <w:sz w:val="22"/>
        </w:rPr>
      </w:pPr>
    </w:p>
    <w:p w14:paraId="3A80ED39"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b/>
          <w:i/>
          <w:sz w:val="22"/>
        </w:rPr>
        <w:t>I. Toda la información en posesión de</w:t>
      </w:r>
      <w:r w:rsidRPr="00750135">
        <w:rPr>
          <w:rFonts w:ascii="Palatino Linotype" w:hAnsi="Palatino Linotype" w:cs="Arial"/>
          <w:i/>
          <w:sz w:val="22"/>
        </w:rPr>
        <w:t xml:space="preserve"> </w:t>
      </w:r>
      <w:r w:rsidRPr="00750135">
        <w:rPr>
          <w:rFonts w:ascii="Palatino Linotype" w:hAnsi="Palatino Linotype" w:cs="Arial"/>
          <w:b/>
          <w:i/>
          <w:sz w:val="22"/>
        </w:rPr>
        <w:t>cualquier autoridad</w:t>
      </w:r>
      <w:r w:rsidRPr="0075013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750135">
        <w:rPr>
          <w:rFonts w:ascii="Palatino Linotype" w:hAnsi="Palatino Linotype" w:cs="Arial"/>
          <w:i/>
          <w:sz w:val="22"/>
        </w:rPr>
        <w:lastRenderedPageBreak/>
        <w:t xml:space="preserve">sindicato que reciba y ejerza recursos públicos o realice actos de autoridad en el ámbito federal, estatal y municipal, </w:t>
      </w:r>
      <w:r w:rsidRPr="00750135">
        <w:rPr>
          <w:rFonts w:ascii="Palatino Linotype" w:hAnsi="Palatino Linotype" w:cs="Arial"/>
          <w:b/>
          <w:i/>
          <w:sz w:val="22"/>
        </w:rPr>
        <w:t>es pública</w:t>
      </w:r>
      <w:r w:rsidRPr="0075013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50135">
        <w:rPr>
          <w:rFonts w:ascii="Palatino Linotype" w:hAnsi="Palatino Linotype" w:cs="Arial"/>
          <w:b/>
          <w:i/>
          <w:sz w:val="22"/>
        </w:rPr>
        <w:t>Los sujetos obligados deberán documentar todo acto que derive del ejercicio de sus facultades, competencias o funciones</w:t>
      </w:r>
      <w:r w:rsidRPr="00750135">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750135" w:rsidRDefault="008E4483" w:rsidP="001636EB">
      <w:pPr>
        <w:spacing w:line="360" w:lineRule="auto"/>
        <w:ind w:left="567" w:right="567"/>
        <w:jc w:val="both"/>
        <w:rPr>
          <w:rFonts w:ascii="Palatino Linotype" w:hAnsi="Palatino Linotype" w:cs="Arial"/>
          <w:i/>
          <w:sz w:val="22"/>
        </w:rPr>
      </w:pPr>
    </w:p>
    <w:p w14:paraId="0CECF853"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750135" w:rsidRDefault="008E4483" w:rsidP="001636EB">
      <w:pPr>
        <w:spacing w:line="360" w:lineRule="auto"/>
        <w:ind w:left="567" w:right="567"/>
        <w:jc w:val="both"/>
        <w:rPr>
          <w:rFonts w:ascii="Palatino Linotype" w:hAnsi="Palatino Linotype" w:cs="Arial"/>
          <w:i/>
          <w:sz w:val="22"/>
        </w:rPr>
      </w:pPr>
    </w:p>
    <w:p w14:paraId="4EF8A8A9"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750135" w:rsidRDefault="008E4483" w:rsidP="001636EB">
      <w:pPr>
        <w:spacing w:line="360" w:lineRule="auto"/>
        <w:ind w:left="567" w:right="567"/>
        <w:jc w:val="both"/>
        <w:rPr>
          <w:rFonts w:ascii="Palatino Linotype" w:hAnsi="Palatino Linotype" w:cs="Arial"/>
          <w:i/>
          <w:sz w:val="22"/>
        </w:rPr>
      </w:pPr>
    </w:p>
    <w:p w14:paraId="112801FD"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750135" w:rsidRDefault="008E4483" w:rsidP="001636EB">
      <w:pPr>
        <w:spacing w:line="360" w:lineRule="auto"/>
        <w:ind w:left="567" w:right="567"/>
        <w:jc w:val="both"/>
        <w:rPr>
          <w:rFonts w:ascii="Palatino Linotype" w:hAnsi="Palatino Linotype" w:cs="Arial"/>
          <w:b/>
          <w:i/>
          <w:sz w:val="22"/>
        </w:rPr>
      </w:pPr>
    </w:p>
    <w:p w14:paraId="3FB33C7B"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b/>
          <w:i/>
          <w:sz w:val="22"/>
        </w:rPr>
        <w:t>V. Los sujetos obligados deberán preservar sus documentos en archivos administrativos actualizados y publicarán, a través de los medios electrónicos disponibles</w:t>
      </w:r>
      <w:r w:rsidRPr="0075013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750135" w:rsidRDefault="008E4483" w:rsidP="001636EB">
      <w:pPr>
        <w:spacing w:line="360" w:lineRule="auto"/>
        <w:ind w:left="567" w:right="567"/>
        <w:jc w:val="both"/>
        <w:rPr>
          <w:rFonts w:ascii="Palatino Linotype" w:hAnsi="Palatino Linotype" w:cs="Arial"/>
          <w:i/>
          <w:sz w:val="22"/>
        </w:rPr>
      </w:pPr>
    </w:p>
    <w:p w14:paraId="37399313"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D04B6B7"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lastRenderedPageBreak/>
        <w:t>VII. La inobservancia a las disposiciones en materia de acceso a la información pública será sancionada en los términos que dispongan las leyes.</w:t>
      </w:r>
    </w:p>
    <w:p w14:paraId="48E26884" w14:textId="77777777" w:rsidR="008E4483" w:rsidRPr="00750135" w:rsidRDefault="008E4483" w:rsidP="001636EB">
      <w:pPr>
        <w:spacing w:line="360" w:lineRule="auto"/>
        <w:ind w:left="567" w:right="567"/>
        <w:jc w:val="both"/>
        <w:rPr>
          <w:rFonts w:ascii="Palatino Linotype" w:hAnsi="Palatino Linotype" w:cs="Arial"/>
          <w:i/>
          <w:sz w:val="22"/>
        </w:rPr>
      </w:pPr>
    </w:p>
    <w:p w14:paraId="30D06838"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w:t>
      </w:r>
    </w:p>
    <w:p w14:paraId="6140CC8E"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cs="Arial"/>
          <w:i/>
          <w:sz w:val="22"/>
        </w:rPr>
        <w:t>La ley establecerá aquella información que se considere reservada o confidencial.”</w:t>
      </w:r>
    </w:p>
    <w:p w14:paraId="0DF4504F" w14:textId="77777777" w:rsidR="008E4483" w:rsidRPr="00750135" w:rsidRDefault="008E4483" w:rsidP="001636EB">
      <w:pPr>
        <w:spacing w:line="360" w:lineRule="auto"/>
        <w:ind w:left="567" w:right="567"/>
        <w:jc w:val="both"/>
        <w:rPr>
          <w:rFonts w:ascii="Palatino Linotype" w:hAnsi="Palatino Linotype"/>
          <w:i/>
          <w:sz w:val="22"/>
        </w:rPr>
      </w:pPr>
    </w:p>
    <w:p w14:paraId="70B9AFAD"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(Énfasis añadido)</w:t>
      </w:r>
    </w:p>
    <w:p w14:paraId="1E957CE8" w14:textId="77777777" w:rsidR="008E4483" w:rsidRPr="00750135" w:rsidRDefault="008E4483" w:rsidP="008E4483">
      <w:pPr>
        <w:spacing w:line="360" w:lineRule="auto"/>
        <w:ind w:left="709" w:right="757"/>
        <w:jc w:val="both"/>
        <w:rPr>
          <w:rFonts w:ascii="Palatino Linotype" w:hAnsi="Palatino Linotype"/>
        </w:rPr>
      </w:pPr>
    </w:p>
    <w:p w14:paraId="67E589E6" w14:textId="77777777" w:rsidR="008E4483" w:rsidRPr="00750135" w:rsidRDefault="008E4483" w:rsidP="008E4483">
      <w:pPr>
        <w:pStyle w:val="Prrafodelista"/>
        <w:numPr>
          <w:ilvl w:val="0"/>
          <w:numId w:val="1"/>
        </w:numPr>
        <w:spacing w:line="360" w:lineRule="auto"/>
        <w:jc w:val="both"/>
        <w:rPr>
          <w:rFonts w:ascii="Palatino Linotype" w:hAnsi="Palatino Linotype" w:cs="Arial"/>
        </w:rPr>
      </w:pPr>
      <w:r w:rsidRPr="00750135">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750135" w:rsidRDefault="008E4483" w:rsidP="008E4483">
      <w:pPr>
        <w:spacing w:line="360" w:lineRule="auto"/>
        <w:ind w:left="709" w:right="757"/>
        <w:jc w:val="both"/>
        <w:rPr>
          <w:rFonts w:ascii="Palatino Linotype" w:hAnsi="Palatino Linotype" w:cs="Arial"/>
        </w:rPr>
      </w:pPr>
    </w:p>
    <w:p w14:paraId="459B253A" w14:textId="77777777" w:rsidR="008E4483" w:rsidRPr="00750135" w:rsidRDefault="008E4483" w:rsidP="001636EB">
      <w:pPr>
        <w:spacing w:line="360" w:lineRule="auto"/>
        <w:ind w:left="567" w:right="567"/>
        <w:jc w:val="both"/>
        <w:rPr>
          <w:rFonts w:ascii="Palatino Linotype" w:hAnsi="Palatino Linotype" w:cs="Arial"/>
          <w:b/>
          <w:i/>
          <w:sz w:val="22"/>
        </w:rPr>
      </w:pPr>
      <w:r w:rsidRPr="00750135">
        <w:rPr>
          <w:rFonts w:ascii="Palatino Linotype" w:hAnsi="Palatino Linotype" w:cs="Arial"/>
          <w:b/>
          <w:i/>
          <w:sz w:val="22"/>
        </w:rPr>
        <w:t xml:space="preserve">“Artículo 5. … </w:t>
      </w:r>
    </w:p>
    <w:p w14:paraId="6BF00F17"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b/>
          <w:i/>
          <w:sz w:val="22"/>
        </w:rPr>
        <w:t>El derecho a la información será garantizado por el Estado</w:t>
      </w:r>
      <w:r w:rsidRPr="00750135">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750135" w:rsidRDefault="008E4483" w:rsidP="001636EB">
      <w:pPr>
        <w:spacing w:line="360" w:lineRule="auto"/>
        <w:ind w:left="567" w:right="567"/>
        <w:jc w:val="both"/>
        <w:rPr>
          <w:rFonts w:ascii="Palatino Linotype" w:hAnsi="Palatino Linotype"/>
          <w:i/>
          <w:sz w:val="22"/>
        </w:rPr>
      </w:pPr>
    </w:p>
    <w:p w14:paraId="480C22E0"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Este derecho se regirá por los principios y bases siguientes:</w:t>
      </w:r>
    </w:p>
    <w:p w14:paraId="44073A0F"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b/>
          <w:i/>
          <w:sz w:val="22"/>
        </w:rPr>
        <w:lastRenderedPageBreak/>
        <w:t xml:space="preserve">I. Toda la información en posesión </w:t>
      </w:r>
      <w:r w:rsidRPr="0075013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750135">
        <w:rPr>
          <w:rFonts w:ascii="Palatino Linotype" w:hAnsi="Palatino Linotype"/>
          <w:b/>
          <w:i/>
          <w:sz w:val="22"/>
        </w:rPr>
        <w:t>del gobierno y de la administración pública municipal y sus organismos descentralizados</w:t>
      </w:r>
      <w:r w:rsidRPr="0075013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750135">
        <w:rPr>
          <w:rFonts w:ascii="Palatino Linotype" w:hAnsi="Palatino Linotype"/>
          <w:b/>
          <w:i/>
          <w:sz w:val="22"/>
        </w:rPr>
        <w:t>es pública</w:t>
      </w:r>
      <w:r w:rsidRPr="0075013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750135" w:rsidRDefault="008E4483" w:rsidP="001636EB">
      <w:pPr>
        <w:spacing w:line="360" w:lineRule="auto"/>
        <w:ind w:left="567" w:right="567"/>
        <w:jc w:val="both"/>
        <w:rPr>
          <w:rFonts w:ascii="Palatino Linotype" w:hAnsi="Palatino Linotype"/>
          <w:i/>
          <w:sz w:val="22"/>
        </w:rPr>
      </w:pPr>
    </w:p>
    <w:p w14:paraId="2FF70804"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750135" w:rsidRDefault="008E4483" w:rsidP="001636EB">
      <w:pPr>
        <w:spacing w:line="360" w:lineRule="auto"/>
        <w:ind w:left="567" w:right="567"/>
        <w:jc w:val="both"/>
        <w:rPr>
          <w:rFonts w:ascii="Palatino Linotype" w:hAnsi="Palatino Linotype"/>
          <w:i/>
          <w:sz w:val="22"/>
        </w:rPr>
      </w:pPr>
    </w:p>
    <w:p w14:paraId="6FA24126"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750135" w:rsidRDefault="008E4483" w:rsidP="001636EB">
      <w:pPr>
        <w:spacing w:line="360" w:lineRule="auto"/>
        <w:ind w:left="567" w:right="567"/>
        <w:jc w:val="both"/>
        <w:rPr>
          <w:rFonts w:ascii="Palatino Linotype" w:hAnsi="Palatino Linotype"/>
          <w:i/>
          <w:sz w:val="22"/>
        </w:rPr>
      </w:pPr>
    </w:p>
    <w:p w14:paraId="24C5C6FF"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750135" w:rsidRDefault="008E4483" w:rsidP="001636EB">
      <w:pPr>
        <w:spacing w:line="360" w:lineRule="auto"/>
        <w:ind w:left="567" w:right="567"/>
        <w:jc w:val="both"/>
        <w:rPr>
          <w:rFonts w:ascii="Palatino Linotype" w:hAnsi="Palatino Linotype"/>
          <w:i/>
          <w:sz w:val="22"/>
        </w:rPr>
      </w:pPr>
    </w:p>
    <w:p w14:paraId="2D1804C7"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i/>
          <w:sz w:val="22"/>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750135" w:rsidRDefault="008E4483" w:rsidP="001636EB">
      <w:pPr>
        <w:spacing w:line="360" w:lineRule="auto"/>
        <w:ind w:left="567" w:right="567"/>
        <w:jc w:val="both"/>
        <w:rPr>
          <w:rFonts w:ascii="Palatino Linotype" w:hAnsi="Palatino Linotype"/>
          <w:b/>
          <w:i/>
          <w:sz w:val="22"/>
        </w:rPr>
      </w:pPr>
    </w:p>
    <w:p w14:paraId="6DB2EC7A" w14:textId="77777777" w:rsidR="008E4483" w:rsidRPr="00750135" w:rsidRDefault="008E4483" w:rsidP="001636EB">
      <w:pPr>
        <w:spacing w:line="360" w:lineRule="auto"/>
        <w:ind w:left="567" w:right="567"/>
        <w:jc w:val="both"/>
        <w:rPr>
          <w:rFonts w:ascii="Palatino Linotype" w:hAnsi="Palatino Linotype"/>
          <w:i/>
          <w:sz w:val="22"/>
        </w:rPr>
      </w:pPr>
      <w:r w:rsidRPr="00750135">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750135">
        <w:rPr>
          <w:rFonts w:ascii="Palatino Linotype" w:hAnsi="Palatino Linotype"/>
          <w:i/>
          <w:sz w:val="22"/>
        </w:rPr>
        <w:t xml:space="preserve"> y los indicadores que permitan rendir cuenta del cumplimiento de sus objetivos y los resultados obtenidos.</w:t>
      </w:r>
    </w:p>
    <w:p w14:paraId="042705A7" w14:textId="77777777" w:rsidR="008E4483" w:rsidRPr="00750135" w:rsidRDefault="008E4483" w:rsidP="001636EB">
      <w:pPr>
        <w:spacing w:line="360" w:lineRule="auto"/>
        <w:ind w:left="567" w:right="567"/>
        <w:jc w:val="both"/>
        <w:rPr>
          <w:rFonts w:ascii="Palatino Linotype" w:hAnsi="Palatino Linotype"/>
          <w:i/>
          <w:sz w:val="22"/>
        </w:rPr>
      </w:pPr>
    </w:p>
    <w:p w14:paraId="6810788F" w14:textId="77777777" w:rsidR="008E4483" w:rsidRPr="00750135" w:rsidRDefault="008E4483" w:rsidP="001636EB">
      <w:pPr>
        <w:spacing w:line="360" w:lineRule="auto"/>
        <w:ind w:left="567" w:right="567"/>
        <w:jc w:val="both"/>
        <w:rPr>
          <w:rFonts w:ascii="Palatino Linotype" w:hAnsi="Palatino Linotype" w:cs="Arial"/>
          <w:i/>
          <w:sz w:val="22"/>
        </w:rPr>
      </w:pPr>
      <w:r w:rsidRPr="0075013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750135" w:rsidRDefault="008E4483" w:rsidP="001636EB">
      <w:pPr>
        <w:spacing w:line="360" w:lineRule="auto"/>
        <w:ind w:left="567" w:right="567"/>
        <w:jc w:val="both"/>
        <w:rPr>
          <w:rFonts w:ascii="Palatino Linotype" w:hAnsi="Palatino Linotype"/>
          <w:sz w:val="22"/>
        </w:rPr>
      </w:pPr>
    </w:p>
    <w:p w14:paraId="76F0890A" w14:textId="77777777" w:rsidR="008E4483" w:rsidRPr="00750135" w:rsidRDefault="008E4483" w:rsidP="001636EB">
      <w:pPr>
        <w:spacing w:line="360" w:lineRule="auto"/>
        <w:ind w:left="567" w:right="567"/>
        <w:jc w:val="both"/>
        <w:rPr>
          <w:rFonts w:ascii="Palatino Linotype" w:hAnsi="Palatino Linotype"/>
          <w:sz w:val="22"/>
        </w:rPr>
      </w:pPr>
      <w:r w:rsidRPr="00750135">
        <w:rPr>
          <w:rFonts w:ascii="Palatino Linotype" w:hAnsi="Palatino Linotype"/>
          <w:sz w:val="22"/>
        </w:rPr>
        <w:t>(Énfasis añadido)</w:t>
      </w:r>
    </w:p>
    <w:p w14:paraId="04C6290A" w14:textId="77777777" w:rsidR="008E4483" w:rsidRPr="00750135" w:rsidRDefault="008E4483" w:rsidP="008E4483">
      <w:pPr>
        <w:spacing w:line="360" w:lineRule="auto"/>
        <w:ind w:left="567" w:right="567"/>
        <w:jc w:val="both"/>
        <w:rPr>
          <w:rFonts w:ascii="Palatino Linotype" w:hAnsi="Palatino Linotype"/>
          <w:sz w:val="22"/>
        </w:rPr>
      </w:pPr>
    </w:p>
    <w:p w14:paraId="41212765" w14:textId="6239A0F6" w:rsidR="008E4483" w:rsidRPr="00750135" w:rsidRDefault="008E4483" w:rsidP="008E4483">
      <w:pPr>
        <w:pStyle w:val="Prrafodelista"/>
        <w:numPr>
          <w:ilvl w:val="0"/>
          <w:numId w:val="1"/>
        </w:numPr>
        <w:spacing w:line="360" w:lineRule="auto"/>
        <w:jc w:val="both"/>
        <w:rPr>
          <w:rFonts w:ascii="Palatino Linotype" w:hAnsi="Palatino Linotype" w:cs="Arial"/>
        </w:rPr>
      </w:pPr>
      <w:r w:rsidRPr="00750135">
        <w:rPr>
          <w:rFonts w:ascii="Palatino Linotype" w:hAnsi="Palatino Linotype" w:cs="Arial"/>
        </w:rPr>
        <w:t>Adicional, tenemos que la Ley de Transparencia y Acceso a la Información Pública del Estado de México y Municipios, prevé en su artículo 23 fracción I</w:t>
      </w:r>
      <w:r w:rsidR="00E00CF8" w:rsidRPr="00750135">
        <w:rPr>
          <w:rFonts w:ascii="Palatino Linotype" w:hAnsi="Palatino Linotype" w:cs="Arial"/>
        </w:rPr>
        <w:t>V</w:t>
      </w:r>
      <w:r w:rsidRPr="00750135">
        <w:rPr>
          <w:rFonts w:ascii="Palatino Linotype" w:hAnsi="Palatino Linotype" w:cs="Arial"/>
        </w:rPr>
        <w:t>, lo siguiente:</w:t>
      </w:r>
    </w:p>
    <w:p w14:paraId="2FF12176" w14:textId="77777777" w:rsidR="008E4483" w:rsidRPr="00750135" w:rsidRDefault="008E4483" w:rsidP="008E4483">
      <w:pPr>
        <w:spacing w:line="360" w:lineRule="auto"/>
        <w:jc w:val="both"/>
        <w:rPr>
          <w:rFonts w:ascii="Palatino Linotype" w:hAnsi="Palatino Linotype" w:cs="Arial"/>
        </w:rPr>
      </w:pPr>
    </w:p>
    <w:p w14:paraId="509D888E" w14:textId="77777777" w:rsidR="008E4483" w:rsidRPr="00750135" w:rsidRDefault="008E4483" w:rsidP="001636EB">
      <w:pPr>
        <w:spacing w:line="360" w:lineRule="auto"/>
        <w:ind w:left="567" w:right="822"/>
        <w:jc w:val="both"/>
        <w:rPr>
          <w:rFonts w:ascii="Palatino Linotype" w:eastAsia="MS Mincho" w:hAnsi="Palatino Linotype" w:cs="Arial"/>
          <w:i/>
          <w:sz w:val="22"/>
          <w:szCs w:val="22"/>
        </w:rPr>
      </w:pPr>
      <w:r w:rsidRPr="00750135">
        <w:rPr>
          <w:rFonts w:ascii="Palatino Linotype" w:eastAsia="MS Mincho" w:hAnsi="Palatino Linotype" w:cs="Arial"/>
          <w:b/>
          <w:i/>
          <w:sz w:val="22"/>
          <w:szCs w:val="22"/>
        </w:rPr>
        <w:t xml:space="preserve">“Artículo 23. Son sujetos obligados a transparentar y permitir el acceso a su información y </w:t>
      </w:r>
      <w:r w:rsidRPr="00750135">
        <w:rPr>
          <w:rFonts w:ascii="Palatino Linotype" w:eastAsia="MS Mincho" w:hAnsi="Palatino Linotype"/>
          <w:b/>
          <w:i/>
          <w:sz w:val="22"/>
          <w:szCs w:val="22"/>
        </w:rPr>
        <w:t>proteger</w:t>
      </w:r>
      <w:r w:rsidRPr="00750135">
        <w:rPr>
          <w:rFonts w:ascii="Palatino Linotype" w:eastAsia="MS Mincho" w:hAnsi="Palatino Linotype" w:cs="Arial"/>
          <w:b/>
          <w:i/>
          <w:sz w:val="22"/>
          <w:szCs w:val="22"/>
        </w:rPr>
        <w:t xml:space="preserve"> los datos personales que obren en su poder</w:t>
      </w:r>
      <w:r w:rsidRPr="00750135">
        <w:rPr>
          <w:rFonts w:ascii="Palatino Linotype" w:eastAsia="MS Mincho" w:hAnsi="Palatino Linotype" w:cs="Arial"/>
          <w:i/>
          <w:sz w:val="22"/>
          <w:szCs w:val="22"/>
        </w:rPr>
        <w:t>:</w:t>
      </w:r>
    </w:p>
    <w:p w14:paraId="468C7D83" w14:textId="042810AB" w:rsidR="008E4483" w:rsidRPr="00750135" w:rsidRDefault="00E00CF8" w:rsidP="001636EB">
      <w:pPr>
        <w:spacing w:line="360" w:lineRule="auto"/>
        <w:ind w:left="567" w:right="822"/>
        <w:jc w:val="both"/>
        <w:rPr>
          <w:rFonts w:ascii="Palatino Linotype" w:eastAsia="MS Mincho" w:hAnsi="Palatino Linotype" w:cs="Arial"/>
          <w:i/>
          <w:sz w:val="22"/>
          <w:szCs w:val="22"/>
        </w:rPr>
      </w:pPr>
      <w:r w:rsidRPr="00750135">
        <w:rPr>
          <w:rFonts w:ascii="Palatino Linotype" w:eastAsia="MS Mincho" w:hAnsi="Palatino Linotype" w:cs="Arial"/>
          <w:i/>
          <w:sz w:val="22"/>
          <w:szCs w:val="22"/>
        </w:rPr>
        <w:t>…</w:t>
      </w:r>
    </w:p>
    <w:p w14:paraId="16B7E0D6" w14:textId="56029346" w:rsidR="008E4483" w:rsidRPr="00750135" w:rsidRDefault="00E00CF8" w:rsidP="001636EB">
      <w:pPr>
        <w:spacing w:line="360" w:lineRule="auto"/>
        <w:ind w:left="567" w:right="822"/>
        <w:jc w:val="both"/>
        <w:rPr>
          <w:rFonts w:ascii="Palatino Linotype" w:eastAsia="MS Mincho" w:hAnsi="Palatino Linotype" w:cs="Arial"/>
          <w:b/>
          <w:i/>
          <w:iCs/>
          <w:sz w:val="22"/>
          <w:szCs w:val="22"/>
        </w:rPr>
      </w:pPr>
      <w:r w:rsidRPr="00750135">
        <w:rPr>
          <w:rFonts w:ascii="Palatino Linotype" w:hAnsi="Palatino Linotype"/>
          <w:i/>
          <w:iCs/>
        </w:rPr>
        <w:lastRenderedPageBreak/>
        <w:t>IV. Los ayuntamientos y las dependencias, organismos, órganos y entidades de la administración municipal;</w:t>
      </w:r>
      <w:r w:rsidR="008E4483" w:rsidRPr="00750135">
        <w:rPr>
          <w:rFonts w:ascii="Palatino Linotype" w:eastAsia="MS Mincho" w:hAnsi="Palatino Linotype" w:cs="Arial"/>
          <w:b/>
          <w:i/>
          <w:iCs/>
          <w:sz w:val="22"/>
          <w:szCs w:val="22"/>
        </w:rPr>
        <w:t xml:space="preserve"> </w:t>
      </w:r>
    </w:p>
    <w:p w14:paraId="273927D8" w14:textId="77777777" w:rsidR="008E4483" w:rsidRPr="00750135" w:rsidRDefault="008E4483" w:rsidP="001636EB">
      <w:pPr>
        <w:spacing w:line="360" w:lineRule="auto"/>
        <w:ind w:left="567" w:right="822"/>
        <w:jc w:val="both"/>
        <w:rPr>
          <w:rFonts w:ascii="Palatino Linotype" w:eastAsia="MS Mincho" w:hAnsi="Palatino Linotype" w:cs="Arial"/>
          <w:b/>
          <w:i/>
          <w:sz w:val="22"/>
          <w:szCs w:val="22"/>
        </w:rPr>
      </w:pPr>
      <w:r w:rsidRPr="00750135">
        <w:rPr>
          <w:rFonts w:ascii="Palatino Linotype" w:eastAsia="MS Mincho" w:hAnsi="Palatino Linotype" w:cs="Arial"/>
          <w:b/>
          <w:i/>
          <w:sz w:val="22"/>
          <w:szCs w:val="22"/>
        </w:rPr>
        <w:t>…</w:t>
      </w:r>
    </w:p>
    <w:p w14:paraId="56BA427D" w14:textId="77777777" w:rsidR="008E4483" w:rsidRPr="00750135" w:rsidRDefault="008E4483" w:rsidP="001636EB">
      <w:pPr>
        <w:spacing w:line="360" w:lineRule="auto"/>
        <w:ind w:left="567" w:right="822"/>
        <w:jc w:val="both"/>
        <w:rPr>
          <w:rFonts w:ascii="Palatino Linotype" w:eastAsia="MS Mincho" w:hAnsi="Palatino Linotype"/>
          <w:b/>
          <w:i/>
          <w:sz w:val="22"/>
          <w:szCs w:val="22"/>
        </w:rPr>
      </w:pPr>
      <w:r w:rsidRPr="00750135">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750135">
        <w:rPr>
          <w:rFonts w:ascii="Palatino Linotype" w:eastAsia="MS Mincho" w:hAnsi="Palatino Linotype"/>
          <w:i/>
          <w:sz w:val="22"/>
          <w:szCs w:val="22"/>
        </w:rPr>
        <w:t xml:space="preserve">, </w:t>
      </w:r>
      <w:r w:rsidRPr="00750135">
        <w:rPr>
          <w:rFonts w:ascii="Palatino Linotype" w:eastAsia="MS Mincho" w:hAnsi="Palatino Linotype"/>
          <w:b/>
          <w:i/>
          <w:sz w:val="22"/>
          <w:szCs w:val="22"/>
        </w:rPr>
        <w:t>así como</w:t>
      </w:r>
      <w:r w:rsidRPr="00750135">
        <w:rPr>
          <w:rFonts w:ascii="Palatino Linotype" w:eastAsia="MS Mincho" w:hAnsi="Palatino Linotype"/>
          <w:i/>
          <w:sz w:val="22"/>
          <w:szCs w:val="22"/>
        </w:rPr>
        <w:t xml:space="preserve"> </w:t>
      </w:r>
      <w:r w:rsidRPr="00750135">
        <w:rPr>
          <w:rFonts w:ascii="Palatino Linotype" w:eastAsia="MS Mincho" w:hAnsi="Palatino Linotype"/>
          <w:b/>
          <w:i/>
          <w:sz w:val="22"/>
          <w:szCs w:val="22"/>
        </w:rPr>
        <w:t>los informes que dichas personas les entreguen sobre el uso y destino de dichos recursos.</w:t>
      </w:r>
    </w:p>
    <w:p w14:paraId="42959804" w14:textId="77777777" w:rsidR="008E4483" w:rsidRPr="00750135"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750135" w:rsidRDefault="008E4483" w:rsidP="001636EB">
      <w:pPr>
        <w:spacing w:line="360" w:lineRule="auto"/>
        <w:ind w:left="567" w:right="822"/>
        <w:jc w:val="both"/>
        <w:rPr>
          <w:rFonts w:ascii="Palatino Linotype" w:eastAsia="MS Mincho" w:hAnsi="Palatino Linotype" w:cs="Arial"/>
          <w:i/>
          <w:sz w:val="22"/>
          <w:szCs w:val="22"/>
        </w:rPr>
      </w:pPr>
      <w:r w:rsidRPr="00750135">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750135" w:rsidRDefault="008E4483" w:rsidP="001636EB">
      <w:pPr>
        <w:spacing w:line="360" w:lineRule="auto"/>
        <w:ind w:left="567" w:right="822"/>
        <w:jc w:val="both"/>
        <w:rPr>
          <w:rFonts w:ascii="Palatino Linotype" w:eastAsia="MS Mincho" w:hAnsi="Palatino Linotype" w:cs="Arial"/>
          <w:i/>
          <w:sz w:val="22"/>
          <w:szCs w:val="22"/>
        </w:rPr>
      </w:pPr>
      <w:r w:rsidRPr="00750135">
        <w:rPr>
          <w:rFonts w:ascii="Palatino Linotype" w:eastAsia="MS Mincho" w:hAnsi="Palatino Linotype" w:cs="Arial"/>
          <w:i/>
          <w:sz w:val="22"/>
          <w:szCs w:val="22"/>
        </w:rPr>
        <w:t>(Énfasis añadido)</w:t>
      </w:r>
    </w:p>
    <w:p w14:paraId="0EA3AFBA" w14:textId="77777777" w:rsidR="008E4483" w:rsidRPr="00750135" w:rsidRDefault="008E4483" w:rsidP="001636EB">
      <w:pPr>
        <w:spacing w:line="360" w:lineRule="auto"/>
        <w:jc w:val="both"/>
        <w:rPr>
          <w:rFonts w:ascii="Palatino Linotype" w:hAnsi="Palatino Linotype" w:cs="Arial"/>
        </w:rPr>
      </w:pPr>
    </w:p>
    <w:p w14:paraId="38992FDD" w14:textId="77777777" w:rsidR="008E4483" w:rsidRPr="00750135" w:rsidRDefault="008E4483" w:rsidP="008E4483">
      <w:pPr>
        <w:pStyle w:val="Prrafodelista"/>
        <w:numPr>
          <w:ilvl w:val="0"/>
          <w:numId w:val="1"/>
        </w:numPr>
        <w:spacing w:line="360" w:lineRule="auto"/>
        <w:jc w:val="both"/>
        <w:rPr>
          <w:rFonts w:ascii="Palatino Linotype" w:hAnsi="Palatino Linotype" w:cs="Arial"/>
        </w:rPr>
      </w:pPr>
      <w:r w:rsidRPr="00750135">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750135" w:rsidRDefault="008E4483" w:rsidP="008E4483">
      <w:pPr>
        <w:pStyle w:val="Prrafodelista"/>
        <w:spacing w:line="360" w:lineRule="auto"/>
        <w:ind w:left="0"/>
        <w:jc w:val="both"/>
        <w:rPr>
          <w:rFonts w:ascii="Palatino Linotype" w:hAnsi="Palatino Linotype" w:cs="Arial"/>
        </w:rPr>
      </w:pPr>
    </w:p>
    <w:p w14:paraId="642677F8" w14:textId="675B81FD" w:rsidR="008E4483" w:rsidRPr="00750135" w:rsidRDefault="008E4483" w:rsidP="008E4483">
      <w:pPr>
        <w:pStyle w:val="Prrafodelista"/>
        <w:numPr>
          <w:ilvl w:val="0"/>
          <w:numId w:val="1"/>
        </w:numPr>
        <w:spacing w:line="360" w:lineRule="auto"/>
        <w:jc w:val="both"/>
        <w:rPr>
          <w:rFonts w:ascii="Palatino Linotype" w:hAnsi="Palatino Linotype" w:cs="Arial"/>
        </w:rPr>
      </w:pPr>
      <w:r w:rsidRPr="00750135">
        <w:rPr>
          <w:rFonts w:ascii="Palatino Linotype" w:hAnsi="Palatino Linotype" w:cs="Arial"/>
        </w:rPr>
        <w:t>Por lo anterior, es de referir que,</w:t>
      </w:r>
      <w:r w:rsidRPr="00750135">
        <w:rPr>
          <w:rFonts w:ascii="Palatino Linotype" w:hAnsi="Palatino Linotype" w:cs="Arial"/>
          <w:b/>
        </w:rPr>
        <w:t xml:space="preserve"> </w:t>
      </w:r>
      <w:r w:rsidR="00E87AD0" w:rsidRPr="00750135">
        <w:rPr>
          <w:rFonts w:ascii="Palatino Linotype" w:hAnsi="Palatino Linotype" w:cs="Arial"/>
          <w:b/>
        </w:rPr>
        <w:t>el</w:t>
      </w:r>
      <w:r w:rsidRPr="00750135">
        <w:rPr>
          <w:rFonts w:ascii="Palatino Linotype" w:hAnsi="Palatino Linotype"/>
          <w:b/>
          <w:bCs/>
        </w:rPr>
        <w:t xml:space="preserve"> </w:t>
      </w:r>
      <w:r w:rsidR="00514A30" w:rsidRPr="00750135">
        <w:rPr>
          <w:rFonts w:ascii="Palatino Linotype" w:eastAsia="Calibri" w:hAnsi="Palatino Linotype" w:cs="Arial"/>
          <w:b/>
          <w:bCs/>
          <w:lang w:val="es-ES"/>
        </w:rPr>
        <w:t>Ayuntamiento de Cuautitlán Izcalli</w:t>
      </w:r>
      <w:r w:rsidRPr="00750135">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750135" w:rsidRDefault="00D47015" w:rsidP="00D47015">
      <w:pPr>
        <w:pStyle w:val="Prrafodelista"/>
        <w:rPr>
          <w:rFonts w:ascii="Palatino Linotype" w:hAnsi="Palatino Linotype" w:cs="Arial"/>
        </w:rPr>
      </w:pPr>
    </w:p>
    <w:p w14:paraId="12CB4493" w14:textId="3D5BC77C" w:rsidR="00671FDF" w:rsidRPr="00750135"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750135">
        <w:rPr>
          <w:rFonts w:ascii="Palatino Linotype" w:hAnsi="Palatino Linotype"/>
          <w:b/>
          <w:color w:val="000000" w:themeColor="text1"/>
        </w:rPr>
        <w:t xml:space="preserve">II. </w:t>
      </w:r>
      <w:r w:rsidR="00FD0BDD" w:rsidRPr="00750135">
        <w:rPr>
          <w:rFonts w:ascii="Palatino Linotype" w:hAnsi="Palatino Linotype"/>
          <w:b/>
          <w:color w:val="000000" w:themeColor="text1"/>
        </w:rPr>
        <w:t>De</w:t>
      </w:r>
      <w:r w:rsidR="00765786" w:rsidRPr="00750135">
        <w:rPr>
          <w:rFonts w:ascii="Palatino Linotype" w:hAnsi="Palatino Linotype"/>
          <w:b/>
          <w:color w:val="000000" w:themeColor="text1"/>
        </w:rPr>
        <w:t xml:space="preserve"> l</w:t>
      </w:r>
      <w:r w:rsidR="00F335D8" w:rsidRPr="00750135">
        <w:rPr>
          <w:rFonts w:ascii="Palatino Linotype" w:hAnsi="Palatino Linotype"/>
          <w:b/>
          <w:color w:val="000000" w:themeColor="text1"/>
        </w:rPr>
        <w:t>a</w:t>
      </w:r>
      <w:r w:rsidR="007B6CF2" w:rsidRPr="00750135">
        <w:rPr>
          <w:rFonts w:ascii="Palatino Linotype" w:hAnsi="Palatino Linotype"/>
          <w:b/>
          <w:color w:val="000000" w:themeColor="text1"/>
        </w:rPr>
        <w:t xml:space="preserve"> inconformidad del particular</w:t>
      </w:r>
      <w:r w:rsidR="00CC63CB" w:rsidRPr="00750135">
        <w:rPr>
          <w:rFonts w:ascii="Palatino Linotype" w:hAnsi="Palatino Linotype"/>
          <w:b/>
          <w:color w:val="000000" w:themeColor="text1"/>
        </w:rPr>
        <w:t>.</w:t>
      </w:r>
      <w:bookmarkEnd w:id="32"/>
    </w:p>
    <w:p w14:paraId="2DECDC75" w14:textId="77777777" w:rsidR="00E44438" w:rsidRPr="00750135" w:rsidRDefault="00E44438" w:rsidP="00E44438">
      <w:pPr>
        <w:pStyle w:val="Prrafodelista"/>
        <w:spacing w:line="360" w:lineRule="auto"/>
        <w:ind w:left="0"/>
        <w:jc w:val="both"/>
        <w:rPr>
          <w:rFonts w:ascii="Palatino Linotype" w:eastAsia="MS Mincho" w:hAnsi="Palatino Linotype"/>
        </w:rPr>
      </w:pPr>
    </w:p>
    <w:p w14:paraId="5372A911" w14:textId="7E2703E9" w:rsidR="00534DFE" w:rsidRPr="00750135" w:rsidRDefault="00534DFE" w:rsidP="00402F25">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lastRenderedPageBreak/>
        <w:t>Una vez interpuesto el recurso de revisión, el Particular se inconformó argumentando lo siguiente:</w:t>
      </w:r>
    </w:p>
    <w:p w14:paraId="2187D76E" w14:textId="77777777" w:rsidR="00534DFE" w:rsidRPr="00750135" w:rsidRDefault="00534DFE" w:rsidP="00534DFE">
      <w:pPr>
        <w:pStyle w:val="Prrafodelista"/>
        <w:tabs>
          <w:tab w:val="left" w:pos="851"/>
        </w:tabs>
        <w:spacing w:before="240" w:after="240" w:line="360" w:lineRule="auto"/>
        <w:ind w:left="0" w:right="49"/>
        <w:jc w:val="both"/>
        <w:rPr>
          <w:rFonts w:ascii="Palatino Linotype" w:hAnsi="Palatino Linotype"/>
          <w:sz w:val="22"/>
          <w:szCs w:val="22"/>
          <w:lang w:val="es-ES"/>
        </w:rPr>
      </w:pPr>
    </w:p>
    <w:p w14:paraId="39CE0871" w14:textId="1B3B977B" w:rsidR="00534DFE" w:rsidRPr="00750135" w:rsidRDefault="00534DFE" w:rsidP="007B6CF2">
      <w:pPr>
        <w:pStyle w:val="Prrafodelista"/>
        <w:tabs>
          <w:tab w:val="left" w:pos="851"/>
        </w:tabs>
        <w:spacing w:before="240" w:after="240" w:line="360" w:lineRule="auto"/>
        <w:ind w:left="567" w:right="616"/>
        <w:jc w:val="both"/>
        <w:rPr>
          <w:rFonts w:ascii="Palatino Linotype" w:hAnsi="Palatino Linotype"/>
          <w:sz w:val="22"/>
          <w:szCs w:val="22"/>
          <w:lang w:val="es-ES"/>
        </w:rPr>
      </w:pPr>
      <w:r w:rsidRPr="00750135">
        <w:rPr>
          <w:rFonts w:ascii="Palatino Linotype" w:hAnsi="Palatino Linotype"/>
          <w:sz w:val="22"/>
          <w:szCs w:val="22"/>
          <w:lang w:val="es-ES"/>
        </w:rPr>
        <w:t>“</w:t>
      </w:r>
      <w:r w:rsidR="007B6CF2" w:rsidRPr="00750135">
        <w:rPr>
          <w:rFonts w:ascii="Palatino Linotype" w:hAnsi="Palatino Linotype"/>
          <w:i/>
          <w:sz w:val="22"/>
          <w:szCs w:val="22"/>
          <w:lang w:val="es-ES"/>
        </w:rPr>
        <w:t>La información solicitada en el numeral 3,4,5,6 y 11 no fue proporcionada por el hecho de que se consideró "información como reservada parcial"; El acuerdo número 042/CUAUTIZC/CT/CGSPT/2021 mediante el cual se clasifica como información como reservada parcialmente por el suscrito, mediante la solicitud de información pública con número de folio 00286/CUAUTIZC/IP/2022, en la que solicité: "3. ¿Cuántos elementos de seguridad por cada 1000 habitantes tiene el municipio?, 4. ¿Cuántos elementos son en total?, 5. ¿Cuántos elementos se encuentran comisionados a labores distintas a la prevención del delito y seguridad pública? ¿Cuántos tienen función de escolta y cuantos están comisionados al resguardo de instalaciones municipales?, 6. ¿Cuentan los elementos de seguridad con el equipo básico y en qué consiste?, 7. ¿El municipio está implementando el Servicio Profesional de Carrera Policial?...</w:t>
      </w:r>
      <w:r w:rsidR="00383467" w:rsidRPr="00750135">
        <w:rPr>
          <w:rFonts w:ascii="Palatino Linotype" w:hAnsi="Palatino Linotype"/>
          <w:i/>
          <w:sz w:val="22"/>
          <w:szCs w:val="22"/>
          <w:lang w:val="es-ES"/>
        </w:rPr>
        <w:t xml:space="preserve"> el numeral 1 y 11 del mismo cuestionario, no fueron respondidos, por lo tanto solicito que sean resueltos y se respete el derecho de acceso a la información pública.</w:t>
      </w:r>
      <w:r w:rsidR="007B6CF2" w:rsidRPr="00750135">
        <w:rPr>
          <w:rFonts w:ascii="Palatino Linotype" w:hAnsi="Palatino Linotype"/>
          <w:sz w:val="22"/>
          <w:szCs w:val="22"/>
          <w:lang w:val="es-ES"/>
        </w:rPr>
        <w:t xml:space="preserve">) </w:t>
      </w:r>
      <w:r w:rsidRPr="00750135">
        <w:rPr>
          <w:rFonts w:ascii="Palatino Linotype" w:eastAsia="Times New Roman" w:hAnsi="Palatino Linotype" w:cs="Arial"/>
          <w:i/>
          <w:color w:val="000000" w:themeColor="text1"/>
          <w:sz w:val="22"/>
          <w:szCs w:val="22"/>
          <w:lang w:val="es-ES"/>
        </w:rPr>
        <w:t xml:space="preserve"> (sic) </w:t>
      </w:r>
    </w:p>
    <w:p w14:paraId="560F7B80" w14:textId="77777777" w:rsidR="00534DFE" w:rsidRPr="00750135" w:rsidRDefault="00534DFE" w:rsidP="00534DFE">
      <w:pPr>
        <w:pStyle w:val="Prrafodelista"/>
        <w:tabs>
          <w:tab w:val="left" w:pos="851"/>
        </w:tabs>
        <w:spacing w:before="240" w:after="240" w:line="360" w:lineRule="auto"/>
        <w:ind w:left="0" w:right="49"/>
        <w:jc w:val="both"/>
        <w:rPr>
          <w:rFonts w:ascii="Palatino Linotype" w:hAnsi="Palatino Linotype"/>
          <w:sz w:val="22"/>
          <w:szCs w:val="22"/>
          <w:lang w:val="es-ES"/>
        </w:rPr>
      </w:pPr>
    </w:p>
    <w:p w14:paraId="615E6428" w14:textId="4BC8E04E" w:rsidR="00A508AA" w:rsidRPr="00750135" w:rsidRDefault="00A508AA" w:rsidP="00185A56">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eastAsia="MS Mincho" w:hAnsi="Palatino Linotype"/>
        </w:rPr>
        <w:t>El Particular no mostró inconformidad</w:t>
      </w:r>
      <w:r w:rsidR="008E4C8E" w:rsidRPr="00750135">
        <w:rPr>
          <w:rFonts w:ascii="Palatino Linotype" w:eastAsia="MS Mincho" w:hAnsi="Palatino Linotype"/>
        </w:rPr>
        <w:t xml:space="preserve"> por el resto de la información proporcionada y relativa a</w:t>
      </w:r>
      <w:r w:rsidR="007B6CF2" w:rsidRPr="00750135">
        <w:rPr>
          <w:rFonts w:ascii="Palatino Linotype" w:eastAsia="MS Mincho" w:hAnsi="Palatino Linotype"/>
        </w:rPr>
        <w:t xml:space="preserve"> los requerimientos identificados con los numerales </w:t>
      </w:r>
      <w:r w:rsidR="00383467" w:rsidRPr="00750135">
        <w:rPr>
          <w:rFonts w:ascii="Palatino Linotype" w:eastAsia="MS Mincho" w:hAnsi="Palatino Linotype"/>
        </w:rPr>
        <w:t xml:space="preserve"> 2, 8, 9,</w:t>
      </w:r>
      <w:r w:rsidR="007B6CF2" w:rsidRPr="00750135">
        <w:rPr>
          <w:rFonts w:ascii="Palatino Linotype" w:eastAsia="MS Mincho" w:hAnsi="Palatino Linotype"/>
        </w:rPr>
        <w:t xml:space="preserve"> 10 y 12</w:t>
      </w:r>
      <w:r w:rsidRPr="00750135">
        <w:rPr>
          <w:rFonts w:ascii="Palatino Linotype" w:eastAsia="MS Mincho" w:hAnsi="Palatino Linotype"/>
        </w:rPr>
        <w:t>; en consecuencia, los rubros que no fueron motivo de inconformidad d</w:t>
      </w:r>
      <w:r w:rsidRPr="00750135">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7D354A90" w14:textId="77777777" w:rsidR="00A508AA" w:rsidRPr="00750135" w:rsidRDefault="00A508AA" w:rsidP="00A508AA">
      <w:pPr>
        <w:autoSpaceDE w:val="0"/>
        <w:autoSpaceDN w:val="0"/>
        <w:adjustRightInd w:val="0"/>
        <w:spacing w:before="240" w:after="360"/>
        <w:ind w:left="851" w:right="900"/>
        <w:jc w:val="both"/>
        <w:rPr>
          <w:rFonts w:ascii="Palatino Linotype" w:eastAsia="Calibri" w:hAnsi="Palatino Linotype" w:cs="Arial"/>
          <w:i/>
          <w:sz w:val="22"/>
        </w:rPr>
      </w:pPr>
      <w:r w:rsidRPr="00750135">
        <w:rPr>
          <w:rFonts w:ascii="Palatino Linotype" w:eastAsia="Calibri" w:hAnsi="Palatino Linotype" w:cs="Arial"/>
          <w:b/>
          <w:i/>
          <w:sz w:val="22"/>
        </w:rPr>
        <w:lastRenderedPageBreak/>
        <w:t xml:space="preserve">“REVISIÓN EN AMPARO. LOS RESOLUTIVOS NO COMBATIDOS DEBEN DECLARARSE FIRMES. </w:t>
      </w:r>
      <w:r w:rsidRPr="00750135">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07A7612" w14:textId="77777777" w:rsidR="00A508AA" w:rsidRPr="00750135" w:rsidRDefault="00A508AA" w:rsidP="00A508AA">
      <w:pPr>
        <w:pStyle w:val="Prrafodelista"/>
        <w:numPr>
          <w:ilvl w:val="0"/>
          <w:numId w:val="1"/>
        </w:numPr>
        <w:spacing w:before="240" w:after="240" w:line="360" w:lineRule="auto"/>
        <w:jc w:val="both"/>
        <w:rPr>
          <w:rFonts w:ascii="Palatino Linotype" w:eastAsia="Arial Unicode MS" w:hAnsi="Palatino Linotype" w:cs="Arial"/>
        </w:rPr>
      </w:pPr>
      <w:r w:rsidRPr="00750135">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75103879" w14:textId="77777777" w:rsidR="00A508AA" w:rsidRPr="00750135" w:rsidRDefault="00A508AA" w:rsidP="00A508AA">
      <w:pPr>
        <w:pStyle w:val="Prrafodelista"/>
        <w:spacing w:before="240" w:after="240" w:line="360" w:lineRule="auto"/>
        <w:ind w:left="0"/>
        <w:jc w:val="both"/>
        <w:rPr>
          <w:rFonts w:ascii="Palatino Linotype" w:eastAsia="Arial Unicode MS" w:hAnsi="Palatino Linotype" w:cs="Arial"/>
        </w:rPr>
      </w:pPr>
    </w:p>
    <w:p w14:paraId="0A53730C" w14:textId="77777777" w:rsidR="00A508AA" w:rsidRPr="00750135" w:rsidRDefault="00A508AA" w:rsidP="00A508AA">
      <w:pPr>
        <w:pStyle w:val="Prrafodelista"/>
        <w:numPr>
          <w:ilvl w:val="0"/>
          <w:numId w:val="1"/>
        </w:numPr>
        <w:spacing w:before="240" w:after="240" w:line="360" w:lineRule="auto"/>
        <w:jc w:val="both"/>
        <w:rPr>
          <w:rFonts w:ascii="Palatino Linotype" w:eastAsia="Arial Unicode MS" w:hAnsi="Palatino Linotype" w:cs="Arial"/>
        </w:rPr>
      </w:pPr>
      <w:r w:rsidRPr="00750135">
        <w:rPr>
          <w:rFonts w:ascii="Palatino Linotype" w:eastAsia="Arial Unicode MS" w:hAnsi="Palatino Linotype" w:cs="Arial"/>
        </w:rPr>
        <w:t xml:space="preserve">Sirve de sustento a lo anterior por analogía la tesis jurisprudencial número </w:t>
      </w:r>
      <w:r w:rsidRPr="00750135">
        <w:rPr>
          <w:rFonts w:ascii="Palatino Linotype" w:eastAsia="Calibri" w:hAnsi="Palatino Linotype" w:cs="Arial"/>
        </w:rPr>
        <w:t>VI.3o.C. J/60, publicada en el Semanario Judicial de la Federación y su Gaceta bajo el número de registro 176,608 que a la letra dice:</w:t>
      </w:r>
    </w:p>
    <w:p w14:paraId="3E714064" w14:textId="77777777" w:rsidR="00A508AA" w:rsidRPr="00750135" w:rsidRDefault="00A508AA" w:rsidP="00A508AA">
      <w:pPr>
        <w:pStyle w:val="Prrafodelista"/>
        <w:rPr>
          <w:rFonts w:ascii="Palatino Linotype" w:eastAsia="Arial Unicode MS" w:hAnsi="Palatino Linotype" w:cs="Arial"/>
          <w:sz w:val="22"/>
        </w:rPr>
      </w:pPr>
    </w:p>
    <w:p w14:paraId="19C01C8A" w14:textId="77777777" w:rsidR="00A508AA" w:rsidRPr="00750135" w:rsidRDefault="00A508AA" w:rsidP="00A508AA">
      <w:pPr>
        <w:pStyle w:val="Prrafodelista"/>
        <w:spacing w:line="360" w:lineRule="auto"/>
        <w:ind w:left="567" w:right="616"/>
        <w:jc w:val="both"/>
        <w:rPr>
          <w:rFonts w:ascii="Palatino Linotype" w:hAnsi="Palatino Linotype" w:cs="Arial"/>
          <w:i/>
          <w:sz w:val="22"/>
        </w:rPr>
      </w:pPr>
      <w:r w:rsidRPr="00750135">
        <w:rPr>
          <w:rFonts w:ascii="Palatino Linotype" w:hAnsi="Palatino Linotype" w:cs="Arial"/>
          <w:b/>
          <w:bCs/>
          <w:i/>
          <w:caps/>
          <w:sz w:val="22"/>
        </w:rPr>
        <w:t xml:space="preserve">“ACTOS CONSENTIDOS. SON LOS QUE NO SE IMPUGNAN MEDIANTE EL RECURSO IDÓNEO. </w:t>
      </w:r>
      <w:r w:rsidRPr="00750135">
        <w:rPr>
          <w:rFonts w:ascii="Palatino Linotype" w:hAnsi="Palatino Linotype" w:cs="Arial"/>
          <w:i/>
          <w:sz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13964C" w14:textId="77777777" w:rsidR="00A508AA" w:rsidRPr="00750135" w:rsidRDefault="00A508AA" w:rsidP="00A508AA">
      <w:pPr>
        <w:pStyle w:val="Prrafodelista"/>
        <w:tabs>
          <w:tab w:val="left" w:pos="567"/>
        </w:tabs>
        <w:spacing w:line="360" w:lineRule="auto"/>
        <w:ind w:left="0"/>
        <w:jc w:val="both"/>
        <w:rPr>
          <w:rFonts w:ascii="Palatino Linotype" w:eastAsia="Calibri" w:hAnsi="Palatino Linotype" w:cs="Arial"/>
          <w:sz w:val="22"/>
        </w:rPr>
      </w:pPr>
    </w:p>
    <w:p w14:paraId="58842A7A" w14:textId="089875F4" w:rsidR="00A508AA" w:rsidRPr="00750135" w:rsidRDefault="00A508AA" w:rsidP="00A508AA">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eastAsia="Calibri" w:hAnsi="Palatino Linotype" w:cs="Arial"/>
        </w:rPr>
        <w:t>Por lo que el análisis y estudio se centrará en los requerimientos por los que se inconformó el particular</w:t>
      </w:r>
      <w:r w:rsidR="00185A56" w:rsidRPr="00750135">
        <w:rPr>
          <w:rFonts w:ascii="Palatino Linotype" w:eastAsia="Calibri" w:hAnsi="Palatino Linotype" w:cs="Arial"/>
        </w:rPr>
        <w:t>, siendo los siguientes:</w:t>
      </w:r>
    </w:p>
    <w:p w14:paraId="20C7E652" w14:textId="7D6515EA" w:rsidR="00383467" w:rsidRPr="00750135" w:rsidRDefault="00383467"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lastRenderedPageBreak/>
        <w:t>1. ¿Lleva a cabo el municipio acciones tendientes a la armonización contable? ¿cúales?</w:t>
      </w:r>
    </w:p>
    <w:p w14:paraId="652FF9E2" w14:textId="77777777" w:rsidR="00CB1FFD" w:rsidRPr="00750135" w:rsidRDefault="00CB1FFD"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 xml:space="preserve">3. ¿Cuántos elementos de seguridad por cada 1000 habitantes tiene el municipio? </w:t>
      </w:r>
    </w:p>
    <w:p w14:paraId="13DD9129" w14:textId="77777777" w:rsidR="00CB1FFD" w:rsidRPr="00750135" w:rsidRDefault="00CB1FFD"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 xml:space="preserve">4. ¿Cuántos elementos son en total? </w:t>
      </w:r>
    </w:p>
    <w:p w14:paraId="17A2EF39" w14:textId="77777777" w:rsidR="00CB1FFD" w:rsidRPr="00750135" w:rsidRDefault="00CB1FFD"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5. ¿Cuántos elementos se encuentran comisionados a labores distintas a la prevención del delito y seguridad pública? ¿Cuántos tienen función de escolta y cuantos están comisionados al resguardo de instalaciones municipales?</w:t>
      </w:r>
    </w:p>
    <w:p w14:paraId="45263550" w14:textId="77777777" w:rsidR="00CB1FFD" w:rsidRPr="00750135" w:rsidRDefault="00CB1FFD"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 xml:space="preserve"> 6. ¿Cuentan los elementos de seguridad con el equipo básico y en qué consiste? </w:t>
      </w:r>
    </w:p>
    <w:p w14:paraId="2A06A8B2" w14:textId="35DF1AAF" w:rsidR="00383467" w:rsidRPr="00750135" w:rsidRDefault="00383467"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7. ¿El municipio está implementando el Servicio Profesional de Carrera Policial?</w:t>
      </w:r>
    </w:p>
    <w:p w14:paraId="660F56AA" w14:textId="47D9ACBC" w:rsidR="007B6CF2" w:rsidRPr="00750135" w:rsidRDefault="00CB1FFD" w:rsidP="00CB1FFD">
      <w:pPr>
        <w:pStyle w:val="Prrafodelista"/>
        <w:tabs>
          <w:tab w:val="left" w:pos="851"/>
        </w:tabs>
        <w:spacing w:before="240" w:after="240" w:line="360" w:lineRule="auto"/>
        <w:ind w:left="567" w:right="49"/>
        <w:jc w:val="both"/>
        <w:rPr>
          <w:rFonts w:ascii="Palatino Linotype" w:eastAsia="Calibri" w:hAnsi="Palatino Linotype" w:cs="Arial"/>
          <w:sz w:val="22"/>
        </w:rPr>
      </w:pPr>
      <w:r w:rsidRPr="00750135">
        <w:rPr>
          <w:rFonts w:ascii="Palatino Linotype" w:eastAsia="Calibri" w:hAnsi="Palatino Linotype" w:cs="Arial"/>
          <w:sz w:val="22"/>
        </w:rPr>
        <w:t>11. ¿El municipio ha gestionado la incorporación de sus elementos de seguridad a la licencia colectiva para la portación de armamento?</w:t>
      </w:r>
    </w:p>
    <w:p w14:paraId="757C91F8" w14:textId="77777777" w:rsidR="007B6CF2" w:rsidRPr="00750135" w:rsidRDefault="007B6CF2" w:rsidP="00185A56">
      <w:pPr>
        <w:pStyle w:val="Prrafodelista"/>
        <w:tabs>
          <w:tab w:val="left" w:pos="851"/>
        </w:tabs>
        <w:spacing w:before="240" w:after="240" w:line="360" w:lineRule="auto"/>
        <w:ind w:left="0" w:right="49"/>
        <w:jc w:val="both"/>
        <w:rPr>
          <w:rFonts w:ascii="Palatino Linotype" w:eastAsia="Calibri" w:hAnsi="Palatino Linotype" w:cs="Arial"/>
          <w:sz w:val="22"/>
        </w:rPr>
      </w:pPr>
    </w:p>
    <w:p w14:paraId="67A69EF8" w14:textId="77777777" w:rsidR="00CB1FFD" w:rsidRPr="00750135" w:rsidRDefault="00CB1FFD" w:rsidP="00CB1FFD">
      <w:pPr>
        <w:pStyle w:val="Prrafodelista"/>
        <w:numPr>
          <w:ilvl w:val="0"/>
          <w:numId w:val="1"/>
        </w:numPr>
        <w:tabs>
          <w:tab w:val="left" w:pos="567"/>
        </w:tabs>
        <w:spacing w:line="360" w:lineRule="auto"/>
        <w:jc w:val="both"/>
        <w:rPr>
          <w:rFonts w:ascii="Palatino Linotype" w:eastAsia="Calibri" w:hAnsi="Palatino Linotype" w:cs="Arial"/>
        </w:rPr>
      </w:pPr>
      <w:r w:rsidRPr="00750135">
        <w:rPr>
          <w:rFonts w:ascii="Palatino Linotype" w:eastAsia="Palatino Linotype" w:hAnsi="Palatino Linotype" w:cs="Palatino Linotype"/>
          <w:lang w:val="es-ES" w:eastAsia="es-MX"/>
        </w:rPr>
        <w:t xml:space="preserve">Previo a entrar al análisis del fondo del presente asunto, no escapa de la óptica de este Órgano Garante, que </w:t>
      </w:r>
      <w:r w:rsidRPr="00750135">
        <w:rPr>
          <w:rFonts w:ascii="Palatino Linotype" w:eastAsia="Palatino Linotype" w:hAnsi="Palatino Linotype" w:cs="Palatino Linotype"/>
          <w:b/>
          <w:lang w:val="es-ES" w:eastAsia="es-MX"/>
        </w:rPr>
        <w:t>EL RECURRENTE</w:t>
      </w:r>
      <w:r w:rsidRPr="00750135">
        <w:rPr>
          <w:rFonts w:ascii="Palatino Linotype" w:eastAsia="Palatino Linotype" w:hAnsi="Palatino Linotype" w:cs="Palatino Linotype"/>
          <w:lang w:val="es-ES" w:eastAsia="es-MX"/>
        </w:rPr>
        <w:t xml:space="preserve">, a través de su solicitud de información pretendió </w:t>
      </w:r>
      <w:r w:rsidRPr="00750135">
        <w:rPr>
          <w:rFonts w:ascii="Palatino Linotype" w:eastAsia="Palatino Linotype" w:hAnsi="Palatino Linotype" w:cs="Palatino Linotype"/>
          <w:b/>
          <w:lang w:val="es-ES" w:eastAsia="es-MX"/>
        </w:rPr>
        <w:t xml:space="preserve">EL SUJETO OBLIGADO </w:t>
      </w:r>
      <w:r w:rsidRPr="00750135">
        <w:rPr>
          <w:rFonts w:ascii="Palatino Linotype" w:eastAsia="Palatino Linotype" w:hAnsi="Palatino Linotype" w:cs="Palatino Linotype"/>
          <w:lang w:val="es-ES" w:eastAsia="es-MX"/>
        </w:rPr>
        <w:t>se pronuncie de manera afirmativa negativa, o bien emita un pronunciamiento categórico mediante el cual explique determinada situación, a fin de satisfacer su interrogante o inquietud</w:t>
      </w:r>
      <w:r w:rsidRPr="00750135">
        <w:rPr>
          <w:rFonts w:ascii="Palatino Linotype" w:eastAsia="Palatino Linotype" w:hAnsi="Palatino Linotype" w:cs="Palatino Linotype"/>
          <w:i/>
          <w:lang w:val="es-ES" w:eastAsia="es-MX"/>
        </w:rPr>
        <w:t>,</w:t>
      </w:r>
      <w:r w:rsidRPr="00750135">
        <w:rPr>
          <w:rFonts w:ascii="Palatino Linotype" w:eastAsia="Palatino Linotype" w:hAnsi="Palatino Linotype" w:cs="Palatino Linotype"/>
          <w:lang w:val="es-ES" w:eastAsia="es-MX"/>
        </w:rPr>
        <w:t xml:space="preserve"> razón por la cual este Órgano Garante considera pertinente, en primer lugar, establecer las diferencias entre el derecho de petición y el derecho base del asunto que nos ocupa, basado en lo siguiente:</w:t>
      </w:r>
    </w:p>
    <w:p w14:paraId="7E2D75C5" w14:textId="77777777" w:rsidR="00CB1FFD" w:rsidRPr="00750135" w:rsidRDefault="00CB1FFD" w:rsidP="00CB1FFD">
      <w:pPr>
        <w:pStyle w:val="Prrafodelista"/>
        <w:tabs>
          <w:tab w:val="left" w:pos="567"/>
        </w:tabs>
        <w:spacing w:line="360" w:lineRule="auto"/>
        <w:ind w:left="0"/>
        <w:jc w:val="both"/>
        <w:rPr>
          <w:rFonts w:ascii="Palatino Linotype" w:eastAsia="Calibri" w:hAnsi="Palatino Linotype" w:cs="Arial"/>
        </w:rPr>
      </w:pPr>
    </w:p>
    <w:p w14:paraId="310BF310"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El Maestro Ignacio Burgoa Orihuela refiere que el derecho de petición “…</w:t>
      </w:r>
      <w:r w:rsidRPr="00750135">
        <w:rPr>
          <w:rFonts w:ascii="Palatino Linotype" w:eastAsia="Palatino Linotype" w:hAnsi="Palatino Linotype" w:cs="Palatino Linotype"/>
          <w:i/>
          <w:lang w:val="es-ES" w:eastAsia="es-MX"/>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índole, la cual adopta, </w:t>
      </w:r>
      <w:r w:rsidRPr="00750135">
        <w:rPr>
          <w:rFonts w:ascii="Palatino Linotype" w:eastAsia="Palatino Linotype" w:hAnsi="Palatino Linotype" w:cs="Palatino Linotype"/>
          <w:i/>
          <w:lang w:val="es-ES" w:eastAsia="es-MX"/>
        </w:rPr>
        <w:lastRenderedPageBreak/>
        <w:t>específicamente, el carácter de simple petición administrativa, acción o recurso, etc.</w:t>
      </w:r>
      <w:r w:rsidRPr="00750135">
        <w:rPr>
          <w:rFonts w:ascii="Palatino Linotype" w:eastAsia="Palatino Linotype" w:hAnsi="Palatino Linotype" w:cs="Palatino Linotype"/>
          <w:i/>
          <w:vertAlign w:val="superscript"/>
          <w:lang w:val="es-ES" w:eastAsia="es-MX"/>
        </w:rPr>
        <w:t xml:space="preserve"> </w:t>
      </w:r>
      <w:r w:rsidRPr="00750135">
        <w:rPr>
          <w:rFonts w:ascii="Palatino Linotype" w:hAnsi="Palatino Linotype"/>
          <w:vertAlign w:val="superscript"/>
          <w:lang w:val="es-ES" w:eastAsia="es-MX"/>
        </w:rPr>
        <w:footnoteReference w:id="6"/>
      </w:r>
      <w:r w:rsidRPr="00750135">
        <w:rPr>
          <w:rFonts w:ascii="Palatino Linotype" w:eastAsia="Palatino Linotype" w:hAnsi="Palatino Linotype" w:cs="Palatino Linotype"/>
          <w:i/>
          <w:lang w:val="es-ES" w:eastAsia="es-MX"/>
        </w:rPr>
        <w:t xml:space="preserve">“, </w:t>
      </w:r>
      <w:r w:rsidRPr="00750135">
        <w:rPr>
          <w:rFonts w:ascii="Palatino Linotype" w:eastAsia="Palatino Linotype" w:hAnsi="Palatino Linotype" w:cs="Palatino Linotype"/>
          <w:lang w:val="es-ES" w:eastAsia="es-MX"/>
        </w:rPr>
        <w:t>mientras que</w:t>
      </w:r>
      <w:r w:rsidRPr="00750135">
        <w:rPr>
          <w:rFonts w:ascii="Palatino Linotype" w:eastAsia="Palatino Linotype" w:hAnsi="Palatino Linotype" w:cs="Palatino Linotype"/>
          <w:i/>
          <w:lang w:val="es-ES" w:eastAsia="es-MX"/>
        </w:rPr>
        <w:t xml:space="preserve"> </w:t>
      </w:r>
      <w:r w:rsidRPr="00750135">
        <w:rPr>
          <w:rFonts w:ascii="Palatino Linotype" w:eastAsia="Palatino Linotype" w:hAnsi="Palatino Linotype" w:cs="Palatino Linotype"/>
          <w:lang w:val="es-ES" w:eastAsia="es-MX"/>
        </w:rPr>
        <w:t xml:space="preserve">David Cienfuegos Salgado, lo concibe como </w:t>
      </w:r>
      <w:r w:rsidRPr="00750135">
        <w:rPr>
          <w:rFonts w:ascii="Palatino Linotype" w:eastAsia="Palatino Linotype" w:hAnsi="Palatino Linotype" w:cs="Palatino Linotype"/>
          <w:i/>
          <w:lang w:val="es-ES" w:eastAsia="es-MX"/>
        </w:rPr>
        <w:t>“el derecho de toda persona a ser escuchado por quienes ejercen el poder público.</w:t>
      </w:r>
      <w:r w:rsidRPr="00750135">
        <w:rPr>
          <w:rFonts w:ascii="Palatino Linotype" w:eastAsia="Palatino Linotype" w:hAnsi="Palatino Linotype" w:cs="Palatino Linotype"/>
          <w:i/>
          <w:vertAlign w:val="superscript"/>
          <w:lang w:val="es-ES" w:eastAsia="es-MX"/>
        </w:rPr>
        <w:t xml:space="preserve"> </w:t>
      </w:r>
      <w:r w:rsidRPr="00750135">
        <w:rPr>
          <w:rFonts w:ascii="Palatino Linotype" w:hAnsi="Palatino Linotype"/>
          <w:vertAlign w:val="superscript"/>
          <w:lang w:val="es-ES" w:eastAsia="es-MX"/>
        </w:rPr>
        <w:footnoteReference w:id="7"/>
      </w:r>
      <w:r w:rsidRPr="00750135">
        <w:rPr>
          <w:rFonts w:ascii="Palatino Linotype" w:eastAsia="Palatino Linotype" w:hAnsi="Palatino Linotype" w:cs="Palatino Linotype"/>
          <w:i/>
          <w:lang w:val="es-ES" w:eastAsia="es-MX"/>
        </w:rPr>
        <w:t xml:space="preserve">” </w:t>
      </w:r>
    </w:p>
    <w:p w14:paraId="32788741"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54E9854E"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Para diferenciar el derecho de petición al derecho de acceso a la información, resulta conducente señalar que José Guadalupe Robles, conceptualiza el derecho a la información como </w:t>
      </w:r>
      <w:r w:rsidRPr="00750135">
        <w:rPr>
          <w:rFonts w:ascii="Palatino Linotype" w:eastAsia="Palatino Linotype" w:hAnsi="Palatino Linotype" w:cs="Palatino Linotype"/>
          <w:i/>
          <w:lang w:val="es-ES" w:eastAsia="es-MX"/>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50135">
        <w:rPr>
          <w:rFonts w:ascii="Palatino Linotype" w:eastAsia="Palatino Linotype" w:hAnsi="Palatino Linotype" w:cs="Palatino Linotype"/>
          <w:i/>
          <w:vertAlign w:val="superscript"/>
          <w:lang w:val="es-ES" w:eastAsia="es-MX"/>
        </w:rPr>
        <w:t xml:space="preserve"> </w:t>
      </w:r>
      <w:r w:rsidRPr="00750135">
        <w:rPr>
          <w:rFonts w:ascii="Palatino Linotype" w:hAnsi="Palatino Linotype"/>
          <w:i/>
          <w:vertAlign w:val="superscript"/>
          <w:lang w:val="es-ES" w:eastAsia="es-MX"/>
        </w:rPr>
        <w:footnoteReference w:id="8"/>
      </w:r>
      <w:r w:rsidRPr="00750135">
        <w:rPr>
          <w:rFonts w:ascii="Palatino Linotype" w:eastAsia="Palatino Linotype" w:hAnsi="Palatino Linotype" w:cs="Palatino Linotype"/>
          <w:i/>
          <w:lang w:val="es-ES" w:eastAsia="es-MX"/>
        </w:rPr>
        <w:t>“</w:t>
      </w:r>
    </w:p>
    <w:p w14:paraId="1DABE01F"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65C1D67B"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Además, el derecho a la información constituye una prerrogativa de acceder a documentación en poder de los </w:t>
      </w:r>
      <w:r w:rsidRPr="00750135">
        <w:rPr>
          <w:rFonts w:ascii="Palatino Linotype" w:eastAsia="Palatino Linotype" w:hAnsi="Palatino Linotype" w:cs="Palatino Linotype"/>
          <w:u w:val="single"/>
          <w:lang w:val="es-ES" w:eastAsia="es-MX"/>
        </w:rPr>
        <w:t>Sujetos Obligados</w:t>
      </w:r>
      <w:r w:rsidRPr="00750135">
        <w:rPr>
          <w:rFonts w:ascii="Palatino Linotype" w:eastAsia="Palatino Linotype" w:hAnsi="Palatino Linotype" w:cs="Palatino Linotype"/>
          <w:lang w:val="es-ES" w:eastAsia="es-MX"/>
        </w:rPr>
        <w:t xml:space="preserve">, no así a realizar cuestionamientos, o manifestaciones subjetivas. </w:t>
      </w:r>
    </w:p>
    <w:p w14:paraId="584E28FD"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498758DD"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Sirve de apoyo a lo anterior la definición de derecho a la información de Ernesto Villanueva Villanueva que dice: “</w:t>
      </w:r>
      <w:r w:rsidRPr="00750135">
        <w:rPr>
          <w:rFonts w:ascii="Palatino Linotype" w:eastAsia="Palatino Linotype" w:hAnsi="Palatino Linotype" w:cs="Palatino Linotype"/>
          <w:i/>
          <w:lang w:val="es-ES"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750135">
        <w:rPr>
          <w:rFonts w:ascii="Palatino Linotype" w:hAnsi="Palatino Linotype"/>
          <w:i/>
          <w:vertAlign w:val="superscript"/>
          <w:lang w:val="es-ES" w:eastAsia="es-MX"/>
        </w:rPr>
        <w:footnoteReference w:id="9"/>
      </w:r>
    </w:p>
    <w:p w14:paraId="6868DFCA"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1A5E297E"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lastRenderedPageBreak/>
        <w:t xml:space="preserve">Por lo que, </w:t>
      </w:r>
      <w:r w:rsidRPr="00750135">
        <w:rPr>
          <w:rFonts w:ascii="Palatino Linotype" w:eastAsia="Palatino Linotype" w:hAnsi="Palatino Linotype" w:cs="Palatino Linotype"/>
          <w:b/>
          <w:lang w:val="es-ES" w:eastAsia="es-MX"/>
        </w:rPr>
        <w:t>la entrega de una razón o un razonamiento por parte del Sujeto Obligado no es algo que la ley establezca como atribución, derecho, o facultad</w:t>
      </w:r>
      <w:r w:rsidRPr="00750135">
        <w:rPr>
          <w:rFonts w:ascii="Palatino Linotype" w:eastAsia="Palatino Linotype" w:hAnsi="Palatino Linotype" w:cs="Palatino Linotype"/>
          <w:lang w:val="es-ES" w:eastAsia="es-MX"/>
        </w:rPr>
        <w:t xml:space="preserve">; </w:t>
      </w:r>
      <w:r w:rsidRPr="00750135">
        <w:rPr>
          <w:rFonts w:ascii="Palatino Linotype" w:eastAsia="Palatino Linotype" w:hAnsi="Palatino Linotype" w:cs="Palatino Linotype"/>
          <w:b/>
          <w:lang w:val="es-ES" w:eastAsia="es-MX"/>
        </w:rPr>
        <w:t>pues ello implicaría un juicio de valor referente a un cuestionamiento realizado</w:t>
      </w:r>
      <w:r w:rsidRPr="00750135">
        <w:rPr>
          <w:rFonts w:ascii="Palatino Linotype" w:eastAsia="Palatino Linotype" w:hAnsi="Palatino Linotype" w:cs="Palatino Linotype"/>
          <w:lang w:val="es-ES" w:eastAsia="es-MX"/>
        </w:rPr>
        <w:t>, los cuales, al constituir interrogantes, inquietudes y manifestaciones se satisfacen vía derecho de petición.</w:t>
      </w:r>
    </w:p>
    <w:p w14:paraId="296A89D6"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7736A005"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05A5D263"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4584C91A"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223B993"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7F92E8AE"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de México </w:t>
      </w:r>
      <w:r w:rsidRPr="00750135">
        <w:rPr>
          <w:rFonts w:ascii="Palatino Linotype" w:eastAsia="Palatino Linotype" w:hAnsi="Palatino Linotype" w:cs="Palatino Linotype"/>
          <w:lang w:val="es-ES" w:eastAsia="es-MX"/>
        </w:rPr>
        <w:lastRenderedPageBreak/>
        <w:t xml:space="preserve">y Municipios y demás disposiciones de la materia, privilegiando el principio de máxima publicidad de la información. </w:t>
      </w:r>
    </w:p>
    <w:p w14:paraId="41F568D3"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7EC34C2D"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lang w:val="es-ES" w:eastAsia="es-MX"/>
        </w:rPr>
      </w:pPr>
      <w:r w:rsidRPr="00750135">
        <w:rPr>
          <w:rFonts w:ascii="Palatino Linotype" w:eastAsia="Palatino Linotype" w:hAnsi="Palatino Linotype" w:cs="Palatino Linotype"/>
          <w:lang w:val="es-ES" w:eastAsia="es-MX"/>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54E5F46"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4AA9BCE6"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6CC08D6E"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31FEB8E9"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Así, se puede concluir que la distinción entre el derecho de petición y el derecho de acceso a la información pública estriba principalmente en que en el primero de ellos, la pretensión del peticionario consiste generalmente en </w:t>
      </w:r>
      <w:r w:rsidRPr="00750135">
        <w:rPr>
          <w:rFonts w:ascii="Palatino Linotype" w:eastAsia="Palatino Linotype" w:hAnsi="Palatino Linotype" w:cs="Palatino Linotype"/>
          <w:i/>
          <w:lang w:val="es-ES" w:eastAsia="es-MX"/>
        </w:rPr>
        <w:t>obligar a la autoridad responsable a que actúe en el sentido de contestar lo solicitado</w:t>
      </w:r>
      <w:r w:rsidRPr="00750135">
        <w:rPr>
          <w:rFonts w:ascii="Palatino Linotype" w:eastAsia="Palatino Linotype" w:hAnsi="Palatino Linotype" w:cs="Palatino Linotype"/>
          <w:lang w:val="es-ES" w:eastAsia="es-MX"/>
        </w:rPr>
        <w:t xml:space="preserve">, mientras que en el segundo supuesto la solicitud de acceso a la información pública </w:t>
      </w:r>
      <w:r w:rsidRPr="00750135">
        <w:rPr>
          <w:rFonts w:ascii="Palatino Linotype" w:eastAsia="Palatino Linotype" w:hAnsi="Palatino Linotype" w:cs="Palatino Linotype"/>
          <w:i/>
          <w:lang w:val="es-ES" w:eastAsia="es-MX"/>
        </w:rPr>
        <w:t xml:space="preserve">se encamina </w:t>
      </w:r>
      <w:r w:rsidRPr="00750135">
        <w:rPr>
          <w:rFonts w:ascii="Palatino Linotype" w:eastAsia="Palatino Linotype" w:hAnsi="Palatino Linotype" w:cs="Palatino Linotype"/>
          <w:i/>
          <w:lang w:val="es-ES" w:eastAsia="es-MX"/>
        </w:rPr>
        <w:lastRenderedPageBreak/>
        <w:t>primordialmente a permitir el acceso a datos, registros y todo tipo de información pública que conste en documentos, sea generada o se encuentre en posesión de la autoridad.</w:t>
      </w:r>
    </w:p>
    <w:p w14:paraId="1408978B"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28AA5B42"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 xml:space="preserve">Asimismo, es importante enfatizar que el Derecho de Acceso a la Información Pública consiste en que la </w:t>
      </w:r>
      <w:r w:rsidRPr="00750135">
        <w:rPr>
          <w:rFonts w:ascii="Palatino Linotype" w:eastAsia="Palatino Linotype" w:hAnsi="Palatino Linotype" w:cs="Palatino Linotype"/>
          <w:b/>
          <w:u w:val="single"/>
          <w:lang w:val="es-ES" w:eastAsia="es-MX"/>
        </w:rPr>
        <w:t>información solicitada conste en un soporte documental</w:t>
      </w:r>
      <w:r w:rsidRPr="00750135">
        <w:rPr>
          <w:rFonts w:ascii="Palatino Linotype" w:eastAsia="Palatino Linotype" w:hAnsi="Palatino Linotype" w:cs="Palatino Linotype"/>
          <w:lang w:val="es-ES" w:eastAsia="es-MX"/>
        </w:rPr>
        <w:t xml:space="preserve"> en cualquiera de sus formas, a saber: expedientes, reportes, estudios, actas</w:t>
      </w:r>
      <w:r w:rsidRPr="00750135">
        <w:rPr>
          <w:rFonts w:ascii="Palatino Linotype" w:eastAsia="Palatino Linotype" w:hAnsi="Palatino Linotype" w:cs="Palatino Linotype"/>
          <w:b/>
          <w:lang w:val="es-ES" w:eastAsia="es-MX"/>
        </w:rPr>
        <w:t>,</w:t>
      </w:r>
      <w:r w:rsidRPr="00750135">
        <w:rPr>
          <w:rFonts w:ascii="Palatino Linotype" w:eastAsia="Palatino Linotype" w:hAnsi="Palatino Linotype" w:cs="Palatino Linotype"/>
          <w:lang w:val="es-ES" w:eastAsia="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w:t>
      </w:r>
    </w:p>
    <w:p w14:paraId="2A7BA973" w14:textId="77777777" w:rsidR="00CB1FFD" w:rsidRPr="00750135" w:rsidRDefault="00CB1FFD" w:rsidP="00CB1FFD">
      <w:pPr>
        <w:pStyle w:val="Prrafodelista"/>
        <w:rPr>
          <w:rFonts w:ascii="Palatino Linotype" w:eastAsia="Palatino Linotype" w:hAnsi="Palatino Linotype" w:cs="Palatino Linotype"/>
          <w:lang w:val="es-ES" w:eastAsia="es-MX"/>
        </w:rPr>
      </w:pPr>
    </w:p>
    <w:p w14:paraId="65207CA3" w14:textId="77777777" w:rsidR="00CB1FFD" w:rsidRPr="00750135" w:rsidRDefault="00CB1FFD" w:rsidP="00CB1FFD">
      <w:pPr>
        <w:pStyle w:val="Prrafodelista"/>
        <w:numPr>
          <w:ilvl w:val="0"/>
          <w:numId w:val="1"/>
        </w:numPr>
        <w:spacing w:before="240" w:after="360" w:line="360" w:lineRule="auto"/>
        <w:jc w:val="both"/>
        <w:rPr>
          <w:rFonts w:ascii="Palatino Linotype" w:eastAsia="Palatino Linotype" w:hAnsi="Palatino Linotype" w:cs="Palatino Linotype"/>
          <w:i/>
          <w:lang w:val="es-ES" w:eastAsia="es-MX"/>
        </w:rPr>
      </w:pPr>
      <w:r w:rsidRPr="00750135">
        <w:rPr>
          <w:rFonts w:ascii="Palatino Linotype" w:eastAsia="Palatino Linotype" w:hAnsi="Palatino Linotype" w:cs="Palatino Linotype"/>
          <w:lang w:val="es-ES" w:eastAsia="es-MX"/>
        </w:rPr>
        <w:t>Es así que, el particular realmente ejerció un derecho de petición y no así, un derecho de acceso a la información pública.</w:t>
      </w:r>
      <w:r w:rsidRPr="00750135">
        <w:rPr>
          <w:rFonts w:ascii="Palatino Linotype" w:eastAsia="Palatino Linotype" w:hAnsi="Palatino Linotype" w:cs="Palatino Linotype"/>
          <w:i/>
          <w:lang w:val="es-ES" w:eastAsia="es-MX"/>
        </w:rPr>
        <w:t xml:space="preserve"> </w:t>
      </w:r>
      <w:r w:rsidRPr="00750135">
        <w:rPr>
          <w:rFonts w:ascii="Palatino Linotype" w:hAnsi="Palatino Linotype" w:cs="Arial"/>
        </w:rPr>
        <w:t>Por lo que, la entrega de una razón, razonamiento o realización de acciones por parte del</w:t>
      </w:r>
      <w:r w:rsidRPr="00750135">
        <w:rPr>
          <w:rFonts w:ascii="Palatino Linotype" w:hAnsi="Palatino Linotype" w:cs="Arial"/>
          <w:b/>
          <w:lang w:eastAsia="es-MX"/>
        </w:rPr>
        <w:t xml:space="preserve"> SUJETO OBLIGADO</w:t>
      </w:r>
      <w:r w:rsidRPr="00750135">
        <w:rPr>
          <w:rFonts w:ascii="Palatino Linotype" w:hAnsi="Palatino Linotype" w:cs="Arial"/>
        </w:rPr>
        <w:t xml:space="preserve"> no es algo que la ley establezca como atribución, derecho, o facultad.</w:t>
      </w:r>
    </w:p>
    <w:p w14:paraId="2A5A6D95" w14:textId="77777777" w:rsidR="00CB1FFD" w:rsidRPr="00750135" w:rsidRDefault="00CB1FFD" w:rsidP="00CB1FFD">
      <w:pPr>
        <w:pStyle w:val="Prrafodelista"/>
        <w:rPr>
          <w:rFonts w:ascii="Palatino Linotype" w:hAnsi="Palatino Linotype" w:cs="Arial"/>
        </w:rPr>
      </w:pPr>
    </w:p>
    <w:p w14:paraId="70271765" w14:textId="37D8E677" w:rsidR="00CB1FFD" w:rsidRPr="00750135" w:rsidRDefault="00CB1FFD" w:rsidP="00424020">
      <w:pPr>
        <w:pStyle w:val="Prrafodelista"/>
        <w:widowControl w:val="0"/>
        <w:numPr>
          <w:ilvl w:val="0"/>
          <w:numId w:val="1"/>
        </w:numPr>
        <w:shd w:val="clear" w:color="auto" w:fill="FFFFFF"/>
        <w:spacing w:before="120" w:after="120" w:line="360" w:lineRule="auto"/>
        <w:ind w:right="45"/>
        <w:jc w:val="both"/>
        <w:rPr>
          <w:rFonts w:ascii="Palatino Linotype" w:hAnsi="Palatino Linotype" w:cs="Arial"/>
          <w:color w:val="000000"/>
        </w:rPr>
      </w:pPr>
      <w:r w:rsidRPr="00750135">
        <w:rPr>
          <w:rFonts w:ascii="Palatino Linotype" w:hAnsi="Palatino Linotype"/>
        </w:rPr>
        <w:t>Por otra parte, e</w:t>
      </w:r>
      <w:r w:rsidRPr="00750135">
        <w:rPr>
          <w:rFonts w:ascii="Palatino Linotype" w:hAnsi="Palatino Linotype" w:cs="Arial"/>
          <w:bCs/>
        </w:rPr>
        <w:t xml:space="preserve">l Derecho de Acceso a la Información Pública, a diferencia de otros derechos, </w:t>
      </w:r>
      <w:r w:rsidRPr="00750135">
        <w:rPr>
          <w:rFonts w:ascii="Palatino Linotype" w:hAnsi="Palatino Linotype"/>
        </w:rPr>
        <w:t xml:space="preserve">permite que los propios particulares actúen sin la necesidad de contar con un representante legal, conforme lo señala el artículo 152 y 178 de la </w:t>
      </w:r>
      <w:r w:rsidRPr="00750135">
        <w:rPr>
          <w:rFonts w:ascii="Palatino Linotype" w:hAnsi="Palatino Linotype" w:cs="Arial"/>
        </w:rPr>
        <w:t>Ley de Transparencia y Acceso a la Información Pública del Estado de México y Municipios:</w:t>
      </w:r>
    </w:p>
    <w:p w14:paraId="26B967B8" w14:textId="77777777" w:rsidR="00CB1FFD" w:rsidRPr="00750135" w:rsidRDefault="00CB1FFD" w:rsidP="00CB1FFD">
      <w:pPr>
        <w:pStyle w:val="Prrafodelista"/>
        <w:rPr>
          <w:rFonts w:ascii="Palatino Linotype" w:hAnsi="Palatino Linotype" w:cs="Arial"/>
        </w:rPr>
      </w:pPr>
    </w:p>
    <w:p w14:paraId="31CCB238" w14:textId="77777777" w:rsidR="00CB1FFD" w:rsidRPr="00750135" w:rsidRDefault="00CB1FFD" w:rsidP="00CB1FFD">
      <w:pPr>
        <w:autoSpaceDE w:val="0"/>
        <w:autoSpaceDN w:val="0"/>
        <w:adjustRightInd w:val="0"/>
        <w:spacing w:line="360" w:lineRule="auto"/>
        <w:ind w:left="567" w:right="616"/>
        <w:jc w:val="both"/>
        <w:rPr>
          <w:rFonts w:ascii="Palatino Linotype" w:hAnsi="Palatino Linotype" w:cs="Bookman Old Style"/>
          <w:i/>
          <w:sz w:val="22"/>
          <w:szCs w:val="22"/>
        </w:rPr>
      </w:pPr>
      <w:r w:rsidRPr="00750135">
        <w:rPr>
          <w:rFonts w:ascii="Palatino Linotype" w:hAnsi="Palatino Linotype" w:cs="Bookman Old Style,Bold"/>
          <w:b/>
          <w:bCs/>
          <w:i/>
          <w:sz w:val="22"/>
          <w:szCs w:val="22"/>
        </w:rPr>
        <w:t xml:space="preserve">Artículo 152. </w:t>
      </w:r>
      <w:r w:rsidRPr="00750135">
        <w:rPr>
          <w:rFonts w:ascii="Palatino Linotype" w:hAnsi="Palatino Linotype" w:cs="Bookman Old Style"/>
          <w:b/>
          <w:i/>
          <w:sz w:val="22"/>
          <w:szCs w:val="22"/>
          <w:u w:val="single"/>
        </w:rPr>
        <w:t>Cualquier persona por sí misma o a través de su representante, podrá presentar solicitud de acceso a información</w:t>
      </w:r>
      <w:r w:rsidRPr="00750135">
        <w:rPr>
          <w:rFonts w:ascii="Palatino Linotype" w:hAnsi="Palatino Linotype" w:cs="Bookman Old Style"/>
          <w:i/>
          <w:sz w:val="22"/>
          <w:szCs w:val="22"/>
        </w:rPr>
        <w:t xml:space="preserve"> ante la Unidad de </w:t>
      </w:r>
      <w:r w:rsidRPr="00750135">
        <w:rPr>
          <w:rFonts w:ascii="Palatino Linotype" w:hAnsi="Palatino Linotype" w:cs="Bookman Old Style"/>
          <w:i/>
          <w:sz w:val="22"/>
          <w:szCs w:val="22"/>
        </w:rPr>
        <w:lastRenderedPageBreak/>
        <w:t>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14DDE6E9" w14:textId="77777777" w:rsidR="00CB1FFD" w:rsidRPr="00750135" w:rsidRDefault="00CB1FFD" w:rsidP="00CB1FFD">
      <w:pPr>
        <w:autoSpaceDE w:val="0"/>
        <w:autoSpaceDN w:val="0"/>
        <w:adjustRightInd w:val="0"/>
        <w:spacing w:line="360" w:lineRule="auto"/>
        <w:ind w:left="567" w:right="616"/>
        <w:jc w:val="both"/>
        <w:rPr>
          <w:rFonts w:ascii="Palatino Linotype" w:hAnsi="Palatino Linotype" w:cs="Arial"/>
          <w:i/>
          <w:sz w:val="22"/>
          <w:szCs w:val="22"/>
        </w:rPr>
      </w:pPr>
      <w:r w:rsidRPr="00750135">
        <w:rPr>
          <w:rFonts w:ascii="Palatino Linotype" w:hAnsi="Palatino Linotype" w:cs="Bookman Old Style,Bold"/>
          <w:b/>
          <w:bCs/>
          <w:i/>
          <w:sz w:val="22"/>
          <w:szCs w:val="22"/>
        </w:rPr>
        <w:t>…</w:t>
      </w:r>
    </w:p>
    <w:p w14:paraId="1FF046F2" w14:textId="77777777" w:rsidR="00CB1FFD" w:rsidRPr="00750135" w:rsidRDefault="00CB1FFD" w:rsidP="00CB1FFD">
      <w:pPr>
        <w:pStyle w:val="Prrafodelista"/>
        <w:spacing w:line="360" w:lineRule="auto"/>
        <w:ind w:left="567" w:right="616"/>
        <w:jc w:val="both"/>
        <w:rPr>
          <w:rFonts w:ascii="Palatino Linotype" w:hAnsi="Palatino Linotype" w:cs="Arial"/>
          <w:i/>
          <w:color w:val="000000" w:themeColor="text1"/>
          <w:szCs w:val="22"/>
        </w:rPr>
      </w:pPr>
      <w:r w:rsidRPr="00750135">
        <w:rPr>
          <w:rFonts w:ascii="Palatino Linotype" w:hAnsi="Palatino Linotype"/>
          <w:i/>
          <w:szCs w:val="22"/>
        </w:rPr>
        <w:t>Artículo 178.</w:t>
      </w:r>
      <w:r w:rsidRPr="00750135">
        <w:rPr>
          <w:rFonts w:ascii="Palatino Linotype" w:hAnsi="Palatino Linotype"/>
          <w:b/>
          <w:i/>
          <w:szCs w:val="22"/>
        </w:rPr>
        <w:t xml:space="preserve"> </w:t>
      </w:r>
      <w:r w:rsidRPr="00750135">
        <w:rPr>
          <w:rFonts w:ascii="Palatino Linotype" w:hAnsi="Palatino Linotype"/>
          <w:b/>
          <w:i/>
          <w:szCs w:val="22"/>
          <w:u w:val="single"/>
        </w:rPr>
        <w:t>El solicitante podrá interponer, por sí mismo</w:t>
      </w:r>
      <w:r w:rsidRPr="00750135">
        <w:rPr>
          <w:rFonts w:ascii="Palatino Linotype" w:hAnsi="Palatino Linotype"/>
          <w:i/>
          <w:szCs w:val="22"/>
          <w:u w:val="single"/>
        </w:rPr>
        <w:t xml:space="preserve"> </w:t>
      </w:r>
      <w:r w:rsidRPr="00750135">
        <w:rPr>
          <w:rFonts w:ascii="Palatino Linotype" w:hAnsi="Palatino Linotype"/>
          <w:b/>
          <w:i/>
          <w:szCs w:val="22"/>
          <w:u w:val="single"/>
        </w:rPr>
        <w:t>o a través de su representante, de manera directa o por medios electrónicos, recurso de revisión</w:t>
      </w:r>
      <w:r w:rsidRPr="00750135">
        <w:rPr>
          <w:rFonts w:ascii="Palatino Linotype" w:hAnsi="Palatino Linotype"/>
          <w:i/>
          <w:szCs w:val="22"/>
        </w:rPr>
        <w:t xml:space="preserve"> ante el Instituto o ante la Unidad de Transparencia que haya conocido de la solicitud dentro de los quince días hábiles, siguientes a la fecha de la notificación de la respuesta.</w:t>
      </w:r>
    </w:p>
    <w:p w14:paraId="5FDE84A2" w14:textId="77777777" w:rsidR="00CB1FFD" w:rsidRPr="00750135" w:rsidRDefault="00CB1FFD" w:rsidP="00CB1FFD">
      <w:pPr>
        <w:pStyle w:val="Prrafodelista"/>
        <w:tabs>
          <w:tab w:val="left" w:pos="426"/>
          <w:tab w:val="left" w:pos="851"/>
        </w:tabs>
        <w:spacing w:line="360" w:lineRule="auto"/>
        <w:ind w:left="426" w:right="49"/>
        <w:jc w:val="both"/>
        <w:rPr>
          <w:rFonts w:ascii="Palatino Linotype" w:hAnsi="Palatino Linotype"/>
        </w:rPr>
      </w:pPr>
    </w:p>
    <w:p w14:paraId="76932911" w14:textId="77777777" w:rsidR="00CB1FFD" w:rsidRPr="00750135" w:rsidRDefault="00CB1FFD" w:rsidP="00CB1FFD">
      <w:pPr>
        <w:pStyle w:val="Prrafodelista"/>
        <w:numPr>
          <w:ilvl w:val="0"/>
          <w:numId w:val="1"/>
        </w:numPr>
        <w:spacing w:line="360" w:lineRule="auto"/>
        <w:jc w:val="both"/>
        <w:rPr>
          <w:rFonts w:ascii="Palatino Linotype" w:hAnsi="Palatino Linotype"/>
          <w:b/>
        </w:rPr>
      </w:pPr>
      <w:r w:rsidRPr="00750135">
        <w:rPr>
          <w:rFonts w:ascii="Palatino Linotype" w:hAnsi="Palatino Linotype" w:cs="Arial"/>
        </w:rPr>
        <w:t xml:space="preserve">De la interpretación de los preceptos legales en cito, se determina que los particulares pueden interponer la solicitud y posteriormente recurso de revisión </w:t>
      </w:r>
      <w:r w:rsidRPr="00750135">
        <w:rPr>
          <w:rFonts w:ascii="Palatino Linotype" w:hAnsi="Palatino Linotype" w:cs="Arial"/>
          <w:b/>
        </w:rPr>
        <w:t xml:space="preserve">por sí mismos o a través de un representante; </w:t>
      </w:r>
      <w:r w:rsidRPr="00750135">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750135">
        <w:rPr>
          <w:rFonts w:ascii="Palatino Linotype" w:hAnsi="Palatino Linotype" w:cs="Arial"/>
          <w:b/>
        </w:rPr>
        <w:t>pueden no ser expertos en la materia y conocer desconocer los documentos idóneos que contengan la información requerida</w:t>
      </w:r>
      <w:r w:rsidRPr="00750135">
        <w:rPr>
          <w:rFonts w:ascii="Palatino Linotype" w:hAnsi="Palatino Linotype" w:cs="Arial"/>
          <w:b/>
          <w:color w:val="000000" w:themeColor="text1"/>
        </w:rPr>
        <w:t>.</w:t>
      </w:r>
    </w:p>
    <w:p w14:paraId="069B78CD" w14:textId="77777777" w:rsidR="00CB1FFD" w:rsidRPr="00750135" w:rsidRDefault="00CB1FFD" w:rsidP="00CB1FFD">
      <w:pPr>
        <w:pStyle w:val="Prrafodelista"/>
        <w:spacing w:line="360" w:lineRule="auto"/>
        <w:ind w:left="0"/>
        <w:jc w:val="both"/>
        <w:rPr>
          <w:rFonts w:ascii="Palatino Linotype" w:hAnsi="Palatino Linotype"/>
          <w:b/>
        </w:rPr>
      </w:pPr>
    </w:p>
    <w:p w14:paraId="1575FB42" w14:textId="6209FCE3" w:rsidR="00CB1FFD" w:rsidRPr="00750135" w:rsidRDefault="00CB1FFD" w:rsidP="00CB1FFD">
      <w:pPr>
        <w:pStyle w:val="Prrafodelista"/>
        <w:numPr>
          <w:ilvl w:val="0"/>
          <w:numId w:val="1"/>
        </w:numPr>
        <w:spacing w:line="360" w:lineRule="auto"/>
        <w:jc w:val="both"/>
        <w:rPr>
          <w:rFonts w:ascii="Palatino Linotype" w:hAnsi="Palatino Linotype"/>
          <w:b/>
        </w:rPr>
      </w:pPr>
      <w:r w:rsidRPr="00750135">
        <w:rPr>
          <w:rFonts w:ascii="Palatino Linotype" w:hAnsi="Palatino Linotype"/>
        </w:rPr>
        <w:t xml:space="preserve">Es por ello que, al no tener certeza si los particulares actúan a través de un representante legal que nace la necesidad de actuar bajo estricto apego al principio </w:t>
      </w:r>
      <w:r w:rsidRPr="00750135">
        <w:rPr>
          <w:rFonts w:ascii="Palatino Linotype" w:hAnsi="Palatino Linotype"/>
        </w:rPr>
        <w:lastRenderedPageBreak/>
        <w:t xml:space="preserve">de eficacia y con fundamento en </w:t>
      </w:r>
      <w:r w:rsidRPr="00750135">
        <w:rPr>
          <w:rFonts w:ascii="Palatino Linotype" w:hAnsi="Palatino Linotype"/>
          <w:szCs w:val="22"/>
        </w:rPr>
        <w:t>los artículos 13</w:t>
      </w:r>
      <w:r w:rsidRPr="00750135">
        <w:rPr>
          <w:rStyle w:val="Refdenotaalpie"/>
          <w:szCs w:val="22"/>
        </w:rPr>
        <w:footnoteReference w:id="10"/>
      </w:r>
      <w:r w:rsidRPr="00750135">
        <w:rPr>
          <w:rFonts w:ascii="Palatino Linotype" w:hAnsi="Palatino Linotype"/>
          <w:szCs w:val="22"/>
        </w:rPr>
        <w:t xml:space="preserve"> y 181</w:t>
      </w:r>
      <w:r w:rsidRPr="00750135">
        <w:rPr>
          <w:rStyle w:val="Refdenotaalpie"/>
          <w:szCs w:val="22"/>
        </w:rPr>
        <w:footnoteReference w:id="11"/>
      </w:r>
      <w:r w:rsidRPr="00750135">
        <w:rPr>
          <w:rFonts w:ascii="Palatino Linotype" w:hAnsi="Palatino Linotype"/>
          <w:szCs w:val="22"/>
        </w:rPr>
        <w:t xml:space="preserve"> penúltimo párrafo de la Ley de Transparencia y Acceso a la Información Pública del Estado de México y Municipios </w:t>
      </w:r>
      <w:r w:rsidRPr="00750135">
        <w:rPr>
          <w:rFonts w:ascii="Palatino Linotype" w:hAnsi="Palatino Linotype"/>
          <w:b/>
          <w:szCs w:val="22"/>
        </w:rPr>
        <w:t xml:space="preserve">deberá suplir dicha deficiencia a favor del recurrente, </w:t>
      </w:r>
      <w:r w:rsidRPr="00750135">
        <w:rPr>
          <w:rFonts w:ascii="Palatino Linotype" w:hAnsi="Palatino Linotype"/>
          <w:szCs w:val="22"/>
        </w:rPr>
        <w:t xml:space="preserve">en el sentido de identificar el documento que </w:t>
      </w:r>
      <w:r w:rsidR="00114DA0" w:rsidRPr="00750135">
        <w:rPr>
          <w:rFonts w:ascii="Palatino Linotype" w:hAnsi="Palatino Linotype"/>
          <w:szCs w:val="22"/>
        </w:rPr>
        <w:t>dé</w:t>
      </w:r>
      <w:r w:rsidRPr="00750135">
        <w:rPr>
          <w:rFonts w:ascii="Palatino Linotype" w:hAnsi="Palatino Linotype"/>
          <w:szCs w:val="22"/>
        </w:rPr>
        <w:t xml:space="preserve"> cuenta de lo requerido, sirven de sustento los criterios</w:t>
      </w:r>
      <w:r w:rsidRPr="00750135">
        <w:rPr>
          <w:rFonts w:ascii="Palatino Linotype" w:eastAsia="MS Mincho" w:hAnsi="Palatino Linotype" w:cs="Arial"/>
          <w:color w:val="000000" w:themeColor="text1"/>
        </w:rPr>
        <w:t xml:space="preserve"> </w:t>
      </w:r>
      <w:r w:rsidRPr="00750135">
        <w:rPr>
          <w:rFonts w:ascii="Palatino Linotype" w:eastAsia="MS Mincho" w:hAnsi="Palatino Linotype"/>
          <w:b/>
        </w:rPr>
        <w:t>28/10 y 016/2017</w:t>
      </w:r>
      <w:r w:rsidRPr="00750135">
        <w:rPr>
          <w:rFonts w:ascii="Palatino Linotype" w:eastAsia="MS Mincho" w:hAnsi="Palatino Linotype"/>
        </w:rPr>
        <w:t xml:space="preserve"> emitidos por el entonces Instituto Federal de Acceso a la Información Pública y Protección de Datos Personales y el Instituto Nacional de Transparencia, Acceso a la Información y Protección de Datos Personales respectivamente, mismos que mencionan lo siguiente:  </w:t>
      </w:r>
    </w:p>
    <w:p w14:paraId="6A34E1F3" w14:textId="77777777" w:rsidR="00CB1FFD" w:rsidRPr="00750135" w:rsidRDefault="00CB1FFD" w:rsidP="00CB1FFD">
      <w:pPr>
        <w:pStyle w:val="Prrafodelista"/>
        <w:rPr>
          <w:rFonts w:ascii="Palatino Linotype" w:hAnsi="Palatino Linotype"/>
          <w:b/>
        </w:rPr>
      </w:pPr>
    </w:p>
    <w:p w14:paraId="09CD125A" w14:textId="77777777" w:rsidR="00CB1FFD" w:rsidRPr="00750135" w:rsidRDefault="00CB1FFD" w:rsidP="00CB1FFD">
      <w:pPr>
        <w:spacing w:line="360" w:lineRule="auto"/>
        <w:ind w:left="567" w:right="616"/>
        <w:jc w:val="both"/>
        <w:rPr>
          <w:rFonts w:ascii="Palatino Linotype" w:eastAsia="MS Mincho" w:hAnsi="Palatino Linotype"/>
          <w:i/>
          <w:sz w:val="22"/>
        </w:rPr>
      </w:pPr>
      <w:r w:rsidRPr="00750135">
        <w:rPr>
          <w:rFonts w:ascii="Palatino Linotype" w:eastAsia="MS Mincho" w:hAnsi="Palatino Linotype"/>
          <w:i/>
          <w:sz w:val="22"/>
        </w:rPr>
        <w:t>“</w:t>
      </w:r>
      <w:r w:rsidRPr="00750135">
        <w:rPr>
          <w:rFonts w:ascii="Palatino Linotype" w:eastAsia="MS Mincho" w:hAnsi="Palatino Linotype"/>
          <w:b/>
          <w:i/>
          <w:sz w:val="22"/>
        </w:rPr>
        <w:t>Cuando en una solicitud de información no se identifique un documento en específico, si ésta tiene una expresión documental, el sujeto obligado deberá entregar al particular el documento en específico</w:t>
      </w:r>
      <w:r w:rsidRPr="00750135">
        <w:rPr>
          <w:rFonts w:ascii="Palatino Linotype" w:eastAsia="MS Mincho" w:hAnsi="Palatino Linotype"/>
          <w:i/>
          <w:sz w:val="22"/>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w:t>
      </w:r>
      <w:r w:rsidRPr="00750135">
        <w:rPr>
          <w:rFonts w:ascii="Palatino Linotype" w:eastAsia="MS Mincho" w:hAnsi="Palatino Linotype"/>
          <w:b/>
          <w:i/>
          <w:sz w:val="22"/>
        </w:rPr>
        <w:t xml:space="preserve">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750135">
        <w:rPr>
          <w:rFonts w:ascii="Palatino Linotype" w:eastAsia="MS Mincho" w:hAnsi="Palatino Linotype"/>
          <w:b/>
          <w:i/>
          <w:sz w:val="22"/>
        </w:rPr>
        <w:lastRenderedPageBreak/>
        <w:t>Transparencia y Acceso a la Información Pública Gubernamental, pero su respuesta puede obrar en algún documento, el sujeto obligado debe dar a la solicitud una interpretación que le dé una expresión documental.</w:t>
      </w:r>
      <w:r w:rsidRPr="00750135">
        <w:rPr>
          <w:rFonts w:ascii="Palatino Linotype" w:eastAsia="MS Mincho" w:hAnsi="Palatino Linotype"/>
          <w:i/>
          <w:sz w:val="22"/>
        </w:rPr>
        <w:t xml:space="preserve"> Es decir, si la respuesta a la solicitud obra en algún documento en poder de la autoridad, pero el particular no hace referencia específica a tal documento, se deberá hacer entrega del mismo al solicitante.” </w:t>
      </w:r>
    </w:p>
    <w:p w14:paraId="1B45CFD4" w14:textId="77777777" w:rsidR="00CB1FFD" w:rsidRPr="00750135" w:rsidRDefault="00CB1FFD" w:rsidP="00CB1FFD">
      <w:pPr>
        <w:spacing w:line="360" w:lineRule="auto"/>
        <w:ind w:left="567" w:right="616"/>
        <w:jc w:val="both"/>
        <w:rPr>
          <w:rFonts w:ascii="Palatino Linotype" w:eastAsia="MS Mincho" w:hAnsi="Palatino Linotype"/>
          <w:i/>
          <w:sz w:val="22"/>
        </w:rPr>
      </w:pPr>
    </w:p>
    <w:p w14:paraId="6042B648" w14:textId="77777777" w:rsidR="00CB1FFD" w:rsidRPr="00750135" w:rsidRDefault="00CB1FFD" w:rsidP="00CB1FFD">
      <w:pPr>
        <w:spacing w:line="360" w:lineRule="auto"/>
        <w:ind w:left="567" w:right="616"/>
        <w:jc w:val="both"/>
        <w:rPr>
          <w:rFonts w:ascii="Palatino Linotype" w:eastAsia="MS Mincho" w:hAnsi="Palatino Linotype"/>
          <w:i/>
          <w:sz w:val="22"/>
        </w:rPr>
      </w:pPr>
      <w:r w:rsidRPr="00750135">
        <w:rPr>
          <w:rFonts w:ascii="Palatino Linotype" w:eastAsia="MS Mincho" w:hAnsi="Palatino Linotype"/>
          <w:b/>
          <w:i/>
          <w:sz w:val="22"/>
        </w:rPr>
        <w:t>Expresión documental.</w:t>
      </w:r>
      <w:r w:rsidRPr="00750135">
        <w:rPr>
          <w:rFonts w:ascii="Palatino Linotype" w:eastAsia="MS Mincho" w:hAnsi="Palatino Linotype"/>
          <w:i/>
          <w:sz w:val="22"/>
        </w:rPr>
        <w:t xml:space="preserve"> </w:t>
      </w:r>
      <w:r w:rsidRPr="00750135">
        <w:rPr>
          <w:rFonts w:ascii="Palatino Linotype" w:eastAsia="MS Mincho" w:hAnsi="Palatino Linotype"/>
          <w:b/>
          <w:i/>
          <w:sz w:val="22"/>
        </w:rPr>
        <w:t>Cuando los particulares presenten solicitudes de acceso a la información sin identificar de forma precisa la documentación que pudiera contener la información de su interés</w:t>
      </w:r>
      <w:r w:rsidRPr="00750135">
        <w:rPr>
          <w:rFonts w:ascii="Palatino Linotype" w:eastAsia="MS Mincho" w:hAnsi="Palatino Linotype"/>
          <w:i/>
          <w:sz w:val="22"/>
        </w:rPr>
        <w:t xml:space="preserve">, o bien, la solicitud constituya una consulta, pero la respuesta pudiera obrar en algún documento en poder de </w:t>
      </w:r>
      <w:r w:rsidRPr="00750135">
        <w:rPr>
          <w:rFonts w:ascii="Palatino Linotype" w:eastAsia="MS Mincho" w:hAnsi="Palatino Linotype"/>
          <w:b/>
          <w:i/>
          <w:sz w:val="22"/>
        </w:rPr>
        <w:t>los sujetos obligados, éstos deben dar a dichas solicitudes una interpretación que les otorgue una expresión documental</w:t>
      </w:r>
      <w:r w:rsidRPr="00750135">
        <w:rPr>
          <w:rFonts w:ascii="Palatino Linotype" w:eastAsia="MS Mincho" w:hAnsi="Palatino Linotype"/>
          <w:i/>
          <w:sz w:val="22"/>
        </w:rPr>
        <w:t>.</w:t>
      </w:r>
    </w:p>
    <w:p w14:paraId="7A57BFD2" w14:textId="77777777" w:rsidR="00CB1FFD" w:rsidRPr="00750135" w:rsidRDefault="00CB1FFD" w:rsidP="00CB1FFD">
      <w:pPr>
        <w:spacing w:line="360" w:lineRule="auto"/>
        <w:ind w:left="567"/>
        <w:jc w:val="both"/>
        <w:rPr>
          <w:rFonts w:ascii="Palatino Linotype" w:hAnsi="Palatino Linotype"/>
          <w:color w:val="000000"/>
          <w:sz w:val="22"/>
          <w:szCs w:val="22"/>
        </w:rPr>
      </w:pPr>
      <w:r w:rsidRPr="00750135">
        <w:rPr>
          <w:rFonts w:ascii="Palatino Linotype" w:eastAsia="MS Mincho" w:hAnsi="Palatino Linotype"/>
          <w:b/>
          <w:sz w:val="22"/>
        </w:rPr>
        <w:t>(Énfasis añadido)</w:t>
      </w:r>
    </w:p>
    <w:p w14:paraId="1366C910" w14:textId="77777777" w:rsidR="00CB1FFD" w:rsidRPr="00750135" w:rsidRDefault="00CB1FFD" w:rsidP="00CB1FFD">
      <w:pPr>
        <w:pStyle w:val="Prrafodelista"/>
        <w:numPr>
          <w:ilvl w:val="0"/>
          <w:numId w:val="1"/>
        </w:numPr>
        <w:spacing w:before="240" w:after="360" w:line="360" w:lineRule="auto"/>
        <w:jc w:val="both"/>
        <w:rPr>
          <w:rFonts w:ascii="Palatino Linotype" w:eastAsia="Calibri" w:hAnsi="Palatino Linotype" w:cs="Arial"/>
        </w:rPr>
      </w:pPr>
      <w:r w:rsidRPr="00750135">
        <w:rPr>
          <w:rFonts w:ascii="Palatino Linotype" w:hAnsi="Palatino Linotype" w:cs="Arial"/>
        </w:rPr>
        <w:t xml:space="preserve">Es por lo anterior que los Sujetos Obligados en la atención a las solicitudes, deben verificar si entre sus funciones, atribuciones y competencias generan documentos donde consta la información requerida por los particulares, cuando estos últimos no especifiquen un documento al que deseen tener acceso </w:t>
      </w:r>
    </w:p>
    <w:p w14:paraId="557E1736" w14:textId="77777777" w:rsidR="00CB1FFD" w:rsidRPr="00750135" w:rsidRDefault="00CB1FFD" w:rsidP="00CB1FFD">
      <w:pPr>
        <w:pStyle w:val="Prrafodelista"/>
        <w:spacing w:before="120" w:after="120" w:line="360" w:lineRule="auto"/>
        <w:ind w:left="0"/>
        <w:jc w:val="both"/>
        <w:rPr>
          <w:rFonts w:ascii="Palatino Linotype" w:hAnsi="Palatino Linotype"/>
        </w:rPr>
      </w:pPr>
    </w:p>
    <w:p w14:paraId="7AA59F0E" w14:textId="0127CD6F" w:rsidR="00CB1FFD" w:rsidRPr="00750135" w:rsidRDefault="00CB1FFD" w:rsidP="00C0321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Es así que, en el presente asunto en particular, aún y cuando el particular realizó sus requerimientos en forma de cuestionamientos, si son materia del derecho de acceso a la información pública, por lo que se determina la procedencia de la solicitud, debiendo analizar los requerimientos formulados.</w:t>
      </w:r>
    </w:p>
    <w:p w14:paraId="3A5242F3" w14:textId="77777777" w:rsidR="00B50214" w:rsidRPr="00750135" w:rsidRDefault="00B50214" w:rsidP="00B50214">
      <w:pPr>
        <w:pStyle w:val="Prrafodelista"/>
        <w:rPr>
          <w:rFonts w:ascii="Palatino Linotype" w:hAnsi="Palatino Linotype"/>
        </w:rPr>
      </w:pPr>
    </w:p>
    <w:p w14:paraId="79237891" w14:textId="011FCA5D" w:rsidR="00CB1FFD" w:rsidRPr="00750135" w:rsidRDefault="00CC166A" w:rsidP="00CC166A">
      <w:pPr>
        <w:pStyle w:val="Prrafodelista"/>
        <w:numPr>
          <w:ilvl w:val="1"/>
          <w:numId w:val="1"/>
        </w:numPr>
        <w:spacing w:before="120" w:after="120" w:line="360" w:lineRule="auto"/>
        <w:ind w:left="709"/>
        <w:jc w:val="both"/>
        <w:rPr>
          <w:rFonts w:ascii="Palatino Linotype" w:hAnsi="Palatino Linotype"/>
          <w:b/>
        </w:rPr>
      </w:pPr>
      <w:r w:rsidRPr="00750135">
        <w:rPr>
          <w:rFonts w:ascii="Palatino Linotype" w:hAnsi="Palatino Linotype"/>
          <w:b/>
        </w:rPr>
        <w:t>De la reserva de la información</w:t>
      </w:r>
    </w:p>
    <w:p w14:paraId="60D54251" w14:textId="77777777" w:rsidR="00CB1FFD" w:rsidRPr="00750135" w:rsidRDefault="00CB1FFD" w:rsidP="00CB1FFD">
      <w:pPr>
        <w:pStyle w:val="Prrafodelista"/>
        <w:spacing w:before="120" w:after="120" w:line="360" w:lineRule="auto"/>
        <w:ind w:left="0"/>
        <w:jc w:val="both"/>
        <w:rPr>
          <w:rFonts w:ascii="Palatino Linotype" w:hAnsi="Palatino Linotype"/>
        </w:rPr>
      </w:pPr>
    </w:p>
    <w:p w14:paraId="3ED3E3C8" w14:textId="6519EB76" w:rsidR="00CB1FFD" w:rsidRPr="00750135" w:rsidRDefault="00342C1C" w:rsidP="00C0321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lastRenderedPageBreak/>
        <w:t>El Sujeto Obligado a través de su respuesta determinó que se clasifica como reservada la información requerida en los numerales identificados 3, 4, 5, 6 y 7:</w:t>
      </w:r>
    </w:p>
    <w:p w14:paraId="6996E854" w14:textId="77777777" w:rsidR="00342C1C" w:rsidRPr="00750135" w:rsidRDefault="00342C1C" w:rsidP="00342C1C">
      <w:pPr>
        <w:ind w:left="567" w:right="616"/>
        <w:jc w:val="both"/>
        <w:rPr>
          <w:rFonts w:ascii="Palatino Linotype" w:eastAsia="Times New Roman" w:hAnsi="Palatino Linotype" w:cs="Times New Roman"/>
          <w:i/>
          <w:sz w:val="22"/>
          <w:szCs w:val="14"/>
          <w:lang w:eastAsia="es-MX"/>
        </w:rPr>
      </w:pPr>
      <w:r w:rsidRPr="00750135">
        <w:rPr>
          <w:rFonts w:ascii="Palatino Linotype" w:eastAsia="Times New Roman" w:hAnsi="Palatino Linotype" w:cs="Times New Roman"/>
          <w:i/>
          <w:sz w:val="22"/>
          <w:szCs w:val="14"/>
          <w:lang w:eastAsia="es-MX"/>
        </w:rPr>
        <w:t xml:space="preserve">3. ¿Cuántos elementos de seguridad por cada 1000 habitantes tiene el municipio? </w:t>
      </w:r>
    </w:p>
    <w:p w14:paraId="254E8F1E" w14:textId="77777777" w:rsidR="00342C1C" w:rsidRPr="00750135" w:rsidRDefault="00342C1C" w:rsidP="00342C1C">
      <w:pPr>
        <w:ind w:left="567" w:right="616"/>
        <w:jc w:val="both"/>
        <w:rPr>
          <w:rFonts w:ascii="Palatino Linotype" w:eastAsia="Times New Roman" w:hAnsi="Palatino Linotype" w:cs="Times New Roman"/>
          <w:i/>
          <w:sz w:val="22"/>
          <w:szCs w:val="14"/>
          <w:lang w:eastAsia="es-MX"/>
        </w:rPr>
      </w:pPr>
      <w:r w:rsidRPr="00750135">
        <w:rPr>
          <w:rFonts w:ascii="Palatino Linotype" w:eastAsia="Times New Roman" w:hAnsi="Palatino Linotype" w:cs="Times New Roman"/>
          <w:i/>
          <w:sz w:val="22"/>
          <w:szCs w:val="14"/>
          <w:lang w:eastAsia="es-MX"/>
        </w:rPr>
        <w:t xml:space="preserve">4. ¿Cuántos elementos son en total? </w:t>
      </w:r>
    </w:p>
    <w:p w14:paraId="7B43ABCF" w14:textId="77777777" w:rsidR="00342C1C" w:rsidRPr="00750135" w:rsidRDefault="00342C1C" w:rsidP="00342C1C">
      <w:pPr>
        <w:ind w:left="567" w:right="616"/>
        <w:jc w:val="both"/>
        <w:rPr>
          <w:rFonts w:ascii="Palatino Linotype" w:eastAsia="Times New Roman" w:hAnsi="Palatino Linotype" w:cs="Times New Roman"/>
          <w:i/>
          <w:sz w:val="22"/>
          <w:szCs w:val="14"/>
          <w:lang w:eastAsia="es-MX"/>
        </w:rPr>
      </w:pPr>
      <w:r w:rsidRPr="00750135">
        <w:rPr>
          <w:rFonts w:ascii="Palatino Linotype" w:eastAsia="Times New Roman" w:hAnsi="Palatino Linotype" w:cs="Times New Roman"/>
          <w:i/>
          <w:sz w:val="22"/>
          <w:szCs w:val="14"/>
          <w:lang w:eastAsia="es-MX"/>
        </w:rPr>
        <w:t xml:space="preserve">5. ¿Cuántos elementos se encuentran comisionados a labores distintas a la prevención del delito y seguridad pública? ¿Cuántos tienen función de escolta y cuantos están comisionados al resguardo de instalaciones municipales? </w:t>
      </w:r>
    </w:p>
    <w:p w14:paraId="52FC4ED3" w14:textId="77777777" w:rsidR="00342C1C" w:rsidRPr="00750135" w:rsidRDefault="00342C1C" w:rsidP="00342C1C">
      <w:pPr>
        <w:ind w:left="567" w:right="616"/>
        <w:jc w:val="both"/>
        <w:rPr>
          <w:rFonts w:ascii="Palatino Linotype" w:eastAsia="Times New Roman" w:hAnsi="Palatino Linotype" w:cs="Times New Roman"/>
          <w:i/>
          <w:sz w:val="22"/>
          <w:szCs w:val="14"/>
          <w:lang w:eastAsia="es-MX"/>
        </w:rPr>
      </w:pPr>
      <w:r w:rsidRPr="00750135">
        <w:rPr>
          <w:rFonts w:ascii="Palatino Linotype" w:eastAsia="Times New Roman" w:hAnsi="Palatino Linotype" w:cs="Times New Roman"/>
          <w:i/>
          <w:sz w:val="22"/>
          <w:szCs w:val="14"/>
          <w:lang w:eastAsia="es-MX"/>
        </w:rPr>
        <w:t xml:space="preserve">6. ¿Cuentan los elementos de seguridad con el equipo básico y en qué consiste? </w:t>
      </w:r>
    </w:p>
    <w:p w14:paraId="35E2F122" w14:textId="77777777" w:rsidR="00342C1C" w:rsidRPr="00750135" w:rsidRDefault="00342C1C" w:rsidP="00342C1C">
      <w:pPr>
        <w:ind w:left="567" w:right="616"/>
        <w:jc w:val="both"/>
        <w:rPr>
          <w:rFonts w:ascii="Palatino Linotype" w:eastAsia="Times New Roman" w:hAnsi="Palatino Linotype" w:cs="Times New Roman"/>
          <w:i/>
          <w:sz w:val="22"/>
          <w:szCs w:val="14"/>
          <w:lang w:eastAsia="es-MX"/>
        </w:rPr>
      </w:pPr>
      <w:r w:rsidRPr="00750135">
        <w:rPr>
          <w:rFonts w:ascii="Palatino Linotype" w:eastAsia="Times New Roman" w:hAnsi="Palatino Linotype" w:cs="Times New Roman"/>
          <w:i/>
          <w:sz w:val="22"/>
          <w:szCs w:val="14"/>
          <w:lang w:eastAsia="es-MX"/>
        </w:rPr>
        <w:t xml:space="preserve">7. ¿El municipio está implementando el Servicio Profesional de Carrera Policial? </w:t>
      </w:r>
    </w:p>
    <w:p w14:paraId="43709A2E" w14:textId="77777777" w:rsidR="00342C1C" w:rsidRPr="00750135" w:rsidRDefault="00342C1C" w:rsidP="00342C1C">
      <w:pPr>
        <w:jc w:val="both"/>
        <w:rPr>
          <w:rFonts w:ascii="Verdana" w:eastAsia="Times New Roman" w:hAnsi="Verdana" w:cs="Times New Roman"/>
          <w:sz w:val="14"/>
          <w:szCs w:val="14"/>
          <w:lang w:eastAsia="es-MX"/>
        </w:rPr>
      </w:pPr>
    </w:p>
    <w:p w14:paraId="2949735F" w14:textId="77777777" w:rsidR="00342C1C" w:rsidRPr="00750135" w:rsidRDefault="00342C1C" w:rsidP="00342C1C">
      <w:pPr>
        <w:pStyle w:val="Prrafodelista"/>
        <w:spacing w:before="120" w:after="120" w:line="360" w:lineRule="auto"/>
        <w:ind w:left="0"/>
        <w:jc w:val="both"/>
        <w:rPr>
          <w:rFonts w:ascii="Palatino Linotype" w:hAnsi="Palatino Linotype"/>
        </w:rPr>
      </w:pPr>
    </w:p>
    <w:p w14:paraId="6D6D527D" w14:textId="79574933" w:rsidR="00424020" w:rsidRPr="00750135" w:rsidRDefault="00424020" w:rsidP="00C0321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Al hablar de la clasificación de la información es que estamos en presencia de una restricción al derecho accionado por el particular, ya que impide que este tenga acceso a las documentales requeridas, por lo cual es necesario que dicha restricción se ajuste a derecho para que no existe una vulneración al particular.</w:t>
      </w:r>
    </w:p>
    <w:p w14:paraId="4D8819EC" w14:textId="77777777" w:rsidR="00424020" w:rsidRPr="00750135" w:rsidRDefault="00424020" w:rsidP="00424020">
      <w:pPr>
        <w:pStyle w:val="Prrafodelista"/>
        <w:spacing w:before="120" w:after="120" w:line="360" w:lineRule="auto"/>
        <w:ind w:left="0"/>
        <w:jc w:val="both"/>
        <w:rPr>
          <w:rFonts w:ascii="Palatino Linotype" w:hAnsi="Palatino Linotype"/>
        </w:rPr>
      </w:pPr>
    </w:p>
    <w:p w14:paraId="2D34964A" w14:textId="77777777" w:rsidR="00424020" w:rsidRPr="00750135"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50135">
        <w:rPr>
          <w:rFonts w:ascii="Palatino Linotype" w:hAnsi="Palatino Linotype" w:cs="Arial"/>
          <w:color w:val="000000" w:themeColor="text1"/>
        </w:rPr>
        <w:t>Dicho lo anterior, es necesario señalar que, los artículos 140 y 113 de la Ley Estatal y de la Ley General, respectivamente, señalan los supuestos para que una información pueda considerarse como reservada, que son los siguientes:</w:t>
      </w:r>
    </w:p>
    <w:p w14:paraId="55765937" w14:textId="77777777" w:rsidR="00424020" w:rsidRPr="00750135" w:rsidRDefault="00424020" w:rsidP="00424020">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424020" w:rsidRPr="00750135" w14:paraId="43EB0305" w14:textId="77777777" w:rsidTr="004240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84985FF" w14:textId="77777777" w:rsidR="00424020" w:rsidRPr="00750135" w:rsidRDefault="00424020" w:rsidP="00424020">
            <w:pPr>
              <w:autoSpaceDE w:val="0"/>
              <w:autoSpaceDN w:val="0"/>
              <w:adjustRightInd w:val="0"/>
              <w:jc w:val="center"/>
              <w:rPr>
                <w:rFonts w:ascii="Palatino Linotype" w:hAnsi="Palatino Linotype"/>
                <w:color w:val="000000" w:themeColor="text1"/>
                <w:sz w:val="20"/>
                <w:szCs w:val="16"/>
              </w:rPr>
            </w:pPr>
            <w:r w:rsidRPr="00750135">
              <w:rPr>
                <w:rFonts w:ascii="Palatino Linotype" w:hAnsi="Palatino Linotype" w:cs="Gill Sans,Bold"/>
                <w:color w:val="000000" w:themeColor="text1"/>
                <w:sz w:val="20"/>
                <w:szCs w:val="16"/>
              </w:rPr>
              <w:t>LEY ESTATAL</w:t>
            </w:r>
          </w:p>
        </w:tc>
        <w:tc>
          <w:tcPr>
            <w:tcW w:w="3969" w:type="dxa"/>
          </w:tcPr>
          <w:p w14:paraId="77A65A81" w14:textId="77777777" w:rsidR="00424020" w:rsidRPr="00750135" w:rsidRDefault="00424020" w:rsidP="0042402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750135">
              <w:rPr>
                <w:rFonts w:ascii="Palatino Linotype" w:hAnsi="Palatino Linotype"/>
                <w:color w:val="000000" w:themeColor="text1"/>
                <w:sz w:val="20"/>
                <w:szCs w:val="16"/>
              </w:rPr>
              <w:t>LEY GENERAL</w:t>
            </w:r>
          </w:p>
        </w:tc>
      </w:tr>
      <w:tr w:rsidR="00424020" w:rsidRPr="00750135" w14:paraId="430BCCDB"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9DFAFE8"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I. Comprometa la seguridad pública y cuente con un propósito genuino y un efecto demostrable;</w:t>
            </w:r>
          </w:p>
          <w:p w14:paraId="056C3000" w14:textId="77777777" w:rsidR="00424020" w:rsidRPr="00750135" w:rsidRDefault="00424020" w:rsidP="00424020">
            <w:pPr>
              <w:jc w:val="both"/>
              <w:rPr>
                <w:rFonts w:ascii="Palatino Linotype" w:hAnsi="Palatino Linotype"/>
                <w:color w:val="000000" w:themeColor="text1"/>
                <w:sz w:val="20"/>
                <w:szCs w:val="16"/>
              </w:rPr>
            </w:pPr>
          </w:p>
        </w:tc>
        <w:tc>
          <w:tcPr>
            <w:tcW w:w="3969" w:type="dxa"/>
          </w:tcPr>
          <w:p w14:paraId="227A25E0"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I.</w:t>
            </w:r>
            <w:r w:rsidRPr="00750135">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424020" w:rsidRPr="00750135" w14:paraId="5AAC471B"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6BEB62A"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4D5F4379"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II.</w:t>
            </w:r>
            <w:r w:rsidRPr="00750135">
              <w:rPr>
                <w:rFonts w:ascii="Palatino Linotype" w:hAnsi="Palatino Linotype"/>
                <w:color w:val="000000" w:themeColor="text1"/>
                <w:sz w:val="20"/>
                <w:szCs w:val="16"/>
                <w:lang w:val="es-ES"/>
              </w:rPr>
              <w:tab/>
              <w:t>Pueda menoscabar la conducción de las negociaciones y relaciones internacionales;</w:t>
            </w:r>
          </w:p>
        </w:tc>
      </w:tr>
      <w:tr w:rsidR="00424020" w:rsidRPr="00750135" w14:paraId="07DD59F5"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E30C1F5"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 xml:space="preserve">III. Se entregue a la Entidad expresamente con ese carácter o el de confidencialidad por otro u otros sujetos de derecho internacional, excepto cuando se trate de violaciones graves de derechos </w:t>
            </w:r>
            <w:r w:rsidRPr="00750135">
              <w:rPr>
                <w:rFonts w:ascii="Palatino Linotype" w:hAnsi="Palatino Linotype" w:cs="Arial"/>
                <w:color w:val="000000" w:themeColor="text1"/>
                <w:sz w:val="20"/>
                <w:szCs w:val="16"/>
              </w:rPr>
              <w:lastRenderedPageBreak/>
              <w:t>humanos o delitos de lesa humanidad de conformidad con el derecho internacional;</w:t>
            </w:r>
          </w:p>
        </w:tc>
        <w:tc>
          <w:tcPr>
            <w:tcW w:w="3969" w:type="dxa"/>
          </w:tcPr>
          <w:p w14:paraId="4F8DA41A"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lastRenderedPageBreak/>
              <w:t>III.</w:t>
            </w:r>
            <w:r w:rsidRPr="00750135">
              <w:rPr>
                <w:rFonts w:ascii="Palatino Linotype" w:hAnsi="Palatino Linotype"/>
                <w:color w:val="000000" w:themeColor="text1"/>
                <w:sz w:val="20"/>
                <w:szCs w:val="16"/>
                <w:lang w:val="es-ES"/>
              </w:rPr>
              <w:tab/>
              <w:t xml:space="preserve">Se entregue al Estado mexicano expresamente con ese carácter o el de confidencial por otro u otros sujetos de derecho internacional, excepto cuando se trate de violaciones graves de derechos </w:t>
            </w:r>
            <w:r w:rsidRPr="00750135">
              <w:rPr>
                <w:rFonts w:ascii="Palatino Linotype" w:hAnsi="Palatino Linotype"/>
                <w:color w:val="000000" w:themeColor="text1"/>
                <w:sz w:val="20"/>
                <w:szCs w:val="16"/>
                <w:lang w:val="es-ES"/>
              </w:rPr>
              <w:lastRenderedPageBreak/>
              <w:t>humanos o delitos de lesa humanidad de conformidad con el derecho internacional;</w:t>
            </w:r>
          </w:p>
        </w:tc>
      </w:tr>
      <w:tr w:rsidR="00424020" w:rsidRPr="00750135" w14:paraId="1D43C613"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1D0BDAE"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p>
        </w:tc>
        <w:tc>
          <w:tcPr>
            <w:tcW w:w="3969" w:type="dxa"/>
          </w:tcPr>
          <w:p w14:paraId="5009A675"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IV.</w:t>
            </w:r>
            <w:r w:rsidRPr="00750135">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424020" w:rsidRPr="00750135" w14:paraId="7F3F481E"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C128C23"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IV. Ponga en riesgo la vida, la seguridad o la salud de una persona física;</w:t>
            </w:r>
          </w:p>
        </w:tc>
        <w:tc>
          <w:tcPr>
            <w:tcW w:w="3969" w:type="dxa"/>
          </w:tcPr>
          <w:p w14:paraId="7E96EE42"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V.</w:t>
            </w:r>
            <w:r w:rsidRPr="00750135">
              <w:rPr>
                <w:rFonts w:ascii="Palatino Linotype" w:hAnsi="Palatino Linotype"/>
                <w:color w:val="000000" w:themeColor="text1"/>
                <w:sz w:val="20"/>
                <w:szCs w:val="16"/>
                <w:lang w:val="es-ES"/>
              </w:rPr>
              <w:tab/>
              <w:t>Pueda poner en riesgo la vida, seguridad o salud de una persona física;</w:t>
            </w:r>
          </w:p>
        </w:tc>
      </w:tr>
      <w:tr w:rsidR="00424020" w:rsidRPr="00750135" w14:paraId="67F0A714"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9BEA7B3"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V. Aquella cuya divulgación obstruya o pueda causar un serio perjuicio a:</w:t>
            </w:r>
          </w:p>
          <w:p w14:paraId="62346128"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p>
          <w:p w14:paraId="0E80214A"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6489BA9E"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p>
          <w:p w14:paraId="12C93C15"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2. La recaudación de las contribuciones.</w:t>
            </w:r>
          </w:p>
        </w:tc>
        <w:tc>
          <w:tcPr>
            <w:tcW w:w="3969" w:type="dxa"/>
          </w:tcPr>
          <w:p w14:paraId="4D12AEB2"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VI.</w:t>
            </w:r>
            <w:r w:rsidRPr="00750135">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60C4BDED"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76B71013"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424020" w:rsidRPr="00750135" w14:paraId="7BE94886"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1646A5FA"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2F5A1707"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VII.</w:t>
            </w:r>
            <w:r w:rsidRPr="00750135">
              <w:rPr>
                <w:rFonts w:ascii="Palatino Linotype" w:hAnsi="Palatino Linotype"/>
                <w:color w:val="000000" w:themeColor="text1"/>
                <w:sz w:val="20"/>
                <w:szCs w:val="16"/>
                <w:lang w:val="es-ES"/>
              </w:rPr>
              <w:tab/>
              <w:t>Obstruya la prevención o persecución de los delitos;</w:t>
            </w:r>
          </w:p>
          <w:p w14:paraId="2E322BA7"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55C183C7"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424020" w:rsidRPr="00750135" w14:paraId="58B0699B"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3F9037B6"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1AB624D9"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VIII.</w:t>
            </w:r>
            <w:r w:rsidRPr="00750135">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424020" w:rsidRPr="00750135" w14:paraId="6FE7F06D"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2D031CF"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p>
        </w:tc>
        <w:tc>
          <w:tcPr>
            <w:tcW w:w="3969" w:type="dxa"/>
          </w:tcPr>
          <w:p w14:paraId="08138527"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IX.</w:t>
            </w:r>
            <w:r w:rsidRPr="00750135">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424020" w:rsidRPr="00750135" w14:paraId="59712378"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2FFF6C77"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p>
        </w:tc>
        <w:tc>
          <w:tcPr>
            <w:tcW w:w="3969" w:type="dxa"/>
          </w:tcPr>
          <w:p w14:paraId="74F0EAEB"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X.</w:t>
            </w:r>
            <w:r w:rsidRPr="00750135">
              <w:rPr>
                <w:rFonts w:ascii="Palatino Linotype" w:hAnsi="Palatino Linotype"/>
                <w:color w:val="000000" w:themeColor="text1"/>
                <w:sz w:val="20"/>
                <w:szCs w:val="16"/>
                <w:lang w:val="es-ES"/>
              </w:rPr>
              <w:tab/>
              <w:t>Afecte los derechos del debido proceso;</w:t>
            </w:r>
          </w:p>
        </w:tc>
      </w:tr>
      <w:tr w:rsidR="00424020" w:rsidRPr="00750135" w14:paraId="1596C7A8"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46A9439"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67C5428B"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XI.</w:t>
            </w:r>
            <w:r w:rsidRPr="00750135">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424020" w:rsidRPr="00750135" w14:paraId="1F1EAA0A"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47646DB"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58891CB1"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XII.</w:t>
            </w:r>
            <w:r w:rsidRPr="00750135">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424020" w:rsidRPr="00750135" w14:paraId="1DD6E065" w14:textId="77777777" w:rsidTr="004240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66DFF25" w14:textId="77777777" w:rsidR="00424020" w:rsidRPr="00750135" w:rsidRDefault="00424020" w:rsidP="00424020">
            <w:pPr>
              <w:autoSpaceDE w:val="0"/>
              <w:autoSpaceDN w:val="0"/>
              <w:adjustRightInd w:val="0"/>
              <w:ind w:left="-108"/>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E23383" w14:textId="77777777" w:rsidR="00424020" w:rsidRPr="00750135" w:rsidRDefault="00424020" w:rsidP="00424020">
            <w:pPr>
              <w:autoSpaceDE w:val="0"/>
              <w:autoSpaceDN w:val="0"/>
              <w:adjustRightInd w:val="0"/>
              <w:jc w:val="both"/>
              <w:rPr>
                <w:rFonts w:ascii="Palatino Linotype" w:hAnsi="Palatino Linotype" w:cs="Arial"/>
                <w:color w:val="000000" w:themeColor="text1"/>
                <w:sz w:val="20"/>
                <w:szCs w:val="16"/>
              </w:rPr>
            </w:pPr>
            <w:r w:rsidRPr="00750135">
              <w:rPr>
                <w:rFonts w:ascii="Palatino Linotype" w:hAnsi="Palatino Linotype" w:cs="Arial"/>
                <w:color w:val="000000" w:themeColor="text1"/>
                <w:sz w:val="20"/>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24DF1936" w14:textId="77777777" w:rsidR="00424020" w:rsidRPr="00750135" w:rsidRDefault="00424020" w:rsidP="0042402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424020" w:rsidRPr="00750135" w14:paraId="2B6B9CE2" w14:textId="77777777" w:rsidTr="00424020">
        <w:tc>
          <w:tcPr>
            <w:cnfStyle w:val="001000000000" w:firstRow="0" w:lastRow="0" w:firstColumn="1" w:lastColumn="0" w:oddVBand="0" w:evenVBand="0" w:oddHBand="0" w:evenHBand="0" w:firstRowFirstColumn="0" w:firstRowLastColumn="0" w:lastRowFirstColumn="0" w:lastRowLastColumn="0"/>
            <w:tcW w:w="4678" w:type="dxa"/>
          </w:tcPr>
          <w:p w14:paraId="576B49DF" w14:textId="77777777" w:rsidR="00424020" w:rsidRPr="00750135" w:rsidRDefault="00424020" w:rsidP="00424020">
            <w:pPr>
              <w:jc w:val="both"/>
              <w:rPr>
                <w:rFonts w:ascii="Palatino Linotype" w:hAnsi="Palatino Linotype"/>
                <w:color w:val="000000" w:themeColor="text1"/>
                <w:sz w:val="20"/>
                <w:szCs w:val="16"/>
              </w:rPr>
            </w:pPr>
            <w:r w:rsidRPr="00750135">
              <w:rPr>
                <w:rFonts w:ascii="Palatino Linotype" w:hAnsi="Palatino Linotype" w:cs="Arial"/>
                <w:color w:val="000000" w:themeColor="text1"/>
                <w:sz w:val="20"/>
                <w:szCs w:val="16"/>
              </w:rPr>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49FDDF48" w14:textId="77777777" w:rsidR="00424020" w:rsidRPr="00750135" w:rsidRDefault="00424020" w:rsidP="0042402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750135">
              <w:rPr>
                <w:rFonts w:ascii="Palatino Linotype" w:hAnsi="Palatino Linotype"/>
                <w:color w:val="000000" w:themeColor="text1"/>
                <w:sz w:val="20"/>
                <w:szCs w:val="16"/>
                <w:lang w:val="es-ES"/>
              </w:rPr>
              <w:t>XIII.</w:t>
            </w:r>
            <w:r w:rsidRPr="00750135">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5A6E47C4" w14:textId="77777777" w:rsidR="00424020" w:rsidRPr="00750135" w:rsidRDefault="00424020" w:rsidP="00424020">
      <w:pPr>
        <w:spacing w:line="360" w:lineRule="auto"/>
        <w:jc w:val="both"/>
        <w:rPr>
          <w:rFonts w:ascii="Palatino Linotype" w:hAnsi="Palatino Linotype" w:cs="Arial"/>
          <w:color w:val="000000" w:themeColor="text1"/>
        </w:rPr>
      </w:pPr>
    </w:p>
    <w:p w14:paraId="53C416D9" w14:textId="77777777" w:rsidR="00424020" w:rsidRPr="00750135"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50135">
        <w:rPr>
          <w:rFonts w:ascii="Palatino Linotype" w:hAnsi="Palatino Linotype" w:cs="Arial"/>
          <w:color w:val="000000" w:themeColor="text1"/>
        </w:rPr>
        <w:lastRenderedPageBreak/>
        <w:t>Se debe identificar claramente el tipo de información y hacer un juicio de subsunción o encaje</w:t>
      </w:r>
      <w:r w:rsidRPr="00750135">
        <w:rPr>
          <w:rFonts w:ascii="Palatino Linotype" w:hAnsi="Palatino Linotype" w:cs="Arial"/>
          <w:color w:val="000000" w:themeColor="text1"/>
          <w:vertAlign w:val="superscript"/>
        </w:rPr>
        <w:footnoteReference w:id="12"/>
      </w:r>
      <w:r w:rsidRPr="00750135">
        <w:rPr>
          <w:rFonts w:ascii="Palatino Linotype" w:hAnsi="Palatino Linotype" w:cs="Arial"/>
          <w:color w:val="000000" w:themeColor="text1"/>
        </w:rPr>
        <w:t xml:space="preserve"> para acreditar que el supuesto de hecho corresponde estrictamente con la hipótesis jurídica. </w:t>
      </w:r>
    </w:p>
    <w:p w14:paraId="24AD6B36" w14:textId="77777777" w:rsidR="00424020" w:rsidRPr="00750135" w:rsidRDefault="00424020" w:rsidP="00424020">
      <w:pPr>
        <w:pStyle w:val="Ttulo3"/>
        <w:rPr>
          <w:rFonts w:ascii="Palatino Linotype" w:hAnsi="Palatino Linotype"/>
          <w:b/>
          <w:bCs/>
          <w:color w:val="auto"/>
        </w:rPr>
      </w:pPr>
      <w:bookmarkStart w:id="33" w:name="_Toc85735121"/>
      <w:r w:rsidRPr="00750135">
        <w:rPr>
          <w:rFonts w:ascii="Palatino Linotype" w:hAnsi="Palatino Linotype"/>
          <w:b/>
          <w:bCs/>
          <w:color w:val="auto"/>
        </w:rPr>
        <w:t>I. Condiciones especiales de la clasificación de la información como reservada</w:t>
      </w:r>
      <w:bookmarkEnd w:id="33"/>
      <w:r w:rsidRPr="00750135">
        <w:rPr>
          <w:rFonts w:ascii="Palatino Linotype" w:hAnsi="Palatino Linotype"/>
          <w:b/>
          <w:bCs/>
          <w:color w:val="auto"/>
        </w:rPr>
        <w:t xml:space="preserve"> </w:t>
      </w:r>
    </w:p>
    <w:p w14:paraId="2BF6AB12" w14:textId="77777777" w:rsidR="00424020" w:rsidRPr="00750135" w:rsidRDefault="00424020" w:rsidP="00424020">
      <w:pPr>
        <w:spacing w:line="360" w:lineRule="auto"/>
        <w:contextualSpacing/>
        <w:jc w:val="both"/>
        <w:rPr>
          <w:rFonts w:ascii="Palatino Linotype" w:hAnsi="Palatino Linotype" w:cs="Arial"/>
          <w:b/>
          <w:color w:val="000000" w:themeColor="text1"/>
        </w:rPr>
      </w:pPr>
    </w:p>
    <w:p w14:paraId="310D8AB6" w14:textId="77777777" w:rsidR="00424020" w:rsidRPr="00750135" w:rsidRDefault="00424020" w:rsidP="00424020">
      <w:pPr>
        <w:pStyle w:val="Prrafodelista"/>
        <w:numPr>
          <w:ilvl w:val="3"/>
          <w:numId w:val="1"/>
        </w:numPr>
        <w:ind w:left="851"/>
        <w:rPr>
          <w:rFonts w:ascii="Palatino Linotype" w:eastAsiaTheme="majorEastAsia" w:hAnsi="Palatino Linotype" w:cstheme="majorBidi"/>
          <w:b/>
          <w:color w:val="000000" w:themeColor="text1"/>
        </w:rPr>
      </w:pPr>
      <w:r w:rsidRPr="00750135">
        <w:rPr>
          <w:rFonts w:ascii="Palatino Linotype" w:eastAsiaTheme="majorEastAsia" w:hAnsi="Palatino Linotype" w:cstheme="majorBidi"/>
          <w:b/>
          <w:color w:val="000000" w:themeColor="text1"/>
        </w:rPr>
        <w:t>La fundamentación específica.</w:t>
      </w:r>
    </w:p>
    <w:p w14:paraId="6F8F324B" w14:textId="77777777" w:rsidR="00424020" w:rsidRPr="00750135" w:rsidRDefault="00424020" w:rsidP="00424020">
      <w:pPr>
        <w:rPr>
          <w:rFonts w:ascii="Palatino Linotype" w:eastAsiaTheme="majorEastAsia" w:hAnsi="Palatino Linotype" w:cstheme="majorBidi"/>
          <w:b/>
          <w:color w:val="000000" w:themeColor="text1"/>
        </w:rPr>
      </w:pPr>
    </w:p>
    <w:p w14:paraId="638960B4" w14:textId="77777777" w:rsidR="00424020" w:rsidRPr="00750135" w:rsidRDefault="00424020" w:rsidP="00424020">
      <w:pPr>
        <w:numPr>
          <w:ilvl w:val="0"/>
          <w:numId w:val="1"/>
        </w:numPr>
        <w:spacing w:after="160" w:line="360" w:lineRule="auto"/>
        <w:contextualSpacing/>
        <w:jc w:val="both"/>
        <w:rPr>
          <w:rFonts w:ascii="Palatino Linotype" w:hAnsi="Palatino Linotype" w:cs="Arial"/>
          <w:color w:val="000000" w:themeColor="text1"/>
        </w:rPr>
      </w:pPr>
      <w:r w:rsidRPr="00750135">
        <w:rPr>
          <w:rFonts w:ascii="Palatino Linotype" w:hAnsi="Palatino Linotype" w:cs="Arial"/>
          <w:color w:val="000000" w:themeColor="text1"/>
        </w:rPr>
        <w:t>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284FC42A" w14:textId="77777777" w:rsidR="00424020" w:rsidRPr="00750135" w:rsidRDefault="00424020" w:rsidP="00424020">
      <w:pPr>
        <w:pStyle w:val="Prrafodelista"/>
        <w:numPr>
          <w:ilvl w:val="0"/>
          <w:numId w:val="22"/>
        </w:numPr>
        <w:ind w:left="567"/>
        <w:rPr>
          <w:rFonts w:ascii="Palatino Linotype" w:eastAsiaTheme="majorEastAsia" w:hAnsi="Palatino Linotype" w:cstheme="majorBidi"/>
          <w:b/>
          <w:color w:val="000000" w:themeColor="text1"/>
        </w:rPr>
      </w:pPr>
      <w:r w:rsidRPr="00750135">
        <w:rPr>
          <w:rFonts w:ascii="Palatino Linotype" w:eastAsiaTheme="majorEastAsia" w:hAnsi="Palatino Linotype" w:cstheme="majorBidi"/>
          <w:b/>
          <w:color w:val="000000" w:themeColor="text1"/>
        </w:rPr>
        <w:t>La prueba de daño.</w:t>
      </w:r>
    </w:p>
    <w:p w14:paraId="172552E1" w14:textId="77777777" w:rsidR="00424020" w:rsidRPr="00750135" w:rsidRDefault="00424020" w:rsidP="00424020">
      <w:pPr>
        <w:spacing w:line="360" w:lineRule="auto"/>
        <w:contextualSpacing/>
        <w:jc w:val="both"/>
        <w:rPr>
          <w:rFonts w:ascii="Palatino Linotype" w:hAnsi="Palatino Linotype"/>
          <w:color w:val="000000" w:themeColor="text1"/>
        </w:rPr>
      </w:pPr>
    </w:p>
    <w:p w14:paraId="0DE9507E"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lastRenderedPageBreak/>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AC1A194" w14:textId="77777777" w:rsidR="00424020" w:rsidRPr="00750135" w:rsidRDefault="00424020" w:rsidP="00424020">
      <w:pPr>
        <w:spacing w:line="360" w:lineRule="auto"/>
        <w:contextualSpacing/>
        <w:jc w:val="both"/>
        <w:rPr>
          <w:rFonts w:ascii="Palatino Linotype" w:hAnsi="Palatino Linotype"/>
          <w:color w:val="000000" w:themeColor="text1"/>
        </w:rPr>
      </w:pPr>
    </w:p>
    <w:p w14:paraId="01608043"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Para aplicar la prueba de daño, se deberán de precisar las razones objetivas por las que la apertura genera una afectación, acreditando que:</w:t>
      </w:r>
    </w:p>
    <w:p w14:paraId="6E25477B" w14:textId="77777777" w:rsidR="00424020" w:rsidRPr="00750135" w:rsidRDefault="00424020" w:rsidP="00424020">
      <w:pPr>
        <w:spacing w:line="360" w:lineRule="auto"/>
        <w:contextualSpacing/>
        <w:jc w:val="both"/>
        <w:rPr>
          <w:rFonts w:ascii="Palatino Linotype" w:hAnsi="Palatino Linotype"/>
          <w:color w:val="000000" w:themeColor="text1"/>
        </w:rPr>
      </w:pPr>
    </w:p>
    <w:p w14:paraId="27341BEB" w14:textId="77777777" w:rsidR="00424020" w:rsidRPr="00750135"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50135">
        <w:rPr>
          <w:rFonts w:ascii="Palatino Linotype" w:hAnsi="Palatino Linotype" w:cs="Bookman Old Style"/>
          <w:bCs/>
          <w:i/>
          <w:color w:val="000000" w:themeColor="text1"/>
          <w:sz w:val="22"/>
        </w:rPr>
        <w:t xml:space="preserve">I. </w:t>
      </w:r>
      <w:r w:rsidRPr="00750135">
        <w:rPr>
          <w:rFonts w:ascii="Palatino Linotype" w:hAnsi="Palatino Linotype" w:cs="Bookman Old Style"/>
          <w:i/>
          <w:color w:val="000000" w:themeColor="text1"/>
          <w:sz w:val="22"/>
        </w:rPr>
        <w:t xml:space="preserve">La divulgación de la información representa un riesgo real, demostrable e identificable del perjuicio significativo al interés público o a la seguridad pública; </w:t>
      </w:r>
    </w:p>
    <w:p w14:paraId="151FCA7C" w14:textId="77777777" w:rsidR="00424020" w:rsidRPr="00750135"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50135">
        <w:rPr>
          <w:rFonts w:ascii="Palatino Linotype" w:hAnsi="Palatino Linotype" w:cs="Bookman Old Style"/>
          <w:bCs/>
          <w:i/>
          <w:color w:val="000000" w:themeColor="text1"/>
          <w:sz w:val="22"/>
        </w:rPr>
        <w:t xml:space="preserve">II. </w:t>
      </w:r>
      <w:r w:rsidRPr="00750135">
        <w:rPr>
          <w:rFonts w:ascii="Palatino Linotype" w:hAnsi="Palatino Linotype" w:cs="Bookman Old Style"/>
          <w:i/>
          <w:color w:val="000000" w:themeColor="text1"/>
          <w:sz w:val="22"/>
        </w:rPr>
        <w:t xml:space="preserve">El riesgo de perjuicio que supondría la divulgación supera el interés público general de que se difunda; y </w:t>
      </w:r>
    </w:p>
    <w:p w14:paraId="7FA7AECA" w14:textId="77777777" w:rsidR="00424020" w:rsidRPr="00750135" w:rsidRDefault="00424020" w:rsidP="00424020">
      <w:pPr>
        <w:widowControl w:val="0"/>
        <w:autoSpaceDE w:val="0"/>
        <w:autoSpaceDN w:val="0"/>
        <w:adjustRightInd w:val="0"/>
        <w:spacing w:after="240" w:line="360" w:lineRule="auto"/>
        <w:ind w:left="567" w:right="616"/>
        <w:jc w:val="both"/>
        <w:rPr>
          <w:rFonts w:ascii="Palatino Linotype" w:hAnsi="Palatino Linotype" w:cs="Times"/>
          <w:i/>
          <w:color w:val="000000" w:themeColor="text1"/>
          <w:sz w:val="22"/>
        </w:rPr>
      </w:pPr>
      <w:r w:rsidRPr="00750135">
        <w:rPr>
          <w:rFonts w:ascii="Palatino Linotype" w:hAnsi="Palatino Linotype" w:cs="Bookman Old Style"/>
          <w:bCs/>
          <w:i/>
          <w:color w:val="000000" w:themeColor="text1"/>
          <w:sz w:val="22"/>
        </w:rPr>
        <w:t xml:space="preserve">III. </w:t>
      </w:r>
      <w:r w:rsidRPr="00750135">
        <w:rPr>
          <w:rFonts w:ascii="Palatino Linotype" w:hAnsi="Palatino Linotype" w:cs="Bookman Old Style"/>
          <w:i/>
          <w:color w:val="000000" w:themeColor="text1"/>
          <w:sz w:val="22"/>
        </w:rPr>
        <w:t xml:space="preserve">La limitación se adecua al principio de proporcionalidad y representa el medio menos restrictivo disponible para evitar el perjuicio. </w:t>
      </w:r>
    </w:p>
    <w:p w14:paraId="5EE980FA" w14:textId="77777777" w:rsidR="00424020" w:rsidRPr="00750135" w:rsidRDefault="00424020" w:rsidP="00424020">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750135">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750135">
        <w:rPr>
          <w:rFonts w:ascii="Palatino Linotype" w:hAnsi="Palatino Linotype"/>
          <w:color w:val="000000" w:themeColor="text1"/>
          <w:vertAlign w:val="superscript"/>
          <w:lang w:eastAsia="es-ES_tradnl"/>
        </w:rPr>
        <w:footnoteReference w:id="13"/>
      </w:r>
      <w:r w:rsidRPr="00750135">
        <w:rPr>
          <w:rFonts w:ascii="Palatino Linotype" w:hAnsi="Palatino Linotype"/>
          <w:color w:val="000000" w:themeColor="text1"/>
          <w:lang w:eastAsia="es-ES_tradnl"/>
        </w:rPr>
        <w:t xml:space="preserve"> </w:t>
      </w:r>
      <w:r w:rsidRPr="00750135">
        <w:rPr>
          <w:rFonts w:ascii="Palatino Linotype" w:hAnsi="Palatino Linotype"/>
          <w:color w:val="000000" w:themeColor="text1"/>
          <w:lang w:eastAsia="es-ES_tradnl"/>
        </w:rPr>
        <w:lastRenderedPageBreak/>
        <w:t>mientras que el daño es considerado como un “perjuicio o lesión”</w:t>
      </w:r>
      <w:r w:rsidRPr="00750135">
        <w:rPr>
          <w:rFonts w:ascii="Palatino Linotype" w:hAnsi="Palatino Linotype"/>
          <w:color w:val="000000" w:themeColor="text1"/>
          <w:vertAlign w:val="superscript"/>
          <w:lang w:eastAsia="es-ES_tradnl"/>
        </w:rPr>
        <w:footnoteReference w:id="14"/>
      </w:r>
      <w:r w:rsidRPr="00750135">
        <w:rPr>
          <w:rFonts w:ascii="Palatino Linotype" w:hAnsi="Palatino Linotype"/>
          <w:color w:val="000000" w:themeColor="text1"/>
          <w:lang w:eastAsia="es-ES_tradnl"/>
        </w:rPr>
        <w:t>, mientras que según el Diccionario de la Lengua Española, lo real es</w:t>
      </w:r>
      <w:r w:rsidRPr="00750135">
        <w:rPr>
          <w:rFonts w:ascii="Palatino Linotype" w:eastAsia="Arial Unicode MS" w:hAnsi="Palatino Linotype" w:cs="Arial Unicode MS"/>
          <w:color w:val="000000" w:themeColor="text1"/>
          <w:spacing w:val="4"/>
          <w:shd w:val="clear" w:color="auto" w:fill="FFFFFF"/>
          <w:lang w:eastAsia="es-ES_tradnl"/>
        </w:rPr>
        <w:t xml:space="preserve"> lo “</w:t>
      </w:r>
      <w:r w:rsidRPr="00750135">
        <w:rPr>
          <w:rFonts w:ascii="Palatino Linotype" w:hAnsi="Palatino Linotype"/>
          <w:color w:val="000000" w:themeColor="text1"/>
          <w:lang w:eastAsia="es-ES_tradnl"/>
        </w:rPr>
        <w:t>(que</w:t>
      </w:r>
      <w:r w:rsidRPr="00750135">
        <w:rPr>
          <w:rFonts w:ascii="Palatino Linotype" w:eastAsia="Arial Unicode MS" w:hAnsi="Palatino Linotype" w:cs="Arial Unicode MS"/>
          <w:color w:val="000000" w:themeColor="text1"/>
          <w:spacing w:val="4"/>
          <w:shd w:val="clear" w:color="auto" w:fill="FFFFFF"/>
          <w:lang w:eastAsia="es-ES_tradnl"/>
        </w:rPr>
        <w:t xml:space="preserve"> </w:t>
      </w:r>
      <w:r w:rsidRPr="00750135">
        <w:rPr>
          <w:rFonts w:ascii="Palatino Linotype" w:hAnsi="Palatino Linotype"/>
          <w:color w:val="000000" w:themeColor="text1"/>
          <w:lang w:eastAsia="es-ES_tradnl"/>
        </w:rPr>
        <w:t>tiene</w:t>
      </w:r>
      <w:r w:rsidRPr="00750135">
        <w:rPr>
          <w:rFonts w:ascii="Palatino Linotype" w:eastAsia="Arial Unicode MS" w:hAnsi="Palatino Linotype" w:cs="Arial Unicode MS"/>
          <w:color w:val="000000" w:themeColor="text1"/>
          <w:spacing w:val="4"/>
          <w:shd w:val="clear" w:color="auto" w:fill="FFFFFF"/>
          <w:lang w:eastAsia="es-ES_tradnl"/>
        </w:rPr>
        <w:t xml:space="preserve"> </w:t>
      </w:r>
      <w:r w:rsidRPr="00750135">
        <w:rPr>
          <w:rFonts w:ascii="Palatino Linotype" w:hAnsi="Palatino Linotype"/>
          <w:color w:val="000000" w:themeColor="text1"/>
          <w:lang w:eastAsia="es-ES_tradnl"/>
        </w:rPr>
        <w:t>existencia</w:t>
      </w:r>
      <w:r w:rsidRPr="00750135">
        <w:rPr>
          <w:rFonts w:ascii="Palatino Linotype" w:eastAsia="Arial Unicode MS" w:hAnsi="Palatino Linotype" w:cs="Arial Unicode MS"/>
          <w:color w:val="000000" w:themeColor="text1"/>
          <w:spacing w:val="4"/>
          <w:shd w:val="clear" w:color="auto" w:fill="FFFFFF"/>
          <w:lang w:eastAsia="es-ES_tradnl"/>
        </w:rPr>
        <w:t xml:space="preserve"> </w:t>
      </w:r>
      <w:r w:rsidRPr="00750135">
        <w:rPr>
          <w:rFonts w:ascii="Palatino Linotype" w:hAnsi="Palatino Linotype"/>
          <w:color w:val="000000" w:themeColor="text1"/>
          <w:lang w:eastAsia="es-ES_tradnl"/>
        </w:rPr>
        <w:t>objetiva”,</w:t>
      </w:r>
      <w:r w:rsidRPr="00750135">
        <w:rPr>
          <w:rFonts w:ascii="Palatino Linotype" w:hAnsi="Palatino Linotype"/>
          <w:color w:val="000000" w:themeColor="text1"/>
          <w:vertAlign w:val="superscript"/>
          <w:lang w:eastAsia="es-ES_tradnl"/>
        </w:rPr>
        <w:footnoteReference w:id="15"/>
      </w:r>
      <w:r w:rsidRPr="00750135">
        <w:rPr>
          <w:rFonts w:ascii="Palatino Linotype" w:hAnsi="Palatino Linotype"/>
          <w:color w:val="000000" w:themeColor="text1"/>
          <w:lang w:eastAsia="es-ES_tradnl"/>
        </w:rPr>
        <w:t xml:space="preserve"> </w:t>
      </w:r>
      <w:r w:rsidRPr="00750135">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750135">
        <w:rPr>
          <w:rFonts w:ascii="Palatino Linotype" w:eastAsia="Arial Unicode MS" w:hAnsi="Palatino Linotype" w:cs="Arial Unicode MS"/>
          <w:color w:val="000000" w:themeColor="text1"/>
          <w:spacing w:val="4"/>
          <w:shd w:val="clear" w:color="auto" w:fill="FFFFFF"/>
          <w:vertAlign w:val="superscript"/>
          <w:lang w:eastAsia="es-ES_tradnl"/>
        </w:rPr>
        <w:footnoteReference w:id="16"/>
      </w:r>
      <w:r w:rsidRPr="00750135">
        <w:rPr>
          <w:rFonts w:ascii="Palatino Linotype" w:eastAsia="Arial Unicode MS" w:hAnsi="Palatino Linotype" w:cs="Arial Unicode MS"/>
          <w:color w:val="000000" w:themeColor="text1"/>
          <w:spacing w:val="4"/>
          <w:shd w:val="clear" w:color="auto" w:fill="FFFFFF"/>
          <w:lang w:eastAsia="es-ES_tradnl"/>
        </w:rPr>
        <w:t xml:space="preserve"> es decir, </w:t>
      </w:r>
      <w:r w:rsidRPr="00750135">
        <w:rPr>
          <w:rFonts w:ascii="Palatino Linotype" w:hAnsi="Palatino Linotype"/>
          <w:color w:val="000000" w:themeColor="text1"/>
        </w:rPr>
        <w:t xml:space="preserve">“(manifestar, declarar. Probar, sirviéndose de cualquier género de demostración, </w:t>
      </w:r>
      <w:hyperlink r:id="rId8" w:anchor="6nAyKjE" w:history="1">
        <w:r w:rsidRPr="00750135">
          <w:rPr>
            <w:rFonts w:ascii="Palatino Linotype" w:hAnsi="Palatino Linotype"/>
            <w:color w:val="000000" w:themeColor="text1"/>
          </w:rPr>
          <w:t>enseñar</w:t>
        </w:r>
      </w:hyperlink>
      <w:r w:rsidRPr="00750135">
        <w:rPr>
          <w:rFonts w:ascii="Palatino Linotype" w:hAnsi="Palatino Linotype"/>
          <w:color w:val="000000" w:themeColor="text1"/>
        </w:rPr>
        <w:t xml:space="preserve"> mostrar o exponer algo)”.</w:t>
      </w:r>
      <w:r w:rsidRPr="00750135">
        <w:rPr>
          <w:rFonts w:ascii="Palatino Linotype" w:hAnsi="Palatino Linotype"/>
          <w:color w:val="000000" w:themeColor="text1"/>
          <w:vertAlign w:val="superscript"/>
        </w:rPr>
        <w:footnoteReference w:id="17"/>
      </w:r>
      <w:r w:rsidRPr="00750135">
        <w:rPr>
          <w:rFonts w:ascii="Palatino Linotype" w:hAnsi="Palatino Linotype"/>
          <w:color w:val="000000" w:themeColor="text1"/>
        </w:rPr>
        <w:t xml:space="preserve"> Mientras que lo identificable es lo que puede ser identificado,</w:t>
      </w:r>
      <w:r w:rsidRPr="00750135">
        <w:rPr>
          <w:rFonts w:ascii="Palatino Linotype" w:hAnsi="Palatino Linotype"/>
          <w:color w:val="000000" w:themeColor="text1"/>
          <w:vertAlign w:val="superscript"/>
        </w:rPr>
        <w:footnoteReference w:id="18"/>
      </w:r>
      <w:r w:rsidRPr="00750135">
        <w:rPr>
          <w:rFonts w:ascii="Palatino Linotype" w:hAnsi="Palatino Linotype"/>
          <w:color w:val="000000" w:themeColor="text1"/>
        </w:rPr>
        <w:t xml:space="preserve"> esto es,</w:t>
      </w:r>
      <w:r w:rsidRPr="00750135">
        <w:rPr>
          <w:rFonts w:ascii="Palatino Linotype" w:hAnsi="Palatino Linotype"/>
          <w:color w:val="000000" w:themeColor="text1"/>
          <w:lang w:eastAsia="es-ES_tradnl"/>
        </w:rPr>
        <w:t xml:space="preserve"> “(dar los datos necesarios para ser reconocido”.</w:t>
      </w:r>
      <w:r w:rsidRPr="00750135">
        <w:rPr>
          <w:rFonts w:ascii="Palatino Linotype" w:hAnsi="Palatino Linotype"/>
          <w:color w:val="000000" w:themeColor="text1"/>
          <w:vertAlign w:val="superscript"/>
          <w:lang w:eastAsia="es-ES_tradnl"/>
        </w:rPr>
        <w:footnoteReference w:id="19"/>
      </w:r>
    </w:p>
    <w:p w14:paraId="3F05F1EE" w14:textId="77777777" w:rsidR="00424020" w:rsidRPr="00750135" w:rsidRDefault="00424020" w:rsidP="00424020">
      <w:pPr>
        <w:shd w:val="clear" w:color="auto" w:fill="FFFFFF"/>
        <w:suppressAutoHyphens/>
        <w:jc w:val="both"/>
        <w:textAlignment w:val="baseline"/>
        <w:rPr>
          <w:rFonts w:ascii="Palatino Linotype" w:hAnsi="Palatino Linotype"/>
          <w:color w:val="000000" w:themeColor="text1"/>
          <w:sz w:val="6"/>
          <w:lang w:eastAsia="es-ES_tradnl"/>
        </w:rPr>
      </w:pPr>
    </w:p>
    <w:p w14:paraId="621EFBA5"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59A8CE05" w14:textId="77777777" w:rsidR="00424020" w:rsidRPr="00750135" w:rsidRDefault="00424020" w:rsidP="00424020">
      <w:pPr>
        <w:spacing w:line="360" w:lineRule="auto"/>
        <w:contextualSpacing/>
        <w:jc w:val="both"/>
        <w:rPr>
          <w:rFonts w:ascii="Palatino Linotype" w:hAnsi="Palatino Linotype"/>
          <w:color w:val="000000" w:themeColor="text1"/>
        </w:rPr>
      </w:pPr>
    </w:p>
    <w:p w14:paraId="3BF470EE"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 xml:space="preserve">Identificado ese riesgo, se debe demostrar que el mismo supera el interés público general porque se difunda dicha información. </w:t>
      </w:r>
    </w:p>
    <w:p w14:paraId="2B9D2F82" w14:textId="77777777" w:rsidR="00424020" w:rsidRPr="00750135" w:rsidRDefault="00424020" w:rsidP="00424020">
      <w:pPr>
        <w:spacing w:line="360" w:lineRule="auto"/>
        <w:contextualSpacing/>
        <w:jc w:val="both"/>
        <w:rPr>
          <w:rFonts w:ascii="Palatino Linotype" w:hAnsi="Palatino Linotype"/>
          <w:color w:val="000000" w:themeColor="text1"/>
        </w:rPr>
      </w:pPr>
    </w:p>
    <w:p w14:paraId="483447EC"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 xml:space="preserve">Y, por último,  que la limitación es acorde con el principio de proporcionalidad, para ello, se sugiere emplear los tres juicios propuestos por la </w:t>
      </w:r>
      <w:r w:rsidRPr="00750135">
        <w:rPr>
          <w:rFonts w:ascii="Palatino Linotype" w:hAnsi="Palatino Linotype"/>
          <w:color w:val="000000" w:themeColor="text1"/>
        </w:rPr>
        <w:lastRenderedPageBreak/>
        <w:t>Corte Constitucional Colombiana</w:t>
      </w:r>
      <w:r w:rsidRPr="00750135">
        <w:rPr>
          <w:rFonts w:ascii="Palatino Linotype" w:hAnsi="Palatino Linotype"/>
          <w:color w:val="000000" w:themeColor="text1"/>
          <w:vertAlign w:val="superscript"/>
        </w:rPr>
        <w:footnoteReference w:id="20"/>
      </w:r>
      <w:r w:rsidRPr="00750135">
        <w:rPr>
          <w:rFonts w:ascii="Palatino Linotype" w:hAnsi="Palatino Linotype"/>
          <w:color w:val="000000" w:themeColor="text1"/>
        </w:rPr>
        <w:t>, siguiendo el principio de ponderación propuesto por el Tribunal Constitucional Alemán,</w:t>
      </w:r>
      <w:r w:rsidRPr="00750135">
        <w:rPr>
          <w:rFonts w:ascii="Palatino Linotype" w:hAnsi="Palatino Linotype"/>
          <w:color w:val="000000" w:themeColor="text1"/>
          <w:vertAlign w:val="superscript"/>
        </w:rPr>
        <w:footnoteReference w:id="21"/>
      </w:r>
      <w:r w:rsidRPr="00750135">
        <w:rPr>
          <w:rFonts w:ascii="Palatino Linotype" w:hAnsi="Palatino Linotype"/>
          <w:color w:val="000000" w:themeColor="text1"/>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8B7FD55" w14:textId="77777777" w:rsidR="00424020" w:rsidRPr="00750135" w:rsidRDefault="00424020" w:rsidP="00424020">
      <w:pPr>
        <w:pStyle w:val="Prrafodelista"/>
        <w:keepNext/>
        <w:keepLines/>
        <w:numPr>
          <w:ilvl w:val="0"/>
          <w:numId w:val="22"/>
        </w:numPr>
        <w:pBdr>
          <w:top w:val="nil"/>
          <w:left w:val="nil"/>
          <w:bottom w:val="nil"/>
          <w:right w:val="nil"/>
          <w:between w:val="nil"/>
          <w:bar w:val="nil"/>
        </w:pBdr>
        <w:spacing w:before="240"/>
        <w:ind w:left="709" w:hanging="283"/>
        <w:rPr>
          <w:rFonts w:ascii="Palatino Linotype" w:eastAsiaTheme="majorEastAsia" w:hAnsi="Palatino Linotype" w:cstheme="majorBidi"/>
          <w:b/>
          <w:color w:val="000000" w:themeColor="text1"/>
        </w:rPr>
      </w:pPr>
      <w:r w:rsidRPr="00750135">
        <w:rPr>
          <w:rFonts w:ascii="Palatino Linotype" w:eastAsiaTheme="majorEastAsia" w:hAnsi="Palatino Linotype" w:cstheme="majorBidi"/>
          <w:b/>
          <w:color w:val="000000" w:themeColor="text1"/>
        </w:rPr>
        <w:t>La clasificación de la información reservada debe ser de manera temporal.</w:t>
      </w:r>
    </w:p>
    <w:p w14:paraId="657E5C20" w14:textId="77777777" w:rsidR="00424020" w:rsidRPr="00750135" w:rsidRDefault="00424020" w:rsidP="00424020">
      <w:pPr>
        <w:spacing w:line="360" w:lineRule="auto"/>
        <w:jc w:val="both"/>
        <w:rPr>
          <w:rFonts w:ascii="Palatino Linotype" w:hAnsi="Palatino Linotype"/>
          <w:b/>
          <w:color w:val="000000" w:themeColor="text1"/>
        </w:rPr>
      </w:pPr>
    </w:p>
    <w:p w14:paraId="3BA124F2"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 xml:space="preserve">La información que ha sido clasificada como reservada, tiene la cualidad de que esta debe ser de carácter temporal, es decir, no debe perpetuarse o petrificarse </w:t>
      </w:r>
      <w:r w:rsidRPr="00750135">
        <w:rPr>
          <w:rFonts w:ascii="Palatino Linotype" w:hAnsi="Palatino Linotype"/>
          <w:color w:val="000000" w:themeColor="text1"/>
        </w:rPr>
        <w:lastRenderedPageBreak/>
        <w:t>su clasificación y que esto traiga como consecuencia el no acceso a la misma y por tanto pierda en definitiva su calidad de pública.</w:t>
      </w:r>
    </w:p>
    <w:p w14:paraId="30133247" w14:textId="77777777" w:rsidR="00424020" w:rsidRPr="00750135" w:rsidRDefault="00424020" w:rsidP="00424020">
      <w:pPr>
        <w:spacing w:line="360" w:lineRule="auto"/>
        <w:contextualSpacing/>
        <w:jc w:val="both"/>
        <w:rPr>
          <w:rFonts w:ascii="Palatino Linotype" w:hAnsi="Palatino Linotype"/>
          <w:color w:val="000000" w:themeColor="text1"/>
        </w:rPr>
      </w:pPr>
    </w:p>
    <w:p w14:paraId="6B7CA9E1"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750135">
        <w:rPr>
          <w:rFonts w:ascii="Palatino Linotype" w:hAnsi="Palatino Linotype"/>
          <w:b/>
          <w:color w:val="000000" w:themeColor="text1"/>
        </w:rPr>
        <w:t>hasta por un periodo de cinco años,</w:t>
      </w:r>
      <w:r w:rsidRPr="00750135">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288DFFA5" w14:textId="77777777" w:rsidR="00424020" w:rsidRPr="00750135" w:rsidRDefault="00424020" w:rsidP="00424020">
      <w:pPr>
        <w:contextualSpacing/>
        <w:rPr>
          <w:rFonts w:ascii="Palatino Linotype" w:hAnsi="Palatino Linotype"/>
          <w:color w:val="000000" w:themeColor="text1"/>
        </w:rPr>
      </w:pPr>
    </w:p>
    <w:p w14:paraId="6A952DC9"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780A77D8" w14:textId="77777777" w:rsidR="00424020" w:rsidRPr="00750135" w:rsidRDefault="00424020" w:rsidP="00424020">
      <w:pPr>
        <w:contextualSpacing/>
        <w:rPr>
          <w:rFonts w:ascii="Palatino Linotype" w:hAnsi="Palatino Linotype"/>
          <w:b/>
          <w:color w:val="000000" w:themeColor="text1"/>
        </w:rPr>
      </w:pPr>
    </w:p>
    <w:p w14:paraId="44A49507"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De</w:t>
      </w:r>
      <w:r w:rsidRPr="00750135">
        <w:rPr>
          <w:rFonts w:ascii="Palatino Linotype" w:hAnsi="Palatino Linotype"/>
          <w:b/>
          <w:color w:val="000000" w:themeColor="text1"/>
        </w:rPr>
        <w:t xml:space="preserve"> </w:t>
      </w:r>
      <w:r w:rsidRPr="00750135">
        <w:rPr>
          <w:rFonts w:ascii="Palatino Linotype" w:hAnsi="Palatino Linotype"/>
          <w:color w:val="000000" w:themeColor="text1"/>
        </w:rPr>
        <w:t xml:space="preserve">manera excepcional </w:t>
      </w:r>
      <w:r w:rsidRPr="00750135">
        <w:rPr>
          <w:rFonts w:ascii="Palatino Linotype" w:hAnsi="Palatino Linotype"/>
          <w:b/>
          <w:color w:val="000000" w:themeColor="text1"/>
        </w:rPr>
        <w:t>los sujetos obligados</w:t>
      </w:r>
      <w:r w:rsidRPr="00750135">
        <w:rPr>
          <w:rFonts w:ascii="Palatino Linotype" w:hAnsi="Palatino Linotype"/>
          <w:color w:val="000000" w:themeColor="text1"/>
        </w:rPr>
        <w:t xml:space="preserve"> con la aprobación de su Comité de Transparencia, </w:t>
      </w:r>
      <w:r w:rsidRPr="00750135">
        <w:rPr>
          <w:rFonts w:ascii="Palatino Linotype" w:hAnsi="Palatino Linotype"/>
          <w:b/>
          <w:color w:val="000000" w:themeColor="text1"/>
        </w:rPr>
        <w:t>podrán ampliar el periodo de reserva hasta por un plazo de cinco años adicionales y por una sola vez</w:t>
      </w:r>
      <w:r w:rsidRPr="00750135">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78F5F53F" w14:textId="77777777" w:rsidR="00424020" w:rsidRPr="00750135" w:rsidRDefault="00424020" w:rsidP="00424020">
      <w:pPr>
        <w:contextualSpacing/>
        <w:rPr>
          <w:rFonts w:ascii="Palatino Linotype" w:hAnsi="Palatino Linotype"/>
          <w:color w:val="000000" w:themeColor="text1"/>
        </w:rPr>
      </w:pPr>
    </w:p>
    <w:p w14:paraId="0ECE6B93" w14:textId="77777777" w:rsidR="00424020" w:rsidRPr="00750135" w:rsidRDefault="00424020" w:rsidP="00424020">
      <w:pPr>
        <w:numPr>
          <w:ilvl w:val="0"/>
          <w:numId w:val="1"/>
        </w:numPr>
        <w:spacing w:after="160" w:line="360" w:lineRule="auto"/>
        <w:contextualSpacing/>
        <w:jc w:val="both"/>
        <w:rPr>
          <w:rFonts w:ascii="Palatino Linotype" w:hAnsi="Palatino Linotype"/>
          <w:color w:val="000000" w:themeColor="text1"/>
        </w:rPr>
      </w:pPr>
      <w:r w:rsidRPr="00750135">
        <w:rPr>
          <w:rFonts w:ascii="Palatino Linotype" w:hAnsi="Palatino Linotype"/>
          <w:color w:val="000000" w:themeColor="text1"/>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w:t>
      </w:r>
      <w:r w:rsidRPr="00750135">
        <w:rPr>
          <w:rFonts w:ascii="Palatino Linotype" w:hAnsi="Palatino Linotype"/>
          <w:color w:val="000000" w:themeColor="text1"/>
        </w:rPr>
        <w:lastRenderedPageBreak/>
        <w:t>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0019948" w14:textId="77777777" w:rsidR="00424020" w:rsidRPr="00750135" w:rsidRDefault="00424020" w:rsidP="00424020">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78621F71" w14:textId="77777777" w:rsidR="00424020" w:rsidRPr="00750135" w:rsidRDefault="00424020" w:rsidP="0042402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750135">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675D2C68" w14:textId="77777777" w:rsidR="00424020" w:rsidRPr="00750135" w:rsidRDefault="00424020" w:rsidP="00424020">
      <w:pPr>
        <w:rPr>
          <w:rFonts w:ascii="Palatino Linotype" w:hAnsi="Palatino Linotype" w:cs="Arial"/>
          <w:color w:val="000000" w:themeColor="text1"/>
          <w:lang w:eastAsia="es-MX"/>
        </w:rPr>
      </w:pPr>
    </w:p>
    <w:p w14:paraId="7C7D8372" w14:textId="77777777" w:rsidR="00424020" w:rsidRPr="00750135" w:rsidRDefault="00424020" w:rsidP="0042402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750135">
        <w:rPr>
          <w:rFonts w:ascii="Palatino Linotype" w:hAnsi="Palatino Linotype" w:cs="Arial"/>
          <w:color w:val="000000" w:themeColor="text1"/>
          <w:lang w:eastAsia="es-MX"/>
        </w:rPr>
        <w:t>Asimismo, para la clasificación de la información, se deben observar los lineamientos correspondientes, los cuales disponen lo siguiente:</w:t>
      </w:r>
    </w:p>
    <w:p w14:paraId="76289B4E" w14:textId="77777777" w:rsidR="00424020" w:rsidRPr="00750135" w:rsidRDefault="00424020" w:rsidP="00424020">
      <w:pPr>
        <w:pStyle w:val="Ttulo3"/>
        <w:ind w:left="142"/>
        <w:rPr>
          <w:rFonts w:ascii="Palatino Linotype" w:eastAsiaTheme="minorEastAsia" w:hAnsi="Palatino Linotype"/>
          <w:b/>
          <w:bCs/>
          <w:color w:val="auto"/>
        </w:rPr>
      </w:pPr>
      <w:bookmarkStart w:id="34" w:name="_Toc85735122"/>
      <w:r w:rsidRPr="00750135">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4"/>
    </w:p>
    <w:p w14:paraId="0EDAF8F3" w14:textId="77777777" w:rsidR="00424020" w:rsidRPr="00750135" w:rsidRDefault="00424020" w:rsidP="00424020">
      <w:pPr>
        <w:pStyle w:val="Prrafodelista"/>
        <w:rPr>
          <w:rFonts w:ascii="Palatino Linotype" w:eastAsia="Calibri" w:hAnsi="Palatino Linotype" w:cs="Arial"/>
        </w:rPr>
      </w:pPr>
    </w:p>
    <w:p w14:paraId="018D2E44" w14:textId="77777777" w:rsidR="00424020" w:rsidRPr="00750135" w:rsidRDefault="00424020" w:rsidP="00424020">
      <w:pPr>
        <w:pStyle w:val="Prrafodelista"/>
        <w:numPr>
          <w:ilvl w:val="0"/>
          <w:numId w:val="1"/>
        </w:numPr>
        <w:spacing w:line="360" w:lineRule="auto"/>
        <w:jc w:val="both"/>
        <w:rPr>
          <w:rFonts w:ascii="Palatino Linotype" w:hAnsi="Palatino Linotype" w:cs="Arial"/>
        </w:rPr>
      </w:pPr>
      <w:r w:rsidRPr="00750135">
        <w:rPr>
          <w:rFonts w:ascii="Palatino Linotype" w:hAnsi="Palatino Linotype"/>
          <w:color w:val="000000" w:themeColor="text1"/>
        </w:rPr>
        <w:t xml:space="preserve">Para aplicar la prueba de daño, es necesario traer a contexto </w:t>
      </w:r>
      <w:r w:rsidRPr="00750135">
        <w:rPr>
          <w:rFonts w:ascii="Palatino Linotype" w:hAnsi="Palatino Linotype" w:cs="Arial"/>
        </w:rPr>
        <w:t xml:space="preserve">los </w:t>
      </w:r>
      <w:r w:rsidRPr="00750135">
        <w:rPr>
          <w:rFonts w:ascii="Palatino Linotype" w:hAnsi="Palatino Linotype"/>
        </w:rPr>
        <w:t>Lineamientos Generales en materia de clasificación y desclasificación de la información, así como para la elaboración de versiones públicas.</w:t>
      </w:r>
      <w:r w:rsidRPr="00750135">
        <w:rPr>
          <w:rStyle w:val="Refdenotaalpie"/>
        </w:rPr>
        <w:footnoteReference w:id="22"/>
      </w:r>
    </w:p>
    <w:p w14:paraId="20348BB8" w14:textId="77777777" w:rsidR="00424020" w:rsidRPr="00750135" w:rsidRDefault="00424020" w:rsidP="00424020">
      <w:pPr>
        <w:pStyle w:val="Prrafodelista"/>
        <w:spacing w:line="360" w:lineRule="auto"/>
        <w:ind w:left="0"/>
        <w:jc w:val="both"/>
        <w:rPr>
          <w:rFonts w:ascii="Palatino Linotype" w:hAnsi="Palatino Linotype" w:cs="Arial"/>
        </w:rPr>
      </w:pPr>
    </w:p>
    <w:p w14:paraId="1AE0E159" w14:textId="77777777" w:rsidR="00424020" w:rsidRPr="00750135" w:rsidRDefault="00424020" w:rsidP="00424020">
      <w:pPr>
        <w:spacing w:line="360" w:lineRule="auto"/>
        <w:ind w:left="567" w:right="616"/>
        <w:jc w:val="center"/>
        <w:rPr>
          <w:rFonts w:ascii="Palatino Linotype" w:hAnsi="Palatino Linotype"/>
          <w:b/>
          <w:bCs/>
          <w:i/>
          <w:iCs/>
          <w:sz w:val="22"/>
        </w:rPr>
      </w:pPr>
      <w:r w:rsidRPr="00750135">
        <w:rPr>
          <w:rFonts w:ascii="Palatino Linotype" w:hAnsi="Palatino Linotype"/>
          <w:b/>
          <w:bCs/>
          <w:i/>
          <w:iCs/>
          <w:sz w:val="22"/>
        </w:rPr>
        <w:t>TÍTULO SEXTO</w:t>
      </w:r>
    </w:p>
    <w:p w14:paraId="4031C798" w14:textId="77777777" w:rsidR="00424020" w:rsidRPr="00750135" w:rsidRDefault="00424020" w:rsidP="00424020">
      <w:pPr>
        <w:spacing w:line="360" w:lineRule="auto"/>
        <w:ind w:left="567" w:right="616"/>
        <w:jc w:val="center"/>
        <w:rPr>
          <w:rFonts w:ascii="Palatino Linotype" w:hAnsi="Palatino Linotype"/>
          <w:b/>
          <w:bCs/>
          <w:i/>
          <w:iCs/>
          <w:sz w:val="22"/>
        </w:rPr>
      </w:pPr>
      <w:r w:rsidRPr="00750135">
        <w:rPr>
          <w:rFonts w:ascii="Palatino Linotype" w:hAnsi="Palatino Linotype"/>
          <w:b/>
          <w:bCs/>
          <w:i/>
          <w:iCs/>
          <w:sz w:val="22"/>
        </w:rPr>
        <w:t>INFORMACIÓN CLASIFICADA</w:t>
      </w:r>
    </w:p>
    <w:p w14:paraId="50C2F383" w14:textId="77777777" w:rsidR="00424020" w:rsidRPr="00750135" w:rsidRDefault="00424020" w:rsidP="00424020">
      <w:pPr>
        <w:spacing w:line="360" w:lineRule="auto"/>
        <w:ind w:left="567" w:right="616"/>
        <w:jc w:val="center"/>
        <w:rPr>
          <w:rFonts w:ascii="Palatino Linotype" w:hAnsi="Palatino Linotype"/>
          <w:b/>
          <w:bCs/>
          <w:i/>
          <w:iCs/>
          <w:sz w:val="22"/>
        </w:rPr>
      </w:pPr>
      <w:r w:rsidRPr="00750135">
        <w:rPr>
          <w:rFonts w:ascii="Palatino Linotype" w:hAnsi="Palatino Linotype"/>
          <w:b/>
          <w:bCs/>
          <w:i/>
          <w:iCs/>
          <w:sz w:val="22"/>
        </w:rPr>
        <w:lastRenderedPageBreak/>
        <w:t>Capítulo I</w:t>
      </w:r>
    </w:p>
    <w:p w14:paraId="6204D04A" w14:textId="77777777" w:rsidR="00424020" w:rsidRPr="00750135" w:rsidRDefault="00424020" w:rsidP="00424020">
      <w:pPr>
        <w:spacing w:line="360" w:lineRule="auto"/>
        <w:ind w:left="567" w:right="616"/>
        <w:jc w:val="center"/>
        <w:rPr>
          <w:rFonts w:ascii="Palatino Linotype" w:hAnsi="Palatino Linotype"/>
          <w:b/>
          <w:bCs/>
          <w:i/>
          <w:iCs/>
          <w:sz w:val="22"/>
        </w:rPr>
      </w:pPr>
      <w:r w:rsidRPr="00750135">
        <w:rPr>
          <w:rFonts w:ascii="Palatino Linotype" w:hAnsi="Palatino Linotype"/>
          <w:b/>
          <w:bCs/>
          <w:i/>
          <w:iCs/>
          <w:sz w:val="22"/>
        </w:rPr>
        <w:t>De las disposiciones generales de la clasificación y desclasificación de la información</w:t>
      </w:r>
    </w:p>
    <w:p w14:paraId="6DB78FB4" w14:textId="77777777" w:rsidR="00424020" w:rsidRPr="00750135" w:rsidRDefault="00424020" w:rsidP="00424020">
      <w:pPr>
        <w:spacing w:line="360" w:lineRule="auto"/>
        <w:ind w:left="567" w:right="616"/>
        <w:jc w:val="center"/>
        <w:rPr>
          <w:rFonts w:ascii="Palatino Linotype" w:hAnsi="Palatino Linotype"/>
          <w:i/>
          <w:iCs/>
          <w:sz w:val="22"/>
        </w:rPr>
      </w:pPr>
    </w:p>
    <w:p w14:paraId="3610F104" w14:textId="77777777" w:rsidR="00424020" w:rsidRPr="00750135" w:rsidRDefault="00424020" w:rsidP="00424020">
      <w:pPr>
        <w:spacing w:line="360" w:lineRule="auto"/>
        <w:ind w:left="567" w:right="616"/>
        <w:jc w:val="both"/>
        <w:rPr>
          <w:rFonts w:ascii="Palatino Linotype" w:hAnsi="Palatino Linotype"/>
          <w:i/>
          <w:iCs/>
          <w:sz w:val="22"/>
        </w:rPr>
      </w:pPr>
      <w:r w:rsidRPr="00750135">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42FAED69" w14:textId="77777777" w:rsidR="00424020" w:rsidRPr="00750135" w:rsidRDefault="00424020" w:rsidP="00424020">
      <w:pPr>
        <w:spacing w:line="360" w:lineRule="auto"/>
        <w:ind w:left="567" w:right="616"/>
        <w:jc w:val="both"/>
        <w:rPr>
          <w:rFonts w:ascii="Palatino Linotype" w:hAnsi="Palatino Linotype"/>
          <w:i/>
          <w:iCs/>
          <w:sz w:val="22"/>
        </w:rPr>
      </w:pPr>
    </w:p>
    <w:p w14:paraId="2F72AF82" w14:textId="77777777" w:rsidR="00424020" w:rsidRPr="00750135" w:rsidRDefault="00424020" w:rsidP="00424020">
      <w:pPr>
        <w:shd w:val="clear" w:color="auto" w:fill="FFFFFF"/>
        <w:spacing w:line="360" w:lineRule="auto"/>
        <w:ind w:left="567" w:right="616"/>
        <w:jc w:val="center"/>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CAPÍTULO V</w:t>
      </w:r>
    </w:p>
    <w:p w14:paraId="5DC3EA50" w14:textId="77777777" w:rsidR="00424020" w:rsidRPr="00750135" w:rsidRDefault="00424020" w:rsidP="00424020">
      <w:pPr>
        <w:shd w:val="clear" w:color="auto" w:fill="FFFFFF"/>
        <w:spacing w:line="360" w:lineRule="auto"/>
        <w:ind w:left="567" w:right="616"/>
        <w:jc w:val="center"/>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DE LA INFORMACIÓN RESERVADA</w:t>
      </w:r>
    </w:p>
    <w:p w14:paraId="4000E1F8" w14:textId="77777777" w:rsidR="00424020" w:rsidRPr="00750135" w:rsidRDefault="00424020" w:rsidP="00424020">
      <w:pPr>
        <w:spacing w:line="360" w:lineRule="auto"/>
        <w:ind w:left="567" w:right="616"/>
        <w:jc w:val="both"/>
        <w:rPr>
          <w:rFonts w:ascii="Palatino Linotype" w:hAnsi="Palatino Linotype"/>
          <w:i/>
          <w:iCs/>
          <w:sz w:val="22"/>
        </w:rPr>
      </w:pPr>
    </w:p>
    <w:p w14:paraId="7CE9B7F0"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Trigésimo tercero. </w:t>
      </w:r>
      <w:r w:rsidRPr="00750135">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2D427204"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I.</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691CD8CB"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II.</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12B5DFAE"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III.</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6652DA52"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lastRenderedPageBreak/>
        <w:t>IV.</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138E59E7" w14:textId="77777777" w:rsidR="00424020" w:rsidRPr="00750135" w:rsidRDefault="00424020" w:rsidP="00424020">
      <w:pPr>
        <w:shd w:val="clear" w:color="auto" w:fill="FFFFFF"/>
        <w:spacing w:after="82" w:line="360" w:lineRule="auto"/>
        <w:ind w:left="567" w:right="616"/>
        <w:jc w:val="both"/>
        <w:rPr>
          <w:rFonts w:ascii="Palatino Linotype" w:hAnsi="Palatino Linotype" w:cs="Arial"/>
          <w:i/>
          <w:iCs/>
          <w:color w:val="2F2F2F"/>
          <w:sz w:val="22"/>
          <w:lang w:eastAsia="es-MX"/>
        </w:rPr>
      </w:pPr>
      <w:r w:rsidRPr="00750135">
        <w:rPr>
          <w:rFonts w:ascii="Palatino Linotype" w:hAnsi="Palatino Linotype" w:cs="Helvetica"/>
          <w:b/>
          <w:bCs/>
          <w:i/>
          <w:iCs/>
          <w:color w:val="2F2F2F"/>
          <w:sz w:val="22"/>
          <w:lang w:eastAsia="es-MX"/>
        </w:rPr>
        <w:t>V.</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571BABCA" w14:textId="77777777" w:rsidR="00424020" w:rsidRPr="00750135" w:rsidRDefault="00424020" w:rsidP="00424020">
      <w:pPr>
        <w:shd w:val="clear" w:color="auto" w:fill="FFFFFF"/>
        <w:spacing w:after="82" w:line="360" w:lineRule="auto"/>
        <w:ind w:left="567" w:right="616"/>
        <w:jc w:val="both"/>
        <w:rPr>
          <w:rFonts w:ascii="Palatino Linotype" w:hAnsi="Palatino Linotype" w:cs="Helvetica"/>
          <w:i/>
          <w:iCs/>
          <w:color w:val="2F2F2F"/>
          <w:sz w:val="22"/>
          <w:lang w:eastAsia="es-MX"/>
        </w:rPr>
      </w:pPr>
      <w:r w:rsidRPr="00750135">
        <w:rPr>
          <w:rFonts w:ascii="Palatino Linotype" w:hAnsi="Palatino Linotype" w:cs="Helvetica"/>
          <w:b/>
          <w:bCs/>
          <w:i/>
          <w:iCs/>
          <w:color w:val="2F2F2F"/>
          <w:sz w:val="22"/>
          <w:lang w:eastAsia="es-MX"/>
        </w:rPr>
        <w:t>VI.</w:t>
      </w:r>
      <w:r w:rsidRPr="00750135">
        <w:rPr>
          <w:rFonts w:ascii="Palatino Linotype" w:hAnsi="Palatino Linotype" w:cs="Arial"/>
          <w:i/>
          <w:iCs/>
          <w:color w:val="2F2F2F"/>
          <w:sz w:val="22"/>
          <w:lang w:eastAsia="es-MX"/>
        </w:rPr>
        <w:t>      </w:t>
      </w:r>
      <w:r w:rsidRPr="00750135">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750135">
        <w:rPr>
          <w:rFonts w:ascii="Palatino Linotype" w:hAnsi="Palatino Linotype" w:cs="Arial"/>
          <w:i/>
          <w:iCs/>
          <w:color w:val="2F2F2F"/>
          <w:sz w:val="22"/>
          <w:lang w:eastAsia="es-MX"/>
        </w:rPr>
        <w:t xml:space="preserve"> </w:t>
      </w:r>
      <w:r w:rsidRPr="00750135">
        <w:rPr>
          <w:rFonts w:ascii="Palatino Linotype" w:hAnsi="Palatino Linotype" w:cs="Helvetica"/>
          <w:i/>
          <w:iCs/>
          <w:color w:val="2F2F2F"/>
          <w:sz w:val="22"/>
          <w:lang w:eastAsia="es-MX"/>
        </w:rPr>
        <w:t>posible en el ejercicio efectivo del derecho de acceso a la información.</w:t>
      </w:r>
    </w:p>
    <w:p w14:paraId="5B9A390D" w14:textId="77777777" w:rsidR="00424020" w:rsidRPr="00750135" w:rsidRDefault="00424020" w:rsidP="00424020">
      <w:pPr>
        <w:pStyle w:val="Prrafodelista"/>
        <w:tabs>
          <w:tab w:val="left" w:pos="567"/>
        </w:tabs>
        <w:spacing w:line="360" w:lineRule="auto"/>
        <w:ind w:left="0"/>
        <w:jc w:val="both"/>
        <w:rPr>
          <w:rFonts w:ascii="Palatino Linotype" w:eastAsia="Calibri" w:hAnsi="Palatino Linotype" w:cs="Arial"/>
        </w:rPr>
      </w:pPr>
    </w:p>
    <w:p w14:paraId="16026B3E" w14:textId="2CE2D41C" w:rsidR="00424020" w:rsidRPr="00750135" w:rsidRDefault="005E43FB" w:rsidP="00C0321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Además de lo anterior, dentro del análisis de la información que se someterá a consideración del Comité de Transparencia para su clasificación, se deben valorar los elementos de convicción que permitan determinar la clasificación de la información, esto es que, verdaderamente exista información que actualiza alguna causal de clasificación, de lo contrario, la restricción hecha al particular sería ilegítima y violatoria de derechos.</w:t>
      </w:r>
    </w:p>
    <w:p w14:paraId="13BBF641" w14:textId="77777777" w:rsidR="005E43FB" w:rsidRPr="00750135" w:rsidRDefault="005E43FB" w:rsidP="005E43FB">
      <w:pPr>
        <w:pStyle w:val="Prrafodelista"/>
        <w:spacing w:before="120" w:after="120" w:line="360" w:lineRule="auto"/>
        <w:ind w:left="708"/>
        <w:jc w:val="both"/>
        <w:rPr>
          <w:rFonts w:ascii="Palatino Linotype" w:hAnsi="Palatino Linotype"/>
        </w:rPr>
      </w:pPr>
    </w:p>
    <w:p w14:paraId="78901E15" w14:textId="723C35B0" w:rsidR="006A0E39" w:rsidRPr="00750135" w:rsidRDefault="00796203" w:rsidP="006A0E3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Lo anterior en razón de que escapó de la óptica del Sujeto Obligado </w:t>
      </w:r>
      <w:r w:rsidR="006A0E39" w:rsidRPr="00750135">
        <w:rPr>
          <w:rFonts w:ascii="Palatino Linotype" w:hAnsi="Palatino Linotype"/>
        </w:rPr>
        <w:t xml:space="preserve">que en los requerimientos identificados con los numerales 3, 4 y 5, el particular únicamente solicitó información estadística, </w:t>
      </w:r>
      <w:r w:rsidR="006A0E39" w:rsidRPr="00750135">
        <w:rPr>
          <w:rFonts w:ascii="Palatino Linotype" w:eastAsia="Palatino Linotype" w:hAnsi="Palatino Linotype" w:cs="Palatino Linotype"/>
          <w:color w:val="000000"/>
          <w:lang w:val="es-ES" w:eastAsia="es-MX"/>
        </w:rPr>
        <w:t>luego entonces en términos de los criterios emitidos por el Instituto Federal de Transparencia, Acceso a la Información Pública y Protección de Datos Personales ahora Instituto Nacional de Transparencia, Acceso a la Información Pública y Protección de Datos Personales:</w:t>
      </w:r>
    </w:p>
    <w:p w14:paraId="4BDEF294" w14:textId="77777777" w:rsidR="006A0E39" w:rsidRPr="00750135" w:rsidRDefault="006A0E39" w:rsidP="006A0E39">
      <w:pPr>
        <w:rPr>
          <w:lang w:val="es-ES" w:eastAsia="es-MX"/>
        </w:rPr>
      </w:pPr>
    </w:p>
    <w:p w14:paraId="430D07C9" w14:textId="77777777" w:rsidR="006A0E39" w:rsidRPr="00750135" w:rsidRDefault="006A0E39" w:rsidP="006A0E39">
      <w:pPr>
        <w:pBdr>
          <w:top w:val="nil"/>
          <w:left w:val="nil"/>
          <w:bottom w:val="nil"/>
          <w:right w:val="nil"/>
          <w:between w:val="nil"/>
        </w:pBdr>
        <w:spacing w:after="120" w:line="276" w:lineRule="auto"/>
        <w:ind w:left="851" w:right="900"/>
        <w:jc w:val="both"/>
        <w:rPr>
          <w:rFonts w:ascii="Palatino Linotype" w:eastAsia="Palatino Linotype" w:hAnsi="Palatino Linotype" w:cs="Palatino Linotype"/>
          <w:i/>
          <w:color w:val="000000"/>
          <w:sz w:val="22"/>
          <w:szCs w:val="22"/>
          <w:lang w:val="es-ES" w:eastAsia="es-MX"/>
        </w:rPr>
      </w:pPr>
      <w:r w:rsidRPr="00750135">
        <w:rPr>
          <w:rFonts w:ascii="Palatino Linotype" w:eastAsia="Palatino Linotype" w:hAnsi="Palatino Linotype" w:cs="Palatino Linotype"/>
          <w:b/>
          <w:i/>
          <w:color w:val="000000"/>
          <w:sz w:val="22"/>
          <w:szCs w:val="22"/>
          <w:lang w:val="es-ES" w:eastAsia="es-MX"/>
        </w:rPr>
        <w:t xml:space="preserve">“Bases de datos. Deberá otorgarse acceso a las mismas, en el formato en el que obren en los archivos de los sujetos obligados, a fin de garantizar la libre explotación, manipulación y reutilización de la información que </w:t>
      </w:r>
      <w:r w:rsidRPr="00750135">
        <w:rPr>
          <w:rFonts w:ascii="Palatino Linotype" w:eastAsia="Palatino Linotype" w:hAnsi="Palatino Linotype" w:cs="Palatino Linotype"/>
          <w:b/>
          <w:i/>
          <w:color w:val="000000"/>
          <w:sz w:val="22"/>
          <w:szCs w:val="22"/>
          <w:lang w:val="es-ES" w:eastAsia="es-MX"/>
        </w:rPr>
        <w:lastRenderedPageBreak/>
        <w:t xml:space="preserve">contienen. </w:t>
      </w:r>
      <w:r w:rsidRPr="00750135">
        <w:rPr>
          <w:rFonts w:ascii="Palatino Linotype" w:eastAsia="Palatino Linotype" w:hAnsi="Palatino Linotype" w:cs="Palatino Linotype"/>
          <w:i/>
          <w:color w:val="000000"/>
          <w:sz w:val="22"/>
          <w:szCs w:val="22"/>
          <w:lang w:val="es-ES" w:eastAsia="es-MX"/>
        </w:rPr>
        <w:t>Uno de los objetivos de la Ley Federal de Transparencia y Acceso a la Información Pública Gubernamental, previsto en el artículo 4, fracción I, es garantizar el acceso a la información en posesión de los sujetos obligados. En este sentido, al amparo de la Ley es posible solicitar acceso a la información contenida en documentos, en el sentido más amplio  del  término,  en el formato  en  el  que  se  encuentren  en  los  archivos  de  las dependencias y entidades, el cual puede ser escrito, impreso, sonoro, visual, electrónico, informático u holográfico, de conformidad con lo dispuesto en las fracciones III y V del artículo 3 de la Ley. En este contexto y de conformidad con lo dispuesto en el artículo 42 de dicho ordenamiento legal que establece que las dependencias y entidades están obligadas a proporcionar la información que se encuentra en sus archivos, en la forma en que lo permita el documento de que se trate, ante solicitudes de acceso en las que se requieran bases de datos, o información pública contenida en éstas, deberá otorgarse acceso a las mismas, por tratarse de documentos en archivo electrónico a partir de los cuales se recoge, genera, transforma o conserva información de los sujetos obligados. La entrega de dicha información no constituye la elaboración de un documento ad hoc, ni resulta una carga para las autoridades, pues consiste, simplemente, en poner a disposición de los particulares las bases de datos, o el repositorio de las mismas, en el formato en el que obran en sus archivos, garantizando a los solicitantes la libre explotación, manipulación y reutilización de la información gubernamental.</w:t>
      </w:r>
    </w:p>
    <w:p w14:paraId="65F072B3" w14:textId="77777777" w:rsidR="006A0E39" w:rsidRPr="00750135" w:rsidRDefault="006A0E39" w:rsidP="006A0E39">
      <w:pPr>
        <w:pBdr>
          <w:top w:val="nil"/>
          <w:left w:val="nil"/>
          <w:bottom w:val="nil"/>
          <w:right w:val="nil"/>
          <w:between w:val="nil"/>
        </w:pBdr>
        <w:spacing w:after="120" w:line="276" w:lineRule="auto"/>
        <w:ind w:left="851" w:right="958"/>
        <w:jc w:val="both"/>
        <w:rPr>
          <w:color w:val="000000"/>
          <w:lang w:val="es-ES" w:eastAsia="es-MX"/>
        </w:rPr>
      </w:pPr>
      <w:r w:rsidRPr="00750135">
        <w:rPr>
          <w:rFonts w:ascii="Palatino Linotype" w:eastAsia="Palatino Linotype" w:hAnsi="Palatino Linotype" w:cs="Palatino Linotype"/>
          <w:b/>
          <w:i/>
          <w:color w:val="000000"/>
          <w:sz w:val="22"/>
          <w:szCs w:val="22"/>
          <w:lang w:val="es-ES" w:eastAsia="es-MX"/>
        </w:rPr>
        <w:t xml:space="preserve">La información estadística es de naturaleza pública, independientemente de la materia con la que se encuentre vinculada. </w:t>
      </w:r>
      <w:r w:rsidRPr="00750135">
        <w:rPr>
          <w:rFonts w:ascii="Palatino Linotype" w:eastAsia="Palatino Linotype" w:hAnsi="Palatino Linotype" w:cs="Palatino Linotype"/>
          <w:i/>
          <w:color w:val="000000"/>
          <w:sz w:val="22"/>
          <w:szCs w:val="22"/>
          <w:lang w:val="es-ES" w:eastAsia="es-MX"/>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w:t>
      </w:r>
      <w:r w:rsidRPr="00750135">
        <w:rPr>
          <w:rFonts w:ascii="Palatino Linotype" w:eastAsia="Palatino Linotype" w:hAnsi="Palatino Linotype" w:cs="Palatino Linotype"/>
          <w:i/>
          <w:color w:val="000000"/>
          <w:sz w:val="22"/>
          <w:szCs w:val="22"/>
          <w:lang w:val="es-ES" w:eastAsia="es-MX"/>
        </w:rPr>
        <w:lastRenderedPageBreak/>
        <w:t>no se encuentran individualizados o personalizados a casos o situaciones específicas que pudieran llegar a justificar su clasificación.” (Sic)</w:t>
      </w:r>
    </w:p>
    <w:p w14:paraId="546D1E35" w14:textId="77777777" w:rsidR="006A0E39" w:rsidRPr="00750135" w:rsidRDefault="006A0E39" w:rsidP="006A0E39">
      <w:pPr>
        <w:pStyle w:val="Prrafodelista"/>
        <w:tabs>
          <w:tab w:val="left" w:pos="567"/>
        </w:tabs>
        <w:spacing w:line="360" w:lineRule="auto"/>
        <w:ind w:left="0"/>
        <w:jc w:val="both"/>
        <w:rPr>
          <w:rFonts w:ascii="Palatino Linotype" w:eastAsia="Calibri" w:hAnsi="Palatino Linotype" w:cs="Arial"/>
        </w:rPr>
      </w:pPr>
    </w:p>
    <w:p w14:paraId="47472847" w14:textId="24165928" w:rsidR="006A0E39" w:rsidRPr="00750135" w:rsidRDefault="006A0E39" w:rsidP="006A0E39">
      <w:pPr>
        <w:pStyle w:val="Prrafodelista"/>
        <w:numPr>
          <w:ilvl w:val="0"/>
          <w:numId w:val="1"/>
        </w:numPr>
        <w:tabs>
          <w:tab w:val="left" w:pos="567"/>
        </w:tabs>
        <w:spacing w:line="360" w:lineRule="auto"/>
        <w:jc w:val="both"/>
        <w:rPr>
          <w:rFonts w:ascii="Palatino Linotype" w:eastAsia="Calibri" w:hAnsi="Palatino Linotype" w:cs="Arial"/>
        </w:rPr>
      </w:pPr>
      <w:r w:rsidRPr="00750135">
        <w:rPr>
          <w:rFonts w:ascii="Palatino Linotype" w:eastAsia="Calibri" w:hAnsi="Palatino Linotype" w:cs="Arial"/>
        </w:rPr>
        <w:t>Es así que, al tratarse meramente de información estadística, en atención a los criterios antes referidos, independientemente la materia con la que se encuentre vinculada la información, no ha lugar a su clasificación, pues no arroja ninguna información que actualice alguna causal de clasificación. En consecuencia, no resulta procedente su clasificación, siendo así, que se ORDENA al Sujeto Obligado su entrega. Esto bajo el entendido que si se procedió a su clasificación, se asume su existencia, entonces no hay duda de que la información requerida obra en los archivos del Ayuntamiento de Cuautitlán Izcalli.</w:t>
      </w:r>
      <w:r w:rsidR="00D02211" w:rsidRPr="00750135">
        <w:rPr>
          <w:rFonts w:ascii="Palatino Linotype" w:eastAsia="Calibri" w:hAnsi="Palatino Linotype" w:cs="Arial"/>
        </w:rPr>
        <w:t xml:space="preserve"> No pasa desapercibido que el Sujeto Obligado a través de su respuesta manifestó que cuenta con un total de 670 elementos de seguridad pública, atendiendo el requerimiento identificado con el numeral 4, por lo que se tiene atendido dicho punto.</w:t>
      </w:r>
    </w:p>
    <w:p w14:paraId="792CC7A5" w14:textId="457FAD97" w:rsidR="006A0E39" w:rsidRPr="00750135" w:rsidRDefault="006A0E39" w:rsidP="006A0E39">
      <w:pPr>
        <w:pStyle w:val="Prrafodelista"/>
        <w:tabs>
          <w:tab w:val="left" w:pos="567"/>
        </w:tabs>
        <w:spacing w:line="360" w:lineRule="auto"/>
        <w:ind w:left="0"/>
        <w:jc w:val="both"/>
        <w:rPr>
          <w:rFonts w:ascii="Palatino Linotype" w:eastAsia="Calibri" w:hAnsi="Palatino Linotype" w:cs="Arial"/>
        </w:rPr>
      </w:pPr>
    </w:p>
    <w:p w14:paraId="6556049B" w14:textId="00F9DA7F" w:rsidR="006A0E39" w:rsidRPr="00750135" w:rsidRDefault="006A0E39" w:rsidP="006A0E3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Ahora bien, por lo que corresponde al numeral 6, “cuentan los elementos de seguridad con el equipo básico y en qué consiste” </w:t>
      </w:r>
      <w:r w:rsidRPr="00750135">
        <w:rPr>
          <w:rFonts w:ascii="Palatino Linotype" w:hAnsi="Palatino Linotype"/>
          <w:lang w:val="es-ES"/>
        </w:rPr>
        <w:t>es necesario señalar que el Sujeto Obligado está en posibilidad de entregar la información sin temor a poner en riesgo a los elementos de seguridad ya que solicitó información del equipo básico sin contemplar aquellos elementos que cuenten con equipo complementario o mejor equipamiento que no esté considerando dentro de lo básico. Además, es necesario traer a contexto el Manual de Identidad para las Corporaciones de Seguridad Pública, el cual señala la categoría de los elementos de seguridad, tal y como se muestra a continuación:</w:t>
      </w:r>
    </w:p>
    <w:p w14:paraId="2FFBA1C6" w14:textId="77777777" w:rsidR="006A0E39" w:rsidRPr="00750135" w:rsidRDefault="006A0E39" w:rsidP="006A0E39">
      <w:pPr>
        <w:pStyle w:val="Prrafodelista"/>
        <w:tabs>
          <w:tab w:val="left" w:pos="851"/>
        </w:tabs>
        <w:spacing w:before="240" w:after="240" w:line="360" w:lineRule="auto"/>
        <w:ind w:left="0" w:right="49"/>
        <w:jc w:val="center"/>
        <w:rPr>
          <w:rFonts w:ascii="Palatino Linotype" w:hAnsi="Palatino Linotype"/>
          <w:lang w:val="es-ES"/>
        </w:rPr>
      </w:pPr>
      <w:r w:rsidRPr="00750135">
        <w:rPr>
          <w:rFonts w:ascii="Palatino Linotype" w:hAnsi="Palatino Linotype"/>
          <w:noProof/>
          <w:lang w:eastAsia="es-MX"/>
        </w:rPr>
        <w:lastRenderedPageBreak/>
        <w:drawing>
          <wp:inline distT="0" distB="0" distL="0" distR="0" wp14:anchorId="69A64A2F" wp14:editId="2B78E8C9">
            <wp:extent cx="2541431" cy="2438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2135" cy="2477453"/>
                    </a:xfrm>
                    <a:prstGeom prst="rect">
                      <a:avLst/>
                    </a:prstGeom>
                  </pic:spPr>
                </pic:pic>
              </a:graphicData>
            </a:graphic>
          </wp:inline>
        </w:drawing>
      </w:r>
    </w:p>
    <w:p w14:paraId="6379FF3F" w14:textId="77777777" w:rsidR="006A0E39" w:rsidRPr="00750135" w:rsidRDefault="006A0E39" w:rsidP="006A0E39">
      <w:pPr>
        <w:pStyle w:val="Prrafodelista"/>
        <w:rPr>
          <w:rFonts w:ascii="Palatino Linotype" w:hAnsi="Palatino Linotype"/>
          <w:lang w:val="es-ES"/>
        </w:rPr>
      </w:pPr>
      <w:r w:rsidRPr="00750135">
        <w:rPr>
          <w:rFonts w:ascii="Palatino Linotype" w:hAnsi="Palatino Linotype"/>
          <w:noProof/>
          <w:lang w:eastAsia="es-MX"/>
        </w:rPr>
        <w:lastRenderedPageBreak/>
        <w:drawing>
          <wp:inline distT="0" distB="0" distL="0" distR="0" wp14:anchorId="58872D3A" wp14:editId="54DEEB7A">
            <wp:extent cx="5410955" cy="68399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10955" cy="6839905"/>
                    </a:xfrm>
                    <a:prstGeom prst="rect">
                      <a:avLst/>
                    </a:prstGeom>
                  </pic:spPr>
                </pic:pic>
              </a:graphicData>
            </a:graphic>
          </wp:inline>
        </w:drawing>
      </w:r>
    </w:p>
    <w:p w14:paraId="5A41F751" w14:textId="77777777" w:rsidR="006A0E39" w:rsidRPr="00750135" w:rsidRDefault="006A0E39" w:rsidP="006A0E39">
      <w:pPr>
        <w:tabs>
          <w:tab w:val="left" w:pos="851"/>
        </w:tabs>
        <w:spacing w:before="240" w:after="240" w:line="360" w:lineRule="auto"/>
        <w:ind w:right="49"/>
        <w:jc w:val="both"/>
        <w:rPr>
          <w:rFonts w:ascii="Palatino Linotype" w:hAnsi="Palatino Linotype"/>
          <w:lang w:val="es-ES"/>
        </w:rPr>
      </w:pPr>
    </w:p>
    <w:p w14:paraId="2FB9B9B1" w14:textId="77777777" w:rsidR="006A0E39" w:rsidRPr="00750135" w:rsidRDefault="006A0E39" w:rsidP="006A0E39">
      <w:pPr>
        <w:pStyle w:val="Prrafodelista"/>
        <w:rPr>
          <w:rFonts w:ascii="Palatino Linotype" w:hAnsi="Palatino Linotype"/>
          <w:lang w:val="es-ES"/>
        </w:rPr>
      </w:pPr>
    </w:p>
    <w:p w14:paraId="031577EC" w14:textId="24E5E514" w:rsidR="006A0E39" w:rsidRPr="00750135" w:rsidRDefault="006A0E39" w:rsidP="006A0E3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t xml:space="preserve">Dicho manual establece el uniforme, así como el equipamiento con el que deben contar los elementos de seguridad, según la categoría que obtengan a saber, personal operativo, tránsito, motocicleta, entre otros. Por lo que se insiste, si el requerimiento del particular sólo se basa en conocer el </w:t>
      </w:r>
      <w:r w:rsidR="00D02211" w:rsidRPr="00750135">
        <w:rPr>
          <w:rFonts w:ascii="Palatino Linotype" w:hAnsi="Palatino Linotype"/>
          <w:lang w:val="es-ES"/>
        </w:rPr>
        <w:t>equipo básico</w:t>
      </w:r>
      <w:r w:rsidRPr="00750135">
        <w:rPr>
          <w:rFonts w:ascii="Palatino Linotype" w:hAnsi="Palatino Linotype"/>
          <w:lang w:val="es-ES"/>
        </w:rPr>
        <w:t>, no identifica al personal que cuenta con ese equipamiento básico, así como tampoco implica que todo el personal únicamente cuente con equipo básico, lo cual no se traduce de ningún modo un riesgo que actualice alguna causal de reserva de información.</w:t>
      </w:r>
      <w:r w:rsidR="00D02211" w:rsidRPr="00750135">
        <w:rPr>
          <w:rFonts w:ascii="Palatino Linotype" w:hAnsi="Palatino Linotype"/>
          <w:lang w:val="es-ES"/>
        </w:rPr>
        <w:t xml:space="preserve"> En consecuencia se ORDENA su entrega.</w:t>
      </w:r>
    </w:p>
    <w:p w14:paraId="57189697" w14:textId="77777777" w:rsidR="006A0E39" w:rsidRPr="00750135" w:rsidRDefault="006A0E39" w:rsidP="006A0E39">
      <w:pPr>
        <w:pStyle w:val="Prrafodelista"/>
        <w:spacing w:before="120" w:after="120" w:line="360" w:lineRule="auto"/>
        <w:ind w:left="0"/>
        <w:jc w:val="both"/>
        <w:rPr>
          <w:rFonts w:ascii="Palatino Linotype" w:hAnsi="Palatino Linotype"/>
        </w:rPr>
      </w:pPr>
    </w:p>
    <w:p w14:paraId="260B875E" w14:textId="549767FA" w:rsidR="00DB26A4" w:rsidRPr="00750135" w:rsidRDefault="00DB26A4" w:rsidP="00DB26A4">
      <w:pPr>
        <w:ind w:left="567"/>
        <w:rPr>
          <w:rFonts w:ascii="Palatino Linotype" w:hAnsi="Palatino Linotype"/>
          <w:b/>
        </w:rPr>
      </w:pPr>
      <w:r w:rsidRPr="00750135">
        <w:rPr>
          <w:rFonts w:ascii="Palatino Linotype" w:hAnsi="Palatino Linotype"/>
          <w:b/>
        </w:rPr>
        <w:t xml:space="preserve">b) </w:t>
      </w:r>
      <w:r w:rsidRPr="00750135">
        <w:rPr>
          <w:rFonts w:ascii="Palatino Linotype" w:eastAsia="Calibri" w:hAnsi="Palatino Linotype" w:cs="Arial"/>
          <w:b/>
        </w:rPr>
        <w:t>Acciones tendientes a la armonización contable</w:t>
      </w:r>
    </w:p>
    <w:p w14:paraId="09E65EDC" w14:textId="77777777" w:rsidR="00DB26A4" w:rsidRPr="00750135" w:rsidRDefault="00DB26A4" w:rsidP="00DB26A4">
      <w:pPr>
        <w:rPr>
          <w:rFonts w:ascii="Palatino Linotype" w:hAnsi="Palatino Linotype"/>
        </w:rPr>
      </w:pPr>
    </w:p>
    <w:p w14:paraId="65D1CE2C" w14:textId="77777777" w:rsidR="00DB26A4" w:rsidRPr="00750135" w:rsidRDefault="00DB26A4" w:rsidP="00DB26A4">
      <w:pPr>
        <w:rPr>
          <w:rFonts w:ascii="Palatino Linotype" w:hAnsi="Palatino Linotype"/>
        </w:rPr>
      </w:pPr>
    </w:p>
    <w:p w14:paraId="2D833E90" w14:textId="72F94B38" w:rsidR="00DB26A4" w:rsidRPr="00750135" w:rsidRDefault="00DB26A4" w:rsidP="00C0321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Sobre este requerimiento que es identificado con el numeral 1, el Sujeto Obligado se limitó a referir que al ser un cuestionamiento y no se satisface con la entrega de documentos, se orienta al particular a ejercitar su derecho de petición, para que se le disipen sus dudas con el tema de armonización contable. Sin embargo, como se ha manifestado anteriormente, siempre que existan elementos que permitan identificar que con la entrega de un documento se puede atender el requerimiento del particular, cuando este no exprese un documento especifico, se realizará la suplencia de la queja a través de la expresión documental correspondiente.</w:t>
      </w:r>
    </w:p>
    <w:p w14:paraId="071F67A7" w14:textId="77777777" w:rsidR="00FC4399" w:rsidRPr="00750135" w:rsidRDefault="00FC4399" w:rsidP="00FC4399">
      <w:pPr>
        <w:pStyle w:val="Prrafodelista"/>
        <w:spacing w:before="120" w:after="120" w:line="360" w:lineRule="auto"/>
        <w:ind w:left="0"/>
        <w:jc w:val="both"/>
        <w:rPr>
          <w:rFonts w:ascii="Palatino Linotype" w:hAnsi="Palatino Linotype"/>
        </w:rPr>
      </w:pPr>
    </w:p>
    <w:p w14:paraId="25393A97" w14:textId="21CFA699" w:rsidR="00FC4399" w:rsidRPr="00750135" w:rsidRDefault="00FC4399"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Por lo anterior, resulta necesario traer a contexto la Ley General de Contabilidad Gubernamental, misma que es </w:t>
      </w:r>
      <w:r w:rsidRPr="00750135">
        <w:rPr>
          <w:rFonts w:ascii="Palatino Linotype" w:hAnsi="Palatino Linotype"/>
          <w:i/>
          <w:sz w:val="22"/>
        </w:rPr>
        <w:t xml:space="preserve">de orden público y tiene como objeto establecer los criterios generales que regirán la contabilidad gubernamental y la emisión de información </w:t>
      </w:r>
      <w:r w:rsidRPr="00750135">
        <w:rPr>
          <w:rFonts w:ascii="Palatino Linotype" w:hAnsi="Palatino Linotype"/>
          <w:i/>
          <w:sz w:val="22"/>
        </w:rPr>
        <w:lastRenderedPageBreak/>
        <w:t xml:space="preserve">financiera de los entes públicos, con el fin de lograr su adecuada armonización. </w:t>
      </w:r>
      <w:r w:rsidRPr="00750135">
        <w:rPr>
          <w:rFonts w:ascii="Palatino Linotype" w:hAnsi="Palatino Linotype"/>
          <w:sz w:val="22"/>
        </w:rPr>
        <w:t>Además, en el artículo 4, fracción I, brinda el concepto de armonización contable:</w:t>
      </w:r>
    </w:p>
    <w:p w14:paraId="76DC68D5" w14:textId="77777777" w:rsidR="00FC4399" w:rsidRPr="00750135" w:rsidRDefault="00FC4399" w:rsidP="00FC4399">
      <w:pPr>
        <w:pStyle w:val="Prrafodelista"/>
        <w:rPr>
          <w:rFonts w:ascii="Palatino Linotype" w:hAnsi="Palatino Linotype"/>
        </w:rPr>
      </w:pPr>
    </w:p>
    <w:p w14:paraId="3636FEDE" w14:textId="16449C1B" w:rsidR="00FC4399" w:rsidRPr="00750135" w:rsidRDefault="00FC4399" w:rsidP="00FC4399">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Artículo 4.- Para efectos de esta Ley se entenderá por:</w:t>
      </w:r>
    </w:p>
    <w:p w14:paraId="61256763" w14:textId="7B0F38E9" w:rsidR="00FC4399" w:rsidRPr="00750135" w:rsidRDefault="00FC4399" w:rsidP="00FC4399">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I. Armonización: la revisión, reestructuración y compatibilización de los modelos contables vigentes a nivel nacional, a partir de la adecuación y fortalecimiento de las disposiciones jurídicas que las rigen, de los procedimientos para el registro de las operaciones, de la información que deben generar los sistemas de contabilidad gubernamental, y de las características y contenido de los principales informes de rendición de cuentas;</w:t>
      </w:r>
    </w:p>
    <w:p w14:paraId="12072A93" w14:textId="183CB169" w:rsidR="00FC4399" w:rsidRPr="00750135" w:rsidRDefault="00FC4399" w:rsidP="00FC4399">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w:t>
      </w:r>
    </w:p>
    <w:p w14:paraId="50D313A9" w14:textId="77777777" w:rsidR="00FC4399" w:rsidRPr="00750135" w:rsidRDefault="00FC4399" w:rsidP="00FC4399">
      <w:pPr>
        <w:pStyle w:val="Prrafodelista"/>
        <w:rPr>
          <w:rFonts w:ascii="Palatino Linotype" w:hAnsi="Palatino Linotype"/>
        </w:rPr>
      </w:pPr>
    </w:p>
    <w:p w14:paraId="527113C3" w14:textId="38ADF5BE" w:rsidR="00FC4399" w:rsidRPr="00750135" w:rsidRDefault="00FC4399"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Además, en el artículo 6, de la Ley General, indica que el Consejo Nacional de Armonización Contable </w:t>
      </w:r>
      <w:r w:rsidRPr="00750135">
        <w:rPr>
          <w:rFonts w:ascii="Palatino Linotype" w:hAnsi="Palatino Linotype"/>
          <w:i/>
          <w:sz w:val="22"/>
        </w:rPr>
        <w:t>es el órgano de coordinación para la armonización de la contabilidad gubernamental y tiene por objeto la emisión de las normas contables y lineamientos para la generación de información financiera que aplicarán los entes públicos</w:t>
      </w:r>
    </w:p>
    <w:p w14:paraId="570FF7E1" w14:textId="77777777" w:rsidR="00FC4399" w:rsidRPr="00750135" w:rsidRDefault="00FC4399" w:rsidP="00FC4399">
      <w:pPr>
        <w:pStyle w:val="Prrafodelista"/>
        <w:spacing w:before="120" w:after="120" w:line="360" w:lineRule="auto"/>
        <w:ind w:left="0"/>
        <w:jc w:val="both"/>
        <w:rPr>
          <w:rFonts w:ascii="Palatino Linotype" w:hAnsi="Palatino Linotype"/>
        </w:rPr>
      </w:pPr>
    </w:p>
    <w:p w14:paraId="5BB1A735" w14:textId="331FFF70" w:rsidR="00FC4399" w:rsidRPr="00750135" w:rsidRDefault="00FC4399"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Por su parte, los entes públicos </w:t>
      </w:r>
      <w:r w:rsidRPr="00750135">
        <w:rPr>
          <w:rFonts w:ascii="Palatino Linotype" w:hAnsi="Palatino Linotype"/>
          <w:i/>
          <w:sz w:val="22"/>
        </w:rPr>
        <w:t>adoptarán e implementarán, con carácter obligatorio, en el ámbito de sus respectivas competencias, las decisiones que tome el consejo, de conformidad con lo dispuesto en el artículo 9 de esta Ley, dentro de los plazos que éste establezca.</w:t>
      </w:r>
    </w:p>
    <w:p w14:paraId="600275D3" w14:textId="77777777" w:rsidR="00FC4399" w:rsidRPr="00750135" w:rsidRDefault="00FC4399" w:rsidP="00FC4399">
      <w:pPr>
        <w:pStyle w:val="Prrafodelista"/>
        <w:rPr>
          <w:rFonts w:ascii="Palatino Linotype" w:hAnsi="Palatino Linotype"/>
        </w:rPr>
      </w:pPr>
    </w:p>
    <w:p w14:paraId="4AFDE826" w14:textId="1840EBD7" w:rsidR="00FC4399" w:rsidRPr="00750135" w:rsidRDefault="00FC4399"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En el mismo sentido, el artículo 10 Bis, refiere lo siguiente:</w:t>
      </w:r>
    </w:p>
    <w:p w14:paraId="767CDD61" w14:textId="77777777" w:rsidR="00FC4399" w:rsidRPr="00750135" w:rsidRDefault="00FC4399" w:rsidP="00FC4399">
      <w:pPr>
        <w:pStyle w:val="Prrafodelista"/>
        <w:rPr>
          <w:rFonts w:ascii="Palatino Linotype" w:hAnsi="Palatino Linotype"/>
        </w:rPr>
      </w:pPr>
    </w:p>
    <w:p w14:paraId="0DA46329" w14:textId="3BD110B6" w:rsidR="00FC4399" w:rsidRPr="00750135" w:rsidRDefault="00FC4399" w:rsidP="006D1A9A">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Artículo 10 Bis.- Cada entidad federativa establecerá un consejo de armonización contable, los cuales auxiliarán al Consejo en el cumplimiento de lo dispuesto en esta Ley</w:t>
      </w:r>
    </w:p>
    <w:p w14:paraId="6115FDAE"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 xml:space="preserve">Los consejos de armonización contable de las entidades federativas tendrán las atribuciones siguientes: </w:t>
      </w:r>
    </w:p>
    <w:p w14:paraId="7AAC6887"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lastRenderedPageBreak/>
        <w:t xml:space="preserve">I. Brindar asesoría a los entes públicos de su entidad federativa y de los municipios de su estado o de los órganos político-administrativos de las demarcaciones territoriales del Distrito Federal, según corresponda, para dar cumplimiento a las normas contables y lineamientos para la generación de información financiera que emita el Consejo; </w:t>
      </w:r>
    </w:p>
    <w:p w14:paraId="046F6C88" w14:textId="77777777" w:rsidR="006D1A9A" w:rsidRPr="00750135" w:rsidRDefault="006D1A9A" w:rsidP="006D1A9A">
      <w:pPr>
        <w:spacing w:line="360" w:lineRule="auto"/>
        <w:ind w:left="567" w:right="616"/>
        <w:jc w:val="both"/>
        <w:rPr>
          <w:rFonts w:ascii="Palatino Linotype" w:hAnsi="Palatino Linotype"/>
          <w:b/>
          <w:i/>
          <w:sz w:val="22"/>
          <w:u w:val="single"/>
        </w:rPr>
      </w:pPr>
      <w:r w:rsidRPr="00750135">
        <w:rPr>
          <w:rFonts w:ascii="Palatino Linotype" w:hAnsi="Palatino Linotype"/>
          <w:b/>
          <w:i/>
          <w:sz w:val="22"/>
          <w:u w:val="single"/>
        </w:rPr>
        <w:t xml:space="preserve">II. Establecer acciones de coordinación entre el gobierno de su entidad federativa con los municipios o los órganos político-administrativos de las demarcaciones territoriales del Distrito Federal, según corresponda, para dar cumplimiento a lo dispuesto en la presente Ley; </w:t>
      </w:r>
    </w:p>
    <w:p w14:paraId="325714C8"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 xml:space="preserve">III. Requerir información a los entes públicos de su entidad federativa y de los municipios de su estado o de los órganos político-administrativos de las demarcaciones territoriales del Distrito Federal, según corresponda, sobre los avances en la armonización de su contabilidad conforme a las normas contables emitidas por el Consejo; </w:t>
      </w:r>
    </w:p>
    <w:p w14:paraId="102B0141"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 xml:space="preserve">IV. Analizar la información que reciban de los entes públicos de su entidad federativa y de los municipios de su estado o de los órganos político-administrativos de las demarcaciones territoriales del Distrito Federal, según corresponda, e informar al Secretario Técnico del Consejo los resultados correspondientes; </w:t>
      </w:r>
    </w:p>
    <w:p w14:paraId="76840547"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 xml:space="preserve">V. Proponer recomendaciones al Secretario Técnico del Consejo respecto de las normas contables y de la emisión de información financiera, y </w:t>
      </w:r>
    </w:p>
    <w:p w14:paraId="317FF88F" w14:textId="77777777" w:rsidR="006D1A9A"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 xml:space="preserve">VI. Las demás que determine el Consejo. </w:t>
      </w:r>
    </w:p>
    <w:p w14:paraId="09BFD585" w14:textId="156F5F1E" w:rsidR="00FC4399" w:rsidRPr="00750135" w:rsidRDefault="006D1A9A" w:rsidP="006D1A9A">
      <w:pPr>
        <w:spacing w:line="360" w:lineRule="auto"/>
        <w:ind w:left="567" w:right="616"/>
        <w:jc w:val="both"/>
        <w:rPr>
          <w:rFonts w:ascii="Palatino Linotype" w:hAnsi="Palatino Linotype"/>
          <w:i/>
          <w:sz w:val="22"/>
        </w:rPr>
      </w:pPr>
      <w:r w:rsidRPr="00750135">
        <w:rPr>
          <w:rFonts w:ascii="Palatino Linotype" w:hAnsi="Palatino Linotype"/>
          <w:i/>
          <w:sz w:val="22"/>
        </w:rPr>
        <w:t>Los consejos de armonización contable de las entidades federativas se integrarán y funcionarán de conformidad con las reglas de operación que emita el Consejo.</w:t>
      </w:r>
    </w:p>
    <w:p w14:paraId="74B6FF84" w14:textId="77777777" w:rsidR="00FC4399" w:rsidRPr="00750135" w:rsidRDefault="00FC4399" w:rsidP="006D1A9A">
      <w:pPr>
        <w:pStyle w:val="Prrafodelista"/>
        <w:spacing w:before="120" w:after="120" w:line="360" w:lineRule="auto"/>
        <w:ind w:left="0"/>
        <w:jc w:val="both"/>
        <w:rPr>
          <w:rFonts w:ascii="Palatino Linotype" w:hAnsi="Palatino Linotype"/>
        </w:rPr>
      </w:pPr>
    </w:p>
    <w:p w14:paraId="2B755474" w14:textId="49C5E116" w:rsidR="00FC4399" w:rsidRPr="00750135" w:rsidRDefault="006D1A9A"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 xml:space="preserve">Es así que, en cada entidad federativa debe establecerse un consejo de armonización contable que tendrá entre otras atribuciones, el establecer acciones de </w:t>
      </w:r>
      <w:r w:rsidRPr="00750135">
        <w:rPr>
          <w:rFonts w:ascii="Palatino Linotype" w:hAnsi="Palatino Linotype"/>
        </w:rPr>
        <w:lastRenderedPageBreak/>
        <w:t>coordinación entre el gobierno de su entidad con los municipios para dar cumplimiento a la Ley.</w:t>
      </w:r>
    </w:p>
    <w:p w14:paraId="03E4416B" w14:textId="77777777" w:rsidR="006D1A9A" w:rsidRPr="00750135" w:rsidRDefault="006D1A9A" w:rsidP="006D1A9A">
      <w:pPr>
        <w:pStyle w:val="Prrafodelista"/>
        <w:spacing w:before="120" w:after="120" w:line="360" w:lineRule="auto"/>
        <w:ind w:left="0"/>
        <w:jc w:val="both"/>
        <w:rPr>
          <w:rFonts w:ascii="Palatino Linotype" w:hAnsi="Palatino Linotype"/>
        </w:rPr>
      </w:pPr>
    </w:p>
    <w:p w14:paraId="4F35B663" w14:textId="00D7EBFA" w:rsidR="00FC4399" w:rsidRPr="00750135" w:rsidRDefault="006D1A9A"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Por su parte, la Ley de Disciplina Financiera de las Entidades Federativas en el Capítulo II del Balance Presupuestario Sostenible y la Responsabilidad Hacendaria de los M</w:t>
      </w:r>
      <w:r w:rsidR="003F1867" w:rsidRPr="00750135">
        <w:rPr>
          <w:rFonts w:ascii="Palatino Linotype" w:hAnsi="Palatino Linotype"/>
        </w:rPr>
        <w:t>unicipios establece:</w:t>
      </w:r>
    </w:p>
    <w:p w14:paraId="7CFD67F4" w14:textId="77777777" w:rsidR="003F1867" w:rsidRPr="00750135" w:rsidRDefault="003F1867" w:rsidP="003F1867">
      <w:pPr>
        <w:pStyle w:val="Prrafodelista"/>
        <w:rPr>
          <w:rFonts w:ascii="Palatino Linotype" w:hAnsi="Palatino Linotype"/>
        </w:rPr>
      </w:pPr>
    </w:p>
    <w:p w14:paraId="49F3FF45" w14:textId="77777777" w:rsidR="003F1867" w:rsidRPr="00750135" w:rsidRDefault="003F1867" w:rsidP="003F1867">
      <w:pPr>
        <w:pStyle w:val="Prrafodelista"/>
        <w:spacing w:before="120" w:after="120" w:line="360" w:lineRule="auto"/>
        <w:ind w:left="567" w:right="616"/>
        <w:jc w:val="center"/>
        <w:rPr>
          <w:rFonts w:ascii="Palatino Linotype" w:hAnsi="Palatino Linotype"/>
          <w:b/>
          <w:i/>
          <w:sz w:val="22"/>
        </w:rPr>
      </w:pPr>
      <w:r w:rsidRPr="00750135">
        <w:rPr>
          <w:rFonts w:ascii="Palatino Linotype" w:hAnsi="Palatino Linotype"/>
          <w:b/>
          <w:i/>
          <w:sz w:val="22"/>
        </w:rPr>
        <w:t>CAPÍTULO II</w:t>
      </w:r>
    </w:p>
    <w:p w14:paraId="04968C13" w14:textId="0A45E43A" w:rsidR="003F1867" w:rsidRPr="00750135" w:rsidRDefault="003F1867" w:rsidP="003F1867">
      <w:pPr>
        <w:pStyle w:val="Prrafodelista"/>
        <w:spacing w:before="120" w:after="120" w:line="360" w:lineRule="auto"/>
        <w:ind w:left="567" w:right="616"/>
        <w:jc w:val="center"/>
        <w:rPr>
          <w:rFonts w:ascii="Palatino Linotype" w:hAnsi="Palatino Linotype"/>
          <w:b/>
          <w:i/>
          <w:sz w:val="22"/>
        </w:rPr>
      </w:pPr>
      <w:r w:rsidRPr="00750135">
        <w:rPr>
          <w:rFonts w:ascii="Palatino Linotype" w:hAnsi="Palatino Linotype"/>
          <w:b/>
          <w:i/>
          <w:sz w:val="22"/>
        </w:rPr>
        <w:t>Del Balance Presupuestario Sostenible y la Responsabilidad Hacendaria de los</w:t>
      </w:r>
    </w:p>
    <w:p w14:paraId="743E2A35" w14:textId="36513C5E" w:rsidR="003F1867" w:rsidRPr="00750135" w:rsidRDefault="003F1867" w:rsidP="003F1867">
      <w:pPr>
        <w:pStyle w:val="Prrafodelista"/>
        <w:spacing w:before="120" w:after="120" w:line="360" w:lineRule="auto"/>
        <w:ind w:left="567" w:right="616"/>
        <w:jc w:val="center"/>
        <w:rPr>
          <w:rFonts w:ascii="Palatino Linotype" w:hAnsi="Palatino Linotype"/>
          <w:b/>
          <w:i/>
          <w:sz w:val="22"/>
        </w:rPr>
      </w:pPr>
      <w:r w:rsidRPr="00750135">
        <w:rPr>
          <w:rFonts w:ascii="Palatino Linotype" w:hAnsi="Palatino Linotype"/>
          <w:b/>
          <w:i/>
          <w:sz w:val="22"/>
        </w:rPr>
        <w:t>Municipios</w:t>
      </w:r>
    </w:p>
    <w:p w14:paraId="6585BDEF" w14:textId="77777777" w:rsidR="003F1867" w:rsidRPr="00750135" w:rsidRDefault="003F1867" w:rsidP="003F1867">
      <w:pPr>
        <w:pStyle w:val="Prrafodelista"/>
        <w:spacing w:before="120" w:after="120" w:line="360" w:lineRule="auto"/>
        <w:ind w:left="567" w:right="616"/>
        <w:jc w:val="center"/>
        <w:rPr>
          <w:rFonts w:ascii="Palatino Linotype" w:hAnsi="Palatino Linotype"/>
          <w:b/>
          <w:i/>
          <w:sz w:val="22"/>
        </w:rPr>
      </w:pPr>
    </w:p>
    <w:p w14:paraId="56D46738"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 xml:space="preserve">Artículo 18.- Las iniciativas de las Leyes de Ingresos y los proyectos de Presupuestos de Egresos de los Municipios se deberán elaborar conforme a lo establecido en la legislación local aplicable, en la Ley General de Contabilidad Gubernamental y las normas que emita el Consejo Nacional de Armonización Contable, con base en objetivos, parámetros cuantificables e indicadores del desempeño; deberán ser congruentes con los planes estatales y municipales de desarrollo y los programas derivados de los mismos; e incluirán cuando menos objetivos anuales, estrategias y metas. </w:t>
      </w:r>
    </w:p>
    <w:p w14:paraId="6FEEB4D0"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p>
    <w:p w14:paraId="339B72D8"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 xml:space="preserve">Las Leyes de Ingresos y los Presupuestos de Egresos de los Municipios deberán ser congruentes con los Criterios Generales de Política Económica y las estimaciones de las participaciones y Transferencias federales etiquetadas que se incluyan no deberán exceder a las previstas en la iniciativa de la Ley de Ingresos de la Federación y en el proyecto de Presupuesto de Egresos de la Federación, así como aquellas transferencias de la Entidad Federativa correspondiente. </w:t>
      </w:r>
    </w:p>
    <w:p w14:paraId="052F57D8"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p>
    <w:p w14:paraId="258F13F5" w14:textId="6D9195DE" w:rsidR="003F1867" w:rsidRPr="00750135" w:rsidRDefault="003F1867" w:rsidP="003F1867">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lastRenderedPageBreak/>
        <w:t>Los Municipios, en adición a lo previsto en los párrafos anteriores, deberán incluir en las iniciativas de las Leyes de Ingresos y los proyectos de Presupuestos de Egresos:</w:t>
      </w:r>
    </w:p>
    <w:p w14:paraId="57E13FC5" w14:textId="77777777" w:rsidR="003F1867" w:rsidRPr="00750135" w:rsidRDefault="003F1867" w:rsidP="003F1867">
      <w:pPr>
        <w:pStyle w:val="Prrafodelista"/>
        <w:ind w:left="567" w:right="616"/>
        <w:rPr>
          <w:rFonts w:ascii="Palatino Linotype" w:hAnsi="Palatino Linotype"/>
          <w:i/>
          <w:sz w:val="22"/>
        </w:rPr>
      </w:pPr>
    </w:p>
    <w:p w14:paraId="18741D7D"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i/>
          <w:sz w:val="22"/>
        </w:rPr>
        <w:t xml:space="preserve">I. Proyecciones de finanzas públicas, considerando las premisas empleadas en los Criterios Generales de Política Económica. </w:t>
      </w:r>
    </w:p>
    <w:p w14:paraId="07BAFDC0" w14:textId="77777777" w:rsidR="003F1867" w:rsidRPr="00750135" w:rsidRDefault="003F1867" w:rsidP="003F1867">
      <w:pPr>
        <w:pStyle w:val="Prrafodelista"/>
        <w:spacing w:before="120" w:after="120" w:line="360" w:lineRule="auto"/>
        <w:ind w:left="567" w:right="616"/>
        <w:jc w:val="both"/>
        <w:rPr>
          <w:rFonts w:ascii="Palatino Linotype" w:hAnsi="Palatino Linotype"/>
          <w:i/>
          <w:sz w:val="22"/>
        </w:rPr>
      </w:pPr>
    </w:p>
    <w:p w14:paraId="768498A7" w14:textId="399BF2F1" w:rsidR="003F1867" w:rsidRPr="00750135" w:rsidRDefault="003F1867" w:rsidP="003F1867">
      <w:pPr>
        <w:pStyle w:val="Prrafodelista"/>
        <w:spacing w:before="120" w:after="120" w:line="360" w:lineRule="auto"/>
        <w:ind w:left="567" w:right="616"/>
        <w:jc w:val="both"/>
        <w:rPr>
          <w:rFonts w:ascii="Palatino Linotype" w:hAnsi="Palatino Linotype"/>
          <w:i/>
          <w:sz w:val="22"/>
        </w:rPr>
      </w:pPr>
      <w:r w:rsidRPr="00750135">
        <w:rPr>
          <w:rFonts w:ascii="Palatino Linotype" w:hAnsi="Palatino Linotype"/>
          <w:b/>
          <w:i/>
          <w:sz w:val="22"/>
          <w:u w:val="single"/>
        </w:rPr>
        <w:t>Las proyecciones se realizarán con base en los formatos que emita el Consejo Nacional de Armonización Contable</w:t>
      </w:r>
      <w:r w:rsidRPr="00750135">
        <w:rPr>
          <w:rFonts w:ascii="Palatino Linotype" w:hAnsi="Palatino Linotype"/>
          <w:i/>
          <w:sz w:val="22"/>
        </w:rPr>
        <w:t xml:space="preserve"> y abarcarán un periodo de tres años en adición al ejercicio fiscal en cuestión, las que se revisarán y, en su caso, se adecuarán anualmente en los ejercicios subsecuentes;</w:t>
      </w:r>
    </w:p>
    <w:p w14:paraId="3CA5E060" w14:textId="77777777" w:rsidR="003F1867" w:rsidRPr="00750135" w:rsidRDefault="003F1867" w:rsidP="003F1867">
      <w:pPr>
        <w:pStyle w:val="Prrafodelista"/>
        <w:spacing w:before="120" w:after="120" w:line="360" w:lineRule="auto"/>
        <w:ind w:left="0"/>
        <w:jc w:val="both"/>
        <w:rPr>
          <w:rFonts w:ascii="Palatino Linotype" w:hAnsi="Palatino Linotype"/>
        </w:rPr>
      </w:pPr>
    </w:p>
    <w:p w14:paraId="5AA2E268" w14:textId="5D8E90AF" w:rsidR="00FC4399" w:rsidRPr="00750135" w:rsidRDefault="003F1867"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Es así que los sistemas de contabilidad de los entes gubernamentales deben estar en apego a lo dispuesto en la Ley General de Contabilidad Gubernamental, así como del Consejo Nacional de Armonización Contable y sus reglas de operación, siendo obligación de</w:t>
      </w:r>
      <w:r w:rsidR="007F643F" w:rsidRPr="00750135">
        <w:rPr>
          <w:rFonts w:ascii="Palatino Linotype" w:hAnsi="Palatino Linotype"/>
        </w:rPr>
        <w:t xml:space="preserve"> los entes, acatar los formatos, lineamientos y demás normatividad en la materia.</w:t>
      </w:r>
    </w:p>
    <w:p w14:paraId="3B761D8B" w14:textId="77777777" w:rsidR="003F1867" w:rsidRPr="00750135" w:rsidRDefault="003F1867" w:rsidP="003F1867">
      <w:pPr>
        <w:pStyle w:val="Prrafodelista"/>
        <w:spacing w:before="120" w:after="120" w:line="360" w:lineRule="auto"/>
        <w:ind w:left="0"/>
        <w:jc w:val="both"/>
        <w:rPr>
          <w:rFonts w:ascii="Palatino Linotype" w:hAnsi="Palatino Linotype"/>
        </w:rPr>
      </w:pPr>
    </w:p>
    <w:p w14:paraId="33531919" w14:textId="4A24A511" w:rsidR="007F643F" w:rsidRPr="00750135" w:rsidRDefault="007F643F"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Para una mejor referencia, se localizó dentro de la página oficial del Ayuntamiento de Cuautitlán Izcalli el apartado “CONAC” de los años 2019 a 2023, se inserta imagen de referencia del año 2023:</w:t>
      </w:r>
    </w:p>
    <w:p w14:paraId="06DDF808" w14:textId="77777777" w:rsidR="007F643F" w:rsidRPr="00750135" w:rsidRDefault="007F643F" w:rsidP="007F643F">
      <w:pPr>
        <w:pStyle w:val="Prrafodelista"/>
        <w:rPr>
          <w:rFonts w:ascii="Palatino Linotype" w:hAnsi="Palatino Linotype"/>
        </w:rPr>
      </w:pPr>
    </w:p>
    <w:p w14:paraId="2FB475EE" w14:textId="0523B661" w:rsidR="007F643F" w:rsidRPr="00750135" w:rsidRDefault="007F643F" w:rsidP="007F643F">
      <w:pPr>
        <w:pStyle w:val="Prrafodelista"/>
        <w:spacing w:before="120" w:after="120" w:line="360" w:lineRule="auto"/>
        <w:ind w:left="0"/>
        <w:jc w:val="both"/>
        <w:rPr>
          <w:rFonts w:ascii="Palatino Linotype" w:hAnsi="Palatino Linotype"/>
        </w:rPr>
      </w:pPr>
      <w:r w:rsidRPr="00750135">
        <w:rPr>
          <w:rFonts w:ascii="Palatino Linotype" w:hAnsi="Palatino Linotype"/>
          <w:noProof/>
          <w:lang w:eastAsia="es-MX"/>
        </w:rPr>
        <w:lastRenderedPageBreak/>
        <w:drawing>
          <wp:inline distT="0" distB="0" distL="0" distR="0" wp14:anchorId="46184C2E" wp14:editId="7B32C983">
            <wp:extent cx="5612130" cy="267970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679700"/>
                    </a:xfrm>
                    <a:prstGeom prst="rect">
                      <a:avLst/>
                    </a:prstGeom>
                  </pic:spPr>
                </pic:pic>
              </a:graphicData>
            </a:graphic>
          </wp:inline>
        </w:drawing>
      </w:r>
    </w:p>
    <w:p w14:paraId="391CF843" w14:textId="77777777" w:rsidR="007F643F" w:rsidRPr="00750135" w:rsidRDefault="007F643F" w:rsidP="007F643F">
      <w:pPr>
        <w:pStyle w:val="Prrafodelista"/>
        <w:rPr>
          <w:rFonts w:ascii="Palatino Linotype" w:hAnsi="Palatino Linotype"/>
        </w:rPr>
      </w:pPr>
    </w:p>
    <w:p w14:paraId="48DD81E4" w14:textId="59F349EB" w:rsidR="007F643F" w:rsidRPr="00750135" w:rsidRDefault="007F643F" w:rsidP="00FC4399">
      <w:pPr>
        <w:pStyle w:val="Prrafodelista"/>
        <w:numPr>
          <w:ilvl w:val="0"/>
          <w:numId w:val="1"/>
        </w:numPr>
        <w:spacing w:before="120" w:after="120" w:line="360" w:lineRule="auto"/>
        <w:jc w:val="both"/>
        <w:rPr>
          <w:rFonts w:ascii="Palatino Linotype" w:hAnsi="Palatino Linotype"/>
        </w:rPr>
      </w:pPr>
      <w:r w:rsidRPr="00750135">
        <w:rPr>
          <w:rFonts w:ascii="Palatino Linotype" w:hAnsi="Palatino Linotype"/>
        </w:rPr>
        <w:t>De lo anterior, se advierte que el Ayuntamiento de Cuautitlán Izcalli cuenta con información relativa a lo que dispone el Consejo Nacional de Armonización Contable, en consecuencia, se ORDENA al Sujeto Obligado entregar el documento donde consten las acciones tendientes a la armonización contable correspondientes al periodo veintiocho (28) de marzo de dos mil veintiuno al veintiocho (28) de marzo de dos mil veintitrés.</w:t>
      </w:r>
    </w:p>
    <w:p w14:paraId="70047FFE" w14:textId="77777777" w:rsidR="007F643F" w:rsidRPr="00750135" w:rsidRDefault="007F643F" w:rsidP="007F643F">
      <w:pPr>
        <w:pStyle w:val="Prrafodelista"/>
        <w:spacing w:before="120" w:after="120" w:line="360" w:lineRule="auto"/>
        <w:ind w:left="0"/>
        <w:jc w:val="both"/>
        <w:rPr>
          <w:rFonts w:ascii="Palatino Linotype" w:hAnsi="Palatino Linotype"/>
        </w:rPr>
      </w:pPr>
    </w:p>
    <w:p w14:paraId="3D38A9A5" w14:textId="2DD3EB2A" w:rsidR="007F643F" w:rsidRPr="00750135" w:rsidRDefault="007F643F" w:rsidP="007F643F">
      <w:pPr>
        <w:pStyle w:val="Prrafodelista"/>
        <w:spacing w:before="120" w:after="120" w:line="360" w:lineRule="auto"/>
        <w:ind w:left="0"/>
        <w:jc w:val="both"/>
        <w:rPr>
          <w:rFonts w:ascii="Palatino Linotype" w:hAnsi="Palatino Linotype"/>
          <w:b/>
        </w:rPr>
      </w:pPr>
      <w:r w:rsidRPr="00750135">
        <w:rPr>
          <w:rFonts w:ascii="Palatino Linotype" w:hAnsi="Palatino Linotype"/>
          <w:b/>
        </w:rPr>
        <w:t xml:space="preserve">c) </w:t>
      </w:r>
      <w:r w:rsidR="0068505E" w:rsidRPr="00750135">
        <w:rPr>
          <w:rFonts w:ascii="Palatino Linotype" w:hAnsi="Palatino Linotype"/>
          <w:b/>
        </w:rPr>
        <w:t>Servicio de Carrera Policial</w:t>
      </w:r>
    </w:p>
    <w:p w14:paraId="41D0E539" w14:textId="77777777" w:rsidR="007F643F" w:rsidRPr="00750135" w:rsidRDefault="007F643F" w:rsidP="007F643F">
      <w:pPr>
        <w:pStyle w:val="Prrafodelista"/>
        <w:rPr>
          <w:rFonts w:ascii="Palatino Linotype" w:hAnsi="Palatino Linotype"/>
        </w:rPr>
      </w:pPr>
    </w:p>
    <w:p w14:paraId="4A7F5A4E" w14:textId="01C0F36C" w:rsidR="00CC57E9" w:rsidRPr="00750135" w:rsidRDefault="00CC57E9" w:rsidP="001C175E">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eastAsia="Times New Roman" w:hAnsi="Palatino Linotype" w:cs="Times New Roman"/>
          <w:bCs/>
          <w:lang w:eastAsia="es-MX"/>
        </w:rPr>
        <w:t xml:space="preserve">La </w:t>
      </w:r>
      <w:r w:rsidRPr="00750135">
        <w:rPr>
          <w:rFonts w:ascii="Palatino Linotype" w:hAnsi="Palatino Linotype"/>
          <w:b/>
          <w:color w:val="000000"/>
        </w:rPr>
        <w:t xml:space="preserve">Ley General del Sistema Nacional de Seguridad Pública </w:t>
      </w:r>
      <w:r w:rsidRPr="00750135">
        <w:rPr>
          <w:rFonts w:ascii="Palatino Linotype" w:hAnsi="Palatino Linotype"/>
          <w:color w:val="000000"/>
        </w:rPr>
        <w:t>establece en el Titulo Quinto del Desarrollo Policial lo siguiente:</w:t>
      </w:r>
    </w:p>
    <w:p w14:paraId="62471BEC" w14:textId="77777777" w:rsidR="00CC57E9" w:rsidRPr="00750135" w:rsidRDefault="00CC57E9" w:rsidP="00CC57E9">
      <w:pPr>
        <w:pStyle w:val="Prrafodelista"/>
        <w:tabs>
          <w:tab w:val="left" w:pos="851"/>
        </w:tabs>
        <w:spacing w:before="240" w:after="240" w:line="360" w:lineRule="auto"/>
        <w:ind w:left="0" w:right="49"/>
        <w:jc w:val="both"/>
        <w:rPr>
          <w:rFonts w:ascii="Palatino Linotype" w:hAnsi="Palatino Linotype"/>
          <w:b/>
          <w:color w:val="000000"/>
        </w:rPr>
      </w:pPr>
    </w:p>
    <w:p w14:paraId="1C0F8398" w14:textId="5C9101F1" w:rsidR="00CC57E9" w:rsidRPr="00750135" w:rsidRDefault="00CC57E9" w:rsidP="00CC57E9">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 xml:space="preserve">Artículo 72.- El Desarrollo Policial es un conjunto integral de reglas y procesos debidamente estructurados y enlazados entre sí que comprenden la Carrera Policial, los esquemas de profesionalización, la certificación y el régimen disciplinario de los </w:t>
      </w:r>
      <w:r w:rsidRPr="00750135">
        <w:rPr>
          <w:rFonts w:ascii="Palatino Linotype" w:hAnsi="Palatino Linotype"/>
          <w:i/>
          <w:sz w:val="22"/>
        </w:rPr>
        <w:lastRenderedPageBreak/>
        <w:t xml:space="preserve">Integrantes de las Instituciones Policiales y tiene por objeto garantizar el desarrollo institucional, la estabilidad, la seguridad y la igualdad de oportunidades de los mismos; elevar la profesionalización, fomentar la vocación de servicio y el sentido de pertenencia, así como garantizar el cumplimiento de los principios constitucionales referidos en el artículo 6 de la presente Ley. El Desarrollo Policial se basará en la doctrina policial civil. </w:t>
      </w:r>
    </w:p>
    <w:p w14:paraId="781F1C63" w14:textId="77777777" w:rsidR="00CC57E9" w:rsidRPr="00750135" w:rsidRDefault="00CC57E9" w:rsidP="00CC57E9">
      <w:pPr>
        <w:pStyle w:val="Prrafodelista"/>
        <w:tabs>
          <w:tab w:val="left" w:pos="851"/>
        </w:tabs>
        <w:spacing w:before="240" w:after="240" w:line="360" w:lineRule="auto"/>
        <w:ind w:left="567" w:right="616"/>
        <w:jc w:val="both"/>
        <w:rPr>
          <w:rFonts w:ascii="Palatino Linotype" w:hAnsi="Palatino Linotype"/>
          <w:i/>
          <w:sz w:val="22"/>
        </w:rPr>
      </w:pPr>
    </w:p>
    <w:p w14:paraId="42045DAE" w14:textId="77777777" w:rsidR="00CC57E9" w:rsidRPr="00750135" w:rsidRDefault="00CC57E9" w:rsidP="00CC57E9">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 xml:space="preserve">Artículo 73.- Las relaciones jurídicas entre las Instituciones Policiales y sus integrantes se rigen por la fracción XIII, del apartado B, del artículo 123, de la Constitución Política de los Estados Unidos Mexicanos, la presente Ley y demás disposiciones legales aplicables. Todos los servidores públicos de las Instituciones Policiales en los tres órdenes de gobierno que no pertenezcan a la Carrera Policial, se considerarán trabajadores de confianza. Los efectos de su nombramiento se podrán dar por terminados en cualquier momento, de conformidad con las disposiciones aplicables, y en caso de que no acrediten las evaluaciones de control de confianza. </w:t>
      </w:r>
    </w:p>
    <w:p w14:paraId="323FEDD5" w14:textId="77777777" w:rsidR="00CC57E9" w:rsidRPr="00750135" w:rsidRDefault="00CC57E9" w:rsidP="00CC57E9">
      <w:pPr>
        <w:pStyle w:val="Prrafodelista"/>
        <w:tabs>
          <w:tab w:val="left" w:pos="851"/>
        </w:tabs>
        <w:spacing w:before="240" w:after="240" w:line="360" w:lineRule="auto"/>
        <w:ind w:left="567" w:right="616"/>
        <w:jc w:val="both"/>
        <w:rPr>
          <w:rFonts w:ascii="Palatino Linotype" w:hAnsi="Palatino Linotype"/>
          <w:i/>
          <w:sz w:val="22"/>
        </w:rPr>
      </w:pPr>
    </w:p>
    <w:p w14:paraId="5D071496" w14:textId="3C8AC1F7" w:rsidR="00CC57E9" w:rsidRPr="00750135" w:rsidRDefault="00CC57E9" w:rsidP="00CC57E9">
      <w:pPr>
        <w:pStyle w:val="Prrafodelista"/>
        <w:tabs>
          <w:tab w:val="left" w:pos="851"/>
        </w:tabs>
        <w:spacing w:before="240" w:after="240" w:line="360" w:lineRule="auto"/>
        <w:ind w:left="567" w:right="616"/>
        <w:jc w:val="both"/>
        <w:rPr>
          <w:rFonts w:ascii="Palatino Linotype" w:hAnsi="Palatino Linotype"/>
          <w:b/>
          <w:i/>
          <w:color w:val="000000"/>
          <w:sz w:val="22"/>
        </w:rPr>
      </w:pPr>
      <w:r w:rsidRPr="00750135">
        <w:rPr>
          <w:rFonts w:ascii="Palatino Linotype" w:hAnsi="Palatino Linotype"/>
          <w:i/>
          <w:sz w:val="22"/>
        </w:rPr>
        <w:t>Artículo 74.- Los integrantes de las Instituciones Policiales podrán ser separados de su cargo si no cumplen con los requisitos de las leyes vigentes, que en el momento de la separación señalen para permanecer en las Instituciones, sin que proceda su reinstalación o restitución, cualquiera que sea el juicio o medio de defensa para combatir la separación, y en su caso, sólo procederá la indemnización.</w:t>
      </w:r>
    </w:p>
    <w:p w14:paraId="73ADA5E4" w14:textId="77777777" w:rsidR="00CC57E9" w:rsidRPr="00750135" w:rsidRDefault="00CC57E9" w:rsidP="00CC57E9">
      <w:pPr>
        <w:pStyle w:val="Prrafodelista"/>
        <w:tabs>
          <w:tab w:val="left" w:pos="851"/>
        </w:tabs>
        <w:spacing w:before="240" w:after="240" w:line="360" w:lineRule="auto"/>
        <w:ind w:left="0" w:right="49"/>
        <w:jc w:val="both"/>
        <w:rPr>
          <w:rFonts w:ascii="Palatino Linotype" w:hAnsi="Palatino Linotype"/>
          <w:lang w:val="es-ES"/>
        </w:rPr>
      </w:pPr>
    </w:p>
    <w:p w14:paraId="483246F1" w14:textId="43E251E3" w:rsidR="00CC57E9" w:rsidRPr="00750135" w:rsidRDefault="00CC57E9" w:rsidP="00CC57E9">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t>Asimismo, en los artículos 78, 79, 80 y 81 del ordenamiento legal en cito establecen lo siguiente:</w:t>
      </w:r>
    </w:p>
    <w:p w14:paraId="4147045F"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5B744BC8" w14:textId="0D47D277" w:rsidR="00ED3F9C" w:rsidRPr="00750135" w:rsidRDefault="00ED3F9C" w:rsidP="00ED3F9C">
      <w:pPr>
        <w:pStyle w:val="Prrafodelista"/>
        <w:tabs>
          <w:tab w:val="left" w:pos="851"/>
        </w:tabs>
        <w:spacing w:before="240" w:after="240" w:line="360" w:lineRule="auto"/>
        <w:ind w:left="0" w:right="49"/>
        <w:jc w:val="center"/>
        <w:rPr>
          <w:rFonts w:ascii="Palatino Linotype" w:hAnsi="Palatino Linotype"/>
          <w:b/>
          <w:sz w:val="22"/>
        </w:rPr>
      </w:pPr>
      <w:r w:rsidRPr="00750135">
        <w:rPr>
          <w:rFonts w:ascii="Palatino Linotype" w:hAnsi="Palatino Linotype"/>
          <w:b/>
          <w:sz w:val="22"/>
        </w:rPr>
        <w:t>CAPÍTULO II</w:t>
      </w:r>
    </w:p>
    <w:p w14:paraId="178C28A7" w14:textId="1761C599" w:rsidR="00ED3F9C" w:rsidRPr="00750135" w:rsidRDefault="00ED3F9C" w:rsidP="00ED3F9C">
      <w:pPr>
        <w:pStyle w:val="Prrafodelista"/>
        <w:tabs>
          <w:tab w:val="left" w:pos="851"/>
        </w:tabs>
        <w:spacing w:before="240" w:after="240" w:line="360" w:lineRule="auto"/>
        <w:ind w:left="0" w:right="49"/>
        <w:jc w:val="center"/>
        <w:rPr>
          <w:rFonts w:ascii="Palatino Linotype" w:hAnsi="Palatino Linotype"/>
          <w:b/>
          <w:sz w:val="22"/>
        </w:rPr>
      </w:pPr>
      <w:r w:rsidRPr="00750135">
        <w:rPr>
          <w:rFonts w:ascii="Palatino Linotype" w:hAnsi="Palatino Linotype"/>
          <w:b/>
          <w:sz w:val="22"/>
        </w:rPr>
        <w:t>De la Carrera Policial y de la Profesionalización</w:t>
      </w:r>
    </w:p>
    <w:p w14:paraId="77003ED8"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lastRenderedPageBreak/>
        <w:t xml:space="preserve">Artículo 78.- La Carrera Policial es el sistema de carácter obligatorio y permanente, conforme al cual se establecen los lineamientos que definen los procedimientos de reclutamiento, selección, ingreso, formación, certificación, permanencia, evaluación, promoción y reconocimiento; así como la separación o baja del servicio de los integrantes de las Instituciones Policiales. </w:t>
      </w:r>
    </w:p>
    <w:p w14:paraId="5F77DCCD"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p>
    <w:p w14:paraId="145E99E3"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r w:rsidRPr="00750135">
        <w:rPr>
          <w:rFonts w:ascii="Palatino Linotype" w:hAnsi="Palatino Linotype"/>
          <w:i/>
          <w:sz w:val="22"/>
        </w:rPr>
        <w:t>Artículo 79.- Los fines de la Carrera Policial son:</w:t>
      </w:r>
      <w:r w:rsidRPr="00750135">
        <w:rPr>
          <w:rFonts w:ascii="Palatino Linotype" w:hAnsi="Palatino Linotype"/>
          <w:i/>
          <w:sz w:val="22"/>
          <w:lang w:val="es-ES"/>
        </w:rPr>
        <w:t xml:space="preserve"> </w:t>
      </w:r>
    </w:p>
    <w:p w14:paraId="0C426525"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p>
    <w:p w14:paraId="6A2F0173"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 Garantizar el desarrollo institucional y asegurar la estabilidad en el empleo, con base en un esquema proporcional y equitativo de remuneraciones y prestaciones para los integrantes de las Instituciones Policiales; </w:t>
      </w:r>
    </w:p>
    <w:p w14:paraId="28577DC8"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 Promover la proximidad social, responsabilidad, honradez, diligencia, eficiencia y eficacia en el desempeño de las funciones y en la óptima utilización de los recursos de las Instituciones; </w:t>
      </w:r>
    </w:p>
    <w:p w14:paraId="3F8135CD"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III. Instaurar la doctrina policial civil y fomentar la vocación de servicio y el sentido de pertenencia mediante la motivación y el establecimiento de un adecuado sistema de promociones que permita satisfacer las expectativas de desarrollo profesional y reconocimiento de los integrantes de las Instituciones Policiales;</w:t>
      </w:r>
    </w:p>
    <w:p w14:paraId="5AF9D2A3"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IV. Instrumentar e impulsar la capacitación y profesionalización permanente de los Integrantes de las Instituciones Policiales para asegurar la lealtad institucional en la prestación de los servicios, y </w:t>
      </w:r>
    </w:p>
    <w:p w14:paraId="3D1296E6"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r w:rsidRPr="00750135">
        <w:rPr>
          <w:rFonts w:ascii="Palatino Linotype" w:hAnsi="Palatino Linotype"/>
          <w:i/>
          <w:sz w:val="22"/>
        </w:rPr>
        <w:t>V. Los demás que establezcan las disposiciones que deriven de esta Ley.</w:t>
      </w:r>
    </w:p>
    <w:p w14:paraId="16EDCC44"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Artículo 80.- Las legislaciones de la Federación y de las entidades federativas establecerán la organización jerárquica de las Instituciones Policiales, considerando al menos las categorías siguientes: </w:t>
      </w:r>
    </w:p>
    <w:p w14:paraId="4CC180D0" w14:textId="3BC20F2A"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 Comisarios; </w:t>
      </w:r>
    </w:p>
    <w:p w14:paraId="1ECC9C85"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 Inspectores; </w:t>
      </w:r>
    </w:p>
    <w:p w14:paraId="72A3D50D"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III. Oficiales, y</w:t>
      </w:r>
    </w:p>
    <w:p w14:paraId="05402CF5"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 IV. Escala Básica. </w:t>
      </w:r>
    </w:p>
    <w:p w14:paraId="6111891F"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En las policías ministeriales se establecerán al menos niveles jerárquicos equivalentes a las primeras tres fracciones del presente artículo, con las respectivas categorías, conforme al modelo policial previsto en esta Ley. </w:t>
      </w:r>
    </w:p>
    <w:p w14:paraId="64AFABC1"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Artículo 81.- Las categorías previstas en el artículo anterior considerarán, al menos, las siguientes jerarquías: </w:t>
      </w:r>
    </w:p>
    <w:p w14:paraId="057F8000"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lastRenderedPageBreak/>
        <w:t xml:space="preserve">I. Comisarios: </w:t>
      </w:r>
    </w:p>
    <w:p w14:paraId="432BE987"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a) Comisario General; </w:t>
      </w:r>
    </w:p>
    <w:p w14:paraId="5F1CDF99"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b) Comisario Jefe, y</w:t>
      </w:r>
    </w:p>
    <w:p w14:paraId="28E1A4F8"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c) Comisario. </w:t>
      </w:r>
    </w:p>
    <w:p w14:paraId="6F2ED57E"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 Inspectores: </w:t>
      </w:r>
    </w:p>
    <w:p w14:paraId="7859236A"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a) Inspector General;</w:t>
      </w:r>
    </w:p>
    <w:p w14:paraId="32AC07CA" w14:textId="24E690D2"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b) Inspector Jefe, y</w:t>
      </w:r>
    </w:p>
    <w:p w14:paraId="75233D53"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c) Inspector. </w:t>
      </w:r>
    </w:p>
    <w:p w14:paraId="395E6D39" w14:textId="77777777" w:rsidR="00CC57E9" w:rsidRPr="00750135" w:rsidRDefault="00CC57E9" w:rsidP="00ED3F9C">
      <w:pPr>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III. Oficiales: </w:t>
      </w:r>
    </w:p>
    <w:p w14:paraId="32B7DCE7"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a) Subinspector; </w:t>
      </w:r>
    </w:p>
    <w:p w14:paraId="3B8093A6"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b) Oficial, y </w:t>
      </w:r>
    </w:p>
    <w:p w14:paraId="6178EA26"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c) Suboficial. </w:t>
      </w:r>
    </w:p>
    <w:p w14:paraId="15FBF02F"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IV. Escala Básica: </w:t>
      </w:r>
    </w:p>
    <w:p w14:paraId="329867DC"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a) Policía Primero; </w:t>
      </w:r>
    </w:p>
    <w:p w14:paraId="5F4C4DB7"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b) Policía Segundo; </w:t>
      </w:r>
    </w:p>
    <w:p w14:paraId="11CE1133" w14:textId="77777777" w:rsidR="00CC57E9" w:rsidRPr="00750135" w:rsidRDefault="00CC57E9" w:rsidP="00ED3F9C">
      <w:pPr>
        <w:tabs>
          <w:tab w:val="left" w:pos="851"/>
        </w:tabs>
        <w:spacing w:before="240" w:after="240"/>
        <w:ind w:left="709" w:right="616"/>
        <w:jc w:val="both"/>
        <w:rPr>
          <w:rFonts w:ascii="Palatino Linotype" w:hAnsi="Palatino Linotype"/>
          <w:i/>
          <w:sz w:val="22"/>
        </w:rPr>
      </w:pPr>
      <w:r w:rsidRPr="00750135">
        <w:rPr>
          <w:rFonts w:ascii="Palatino Linotype" w:hAnsi="Palatino Linotype"/>
          <w:i/>
          <w:sz w:val="22"/>
        </w:rPr>
        <w:t xml:space="preserve">c) Policía Tercero, y </w:t>
      </w:r>
    </w:p>
    <w:p w14:paraId="3C4E7D0A" w14:textId="297693FE" w:rsidR="00CC57E9" w:rsidRPr="00750135" w:rsidRDefault="00CC57E9" w:rsidP="00ED3F9C">
      <w:pPr>
        <w:tabs>
          <w:tab w:val="left" w:pos="851"/>
        </w:tabs>
        <w:spacing w:before="240" w:after="240"/>
        <w:ind w:left="709" w:right="616"/>
        <w:jc w:val="both"/>
        <w:rPr>
          <w:rFonts w:ascii="Palatino Linotype" w:hAnsi="Palatino Linotype"/>
          <w:i/>
          <w:sz w:val="22"/>
          <w:lang w:val="es-ES"/>
        </w:rPr>
      </w:pPr>
      <w:r w:rsidRPr="00750135">
        <w:rPr>
          <w:rFonts w:ascii="Palatino Linotype" w:hAnsi="Palatino Linotype"/>
          <w:i/>
          <w:sz w:val="22"/>
        </w:rPr>
        <w:t>d) Policía.</w:t>
      </w:r>
    </w:p>
    <w:p w14:paraId="77A48B09" w14:textId="2CD01F56" w:rsidR="00ED3F9C" w:rsidRPr="00750135" w:rsidRDefault="00ED3F9C" w:rsidP="001C175E">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t>Es así que, de la legislación citada, se aprecian los grados en los que se dividen las corporaciones de seguridad pública. Asimismo, el artículo 85 y 86 de normatividad citada indican lo siguiente:</w:t>
      </w:r>
    </w:p>
    <w:p w14:paraId="35D19293"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3D72FCB0"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Artículo 85.- La Carrera Policial comprende el grado policial, la antigüedad, las insignias, condecoraciones, estímulos y reconocimientos obtenidos, el resultado de los procesos de promoción, así como el registro de las correcciones disciplinarias y sanciones </w:t>
      </w:r>
      <w:r w:rsidRPr="00750135">
        <w:rPr>
          <w:rFonts w:ascii="Palatino Linotype" w:hAnsi="Palatino Linotype"/>
          <w:i/>
          <w:sz w:val="22"/>
        </w:rPr>
        <w:lastRenderedPageBreak/>
        <w:t xml:space="preserve">que, en su caso, haya acumulado el integrante. Se regirá por las normas mínimas siguientes: </w:t>
      </w:r>
    </w:p>
    <w:p w14:paraId="712BC0DC"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 Las Instituciones Policiales deberán consultar los antecedentes de cualquier aspirante en el Registro Nacional antes de que se autorice su ingreso a las mismas; </w:t>
      </w:r>
    </w:p>
    <w:p w14:paraId="620B77CC"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 Todo aspirante deberá tramitar, obtener y mantener actualizado el Certificado Único Policial, que expedirá el centro de control de confianza respectivo; </w:t>
      </w:r>
    </w:p>
    <w:p w14:paraId="28863500"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III. Ninguna persona podrá ingresar a las Instituciones Policiales si no ha sido debidamente certificado y registrado en el Sistema; </w:t>
      </w:r>
    </w:p>
    <w:p w14:paraId="462D1732"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IV. Sólo ingresarán y permanecerán en las Instituciones Policiales, aquellos aspirantes e integrantes que cursen y aprueben los programas de formación, capacitación y profesionalización; </w:t>
      </w:r>
    </w:p>
    <w:p w14:paraId="01844ED1"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V. La permanencia de los integrantes en las Instituciones Policiales está condicionada al cumplimiento de los requisitos que determine la Ley; </w:t>
      </w:r>
    </w:p>
    <w:p w14:paraId="13D949E3"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VI. Los méritos de los integrantes de las Instituciones Policiales serán evaluados por las instancias encargadas de determinar las promociones y verificar que se cumplan los requisitos de permanencia, señaladas en las leyes respectivas; </w:t>
      </w:r>
    </w:p>
    <w:p w14:paraId="6293528E"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VII. Para la promoción de los integrantes de las Instituciones Policiales se deberán considerar, por lo menos, los resultados obtenidos en los programas de profesionalización, los méritos demostrados en el desempeño de sus funciones y sus aptitudes de mando y liderazgo; </w:t>
      </w:r>
    </w:p>
    <w:p w14:paraId="632AB1E4"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VIII. Se determinará un régimen de estímulos y previsión social que corresponda a las funciones de los integrantes de las Instituciones Policiales; </w:t>
      </w:r>
    </w:p>
    <w:p w14:paraId="68CADED9"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IX. Los integrantes podrán ser cambiados de adscripción, con base en las necesidades del servicio; </w:t>
      </w:r>
    </w:p>
    <w:p w14:paraId="6864ADE4"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X. El cambio de un integrante de un área operativa a otra de distinta especialidad, sólo podrá ser autorizado por la instancia que señale la ley de la materia, y </w:t>
      </w:r>
    </w:p>
    <w:p w14:paraId="587D0268"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XI. Las instancias establecerán los procedimientos relativos a cada una de las etapas de la Carrera Policial. </w:t>
      </w:r>
    </w:p>
    <w:p w14:paraId="70798016"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p>
    <w:p w14:paraId="0033B4F9"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t xml:space="preserve">La Carrera Policial es independiente de los nombramientos para desempeñar cargos administrativos o de dirección que el integrante llegue a desempeñar en las Instituciones Policiales. En ningún caso habrá inamovilidad en los cargos administrativos y de dirección. </w:t>
      </w:r>
    </w:p>
    <w:p w14:paraId="064D6FE7"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p>
    <w:p w14:paraId="43F0D30A" w14:textId="5AB25400"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r w:rsidRPr="00750135">
        <w:rPr>
          <w:rFonts w:ascii="Palatino Linotype" w:hAnsi="Palatino Linotype"/>
          <w:i/>
          <w:sz w:val="22"/>
        </w:rPr>
        <w:t>En términos de las disposiciones aplicables, los titulares de las Instituciones Policiales podrán designar a los integrantes en cargos administrativos o de dirección de la estructura orgánica de las instituciones a su cargo; asimismo, podrán relevarlos libremente, respetando su grado policial y derechos inherentes a la Carrera Policial.</w:t>
      </w:r>
    </w:p>
    <w:p w14:paraId="08DD04F9"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p>
    <w:p w14:paraId="4A17E952"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r w:rsidRPr="00750135">
        <w:rPr>
          <w:rFonts w:ascii="Palatino Linotype" w:hAnsi="Palatino Linotype"/>
          <w:i/>
          <w:sz w:val="22"/>
        </w:rPr>
        <w:lastRenderedPageBreak/>
        <w:t xml:space="preserve">Artículo 86.- La selección es el proceso que consiste en elegir, de entre los aspirantes que hayan aprobado el reclutamiento, a quienes cubran el perfil y la formación requeridos para ingresar a las Instituciones Policiales. </w:t>
      </w:r>
    </w:p>
    <w:p w14:paraId="586923FD" w14:textId="77777777" w:rsidR="00ED3F9C" w:rsidRPr="00750135" w:rsidRDefault="00ED3F9C" w:rsidP="00ED3F9C">
      <w:pPr>
        <w:pStyle w:val="Prrafodelista"/>
        <w:tabs>
          <w:tab w:val="left" w:pos="851"/>
        </w:tabs>
        <w:spacing w:before="240" w:after="240"/>
        <w:ind w:left="567" w:right="616"/>
        <w:jc w:val="both"/>
        <w:rPr>
          <w:rFonts w:ascii="Palatino Linotype" w:hAnsi="Palatino Linotype"/>
          <w:i/>
          <w:sz w:val="22"/>
        </w:rPr>
      </w:pPr>
    </w:p>
    <w:p w14:paraId="63CAA1FF" w14:textId="125EC2F0" w:rsidR="00ED3F9C" w:rsidRPr="00750135" w:rsidRDefault="00ED3F9C" w:rsidP="00ED3F9C">
      <w:pPr>
        <w:pStyle w:val="Prrafodelista"/>
        <w:tabs>
          <w:tab w:val="left" w:pos="851"/>
        </w:tabs>
        <w:spacing w:before="240" w:after="240"/>
        <w:ind w:left="567" w:right="616"/>
        <w:jc w:val="both"/>
        <w:rPr>
          <w:rFonts w:ascii="Palatino Linotype" w:hAnsi="Palatino Linotype"/>
          <w:i/>
          <w:sz w:val="22"/>
          <w:lang w:val="es-ES"/>
        </w:rPr>
      </w:pPr>
      <w:r w:rsidRPr="00750135">
        <w:rPr>
          <w:rFonts w:ascii="Palatino Linotype" w:hAnsi="Palatino Linotype"/>
          <w:i/>
          <w:sz w:val="22"/>
        </w:rPr>
        <w:t>Dicho proceso comprende el periodo de los cursos de formación o capacitación y concluye con la resolución de las instancias previstas en la ley sobre los aspirantes aceptados.</w:t>
      </w:r>
    </w:p>
    <w:p w14:paraId="22146BDF"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2E394447" w14:textId="6B050C8C" w:rsidR="00ED3F9C" w:rsidRPr="00750135" w:rsidRDefault="00ED3F9C" w:rsidP="001C175E">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t>De la interpretación armónica y progresiva de los preceptos legales citados, se determina que la carrera policial es el sistema conforme al cual se establecen los lineamientos que definen los procedimientos de reclutamientos, selección, ingreso, formación, certificación, permanencia y evaluación, promoción y reconocimiento, de los integrantes de los cuerpos de seguridad. Además, la Ley de Seguridad del Estado de México en el artículo 20 dispone lo siguiente:</w:t>
      </w:r>
    </w:p>
    <w:p w14:paraId="62470AE4"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3BBF5663" w14:textId="371CADDF" w:rsidR="00ED3F9C" w:rsidRPr="00750135" w:rsidRDefault="00ED3F9C" w:rsidP="00ED3F9C">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Artículo 20.- Son atribuciones de los ayuntamientos en materia de seguridad pública:</w:t>
      </w:r>
    </w:p>
    <w:p w14:paraId="5A79C696" w14:textId="04B18B53" w:rsidR="00ED3F9C" w:rsidRPr="00750135" w:rsidRDefault="00ED3F9C" w:rsidP="00ED3F9C">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w:t>
      </w:r>
    </w:p>
    <w:p w14:paraId="2A3A907F" w14:textId="7BE4261C" w:rsidR="00ED3F9C" w:rsidRPr="00750135" w:rsidRDefault="00ED3F9C" w:rsidP="00ED3F9C">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VI. Implementar la carrera policial;</w:t>
      </w:r>
    </w:p>
    <w:p w14:paraId="7A96F8CE" w14:textId="11FF4CA7" w:rsidR="00ED3F9C" w:rsidRPr="00750135" w:rsidRDefault="00ED3F9C" w:rsidP="00ED3F9C">
      <w:pPr>
        <w:pStyle w:val="Prrafodelista"/>
        <w:tabs>
          <w:tab w:val="left" w:pos="851"/>
        </w:tabs>
        <w:spacing w:before="240" w:after="240" w:line="360" w:lineRule="auto"/>
        <w:ind w:left="567" w:right="616"/>
        <w:jc w:val="both"/>
        <w:rPr>
          <w:rFonts w:ascii="Palatino Linotype" w:hAnsi="Palatino Linotype"/>
          <w:i/>
          <w:sz w:val="22"/>
        </w:rPr>
      </w:pPr>
      <w:r w:rsidRPr="00750135">
        <w:rPr>
          <w:rFonts w:ascii="Palatino Linotype" w:hAnsi="Palatino Linotype"/>
          <w:i/>
          <w:sz w:val="22"/>
        </w:rPr>
        <w:t>…</w:t>
      </w:r>
    </w:p>
    <w:p w14:paraId="0A2C4F1B"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36ED9820" w14:textId="50FE752F" w:rsidR="00ED3F9C" w:rsidRPr="00750135" w:rsidRDefault="00ED3F9C" w:rsidP="001C175E">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hAnsi="Palatino Linotype"/>
          <w:lang w:val="es-ES"/>
        </w:rPr>
        <w:t xml:space="preserve">Entonces, al ser una atribución, se considera que la información relacionada con el documento donde conste la implementación de la carrera policial debe existir y obrar en los archivos del Sujeto Obligado, en consecuencia, se </w:t>
      </w:r>
      <w:r w:rsidR="00832A53" w:rsidRPr="00750135">
        <w:rPr>
          <w:rFonts w:ascii="Palatino Linotype" w:hAnsi="Palatino Linotype"/>
          <w:lang w:val="es-ES"/>
        </w:rPr>
        <w:t>cuenta con elementos idóneos para ordena su búsqueda y eventual entrega al particular.</w:t>
      </w:r>
    </w:p>
    <w:p w14:paraId="7E5A2BF6" w14:textId="77777777" w:rsidR="00ED3F9C" w:rsidRPr="00750135" w:rsidRDefault="00ED3F9C" w:rsidP="00ED3F9C">
      <w:pPr>
        <w:pStyle w:val="Prrafodelista"/>
        <w:tabs>
          <w:tab w:val="left" w:pos="851"/>
        </w:tabs>
        <w:spacing w:before="240" w:after="240" w:line="360" w:lineRule="auto"/>
        <w:ind w:left="0" w:right="49"/>
        <w:jc w:val="both"/>
        <w:rPr>
          <w:rFonts w:ascii="Palatino Linotype" w:hAnsi="Palatino Linotype"/>
          <w:lang w:val="es-ES"/>
        </w:rPr>
      </w:pPr>
    </w:p>
    <w:p w14:paraId="6CEE6EC7" w14:textId="779D4177" w:rsidR="00ED3F9C" w:rsidRPr="00750135" w:rsidRDefault="00832A53" w:rsidP="00ED3F9C">
      <w:pPr>
        <w:pStyle w:val="Prrafodelista"/>
        <w:tabs>
          <w:tab w:val="left" w:pos="851"/>
        </w:tabs>
        <w:spacing w:before="240" w:after="240" w:line="360" w:lineRule="auto"/>
        <w:ind w:left="0" w:right="49"/>
        <w:jc w:val="both"/>
        <w:rPr>
          <w:rFonts w:ascii="Palatino Linotype" w:hAnsi="Palatino Linotype"/>
          <w:b/>
          <w:lang w:val="es-ES"/>
        </w:rPr>
      </w:pPr>
      <w:r w:rsidRPr="00750135">
        <w:rPr>
          <w:rFonts w:ascii="Palatino Linotype" w:hAnsi="Palatino Linotype"/>
          <w:b/>
          <w:lang w:val="es-ES"/>
        </w:rPr>
        <w:t xml:space="preserve">d) </w:t>
      </w:r>
      <w:r w:rsidRPr="00750135">
        <w:rPr>
          <w:rFonts w:ascii="Palatino Linotype" w:eastAsia="Calibri" w:hAnsi="Palatino Linotype" w:cs="Arial"/>
          <w:b/>
        </w:rPr>
        <w:t>Gestión de la incorporación de sus elementos de seguridad a la licencia colectiva para la portación de armamento</w:t>
      </w:r>
    </w:p>
    <w:p w14:paraId="4CE260AB" w14:textId="77777777" w:rsidR="00832A53" w:rsidRPr="00750135" w:rsidRDefault="00832A53" w:rsidP="00ED3F9C">
      <w:pPr>
        <w:pStyle w:val="Prrafodelista"/>
        <w:tabs>
          <w:tab w:val="left" w:pos="851"/>
        </w:tabs>
        <w:spacing w:before="240" w:after="240" w:line="360" w:lineRule="auto"/>
        <w:ind w:left="0" w:right="49"/>
        <w:jc w:val="both"/>
        <w:rPr>
          <w:rFonts w:ascii="Palatino Linotype" w:hAnsi="Palatino Linotype"/>
          <w:lang w:val="es-ES"/>
        </w:rPr>
      </w:pPr>
    </w:p>
    <w:p w14:paraId="70D69ABD" w14:textId="76799E7F" w:rsidR="00832A53" w:rsidRPr="00750135" w:rsidRDefault="00832A53" w:rsidP="00832A53">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750135">
        <w:rPr>
          <w:rFonts w:ascii="Palatino Linotype" w:eastAsia="Times New Roman" w:hAnsi="Palatino Linotype" w:cs="Arial"/>
        </w:rPr>
        <w:lastRenderedPageBreak/>
        <w:t>La Ley Federal de Armas de Fuego y Explosivos y su Reglamento señalan lo relativo a la expedición de las Licencias de portación de armas, responsables y sujetos a quienes les pueden ser otorgadas y bajo qué modalidad en los siguientes términos:</w:t>
      </w:r>
    </w:p>
    <w:p w14:paraId="06772787" w14:textId="77777777" w:rsidR="00832A53" w:rsidRPr="00750135" w:rsidRDefault="00832A53" w:rsidP="00832A53">
      <w:pPr>
        <w:ind w:left="709" w:right="474"/>
        <w:jc w:val="center"/>
        <w:rPr>
          <w:rFonts w:ascii="Palatino Linotype" w:eastAsia="Times New Roman" w:hAnsi="Palatino Linotype" w:cs="Arial"/>
          <w:b/>
          <w:i/>
          <w:sz w:val="22"/>
          <w:szCs w:val="22"/>
        </w:rPr>
      </w:pPr>
      <w:r w:rsidRPr="00750135">
        <w:rPr>
          <w:rFonts w:ascii="Palatino Linotype" w:eastAsia="Times New Roman" w:hAnsi="Palatino Linotype" w:cs="Arial"/>
          <w:b/>
          <w:i/>
          <w:sz w:val="22"/>
          <w:szCs w:val="22"/>
        </w:rPr>
        <w:t>Ley Federal de Armas de Fuego y Explosivos</w:t>
      </w:r>
    </w:p>
    <w:p w14:paraId="2434078A" w14:textId="77777777" w:rsidR="00832A53" w:rsidRPr="00750135" w:rsidRDefault="00832A53" w:rsidP="00832A53">
      <w:pPr>
        <w:ind w:left="709" w:right="474"/>
        <w:jc w:val="both"/>
        <w:rPr>
          <w:rFonts w:ascii="Palatino Linotype" w:eastAsia="Times New Roman" w:hAnsi="Palatino Linotype" w:cs="Arial"/>
          <w:b/>
          <w:i/>
          <w:sz w:val="22"/>
          <w:szCs w:val="22"/>
        </w:rPr>
      </w:pPr>
    </w:p>
    <w:p w14:paraId="7B11F406"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Artículo 24.- Para portar armas se requiere la licencia respectiva</w:t>
      </w:r>
      <w:r w:rsidRPr="00750135">
        <w:rPr>
          <w:rFonts w:ascii="Palatino Linotype" w:eastAsia="Times New Roman" w:hAnsi="Palatino Linotype" w:cs="Arial"/>
          <w:i/>
          <w:sz w:val="22"/>
          <w:szCs w:val="22"/>
        </w:rPr>
        <w:t>.</w:t>
      </w:r>
    </w:p>
    <w:p w14:paraId="7ACB818A" w14:textId="77777777" w:rsidR="00832A53" w:rsidRPr="00750135" w:rsidRDefault="00832A53" w:rsidP="00832A53">
      <w:pPr>
        <w:ind w:left="709" w:right="474"/>
        <w:jc w:val="both"/>
        <w:rPr>
          <w:rFonts w:ascii="Palatino Linotype" w:eastAsia="Times New Roman" w:hAnsi="Palatino Linotype" w:cs="Arial"/>
          <w:i/>
          <w:sz w:val="22"/>
          <w:szCs w:val="22"/>
        </w:rPr>
      </w:pPr>
    </w:p>
    <w:p w14:paraId="6C35729B"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Los miembros del Ejército, Armada y Fuerza Aérea quedan exceptuados de lo anterior, en los casos y condiciones que señalen las leyes y reglamentos aplicables.</w:t>
      </w:r>
    </w:p>
    <w:p w14:paraId="597A9EAA" w14:textId="77777777" w:rsidR="00832A53" w:rsidRPr="00750135" w:rsidRDefault="00832A53" w:rsidP="00832A53">
      <w:pPr>
        <w:ind w:left="709" w:right="474"/>
        <w:jc w:val="both"/>
        <w:rPr>
          <w:rFonts w:ascii="Palatino Linotype" w:eastAsia="Times New Roman" w:hAnsi="Palatino Linotype" w:cs="Arial"/>
          <w:i/>
          <w:sz w:val="22"/>
          <w:szCs w:val="22"/>
        </w:rPr>
      </w:pPr>
    </w:p>
    <w:p w14:paraId="16F9FAF9"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 xml:space="preserve">Los integrantes de las </w:t>
      </w:r>
      <w:r w:rsidRPr="00750135">
        <w:rPr>
          <w:rFonts w:ascii="Palatino Linotype" w:eastAsia="Times New Roman" w:hAnsi="Palatino Linotype" w:cs="Arial"/>
          <w:b/>
          <w:i/>
          <w:sz w:val="22"/>
          <w:szCs w:val="22"/>
        </w:rPr>
        <w:t>instituciones policiales</w:t>
      </w:r>
      <w:r w:rsidRPr="00750135">
        <w:rPr>
          <w:rFonts w:ascii="Palatino Linotype" w:eastAsia="Times New Roman" w:hAnsi="Palatino Linotype" w:cs="Arial"/>
          <w:i/>
          <w:sz w:val="22"/>
          <w:szCs w:val="22"/>
        </w:rPr>
        <w:t xml:space="preserve">, federales, estatales, del Distrito Federal y </w:t>
      </w:r>
      <w:r w:rsidRPr="00750135">
        <w:rPr>
          <w:rFonts w:ascii="Palatino Linotype" w:eastAsia="Times New Roman" w:hAnsi="Palatino Linotype" w:cs="Arial"/>
          <w:b/>
          <w:i/>
          <w:sz w:val="22"/>
          <w:szCs w:val="22"/>
        </w:rPr>
        <w:t>municipales</w:t>
      </w:r>
      <w:r w:rsidRPr="00750135">
        <w:rPr>
          <w:rFonts w:ascii="Palatino Linotype" w:eastAsia="Times New Roman" w:hAnsi="Palatino Linotype" w:cs="Arial"/>
          <w:i/>
          <w:sz w:val="22"/>
          <w:szCs w:val="22"/>
        </w:rPr>
        <w:t xml:space="preserve">, así como de los servicios privados de seguridad, </w:t>
      </w:r>
      <w:r w:rsidRPr="00750135">
        <w:rPr>
          <w:rFonts w:ascii="Palatino Linotype" w:eastAsia="Times New Roman" w:hAnsi="Palatino Linotype" w:cs="Arial"/>
          <w:b/>
          <w:i/>
          <w:sz w:val="22"/>
          <w:szCs w:val="22"/>
        </w:rPr>
        <w:t>podrán portar armas en los casos, condiciones y requisitos que establecen la presente ley</w:t>
      </w:r>
      <w:r w:rsidRPr="00750135">
        <w:rPr>
          <w:rFonts w:ascii="Palatino Linotype" w:eastAsia="Times New Roman" w:hAnsi="Palatino Linotype" w:cs="Arial"/>
          <w:i/>
          <w:sz w:val="22"/>
          <w:szCs w:val="22"/>
        </w:rPr>
        <w:t xml:space="preserve"> y las demás disposiciones legales aplicables.</w:t>
      </w:r>
    </w:p>
    <w:p w14:paraId="05D60CD0" w14:textId="77777777" w:rsidR="00832A53" w:rsidRPr="00750135" w:rsidRDefault="00832A53" w:rsidP="00832A53">
      <w:pPr>
        <w:ind w:left="709" w:right="474"/>
        <w:jc w:val="both"/>
        <w:rPr>
          <w:rFonts w:ascii="Palatino Linotype" w:eastAsia="Times New Roman" w:hAnsi="Palatino Linotype" w:cs="Arial"/>
          <w:i/>
          <w:sz w:val="22"/>
          <w:szCs w:val="22"/>
        </w:rPr>
      </w:pPr>
    </w:p>
    <w:p w14:paraId="654CB12A" w14:textId="0F1DD08B"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hAnsi="Palatino Linotype"/>
          <w:i/>
          <w:sz w:val="22"/>
          <w:szCs w:val="22"/>
        </w:rPr>
        <w:t>Los integrantes de las instituciones policiales, federales, estatales, de la Ciudad de México, municipales y alcaldías, así como de los servicios privados de seguridad, podrán portar armas en los casos, condiciones y requisitos que establecen la presente Ley y las demás disposiciones legales aplicables.</w:t>
      </w:r>
    </w:p>
    <w:p w14:paraId="55E00B21" w14:textId="77777777" w:rsidR="00832A53" w:rsidRPr="00750135" w:rsidRDefault="00832A53" w:rsidP="00832A53">
      <w:pPr>
        <w:ind w:left="709" w:right="474"/>
        <w:jc w:val="both"/>
        <w:rPr>
          <w:rFonts w:ascii="Palatino Linotype" w:eastAsia="Times New Roman" w:hAnsi="Palatino Linotype" w:cs="Arial"/>
          <w:i/>
          <w:sz w:val="22"/>
          <w:szCs w:val="22"/>
        </w:rPr>
      </w:pPr>
    </w:p>
    <w:p w14:paraId="0F17C43D"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Artículo 25</w:t>
      </w:r>
      <w:r w:rsidRPr="00750135">
        <w:rPr>
          <w:rFonts w:ascii="Palatino Linotype" w:eastAsia="Times New Roman" w:hAnsi="Palatino Linotype" w:cs="Arial"/>
          <w:i/>
          <w:sz w:val="22"/>
          <w:szCs w:val="22"/>
        </w:rPr>
        <w:t xml:space="preserve">.- </w:t>
      </w:r>
      <w:r w:rsidRPr="00750135">
        <w:rPr>
          <w:rFonts w:ascii="Palatino Linotype" w:eastAsia="Times New Roman" w:hAnsi="Palatino Linotype" w:cs="Arial"/>
          <w:b/>
          <w:i/>
          <w:sz w:val="22"/>
          <w:szCs w:val="22"/>
        </w:rPr>
        <w:t>Las licencias</w:t>
      </w:r>
      <w:r w:rsidRPr="00750135">
        <w:rPr>
          <w:rFonts w:ascii="Palatino Linotype" w:eastAsia="Times New Roman" w:hAnsi="Palatino Linotype" w:cs="Arial"/>
          <w:i/>
          <w:sz w:val="22"/>
          <w:szCs w:val="22"/>
        </w:rPr>
        <w:t xml:space="preserve"> para la portación de armas </w:t>
      </w:r>
      <w:r w:rsidRPr="00750135">
        <w:rPr>
          <w:rFonts w:ascii="Palatino Linotype" w:eastAsia="Times New Roman" w:hAnsi="Palatino Linotype" w:cs="Arial"/>
          <w:b/>
          <w:i/>
          <w:sz w:val="22"/>
          <w:szCs w:val="22"/>
        </w:rPr>
        <w:t>serán de dos clases</w:t>
      </w:r>
      <w:r w:rsidRPr="00750135">
        <w:rPr>
          <w:rFonts w:ascii="Palatino Linotype" w:eastAsia="Times New Roman" w:hAnsi="Palatino Linotype" w:cs="Arial"/>
          <w:i/>
          <w:sz w:val="22"/>
          <w:szCs w:val="22"/>
        </w:rPr>
        <w:t>:</w:t>
      </w:r>
    </w:p>
    <w:p w14:paraId="1DD00412" w14:textId="77777777" w:rsidR="00832A53" w:rsidRPr="00750135" w:rsidRDefault="00832A53" w:rsidP="00832A53">
      <w:pPr>
        <w:ind w:left="709" w:right="474"/>
        <w:jc w:val="both"/>
        <w:rPr>
          <w:rFonts w:ascii="Palatino Linotype" w:eastAsia="Times New Roman" w:hAnsi="Palatino Linotype" w:cs="Arial"/>
          <w:i/>
          <w:sz w:val="22"/>
          <w:szCs w:val="22"/>
        </w:rPr>
      </w:pPr>
    </w:p>
    <w:p w14:paraId="5038EAF3"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I.- Particulares; que deberán revalidarse cada dos años, y</w:t>
      </w:r>
    </w:p>
    <w:p w14:paraId="329A3FE6"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 xml:space="preserve">II.- </w:t>
      </w:r>
      <w:r w:rsidRPr="00750135">
        <w:rPr>
          <w:rFonts w:ascii="Palatino Linotype" w:eastAsia="Times New Roman" w:hAnsi="Palatino Linotype" w:cs="Arial"/>
          <w:b/>
          <w:i/>
          <w:sz w:val="22"/>
          <w:szCs w:val="22"/>
        </w:rPr>
        <w:t>Oficiales</w:t>
      </w:r>
      <w:r w:rsidRPr="00750135">
        <w:rPr>
          <w:rFonts w:ascii="Palatino Linotype" w:eastAsia="Times New Roman" w:hAnsi="Palatino Linotype" w:cs="Arial"/>
          <w:i/>
          <w:sz w:val="22"/>
          <w:szCs w:val="22"/>
        </w:rPr>
        <w:t xml:space="preserve">, que </w:t>
      </w:r>
      <w:r w:rsidRPr="00750135">
        <w:rPr>
          <w:rFonts w:ascii="Palatino Linotype" w:eastAsia="Times New Roman" w:hAnsi="Palatino Linotype" w:cs="Arial"/>
          <w:b/>
          <w:i/>
          <w:sz w:val="22"/>
          <w:szCs w:val="22"/>
        </w:rPr>
        <w:t>tendrán validez mientras se desempeñe el cargo</w:t>
      </w:r>
      <w:r w:rsidRPr="00750135">
        <w:rPr>
          <w:rFonts w:ascii="Palatino Linotype" w:eastAsia="Times New Roman" w:hAnsi="Palatino Linotype" w:cs="Arial"/>
          <w:i/>
          <w:sz w:val="22"/>
          <w:szCs w:val="22"/>
        </w:rPr>
        <w:t xml:space="preserve"> o empleo que las motivó</w:t>
      </w:r>
    </w:p>
    <w:p w14:paraId="6292294D" w14:textId="77777777" w:rsidR="00832A53" w:rsidRPr="00750135" w:rsidRDefault="00832A53" w:rsidP="00832A53">
      <w:pPr>
        <w:ind w:left="709" w:right="474"/>
        <w:jc w:val="both"/>
        <w:rPr>
          <w:rFonts w:ascii="Palatino Linotype" w:eastAsia="Times New Roman" w:hAnsi="Palatino Linotype" w:cs="Arial"/>
          <w:i/>
          <w:sz w:val="22"/>
          <w:szCs w:val="22"/>
        </w:rPr>
      </w:pPr>
    </w:p>
    <w:p w14:paraId="1C476B82"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Artículo 29.-</w:t>
      </w:r>
      <w:r w:rsidRPr="00750135">
        <w:rPr>
          <w:rFonts w:ascii="Palatino Linotype" w:eastAsia="Times New Roman" w:hAnsi="Palatino Linotype" w:cs="Arial"/>
          <w:i/>
          <w:sz w:val="22"/>
          <w:szCs w:val="22"/>
        </w:rPr>
        <w:t xml:space="preserve"> Las licencias oficiales para la portación de armas pueden ser </w:t>
      </w:r>
      <w:r w:rsidRPr="00750135">
        <w:rPr>
          <w:rFonts w:ascii="Palatino Linotype" w:eastAsia="Times New Roman" w:hAnsi="Palatino Linotype" w:cs="Arial"/>
          <w:b/>
          <w:i/>
          <w:sz w:val="22"/>
          <w:szCs w:val="22"/>
        </w:rPr>
        <w:t>colectivas</w:t>
      </w:r>
      <w:r w:rsidRPr="00750135">
        <w:rPr>
          <w:rFonts w:ascii="Palatino Linotype" w:eastAsia="Times New Roman" w:hAnsi="Palatino Linotype" w:cs="Arial"/>
          <w:i/>
          <w:sz w:val="22"/>
          <w:szCs w:val="22"/>
        </w:rPr>
        <w:t xml:space="preserve"> o individuales.</w:t>
      </w:r>
    </w:p>
    <w:p w14:paraId="7AF4095A" w14:textId="77777777" w:rsidR="00832A53" w:rsidRPr="00750135" w:rsidRDefault="00832A53" w:rsidP="00832A53">
      <w:pPr>
        <w:ind w:left="709" w:right="474"/>
        <w:jc w:val="both"/>
        <w:rPr>
          <w:rFonts w:ascii="Palatino Linotype" w:eastAsia="Times New Roman" w:hAnsi="Palatino Linotype" w:cs="Arial"/>
          <w:i/>
          <w:sz w:val="22"/>
          <w:szCs w:val="22"/>
        </w:rPr>
      </w:pPr>
    </w:p>
    <w:p w14:paraId="7F17CB8F"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I. Las licencias colectivas podrán expedirse a:</w:t>
      </w:r>
    </w:p>
    <w:p w14:paraId="4EE9358B"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A. Las dependencias oficiales y organismos públicos federales a cuyo cargo se encuentran las instalaciones estratégicas del país.</w:t>
      </w:r>
    </w:p>
    <w:p w14:paraId="63B7F46E" w14:textId="77777777" w:rsidR="00832A53" w:rsidRPr="00750135" w:rsidRDefault="00832A53" w:rsidP="00832A53">
      <w:pPr>
        <w:ind w:left="709" w:right="474"/>
        <w:jc w:val="both"/>
        <w:rPr>
          <w:rFonts w:ascii="Palatino Linotype" w:eastAsia="Times New Roman" w:hAnsi="Palatino Linotype" w:cs="Arial"/>
          <w:i/>
          <w:sz w:val="22"/>
          <w:szCs w:val="22"/>
        </w:rPr>
      </w:pPr>
    </w:p>
    <w:p w14:paraId="2328FF1F"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Los titulares de las licencias colectivas expedirán credenciales foliadas de identificación personal, que contendrán los datos de la licencia colectiva y se renovarán semestralmente.</w:t>
      </w:r>
    </w:p>
    <w:p w14:paraId="76D015F6" w14:textId="77777777" w:rsidR="00832A53" w:rsidRPr="00750135" w:rsidRDefault="00832A53" w:rsidP="00832A53">
      <w:pPr>
        <w:ind w:left="709" w:right="474"/>
        <w:jc w:val="both"/>
        <w:rPr>
          <w:rFonts w:ascii="Palatino Linotype" w:eastAsia="Times New Roman" w:hAnsi="Palatino Linotype" w:cs="Arial"/>
          <w:i/>
          <w:sz w:val="22"/>
          <w:szCs w:val="22"/>
        </w:rPr>
      </w:pPr>
    </w:p>
    <w:p w14:paraId="27E76612"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B. Las instituciones policiales</w:t>
      </w:r>
      <w:r w:rsidRPr="00750135">
        <w:rPr>
          <w:rFonts w:ascii="Palatino Linotype" w:eastAsia="Times New Roman" w:hAnsi="Palatino Linotype" w:cs="Arial"/>
          <w:i/>
          <w:sz w:val="22"/>
          <w:szCs w:val="22"/>
        </w:rPr>
        <w:t>. Estas licencias se sujetarán a los lineamientos siguientes:</w:t>
      </w:r>
    </w:p>
    <w:p w14:paraId="734382FF" w14:textId="77777777" w:rsidR="00832A53" w:rsidRPr="00750135" w:rsidRDefault="00832A53" w:rsidP="00832A53">
      <w:pPr>
        <w:ind w:left="709" w:right="474"/>
        <w:jc w:val="both"/>
        <w:rPr>
          <w:rFonts w:ascii="Palatino Linotype" w:eastAsia="Times New Roman" w:hAnsi="Palatino Linotype" w:cs="Arial"/>
          <w:i/>
          <w:sz w:val="22"/>
          <w:szCs w:val="22"/>
        </w:rPr>
      </w:pPr>
    </w:p>
    <w:p w14:paraId="00057544"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a) Dichas instituciones deberán cumplir con las disposiciones legales de orden federal o local que resulten aplicables.</w:t>
      </w:r>
    </w:p>
    <w:p w14:paraId="6C70524B" w14:textId="77777777" w:rsidR="00832A53" w:rsidRPr="00750135" w:rsidRDefault="00832A53" w:rsidP="00832A53">
      <w:pPr>
        <w:ind w:left="1416" w:right="474"/>
        <w:jc w:val="both"/>
        <w:rPr>
          <w:rFonts w:ascii="Palatino Linotype" w:eastAsia="Times New Roman" w:hAnsi="Palatino Linotype" w:cs="Arial"/>
          <w:i/>
          <w:sz w:val="22"/>
          <w:szCs w:val="22"/>
        </w:rPr>
      </w:pPr>
    </w:p>
    <w:p w14:paraId="134CDA5A" w14:textId="1349362A"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b) La Secretaría de Gobernación será el conducto para solicitar a la Secretaría de la Defensa Nacional la expedición de licencia colectiva a las instituciones policiales, mismas que sólo se solicitarán para las personas que integren su organización operativa y que figuren en las nóminas de pago respectivas, debiéndose notificar a estas secretarías cualquier cambio en su plantilla laboral. Las autoridades competentes resolverán dentro de los sesenta días siguientes a la presentación de la solicitud ante la Secretaría de Gobernación, y</w:t>
      </w:r>
    </w:p>
    <w:p w14:paraId="066159EF" w14:textId="77777777" w:rsidR="00832A53" w:rsidRPr="00750135" w:rsidRDefault="00832A53" w:rsidP="00832A53">
      <w:pPr>
        <w:ind w:left="1416" w:right="474"/>
        <w:jc w:val="both"/>
        <w:rPr>
          <w:rFonts w:ascii="Palatino Linotype" w:eastAsia="Times New Roman" w:hAnsi="Palatino Linotype" w:cs="Arial"/>
          <w:i/>
          <w:sz w:val="22"/>
          <w:szCs w:val="22"/>
        </w:rPr>
      </w:pPr>
    </w:p>
    <w:p w14:paraId="5FC3D1E1" w14:textId="77777777" w:rsidR="00832A53" w:rsidRPr="00750135" w:rsidRDefault="00832A53" w:rsidP="00832A53">
      <w:pPr>
        <w:ind w:left="1416" w:right="474"/>
        <w:jc w:val="both"/>
        <w:rPr>
          <w:rFonts w:ascii="Palatino Linotype" w:eastAsia="Times New Roman" w:hAnsi="Palatino Linotype" w:cs="Arial"/>
          <w:b/>
          <w:i/>
          <w:sz w:val="22"/>
          <w:szCs w:val="22"/>
        </w:rPr>
      </w:pPr>
      <w:r w:rsidRPr="00750135">
        <w:rPr>
          <w:rFonts w:ascii="Palatino Linotype" w:eastAsia="Times New Roman" w:hAnsi="Palatino Linotype" w:cs="Arial"/>
          <w:b/>
          <w:i/>
          <w:sz w:val="22"/>
          <w:szCs w:val="22"/>
        </w:rPr>
        <w:t>c) Los titulares de las instituciones policiales, expedirán a su personal operativo, inscrito en el registro que establezca la ley de la materia, credenciales foliadas de identificación personal, por lapsos semestrales</w:t>
      </w:r>
      <w:r w:rsidRPr="00750135">
        <w:rPr>
          <w:rFonts w:ascii="Palatino Linotype" w:eastAsia="Times New Roman" w:hAnsi="Palatino Linotype" w:cs="Arial"/>
          <w:i/>
          <w:sz w:val="22"/>
          <w:szCs w:val="22"/>
        </w:rPr>
        <w:t xml:space="preserve">, las </w:t>
      </w:r>
      <w:r w:rsidRPr="00750135">
        <w:rPr>
          <w:rFonts w:ascii="Palatino Linotype" w:eastAsia="Times New Roman" w:hAnsi="Palatino Linotype" w:cs="Arial"/>
          <w:b/>
          <w:i/>
          <w:sz w:val="22"/>
          <w:szCs w:val="22"/>
        </w:rPr>
        <w:t>cuales, durante su vigencia, se asimilarán a licencias individuales.</w:t>
      </w:r>
    </w:p>
    <w:p w14:paraId="76579D72" w14:textId="77777777" w:rsidR="00832A53" w:rsidRPr="00750135" w:rsidRDefault="00832A53" w:rsidP="00832A53">
      <w:pPr>
        <w:ind w:left="1416" w:right="474"/>
        <w:jc w:val="both"/>
        <w:rPr>
          <w:rFonts w:ascii="Palatino Linotype" w:eastAsia="Times New Roman" w:hAnsi="Palatino Linotype" w:cs="Arial"/>
          <w:i/>
          <w:sz w:val="22"/>
          <w:szCs w:val="22"/>
        </w:rPr>
      </w:pPr>
    </w:p>
    <w:p w14:paraId="1A401028"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C. Los titulares de las licencias colectivas remitirán periódicamente a las Secretaría de la Defensa Nacional y de Gobernación un informe de las armas que se encuentren en su poder, debidamente correlacionado con su estructura y organización operativa, señalando los folios de las credenciales y los datos del personal que las tuviera a su cargo.</w:t>
      </w:r>
    </w:p>
    <w:p w14:paraId="26B89E2F" w14:textId="77777777" w:rsidR="00832A53" w:rsidRPr="00750135" w:rsidRDefault="00832A53" w:rsidP="00832A53">
      <w:pPr>
        <w:ind w:left="1416" w:right="474"/>
        <w:jc w:val="both"/>
        <w:rPr>
          <w:rFonts w:ascii="Palatino Linotype" w:eastAsia="Times New Roman" w:hAnsi="Palatino Linotype" w:cs="Arial"/>
          <w:i/>
          <w:sz w:val="22"/>
          <w:szCs w:val="22"/>
        </w:rPr>
      </w:pPr>
    </w:p>
    <w:p w14:paraId="139927C6"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 xml:space="preserve">D. Las autoridades competentes se coordinarán con los Gobiernos de los Estados para obtener, con oportunidad y exactitud, la información necesaria para el cumplimiento de esta ley. </w:t>
      </w:r>
    </w:p>
    <w:p w14:paraId="7597A155" w14:textId="77777777" w:rsidR="00832A53" w:rsidRPr="00750135" w:rsidRDefault="00832A53" w:rsidP="00832A53">
      <w:pPr>
        <w:ind w:left="1416" w:right="474"/>
        <w:jc w:val="both"/>
        <w:rPr>
          <w:rFonts w:ascii="Palatino Linotype" w:eastAsia="Times New Roman" w:hAnsi="Palatino Linotype" w:cs="Arial"/>
          <w:i/>
          <w:sz w:val="22"/>
          <w:szCs w:val="22"/>
        </w:rPr>
      </w:pPr>
    </w:p>
    <w:p w14:paraId="551521E1" w14:textId="77777777" w:rsidR="00832A53" w:rsidRPr="00750135" w:rsidRDefault="00832A53" w:rsidP="00832A53">
      <w:pPr>
        <w:ind w:left="1416"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E. La Secretaría de la Defensa Nacional inspeccionará periódicamente el armamento, sólo para efectos de su control, sin tener autoridad alguna sobre el personal.</w:t>
      </w:r>
    </w:p>
    <w:p w14:paraId="26C19313" w14:textId="77777777" w:rsidR="00832A53" w:rsidRPr="00750135" w:rsidRDefault="00832A53" w:rsidP="00832A53">
      <w:pPr>
        <w:ind w:left="709" w:right="474"/>
        <w:jc w:val="both"/>
        <w:rPr>
          <w:rFonts w:ascii="Palatino Linotype" w:eastAsia="Times New Roman" w:hAnsi="Palatino Linotype" w:cs="Arial"/>
          <w:i/>
          <w:sz w:val="22"/>
          <w:szCs w:val="22"/>
        </w:rPr>
      </w:pPr>
    </w:p>
    <w:p w14:paraId="6B340DAD"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II. Las licencias individuales se expedirán a quienes desempeñen cargos o empleos en la Federación o en las Entidades Federativas, que para el cumplimiento de sus obligaciones requieran, en opinión de la autoridad competente, la portación de armas.</w:t>
      </w:r>
    </w:p>
    <w:p w14:paraId="46FD9484"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III. Los servidores públicos a que se refiere este artículo deberán cumplir, además, con los requisitos establecidos en los cinco primeros incisos de la fracción I del artículo 26 de esta ley</w:t>
      </w:r>
    </w:p>
    <w:p w14:paraId="093770BC" w14:textId="77777777" w:rsidR="00832A53" w:rsidRPr="00750135" w:rsidRDefault="00832A53" w:rsidP="00832A53">
      <w:pPr>
        <w:ind w:left="709" w:right="474"/>
        <w:jc w:val="both"/>
        <w:rPr>
          <w:rFonts w:ascii="Palatino Linotype" w:eastAsia="Times New Roman" w:hAnsi="Palatino Linotype" w:cs="Arial"/>
          <w:i/>
          <w:sz w:val="22"/>
          <w:szCs w:val="22"/>
        </w:rPr>
      </w:pPr>
    </w:p>
    <w:p w14:paraId="2EEC9B8A"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Artículo 30.-</w:t>
      </w:r>
      <w:r w:rsidRPr="00750135">
        <w:rPr>
          <w:rFonts w:ascii="Palatino Linotype" w:eastAsia="Times New Roman" w:hAnsi="Palatino Linotype" w:cs="Arial"/>
          <w:i/>
          <w:sz w:val="22"/>
          <w:szCs w:val="22"/>
        </w:rPr>
        <w:t xml:space="preserve"> Corresponde a la Secretaría de la Defensa Nacional, con la salvedad señalada en el artículo 32 de esta Ley, </w:t>
      </w:r>
      <w:r w:rsidRPr="00750135">
        <w:rPr>
          <w:rFonts w:ascii="Palatino Linotype" w:eastAsia="Times New Roman" w:hAnsi="Palatino Linotype" w:cs="Arial"/>
          <w:b/>
          <w:i/>
          <w:sz w:val="22"/>
          <w:szCs w:val="22"/>
        </w:rPr>
        <w:t>la expedición, suspensión y cancelación de las licencias de portación de armas</w:t>
      </w:r>
      <w:r w:rsidRPr="00750135">
        <w:rPr>
          <w:rFonts w:ascii="Palatino Linotype" w:eastAsia="Times New Roman" w:hAnsi="Palatino Linotype" w:cs="Arial"/>
          <w:i/>
          <w:sz w:val="22"/>
          <w:szCs w:val="22"/>
        </w:rPr>
        <w:t xml:space="preserve">, así como su registro, control y vigilancia. </w:t>
      </w:r>
    </w:p>
    <w:p w14:paraId="4617BC4C" w14:textId="77777777" w:rsidR="00832A53" w:rsidRPr="00750135" w:rsidRDefault="00832A53" w:rsidP="00832A53">
      <w:pPr>
        <w:ind w:left="709" w:right="474"/>
        <w:jc w:val="both"/>
        <w:rPr>
          <w:rFonts w:ascii="Palatino Linotype" w:eastAsia="Times New Roman" w:hAnsi="Palatino Linotype" w:cs="Arial"/>
          <w:i/>
          <w:sz w:val="22"/>
          <w:szCs w:val="22"/>
        </w:rPr>
      </w:pPr>
    </w:p>
    <w:p w14:paraId="179F8E2C"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La propia Secretaría comunicará oportunamente a la de Gobernación, las licencias que autorice, suspenda o cancele.</w:t>
      </w:r>
    </w:p>
    <w:p w14:paraId="5F1DEA4D" w14:textId="77777777" w:rsidR="00832A53" w:rsidRPr="00750135" w:rsidRDefault="00832A53" w:rsidP="00832A53">
      <w:pPr>
        <w:ind w:left="709" w:right="474"/>
        <w:jc w:val="center"/>
        <w:rPr>
          <w:rFonts w:ascii="Palatino Linotype" w:eastAsia="Times New Roman" w:hAnsi="Palatino Linotype" w:cs="Arial"/>
          <w:b/>
          <w:i/>
          <w:sz w:val="22"/>
          <w:szCs w:val="22"/>
        </w:rPr>
      </w:pPr>
    </w:p>
    <w:p w14:paraId="19B26E48" w14:textId="77777777" w:rsidR="00832A53" w:rsidRPr="00750135" w:rsidRDefault="00832A53" w:rsidP="00832A53">
      <w:pPr>
        <w:ind w:left="709" w:right="474"/>
        <w:jc w:val="center"/>
        <w:rPr>
          <w:rFonts w:ascii="Palatino Linotype" w:eastAsia="Times New Roman" w:hAnsi="Palatino Linotype" w:cs="Arial"/>
          <w:b/>
          <w:i/>
          <w:sz w:val="22"/>
          <w:szCs w:val="22"/>
        </w:rPr>
      </w:pPr>
      <w:r w:rsidRPr="00750135">
        <w:rPr>
          <w:rFonts w:ascii="Palatino Linotype" w:eastAsia="Times New Roman" w:hAnsi="Palatino Linotype" w:cs="Arial"/>
          <w:b/>
          <w:i/>
          <w:sz w:val="22"/>
          <w:szCs w:val="22"/>
        </w:rPr>
        <w:t>Reglamento de la Ley Federal de Armas de Fuego y Explosivos</w:t>
      </w:r>
    </w:p>
    <w:p w14:paraId="6D3D7F9E" w14:textId="77777777" w:rsidR="00832A53" w:rsidRPr="00750135" w:rsidRDefault="00832A53" w:rsidP="00832A53">
      <w:pPr>
        <w:ind w:left="709" w:right="474"/>
        <w:jc w:val="both"/>
        <w:rPr>
          <w:rFonts w:ascii="Palatino Linotype" w:eastAsia="Times New Roman" w:hAnsi="Palatino Linotype" w:cs="Arial"/>
          <w:i/>
          <w:sz w:val="22"/>
          <w:szCs w:val="22"/>
        </w:rPr>
      </w:pPr>
    </w:p>
    <w:p w14:paraId="6B55CAD4"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ARTICULO 7o.- La portación de armas</w:t>
      </w:r>
      <w:r w:rsidRPr="00750135">
        <w:rPr>
          <w:rFonts w:ascii="Palatino Linotype" w:eastAsia="Times New Roman" w:hAnsi="Palatino Linotype" w:cs="Arial"/>
          <w:i/>
          <w:sz w:val="22"/>
          <w:szCs w:val="22"/>
        </w:rPr>
        <w:t xml:space="preserve"> se ajustará estrictamente a lo dispuesto en las </w:t>
      </w:r>
      <w:r w:rsidRPr="00750135">
        <w:rPr>
          <w:rFonts w:ascii="Palatino Linotype" w:eastAsia="Times New Roman" w:hAnsi="Palatino Linotype" w:cs="Arial"/>
          <w:b/>
          <w:i/>
          <w:sz w:val="22"/>
          <w:szCs w:val="22"/>
        </w:rPr>
        <w:t>licencias respectivas.</w:t>
      </w:r>
      <w:r w:rsidRPr="00750135">
        <w:rPr>
          <w:rFonts w:ascii="Palatino Linotype" w:eastAsia="Times New Roman" w:hAnsi="Palatino Linotype" w:cs="Arial"/>
          <w:i/>
          <w:sz w:val="22"/>
          <w:szCs w:val="22"/>
        </w:rPr>
        <w:t xml:space="preserve"> </w:t>
      </w:r>
    </w:p>
    <w:p w14:paraId="55531FB9" w14:textId="77777777" w:rsidR="00832A53" w:rsidRPr="00750135" w:rsidRDefault="00832A53" w:rsidP="00832A53">
      <w:pPr>
        <w:ind w:left="709" w:right="474"/>
        <w:jc w:val="both"/>
        <w:rPr>
          <w:rFonts w:ascii="Palatino Linotype" w:eastAsia="Times New Roman" w:hAnsi="Palatino Linotype" w:cs="Arial"/>
          <w:i/>
          <w:sz w:val="22"/>
          <w:szCs w:val="22"/>
        </w:rPr>
      </w:pPr>
    </w:p>
    <w:p w14:paraId="70F4EE05"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ARTÍCULO 22.- Las licencias</w:t>
      </w:r>
      <w:r w:rsidRPr="00750135">
        <w:rPr>
          <w:rFonts w:ascii="Palatino Linotype" w:eastAsia="Times New Roman" w:hAnsi="Palatino Linotype" w:cs="Arial"/>
          <w:i/>
          <w:sz w:val="22"/>
          <w:szCs w:val="22"/>
        </w:rPr>
        <w:t xml:space="preserve"> particulares y las </w:t>
      </w:r>
      <w:r w:rsidRPr="00750135">
        <w:rPr>
          <w:rFonts w:ascii="Palatino Linotype" w:eastAsia="Times New Roman" w:hAnsi="Palatino Linotype" w:cs="Arial"/>
          <w:b/>
          <w:i/>
          <w:sz w:val="22"/>
          <w:szCs w:val="22"/>
        </w:rPr>
        <w:t>oficiales colectivas</w:t>
      </w:r>
      <w:r w:rsidRPr="00750135">
        <w:rPr>
          <w:rFonts w:ascii="Palatino Linotype" w:eastAsia="Times New Roman" w:hAnsi="Palatino Linotype" w:cs="Arial"/>
          <w:i/>
          <w:sz w:val="22"/>
          <w:szCs w:val="22"/>
        </w:rPr>
        <w:t xml:space="preserve"> para la portación de armas, </w:t>
      </w:r>
      <w:r w:rsidRPr="00750135">
        <w:rPr>
          <w:rFonts w:ascii="Palatino Linotype" w:eastAsia="Times New Roman" w:hAnsi="Palatino Linotype" w:cs="Arial"/>
          <w:b/>
          <w:i/>
          <w:sz w:val="22"/>
          <w:szCs w:val="22"/>
        </w:rPr>
        <w:t>serán expedidas exclusivamente por la Secretaría</w:t>
      </w:r>
      <w:r w:rsidRPr="00750135">
        <w:rPr>
          <w:rFonts w:ascii="Palatino Linotype" w:eastAsia="Times New Roman" w:hAnsi="Palatino Linotype" w:cs="Arial"/>
          <w:i/>
          <w:sz w:val="22"/>
          <w:szCs w:val="22"/>
        </w:rPr>
        <w:t>.</w:t>
      </w:r>
    </w:p>
    <w:p w14:paraId="7F5C32A5" w14:textId="77777777" w:rsidR="00832A53" w:rsidRPr="00750135" w:rsidRDefault="00832A53" w:rsidP="00832A53">
      <w:pPr>
        <w:ind w:left="709" w:right="474"/>
        <w:jc w:val="both"/>
        <w:rPr>
          <w:rFonts w:ascii="Palatino Linotype" w:eastAsia="Times New Roman" w:hAnsi="Palatino Linotype" w:cs="Arial"/>
          <w:i/>
          <w:sz w:val="22"/>
          <w:szCs w:val="22"/>
        </w:rPr>
      </w:pPr>
    </w:p>
    <w:p w14:paraId="0F0FD576"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Para las licencias particulares se cubrirán anticipadamente los derechos que procedan.</w:t>
      </w:r>
    </w:p>
    <w:p w14:paraId="6D7CCA89"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Los Generales, Jefes y Oficiales del Ejército, Fuerza Aérea y Armada de México, que vestidos de civil porten armas, deberán identificarse con su credencial, cuantas veces sean requeridos para ello por autoridad competente.</w:t>
      </w:r>
    </w:p>
    <w:p w14:paraId="6772CC39" w14:textId="77777777" w:rsidR="00832A53" w:rsidRPr="00750135" w:rsidRDefault="00832A53" w:rsidP="00832A53">
      <w:pPr>
        <w:ind w:left="709" w:right="474"/>
        <w:jc w:val="both"/>
        <w:rPr>
          <w:rFonts w:ascii="Palatino Linotype" w:eastAsia="Times New Roman" w:hAnsi="Palatino Linotype" w:cs="Arial"/>
          <w:i/>
          <w:sz w:val="22"/>
          <w:szCs w:val="22"/>
        </w:rPr>
      </w:pPr>
    </w:p>
    <w:p w14:paraId="3A119A9F"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i/>
          <w:sz w:val="22"/>
          <w:szCs w:val="22"/>
        </w:rPr>
        <w:t>Los individuos de tropa en actos fuera del servicio, sólo podrán portar armas cuando tengan autorización escrita de la Secretaría de la Defensa Nacional o de Marina, en su caso.</w:t>
      </w:r>
    </w:p>
    <w:p w14:paraId="50659F86" w14:textId="77777777" w:rsidR="00832A53" w:rsidRPr="00750135" w:rsidRDefault="00832A53" w:rsidP="00832A53">
      <w:pPr>
        <w:ind w:left="709" w:right="474"/>
        <w:jc w:val="both"/>
        <w:rPr>
          <w:rFonts w:ascii="Palatino Linotype" w:eastAsia="Times New Roman" w:hAnsi="Palatino Linotype" w:cs="Arial"/>
          <w:i/>
          <w:sz w:val="22"/>
          <w:szCs w:val="22"/>
        </w:rPr>
      </w:pPr>
    </w:p>
    <w:p w14:paraId="65A5C8BF" w14:textId="77777777" w:rsidR="00832A53" w:rsidRPr="00750135" w:rsidRDefault="00832A53" w:rsidP="00832A53">
      <w:pPr>
        <w:ind w:left="709" w:right="474"/>
        <w:jc w:val="both"/>
        <w:rPr>
          <w:rFonts w:ascii="Palatino Linotype" w:eastAsia="Times New Roman" w:hAnsi="Palatino Linotype" w:cs="Arial"/>
          <w:i/>
          <w:sz w:val="22"/>
          <w:szCs w:val="22"/>
        </w:rPr>
      </w:pPr>
      <w:r w:rsidRPr="00750135">
        <w:rPr>
          <w:rFonts w:ascii="Palatino Linotype" w:eastAsia="Times New Roman" w:hAnsi="Palatino Linotype" w:cs="Arial"/>
          <w:b/>
          <w:i/>
          <w:sz w:val="22"/>
          <w:szCs w:val="22"/>
        </w:rPr>
        <w:t>ARTICULO 28</w:t>
      </w:r>
      <w:r w:rsidRPr="00750135">
        <w:rPr>
          <w:rFonts w:ascii="Palatino Linotype" w:eastAsia="Times New Roman" w:hAnsi="Palatino Linotype" w:cs="Arial"/>
          <w:i/>
          <w:sz w:val="22"/>
          <w:szCs w:val="22"/>
        </w:rPr>
        <w:t xml:space="preserve">.- Las </w:t>
      </w:r>
      <w:r w:rsidRPr="00750135">
        <w:rPr>
          <w:rFonts w:ascii="Palatino Linotype" w:eastAsia="Times New Roman" w:hAnsi="Palatino Linotype" w:cs="Arial"/>
          <w:b/>
          <w:i/>
          <w:sz w:val="22"/>
          <w:szCs w:val="22"/>
        </w:rPr>
        <w:t>licencias oficiales</w:t>
      </w:r>
      <w:r w:rsidRPr="00750135">
        <w:rPr>
          <w:rFonts w:ascii="Palatino Linotype" w:eastAsia="Times New Roman" w:hAnsi="Palatino Linotype" w:cs="Arial"/>
          <w:i/>
          <w:sz w:val="22"/>
          <w:szCs w:val="22"/>
        </w:rPr>
        <w:t xml:space="preserve"> y las que se gestionen para empleos o cargos de los Estados o </w:t>
      </w:r>
      <w:r w:rsidRPr="00750135">
        <w:rPr>
          <w:rFonts w:ascii="Palatino Linotype" w:eastAsia="Times New Roman" w:hAnsi="Palatino Linotype" w:cs="Arial"/>
          <w:b/>
          <w:i/>
          <w:sz w:val="22"/>
          <w:szCs w:val="22"/>
        </w:rPr>
        <w:t>de los Municipios</w:t>
      </w:r>
      <w:r w:rsidRPr="00750135">
        <w:rPr>
          <w:rFonts w:ascii="Palatino Linotype" w:eastAsia="Times New Roman" w:hAnsi="Palatino Linotype" w:cs="Arial"/>
          <w:i/>
          <w:sz w:val="22"/>
          <w:szCs w:val="22"/>
        </w:rPr>
        <w:t xml:space="preserve">, se expedirán </w:t>
      </w:r>
      <w:r w:rsidRPr="00750135">
        <w:rPr>
          <w:rFonts w:ascii="Palatino Linotype" w:eastAsia="Times New Roman" w:hAnsi="Palatino Linotype" w:cs="Arial"/>
          <w:b/>
          <w:i/>
          <w:sz w:val="22"/>
          <w:szCs w:val="22"/>
        </w:rPr>
        <w:t>previa petición de la autoridad de quien dependa el interesado</w:t>
      </w:r>
      <w:r w:rsidRPr="00750135">
        <w:rPr>
          <w:rFonts w:ascii="Palatino Linotype" w:eastAsia="Times New Roman" w:hAnsi="Palatino Linotype" w:cs="Arial"/>
          <w:i/>
          <w:sz w:val="22"/>
          <w:szCs w:val="22"/>
        </w:rPr>
        <w:t>; en las colectivas, se acompañará, además, constancia o certificado de que el personal para el que se pretende la licencia, figura en nóminas de pago.</w:t>
      </w:r>
    </w:p>
    <w:p w14:paraId="241324E6" w14:textId="77777777" w:rsidR="00832A53" w:rsidRPr="00750135" w:rsidRDefault="00832A53" w:rsidP="00832A53">
      <w:pPr>
        <w:spacing w:line="360" w:lineRule="auto"/>
        <w:jc w:val="both"/>
        <w:rPr>
          <w:rFonts w:ascii="Palatino Linotype" w:eastAsia="Times New Roman" w:hAnsi="Palatino Linotype" w:cs="Arial"/>
        </w:rPr>
      </w:pPr>
    </w:p>
    <w:p w14:paraId="0D7B5969" w14:textId="163C626C" w:rsidR="00832A53" w:rsidRPr="00750135" w:rsidRDefault="00832A53" w:rsidP="00832A53">
      <w:pPr>
        <w:pStyle w:val="Prrafodelista"/>
        <w:numPr>
          <w:ilvl w:val="0"/>
          <w:numId w:val="1"/>
        </w:numPr>
        <w:spacing w:line="360" w:lineRule="auto"/>
        <w:jc w:val="both"/>
        <w:rPr>
          <w:rFonts w:ascii="Palatino Linotype" w:eastAsia="Times New Roman" w:hAnsi="Palatino Linotype" w:cs="Arial"/>
        </w:rPr>
      </w:pPr>
      <w:r w:rsidRPr="00750135">
        <w:rPr>
          <w:rFonts w:ascii="Palatino Linotype" w:eastAsia="Times New Roman" w:hAnsi="Palatino Linotype" w:cs="Arial"/>
        </w:rPr>
        <w:t xml:space="preserve">Del precepto anterior, tenemos que será la Secretaría de la Defensa Nacional (SEDENA) la única Autoridad competente para emitir las licencias para portación de armas de fuego, y estas serán para los efectos que nos ocupan las correspondientes a las Licencias Oficiales Colectivas, cuyo trámite es a cargo del </w:t>
      </w:r>
      <w:r w:rsidRPr="00750135">
        <w:rPr>
          <w:rFonts w:ascii="Palatino Linotype" w:eastAsia="Times New Roman" w:hAnsi="Palatino Linotype" w:cs="Arial"/>
        </w:rPr>
        <w:lastRenderedPageBreak/>
        <w:t>Titular del Ejecutivo de cada entidad como lo señalan los procedimientos descritos en su portal de internet oficial de la SEDENA, como se muestra a continuación:</w:t>
      </w:r>
    </w:p>
    <w:p w14:paraId="4B452C43" w14:textId="2B3AEE6F" w:rsidR="00986792" w:rsidRPr="00750135" w:rsidRDefault="00986792" w:rsidP="00832A53">
      <w:pPr>
        <w:spacing w:line="360" w:lineRule="auto"/>
        <w:jc w:val="both"/>
        <w:rPr>
          <w:rFonts w:ascii="Palatino Linotype" w:eastAsia="Times New Roman" w:hAnsi="Palatino Linotype" w:cs="Arial"/>
        </w:rPr>
      </w:pPr>
      <w:r w:rsidRPr="00750135">
        <w:rPr>
          <w:rFonts w:ascii="Palatino Linotype" w:eastAsia="Times New Roman" w:hAnsi="Palatino Linotype" w:cs="Arial"/>
          <w:noProof/>
          <w:lang w:eastAsia="es-MX"/>
        </w:rPr>
        <w:drawing>
          <wp:inline distT="0" distB="0" distL="0" distR="0" wp14:anchorId="0ED9F1DE" wp14:editId="206E8B83">
            <wp:extent cx="5612130" cy="221615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216150"/>
                    </a:xfrm>
                    <a:prstGeom prst="rect">
                      <a:avLst/>
                    </a:prstGeom>
                  </pic:spPr>
                </pic:pic>
              </a:graphicData>
            </a:graphic>
          </wp:inline>
        </w:drawing>
      </w:r>
    </w:p>
    <w:p w14:paraId="4BEAF243" w14:textId="29452663" w:rsidR="00986792" w:rsidRPr="00750135" w:rsidRDefault="00986792" w:rsidP="00580267">
      <w:pPr>
        <w:spacing w:line="360" w:lineRule="auto"/>
        <w:jc w:val="center"/>
        <w:rPr>
          <w:rFonts w:ascii="Palatino Linotype" w:eastAsia="Times New Roman" w:hAnsi="Palatino Linotype" w:cs="Arial"/>
        </w:rPr>
      </w:pPr>
      <w:r w:rsidRPr="00750135">
        <w:rPr>
          <w:rFonts w:ascii="Palatino Linotype" w:eastAsia="Times New Roman" w:hAnsi="Palatino Linotype" w:cs="Arial"/>
          <w:noProof/>
          <w:lang w:eastAsia="es-MX"/>
        </w:rPr>
        <w:lastRenderedPageBreak/>
        <w:drawing>
          <wp:inline distT="0" distB="0" distL="0" distR="0" wp14:anchorId="5CDE665A" wp14:editId="5B0961FC">
            <wp:extent cx="5106113" cy="701137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06113" cy="7011378"/>
                    </a:xfrm>
                    <a:prstGeom prst="rect">
                      <a:avLst/>
                    </a:prstGeom>
                  </pic:spPr>
                </pic:pic>
              </a:graphicData>
            </a:graphic>
          </wp:inline>
        </w:drawing>
      </w:r>
    </w:p>
    <w:p w14:paraId="1200F1D7" w14:textId="5A1F1341" w:rsidR="00986792" w:rsidRPr="00750135" w:rsidRDefault="00986792" w:rsidP="00580267">
      <w:pPr>
        <w:spacing w:line="360" w:lineRule="auto"/>
        <w:jc w:val="center"/>
        <w:rPr>
          <w:rFonts w:ascii="Palatino Linotype" w:eastAsia="Times New Roman" w:hAnsi="Palatino Linotype" w:cs="Arial"/>
        </w:rPr>
      </w:pPr>
      <w:r w:rsidRPr="00750135">
        <w:rPr>
          <w:rFonts w:ascii="Palatino Linotype" w:eastAsia="Times New Roman" w:hAnsi="Palatino Linotype" w:cs="Arial"/>
          <w:noProof/>
          <w:lang w:eastAsia="es-MX"/>
        </w:rPr>
        <w:lastRenderedPageBreak/>
        <w:drawing>
          <wp:inline distT="0" distB="0" distL="0" distR="0" wp14:anchorId="7532892A" wp14:editId="2EC50752">
            <wp:extent cx="5258534" cy="529663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58534" cy="5296639"/>
                    </a:xfrm>
                    <a:prstGeom prst="rect">
                      <a:avLst/>
                    </a:prstGeom>
                  </pic:spPr>
                </pic:pic>
              </a:graphicData>
            </a:graphic>
          </wp:inline>
        </w:drawing>
      </w:r>
    </w:p>
    <w:p w14:paraId="37BFD743" w14:textId="77777777" w:rsidR="00986792" w:rsidRPr="00750135" w:rsidRDefault="00986792" w:rsidP="00832A53">
      <w:pPr>
        <w:spacing w:line="360" w:lineRule="auto"/>
        <w:jc w:val="both"/>
        <w:rPr>
          <w:rFonts w:ascii="Palatino Linotype" w:eastAsia="Times New Roman" w:hAnsi="Palatino Linotype" w:cs="Arial"/>
        </w:rPr>
      </w:pPr>
    </w:p>
    <w:p w14:paraId="46EA4227" w14:textId="143400BC" w:rsidR="00832A53" w:rsidRPr="00750135" w:rsidRDefault="00832A53" w:rsidP="00986792">
      <w:pPr>
        <w:pStyle w:val="Prrafodelista"/>
        <w:numPr>
          <w:ilvl w:val="0"/>
          <w:numId w:val="1"/>
        </w:numPr>
        <w:spacing w:line="360" w:lineRule="auto"/>
        <w:jc w:val="both"/>
        <w:rPr>
          <w:rFonts w:ascii="Palatino Linotype" w:eastAsia="Times New Roman" w:hAnsi="Palatino Linotype" w:cs="Arial"/>
          <w:lang w:val="es-ES"/>
        </w:rPr>
      </w:pPr>
      <w:r w:rsidRPr="00750135">
        <w:rPr>
          <w:rFonts w:ascii="Palatino Linotype" w:eastAsia="Times New Roman" w:hAnsi="Palatino Linotype" w:cs="Arial"/>
          <w:lang w:val="es-ES"/>
        </w:rPr>
        <w:t xml:space="preserve">De esta forma podemos relacionar lo descrito con anterioridad, con el </w:t>
      </w:r>
      <w:r w:rsidRPr="00750135">
        <w:rPr>
          <w:rFonts w:ascii="Palatino Linotype" w:eastAsia="Times New Roman" w:hAnsi="Palatino Linotype" w:cs="Arial"/>
          <w:i/>
          <w:lang w:val="es-ES"/>
        </w:rPr>
        <w:t>Acuerdo por el que se establecen los lineamientos para la Adquisición, Asignación, Uso y Custodia, Portación y Baja de armamento incluido en la Licencia Oficial Colectiva número 139</w:t>
      </w:r>
      <w:r w:rsidRPr="00750135">
        <w:rPr>
          <w:rFonts w:ascii="Palatino Linotype" w:eastAsia="Times New Roman" w:hAnsi="Palatino Linotype" w:cs="Arial"/>
          <w:lang w:val="es-ES"/>
        </w:rPr>
        <w:t xml:space="preserve"> particularmente con lo señalado en el considerando tercero y cuarto, mismos que disponen:</w:t>
      </w:r>
    </w:p>
    <w:p w14:paraId="23F8A6D7" w14:textId="77777777" w:rsidR="00832A53" w:rsidRPr="00750135" w:rsidRDefault="00832A53" w:rsidP="00832A53">
      <w:pPr>
        <w:spacing w:line="360" w:lineRule="auto"/>
        <w:jc w:val="both"/>
        <w:rPr>
          <w:rFonts w:ascii="Palatino Linotype" w:eastAsia="Times New Roman" w:hAnsi="Palatino Linotype" w:cs="Arial"/>
          <w:lang w:val="es-ES"/>
        </w:rPr>
      </w:pPr>
    </w:p>
    <w:p w14:paraId="15254353" w14:textId="77777777" w:rsidR="00832A53" w:rsidRPr="00750135" w:rsidRDefault="00832A53" w:rsidP="00832A53">
      <w:pPr>
        <w:ind w:left="709" w:right="474"/>
        <w:jc w:val="both"/>
        <w:rPr>
          <w:rFonts w:ascii="Palatino Linotype" w:eastAsia="Times New Roman" w:hAnsi="Palatino Linotype" w:cs="Arial"/>
          <w:i/>
          <w:lang w:val="es-ES"/>
        </w:rPr>
      </w:pPr>
      <w:r w:rsidRPr="00750135">
        <w:rPr>
          <w:rFonts w:ascii="Palatino Linotype" w:eastAsia="Times New Roman" w:hAnsi="Palatino Linotype" w:cs="Arial"/>
          <w:i/>
          <w:lang w:val="es-ES"/>
        </w:rPr>
        <w:lastRenderedPageBreak/>
        <w:t xml:space="preserve">“Que en términos de lo dispuesto por la </w:t>
      </w:r>
      <w:r w:rsidRPr="00750135">
        <w:rPr>
          <w:rFonts w:ascii="Palatino Linotype" w:eastAsia="Times New Roman" w:hAnsi="Palatino Linotype" w:cs="Arial"/>
          <w:b/>
          <w:i/>
          <w:lang w:val="es-ES"/>
        </w:rPr>
        <w:t>Ley de Seguridad Pública Preventiva del Estado de México, la Dirección General de Segundad Pública y Tránsito del Estado de México, es una autoridad estatal en materia de seguridad pública preventiva</w:t>
      </w:r>
      <w:r w:rsidRPr="00750135">
        <w:rPr>
          <w:rFonts w:ascii="Palatino Linotype" w:eastAsia="Times New Roman" w:hAnsi="Palatino Linotype" w:cs="Arial"/>
          <w:i/>
          <w:lang w:val="es-ES"/>
        </w:rPr>
        <w:t xml:space="preserve">, a la cual le corresponde, entre otras atribuciones, vigilar el cumplimiento de las leyes, reglamentos, acuerdos, convenios y demás disposiciones referentes a la Seguridad Pública Preventiva </w:t>
      </w:r>
    </w:p>
    <w:p w14:paraId="519489FD" w14:textId="77777777" w:rsidR="00832A53" w:rsidRPr="00750135" w:rsidRDefault="00832A53" w:rsidP="00832A53">
      <w:pPr>
        <w:ind w:left="709" w:right="474"/>
        <w:jc w:val="both"/>
        <w:rPr>
          <w:rFonts w:ascii="Palatino Linotype" w:eastAsia="Times New Roman" w:hAnsi="Palatino Linotype" w:cs="Arial"/>
          <w:i/>
          <w:lang w:val="es-ES"/>
        </w:rPr>
      </w:pPr>
    </w:p>
    <w:p w14:paraId="4A7E89A6" w14:textId="77777777" w:rsidR="00832A53" w:rsidRPr="00750135" w:rsidRDefault="00832A53" w:rsidP="00832A53">
      <w:pPr>
        <w:ind w:left="709" w:right="474"/>
        <w:jc w:val="both"/>
        <w:rPr>
          <w:rFonts w:ascii="Palatino Linotype" w:eastAsia="Times New Roman" w:hAnsi="Palatino Linotype" w:cs="Arial"/>
          <w:i/>
          <w:lang w:val="es-ES"/>
        </w:rPr>
      </w:pPr>
      <w:r w:rsidRPr="00750135">
        <w:rPr>
          <w:rFonts w:ascii="Palatino Linotype" w:eastAsia="Times New Roman" w:hAnsi="Palatino Linotype" w:cs="Arial"/>
          <w:i/>
          <w:lang w:val="es-ES"/>
        </w:rPr>
        <w:t xml:space="preserve">Que en el marco de la Ley Federal de Armas de Fuego y Explosivos, </w:t>
      </w:r>
      <w:r w:rsidRPr="00750135">
        <w:rPr>
          <w:rFonts w:ascii="Palatino Linotype" w:eastAsia="Times New Roman" w:hAnsi="Palatino Linotype" w:cs="Arial"/>
          <w:b/>
          <w:i/>
          <w:lang w:val="es-ES"/>
        </w:rPr>
        <w:t>la Secretaría de la Defensa Nacional otorgó al Gobierno del Estado de México, a través de la Dirección General de Seguridad Pública y Tránsito, la Licencia Oficial Colectiva No. 139</w:t>
      </w:r>
      <w:r w:rsidRPr="00750135">
        <w:rPr>
          <w:rFonts w:ascii="Palatino Linotype" w:eastAsia="Times New Roman" w:hAnsi="Palatino Linotype" w:cs="Arial"/>
          <w:i/>
          <w:lang w:val="es-ES"/>
        </w:rPr>
        <w:t xml:space="preserve"> mediante la cual se concede el permiso para la portación de armas de fuego a los Cuerpos de Seguridad Pública Preventiva.”</w:t>
      </w:r>
    </w:p>
    <w:p w14:paraId="73737DDE" w14:textId="77777777" w:rsidR="00832A53" w:rsidRPr="00750135" w:rsidRDefault="00832A53" w:rsidP="00832A53">
      <w:pPr>
        <w:spacing w:line="360" w:lineRule="auto"/>
        <w:jc w:val="both"/>
        <w:rPr>
          <w:rFonts w:ascii="Palatino Linotype" w:eastAsia="Times New Roman" w:hAnsi="Palatino Linotype" w:cs="Arial"/>
          <w:lang w:val="es-ES"/>
        </w:rPr>
      </w:pPr>
    </w:p>
    <w:p w14:paraId="608A5952" w14:textId="07E533D2" w:rsidR="00986792" w:rsidRPr="00750135" w:rsidRDefault="00832A53" w:rsidP="00832A53">
      <w:pPr>
        <w:pStyle w:val="Prrafodelista"/>
        <w:numPr>
          <w:ilvl w:val="0"/>
          <w:numId w:val="1"/>
        </w:numPr>
        <w:spacing w:line="360" w:lineRule="auto"/>
        <w:jc w:val="both"/>
        <w:rPr>
          <w:rFonts w:ascii="Palatino Linotype" w:eastAsia="Times New Roman" w:hAnsi="Palatino Linotype" w:cs="Arial"/>
          <w:lang w:val="es-ES"/>
        </w:rPr>
      </w:pPr>
      <w:r w:rsidRPr="00750135">
        <w:rPr>
          <w:rFonts w:ascii="Palatino Linotype" w:eastAsia="Times New Roman" w:hAnsi="Palatino Linotype" w:cs="Arial"/>
          <w:lang w:val="es-ES"/>
        </w:rPr>
        <w:t xml:space="preserve">Así, se advierte que el Gobierno del Estado de México cuenta con una Licencia Oficial Colectiva para la portación y uso de armas de fuego, </w:t>
      </w:r>
      <w:r w:rsidR="00986792" w:rsidRPr="00750135">
        <w:rPr>
          <w:rFonts w:ascii="Palatino Linotype" w:eastAsia="Times New Roman" w:hAnsi="Palatino Linotype" w:cs="Arial"/>
          <w:lang w:val="es-ES"/>
        </w:rPr>
        <w:t xml:space="preserve">además, </w:t>
      </w:r>
      <w:r w:rsidRPr="00750135">
        <w:rPr>
          <w:rFonts w:ascii="Palatino Linotype" w:eastAsia="Times New Roman" w:hAnsi="Palatino Linotype" w:cs="Arial"/>
          <w:lang w:val="es-ES"/>
        </w:rPr>
        <w:t>debemos atender lo que disponen los diversos cuerpos normativos que regulan la portación de armas en el Estado de México y sus Municipios.</w:t>
      </w:r>
    </w:p>
    <w:p w14:paraId="05DEC963" w14:textId="77777777" w:rsidR="00986792" w:rsidRPr="00750135" w:rsidRDefault="00986792" w:rsidP="00986792">
      <w:pPr>
        <w:pStyle w:val="Prrafodelista"/>
        <w:spacing w:line="360" w:lineRule="auto"/>
        <w:ind w:left="0"/>
        <w:jc w:val="both"/>
        <w:rPr>
          <w:rFonts w:ascii="Palatino Linotype" w:eastAsia="Times New Roman" w:hAnsi="Palatino Linotype" w:cs="Arial"/>
          <w:lang w:val="es-ES"/>
        </w:rPr>
      </w:pPr>
    </w:p>
    <w:p w14:paraId="10BB742F" w14:textId="77777777" w:rsidR="00986792" w:rsidRPr="00750135" w:rsidRDefault="00832A53" w:rsidP="00832A53">
      <w:pPr>
        <w:pStyle w:val="Prrafodelista"/>
        <w:numPr>
          <w:ilvl w:val="0"/>
          <w:numId w:val="1"/>
        </w:numPr>
        <w:spacing w:line="360" w:lineRule="auto"/>
        <w:jc w:val="both"/>
        <w:rPr>
          <w:rFonts w:ascii="Palatino Linotype" w:eastAsia="Times New Roman" w:hAnsi="Palatino Linotype" w:cs="Arial"/>
          <w:lang w:val="es-ES"/>
        </w:rPr>
      </w:pPr>
      <w:r w:rsidRPr="00750135">
        <w:rPr>
          <w:rFonts w:ascii="Palatino Linotype" w:eastAsia="Times New Roman" w:hAnsi="Palatino Linotype" w:cs="Arial"/>
          <w:lang w:val="es-ES"/>
        </w:rPr>
        <w:t xml:space="preserve">Dicho lo anterior, </w:t>
      </w:r>
      <w:r w:rsidRPr="00750135">
        <w:rPr>
          <w:rFonts w:ascii="Palatino Linotype" w:eastAsia="Times New Roman" w:hAnsi="Palatino Linotype" w:cs="Arial"/>
          <w:b/>
          <w:u w:val="single"/>
          <w:lang w:val="es-ES"/>
        </w:rPr>
        <w:t>la Ley de Seguridad del Estado de México establece en su artículo 21</w:t>
      </w:r>
      <w:r w:rsidR="00986792" w:rsidRPr="00750135">
        <w:rPr>
          <w:rFonts w:ascii="Palatino Linotype" w:eastAsia="Times New Roman" w:hAnsi="Palatino Linotype" w:cs="Arial"/>
          <w:b/>
          <w:u w:val="single"/>
          <w:lang w:val="es-ES"/>
        </w:rPr>
        <w:t>, fracción XXVII</w:t>
      </w:r>
      <w:r w:rsidR="00986792" w:rsidRPr="00750135">
        <w:rPr>
          <w:rStyle w:val="Refdenotaalpie"/>
          <w:rFonts w:ascii="Palatino Linotype" w:eastAsia="Times New Roman" w:hAnsi="Palatino Linotype" w:cs="Arial"/>
          <w:b/>
          <w:u w:val="single"/>
          <w:lang w:val="es-ES"/>
        </w:rPr>
        <w:footnoteReference w:id="23"/>
      </w:r>
      <w:r w:rsidRPr="00750135">
        <w:rPr>
          <w:rFonts w:ascii="Palatino Linotype" w:eastAsia="Times New Roman" w:hAnsi="Palatino Linotype" w:cs="Arial"/>
          <w:b/>
          <w:u w:val="single"/>
          <w:lang w:val="es-ES"/>
        </w:rPr>
        <w:t xml:space="preserve"> que son atribuciones de los Presidentes Municipales, la de satisfacer oportunamente los requerimientos que le sean solicitados por la Secretaría, para el registro y actualización de la licencia colectiva para la portación de armas de fuego de los integrantes de las instituciones policiales a su cargo</w:t>
      </w:r>
      <w:r w:rsidRPr="00750135">
        <w:rPr>
          <w:rFonts w:ascii="Palatino Linotype" w:eastAsia="Times New Roman" w:hAnsi="Palatino Linotype" w:cs="Arial"/>
          <w:lang w:val="es-ES"/>
        </w:rPr>
        <w:t>; así como que, los Ayuntamientos deberán considerar en su estructura org</w:t>
      </w:r>
      <w:r w:rsidR="00986792" w:rsidRPr="00750135">
        <w:rPr>
          <w:rFonts w:ascii="Palatino Linotype" w:eastAsia="Times New Roman" w:hAnsi="Palatino Linotype" w:cs="Arial"/>
          <w:lang w:val="es-ES"/>
        </w:rPr>
        <w:t xml:space="preserve">ánica una unidad administrativa, </w:t>
      </w:r>
      <w:r w:rsidRPr="00750135">
        <w:rPr>
          <w:rFonts w:ascii="Palatino Linotype" w:eastAsia="Times New Roman" w:hAnsi="Palatino Linotype" w:cs="Arial"/>
          <w:lang w:val="es-ES"/>
        </w:rPr>
        <w:t xml:space="preserve">la cual tendrá las facultades y atribuciones previstas por esta Ley y los demás ordenamientos aplicables, dándole a su vez facultades para fungir </w:t>
      </w:r>
      <w:r w:rsidRPr="00750135">
        <w:rPr>
          <w:rFonts w:ascii="Palatino Linotype" w:eastAsia="Times New Roman" w:hAnsi="Palatino Linotype" w:cs="Arial"/>
          <w:lang w:val="es-ES"/>
        </w:rPr>
        <w:lastRenderedPageBreak/>
        <w:t>como enlace ante la Secretaría de Seguridad para dar seguimiento al registro y actualización de la licencia colectiva para la portación de armas de fuego.</w:t>
      </w:r>
    </w:p>
    <w:p w14:paraId="759B92A3" w14:textId="77777777" w:rsidR="00986792" w:rsidRPr="00750135" w:rsidRDefault="00986792" w:rsidP="00986792">
      <w:pPr>
        <w:pStyle w:val="Prrafodelista"/>
        <w:rPr>
          <w:rFonts w:ascii="Palatino Linotype" w:eastAsia="Times New Roman" w:hAnsi="Palatino Linotype" w:cs="Arial"/>
          <w:lang w:val="es-ES"/>
        </w:rPr>
      </w:pPr>
    </w:p>
    <w:p w14:paraId="5CC203C3" w14:textId="77777777" w:rsidR="00986792" w:rsidRPr="00750135" w:rsidRDefault="00832A53" w:rsidP="00832A53">
      <w:pPr>
        <w:pStyle w:val="Prrafodelista"/>
        <w:numPr>
          <w:ilvl w:val="0"/>
          <w:numId w:val="1"/>
        </w:numPr>
        <w:spacing w:line="360" w:lineRule="auto"/>
        <w:jc w:val="both"/>
        <w:rPr>
          <w:rFonts w:ascii="Palatino Linotype" w:eastAsia="Times New Roman" w:hAnsi="Palatino Linotype" w:cs="Arial"/>
          <w:lang w:val="es-ES"/>
        </w:rPr>
      </w:pPr>
      <w:r w:rsidRPr="00750135">
        <w:rPr>
          <w:rFonts w:ascii="Palatino Linotype" w:eastAsia="Times New Roman" w:hAnsi="Palatino Linotype" w:cs="Arial"/>
          <w:lang w:val="es-ES"/>
        </w:rPr>
        <w:t xml:space="preserve">Dichas facultades serán ejecutadas por el Departamento de Prestaciones de la Secretaría de Seguridad que es quien cuenta con las facultades para controlar y administrar la expedición de credenciales para la portación de armas de fuego del personal, incluido en la Licencia Oficial Colectiva vigente de la Secretaría de Seguridad Ciudadana y de los </w:t>
      </w:r>
      <w:r w:rsidRPr="00750135">
        <w:rPr>
          <w:rFonts w:ascii="Palatino Linotype" w:eastAsia="Times New Roman" w:hAnsi="Palatino Linotype" w:cs="Arial"/>
          <w:b/>
          <w:lang w:val="es-ES"/>
        </w:rPr>
        <w:t>Municipios.</w:t>
      </w:r>
      <w:r w:rsidRPr="00750135">
        <w:rPr>
          <w:rFonts w:ascii="Palatino Linotype" w:eastAsia="Times New Roman" w:hAnsi="Palatino Linotype" w:cs="Arial"/>
          <w:lang w:val="es-ES"/>
        </w:rPr>
        <w:t xml:space="preserve"> </w:t>
      </w:r>
    </w:p>
    <w:p w14:paraId="08334C88" w14:textId="77777777" w:rsidR="00986792" w:rsidRPr="00750135" w:rsidRDefault="00986792" w:rsidP="00986792">
      <w:pPr>
        <w:pStyle w:val="Prrafodelista"/>
        <w:rPr>
          <w:rFonts w:ascii="Palatino Linotype" w:eastAsia="Times New Roman" w:hAnsi="Palatino Linotype" w:cs="Arial"/>
          <w:lang w:val="es-ES"/>
        </w:rPr>
      </w:pPr>
    </w:p>
    <w:p w14:paraId="34A2E682" w14:textId="1CE8E59A" w:rsidR="00832A53" w:rsidRPr="00750135" w:rsidRDefault="00832A53" w:rsidP="00986792">
      <w:pPr>
        <w:pStyle w:val="Prrafodelista"/>
        <w:numPr>
          <w:ilvl w:val="0"/>
          <w:numId w:val="1"/>
        </w:numPr>
        <w:spacing w:line="360" w:lineRule="auto"/>
        <w:jc w:val="both"/>
        <w:rPr>
          <w:rFonts w:ascii="Palatino Linotype" w:eastAsia="Times New Roman" w:hAnsi="Palatino Linotype" w:cs="Arial"/>
          <w:lang w:val="es-ES"/>
        </w:rPr>
      </w:pPr>
      <w:r w:rsidRPr="00750135">
        <w:rPr>
          <w:rFonts w:ascii="Palatino Linotype" w:eastAsia="Times New Roman" w:hAnsi="Palatino Linotype" w:cs="Arial"/>
          <w:lang w:val="es-ES"/>
        </w:rPr>
        <w:t xml:space="preserve">De lo anterior podemos concluir que </w:t>
      </w:r>
      <w:r w:rsidRPr="00750135">
        <w:rPr>
          <w:rFonts w:ascii="Palatino Linotype" w:eastAsia="Times New Roman" w:hAnsi="Palatino Linotype" w:cs="Arial"/>
          <w:b/>
          <w:lang w:val="es-ES"/>
        </w:rPr>
        <w:t xml:space="preserve">el Sujeto Obligado </w:t>
      </w:r>
      <w:r w:rsidR="00986792" w:rsidRPr="00750135">
        <w:rPr>
          <w:rFonts w:ascii="Palatino Linotype" w:eastAsia="Times New Roman" w:hAnsi="Palatino Linotype" w:cs="Arial"/>
          <w:b/>
          <w:lang w:val="es-ES"/>
        </w:rPr>
        <w:t xml:space="preserve">cuenta con atribuciones para inscribir a su personal </w:t>
      </w:r>
      <w:r w:rsidR="00986792" w:rsidRPr="00750135">
        <w:rPr>
          <w:rFonts w:ascii="Palatino Linotype" w:eastAsia="Times New Roman" w:hAnsi="Palatino Linotype" w:cs="Arial"/>
          <w:lang w:val="es-ES"/>
        </w:rPr>
        <w:t xml:space="preserve">a </w:t>
      </w:r>
      <w:r w:rsidRPr="00750135">
        <w:rPr>
          <w:rFonts w:ascii="Palatino Linotype" w:eastAsia="Times New Roman" w:hAnsi="Palatino Linotype" w:cs="Arial"/>
          <w:lang w:val="es-ES"/>
        </w:rPr>
        <w:t xml:space="preserve">la Licencia Oficial Colectiva para el Estado de México a los que se les otorgarán las debidas credenciales y </w:t>
      </w:r>
      <w:r w:rsidRPr="00750135">
        <w:rPr>
          <w:rFonts w:ascii="Palatino Linotype" w:eastAsia="Times New Roman" w:hAnsi="Palatino Linotype" w:cs="Arial"/>
          <w:b/>
          <w:lang w:val="es-ES"/>
        </w:rPr>
        <w:t xml:space="preserve">el Sujeto Obligado </w:t>
      </w:r>
      <w:r w:rsidRPr="00750135">
        <w:rPr>
          <w:rFonts w:ascii="Palatino Linotype" w:eastAsia="Times New Roman" w:hAnsi="Palatino Linotype" w:cs="Arial"/>
          <w:lang w:val="es-ES"/>
        </w:rPr>
        <w:t>contará con los documentos que avalen el trámite ante la autoridad competente (expedientes), de la revalidación de la licencia oficial colectiva de portación de armas de fuego, que por sus funciones requieran de ello.</w:t>
      </w:r>
      <w:r w:rsidR="00986792" w:rsidRPr="00750135">
        <w:rPr>
          <w:rFonts w:ascii="Palatino Linotype" w:eastAsia="Times New Roman" w:hAnsi="Palatino Linotype" w:cs="Arial"/>
          <w:lang w:val="es-ES"/>
        </w:rPr>
        <w:t xml:space="preserve"> En consecuencia, se determina que la información debe existir y obrar en los archivos del Sujeto Obligado, por lo que se ORDENA su entrega.</w:t>
      </w:r>
    </w:p>
    <w:p w14:paraId="6871CD1C" w14:textId="77777777" w:rsidR="00832A53" w:rsidRPr="00750135" w:rsidRDefault="00832A53" w:rsidP="00832A53">
      <w:pPr>
        <w:pStyle w:val="Prrafodelista"/>
        <w:tabs>
          <w:tab w:val="left" w:pos="851"/>
        </w:tabs>
        <w:spacing w:before="240" w:after="240" w:line="360" w:lineRule="auto"/>
        <w:ind w:left="0" w:right="49"/>
        <w:jc w:val="both"/>
        <w:rPr>
          <w:rFonts w:ascii="Palatino Linotype" w:hAnsi="Palatino Linotype"/>
          <w:lang w:val="es-ES"/>
        </w:rPr>
      </w:pPr>
    </w:p>
    <w:p w14:paraId="591BAD64" w14:textId="08E49A35" w:rsidR="00AA5E18" w:rsidRPr="00750135" w:rsidRDefault="00580267" w:rsidP="00AA5E18">
      <w:pPr>
        <w:pStyle w:val="Prrafodelista"/>
        <w:spacing w:line="360" w:lineRule="auto"/>
        <w:ind w:left="0"/>
        <w:jc w:val="both"/>
        <w:rPr>
          <w:rFonts w:ascii="Palatino Linotype" w:hAnsi="Palatino Linotype"/>
          <w:b/>
        </w:rPr>
      </w:pPr>
      <w:r w:rsidRPr="00750135">
        <w:rPr>
          <w:rFonts w:ascii="Palatino Linotype" w:hAnsi="Palatino Linotype"/>
          <w:b/>
        </w:rPr>
        <w:t>e</w:t>
      </w:r>
      <w:r w:rsidR="00AA5E18" w:rsidRPr="00750135">
        <w:rPr>
          <w:rFonts w:ascii="Palatino Linotype" w:hAnsi="Palatino Linotype"/>
          <w:b/>
        </w:rPr>
        <w:t>) De la suplencia a la deficiencia de la queja.</w:t>
      </w:r>
    </w:p>
    <w:p w14:paraId="1E2F9D8F" w14:textId="77777777" w:rsidR="00AA5E18" w:rsidRPr="00750135" w:rsidRDefault="00AA5E18" w:rsidP="00AA5E18">
      <w:pPr>
        <w:pStyle w:val="Prrafodelista"/>
        <w:spacing w:line="360" w:lineRule="auto"/>
        <w:ind w:left="0"/>
        <w:jc w:val="both"/>
        <w:rPr>
          <w:rFonts w:ascii="Palatino Linotype" w:hAnsi="Palatino Linotype"/>
        </w:rPr>
      </w:pPr>
    </w:p>
    <w:p w14:paraId="195443BC" w14:textId="77777777" w:rsidR="00AA5E18" w:rsidRPr="00750135" w:rsidRDefault="00AA5E18" w:rsidP="00AA5E18">
      <w:pPr>
        <w:pStyle w:val="Prrafodelista"/>
        <w:numPr>
          <w:ilvl w:val="0"/>
          <w:numId w:val="1"/>
        </w:numPr>
        <w:tabs>
          <w:tab w:val="left" w:pos="567"/>
        </w:tabs>
        <w:spacing w:line="360" w:lineRule="auto"/>
        <w:jc w:val="both"/>
        <w:rPr>
          <w:rFonts w:ascii="Palatino Linotype" w:eastAsia="Palatino Linotype" w:hAnsi="Palatino Linotype" w:cs="Palatino Linotype"/>
        </w:rPr>
      </w:pPr>
      <w:r w:rsidRPr="00750135">
        <w:rPr>
          <w:rFonts w:ascii="Palatino Linotype" w:eastAsia="Calibri" w:hAnsi="Palatino Linotype" w:cs="Arial"/>
        </w:rPr>
        <w:t>Ahora bien, e</w:t>
      </w:r>
      <w:r w:rsidRPr="00750135">
        <w:rPr>
          <w:rFonts w:ascii="Palatino Linotype" w:eastAsia="Palatino Linotype" w:hAnsi="Palatino Linotype" w:cs="Palatino Linotype"/>
        </w:rPr>
        <w:t>s importante destacar es que</w:t>
      </w:r>
      <w:r w:rsidRPr="00750135">
        <w:rPr>
          <w:rFonts w:ascii="Palatino Linotype" w:eastAsia="Palatino Linotype" w:hAnsi="Palatino Linotype" w:cs="Palatino Linotype"/>
          <w:b/>
        </w:rPr>
        <w:t xml:space="preserve"> </w:t>
      </w:r>
      <w:r w:rsidRPr="00750135">
        <w:rPr>
          <w:rFonts w:ascii="Palatino Linotype" w:hAnsi="Palatino Linotype" w:cs="Arial"/>
          <w:bCs/>
        </w:rPr>
        <w:t xml:space="preserve">el Derecho de Acceso a la Información Pública, a diferencia de otros derechos, </w:t>
      </w:r>
      <w:r w:rsidRPr="00750135">
        <w:rPr>
          <w:rFonts w:ascii="Palatino Linotype" w:hAnsi="Palatino Linotype"/>
        </w:rPr>
        <w:t xml:space="preserve">permite que los propios particulares actúen sin la necesidad de contar con un representante legal, conforme lo señala el artículo 152 y 178 de la </w:t>
      </w:r>
      <w:r w:rsidRPr="00750135">
        <w:rPr>
          <w:rFonts w:ascii="Palatino Linotype" w:hAnsi="Palatino Linotype" w:cs="Arial"/>
        </w:rPr>
        <w:t>Ley de Transparencia y Acceso a la Información Pública del Estado de México y Municipios:</w:t>
      </w:r>
    </w:p>
    <w:p w14:paraId="50B7466F" w14:textId="77777777" w:rsidR="00AA5E18" w:rsidRPr="00750135" w:rsidRDefault="00AA5E18" w:rsidP="00AA5E18">
      <w:pPr>
        <w:pStyle w:val="Prrafodelista"/>
        <w:rPr>
          <w:rFonts w:ascii="Palatino Linotype" w:hAnsi="Palatino Linotype" w:cs="Arial"/>
        </w:rPr>
      </w:pPr>
    </w:p>
    <w:p w14:paraId="2215E093" w14:textId="77777777" w:rsidR="00AA5E18" w:rsidRPr="00750135" w:rsidRDefault="00AA5E18" w:rsidP="00AA5E18">
      <w:pPr>
        <w:autoSpaceDE w:val="0"/>
        <w:autoSpaceDN w:val="0"/>
        <w:adjustRightInd w:val="0"/>
        <w:spacing w:line="360" w:lineRule="auto"/>
        <w:ind w:left="567" w:right="616"/>
        <w:jc w:val="both"/>
        <w:rPr>
          <w:rFonts w:ascii="Palatino Linotype" w:hAnsi="Palatino Linotype" w:cs="Bookman Old Style"/>
          <w:i/>
          <w:sz w:val="22"/>
        </w:rPr>
      </w:pPr>
      <w:r w:rsidRPr="00750135">
        <w:rPr>
          <w:rFonts w:ascii="Palatino Linotype" w:hAnsi="Palatino Linotype" w:cs="Bookman Old Style,Bold"/>
          <w:b/>
          <w:bCs/>
          <w:i/>
          <w:sz w:val="22"/>
        </w:rPr>
        <w:t xml:space="preserve">Artículo 152. </w:t>
      </w:r>
      <w:r w:rsidRPr="00750135">
        <w:rPr>
          <w:rFonts w:ascii="Palatino Linotype" w:hAnsi="Palatino Linotype" w:cs="Bookman Old Style"/>
          <w:b/>
          <w:i/>
          <w:sz w:val="22"/>
          <w:u w:val="single"/>
        </w:rPr>
        <w:t>Cualquier persona por sí misma o a través de su representante, podrá presentar solicitud de acceso a información</w:t>
      </w:r>
      <w:r w:rsidRPr="00750135">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3C552F7C" w14:textId="77777777" w:rsidR="00AA5E18" w:rsidRPr="00750135" w:rsidRDefault="00AA5E18" w:rsidP="00AA5E18">
      <w:pPr>
        <w:autoSpaceDE w:val="0"/>
        <w:autoSpaceDN w:val="0"/>
        <w:adjustRightInd w:val="0"/>
        <w:spacing w:line="360" w:lineRule="auto"/>
        <w:ind w:left="567" w:right="616"/>
        <w:jc w:val="both"/>
        <w:rPr>
          <w:rFonts w:ascii="Palatino Linotype" w:hAnsi="Palatino Linotype" w:cs="Arial"/>
          <w:i/>
        </w:rPr>
      </w:pPr>
      <w:r w:rsidRPr="00750135">
        <w:rPr>
          <w:rFonts w:ascii="Palatino Linotype" w:hAnsi="Palatino Linotype" w:cs="Bookman Old Style,Bold"/>
          <w:b/>
          <w:bCs/>
          <w:i/>
          <w:sz w:val="22"/>
        </w:rPr>
        <w:t>…</w:t>
      </w:r>
    </w:p>
    <w:p w14:paraId="2B0B77D9" w14:textId="77777777" w:rsidR="00AA5E18" w:rsidRPr="00750135" w:rsidRDefault="00AA5E18" w:rsidP="00AA5E18">
      <w:pPr>
        <w:pStyle w:val="Prrafodelista"/>
        <w:spacing w:line="360" w:lineRule="auto"/>
        <w:ind w:left="567" w:right="616"/>
        <w:jc w:val="both"/>
        <w:rPr>
          <w:rFonts w:ascii="Palatino Linotype" w:hAnsi="Palatino Linotype" w:cs="Arial"/>
          <w:i/>
          <w:color w:val="000000" w:themeColor="text1"/>
        </w:rPr>
      </w:pPr>
      <w:r w:rsidRPr="00750135">
        <w:rPr>
          <w:rFonts w:ascii="Palatino Linotype" w:hAnsi="Palatino Linotype"/>
          <w:i/>
        </w:rPr>
        <w:t>Artículo 178.</w:t>
      </w:r>
      <w:r w:rsidRPr="00750135">
        <w:rPr>
          <w:rFonts w:ascii="Palatino Linotype" w:hAnsi="Palatino Linotype"/>
          <w:b/>
          <w:i/>
        </w:rPr>
        <w:t xml:space="preserve"> </w:t>
      </w:r>
      <w:r w:rsidRPr="00750135">
        <w:rPr>
          <w:rFonts w:ascii="Palatino Linotype" w:hAnsi="Palatino Linotype"/>
          <w:b/>
          <w:i/>
          <w:u w:val="single"/>
        </w:rPr>
        <w:t>El solicitante podrá interponer, por sí mismo</w:t>
      </w:r>
      <w:r w:rsidRPr="00750135">
        <w:rPr>
          <w:rFonts w:ascii="Palatino Linotype" w:hAnsi="Palatino Linotype"/>
          <w:i/>
          <w:u w:val="single"/>
        </w:rPr>
        <w:t xml:space="preserve"> </w:t>
      </w:r>
      <w:r w:rsidRPr="00750135">
        <w:rPr>
          <w:rFonts w:ascii="Palatino Linotype" w:hAnsi="Palatino Linotype"/>
          <w:b/>
          <w:i/>
          <w:u w:val="single"/>
        </w:rPr>
        <w:t>o a través de su representante, de manera directa o por medios electrónicos, recurso de revisión</w:t>
      </w:r>
      <w:r w:rsidRPr="00750135">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72018477" w14:textId="77777777" w:rsidR="00AA5E18" w:rsidRPr="00750135" w:rsidRDefault="00AA5E18" w:rsidP="00AA5E18">
      <w:pPr>
        <w:pStyle w:val="Prrafodelista"/>
        <w:tabs>
          <w:tab w:val="left" w:pos="426"/>
          <w:tab w:val="left" w:pos="851"/>
        </w:tabs>
        <w:spacing w:line="360" w:lineRule="auto"/>
        <w:ind w:left="426" w:right="49"/>
        <w:jc w:val="both"/>
        <w:rPr>
          <w:rFonts w:ascii="Palatino Linotype" w:hAnsi="Palatino Linotype"/>
        </w:rPr>
      </w:pPr>
    </w:p>
    <w:p w14:paraId="3F43B1C1" w14:textId="77777777" w:rsidR="00AA5E18" w:rsidRPr="00750135" w:rsidRDefault="00AA5E18" w:rsidP="00AA5E18">
      <w:pPr>
        <w:pStyle w:val="Prrafodelista"/>
        <w:numPr>
          <w:ilvl w:val="0"/>
          <w:numId w:val="1"/>
        </w:numPr>
        <w:spacing w:line="360" w:lineRule="auto"/>
        <w:jc w:val="both"/>
        <w:rPr>
          <w:rFonts w:ascii="Palatino Linotype" w:hAnsi="Palatino Linotype"/>
          <w:b/>
        </w:rPr>
      </w:pPr>
      <w:r w:rsidRPr="00750135">
        <w:rPr>
          <w:rFonts w:ascii="Palatino Linotype" w:hAnsi="Palatino Linotype" w:cs="Arial"/>
        </w:rPr>
        <w:t xml:space="preserve">De la interpretación de los preceptos legales en cito, se determina que los particulares pueden interponer la solicitud y posteriormente recurso de revisión </w:t>
      </w:r>
      <w:r w:rsidRPr="00750135">
        <w:rPr>
          <w:rFonts w:ascii="Palatino Linotype" w:hAnsi="Palatino Linotype" w:cs="Arial"/>
          <w:b/>
        </w:rPr>
        <w:t xml:space="preserve">por sí mismos o a través de un representante; </w:t>
      </w:r>
      <w:r w:rsidRPr="00750135">
        <w:rPr>
          <w:rFonts w:ascii="Palatino Linotype" w:hAnsi="Palatino Linotype" w:cs="Arial"/>
        </w:rPr>
        <w:t xml:space="preserve">ante dicha aseveración,  se desconoce si en el presente asunto el particular formuló su solicitud por medio de un representante legal experto en la materia o por sí mismo, a falta de dicho elemento, se presume que los particulares presentan su solicitud por sí mismos y que éstos, </w:t>
      </w:r>
      <w:r w:rsidRPr="00750135">
        <w:rPr>
          <w:rFonts w:ascii="Palatino Linotype" w:hAnsi="Palatino Linotype" w:cs="Arial"/>
          <w:b/>
        </w:rPr>
        <w:t>pueden no ser expertos en la materia.</w:t>
      </w:r>
    </w:p>
    <w:p w14:paraId="230721F1" w14:textId="77777777" w:rsidR="00AA5E18" w:rsidRPr="00750135" w:rsidRDefault="00AA5E18" w:rsidP="00AA5E18">
      <w:pPr>
        <w:pStyle w:val="Prrafodelista"/>
        <w:spacing w:line="360" w:lineRule="auto"/>
        <w:ind w:left="0"/>
        <w:jc w:val="both"/>
        <w:rPr>
          <w:rFonts w:ascii="Palatino Linotype" w:hAnsi="Palatino Linotype"/>
          <w:b/>
        </w:rPr>
      </w:pPr>
    </w:p>
    <w:p w14:paraId="63ADD272" w14:textId="02007A6F" w:rsidR="00AA5E18" w:rsidRPr="00750135" w:rsidRDefault="00AA5E18" w:rsidP="006759C3">
      <w:pPr>
        <w:pStyle w:val="Prrafodelista"/>
        <w:numPr>
          <w:ilvl w:val="0"/>
          <w:numId w:val="1"/>
        </w:numPr>
        <w:spacing w:line="360" w:lineRule="auto"/>
        <w:jc w:val="both"/>
        <w:rPr>
          <w:rFonts w:ascii="Palatino Linotype" w:eastAsia="Palatino Linotype" w:hAnsi="Palatino Linotype" w:cs="Palatino Linotype"/>
        </w:rPr>
      </w:pPr>
      <w:r w:rsidRPr="00750135">
        <w:rPr>
          <w:rFonts w:ascii="Palatino Linotype" w:hAnsi="Palatino Linotype"/>
        </w:rPr>
        <w:t xml:space="preserve">Es por ello que, al no tener certeza si los particulares actúan a través de un representante legal que nace la necesidad de actuar bajo estricto apego al principio </w:t>
      </w:r>
      <w:r w:rsidRPr="00750135">
        <w:rPr>
          <w:rFonts w:ascii="Palatino Linotype" w:hAnsi="Palatino Linotype"/>
        </w:rPr>
        <w:lastRenderedPageBreak/>
        <w:t xml:space="preserve">de eficacia y con fundamento en </w:t>
      </w:r>
      <w:r w:rsidRPr="00750135">
        <w:rPr>
          <w:rFonts w:ascii="Palatino Linotype" w:hAnsi="Palatino Linotype"/>
          <w:szCs w:val="22"/>
        </w:rPr>
        <w:t>los artículos 13</w:t>
      </w:r>
      <w:r w:rsidRPr="00750135">
        <w:rPr>
          <w:rStyle w:val="Refdenotaalpie"/>
          <w:szCs w:val="22"/>
        </w:rPr>
        <w:footnoteReference w:id="24"/>
      </w:r>
      <w:r w:rsidRPr="00750135">
        <w:rPr>
          <w:rFonts w:ascii="Palatino Linotype" w:hAnsi="Palatino Linotype"/>
          <w:szCs w:val="22"/>
        </w:rPr>
        <w:t xml:space="preserve"> y 181</w:t>
      </w:r>
      <w:r w:rsidRPr="00750135">
        <w:rPr>
          <w:rStyle w:val="Refdenotaalpie"/>
          <w:szCs w:val="22"/>
        </w:rPr>
        <w:footnoteReference w:id="25"/>
      </w:r>
      <w:r w:rsidRPr="00750135">
        <w:rPr>
          <w:rFonts w:ascii="Palatino Linotype" w:hAnsi="Palatino Linotype"/>
          <w:szCs w:val="22"/>
        </w:rPr>
        <w:t xml:space="preserve"> penúltimo párrafo de la Ley de Transparencia y Acceso a la Información Pública del Estado de México y Municipios </w:t>
      </w:r>
      <w:r w:rsidRPr="00750135">
        <w:rPr>
          <w:rFonts w:ascii="Palatino Linotype" w:hAnsi="Palatino Linotype"/>
          <w:b/>
          <w:szCs w:val="22"/>
        </w:rPr>
        <w:t xml:space="preserve">deberá suplir dicha deficiencia a favor del recurrente, </w:t>
      </w:r>
      <w:r w:rsidRPr="00750135">
        <w:rPr>
          <w:rFonts w:ascii="Palatino Linotype" w:eastAsia="Palatino Linotype" w:hAnsi="Palatino Linotype" w:cs="Palatino Linotype"/>
        </w:rPr>
        <w:t xml:space="preserve">en cuanto a la temporalidad; toda vez que se la simple lectura a la solicitud, no se advierte que señale o precise una temporalidad de la cual requiere la información; en consecuencia, el Sujeto Obligado debe realizar una búsqueda exhaustiva y razonable de la información a efecto de que proporcione la que corresponde al año inmediato anterior a la fecha en la que se presentó la solicitud, </w:t>
      </w:r>
      <w:r w:rsidR="006759C3" w:rsidRPr="00750135">
        <w:rPr>
          <w:rFonts w:ascii="Palatino Linotype" w:eastAsia="Palatino Linotype" w:hAnsi="Palatino Linotype" w:cs="Palatino Linotype"/>
        </w:rPr>
        <w:t xml:space="preserve">es decir, </w:t>
      </w:r>
      <w:r w:rsidR="006759C3" w:rsidRPr="00750135">
        <w:rPr>
          <w:rFonts w:ascii="Palatino Linotype" w:eastAsia="Palatino Linotype" w:hAnsi="Palatino Linotype" w:cs="Palatino Linotype"/>
          <w:b/>
        </w:rPr>
        <w:t>del veintiocho (28) de marzo de dos mil veintiuno al veintiocho (28) de marzo de dos mil veintidós</w:t>
      </w:r>
      <w:r w:rsidR="006759C3" w:rsidRPr="00750135">
        <w:rPr>
          <w:rFonts w:ascii="Palatino Linotype" w:eastAsia="Palatino Linotype" w:hAnsi="Palatino Linotype" w:cs="Palatino Linotype"/>
        </w:rPr>
        <w:t xml:space="preserve"> </w:t>
      </w:r>
      <w:r w:rsidRPr="00750135">
        <w:rPr>
          <w:rFonts w:ascii="Palatino Linotype" w:eastAsia="Palatino Linotype" w:hAnsi="Palatino Linotype" w:cs="Palatino Linotype"/>
        </w:rPr>
        <w:t>esto por lo que corresponde a los siguientes requerimientos:</w:t>
      </w:r>
    </w:p>
    <w:p w14:paraId="26450D17" w14:textId="77777777" w:rsidR="00AA5E18" w:rsidRPr="00750135" w:rsidRDefault="00AA5E18" w:rsidP="00AA5E18">
      <w:pPr>
        <w:pStyle w:val="Prrafodelista"/>
        <w:rPr>
          <w:rFonts w:ascii="Palatino Linotype" w:eastAsia="Palatino Linotype" w:hAnsi="Palatino Linotype" w:cs="Palatino Linotype"/>
          <w:sz w:val="22"/>
        </w:rPr>
      </w:pPr>
    </w:p>
    <w:p w14:paraId="0F7212B9" w14:textId="0BBF322D" w:rsidR="00AA5E18" w:rsidRPr="00750135" w:rsidRDefault="00AA5E18" w:rsidP="006759C3">
      <w:pPr>
        <w:pStyle w:val="Prrafodelista"/>
        <w:numPr>
          <w:ilvl w:val="0"/>
          <w:numId w:val="22"/>
        </w:numPr>
        <w:spacing w:line="360" w:lineRule="auto"/>
        <w:jc w:val="both"/>
        <w:rPr>
          <w:rFonts w:ascii="Palatino Linotype" w:eastAsia="Palatino Linotype" w:hAnsi="Palatino Linotype" w:cs="Palatino Linotype"/>
          <w:sz w:val="22"/>
        </w:rPr>
      </w:pPr>
      <w:r w:rsidRPr="00750135">
        <w:rPr>
          <w:rFonts w:ascii="Palatino Linotype" w:eastAsia="Palatino Linotype" w:hAnsi="Palatino Linotype" w:cs="Palatino Linotype"/>
          <w:sz w:val="22"/>
        </w:rPr>
        <w:t>Acciones tendientes a la armonización contable;</w:t>
      </w:r>
      <w:r w:rsidR="006759C3" w:rsidRPr="00750135">
        <w:rPr>
          <w:rFonts w:ascii="Palatino Linotype" w:eastAsia="Palatino Linotype" w:hAnsi="Palatino Linotype" w:cs="Palatino Linotype"/>
          <w:sz w:val="22"/>
        </w:rPr>
        <w:t xml:space="preserve"> y,</w:t>
      </w:r>
    </w:p>
    <w:p w14:paraId="15FC5114" w14:textId="46EE27CC" w:rsidR="006759C3" w:rsidRPr="00750135" w:rsidRDefault="006759C3" w:rsidP="006759C3">
      <w:pPr>
        <w:pStyle w:val="Prrafodelista"/>
        <w:numPr>
          <w:ilvl w:val="0"/>
          <w:numId w:val="22"/>
        </w:numPr>
        <w:spacing w:line="360" w:lineRule="auto"/>
        <w:jc w:val="both"/>
        <w:rPr>
          <w:rFonts w:ascii="Palatino Linotype" w:eastAsia="Palatino Linotype" w:hAnsi="Palatino Linotype" w:cs="Palatino Linotype"/>
          <w:sz w:val="22"/>
        </w:rPr>
      </w:pPr>
      <w:r w:rsidRPr="00750135">
        <w:rPr>
          <w:rFonts w:ascii="Palatino Linotype" w:eastAsia="Palatino Linotype" w:hAnsi="Palatino Linotype" w:cs="Palatino Linotype"/>
          <w:b/>
          <w:sz w:val="22"/>
        </w:rPr>
        <w:t>Gestión o inscripción de la incorporación de los elementos de seguridad a la licencia colectiva de portación de armamento</w:t>
      </w:r>
    </w:p>
    <w:p w14:paraId="5533846A" w14:textId="77777777" w:rsidR="00AA5E18" w:rsidRPr="00750135" w:rsidRDefault="00AA5E18" w:rsidP="00AA5E18">
      <w:pPr>
        <w:pStyle w:val="Prrafodelista"/>
        <w:spacing w:line="360" w:lineRule="auto"/>
        <w:ind w:left="0"/>
        <w:jc w:val="both"/>
        <w:rPr>
          <w:rFonts w:ascii="Palatino Linotype" w:eastAsia="Palatino Linotype" w:hAnsi="Palatino Linotype" w:cs="Palatino Linotype"/>
          <w:sz w:val="22"/>
        </w:rPr>
      </w:pPr>
    </w:p>
    <w:p w14:paraId="2ED9E2EC" w14:textId="77777777" w:rsidR="00AA5E18" w:rsidRPr="00750135" w:rsidRDefault="00AA5E18" w:rsidP="00AA5E18">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750135">
        <w:rPr>
          <w:rFonts w:ascii="Palatino Linotype" w:hAnsi="Palatino Linotype" w:cs="Arial"/>
        </w:rPr>
        <w:t>Sirve de sustento a lo anterior el criterio número 9/13 emitido por el entonces Instituto Federal de Acceso a la Información Pública, cuyo texto y sentido literal es el siguiente:</w:t>
      </w:r>
    </w:p>
    <w:p w14:paraId="77E335B2" w14:textId="77777777" w:rsidR="00AA5E18" w:rsidRPr="00750135" w:rsidRDefault="00AA5E18" w:rsidP="00AA5E18">
      <w:pPr>
        <w:pStyle w:val="Prrafodelista"/>
        <w:rPr>
          <w:rFonts w:ascii="Palatino Linotype" w:hAnsi="Palatino Linotype" w:cs="Arial"/>
          <w:lang w:eastAsia="es-MX"/>
        </w:rPr>
      </w:pPr>
    </w:p>
    <w:p w14:paraId="628FF62E" w14:textId="77777777" w:rsidR="00AA5E18" w:rsidRPr="00750135" w:rsidRDefault="00AA5E18" w:rsidP="00AA5E18">
      <w:pPr>
        <w:pStyle w:val="Prrafodelista"/>
        <w:tabs>
          <w:tab w:val="left" w:pos="567"/>
        </w:tabs>
        <w:spacing w:line="360" w:lineRule="auto"/>
        <w:ind w:left="567" w:right="567"/>
        <w:jc w:val="both"/>
        <w:rPr>
          <w:rFonts w:ascii="Palatino Linotype" w:hAnsi="Palatino Linotype" w:cs="Arial"/>
          <w:i/>
          <w:sz w:val="22"/>
        </w:rPr>
      </w:pPr>
      <w:r w:rsidRPr="00750135">
        <w:rPr>
          <w:rFonts w:ascii="Palatino Linotype" w:hAnsi="Palatino Linotype" w:cs="Arial"/>
          <w:i/>
          <w:sz w:val="22"/>
        </w:rPr>
        <w:t>“</w:t>
      </w:r>
      <w:r w:rsidRPr="00750135">
        <w:rPr>
          <w:rFonts w:ascii="Palatino Linotype" w:hAnsi="Palatino Linotype" w:cs="Arial"/>
          <w:b/>
          <w:i/>
          <w:sz w:val="22"/>
        </w:rPr>
        <w:t>Periodo de búsqueda de la información, cuando no se precisa en la solicitud de información</w:t>
      </w:r>
      <w:r w:rsidRPr="00750135">
        <w:rPr>
          <w:rFonts w:ascii="Palatino Linotype" w:hAnsi="Palatino Linotype" w:cs="Arial"/>
          <w:i/>
          <w:sz w:val="22"/>
        </w:rPr>
        <w:t xml:space="preserve">. El artículo 40, fracción II de la Ley Federal de Transparencia y Acceso a </w:t>
      </w:r>
      <w:r w:rsidRPr="00750135">
        <w:rPr>
          <w:rFonts w:ascii="Palatino Linotype" w:hAnsi="Palatino Linotype" w:cs="Arial"/>
          <w:i/>
          <w:sz w:val="22"/>
        </w:rPr>
        <w:lastRenderedPageBreak/>
        <w:t xml:space="preserve">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750135">
        <w:rPr>
          <w:rFonts w:ascii="Palatino Linotype" w:hAnsi="Palatino Linotype" w:cs="Arial"/>
          <w:b/>
          <w:i/>
          <w:sz w:val="22"/>
        </w:rPr>
        <w:t>deberá interpretarse que su requerimiento se refiere al del año inmediato anterior contado a partir de la fecha en que se presentó la solicitud</w:t>
      </w:r>
      <w:r w:rsidRPr="00750135">
        <w:rPr>
          <w:rFonts w:ascii="Palatino Linotype" w:hAnsi="Palatino Linotype" w:cs="Arial"/>
          <w:i/>
          <w:sz w:val="22"/>
        </w:rPr>
        <w:t>. Lo anterior permite que los sujetos obligados cuenten con mayores elementos para precisar y localizar la información solicitada.”</w:t>
      </w:r>
    </w:p>
    <w:p w14:paraId="47E4411D" w14:textId="77777777" w:rsidR="00AA5E18" w:rsidRPr="00750135" w:rsidRDefault="00AA5E18" w:rsidP="00AA5E18">
      <w:pPr>
        <w:pStyle w:val="Prrafodelista"/>
        <w:spacing w:line="360" w:lineRule="auto"/>
        <w:ind w:left="0"/>
        <w:jc w:val="both"/>
        <w:rPr>
          <w:rFonts w:ascii="Palatino Linotype" w:eastAsia="Calibri" w:hAnsi="Palatino Linotype"/>
          <w:sz w:val="22"/>
          <w:lang w:val="es-ES_tradnl"/>
        </w:rPr>
      </w:pPr>
    </w:p>
    <w:p w14:paraId="39799527" w14:textId="107DE0FF" w:rsidR="006759C3" w:rsidRPr="00750135" w:rsidRDefault="006759C3" w:rsidP="006759C3">
      <w:pPr>
        <w:pStyle w:val="Prrafodelista"/>
        <w:numPr>
          <w:ilvl w:val="0"/>
          <w:numId w:val="1"/>
        </w:numPr>
        <w:spacing w:line="360" w:lineRule="auto"/>
        <w:jc w:val="both"/>
        <w:rPr>
          <w:rFonts w:ascii="Palatino Linotype" w:eastAsia="Calibri" w:hAnsi="Palatino Linotype"/>
          <w:lang w:val="es-ES_tradnl"/>
        </w:rPr>
      </w:pPr>
      <w:r w:rsidRPr="00750135">
        <w:rPr>
          <w:rFonts w:ascii="Palatino Linotype" w:eastAsia="Calibri" w:hAnsi="Palatino Linotype"/>
          <w:lang w:val="es-ES_tradnl"/>
        </w:rPr>
        <w:t>Ahora bien, de ser el caso que la información que se ordena entregar contenga datos personales susceptibles de clasificarse como confidenciales, el Sujeto Obligado deberá estar a lo dispuesto en el siguiente Considerando.</w:t>
      </w:r>
    </w:p>
    <w:p w14:paraId="64D9D74F" w14:textId="1955DCD6" w:rsidR="00307194" w:rsidRPr="00750135" w:rsidRDefault="00307194" w:rsidP="00307194">
      <w:pPr>
        <w:pStyle w:val="Ttulo1"/>
        <w:rPr>
          <w:b/>
          <w:lang w:val="es-ES_tradnl"/>
        </w:rPr>
      </w:pPr>
      <w:bookmarkStart w:id="35" w:name="_Toc87549682"/>
      <w:r w:rsidRPr="00750135">
        <w:rPr>
          <w:b/>
          <w:lang w:val="es-ES_tradnl"/>
        </w:rPr>
        <w:t>QUINTO. De la versión pública.</w:t>
      </w:r>
      <w:bookmarkEnd w:id="35"/>
    </w:p>
    <w:p w14:paraId="1425D342" w14:textId="77777777" w:rsidR="00307194" w:rsidRPr="00750135" w:rsidRDefault="00307194" w:rsidP="00307194">
      <w:pPr>
        <w:rPr>
          <w:rFonts w:ascii="Palatino Linotype" w:hAnsi="Palatino Linotype"/>
          <w:lang w:val="es-ES_tradnl"/>
        </w:rPr>
      </w:pPr>
    </w:p>
    <w:p w14:paraId="0A26517D" w14:textId="77777777" w:rsidR="00307194" w:rsidRPr="00750135"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6" w:name="_Toc48135362"/>
      <w:bookmarkStart w:id="37" w:name="_Toc72309902"/>
      <w:bookmarkStart w:id="38" w:name="_Toc73643041"/>
      <w:bookmarkStart w:id="39" w:name="_Toc73911519"/>
      <w:bookmarkStart w:id="40" w:name="_Toc87549683"/>
      <w:r w:rsidRPr="00750135">
        <w:rPr>
          <w:rFonts w:cs="Times New Roman"/>
          <w:b/>
          <w:color w:val="000000" w:themeColor="text1"/>
          <w:szCs w:val="24"/>
          <w:lang w:eastAsia="es-ES_tradnl"/>
        </w:rPr>
        <w:t>Nociones generales.</w:t>
      </w:r>
      <w:bookmarkEnd w:id="36"/>
      <w:bookmarkEnd w:id="37"/>
      <w:bookmarkEnd w:id="38"/>
      <w:bookmarkEnd w:id="39"/>
      <w:bookmarkEnd w:id="40"/>
      <w:r w:rsidRPr="00750135">
        <w:rPr>
          <w:rFonts w:cs="Times New Roman"/>
          <w:b/>
          <w:color w:val="000000" w:themeColor="text1"/>
          <w:szCs w:val="24"/>
          <w:lang w:eastAsia="es-ES_tradnl"/>
        </w:rPr>
        <w:t xml:space="preserve"> </w:t>
      </w:r>
    </w:p>
    <w:p w14:paraId="7B10D8F6" w14:textId="77777777" w:rsidR="00307194" w:rsidRPr="00750135" w:rsidRDefault="00307194" w:rsidP="00307194">
      <w:pPr>
        <w:rPr>
          <w:rFonts w:ascii="Palatino Linotype" w:hAnsi="Palatino Linotype"/>
          <w:lang w:eastAsia="es-ES_tradnl"/>
        </w:rPr>
      </w:pPr>
    </w:p>
    <w:p w14:paraId="50604A2E" w14:textId="77777777" w:rsidR="00307194" w:rsidRPr="00750135"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750135">
        <w:rPr>
          <w:rFonts w:ascii="Palatino Linotype" w:hAnsi="Palatino Linotype" w:cs="Arial"/>
          <w:color w:val="000000"/>
        </w:rPr>
        <w:t>Debe destacarse que, debido a la naturaleza de la información solicitada</w:t>
      </w:r>
      <w:r w:rsidRPr="00750135">
        <w:rPr>
          <w:rFonts w:ascii="Palatino Linotype" w:hAnsi="Palatino Linotype" w:cs="Arial"/>
          <w:b/>
          <w:color w:val="000000"/>
        </w:rPr>
        <w:t xml:space="preserve">, </w:t>
      </w:r>
      <w:r w:rsidRPr="00750135">
        <w:rPr>
          <w:rFonts w:ascii="Palatino Linotype" w:hAnsi="Palatino Linotype" w:cs="Arial"/>
          <w:color w:val="000000"/>
        </w:rPr>
        <w:t xml:space="preserve">eventualmente pudiera obrar datos personales susceptibles de protegerse, así como información susceptible de clasificarse como reservada, el </w:t>
      </w:r>
      <w:r w:rsidRPr="00750135">
        <w:rPr>
          <w:rFonts w:ascii="Palatino Linotype" w:hAnsi="Palatino Linotype" w:cs="Arial"/>
          <w:b/>
          <w:bCs/>
          <w:color w:val="000000"/>
        </w:rPr>
        <w:t xml:space="preserve">Sujeto Obligado </w:t>
      </w:r>
      <w:r w:rsidRPr="00750135">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750135"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750135"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750135">
        <w:rPr>
          <w:rFonts w:ascii="Palatino Linotype" w:hAnsi="Palatino Linotype" w:cs="Arial"/>
          <w:color w:val="000000"/>
        </w:rPr>
        <w:t xml:space="preserve">No pasa desapercibido para este Órgano Garante que los </w:t>
      </w:r>
      <w:r w:rsidRPr="00750135">
        <w:rPr>
          <w:rFonts w:ascii="Palatino Linotype" w:hAnsi="Palatino Linotype" w:cs="Arial"/>
          <w:b/>
          <w:bCs/>
          <w:color w:val="000000"/>
        </w:rPr>
        <w:t xml:space="preserve">Sujetos Obligados </w:t>
      </w:r>
      <w:r w:rsidRPr="00750135">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750135">
        <w:rPr>
          <w:rFonts w:ascii="Palatino Linotype" w:hAnsi="Palatino Linotype" w:cs="Arial"/>
          <w:color w:val="000000"/>
        </w:rPr>
        <w:lastRenderedPageBreak/>
        <w:t>clasificación de la información, se deben seguir una serie de pasos y procedimientos, por lo que es menester reiterar los mismos:</w:t>
      </w:r>
    </w:p>
    <w:p w14:paraId="0335C287" w14:textId="77777777" w:rsidR="00307194" w:rsidRPr="00750135"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750135"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750135" w:rsidRDefault="00307194" w:rsidP="00BE2CF3">
            <w:pPr>
              <w:tabs>
                <w:tab w:val="left" w:pos="284"/>
              </w:tabs>
              <w:spacing w:line="360" w:lineRule="auto"/>
              <w:rPr>
                <w:rFonts w:ascii="Palatino Linotype" w:hAnsi="Palatino Linotype"/>
                <w:bCs w:val="0"/>
                <w:sz w:val="20"/>
              </w:rPr>
            </w:pPr>
            <w:r w:rsidRPr="00750135">
              <w:rPr>
                <w:rFonts w:ascii="Palatino Linotype" w:hAnsi="Palatino Linotype" w:cstheme="majorBidi"/>
                <w:sz w:val="20"/>
              </w:rPr>
              <w:t>a) Requisitos previos.</w:t>
            </w:r>
          </w:p>
        </w:tc>
        <w:tc>
          <w:tcPr>
            <w:tcW w:w="6667" w:type="dxa"/>
            <w:hideMark/>
          </w:tcPr>
          <w:p w14:paraId="4A8782C3" w14:textId="77777777" w:rsidR="00307194" w:rsidRPr="00750135"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50135">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750135"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50135">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750135"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750135">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750135"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750135">
              <w:rPr>
                <w:rFonts w:ascii="Palatino Linotype" w:hAnsi="Palatino Linotype" w:cs="Arial"/>
                <w:color w:val="000000"/>
                <w:sz w:val="20"/>
              </w:rPr>
              <w:t xml:space="preserve">El último de estos requisitos previos consiste en que no se pueden emitir acuerdos de carácter general ni particular, esto es, </w:t>
            </w:r>
            <w:r w:rsidRPr="00750135">
              <w:rPr>
                <w:rFonts w:ascii="Palatino Linotype" w:hAnsi="Palatino Linotype" w:cs="Arial"/>
                <w:color w:val="000000"/>
                <w:sz w:val="20"/>
                <w:u w:val="single"/>
              </w:rPr>
              <w:t>no se puede hacer un acuerdo para clasificar de manera general todos los documentos de un expediente o área, sin</w:t>
            </w:r>
            <w:r w:rsidRPr="00750135">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750135"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750135" w:rsidRDefault="00307194" w:rsidP="00BE2CF3">
            <w:pPr>
              <w:tabs>
                <w:tab w:val="left" w:pos="284"/>
              </w:tabs>
              <w:spacing w:line="360" w:lineRule="auto"/>
              <w:rPr>
                <w:rFonts w:ascii="Palatino Linotype" w:hAnsi="Palatino Linotype"/>
                <w:bCs w:val="0"/>
                <w:sz w:val="20"/>
              </w:rPr>
            </w:pPr>
            <w:r w:rsidRPr="00750135">
              <w:rPr>
                <w:rFonts w:ascii="Palatino Linotype" w:hAnsi="Palatino Linotype" w:cstheme="majorBidi"/>
                <w:sz w:val="20"/>
              </w:rPr>
              <w:t>b) Supuestos de clasificación.</w:t>
            </w:r>
          </w:p>
        </w:tc>
        <w:tc>
          <w:tcPr>
            <w:tcW w:w="6667" w:type="dxa"/>
            <w:hideMark/>
          </w:tcPr>
          <w:p w14:paraId="40333483"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750135">
              <w:rPr>
                <w:rFonts w:ascii="Palatino Linotype" w:hAnsi="Palatino Linotype" w:cs="Arial"/>
                <w:color w:val="000000"/>
                <w:sz w:val="20"/>
              </w:rPr>
              <w:lastRenderedPageBreak/>
              <w:t>no se pueden ampliar las excepciones o supuestos de clasificación aduciendo analogía o mayoría de razón.</w:t>
            </w:r>
          </w:p>
          <w:p w14:paraId="488D5E9A" w14:textId="77777777" w:rsidR="00307194" w:rsidRPr="00750135"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750135">
              <w:rPr>
                <w:rFonts w:ascii="Palatino Linotype" w:hAnsi="Palatino Linotype" w:cs="Arial"/>
                <w:color w:val="000000"/>
                <w:sz w:val="20"/>
              </w:rPr>
              <w:t xml:space="preserve">El </w:t>
            </w:r>
            <w:r w:rsidRPr="00750135">
              <w:rPr>
                <w:rFonts w:ascii="Palatino Linotype" w:hAnsi="Palatino Linotype" w:cs="Arial"/>
                <w:b/>
                <w:color w:val="000000"/>
                <w:sz w:val="20"/>
              </w:rPr>
              <w:t>Sujeto Obligado</w:t>
            </w:r>
            <w:r w:rsidRPr="00750135">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750135"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750135" w:rsidRDefault="00307194" w:rsidP="00BE2CF3">
            <w:pPr>
              <w:tabs>
                <w:tab w:val="left" w:pos="284"/>
              </w:tabs>
              <w:spacing w:line="360" w:lineRule="auto"/>
              <w:rPr>
                <w:rFonts w:ascii="Palatino Linotype" w:hAnsi="Palatino Linotype"/>
                <w:bCs w:val="0"/>
                <w:sz w:val="20"/>
              </w:rPr>
            </w:pPr>
            <w:r w:rsidRPr="00750135">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750135"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750135"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Es necesario que </w:t>
            </w:r>
            <w:r w:rsidRPr="00750135">
              <w:rPr>
                <w:rFonts w:ascii="Palatino Linotype" w:hAnsi="Palatino Linotype" w:cs="Arial"/>
                <w:b/>
                <w:color w:val="000000"/>
                <w:sz w:val="20"/>
                <w:u w:val="single"/>
              </w:rPr>
              <w:t>el acto reúna con los requisitos elementales</w:t>
            </w:r>
            <w:r w:rsidRPr="00750135">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750135"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50135">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750135"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750135" w:rsidRDefault="00307194" w:rsidP="00BE2CF3">
            <w:pPr>
              <w:tabs>
                <w:tab w:val="left" w:pos="284"/>
              </w:tabs>
              <w:spacing w:line="360" w:lineRule="auto"/>
              <w:rPr>
                <w:rFonts w:ascii="Palatino Linotype" w:hAnsi="Palatino Linotype"/>
                <w:b w:val="0"/>
                <w:sz w:val="20"/>
              </w:rPr>
            </w:pPr>
          </w:p>
          <w:p w14:paraId="316663EF" w14:textId="77777777" w:rsidR="00307194" w:rsidRPr="00750135" w:rsidRDefault="00307194" w:rsidP="00BE2CF3">
            <w:pPr>
              <w:tabs>
                <w:tab w:val="left" w:pos="284"/>
              </w:tabs>
              <w:spacing w:line="360" w:lineRule="auto"/>
              <w:jc w:val="both"/>
              <w:rPr>
                <w:rFonts w:ascii="Palatino Linotype" w:hAnsi="Palatino Linotype"/>
                <w:bCs w:val="0"/>
                <w:sz w:val="20"/>
              </w:rPr>
            </w:pPr>
            <w:r w:rsidRPr="00750135">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50135">
              <w:rPr>
                <w:rFonts w:ascii="Palatino Linotype" w:hAnsi="Palatino Linotype" w:cs="Arial"/>
                <w:b/>
                <w:color w:val="000000"/>
                <w:sz w:val="20"/>
              </w:rPr>
              <w:t>Sujetos Obligados</w:t>
            </w:r>
            <w:r w:rsidRPr="00750135">
              <w:rPr>
                <w:rFonts w:ascii="Palatino Linotype" w:hAnsi="Palatino Linotype" w:cs="Arial"/>
                <w:color w:val="000000"/>
                <w:sz w:val="20"/>
              </w:rPr>
              <w:t xml:space="preserve">, por lo que deberán fundar y motivar debidamente la clasificación. </w:t>
            </w:r>
          </w:p>
          <w:p w14:paraId="71C4715A"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lastRenderedPageBreak/>
              <w:t xml:space="preserve">De lo anterior, se desprende que para una correcta </w:t>
            </w:r>
            <w:r w:rsidRPr="00750135">
              <w:rPr>
                <w:rFonts w:ascii="Palatino Linotype" w:hAnsi="Palatino Linotype" w:cs="Arial"/>
                <w:b/>
                <w:color w:val="000000"/>
                <w:sz w:val="20"/>
              </w:rPr>
              <w:t>clasificación total o parcial</w:t>
            </w:r>
            <w:r w:rsidRPr="00750135">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750135"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Ahora bien, </w:t>
            </w:r>
            <w:r w:rsidRPr="00750135">
              <w:rPr>
                <w:rFonts w:ascii="Palatino Linotype" w:hAnsi="Palatino Linotype" w:cs="Arial"/>
                <w:b/>
                <w:color w:val="000000"/>
                <w:sz w:val="20"/>
                <w:u w:val="single"/>
              </w:rPr>
              <w:t>para cada caso además de fundar y motivar</w:t>
            </w:r>
            <w:r w:rsidRPr="00750135">
              <w:rPr>
                <w:rFonts w:ascii="Palatino Linotype" w:hAnsi="Palatino Linotype" w:cs="Arial"/>
                <w:color w:val="000000"/>
                <w:sz w:val="20"/>
              </w:rPr>
              <w:t xml:space="preserve">, se debe identificar con claridad que datos contenidos en las documentales que son susceptibles de suprimirse, por ejemplo; </w:t>
            </w:r>
            <w:r w:rsidRPr="00750135">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750135"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750135" w:rsidRDefault="00307194" w:rsidP="00BE2CF3">
            <w:pPr>
              <w:tabs>
                <w:tab w:val="left" w:pos="284"/>
              </w:tabs>
              <w:spacing w:line="360" w:lineRule="auto"/>
              <w:ind w:right="49"/>
              <w:jc w:val="both"/>
              <w:rPr>
                <w:rFonts w:ascii="Palatino Linotype" w:hAnsi="Palatino Linotype" w:cs="Arial"/>
                <w:bCs w:val="0"/>
                <w:sz w:val="20"/>
              </w:rPr>
            </w:pPr>
            <w:r w:rsidRPr="00750135">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750135"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750135"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750135">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750135">
              <w:rPr>
                <w:rFonts w:ascii="Palatino Linotype" w:hAnsi="Palatino Linotype" w:cs="Arial"/>
                <w:color w:val="000000"/>
                <w:sz w:val="20"/>
              </w:rPr>
              <w:lastRenderedPageBreak/>
              <w:t xml:space="preserve">servidores públicos nos encontramos sujetos a un régimen menor de protección. </w:t>
            </w:r>
          </w:p>
          <w:p w14:paraId="1D0A6816" w14:textId="77777777" w:rsidR="00307194" w:rsidRPr="00750135"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750135">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750135"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750135"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750135">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750135">
        <w:rPr>
          <w:rFonts w:ascii="Palatino Linotype" w:hAnsi="Palatino Linotype" w:cs="Arial"/>
        </w:rPr>
        <w:t xml:space="preserve"> </w:t>
      </w:r>
    </w:p>
    <w:p w14:paraId="43487948" w14:textId="77777777" w:rsidR="00BA619F" w:rsidRPr="00750135" w:rsidRDefault="00BA619F"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750135" w:rsidRDefault="001C4F63" w:rsidP="001C4F63">
      <w:pPr>
        <w:pStyle w:val="Prrafodelista"/>
        <w:numPr>
          <w:ilvl w:val="0"/>
          <w:numId w:val="1"/>
        </w:numPr>
        <w:spacing w:line="360" w:lineRule="auto"/>
        <w:jc w:val="both"/>
        <w:rPr>
          <w:rFonts w:ascii="Palatino Linotype" w:hAnsi="Palatino Linotype" w:cs="Arial"/>
        </w:rPr>
      </w:pPr>
      <w:r w:rsidRPr="00750135">
        <w:rPr>
          <w:rFonts w:ascii="Palatino Linotype" w:eastAsia="Times New Roman" w:hAnsi="Palatino Linotype" w:cs="Arial"/>
          <w:color w:val="222222"/>
          <w:lang w:eastAsia="es-MX"/>
        </w:rPr>
        <w:t xml:space="preserve">Por lo anteriormente expuesto y fundado, este </w:t>
      </w:r>
      <w:r w:rsidRPr="00750135">
        <w:rPr>
          <w:rFonts w:ascii="Palatino Linotype" w:eastAsia="Times New Roman" w:hAnsi="Palatino Linotype" w:cs="Arial"/>
          <w:b/>
          <w:bCs/>
          <w:color w:val="222222"/>
          <w:lang w:eastAsia="es-MX"/>
        </w:rPr>
        <w:t>ÓRGANO GARANTE</w:t>
      </w:r>
      <w:r w:rsidRPr="00750135">
        <w:rPr>
          <w:rFonts w:ascii="Palatino Linotype" w:eastAsia="Times New Roman" w:hAnsi="Palatino Linotype" w:cs="Arial"/>
          <w:color w:val="222222"/>
          <w:lang w:eastAsia="es-MX"/>
        </w:rPr>
        <w:t xml:space="preserve"> emite los siguientes:</w:t>
      </w:r>
    </w:p>
    <w:p w14:paraId="18C7D92B" w14:textId="77777777" w:rsidR="009959DB" w:rsidRPr="00750135" w:rsidRDefault="009959DB" w:rsidP="009959DB">
      <w:pPr>
        <w:pStyle w:val="Ttulo1"/>
        <w:spacing w:line="360" w:lineRule="auto"/>
        <w:jc w:val="center"/>
        <w:rPr>
          <w:b/>
          <w:color w:val="000000" w:themeColor="text1"/>
          <w:szCs w:val="24"/>
        </w:rPr>
      </w:pPr>
      <w:bookmarkStart w:id="41" w:name="_Toc495427547"/>
      <w:bookmarkStart w:id="42" w:name="_Toc497905366"/>
      <w:bookmarkStart w:id="43" w:name="_Toc87456497"/>
      <w:r w:rsidRPr="00750135">
        <w:rPr>
          <w:b/>
          <w:color w:val="000000" w:themeColor="text1"/>
          <w:szCs w:val="24"/>
        </w:rPr>
        <w:t>R E S O L U T I V O S</w:t>
      </w:r>
      <w:bookmarkEnd w:id="24"/>
      <w:bookmarkEnd w:id="25"/>
      <w:bookmarkEnd w:id="41"/>
      <w:bookmarkEnd w:id="42"/>
      <w:bookmarkEnd w:id="43"/>
    </w:p>
    <w:p w14:paraId="5DF7248B" w14:textId="27F436C4" w:rsidR="00014006" w:rsidRPr="00750135" w:rsidRDefault="00014006" w:rsidP="00014006">
      <w:pPr>
        <w:spacing w:line="360" w:lineRule="auto"/>
        <w:jc w:val="both"/>
        <w:rPr>
          <w:rFonts w:ascii="Palatino Linotype" w:eastAsia="Times New Roman" w:hAnsi="Palatino Linotype" w:cs="Times New Roman"/>
        </w:rPr>
      </w:pPr>
      <w:r w:rsidRPr="00750135">
        <w:rPr>
          <w:rFonts w:ascii="Palatino Linotype" w:eastAsia="Times New Roman" w:hAnsi="Palatino Linotype" w:cs="Arial"/>
          <w:b/>
        </w:rPr>
        <w:t>PRIMERO.</w:t>
      </w:r>
      <w:r w:rsidRPr="00750135">
        <w:rPr>
          <w:rFonts w:ascii="Palatino Linotype" w:eastAsia="Times New Roman" w:hAnsi="Palatino Linotype" w:cs="Arial"/>
          <w:b/>
          <w:sz w:val="28"/>
        </w:rPr>
        <w:t xml:space="preserve"> </w:t>
      </w:r>
      <w:r w:rsidRPr="00750135">
        <w:rPr>
          <w:rFonts w:ascii="Palatino Linotype" w:eastAsia="Times New Roman" w:hAnsi="Palatino Linotype" w:cs="Arial"/>
        </w:rPr>
        <w:t xml:space="preserve">Resultan </w:t>
      </w:r>
      <w:r w:rsidR="005A1464" w:rsidRPr="00750135">
        <w:rPr>
          <w:rFonts w:ascii="Palatino Linotype" w:eastAsia="Times New Roman" w:hAnsi="Palatino Linotype" w:cs="Arial"/>
        </w:rPr>
        <w:t xml:space="preserve">parcialmente </w:t>
      </w:r>
      <w:r w:rsidR="00B87705" w:rsidRPr="00750135">
        <w:rPr>
          <w:rFonts w:ascii="Palatino Linotype" w:eastAsia="Times New Roman" w:hAnsi="Palatino Linotype" w:cs="Arial"/>
        </w:rPr>
        <w:t>fundadas</w:t>
      </w:r>
      <w:r w:rsidRPr="00750135">
        <w:rPr>
          <w:rFonts w:ascii="Palatino Linotype" w:eastAsia="Times New Roman" w:hAnsi="Palatino Linotype" w:cs="Arial"/>
        </w:rPr>
        <w:t xml:space="preserve"> las</w:t>
      </w:r>
      <w:r w:rsidRPr="00750135">
        <w:rPr>
          <w:rFonts w:ascii="Palatino Linotype" w:eastAsia="Times New Roman" w:hAnsi="Palatino Linotype" w:cs="Arial"/>
          <w:b/>
        </w:rPr>
        <w:t xml:space="preserve"> </w:t>
      </w:r>
      <w:r w:rsidRPr="00750135">
        <w:rPr>
          <w:rFonts w:ascii="Palatino Linotype" w:eastAsia="Times New Roman" w:hAnsi="Palatino Linotype" w:cs="Arial"/>
          <w:lang w:val="es-ES"/>
        </w:rPr>
        <w:t xml:space="preserve">razones o motivos de inconformidad hechos valer </w:t>
      </w:r>
      <w:r w:rsidRPr="00750135">
        <w:rPr>
          <w:rFonts w:ascii="Palatino Linotype" w:eastAsia="Calibri" w:hAnsi="Palatino Linotype" w:cs="Arial"/>
          <w:lang w:val="es-ES"/>
        </w:rPr>
        <w:t xml:space="preserve">en el recurso de revisión </w:t>
      </w:r>
      <w:r w:rsidR="00514A30" w:rsidRPr="00750135">
        <w:rPr>
          <w:rFonts w:ascii="Palatino Linotype" w:hAnsi="Palatino Linotype"/>
          <w:b/>
          <w:szCs w:val="22"/>
        </w:rPr>
        <w:t>07943/INFOEM/IP/RR/2022</w:t>
      </w:r>
      <w:r w:rsidRPr="00750135">
        <w:rPr>
          <w:rFonts w:ascii="Palatino Linotype" w:eastAsia="Times New Roman" w:hAnsi="Palatino Linotype" w:cs="Times New Roman"/>
          <w:b/>
          <w:sz w:val="32"/>
          <w:szCs w:val="28"/>
        </w:rPr>
        <w:t xml:space="preserve"> </w:t>
      </w:r>
      <w:r w:rsidRPr="00750135">
        <w:rPr>
          <w:rFonts w:ascii="Palatino Linotype" w:eastAsia="Times New Roman" w:hAnsi="Palatino Linotype" w:cs="Times New Roman"/>
        </w:rPr>
        <w:t>en términos de los</w:t>
      </w:r>
      <w:r w:rsidR="00114DA0" w:rsidRPr="00750135">
        <w:rPr>
          <w:rFonts w:ascii="Palatino Linotype" w:eastAsia="Times New Roman" w:hAnsi="Palatino Linotype" w:cs="Times New Roman"/>
          <w:b/>
          <w:bCs/>
        </w:rPr>
        <w:t xml:space="preserve"> c</w:t>
      </w:r>
      <w:r w:rsidRPr="00750135">
        <w:rPr>
          <w:rFonts w:ascii="Palatino Linotype" w:eastAsia="Times New Roman" w:hAnsi="Palatino Linotype" w:cs="Times New Roman"/>
          <w:b/>
          <w:bCs/>
        </w:rPr>
        <w:t>onsiderandos</w:t>
      </w:r>
      <w:r w:rsidRPr="00750135">
        <w:rPr>
          <w:rFonts w:ascii="Palatino Linotype" w:eastAsia="Times New Roman" w:hAnsi="Palatino Linotype" w:cs="Times New Roman"/>
        </w:rPr>
        <w:t xml:space="preserve"> </w:t>
      </w:r>
      <w:r w:rsidRPr="00750135">
        <w:rPr>
          <w:rFonts w:ascii="Palatino Linotype" w:eastAsia="Times New Roman" w:hAnsi="Palatino Linotype" w:cs="Times New Roman"/>
          <w:b/>
        </w:rPr>
        <w:t>CUARTO y QUINTO</w:t>
      </w:r>
      <w:r w:rsidRPr="00750135">
        <w:rPr>
          <w:rFonts w:ascii="Palatino Linotype" w:eastAsia="Times New Roman" w:hAnsi="Palatino Linotype" w:cs="Times New Roman"/>
        </w:rPr>
        <w:t xml:space="preserve"> de la presente resolución.</w:t>
      </w:r>
    </w:p>
    <w:p w14:paraId="6D41C51B" w14:textId="77777777" w:rsidR="00014006" w:rsidRPr="00750135" w:rsidRDefault="00014006" w:rsidP="00014006">
      <w:pPr>
        <w:spacing w:line="360" w:lineRule="auto"/>
        <w:contextualSpacing/>
        <w:jc w:val="both"/>
        <w:rPr>
          <w:rFonts w:ascii="Palatino Linotype" w:eastAsia="Calibri" w:hAnsi="Palatino Linotype" w:cs="Arial"/>
          <w:b/>
          <w:bCs/>
          <w:lang w:val="es-ES"/>
        </w:rPr>
      </w:pPr>
    </w:p>
    <w:p w14:paraId="0F338A22" w14:textId="5C6993FA" w:rsidR="00014006" w:rsidRPr="00750135" w:rsidRDefault="00014006" w:rsidP="00014006">
      <w:pPr>
        <w:pStyle w:val="Sinespaciado"/>
        <w:spacing w:line="360" w:lineRule="auto"/>
        <w:jc w:val="both"/>
        <w:rPr>
          <w:rFonts w:ascii="Palatino Linotype" w:eastAsia="Calibri" w:hAnsi="Palatino Linotype" w:cs="Arial"/>
          <w:bCs/>
          <w:lang w:val="es-ES"/>
        </w:rPr>
      </w:pPr>
      <w:r w:rsidRPr="00750135">
        <w:rPr>
          <w:rFonts w:ascii="Palatino Linotype" w:eastAsia="Calibri" w:hAnsi="Palatino Linotype" w:cs="Arial"/>
          <w:b/>
          <w:bCs/>
          <w:lang w:val="es-ES"/>
        </w:rPr>
        <w:t xml:space="preserve">SEGUNDO. Se </w:t>
      </w:r>
      <w:r w:rsidR="005A1464" w:rsidRPr="00750135">
        <w:rPr>
          <w:rFonts w:ascii="Palatino Linotype" w:eastAsia="Calibri" w:hAnsi="Palatino Linotype" w:cs="Arial"/>
          <w:b/>
          <w:bCs/>
          <w:lang w:val="es-ES"/>
        </w:rPr>
        <w:t>MODIFICA</w:t>
      </w:r>
      <w:r w:rsidRPr="00750135">
        <w:rPr>
          <w:rFonts w:ascii="Palatino Linotype" w:eastAsia="Calibri" w:hAnsi="Palatino Linotype" w:cs="Arial"/>
          <w:b/>
          <w:bCs/>
          <w:lang w:val="es-ES"/>
        </w:rPr>
        <w:t xml:space="preserve"> </w:t>
      </w:r>
      <w:r w:rsidRPr="00750135">
        <w:rPr>
          <w:rFonts w:ascii="Palatino Linotype" w:eastAsia="Calibri" w:hAnsi="Palatino Linotype" w:cs="Arial"/>
          <w:bCs/>
          <w:lang w:val="es-ES"/>
        </w:rPr>
        <w:t>la respuesta emitida por</w:t>
      </w:r>
      <w:r w:rsidRPr="00750135">
        <w:rPr>
          <w:rFonts w:ascii="Palatino Linotype" w:eastAsia="Calibri" w:hAnsi="Palatino Linotype" w:cs="Arial"/>
          <w:b/>
          <w:bCs/>
          <w:lang w:val="es-ES"/>
        </w:rPr>
        <w:t xml:space="preserve"> </w:t>
      </w:r>
      <w:r w:rsidR="00B16954" w:rsidRPr="00750135">
        <w:rPr>
          <w:rFonts w:ascii="Palatino Linotype" w:eastAsia="Calibri" w:hAnsi="Palatino Linotype" w:cs="Arial"/>
          <w:b/>
          <w:bCs/>
          <w:lang w:val="es-ES"/>
        </w:rPr>
        <w:t xml:space="preserve">el </w:t>
      </w:r>
      <w:r w:rsidR="009113E0" w:rsidRPr="00750135">
        <w:rPr>
          <w:rFonts w:ascii="Palatino Linotype" w:eastAsia="Calibri" w:hAnsi="Palatino Linotype" w:cs="Arial"/>
          <w:b/>
          <w:bCs/>
          <w:lang w:val="es-ES"/>
        </w:rPr>
        <w:t xml:space="preserve">Ayuntamiento de </w:t>
      </w:r>
      <w:r w:rsidR="00514A30" w:rsidRPr="00750135">
        <w:rPr>
          <w:rFonts w:ascii="Palatino Linotype" w:eastAsia="Calibri" w:hAnsi="Palatino Linotype" w:cs="Arial"/>
          <w:b/>
          <w:bCs/>
          <w:lang w:val="es-ES"/>
        </w:rPr>
        <w:t>Cuautitlán Izcalli</w:t>
      </w:r>
      <w:r w:rsidRPr="00750135">
        <w:rPr>
          <w:rFonts w:ascii="Palatino Linotype" w:hAnsi="Palatino Linotype"/>
          <w:b/>
          <w:bCs/>
          <w:color w:val="000000"/>
          <w:szCs w:val="22"/>
        </w:rPr>
        <w:t xml:space="preserve"> </w:t>
      </w:r>
      <w:r w:rsidRPr="00750135">
        <w:rPr>
          <w:rFonts w:ascii="Palatino Linotype" w:eastAsia="Calibri" w:hAnsi="Palatino Linotype" w:cs="Arial"/>
          <w:bCs/>
          <w:lang w:val="es-ES"/>
        </w:rPr>
        <w:t>y se</w:t>
      </w:r>
      <w:r w:rsidRPr="00750135">
        <w:rPr>
          <w:rFonts w:ascii="Palatino Linotype" w:eastAsia="Calibri" w:hAnsi="Palatino Linotype" w:cs="Arial"/>
          <w:b/>
          <w:bCs/>
          <w:lang w:val="es-ES"/>
        </w:rPr>
        <w:t xml:space="preserve"> ORDENA </w:t>
      </w:r>
      <w:r w:rsidRPr="00750135">
        <w:rPr>
          <w:rFonts w:ascii="Palatino Linotype" w:eastAsia="Calibri" w:hAnsi="Palatino Linotype" w:cs="Arial"/>
          <w:bCs/>
          <w:lang w:val="es-ES"/>
        </w:rPr>
        <w:t xml:space="preserve">entregar vía </w:t>
      </w:r>
      <w:r w:rsidRPr="00750135">
        <w:rPr>
          <w:rFonts w:ascii="Palatino Linotype" w:eastAsia="Calibri" w:hAnsi="Palatino Linotype" w:cs="Arial"/>
          <w:b/>
          <w:bCs/>
          <w:lang w:val="es-ES"/>
        </w:rPr>
        <w:t>Sistema de Acceso a la Información Mexiquense (SAIMEX</w:t>
      </w:r>
      <w:r w:rsidR="00514A30" w:rsidRPr="00750135">
        <w:rPr>
          <w:rFonts w:ascii="Palatino Linotype" w:eastAsia="Calibri" w:hAnsi="Palatino Linotype" w:cs="Arial"/>
          <w:b/>
          <w:bCs/>
          <w:lang w:val="es-ES"/>
        </w:rPr>
        <w:t>)</w:t>
      </w:r>
      <w:r w:rsidR="0016383D" w:rsidRPr="00750135">
        <w:rPr>
          <w:rFonts w:ascii="Palatino Linotype" w:eastAsia="Calibri" w:hAnsi="Palatino Linotype" w:cs="Arial"/>
          <w:b/>
          <w:bCs/>
          <w:lang w:val="es-ES"/>
        </w:rPr>
        <w:t>,</w:t>
      </w:r>
      <w:r w:rsidRPr="00750135">
        <w:rPr>
          <w:rFonts w:ascii="Palatino Linotype" w:eastAsia="Calibri" w:hAnsi="Palatino Linotype" w:cs="Arial"/>
          <w:lang w:val="es-ES"/>
        </w:rPr>
        <w:t xml:space="preserve"> </w:t>
      </w:r>
      <w:r w:rsidR="00EA50A9" w:rsidRPr="00750135">
        <w:rPr>
          <w:rFonts w:ascii="Palatino Linotype" w:eastAsia="Calibri" w:hAnsi="Palatino Linotype" w:cs="Arial"/>
          <w:lang w:val="es-ES"/>
        </w:rPr>
        <w:t xml:space="preserve">de ser el caso </w:t>
      </w:r>
      <w:r w:rsidR="00396F3B" w:rsidRPr="00750135">
        <w:rPr>
          <w:rFonts w:ascii="Palatino Linotype" w:eastAsia="Calibri" w:hAnsi="Palatino Linotype" w:cs="Arial"/>
          <w:lang w:val="es-ES"/>
        </w:rPr>
        <w:t xml:space="preserve">en versión pública, </w:t>
      </w:r>
      <w:r w:rsidR="00AF5DAA" w:rsidRPr="00750135">
        <w:rPr>
          <w:rFonts w:ascii="Palatino Linotype" w:eastAsia="Calibri" w:hAnsi="Palatino Linotype" w:cs="Arial"/>
          <w:lang w:val="es-ES"/>
        </w:rPr>
        <w:t>la</w:t>
      </w:r>
      <w:r w:rsidRPr="00750135">
        <w:rPr>
          <w:rFonts w:ascii="Palatino Linotype" w:eastAsia="Calibri" w:hAnsi="Palatino Linotype" w:cs="Arial"/>
          <w:bCs/>
          <w:lang w:val="es-ES"/>
        </w:rPr>
        <w:t xml:space="preserve"> siguiente información:</w:t>
      </w:r>
    </w:p>
    <w:p w14:paraId="2E227B13" w14:textId="77777777" w:rsidR="007469DE" w:rsidRPr="00750135" w:rsidRDefault="007469DE" w:rsidP="007469DE">
      <w:pPr>
        <w:spacing w:line="360" w:lineRule="auto"/>
        <w:ind w:right="-93"/>
        <w:jc w:val="both"/>
        <w:rPr>
          <w:rFonts w:ascii="Palatino Linotype" w:hAnsi="Palatino Linotype" w:cs="Tahoma"/>
          <w:sz w:val="22"/>
          <w:szCs w:val="22"/>
          <w:lang w:val="es-ES"/>
        </w:rPr>
      </w:pPr>
    </w:p>
    <w:p w14:paraId="73736A2C" w14:textId="071002B3" w:rsidR="00D02211" w:rsidRPr="00750135" w:rsidRDefault="00D02211"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hAnsi="Palatino Linotype"/>
          <w:b/>
          <w:color w:val="000000"/>
          <w:szCs w:val="22"/>
        </w:rPr>
        <w:t>Número de elementos de seguridad por cada 1000 habitantes</w:t>
      </w:r>
      <w:r w:rsidR="00986792" w:rsidRPr="00750135">
        <w:rPr>
          <w:rFonts w:ascii="Palatino Linotype" w:hAnsi="Palatino Linotype"/>
          <w:b/>
          <w:color w:val="000000"/>
          <w:szCs w:val="22"/>
        </w:rPr>
        <w:t xml:space="preserve"> al </w:t>
      </w:r>
      <w:r w:rsidR="00986792" w:rsidRPr="00750135">
        <w:rPr>
          <w:rFonts w:ascii="Palatino Linotype" w:eastAsia="Palatino Linotype" w:hAnsi="Palatino Linotype" w:cs="Palatino Linotype"/>
          <w:b/>
        </w:rPr>
        <w:t xml:space="preserve"> veintiocho (28) de marzo de dos mil veintidós</w:t>
      </w:r>
    </w:p>
    <w:p w14:paraId="48860D7F" w14:textId="50FF495D" w:rsidR="00D02211" w:rsidRPr="00750135" w:rsidRDefault="00D02211"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lastRenderedPageBreak/>
        <w:t>Número de elementos que se encuentran comisionados a labores distintas a la prevención del delito y seguridad pública</w:t>
      </w:r>
      <w:r w:rsidR="006759C3" w:rsidRPr="00750135">
        <w:rPr>
          <w:rFonts w:ascii="Palatino Linotype" w:eastAsia="Palatino Linotype" w:hAnsi="Palatino Linotype" w:cs="Palatino Linotype"/>
          <w:b/>
        </w:rPr>
        <w:t xml:space="preserve"> </w:t>
      </w:r>
      <w:r w:rsidR="006759C3" w:rsidRPr="00750135">
        <w:rPr>
          <w:rFonts w:ascii="Palatino Linotype" w:hAnsi="Palatino Linotype"/>
          <w:b/>
          <w:color w:val="000000"/>
          <w:szCs w:val="22"/>
        </w:rPr>
        <w:t xml:space="preserve">al </w:t>
      </w:r>
      <w:r w:rsidR="006759C3" w:rsidRPr="00750135">
        <w:rPr>
          <w:rFonts w:ascii="Palatino Linotype" w:eastAsia="Palatino Linotype" w:hAnsi="Palatino Linotype" w:cs="Palatino Linotype"/>
          <w:b/>
        </w:rPr>
        <w:t xml:space="preserve"> veintiocho (28) de marzo de dos mil veintidós</w:t>
      </w:r>
      <w:r w:rsidRPr="00750135">
        <w:rPr>
          <w:rFonts w:ascii="Palatino Linotype" w:eastAsia="Palatino Linotype" w:hAnsi="Palatino Linotype" w:cs="Palatino Linotype"/>
          <w:b/>
        </w:rPr>
        <w:t>;</w:t>
      </w:r>
    </w:p>
    <w:p w14:paraId="2A3C7C63" w14:textId="76FC96EE" w:rsidR="00D02211" w:rsidRPr="00750135" w:rsidRDefault="00D02211"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Número de elementos de seguridad que tienen función de escolta</w:t>
      </w:r>
      <w:r w:rsidR="006759C3" w:rsidRPr="00750135">
        <w:rPr>
          <w:rFonts w:ascii="Palatino Linotype" w:eastAsia="Palatino Linotype" w:hAnsi="Palatino Linotype" w:cs="Palatino Linotype"/>
          <w:b/>
        </w:rPr>
        <w:t xml:space="preserve"> </w:t>
      </w:r>
      <w:r w:rsidR="006759C3" w:rsidRPr="00750135">
        <w:rPr>
          <w:rFonts w:ascii="Palatino Linotype" w:hAnsi="Palatino Linotype"/>
          <w:b/>
          <w:color w:val="000000"/>
          <w:szCs w:val="22"/>
        </w:rPr>
        <w:t xml:space="preserve">al </w:t>
      </w:r>
      <w:r w:rsidR="006759C3" w:rsidRPr="00750135">
        <w:rPr>
          <w:rFonts w:ascii="Palatino Linotype" w:eastAsia="Palatino Linotype" w:hAnsi="Palatino Linotype" w:cs="Palatino Linotype"/>
          <w:b/>
        </w:rPr>
        <w:t xml:space="preserve"> veintiocho (28) de marzo de dos mil veintidós</w:t>
      </w:r>
      <w:r w:rsidRPr="00750135">
        <w:rPr>
          <w:rFonts w:ascii="Palatino Linotype" w:eastAsia="Palatino Linotype" w:hAnsi="Palatino Linotype" w:cs="Palatino Linotype"/>
          <w:b/>
        </w:rPr>
        <w:t>;</w:t>
      </w:r>
    </w:p>
    <w:p w14:paraId="64C0DD12" w14:textId="05F1D594" w:rsidR="00D02211" w:rsidRPr="00750135" w:rsidRDefault="00D02211"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Número de elementos de seguridad comisionados al resguardo de instalaciones municipales</w:t>
      </w:r>
      <w:r w:rsidR="006759C3" w:rsidRPr="00750135">
        <w:rPr>
          <w:rFonts w:ascii="Palatino Linotype" w:hAnsi="Palatino Linotype"/>
          <w:b/>
          <w:color w:val="000000"/>
          <w:szCs w:val="22"/>
        </w:rPr>
        <w:t xml:space="preserve"> al </w:t>
      </w:r>
      <w:r w:rsidR="006759C3" w:rsidRPr="00750135">
        <w:rPr>
          <w:rFonts w:ascii="Palatino Linotype" w:eastAsia="Palatino Linotype" w:hAnsi="Palatino Linotype" w:cs="Palatino Linotype"/>
          <w:b/>
        </w:rPr>
        <w:t xml:space="preserve"> veintiocho (28) de marzo de dos mil veintidós</w:t>
      </w:r>
      <w:r w:rsidRPr="00750135">
        <w:rPr>
          <w:rFonts w:ascii="Palatino Linotype" w:eastAsia="Palatino Linotype" w:hAnsi="Palatino Linotype" w:cs="Palatino Linotype"/>
          <w:b/>
        </w:rPr>
        <w:t>;</w:t>
      </w:r>
    </w:p>
    <w:p w14:paraId="555B7B8F" w14:textId="43A53D91" w:rsidR="00D02211" w:rsidRPr="00750135" w:rsidRDefault="00D02211"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Equipo básico con el que cuentan los elementos se seguridad pública</w:t>
      </w:r>
      <w:r w:rsidR="006759C3" w:rsidRPr="00750135">
        <w:rPr>
          <w:rFonts w:ascii="Palatino Linotype" w:eastAsia="Palatino Linotype" w:hAnsi="Palatino Linotype" w:cs="Palatino Linotype"/>
          <w:b/>
        </w:rPr>
        <w:t xml:space="preserve"> </w:t>
      </w:r>
      <w:r w:rsidR="006759C3" w:rsidRPr="00750135">
        <w:rPr>
          <w:rFonts w:ascii="Palatino Linotype" w:hAnsi="Palatino Linotype"/>
          <w:b/>
          <w:color w:val="000000"/>
          <w:szCs w:val="22"/>
        </w:rPr>
        <w:t xml:space="preserve">al </w:t>
      </w:r>
      <w:r w:rsidR="006759C3" w:rsidRPr="00750135">
        <w:rPr>
          <w:rFonts w:ascii="Palatino Linotype" w:eastAsia="Palatino Linotype" w:hAnsi="Palatino Linotype" w:cs="Palatino Linotype"/>
          <w:b/>
        </w:rPr>
        <w:t xml:space="preserve"> veintiocho (28) de marzo de dos mil veintidós</w:t>
      </w:r>
      <w:r w:rsidRPr="00750135">
        <w:rPr>
          <w:rFonts w:ascii="Palatino Linotype" w:eastAsia="Palatino Linotype" w:hAnsi="Palatino Linotype" w:cs="Palatino Linotype"/>
          <w:b/>
        </w:rPr>
        <w:t>;</w:t>
      </w:r>
    </w:p>
    <w:p w14:paraId="7EA401FA" w14:textId="1A8E79B3" w:rsidR="00D02211" w:rsidRPr="00750135" w:rsidRDefault="00D02211" w:rsidP="00986792">
      <w:pPr>
        <w:pStyle w:val="Prrafodelista"/>
        <w:numPr>
          <w:ilvl w:val="0"/>
          <w:numId w:val="19"/>
        </w:numPr>
        <w:tabs>
          <w:tab w:val="left" w:pos="6379"/>
        </w:tabs>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Acciones tendientes a la armonización contable</w:t>
      </w:r>
      <w:r w:rsidR="00986792" w:rsidRPr="00750135">
        <w:rPr>
          <w:rFonts w:ascii="Palatino Linotype" w:eastAsia="Palatino Linotype" w:hAnsi="Palatino Linotype" w:cs="Palatino Linotype"/>
          <w:b/>
        </w:rPr>
        <w:t>, del veintiocho (28) de marzo de dos mil veintiuno al veintiocho (28) de marzo de dos mil veintidós</w:t>
      </w:r>
      <w:r w:rsidRPr="00750135">
        <w:rPr>
          <w:rFonts w:ascii="Palatino Linotype" w:eastAsia="Palatino Linotype" w:hAnsi="Palatino Linotype" w:cs="Palatino Linotype"/>
          <w:b/>
        </w:rPr>
        <w:t>;</w:t>
      </w:r>
    </w:p>
    <w:p w14:paraId="35C9B9C0" w14:textId="37121B41" w:rsidR="00AA5E18" w:rsidRPr="00750135" w:rsidRDefault="00AA5E18"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Documento donde conste la implementación del Servicio de Carrera Policial</w:t>
      </w:r>
      <w:r w:rsidR="006759C3" w:rsidRPr="00750135">
        <w:rPr>
          <w:rFonts w:ascii="Palatino Linotype" w:eastAsia="Palatino Linotype" w:hAnsi="Palatino Linotype" w:cs="Palatino Linotype"/>
          <w:b/>
        </w:rPr>
        <w:t xml:space="preserve"> </w:t>
      </w:r>
      <w:r w:rsidR="006759C3" w:rsidRPr="00750135">
        <w:rPr>
          <w:rFonts w:ascii="Palatino Linotype" w:hAnsi="Palatino Linotype"/>
          <w:b/>
          <w:color w:val="000000"/>
          <w:szCs w:val="22"/>
        </w:rPr>
        <w:t xml:space="preserve">al </w:t>
      </w:r>
      <w:r w:rsidR="006759C3" w:rsidRPr="00750135">
        <w:rPr>
          <w:rFonts w:ascii="Palatino Linotype" w:eastAsia="Palatino Linotype" w:hAnsi="Palatino Linotype" w:cs="Palatino Linotype"/>
          <w:b/>
        </w:rPr>
        <w:t xml:space="preserve"> veintiocho (28) de marzo de dos mil veintidós</w:t>
      </w:r>
      <w:r w:rsidRPr="00750135">
        <w:rPr>
          <w:rFonts w:ascii="Palatino Linotype" w:eastAsia="Palatino Linotype" w:hAnsi="Palatino Linotype" w:cs="Palatino Linotype"/>
          <w:b/>
        </w:rPr>
        <w:t>;</w:t>
      </w:r>
    </w:p>
    <w:p w14:paraId="2EC0EF59" w14:textId="4C66177F" w:rsidR="00D02211" w:rsidRPr="00750135" w:rsidRDefault="00986792" w:rsidP="00EA50A9">
      <w:pPr>
        <w:pStyle w:val="Prrafodelista"/>
        <w:numPr>
          <w:ilvl w:val="0"/>
          <w:numId w:val="19"/>
        </w:numPr>
        <w:spacing w:line="360" w:lineRule="auto"/>
        <w:jc w:val="both"/>
        <w:rPr>
          <w:rFonts w:ascii="Palatino Linotype" w:eastAsia="Palatino Linotype" w:hAnsi="Palatino Linotype" w:cs="Palatino Linotype"/>
          <w:b/>
        </w:rPr>
      </w:pPr>
      <w:r w:rsidRPr="00750135">
        <w:rPr>
          <w:rFonts w:ascii="Palatino Linotype" w:eastAsia="Palatino Linotype" w:hAnsi="Palatino Linotype" w:cs="Palatino Linotype"/>
          <w:b/>
        </w:rPr>
        <w:t>Documento donde conste la g</w:t>
      </w:r>
      <w:r w:rsidR="00AA5E18" w:rsidRPr="00750135">
        <w:rPr>
          <w:rFonts w:ascii="Palatino Linotype" w:eastAsia="Palatino Linotype" w:hAnsi="Palatino Linotype" w:cs="Palatino Linotype"/>
          <w:b/>
        </w:rPr>
        <w:t>estión</w:t>
      </w:r>
      <w:r w:rsidRPr="00750135">
        <w:rPr>
          <w:rFonts w:ascii="Palatino Linotype" w:eastAsia="Palatino Linotype" w:hAnsi="Palatino Linotype" w:cs="Palatino Linotype"/>
          <w:b/>
        </w:rPr>
        <w:t xml:space="preserve"> o inscripción</w:t>
      </w:r>
      <w:r w:rsidR="00AA5E18" w:rsidRPr="00750135">
        <w:rPr>
          <w:rFonts w:ascii="Palatino Linotype" w:eastAsia="Palatino Linotype" w:hAnsi="Palatino Linotype" w:cs="Palatino Linotype"/>
          <w:b/>
        </w:rPr>
        <w:t xml:space="preserve"> de la incorporación </w:t>
      </w:r>
      <w:r w:rsidRPr="00750135">
        <w:rPr>
          <w:rFonts w:ascii="Palatino Linotype" w:eastAsia="Palatino Linotype" w:hAnsi="Palatino Linotype" w:cs="Palatino Linotype"/>
          <w:b/>
        </w:rPr>
        <w:t>de los elementos de seguridad a</w:t>
      </w:r>
      <w:r w:rsidR="00AA5E18" w:rsidRPr="00750135">
        <w:rPr>
          <w:rFonts w:ascii="Palatino Linotype" w:eastAsia="Palatino Linotype" w:hAnsi="Palatino Linotype" w:cs="Palatino Linotype"/>
          <w:b/>
        </w:rPr>
        <w:t xml:space="preserve"> la licencia cole</w:t>
      </w:r>
      <w:r w:rsidRPr="00750135">
        <w:rPr>
          <w:rFonts w:ascii="Palatino Linotype" w:eastAsia="Palatino Linotype" w:hAnsi="Palatino Linotype" w:cs="Palatino Linotype"/>
          <w:b/>
        </w:rPr>
        <w:t>ctiva de portación de armamento del veintiocho (28) de marzo de dos mil veintiuno al veintiocho (28) de marzo de dos mil veintidós</w:t>
      </w:r>
      <w:r w:rsidR="006759C3" w:rsidRPr="00750135">
        <w:rPr>
          <w:rFonts w:ascii="Palatino Linotype" w:eastAsia="Palatino Linotype" w:hAnsi="Palatino Linotype" w:cs="Palatino Linotype"/>
          <w:b/>
        </w:rPr>
        <w:t>.</w:t>
      </w:r>
    </w:p>
    <w:p w14:paraId="59C0A8FC" w14:textId="77777777" w:rsidR="00D02211" w:rsidRPr="00750135" w:rsidRDefault="00D02211" w:rsidP="00D02211">
      <w:pPr>
        <w:pStyle w:val="Prrafodelista"/>
        <w:spacing w:line="360" w:lineRule="auto"/>
        <w:ind w:left="1146"/>
        <w:jc w:val="both"/>
        <w:rPr>
          <w:rFonts w:ascii="Palatino Linotype" w:eastAsia="Palatino Linotype" w:hAnsi="Palatino Linotype" w:cs="Palatino Linotype"/>
          <w:b/>
        </w:rPr>
      </w:pPr>
    </w:p>
    <w:p w14:paraId="3923BFA2" w14:textId="2B7B75E8" w:rsidR="006D7681" w:rsidRPr="00750135" w:rsidRDefault="00396F3B" w:rsidP="00396F3B">
      <w:pPr>
        <w:spacing w:line="360" w:lineRule="auto"/>
        <w:jc w:val="both"/>
        <w:rPr>
          <w:rFonts w:ascii="Palatino Linotype" w:eastAsia="Calibri" w:hAnsi="Palatino Linotype" w:cs="Arial"/>
        </w:rPr>
      </w:pPr>
      <w:r w:rsidRPr="00750135">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750135">
        <w:rPr>
          <w:rFonts w:ascii="Palatino Linotype" w:eastAsia="Calibri" w:hAnsi="Palatino Linotype" w:cs="Arial"/>
        </w:rPr>
        <w:lastRenderedPageBreak/>
        <w:t>dentro del soporte documental respectivo objeto de las versiones públicas que se formulen y se ponga a disposición de la parte recurrente.</w:t>
      </w:r>
    </w:p>
    <w:p w14:paraId="3A6706C5" w14:textId="77777777" w:rsidR="006D7681" w:rsidRPr="00750135" w:rsidRDefault="006D7681" w:rsidP="00396F3B">
      <w:pPr>
        <w:spacing w:line="360" w:lineRule="auto"/>
        <w:jc w:val="both"/>
        <w:rPr>
          <w:rFonts w:ascii="Palatino Linotype" w:eastAsia="Calibri" w:hAnsi="Palatino Linotype" w:cs="Arial"/>
        </w:rPr>
      </w:pPr>
    </w:p>
    <w:p w14:paraId="5A3E5DF1" w14:textId="0B6B9445" w:rsidR="006D7681" w:rsidRPr="00750135" w:rsidRDefault="006D7681" w:rsidP="006D7681">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rPr>
      </w:pPr>
      <w:r w:rsidRPr="00750135">
        <w:rPr>
          <w:rFonts w:ascii="Palatino Linotype" w:eastAsia="Palatino Linotype" w:hAnsi="Palatino Linotype" w:cs="Palatino Linotype"/>
        </w:rPr>
        <w:t xml:space="preserve">Para el caso de que la información que se ordena entregar en la fracción III,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14:paraId="035A697C" w14:textId="77777777" w:rsidR="00D27CBD" w:rsidRPr="00750135" w:rsidRDefault="00D27CBD" w:rsidP="00396F3B">
      <w:pPr>
        <w:spacing w:line="360" w:lineRule="auto"/>
        <w:jc w:val="both"/>
        <w:rPr>
          <w:rFonts w:ascii="Palatino Linotype" w:eastAsia="Calibri" w:hAnsi="Palatino Linotype" w:cs="Arial"/>
        </w:rPr>
      </w:pPr>
    </w:p>
    <w:p w14:paraId="0C7816A5" w14:textId="77777777" w:rsidR="00C75DFF" w:rsidRPr="00750135" w:rsidRDefault="00C75DFF" w:rsidP="00C75DFF">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750135">
        <w:rPr>
          <w:rFonts w:ascii="Palatino Linotype" w:eastAsia="Palatino Linotype" w:hAnsi="Palatino Linotype" w:cs="Palatino Linotype"/>
          <w:b/>
          <w:lang w:val="es-ES_tradnl"/>
        </w:rPr>
        <w:t xml:space="preserve">TERCERO. </w:t>
      </w:r>
      <w:r w:rsidRPr="00750135">
        <w:rPr>
          <w:rFonts w:ascii="Palatino Linotype" w:hAnsi="Palatino Linotype" w:cs="Arial"/>
          <w:b/>
          <w:color w:val="222222"/>
          <w:shd w:val="clear" w:color="auto" w:fill="FFFFFF"/>
        </w:rPr>
        <w:t>NOTIFÍQUESE</w:t>
      </w:r>
      <w:r w:rsidRPr="00750135">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750135">
        <w:rPr>
          <w:rFonts w:ascii="Palatino Linotype" w:hAnsi="Palatino Linotype" w:cs="Arial"/>
          <w:b/>
          <w:color w:val="222222"/>
          <w:shd w:val="clear" w:color="auto" w:fill="FFFFFF"/>
        </w:rPr>
        <w:t>dé cumplimiento a lo ordenado dentro del plazo de diez días hábiles,</w:t>
      </w:r>
      <w:r w:rsidRPr="00750135">
        <w:rPr>
          <w:rFonts w:ascii="Palatino Linotype" w:hAnsi="Palatino Linotype" w:cs="Arial"/>
          <w:color w:val="222222"/>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60972D5" w14:textId="77777777" w:rsidR="00C75DFF" w:rsidRPr="00750135" w:rsidRDefault="00C75DFF" w:rsidP="00014006">
      <w:pPr>
        <w:spacing w:line="360" w:lineRule="auto"/>
        <w:jc w:val="both"/>
        <w:rPr>
          <w:rFonts w:ascii="Palatino Linotype" w:hAnsi="Palatino Linotype" w:cs="Arial"/>
          <w:b/>
        </w:rPr>
      </w:pPr>
    </w:p>
    <w:p w14:paraId="02F0B900" w14:textId="77777777" w:rsidR="00014006" w:rsidRPr="00750135" w:rsidRDefault="00014006" w:rsidP="00014006">
      <w:pPr>
        <w:spacing w:line="360" w:lineRule="auto"/>
        <w:jc w:val="both"/>
        <w:rPr>
          <w:rFonts w:ascii="Palatino Linotype" w:eastAsia="Calibri" w:hAnsi="Palatino Linotype" w:cs="Arial"/>
          <w:bCs/>
        </w:rPr>
      </w:pPr>
      <w:r w:rsidRPr="00750135">
        <w:rPr>
          <w:rFonts w:ascii="Palatino Linotype" w:hAnsi="Palatino Linotype" w:cs="Arial"/>
          <w:b/>
        </w:rPr>
        <w:t xml:space="preserve">CUARTO. </w:t>
      </w:r>
      <w:r w:rsidRPr="00750135">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DD93988" w14:textId="4F231A88" w:rsidR="00014006" w:rsidRPr="00750135"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750135">
        <w:rPr>
          <w:rFonts w:ascii="Palatino Linotype" w:eastAsia="Times New Roman" w:hAnsi="Palatino Linotype" w:cs="Arial"/>
          <w:b/>
        </w:rPr>
        <w:lastRenderedPageBreak/>
        <w:t xml:space="preserve">QUINTO. </w:t>
      </w:r>
      <w:r w:rsidRPr="00750135">
        <w:rPr>
          <w:rFonts w:ascii="Palatino Linotype" w:eastAsia="Times New Roman" w:hAnsi="Palatino Linotype" w:cs="Times New Roman"/>
          <w:b/>
          <w:bCs/>
          <w:color w:val="222222"/>
          <w:lang w:val="es-ES"/>
        </w:rPr>
        <w:t xml:space="preserve">Notifíquese </w:t>
      </w:r>
      <w:r w:rsidRPr="00750135">
        <w:rPr>
          <w:rFonts w:ascii="Palatino Linotype" w:eastAsia="Times New Roman" w:hAnsi="Palatino Linotype" w:cs="Times New Roman"/>
          <w:bCs/>
          <w:color w:val="222222"/>
          <w:lang w:val="es-ES"/>
        </w:rPr>
        <w:t xml:space="preserve">al </w:t>
      </w:r>
      <w:r w:rsidRPr="00750135">
        <w:rPr>
          <w:rFonts w:ascii="Palatino Linotype" w:eastAsia="Times New Roman" w:hAnsi="Palatino Linotype" w:cs="Times New Roman"/>
          <w:b/>
          <w:color w:val="222222"/>
          <w:lang w:val="es-ES"/>
        </w:rPr>
        <w:t>RECURRENTE</w:t>
      </w:r>
      <w:r w:rsidRPr="00750135">
        <w:rPr>
          <w:rFonts w:ascii="Palatino Linotype" w:eastAsia="Times New Roman" w:hAnsi="Palatino Linotype" w:cs="Times New Roman"/>
          <w:color w:val="222222"/>
          <w:lang w:val="es-ES" w:eastAsia="es-MX"/>
        </w:rPr>
        <w:t xml:space="preserve"> la presente resolución vía SAIMEX</w:t>
      </w:r>
      <w:r w:rsidR="006D7681" w:rsidRPr="00750135">
        <w:rPr>
          <w:rFonts w:ascii="Palatino Linotype" w:eastAsia="Times New Roman" w:hAnsi="Palatino Linotype" w:cs="Times New Roman"/>
          <w:color w:val="222222"/>
          <w:lang w:val="es-ES" w:eastAsia="es-MX"/>
        </w:rPr>
        <w:t>.</w:t>
      </w:r>
    </w:p>
    <w:p w14:paraId="7180F590" w14:textId="77777777" w:rsidR="00014006" w:rsidRPr="00750135"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271DFFA3" w14:textId="77777777" w:rsidR="00DA0A0C" w:rsidRPr="00750135" w:rsidRDefault="00014006" w:rsidP="00DA0A0C">
      <w:pPr>
        <w:pStyle w:val="Sinespaciado"/>
        <w:spacing w:line="360" w:lineRule="auto"/>
        <w:jc w:val="both"/>
        <w:rPr>
          <w:rFonts w:ascii="Palatino Linotype" w:hAnsi="Palatino Linotype"/>
          <w:color w:val="222222"/>
          <w:shd w:val="clear" w:color="auto" w:fill="FFFFFF"/>
          <w:lang w:val="es-ES"/>
        </w:rPr>
      </w:pPr>
      <w:r w:rsidRPr="00750135">
        <w:rPr>
          <w:rFonts w:ascii="Palatino Linotype" w:hAnsi="Palatino Linotype"/>
          <w:b/>
        </w:rPr>
        <w:t>SEXTO.</w:t>
      </w:r>
      <w:r w:rsidRPr="00750135">
        <w:rPr>
          <w:rFonts w:ascii="Palatino Linotype" w:eastAsia="Times New Roman" w:hAnsi="Palatino Linotype" w:cs="Times New Roman"/>
          <w:color w:val="222222"/>
          <w:lang w:val="es-ES" w:eastAsia="es-MX"/>
        </w:rPr>
        <w:t xml:space="preserve"> Se hace del conocimiento del </w:t>
      </w:r>
      <w:r w:rsidRPr="00750135">
        <w:rPr>
          <w:rFonts w:ascii="Palatino Linotype" w:eastAsia="Times New Roman" w:hAnsi="Palatino Linotype" w:cs="Times New Roman"/>
          <w:b/>
          <w:bCs/>
          <w:color w:val="222222"/>
          <w:lang w:val="es-ES" w:eastAsia="es-MX"/>
        </w:rPr>
        <w:t>RECURRENTE</w:t>
      </w:r>
      <w:r w:rsidRPr="00750135">
        <w:rPr>
          <w:rFonts w:ascii="Palatino Linotype" w:eastAsia="Times New Roman" w:hAnsi="Palatino Linotype" w:cs="Times New Roman"/>
          <w:color w:val="222222"/>
          <w:lang w:eastAsia="es-MX"/>
        </w:rPr>
        <w:t xml:space="preserve"> que,</w:t>
      </w:r>
      <w:r w:rsidRPr="00750135">
        <w:rPr>
          <w:rFonts w:ascii="Palatino Linotype" w:eastAsia="Times New Roman" w:hAnsi="Palatino Linotype" w:cs="Arial"/>
          <w:b/>
          <w:lang w:val="es-ES"/>
        </w:rPr>
        <w:t xml:space="preserve"> </w:t>
      </w:r>
      <w:r w:rsidRPr="00750135">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750135">
        <w:rPr>
          <w:rFonts w:ascii="Palatino Linotype" w:eastAsia="Times New Roman" w:hAnsi="Palatino Linotype" w:cs="Times New Roman"/>
          <w:color w:val="222222"/>
          <w:lang w:val="es-ES" w:eastAsia="es-MX"/>
        </w:rPr>
        <w:t xml:space="preserve"> </w:t>
      </w:r>
      <w:r w:rsidR="00930741" w:rsidRPr="00750135">
        <w:rPr>
          <w:rFonts w:ascii="Palatino Linotype" w:hAnsi="Palatino Linotype"/>
          <w:color w:val="000000"/>
          <w:shd w:val="clear" w:color="auto" w:fill="FFFFFF"/>
        </w:rPr>
        <w:t xml:space="preserve">en caso de que considere que la resolución le cause algún perjuicio podrá impugnarla vía </w:t>
      </w:r>
      <w:r w:rsidR="00930741" w:rsidRPr="00750135">
        <w:rPr>
          <w:rFonts w:ascii="Palatino Linotype" w:hAnsi="Palatino Linotype"/>
          <w:color w:val="222222"/>
          <w:shd w:val="clear" w:color="auto" w:fill="FFFFFF"/>
          <w:lang w:val="es-ES"/>
        </w:rPr>
        <w:t>juicio de amparo en los términos de las leyes aplicables.</w:t>
      </w:r>
    </w:p>
    <w:p w14:paraId="1C7E1210" w14:textId="77777777" w:rsidR="00DA0A0C" w:rsidRPr="00750135" w:rsidRDefault="00DA0A0C" w:rsidP="00DA0A0C">
      <w:pPr>
        <w:pStyle w:val="Sinespaciado"/>
        <w:spacing w:line="360" w:lineRule="auto"/>
        <w:jc w:val="both"/>
        <w:rPr>
          <w:rFonts w:ascii="Palatino Linotype" w:hAnsi="Palatino Linotype"/>
          <w:color w:val="222222"/>
          <w:shd w:val="clear" w:color="auto" w:fill="FFFFFF"/>
          <w:lang w:val="es-ES"/>
        </w:rPr>
      </w:pPr>
    </w:p>
    <w:bookmarkStart w:id="44" w:name="_Hlk129792997"/>
    <w:p w14:paraId="77863344" w14:textId="78652193" w:rsidR="00114DA0" w:rsidRDefault="00750135" w:rsidP="00114DA0">
      <w:pPr>
        <w:spacing w:before="240" w:after="240" w:line="360" w:lineRule="auto"/>
        <w:ind w:firstLine="1"/>
        <w:jc w:val="both"/>
        <w:rPr>
          <w:rStyle w:val="Referenciasutil"/>
          <w:rFonts w:ascii="Palatino Linotype" w:hAnsi="Palatino Linotype"/>
          <w:color w:val="auto"/>
        </w:rPr>
      </w:pPr>
      <w:r w:rsidRPr="00750135">
        <w:rPr>
          <w:rFonts w:ascii="Palatino Linotype" w:hAnsi="Palatino Linotype" w:cs="Times New Roman"/>
          <w:smallCaps/>
          <w:noProof/>
          <w:lang w:eastAsia="es-MX"/>
        </w:rPr>
        <mc:AlternateContent>
          <mc:Choice Requires="wps">
            <w:drawing>
              <wp:anchor distT="0" distB="0" distL="114300" distR="114300" simplePos="0" relativeHeight="251659264" behindDoc="0" locked="0" layoutInCell="1" allowOverlap="1" wp14:anchorId="5AC5FF0F" wp14:editId="69867D23">
                <wp:simplePos x="0" y="0"/>
                <wp:positionH relativeFrom="column">
                  <wp:posOffset>34290</wp:posOffset>
                </wp:positionH>
                <wp:positionV relativeFrom="paragraph">
                  <wp:posOffset>3160394</wp:posOffset>
                </wp:positionV>
                <wp:extent cx="5562600" cy="21240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562600" cy="2124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DC63B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248.85pt" to="440.7pt,4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UuuQEAAMUDAAAOAAAAZHJzL2Uyb0RvYy54bWysU9uO0zAQfUfiHyy/06TRtqCo6T50tbwg&#10;qID9AK8zbiz5prFp0r9n7LRZBEgrIV58nXNmzvF4dz9Zw86AUXvX8fWq5gyc9L12p44/fX9894Gz&#10;mITrhfEOOn6ByO/3b9/sxtBC4wdvekBGJC62Y+j4kFJoqyrKAayIKx/A0aXyaEWiLZ6qHsVI7NZU&#10;TV1vq9FjH9BLiJFOH+ZLvi/8SoFMX5SKkJjpONWWyohlfM5jtd+J9oQiDFpeyxD/UIUV2lHShepB&#10;JMF+oP6DymqJPnqVVtLbyiulJRQNpGZd/6bm2yACFC1kTgyLTfH/0crP5yMy3Xe84cwJS090oIeS&#10;ySPDPLEmezSG2FLowR3xuovhiFnwpNDmmaSwqfh6WXyFKTFJh5vNttnWZL+ku2bd3NXvN5m1eoEH&#10;jOkjeMvyouNGuyxctOL8KaY59BZCuFzOXEBZpYuBHGzcV1AkhlI2BV3aCA4G2VlQAwgpwaX1NXWJ&#10;zjCljVmA9evAa3yGQmmxBbx+HbwgSmbv0gK22nn8G0GabiWrOf7mwKw7W/Ds+0t5mmIN9Uox99rX&#10;uRl/3Rf4y+/b/wQAAP//AwBQSwMEFAAGAAgAAAAhAJkaUgTdAAAACQEAAA8AAABkcnMvZG93bnJl&#10;di54bWxMj0tPwzAQhO9I/AdrkbhRp6a0aYhTISQkjjRw4OjESx7ED9luk/57lhPcdndGs9+Uh8VM&#10;7IwhDs5KWK8yYGhbpwfbSfh4f7nLgcWkrFaTsyjhghEO1fVVqQrtZnvEc506RiE2FkpCn5IvOI9t&#10;j0bFlfNoSftywahEa+i4DmqmcDNxkWVbbtRg6UOvPD732H7XJyPhMzSjeL3MXrhxW+9Hj+LtiFLe&#10;3ixPj8ASLunPDL/4hA4VMTXuZHVkk4SHDRklbPa7HTDS83xNl4aGeyGAVyX/36D6AQAA//8DAFBL&#10;AQItABQABgAIAAAAIQC2gziS/gAAAOEBAAATAAAAAAAAAAAAAAAAAAAAAABbQ29udGVudF9UeXBl&#10;c10ueG1sUEsBAi0AFAAGAAgAAAAhADj9If/WAAAAlAEAAAsAAAAAAAAAAAAAAAAALwEAAF9yZWxz&#10;Ly5yZWxzUEsBAi0AFAAGAAgAAAAhALUJxS65AQAAxQMAAA4AAAAAAAAAAAAAAAAALgIAAGRycy9l&#10;Mm9Eb2MueG1sUEsBAi0AFAAGAAgAAAAhAJkaUgTdAAAACQEAAA8AAAAAAAAAAAAAAAAAEwQAAGRy&#10;cy9kb3ducmV2LnhtbFBLBQYAAAAABAAEAPMAAAAdBQAAAAA=&#10;" strokecolor="#4f81bd [3204]" strokeweight="2pt">
                <v:shadow on="t" color="black" opacity="24903f" origin=",.5" offset="0,.55556mm"/>
              </v:line>
            </w:pict>
          </mc:Fallback>
        </mc:AlternateContent>
      </w:r>
      <w:r w:rsidR="00114DA0" w:rsidRPr="00750135">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A07B4F" w:rsidRPr="00750135">
        <w:rPr>
          <w:rStyle w:val="Referenciasutil"/>
          <w:rFonts w:ascii="Palatino Linotype" w:hAnsi="Palatino Linotype"/>
          <w:color w:val="auto"/>
        </w:rPr>
        <w:t xml:space="preserve"> EMITIENDO VOTO PARTICULAR</w:t>
      </w:r>
      <w:r w:rsidR="00114DA0" w:rsidRPr="00750135">
        <w:rPr>
          <w:rStyle w:val="Referenciasutil"/>
          <w:rFonts w:ascii="Palatino Linotype" w:hAnsi="Palatino Linotype"/>
          <w:color w:val="auto"/>
        </w:rPr>
        <w:t>; LUIS GUSTAVO PARRA NORIEGA Y GUADALUPE RAMÍREZ PEÑA</w:t>
      </w:r>
      <w:r w:rsidR="00A07B4F" w:rsidRPr="00750135">
        <w:rPr>
          <w:rStyle w:val="Referenciasutil"/>
          <w:rFonts w:ascii="Palatino Linotype" w:hAnsi="Palatino Linotype"/>
          <w:color w:val="auto"/>
        </w:rPr>
        <w:t xml:space="preserve"> </w:t>
      </w:r>
      <w:r w:rsidRPr="00750135">
        <w:rPr>
          <w:rStyle w:val="Referenciasutil"/>
          <w:rFonts w:ascii="Palatino Linotype" w:hAnsi="Palatino Linotype"/>
          <w:color w:val="auto"/>
        </w:rPr>
        <w:t>(AUSENCIA JUSTIFICADA)</w:t>
      </w:r>
      <w:r w:rsidR="00114DA0" w:rsidRPr="00750135">
        <w:rPr>
          <w:rStyle w:val="Referenciasutil"/>
          <w:rFonts w:ascii="Palatino Linotype" w:hAnsi="Palatino Linotype"/>
          <w:color w:val="auto"/>
        </w:rPr>
        <w:t>; EN LA TRIGÉSIMA QUINTA SESIÓN ORDINARIA CELEBRADA EL VEINTISIETE (27) DE SEPTIEMBRE DE DOS MIL VEINTITRÉS, ANTE EL SECRETARIO TÉCNICO DEL PLENO ALEXIS TAPIA RAMÍREZ.</w:t>
      </w:r>
      <w:r w:rsidR="00114DA0" w:rsidRPr="00114DA0">
        <w:rPr>
          <w:rStyle w:val="Referenciasutil"/>
          <w:rFonts w:ascii="Palatino Linotype" w:hAnsi="Palatino Linotype"/>
          <w:color w:val="auto"/>
        </w:rPr>
        <w:t xml:space="preserve"> </w:t>
      </w:r>
      <w:bookmarkEnd w:id="44"/>
    </w:p>
    <w:p w14:paraId="575939F9"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744E8952"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03F6FD03"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3555170F"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1C62726B"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07CC2FCB" w14:textId="77777777" w:rsidR="00114DA0" w:rsidRDefault="00114DA0" w:rsidP="00114DA0">
      <w:pPr>
        <w:spacing w:before="240" w:after="240" w:line="360" w:lineRule="auto"/>
        <w:ind w:firstLine="1"/>
        <w:jc w:val="both"/>
        <w:rPr>
          <w:rStyle w:val="Referenciasutil"/>
          <w:rFonts w:ascii="Palatino Linotype" w:hAnsi="Palatino Linotype"/>
          <w:color w:val="auto"/>
        </w:rPr>
      </w:pPr>
    </w:p>
    <w:p w14:paraId="3F5225B6" w14:textId="77777777" w:rsidR="00114DA0" w:rsidRPr="00114DA0" w:rsidRDefault="00114DA0" w:rsidP="00114DA0">
      <w:pPr>
        <w:spacing w:before="240" w:after="240" w:line="360" w:lineRule="auto"/>
        <w:ind w:firstLine="1"/>
        <w:jc w:val="both"/>
        <w:rPr>
          <w:rFonts w:ascii="Palatino Linotype" w:hAnsi="Palatino Linotype"/>
          <w:smallCaps/>
        </w:rPr>
      </w:pPr>
    </w:p>
    <w:p w14:paraId="7EFA4F21" w14:textId="303B8C68" w:rsidR="00895335" w:rsidRDefault="00895335" w:rsidP="00114DA0">
      <w:pPr>
        <w:pStyle w:val="Sinespaciado"/>
        <w:spacing w:line="360" w:lineRule="auto"/>
        <w:jc w:val="both"/>
        <w:rPr>
          <w:rFonts w:ascii="Palatino Linotype" w:hAnsi="Palatino Linotype" w:cs="Arial"/>
          <w:color w:val="000000" w:themeColor="text1"/>
        </w:rPr>
      </w:pPr>
    </w:p>
    <w:sectPr w:rsidR="00895335" w:rsidSect="008E4483">
      <w:headerReference w:type="default" r:id="rId15"/>
      <w:footerReference w:type="default" r:id="rId16"/>
      <w:headerReference w:type="first" r:id="rId17"/>
      <w:footerReference w:type="first" r:id="rId18"/>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A9AF8" w14:textId="77777777" w:rsidR="002638DC" w:rsidRDefault="002638DC" w:rsidP="00587366">
      <w:r>
        <w:separator/>
      </w:r>
    </w:p>
  </w:endnote>
  <w:endnote w:type="continuationSeparator" w:id="0">
    <w:p w14:paraId="4585BF6E" w14:textId="77777777" w:rsidR="002638DC" w:rsidRDefault="002638D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18BEEED" w:rsidR="00290A0A" w:rsidRPr="00883450" w:rsidRDefault="00290A0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84B36">
              <w:rPr>
                <w:rFonts w:ascii="Palatino Linotype" w:hAnsi="Palatino Linotype"/>
                <w:b/>
                <w:bCs/>
                <w:noProof/>
                <w:sz w:val="22"/>
                <w:szCs w:val="20"/>
              </w:rPr>
              <w:t>76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84B36">
              <w:rPr>
                <w:rFonts w:ascii="Palatino Linotype" w:hAnsi="Palatino Linotype"/>
                <w:b/>
                <w:bCs/>
                <w:noProof/>
                <w:sz w:val="22"/>
                <w:szCs w:val="20"/>
              </w:rPr>
              <w:t>86</w:t>
            </w:r>
            <w:r w:rsidRPr="00883450">
              <w:rPr>
                <w:rFonts w:ascii="Palatino Linotype" w:hAnsi="Palatino Linotype"/>
                <w:b/>
                <w:bCs/>
                <w:sz w:val="22"/>
                <w:szCs w:val="20"/>
              </w:rPr>
              <w:fldChar w:fldCharType="end"/>
            </w:r>
          </w:p>
        </w:sdtContent>
      </w:sdt>
    </w:sdtContent>
  </w:sdt>
  <w:p w14:paraId="6243EC1B" w14:textId="47B193F0" w:rsidR="00290A0A" w:rsidRDefault="00290A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04043C6" w:rsidR="00290A0A" w:rsidRPr="00883450" w:rsidRDefault="00290A0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84B36" w:rsidRPr="00B84B3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84B36" w:rsidRPr="00B84B36">
      <w:rPr>
        <w:rFonts w:ascii="Palatino Linotype" w:hAnsi="Palatino Linotype"/>
        <w:noProof/>
        <w:sz w:val="22"/>
        <w:szCs w:val="22"/>
        <w:lang w:val="es-ES"/>
      </w:rPr>
      <w:t>86</w:t>
    </w:r>
    <w:r w:rsidRPr="00883450">
      <w:rPr>
        <w:rFonts w:ascii="Palatino Linotype" w:hAnsi="Palatino Linotype"/>
        <w:sz w:val="22"/>
        <w:szCs w:val="22"/>
      </w:rPr>
      <w:fldChar w:fldCharType="end"/>
    </w:r>
  </w:p>
  <w:p w14:paraId="5F5C4865" w14:textId="0A9A2B26" w:rsidR="00290A0A" w:rsidRPr="00883450" w:rsidRDefault="00290A0A">
    <w:pPr>
      <w:pStyle w:val="Piedepgina"/>
      <w:rPr>
        <w:rFonts w:ascii="Palatino Linotype" w:hAnsi="Palatino Linotype"/>
        <w:sz w:val="22"/>
        <w:szCs w:val="22"/>
      </w:rPr>
    </w:pPr>
  </w:p>
  <w:p w14:paraId="6B3BE0BD" w14:textId="77777777" w:rsidR="00290A0A" w:rsidRDefault="00290A0A"/>
  <w:p w14:paraId="12CE4B90" w14:textId="77777777" w:rsidR="00290A0A" w:rsidRDefault="00290A0A"/>
  <w:p w14:paraId="0C47160C" w14:textId="77777777" w:rsidR="00290A0A" w:rsidRDefault="00290A0A"/>
  <w:p w14:paraId="362A957E" w14:textId="77777777" w:rsidR="00290A0A" w:rsidRDefault="00290A0A"/>
  <w:p w14:paraId="0F033871" w14:textId="77777777" w:rsidR="00290A0A" w:rsidRDefault="00290A0A"/>
  <w:p w14:paraId="5B858ED4" w14:textId="77777777" w:rsidR="00290A0A" w:rsidRDefault="00290A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A3D9C" w14:textId="77777777" w:rsidR="002638DC" w:rsidRDefault="002638DC" w:rsidP="00587366">
      <w:r>
        <w:separator/>
      </w:r>
    </w:p>
  </w:footnote>
  <w:footnote w:type="continuationSeparator" w:id="0">
    <w:p w14:paraId="02FF6F62" w14:textId="77777777" w:rsidR="002638DC" w:rsidRDefault="002638DC" w:rsidP="00587366">
      <w:r>
        <w:continuationSeparator/>
      </w:r>
    </w:p>
  </w:footnote>
  <w:footnote w:id="1">
    <w:p w14:paraId="32D56466" w14:textId="77777777" w:rsidR="00290A0A" w:rsidRDefault="00290A0A" w:rsidP="008E4483">
      <w:pPr>
        <w:pStyle w:val="Textonotapie"/>
      </w:pPr>
      <w:r>
        <w:rPr>
          <w:rStyle w:val="Refdenotaalpie"/>
        </w:rPr>
        <w:footnoteRef/>
      </w:r>
      <w:r>
        <w:t xml:space="preserve"> Convención Americana sobre Derechos Humanos. Artículo 13.</w:t>
      </w:r>
    </w:p>
  </w:footnote>
  <w:footnote w:id="2">
    <w:p w14:paraId="3F7967D5" w14:textId="77777777" w:rsidR="00290A0A" w:rsidRDefault="00290A0A"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90A0A" w:rsidRDefault="00290A0A"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90A0A" w:rsidRDefault="00290A0A" w:rsidP="008E4483">
      <w:pPr>
        <w:pStyle w:val="Textonotapie"/>
      </w:pPr>
      <w:r>
        <w:rPr>
          <w:rStyle w:val="Refdenotaalpie"/>
        </w:rPr>
        <w:footnoteRef/>
      </w:r>
      <w:r>
        <w:t xml:space="preserve"> Ibídem. Parr. 87.</w:t>
      </w:r>
    </w:p>
  </w:footnote>
  <w:footnote w:id="5">
    <w:p w14:paraId="1C437D52" w14:textId="77777777" w:rsidR="00290A0A" w:rsidRDefault="00290A0A"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90A0A" w:rsidRDefault="00290A0A" w:rsidP="008E4483">
      <w:pPr>
        <w:pStyle w:val="Textonotapie"/>
      </w:pPr>
      <w:r>
        <w:t>II. Eficacia: Obligación del Instituto para tutelar, de manera efectiva, el derecho de acceso a la información;</w:t>
      </w:r>
    </w:p>
    <w:p w14:paraId="707D8AAF" w14:textId="77777777" w:rsidR="00290A0A" w:rsidRDefault="00290A0A" w:rsidP="008E4483">
      <w:pPr>
        <w:pStyle w:val="Textonotapie"/>
      </w:pPr>
      <w:r>
        <w:t xml:space="preserve">… </w:t>
      </w:r>
    </w:p>
  </w:footnote>
  <w:footnote w:id="6">
    <w:p w14:paraId="00E1862A" w14:textId="77777777" w:rsidR="00290A0A" w:rsidRPr="00234955" w:rsidRDefault="00290A0A" w:rsidP="00CB1FFD">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BURGOA ORIHUELA Ignacio. </w:t>
      </w:r>
      <w:r w:rsidRPr="00234955">
        <w:rPr>
          <w:rFonts w:ascii="Palatino Linotype" w:eastAsia="Palatino Linotype" w:hAnsi="Palatino Linotype" w:cs="Palatino Linotype"/>
          <w:i/>
          <w:sz w:val="14"/>
          <w:szCs w:val="16"/>
        </w:rPr>
        <w:t>Diccionario De Derecho Constitucional, Garantías y Amparo</w:t>
      </w:r>
      <w:r w:rsidRPr="00234955">
        <w:rPr>
          <w:rFonts w:ascii="Palatino Linotype" w:eastAsia="Palatino Linotype" w:hAnsi="Palatino Linotype" w:cs="Palatino Linotype"/>
          <w:sz w:val="14"/>
          <w:szCs w:val="16"/>
        </w:rPr>
        <w:t>. Ed. Porrúa, S.A., México. 1992. p. 115.</w:t>
      </w:r>
    </w:p>
  </w:footnote>
  <w:footnote w:id="7">
    <w:p w14:paraId="66E4B2A7" w14:textId="77777777" w:rsidR="00290A0A" w:rsidRPr="00234955" w:rsidRDefault="00290A0A" w:rsidP="00CB1FFD">
      <w:pPr>
        <w:pBdr>
          <w:top w:val="nil"/>
          <w:left w:val="nil"/>
          <w:bottom w:val="nil"/>
          <w:right w:val="nil"/>
          <w:between w:val="nil"/>
        </w:pBdr>
        <w:jc w:val="both"/>
        <w:rPr>
          <w:rFonts w:ascii="Palatino Linotype" w:eastAsia="Palatino Linotype" w:hAnsi="Palatino Linotype" w:cs="Palatino Linotype"/>
          <w:i/>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CIENFUEGOS SALGADO David. </w:t>
      </w:r>
      <w:r w:rsidRPr="00234955">
        <w:rPr>
          <w:rFonts w:ascii="Palatino Linotype" w:eastAsia="Palatino Linotype" w:hAnsi="Palatino Linotype" w:cs="Palatino Linotype"/>
          <w:i/>
          <w:color w:val="000000"/>
          <w:sz w:val="14"/>
          <w:szCs w:val="16"/>
        </w:rPr>
        <w:t xml:space="preserve">El Derecho de Petición en México. </w:t>
      </w:r>
      <w:r w:rsidRPr="00234955">
        <w:rPr>
          <w:rFonts w:ascii="Palatino Linotype" w:eastAsia="Palatino Linotype" w:hAnsi="Palatino Linotype" w:cs="Palatino Linotype"/>
          <w:color w:val="000000"/>
          <w:sz w:val="14"/>
          <w:szCs w:val="16"/>
        </w:rPr>
        <w:t>Ed. Instituto de Investigaciones Jurídica UNAM. México 2004. p. 31</w:t>
      </w:r>
    </w:p>
  </w:footnote>
  <w:footnote w:id="8">
    <w:p w14:paraId="6EA68FC0" w14:textId="77777777" w:rsidR="00290A0A" w:rsidRPr="00234955" w:rsidRDefault="00290A0A" w:rsidP="00CB1FFD">
      <w:pPr>
        <w:pBdr>
          <w:top w:val="nil"/>
          <w:left w:val="nil"/>
          <w:bottom w:val="nil"/>
          <w:right w:val="nil"/>
          <w:between w:val="nil"/>
        </w:pBdr>
        <w:jc w:val="both"/>
        <w:rPr>
          <w:rFonts w:ascii="Palatino Linotype" w:eastAsia="Palatino Linotype" w:hAnsi="Palatino Linotype" w:cs="Palatino Linotype"/>
          <w:color w:val="000000"/>
          <w:sz w:val="14"/>
          <w:szCs w:val="16"/>
        </w:rPr>
      </w:pPr>
      <w:r w:rsidRPr="00234955">
        <w:rPr>
          <w:sz w:val="22"/>
          <w:vertAlign w:val="superscript"/>
        </w:rPr>
        <w:footnoteRef/>
      </w:r>
      <w:r w:rsidRPr="00234955">
        <w:rPr>
          <w:rFonts w:ascii="Palatino Linotype" w:eastAsia="Palatino Linotype" w:hAnsi="Palatino Linotype" w:cs="Palatino Linotype"/>
          <w:color w:val="000000"/>
          <w:sz w:val="14"/>
          <w:szCs w:val="16"/>
        </w:rPr>
        <w:t xml:space="preserve"> ROBLES HERNÁNDEZ José Guadalupe. </w:t>
      </w:r>
      <w:r w:rsidRPr="00234955">
        <w:rPr>
          <w:rFonts w:ascii="Palatino Linotype" w:eastAsia="Palatino Linotype" w:hAnsi="Palatino Linotype" w:cs="Palatino Linotype"/>
          <w:i/>
          <w:color w:val="000000"/>
          <w:sz w:val="14"/>
          <w:szCs w:val="16"/>
        </w:rPr>
        <w:t xml:space="preserve">Derecho de la Información y Comunicación Pública. </w:t>
      </w:r>
      <w:r w:rsidRPr="00234955">
        <w:rPr>
          <w:rFonts w:ascii="Palatino Linotype" w:eastAsia="Palatino Linotype" w:hAnsi="Palatino Linotype" w:cs="Palatino Linotype"/>
          <w:color w:val="000000"/>
          <w:sz w:val="14"/>
          <w:szCs w:val="16"/>
        </w:rPr>
        <w:t>Ed. Universidad de Occidente. México. 2004, p. 72.</w:t>
      </w:r>
    </w:p>
  </w:footnote>
  <w:footnote w:id="9">
    <w:p w14:paraId="06E5B150" w14:textId="77777777" w:rsidR="00290A0A" w:rsidRPr="00234955" w:rsidRDefault="00290A0A" w:rsidP="00CB1FFD">
      <w:pPr>
        <w:jc w:val="both"/>
        <w:rPr>
          <w:rFonts w:ascii="Palatino Linotype" w:eastAsia="Palatino Linotype" w:hAnsi="Palatino Linotype" w:cs="Palatino Linotype"/>
          <w:sz w:val="14"/>
          <w:szCs w:val="16"/>
        </w:rPr>
      </w:pPr>
      <w:r w:rsidRPr="00234955">
        <w:rPr>
          <w:sz w:val="22"/>
          <w:vertAlign w:val="superscript"/>
        </w:rPr>
        <w:footnoteRef/>
      </w:r>
      <w:r w:rsidRPr="00234955">
        <w:rPr>
          <w:rFonts w:ascii="Palatino Linotype" w:eastAsia="Palatino Linotype" w:hAnsi="Palatino Linotype" w:cs="Palatino Linotype"/>
          <w:sz w:val="14"/>
          <w:szCs w:val="16"/>
        </w:rPr>
        <w:t xml:space="preserve"> VILLANUEVA VILLANUEVA Ernesto. Derecho de la Información, Ed. Porrúa. S.A., México. 2006. p. 270.</w:t>
      </w:r>
    </w:p>
  </w:footnote>
  <w:footnote w:id="10">
    <w:p w14:paraId="693C2255" w14:textId="77777777" w:rsidR="00290A0A" w:rsidRPr="00671004" w:rsidRDefault="00290A0A" w:rsidP="00CB1FFD">
      <w:pPr>
        <w:autoSpaceDE w:val="0"/>
        <w:autoSpaceDN w:val="0"/>
        <w:adjustRightInd w:val="0"/>
        <w:jc w:val="both"/>
        <w:rPr>
          <w:rFonts w:cstheme="majorHAnsi"/>
          <w:i/>
          <w:sz w:val="22"/>
        </w:rPr>
      </w:pPr>
      <w:r w:rsidRPr="00671004">
        <w:rPr>
          <w:rStyle w:val="Refdenotaalpie"/>
          <w:sz w:val="22"/>
        </w:rPr>
        <w:footnoteRef/>
      </w:r>
      <w:r w:rsidRPr="00671004">
        <w:rPr>
          <w:sz w:val="22"/>
        </w:rPr>
        <w:t xml:space="preserve"> </w:t>
      </w:r>
      <w:r w:rsidRPr="00671004">
        <w:rPr>
          <w:rFonts w:cstheme="majorHAnsi"/>
          <w:b/>
          <w:bCs/>
          <w:i/>
          <w:sz w:val="22"/>
        </w:rPr>
        <w:t xml:space="preserve">Artículo 13. </w:t>
      </w:r>
      <w:r w:rsidRPr="00671004">
        <w:rPr>
          <w:rFonts w:cstheme="majorHAnsi"/>
          <w:i/>
          <w:sz w:val="22"/>
        </w:rPr>
        <w:t>El Instituto, en el ámbito de sus atribuciones, deberá suplir cualquier deficiencia para garantizar el ejercicio del derecho de acceso a la información.</w:t>
      </w:r>
    </w:p>
  </w:footnote>
  <w:footnote w:id="11">
    <w:p w14:paraId="42FE0792" w14:textId="77777777" w:rsidR="00290A0A" w:rsidRPr="00671004" w:rsidRDefault="00290A0A" w:rsidP="00CB1FFD">
      <w:pPr>
        <w:autoSpaceDE w:val="0"/>
        <w:autoSpaceDN w:val="0"/>
        <w:adjustRightInd w:val="0"/>
        <w:jc w:val="both"/>
        <w:rPr>
          <w:rFonts w:cstheme="majorHAnsi"/>
          <w:i/>
          <w:sz w:val="22"/>
        </w:rPr>
      </w:pPr>
      <w:r w:rsidRPr="00671004">
        <w:rPr>
          <w:rStyle w:val="Refdenotaalpie"/>
          <w:rFonts w:cstheme="majorHAnsi"/>
          <w:b/>
          <w:i/>
          <w:sz w:val="22"/>
        </w:rPr>
        <w:footnoteRef/>
      </w:r>
      <w:r w:rsidRPr="00671004">
        <w:rPr>
          <w:rFonts w:cstheme="majorHAnsi"/>
          <w:b/>
          <w:i/>
          <w:sz w:val="22"/>
        </w:rPr>
        <w:t xml:space="preserve"> Artículo 181</w:t>
      </w:r>
      <w:r w:rsidRPr="00671004">
        <w:rPr>
          <w:rFonts w:cstheme="majorHAnsi"/>
          <w:i/>
          <w:sz w:val="22"/>
        </w:rPr>
        <w:t>. …</w:t>
      </w:r>
    </w:p>
    <w:p w14:paraId="26754D13" w14:textId="77777777" w:rsidR="00290A0A" w:rsidRPr="00671004" w:rsidRDefault="00290A0A" w:rsidP="00CB1FFD">
      <w:pPr>
        <w:autoSpaceDE w:val="0"/>
        <w:autoSpaceDN w:val="0"/>
        <w:adjustRightInd w:val="0"/>
        <w:jc w:val="both"/>
        <w:rPr>
          <w:rFonts w:cstheme="majorHAnsi"/>
          <w:i/>
          <w:sz w:val="22"/>
        </w:rPr>
      </w:pPr>
      <w:r w:rsidRPr="00671004">
        <w:rPr>
          <w:rFonts w:cstheme="majorHAnsi"/>
          <w:i/>
          <w:sz w:val="22"/>
        </w:rPr>
        <w:t>…</w:t>
      </w:r>
    </w:p>
    <w:p w14:paraId="7D1A8DFE" w14:textId="77777777" w:rsidR="00290A0A" w:rsidRDefault="00290A0A" w:rsidP="00CB1FFD">
      <w:pPr>
        <w:autoSpaceDE w:val="0"/>
        <w:autoSpaceDN w:val="0"/>
        <w:adjustRightInd w:val="0"/>
        <w:jc w:val="both"/>
      </w:pPr>
      <w:r w:rsidRPr="00671004">
        <w:rPr>
          <w:rFonts w:cstheme="majorHAnsi"/>
          <w:i/>
          <w:sz w:val="22"/>
        </w:rPr>
        <w:t>Durante el procedimiento deberá aplicarse la suplencia de la queja a favor del recurrente, sin cambiar los hechos expuestos, asegurándose de que las partes puedan presentar, de manera oral o escrita, los argumentos que funden y motiven sus pretensiones</w:t>
      </w:r>
      <w:r w:rsidRPr="00671004">
        <w:rPr>
          <w:rFonts w:cs="Bookman Old Style"/>
          <w:sz w:val="22"/>
        </w:rPr>
        <w:t>.</w:t>
      </w:r>
    </w:p>
  </w:footnote>
  <w:footnote w:id="12">
    <w:p w14:paraId="726BF22B" w14:textId="77777777" w:rsidR="00290A0A" w:rsidRDefault="00290A0A" w:rsidP="0042402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2365CB9" w14:textId="77777777" w:rsidR="00290A0A" w:rsidRDefault="00290A0A" w:rsidP="0042402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8FFDD8" w14:textId="77777777" w:rsidR="00290A0A" w:rsidRPr="00D542F0" w:rsidRDefault="00290A0A" w:rsidP="00424020">
      <w:pPr>
        <w:pStyle w:val="Textonotapie"/>
        <w:jc w:val="both"/>
        <w:rPr>
          <w:lang w:val="en-U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D542F0">
        <w:rPr>
          <w:lang w:val="en-US"/>
        </w:rPr>
        <w:t xml:space="preserve">Pp 1-19. </w:t>
      </w:r>
    </w:p>
  </w:footnote>
  <w:footnote w:id="13">
    <w:p w14:paraId="310A431A"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1" w:anchor="/entry-id/E216930" w:history="1">
        <w:r w:rsidRPr="00D542F0">
          <w:rPr>
            <w:rStyle w:val="Hipervnculo"/>
            <w:lang w:val="en-US"/>
          </w:rPr>
          <w:t>http://dej.rae.es/#/entry-id/E216930</w:t>
        </w:r>
      </w:hyperlink>
      <w:r w:rsidRPr="00D542F0">
        <w:rPr>
          <w:lang w:val="en-US"/>
        </w:rPr>
        <w:t xml:space="preserve"> </w:t>
      </w:r>
    </w:p>
  </w:footnote>
  <w:footnote w:id="14">
    <w:p w14:paraId="71BD0B0B"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2" w:anchor="/entry-id/E87450" w:history="1">
        <w:r w:rsidRPr="00D542F0">
          <w:rPr>
            <w:rStyle w:val="Hipervnculo"/>
            <w:lang w:val="en-US"/>
          </w:rPr>
          <w:t>http://dej.rae.es/#/entry-id/E87450</w:t>
        </w:r>
      </w:hyperlink>
      <w:r w:rsidRPr="00D542F0">
        <w:rPr>
          <w:lang w:val="en-US"/>
        </w:rPr>
        <w:t xml:space="preserve"> </w:t>
      </w:r>
    </w:p>
  </w:footnote>
  <w:footnote w:id="15">
    <w:p w14:paraId="7C5D9396"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3" w:history="1">
        <w:r w:rsidRPr="00D542F0">
          <w:rPr>
            <w:rStyle w:val="Hipervnculo"/>
            <w:lang w:val="en-US"/>
          </w:rPr>
          <w:t>http://dle.rae.es/?id=VGqyuLj|VGtxgAo|VGuc9Wg</w:t>
        </w:r>
      </w:hyperlink>
      <w:r w:rsidRPr="00D542F0">
        <w:rPr>
          <w:lang w:val="en-US"/>
        </w:rPr>
        <w:t xml:space="preserve"> </w:t>
      </w:r>
    </w:p>
  </w:footnote>
  <w:footnote w:id="16">
    <w:p w14:paraId="2CF3E598"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4" w:history="1">
        <w:r w:rsidRPr="00D542F0">
          <w:rPr>
            <w:rStyle w:val="Hipervnculo"/>
            <w:lang w:val="en-US"/>
          </w:rPr>
          <w:t>http://dle.rae.es/?id=CAjNzMR</w:t>
        </w:r>
      </w:hyperlink>
      <w:r w:rsidRPr="00D542F0">
        <w:rPr>
          <w:lang w:val="en-US"/>
        </w:rPr>
        <w:t xml:space="preserve"> </w:t>
      </w:r>
    </w:p>
  </w:footnote>
  <w:footnote w:id="17">
    <w:p w14:paraId="23BBB4B0"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5" w:history="1">
        <w:r w:rsidRPr="00D542F0">
          <w:rPr>
            <w:rStyle w:val="Hipervnculo"/>
            <w:lang w:val="en-US"/>
          </w:rPr>
          <w:t>http://dle.rae.es/?id=CAqWkEB</w:t>
        </w:r>
      </w:hyperlink>
      <w:r w:rsidRPr="00D542F0">
        <w:rPr>
          <w:lang w:val="en-US"/>
        </w:rPr>
        <w:t xml:space="preserve"> </w:t>
      </w:r>
    </w:p>
  </w:footnote>
  <w:footnote w:id="18">
    <w:p w14:paraId="730F8DD0"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6" w:history="1">
        <w:r w:rsidRPr="00D542F0">
          <w:rPr>
            <w:rStyle w:val="Hipervnculo"/>
            <w:lang w:val="en-US"/>
          </w:rPr>
          <w:t>http://dle.rae.es/?id=KtnHLLd</w:t>
        </w:r>
      </w:hyperlink>
      <w:r w:rsidRPr="00D542F0">
        <w:rPr>
          <w:lang w:val="en-US"/>
        </w:rPr>
        <w:t xml:space="preserve"> </w:t>
      </w:r>
    </w:p>
  </w:footnote>
  <w:footnote w:id="19">
    <w:p w14:paraId="36C06883" w14:textId="77777777" w:rsidR="00290A0A" w:rsidRPr="00D542F0" w:rsidRDefault="00290A0A" w:rsidP="00424020">
      <w:pPr>
        <w:pStyle w:val="Textonotapie"/>
        <w:jc w:val="both"/>
        <w:rPr>
          <w:lang w:val="en-US"/>
        </w:rPr>
      </w:pPr>
      <w:r>
        <w:rPr>
          <w:rStyle w:val="Refdenotaalpie"/>
        </w:rPr>
        <w:footnoteRef/>
      </w:r>
      <w:r w:rsidRPr="00D542F0">
        <w:rPr>
          <w:lang w:val="en-US"/>
        </w:rPr>
        <w:t xml:space="preserve"> </w:t>
      </w:r>
      <w:hyperlink r:id="rId7" w:history="1">
        <w:r w:rsidRPr="00D542F0">
          <w:rPr>
            <w:rStyle w:val="Hipervnculo"/>
            <w:lang w:val="en-US"/>
          </w:rPr>
          <w:t>http://dle.rae.es/?id=KtpfgjV</w:t>
        </w:r>
      </w:hyperlink>
      <w:r w:rsidRPr="00D542F0">
        <w:rPr>
          <w:lang w:val="en-US"/>
        </w:rPr>
        <w:t xml:space="preserve"> </w:t>
      </w:r>
    </w:p>
  </w:footnote>
  <w:footnote w:id="20">
    <w:p w14:paraId="0E763E7D" w14:textId="77777777" w:rsidR="00290A0A" w:rsidRPr="00114DA0" w:rsidRDefault="00290A0A" w:rsidP="00424020">
      <w:pPr>
        <w:jc w:val="both"/>
        <w:rPr>
          <w:color w:val="000000" w:themeColor="text1"/>
          <w:sz w:val="20"/>
          <w:szCs w:val="20"/>
          <w:lang w:eastAsia="es-ES_tradnl"/>
        </w:rPr>
      </w:pPr>
      <w:r>
        <w:rPr>
          <w:rStyle w:val="Refdenotaalpie"/>
        </w:rPr>
        <w:footnoteRef/>
      </w:r>
      <w:r>
        <w:t xml:space="preserve"> </w:t>
      </w:r>
      <w:r>
        <w:rPr>
          <w:lang w:val="es-ES"/>
        </w:rPr>
        <w:t>“</w:t>
      </w:r>
      <w:r w:rsidRPr="00114DA0">
        <w:rPr>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1">
    <w:p w14:paraId="6947ED2B" w14:textId="77777777" w:rsidR="00290A0A" w:rsidRPr="00D542F0" w:rsidRDefault="00290A0A" w:rsidP="00424020">
      <w:pPr>
        <w:pStyle w:val="Textonotapie"/>
        <w:rPr>
          <w:lang w:val="en-US"/>
        </w:rPr>
      </w:pPr>
      <w:r w:rsidRPr="00114DA0">
        <w:rPr>
          <w:rStyle w:val="Refdenotaalpie"/>
        </w:rPr>
        <w:footnoteRef/>
      </w:r>
      <w:r w:rsidRPr="00114DA0">
        <w:t xml:space="preserve"> </w:t>
      </w:r>
      <w:r w:rsidRPr="00114DA0">
        <w:rPr>
          <w:lang w:val="es-ES"/>
        </w:rPr>
        <w:t xml:space="preserve">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w:t>
      </w:r>
      <w:r w:rsidRPr="00D542F0">
        <w:rPr>
          <w:lang w:val="en-US"/>
        </w:rPr>
        <w:t>Pp. 1045-1096.</w:t>
      </w:r>
    </w:p>
  </w:footnote>
  <w:footnote w:id="22">
    <w:p w14:paraId="07626776" w14:textId="77777777" w:rsidR="00290A0A" w:rsidRPr="00D542F0" w:rsidRDefault="00290A0A" w:rsidP="00424020">
      <w:pPr>
        <w:pStyle w:val="Textonotapie"/>
        <w:rPr>
          <w:lang w:val="en-US"/>
        </w:rPr>
      </w:pPr>
      <w:r>
        <w:rPr>
          <w:rStyle w:val="Refdenotaalpie"/>
        </w:rPr>
        <w:footnoteRef/>
      </w:r>
      <w:r w:rsidRPr="00D542F0">
        <w:rPr>
          <w:lang w:val="en-US"/>
        </w:rPr>
        <w:t xml:space="preserve"> </w:t>
      </w:r>
      <w:hyperlink r:id="rId8" w:history="1">
        <w:r w:rsidRPr="00D542F0">
          <w:rPr>
            <w:rStyle w:val="Hipervnculo"/>
            <w:lang w:val="en-US"/>
          </w:rPr>
          <w:t>https://www.dof.gob.mx/nota_detalle.php?codigo=5433280&amp;fecha=15/04/2016</w:t>
        </w:r>
      </w:hyperlink>
    </w:p>
  </w:footnote>
  <w:footnote w:id="23">
    <w:p w14:paraId="43005709" w14:textId="7F17DB11" w:rsidR="00290A0A" w:rsidRDefault="00290A0A" w:rsidP="00986792">
      <w:pPr>
        <w:pStyle w:val="Textonotapie"/>
        <w:jc w:val="both"/>
      </w:pPr>
      <w:r>
        <w:rPr>
          <w:rStyle w:val="Refdenotaalpie"/>
        </w:rPr>
        <w:footnoteRef/>
      </w:r>
      <w:r>
        <w:t xml:space="preserve"> </w:t>
      </w:r>
      <w:r w:rsidRPr="00986792">
        <w:rPr>
          <w:sz w:val="18"/>
        </w:rPr>
        <w:t>XXVII. Satisfacer oportunamente los requerimientos que le sean solicitados por la Secretaría, para el registro y actualización de la licencia colectiva para la portación de armas de fuego de los integrantes de las instituciones policiales a su cargo;</w:t>
      </w:r>
    </w:p>
  </w:footnote>
  <w:footnote w:id="24">
    <w:p w14:paraId="756FEB39" w14:textId="77777777" w:rsidR="00290A0A" w:rsidRPr="00EE3517" w:rsidRDefault="00290A0A" w:rsidP="00AA5E18">
      <w:pPr>
        <w:autoSpaceDE w:val="0"/>
        <w:autoSpaceDN w:val="0"/>
        <w:adjustRightInd w:val="0"/>
        <w:jc w:val="both"/>
        <w:rPr>
          <w:rFonts w:cstheme="majorHAnsi"/>
          <w:i/>
        </w:rPr>
      </w:pPr>
      <w:r>
        <w:rPr>
          <w:rStyle w:val="Refdenotaalpie"/>
        </w:rPr>
        <w:footnoteRef/>
      </w:r>
      <w:r>
        <w:t xml:space="preserve"> </w:t>
      </w:r>
      <w:r w:rsidRPr="00EE3517">
        <w:rPr>
          <w:rFonts w:cstheme="majorHAnsi"/>
          <w:b/>
          <w:bCs/>
          <w:i/>
        </w:rPr>
        <w:t xml:space="preserve">Artículo 13. </w:t>
      </w:r>
      <w:r w:rsidRPr="00EE3517">
        <w:rPr>
          <w:rFonts w:cstheme="majorHAnsi"/>
          <w:i/>
        </w:rPr>
        <w:t>El Instituto, en el ámbito de sus atribuciones, deberá suplir cualquier deficiencia para garantizar el ejercicio del derecho de acceso a la información.</w:t>
      </w:r>
    </w:p>
  </w:footnote>
  <w:footnote w:id="25">
    <w:p w14:paraId="619FD54D" w14:textId="77777777" w:rsidR="00290A0A" w:rsidRPr="00EE3517" w:rsidRDefault="00290A0A" w:rsidP="00AA5E18">
      <w:pPr>
        <w:autoSpaceDE w:val="0"/>
        <w:autoSpaceDN w:val="0"/>
        <w:adjustRightInd w:val="0"/>
        <w:jc w:val="both"/>
        <w:rPr>
          <w:rFonts w:cstheme="majorHAnsi"/>
          <w:i/>
        </w:rPr>
      </w:pPr>
      <w:r w:rsidRPr="00EE3517">
        <w:rPr>
          <w:rStyle w:val="Refdenotaalpie"/>
          <w:rFonts w:cstheme="majorHAnsi"/>
          <w:b/>
          <w:i/>
        </w:rPr>
        <w:footnoteRef/>
      </w:r>
      <w:r w:rsidRPr="00EE3517">
        <w:rPr>
          <w:rFonts w:cstheme="majorHAnsi"/>
          <w:b/>
          <w:i/>
        </w:rPr>
        <w:t xml:space="preserve"> Artículo 181</w:t>
      </w:r>
      <w:r w:rsidRPr="00EE3517">
        <w:rPr>
          <w:rFonts w:cstheme="majorHAnsi"/>
          <w:i/>
        </w:rPr>
        <w:t>. …</w:t>
      </w:r>
    </w:p>
    <w:p w14:paraId="4BC6E4E1" w14:textId="77777777" w:rsidR="00290A0A" w:rsidRPr="00EE3517" w:rsidRDefault="00290A0A" w:rsidP="00AA5E18">
      <w:pPr>
        <w:autoSpaceDE w:val="0"/>
        <w:autoSpaceDN w:val="0"/>
        <w:adjustRightInd w:val="0"/>
        <w:jc w:val="both"/>
        <w:rPr>
          <w:rFonts w:cstheme="majorHAnsi"/>
          <w:i/>
        </w:rPr>
      </w:pPr>
      <w:r w:rsidRPr="00EE3517">
        <w:rPr>
          <w:rFonts w:cstheme="majorHAnsi"/>
          <w:i/>
        </w:rPr>
        <w:t>…</w:t>
      </w:r>
    </w:p>
    <w:p w14:paraId="284779E2" w14:textId="77777777" w:rsidR="00290A0A" w:rsidRDefault="00290A0A" w:rsidP="00AA5E18">
      <w:pPr>
        <w:autoSpaceDE w:val="0"/>
        <w:autoSpaceDN w:val="0"/>
        <w:adjustRightInd w:val="0"/>
        <w:jc w:val="both"/>
      </w:pPr>
      <w:r w:rsidRPr="00EE3517">
        <w:rPr>
          <w:rFonts w:cstheme="majorHAnsi"/>
          <w:i/>
        </w:rPr>
        <w:t>Durante el procedimiento deberá aplicarse la suplencia de la queja a favor del recurrente, sin cambiar los hechos expuestos, asegurándose de que las partes puedan presentar, de manera oral o escrita, los argumentos que funden y motiven sus pretensiones</w:t>
      </w:r>
      <w:r w:rsidRPr="00EE3517">
        <w:rPr>
          <w:rFonts w:cs="Bookman Old Sty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90A0A" w:rsidRPr="000F6E72" w14:paraId="07F2896E" w14:textId="77777777" w:rsidTr="00FA0F09">
      <w:trPr>
        <w:trHeight w:val="138"/>
        <w:jc w:val="right"/>
      </w:trPr>
      <w:tc>
        <w:tcPr>
          <w:tcW w:w="3260" w:type="dxa"/>
          <w:vAlign w:val="center"/>
        </w:tcPr>
        <w:p w14:paraId="4A5B1974" w14:textId="44CA9AFE" w:rsidR="00290A0A" w:rsidRPr="000F6E72" w:rsidRDefault="00290A0A" w:rsidP="005F1362">
          <w:pPr>
            <w:ind w:right="34"/>
            <w:jc w:val="right"/>
            <w:rPr>
              <w:rFonts w:ascii="Palatino Linotype" w:hAnsi="Palatino Linotype"/>
              <w:b/>
              <w:sz w:val="22"/>
              <w:szCs w:val="22"/>
            </w:rPr>
          </w:pPr>
          <w:r w:rsidRPr="000F6E72">
            <w:rPr>
              <w:rFonts w:ascii="Palatino Linotype" w:hAnsi="Palatino Linotype"/>
              <w:b/>
              <w:sz w:val="22"/>
              <w:szCs w:val="22"/>
            </w:rPr>
            <w:t>RECURSO DE REVISIÓN:</w:t>
          </w:r>
        </w:p>
      </w:tc>
      <w:tc>
        <w:tcPr>
          <w:tcW w:w="3690" w:type="dxa"/>
          <w:vAlign w:val="center"/>
        </w:tcPr>
        <w:p w14:paraId="3A05B4B6" w14:textId="24B146FA" w:rsidR="00290A0A" w:rsidRPr="000F6E72" w:rsidRDefault="00290A0A" w:rsidP="00755146">
          <w:pPr>
            <w:pStyle w:val="Encabezado"/>
            <w:jc w:val="both"/>
            <w:rPr>
              <w:rFonts w:ascii="Palatino Linotype" w:hAnsi="Palatino Linotype"/>
              <w:sz w:val="22"/>
              <w:szCs w:val="22"/>
            </w:rPr>
          </w:pPr>
          <w:r w:rsidRPr="000F6E72">
            <w:rPr>
              <w:rFonts w:ascii="Palatino Linotype" w:hAnsi="Palatino Linotype"/>
              <w:sz w:val="22"/>
              <w:szCs w:val="22"/>
            </w:rPr>
            <w:t>07943/INFOEM/IP/RR/2022</w:t>
          </w:r>
        </w:p>
      </w:tc>
    </w:tr>
    <w:tr w:rsidR="00290A0A" w:rsidRPr="000F6E72" w14:paraId="1B5D8690" w14:textId="77777777" w:rsidTr="00FA0F09">
      <w:trPr>
        <w:trHeight w:val="233"/>
        <w:jc w:val="right"/>
      </w:trPr>
      <w:tc>
        <w:tcPr>
          <w:tcW w:w="3260" w:type="dxa"/>
          <w:vAlign w:val="center"/>
        </w:tcPr>
        <w:p w14:paraId="3903F2C6" w14:textId="22D569F8" w:rsidR="00290A0A" w:rsidRPr="000F6E72" w:rsidRDefault="00290A0A" w:rsidP="000F55C1">
          <w:pPr>
            <w:ind w:right="34"/>
            <w:jc w:val="right"/>
            <w:rPr>
              <w:rFonts w:ascii="Palatino Linotype" w:hAnsi="Palatino Linotype"/>
              <w:b/>
              <w:sz w:val="22"/>
              <w:szCs w:val="22"/>
            </w:rPr>
          </w:pPr>
          <w:r w:rsidRPr="000F6E72">
            <w:rPr>
              <w:rFonts w:ascii="Palatino Linotype" w:hAnsi="Palatino Linotype"/>
              <w:b/>
              <w:sz w:val="22"/>
              <w:szCs w:val="22"/>
            </w:rPr>
            <w:t>SUJETO OBLIGADO:</w:t>
          </w:r>
        </w:p>
      </w:tc>
      <w:tc>
        <w:tcPr>
          <w:tcW w:w="3690" w:type="dxa"/>
          <w:vAlign w:val="center"/>
        </w:tcPr>
        <w:p w14:paraId="03C799A2" w14:textId="2B9D74B4" w:rsidR="00290A0A" w:rsidRPr="000F6E72" w:rsidRDefault="00290A0A" w:rsidP="007415F9">
          <w:pPr>
            <w:pStyle w:val="Encabezado"/>
            <w:jc w:val="both"/>
            <w:rPr>
              <w:rFonts w:ascii="Palatino Linotype" w:hAnsi="Palatino Linotype"/>
              <w:sz w:val="22"/>
              <w:szCs w:val="22"/>
            </w:rPr>
          </w:pPr>
          <w:r w:rsidRPr="000F6E72">
            <w:rPr>
              <w:rFonts w:ascii="Palatino Linotype" w:eastAsia="Calibri" w:hAnsi="Palatino Linotype" w:cs="Arial"/>
              <w:bCs/>
              <w:sz w:val="22"/>
              <w:szCs w:val="22"/>
              <w:lang w:val="es-ES"/>
            </w:rPr>
            <w:t>Ayuntamiento de Cuautitlán Izcalli</w:t>
          </w:r>
        </w:p>
      </w:tc>
    </w:tr>
    <w:tr w:rsidR="00290A0A" w:rsidRPr="000F6E72" w14:paraId="095EB01B" w14:textId="77777777" w:rsidTr="00FA0F09">
      <w:trPr>
        <w:trHeight w:val="321"/>
        <w:jc w:val="right"/>
      </w:trPr>
      <w:tc>
        <w:tcPr>
          <w:tcW w:w="3260" w:type="dxa"/>
          <w:vAlign w:val="center"/>
        </w:tcPr>
        <w:p w14:paraId="6E000A51" w14:textId="05E1861A" w:rsidR="00290A0A" w:rsidRPr="000F6E72" w:rsidRDefault="00290A0A" w:rsidP="006E6B65">
          <w:pPr>
            <w:ind w:right="34"/>
            <w:jc w:val="right"/>
            <w:rPr>
              <w:rFonts w:ascii="Palatino Linotype" w:hAnsi="Palatino Linotype"/>
              <w:b/>
              <w:sz w:val="22"/>
              <w:szCs w:val="22"/>
            </w:rPr>
          </w:pPr>
          <w:r w:rsidRPr="000F6E72">
            <w:rPr>
              <w:rFonts w:ascii="Palatino Linotype" w:hAnsi="Palatino Linotype"/>
              <w:b/>
              <w:sz w:val="22"/>
              <w:szCs w:val="22"/>
            </w:rPr>
            <w:t>COMISIONADA PONENTE:</w:t>
          </w:r>
        </w:p>
      </w:tc>
      <w:tc>
        <w:tcPr>
          <w:tcW w:w="3690" w:type="dxa"/>
          <w:vAlign w:val="center"/>
        </w:tcPr>
        <w:p w14:paraId="07560085" w14:textId="64DC8836" w:rsidR="00290A0A" w:rsidRPr="000F6E72" w:rsidRDefault="00290A0A" w:rsidP="00472C41">
          <w:pPr>
            <w:pStyle w:val="Encabezado"/>
            <w:rPr>
              <w:rFonts w:ascii="Palatino Linotype" w:hAnsi="Palatino Linotype"/>
              <w:sz w:val="22"/>
              <w:szCs w:val="22"/>
            </w:rPr>
          </w:pPr>
          <w:r w:rsidRPr="000F6E72">
            <w:rPr>
              <w:rFonts w:ascii="Palatino Linotype" w:hAnsi="Palatino Linotype"/>
              <w:sz w:val="22"/>
              <w:szCs w:val="22"/>
            </w:rPr>
            <w:t>María del Rosario Mejía Ayala</w:t>
          </w:r>
        </w:p>
      </w:tc>
    </w:tr>
  </w:tbl>
  <w:p w14:paraId="1096C1B8" w14:textId="2BA8EB40" w:rsidR="00290A0A" w:rsidRDefault="00290A0A"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90A0A" w:rsidRDefault="00290A0A" w:rsidP="000F6E72">
    <w:pPr>
      <w:pStyle w:val="Encabezado"/>
      <w:tabs>
        <w:tab w:val="clear" w:pos="4252"/>
        <w:tab w:val="clear" w:pos="8504"/>
      </w:tabs>
      <w:ind w:left="1276" w:hanging="1276"/>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left:0;text-align:left;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1332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gridCol w:w="3827"/>
    </w:tblGrid>
    <w:tr w:rsidR="00290A0A" w:rsidRPr="000F6E72" w14:paraId="0A3256F2" w14:textId="77777777" w:rsidTr="000F6E72">
      <w:trPr>
        <w:trHeight w:val="138"/>
        <w:jc w:val="right"/>
      </w:trPr>
      <w:tc>
        <w:tcPr>
          <w:tcW w:w="9498" w:type="dxa"/>
          <w:vAlign w:val="center"/>
        </w:tcPr>
        <w:p w14:paraId="3D80769D" w14:textId="316F11F8" w:rsidR="00290A0A" w:rsidRPr="000F6E72" w:rsidRDefault="00290A0A" w:rsidP="000F6E72">
          <w:pPr>
            <w:jc w:val="right"/>
            <w:rPr>
              <w:rFonts w:ascii="Palatino Linotype" w:hAnsi="Palatino Linotype"/>
              <w:b/>
              <w:sz w:val="22"/>
              <w:szCs w:val="22"/>
            </w:rPr>
          </w:pPr>
          <w:r w:rsidRPr="000F6E72">
            <w:rPr>
              <w:rFonts w:ascii="Palatino Linotype" w:hAnsi="Palatino Linotype"/>
              <w:b/>
              <w:sz w:val="22"/>
              <w:szCs w:val="22"/>
            </w:rPr>
            <w:t>RECURSO DE REVISIÓN:</w:t>
          </w:r>
        </w:p>
      </w:tc>
      <w:tc>
        <w:tcPr>
          <w:tcW w:w="3827" w:type="dxa"/>
          <w:vAlign w:val="center"/>
        </w:tcPr>
        <w:p w14:paraId="0453495E" w14:textId="07C96587" w:rsidR="00290A0A" w:rsidRPr="000F6E72" w:rsidRDefault="00290A0A" w:rsidP="00514A30">
          <w:pPr>
            <w:pStyle w:val="Encabezado"/>
            <w:rPr>
              <w:rFonts w:ascii="Palatino Linotype" w:hAnsi="Palatino Linotype"/>
              <w:sz w:val="22"/>
              <w:szCs w:val="22"/>
            </w:rPr>
          </w:pPr>
          <w:r w:rsidRPr="000F6E72">
            <w:rPr>
              <w:rFonts w:ascii="Palatino Linotype" w:hAnsi="Palatino Linotype"/>
              <w:sz w:val="22"/>
              <w:szCs w:val="22"/>
            </w:rPr>
            <w:t>07943/INFOEM/IP/RR/2022</w:t>
          </w:r>
        </w:p>
      </w:tc>
    </w:tr>
    <w:tr w:rsidR="00290A0A" w:rsidRPr="000F6E72" w14:paraId="128C8B3C" w14:textId="77777777" w:rsidTr="000F6E72">
      <w:trPr>
        <w:trHeight w:val="233"/>
        <w:jc w:val="right"/>
      </w:trPr>
      <w:tc>
        <w:tcPr>
          <w:tcW w:w="9498" w:type="dxa"/>
          <w:vAlign w:val="center"/>
        </w:tcPr>
        <w:p w14:paraId="483E3371" w14:textId="66B1BC74" w:rsidR="00290A0A" w:rsidRPr="000F6E72" w:rsidRDefault="00290A0A" w:rsidP="00472C41">
          <w:pPr>
            <w:jc w:val="right"/>
            <w:rPr>
              <w:rFonts w:ascii="Palatino Linotype" w:hAnsi="Palatino Linotype"/>
              <w:b/>
              <w:sz w:val="22"/>
              <w:szCs w:val="22"/>
            </w:rPr>
          </w:pPr>
          <w:r w:rsidRPr="000F6E72">
            <w:rPr>
              <w:rFonts w:ascii="Palatino Linotype" w:hAnsi="Palatino Linotype"/>
              <w:b/>
              <w:sz w:val="22"/>
              <w:szCs w:val="22"/>
            </w:rPr>
            <w:t>RECURRENTE:</w:t>
          </w:r>
        </w:p>
      </w:tc>
      <w:tc>
        <w:tcPr>
          <w:tcW w:w="3827" w:type="dxa"/>
        </w:tcPr>
        <w:p w14:paraId="1548525E" w14:textId="1A6765E4" w:rsidR="00290A0A" w:rsidRPr="000F6E72" w:rsidRDefault="00290A0A" w:rsidP="00B87705">
          <w:pPr>
            <w:pStyle w:val="Encabezado"/>
            <w:rPr>
              <w:rFonts w:ascii="Palatino Linotype" w:hAnsi="Palatino Linotype"/>
              <w:sz w:val="22"/>
              <w:szCs w:val="22"/>
            </w:rPr>
          </w:pPr>
          <w:r>
            <w:rPr>
              <w:rFonts w:ascii="Palatino Linotype" w:hAnsi="Palatino Linotype"/>
              <w:sz w:val="22"/>
              <w:szCs w:val="22"/>
            </w:rPr>
            <w:t>XXX XXX XXX</w:t>
          </w:r>
        </w:p>
      </w:tc>
    </w:tr>
    <w:tr w:rsidR="00290A0A" w:rsidRPr="000F6E72" w14:paraId="41BE0704" w14:textId="77777777" w:rsidTr="000F6E72">
      <w:trPr>
        <w:trHeight w:val="321"/>
        <w:jc w:val="right"/>
      </w:trPr>
      <w:tc>
        <w:tcPr>
          <w:tcW w:w="9498" w:type="dxa"/>
          <w:vAlign w:val="center"/>
        </w:tcPr>
        <w:p w14:paraId="34C64148" w14:textId="10C6C8A9" w:rsidR="00290A0A" w:rsidRPr="000F6E72" w:rsidRDefault="00290A0A" w:rsidP="005F1362">
          <w:pPr>
            <w:jc w:val="right"/>
            <w:rPr>
              <w:rFonts w:ascii="Palatino Linotype" w:hAnsi="Palatino Linotype"/>
              <w:b/>
              <w:sz w:val="22"/>
              <w:szCs w:val="22"/>
            </w:rPr>
          </w:pPr>
          <w:r w:rsidRPr="000F6E72">
            <w:rPr>
              <w:rFonts w:ascii="Palatino Linotype" w:hAnsi="Palatino Linotype"/>
              <w:b/>
              <w:sz w:val="22"/>
              <w:szCs w:val="22"/>
            </w:rPr>
            <w:t>SUJETO OBLIGADO:</w:t>
          </w:r>
        </w:p>
      </w:tc>
      <w:tc>
        <w:tcPr>
          <w:tcW w:w="3827" w:type="dxa"/>
          <w:vAlign w:val="center"/>
        </w:tcPr>
        <w:p w14:paraId="34C341BF" w14:textId="6E594A88" w:rsidR="00290A0A" w:rsidRPr="000F6E72" w:rsidRDefault="00290A0A" w:rsidP="009113E0">
          <w:pPr>
            <w:pStyle w:val="Encabezado"/>
            <w:jc w:val="both"/>
            <w:rPr>
              <w:rFonts w:ascii="Palatino Linotype" w:hAnsi="Palatino Linotype"/>
              <w:sz w:val="22"/>
              <w:szCs w:val="22"/>
            </w:rPr>
          </w:pPr>
          <w:r w:rsidRPr="000F6E72">
            <w:rPr>
              <w:rFonts w:ascii="Palatino Linotype" w:eastAsia="Calibri" w:hAnsi="Palatino Linotype" w:cs="Arial"/>
              <w:bCs/>
              <w:sz w:val="22"/>
              <w:szCs w:val="22"/>
              <w:lang w:val="es-ES"/>
            </w:rPr>
            <w:t>Ayuntamiento de Cuautitlán Izcalli</w:t>
          </w:r>
        </w:p>
      </w:tc>
    </w:tr>
    <w:tr w:rsidR="00290A0A" w:rsidRPr="000F6E72" w14:paraId="0C8B6193" w14:textId="77777777" w:rsidTr="000F6E72">
      <w:trPr>
        <w:trHeight w:val="321"/>
        <w:jc w:val="right"/>
      </w:trPr>
      <w:tc>
        <w:tcPr>
          <w:tcW w:w="9498" w:type="dxa"/>
          <w:vAlign w:val="center"/>
        </w:tcPr>
        <w:p w14:paraId="321FFAFF" w14:textId="0E8C2CE7" w:rsidR="00290A0A" w:rsidRPr="000F6E72" w:rsidRDefault="00290A0A" w:rsidP="00472C41">
          <w:pPr>
            <w:jc w:val="right"/>
            <w:rPr>
              <w:rFonts w:ascii="Palatino Linotype" w:hAnsi="Palatino Linotype"/>
              <w:b/>
              <w:sz w:val="22"/>
              <w:szCs w:val="22"/>
            </w:rPr>
          </w:pPr>
          <w:r w:rsidRPr="000F6E72">
            <w:rPr>
              <w:rFonts w:ascii="Palatino Linotype" w:hAnsi="Palatino Linotype"/>
              <w:b/>
              <w:sz w:val="22"/>
              <w:szCs w:val="22"/>
            </w:rPr>
            <w:t>COMISIONADA PONENTE:</w:t>
          </w:r>
        </w:p>
      </w:tc>
      <w:tc>
        <w:tcPr>
          <w:tcW w:w="3827" w:type="dxa"/>
          <w:vAlign w:val="center"/>
        </w:tcPr>
        <w:p w14:paraId="0FECDA9D" w14:textId="6D336FD0" w:rsidR="00290A0A" w:rsidRPr="000F6E72" w:rsidRDefault="00290A0A" w:rsidP="00B44F9F">
          <w:pPr>
            <w:pStyle w:val="Encabezado"/>
            <w:ind w:left="33"/>
            <w:rPr>
              <w:rFonts w:ascii="Palatino Linotype" w:hAnsi="Palatino Linotype"/>
              <w:sz w:val="22"/>
              <w:szCs w:val="22"/>
            </w:rPr>
          </w:pPr>
          <w:r w:rsidRPr="000F6E72">
            <w:rPr>
              <w:rFonts w:ascii="Palatino Linotype" w:hAnsi="Palatino Linotype"/>
              <w:sz w:val="22"/>
              <w:szCs w:val="22"/>
            </w:rPr>
            <w:t>María del Rosario Mejía Ayala</w:t>
          </w:r>
        </w:p>
      </w:tc>
    </w:tr>
  </w:tbl>
  <w:p w14:paraId="156B5574" w14:textId="3EA5B995" w:rsidR="00290A0A" w:rsidRPr="000F6E72" w:rsidRDefault="00290A0A" w:rsidP="00472C41">
    <w:pPr>
      <w:pStyle w:val="Encabezado"/>
      <w:tabs>
        <w:tab w:val="clear" w:pos="4252"/>
        <w:tab w:val="clear" w:pos="8504"/>
        <w:tab w:val="left" w:pos="3103"/>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A9035B"/>
    <w:multiLevelType w:val="hybridMultilevel"/>
    <w:tmpl w:val="EB525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0A0BC1"/>
    <w:multiLevelType w:val="hybridMultilevel"/>
    <w:tmpl w:val="4E7E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EF1CB7"/>
    <w:multiLevelType w:val="hybridMultilevel"/>
    <w:tmpl w:val="97A4F524"/>
    <w:lvl w:ilvl="0" w:tplc="41667442">
      <w:start w:val="1"/>
      <w:numFmt w:val="upperRoman"/>
      <w:lvlText w:val="%1."/>
      <w:lvlJc w:val="left"/>
      <w:pPr>
        <w:ind w:left="1146" w:hanging="720"/>
      </w:pPr>
      <w:rPr>
        <w:rFonts w:eastAsiaTheme="minorEastAsia" w:cstheme="minorBidi" w:hint="default"/>
        <w:color w:val="00000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2CE17B6B"/>
    <w:multiLevelType w:val="hybridMultilevel"/>
    <w:tmpl w:val="12AE1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256E42"/>
    <w:multiLevelType w:val="hybridMultilevel"/>
    <w:tmpl w:val="4466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DB915C4"/>
    <w:multiLevelType w:val="hybridMultilevel"/>
    <w:tmpl w:val="4698A9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32487B"/>
    <w:multiLevelType w:val="hybridMultilevel"/>
    <w:tmpl w:val="A6580F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9FB4D32"/>
    <w:multiLevelType w:val="hybridMultilevel"/>
    <w:tmpl w:val="3D4844E2"/>
    <w:lvl w:ilvl="0" w:tplc="080A0001">
      <w:start w:val="1"/>
      <w:numFmt w:val="bullet"/>
      <w:lvlText w:val=""/>
      <w:lvlJc w:val="left"/>
      <w:pPr>
        <w:ind w:left="1494"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17" w15:restartNumberingAfterBreak="0">
    <w:nsid w:val="67155AF6"/>
    <w:multiLevelType w:val="hybridMultilevel"/>
    <w:tmpl w:val="9C10997A"/>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8" w15:restartNumberingAfterBreak="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867D4F"/>
    <w:multiLevelType w:val="hybridMultilevel"/>
    <w:tmpl w:val="1CDEF53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0" w15:restartNumberingAfterBreak="0">
    <w:nsid w:val="6A017000"/>
    <w:multiLevelType w:val="hybridMultilevel"/>
    <w:tmpl w:val="6EE26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EA308DE"/>
    <w:multiLevelType w:val="hybridMultilevel"/>
    <w:tmpl w:val="100279F2"/>
    <w:lvl w:ilvl="0" w:tplc="DD9AE4DE">
      <w:start w:val="1"/>
      <w:numFmt w:val="upperRoman"/>
      <w:lvlText w:val="%1."/>
      <w:lvlJc w:val="left"/>
      <w:pPr>
        <w:ind w:left="644" w:hanging="360"/>
      </w:pPr>
      <w:rPr>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7"/>
  </w:num>
  <w:num w:numId="2">
    <w:abstractNumId w:val="13"/>
  </w:num>
  <w:num w:numId="3">
    <w:abstractNumId w:val="0"/>
  </w:num>
  <w:num w:numId="4">
    <w:abstractNumId w:val="7"/>
  </w:num>
  <w:num w:numId="5">
    <w:abstractNumId w:val="1"/>
  </w:num>
  <w:num w:numId="6">
    <w:abstractNumId w:val="10"/>
  </w:num>
  <w:num w:numId="7">
    <w:abstractNumId w:val="18"/>
  </w:num>
  <w:num w:numId="8">
    <w:abstractNumId w:val="8"/>
  </w:num>
  <w:num w:numId="9">
    <w:abstractNumId w:val="16"/>
  </w:num>
  <w:num w:numId="10">
    <w:abstractNumId w:val="21"/>
  </w:num>
  <w:num w:numId="11">
    <w:abstractNumId w:val="15"/>
  </w:num>
  <w:num w:numId="12">
    <w:abstractNumId w:val="22"/>
  </w:num>
  <w:num w:numId="13">
    <w:abstractNumId w:val="12"/>
  </w:num>
  <w:num w:numId="14">
    <w:abstractNumId w:val="20"/>
  </w:num>
  <w:num w:numId="15">
    <w:abstractNumId w:val="5"/>
  </w:num>
  <w:num w:numId="16">
    <w:abstractNumId w:val="9"/>
  </w:num>
  <w:num w:numId="17">
    <w:abstractNumId w:val="2"/>
  </w:num>
  <w:num w:numId="18">
    <w:abstractNumId w:val="3"/>
  </w:num>
  <w:num w:numId="19">
    <w:abstractNumId w:val="4"/>
  </w:num>
  <w:num w:numId="20">
    <w:abstractNumId w:val="19"/>
  </w:num>
  <w:num w:numId="21">
    <w:abstractNumId w:val="17"/>
  </w:num>
  <w:num w:numId="22">
    <w:abstractNumId w:val="14"/>
  </w:num>
  <w:num w:numId="23">
    <w:abstractNumId w:val="6"/>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330C2"/>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F47"/>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29"/>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0F6E72"/>
    <w:rsid w:val="00100187"/>
    <w:rsid w:val="001009A9"/>
    <w:rsid w:val="00100C6D"/>
    <w:rsid w:val="00100DDD"/>
    <w:rsid w:val="00101633"/>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4DA0"/>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32A"/>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5A56"/>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1F1"/>
    <w:rsid w:val="001B6845"/>
    <w:rsid w:val="001B6B2E"/>
    <w:rsid w:val="001C0AED"/>
    <w:rsid w:val="001C13B1"/>
    <w:rsid w:val="001C175E"/>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2FD4"/>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3C7"/>
    <w:rsid w:val="00237611"/>
    <w:rsid w:val="0023775E"/>
    <w:rsid w:val="002408D7"/>
    <w:rsid w:val="002426EA"/>
    <w:rsid w:val="00244458"/>
    <w:rsid w:val="00244476"/>
    <w:rsid w:val="002457CF"/>
    <w:rsid w:val="00246B22"/>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8DC"/>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17F"/>
    <w:rsid w:val="00281DE0"/>
    <w:rsid w:val="0028248C"/>
    <w:rsid w:val="00285BA4"/>
    <w:rsid w:val="00286DDB"/>
    <w:rsid w:val="002871EB"/>
    <w:rsid w:val="00290A0A"/>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1C"/>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643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467"/>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A7648"/>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867"/>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020"/>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6664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646E"/>
    <w:rsid w:val="004B73EF"/>
    <w:rsid w:val="004C09B4"/>
    <w:rsid w:val="004C20F2"/>
    <w:rsid w:val="004C251E"/>
    <w:rsid w:val="004C3F25"/>
    <w:rsid w:val="004C4727"/>
    <w:rsid w:val="004C4E77"/>
    <w:rsid w:val="004C525E"/>
    <w:rsid w:val="004C6796"/>
    <w:rsid w:val="004C67E2"/>
    <w:rsid w:val="004C7263"/>
    <w:rsid w:val="004C7A27"/>
    <w:rsid w:val="004C7AC5"/>
    <w:rsid w:val="004D0490"/>
    <w:rsid w:val="004D12F1"/>
    <w:rsid w:val="004D1805"/>
    <w:rsid w:val="004D1CB6"/>
    <w:rsid w:val="004D2229"/>
    <w:rsid w:val="004D257A"/>
    <w:rsid w:val="004D2676"/>
    <w:rsid w:val="004D2AAE"/>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685"/>
    <w:rsid w:val="00513D5C"/>
    <w:rsid w:val="005140E4"/>
    <w:rsid w:val="00514343"/>
    <w:rsid w:val="00514426"/>
    <w:rsid w:val="00514A30"/>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FE"/>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0538"/>
    <w:rsid w:val="005710D4"/>
    <w:rsid w:val="0057176B"/>
    <w:rsid w:val="00571CE4"/>
    <w:rsid w:val="00572FB8"/>
    <w:rsid w:val="00573BC6"/>
    <w:rsid w:val="005759CD"/>
    <w:rsid w:val="00575D39"/>
    <w:rsid w:val="00575F2C"/>
    <w:rsid w:val="005775CD"/>
    <w:rsid w:val="00577884"/>
    <w:rsid w:val="00580267"/>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0A4B"/>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7E9"/>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43FB"/>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2695"/>
    <w:rsid w:val="00613655"/>
    <w:rsid w:val="006144EE"/>
    <w:rsid w:val="0061507A"/>
    <w:rsid w:val="0061616C"/>
    <w:rsid w:val="00617125"/>
    <w:rsid w:val="00617813"/>
    <w:rsid w:val="006206CC"/>
    <w:rsid w:val="006215E3"/>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9C3"/>
    <w:rsid w:val="00675F80"/>
    <w:rsid w:val="00676959"/>
    <w:rsid w:val="00676C6B"/>
    <w:rsid w:val="00677358"/>
    <w:rsid w:val="006779A3"/>
    <w:rsid w:val="00680F25"/>
    <w:rsid w:val="00682297"/>
    <w:rsid w:val="006822B0"/>
    <w:rsid w:val="00682EF5"/>
    <w:rsid w:val="00683ACA"/>
    <w:rsid w:val="006842C0"/>
    <w:rsid w:val="00684605"/>
    <w:rsid w:val="0068505E"/>
    <w:rsid w:val="00685689"/>
    <w:rsid w:val="0068594B"/>
    <w:rsid w:val="00686B04"/>
    <w:rsid w:val="00687CAD"/>
    <w:rsid w:val="006901FA"/>
    <w:rsid w:val="006903C0"/>
    <w:rsid w:val="006904D3"/>
    <w:rsid w:val="00690ED0"/>
    <w:rsid w:val="00692D5E"/>
    <w:rsid w:val="00693427"/>
    <w:rsid w:val="00693FA4"/>
    <w:rsid w:val="006942FD"/>
    <w:rsid w:val="00694C00"/>
    <w:rsid w:val="00694F6E"/>
    <w:rsid w:val="006958A7"/>
    <w:rsid w:val="00695F94"/>
    <w:rsid w:val="0069611A"/>
    <w:rsid w:val="006964F5"/>
    <w:rsid w:val="00696EF8"/>
    <w:rsid w:val="00697159"/>
    <w:rsid w:val="00697365"/>
    <w:rsid w:val="00697C1C"/>
    <w:rsid w:val="006A0339"/>
    <w:rsid w:val="006A0E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1A9A"/>
    <w:rsid w:val="006D24C4"/>
    <w:rsid w:val="006D27EF"/>
    <w:rsid w:val="006D425C"/>
    <w:rsid w:val="006D52D1"/>
    <w:rsid w:val="006D5F9D"/>
    <w:rsid w:val="006D7681"/>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353"/>
    <w:rsid w:val="00731F1F"/>
    <w:rsid w:val="0073324B"/>
    <w:rsid w:val="007337E6"/>
    <w:rsid w:val="00735A75"/>
    <w:rsid w:val="007363AE"/>
    <w:rsid w:val="007365AD"/>
    <w:rsid w:val="00736F44"/>
    <w:rsid w:val="00737E75"/>
    <w:rsid w:val="00740BA4"/>
    <w:rsid w:val="007415F9"/>
    <w:rsid w:val="00742486"/>
    <w:rsid w:val="0074433B"/>
    <w:rsid w:val="007446C2"/>
    <w:rsid w:val="0074573F"/>
    <w:rsid w:val="00745A57"/>
    <w:rsid w:val="0074628D"/>
    <w:rsid w:val="007469DE"/>
    <w:rsid w:val="007473D2"/>
    <w:rsid w:val="007479C2"/>
    <w:rsid w:val="00750135"/>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6203"/>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6CF2"/>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43F"/>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2A53"/>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15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C8E"/>
    <w:rsid w:val="008E4DCD"/>
    <w:rsid w:val="008E5767"/>
    <w:rsid w:val="008E580D"/>
    <w:rsid w:val="008E6960"/>
    <w:rsid w:val="008F0B97"/>
    <w:rsid w:val="008F12E6"/>
    <w:rsid w:val="008F1558"/>
    <w:rsid w:val="008F2B44"/>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13E0"/>
    <w:rsid w:val="0091242A"/>
    <w:rsid w:val="00912B6D"/>
    <w:rsid w:val="00912E53"/>
    <w:rsid w:val="0091395C"/>
    <w:rsid w:val="00913AA4"/>
    <w:rsid w:val="00915778"/>
    <w:rsid w:val="00915D23"/>
    <w:rsid w:val="009164DD"/>
    <w:rsid w:val="00916F2A"/>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792"/>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663"/>
    <w:rsid w:val="009A593A"/>
    <w:rsid w:val="009A5FBB"/>
    <w:rsid w:val="009B0F5C"/>
    <w:rsid w:val="009B11D6"/>
    <w:rsid w:val="009B1D13"/>
    <w:rsid w:val="009B2EE9"/>
    <w:rsid w:val="009B3771"/>
    <w:rsid w:val="009B4864"/>
    <w:rsid w:val="009B5504"/>
    <w:rsid w:val="009B5D1A"/>
    <w:rsid w:val="009B649B"/>
    <w:rsid w:val="009B674E"/>
    <w:rsid w:val="009B6F16"/>
    <w:rsid w:val="009B7C14"/>
    <w:rsid w:val="009C0029"/>
    <w:rsid w:val="009C0057"/>
    <w:rsid w:val="009C0215"/>
    <w:rsid w:val="009C0940"/>
    <w:rsid w:val="009C0950"/>
    <w:rsid w:val="009C131C"/>
    <w:rsid w:val="009C1D99"/>
    <w:rsid w:val="009C1F8B"/>
    <w:rsid w:val="009C20A8"/>
    <w:rsid w:val="009C4417"/>
    <w:rsid w:val="009C44CF"/>
    <w:rsid w:val="009C4817"/>
    <w:rsid w:val="009C498C"/>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B4F"/>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77"/>
    <w:rsid w:val="00A454E0"/>
    <w:rsid w:val="00A45546"/>
    <w:rsid w:val="00A4585A"/>
    <w:rsid w:val="00A459B3"/>
    <w:rsid w:val="00A459D6"/>
    <w:rsid w:val="00A45B12"/>
    <w:rsid w:val="00A462D5"/>
    <w:rsid w:val="00A4650A"/>
    <w:rsid w:val="00A46F7C"/>
    <w:rsid w:val="00A471A7"/>
    <w:rsid w:val="00A47279"/>
    <w:rsid w:val="00A50720"/>
    <w:rsid w:val="00A508AA"/>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5689"/>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5E18"/>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7AD"/>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0214"/>
    <w:rsid w:val="00B52B7D"/>
    <w:rsid w:val="00B531D2"/>
    <w:rsid w:val="00B537D8"/>
    <w:rsid w:val="00B53CCA"/>
    <w:rsid w:val="00B54441"/>
    <w:rsid w:val="00B54A5F"/>
    <w:rsid w:val="00B560C2"/>
    <w:rsid w:val="00B5624B"/>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4B36"/>
    <w:rsid w:val="00B855AA"/>
    <w:rsid w:val="00B85BBB"/>
    <w:rsid w:val="00B87705"/>
    <w:rsid w:val="00B8780A"/>
    <w:rsid w:val="00B87CD6"/>
    <w:rsid w:val="00B902E7"/>
    <w:rsid w:val="00B922D9"/>
    <w:rsid w:val="00B926D6"/>
    <w:rsid w:val="00B93351"/>
    <w:rsid w:val="00B945F2"/>
    <w:rsid w:val="00B94F7D"/>
    <w:rsid w:val="00B95670"/>
    <w:rsid w:val="00B959FD"/>
    <w:rsid w:val="00B966BF"/>
    <w:rsid w:val="00B974B4"/>
    <w:rsid w:val="00BA0012"/>
    <w:rsid w:val="00BA0458"/>
    <w:rsid w:val="00BA0A18"/>
    <w:rsid w:val="00BA384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E20"/>
    <w:rsid w:val="00BE00FA"/>
    <w:rsid w:val="00BE068C"/>
    <w:rsid w:val="00BE0C95"/>
    <w:rsid w:val="00BE1433"/>
    <w:rsid w:val="00BE1C92"/>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BF7E59"/>
    <w:rsid w:val="00C00393"/>
    <w:rsid w:val="00C020F8"/>
    <w:rsid w:val="00C02535"/>
    <w:rsid w:val="00C03219"/>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B23"/>
    <w:rsid w:val="00C66F15"/>
    <w:rsid w:val="00C70AB7"/>
    <w:rsid w:val="00C711D3"/>
    <w:rsid w:val="00C7137A"/>
    <w:rsid w:val="00C71858"/>
    <w:rsid w:val="00C722C5"/>
    <w:rsid w:val="00C723A9"/>
    <w:rsid w:val="00C74346"/>
    <w:rsid w:val="00C744AE"/>
    <w:rsid w:val="00C74781"/>
    <w:rsid w:val="00C75DFF"/>
    <w:rsid w:val="00C76B87"/>
    <w:rsid w:val="00C77EBA"/>
    <w:rsid w:val="00C80034"/>
    <w:rsid w:val="00C8103F"/>
    <w:rsid w:val="00C828E8"/>
    <w:rsid w:val="00C83579"/>
    <w:rsid w:val="00C83EA7"/>
    <w:rsid w:val="00C84559"/>
    <w:rsid w:val="00C846D2"/>
    <w:rsid w:val="00C84E31"/>
    <w:rsid w:val="00C85622"/>
    <w:rsid w:val="00C86205"/>
    <w:rsid w:val="00C862C4"/>
    <w:rsid w:val="00C86977"/>
    <w:rsid w:val="00C86B34"/>
    <w:rsid w:val="00C86FFF"/>
    <w:rsid w:val="00C871C7"/>
    <w:rsid w:val="00C87BF5"/>
    <w:rsid w:val="00C91060"/>
    <w:rsid w:val="00C928FD"/>
    <w:rsid w:val="00C95593"/>
    <w:rsid w:val="00C967DD"/>
    <w:rsid w:val="00CA0640"/>
    <w:rsid w:val="00CA0EEF"/>
    <w:rsid w:val="00CA2022"/>
    <w:rsid w:val="00CA4741"/>
    <w:rsid w:val="00CA64E9"/>
    <w:rsid w:val="00CA7A78"/>
    <w:rsid w:val="00CA7F49"/>
    <w:rsid w:val="00CB1FFD"/>
    <w:rsid w:val="00CB2089"/>
    <w:rsid w:val="00CB2FC0"/>
    <w:rsid w:val="00CB3C69"/>
    <w:rsid w:val="00CB4E1C"/>
    <w:rsid w:val="00CB57BF"/>
    <w:rsid w:val="00CB58C6"/>
    <w:rsid w:val="00CB5AEC"/>
    <w:rsid w:val="00CB5BA4"/>
    <w:rsid w:val="00CB7F82"/>
    <w:rsid w:val="00CC0B3A"/>
    <w:rsid w:val="00CC0F86"/>
    <w:rsid w:val="00CC10A6"/>
    <w:rsid w:val="00CC10B3"/>
    <w:rsid w:val="00CC166A"/>
    <w:rsid w:val="00CC27BA"/>
    <w:rsid w:val="00CC2DE4"/>
    <w:rsid w:val="00CC360E"/>
    <w:rsid w:val="00CC3B04"/>
    <w:rsid w:val="00CC3D18"/>
    <w:rsid w:val="00CC3FC7"/>
    <w:rsid w:val="00CC48D6"/>
    <w:rsid w:val="00CC57E9"/>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4ABB"/>
    <w:rsid w:val="00CE7D15"/>
    <w:rsid w:val="00CE7E6A"/>
    <w:rsid w:val="00CF030B"/>
    <w:rsid w:val="00CF23A2"/>
    <w:rsid w:val="00CF4218"/>
    <w:rsid w:val="00CF4D2B"/>
    <w:rsid w:val="00CF5D77"/>
    <w:rsid w:val="00CF6EB2"/>
    <w:rsid w:val="00D00269"/>
    <w:rsid w:val="00D007D1"/>
    <w:rsid w:val="00D01E69"/>
    <w:rsid w:val="00D0221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CBD"/>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6450"/>
    <w:rsid w:val="00D47015"/>
    <w:rsid w:val="00D47265"/>
    <w:rsid w:val="00D47500"/>
    <w:rsid w:val="00D4793C"/>
    <w:rsid w:val="00D542F0"/>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0A0C"/>
    <w:rsid w:val="00DA22D8"/>
    <w:rsid w:val="00DA2D95"/>
    <w:rsid w:val="00DA3A4F"/>
    <w:rsid w:val="00DA42C0"/>
    <w:rsid w:val="00DA50D4"/>
    <w:rsid w:val="00DA52A2"/>
    <w:rsid w:val="00DA57B0"/>
    <w:rsid w:val="00DA7AD7"/>
    <w:rsid w:val="00DA7E2F"/>
    <w:rsid w:val="00DB0C0B"/>
    <w:rsid w:val="00DB2446"/>
    <w:rsid w:val="00DB26A4"/>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6C3"/>
    <w:rsid w:val="00DE4F75"/>
    <w:rsid w:val="00DE5C78"/>
    <w:rsid w:val="00DE5F76"/>
    <w:rsid w:val="00DE7988"/>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03A4"/>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86A"/>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0A9"/>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3F9C"/>
    <w:rsid w:val="00ED46F6"/>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35D8"/>
    <w:rsid w:val="00F3400B"/>
    <w:rsid w:val="00F34503"/>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420"/>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31A9"/>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2F92"/>
    <w:rsid w:val="00FC4399"/>
    <w:rsid w:val="00FC44A1"/>
    <w:rsid w:val="00FC4DEB"/>
    <w:rsid w:val="00FC50CE"/>
    <w:rsid w:val="00FC62AC"/>
    <w:rsid w:val="00FC6AC7"/>
    <w:rsid w:val="00FC77FF"/>
    <w:rsid w:val="00FC7E40"/>
    <w:rsid w:val="00FD0B5A"/>
    <w:rsid w:val="00FD0BDD"/>
    <w:rsid w:val="00FD1351"/>
    <w:rsid w:val="00FD189D"/>
    <w:rsid w:val="00FD2865"/>
    <w:rsid w:val="00FD4B65"/>
    <w:rsid w:val="00FD5C92"/>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114DA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063887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0567105">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1369325">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475514">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29163794">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32217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84018591">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8883094">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3509434">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21194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29945695">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8013134">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228802">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1955924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76924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26F63-218B-44EE-A3FC-782386E2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86</Pages>
  <Words>20132</Words>
  <Characters>110727</Characters>
  <Application>Microsoft Office Word</Application>
  <DocSecurity>0</DocSecurity>
  <Lines>922</Lines>
  <Paragraphs>261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2023-09-28T01:30:00Z</cp:lastPrinted>
  <dcterms:created xsi:type="dcterms:W3CDTF">2023-09-19T22:12:00Z</dcterms:created>
  <dcterms:modified xsi:type="dcterms:W3CDTF">2023-10-04T18:56:00Z</dcterms:modified>
</cp:coreProperties>
</file>