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C7627"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B30C44" w:rsidRPr="00065939">
        <w:rPr>
          <w:rFonts w:ascii="Palatino Linotype" w:eastAsia="Palatino Linotype" w:hAnsi="Palatino Linotype" w:cs="Palatino Linotype"/>
          <w:sz w:val="24"/>
          <w:szCs w:val="24"/>
        </w:rPr>
        <w:t>uno de febrero de dos mil veintitrés</w:t>
      </w:r>
      <w:r w:rsidRPr="00065939">
        <w:rPr>
          <w:rFonts w:ascii="Palatino Linotype" w:eastAsia="Palatino Linotype" w:hAnsi="Palatino Linotype" w:cs="Palatino Linotype"/>
          <w:sz w:val="24"/>
          <w:szCs w:val="24"/>
        </w:rPr>
        <w:t xml:space="preserve">. </w:t>
      </w:r>
    </w:p>
    <w:p w14:paraId="74ED697E" w14:textId="77777777" w:rsidR="00F8557D" w:rsidRPr="00065939" w:rsidRDefault="00F8557D">
      <w:pPr>
        <w:spacing w:after="0" w:line="360" w:lineRule="auto"/>
        <w:ind w:right="49"/>
        <w:jc w:val="center"/>
        <w:rPr>
          <w:rFonts w:ascii="Palatino Linotype" w:eastAsia="Palatino Linotype" w:hAnsi="Palatino Linotype" w:cs="Palatino Linotype"/>
          <w:sz w:val="24"/>
          <w:szCs w:val="24"/>
        </w:rPr>
      </w:pPr>
    </w:p>
    <w:p w14:paraId="52F4F0DF" w14:textId="02688DF8" w:rsidR="00F8557D" w:rsidRPr="008A1CBD" w:rsidRDefault="00646B44">
      <w:pPr>
        <w:spacing w:after="0" w:line="360" w:lineRule="auto"/>
        <w:ind w:right="49"/>
        <w:jc w:val="both"/>
        <w:rPr>
          <w:rFonts w:ascii="Palatino Linotype" w:eastAsia="Palatino Linotype" w:hAnsi="Palatino Linotype" w:cs="Palatino Linotype"/>
          <w:b/>
          <w:sz w:val="24"/>
          <w:szCs w:val="24"/>
        </w:rPr>
      </w:pPr>
      <w:r w:rsidRPr="00065939">
        <w:rPr>
          <w:rFonts w:ascii="Palatino Linotype" w:eastAsia="Palatino Linotype" w:hAnsi="Palatino Linotype" w:cs="Palatino Linotype"/>
          <w:sz w:val="24"/>
          <w:szCs w:val="24"/>
        </w:rPr>
        <w:t xml:space="preserve">Visto el expediente relativo al recurso de revisión </w:t>
      </w:r>
      <w:r w:rsidR="00B30C44" w:rsidRPr="00065939">
        <w:rPr>
          <w:rFonts w:ascii="Palatino Linotype" w:eastAsia="Palatino Linotype" w:hAnsi="Palatino Linotype" w:cs="Palatino Linotype"/>
          <w:b/>
          <w:sz w:val="24"/>
          <w:szCs w:val="24"/>
        </w:rPr>
        <w:t>13454</w:t>
      </w:r>
      <w:r w:rsidRPr="00065939">
        <w:rPr>
          <w:rFonts w:ascii="Palatino Linotype" w:eastAsia="Palatino Linotype" w:hAnsi="Palatino Linotype" w:cs="Palatino Linotype"/>
          <w:b/>
          <w:sz w:val="24"/>
          <w:szCs w:val="24"/>
        </w:rPr>
        <w:t>/INFOEM/IP/RR/2022</w:t>
      </w:r>
      <w:r w:rsidRPr="00065939">
        <w:rPr>
          <w:rFonts w:ascii="Palatino Linotype" w:eastAsia="Palatino Linotype" w:hAnsi="Palatino Linotype" w:cs="Palatino Linotype"/>
          <w:sz w:val="24"/>
          <w:szCs w:val="24"/>
        </w:rPr>
        <w:t xml:space="preserve">, interpuesto por </w:t>
      </w:r>
      <w:r w:rsidR="008A1CBD">
        <w:rPr>
          <w:rFonts w:ascii="Palatino Linotype" w:eastAsia="Palatino Linotype" w:hAnsi="Palatino Linotype" w:cs="Palatino Linotype"/>
          <w:b/>
          <w:sz w:val="24"/>
          <w:szCs w:val="24"/>
        </w:rPr>
        <w:t>XXXXXXXXXX XXXXX XXXXXXXX</w:t>
      </w:r>
      <w:bookmarkStart w:id="0" w:name="_GoBack"/>
      <w:bookmarkEnd w:id="0"/>
      <w:r w:rsidRPr="00065939">
        <w:rPr>
          <w:rFonts w:ascii="Palatino Linotype" w:eastAsia="Palatino Linotype" w:hAnsi="Palatino Linotype" w:cs="Palatino Linotype"/>
          <w:sz w:val="24"/>
          <w:szCs w:val="24"/>
        </w:rPr>
        <w:t xml:space="preserve">, al cual en lo sucesivo se le denominará el </w:t>
      </w:r>
      <w:r w:rsidRPr="00065939">
        <w:rPr>
          <w:rFonts w:ascii="Palatino Linotype" w:eastAsia="Palatino Linotype" w:hAnsi="Palatino Linotype" w:cs="Palatino Linotype"/>
          <w:b/>
          <w:sz w:val="24"/>
          <w:szCs w:val="24"/>
        </w:rPr>
        <w:t>RECURRENTE</w:t>
      </w:r>
      <w:r w:rsidRPr="00065939">
        <w:rPr>
          <w:rFonts w:ascii="Palatino Linotype" w:eastAsia="Palatino Linotype" w:hAnsi="Palatino Linotype" w:cs="Palatino Linotype"/>
          <w:sz w:val="24"/>
          <w:szCs w:val="24"/>
        </w:rPr>
        <w:t xml:space="preserve">, en contra de la respuesta a su solicitud de información identificada con número de folio </w:t>
      </w:r>
      <w:r w:rsidR="00B30C44" w:rsidRPr="00065939">
        <w:rPr>
          <w:rFonts w:ascii="Palatino Linotype" w:eastAsia="Palatino Linotype" w:hAnsi="Palatino Linotype" w:cs="Palatino Linotype"/>
          <w:b/>
          <w:sz w:val="24"/>
          <w:szCs w:val="24"/>
        </w:rPr>
        <w:t>00500</w:t>
      </w:r>
      <w:r w:rsidRPr="00065939">
        <w:rPr>
          <w:rFonts w:ascii="Palatino Linotype" w:eastAsia="Palatino Linotype" w:hAnsi="Palatino Linotype" w:cs="Palatino Linotype"/>
          <w:b/>
          <w:sz w:val="24"/>
          <w:szCs w:val="24"/>
        </w:rPr>
        <w:t>/</w:t>
      </w:r>
      <w:r w:rsidR="00B30C44" w:rsidRPr="00065939">
        <w:rPr>
          <w:rFonts w:ascii="Palatino Linotype" w:eastAsia="Palatino Linotype" w:hAnsi="Palatino Linotype" w:cs="Palatino Linotype"/>
          <w:b/>
          <w:sz w:val="24"/>
          <w:szCs w:val="24"/>
        </w:rPr>
        <w:t>TENANCI</w:t>
      </w:r>
      <w:r w:rsidR="008755B0" w:rsidRPr="00065939">
        <w:rPr>
          <w:rFonts w:ascii="Palatino Linotype" w:eastAsia="Palatino Linotype" w:hAnsi="Palatino Linotype" w:cs="Palatino Linotype"/>
          <w:b/>
          <w:sz w:val="24"/>
          <w:szCs w:val="24"/>
        </w:rPr>
        <w:t>N</w:t>
      </w:r>
      <w:r w:rsidRPr="00065939">
        <w:rPr>
          <w:rFonts w:ascii="Palatino Linotype" w:eastAsia="Palatino Linotype" w:hAnsi="Palatino Linotype" w:cs="Palatino Linotype"/>
          <w:b/>
          <w:sz w:val="24"/>
          <w:szCs w:val="24"/>
        </w:rPr>
        <w:t>/IP/2022</w:t>
      </w:r>
      <w:r w:rsidRPr="00065939">
        <w:rPr>
          <w:rFonts w:ascii="Palatino Linotype" w:eastAsia="Palatino Linotype" w:hAnsi="Palatino Linotype" w:cs="Palatino Linotype"/>
          <w:sz w:val="24"/>
          <w:szCs w:val="24"/>
        </w:rPr>
        <w:t xml:space="preserve"> proporcionada por parte del Ayuntamiento de </w:t>
      </w:r>
      <w:r w:rsidR="008755B0" w:rsidRPr="00065939">
        <w:rPr>
          <w:rFonts w:ascii="Palatino Linotype" w:eastAsia="Palatino Linotype" w:hAnsi="Palatino Linotype" w:cs="Palatino Linotype"/>
          <w:sz w:val="24"/>
          <w:szCs w:val="24"/>
        </w:rPr>
        <w:t>Tenancingo</w:t>
      </w:r>
      <w:r w:rsidRPr="00065939">
        <w:rPr>
          <w:rFonts w:ascii="Palatino Linotype" w:eastAsia="Palatino Linotype" w:hAnsi="Palatino Linotype" w:cs="Palatino Linotype"/>
          <w:sz w:val="24"/>
          <w:szCs w:val="24"/>
        </w:rPr>
        <w:t xml:space="preserve">, en lo sucesivo el </w:t>
      </w:r>
      <w:r w:rsidRPr="00065939">
        <w:rPr>
          <w:rFonts w:ascii="Palatino Linotype" w:eastAsia="Palatino Linotype" w:hAnsi="Palatino Linotype" w:cs="Palatino Linotype"/>
          <w:b/>
          <w:sz w:val="24"/>
          <w:szCs w:val="24"/>
        </w:rPr>
        <w:t>SUJETO OBLIGADO</w:t>
      </w:r>
      <w:r w:rsidRPr="00065939">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61BF936A" w14:textId="77777777" w:rsidR="00F8557D" w:rsidRPr="00065939" w:rsidRDefault="00646B44">
      <w:pPr>
        <w:spacing w:after="0" w:line="360" w:lineRule="auto"/>
        <w:ind w:right="49"/>
        <w:jc w:val="center"/>
        <w:rPr>
          <w:rFonts w:ascii="Palatino Linotype" w:eastAsia="Palatino Linotype" w:hAnsi="Palatino Linotype" w:cs="Palatino Linotype"/>
          <w:b/>
          <w:sz w:val="24"/>
          <w:szCs w:val="24"/>
        </w:rPr>
      </w:pPr>
      <w:r w:rsidRPr="00065939">
        <w:rPr>
          <w:rFonts w:ascii="Palatino Linotype" w:eastAsia="Palatino Linotype" w:hAnsi="Palatino Linotype" w:cs="Palatino Linotype"/>
          <w:b/>
          <w:sz w:val="24"/>
          <w:szCs w:val="24"/>
        </w:rPr>
        <w:t>I.</w:t>
      </w:r>
      <w:r w:rsidRPr="00065939">
        <w:rPr>
          <w:rFonts w:ascii="Palatino Linotype" w:eastAsia="Palatino Linotype" w:hAnsi="Palatino Linotype" w:cs="Palatino Linotype"/>
          <w:b/>
          <w:sz w:val="24"/>
          <w:szCs w:val="24"/>
        </w:rPr>
        <w:tab/>
        <w:t>A N T E C E D E N T E S</w:t>
      </w:r>
    </w:p>
    <w:p w14:paraId="0D8742AC"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191568F3" w14:textId="77777777" w:rsidR="00F8557D" w:rsidRPr="00065939"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Solicitud de acceso a la información.</w:t>
      </w:r>
      <w:r w:rsidRPr="00065939">
        <w:rPr>
          <w:rFonts w:ascii="Palatino Linotype" w:eastAsia="Palatino Linotype" w:hAnsi="Palatino Linotype" w:cs="Palatino Linotype"/>
          <w:sz w:val="24"/>
          <w:szCs w:val="24"/>
        </w:rPr>
        <w:t xml:space="preserve"> Con fecha </w:t>
      </w:r>
      <w:r w:rsidR="00B30C44" w:rsidRPr="00065939">
        <w:rPr>
          <w:rFonts w:ascii="Palatino Linotype" w:eastAsia="Palatino Linotype" w:hAnsi="Palatino Linotype" w:cs="Palatino Linotype"/>
          <w:b/>
          <w:sz w:val="24"/>
          <w:szCs w:val="24"/>
        </w:rPr>
        <w:t>cuatro de julio</w:t>
      </w:r>
      <w:r w:rsidRPr="00065939">
        <w:rPr>
          <w:rFonts w:ascii="Palatino Linotype" w:eastAsia="Palatino Linotype" w:hAnsi="Palatino Linotype" w:cs="Palatino Linotype"/>
          <w:b/>
          <w:sz w:val="24"/>
          <w:szCs w:val="24"/>
        </w:rPr>
        <w:t xml:space="preserve"> de dos mil veintidós</w:t>
      </w:r>
      <w:r w:rsidRPr="00065939">
        <w:rPr>
          <w:rFonts w:ascii="Palatino Linotype" w:eastAsia="Palatino Linotype" w:hAnsi="Palatino Linotype" w:cs="Palatino Linotype"/>
          <w:sz w:val="24"/>
          <w:szCs w:val="24"/>
        </w:rPr>
        <w:t xml:space="preserve">, la parte </w:t>
      </w:r>
      <w:r w:rsidRPr="00065939">
        <w:rPr>
          <w:rFonts w:ascii="Palatino Linotype" w:eastAsia="Palatino Linotype" w:hAnsi="Palatino Linotype" w:cs="Palatino Linotype"/>
          <w:b/>
          <w:sz w:val="24"/>
          <w:szCs w:val="24"/>
        </w:rPr>
        <w:t>RECURRENTE</w:t>
      </w:r>
      <w:r w:rsidRPr="00065939">
        <w:rPr>
          <w:rFonts w:ascii="Palatino Linotype" w:eastAsia="Palatino Linotype" w:hAnsi="Palatino Linotype" w:cs="Palatino Linotype"/>
          <w:sz w:val="24"/>
          <w:szCs w:val="24"/>
        </w:rPr>
        <w:t xml:space="preserve"> formuló solicitud de acceso a información pública al</w:t>
      </w:r>
      <w:r w:rsidRPr="00065939">
        <w:rPr>
          <w:rFonts w:ascii="Palatino Linotype" w:eastAsia="Palatino Linotype" w:hAnsi="Palatino Linotype" w:cs="Palatino Linotype"/>
          <w:b/>
          <w:sz w:val="24"/>
          <w:szCs w:val="24"/>
        </w:rPr>
        <w:t xml:space="preserve"> SUJETO OBLIGADO</w:t>
      </w:r>
      <w:r w:rsidRPr="00065939">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6567E90C"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5E646918" w14:textId="77777777" w:rsidR="00F8557D" w:rsidRPr="00065939" w:rsidRDefault="00646B44">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065939">
        <w:rPr>
          <w:rFonts w:ascii="Palatino Linotype" w:eastAsia="Palatino Linotype" w:hAnsi="Palatino Linotype" w:cs="Palatino Linotype"/>
          <w:i/>
        </w:rPr>
        <w:t>“</w:t>
      </w:r>
      <w:r w:rsidR="00B30C44" w:rsidRPr="00065939">
        <w:rPr>
          <w:rFonts w:ascii="Palatino Linotype" w:eastAsia="Palatino Linotype" w:hAnsi="Palatino Linotype" w:cs="Palatino Linotype"/>
          <w:i/>
        </w:rPr>
        <w:t xml:space="preserve">Me </w:t>
      </w:r>
      <w:proofErr w:type="spellStart"/>
      <w:r w:rsidR="00B30C44" w:rsidRPr="00065939">
        <w:rPr>
          <w:rFonts w:ascii="Palatino Linotype" w:eastAsia="Palatino Linotype" w:hAnsi="Palatino Linotype" w:cs="Palatino Linotype"/>
          <w:i/>
        </w:rPr>
        <w:t>gustaria</w:t>
      </w:r>
      <w:proofErr w:type="spellEnd"/>
      <w:r w:rsidR="00B30C44" w:rsidRPr="00065939">
        <w:rPr>
          <w:rFonts w:ascii="Palatino Linotype" w:eastAsia="Palatino Linotype" w:hAnsi="Palatino Linotype" w:cs="Palatino Linotype"/>
          <w:i/>
        </w:rPr>
        <w:t xml:space="preserve"> que me proporcionaran la </w:t>
      </w:r>
      <w:proofErr w:type="spellStart"/>
      <w:r w:rsidR="00B30C44" w:rsidRPr="00065939">
        <w:rPr>
          <w:rFonts w:ascii="Palatino Linotype" w:eastAsia="Palatino Linotype" w:hAnsi="Palatino Linotype" w:cs="Palatino Linotype"/>
          <w:i/>
        </w:rPr>
        <w:t>nomina</w:t>
      </w:r>
      <w:proofErr w:type="spellEnd"/>
      <w:r w:rsidR="00B30C44" w:rsidRPr="00065939">
        <w:rPr>
          <w:rFonts w:ascii="Palatino Linotype" w:eastAsia="Palatino Linotype" w:hAnsi="Palatino Linotype" w:cs="Palatino Linotype"/>
          <w:i/>
        </w:rPr>
        <w:t xml:space="preserve"> completa de la primera quincena de junio del ayuntamiento y del SMDIF de Tenancingo toda vez </w:t>
      </w:r>
      <w:proofErr w:type="spellStart"/>
      <w:r w:rsidR="00B30C44" w:rsidRPr="00065939">
        <w:rPr>
          <w:rFonts w:ascii="Palatino Linotype" w:eastAsia="Palatino Linotype" w:hAnsi="Palatino Linotype" w:cs="Palatino Linotype"/>
          <w:i/>
        </w:rPr>
        <w:t>aue</w:t>
      </w:r>
      <w:proofErr w:type="spellEnd"/>
      <w:r w:rsidR="00B30C44" w:rsidRPr="00065939">
        <w:rPr>
          <w:rFonts w:ascii="Palatino Linotype" w:eastAsia="Palatino Linotype" w:hAnsi="Palatino Linotype" w:cs="Palatino Linotype"/>
          <w:i/>
        </w:rPr>
        <w:t xml:space="preserve"> en </w:t>
      </w:r>
      <w:proofErr w:type="spellStart"/>
      <w:r w:rsidR="00B30C44" w:rsidRPr="00065939">
        <w:rPr>
          <w:rFonts w:ascii="Palatino Linotype" w:eastAsia="Palatino Linotype" w:hAnsi="Palatino Linotype" w:cs="Palatino Linotype"/>
          <w:i/>
        </w:rPr>
        <w:t>Ipomex</w:t>
      </w:r>
      <w:proofErr w:type="spellEnd"/>
      <w:r w:rsidR="00B30C44" w:rsidRPr="00065939">
        <w:rPr>
          <w:rFonts w:ascii="Palatino Linotype" w:eastAsia="Palatino Linotype" w:hAnsi="Palatino Linotype" w:cs="Palatino Linotype"/>
          <w:i/>
        </w:rPr>
        <w:t xml:space="preserve"> subieron la </w:t>
      </w:r>
      <w:proofErr w:type="spellStart"/>
      <w:r w:rsidR="00B30C44" w:rsidRPr="00065939">
        <w:rPr>
          <w:rFonts w:ascii="Palatino Linotype" w:eastAsia="Palatino Linotype" w:hAnsi="Palatino Linotype" w:cs="Palatino Linotype"/>
          <w:i/>
        </w:rPr>
        <w:t>nomina</w:t>
      </w:r>
      <w:proofErr w:type="spellEnd"/>
      <w:r w:rsidR="00B30C44" w:rsidRPr="00065939">
        <w:rPr>
          <w:rFonts w:ascii="Palatino Linotype" w:eastAsia="Palatino Linotype" w:hAnsi="Palatino Linotype" w:cs="Palatino Linotype"/>
          <w:i/>
        </w:rPr>
        <w:t xml:space="preserve"> pero no </w:t>
      </w:r>
      <w:proofErr w:type="spellStart"/>
      <w:r w:rsidR="00B30C44" w:rsidRPr="00065939">
        <w:rPr>
          <w:rFonts w:ascii="Palatino Linotype" w:eastAsia="Palatino Linotype" w:hAnsi="Palatino Linotype" w:cs="Palatino Linotype"/>
          <w:i/>
        </w:rPr>
        <w:t>esta</w:t>
      </w:r>
      <w:proofErr w:type="spellEnd"/>
      <w:r w:rsidR="00B30C44" w:rsidRPr="00065939">
        <w:rPr>
          <w:rFonts w:ascii="Palatino Linotype" w:eastAsia="Palatino Linotype" w:hAnsi="Palatino Linotype" w:cs="Palatino Linotype"/>
          <w:i/>
        </w:rPr>
        <w:t xml:space="preserve"> completa”. </w:t>
      </w:r>
    </w:p>
    <w:p w14:paraId="4D20A199" w14:textId="77777777" w:rsidR="00F8557D" w:rsidRPr="00065939" w:rsidRDefault="00F8557D">
      <w:pPr>
        <w:spacing w:after="0" w:line="360" w:lineRule="auto"/>
        <w:ind w:left="567" w:right="560"/>
        <w:jc w:val="both"/>
        <w:rPr>
          <w:rFonts w:ascii="Palatino Linotype" w:eastAsia="Palatino Linotype" w:hAnsi="Palatino Linotype" w:cs="Palatino Linotype"/>
          <w:i/>
        </w:rPr>
      </w:pPr>
    </w:p>
    <w:p w14:paraId="77E4494A"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lastRenderedPageBreak/>
        <w:t>Modalidad elegida para la entrega de la información:</w:t>
      </w:r>
      <w:r w:rsidRPr="00065939">
        <w:rPr>
          <w:rFonts w:ascii="Palatino Linotype" w:eastAsia="Palatino Linotype" w:hAnsi="Palatino Linotype" w:cs="Palatino Linotype"/>
          <w:sz w:val="24"/>
          <w:szCs w:val="24"/>
        </w:rPr>
        <w:t xml:space="preserve"> a través del Sistema de Acceso a la Información Mexiquense (SAIMEX). </w:t>
      </w:r>
    </w:p>
    <w:p w14:paraId="0BDC8C81" w14:textId="77777777" w:rsidR="00F8557D" w:rsidRPr="00065939" w:rsidRDefault="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Incompetencia Parcial</w:t>
      </w:r>
      <w:r w:rsidR="00646B44" w:rsidRPr="00065939">
        <w:rPr>
          <w:rFonts w:ascii="Palatino Linotype" w:eastAsia="Palatino Linotype" w:hAnsi="Palatino Linotype" w:cs="Palatino Linotype"/>
          <w:b/>
          <w:sz w:val="24"/>
          <w:szCs w:val="24"/>
        </w:rPr>
        <w:t xml:space="preserve">. </w:t>
      </w:r>
      <w:r w:rsidR="00646B44" w:rsidRPr="00065939">
        <w:rPr>
          <w:rFonts w:ascii="Palatino Linotype" w:eastAsia="Palatino Linotype" w:hAnsi="Palatino Linotype" w:cs="Palatino Linotype"/>
          <w:sz w:val="24"/>
          <w:szCs w:val="24"/>
        </w:rPr>
        <w:t xml:space="preserve">Con fecha </w:t>
      </w:r>
      <w:r w:rsidRPr="00065939">
        <w:rPr>
          <w:rFonts w:ascii="Palatino Linotype" w:eastAsia="Palatino Linotype" w:hAnsi="Palatino Linotype" w:cs="Palatino Linotype"/>
          <w:b/>
          <w:sz w:val="24"/>
          <w:szCs w:val="24"/>
        </w:rPr>
        <w:t>cuatro de julio de dos mil veintidós</w:t>
      </w:r>
      <w:r w:rsidRPr="00065939">
        <w:rPr>
          <w:rFonts w:ascii="Palatino Linotype" w:eastAsia="Palatino Linotype" w:hAnsi="Palatino Linotype" w:cs="Palatino Linotype"/>
          <w:sz w:val="24"/>
          <w:szCs w:val="24"/>
        </w:rPr>
        <w:t xml:space="preserve">, el Sujeto Obligado refirió textualmente lo siguiente: </w:t>
      </w:r>
    </w:p>
    <w:p w14:paraId="2706E4A4" w14:textId="77777777" w:rsidR="00B30C44" w:rsidRPr="00065939" w:rsidRDefault="00B30C44"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E7E2EC2" w14:textId="77777777" w:rsidR="00B30C44" w:rsidRPr="00065939" w:rsidRDefault="00B30C44" w:rsidP="00B30C44">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szCs w:val="24"/>
        </w:rPr>
      </w:pPr>
      <w:r w:rsidRPr="00065939">
        <w:rPr>
          <w:rFonts w:ascii="Palatino Linotype" w:eastAsia="Palatino Linotype" w:hAnsi="Palatino Linotype" w:cs="Palatino Linotype"/>
          <w:i/>
          <w:szCs w:val="24"/>
        </w:rPr>
        <w:t xml:space="preserve">Tenancingo, México a 04 de julio de 2022 Folio de la solicitud: 00500/TENANCIN/IP/2022 Con fundamento en el artículo 159 de la Ley de Transparencia y Acceso a la Información Pública del Estado de México y Municipios, y en observación de la solicitud la cual es concerniente a información donde señala que “Me </w:t>
      </w:r>
      <w:proofErr w:type="spellStart"/>
      <w:r w:rsidRPr="00065939">
        <w:rPr>
          <w:rFonts w:ascii="Palatino Linotype" w:eastAsia="Palatino Linotype" w:hAnsi="Palatino Linotype" w:cs="Palatino Linotype"/>
          <w:i/>
          <w:szCs w:val="24"/>
        </w:rPr>
        <w:t>gustaria</w:t>
      </w:r>
      <w:proofErr w:type="spellEnd"/>
      <w:r w:rsidRPr="00065939">
        <w:rPr>
          <w:rFonts w:ascii="Palatino Linotype" w:eastAsia="Palatino Linotype" w:hAnsi="Palatino Linotype" w:cs="Palatino Linotype"/>
          <w:i/>
          <w:szCs w:val="24"/>
        </w:rPr>
        <w:t xml:space="preserve"> que me proporcionaran la </w:t>
      </w:r>
      <w:proofErr w:type="spellStart"/>
      <w:r w:rsidRPr="00065939">
        <w:rPr>
          <w:rFonts w:ascii="Palatino Linotype" w:eastAsia="Palatino Linotype" w:hAnsi="Palatino Linotype" w:cs="Palatino Linotype"/>
          <w:i/>
          <w:szCs w:val="24"/>
        </w:rPr>
        <w:t>nomina</w:t>
      </w:r>
      <w:proofErr w:type="spellEnd"/>
      <w:r w:rsidRPr="00065939">
        <w:rPr>
          <w:rFonts w:ascii="Palatino Linotype" w:eastAsia="Palatino Linotype" w:hAnsi="Palatino Linotype" w:cs="Palatino Linotype"/>
          <w:i/>
          <w:szCs w:val="24"/>
        </w:rPr>
        <w:t xml:space="preserve"> completa de la primera quincena de junio del ayuntamiento y del SMDIF de Tenancingo toda vez </w:t>
      </w:r>
      <w:proofErr w:type="spellStart"/>
      <w:r w:rsidRPr="00065939">
        <w:rPr>
          <w:rFonts w:ascii="Palatino Linotype" w:eastAsia="Palatino Linotype" w:hAnsi="Palatino Linotype" w:cs="Palatino Linotype"/>
          <w:i/>
          <w:szCs w:val="24"/>
        </w:rPr>
        <w:t>aue</w:t>
      </w:r>
      <w:proofErr w:type="spellEnd"/>
      <w:r w:rsidRPr="00065939">
        <w:rPr>
          <w:rFonts w:ascii="Palatino Linotype" w:eastAsia="Palatino Linotype" w:hAnsi="Palatino Linotype" w:cs="Palatino Linotype"/>
          <w:i/>
          <w:szCs w:val="24"/>
        </w:rPr>
        <w:t xml:space="preserve"> en </w:t>
      </w:r>
      <w:proofErr w:type="spellStart"/>
      <w:r w:rsidRPr="00065939">
        <w:rPr>
          <w:rFonts w:ascii="Palatino Linotype" w:eastAsia="Palatino Linotype" w:hAnsi="Palatino Linotype" w:cs="Palatino Linotype"/>
          <w:i/>
          <w:szCs w:val="24"/>
        </w:rPr>
        <w:t>Ipomex</w:t>
      </w:r>
      <w:proofErr w:type="spellEnd"/>
      <w:r w:rsidRPr="00065939">
        <w:rPr>
          <w:rFonts w:ascii="Palatino Linotype" w:eastAsia="Palatino Linotype" w:hAnsi="Palatino Linotype" w:cs="Palatino Linotype"/>
          <w:i/>
          <w:szCs w:val="24"/>
        </w:rPr>
        <w:t xml:space="preserve"> subieron la </w:t>
      </w:r>
      <w:proofErr w:type="spellStart"/>
      <w:r w:rsidRPr="00065939">
        <w:rPr>
          <w:rFonts w:ascii="Palatino Linotype" w:eastAsia="Palatino Linotype" w:hAnsi="Palatino Linotype" w:cs="Palatino Linotype"/>
          <w:i/>
          <w:szCs w:val="24"/>
        </w:rPr>
        <w:t>nomina</w:t>
      </w:r>
      <w:proofErr w:type="spellEnd"/>
      <w:r w:rsidRPr="00065939">
        <w:rPr>
          <w:rFonts w:ascii="Palatino Linotype" w:eastAsia="Palatino Linotype" w:hAnsi="Palatino Linotype" w:cs="Palatino Linotype"/>
          <w:i/>
          <w:szCs w:val="24"/>
        </w:rPr>
        <w:t xml:space="preserve"> pero no </w:t>
      </w:r>
      <w:proofErr w:type="spellStart"/>
      <w:r w:rsidRPr="00065939">
        <w:rPr>
          <w:rFonts w:ascii="Palatino Linotype" w:eastAsia="Palatino Linotype" w:hAnsi="Palatino Linotype" w:cs="Palatino Linotype"/>
          <w:i/>
          <w:szCs w:val="24"/>
        </w:rPr>
        <w:t>esta</w:t>
      </w:r>
      <w:proofErr w:type="spellEnd"/>
      <w:r w:rsidRPr="00065939">
        <w:rPr>
          <w:rFonts w:ascii="Palatino Linotype" w:eastAsia="Palatino Linotype" w:hAnsi="Palatino Linotype" w:cs="Palatino Linotype"/>
          <w:i/>
          <w:szCs w:val="24"/>
        </w:rPr>
        <w:t xml:space="preserve"> completa?”, es necesario que esta sea dirigida a un sujeto obligado diverso, la parte correspondiente al DIF DE TENANCINGO. En esa tesitura, y en términos de lo establecido por los artículos 151,152 y 173, fracción III, de la Ley de Transparencia Local, </w:t>
      </w:r>
      <w:r w:rsidRPr="00065939">
        <w:rPr>
          <w:rFonts w:ascii="Palatino Linotype" w:eastAsia="Palatino Linotype" w:hAnsi="Palatino Linotype" w:cs="Palatino Linotype"/>
          <w:b/>
          <w:i/>
          <w:szCs w:val="24"/>
          <w:u w:val="single"/>
        </w:rPr>
        <w:t>se orienta a la solicitante a efecto de que requiera dicha información al DIF DE TENANCINGO, en razón de que esa autoridad se ostentan con el carácter de sujeto obligado, y por lo tanto, pueden recibir solicitudes de información y otorgar la respuesta a las mismas a través de la plataforma SAIMEX</w:t>
      </w:r>
      <w:r w:rsidRPr="00065939">
        <w:rPr>
          <w:rFonts w:ascii="Palatino Linotype" w:eastAsia="Palatino Linotype" w:hAnsi="Palatino Linotype" w:cs="Palatino Linotype"/>
          <w:i/>
          <w:szCs w:val="24"/>
        </w:rPr>
        <w:t>. Establecido lo anterior, y al no ser de la competencia de este sujeto obligado, estamos en la imposibilidad de proporcionar la información peticionada especificada, ya que es evidente que el ciudadano dirige la petición a una instancia gubernamental incorrecta.</w:t>
      </w:r>
    </w:p>
    <w:p w14:paraId="59D4B7BE" w14:textId="77777777" w:rsidR="00F8557D" w:rsidRPr="00065939"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099EA1C" w14:textId="77777777" w:rsidR="00B30C44" w:rsidRPr="00065939" w:rsidRDefault="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Asimismo, adjuntó el documento que se describe a continuación: </w:t>
      </w:r>
    </w:p>
    <w:p w14:paraId="3BB71834" w14:textId="77777777" w:rsidR="00B30C44" w:rsidRPr="00065939" w:rsidRDefault="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A28492C" w14:textId="77777777" w:rsidR="00B30C44" w:rsidRPr="00065939" w:rsidRDefault="00B30C44" w:rsidP="00B30C44">
      <w:pPr>
        <w:pStyle w:val="Prrafodelista"/>
        <w:numPr>
          <w:ilvl w:val="0"/>
          <w:numId w:val="8"/>
        </w:num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r w:rsidRPr="00065939">
        <w:rPr>
          <w:rFonts w:ascii="Palatino Linotype" w:eastAsia="Palatino Linotype" w:hAnsi="Palatino Linotype" w:cs="Palatino Linotype"/>
          <w:szCs w:val="24"/>
        </w:rPr>
        <w:t xml:space="preserve">Oficio de fecha cuatro de julio de dos mil veintidós, signado por el Coordinador de Transparencia y Acceso a la Información, mediante el cual informa que se orienta al particular a solicitar la información al DIF de Tenancingo, ya que es autoridad con </w:t>
      </w:r>
      <w:r w:rsidRPr="00065939">
        <w:rPr>
          <w:rFonts w:ascii="Palatino Linotype" w:eastAsia="Palatino Linotype" w:hAnsi="Palatino Linotype" w:cs="Palatino Linotype"/>
          <w:szCs w:val="24"/>
        </w:rPr>
        <w:lastRenderedPageBreak/>
        <w:t xml:space="preserve">carácter de sujeto obligado y por tanto, puede recibir solicitudes de información y otorgar respuesta a través del </w:t>
      </w:r>
      <w:proofErr w:type="spellStart"/>
      <w:r w:rsidRPr="00065939">
        <w:rPr>
          <w:rFonts w:ascii="Palatino Linotype" w:eastAsia="Palatino Linotype" w:hAnsi="Palatino Linotype" w:cs="Palatino Linotype"/>
          <w:szCs w:val="24"/>
        </w:rPr>
        <w:t>Saimex</w:t>
      </w:r>
      <w:proofErr w:type="spellEnd"/>
      <w:r w:rsidRPr="00065939">
        <w:rPr>
          <w:rFonts w:ascii="Palatino Linotype" w:eastAsia="Palatino Linotype" w:hAnsi="Palatino Linotype" w:cs="Palatino Linotype"/>
          <w:szCs w:val="24"/>
        </w:rPr>
        <w:t>.</w:t>
      </w:r>
    </w:p>
    <w:p w14:paraId="768C055B" w14:textId="77777777" w:rsidR="00F8557D" w:rsidRPr="00065939"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Respuesta.</w:t>
      </w:r>
      <w:r w:rsidRPr="00065939">
        <w:rPr>
          <w:rFonts w:ascii="Palatino Linotype" w:eastAsia="Palatino Linotype" w:hAnsi="Palatino Linotype" w:cs="Palatino Linotype"/>
          <w:sz w:val="24"/>
          <w:szCs w:val="24"/>
        </w:rPr>
        <w:t xml:space="preserve"> Con fecha </w:t>
      </w:r>
      <w:r w:rsidR="00B30C44" w:rsidRPr="00065939">
        <w:rPr>
          <w:rFonts w:ascii="Palatino Linotype" w:eastAsia="Palatino Linotype" w:hAnsi="Palatino Linotype" w:cs="Palatino Linotype"/>
          <w:b/>
          <w:sz w:val="24"/>
          <w:szCs w:val="24"/>
        </w:rPr>
        <w:t>nueve de agosto</w:t>
      </w:r>
      <w:r w:rsidRPr="00065939">
        <w:rPr>
          <w:rFonts w:ascii="Palatino Linotype" w:eastAsia="Palatino Linotype" w:hAnsi="Palatino Linotype" w:cs="Palatino Linotype"/>
          <w:b/>
          <w:sz w:val="24"/>
          <w:szCs w:val="24"/>
        </w:rPr>
        <w:t xml:space="preserve"> de dos mil veintidós</w:t>
      </w:r>
      <w:r w:rsidRPr="00065939">
        <w:rPr>
          <w:rFonts w:ascii="Palatino Linotype" w:eastAsia="Palatino Linotype" w:hAnsi="Palatino Linotype" w:cs="Palatino Linotype"/>
          <w:sz w:val="24"/>
          <w:szCs w:val="24"/>
        </w:rPr>
        <w:t xml:space="preserve">, el </w:t>
      </w:r>
      <w:r w:rsidRPr="00065939">
        <w:rPr>
          <w:rFonts w:ascii="Palatino Linotype" w:eastAsia="Palatino Linotype" w:hAnsi="Palatino Linotype" w:cs="Palatino Linotype"/>
          <w:b/>
          <w:sz w:val="24"/>
          <w:szCs w:val="24"/>
        </w:rPr>
        <w:t>SUJETO OBLIGADO</w:t>
      </w:r>
      <w:r w:rsidRPr="00065939">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74B6754F"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16BF3E47" w14:textId="77777777" w:rsidR="00F8557D" w:rsidRPr="00065939" w:rsidRDefault="00646B44" w:rsidP="00B30C44">
      <w:pPr>
        <w:spacing w:after="0" w:line="276" w:lineRule="auto"/>
        <w:ind w:left="567" w:right="560"/>
        <w:jc w:val="both"/>
        <w:rPr>
          <w:rFonts w:ascii="Palatino Linotype" w:eastAsia="Palatino Linotype" w:hAnsi="Palatino Linotype" w:cs="Palatino Linotype"/>
          <w:b/>
          <w:i/>
          <w:u w:val="single"/>
        </w:rPr>
      </w:pPr>
      <w:r w:rsidRPr="00065939">
        <w:rPr>
          <w:rFonts w:ascii="Palatino Linotype" w:eastAsia="Palatino Linotype" w:hAnsi="Palatino Linotype" w:cs="Palatino Linotype"/>
          <w:i/>
        </w:rPr>
        <w:t>“</w:t>
      </w:r>
      <w:r w:rsidR="00B30C44" w:rsidRPr="00065939">
        <w:rPr>
          <w:rFonts w:ascii="Palatino Linotype" w:eastAsia="Palatino Linotype" w:hAnsi="Palatino Linotype" w:cs="Palatino Linotype"/>
          <w:i/>
        </w:rPr>
        <w:t xml:space="preserve">Por medio de la presente y en atención a su solicitud de información por medio del Sistema de Seguimiento a la Información Mexiquense (SAIMEX), QUE refiere: “Me </w:t>
      </w:r>
      <w:proofErr w:type="spellStart"/>
      <w:r w:rsidR="00B30C44" w:rsidRPr="00065939">
        <w:rPr>
          <w:rFonts w:ascii="Palatino Linotype" w:eastAsia="Palatino Linotype" w:hAnsi="Palatino Linotype" w:cs="Palatino Linotype"/>
          <w:i/>
        </w:rPr>
        <w:t>gustaria</w:t>
      </w:r>
      <w:proofErr w:type="spellEnd"/>
      <w:r w:rsidR="00B30C44" w:rsidRPr="00065939">
        <w:rPr>
          <w:rFonts w:ascii="Palatino Linotype" w:eastAsia="Palatino Linotype" w:hAnsi="Palatino Linotype" w:cs="Palatino Linotype"/>
          <w:i/>
        </w:rPr>
        <w:t xml:space="preserve"> que me proporcionaran la </w:t>
      </w:r>
      <w:proofErr w:type="spellStart"/>
      <w:r w:rsidR="00B30C44" w:rsidRPr="00065939">
        <w:rPr>
          <w:rFonts w:ascii="Palatino Linotype" w:eastAsia="Palatino Linotype" w:hAnsi="Palatino Linotype" w:cs="Palatino Linotype"/>
          <w:i/>
        </w:rPr>
        <w:t>nomina</w:t>
      </w:r>
      <w:proofErr w:type="spellEnd"/>
      <w:r w:rsidR="00B30C44" w:rsidRPr="00065939">
        <w:rPr>
          <w:rFonts w:ascii="Palatino Linotype" w:eastAsia="Palatino Linotype" w:hAnsi="Palatino Linotype" w:cs="Palatino Linotype"/>
          <w:i/>
        </w:rPr>
        <w:t xml:space="preserve"> completa de la primera quincena de junio del ayuntamiento y del SMDIF de Tenancingo toda vez </w:t>
      </w:r>
      <w:proofErr w:type="spellStart"/>
      <w:r w:rsidR="00B30C44" w:rsidRPr="00065939">
        <w:rPr>
          <w:rFonts w:ascii="Palatino Linotype" w:eastAsia="Palatino Linotype" w:hAnsi="Palatino Linotype" w:cs="Palatino Linotype"/>
          <w:i/>
        </w:rPr>
        <w:t>aue</w:t>
      </w:r>
      <w:proofErr w:type="spellEnd"/>
      <w:r w:rsidR="00B30C44" w:rsidRPr="00065939">
        <w:rPr>
          <w:rFonts w:ascii="Palatino Linotype" w:eastAsia="Palatino Linotype" w:hAnsi="Palatino Linotype" w:cs="Palatino Linotype"/>
          <w:i/>
        </w:rPr>
        <w:t xml:space="preserve"> en </w:t>
      </w:r>
      <w:proofErr w:type="spellStart"/>
      <w:r w:rsidR="00B30C44" w:rsidRPr="00065939">
        <w:rPr>
          <w:rFonts w:ascii="Palatino Linotype" w:eastAsia="Palatino Linotype" w:hAnsi="Palatino Linotype" w:cs="Palatino Linotype"/>
          <w:i/>
        </w:rPr>
        <w:t>Ipomex</w:t>
      </w:r>
      <w:proofErr w:type="spellEnd"/>
      <w:r w:rsidR="00B30C44" w:rsidRPr="00065939">
        <w:rPr>
          <w:rFonts w:ascii="Palatino Linotype" w:eastAsia="Palatino Linotype" w:hAnsi="Palatino Linotype" w:cs="Palatino Linotype"/>
          <w:i/>
        </w:rPr>
        <w:t xml:space="preserve"> subieron la </w:t>
      </w:r>
      <w:proofErr w:type="spellStart"/>
      <w:r w:rsidR="00B30C44" w:rsidRPr="00065939">
        <w:rPr>
          <w:rFonts w:ascii="Palatino Linotype" w:eastAsia="Palatino Linotype" w:hAnsi="Palatino Linotype" w:cs="Palatino Linotype"/>
          <w:i/>
        </w:rPr>
        <w:t>nomina</w:t>
      </w:r>
      <w:proofErr w:type="spellEnd"/>
      <w:r w:rsidR="00B30C44" w:rsidRPr="00065939">
        <w:rPr>
          <w:rFonts w:ascii="Palatino Linotype" w:eastAsia="Palatino Linotype" w:hAnsi="Palatino Linotype" w:cs="Palatino Linotype"/>
          <w:i/>
        </w:rPr>
        <w:t xml:space="preserve"> pero no </w:t>
      </w:r>
      <w:proofErr w:type="spellStart"/>
      <w:r w:rsidR="00B30C44" w:rsidRPr="00065939">
        <w:rPr>
          <w:rFonts w:ascii="Palatino Linotype" w:eastAsia="Palatino Linotype" w:hAnsi="Palatino Linotype" w:cs="Palatino Linotype"/>
          <w:i/>
        </w:rPr>
        <w:t>esta</w:t>
      </w:r>
      <w:proofErr w:type="spellEnd"/>
      <w:r w:rsidR="00B30C44" w:rsidRPr="00065939">
        <w:rPr>
          <w:rFonts w:ascii="Palatino Linotype" w:eastAsia="Palatino Linotype" w:hAnsi="Palatino Linotype" w:cs="Palatino Linotype"/>
          <w:i/>
        </w:rPr>
        <w:t xml:space="preserve"> completa....”(sic), al respecto me permito informarle: De conformidad con los artículos 4, 12, 16, 23, fracción IV, 24 fracción XI y 53 fracciones II, IV y V de la Ley de Transparencia y Acceso a la Información Pública del Estado de México y Municipios, en atención a su solicitud de información con folio 00500/TENANCIN/IP/2022. De la misma manera se hace de su conocimiento, lo siguiente: 1.- Del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Por cuanto hace al contenido del artículo 6, segundo párrafo, apartado A, fracción I de la Constitución Política de los Estados Unidos Mexicanos el cual establece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00B30C44" w:rsidRPr="00065939">
        <w:rPr>
          <w:rFonts w:ascii="Palatino Linotype" w:eastAsia="Palatino Linotype" w:hAnsi="Palatino Linotype" w:cs="Palatino Linotype"/>
          <w:i/>
        </w:rPr>
        <w:lastRenderedPageBreak/>
        <w:t xml:space="preserve">los cuales procederá la declaración de inexistencia de la información.”. Luego entonces, el acceso a la información pública es el derecho humano a través del cual se puede solicitar aquella información pública que generen, administren o posean las autoridades, quienes están obligados a documentar todo acto que derive sus facultades, atribuciones y competencias, siempre prevaleciendo el principio de máxima publicidad. </w:t>
      </w:r>
      <w:r w:rsidR="00B30C44" w:rsidRPr="00065939">
        <w:rPr>
          <w:rFonts w:ascii="Palatino Linotype" w:eastAsia="Palatino Linotype" w:hAnsi="Palatino Linotype" w:cs="Palatino Linotype"/>
          <w:b/>
          <w:i/>
          <w:u w:val="single"/>
        </w:rPr>
        <w:t>Dicho lo anterior, en referencia a la información solicitada, la misma puede ser consultada en la siguiente liga electrónica: https://mega.nz/file/qnZSFBwJ#-2ymPKxlWR7xZpGSr4dNmY6xTd8p31PY6ESV5K3CBzM”</w:t>
      </w:r>
      <w:r w:rsidRPr="00065939">
        <w:rPr>
          <w:rFonts w:ascii="Palatino Linotype" w:eastAsia="Palatino Linotype" w:hAnsi="Palatino Linotype" w:cs="Palatino Linotype"/>
          <w:b/>
          <w:i/>
          <w:u w:val="single"/>
        </w:rPr>
        <w:t>.</w:t>
      </w:r>
    </w:p>
    <w:p w14:paraId="41C4F6E5" w14:textId="77777777" w:rsidR="00F8557D" w:rsidRPr="00065939" w:rsidRDefault="00F8557D" w:rsidP="00B30C44">
      <w:pPr>
        <w:spacing w:after="0" w:line="360" w:lineRule="auto"/>
        <w:ind w:left="567" w:right="560"/>
        <w:jc w:val="both"/>
        <w:rPr>
          <w:rFonts w:ascii="Palatino Linotype" w:eastAsia="Palatino Linotype" w:hAnsi="Palatino Linotype" w:cs="Palatino Linotype"/>
          <w:sz w:val="24"/>
          <w:szCs w:val="24"/>
        </w:rPr>
      </w:pPr>
    </w:p>
    <w:p w14:paraId="3C408582" w14:textId="77777777" w:rsidR="00F8557D" w:rsidRPr="00065939" w:rsidRDefault="00646B44" w:rsidP="00B30C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El Sujeto Obligado a su respuesta adjuntó </w:t>
      </w:r>
      <w:r w:rsidR="00B30C44" w:rsidRPr="00065939">
        <w:rPr>
          <w:rFonts w:ascii="Palatino Linotype" w:eastAsia="Palatino Linotype" w:hAnsi="Palatino Linotype" w:cs="Palatino Linotype"/>
          <w:sz w:val="24"/>
          <w:szCs w:val="24"/>
        </w:rPr>
        <w:t xml:space="preserve">el documento que se describe a continuación: </w:t>
      </w:r>
      <w:r w:rsidRPr="00065939">
        <w:rPr>
          <w:rFonts w:ascii="Palatino Linotype" w:eastAsia="Palatino Linotype" w:hAnsi="Palatino Linotype" w:cs="Palatino Linotype"/>
          <w:sz w:val="24"/>
          <w:szCs w:val="24"/>
        </w:rPr>
        <w:t xml:space="preserve"> </w:t>
      </w:r>
    </w:p>
    <w:p w14:paraId="124EAFA9" w14:textId="77777777" w:rsidR="00B30C44" w:rsidRPr="00065939" w:rsidRDefault="00B30C44" w:rsidP="00B30C44">
      <w:pPr>
        <w:spacing w:after="0" w:line="360" w:lineRule="auto"/>
        <w:ind w:right="49"/>
        <w:jc w:val="both"/>
        <w:rPr>
          <w:rFonts w:ascii="Palatino Linotype" w:eastAsia="Palatino Linotype" w:hAnsi="Palatino Linotype" w:cs="Palatino Linotype"/>
          <w:sz w:val="24"/>
          <w:szCs w:val="24"/>
        </w:rPr>
      </w:pPr>
    </w:p>
    <w:p w14:paraId="6FB59B4B" w14:textId="77777777" w:rsidR="00B30C44" w:rsidRPr="00065939" w:rsidRDefault="00B30C44" w:rsidP="00B30C44">
      <w:pPr>
        <w:pStyle w:val="Prrafodelista"/>
        <w:numPr>
          <w:ilvl w:val="0"/>
          <w:numId w:val="8"/>
        </w:num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Oficio de fecha siete de agosto de dos mil veintidós, signado por el Coordinador de Transparencia y Acceso a la Información, mediante el cual informa que en relación con la información solicitada, esta puede ser consultada en la siguiente liga electrónica </w:t>
      </w:r>
      <w:r w:rsidRPr="00065939">
        <w:rPr>
          <w:rFonts w:ascii="Palatino Linotype" w:hAnsi="Palatino Linotype"/>
        </w:rPr>
        <w:t xml:space="preserve">https://mega.nz/file/qnZSFBwJ#- 2ymPKxlWR7xZpGSr4dNmY6xTd8p31PY6ESV5K3CBzM </w:t>
      </w:r>
      <w:r w:rsidRPr="00065939">
        <w:t xml:space="preserve"> </w:t>
      </w:r>
    </w:p>
    <w:p w14:paraId="25136F3A" w14:textId="77777777" w:rsidR="00B30C44" w:rsidRPr="00065939" w:rsidRDefault="00B30C44">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p>
    <w:p w14:paraId="759EDBF5" w14:textId="13285B09" w:rsidR="00F8557D" w:rsidRPr="00065939" w:rsidRDefault="00646B44"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El Particular, derivado de la respuesta del </w:t>
      </w:r>
      <w:r w:rsidRPr="00065939">
        <w:rPr>
          <w:rFonts w:ascii="Palatino Linotype" w:eastAsia="Palatino Linotype" w:hAnsi="Palatino Linotype" w:cs="Palatino Linotype"/>
          <w:b/>
          <w:sz w:val="24"/>
          <w:szCs w:val="24"/>
        </w:rPr>
        <w:t>SUJETO OBLIGADO</w:t>
      </w:r>
      <w:r w:rsidRPr="00065939">
        <w:rPr>
          <w:rFonts w:ascii="Palatino Linotype" w:eastAsia="Palatino Linotype" w:hAnsi="Palatino Linotype" w:cs="Palatino Linotype"/>
          <w:sz w:val="24"/>
          <w:szCs w:val="24"/>
        </w:rPr>
        <w:t xml:space="preserve"> interpuso Recurso de Revisión a través del </w:t>
      </w:r>
      <w:r w:rsidRPr="00065939">
        <w:rPr>
          <w:rFonts w:ascii="Palatino Linotype" w:eastAsia="Palatino Linotype" w:hAnsi="Palatino Linotype" w:cs="Palatino Linotype"/>
          <w:b/>
          <w:sz w:val="24"/>
          <w:szCs w:val="24"/>
        </w:rPr>
        <w:t>SAIMEX</w:t>
      </w:r>
      <w:r w:rsidRPr="00065939">
        <w:rPr>
          <w:rFonts w:ascii="Palatino Linotype" w:eastAsia="Palatino Linotype" w:hAnsi="Palatino Linotype" w:cs="Palatino Linotype"/>
          <w:sz w:val="24"/>
          <w:szCs w:val="24"/>
        </w:rPr>
        <w:t xml:space="preserve"> en fech</w:t>
      </w:r>
      <w:r w:rsidR="00582034" w:rsidRPr="00065939">
        <w:rPr>
          <w:rFonts w:ascii="Palatino Linotype" w:eastAsia="Palatino Linotype" w:hAnsi="Palatino Linotype" w:cs="Palatino Linotype"/>
          <w:sz w:val="24"/>
          <w:szCs w:val="24"/>
        </w:rPr>
        <w:t xml:space="preserve">a </w:t>
      </w:r>
      <w:r w:rsidR="00582034" w:rsidRPr="00065939">
        <w:rPr>
          <w:rFonts w:ascii="Palatino Linotype" w:eastAsia="Palatino Linotype" w:hAnsi="Palatino Linotype" w:cs="Palatino Linotype"/>
          <w:b/>
          <w:bCs/>
          <w:sz w:val="24"/>
          <w:szCs w:val="24"/>
        </w:rPr>
        <w:t>diecinueve</w:t>
      </w:r>
      <w:r w:rsidR="00B30C44" w:rsidRPr="00065939">
        <w:rPr>
          <w:rFonts w:ascii="Palatino Linotype" w:eastAsia="Palatino Linotype" w:hAnsi="Palatino Linotype" w:cs="Palatino Linotype"/>
          <w:b/>
          <w:sz w:val="24"/>
          <w:szCs w:val="24"/>
        </w:rPr>
        <w:t xml:space="preserve"> de agosto </w:t>
      </w:r>
      <w:r w:rsidRPr="00065939">
        <w:rPr>
          <w:rFonts w:ascii="Palatino Linotype" w:eastAsia="Palatino Linotype" w:hAnsi="Palatino Linotype" w:cs="Palatino Linotype"/>
          <w:b/>
          <w:sz w:val="24"/>
          <w:szCs w:val="24"/>
        </w:rPr>
        <w:t>de dos mil veintidós</w:t>
      </w:r>
      <w:r w:rsidRPr="00065939">
        <w:rPr>
          <w:rFonts w:ascii="Palatino Linotype" w:eastAsia="Palatino Linotype" w:hAnsi="Palatino Linotype" w:cs="Palatino Linotype"/>
          <w:sz w:val="24"/>
          <w:szCs w:val="24"/>
        </w:rPr>
        <w:t>, a través del cual expresó lo siguiente:</w:t>
      </w:r>
    </w:p>
    <w:p w14:paraId="6A6948AD" w14:textId="77777777" w:rsidR="00F8557D" w:rsidRPr="00065939"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160CA8" w14:textId="77777777" w:rsidR="00F8557D" w:rsidRPr="00065939"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065939">
        <w:rPr>
          <w:rFonts w:ascii="Palatino Linotype" w:eastAsia="Palatino Linotype" w:hAnsi="Palatino Linotype" w:cs="Palatino Linotype"/>
          <w:b/>
          <w:sz w:val="24"/>
          <w:szCs w:val="24"/>
        </w:rPr>
        <w:t xml:space="preserve">Acto impugnado. </w:t>
      </w:r>
      <w:r w:rsidRPr="00065939">
        <w:rPr>
          <w:rFonts w:ascii="Palatino Linotype" w:eastAsia="Palatino Linotype" w:hAnsi="Palatino Linotype" w:cs="Palatino Linotype"/>
        </w:rPr>
        <w:t>“</w:t>
      </w:r>
      <w:r w:rsidR="00B30C44" w:rsidRPr="00065939">
        <w:rPr>
          <w:rFonts w:ascii="Palatino Linotype" w:eastAsia="Palatino Linotype" w:hAnsi="Palatino Linotype" w:cs="Palatino Linotype"/>
          <w:i/>
        </w:rPr>
        <w:t>No proporcionaron la información completa</w:t>
      </w:r>
      <w:r w:rsidRPr="00065939">
        <w:rPr>
          <w:rFonts w:ascii="Palatino Linotype" w:eastAsia="Palatino Linotype" w:hAnsi="Palatino Linotype" w:cs="Palatino Linotype"/>
          <w:i/>
        </w:rPr>
        <w:t>”.</w:t>
      </w:r>
    </w:p>
    <w:p w14:paraId="3CF073E1" w14:textId="77777777" w:rsidR="00F8557D" w:rsidRPr="00065939" w:rsidRDefault="00F8557D"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6F9A5953" w14:textId="77777777" w:rsidR="00F8557D" w:rsidRPr="00065939"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sz w:val="24"/>
          <w:szCs w:val="24"/>
        </w:rPr>
      </w:pPr>
      <w:r w:rsidRPr="00065939">
        <w:rPr>
          <w:rFonts w:ascii="Palatino Linotype" w:eastAsia="Palatino Linotype" w:hAnsi="Palatino Linotype" w:cs="Palatino Linotype"/>
          <w:b/>
          <w:sz w:val="24"/>
          <w:szCs w:val="24"/>
        </w:rPr>
        <w:t xml:space="preserve">Razones o motivos de la inconformidad: </w:t>
      </w:r>
      <w:r w:rsidRPr="00065939">
        <w:rPr>
          <w:rFonts w:ascii="Palatino Linotype" w:eastAsia="Palatino Linotype" w:hAnsi="Palatino Linotype" w:cs="Palatino Linotype"/>
        </w:rPr>
        <w:t>“</w:t>
      </w:r>
      <w:r w:rsidR="00B30C44" w:rsidRPr="00065939">
        <w:rPr>
          <w:rFonts w:ascii="Palatino Linotype" w:eastAsia="Palatino Linotype" w:hAnsi="Palatino Linotype" w:cs="Palatino Linotype"/>
          <w:i/>
        </w:rPr>
        <w:t xml:space="preserve">Solicite la </w:t>
      </w:r>
      <w:proofErr w:type="spellStart"/>
      <w:r w:rsidR="00B30C44" w:rsidRPr="00065939">
        <w:rPr>
          <w:rFonts w:ascii="Palatino Linotype" w:eastAsia="Palatino Linotype" w:hAnsi="Palatino Linotype" w:cs="Palatino Linotype"/>
          <w:i/>
        </w:rPr>
        <w:t>nomina</w:t>
      </w:r>
      <w:proofErr w:type="spellEnd"/>
      <w:r w:rsidR="00B30C44" w:rsidRPr="00065939">
        <w:rPr>
          <w:rFonts w:ascii="Palatino Linotype" w:eastAsia="Palatino Linotype" w:hAnsi="Palatino Linotype" w:cs="Palatino Linotype"/>
          <w:i/>
        </w:rPr>
        <w:t xml:space="preserve"> de todo el personal que labora en el ayuntamiento de Tenancingo y solo me proporcionaron la </w:t>
      </w:r>
      <w:proofErr w:type="spellStart"/>
      <w:r w:rsidR="00B30C44" w:rsidRPr="00065939">
        <w:rPr>
          <w:rFonts w:ascii="Palatino Linotype" w:eastAsia="Palatino Linotype" w:hAnsi="Palatino Linotype" w:cs="Palatino Linotype"/>
          <w:i/>
        </w:rPr>
        <w:t>informacion</w:t>
      </w:r>
      <w:proofErr w:type="spellEnd"/>
      <w:r w:rsidR="00B30C44" w:rsidRPr="00065939">
        <w:rPr>
          <w:rFonts w:ascii="Palatino Linotype" w:eastAsia="Palatino Linotype" w:hAnsi="Palatino Linotype" w:cs="Palatino Linotype"/>
          <w:i/>
        </w:rPr>
        <w:t xml:space="preserve"> </w:t>
      </w:r>
      <w:r w:rsidR="00B30C44" w:rsidRPr="00065939">
        <w:rPr>
          <w:rFonts w:ascii="Palatino Linotype" w:eastAsia="Palatino Linotype" w:hAnsi="Palatino Linotype" w:cs="Palatino Linotype"/>
          <w:i/>
        </w:rPr>
        <w:lastRenderedPageBreak/>
        <w:t xml:space="preserve">pero no de la totalidad del personal, </w:t>
      </w:r>
      <w:r w:rsidR="00B30C44" w:rsidRPr="00065939">
        <w:rPr>
          <w:rFonts w:ascii="Palatino Linotype" w:eastAsia="Palatino Linotype" w:hAnsi="Palatino Linotype" w:cs="Palatino Linotype"/>
          <w:b/>
          <w:i/>
          <w:u w:val="single"/>
        </w:rPr>
        <w:t>no mandaron ni la del presidente ni de los regidores</w:t>
      </w:r>
      <w:r w:rsidRPr="00065939">
        <w:rPr>
          <w:rFonts w:ascii="Palatino Linotype" w:eastAsia="Palatino Linotype" w:hAnsi="Palatino Linotype" w:cs="Palatino Linotype"/>
          <w:b/>
          <w:i/>
          <w:u w:val="single"/>
        </w:rPr>
        <w:t>”.</w:t>
      </w:r>
    </w:p>
    <w:p w14:paraId="0F61B626"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32957FFC" w14:textId="77777777" w:rsidR="00F8557D" w:rsidRPr="00065939"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Turno.</w:t>
      </w:r>
      <w:r w:rsidRPr="00065939">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B30C44" w:rsidRPr="00065939">
        <w:rPr>
          <w:rFonts w:ascii="Palatino Linotype" w:eastAsia="Palatino Linotype" w:hAnsi="Palatino Linotype" w:cs="Palatino Linotype"/>
          <w:b/>
          <w:sz w:val="24"/>
          <w:szCs w:val="24"/>
        </w:rPr>
        <w:t>13454</w:t>
      </w:r>
      <w:r w:rsidRPr="00065939">
        <w:rPr>
          <w:rFonts w:ascii="Palatino Linotype" w:eastAsia="Palatino Linotype" w:hAnsi="Palatino Linotype" w:cs="Palatino Linotype"/>
          <w:b/>
          <w:sz w:val="24"/>
          <w:szCs w:val="24"/>
        </w:rPr>
        <w:t>/INFOEM/IP/RR/2022</w:t>
      </w:r>
      <w:r w:rsidRPr="00065939">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C5BB885" w14:textId="77777777" w:rsidR="00F8557D" w:rsidRPr="00065939"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C29537" w14:textId="77777777" w:rsidR="00F8557D" w:rsidRPr="00065939"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Admisión del recurso de revisión</w:t>
      </w:r>
      <w:r w:rsidRPr="00065939">
        <w:rPr>
          <w:rFonts w:ascii="Palatino Linotype" w:eastAsia="Palatino Linotype" w:hAnsi="Palatino Linotype" w:cs="Palatino Linotype"/>
          <w:sz w:val="24"/>
          <w:szCs w:val="24"/>
        </w:rPr>
        <w:t xml:space="preserve">: En fecha </w:t>
      </w:r>
      <w:r w:rsidR="00DB71F7" w:rsidRPr="00065939">
        <w:rPr>
          <w:rFonts w:ascii="Palatino Linotype" w:eastAsia="Palatino Linotype" w:hAnsi="Palatino Linotype" w:cs="Palatino Linotype"/>
          <w:b/>
          <w:sz w:val="24"/>
          <w:szCs w:val="24"/>
        </w:rPr>
        <w:t>veinticuatro</w:t>
      </w:r>
      <w:r w:rsidRPr="00065939">
        <w:rPr>
          <w:rFonts w:ascii="Palatino Linotype" w:eastAsia="Palatino Linotype" w:hAnsi="Palatino Linotype" w:cs="Palatino Linotype"/>
          <w:b/>
          <w:sz w:val="24"/>
          <w:szCs w:val="24"/>
        </w:rPr>
        <w:t xml:space="preserve"> de agosto de dos mil veintidós</w:t>
      </w:r>
      <w:r w:rsidRPr="00065939">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4E34316" w14:textId="77777777" w:rsidR="00F8557D" w:rsidRPr="00065939" w:rsidRDefault="00F8557D">
      <w:pPr>
        <w:pBdr>
          <w:top w:val="nil"/>
          <w:left w:val="nil"/>
          <w:bottom w:val="nil"/>
          <w:right w:val="nil"/>
          <w:between w:val="nil"/>
        </w:pBdr>
        <w:ind w:left="720"/>
        <w:rPr>
          <w:rFonts w:ascii="Palatino Linotype" w:eastAsia="Palatino Linotype" w:hAnsi="Palatino Linotype" w:cs="Palatino Linotype"/>
          <w:sz w:val="24"/>
          <w:szCs w:val="24"/>
        </w:rPr>
      </w:pPr>
    </w:p>
    <w:p w14:paraId="3D91703E" w14:textId="77777777" w:rsidR="00F8557D" w:rsidRPr="00065939"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 xml:space="preserve">Informe Justificado. </w:t>
      </w:r>
      <w:r w:rsidRPr="00065939">
        <w:rPr>
          <w:rFonts w:ascii="Palatino Linotype" w:eastAsia="Palatino Linotype" w:hAnsi="Palatino Linotype" w:cs="Palatino Linotype"/>
          <w:sz w:val="24"/>
          <w:szCs w:val="24"/>
        </w:rPr>
        <w:t xml:space="preserve">Las partes fueron omisas en rendir manifestaciones: </w:t>
      </w:r>
    </w:p>
    <w:p w14:paraId="0F8BDEC8" w14:textId="77777777" w:rsidR="00DB71F7" w:rsidRPr="00065939" w:rsidRDefault="00DB71F7" w:rsidP="00DB71F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3EE537C" w14:textId="77777777" w:rsidR="00F8557D" w:rsidRPr="00065939" w:rsidRDefault="00DB71F7">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noProof/>
        </w:rPr>
        <w:drawing>
          <wp:inline distT="0" distB="0" distL="0" distR="0" wp14:anchorId="5E26ABF5" wp14:editId="0C9FB8EA">
            <wp:extent cx="5756275" cy="14554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455420"/>
                    </a:xfrm>
                    <a:prstGeom prst="rect">
                      <a:avLst/>
                    </a:prstGeom>
                  </pic:spPr>
                </pic:pic>
              </a:graphicData>
            </a:graphic>
          </wp:inline>
        </w:drawing>
      </w:r>
    </w:p>
    <w:p w14:paraId="690571B1"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10E7959B" w14:textId="77777777" w:rsidR="00F8557D" w:rsidRPr="00065939"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Cierre de instrucción</w:t>
      </w:r>
      <w:r w:rsidRPr="00065939">
        <w:rPr>
          <w:rFonts w:ascii="Palatino Linotype" w:eastAsia="Palatino Linotype" w:hAnsi="Palatino Linotype" w:cs="Palatino Linotype"/>
          <w:sz w:val="24"/>
          <w:szCs w:val="24"/>
        </w:rPr>
        <w:t xml:space="preserve">. En fecha </w:t>
      </w:r>
      <w:r w:rsidRPr="00065939">
        <w:rPr>
          <w:rFonts w:ascii="Palatino Linotype" w:eastAsia="Palatino Linotype" w:hAnsi="Palatino Linotype" w:cs="Palatino Linotype"/>
          <w:b/>
          <w:sz w:val="24"/>
          <w:szCs w:val="24"/>
        </w:rPr>
        <w:t>veinti</w:t>
      </w:r>
      <w:r w:rsidR="00DB71F7" w:rsidRPr="00065939">
        <w:rPr>
          <w:rFonts w:ascii="Palatino Linotype" w:eastAsia="Palatino Linotype" w:hAnsi="Palatino Linotype" w:cs="Palatino Linotype"/>
          <w:b/>
          <w:sz w:val="24"/>
          <w:szCs w:val="24"/>
        </w:rPr>
        <w:t xml:space="preserve">siete </w:t>
      </w:r>
      <w:r w:rsidRPr="00065939">
        <w:rPr>
          <w:rFonts w:ascii="Palatino Linotype" w:eastAsia="Palatino Linotype" w:hAnsi="Palatino Linotype" w:cs="Palatino Linotype"/>
          <w:b/>
          <w:sz w:val="24"/>
          <w:szCs w:val="24"/>
        </w:rPr>
        <w:t>de septiembre de dos mil veintidós</w:t>
      </w:r>
      <w:r w:rsidRPr="00065939">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1F6309EB"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35802F19" w14:textId="11FFC559" w:rsidR="00F8557D" w:rsidRPr="00065939" w:rsidRDefault="00646B44">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Ampliación de plazo:</w:t>
      </w:r>
      <w:r w:rsidRPr="00065939">
        <w:rPr>
          <w:rFonts w:ascii="Palatino Linotype" w:eastAsia="Palatino Linotype" w:hAnsi="Palatino Linotype" w:cs="Palatino Linotype"/>
          <w:sz w:val="24"/>
          <w:szCs w:val="24"/>
        </w:rPr>
        <w:t xml:space="preserve"> El </w:t>
      </w:r>
      <w:r w:rsidR="008755B0" w:rsidRPr="00065939">
        <w:rPr>
          <w:rFonts w:ascii="Palatino Linotype" w:eastAsia="Palatino Linotype" w:hAnsi="Palatino Linotype" w:cs="Palatino Linotype"/>
          <w:b/>
          <w:sz w:val="24"/>
          <w:szCs w:val="24"/>
        </w:rPr>
        <w:t xml:space="preserve">veintiséis </w:t>
      </w:r>
      <w:r w:rsidR="00DB71F7" w:rsidRPr="00065939">
        <w:rPr>
          <w:rFonts w:ascii="Palatino Linotype" w:eastAsia="Palatino Linotype" w:hAnsi="Palatino Linotype" w:cs="Palatino Linotype"/>
          <w:b/>
          <w:sz w:val="24"/>
          <w:szCs w:val="24"/>
        </w:rPr>
        <w:t>de enero de dos mil veintitrés</w:t>
      </w:r>
      <w:r w:rsidRPr="00065939">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19BAACD"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1BF43059" w14:textId="1C42A85F"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421177" w14:textId="77777777" w:rsidR="008755B0" w:rsidRPr="00065939" w:rsidRDefault="008755B0">
      <w:pPr>
        <w:spacing w:after="0" w:line="360" w:lineRule="auto"/>
        <w:ind w:right="49"/>
        <w:jc w:val="both"/>
        <w:rPr>
          <w:rFonts w:ascii="Palatino Linotype" w:eastAsia="Palatino Linotype" w:hAnsi="Palatino Linotype" w:cs="Palatino Linotype"/>
          <w:sz w:val="24"/>
          <w:szCs w:val="24"/>
        </w:rPr>
      </w:pPr>
    </w:p>
    <w:p w14:paraId="01EF90D1"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065939">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5E93442B"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 </w:t>
      </w:r>
    </w:p>
    <w:p w14:paraId="52AAFFD6"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2599E6"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0E8DC847"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48F65A"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3A1FBB21"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E5AB222"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2870B7B1" w14:textId="77777777" w:rsidR="00F8557D" w:rsidRPr="00065939" w:rsidRDefault="00646B44">
      <w:pPr>
        <w:tabs>
          <w:tab w:val="left" w:pos="709"/>
        </w:tabs>
        <w:spacing w:after="0" w:line="360" w:lineRule="auto"/>
        <w:ind w:left="567" w:right="560"/>
        <w:jc w:val="both"/>
        <w:rPr>
          <w:rFonts w:ascii="Palatino Linotype" w:eastAsia="Palatino Linotype" w:hAnsi="Palatino Linotype" w:cs="Palatino Linotype"/>
        </w:rPr>
      </w:pPr>
      <w:r w:rsidRPr="00065939">
        <w:rPr>
          <w:rFonts w:ascii="Palatino Linotype" w:eastAsia="Palatino Linotype" w:hAnsi="Palatino Linotype" w:cs="Palatino Linotype"/>
          <w:b/>
          <w:sz w:val="24"/>
          <w:szCs w:val="24"/>
        </w:rPr>
        <w:t>a</w:t>
      </w:r>
      <w:r w:rsidRPr="00065939">
        <w:rPr>
          <w:rFonts w:ascii="Palatino Linotype" w:eastAsia="Palatino Linotype" w:hAnsi="Palatino Linotype" w:cs="Palatino Linotype"/>
          <w:b/>
        </w:rPr>
        <w:t>)    Complejidad del asunto:</w:t>
      </w:r>
      <w:r w:rsidRPr="00065939">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743C62A" w14:textId="77777777" w:rsidR="00F8557D" w:rsidRPr="00065939" w:rsidRDefault="00646B44">
      <w:pPr>
        <w:tabs>
          <w:tab w:val="left" w:pos="709"/>
        </w:tabs>
        <w:spacing w:after="0" w:line="360" w:lineRule="auto"/>
        <w:ind w:left="567" w:right="560"/>
        <w:jc w:val="both"/>
        <w:rPr>
          <w:rFonts w:ascii="Palatino Linotype" w:eastAsia="Palatino Linotype" w:hAnsi="Palatino Linotype" w:cs="Palatino Linotype"/>
        </w:rPr>
      </w:pPr>
      <w:r w:rsidRPr="00065939">
        <w:rPr>
          <w:rFonts w:ascii="Palatino Linotype" w:eastAsia="Palatino Linotype" w:hAnsi="Palatino Linotype" w:cs="Palatino Linotype"/>
          <w:b/>
        </w:rPr>
        <w:t>b)   Actividad Procesal del interesado</w:t>
      </w:r>
      <w:r w:rsidRPr="00065939">
        <w:rPr>
          <w:rFonts w:ascii="Palatino Linotype" w:eastAsia="Palatino Linotype" w:hAnsi="Palatino Linotype" w:cs="Palatino Linotype"/>
        </w:rPr>
        <w:t>: Acciones u omisiones del interesado.</w:t>
      </w:r>
    </w:p>
    <w:p w14:paraId="4E15E9F6" w14:textId="77777777" w:rsidR="00F8557D" w:rsidRPr="00065939" w:rsidRDefault="00646B44">
      <w:pPr>
        <w:tabs>
          <w:tab w:val="left" w:pos="851"/>
        </w:tabs>
        <w:spacing w:after="0" w:line="360" w:lineRule="auto"/>
        <w:ind w:left="567" w:right="560"/>
        <w:jc w:val="both"/>
        <w:rPr>
          <w:rFonts w:ascii="Palatino Linotype" w:eastAsia="Palatino Linotype" w:hAnsi="Palatino Linotype" w:cs="Palatino Linotype"/>
        </w:rPr>
      </w:pPr>
      <w:r w:rsidRPr="00065939">
        <w:rPr>
          <w:rFonts w:ascii="Palatino Linotype" w:eastAsia="Palatino Linotype" w:hAnsi="Palatino Linotype" w:cs="Palatino Linotype"/>
          <w:b/>
        </w:rPr>
        <w:t>c)  Conducta de la Autoridad:</w:t>
      </w:r>
      <w:r w:rsidRPr="00065939">
        <w:rPr>
          <w:rFonts w:ascii="Palatino Linotype" w:eastAsia="Palatino Linotype" w:hAnsi="Palatino Linotype" w:cs="Palatino Linotype"/>
        </w:rPr>
        <w:t xml:space="preserve"> Las Acciones u omisiones realizadas en el procedimiento. Así como si la autoridad actuó con la debida diligencia.</w:t>
      </w:r>
    </w:p>
    <w:p w14:paraId="39BD5EC1" w14:textId="77777777" w:rsidR="00F8557D" w:rsidRPr="00065939" w:rsidRDefault="00646B44">
      <w:pPr>
        <w:tabs>
          <w:tab w:val="left" w:pos="851"/>
        </w:tabs>
        <w:spacing w:after="0" w:line="360" w:lineRule="auto"/>
        <w:ind w:left="567" w:right="560"/>
        <w:jc w:val="both"/>
        <w:rPr>
          <w:rFonts w:ascii="Palatino Linotype" w:eastAsia="Palatino Linotype" w:hAnsi="Palatino Linotype" w:cs="Palatino Linotype"/>
        </w:rPr>
      </w:pPr>
      <w:r w:rsidRPr="00065939">
        <w:rPr>
          <w:rFonts w:ascii="Palatino Linotype" w:eastAsia="Palatino Linotype" w:hAnsi="Palatino Linotype" w:cs="Palatino Linotype"/>
          <w:b/>
        </w:rPr>
        <w:t>d) La afectación generada en la situación jurídica de la persona involucrada en el proceso:</w:t>
      </w:r>
      <w:r w:rsidRPr="00065939">
        <w:rPr>
          <w:rFonts w:ascii="Palatino Linotype" w:eastAsia="Palatino Linotype" w:hAnsi="Palatino Linotype" w:cs="Palatino Linotype"/>
        </w:rPr>
        <w:t xml:space="preserve"> Violación a sus derechos humanos.</w:t>
      </w:r>
    </w:p>
    <w:p w14:paraId="30E8EA88"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727A23C4"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BB1787"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 </w:t>
      </w:r>
    </w:p>
    <w:p w14:paraId="6E8283A9"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065939">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065939">
        <w:rPr>
          <w:rFonts w:ascii="Palatino Linotype" w:eastAsia="Palatino Linotype" w:hAnsi="Palatino Linotype" w:cs="Palatino Linotype"/>
          <w:sz w:val="24"/>
          <w:szCs w:val="24"/>
        </w:rPr>
        <w:t>, visible en la Gaceta del Seminario Judicial de la Federación con el registro digital 205635.</w:t>
      </w:r>
    </w:p>
    <w:p w14:paraId="2001E0A2"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 </w:t>
      </w:r>
    </w:p>
    <w:p w14:paraId="0313729C"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065939">
        <w:rPr>
          <w:rFonts w:ascii="Palatino Linotype" w:eastAsia="Palatino Linotype" w:hAnsi="Palatino Linotype" w:cs="Palatino Linotype"/>
          <w:sz w:val="24"/>
          <w:szCs w:val="24"/>
        </w:rPr>
        <w:lastRenderedPageBreak/>
        <w:t>términos legales previamente establecidos por la Ley, por tratarse de causas de fuerza mayor.</w:t>
      </w:r>
    </w:p>
    <w:p w14:paraId="1C20704A"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23808168"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3F137F1"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 </w:t>
      </w:r>
    </w:p>
    <w:p w14:paraId="27FBE521" w14:textId="77777777" w:rsidR="00F8557D" w:rsidRPr="00065939" w:rsidRDefault="00646B44">
      <w:pPr>
        <w:spacing w:after="0" w:line="360" w:lineRule="auto"/>
        <w:ind w:left="567" w:right="560"/>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 xml:space="preserve"> “PLAZO RAZONABLE PARA RESOLVER. DIMENSIÓN Y EFECTOS DE ESTE CONCEPTO CUANDO SE ADUCE EXCESIVA CARGA DE TRABAJO.”</w:t>
      </w:r>
      <w:r w:rsidRPr="00065939">
        <w:rPr>
          <w:rFonts w:ascii="Palatino Linotype" w:eastAsia="Palatino Linotype" w:hAnsi="Palatino Linotype" w:cs="Palatino Linotype"/>
          <w:sz w:val="24"/>
          <w:szCs w:val="24"/>
        </w:rPr>
        <w:t xml:space="preserve"> consultable en el Seminario Judicial de la Federación y su gaceta, con el registro digital 2002351.</w:t>
      </w:r>
    </w:p>
    <w:p w14:paraId="0591EEE5" w14:textId="77777777" w:rsidR="00F8557D" w:rsidRPr="00065939" w:rsidRDefault="00646B44">
      <w:pPr>
        <w:spacing w:after="0" w:line="360" w:lineRule="auto"/>
        <w:ind w:left="567" w:right="560"/>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 </w:t>
      </w:r>
    </w:p>
    <w:p w14:paraId="4A867ABE" w14:textId="77777777" w:rsidR="00F8557D" w:rsidRPr="00065939" w:rsidRDefault="00646B44">
      <w:pPr>
        <w:spacing w:after="0" w:line="360" w:lineRule="auto"/>
        <w:ind w:left="567" w:right="560"/>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“PLAZO RAZONABLE PARA RESOLVER. CONCEPTO Y ELEMENTOS QUE LO INTEGRAN A LA LUZ DEL DERECHO INTERNACIONAL DE LOS DERECHOS HUMANOS.”,</w:t>
      </w:r>
      <w:r w:rsidRPr="00065939">
        <w:rPr>
          <w:rFonts w:ascii="Palatino Linotype" w:eastAsia="Palatino Linotype" w:hAnsi="Palatino Linotype" w:cs="Palatino Linotype"/>
          <w:sz w:val="24"/>
          <w:szCs w:val="24"/>
        </w:rPr>
        <w:t xml:space="preserve"> visible en el Seminario Judicial de la Federación y su gaceta, con el registro digital 2002350.</w:t>
      </w:r>
    </w:p>
    <w:p w14:paraId="241FA3AA" w14:textId="77777777" w:rsidR="00F8557D" w:rsidRPr="00065939" w:rsidRDefault="00F8557D">
      <w:pPr>
        <w:spacing w:after="0" w:line="360" w:lineRule="auto"/>
        <w:ind w:left="567" w:right="560"/>
        <w:jc w:val="both"/>
        <w:rPr>
          <w:rFonts w:ascii="Palatino Linotype" w:eastAsia="Palatino Linotype" w:hAnsi="Palatino Linotype" w:cs="Palatino Linotype"/>
          <w:sz w:val="24"/>
          <w:szCs w:val="24"/>
        </w:rPr>
      </w:pPr>
    </w:p>
    <w:p w14:paraId="6CD68606" w14:textId="1DA15107" w:rsidR="00F8557D" w:rsidRPr="00065939" w:rsidRDefault="00646B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50AE455F" w14:textId="77777777" w:rsidR="00E2699F" w:rsidRPr="00065939" w:rsidRDefault="00E2699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BF56973" w14:textId="79594CE0" w:rsidR="00DB71F7"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0DB3F56" w14:textId="77777777" w:rsidR="00F8557D" w:rsidRPr="00065939" w:rsidRDefault="00646B44">
      <w:pPr>
        <w:spacing w:after="0" w:line="360" w:lineRule="auto"/>
        <w:ind w:right="49"/>
        <w:jc w:val="center"/>
        <w:rPr>
          <w:rFonts w:ascii="Palatino Linotype" w:eastAsia="Palatino Linotype" w:hAnsi="Palatino Linotype" w:cs="Palatino Linotype"/>
          <w:b/>
          <w:sz w:val="24"/>
          <w:szCs w:val="24"/>
        </w:rPr>
      </w:pPr>
      <w:r w:rsidRPr="00065939">
        <w:rPr>
          <w:rFonts w:ascii="Palatino Linotype" w:eastAsia="Palatino Linotype" w:hAnsi="Palatino Linotype" w:cs="Palatino Linotype"/>
          <w:b/>
          <w:sz w:val="24"/>
          <w:szCs w:val="24"/>
        </w:rPr>
        <w:lastRenderedPageBreak/>
        <w:t>II.</w:t>
      </w:r>
      <w:r w:rsidRPr="00065939">
        <w:rPr>
          <w:rFonts w:ascii="Palatino Linotype" w:eastAsia="Palatino Linotype" w:hAnsi="Palatino Linotype" w:cs="Palatino Linotype"/>
          <w:b/>
          <w:sz w:val="24"/>
          <w:szCs w:val="24"/>
        </w:rPr>
        <w:tab/>
        <w:t>C O N S I D E R A N D O:</w:t>
      </w:r>
    </w:p>
    <w:p w14:paraId="3619A913"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117807C9"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Primero. Competencia.</w:t>
      </w:r>
      <w:r w:rsidRPr="00065939">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4CF613E"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62D25C57"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Segundo. Oportunidad y Procedibilidad del Recurso de Revisión.</w:t>
      </w:r>
      <w:r w:rsidRPr="00065939">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3B2D671F"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57D9F138"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065939">
        <w:rPr>
          <w:rFonts w:ascii="Palatino Linotype" w:eastAsia="Palatino Linotype" w:hAnsi="Palatino Linotype" w:cs="Palatino Linotype"/>
          <w:b/>
          <w:sz w:val="24"/>
          <w:szCs w:val="24"/>
        </w:rPr>
        <w:t>SUJETO OBLIGADO</w:t>
      </w:r>
      <w:r w:rsidRPr="00065939">
        <w:rPr>
          <w:rFonts w:ascii="Palatino Linotype" w:eastAsia="Palatino Linotype" w:hAnsi="Palatino Linotype" w:cs="Palatino Linotype"/>
          <w:sz w:val="24"/>
          <w:szCs w:val="24"/>
        </w:rPr>
        <w:t xml:space="preserve"> remitió la respuesta a la solicitud de información el </w:t>
      </w:r>
      <w:r w:rsidR="00DB71F7" w:rsidRPr="00065939">
        <w:rPr>
          <w:rFonts w:ascii="Palatino Linotype" w:eastAsia="Palatino Linotype" w:hAnsi="Palatino Linotype" w:cs="Palatino Linotype"/>
          <w:b/>
          <w:sz w:val="24"/>
          <w:szCs w:val="24"/>
        </w:rPr>
        <w:t>nueve de agosto</w:t>
      </w:r>
      <w:r w:rsidRPr="00065939">
        <w:rPr>
          <w:rFonts w:ascii="Palatino Linotype" w:eastAsia="Palatino Linotype" w:hAnsi="Palatino Linotype" w:cs="Palatino Linotype"/>
          <w:b/>
          <w:sz w:val="24"/>
          <w:szCs w:val="24"/>
        </w:rPr>
        <w:t xml:space="preserve"> de dos mil veintidós</w:t>
      </w:r>
      <w:r w:rsidRPr="00065939">
        <w:rPr>
          <w:rFonts w:ascii="Palatino Linotype" w:eastAsia="Palatino Linotype" w:hAnsi="Palatino Linotype" w:cs="Palatino Linotype"/>
          <w:sz w:val="24"/>
          <w:szCs w:val="24"/>
        </w:rPr>
        <w:t xml:space="preserve">, </w:t>
      </w:r>
      <w:r w:rsidRPr="00065939">
        <w:rPr>
          <w:rFonts w:ascii="Palatino Linotype" w:eastAsia="Palatino Linotype" w:hAnsi="Palatino Linotype" w:cs="Palatino Linotype"/>
          <w:sz w:val="24"/>
          <w:szCs w:val="24"/>
        </w:rPr>
        <w:lastRenderedPageBreak/>
        <w:t xml:space="preserve">mientras que el recurso de revisión interpuesto por la parte </w:t>
      </w:r>
      <w:r w:rsidRPr="00065939">
        <w:rPr>
          <w:rFonts w:ascii="Palatino Linotype" w:eastAsia="Palatino Linotype" w:hAnsi="Palatino Linotype" w:cs="Palatino Linotype"/>
          <w:b/>
          <w:sz w:val="24"/>
          <w:szCs w:val="24"/>
        </w:rPr>
        <w:t xml:space="preserve">RECURRENTE </w:t>
      </w:r>
      <w:r w:rsidRPr="00065939">
        <w:rPr>
          <w:rFonts w:ascii="Palatino Linotype" w:eastAsia="Palatino Linotype" w:hAnsi="Palatino Linotype" w:cs="Palatino Linotype"/>
          <w:sz w:val="24"/>
          <w:szCs w:val="24"/>
        </w:rPr>
        <w:t xml:space="preserve">se tuvo por presentado el </w:t>
      </w:r>
      <w:r w:rsidR="00DB71F7" w:rsidRPr="00065939">
        <w:rPr>
          <w:rFonts w:ascii="Palatino Linotype" w:eastAsia="Palatino Linotype" w:hAnsi="Palatino Linotype" w:cs="Palatino Linotype"/>
          <w:b/>
          <w:sz w:val="24"/>
          <w:szCs w:val="24"/>
        </w:rPr>
        <w:t>diecinueve de agosto</w:t>
      </w:r>
      <w:r w:rsidRPr="00065939">
        <w:rPr>
          <w:rFonts w:ascii="Palatino Linotype" w:eastAsia="Palatino Linotype" w:hAnsi="Palatino Linotype" w:cs="Palatino Linotype"/>
          <w:b/>
          <w:sz w:val="24"/>
          <w:szCs w:val="24"/>
        </w:rPr>
        <w:t xml:space="preserve"> de dos mil veintidós</w:t>
      </w:r>
      <w:r w:rsidR="00DB71F7" w:rsidRPr="00065939">
        <w:rPr>
          <w:rFonts w:ascii="Palatino Linotype" w:eastAsia="Palatino Linotype" w:hAnsi="Palatino Linotype" w:cs="Palatino Linotype"/>
          <w:sz w:val="24"/>
          <w:szCs w:val="24"/>
        </w:rPr>
        <w:t>, esto es al octavo</w:t>
      </w:r>
      <w:r w:rsidRPr="00065939">
        <w:rPr>
          <w:rFonts w:ascii="Palatino Linotype" w:eastAsia="Palatino Linotype" w:hAnsi="Palatino Linotype" w:cs="Palatino Linotype"/>
          <w:sz w:val="24"/>
          <w:szCs w:val="24"/>
        </w:rPr>
        <w:t xml:space="preserve"> día en que se tuvo conocimiento de la respuesta. </w:t>
      </w:r>
    </w:p>
    <w:p w14:paraId="5F07CCD4"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4949D8E7"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065939">
        <w:rPr>
          <w:rFonts w:ascii="Palatino Linotype" w:eastAsia="Palatino Linotype" w:hAnsi="Palatino Linotype" w:cs="Palatino Linotype"/>
          <w:b/>
          <w:sz w:val="24"/>
          <w:szCs w:val="24"/>
        </w:rPr>
        <w:t>SUJETO OBLIGADO</w:t>
      </w:r>
      <w:r w:rsidRPr="00065939">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3112E15F"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3C5CCFFB" w14:textId="77777777" w:rsidR="00DB71F7" w:rsidRPr="00065939" w:rsidRDefault="00DB71F7" w:rsidP="00DB71F7">
      <w:pPr>
        <w:spacing w:after="0" w:line="360" w:lineRule="auto"/>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Es de suma importancia mencionar que si bien la parte proporcionó un seudónimo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A39B30" w14:textId="77777777" w:rsidR="00DB71F7" w:rsidRPr="00065939" w:rsidRDefault="00DB71F7" w:rsidP="00DB71F7">
      <w:pPr>
        <w:spacing w:after="0" w:line="360" w:lineRule="auto"/>
        <w:jc w:val="both"/>
        <w:rPr>
          <w:rFonts w:ascii="Palatino Linotype" w:eastAsia="Palatino Linotype" w:hAnsi="Palatino Linotype" w:cs="Palatino Linotype"/>
          <w:sz w:val="24"/>
          <w:szCs w:val="24"/>
        </w:rPr>
      </w:pPr>
    </w:p>
    <w:p w14:paraId="52855375" w14:textId="77777777" w:rsidR="00DB71F7" w:rsidRPr="00065939" w:rsidRDefault="00DB71F7" w:rsidP="00DB71F7">
      <w:pPr>
        <w:spacing w:after="0" w:line="276" w:lineRule="auto"/>
        <w:ind w:left="567" w:right="843"/>
        <w:jc w:val="both"/>
        <w:rPr>
          <w:rFonts w:ascii="Palatino Linotype" w:eastAsia="Palatino Linotype" w:hAnsi="Palatino Linotype" w:cs="Palatino Linotype"/>
          <w:i/>
          <w:szCs w:val="24"/>
        </w:rPr>
      </w:pPr>
      <w:r w:rsidRPr="00065939">
        <w:rPr>
          <w:rFonts w:ascii="Palatino Linotype" w:eastAsia="Palatino Linotype" w:hAnsi="Palatino Linotype" w:cs="Palatino Linotype"/>
          <w:i/>
          <w:szCs w:val="24"/>
        </w:rPr>
        <w:t xml:space="preserve">"Las solicitudes anónimas, con nombre incompleto o </w:t>
      </w:r>
      <w:r w:rsidRPr="00065939">
        <w:rPr>
          <w:rFonts w:ascii="Palatino Linotype" w:eastAsia="Palatino Linotype" w:hAnsi="Palatino Linotype" w:cs="Palatino Linotype"/>
          <w:b/>
          <w:i/>
          <w:szCs w:val="24"/>
          <w:u w:val="single"/>
        </w:rPr>
        <w:t>seudónimo</w:t>
      </w:r>
      <w:r w:rsidRPr="00065939">
        <w:rPr>
          <w:rFonts w:ascii="Palatino Linotype" w:eastAsia="Palatino Linotype" w:hAnsi="Palatino Linotype" w:cs="Palatino Linotype"/>
          <w:i/>
          <w:szCs w:val="24"/>
        </w:rPr>
        <w:t xml:space="preserve"> serán procedentes para su trámite por parte del sujeto obligado ante quien se presente. No podrá requerirse información adicional con motivo del nombre proporcionado por el solicitante."</w:t>
      </w:r>
    </w:p>
    <w:p w14:paraId="5FDF933B" w14:textId="77777777" w:rsidR="00DB71F7" w:rsidRPr="00065939" w:rsidRDefault="00DB71F7">
      <w:pPr>
        <w:spacing w:after="0" w:line="360" w:lineRule="auto"/>
        <w:ind w:right="49"/>
        <w:jc w:val="both"/>
        <w:rPr>
          <w:rFonts w:ascii="Palatino Linotype" w:eastAsia="Palatino Linotype" w:hAnsi="Palatino Linotype" w:cs="Palatino Linotype"/>
          <w:sz w:val="24"/>
          <w:szCs w:val="24"/>
        </w:rPr>
      </w:pPr>
    </w:p>
    <w:p w14:paraId="31B3F489" w14:textId="71E726D5"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065939">
        <w:rPr>
          <w:rFonts w:ascii="Palatino Linotype" w:eastAsia="Palatino Linotype" w:hAnsi="Palatino Linotype" w:cs="Palatino Linotype"/>
          <w:b/>
          <w:sz w:val="24"/>
          <w:szCs w:val="24"/>
        </w:rPr>
        <w:t>SAIMEX</w:t>
      </w:r>
      <w:r w:rsidRPr="00065939">
        <w:rPr>
          <w:rFonts w:ascii="Palatino Linotype" w:eastAsia="Palatino Linotype" w:hAnsi="Palatino Linotype" w:cs="Palatino Linotype"/>
          <w:sz w:val="24"/>
          <w:szCs w:val="24"/>
        </w:rPr>
        <w:t xml:space="preserve">.  </w:t>
      </w:r>
    </w:p>
    <w:p w14:paraId="5FB90515"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lastRenderedPageBreak/>
        <w:t>Finalmente, resulta procedente la interposición del recurso de revisión al rubro ano</w:t>
      </w:r>
      <w:r w:rsidR="00DB71F7" w:rsidRPr="00065939">
        <w:rPr>
          <w:rFonts w:ascii="Palatino Linotype" w:eastAsia="Palatino Linotype" w:hAnsi="Palatino Linotype" w:cs="Palatino Linotype"/>
          <w:sz w:val="24"/>
          <w:szCs w:val="24"/>
        </w:rPr>
        <w:t>tado, toda vez que se actualiza</w:t>
      </w:r>
      <w:r w:rsidRPr="00065939">
        <w:rPr>
          <w:rFonts w:ascii="Palatino Linotype" w:eastAsia="Palatino Linotype" w:hAnsi="Palatino Linotype" w:cs="Palatino Linotype"/>
          <w:sz w:val="24"/>
          <w:szCs w:val="24"/>
        </w:rPr>
        <w:t xml:space="preserve"> la h</w:t>
      </w:r>
      <w:r w:rsidR="00DB71F7" w:rsidRPr="00065939">
        <w:rPr>
          <w:rFonts w:ascii="Palatino Linotype" w:eastAsia="Palatino Linotype" w:hAnsi="Palatino Linotype" w:cs="Palatino Linotype"/>
          <w:sz w:val="24"/>
          <w:szCs w:val="24"/>
        </w:rPr>
        <w:t>ipótesis de procedencia prevista</w:t>
      </w:r>
      <w:r w:rsidRPr="00065939">
        <w:rPr>
          <w:rFonts w:ascii="Palatino Linotype" w:eastAsia="Palatino Linotype" w:hAnsi="Palatino Linotype" w:cs="Palatino Linotype"/>
          <w:sz w:val="24"/>
          <w:szCs w:val="24"/>
        </w:rPr>
        <w:t xml:space="preserve"> en e</w:t>
      </w:r>
      <w:r w:rsidR="00DB71F7" w:rsidRPr="00065939">
        <w:rPr>
          <w:rFonts w:ascii="Palatino Linotype" w:eastAsia="Palatino Linotype" w:hAnsi="Palatino Linotype" w:cs="Palatino Linotype"/>
          <w:sz w:val="24"/>
          <w:szCs w:val="24"/>
        </w:rPr>
        <w:t xml:space="preserve">l artículo 179, fracción </w:t>
      </w:r>
      <w:r w:rsidRPr="00065939">
        <w:rPr>
          <w:rFonts w:ascii="Palatino Linotype" w:eastAsia="Palatino Linotype" w:hAnsi="Palatino Linotype" w:cs="Palatino Linotype"/>
          <w:sz w:val="24"/>
          <w:szCs w:val="24"/>
        </w:rPr>
        <w:t>V de la Ley de la materia, que a la letra dice:</w:t>
      </w:r>
    </w:p>
    <w:p w14:paraId="5804E43F"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w:t>
      </w:r>
      <w:r w:rsidRPr="00065939">
        <w:rPr>
          <w:rFonts w:ascii="Palatino Linotype" w:eastAsia="Palatino Linotype" w:hAnsi="Palatino Linotype" w:cs="Palatino Linotype"/>
          <w:b/>
          <w:i/>
        </w:rPr>
        <w:t>Artículo 179.</w:t>
      </w:r>
      <w:r w:rsidRPr="00065939">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w:t>
      </w:r>
    </w:p>
    <w:p w14:paraId="2ABDC37A"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V. La entrega de información incompleta;” (Sic)</w:t>
      </w:r>
    </w:p>
    <w:p w14:paraId="4D00E215"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35EE1366"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Tercero. Materia de la revisión</w:t>
      </w:r>
      <w:r w:rsidRPr="00065939">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w:t>
      </w:r>
      <w:r w:rsidR="00DB71F7" w:rsidRPr="00065939">
        <w:rPr>
          <w:rFonts w:ascii="Palatino Linotype" w:eastAsia="Palatino Linotype" w:hAnsi="Palatino Linotype" w:cs="Palatino Linotype"/>
          <w:sz w:val="24"/>
          <w:szCs w:val="24"/>
        </w:rPr>
        <w:t xml:space="preserve"> en determinar, si se actualiza la hipótesis prevista en la fracción</w:t>
      </w:r>
      <w:r w:rsidRPr="00065939">
        <w:rPr>
          <w:rFonts w:ascii="Palatino Linotype" w:eastAsia="Palatino Linotype" w:hAnsi="Palatino Linotype" w:cs="Palatino Linotype"/>
          <w:sz w:val="24"/>
          <w:szCs w:val="24"/>
        </w:rPr>
        <w:t xml:space="preserve"> V del artículo 179 de la Ley en la materia. </w:t>
      </w:r>
    </w:p>
    <w:p w14:paraId="096B0CBF"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6AD4A2F2"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Cuarto.</w:t>
      </w:r>
      <w:r w:rsidRPr="00065939">
        <w:rPr>
          <w:rFonts w:ascii="Palatino Linotype" w:eastAsia="Palatino Linotype" w:hAnsi="Palatino Linotype" w:cs="Palatino Linotype"/>
          <w:sz w:val="24"/>
          <w:szCs w:val="24"/>
        </w:rPr>
        <w:t xml:space="preserve"> </w:t>
      </w:r>
      <w:r w:rsidRPr="00065939">
        <w:rPr>
          <w:rFonts w:ascii="Palatino Linotype" w:eastAsia="Palatino Linotype" w:hAnsi="Palatino Linotype" w:cs="Palatino Linotype"/>
          <w:b/>
          <w:sz w:val="24"/>
          <w:szCs w:val="24"/>
        </w:rPr>
        <w:t>Estudio de fondo del asunto.</w:t>
      </w:r>
      <w:r w:rsidRPr="00065939">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7C1A84" w14:textId="77777777" w:rsidR="00F8557D" w:rsidRPr="00065939" w:rsidRDefault="00F8557D">
      <w:pPr>
        <w:spacing w:after="0" w:line="276" w:lineRule="auto"/>
        <w:ind w:left="567" w:right="560"/>
        <w:jc w:val="both"/>
        <w:rPr>
          <w:rFonts w:ascii="Palatino Linotype" w:eastAsia="Palatino Linotype" w:hAnsi="Palatino Linotype" w:cs="Palatino Linotype"/>
          <w:i/>
        </w:rPr>
      </w:pPr>
    </w:p>
    <w:p w14:paraId="06123CDB"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b/>
          <w:i/>
        </w:rPr>
        <w:lastRenderedPageBreak/>
        <w:t>Artículo 1o.</w:t>
      </w:r>
      <w:r w:rsidRPr="00065939">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w:t>
      </w:r>
    </w:p>
    <w:p w14:paraId="75867AD6" w14:textId="77777777" w:rsidR="00F8557D" w:rsidRPr="00065939" w:rsidRDefault="00646B44">
      <w:pPr>
        <w:spacing w:after="0" w:line="276" w:lineRule="auto"/>
        <w:ind w:left="567" w:right="560"/>
        <w:jc w:val="both"/>
        <w:rPr>
          <w:rFonts w:ascii="Palatino Linotype" w:eastAsia="Palatino Linotype" w:hAnsi="Palatino Linotype" w:cs="Palatino Linotype"/>
          <w:b/>
          <w:i/>
        </w:rPr>
      </w:pPr>
      <w:r w:rsidRPr="00065939">
        <w:rPr>
          <w:rFonts w:ascii="Palatino Linotype" w:eastAsia="Palatino Linotype" w:hAnsi="Palatino Linotype" w:cs="Palatino Linotype"/>
          <w:b/>
          <w:i/>
        </w:rPr>
        <w:t>“Artículo 6o.</w:t>
      </w:r>
    </w:p>
    <w:p w14:paraId="43236C09"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w:t>
      </w:r>
    </w:p>
    <w:p w14:paraId="40F47EB2"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lastRenderedPageBreak/>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29A725F3"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0C67A7C8"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7F9C6896"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E6546E4"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w:t>
      </w:r>
      <w:r w:rsidRPr="00065939">
        <w:rPr>
          <w:rFonts w:ascii="Palatino Linotype" w:eastAsia="Palatino Linotype" w:hAnsi="Palatino Linotype" w:cs="Palatino Linotype"/>
          <w:b/>
          <w:i/>
        </w:rPr>
        <w:t>Artículo 4.</w:t>
      </w:r>
      <w:r w:rsidRPr="0006593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065939"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w:t>
      </w:r>
      <w:r w:rsidRPr="00065939">
        <w:rPr>
          <w:rFonts w:ascii="Palatino Linotype" w:eastAsia="Palatino Linotype" w:hAnsi="Palatino Linotype" w:cs="Palatino Linotype"/>
          <w:b/>
          <w:i/>
        </w:rPr>
        <w:t>Artículo 12.</w:t>
      </w:r>
      <w:r w:rsidRPr="0006593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27613A96"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Es decir, que el derecho de acceso a la información pública se satisface en aquellos casos en que se entregue documento en que conste la información requerida, toda vez </w:t>
      </w:r>
      <w:r w:rsidRPr="00065939">
        <w:rPr>
          <w:rFonts w:ascii="Palatino Linotype" w:eastAsia="Palatino Linotype" w:hAnsi="Palatino Linotype" w:cs="Palatino Linotype"/>
          <w:sz w:val="24"/>
          <w:szCs w:val="24"/>
        </w:rPr>
        <w:lastRenderedPageBreak/>
        <w:t>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8115B51"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2CE90F90" w14:textId="77777777" w:rsidR="00F8557D" w:rsidRPr="00065939" w:rsidRDefault="00646B44">
      <w:pPr>
        <w:spacing w:after="0" w:line="276" w:lineRule="auto"/>
        <w:ind w:left="567" w:right="560"/>
        <w:jc w:val="both"/>
        <w:rPr>
          <w:rFonts w:ascii="Palatino Linotype" w:eastAsia="Palatino Linotype" w:hAnsi="Palatino Linotype" w:cs="Palatino Linotype"/>
          <w:b/>
          <w:i/>
        </w:rPr>
      </w:pPr>
      <w:r w:rsidRPr="00065939">
        <w:rPr>
          <w:rFonts w:ascii="Palatino Linotype" w:eastAsia="Palatino Linotype" w:hAnsi="Palatino Linotype" w:cs="Palatino Linotype"/>
          <w:b/>
          <w:i/>
        </w:rPr>
        <w:t>Criterio 03/17</w:t>
      </w:r>
    </w:p>
    <w:p w14:paraId="0406D8B0"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b/>
          <w:i/>
        </w:rPr>
        <w:t xml:space="preserve">“NO EXISTE OBLIGACIÓN DE ELABORAR DOCUMENTOS AD HOC PARA ATENDER LAS SOLICITUDES DE ACCESO A LA INFORMACIÓN. </w:t>
      </w:r>
      <w:r w:rsidRPr="00065939">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065939" w:rsidRDefault="00F8557D">
      <w:pPr>
        <w:spacing w:after="0" w:line="360" w:lineRule="auto"/>
        <w:ind w:left="567" w:right="560"/>
        <w:jc w:val="both"/>
        <w:rPr>
          <w:rFonts w:ascii="Palatino Linotype" w:eastAsia="Palatino Linotype" w:hAnsi="Palatino Linotype" w:cs="Palatino Linotype"/>
          <w:b/>
          <w:i/>
          <w:sz w:val="24"/>
          <w:szCs w:val="24"/>
        </w:rPr>
      </w:pPr>
    </w:p>
    <w:p w14:paraId="257961DA"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ABB273"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7181AF"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6088E399"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E905A4A" w14:textId="77777777" w:rsidR="00F8557D" w:rsidRPr="00065939" w:rsidRDefault="00F8557D" w:rsidP="00DB71F7">
      <w:pPr>
        <w:spacing w:after="0" w:line="360" w:lineRule="auto"/>
        <w:ind w:left="567" w:right="560"/>
        <w:jc w:val="both"/>
        <w:rPr>
          <w:rFonts w:ascii="Palatino Linotype" w:eastAsia="Palatino Linotype" w:hAnsi="Palatino Linotype" w:cs="Palatino Linotype"/>
          <w:i/>
        </w:rPr>
      </w:pPr>
    </w:p>
    <w:p w14:paraId="02E4D6CD"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w:t>
      </w:r>
      <w:r w:rsidRPr="00065939">
        <w:rPr>
          <w:rFonts w:ascii="Palatino Linotype" w:eastAsia="Palatino Linotype" w:hAnsi="Palatino Linotype" w:cs="Palatino Linotype"/>
          <w:b/>
          <w:i/>
        </w:rPr>
        <w:t>Artículo 3.</w:t>
      </w:r>
      <w:r w:rsidRPr="00065939">
        <w:rPr>
          <w:rFonts w:ascii="Palatino Linotype" w:eastAsia="Palatino Linotype" w:hAnsi="Palatino Linotype" w:cs="Palatino Linotype"/>
          <w:i/>
        </w:rPr>
        <w:t xml:space="preserve"> Para los efectos de la presente Ley se entenderá por:</w:t>
      </w:r>
    </w:p>
    <w:p w14:paraId="20112B26"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w:t>
      </w:r>
    </w:p>
    <w:p w14:paraId="4DB11EE2"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b/>
          <w:i/>
        </w:rPr>
        <w:t>XI. Documento:</w:t>
      </w:r>
      <w:r w:rsidRPr="00065939">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EFA98EC"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96C56C"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065939" w:rsidRDefault="00646B44">
      <w:pPr>
        <w:spacing w:after="0" w:line="276" w:lineRule="auto"/>
        <w:ind w:left="567" w:right="560"/>
        <w:jc w:val="both"/>
        <w:rPr>
          <w:rFonts w:ascii="Palatino Linotype" w:eastAsia="Palatino Linotype" w:hAnsi="Palatino Linotype" w:cs="Palatino Linotype"/>
          <w:b/>
          <w:i/>
        </w:rPr>
      </w:pPr>
      <w:r w:rsidRPr="00065939">
        <w:rPr>
          <w:rFonts w:ascii="Palatino Linotype" w:eastAsia="Palatino Linotype" w:hAnsi="Palatino Linotype" w:cs="Palatino Linotype"/>
          <w:i/>
        </w:rPr>
        <w:t>“</w:t>
      </w:r>
      <w:r w:rsidRPr="00065939">
        <w:rPr>
          <w:rFonts w:ascii="Palatino Linotype" w:eastAsia="Palatino Linotype" w:hAnsi="Palatino Linotype" w:cs="Palatino Linotype"/>
          <w:b/>
          <w:i/>
        </w:rPr>
        <w:t>CRITERIO 0002-11</w:t>
      </w:r>
    </w:p>
    <w:p w14:paraId="5302D9BA"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06593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En consecuencia el acceso a la información se refiere a que se cumplan cualquiera de los siguientes tres supuestos:</w:t>
      </w:r>
    </w:p>
    <w:p w14:paraId="3666FA6F"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1)</w:t>
      </w:r>
      <w:r w:rsidRPr="00065939">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7A23F54"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2)</w:t>
      </w:r>
      <w:r w:rsidRPr="00065939">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6644C8A"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20D90780"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41018A46"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w:t>
      </w:r>
      <w:r w:rsidRPr="00065939">
        <w:rPr>
          <w:rFonts w:ascii="Palatino Linotype" w:eastAsia="Palatino Linotype" w:hAnsi="Palatino Linotype" w:cs="Palatino Linotype"/>
          <w:sz w:val="24"/>
          <w:szCs w:val="24"/>
        </w:rPr>
        <w:lastRenderedPageBreak/>
        <w:t>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732271EC"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0B796A6A"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De las actuaciones que integran el expediente electrónico, se procede al análisis de los agravios hechos valer por el R</w:t>
      </w:r>
      <w:r w:rsidR="00DB71F7" w:rsidRPr="00065939">
        <w:rPr>
          <w:rFonts w:ascii="Palatino Linotype" w:eastAsia="Palatino Linotype" w:hAnsi="Palatino Linotype" w:cs="Palatino Linotype"/>
          <w:sz w:val="24"/>
          <w:szCs w:val="24"/>
        </w:rPr>
        <w:t xml:space="preserve">ecurrente, relativos a </w:t>
      </w:r>
      <w:r w:rsidRPr="00065939">
        <w:rPr>
          <w:rFonts w:ascii="Palatino Linotype" w:eastAsia="Palatino Linotype" w:hAnsi="Palatino Linotype" w:cs="Palatino Linotype"/>
          <w:sz w:val="24"/>
          <w:szCs w:val="24"/>
        </w:rPr>
        <w:t xml:space="preserve">la entrega de información </w:t>
      </w:r>
      <w:r w:rsidR="00DB71F7" w:rsidRPr="00065939">
        <w:rPr>
          <w:rFonts w:ascii="Palatino Linotype" w:eastAsia="Palatino Linotype" w:hAnsi="Palatino Linotype" w:cs="Palatino Linotype"/>
          <w:sz w:val="24"/>
          <w:szCs w:val="24"/>
        </w:rPr>
        <w:t xml:space="preserve">incompleta, lo que actualiza la causal de procedencia prevista en la fracción </w:t>
      </w:r>
      <w:r w:rsidRPr="00065939">
        <w:rPr>
          <w:rFonts w:ascii="Palatino Linotype" w:eastAsia="Palatino Linotype" w:hAnsi="Palatino Linotype" w:cs="Palatino Linotype"/>
          <w:sz w:val="24"/>
          <w:szCs w:val="24"/>
        </w:rPr>
        <w:t xml:space="preserve">V del artículo 179 de la Ley de Transparencia y Acceso a la Información Pública del Estado de México y Municipios. </w:t>
      </w:r>
    </w:p>
    <w:p w14:paraId="4BF42BC4"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713FCE13"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37D1A0DE"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00154922" w14:textId="77777777" w:rsidR="00F8557D" w:rsidRPr="00065939" w:rsidRDefault="00DB71F7" w:rsidP="00DB71F7">
      <w:pPr>
        <w:numPr>
          <w:ilvl w:val="0"/>
          <w:numId w:val="5"/>
        </w:numPr>
        <w:pBdr>
          <w:top w:val="nil"/>
          <w:left w:val="nil"/>
          <w:bottom w:val="nil"/>
          <w:right w:val="nil"/>
          <w:between w:val="nil"/>
        </w:pBdr>
        <w:tabs>
          <w:tab w:val="left" w:pos="851"/>
          <w:tab w:val="left" w:pos="993"/>
        </w:tabs>
        <w:spacing w:after="0" w:line="360" w:lineRule="auto"/>
        <w:ind w:right="49"/>
        <w:jc w:val="both"/>
        <w:rPr>
          <w:rFonts w:ascii="Palatino Linotype" w:eastAsia="Palatino Linotype" w:hAnsi="Palatino Linotype" w:cs="Palatino Linotype"/>
          <w:b/>
        </w:rPr>
      </w:pPr>
      <w:r w:rsidRPr="00065939">
        <w:rPr>
          <w:rFonts w:ascii="Palatino Linotype" w:eastAsia="Palatino Linotype" w:hAnsi="Palatino Linotype" w:cs="Palatino Linotype"/>
          <w:b/>
        </w:rPr>
        <w:t>Nómina completa de la primera quincena de junio del ayuntamiento y del Sistema Municipal DIF de Tenancingo.</w:t>
      </w:r>
    </w:p>
    <w:p w14:paraId="4BA340B8" w14:textId="77777777" w:rsidR="00F8557D" w:rsidRPr="00065939" w:rsidRDefault="00646B44">
      <w:pPr>
        <w:pBdr>
          <w:top w:val="nil"/>
          <w:left w:val="nil"/>
          <w:bottom w:val="nil"/>
          <w:right w:val="nil"/>
          <w:between w:val="nil"/>
        </w:pBdr>
        <w:tabs>
          <w:tab w:val="left" w:pos="993"/>
        </w:tabs>
        <w:spacing w:after="0" w:line="360" w:lineRule="auto"/>
        <w:ind w:left="1287"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      </w:t>
      </w:r>
    </w:p>
    <w:p w14:paraId="6F2857E8" w14:textId="77777777" w:rsidR="00E2699F" w:rsidRPr="00065939" w:rsidRDefault="00E2699F" w:rsidP="00E2699F">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El Sujeto Obligado, en fecha cuatro de julio de dos mil veintidós, declinó parcialmente su competencia, refiriendo que, respecto a la nómina del Sistema Municipal DIF, el Particular podía solicitarla directamente ante esta dependencia, toda vez que era un sujeto obligado que podía recibir y atender las solicitudes de información. </w:t>
      </w:r>
    </w:p>
    <w:p w14:paraId="074E4E44" w14:textId="77777777" w:rsidR="00E2699F" w:rsidRPr="00065939" w:rsidRDefault="00E2699F" w:rsidP="00E2699F">
      <w:pPr>
        <w:spacing w:after="0" w:line="360" w:lineRule="auto"/>
        <w:ind w:right="49"/>
        <w:jc w:val="both"/>
        <w:rPr>
          <w:rFonts w:ascii="Palatino Linotype" w:eastAsia="Palatino Linotype" w:hAnsi="Palatino Linotype" w:cs="Palatino Linotype"/>
          <w:sz w:val="24"/>
          <w:szCs w:val="24"/>
        </w:rPr>
      </w:pPr>
    </w:p>
    <w:p w14:paraId="37A5F1B7" w14:textId="25E6EF0D" w:rsidR="00E2699F" w:rsidRPr="00065939" w:rsidRDefault="00E2699F" w:rsidP="00E2699F">
      <w:pPr>
        <w:spacing w:after="0" w:line="360" w:lineRule="auto"/>
        <w:ind w:right="49"/>
        <w:jc w:val="both"/>
        <w:rPr>
          <w:rFonts w:ascii="Palatino Linotype" w:eastAsia="Palatino Linotype" w:hAnsi="Palatino Linotype" w:cs="Palatino Linotype"/>
          <w:b/>
          <w:i/>
          <w:u w:val="single"/>
        </w:rPr>
      </w:pPr>
      <w:r w:rsidRPr="00065939">
        <w:rPr>
          <w:rFonts w:ascii="Palatino Linotype" w:eastAsia="Palatino Linotype" w:hAnsi="Palatino Linotype" w:cs="Palatino Linotype"/>
          <w:sz w:val="24"/>
          <w:szCs w:val="24"/>
        </w:rPr>
        <w:lastRenderedPageBreak/>
        <w:t xml:space="preserve">Posteriormente, el Ayuntamiento de Tenancingo en respuesta refirió que la información solicitada podía ser consultada en la siguiente liga electrónica </w:t>
      </w:r>
      <w:hyperlink r:id="rId9" w:anchor="-2ymPKxlWR7xZpGSr4dNmY6xTd8p31PY6ESV5K3CBzM" w:history="1">
        <w:r w:rsidR="00B63FC6" w:rsidRPr="00065939">
          <w:rPr>
            <w:rStyle w:val="Hipervnculo"/>
            <w:rFonts w:ascii="Palatino Linotype" w:eastAsia="Palatino Linotype" w:hAnsi="Palatino Linotype" w:cs="Palatino Linotype"/>
            <w:b/>
            <w:i/>
            <w:color w:val="auto"/>
          </w:rPr>
          <w:t>https://mega.nz/file/qnZSFBwJ#-2ymPKxlWR7xZpGSr4dNmY6xTd8p31PY6ESV5K3CBzM</w:t>
        </w:r>
      </w:hyperlink>
      <w:r w:rsidRPr="00065939">
        <w:rPr>
          <w:rFonts w:ascii="Palatino Linotype" w:eastAsia="Palatino Linotype" w:hAnsi="Palatino Linotype" w:cs="Palatino Linotype"/>
          <w:b/>
          <w:i/>
          <w:u w:val="single"/>
        </w:rPr>
        <w:t>”.</w:t>
      </w:r>
    </w:p>
    <w:p w14:paraId="29DE7621" w14:textId="7F5048C3" w:rsidR="00F8557D" w:rsidRPr="00065939" w:rsidRDefault="00B63FC6">
      <w:pPr>
        <w:spacing w:after="0" w:line="360" w:lineRule="auto"/>
        <w:ind w:right="49"/>
        <w:jc w:val="both"/>
        <w:rPr>
          <w:rFonts w:ascii="Palatino Linotype" w:eastAsia="Palatino Linotype" w:hAnsi="Palatino Linotype" w:cs="Palatino Linotype"/>
          <w:bCs/>
          <w:iCs/>
          <w:sz w:val="28"/>
          <w:szCs w:val="28"/>
        </w:rPr>
      </w:pPr>
      <w:r w:rsidRPr="00065939">
        <w:rPr>
          <w:rFonts w:ascii="Palatino Linotype" w:eastAsia="Palatino Linotype" w:hAnsi="Palatino Linotype" w:cs="Palatino Linotype"/>
          <w:bCs/>
          <w:iCs/>
          <w:sz w:val="24"/>
          <w:szCs w:val="24"/>
        </w:rPr>
        <w:t xml:space="preserve">Derivado de ello, el Particular se inconformó arguyendo que no se le había proporcionado la totalidad de la información solicitada, toda vez que no le mandaron la información del presidente ni de los regidores, es por lo que </w:t>
      </w:r>
      <w:r w:rsidR="00646B44" w:rsidRPr="00065939">
        <w:rPr>
          <w:rFonts w:ascii="Palatino Linotype" w:eastAsia="Palatino Linotype" w:hAnsi="Palatino Linotype" w:cs="Palatino Linotype"/>
          <w:sz w:val="24"/>
          <w:szCs w:val="24"/>
        </w:rPr>
        <w:t xml:space="preserve">resulta aplicable el criterio sostenido por el Poder Judicial de la Federación de rubro </w:t>
      </w:r>
      <w:r w:rsidR="00646B44" w:rsidRPr="00065939">
        <w:rPr>
          <w:rFonts w:ascii="Palatino Linotype" w:eastAsia="Palatino Linotype" w:hAnsi="Palatino Linotype" w:cs="Palatino Linotype"/>
          <w:b/>
          <w:sz w:val="24"/>
          <w:szCs w:val="24"/>
        </w:rPr>
        <w:t>ACTOS CONSENTIDOS TÁCITAMENTE</w:t>
      </w:r>
      <w:r w:rsidR="00646B44" w:rsidRPr="00065939">
        <w:rPr>
          <w:rFonts w:ascii="Palatino Linotype" w:eastAsia="Palatino Linotype" w:hAnsi="Palatino Linotype" w:cs="Palatino Linotype"/>
          <w:sz w:val="24"/>
          <w:szCs w:val="24"/>
        </w:rPr>
        <w:t>,</w:t>
      </w:r>
      <w:r w:rsidR="00646B44" w:rsidRPr="00065939">
        <w:rPr>
          <w:rFonts w:ascii="Palatino Linotype" w:eastAsia="Palatino Linotype" w:hAnsi="Palatino Linotype" w:cs="Palatino Linotype"/>
          <w:b/>
          <w:sz w:val="24"/>
          <w:szCs w:val="24"/>
        </w:rPr>
        <w:t xml:space="preserve"> </w:t>
      </w:r>
      <w:r w:rsidR="00646B44" w:rsidRPr="00065939">
        <w:rPr>
          <w:rFonts w:ascii="Palatino Linotype" w:eastAsia="Palatino Linotype" w:hAnsi="Palatino Linotype" w:cs="Palatino Linotype"/>
          <w:sz w:val="24"/>
          <w:szCs w:val="24"/>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666A46E" w14:textId="77777777" w:rsidR="00F8557D" w:rsidRPr="00065939" w:rsidRDefault="00F8557D" w:rsidP="00B63FC6">
      <w:pPr>
        <w:spacing w:after="0" w:line="480" w:lineRule="auto"/>
        <w:ind w:right="49"/>
        <w:jc w:val="both"/>
        <w:rPr>
          <w:rFonts w:ascii="Palatino Linotype" w:eastAsia="Palatino Linotype" w:hAnsi="Palatino Linotype" w:cs="Palatino Linotype"/>
          <w:sz w:val="24"/>
          <w:szCs w:val="24"/>
        </w:rPr>
      </w:pPr>
    </w:p>
    <w:p w14:paraId="3ABF0500" w14:textId="77777777" w:rsidR="00F8557D" w:rsidRPr="00065939" w:rsidRDefault="00646B44">
      <w:pPr>
        <w:spacing w:after="0" w:line="360" w:lineRule="auto"/>
        <w:ind w:right="49"/>
        <w:jc w:val="both"/>
        <w:rPr>
          <w:rFonts w:ascii="Palatino Linotype" w:eastAsia="Palatino Linotype" w:hAnsi="Palatino Linotype" w:cs="Palatino Linotype"/>
          <w:b/>
          <w:sz w:val="24"/>
          <w:szCs w:val="24"/>
        </w:rPr>
      </w:pPr>
      <w:r w:rsidRPr="00065939">
        <w:rPr>
          <w:rFonts w:ascii="Palatino Linotype" w:eastAsia="Palatino Linotype" w:hAnsi="Palatino Linotype" w:cs="Palatino Linotype"/>
          <w:sz w:val="24"/>
          <w:szCs w:val="24"/>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065939">
        <w:rPr>
          <w:rFonts w:ascii="Palatino Linotype" w:eastAsia="Palatino Linotype" w:hAnsi="Palatino Linotype" w:cs="Palatino Linotype"/>
          <w:b/>
          <w:sz w:val="24"/>
          <w:szCs w:val="24"/>
        </w:rPr>
        <w:t>quedaron firmes.</w:t>
      </w:r>
    </w:p>
    <w:p w14:paraId="4D2FA033" w14:textId="77777777" w:rsidR="00F8557D" w:rsidRPr="00065939" w:rsidRDefault="00F8557D">
      <w:pPr>
        <w:spacing w:after="0" w:line="360" w:lineRule="auto"/>
        <w:ind w:right="49"/>
        <w:jc w:val="both"/>
        <w:rPr>
          <w:rFonts w:ascii="Palatino Linotype" w:eastAsia="Palatino Linotype" w:hAnsi="Palatino Linotype" w:cs="Palatino Linotype"/>
          <w:sz w:val="28"/>
          <w:szCs w:val="28"/>
        </w:rPr>
      </w:pPr>
    </w:p>
    <w:p w14:paraId="37219E24"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lastRenderedPageBreak/>
        <w:t>Asimismo, resulta relevante traer a colación el Criterio 01/20, emitido por el Instituto Nacional de Transparencia, Acceso a la Información y Protección de Datos Personales, que establece lo siguiente:</w:t>
      </w:r>
    </w:p>
    <w:p w14:paraId="1FBCAE36"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24740D02"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w:t>
      </w:r>
      <w:r w:rsidRPr="00065939">
        <w:rPr>
          <w:rFonts w:ascii="Palatino Linotype" w:eastAsia="Palatino Linotype" w:hAnsi="Palatino Linotype" w:cs="Palatino Linotype"/>
          <w:b/>
          <w:i/>
        </w:rPr>
        <w:t>Actos consentidos tácitamente. Improcedencia de su análisis</w:t>
      </w:r>
      <w:r w:rsidRPr="00065939">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1323D2D5"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3CFC0ADD" w14:textId="250AEDA3" w:rsidR="0078543E"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Conforme al Criterio establecido, es improcedente entrar al análisis de las partes de la respuesta del Sujeto Obligado que no fueron impugnadas por el Recurrente; por lo que, en el presente caso, se tiene por consentida parcialmente la información proporcionada por el Ente Recurrido</w:t>
      </w:r>
      <w:r w:rsidR="00D80548" w:rsidRPr="00065939">
        <w:rPr>
          <w:rFonts w:ascii="Palatino Linotype" w:eastAsia="Palatino Linotype" w:hAnsi="Palatino Linotype" w:cs="Palatino Linotype"/>
          <w:sz w:val="24"/>
          <w:szCs w:val="24"/>
        </w:rPr>
        <w:t xml:space="preserve">, </w:t>
      </w:r>
      <w:r w:rsidR="00B16261" w:rsidRPr="00065939">
        <w:rPr>
          <w:rFonts w:ascii="Palatino Linotype" w:eastAsia="Palatino Linotype" w:hAnsi="Palatino Linotype" w:cs="Palatino Linotype"/>
          <w:b/>
          <w:bCs/>
          <w:sz w:val="24"/>
          <w:szCs w:val="24"/>
          <w:u w:val="single"/>
        </w:rPr>
        <w:t>relacionada</w:t>
      </w:r>
      <w:r w:rsidR="00D80548" w:rsidRPr="00065939">
        <w:rPr>
          <w:rFonts w:ascii="Palatino Linotype" w:eastAsia="Palatino Linotype" w:hAnsi="Palatino Linotype" w:cs="Palatino Linotype"/>
          <w:b/>
          <w:bCs/>
          <w:sz w:val="24"/>
          <w:szCs w:val="24"/>
          <w:u w:val="single"/>
        </w:rPr>
        <w:t xml:space="preserve"> con </w:t>
      </w:r>
      <w:r w:rsidR="00720498" w:rsidRPr="00065939">
        <w:rPr>
          <w:rFonts w:ascii="Palatino Linotype" w:eastAsia="Palatino Linotype" w:hAnsi="Palatino Linotype" w:cs="Palatino Linotype"/>
          <w:b/>
          <w:bCs/>
          <w:sz w:val="24"/>
          <w:szCs w:val="24"/>
          <w:u w:val="single"/>
        </w:rPr>
        <w:t xml:space="preserve">la incompetencia del Sujeto Obligado </w:t>
      </w:r>
      <w:r w:rsidR="00B16261" w:rsidRPr="00065939">
        <w:rPr>
          <w:rFonts w:ascii="Palatino Linotype" w:eastAsia="Palatino Linotype" w:hAnsi="Palatino Linotype" w:cs="Palatino Linotype"/>
          <w:b/>
          <w:bCs/>
          <w:sz w:val="24"/>
          <w:szCs w:val="24"/>
          <w:u w:val="single"/>
        </w:rPr>
        <w:t>respecto</w:t>
      </w:r>
      <w:r w:rsidR="00720498" w:rsidRPr="00065939">
        <w:rPr>
          <w:rFonts w:ascii="Palatino Linotype" w:eastAsia="Palatino Linotype" w:hAnsi="Palatino Linotype" w:cs="Palatino Linotype"/>
          <w:b/>
          <w:bCs/>
          <w:sz w:val="24"/>
          <w:szCs w:val="24"/>
          <w:u w:val="single"/>
        </w:rPr>
        <w:t xml:space="preserve"> al Sistema Municipal DIF, </w:t>
      </w:r>
      <w:r w:rsidR="00D80548" w:rsidRPr="00065939">
        <w:rPr>
          <w:rFonts w:ascii="Palatino Linotype" w:eastAsia="Palatino Linotype" w:hAnsi="Palatino Linotype" w:cs="Palatino Linotype"/>
          <w:b/>
          <w:bCs/>
          <w:sz w:val="24"/>
          <w:szCs w:val="24"/>
          <w:u w:val="single"/>
        </w:rPr>
        <w:t>el periodo</w:t>
      </w:r>
      <w:r w:rsidR="00720498" w:rsidRPr="00065939">
        <w:rPr>
          <w:rFonts w:ascii="Palatino Linotype" w:eastAsia="Palatino Linotype" w:hAnsi="Palatino Linotype" w:cs="Palatino Linotype"/>
          <w:b/>
          <w:bCs/>
          <w:sz w:val="24"/>
          <w:szCs w:val="24"/>
          <w:u w:val="single"/>
        </w:rPr>
        <w:t xml:space="preserve"> de los recibos de nómina que </w:t>
      </w:r>
      <w:r w:rsidR="00B16261" w:rsidRPr="00065939">
        <w:rPr>
          <w:rFonts w:ascii="Palatino Linotype" w:eastAsia="Palatino Linotype" w:hAnsi="Palatino Linotype" w:cs="Palatino Linotype"/>
          <w:b/>
          <w:bCs/>
          <w:sz w:val="24"/>
          <w:szCs w:val="24"/>
          <w:u w:val="single"/>
        </w:rPr>
        <w:t>envió,</w:t>
      </w:r>
      <w:r w:rsidR="00D80548" w:rsidRPr="00065939">
        <w:rPr>
          <w:rFonts w:ascii="Palatino Linotype" w:eastAsia="Palatino Linotype" w:hAnsi="Palatino Linotype" w:cs="Palatino Linotype"/>
          <w:b/>
          <w:bCs/>
          <w:sz w:val="24"/>
          <w:szCs w:val="24"/>
          <w:u w:val="single"/>
        </w:rPr>
        <w:t xml:space="preserve"> el tipo de documento q</w:t>
      </w:r>
      <w:r w:rsidR="00B16261" w:rsidRPr="00065939">
        <w:rPr>
          <w:rFonts w:ascii="Palatino Linotype" w:eastAsia="Palatino Linotype" w:hAnsi="Palatino Linotype" w:cs="Palatino Linotype"/>
          <w:b/>
          <w:bCs/>
          <w:sz w:val="24"/>
          <w:szCs w:val="24"/>
          <w:u w:val="single"/>
        </w:rPr>
        <w:t>ue se remitió</w:t>
      </w:r>
      <w:r w:rsidR="00D80548" w:rsidRPr="00065939">
        <w:rPr>
          <w:rFonts w:ascii="Palatino Linotype" w:eastAsia="Palatino Linotype" w:hAnsi="Palatino Linotype" w:cs="Palatino Linotype"/>
          <w:b/>
          <w:bCs/>
          <w:sz w:val="24"/>
          <w:szCs w:val="24"/>
          <w:u w:val="single"/>
        </w:rPr>
        <w:t xml:space="preserve">, </w:t>
      </w:r>
      <w:r w:rsidR="00B16261" w:rsidRPr="00065939">
        <w:rPr>
          <w:rFonts w:ascii="Palatino Linotype" w:eastAsia="Palatino Linotype" w:hAnsi="Palatino Linotype" w:cs="Palatino Linotype"/>
          <w:b/>
          <w:bCs/>
          <w:sz w:val="24"/>
          <w:szCs w:val="24"/>
          <w:u w:val="single"/>
        </w:rPr>
        <w:t>los datos que se clasificaron, así como,</w:t>
      </w:r>
      <w:r w:rsidR="00720498" w:rsidRPr="00065939">
        <w:rPr>
          <w:rFonts w:ascii="Palatino Linotype" w:eastAsia="Palatino Linotype" w:hAnsi="Palatino Linotype" w:cs="Palatino Linotype"/>
          <w:b/>
          <w:bCs/>
          <w:sz w:val="24"/>
          <w:szCs w:val="24"/>
          <w:u w:val="single"/>
        </w:rPr>
        <w:t xml:space="preserve"> </w:t>
      </w:r>
      <w:r w:rsidR="00D80548" w:rsidRPr="00065939">
        <w:rPr>
          <w:rFonts w:ascii="Palatino Linotype" w:eastAsia="Palatino Linotype" w:hAnsi="Palatino Linotype" w:cs="Palatino Linotype"/>
          <w:b/>
          <w:bCs/>
          <w:sz w:val="24"/>
          <w:szCs w:val="24"/>
          <w:u w:val="single"/>
        </w:rPr>
        <w:t>respecto de los servidores públicos de los que se le proporcionó información.</w:t>
      </w:r>
    </w:p>
    <w:p w14:paraId="1B62265A" w14:textId="3132DB3F" w:rsidR="008645E3" w:rsidRPr="00065939" w:rsidRDefault="008645E3">
      <w:pPr>
        <w:spacing w:after="0" w:line="360" w:lineRule="auto"/>
        <w:ind w:right="49"/>
        <w:jc w:val="both"/>
        <w:rPr>
          <w:rFonts w:ascii="Palatino Linotype" w:eastAsia="Palatino Linotype" w:hAnsi="Palatino Linotype" w:cs="Palatino Linotype"/>
          <w:sz w:val="24"/>
          <w:szCs w:val="24"/>
        </w:rPr>
      </w:pPr>
    </w:p>
    <w:p w14:paraId="57E413A7" w14:textId="000B5C78" w:rsidR="0078543E" w:rsidRPr="00065939" w:rsidRDefault="0078543E">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En ese orden de ideas, se colige que el Particular únicamente se inconformó porque no se le entregó información del Presidente Municipal ni de los Regidores, situación por la cual, el presente estudio únicamente versará sobre esos tópicos: </w:t>
      </w:r>
    </w:p>
    <w:p w14:paraId="487E00A8" w14:textId="24EC0F30" w:rsidR="0078543E" w:rsidRPr="00065939" w:rsidRDefault="0078543E">
      <w:pPr>
        <w:spacing w:after="0" w:line="360" w:lineRule="auto"/>
        <w:ind w:right="49"/>
        <w:jc w:val="both"/>
        <w:rPr>
          <w:rFonts w:ascii="Palatino Linotype" w:eastAsia="Palatino Linotype" w:hAnsi="Palatino Linotype" w:cs="Palatino Linotype"/>
          <w:sz w:val="24"/>
          <w:szCs w:val="24"/>
        </w:rPr>
      </w:pPr>
    </w:p>
    <w:p w14:paraId="0F0F7C55" w14:textId="2EB05D81" w:rsidR="0078543E" w:rsidRPr="00065939" w:rsidRDefault="0078543E">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De conformidad con el artículo 147 de la Constitución Política del Estado Libre y Soberano de México, los trabajadores al servicio del Estado, como los miembros de los Ayuntamientos, recibirán una remuneración adecuada e irrenunciable por el </w:t>
      </w:r>
      <w:r w:rsidRPr="00065939">
        <w:rPr>
          <w:rFonts w:ascii="Palatino Linotype" w:eastAsia="Palatino Linotype" w:hAnsi="Palatino Linotype" w:cs="Palatino Linotype"/>
          <w:sz w:val="24"/>
          <w:szCs w:val="24"/>
        </w:rPr>
        <w:lastRenderedPageBreak/>
        <w:t xml:space="preserve">desempeño de su empleo, cargo o comisión que será determinada en el presupuesto de egresos que corresponda. </w:t>
      </w:r>
    </w:p>
    <w:p w14:paraId="3EFFE57F" w14:textId="7A14057C" w:rsidR="0078543E" w:rsidRPr="00065939" w:rsidRDefault="0078543E">
      <w:pPr>
        <w:spacing w:after="0" w:line="360" w:lineRule="auto"/>
        <w:ind w:right="49"/>
        <w:jc w:val="both"/>
        <w:rPr>
          <w:rFonts w:ascii="Palatino Linotype" w:eastAsia="Palatino Linotype" w:hAnsi="Palatino Linotype" w:cs="Palatino Linotype"/>
          <w:sz w:val="24"/>
          <w:szCs w:val="24"/>
        </w:rPr>
      </w:pPr>
    </w:p>
    <w:p w14:paraId="6D2369C5" w14:textId="1E23DA6C" w:rsidR="0078543E" w:rsidRPr="00065939" w:rsidRDefault="0078543E">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w:t>
      </w:r>
      <w:r w:rsidR="00D80548" w:rsidRPr="00065939">
        <w:rPr>
          <w:rFonts w:ascii="Palatino Linotype" w:eastAsia="Palatino Linotype" w:hAnsi="Palatino Linotype" w:cs="Palatino Linotype"/>
          <w:sz w:val="24"/>
          <w:szCs w:val="24"/>
        </w:rPr>
        <w:t xml:space="preserve">prestaciones en especie y cualquier otra percepción o prestación que se entregue al servidor por su trabajo. </w:t>
      </w:r>
    </w:p>
    <w:p w14:paraId="607F1BE7" w14:textId="075E4F61" w:rsidR="00D80548" w:rsidRPr="00065939" w:rsidRDefault="00D80548">
      <w:pPr>
        <w:spacing w:after="0" w:line="360" w:lineRule="auto"/>
        <w:ind w:right="49"/>
        <w:jc w:val="both"/>
        <w:rPr>
          <w:rFonts w:ascii="Palatino Linotype" w:eastAsia="Palatino Linotype" w:hAnsi="Palatino Linotype" w:cs="Palatino Linotype"/>
          <w:sz w:val="24"/>
          <w:szCs w:val="24"/>
        </w:rPr>
      </w:pPr>
    </w:p>
    <w:p w14:paraId="1D9CB581" w14:textId="14AFF107" w:rsidR="00D80548" w:rsidRPr="00065939" w:rsidRDefault="00D80548" w:rsidP="00D80548">
      <w:pPr>
        <w:autoSpaceDE w:val="0"/>
        <w:autoSpaceDN w:val="0"/>
        <w:adjustRightInd w:val="0"/>
        <w:spacing w:line="360" w:lineRule="auto"/>
        <w:jc w:val="both"/>
        <w:rPr>
          <w:rFonts w:ascii="Palatino Linotype" w:hAnsi="Palatino Linotype" w:cs="Tahoma"/>
          <w:bCs/>
          <w:iCs/>
          <w:sz w:val="24"/>
          <w:szCs w:val="24"/>
        </w:rPr>
      </w:pPr>
      <w:r w:rsidRPr="00065939">
        <w:rPr>
          <w:rFonts w:ascii="Palatino Linotype" w:hAnsi="Palatino Linotype" w:cs="Tahoma"/>
          <w:bCs/>
          <w:iCs/>
          <w:sz w:val="24"/>
          <w:szCs w:val="24"/>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3CBE52A4" w14:textId="77777777" w:rsidR="00D80548" w:rsidRPr="00065939" w:rsidRDefault="00D80548" w:rsidP="00D80548">
      <w:pPr>
        <w:autoSpaceDE w:val="0"/>
        <w:autoSpaceDN w:val="0"/>
        <w:adjustRightInd w:val="0"/>
        <w:spacing w:after="0" w:line="360" w:lineRule="auto"/>
        <w:jc w:val="both"/>
        <w:rPr>
          <w:rFonts w:ascii="Palatino Linotype" w:hAnsi="Palatino Linotype" w:cs="Tahoma"/>
          <w:bCs/>
          <w:iCs/>
          <w:sz w:val="24"/>
          <w:szCs w:val="24"/>
        </w:rPr>
      </w:pPr>
    </w:p>
    <w:p w14:paraId="37D38F86" w14:textId="3FD75CC3" w:rsidR="00D80548" w:rsidRPr="00065939" w:rsidRDefault="00D80548" w:rsidP="00D80548">
      <w:pPr>
        <w:autoSpaceDE w:val="0"/>
        <w:autoSpaceDN w:val="0"/>
        <w:adjustRightInd w:val="0"/>
        <w:spacing w:after="0" w:line="360" w:lineRule="auto"/>
        <w:jc w:val="both"/>
        <w:rPr>
          <w:rFonts w:ascii="Palatino Linotype" w:hAnsi="Palatino Linotype" w:cs="Tahoma"/>
          <w:bCs/>
          <w:iCs/>
          <w:sz w:val="24"/>
          <w:szCs w:val="24"/>
          <w:lang w:val="es-ES"/>
        </w:rPr>
      </w:pPr>
      <w:r w:rsidRPr="00065939">
        <w:rPr>
          <w:rFonts w:ascii="Palatino Linotype" w:hAnsi="Palatino Linotype" w:cs="Tahoma"/>
          <w:bCs/>
          <w:iCs/>
          <w:sz w:val="24"/>
          <w:szCs w:val="24"/>
          <w:lang w:val="es-ES"/>
        </w:rPr>
        <w:t xml:space="preserve">En relación con nuestra materia,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440E84AC" w14:textId="77777777" w:rsidR="00D80548" w:rsidRPr="00065939" w:rsidRDefault="00D80548" w:rsidP="00D80548">
      <w:pPr>
        <w:autoSpaceDE w:val="0"/>
        <w:autoSpaceDN w:val="0"/>
        <w:adjustRightInd w:val="0"/>
        <w:spacing w:after="0" w:line="360" w:lineRule="auto"/>
        <w:jc w:val="both"/>
        <w:rPr>
          <w:rFonts w:ascii="Palatino Linotype" w:hAnsi="Palatino Linotype" w:cs="Tahoma"/>
          <w:bCs/>
          <w:iCs/>
          <w:sz w:val="24"/>
          <w:szCs w:val="24"/>
          <w:lang w:val="es-ES"/>
        </w:rPr>
      </w:pPr>
    </w:p>
    <w:p w14:paraId="0C7D9919" w14:textId="7C04A089" w:rsidR="00D80548" w:rsidRPr="00065939" w:rsidRDefault="00D80548" w:rsidP="00D80548">
      <w:pPr>
        <w:autoSpaceDE w:val="0"/>
        <w:autoSpaceDN w:val="0"/>
        <w:adjustRightInd w:val="0"/>
        <w:spacing w:after="0" w:line="276" w:lineRule="auto"/>
        <w:ind w:left="567" w:right="843"/>
        <w:jc w:val="center"/>
        <w:rPr>
          <w:rFonts w:ascii="Palatino Linotype" w:hAnsi="Palatino Linotype" w:cs="Tahoma"/>
          <w:b/>
          <w:i/>
          <w:lang w:val="es-ES"/>
        </w:rPr>
      </w:pPr>
      <w:r w:rsidRPr="00065939">
        <w:rPr>
          <w:rFonts w:ascii="Palatino Linotype" w:hAnsi="Palatino Linotype" w:cs="Tahoma"/>
          <w:b/>
          <w:i/>
          <w:lang w:val="es-ES"/>
        </w:rPr>
        <w:lastRenderedPageBreak/>
        <w:t>Ley General de Transparencia y Acceso a la Información Pública</w:t>
      </w:r>
    </w:p>
    <w:p w14:paraId="588F90BE" w14:textId="77777777" w:rsidR="00D80548" w:rsidRPr="00065939" w:rsidRDefault="00D80548" w:rsidP="00D80548">
      <w:pPr>
        <w:autoSpaceDE w:val="0"/>
        <w:autoSpaceDN w:val="0"/>
        <w:adjustRightInd w:val="0"/>
        <w:spacing w:after="0" w:line="276" w:lineRule="auto"/>
        <w:ind w:left="567" w:right="843"/>
        <w:jc w:val="both"/>
        <w:rPr>
          <w:rFonts w:ascii="Palatino Linotype" w:hAnsi="Palatino Linotype" w:cs="Tahoma"/>
          <w:bCs/>
          <w:i/>
        </w:rPr>
      </w:pPr>
    </w:p>
    <w:p w14:paraId="5172A40D" w14:textId="2F16D700" w:rsidR="00D80548" w:rsidRPr="00065939" w:rsidRDefault="00D80548" w:rsidP="00D80548">
      <w:pPr>
        <w:autoSpaceDE w:val="0"/>
        <w:autoSpaceDN w:val="0"/>
        <w:adjustRightInd w:val="0"/>
        <w:spacing w:after="0" w:line="276" w:lineRule="auto"/>
        <w:ind w:left="567" w:right="843"/>
        <w:jc w:val="both"/>
        <w:rPr>
          <w:rFonts w:ascii="Palatino Linotype" w:hAnsi="Palatino Linotype"/>
          <w:i/>
        </w:rPr>
      </w:pPr>
      <w:r w:rsidRPr="00065939">
        <w:rPr>
          <w:rFonts w:ascii="Palatino Linotype" w:hAnsi="Palatino Linotype"/>
          <w:b/>
          <w:bCs/>
          <w:i/>
        </w:rPr>
        <w:t>Artículo 70.</w:t>
      </w:r>
      <w:r w:rsidRPr="00065939">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A42D61F" w14:textId="0BC2E1EB" w:rsidR="00D80548" w:rsidRPr="00065939" w:rsidRDefault="00D80548" w:rsidP="00D80548">
      <w:pPr>
        <w:autoSpaceDE w:val="0"/>
        <w:autoSpaceDN w:val="0"/>
        <w:adjustRightInd w:val="0"/>
        <w:spacing w:after="0" w:line="276" w:lineRule="auto"/>
        <w:ind w:left="567" w:right="843"/>
        <w:jc w:val="both"/>
        <w:rPr>
          <w:rFonts w:ascii="Palatino Linotype" w:hAnsi="Palatino Linotype"/>
          <w:i/>
        </w:rPr>
      </w:pPr>
      <w:r w:rsidRPr="00065939">
        <w:rPr>
          <w:rFonts w:ascii="Palatino Linotype" w:hAnsi="Palatino Linotype"/>
          <w:i/>
        </w:rPr>
        <w:t>…</w:t>
      </w:r>
    </w:p>
    <w:p w14:paraId="4817E347" w14:textId="62E6D587" w:rsidR="00D80548" w:rsidRPr="00065939" w:rsidRDefault="00D80548" w:rsidP="00D80548">
      <w:pPr>
        <w:spacing w:after="0" w:line="276" w:lineRule="auto"/>
        <w:ind w:left="567" w:right="843"/>
        <w:jc w:val="both"/>
        <w:rPr>
          <w:rFonts w:ascii="Palatino Linotype" w:hAnsi="Palatino Linotype"/>
          <w:i/>
        </w:rPr>
      </w:pPr>
      <w:r w:rsidRPr="00065939">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C9A8671" w14:textId="38D0D18E" w:rsidR="00D80548" w:rsidRPr="00065939" w:rsidRDefault="00D80548" w:rsidP="00D80548">
      <w:pPr>
        <w:spacing w:after="0" w:line="276" w:lineRule="auto"/>
        <w:ind w:left="567" w:right="843"/>
        <w:jc w:val="both"/>
        <w:rPr>
          <w:rFonts w:ascii="Palatino Linotype" w:eastAsia="Palatino Linotype" w:hAnsi="Palatino Linotype" w:cs="Palatino Linotype"/>
          <w:i/>
        </w:rPr>
      </w:pPr>
      <w:r w:rsidRPr="00065939">
        <w:rPr>
          <w:rFonts w:ascii="Palatino Linotype" w:hAnsi="Palatino Linotype"/>
          <w:i/>
        </w:rPr>
        <w:t>…</w:t>
      </w:r>
    </w:p>
    <w:p w14:paraId="27C99D13" w14:textId="77777777" w:rsidR="0078543E" w:rsidRPr="00065939" w:rsidRDefault="0078543E" w:rsidP="00D80548">
      <w:pPr>
        <w:spacing w:after="0" w:line="276" w:lineRule="auto"/>
        <w:ind w:left="567" w:right="843"/>
        <w:jc w:val="both"/>
        <w:rPr>
          <w:rFonts w:ascii="Palatino Linotype" w:eastAsia="Palatino Linotype" w:hAnsi="Palatino Linotype" w:cs="Palatino Linotype"/>
          <w:i/>
        </w:rPr>
      </w:pPr>
    </w:p>
    <w:p w14:paraId="1E165E18" w14:textId="443747CA" w:rsidR="00F8557D" w:rsidRPr="00065939" w:rsidRDefault="0098482D" w:rsidP="0098482D">
      <w:pPr>
        <w:spacing w:after="0" w:line="276" w:lineRule="auto"/>
        <w:ind w:left="567" w:right="843"/>
        <w:jc w:val="center"/>
        <w:rPr>
          <w:rFonts w:ascii="Palatino Linotype" w:hAnsi="Palatino Linotype" w:cs="Tahoma"/>
          <w:b/>
          <w:i/>
          <w:sz w:val="24"/>
          <w:szCs w:val="24"/>
          <w:lang w:val="es-ES"/>
        </w:rPr>
      </w:pPr>
      <w:r w:rsidRPr="00065939">
        <w:rPr>
          <w:rFonts w:ascii="Palatino Linotype" w:hAnsi="Palatino Linotype" w:cs="Tahoma"/>
          <w:b/>
          <w:i/>
          <w:sz w:val="24"/>
          <w:szCs w:val="24"/>
          <w:lang w:val="es-ES"/>
        </w:rPr>
        <w:t>Ley de Transparencia y Acceso a la Información Pública del Estado de México y Municipios</w:t>
      </w:r>
    </w:p>
    <w:p w14:paraId="17C9DD7D" w14:textId="77777777" w:rsidR="0098482D" w:rsidRPr="00065939" w:rsidRDefault="0098482D" w:rsidP="0098482D">
      <w:pPr>
        <w:spacing w:after="0" w:line="276" w:lineRule="auto"/>
        <w:ind w:left="567" w:right="843"/>
        <w:jc w:val="both"/>
        <w:rPr>
          <w:rFonts w:ascii="Palatino Linotype" w:eastAsia="Palatino Linotype" w:hAnsi="Palatino Linotype" w:cs="Palatino Linotype"/>
          <w:i/>
          <w:sz w:val="24"/>
          <w:szCs w:val="24"/>
        </w:rPr>
      </w:pPr>
    </w:p>
    <w:p w14:paraId="5EAA5562" w14:textId="67F39804" w:rsidR="0078543E" w:rsidRPr="00065939" w:rsidRDefault="0098482D" w:rsidP="0098482D">
      <w:pPr>
        <w:spacing w:after="0" w:line="276" w:lineRule="auto"/>
        <w:ind w:left="567" w:right="843"/>
        <w:jc w:val="both"/>
        <w:rPr>
          <w:rFonts w:ascii="Palatino Linotype" w:eastAsia="Palatino Linotype" w:hAnsi="Palatino Linotype" w:cs="Palatino Linotype"/>
          <w:i/>
          <w:sz w:val="24"/>
          <w:szCs w:val="24"/>
        </w:rPr>
      </w:pPr>
      <w:r w:rsidRPr="00065939">
        <w:rPr>
          <w:rFonts w:ascii="Palatino Linotype" w:hAnsi="Palatino Linotype"/>
          <w:b/>
          <w:bCs/>
          <w:i/>
        </w:rPr>
        <w:t>Artículo 92.</w:t>
      </w:r>
      <w:r w:rsidRPr="00065939">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BCF6D42" w14:textId="136EA462" w:rsidR="0078543E" w:rsidRPr="00065939" w:rsidRDefault="0098482D" w:rsidP="0098482D">
      <w:pPr>
        <w:spacing w:after="0" w:line="276" w:lineRule="auto"/>
        <w:ind w:left="567" w:right="843"/>
        <w:jc w:val="both"/>
        <w:rPr>
          <w:rFonts w:ascii="Palatino Linotype" w:eastAsia="Palatino Linotype" w:hAnsi="Palatino Linotype" w:cs="Palatino Linotype"/>
          <w:i/>
          <w:sz w:val="24"/>
          <w:szCs w:val="24"/>
        </w:rPr>
      </w:pPr>
      <w:r w:rsidRPr="00065939">
        <w:rPr>
          <w:rFonts w:ascii="Palatino Linotype" w:eastAsia="Palatino Linotype" w:hAnsi="Palatino Linotype" w:cs="Palatino Linotype"/>
          <w:i/>
          <w:sz w:val="24"/>
          <w:szCs w:val="24"/>
        </w:rPr>
        <w:t>…</w:t>
      </w:r>
    </w:p>
    <w:p w14:paraId="09F89978" w14:textId="203B5952" w:rsidR="0078543E" w:rsidRPr="00065939" w:rsidRDefault="0098482D" w:rsidP="0098482D">
      <w:pPr>
        <w:spacing w:after="0" w:line="276" w:lineRule="auto"/>
        <w:ind w:left="567" w:right="843"/>
        <w:jc w:val="both"/>
        <w:rPr>
          <w:rFonts w:ascii="Palatino Linotype" w:eastAsia="Palatino Linotype" w:hAnsi="Palatino Linotype" w:cs="Palatino Linotype"/>
          <w:i/>
          <w:sz w:val="24"/>
          <w:szCs w:val="24"/>
        </w:rPr>
      </w:pPr>
      <w:r w:rsidRPr="00065939">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998DE17" w14:textId="228A6D01" w:rsidR="0078543E" w:rsidRPr="00065939" w:rsidRDefault="0098482D" w:rsidP="0098482D">
      <w:pPr>
        <w:spacing w:after="0" w:line="276" w:lineRule="auto"/>
        <w:ind w:left="567" w:right="843"/>
        <w:jc w:val="both"/>
        <w:rPr>
          <w:rFonts w:ascii="Palatino Linotype" w:eastAsia="Palatino Linotype" w:hAnsi="Palatino Linotype" w:cs="Palatino Linotype"/>
          <w:i/>
          <w:sz w:val="24"/>
          <w:szCs w:val="24"/>
        </w:rPr>
      </w:pPr>
      <w:r w:rsidRPr="00065939">
        <w:rPr>
          <w:rFonts w:ascii="Palatino Linotype" w:eastAsia="Palatino Linotype" w:hAnsi="Palatino Linotype" w:cs="Palatino Linotype"/>
          <w:i/>
          <w:sz w:val="24"/>
          <w:szCs w:val="24"/>
        </w:rPr>
        <w:t>…</w:t>
      </w:r>
    </w:p>
    <w:p w14:paraId="0460B17A" w14:textId="0C853937" w:rsidR="0098482D" w:rsidRPr="00065939" w:rsidRDefault="0098482D" w:rsidP="0098482D">
      <w:pPr>
        <w:spacing w:after="0" w:line="276" w:lineRule="auto"/>
        <w:ind w:right="843"/>
        <w:jc w:val="both"/>
        <w:rPr>
          <w:rFonts w:ascii="Palatino Linotype" w:eastAsia="Palatino Linotype" w:hAnsi="Palatino Linotype" w:cs="Palatino Linotype"/>
          <w:i/>
          <w:sz w:val="24"/>
          <w:szCs w:val="24"/>
        </w:rPr>
      </w:pPr>
    </w:p>
    <w:p w14:paraId="203113A5" w14:textId="77777777" w:rsidR="0098482D" w:rsidRPr="00065939" w:rsidRDefault="0098482D" w:rsidP="0098482D">
      <w:pPr>
        <w:autoSpaceDE w:val="0"/>
        <w:autoSpaceDN w:val="0"/>
        <w:adjustRightInd w:val="0"/>
        <w:spacing w:after="0" w:line="360" w:lineRule="auto"/>
        <w:jc w:val="both"/>
        <w:rPr>
          <w:rFonts w:ascii="Palatino Linotype" w:hAnsi="Palatino Linotype" w:cs="Tahoma"/>
          <w:bCs/>
          <w:iCs/>
          <w:sz w:val="24"/>
          <w:szCs w:val="24"/>
        </w:rPr>
      </w:pPr>
      <w:r w:rsidRPr="00065939">
        <w:rPr>
          <w:rFonts w:ascii="Palatino Linotype" w:hAnsi="Palatino Linotype" w:cs="Tahoma"/>
          <w:bCs/>
          <w:iCs/>
          <w:sz w:val="24"/>
          <w:szCs w:val="24"/>
        </w:rPr>
        <w:t xml:space="preserve">Por su parte, la Ley del Trabajo de los Servidores Públicos del Estado y Municipios, en su artículo 220 K, fracciones II y IV, establece que: </w:t>
      </w:r>
    </w:p>
    <w:p w14:paraId="397184FE" w14:textId="0AC1A643" w:rsidR="0098482D" w:rsidRPr="00065939" w:rsidRDefault="0098482D" w:rsidP="0098482D">
      <w:pPr>
        <w:autoSpaceDE w:val="0"/>
        <w:autoSpaceDN w:val="0"/>
        <w:adjustRightInd w:val="0"/>
        <w:spacing w:after="0" w:line="360" w:lineRule="auto"/>
        <w:jc w:val="both"/>
        <w:rPr>
          <w:rFonts w:ascii="Palatino Linotype" w:hAnsi="Palatino Linotype" w:cs="Tahoma"/>
          <w:bCs/>
          <w:iCs/>
          <w:sz w:val="24"/>
          <w:szCs w:val="24"/>
        </w:rPr>
      </w:pPr>
    </w:p>
    <w:p w14:paraId="4213FD6E" w14:textId="099C5E09" w:rsidR="0098482D" w:rsidRPr="00065939" w:rsidRDefault="0098482D" w:rsidP="0098482D">
      <w:pPr>
        <w:autoSpaceDE w:val="0"/>
        <w:autoSpaceDN w:val="0"/>
        <w:adjustRightInd w:val="0"/>
        <w:spacing w:after="0" w:line="276" w:lineRule="auto"/>
        <w:ind w:left="567" w:right="843"/>
        <w:jc w:val="both"/>
        <w:rPr>
          <w:rFonts w:ascii="Palatino Linotype" w:hAnsi="Palatino Linotype"/>
          <w:i/>
          <w:iCs/>
        </w:rPr>
      </w:pPr>
      <w:r w:rsidRPr="00065939">
        <w:rPr>
          <w:rFonts w:ascii="Palatino Linotype" w:hAnsi="Palatino Linotype"/>
          <w:b/>
          <w:bCs/>
          <w:i/>
          <w:iCs/>
        </w:rPr>
        <w:lastRenderedPageBreak/>
        <w:t>ARTÍCULO 220 K</w:t>
      </w:r>
      <w:r w:rsidRPr="00065939">
        <w:rPr>
          <w:rFonts w:ascii="Palatino Linotype" w:hAnsi="Palatino Linotype"/>
          <w:i/>
          <w:iCs/>
        </w:rPr>
        <w:t>.- La institución o dependencia pública tiene la obligación de conservar y exhibir en el proceso los documentos que a continuación se precisan:</w:t>
      </w:r>
    </w:p>
    <w:p w14:paraId="4ED04614" w14:textId="4D2BA553" w:rsidR="0098482D" w:rsidRPr="00065939" w:rsidRDefault="0098482D" w:rsidP="0098482D">
      <w:pPr>
        <w:autoSpaceDE w:val="0"/>
        <w:autoSpaceDN w:val="0"/>
        <w:adjustRightInd w:val="0"/>
        <w:spacing w:after="0" w:line="276" w:lineRule="auto"/>
        <w:ind w:left="567" w:right="843"/>
        <w:jc w:val="both"/>
        <w:rPr>
          <w:rFonts w:ascii="Palatino Linotype" w:hAnsi="Palatino Linotype"/>
          <w:i/>
          <w:iCs/>
        </w:rPr>
      </w:pPr>
      <w:r w:rsidRPr="00065939">
        <w:rPr>
          <w:rFonts w:ascii="Palatino Linotype" w:hAnsi="Palatino Linotype"/>
          <w:i/>
          <w:iCs/>
        </w:rPr>
        <w:t>…</w:t>
      </w:r>
    </w:p>
    <w:p w14:paraId="273B1FA2" w14:textId="2FE19698" w:rsidR="0098482D" w:rsidRPr="00065939" w:rsidRDefault="0098482D" w:rsidP="0098482D">
      <w:pPr>
        <w:autoSpaceDE w:val="0"/>
        <w:autoSpaceDN w:val="0"/>
        <w:adjustRightInd w:val="0"/>
        <w:spacing w:after="0" w:line="276" w:lineRule="auto"/>
        <w:ind w:left="567" w:right="843"/>
        <w:jc w:val="both"/>
        <w:rPr>
          <w:rFonts w:ascii="Palatino Linotype" w:hAnsi="Palatino Linotype" w:cs="Tahoma"/>
          <w:bCs/>
          <w:i/>
          <w:iCs/>
          <w:sz w:val="24"/>
          <w:szCs w:val="24"/>
        </w:rPr>
      </w:pPr>
      <w:r w:rsidRPr="00065939">
        <w:rPr>
          <w:rFonts w:ascii="Palatino Linotype" w:hAnsi="Palatino Linotype"/>
          <w:i/>
          <w:iCs/>
        </w:rPr>
        <w:t>II. Recibos de pagos de salarios o las constancias documentales del pago de salario cuando sea por depósito o mediante información electrónica;</w:t>
      </w:r>
    </w:p>
    <w:p w14:paraId="70F1E3EB" w14:textId="1FBB93A5" w:rsidR="0098482D" w:rsidRPr="00065939" w:rsidRDefault="0098482D" w:rsidP="0098482D">
      <w:pPr>
        <w:autoSpaceDE w:val="0"/>
        <w:autoSpaceDN w:val="0"/>
        <w:adjustRightInd w:val="0"/>
        <w:spacing w:after="0" w:line="276" w:lineRule="auto"/>
        <w:ind w:left="567" w:right="843"/>
        <w:jc w:val="both"/>
        <w:rPr>
          <w:rFonts w:ascii="Palatino Linotype" w:hAnsi="Palatino Linotype" w:cs="Tahoma"/>
          <w:bCs/>
          <w:i/>
          <w:iCs/>
          <w:sz w:val="24"/>
          <w:szCs w:val="24"/>
        </w:rPr>
      </w:pPr>
      <w:r w:rsidRPr="00065939">
        <w:rPr>
          <w:rFonts w:ascii="Palatino Linotype" w:hAnsi="Palatino Linotype" w:cs="Tahoma"/>
          <w:bCs/>
          <w:i/>
          <w:iCs/>
          <w:sz w:val="24"/>
          <w:szCs w:val="24"/>
        </w:rPr>
        <w:t>…</w:t>
      </w:r>
    </w:p>
    <w:p w14:paraId="7A1BD384" w14:textId="2F609B72" w:rsidR="0098482D" w:rsidRPr="00065939" w:rsidRDefault="0098482D" w:rsidP="0098482D">
      <w:pPr>
        <w:autoSpaceDE w:val="0"/>
        <w:autoSpaceDN w:val="0"/>
        <w:adjustRightInd w:val="0"/>
        <w:spacing w:after="0" w:line="276" w:lineRule="auto"/>
        <w:ind w:left="567" w:right="843"/>
        <w:jc w:val="both"/>
        <w:rPr>
          <w:rFonts w:ascii="Palatino Linotype" w:hAnsi="Palatino Linotype"/>
          <w:i/>
          <w:iCs/>
        </w:rPr>
      </w:pPr>
      <w:r w:rsidRPr="00065939">
        <w:rPr>
          <w:rFonts w:ascii="Palatino Linotype" w:hAnsi="Palatino Linotype"/>
          <w:i/>
          <w:iCs/>
        </w:rPr>
        <w:t xml:space="preserve">IV. Recibos o las constancias de </w:t>
      </w:r>
      <w:proofErr w:type="spellStart"/>
      <w:r w:rsidRPr="00065939">
        <w:rPr>
          <w:rFonts w:ascii="Palatino Linotype" w:hAnsi="Palatino Linotype"/>
          <w:i/>
          <w:iCs/>
        </w:rPr>
        <w:t>deposito</w:t>
      </w:r>
      <w:proofErr w:type="spellEnd"/>
      <w:r w:rsidRPr="00065939">
        <w:rPr>
          <w:rFonts w:ascii="Palatino Linotype" w:hAnsi="Palatino Linotype"/>
          <w:i/>
          <w:iCs/>
        </w:rPr>
        <w:t xml:space="preserve"> o del medio de información magnética o electrónica que sean utilizadas para el pago de salarios, prima vacacional, aguinaldo y demás prestaciones establecidas en la presente ley; </w:t>
      </w:r>
    </w:p>
    <w:p w14:paraId="28381EDC" w14:textId="38F3D162" w:rsidR="0098482D" w:rsidRPr="00065939" w:rsidRDefault="0098482D" w:rsidP="0098482D">
      <w:pPr>
        <w:autoSpaceDE w:val="0"/>
        <w:autoSpaceDN w:val="0"/>
        <w:adjustRightInd w:val="0"/>
        <w:spacing w:after="0" w:line="276" w:lineRule="auto"/>
        <w:ind w:left="567" w:right="843"/>
        <w:jc w:val="both"/>
        <w:rPr>
          <w:rFonts w:ascii="Palatino Linotype" w:hAnsi="Palatino Linotype" w:cs="Tahoma"/>
          <w:bCs/>
          <w:i/>
          <w:iCs/>
          <w:sz w:val="24"/>
          <w:szCs w:val="24"/>
        </w:rPr>
      </w:pPr>
      <w:r w:rsidRPr="00065939">
        <w:rPr>
          <w:rFonts w:ascii="Palatino Linotype" w:hAnsi="Palatino Linotype"/>
          <w:i/>
          <w:iCs/>
        </w:rPr>
        <w:t>…</w:t>
      </w:r>
    </w:p>
    <w:p w14:paraId="24B0EE1A" w14:textId="77777777" w:rsidR="0098482D" w:rsidRPr="00065939" w:rsidRDefault="0098482D" w:rsidP="0098482D">
      <w:pPr>
        <w:autoSpaceDE w:val="0"/>
        <w:autoSpaceDN w:val="0"/>
        <w:adjustRightInd w:val="0"/>
        <w:spacing w:after="0" w:line="360" w:lineRule="auto"/>
        <w:jc w:val="both"/>
        <w:rPr>
          <w:rFonts w:ascii="Palatino Linotype" w:hAnsi="Palatino Linotype" w:cs="Tahoma"/>
          <w:bCs/>
          <w:iCs/>
          <w:sz w:val="24"/>
          <w:szCs w:val="24"/>
        </w:rPr>
      </w:pPr>
    </w:p>
    <w:p w14:paraId="1E3A7182" w14:textId="6FF9B9E5" w:rsidR="0098482D" w:rsidRPr="00065939" w:rsidRDefault="0098482D" w:rsidP="0098482D">
      <w:pPr>
        <w:autoSpaceDE w:val="0"/>
        <w:autoSpaceDN w:val="0"/>
        <w:adjustRightInd w:val="0"/>
        <w:spacing w:after="0" w:line="360" w:lineRule="auto"/>
        <w:jc w:val="both"/>
        <w:rPr>
          <w:rFonts w:ascii="Palatino Linotype" w:hAnsi="Palatino Linotype" w:cs="Tahoma"/>
          <w:bCs/>
          <w:iCs/>
          <w:sz w:val="24"/>
          <w:szCs w:val="24"/>
          <w:lang w:val="es-ES"/>
        </w:rPr>
      </w:pPr>
      <w:r w:rsidRPr="00065939">
        <w:rPr>
          <w:rFonts w:ascii="Palatino Linotype" w:hAnsi="Palatino Linotype" w:cs="Tahoma"/>
          <w:bCs/>
          <w:iCs/>
          <w:sz w:val="24"/>
          <w:szCs w:val="24"/>
        </w:rPr>
        <w:t xml:space="preserve">Es decir, del precepto normativo se advierte que entre los documentos que tiene la obligación de conservar el Sujeto Obligado, se encuentran los </w:t>
      </w:r>
      <w:r w:rsidRPr="00065939">
        <w:rPr>
          <w:rFonts w:ascii="Palatino Linotype" w:hAnsi="Palatino Linotype" w:cs="Tahoma"/>
          <w:b/>
          <w:bCs/>
          <w:iCs/>
          <w:sz w:val="24"/>
          <w:szCs w:val="24"/>
        </w:rPr>
        <w:t>recibos de pago de salarios o las</w:t>
      </w:r>
      <w:r w:rsidRPr="00065939">
        <w:rPr>
          <w:rFonts w:ascii="Palatino Linotype" w:hAnsi="Palatino Linotype" w:cs="Tahoma"/>
          <w:bCs/>
          <w:iCs/>
          <w:sz w:val="24"/>
          <w:szCs w:val="24"/>
        </w:rPr>
        <w:t xml:space="preserve"> </w:t>
      </w:r>
      <w:r w:rsidRPr="00065939">
        <w:rPr>
          <w:rFonts w:ascii="Palatino Linotype" w:hAnsi="Palatino Linotype" w:cs="Tahoma"/>
          <w:b/>
          <w:bCs/>
          <w:iCs/>
          <w:sz w:val="24"/>
          <w:szCs w:val="24"/>
        </w:rPr>
        <w:t>constancias documentales del pago de sueldos</w:t>
      </w:r>
      <w:r w:rsidRPr="00065939">
        <w:rPr>
          <w:rFonts w:ascii="Palatino Linotype" w:hAnsi="Palatino Linotype" w:cs="Tahoma"/>
          <w:iCs/>
          <w:sz w:val="24"/>
          <w:szCs w:val="24"/>
        </w:rPr>
        <w:t>,</w:t>
      </w:r>
      <w:r w:rsidRPr="00065939">
        <w:rPr>
          <w:rFonts w:ascii="Palatino Linotype" w:hAnsi="Palatino Linotype" w:cs="Tahoma"/>
          <w:b/>
          <w:bCs/>
          <w:iCs/>
          <w:sz w:val="24"/>
          <w:szCs w:val="24"/>
        </w:rPr>
        <w:t xml:space="preserve"> </w:t>
      </w:r>
      <w:r w:rsidRPr="00065939">
        <w:rPr>
          <w:rFonts w:ascii="Palatino Linotype" w:hAnsi="Palatino Linotype" w:cs="Tahoma"/>
          <w:bCs/>
          <w:iCs/>
          <w:sz w:val="24"/>
          <w:szCs w:val="24"/>
        </w:rPr>
        <w:t xml:space="preserve">cuando sea por depósito o mediante información electrónica; así como los recibos o constancias de depósito o del medio de información magnética o electrónica que sean utilizadas para el pago de salarios, prima </w:t>
      </w:r>
      <w:r w:rsidRPr="00065939">
        <w:rPr>
          <w:rFonts w:ascii="Palatino Linotype" w:hAnsi="Palatino Linotype" w:cs="Tahoma"/>
          <w:bCs/>
          <w:iCs/>
          <w:sz w:val="24"/>
          <w:szCs w:val="24"/>
          <w:lang w:val="es-ES"/>
        </w:rPr>
        <w:t>vacacional, aguinaldo y demás prestaciones.</w:t>
      </w:r>
    </w:p>
    <w:p w14:paraId="6DF0A6AE" w14:textId="77777777" w:rsidR="0098482D" w:rsidRPr="00065939" w:rsidRDefault="0098482D" w:rsidP="0098482D">
      <w:pPr>
        <w:spacing w:after="0" w:line="276" w:lineRule="auto"/>
        <w:ind w:left="567" w:right="843"/>
        <w:jc w:val="both"/>
        <w:rPr>
          <w:rFonts w:ascii="Palatino Linotype" w:eastAsia="Palatino Linotype" w:hAnsi="Palatino Linotype" w:cs="Palatino Linotype"/>
          <w:i/>
          <w:sz w:val="24"/>
          <w:szCs w:val="24"/>
        </w:rPr>
      </w:pPr>
    </w:p>
    <w:p w14:paraId="228AFF54" w14:textId="229C2D2F" w:rsidR="00F8557D" w:rsidRPr="00065939" w:rsidRDefault="0098482D">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Ahora bien, en relación con el Manual General de Organización de Tenancingo, la Dirección de Administración tiene como objetivo, el diseño, aplicación, actualización y d</w:t>
      </w:r>
      <w:r w:rsidR="00886D95" w:rsidRPr="00065939">
        <w:rPr>
          <w:rFonts w:ascii="Palatino Linotype" w:eastAsia="Palatino Linotype" w:hAnsi="Palatino Linotype" w:cs="Palatino Linotype"/>
          <w:sz w:val="24"/>
          <w:szCs w:val="24"/>
        </w:rPr>
        <w:t xml:space="preserve">ifusión de las políticas y lineamientos para la contratación, control y pago de remuneraciones al personal, adquisición de bienes, contratación de servicios, asignación y uso de los bienes y servicios y la prestación de los servicios generales del ayuntamiento, para ello, se auxiliará de distintas subdirecciones </w:t>
      </w:r>
      <w:r w:rsidR="00C166B9" w:rsidRPr="00065939">
        <w:rPr>
          <w:rFonts w:ascii="Palatino Linotype" w:eastAsia="Palatino Linotype" w:hAnsi="Palatino Linotype" w:cs="Palatino Linotype"/>
          <w:sz w:val="24"/>
          <w:szCs w:val="24"/>
        </w:rPr>
        <w:t xml:space="preserve">como lo es la Subdirección de Recursos Humanos. </w:t>
      </w:r>
    </w:p>
    <w:p w14:paraId="3DC5F6BF" w14:textId="6E97E562" w:rsidR="00886D95" w:rsidRPr="00065939" w:rsidRDefault="00886D95">
      <w:pPr>
        <w:spacing w:after="0" w:line="360" w:lineRule="auto"/>
        <w:ind w:right="49"/>
        <w:jc w:val="both"/>
        <w:rPr>
          <w:rFonts w:ascii="Palatino Linotype" w:eastAsia="Palatino Linotype" w:hAnsi="Palatino Linotype" w:cs="Palatino Linotype"/>
          <w:sz w:val="24"/>
          <w:szCs w:val="24"/>
        </w:rPr>
      </w:pPr>
    </w:p>
    <w:p w14:paraId="5447E54C" w14:textId="68F69D21" w:rsidR="00886D95" w:rsidRPr="00065939" w:rsidRDefault="00886D95">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lastRenderedPageBreak/>
        <w:t>Asimismo,</w:t>
      </w:r>
      <w:r w:rsidR="00C166B9" w:rsidRPr="00065939">
        <w:rPr>
          <w:rFonts w:ascii="Palatino Linotype" w:eastAsia="Palatino Linotype" w:hAnsi="Palatino Linotype" w:cs="Palatino Linotype"/>
          <w:sz w:val="24"/>
          <w:szCs w:val="24"/>
        </w:rPr>
        <w:t xml:space="preserve"> es de mencionar que la Dirección de Administración,</w:t>
      </w:r>
      <w:r w:rsidRPr="00065939">
        <w:rPr>
          <w:rFonts w:ascii="Palatino Linotype" w:eastAsia="Palatino Linotype" w:hAnsi="Palatino Linotype" w:cs="Palatino Linotype"/>
          <w:sz w:val="24"/>
          <w:szCs w:val="24"/>
        </w:rPr>
        <w:t xml:space="preserve"> tiene dentro de sus funciones, las siguientes: </w:t>
      </w:r>
    </w:p>
    <w:p w14:paraId="5B778B79" w14:textId="142E7567" w:rsidR="00886D95" w:rsidRPr="00065939" w:rsidRDefault="00886D95">
      <w:pPr>
        <w:spacing w:after="0" w:line="360" w:lineRule="auto"/>
        <w:ind w:right="49"/>
        <w:jc w:val="both"/>
        <w:rPr>
          <w:rFonts w:ascii="Palatino Linotype" w:eastAsia="Palatino Linotype" w:hAnsi="Palatino Linotype" w:cs="Palatino Linotype"/>
          <w:sz w:val="24"/>
          <w:szCs w:val="24"/>
        </w:rPr>
      </w:pPr>
    </w:p>
    <w:p w14:paraId="555ABF17" w14:textId="2DAA0F8D" w:rsidR="00886D95" w:rsidRPr="00065939" w:rsidRDefault="00886D95" w:rsidP="008E6C40">
      <w:pPr>
        <w:spacing w:after="0" w:line="276" w:lineRule="auto"/>
        <w:ind w:left="567" w:right="843"/>
        <w:jc w:val="both"/>
        <w:rPr>
          <w:rFonts w:ascii="Palatino Linotype" w:eastAsia="Palatino Linotype" w:hAnsi="Palatino Linotype" w:cs="Palatino Linotype"/>
          <w:i/>
          <w:iCs/>
        </w:rPr>
      </w:pPr>
      <w:r w:rsidRPr="00065939">
        <w:rPr>
          <w:rFonts w:ascii="Palatino Linotype" w:eastAsia="Palatino Linotype" w:hAnsi="Palatino Linotype" w:cs="Palatino Linotype"/>
          <w:i/>
          <w:iCs/>
        </w:rPr>
        <w:t>Dirección de Administración</w:t>
      </w:r>
    </w:p>
    <w:p w14:paraId="7023569B" w14:textId="6147AED5" w:rsidR="00886D95" w:rsidRPr="00065939" w:rsidRDefault="00886D95" w:rsidP="008E6C40">
      <w:pPr>
        <w:spacing w:after="0" w:line="276" w:lineRule="auto"/>
        <w:ind w:left="567" w:right="843"/>
        <w:jc w:val="both"/>
        <w:rPr>
          <w:rFonts w:ascii="Palatino Linotype" w:eastAsia="Palatino Linotype" w:hAnsi="Palatino Linotype" w:cs="Palatino Linotype"/>
          <w:i/>
          <w:iCs/>
        </w:rPr>
      </w:pPr>
      <w:r w:rsidRPr="00065939">
        <w:rPr>
          <w:rFonts w:ascii="Palatino Linotype" w:eastAsia="Palatino Linotype" w:hAnsi="Palatino Linotype" w:cs="Palatino Linotype"/>
          <w:i/>
          <w:iCs/>
        </w:rPr>
        <w:t>…</w:t>
      </w:r>
    </w:p>
    <w:p w14:paraId="160AFAB2" w14:textId="0478846B" w:rsidR="00886D95" w:rsidRPr="00065939" w:rsidRDefault="00886D95" w:rsidP="008E6C40">
      <w:pPr>
        <w:spacing w:after="0" w:line="276" w:lineRule="auto"/>
        <w:ind w:left="567" w:right="843"/>
        <w:jc w:val="both"/>
        <w:rPr>
          <w:rFonts w:ascii="Palatino Linotype" w:hAnsi="Palatino Linotype"/>
          <w:i/>
          <w:iCs/>
        </w:rPr>
      </w:pPr>
      <w:r w:rsidRPr="00065939">
        <w:rPr>
          <w:rFonts w:ascii="Palatino Linotype" w:hAnsi="Palatino Linotype"/>
          <w:i/>
          <w:iCs/>
        </w:rPr>
        <w:t>4. Elaborar la nómina para el pago al personal que labora en la administración pública municipal, apegándose al presupuesto y normatividad aplicable en la materia;</w:t>
      </w:r>
    </w:p>
    <w:p w14:paraId="1E7C9E71" w14:textId="06521CC4" w:rsidR="00886D95" w:rsidRPr="00065939" w:rsidRDefault="00886D95" w:rsidP="008E6C40">
      <w:pPr>
        <w:spacing w:after="0" w:line="276" w:lineRule="auto"/>
        <w:ind w:left="567" w:right="843"/>
        <w:jc w:val="both"/>
        <w:rPr>
          <w:rFonts w:ascii="Palatino Linotype" w:eastAsia="Palatino Linotype" w:hAnsi="Palatino Linotype" w:cs="Palatino Linotype"/>
          <w:i/>
          <w:iCs/>
        </w:rPr>
      </w:pPr>
      <w:r w:rsidRPr="00065939">
        <w:rPr>
          <w:rFonts w:ascii="Palatino Linotype" w:hAnsi="Palatino Linotype"/>
          <w:i/>
          <w:iCs/>
        </w:rPr>
        <w:t>…</w:t>
      </w:r>
    </w:p>
    <w:p w14:paraId="688F3F69" w14:textId="57F6E7DC" w:rsidR="0098482D" w:rsidRPr="00065939" w:rsidRDefault="0098482D" w:rsidP="008E6C40">
      <w:pPr>
        <w:spacing w:after="0" w:line="276" w:lineRule="auto"/>
        <w:ind w:left="567" w:right="843"/>
        <w:jc w:val="both"/>
        <w:rPr>
          <w:rFonts w:ascii="Palatino Linotype" w:eastAsia="Palatino Linotype" w:hAnsi="Palatino Linotype" w:cs="Palatino Linotype"/>
          <w:i/>
          <w:iCs/>
        </w:rPr>
      </w:pPr>
    </w:p>
    <w:p w14:paraId="3629B9D7" w14:textId="396963EE" w:rsidR="00C166B9" w:rsidRPr="00065939" w:rsidRDefault="00C166B9">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Por otro lado, la Subdirección de Recursos Humanos, tendrá encomendado lo siguiente: </w:t>
      </w:r>
    </w:p>
    <w:p w14:paraId="1B2B7888" w14:textId="18CA349B" w:rsidR="008E6C40" w:rsidRPr="00065939" w:rsidRDefault="008E6C40">
      <w:pPr>
        <w:spacing w:after="0" w:line="360" w:lineRule="auto"/>
        <w:ind w:right="49"/>
        <w:jc w:val="both"/>
        <w:rPr>
          <w:rFonts w:ascii="Palatino Linotype" w:eastAsia="Palatino Linotype" w:hAnsi="Palatino Linotype" w:cs="Palatino Linotype"/>
          <w:b/>
          <w:bCs/>
          <w:sz w:val="24"/>
          <w:szCs w:val="24"/>
        </w:rPr>
      </w:pPr>
    </w:p>
    <w:p w14:paraId="2050D2E9" w14:textId="57B7FBC0" w:rsidR="008E6C40" w:rsidRPr="00065939" w:rsidRDefault="008E6C40" w:rsidP="008E6C40">
      <w:pPr>
        <w:spacing w:after="0" w:line="276" w:lineRule="auto"/>
        <w:ind w:left="567" w:right="49"/>
        <w:jc w:val="both"/>
        <w:rPr>
          <w:rFonts w:ascii="Palatino Linotype" w:eastAsia="Palatino Linotype" w:hAnsi="Palatino Linotype" w:cs="Palatino Linotype"/>
          <w:i/>
          <w:iCs/>
        </w:rPr>
      </w:pPr>
      <w:r w:rsidRPr="00065939">
        <w:rPr>
          <w:rFonts w:ascii="Palatino Linotype" w:eastAsia="Palatino Linotype" w:hAnsi="Palatino Linotype" w:cs="Palatino Linotype"/>
          <w:i/>
          <w:iCs/>
        </w:rPr>
        <w:t>Subdirección de Recursos Humanos</w:t>
      </w:r>
    </w:p>
    <w:p w14:paraId="3948DD38" w14:textId="67A27714" w:rsidR="00C166B9" w:rsidRPr="00065939" w:rsidRDefault="00C166B9" w:rsidP="008E6C40">
      <w:pPr>
        <w:spacing w:after="0" w:line="276" w:lineRule="auto"/>
        <w:ind w:left="567" w:right="843"/>
        <w:jc w:val="both"/>
        <w:rPr>
          <w:rFonts w:ascii="Palatino Linotype" w:eastAsia="Palatino Linotype" w:hAnsi="Palatino Linotype" w:cs="Palatino Linotype"/>
          <w:i/>
          <w:iCs/>
        </w:rPr>
      </w:pPr>
      <w:r w:rsidRPr="00065939">
        <w:rPr>
          <w:rFonts w:ascii="Palatino Linotype" w:eastAsia="Palatino Linotype" w:hAnsi="Palatino Linotype" w:cs="Palatino Linotype"/>
          <w:i/>
          <w:iCs/>
        </w:rPr>
        <w:t>…</w:t>
      </w:r>
    </w:p>
    <w:p w14:paraId="55F40AE6" w14:textId="5EBF2BA1" w:rsidR="00C166B9" w:rsidRPr="00065939" w:rsidRDefault="00C166B9" w:rsidP="008E6C40">
      <w:pPr>
        <w:spacing w:after="0" w:line="276" w:lineRule="auto"/>
        <w:ind w:left="567" w:right="843"/>
        <w:jc w:val="both"/>
        <w:rPr>
          <w:rFonts w:ascii="Palatino Linotype" w:hAnsi="Palatino Linotype"/>
          <w:i/>
          <w:iCs/>
        </w:rPr>
      </w:pPr>
      <w:r w:rsidRPr="00065939">
        <w:rPr>
          <w:rFonts w:ascii="Palatino Linotype" w:hAnsi="Palatino Linotype"/>
          <w:i/>
          <w:iCs/>
        </w:rPr>
        <w:t>5. Elaborar y distribuir oportunamente la nómina para el pago al personal que labora en el Ayuntamiento, apegándose al presupuesto autorizado y descontar la percepción económica correspondiente cuando exista orden de autoridad competente;</w:t>
      </w:r>
    </w:p>
    <w:p w14:paraId="66F9B8DF" w14:textId="1A4C9F62" w:rsidR="00C166B9" w:rsidRPr="00065939" w:rsidRDefault="00C166B9" w:rsidP="008E6C40">
      <w:pPr>
        <w:spacing w:after="0" w:line="276" w:lineRule="auto"/>
        <w:ind w:left="567" w:right="843"/>
        <w:jc w:val="both"/>
        <w:rPr>
          <w:rFonts w:ascii="Palatino Linotype" w:eastAsia="Palatino Linotype" w:hAnsi="Palatino Linotype" w:cs="Palatino Linotype"/>
          <w:i/>
          <w:iCs/>
        </w:rPr>
      </w:pPr>
      <w:r w:rsidRPr="00065939">
        <w:rPr>
          <w:rFonts w:ascii="Palatino Linotype" w:hAnsi="Palatino Linotype"/>
          <w:i/>
          <w:iCs/>
        </w:rPr>
        <w:t>…</w:t>
      </w:r>
    </w:p>
    <w:p w14:paraId="417D8653" w14:textId="77777777" w:rsidR="00C166B9" w:rsidRPr="00065939" w:rsidRDefault="00C166B9">
      <w:pPr>
        <w:spacing w:after="0" w:line="360" w:lineRule="auto"/>
        <w:ind w:right="49"/>
        <w:jc w:val="both"/>
        <w:rPr>
          <w:rFonts w:ascii="Palatino Linotype" w:eastAsia="Palatino Linotype" w:hAnsi="Palatino Linotype" w:cs="Palatino Linotype"/>
          <w:sz w:val="24"/>
          <w:szCs w:val="24"/>
        </w:rPr>
      </w:pPr>
    </w:p>
    <w:p w14:paraId="5D5730A8" w14:textId="744F4C28" w:rsidR="003355E2" w:rsidRPr="00065939" w:rsidRDefault="00A23CC3">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Por último, es de precisar que, en relación con la información relacionada con los servidores públicos de los que se agravia el Recurrente, el Bando Municipal de Tenancingo señala que la administración se integrará por un Presidente Municipal y siete Regidores, como se muestra: </w:t>
      </w:r>
    </w:p>
    <w:p w14:paraId="212980F6" w14:textId="77777777" w:rsidR="003355E2" w:rsidRPr="00065939" w:rsidRDefault="003355E2" w:rsidP="003355E2">
      <w:pPr>
        <w:spacing w:after="0" w:line="360" w:lineRule="auto"/>
        <w:ind w:right="49"/>
        <w:jc w:val="center"/>
        <w:rPr>
          <w:rFonts w:ascii="Palatino Linotype" w:eastAsia="Palatino Linotype" w:hAnsi="Palatino Linotype" w:cs="Palatino Linotype"/>
          <w:sz w:val="24"/>
          <w:szCs w:val="24"/>
        </w:rPr>
      </w:pPr>
    </w:p>
    <w:p w14:paraId="5E85BDA0" w14:textId="738B808C" w:rsidR="00A23CC3" w:rsidRPr="00065939" w:rsidRDefault="003355E2" w:rsidP="003355E2">
      <w:pPr>
        <w:spacing w:after="0" w:line="360" w:lineRule="auto"/>
        <w:ind w:right="49"/>
        <w:jc w:val="center"/>
        <w:rPr>
          <w:rFonts w:ascii="Palatino Linotype" w:eastAsia="Palatino Linotype" w:hAnsi="Palatino Linotype" w:cs="Palatino Linotype"/>
          <w:sz w:val="24"/>
          <w:szCs w:val="24"/>
        </w:rPr>
      </w:pPr>
      <w:r w:rsidRPr="00065939">
        <w:rPr>
          <w:rFonts w:ascii="Palatino Linotype" w:eastAsia="Palatino Linotype" w:hAnsi="Palatino Linotype" w:cs="Palatino Linotype"/>
          <w:noProof/>
          <w:sz w:val="24"/>
          <w:szCs w:val="24"/>
        </w:rPr>
        <w:drawing>
          <wp:inline distT="0" distB="0" distL="0" distR="0" wp14:anchorId="4D906B95" wp14:editId="387C1476">
            <wp:extent cx="4658375" cy="771633"/>
            <wp:effectExtent l="0" t="0" r="0" b="9525"/>
            <wp:docPr id="8" name="Imagen 8"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exto&#10;&#10;Descripción generada automáticamente con confianza media"/>
                    <pic:cNvPicPr/>
                  </pic:nvPicPr>
                  <pic:blipFill>
                    <a:blip r:embed="rId10"/>
                    <a:stretch>
                      <a:fillRect/>
                    </a:stretch>
                  </pic:blipFill>
                  <pic:spPr>
                    <a:xfrm>
                      <a:off x="0" y="0"/>
                      <a:ext cx="4658375" cy="771633"/>
                    </a:xfrm>
                    <a:prstGeom prst="rect">
                      <a:avLst/>
                    </a:prstGeom>
                  </pic:spPr>
                </pic:pic>
              </a:graphicData>
            </a:graphic>
          </wp:inline>
        </w:drawing>
      </w:r>
    </w:p>
    <w:p w14:paraId="66BF3245" w14:textId="2C2F13F3" w:rsidR="00A23CC3" w:rsidRPr="00065939" w:rsidRDefault="00A23CC3" w:rsidP="00A23CC3">
      <w:pPr>
        <w:spacing w:after="0" w:line="360" w:lineRule="auto"/>
        <w:ind w:right="49"/>
        <w:jc w:val="center"/>
        <w:rPr>
          <w:rFonts w:ascii="Palatino Linotype" w:eastAsia="Palatino Linotype" w:hAnsi="Palatino Linotype" w:cs="Palatino Linotype"/>
          <w:sz w:val="24"/>
          <w:szCs w:val="24"/>
        </w:rPr>
      </w:pPr>
      <w:r w:rsidRPr="00065939">
        <w:rPr>
          <w:rFonts w:ascii="Palatino Linotype" w:eastAsia="Palatino Linotype" w:hAnsi="Palatino Linotype" w:cs="Palatino Linotype"/>
          <w:noProof/>
          <w:sz w:val="24"/>
          <w:szCs w:val="24"/>
        </w:rPr>
        <w:lastRenderedPageBreak/>
        <w:drawing>
          <wp:inline distT="0" distB="0" distL="0" distR="0" wp14:anchorId="251D0EDF" wp14:editId="3883BBF4">
            <wp:extent cx="3971924" cy="2857500"/>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11"/>
                    <a:srcRect b="12281"/>
                    <a:stretch/>
                  </pic:blipFill>
                  <pic:spPr bwMode="auto">
                    <a:xfrm>
                      <a:off x="0" y="0"/>
                      <a:ext cx="3972479" cy="2857899"/>
                    </a:xfrm>
                    <a:prstGeom prst="rect">
                      <a:avLst/>
                    </a:prstGeom>
                    <a:ln>
                      <a:noFill/>
                    </a:ln>
                    <a:extLst>
                      <a:ext uri="{53640926-AAD7-44D8-BBD7-CCE9431645EC}">
                        <a14:shadowObscured xmlns:a14="http://schemas.microsoft.com/office/drawing/2010/main"/>
                      </a:ext>
                    </a:extLst>
                  </pic:spPr>
                </pic:pic>
              </a:graphicData>
            </a:graphic>
          </wp:inline>
        </w:drawing>
      </w:r>
    </w:p>
    <w:p w14:paraId="06646BF8" w14:textId="77777777" w:rsidR="003355E2" w:rsidRPr="00065939" w:rsidRDefault="003355E2">
      <w:pPr>
        <w:spacing w:after="0" w:line="360" w:lineRule="auto"/>
        <w:ind w:right="49"/>
        <w:jc w:val="both"/>
        <w:rPr>
          <w:rFonts w:ascii="Palatino Linotype" w:eastAsia="Palatino Linotype" w:hAnsi="Palatino Linotype" w:cs="Palatino Linotype"/>
          <w:sz w:val="24"/>
          <w:szCs w:val="24"/>
        </w:rPr>
      </w:pPr>
    </w:p>
    <w:p w14:paraId="19864446" w14:textId="0CFC7625" w:rsidR="00F8557D" w:rsidRPr="00065939" w:rsidRDefault="008E6C40">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De lo anterior, se colige que el Sujeto Obligado, cuenta con las competencias, facultades y atribuciones para conocer, administrar y generar la información </w:t>
      </w:r>
      <w:r w:rsidR="003355E2" w:rsidRPr="00065939">
        <w:rPr>
          <w:rFonts w:ascii="Palatino Linotype" w:eastAsia="Palatino Linotype" w:hAnsi="Palatino Linotype" w:cs="Palatino Linotype"/>
          <w:sz w:val="24"/>
          <w:szCs w:val="24"/>
        </w:rPr>
        <w:t xml:space="preserve">relacionada con la nómina de los servidores públicos referidos por el Recurrente en su solicitud de información. </w:t>
      </w:r>
    </w:p>
    <w:p w14:paraId="4EF5E594"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0DFDAE59" w14:textId="08BDF00C" w:rsidR="008755B0" w:rsidRPr="00065939" w:rsidRDefault="001217EF" w:rsidP="003355E2">
      <w:pPr>
        <w:tabs>
          <w:tab w:val="left" w:pos="3686"/>
        </w:tabs>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Establecido lo anterior, es de recordar que</w:t>
      </w:r>
      <w:r w:rsidR="008C7B3C" w:rsidRPr="00065939">
        <w:rPr>
          <w:rFonts w:ascii="Palatino Linotype" w:eastAsia="Palatino Linotype" w:hAnsi="Palatino Linotype" w:cs="Palatino Linotype"/>
          <w:sz w:val="24"/>
          <w:szCs w:val="24"/>
        </w:rPr>
        <w:t xml:space="preserve"> el Particular se inconformó porque el Ayuntamiento </w:t>
      </w:r>
      <w:r w:rsidRPr="00065939">
        <w:rPr>
          <w:rFonts w:ascii="Palatino Linotype" w:eastAsia="Palatino Linotype" w:hAnsi="Palatino Linotype" w:cs="Palatino Linotype"/>
          <w:sz w:val="24"/>
          <w:szCs w:val="24"/>
        </w:rPr>
        <w:t>de Tenancingo</w:t>
      </w:r>
      <w:r w:rsidR="008C7B3C" w:rsidRPr="00065939">
        <w:rPr>
          <w:rFonts w:ascii="Palatino Linotype" w:eastAsia="Palatino Linotype" w:hAnsi="Palatino Linotype" w:cs="Palatino Linotype"/>
          <w:sz w:val="24"/>
          <w:szCs w:val="24"/>
        </w:rPr>
        <w:t xml:space="preserve"> no le proporcionó información del Presidente Municipal ni de los Regidores, por ello, cabe precisar que</w:t>
      </w:r>
      <w:r w:rsidRPr="00065939">
        <w:rPr>
          <w:rFonts w:ascii="Palatino Linotype" w:eastAsia="Palatino Linotype" w:hAnsi="Palatino Linotype" w:cs="Palatino Linotype"/>
          <w:sz w:val="24"/>
          <w:szCs w:val="24"/>
        </w:rPr>
        <w:t xml:space="preserve"> en respuesta</w:t>
      </w:r>
      <w:r w:rsidR="008C7B3C" w:rsidRPr="00065939">
        <w:rPr>
          <w:rFonts w:ascii="Palatino Linotype" w:eastAsia="Palatino Linotype" w:hAnsi="Palatino Linotype" w:cs="Palatino Linotype"/>
          <w:sz w:val="24"/>
          <w:szCs w:val="24"/>
        </w:rPr>
        <w:t xml:space="preserve"> el Sujeto Obligado</w:t>
      </w:r>
      <w:r w:rsidRPr="00065939">
        <w:rPr>
          <w:rFonts w:ascii="Palatino Linotype" w:eastAsia="Palatino Linotype" w:hAnsi="Palatino Linotype" w:cs="Palatino Linotype"/>
          <w:sz w:val="24"/>
          <w:szCs w:val="24"/>
        </w:rPr>
        <w:t xml:space="preserve"> remitió </w:t>
      </w:r>
      <w:r w:rsidR="008755B0" w:rsidRPr="00065939">
        <w:rPr>
          <w:rFonts w:ascii="Palatino Linotype" w:eastAsia="Palatino Linotype" w:hAnsi="Palatino Linotype" w:cs="Palatino Linotype"/>
          <w:sz w:val="24"/>
          <w:szCs w:val="24"/>
        </w:rPr>
        <w:t xml:space="preserve">la siguiente liga electrónica </w:t>
      </w:r>
      <w:hyperlink r:id="rId12" w:anchor="-2ymPKxlWR7xZpGSr4dNmY6xTd8p31PY6ESV5K3CBzM%E2%80%9D" w:history="1">
        <w:r w:rsidR="008755B0" w:rsidRPr="00065939">
          <w:rPr>
            <w:rStyle w:val="Hipervnculo"/>
            <w:rFonts w:ascii="Palatino Linotype" w:eastAsia="Palatino Linotype" w:hAnsi="Palatino Linotype" w:cs="Palatino Linotype"/>
            <w:color w:val="auto"/>
            <w:sz w:val="24"/>
            <w:szCs w:val="24"/>
          </w:rPr>
          <w:t>https://mega.nz/file/qnZSFBwJ#-2ymPKxlWR7xZpGSr4dNmY6xTd8p31PY6ESV5K3CBzM%E2%80%9D</w:t>
        </w:r>
      </w:hyperlink>
      <w:r w:rsidR="008755B0" w:rsidRPr="00065939">
        <w:rPr>
          <w:rFonts w:ascii="Palatino Linotype" w:eastAsia="Palatino Linotype" w:hAnsi="Palatino Linotype" w:cs="Palatino Linotype"/>
          <w:sz w:val="24"/>
          <w:szCs w:val="24"/>
        </w:rPr>
        <w:t xml:space="preserve">, que de su acceso redirige a un apartado en el cual se pueden obtener los recibos de nómina de la segunda quincena de marzo de diversos servidores públicos adscritos al Ayuntamiento, como se aprecia: </w:t>
      </w:r>
    </w:p>
    <w:p w14:paraId="79AEBB12" w14:textId="23630BCB" w:rsidR="008755B0" w:rsidRPr="00065939" w:rsidRDefault="00634588" w:rsidP="003355E2">
      <w:pPr>
        <w:tabs>
          <w:tab w:val="left" w:pos="3686"/>
        </w:tabs>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noProof/>
          <w:sz w:val="24"/>
          <w:szCs w:val="24"/>
        </w:rPr>
        <w:lastRenderedPageBreak/>
        <mc:AlternateContent>
          <mc:Choice Requires="wps">
            <w:drawing>
              <wp:anchor distT="0" distB="0" distL="114300" distR="114300" simplePos="0" relativeHeight="251659264" behindDoc="0" locked="0" layoutInCell="1" allowOverlap="1" wp14:anchorId="29C82BB6" wp14:editId="499F5901">
                <wp:simplePos x="0" y="0"/>
                <wp:positionH relativeFrom="column">
                  <wp:posOffset>53340</wp:posOffset>
                </wp:positionH>
                <wp:positionV relativeFrom="paragraph">
                  <wp:posOffset>991235</wp:posOffset>
                </wp:positionV>
                <wp:extent cx="5629275" cy="533400"/>
                <wp:effectExtent l="19050" t="19050" r="28575" b="19050"/>
                <wp:wrapNone/>
                <wp:docPr id="10" name="Rectángulo 10"/>
                <wp:cNvGraphicFramePr/>
                <a:graphic xmlns:a="http://schemas.openxmlformats.org/drawingml/2006/main">
                  <a:graphicData uri="http://schemas.microsoft.com/office/word/2010/wordprocessingShape">
                    <wps:wsp>
                      <wps:cNvSpPr/>
                      <wps:spPr>
                        <a:xfrm>
                          <a:off x="0" y="0"/>
                          <a:ext cx="5629275" cy="533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CB65E3" id="Rectángulo 10" o:spid="_x0000_s1026" style="position:absolute;margin-left:4.2pt;margin-top:78.05pt;width:443.25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" filled="f" strokecolor="red" strokeweight="2.25pt"/>
            </w:pict>
          </mc:Fallback>
        </mc:AlternateContent>
      </w:r>
      <w:r w:rsidR="008755B0" w:rsidRPr="00065939">
        <w:rPr>
          <w:rFonts w:ascii="Palatino Linotype" w:eastAsia="Palatino Linotype" w:hAnsi="Palatino Linotype" w:cs="Palatino Linotype"/>
          <w:noProof/>
          <w:sz w:val="24"/>
          <w:szCs w:val="24"/>
        </w:rPr>
        <w:drawing>
          <wp:inline distT="0" distB="0" distL="0" distR="0" wp14:anchorId="6852CF38" wp14:editId="22F1A294">
            <wp:extent cx="5756275" cy="1809750"/>
            <wp:effectExtent l="0" t="0" r="0" b="0"/>
            <wp:docPr id="9" name="Imagen 9"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Aplicación&#10;&#10;Descripción generada automáticamente"/>
                    <pic:cNvPicPr/>
                  </pic:nvPicPr>
                  <pic:blipFill rotWithShape="1">
                    <a:blip r:embed="rId13"/>
                    <a:srcRect t="40115"/>
                    <a:stretch/>
                  </pic:blipFill>
                  <pic:spPr bwMode="auto">
                    <a:xfrm>
                      <a:off x="0" y="0"/>
                      <a:ext cx="5756275" cy="1809750"/>
                    </a:xfrm>
                    <a:prstGeom prst="rect">
                      <a:avLst/>
                    </a:prstGeom>
                    <a:ln>
                      <a:noFill/>
                    </a:ln>
                    <a:extLst>
                      <a:ext uri="{53640926-AAD7-44D8-BBD7-CCE9431645EC}">
                        <a14:shadowObscured xmlns:a14="http://schemas.microsoft.com/office/drawing/2010/main"/>
                      </a:ext>
                    </a:extLst>
                  </pic:spPr>
                </pic:pic>
              </a:graphicData>
            </a:graphic>
          </wp:inline>
        </w:drawing>
      </w:r>
    </w:p>
    <w:p w14:paraId="68B498B4" w14:textId="77777777" w:rsidR="008755B0" w:rsidRPr="00065939" w:rsidRDefault="008755B0" w:rsidP="003355E2">
      <w:pPr>
        <w:tabs>
          <w:tab w:val="left" w:pos="3686"/>
        </w:tabs>
        <w:spacing w:after="0" w:line="360" w:lineRule="auto"/>
        <w:ind w:right="49"/>
        <w:jc w:val="both"/>
        <w:rPr>
          <w:rFonts w:ascii="Palatino Linotype" w:eastAsia="Palatino Linotype" w:hAnsi="Palatino Linotype" w:cs="Palatino Linotype"/>
          <w:sz w:val="24"/>
          <w:szCs w:val="24"/>
        </w:rPr>
      </w:pPr>
    </w:p>
    <w:p w14:paraId="02B1AC55" w14:textId="2392FD95" w:rsidR="008C7B3C" w:rsidRPr="00065939" w:rsidRDefault="008C7B3C" w:rsidP="008C7B3C">
      <w:pPr>
        <w:spacing w:after="0" w:line="360" w:lineRule="auto"/>
        <w:ind w:right="49"/>
        <w:jc w:val="center"/>
        <w:rPr>
          <w:rFonts w:ascii="Palatino Linotype" w:eastAsia="Palatino Linotype" w:hAnsi="Palatino Linotype" w:cs="Palatino Linotype"/>
          <w:sz w:val="24"/>
          <w:szCs w:val="24"/>
        </w:rPr>
      </w:pPr>
      <w:r w:rsidRPr="00065939">
        <w:rPr>
          <w:rFonts w:ascii="Palatino Linotype" w:eastAsia="Palatino Linotype" w:hAnsi="Palatino Linotype" w:cs="Palatino Linotype"/>
          <w:noProof/>
          <w:sz w:val="24"/>
          <w:szCs w:val="24"/>
        </w:rPr>
        <w:drawing>
          <wp:inline distT="0" distB="0" distL="0" distR="0" wp14:anchorId="591709EE" wp14:editId="087E0B77">
            <wp:extent cx="5756275" cy="3312795"/>
            <wp:effectExtent l="0" t="0" r="0" b="1905"/>
            <wp:docPr id="2" name="Imagen 2" descr="Escala de tiem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scala de tiempo&#10;&#10;Descripción generada automáticamente con confianza baja"/>
                    <pic:cNvPicPr/>
                  </pic:nvPicPr>
                  <pic:blipFill>
                    <a:blip r:embed="rId14"/>
                    <a:stretch>
                      <a:fillRect/>
                    </a:stretch>
                  </pic:blipFill>
                  <pic:spPr>
                    <a:xfrm>
                      <a:off x="0" y="0"/>
                      <a:ext cx="5756275" cy="3312795"/>
                    </a:xfrm>
                    <a:prstGeom prst="rect">
                      <a:avLst/>
                    </a:prstGeom>
                  </pic:spPr>
                </pic:pic>
              </a:graphicData>
            </a:graphic>
          </wp:inline>
        </w:drawing>
      </w:r>
    </w:p>
    <w:p w14:paraId="12D51A6E" w14:textId="3EC33AA6"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62ADC553" w14:textId="4C4D1054" w:rsidR="008C7B3C" w:rsidRPr="00065939" w:rsidRDefault="008C7B3C">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No obstante, del análisis a las documentales enviadas, se advirtió que</w:t>
      </w:r>
      <w:r w:rsidR="00A23CC3" w:rsidRPr="00065939">
        <w:rPr>
          <w:rFonts w:ascii="Palatino Linotype" w:eastAsia="Palatino Linotype" w:hAnsi="Palatino Linotype" w:cs="Palatino Linotype"/>
          <w:sz w:val="24"/>
          <w:szCs w:val="24"/>
        </w:rPr>
        <w:t>,</w:t>
      </w:r>
      <w:r w:rsidRPr="00065939">
        <w:rPr>
          <w:rFonts w:ascii="Palatino Linotype" w:eastAsia="Palatino Linotype" w:hAnsi="Palatino Linotype" w:cs="Palatino Linotype"/>
          <w:sz w:val="24"/>
          <w:szCs w:val="24"/>
        </w:rPr>
        <w:t xml:space="preserve"> en efecto, el </w:t>
      </w:r>
      <w:r w:rsidRPr="00065939">
        <w:rPr>
          <w:rFonts w:ascii="Palatino Linotype" w:eastAsia="Palatino Linotype" w:hAnsi="Palatino Linotype" w:cs="Palatino Linotype"/>
          <w:b/>
          <w:bCs/>
          <w:sz w:val="24"/>
          <w:szCs w:val="24"/>
          <w:u w:val="single"/>
        </w:rPr>
        <w:t>Ayuntamiento de Tenancingo, no proporcionó los recibos de nómina del Presidente Municipal ni de los Regidores</w:t>
      </w:r>
      <w:r w:rsidRPr="00065939">
        <w:rPr>
          <w:rFonts w:ascii="Palatino Linotype" w:eastAsia="Palatino Linotype" w:hAnsi="Palatino Linotype" w:cs="Palatino Linotype"/>
          <w:sz w:val="24"/>
          <w:szCs w:val="24"/>
        </w:rPr>
        <w:t xml:space="preserve">, sino que, únicamente remitió </w:t>
      </w:r>
      <w:r w:rsidR="00A23CC3" w:rsidRPr="00065939">
        <w:rPr>
          <w:rFonts w:ascii="Palatino Linotype" w:eastAsia="Palatino Linotype" w:hAnsi="Palatino Linotype" w:cs="Palatino Linotype"/>
          <w:sz w:val="24"/>
          <w:szCs w:val="24"/>
        </w:rPr>
        <w:t xml:space="preserve">los recibos de servidores </w:t>
      </w:r>
      <w:r w:rsidR="00A23CC3" w:rsidRPr="00065939">
        <w:rPr>
          <w:rFonts w:ascii="Palatino Linotype" w:eastAsia="Palatino Linotype" w:hAnsi="Palatino Linotype" w:cs="Palatino Linotype"/>
          <w:sz w:val="24"/>
          <w:szCs w:val="24"/>
        </w:rPr>
        <w:lastRenderedPageBreak/>
        <w:t xml:space="preserve">públicos adscritos a las Regidurías y a la Oficina de Presidencia, como asistentes, secretarías y auxiliares administrativos, como a continuación se muestra: </w:t>
      </w:r>
    </w:p>
    <w:p w14:paraId="56E30843" w14:textId="5EC0DC10" w:rsidR="00A23CC3" w:rsidRPr="00065939" w:rsidRDefault="00A23CC3">
      <w:pPr>
        <w:spacing w:after="0" w:line="360" w:lineRule="auto"/>
        <w:ind w:right="49"/>
        <w:jc w:val="both"/>
        <w:rPr>
          <w:rFonts w:ascii="Palatino Linotype" w:eastAsia="Palatino Linotype" w:hAnsi="Palatino Linotype" w:cs="Palatino Linotype"/>
          <w:sz w:val="24"/>
          <w:szCs w:val="24"/>
        </w:rPr>
      </w:pPr>
    </w:p>
    <w:p w14:paraId="27C736F8" w14:textId="39162B0A" w:rsidR="00A23CC3" w:rsidRPr="00065939" w:rsidRDefault="00A23CC3" w:rsidP="00A23CC3">
      <w:pPr>
        <w:spacing w:after="0" w:line="360" w:lineRule="auto"/>
        <w:ind w:right="49"/>
        <w:jc w:val="center"/>
        <w:rPr>
          <w:rFonts w:ascii="Palatino Linotype" w:eastAsia="Palatino Linotype" w:hAnsi="Palatino Linotype" w:cs="Palatino Linotype"/>
          <w:sz w:val="24"/>
          <w:szCs w:val="24"/>
        </w:rPr>
      </w:pPr>
      <w:r w:rsidRPr="00065939">
        <w:rPr>
          <w:noProof/>
        </w:rPr>
        <w:drawing>
          <wp:inline distT="0" distB="0" distL="0" distR="0" wp14:anchorId="2B079CA4" wp14:editId="3277CD92">
            <wp:extent cx="4733926" cy="1762125"/>
            <wp:effectExtent l="0" t="0" r="9525" b="9525"/>
            <wp:docPr id="3" name="Imagen 3"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Escala de tiempo&#10;&#10;Descripción generada automáticamente"/>
                    <pic:cNvPicPr/>
                  </pic:nvPicPr>
                  <pic:blipFill rotWithShape="1">
                    <a:blip r:embed="rId15"/>
                    <a:srcRect b="11905"/>
                    <a:stretch/>
                  </pic:blipFill>
                  <pic:spPr bwMode="auto">
                    <a:xfrm>
                      <a:off x="0" y="0"/>
                      <a:ext cx="4734586" cy="1762371"/>
                    </a:xfrm>
                    <a:prstGeom prst="rect">
                      <a:avLst/>
                    </a:prstGeom>
                    <a:ln>
                      <a:noFill/>
                    </a:ln>
                    <a:extLst>
                      <a:ext uri="{53640926-AAD7-44D8-BBD7-CCE9431645EC}">
                        <a14:shadowObscured xmlns:a14="http://schemas.microsoft.com/office/drawing/2010/main"/>
                      </a:ext>
                    </a:extLst>
                  </pic:spPr>
                </pic:pic>
              </a:graphicData>
            </a:graphic>
          </wp:inline>
        </w:drawing>
      </w:r>
    </w:p>
    <w:p w14:paraId="227DDFAC" w14:textId="402091C2" w:rsidR="00A23CC3" w:rsidRPr="00065939" w:rsidRDefault="00A23CC3" w:rsidP="00A23CC3">
      <w:pPr>
        <w:spacing w:after="0" w:line="360" w:lineRule="auto"/>
        <w:ind w:right="49"/>
        <w:jc w:val="center"/>
        <w:rPr>
          <w:rFonts w:ascii="Palatino Linotype" w:eastAsia="Palatino Linotype" w:hAnsi="Palatino Linotype" w:cs="Palatino Linotype"/>
          <w:sz w:val="24"/>
          <w:szCs w:val="24"/>
        </w:rPr>
      </w:pPr>
      <w:r w:rsidRPr="00065939">
        <w:rPr>
          <w:noProof/>
        </w:rPr>
        <w:drawing>
          <wp:inline distT="0" distB="0" distL="0" distR="0" wp14:anchorId="430B28F0" wp14:editId="1E2E50C9">
            <wp:extent cx="4601217" cy="2353003"/>
            <wp:effectExtent l="0" t="0" r="8890" b="9525"/>
            <wp:docPr id="4" name="Imagen 4"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10;&#10;Descripción generada automáticamente"/>
                    <pic:cNvPicPr/>
                  </pic:nvPicPr>
                  <pic:blipFill>
                    <a:blip r:embed="rId16"/>
                    <a:stretch>
                      <a:fillRect/>
                    </a:stretch>
                  </pic:blipFill>
                  <pic:spPr>
                    <a:xfrm>
                      <a:off x="0" y="0"/>
                      <a:ext cx="4601217" cy="2353003"/>
                    </a:xfrm>
                    <a:prstGeom prst="rect">
                      <a:avLst/>
                    </a:prstGeom>
                  </pic:spPr>
                </pic:pic>
              </a:graphicData>
            </a:graphic>
          </wp:inline>
        </w:drawing>
      </w:r>
    </w:p>
    <w:p w14:paraId="3C8490D9" w14:textId="46F83F4D" w:rsidR="00A23CC3" w:rsidRPr="00065939" w:rsidRDefault="00A23CC3" w:rsidP="00A23CC3">
      <w:pPr>
        <w:spacing w:after="0" w:line="360" w:lineRule="auto"/>
        <w:ind w:right="49"/>
        <w:jc w:val="center"/>
        <w:rPr>
          <w:rFonts w:ascii="Palatino Linotype" w:eastAsia="Palatino Linotype" w:hAnsi="Palatino Linotype" w:cs="Palatino Linotype"/>
          <w:sz w:val="24"/>
          <w:szCs w:val="24"/>
        </w:rPr>
      </w:pPr>
      <w:r w:rsidRPr="00065939">
        <w:rPr>
          <w:noProof/>
        </w:rPr>
        <w:lastRenderedPageBreak/>
        <w:drawing>
          <wp:inline distT="0" distB="0" distL="0" distR="0" wp14:anchorId="0A7BFCD5" wp14:editId="519F1B45">
            <wp:extent cx="4353533" cy="2257740"/>
            <wp:effectExtent l="0" t="0" r="9525" b="9525"/>
            <wp:docPr id="5" name="Imagen 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Texto&#10;&#10;Descripción generada automáticamente"/>
                    <pic:cNvPicPr/>
                  </pic:nvPicPr>
                  <pic:blipFill>
                    <a:blip r:embed="rId17"/>
                    <a:stretch>
                      <a:fillRect/>
                    </a:stretch>
                  </pic:blipFill>
                  <pic:spPr>
                    <a:xfrm>
                      <a:off x="0" y="0"/>
                      <a:ext cx="4353533" cy="2257740"/>
                    </a:xfrm>
                    <a:prstGeom prst="rect">
                      <a:avLst/>
                    </a:prstGeom>
                  </pic:spPr>
                </pic:pic>
              </a:graphicData>
            </a:graphic>
          </wp:inline>
        </w:drawing>
      </w:r>
    </w:p>
    <w:p w14:paraId="3CA1405E" w14:textId="112F365C" w:rsidR="00A23CC3" w:rsidRPr="00065939" w:rsidRDefault="00A23CC3" w:rsidP="00A23CC3">
      <w:pPr>
        <w:spacing w:after="0" w:line="360" w:lineRule="auto"/>
        <w:ind w:right="49"/>
        <w:jc w:val="center"/>
        <w:rPr>
          <w:rFonts w:ascii="Palatino Linotype" w:eastAsia="Palatino Linotype" w:hAnsi="Palatino Linotype" w:cs="Palatino Linotype"/>
          <w:sz w:val="24"/>
          <w:szCs w:val="24"/>
        </w:rPr>
      </w:pPr>
      <w:r w:rsidRPr="00065939">
        <w:rPr>
          <w:noProof/>
        </w:rPr>
        <w:drawing>
          <wp:inline distT="0" distB="0" distL="0" distR="0" wp14:anchorId="5B452397" wp14:editId="166E3E85">
            <wp:extent cx="4610099" cy="2247900"/>
            <wp:effectExtent l="0" t="0" r="635" b="0"/>
            <wp:docPr id="6" name="Imagen 6" descr="Interfaz de usuario gráfic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10;&#10;Descripción generada automáticamente con confianza media"/>
                    <pic:cNvPicPr/>
                  </pic:nvPicPr>
                  <pic:blipFill rotWithShape="1">
                    <a:blip r:embed="rId18"/>
                    <a:srcRect b="11611"/>
                    <a:stretch/>
                  </pic:blipFill>
                  <pic:spPr bwMode="auto">
                    <a:xfrm>
                      <a:off x="0" y="0"/>
                      <a:ext cx="4610743" cy="2248214"/>
                    </a:xfrm>
                    <a:prstGeom prst="rect">
                      <a:avLst/>
                    </a:prstGeom>
                    <a:ln>
                      <a:noFill/>
                    </a:ln>
                    <a:extLst>
                      <a:ext uri="{53640926-AAD7-44D8-BBD7-CCE9431645EC}">
                        <a14:shadowObscured xmlns:a14="http://schemas.microsoft.com/office/drawing/2010/main"/>
                      </a:ext>
                    </a:extLst>
                  </pic:spPr>
                </pic:pic>
              </a:graphicData>
            </a:graphic>
          </wp:inline>
        </w:drawing>
      </w:r>
    </w:p>
    <w:p w14:paraId="6B6865BC" w14:textId="20D9164E" w:rsidR="00A23CC3" w:rsidRPr="00065939" w:rsidRDefault="00A23CC3" w:rsidP="00A23CC3">
      <w:pPr>
        <w:pBdr>
          <w:top w:val="nil"/>
          <w:left w:val="nil"/>
          <w:bottom w:val="nil"/>
          <w:right w:val="nil"/>
          <w:between w:val="nil"/>
        </w:pBdr>
        <w:spacing w:after="0" w:line="360" w:lineRule="auto"/>
        <w:ind w:left="-142" w:right="49"/>
        <w:jc w:val="both"/>
        <w:rPr>
          <w:rFonts w:ascii="Palatino Linotype" w:eastAsia="Palatino Linotype" w:hAnsi="Palatino Linotype" w:cs="Palatino Linotype"/>
          <w:sz w:val="24"/>
          <w:szCs w:val="24"/>
        </w:rPr>
      </w:pPr>
    </w:p>
    <w:p w14:paraId="43397751" w14:textId="6F8BA9F5" w:rsidR="00A23CC3" w:rsidRPr="00065939" w:rsidRDefault="00A23CC3" w:rsidP="00A23CC3">
      <w:pPr>
        <w:pBdr>
          <w:top w:val="nil"/>
          <w:left w:val="nil"/>
          <w:bottom w:val="nil"/>
          <w:right w:val="nil"/>
          <w:between w:val="nil"/>
        </w:pBdr>
        <w:spacing w:after="0" w:line="360" w:lineRule="auto"/>
        <w:ind w:left="-142"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En ese orden de ideas, se </w:t>
      </w:r>
      <w:r w:rsidR="00720498" w:rsidRPr="00065939">
        <w:rPr>
          <w:rFonts w:ascii="Palatino Linotype" w:eastAsia="Palatino Linotype" w:hAnsi="Palatino Linotype" w:cs="Palatino Linotype"/>
          <w:sz w:val="24"/>
          <w:szCs w:val="24"/>
        </w:rPr>
        <w:t xml:space="preserve">concluye que </w:t>
      </w:r>
      <w:r w:rsidRPr="00065939">
        <w:rPr>
          <w:rFonts w:ascii="Palatino Linotype" w:eastAsia="Palatino Linotype" w:hAnsi="Palatino Linotype" w:cs="Palatino Linotype"/>
          <w:sz w:val="24"/>
          <w:szCs w:val="24"/>
        </w:rPr>
        <w:t>el Sujeto Obligado</w:t>
      </w:r>
      <w:r w:rsidR="00720498" w:rsidRPr="00065939">
        <w:rPr>
          <w:rFonts w:ascii="Palatino Linotype" w:eastAsia="Palatino Linotype" w:hAnsi="Palatino Linotype" w:cs="Palatino Linotype"/>
          <w:sz w:val="24"/>
          <w:szCs w:val="24"/>
        </w:rPr>
        <w:t xml:space="preserve"> proporcionó información incompleta, toda vez que no remitió los recibos de nómina del Presidente Municipal y Regidores, y en consecuencia, el requerimiento del Particular no se tiene por colmado, situación que conlleva a que se ordene al Ayuntamiento, la entrega de </w:t>
      </w:r>
      <w:r w:rsidRPr="00065939">
        <w:rPr>
          <w:rFonts w:ascii="Palatino Linotype" w:eastAsia="Palatino Linotype" w:hAnsi="Palatino Linotype" w:cs="Palatino Linotype"/>
          <w:sz w:val="24"/>
          <w:szCs w:val="24"/>
        </w:rPr>
        <w:t xml:space="preserve">los </w:t>
      </w:r>
      <w:r w:rsidRPr="00065939">
        <w:rPr>
          <w:rFonts w:ascii="Palatino Linotype" w:eastAsia="Palatino Linotype" w:hAnsi="Palatino Linotype" w:cs="Palatino Linotype"/>
          <w:b/>
          <w:bCs/>
          <w:sz w:val="24"/>
          <w:szCs w:val="24"/>
        </w:rPr>
        <w:t>recibos de nómina del Presidente Municipal y de los Regidores de</w:t>
      </w:r>
      <w:r w:rsidR="00582034" w:rsidRPr="00065939">
        <w:rPr>
          <w:rFonts w:ascii="Palatino Linotype" w:eastAsia="Palatino Linotype" w:hAnsi="Palatino Linotype" w:cs="Palatino Linotype"/>
          <w:b/>
          <w:bCs/>
          <w:sz w:val="24"/>
          <w:szCs w:val="24"/>
        </w:rPr>
        <w:t xml:space="preserve"> la primera quincena de junio de dos mil veintidós. </w:t>
      </w:r>
      <w:r w:rsidRPr="00065939">
        <w:rPr>
          <w:rFonts w:ascii="Palatino Linotype" w:eastAsia="Palatino Linotype" w:hAnsi="Palatino Linotype" w:cs="Palatino Linotype"/>
          <w:b/>
          <w:bCs/>
          <w:sz w:val="24"/>
          <w:szCs w:val="24"/>
        </w:rPr>
        <w:t xml:space="preserve"> </w:t>
      </w:r>
    </w:p>
    <w:p w14:paraId="78D942C0" w14:textId="41E2C220" w:rsidR="003355E2" w:rsidRPr="00065939" w:rsidRDefault="003355E2" w:rsidP="00A23CC3">
      <w:pPr>
        <w:pBdr>
          <w:top w:val="nil"/>
          <w:left w:val="nil"/>
          <w:bottom w:val="nil"/>
          <w:right w:val="nil"/>
          <w:between w:val="nil"/>
        </w:pBdr>
        <w:spacing w:after="0" w:line="360" w:lineRule="auto"/>
        <w:ind w:left="-142" w:right="49"/>
        <w:jc w:val="both"/>
        <w:rPr>
          <w:rFonts w:ascii="Palatino Linotype" w:eastAsia="Palatino Linotype" w:hAnsi="Palatino Linotype" w:cs="Palatino Linotype"/>
          <w:sz w:val="24"/>
          <w:szCs w:val="24"/>
        </w:rPr>
      </w:pPr>
    </w:p>
    <w:p w14:paraId="333E2190" w14:textId="1F32148B" w:rsidR="003355E2" w:rsidRPr="00065939" w:rsidRDefault="003355E2" w:rsidP="00A23CC3">
      <w:pPr>
        <w:pBdr>
          <w:top w:val="nil"/>
          <w:left w:val="nil"/>
          <w:bottom w:val="nil"/>
          <w:right w:val="nil"/>
          <w:between w:val="nil"/>
        </w:pBdr>
        <w:spacing w:after="0" w:line="360" w:lineRule="auto"/>
        <w:ind w:left="-142"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lastRenderedPageBreak/>
        <w:t>Asimismo, no pasa desapercibido mencionar que en las actuaciones que obran en el Sistema de Acceso a la Información Mexiquense, no se advierte que quien proporcionó la información solicitada haya sido la unidad administrativa competente para tal efecto, a saber, la Dirección de Administración.</w:t>
      </w:r>
    </w:p>
    <w:p w14:paraId="5F4ACD65" w14:textId="53B67EAC" w:rsidR="003355E2" w:rsidRPr="00065939" w:rsidRDefault="003355E2" w:rsidP="00A23CC3">
      <w:pPr>
        <w:pBdr>
          <w:top w:val="nil"/>
          <w:left w:val="nil"/>
          <w:bottom w:val="nil"/>
          <w:right w:val="nil"/>
          <w:between w:val="nil"/>
        </w:pBdr>
        <w:spacing w:after="0" w:line="360" w:lineRule="auto"/>
        <w:ind w:left="-142" w:right="49"/>
        <w:jc w:val="both"/>
        <w:rPr>
          <w:rFonts w:ascii="Palatino Linotype" w:eastAsia="Palatino Linotype" w:hAnsi="Palatino Linotype" w:cs="Palatino Linotype"/>
          <w:sz w:val="24"/>
          <w:szCs w:val="24"/>
        </w:rPr>
      </w:pPr>
    </w:p>
    <w:p w14:paraId="1B26644E" w14:textId="707A7340" w:rsidR="003355E2" w:rsidRPr="00065939" w:rsidRDefault="003355E2" w:rsidP="00A23CC3">
      <w:pPr>
        <w:pBdr>
          <w:top w:val="nil"/>
          <w:left w:val="nil"/>
          <w:bottom w:val="nil"/>
          <w:right w:val="nil"/>
          <w:between w:val="nil"/>
        </w:pBdr>
        <w:spacing w:after="0" w:line="360" w:lineRule="auto"/>
        <w:ind w:left="-142"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Es por lo que, resulta indispensable recordar que de conformidad con el artículo 162 de la Ley de Transparencia y Acceso a la Información Pública del Estado de México y Municipios, que a la letra señala que:</w:t>
      </w:r>
    </w:p>
    <w:p w14:paraId="24A441FB" w14:textId="4C840B08" w:rsidR="003355E2" w:rsidRPr="00065939" w:rsidRDefault="003355E2" w:rsidP="00A23CC3">
      <w:pPr>
        <w:pBdr>
          <w:top w:val="nil"/>
          <w:left w:val="nil"/>
          <w:bottom w:val="nil"/>
          <w:right w:val="nil"/>
          <w:between w:val="nil"/>
        </w:pBdr>
        <w:spacing w:after="0" w:line="360" w:lineRule="auto"/>
        <w:ind w:left="-142" w:right="49"/>
        <w:jc w:val="both"/>
        <w:rPr>
          <w:rFonts w:ascii="Palatino Linotype" w:eastAsia="Palatino Linotype" w:hAnsi="Palatino Linotype" w:cs="Palatino Linotype"/>
          <w:sz w:val="24"/>
          <w:szCs w:val="24"/>
        </w:rPr>
      </w:pPr>
    </w:p>
    <w:p w14:paraId="00A80B60" w14:textId="38AB6BEA" w:rsidR="003355E2" w:rsidRPr="00065939" w:rsidRDefault="003355E2" w:rsidP="003355E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iCs/>
          <w:sz w:val="24"/>
          <w:szCs w:val="24"/>
        </w:rPr>
      </w:pPr>
      <w:r w:rsidRPr="00065939">
        <w:rPr>
          <w:rFonts w:ascii="Palatino Linotype" w:hAnsi="Palatino Linotype"/>
          <w:i/>
          <w:iC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64C2CB2" w14:textId="07363EF8" w:rsidR="003355E2" w:rsidRPr="00065939" w:rsidRDefault="003355E2" w:rsidP="00A23CC3">
      <w:pPr>
        <w:pBdr>
          <w:top w:val="nil"/>
          <w:left w:val="nil"/>
          <w:bottom w:val="nil"/>
          <w:right w:val="nil"/>
          <w:between w:val="nil"/>
        </w:pBdr>
        <w:spacing w:after="0" w:line="360" w:lineRule="auto"/>
        <w:ind w:left="-142" w:right="49"/>
        <w:jc w:val="both"/>
        <w:rPr>
          <w:rFonts w:ascii="Palatino Linotype" w:eastAsia="Palatino Linotype" w:hAnsi="Palatino Linotype" w:cs="Palatino Linotype"/>
          <w:sz w:val="24"/>
          <w:szCs w:val="24"/>
        </w:rPr>
      </w:pPr>
    </w:p>
    <w:p w14:paraId="7790C793" w14:textId="6D142B77" w:rsidR="00720498" w:rsidRPr="00065939" w:rsidRDefault="00720498"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Es así que,</w:t>
      </w:r>
      <w:r w:rsidR="003355E2" w:rsidRPr="00065939">
        <w:rPr>
          <w:rFonts w:ascii="Palatino Linotype" w:eastAsia="Palatino Linotype" w:hAnsi="Palatino Linotype" w:cs="Palatino Linotype"/>
          <w:sz w:val="24"/>
          <w:szCs w:val="24"/>
        </w:rPr>
        <w:t xml:space="preserve"> las unidades de transparencia deben turnar las solicitudes de información a todas las áreas</w:t>
      </w:r>
      <w:r w:rsidRPr="00065939">
        <w:rPr>
          <w:rFonts w:ascii="Palatino Linotype" w:eastAsia="Palatino Linotype" w:hAnsi="Palatino Linotype" w:cs="Palatino Linotype"/>
          <w:sz w:val="24"/>
          <w:szCs w:val="24"/>
        </w:rPr>
        <w:t xml:space="preserve"> competentes que, de acuerdo con sus facultades, funciones y competencias, generen, administren o posean la información solicitada, esto con la finalidad de que realicen una búsqueda de la información en sus archivos y la proporcionen a los solicitantes.  </w:t>
      </w:r>
      <w:r w:rsidR="003355E2" w:rsidRPr="00065939">
        <w:rPr>
          <w:rFonts w:ascii="Palatino Linotype" w:eastAsia="Palatino Linotype" w:hAnsi="Palatino Linotype" w:cs="Palatino Linotype"/>
          <w:sz w:val="24"/>
          <w:szCs w:val="24"/>
        </w:rPr>
        <w:t xml:space="preserve"> </w:t>
      </w:r>
    </w:p>
    <w:p w14:paraId="39D4599C" w14:textId="227E865F" w:rsidR="00720498" w:rsidRPr="00065939" w:rsidRDefault="00720498" w:rsidP="00720498">
      <w:pPr>
        <w:pBdr>
          <w:top w:val="nil"/>
          <w:left w:val="nil"/>
          <w:bottom w:val="nil"/>
          <w:right w:val="nil"/>
          <w:between w:val="nil"/>
        </w:pBdr>
        <w:spacing w:after="0" w:line="360" w:lineRule="auto"/>
        <w:ind w:left="-142" w:right="49"/>
        <w:jc w:val="both"/>
        <w:rPr>
          <w:rFonts w:ascii="Palatino Linotype" w:eastAsia="Palatino Linotype" w:hAnsi="Palatino Linotype" w:cs="Palatino Linotype"/>
          <w:sz w:val="24"/>
          <w:szCs w:val="24"/>
        </w:rPr>
      </w:pPr>
    </w:p>
    <w:p w14:paraId="6AF5B60A" w14:textId="1EAC74AB" w:rsidR="00720498" w:rsidRPr="00065939" w:rsidRDefault="00720498"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Por lo anterior, se precisa que el titular de la unidad de transparencia deberá turnar la solicitud de información de manera enunciativa, más no limitativa a la Dirección de Administración, con la finalidad de que, esta realice una búsqueda exhaustiva y razonable en sus archivos para hacer entrega de lo solicitado. </w:t>
      </w:r>
    </w:p>
    <w:p w14:paraId="1F3F650A" w14:textId="77777777" w:rsidR="00720498" w:rsidRPr="00065939" w:rsidRDefault="00720498">
      <w:pPr>
        <w:spacing w:after="0" w:line="360" w:lineRule="auto"/>
        <w:ind w:right="49"/>
        <w:jc w:val="both"/>
        <w:rPr>
          <w:rFonts w:ascii="Palatino Linotype" w:eastAsia="Palatino Linotype" w:hAnsi="Palatino Linotype" w:cs="Palatino Linotype"/>
          <w:sz w:val="24"/>
          <w:szCs w:val="24"/>
        </w:rPr>
      </w:pPr>
    </w:p>
    <w:p w14:paraId="0E851A21" w14:textId="7B1D2613" w:rsidR="00720498" w:rsidRPr="00065939" w:rsidRDefault="00720498"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lastRenderedPageBreak/>
        <w:t>Dicho esto, este Organismo Garante determina que los a</w:t>
      </w:r>
      <w:r w:rsidR="00646B44" w:rsidRPr="00065939">
        <w:rPr>
          <w:rFonts w:ascii="Palatino Linotype" w:eastAsia="Palatino Linotype" w:hAnsi="Palatino Linotype" w:cs="Palatino Linotype"/>
          <w:sz w:val="24"/>
          <w:szCs w:val="24"/>
        </w:rPr>
        <w:t xml:space="preserve">gravios hechos valer por el Particular en su recurso de revisión devienen </w:t>
      </w:r>
      <w:r w:rsidR="00646B44" w:rsidRPr="00065939">
        <w:rPr>
          <w:rFonts w:ascii="Palatino Linotype" w:eastAsia="Palatino Linotype" w:hAnsi="Palatino Linotype" w:cs="Palatino Linotype"/>
          <w:b/>
          <w:sz w:val="24"/>
          <w:szCs w:val="24"/>
        </w:rPr>
        <w:t xml:space="preserve">FUNDADOS </w:t>
      </w:r>
      <w:r w:rsidR="00646B44" w:rsidRPr="00065939">
        <w:rPr>
          <w:rFonts w:ascii="Palatino Linotype" w:eastAsia="Palatino Linotype" w:hAnsi="Palatino Linotype" w:cs="Palatino Linotype"/>
          <w:sz w:val="24"/>
          <w:szCs w:val="24"/>
        </w:rPr>
        <w:t xml:space="preserve">y, por ende, </w:t>
      </w:r>
      <w:r w:rsidRPr="00065939">
        <w:rPr>
          <w:rFonts w:ascii="Palatino Linotype" w:eastAsia="Palatino Linotype" w:hAnsi="Palatino Linotype" w:cs="Palatino Linotype"/>
          <w:sz w:val="24"/>
          <w:szCs w:val="24"/>
        </w:rPr>
        <w:t xml:space="preserve">resulta procedente </w:t>
      </w:r>
      <w:r w:rsidR="00646B44" w:rsidRPr="00065939">
        <w:rPr>
          <w:rFonts w:ascii="Palatino Linotype" w:eastAsia="Palatino Linotype" w:hAnsi="Palatino Linotype" w:cs="Palatino Linotype"/>
          <w:b/>
          <w:sz w:val="24"/>
          <w:szCs w:val="24"/>
        </w:rPr>
        <w:t xml:space="preserve">MODIFICAR </w:t>
      </w:r>
      <w:r w:rsidR="00646B44" w:rsidRPr="00065939">
        <w:rPr>
          <w:rFonts w:ascii="Palatino Linotype" w:eastAsia="Palatino Linotype" w:hAnsi="Palatino Linotype" w:cs="Palatino Linotype"/>
          <w:sz w:val="24"/>
          <w:szCs w:val="24"/>
        </w:rPr>
        <w:t xml:space="preserve">la respuesta del Sujeto Obligado y </w:t>
      </w:r>
      <w:r w:rsidR="00646B44" w:rsidRPr="00065939">
        <w:rPr>
          <w:rFonts w:ascii="Palatino Linotype" w:eastAsia="Palatino Linotype" w:hAnsi="Palatino Linotype" w:cs="Palatino Linotype"/>
          <w:b/>
          <w:sz w:val="24"/>
          <w:szCs w:val="24"/>
        </w:rPr>
        <w:t xml:space="preserve">ORDENAR </w:t>
      </w:r>
      <w:r w:rsidR="00646B44" w:rsidRPr="00065939">
        <w:rPr>
          <w:rFonts w:ascii="Palatino Linotype" w:eastAsia="Palatino Linotype" w:hAnsi="Palatino Linotype" w:cs="Palatino Linotype"/>
          <w:sz w:val="24"/>
          <w:szCs w:val="24"/>
        </w:rPr>
        <w:t xml:space="preserve">la entrega, </w:t>
      </w:r>
      <w:r w:rsidR="00634588" w:rsidRPr="00065939">
        <w:rPr>
          <w:rFonts w:ascii="Palatino Linotype" w:eastAsia="Palatino Linotype" w:hAnsi="Palatino Linotype" w:cs="Palatino Linotype"/>
          <w:sz w:val="24"/>
          <w:szCs w:val="24"/>
        </w:rPr>
        <w:t xml:space="preserve">previa búsqueda exhaustiva y razonable, </w:t>
      </w:r>
      <w:r w:rsidR="00646B44" w:rsidRPr="00065939">
        <w:rPr>
          <w:rFonts w:ascii="Palatino Linotype" w:eastAsia="Palatino Linotype" w:hAnsi="Palatino Linotype" w:cs="Palatino Linotype"/>
          <w:sz w:val="24"/>
          <w:szCs w:val="24"/>
        </w:rPr>
        <w:t xml:space="preserve">vía Sistema de Acceso a la Información Mexiquense, en versión pública, </w:t>
      </w:r>
      <w:r w:rsidRPr="00065939">
        <w:rPr>
          <w:rFonts w:ascii="Palatino Linotype" w:eastAsia="Palatino Linotype" w:hAnsi="Palatino Linotype" w:cs="Palatino Linotype"/>
          <w:sz w:val="24"/>
          <w:szCs w:val="24"/>
        </w:rPr>
        <w:t xml:space="preserve">de los </w:t>
      </w:r>
      <w:r w:rsidRPr="00065939">
        <w:rPr>
          <w:rFonts w:ascii="Palatino Linotype" w:eastAsia="Palatino Linotype" w:hAnsi="Palatino Linotype" w:cs="Palatino Linotype"/>
          <w:b/>
          <w:bCs/>
          <w:sz w:val="24"/>
          <w:szCs w:val="24"/>
        </w:rPr>
        <w:t xml:space="preserve">recibos de nómina del Presidente Municipal y de los Regidores de la </w:t>
      </w:r>
      <w:r w:rsidR="00582034" w:rsidRPr="00065939">
        <w:rPr>
          <w:rFonts w:ascii="Palatino Linotype" w:eastAsia="Palatino Linotype" w:hAnsi="Palatino Linotype" w:cs="Palatino Linotype"/>
          <w:b/>
          <w:bCs/>
          <w:sz w:val="24"/>
          <w:szCs w:val="24"/>
        </w:rPr>
        <w:t>primer quincena de junio</w:t>
      </w:r>
      <w:r w:rsidRPr="00065939">
        <w:rPr>
          <w:rFonts w:ascii="Palatino Linotype" w:eastAsia="Palatino Linotype" w:hAnsi="Palatino Linotype" w:cs="Palatino Linotype"/>
          <w:b/>
          <w:bCs/>
          <w:sz w:val="24"/>
          <w:szCs w:val="24"/>
        </w:rPr>
        <w:t xml:space="preserve"> de dos mil veintidós. </w:t>
      </w:r>
    </w:p>
    <w:p w14:paraId="35D765F3"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236EE05D"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FA21564" w14:textId="77777777" w:rsidR="00F8557D" w:rsidRPr="00065939" w:rsidRDefault="00F8557D">
      <w:pPr>
        <w:tabs>
          <w:tab w:val="left" w:pos="993"/>
        </w:tabs>
        <w:spacing w:after="0" w:line="360" w:lineRule="auto"/>
        <w:ind w:right="-28"/>
        <w:jc w:val="both"/>
        <w:rPr>
          <w:rFonts w:ascii="Palatino Linotype" w:eastAsia="Palatino Linotype" w:hAnsi="Palatino Linotype" w:cs="Palatino Linotype"/>
          <w:sz w:val="24"/>
          <w:szCs w:val="24"/>
        </w:rPr>
      </w:pPr>
    </w:p>
    <w:p w14:paraId="42501659" w14:textId="2F069550" w:rsidR="00582034"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Quinto. De la versión pública.</w:t>
      </w:r>
      <w:r w:rsidRPr="00065939">
        <w:rPr>
          <w:rFonts w:ascii="Palatino Linotype" w:eastAsia="Palatino Linotype" w:hAnsi="Palatino Linotype" w:cs="Palatino Linotype"/>
          <w:sz w:val="24"/>
          <w:szCs w:val="24"/>
        </w:rPr>
        <w:t xml:space="preserve"> </w:t>
      </w:r>
      <w:r w:rsidR="00582034" w:rsidRPr="00065939">
        <w:rPr>
          <w:rFonts w:ascii="Palatino Linotype" w:eastAsia="Palatino Linotype" w:hAnsi="Palatino Linotype" w:cs="Palatino Linotype"/>
          <w:sz w:val="24"/>
          <w:szCs w:val="24"/>
        </w:rPr>
        <w:t>Debido a que lo solicitado por el Recurrente</w:t>
      </w:r>
      <w:r w:rsidR="008701A3" w:rsidRPr="00065939">
        <w:rPr>
          <w:rFonts w:ascii="Palatino Linotype" w:eastAsia="Palatino Linotype" w:hAnsi="Palatino Linotype" w:cs="Palatino Linotype"/>
          <w:sz w:val="24"/>
          <w:szCs w:val="24"/>
        </w:rPr>
        <w:t xml:space="preserve"> consisten en recibos de nómina, </w:t>
      </w:r>
      <w:r w:rsidR="00347010" w:rsidRPr="00065939">
        <w:rPr>
          <w:rFonts w:ascii="Palatino Linotype" w:eastAsia="Palatino Linotype" w:hAnsi="Palatino Linotype" w:cs="Palatino Linotype"/>
          <w:sz w:val="24"/>
          <w:szCs w:val="24"/>
        </w:rPr>
        <w:t xml:space="preserve">se identificó que el Sujeto Obligado hizo entrega de información en donde clasificó diversos datos, los cuales no se logra identificar a cuáles pertenecen, sin embargo, es importante destacar que los recibos de nómina contienen datos personales relativos al RFC, CURP, Clave de ISSEMyM, Código QR, deducciones personales, entre otros, por lo cual, la información que deberá ser puesta a disposición del Particular será en versión pública, lo que se considera procedente analizar esos datos personales y en su caso, confirmar la clasificación en términos del artículo 143, fracción  I de la Ley de Transparencia y Acceso a la Información Pública, al tenor de lo siguiente: </w:t>
      </w:r>
    </w:p>
    <w:p w14:paraId="2A9AFA27" w14:textId="03CC0A3A" w:rsidR="00347010" w:rsidRPr="00065939" w:rsidRDefault="00347010" w:rsidP="00347010">
      <w:pPr>
        <w:pStyle w:val="Prrafodelista"/>
        <w:numPr>
          <w:ilvl w:val="0"/>
          <w:numId w:val="9"/>
        </w:numPr>
        <w:spacing w:after="0" w:line="360" w:lineRule="auto"/>
        <w:ind w:right="49"/>
        <w:jc w:val="both"/>
        <w:rPr>
          <w:rFonts w:ascii="Palatino Linotype" w:hAnsi="Palatino Linotype"/>
        </w:rPr>
      </w:pPr>
      <w:r w:rsidRPr="00065939">
        <w:rPr>
          <w:rFonts w:ascii="Palatino Linotype" w:hAnsi="Palatino Linotype"/>
          <w:b/>
          <w:bCs/>
        </w:rPr>
        <w:lastRenderedPageBreak/>
        <w:t>Clave Única de Registro de Población (CURP</w:t>
      </w:r>
      <w:r w:rsidRPr="00065939">
        <w:rPr>
          <w:rFonts w:ascii="Palatino Linotype" w:hAnsi="Palatino Linotype"/>
        </w:rPr>
        <w:t xml:space="preserve">). 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 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 </w:t>
      </w:r>
    </w:p>
    <w:p w14:paraId="45B115AE" w14:textId="4F55DA07" w:rsidR="00347010" w:rsidRPr="00065939" w:rsidRDefault="00347010" w:rsidP="00347010">
      <w:pPr>
        <w:pStyle w:val="Prrafodelista"/>
        <w:spacing w:after="0" w:line="360" w:lineRule="auto"/>
        <w:ind w:right="49"/>
        <w:jc w:val="both"/>
        <w:rPr>
          <w:rFonts w:ascii="Palatino Linotype" w:hAnsi="Palatino Linotype"/>
        </w:rPr>
      </w:pPr>
      <w:r w:rsidRPr="00065939">
        <w:rPr>
          <w:rFonts w:ascii="Palatino Linotype" w:hAnsi="Palatino Linotype"/>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B9A1A08" w14:textId="3B694881" w:rsidR="00347010" w:rsidRPr="00065939" w:rsidRDefault="00347010" w:rsidP="00347010">
      <w:pPr>
        <w:pStyle w:val="Prrafodelista"/>
        <w:spacing w:after="0" w:line="360" w:lineRule="auto"/>
        <w:ind w:right="49"/>
        <w:jc w:val="both"/>
        <w:rPr>
          <w:rFonts w:ascii="Palatino Linotype" w:hAnsi="Palatino Linotype"/>
        </w:rPr>
      </w:pPr>
      <w:r w:rsidRPr="00065939">
        <w:rPr>
          <w:rFonts w:ascii="Palatino Linotype" w:hAnsi="Palatino Linotype"/>
        </w:rPr>
        <w:t>Situación que se robustece, con el Criterio 18/17, emitido por el Instituto Nacional de Transparencia, Acceso a la Información y Protección de Datos Personales, que establece lo siguiente:</w:t>
      </w:r>
    </w:p>
    <w:p w14:paraId="510F5FFE" w14:textId="77777777" w:rsidR="00347010" w:rsidRPr="00065939" w:rsidRDefault="00347010" w:rsidP="00347010">
      <w:pPr>
        <w:pStyle w:val="Prrafodelista"/>
        <w:spacing w:after="0" w:line="360" w:lineRule="auto"/>
        <w:ind w:right="49"/>
        <w:jc w:val="both"/>
        <w:rPr>
          <w:rFonts w:ascii="Palatino Linotype" w:hAnsi="Palatino Linotype"/>
        </w:rPr>
      </w:pPr>
    </w:p>
    <w:p w14:paraId="63F5A979" w14:textId="77777777" w:rsidR="00347010" w:rsidRPr="00065939" w:rsidRDefault="00347010" w:rsidP="00347010">
      <w:pPr>
        <w:pStyle w:val="Prrafodelista"/>
        <w:spacing w:after="0" w:line="276" w:lineRule="auto"/>
        <w:ind w:left="1134" w:right="560"/>
        <w:jc w:val="both"/>
        <w:rPr>
          <w:rFonts w:ascii="Palatino Linotype" w:hAnsi="Palatino Linotype"/>
          <w:i/>
          <w:iCs/>
        </w:rPr>
      </w:pPr>
      <w:r w:rsidRPr="00065939">
        <w:rPr>
          <w:rFonts w:ascii="Palatino Linotype" w:hAnsi="Palatino Linotype"/>
          <w:i/>
          <w:iCs/>
        </w:rPr>
        <w:t>“</w:t>
      </w:r>
      <w:r w:rsidRPr="00065939">
        <w:rPr>
          <w:rFonts w:ascii="Palatino Linotype" w:hAnsi="Palatino Linotype"/>
          <w:b/>
          <w:bCs/>
          <w:i/>
          <w:iCs/>
        </w:rPr>
        <w:t xml:space="preserve">Clave Única de Registro de Población (CURP). </w:t>
      </w:r>
      <w:r w:rsidRPr="00065939">
        <w:rPr>
          <w:rFonts w:ascii="Palatino Linotype" w:hAnsi="Palatino Linotype"/>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8A40C1A" w14:textId="77777777" w:rsidR="00347010" w:rsidRPr="00065939" w:rsidRDefault="00347010" w:rsidP="00347010">
      <w:pPr>
        <w:pStyle w:val="Prrafodelista"/>
        <w:spacing w:after="0" w:line="360" w:lineRule="auto"/>
        <w:ind w:right="49"/>
        <w:jc w:val="both"/>
        <w:rPr>
          <w:rFonts w:ascii="Palatino Linotype" w:hAnsi="Palatino Linotype"/>
        </w:rPr>
      </w:pPr>
      <w:r w:rsidRPr="00065939">
        <w:rPr>
          <w:rFonts w:ascii="Palatino Linotype" w:hAnsi="Palatino Linotype"/>
        </w:rPr>
        <w:lastRenderedPageBreak/>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46405A1E" w14:textId="77777777" w:rsidR="00347010" w:rsidRPr="00065939" w:rsidRDefault="00347010" w:rsidP="00347010">
      <w:pPr>
        <w:spacing w:after="0" w:line="360" w:lineRule="auto"/>
        <w:ind w:right="49"/>
        <w:jc w:val="both"/>
      </w:pPr>
    </w:p>
    <w:p w14:paraId="44E8072F" w14:textId="77777777" w:rsidR="00347010" w:rsidRPr="00065939" w:rsidRDefault="00347010" w:rsidP="00347010">
      <w:pPr>
        <w:pStyle w:val="Prrafodelista"/>
        <w:numPr>
          <w:ilvl w:val="0"/>
          <w:numId w:val="9"/>
        </w:numPr>
        <w:spacing w:after="0" w:line="360" w:lineRule="auto"/>
        <w:ind w:right="49"/>
        <w:jc w:val="both"/>
        <w:rPr>
          <w:rFonts w:ascii="Palatino Linotype" w:hAnsi="Palatino Linotype"/>
        </w:rPr>
      </w:pPr>
      <w:r w:rsidRPr="00065939">
        <w:rPr>
          <w:rFonts w:ascii="Palatino Linotype" w:hAnsi="Palatino Linotype"/>
          <w:b/>
          <w:bCs/>
        </w:rPr>
        <w:t>Registro Federal de Contribuyentes (RFC).</w:t>
      </w:r>
      <w:r w:rsidRPr="00065939">
        <w:rPr>
          <w:rFonts w:ascii="Palatino Linotype" w:hAnsi="Palatino Linotype"/>
        </w:rPr>
        <w:t xml:space="preserve"> 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 </w:t>
      </w:r>
    </w:p>
    <w:p w14:paraId="6E58594B" w14:textId="09C692C4" w:rsidR="00347010" w:rsidRPr="00065939" w:rsidRDefault="00347010" w:rsidP="00347010">
      <w:pPr>
        <w:pStyle w:val="Prrafodelista"/>
        <w:spacing w:after="0" w:line="360" w:lineRule="auto"/>
        <w:ind w:right="49"/>
        <w:jc w:val="both"/>
        <w:rPr>
          <w:rFonts w:ascii="Palatino Linotype" w:hAnsi="Palatino Linotype"/>
        </w:rPr>
      </w:pPr>
      <w:r w:rsidRPr="00065939">
        <w:rPr>
          <w:rFonts w:ascii="Palatino Linotype" w:hAnsi="Palatino Linotype"/>
        </w:rPr>
        <w:t xml:space="preserve">De acuerdo con lo establecido en el artículo en comento, esta clave se compone de trece caracteres alfanuméricos, con datos obtenidos de los apellidos, nombre(s), fecha de nacimiento del titular, más una </w:t>
      </w:r>
      <w:proofErr w:type="spellStart"/>
      <w:r w:rsidRPr="00065939">
        <w:rPr>
          <w:rFonts w:ascii="Palatino Linotype" w:hAnsi="Palatino Linotype"/>
        </w:rPr>
        <w:t>homoclave</w:t>
      </w:r>
      <w:proofErr w:type="spellEnd"/>
      <w:r w:rsidRPr="00065939">
        <w:rPr>
          <w:rFonts w:ascii="Palatino Linotype" w:hAnsi="Palatino Linotype"/>
        </w:rPr>
        <w:t xml:space="preserve"> que establece el sistema automático del Servicio de Administración Tributaria.</w:t>
      </w:r>
    </w:p>
    <w:p w14:paraId="0333115C" w14:textId="7652C172" w:rsidR="00347010" w:rsidRPr="00065939" w:rsidRDefault="00347010" w:rsidP="00347010">
      <w:pPr>
        <w:pStyle w:val="Prrafodelista"/>
        <w:spacing w:after="0" w:line="360" w:lineRule="auto"/>
        <w:ind w:right="49"/>
        <w:jc w:val="both"/>
        <w:rPr>
          <w:rFonts w:ascii="Palatino Linotype" w:hAnsi="Palatino Linotype"/>
        </w:rPr>
      </w:pPr>
      <w:r w:rsidRPr="00065939">
        <w:rPr>
          <w:rFonts w:ascii="Palatino Linotype" w:hAnsi="Palatino Linotype"/>
        </w:rPr>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w:t>
      </w:r>
    </w:p>
    <w:p w14:paraId="6E82FD39" w14:textId="77777777" w:rsidR="00347010" w:rsidRPr="00065939" w:rsidRDefault="00347010" w:rsidP="00347010">
      <w:pPr>
        <w:pStyle w:val="Prrafodelista"/>
        <w:spacing w:after="0" w:line="360" w:lineRule="auto"/>
        <w:ind w:right="49"/>
        <w:jc w:val="both"/>
        <w:rPr>
          <w:rFonts w:ascii="Palatino Linotype" w:hAnsi="Palatino Linotype"/>
        </w:rPr>
      </w:pPr>
      <w:r w:rsidRPr="00065939">
        <w:rPr>
          <w:rFonts w:ascii="Palatino Linotype" w:hAnsi="Palatino Linotype"/>
        </w:rPr>
        <w:t xml:space="preserve">Lo anterior, resulta congruente con el Criterio 19/17 emitido por el Instituto Nacional de Transparencia, Acceso a la Información y Protección de Datos Personales, en el cual se señala lo siguiente: </w:t>
      </w:r>
    </w:p>
    <w:p w14:paraId="5F2C59E4" w14:textId="051905D5" w:rsidR="00347010" w:rsidRPr="00065939" w:rsidRDefault="00347010" w:rsidP="00347010">
      <w:pPr>
        <w:pStyle w:val="Prrafodelista"/>
        <w:spacing w:after="0" w:line="276" w:lineRule="auto"/>
        <w:ind w:right="49"/>
        <w:jc w:val="both"/>
        <w:rPr>
          <w:rFonts w:ascii="Palatino Linotype" w:hAnsi="Palatino Linotype"/>
          <w:i/>
          <w:iCs/>
        </w:rPr>
      </w:pPr>
      <w:r w:rsidRPr="00065939">
        <w:rPr>
          <w:rFonts w:ascii="Palatino Linotype" w:hAnsi="Palatino Linotype"/>
          <w:i/>
          <w:iCs/>
        </w:rPr>
        <w:lastRenderedPageBreak/>
        <w:t>“</w:t>
      </w:r>
      <w:r w:rsidRPr="00065939">
        <w:rPr>
          <w:rFonts w:ascii="Palatino Linotype" w:hAnsi="Palatino Linotype"/>
          <w:b/>
          <w:bCs/>
          <w:i/>
          <w:iCs/>
        </w:rPr>
        <w:t>Registro Federal de Contribuyentes (RFC) de personas físicas.</w:t>
      </w:r>
      <w:r w:rsidRPr="00065939">
        <w:rPr>
          <w:rFonts w:ascii="Palatino Linotype" w:hAnsi="Palatino Linotype"/>
          <w:i/>
          <w:iCs/>
        </w:rPr>
        <w:t xml:space="preserve"> El RFC es una clave de carácter fiscal, única e irrepetible, que permite identificar al titular, su edad y fecha de nacimiento, por lo que es un dato personal de carácter confidencial.”</w:t>
      </w:r>
    </w:p>
    <w:p w14:paraId="2C015D0D" w14:textId="77777777" w:rsidR="00347010" w:rsidRPr="00065939" w:rsidRDefault="00347010" w:rsidP="00347010">
      <w:pPr>
        <w:pStyle w:val="Prrafodelista"/>
        <w:spacing w:after="0" w:line="276" w:lineRule="auto"/>
        <w:ind w:right="49"/>
        <w:jc w:val="both"/>
        <w:rPr>
          <w:rFonts w:ascii="Palatino Linotype" w:hAnsi="Palatino Linotype"/>
          <w:i/>
          <w:iCs/>
        </w:rPr>
      </w:pPr>
    </w:p>
    <w:p w14:paraId="5FD4194A" w14:textId="59F0D14E" w:rsidR="00347010" w:rsidRPr="00065939" w:rsidRDefault="00347010" w:rsidP="00347010">
      <w:pPr>
        <w:pStyle w:val="Prrafodelista"/>
        <w:spacing w:after="0" w:line="360" w:lineRule="auto"/>
        <w:ind w:right="49"/>
        <w:jc w:val="both"/>
        <w:rPr>
          <w:rFonts w:ascii="Palatino Linotype" w:hAnsi="Palatino Linotype"/>
        </w:rPr>
      </w:pPr>
      <w:r w:rsidRPr="00065939">
        <w:rPr>
          <w:rFonts w:ascii="Palatino Linotype" w:hAnsi="Palatino Linotype"/>
        </w:rPr>
        <w:t xml:space="preserve"> 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w:t>
      </w:r>
    </w:p>
    <w:p w14:paraId="069A72FC" w14:textId="77777777" w:rsidR="0089546B" w:rsidRPr="00065939" w:rsidRDefault="0089546B" w:rsidP="00347010">
      <w:pPr>
        <w:pStyle w:val="Prrafodelista"/>
        <w:spacing w:after="0" w:line="360" w:lineRule="auto"/>
        <w:ind w:right="49"/>
        <w:jc w:val="both"/>
        <w:rPr>
          <w:rFonts w:ascii="Palatino Linotype" w:hAnsi="Palatino Linotype"/>
        </w:rPr>
      </w:pPr>
    </w:p>
    <w:p w14:paraId="681B1B85" w14:textId="77777777" w:rsidR="0089546B" w:rsidRPr="00065939" w:rsidRDefault="00347010" w:rsidP="0089546B">
      <w:pPr>
        <w:pStyle w:val="Prrafodelista"/>
        <w:numPr>
          <w:ilvl w:val="0"/>
          <w:numId w:val="9"/>
        </w:numPr>
        <w:spacing w:after="0" w:line="360" w:lineRule="auto"/>
        <w:ind w:right="49"/>
        <w:jc w:val="both"/>
        <w:rPr>
          <w:rFonts w:ascii="Palatino Linotype" w:eastAsia="Palatino Linotype" w:hAnsi="Palatino Linotype" w:cs="Palatino Linotype"/>
          <w:sz w:val="24"/>
          <w:szCs w:val="24"/>
        </w:rPr>
      </w:pPr>
      <w:r w:rsidRPr="00065939">
        <w:rPr>
          <w:rFonts w:ascii="Palatino Linotype" w:hAnsi="Palatino Linotype"/>
          <w:b/>
          <w:bCs/>
        </w:rPr>
        <w:t xml:space="preserve">Código bidimensional o </w:t>
      </w:r>
      <w:proofErr w:type="spellStart"/>
      <w:r w:rsidRPr="00065939">
        <w:rPr>
          <w:rFonts w:ascii="Palatino Linotype" w:hAnsi="Palatino Linotype"/>
          <w:b/>
          <w:bCs/>
        </w:rPr>
        <w:t>Qr</w:t>
      </w:r>
      <w:proofErr w:type="spellEnd"/>
      <w:r w:rsidRPr="00065939">
        <w:rPr>
          <w:rFonts w:ascii="Palatino Linotype" w:hAnsi="Palatino Linotype"/>
          <w:b/>
          <w:bCs/>
        </w:rPr>
        <w:t>.</w:t>
      </w:r>
      <w:r w:rsidRPr="00065939">
        <w:rPr>
          <w:rFonts w:ascii="Palatino Linotype" w:hAnsi="Palatino Linotype"/>
        </w:rPr>
        <w:t xml:space="preserve"> En principio, resulta necesario señalar que los comprobantes fiscales digitales por Internet, deben de incluir un código bidimensional conforme al formato QR </w:t>
      </w:r>
      <w:proofErr w:type="spellStart"/>
      <w:r w:rsidRPr="00065939">
        <w:rPr>
          <w:rFonts w:ascii="Palatino Linotype" w:hAnsi="Palatino Linotype"/>
        </w:rPr>
        <w:t>Code</w:t>
      </w:r>
      <w:proofErr w:type="spellEnd"/>
      <w:r w:rsidRPr="00065939">
        <w:rPr>
          <w:rFonts w:ascii="Palatino Linotype" w:hAnsi="Palatino Linotype"/>
        </w:rPr>
        <w:t xml:space="preserve"> (Quick Response </w:t>
      </w:r>
      <w:proofErr w:type="spellStart"/>
      <w:r w:rsidRPr="00065939">
        <w:rPr>
          <w:rFonts w:ascii="Palatino Linotype" w:hAnsi="Palatino Linotype"/>
        </w:rPr>
        <w:t>Code</w:t>
      </w:r>
      <w:proofErr w:type="spellEnd"/>
      <w:r w:rsidRPr="00065939">
        <w:rPr>
          <w:rFonts w:ascii="Palatino Linotype" w:hAnsi="Palatino Linotype"/>
        </w:rPr>
        <w:t xml:space="preserve">), el cual contiene el Registro Federal de Contribuyentes del receptor, del emisor, o de ambos. </w:t>
      </w:r>
    </w:p>
    <w:p w14:paraId="3975449C" w14:textId="77777777" w:rsidR="0089546B" w:rsidRPr="00065939" w:rsidRDefault="00347010" w:rsidP="0089546B">
      <w:pPr>
        <w:pStyle w:val="Prrafodelista"/>
        <w:spacing w:after="0" w:line="360" w:lineRule="auto"/>
        <w:ind w:right="49"/>
        <w:jc w:val="both"/>
        <w:rPr>
          <w:rFonts w:ascii="Palatino Linotype" w:hAnsi="Palatino Linotype"/>
        </w:rPr>
      </w:pPr>
      <w:r w:rsidRPr="00065939">
        <w:rPr>
          <w:rFonts w:ascii="Palatino Linotype" w:hAnsi="Palatino Linotype"/>
        </w:rPr>
        <w:t xml:space="preserve">Incluso con la captura de dicho código, a través de la aplicación móvil del Servicio de Administración Tributaria, permite el acceso al Registro Federal de Contribuyentes, como del Sujeto Obligado, como de los servidores públicos. </w:t>
      </w:r>
    </w:p>
    <w:p w14:paraId="0D79F134" w14:textId="72FB9AF9" w:rsidR="0089546B" w:rsidRPr="00065939" w:rsidRDefault="00347010" w:rsidP="0089546B">
      <w:pPr>
        <w:pStyle w:val="Prrafodelista"/>
        <w:spacing w:after="0" w:line="360" w:lineRule="auto"/>
        <w:ind w:right="49"/>
        <w:jc w:val="both"/>
        <w:rPr>
          <w:rFonts w:ascii="Palatino Linotype" w:eastAsia="Palatino Linotype" w:hAnsi="Palatino Linotype" w:cs="Palatino Linotype"/>
          <w:sz w:val="24"/>
          <w:szCs w:val="24"/>
        </w:rPr>
      </w:pPr>
      <w:r w:rsidRPr="00065939">
        <w:rPr>
          <w:rFonts w:ascii="Palatino Linotype" w:hAnsi="Palatino Linotype"/>
        </w:rPr>
        <w:t xml:space="preserve">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 </w:t>
      </w:r>
    </w:p>
    <w:p w14:paraId="678CDF93" w14:textId="77777777" w:rsidR="0089546B" w:rsidRPr="00065939" w:rsidRDefault="0089546B" w:rsidP="0089546B">
      <w:pPr>
        <w:pStyle w:val="Prrafodelista"/>
        <w:spacing w:after="0" w:line="360" w:lineRule="auto"/>
        <w:ind w:right="49"/>
        <w:jc w:val="both"/>
      </w:pPr>
    </w:p>
    <w:p w14:paraId="2E1D25CA" w14:textId="16401B1A" w:rsidR="0089546B" w:rsidRPr="00065939" w:rsidRDefault="0089546B" w:rsidP="0089546B">
      <w:pPr>
        <w:pStyle w:val="Prrafodelista"/>
        <w:numPr>
          <w:ilvl w:val="0"/>
          <w:numId w:val="9"/>
        </w:numPr>
        <w:spacing w:after="0" w:line="360" w:lineRule="auto"/>
        <w:ind w:right="49"/>
        <w:jc w:val="both"/>
        <w:rPr>
          <w:rFonts w:ascii="Palatino Linotype" w:hAnsi="Palatino Linotype"/>
        </w:rPr>
      </w:pPr>
      <w:r w:rsidRPr="00065939">
        <w:rPr>
          <w:rFonts w:ascii="Palatino Linotype" w:hAnsi="Palatino Linotype"/>
          <w:b/>
          <w:bCs/>
        </w:rPr>
        <w:t>Número de seguridad social del Instituto de Seguridad Social del Estado de México y Municipios.</w:t>
      </w:r>
      <w:r w:rsidRPr="00065939">
        <w:rPr>
          <w:rFonts w:ascii="Palatino Linotype" w:hAnsi="Palatino Linotype"/>
        </w:rPr>
        <w:t xml:space="preserve"> El Instituto de Seguridad Social del Estado de México y Municipios (ISSEMYM) es el organismo público encargado de proporcionar los servicios de seguridad social a los servidores públicos del Estado de México, con el objetivo de </w:t>
      </w:r>
      <w:r w:rsidRPr="00065939">
        <w:rPr>
          <w:rFonts w:ascii="Palatino Linotype" w:hAnsi="Palatino Linotype"/>
        </w:rPr>
        <w:lastRenderedPageBreak/>
        <w:t>garantizar a los derechohabientes el acceso a las prestaciones que otorga, de conformidad con el artículo 14 de la Ley de Seguridad Social para los Servidores Públicos del Estado de México y Municipios.</w:t>
      </w:r>
    </w:p>
    <w:p w14:paraId="40900933" w14:textId="77777777" w:rsidR="0089546B" w:rsidRPr="00065939" w:rsidRDefault="0089546B" w:rsidP="0089546B">
      <w:pPr>
        <w:pStyle w:val="Prrafodelista"/>
        <w:spacing w:after="0" w:line="360" w:lineRule="auto"/>
        <w:ind w:right="49"/>
        <w:jc w:val="both"/>
        <w:rPr>
          <w:rFonts w:ascii="Palatino Linotype" w:hAnsi="Palatino Linotype"/>
        </w:rPr>
      </w:pPr>
      <w:r w:rsidRPr="00065939">
        <w:rPr>
          <w:rFonts w:ascii="Palatino Linotype" w:hAnsi="Palatino Linotype"/>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w:t>
      </w:r>
    </w:p>
    <w:p w14:paraId="39D1CC45" w14:textId="77777777" w:rsidR="0089546B" w:rsidRPr="00065939" w:rsidRDefault="0089546B" w:rsidP="0089546B">
      <w:pPr>
        <w:pStyle w:val="Prrafodelista"/>
        <w:spacing w:after="0" w:line="360" w:lineRule="auto"/>
        <w:ind w:right="49"/>
        <w:jc w:val="both"/>
        <w:rPr>
          <w:rFonts w:ascii="Palatino Linotype" w:hAnsi="Palatino Linotype"/>
        </w:rPr>
      </w:pPr>
      <w:r w:rsidRPr="00065939">
        <w:rPr>
          <w:rFonts w:ascii="Palatino Linotype" w:hAnsi="Palatino Linotype"/>
        </w:rPr>
        <w:t xml:space="preserve">En esta credencial se consignan diversos datos personales y se le asigna una clave para hacer identificable al trabajador con el objetivo de poder proporcionar los servicios que brinda el Instituto de Seguridad Social del Estado de México y Municipios. 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 </w:t>
      </w:r>
    </w:p>
    <w:p w14:paraId="345C6E97" w14:textId="40965333" w:rsidR="0089546B" w:rsidRPr="00065939" w:rsidRDefault="0089546B" w:rsidP="0089546B">
      <w:pPr>
        <w:pStyle w:val="Prrafodelista"/>
        <w:spacing w:after="0" w:line="360" w:lineRule="auto"/>
        <w:ind w:right="49"/>
        <w:jc w:val="both"/>
        <w:rPr>
          <w:rFonts w:ascii="Palatino Linotype" w:hAnsi="Palatino Linotype"/>
        </w:rPr>
      </w:pPr>
      <w:r w:rsidRPr="00065939">
        <w:rPr>
          <w:rFonts w:ascii="Palatino Linotype" w:hAnsi="Palatino Linotype"/>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6202A717" w14:textId="60656990" w:rsidR="0089546B" w:rsidRPr="00065939" w:rsidRDefault="0089546B" w:rsidP="0089546B">
      <w:pPr>
        <w:pStyle w:val="Prrafodelista"/>
        <w:numPr>
          <w:ilvl w:val="1"/>
          <w:numId w:val="8"/>
        </w:numPr>
        <w:tabs>
          <w:tab w:val="left" w:pos="851"/>
        </w:tabs>
        <w:spacing w:after="0" w:line="360" w:lineRule="auto"/>
        <w:ind w:left="567" w:right="49" w:firstLine="0"/>
        <w:jc w:val="both"/>
        <w:rPr>
          <w:rFonts w:ascii="Palatino Linotype" w:hAnsi="Palatino Linotype"/>
        </w:rPr>
      </w:pPr>
      <w:r w:rsidRPr="00065939">
        <w:rPr>
          <w:rFonts w:ascii="Palatino Linotype" w:hAnsi="Palatino Linotype"/>
          <w:b/>
          <w:bCs/>
        </w:rPr>
        <w:lastRenderedPageBreak/>
        <w:t>Datos Fiscales.</w:t>
      </w:r>
      <w:r w:rsidRPr="00065939">
        <w:rPr>
          <w:rFonts w:ascii="Palatino Linotype" w:hAnsi="Palatino Linotype"/>
        </w:rPr>
        <w:t xml:space="preserve"> 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w:t>
      </w:r>
    </w:p>
    <w:p w14:paraId="7265D631" w14:textId="5A2CF882" w:rsidR="0089546B" w:rsidRPr="00065939" w:rsidRDefault="0089546B" w:rsidP="0089546B">
      <w:pPr>
        <w:tabs>
          <w:tab w:val="left" w:pos="851"/>
        </w:tabs>
        <w:spacing w:after="0" w:line="360" w:lineRule="auto"/>
        <w:ind w:left="567" w:right="49"/>
        <w:jc w:val="both"/>
        <w:rPr>
          <w:rFonts w:ascii="Palatino Linotype" w:hAnsi="Palatino Linotype"/>
        </w:rPr>
      </w:pPr>
      <w:r w:rsidRPr="00065939">
        <w:rPr>
          <w:rFonts w:ascii="Palatino Linotype" w:hAnsi="Palatino Linotype"/>
        </w:rPr>
        <w:t>Es decir, por sí solas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A4667D3" w14:textId="4A09BFE6" w:rsidR="0089546B" w:rsidRPr="00065939" w:rsidRDefault="0089546B" w:rsidP="0089546B">
      <w:pPr>
        <w:tabs>
          <w:tab w:val="left" w:pos="851"/>
        </w:tabs>
        <w:spacing w:after="0" w:line="360" w:lineRule="auto"/>
        <w:ind w:left="567" w:right="49"/>
        <w:jc w:val="both"/>
        <w:rPr>
          <w:rFonts w:ascii="Palatino Linotype" w:hAnsi="Palatino Linotype"/>
        </w:rPr>
      </w:pPr>
    </w:p>
    <w:p w14:paraId="29A3C3AF" w14:textId="77777777" w:rsidR="0089546B" w:rsidRPr="00065939" w:rsidRDefault="0089546B" w:rsidP="0089546B">
      <w:pPr>
        <w:pStyle w:val="Prrafodelista"/>
        <w:numPr>
          <w:ilvl w:val="2"/>
          <w:numId w:val="8"/>
        </w:numPr>
        <w:tabs>
          <w:tab w:val="left" w:pos="851"/>
        </w:tabs>
        <w:spacing w:after="0" w:line="360" w:lineRule="auto"/>
        <w:ind w:left="567" w:right="49" w:firstLine="0"/>
        <w:jc w:val="both"/>
        <w:rPr>
          <w:rFonts w:ascii="Palatino Linotype" w:hAnsi="Palatino Linotype"/>
        </w:rPr>
      </w:pPr>
      <w:r w:rsidRPr="00065939">
        <w:rPr>
          <w:rFonts w:ascii="Palatino Linotype" w:hAnsi="Palatino Linotype"/>
          <w:b/>
          <w:bCs/>
        </w:rPr>
        <w:t>Préstamos o descuentos que se le hagan a los servidores públicos (créditos personales, fondo de resistencia del Sindicato Único de Trabajadores de los Poderes, Municipios e Institución Descentralizadas del Estado de México, seguro de vida, accidentes y enfermedades, pensiones alimenticias).</w:t>
      </w:r>
      <w:r w:rsidRPr="00065939">
        <w:rPr>
          <w:rFonts w:ascii="Palatino Linotype" w:hAnsi="Palatino Linotype"/>
        </w:rPr>
        <w:t xml:space="preserve"> Es necesario precisar que existen deducciones que se generan con motivo de una decisión libre y voluntaria de los servidores públicos, como son: créditos personales, fondo de resistencia del Sindicato Único de Trabajadores de los Poderes, Municipios e Institución Descentralizadas del Estado de México, seguro de vida, accidentes y enfermedades. </w:t>
      </w:r>
    </w:p>
    <w:p w14:paraId="5A9D56D3" w14:textId="77777777" w:rsidR="0089546B" w:rsidRPr="00065939" w:rsidRDefault="0089546B" w:rsidP="0089546B">
      <w:pPr>
        <w:pStyle w:val="Prrafodelista"/>
        <w:tabs>
          <w:tab w:val="left" w:pos="851"/>
        </w:tabs>
        <w:spacing w:after="0" w:line="360" w:lineRule="auto"/>
        <w:ind w:left="567" w:right="49"/>
        <w:jc w:val="both"/>
        <w:rPr>
          <w:rFonts w:ascii="Palatino Linotype" w:hAnsi="Palatino Linotype"/>
        </w:rPr>
      </w:pPr>
      <w:r w:rsidRPr="00065939">
        <w:rPr>
          <w:rFonts w:ascii="Palatino Linotype" w:hAnsi="Palatino Linotype"/>
        </w:rPr>
        <w:lastRenderedPageBreak/>
        <w:t xml:space="preserve">Asimismo, hay otras que se generan con motivo de una sentencia judicial, como es la pensión alimenticia que periódicamente se retira de la cuenta de un empleado, a efecto de que sea entregado a un tercero. </w:t>
      </w:r>
    </w:p>
    <w:p w14:paraId="0F230EA9" w14:textId="77777777" w:rsidR="0089546B" w:rsidRPr="00065939" w:rsidRDefault="0089546B" w:rsidP="0089546B">
      <w:pPr>
        <w:pStyle w:val="Prrafodelista"/>
        <w:tabs>
          <w:tab w:val="left" w:pos="851"/>
        </w:tabs>
        <w:spacing w:after="0" w:line="360" w:lineRule="auto"/>
        <w:ind w:left="567" w:right="49"/>
        <w:jc w:val="both"/>
        <w:rPr>
          <w:rFonts w:ascii="Palatino Linotype" w:hAnsi="Palatino Linotype"/>
        </w:rPr>
      </w:pPr>
      <w:r w:rsidRPr="00065939">
        <w:rPr>
          <w:rFonts w:ascii="Palatino Linotype" w:hAnsi="Palatino Linotype"/>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7313C7DF" w14:textId="6118CAA5" w:rsidR="0089546B" w:rsidRPr="00065939" w:rsidRDefault="0089546B" w:rsidP="0089546B">
      <w:pPr>
        <w:pStyle w:val="Prrafodelista"/>
        <w:tabs>
          <w:tab w:val="left" w:pos="851"/>
        </w:tabs>
        <w:spacing w:after="0" w:line="360" w:lineRule="auto"/>
        <w:ind w:left="567" w:right="49"/>
        <w:jc w:val="both"/>
        <w:rPr>
          <w:rFonts w:ascii="Palatino Linotype" w:hAnsi="Palatino Linotype"/>
        </w:rPr>
      </w:pPr>
      <w:r w:rsidRPr="00065939">
        <w:rPr>
          <w:rFonts w:ascii="Palatino Linotype" w:hAnsi="Palatino Linotype"/>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w:t>
      </w:r>
    </w:p>
    <w:p w14:paraId="3413F1D0" w14:textId="77777777" w:rsidR="0089546B" w:rsidRPr="00065939" w:rsidRDefault="0089546B" w:rsidP="0089546B">
      <w:pPr>
        <w:pStyle w:val="Prrafodelista"/>
        <w:spacing w:after="0" w:line="360" w:lineRule="auto"/>
        <w:ind w:right="49"/>
        <w:jc w:val="both"/>
      </w:pPr>
    </w:p>
    <w:p w14:paraId="381B93B7" w14:textId="38DC9462" w:rsidR="00F8557D" w:rsidRPr="00065939" w:rsidRDefault="0089546B" w:rsidP="0089546B">
      <w:pPr>
        <w:pStyle w:val="Prrafodelista"/>
        <w:spacing w:after="0" w:line="360" w:lineRule="auto"/>
        <w:ind w:left="0"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E</w:t>
      </w:r>
      <w:r w:rsidR="00646B44" w:rsidRPr="00065939">
        <w:rPr>
          <w:rFonts w:ascii="Palatino Linotype" w:eastAsia="Palatino Linotype" w:hAnsi="Palatino Linotype" w:cs="Palatino Linotype"/>
          <w:sz w:val="24"/>
          <w:szCs w:val="24"/>
        </w:rPr>
        <w:t>n atención a ello, es conveniente referir que el derecho de acceso a la información pública tiene como limitante el respeto a la intimidad y a la vida privada de las personas, es por ello que</w:t>
      </w:r>
      <w:r w:rsidRPr="00065939">
        <w:rPr>
          <w:rFonts w:ascii="Palatino Linotype" w:eastAsia="Palatino Linotype" w:hAnsi="Palatino Linotype" w:cs="Palatino Linotype"/>
          <w:sz w:val="24"/>
          <w:szCs w:val="24"/>
        </w:rPr>
        <w:t xml:space="preserve">, </w:t>
      </w:r>
      <w:r w:rsidR="00646B44" w:rsidRPr="00065939">
        <w:rPr>
          <w:rFonts w:ascii="Palatino Linotype" w:eastAsia="Palatino Linotype" w:hAnsi="Palatino Linotype" w:cs="Palatino Linotype"/>
          <w:sz w:val="24"/>
          <w:szCs w:val="24"/>
        </w:rPr>
        <w:t>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4FEAD06"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094074FB"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De este modo, en armonía entre los principios constitucionales de máxima publicidad y de protección de datos personales, la Ley de Transparencia y Acceso a la Información Pública, permite la elaboración de versiones públicas en las que se </w:t>
      </w:r>
      <w:r w:rsidRPr="00065939">
        <w:rPr>
          <w:rFonts w:ascii="Palatino Linotype" w:eastAsia="Palatino Linotype" w:hAnsi="Palatino Linotype" w:cs="Palatino Linotype"/>
          <w:sz w:val="24"/>
          <w:szCs w:val="24"/>
        </w:rPr>
        <w:lastRenderedPageBreak/>
        <w:t>suprima aquella información relacionada con la vida privada de las personas, tal como se prevé a continuación:</w:t>
      </w:r>
    </w:p>
    <w:p w14:paraId="08D484B3"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5BF36D64"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b/>
          <w:sz w:val="24"/>
          <w:szCs w:val="24"/>
        </w:rPr>
        <w:t xml:space="preserve"> </w:t>
      </w:r>
      <w:r w:rsidRPr="00065939">
        <w:rPr>
          <w:rFonts w:ascii="Palatino Linotype" w:eastAsia="Palatino Linotype" w:hAnsi="Palatino Linotype" w:cs="Palatino Linotype"/>
          <w:b/>
          <w:i/>
        </w:rPr>
        <w:t>Artículo 143.</w:t>
      </w:r>
      <w:r w:rsidRPr="00065939">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24B86F2B"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I.</w:t>
      </w:r>
      <w:r w:rsidRPr="00065939">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528D964B"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1CCB94A3"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4911FF71"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52815DCD"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47F873D0" w14:textId="77777777" w:rsidR="008645E3" w:rsidRPr="00065939" w:rsidRDefault="008645E3">
      <w:pPr>
        <w:spacing w:after="0" w:line="360" w:lineRule="auto"/>
        <w:ind w:right="49"/>
        <w:jc w:val="both"/>
        <w:rPr>
          <w:rFonts w:ascii="Palatino Linotype" w:eastAsia="Palatino Linotype" w:hAnsi="Palatino Linotype" w:cs="Palatino Linotype"/>
          <w:sz w:val="24"/>
          <w:szCs w:val="24"/>
        </w:rPr>
      </w:pPr>
    </w:p>
    <w:p w14:paraId="217FD372"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b/>
          <w:i/>
        </w:rPr>
        <w:t>Artículo 49.</w:t>
      </w:r>
      <w:r w:rsidRPr="00065939">
        <w:rPr>
          <w:rFonts w:ascii="Palatino Linotype" w:eastAsia="Palatino Linotype" w:hAnsi="Palatino Linotype" w:cs="Palatino Linotype"/>
          <w:i/>
        </w:rPr>
        <w:t xml:space="preserve"> Los Comités de Transparencia tendrán las siguientes atribuciones:</w:t>
      </w:r>
    </w:p>
    <w:p w14:paraId="3FDF90EF"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w:t>
      </w:r>
    </w:p>
    <w:p w14:paraId="7EC7F677"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VIII. Aprobar, modificar o revocar la clasificación de la información</w:t>
      </w:r>
    </w:p>
    <w:p w14:paraId="584724AC"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w:t>
      </w:r>
    </w:p>
    <w:p w14:paraId="3C56B4A0" w14:textId="77777777" w:rsidR="00F8557D" w:rsidRPr="00065939" w:rsidRDefault="00F8557D">
      <w:pPr>
        <w:spacing w:after="0" w:line="276" w:lineRule="auto"/>
        <w:ind w:left="567" w:right="560"/>
        <w:jc w:val="both"/>
        <w:rPr>
          <w:rFonts w:ascii="Palatino Linotype" w:eastAsia="Palatino Linotype" w:hAnsi="Palatino Linotype" w:cs="Palatino Linotype"/>
          <w:i/>
        </w:rPr>
      </w:pPr>
    </w:p>
    <w:p w14:paraId="655C254E"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b/>
          <w:i/>
        </w:rPr>
        <w:t>Artículo 53.</w:t>
      </w:r>
      <w:r w:rsidRPr="00065939">
        <w:rPr>
          <w:rFonts w:ascii="Palatino Linotype" w:eastAsia="Palatino Linotype" w:hAnsi="Palatino Linotype" w:cs="Palatino Linotype"/>
          <w:i/>
        </w:rPr>
        <w:t xml:space="preserve"> Las Unidades de Transparencia tendrán las siguientes funciones:</w:t>
      </w:r>
    </w:p>
    <w:p w14:paraId="1B10109B"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w:t>
      </w:r>
    </w:p>
    <w:p w14:paraId="5259DA08"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 xml:space="preserve">X. Presentar ante el Comité, el proyecto de clasificación de información…” </w:t>
      </w:r>
    </w:p>
    <w:p w14:paraId="2B10E579" w14:textId="6E39D242" w:rsidR="00F8557D" w:rsidRPr="00065939" w:rsidRDefault="00646B44" w:rsidP="0089546B">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w:t>
      </w:r>
    </w:p>
    <w:p w14:paraId="424014F8"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b/>
          <w:i/>
        </w:rPr>
        <w:lastRenderedPageBreak/>
        <w:t>Artículo 59.</w:t>
      </w:r>
      <w:r w:rsidRPr="00065939">
        <w:rPr>
          <w:rFonts w:ascii="Palatino Linotype" w:eastAsia="Palatino Linotype" w:hAnsi="Palatino Linotype" w:cs="Palatino Linotype"/>
          <w:i/>
        </w:rPr>
        <w:t xml:space="preserve"> Los servidores públicos habilitados tendrán las funciones siguientes:</w:t>
      </w:r>
    </w:p>
    <w:p w14:paraId="2F7148E8"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w:t>
      </w:r>
    </w:p>
    <w:p w14:paraId="2806CBD1"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7C5DB1B"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w:t>
      </w:r>
    </w:p>
    <w:p w14:paraId="6C736DE7" w14:textId="77777777" w:rsidR="00F8557D" w:rsidRPr="00065939" w:rsidRDefault="00646B44">
      <w:pPr>
        <w:spacing w:after="0" w:line="276"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i/>
        </w:rPr>
        <w:t xml:space="preserve"> </w:t>
      </w:r>
    </w:p>
    <w:p w14:paraId="234C219E"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3AB2770D"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6B8E0097" w14:textId="77777777" w:rsidR="00F8557D" w:rsidRPr="00065939" w:rsidRDefault="00646B44">
      <w:pPr>
        <w:spacing w:after="0" w:line="360" w:lineRule="auto"/>
        <w:ind w:left="567" w:right="560"/>
        <w:jc w:val="both"/>
        <w:rPr>
          <w:rFonts w:ascii="Palatino Linotype" w:eastAsia="Palatino Linotype" w:hAnsi="Palatino Linotype" w:cs="Palatino Linotype"/>
          <w:i/>
        </w:rPr>
      </w:pPr>
      <w:r w:rsidRPr="00065939">
        <w:rPr>
          <w:rFonts w:ascii="Palatino Linotype" w:eastAsia="Palatino Linotype" w:hAnsi="Palatino Linotype" w:cs="Palatino Linotype"/>
          <w:b/>
          <w:i/>
        </w:rPr>
        <w:t>Artículo 149.</w:t>
      </w:r>
      <w:r w:rsidRPr="00065939">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41B99D03"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 </w:t>
      </w:r>
    </w:p>
    <w:p w14:paraId="08C9552F"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065939">
        <w:rPr>
          <w:rFonts w:ascii="Palatino Linotype" w:eastAsia="Palatino Linotype" w:hAnsi="Palatino Linotype" w:cs="Palatino Linotype"/>
          <w:sz w:val="24"/>
          <w:szCs w:val="24"/>
        </w:rPr>
        <w:t>supraindicados</w:t>
      </w:r>
      <w:proofErr w:type="spellEnd"/>
      <w:r w:rsidRPr="00065939">
        <w:rPr>
          <w:rFonts w:ascii="Palatino Linotype" w:eastAsia="Palatino Linotype" w:hAnsi="Palatino Linotype" w:cs="Palatino Linotype"/>
          <w:sz w:val="24"/>
          <w:szCs w:val="24"/>
        </w:rPr>
        <w:t xml:space="preserve">, que establecen los formatos para la clasificación parcial y total de los documentos, conforme a lo siguiente: </w:t>
      </w:r>
    </w:p>
    <w:p w14:paraId="2ED59E6D"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tbl>
      <w:tblPr>
        <w:tblStyle w:val="a2"/>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065939" w:rsidRPr="00065939" w14:paraId="10BDCE51"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542B97D5"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276CB739"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Total</w:t>
            </w:r>
          </w:p>
        </w:tc>
      </w:tr>
      <w:tr w:rsidR="00065939" w:rsidRPr="00065939" w14:paraId="3E969D22" w14:textId="77777777">
        <w:tc>
          <w:tcPr>
            <w:tcW w:w="1386" w:type="dxa"/>
            <w:tcBorders>
              <w:top w:val="single" w:sz="6" w:space="0" w:color="BFBFBF"/>
              <w:left w:val="single" w:sz="6" w:space="0" w:color="BFBFBF"/>
              <w:bottom w:val="single" w:sz="6" w:space="0" w:color="BFBFBF"/>
              <w:right w:val="single" w:sz="6" w:space="0" w:color="BFBFBF"/>
            </w:tcBorders>
          </w:tcPr>
          <w:p w14:paraId="5CA0AD46"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1B244AF2"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5A5BEAB2"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347A521"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b/>
                <w:sz w:val="18"/>
                <w:szCs w:val="18"/>
              </w:rPr>
              <w:t>Dónde</w:t>
            </w:r>
          </w:p>
        </w:tc>
      </w:tr>
      <w:tr w:rsidR="00065939" w:rsidRPr="00065939" w14:paraId="136A5B94"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3316F965"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Sello oficial o logotipo del sujeto obligado</w:t>
            </w:r>
          </w:p>
        </w:tc>
      </w:tr>
      <w:tr w:rsidR="00065939" w:rsidRPr="00065939" w14:paraId="57AC5C53" w14:textId="77777777">
        <w:tc>
          <w:tcPr>
            <w:tcW w:w="1386" w:type="dxa"/>
            <w:tcBorders>
              <w:top w:val="single" w:sz="6" w:space="0" w:color="BFBFBF"/>
              <w:left w:val="single" w:sz="6" w:space="0" w:color="BFBFBF"/>
              <w:bottom w:val="single" w:sz="6" w:space="0" w:color="BFBFBF"/>
              <w:right w:val="single" w:sz="6" w:space="0" w:color="BFBFBF"/>
            </w:tcBorders>
          </w:tcPr>
          <w:p w14:paraId="724805F8"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lastRenderedPageBreak/>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5019E6B1"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0CB3E7D9"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6CD2379C"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065939" w:rsidRPr="00065939" w14:paraId="26AECC22" w14:textId="77777777">
        <w:tc>
          <w:tcPr>
            <w:tcW w:w="1386" w:type="dxa"/>
            <w:tcBorders>
              <w:top w:val="single" w:sz="6" w:space="0" w:color="BFBFBF"/>
              <w:left w:val="single" w:sz="6" w:space="0" w:color="BFBFBF"/>
              <w:bottom w:val="single" w:sz="6" w:space="0" w:color="BFBFBF"/>
              <w:right w:val="single" w:sz="6" w:space="0" w:color="BFBFBF"/>
            </w:tcBorders>
          </w:tcPr>
          <w:p w14:paraId="0A5EB159"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6DC66AF6"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70025214"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2413CD11"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Se señalará el nombre del área de la cual es el titular quien clasifica.</w:t>
            </w:r>
          </w:p>
        </w:tc>
      </w:tr>
      <w:tr w:rsidR="00065939" w:rsidRPr="00065939" w14:paraId="6D157F5B" w14:textId="77777777">
        <w:tc>
          <w:tcPr>
            <w:tcW w:w="1386" w:type="dxa"/>
            <w:tcBorders>
              <w:top w:val="single" w:sz="6" w:space="0" w:color="BFBFBF"/>
              <w:left w:val="single" w:sz="6" w:space="0" w:color="BFBFBF"/>
              <w:bottom w:val="single" w:sz="6" w:space="0" w:color="BFBFBF"/>
              <w:right w:val="single" w:sz="6" w:space="0" w:color="BFBFBF"/>
            </w:tcBorders>
          </w:tcPr>
          <w:p w14:paraId="1ADA0EB8"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3A735E91"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76FFC394"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4CFEFBFA"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Leyenda de información RESERVADA.</w:t>
            </w:r>
          </w:p>
        </w:tc>
      </w:tr>
      <w:tr w:rsidR="00065939" w:rsidRPr="00065939" w14:paraId="25273F22" w14:textId="77777777">
        <w:tc>
          <w:tcPr>
            <w:tcW w:w="1386" w:type="dxa"/>
            <w:tcBorders>
              <w:top w:val="single" w:sz="6" w:space="0" w:color="BFBFBF"/>
              <w:left w:val="single" w:sz="6" w:space="0" w:color="BFBFBF"/>
              <w:bottom w:val="single" w:sz="6" w:space="0" w:color="BFBFBF"/>
              <w:right w:val="single" w:sz="6" w:space="0" w:color="BFBFBF"/>
            </w:tcBorders>
          </w:tcPr>
          <w:p w14:paraId="6CC3C895"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2DF2E627"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5A7440E8"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38EADCD9"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065939" w:rsidRPr="00065939" w14:paraId="6B3C9089" w14:textId="77777777">
        <w:tc>
          <w:tcPr>
            <w:tcW w:w="1386" w:type="dxa"/>
            <w:tcBorders>
              <w:top w:val="single" w:sz="6" w:space="0" w:color="BFBFBF"/>
              <w:left w:val="single" w:sz="6" w:space="0" w:color="BFBFBF"/>
              <w:bottom w:val="single" w:sz="6" w:space="0" w:color="BFBFBF"/>
              <w:right w:val="single" w:sz="6" w:space="0" w:color="BFBFBF"/>
            </w:tcBorders>
          </w:tcPr>
          <w:p w14:paraId="6DADCE12"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3FC776C2"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6223D1CF"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334CA2B"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065939" w:rsidRPr="00065939" w14:paraId="65EE515C" w14:textId="77777777">
        <w:tc>
          <w:tcPr>
            <w:tcW w:w="1386" w:type="dxa"/>
            <w:tcBorders>
              <w:top w:val="single" w:sz="6" w:space="0" w:color="BFBFBF"/>
              <w:left w:val="single" w:sz="6" w:space="0" w:color="BFBFBF"/>
              <w:bottom w:val="single" w:sz="6" w:space="0" w:color="BFBFBF"/>
              <w:right w:val="single" w:sz="6" w:space="0" w:color="BFBFBF"/>
            </w:tcBorders>
          </w:tcPr>
          <w:p w14:paraId="0D81CB76"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lastRenderedPageBreak/>
              <w:t>Confidencial</w:t>
            </w:r>
          </w:p>
        </w:tc>
        <w:tc>
          <w:tcPr>
            <w:tcW w:w="2848" w:type="dxa"/>
            <w:tcBorders>
              <w:top w:val="single" w:sz="6" w:space="0" w:color="BFBFBF"/>
              <w:left w:val="single" w:sz="6" w:space="0" w:color="BFBFBF"/>
              <w:bottom w:val="single" w:sz="6" w:space="0" w:color="BFBFBF"/>
              <w:right w:val="single" w:sz="6" w:space="0" w:color="BFBFBF"/>
            </w:tcBorders>
          </w:tcPr>
          <w:p w14:paraId="476732BA"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5D11E0A3"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11E3A99B"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065939" w:rsidRPr="00065939" w14:paraId="3143B63D" w14:textId="77777777">
        <w:tc>
          <w:tcPr>
            <w:tcW w:w="1386" w:type="dxa"/>
            <w:tcBorders>
              <w:top w:val="single" w:sz="6" w:space="0" w:color="BFBFBF"/>
              <w:left w:val="single" w:sz="6" w:space="0" w:color="BFBFBF"/>
              <w:bottom w:val="single" w:sz="6" w:space="0" w:color="BFBFBF"/>
              <w:right w:val="single" w:sz="6" w:space="0" w:color="BFBFBF"/>
            </w:tcBorders>
          </w:tcPr>
          <w:p w14:paraId="02B41D27"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2CF15C4"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6D82EDAC"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52E4DEC9"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Leyenda de información CONFIDENCIAL.</w:t>
            </w:r>
          </w:p>
        </w:tc>
      </w:tr>
      <w:tr w:rsidR="00065939" w:rsidRPr="00065939" w14:paraId="33C9217D" w14:textId="77777777">
        <w:tc>
          <w:tcPr>
            <w:tcW w:w="1386" w:type="dxa"/>
            <w:tcBorders>
              <w:top w:val="single" w:sz="6" w:space="0" w:color="BFBFBF"/>
              <w:left w:val="single" w:sz="6" w:space="0" w:color="BFBFBF"/>
              <w:bottom w:val="single" w:sz="6" w:space="0" w:color="BFBFBF"/>
              <w:right w:val="single" w:sz="6" w:space="0" w:color="BFBFBF"/>
            </w:tcBorders>
          </w:tcPr>
          <w:p w14:paraId="0DB3073F"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2829C17F"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64F0F529"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0AF9FF70"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065939" w:rsidRPr="00065939" w14:paraId="1E5EC0FD" w14:textId="77777777">
        <w:tc>
          <w:tcPr>
            <w:tcW w:w="1386" w:type="dxa"/>
            <w:tcBorders>
              <w:top w:val="single" w:sz="6" w:space="0" w:color="BFBFBF"/>
              <w:left w:val="single" w:sz="6" w:space="0" w:color="BFBFBF"/>
              <w:bottom w:val="single" w:sz="6" w:space="0" w:color="BFBFBF"/>
              <w:right w:val="single" w:sz="6" w:space="0" w:color="BFBFBF"/>
            </w:tcBorders>
          </w:tcPr>
          <w:p w14:paraId="46167BEC"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679CD975"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074F5DB6"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0ACABA6E"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Rúbrica autógrafa de quien clasifica.</w:t>
            </w:r>
          </w:p>
        </w:tc>
      </w:tr>
      <w:tr w:rsidR="00065939" w:rsidRPr="00065939" w14:paraId="48DDB841" w14:textId="77777777">
        <w:tc>
          <w:tcPr>
            <w:tcW w:w="1386" w:type="dxa"/>
            <w:tcBorders>
              <w:top w:val="single" w:sz="6" w:space="0" w:color="BFBFBF"/>
              <w:left w:val="single" w:sz="6" w:space="0" w:color="BFBFBF"/>
              <w:bottom w:val="single" w:sz="6" w:space="0" w:color="BFBFBF"/>
              <w:right w:val="single" w:sz="6" w:space="0" w:color="BFBFBF"/>
            </w:tcBorders>
          </w:tcPr>
          <w:p w14:paraId="341E7823"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0FF3A278"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10ACA193"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49BF3EEC"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Se anotará la fecha en que se desclasifica.</w:t>
            </w:r>
          </w:p>
        </w:tc>
      </w:tr>
      <w:tr w:rsidR="00065939" w:rsidRPr="00065939" w14:paraId="1EF98F64" w14:textId="77777777">
        <w:tc>
          <w:tcPr>
            <w:tcW w:w="1386" w:type="dxa"/>
            <w:tcBorders>
              <w:top w:val="single" w:sz="6" w:space="0" w:color="BFBFBF"/>
              <w:left w:val="single" w:sz="6" w:space="0" w:color="BFBFBF"/>
              <w:bottom w:val="single" w:sz="6" w:space="0" w:color="BFBFBF"/>
              <w:right w:val="single" w:sz="6" w:space="0" w:color="BFBFBF"/>
            </w:tcBorders>
          </w:tcPr>
          <w:p w14:paraId="7CF26B41"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lastRenderedPageBreak/>
              <w:t> </w:t>
            </w:r>
          </w:p>
        </w:tc>
        <w:tc>
          <w:tcPr>
            <w:tcW w:w="2848" w:type="dxa"/>
            <w:tcBorders>
              <w:top w:val="single" w:sz="6" w:space="0" w:color="BFBFBF"/>
              <w:left w:val="single" w:sz="6" w:space="0" w:color="BFBFBF"/>
              <w:bottom w:val="single" w:sz="6" w:space="0" w:color="BFBFBF"/>
              <w:right w:val="single" w:sz="6" w:space="0" w:color="BFBFBF"/>
            </w:tcBorders>
          </w:tcPr>
          <w:p w14:paraId="7B098E0D"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389B893A"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41EC3D54"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En caso que una vez desclasificado el expediente, </w:t>
            </w:r>
            <w:proofErr w:type="spellStart"/>
            <w:r w:rsidRPr="00065939">
              <w:rPr>
                <w:rFonts w:ascii="Palatino Linotype" w:eastAsia="Palatino Linotype" w:hAnsi="Palatino Linotype" w:cs="Palatino Linotype"/>
                <w:sz w:val="18"/>
                <w:szCs w:val="18"/>
              </w:rPr>
              <w:t>subsistanpartes</w:t>
            </w:r>
            <w:proofErr w:type="spellEnd"/>
            <w:r w:rsidRPr="00065939">
              <w:rPr>
                <w:rFonts w:ascii="Palatino Linotype" w:eastAsia="Palatino Linotype" w:hAnsi="Palatino Linotype" w:cs="Palatino Linotype"/>
                <w:sz w:val="18"/>
                <w:szCs w:val="18"/>
              </w:rPr>
              <w:t> o secciones del mismo reservadas o confidenciales, se señalará este hecho.</w:t>
            </w:r>
          </w:p>
        </w:tc>
      </w:tr>
      <w:tr w:rsidR="00065939" w:rsidRPr="00065939" w14:paraId="10C6FFB3" w14:textId="77777777">
        <w:tc>
          <w:tcPr>
            <w:tcW w:w="1386" w:type="dxa"/>
            <w:tcBorders>
              <w:top w:val="single" w:sz="6" w:space="0" w:color="BFBFBF"/>
              <w:left w:val="single" w:sz="6" w:space="0" w:color="BFBFBF"/>
              <w:bottom w:val="single" w:sz="6" w:space="0" w:color="BFBFBF"/>
              <w:right w:val="single" w:sz="6" w:space="0" w:color="BFBFBF"/>
            </w:tcBorders>
          </w:tcPr>
          <w:p w14:paraId="66FEBAEE"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555620DD"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6437A768"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461E3AEA" w14:textId="77777777" w:rsidR="00F8557D" w:rsidRPr="00065939" w:rsidRDefault="00646B44">
            <w:pPr>
              <w:spacing w:line="360" w:lineRule="auto"/>
              <w:jc w:val="both"/>
              <w:rPr>
                <w:rFonts w:ascii="Palatino Linotype" w:eastAsia="Palatino Linotype" w:hAnsi="Palatino Linotype" w:cs="Palatino Linotype"/>
                <w:sz w:val="18"/>
                <w:szCs w:val="18"/>
              </w:rPr>
            </w:pPr>
            <w:r w:rsidRPr="00065939">
              <w:rPr>
                <w:rFonts w:ascii="Palatino Linotype" w:eastAsia="Palatino Linotype" w:hAnsi="Palatino Linotype" w:cs="Palatino Linotype"/>
                <w:sz w:val="18"/>
                <w:szCs w:val="18"/>
              </w:rPr>
              <w:t>Rúbrica autógrafa de quien desclasifica.</w:t>
            </w:r>
          </w:p>
        </w:tc>
      </w:tr>
    </w:tbl>
    <w:p w14:paraId="3D4C1D97"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2C180019" w14:textId="3EB44A4F"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 xml:space="preserve">Es así como, en mérito de lo expuesto en líneas anteriores, resultan fundadas las razones o motivos de inconformidad hechos valer por el </w:t>
      </w:r>
      <w:r w:rsidRPr="00065939">
        <w:rPr>
          <w:rFonts w:ascii="Palatino Linotype" w:eastAsia="Palatino Linotype" w:hAnsi="Palatino Linotype" w:cs="Palatino Linotype"/>
          <w:b/>
          <w:bCs/>
          <w:sz w:val="24"/>
          <w:szCs w:val="24"/>
        </w:rPr>
        <w:t>RECURRENTE</w:t>
      </w:r>
      <w:r w:rsidRPr="00065939">
        <w:rPr>
          <w:rFonts w:ascii="Palatino Linotype" w:eastAsia="Palatino Linotype" w:hAnsi="Palatino Linotype" w:cs="Palatino Linotype"/>
          <w:sz w:val="24"/>
          <w:szCs w:val="24"/>
        </w:rPr>
        <w:t xml:space="preserve"> dentro del recurso de revisión </w:t>
      </w:r>
      <w:r w:rsidRPr="00065939">
        <w:rPr>
          <w:rFonts w:ascii="Palatino Linotype" w:eastAsia="Palatino Linotype" w:hAnsi="Palatino Linotype" w:cs="Palatino Linotype"/>
          <w:b/>
          <w:sz w:val="24"/>
          <w:szCs w:val="24"/>
        </w:rPr>
        <w:t>1</w:t>
      </w:r>
      <w:r w:rsidR="00B16261" w:rsidRPr="00065939">
        <w:rPr>
          <w:rFonts w:ascii="Palatino Linotype" w:eastAsia="Palatino Linotype" w:hAnsi="Palatino Linotype" w:cs="Palatino Linotype"/>
          <w:b/>
          <w:sz w:val="24"/>
          <w:szCs w:val="24"/>
        </w:rPr>
        <w:t>3454</w:t>
      </w:r>
      <w:r w:rsidRPr="00065939">
        <w:rPr>
          <w:rFonts w:ascii="Palatino Linotype" w:eastAsia="Palatino Linotype" w:hAnsi="Palatino Linotype" w:cs="Palatino Linotype"/>
          <w:b/>
          <w:sz w:val="24"/>
          <w:szCs w:val="24"/>
        </w:rPr>
        <w:t>/INFOEM/IP/RR/2022</w:t>
      </w:r>
      <w:r w:rsidRPr="00065939">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Pr="00065939">
        <w:rPr>
          <w:rFonts w:ascii="Palatino Linotype" w:eastAsia="Palatino Linotype" w:hAnsi="Palatino Linotype" w:cs="Palatino Linotype"/>
          <w:b/>
          <w:sz w:val="24"/>
          <w:szCs w:val="24"/>
        </w:rPr>
        <w:t xml:space="preserve">MODIFICA </w:t>
      </w:r>
      <w:r w:rsidRPr="00065939">
        <w:rPr>
          <w:rFonts w:ascii="Palatino Linotype" w:eastAsia="Palatino Linotype" w:hAnsi="Palatino Linotype" w:cs="Palatino Linotype"/>
          <w:sz w:val="24"/>
          <w:szCs w:val="24"/>
        </w:rPr>
        <w:t xml:space="preserve">la respuesta a la solicitud de información número </w:t>
      </w:r>
      <w:r w:rsidRPr="00065939">
        <w:rPr>
          <w:rFonts w:ascii="Palatino Linotype" w:eastAsia="Palatino Linotype" w:hAnsi="Palatino Linotype" w:cs="Palatino Linotype"/>
          <w:b/>
          <w:sz w:val="24"/>
          <w:szCs w:val="24"/>
        </w:rPr>
        <w:t>00</w:t>
      </w:r>
      <w:r w:rsidR="00B16261" w:rsidRPr="00065939">
        <w:rPr>
          <w:rFonts w:ascii="Palatino Linotype" w:eastAsia="Palatino Linotype" w:hAnsi="Palatino Linotype" w:cs="Palatino Linotype"/>
          <w:b/>
          <w:sz w:val="24"/>
          <w:szCs w:val="24"/>
        </w:rPr>
        <w:t>500</w:t>
      </w:r>
      <w:r w:rsidRPr="00065939">
        <w:rPr>
          <w:rFonts w:ascii="Palatino Linotype" w:eastAsia="Palatino Linotype" w:hAnsi="Palatino Linotype" w:cs="Palatino Linotype"/>
          <w:b/>
          <w:sz w:val="24"/>
          <w:szCs w:val="24"/>
        </w:rPr>
        <w:t>/</w:t>
      </w:r>
      <w:r w:rsidR="00B16261" w:rsidRPr="00065939">
        <w:rPr>
          <w:rFonts w:ascii="Palatino Linotype" w:eastAsia="Palatino Linotype" w:hAnsi="Palatino Linotype" w:cs="Palatino Linotype"/>
          <w:b/>
          <w:sz w:val="24"/>
          <w:szCs w:val="24"/>
        </w:rPr>
        <w:t>TENANCIN</w:t>
      </w:r>
      <w:r w:rsidRPr="00065939">
        <w:rPr>
          <w:rFonts w:ascii="Palatino Linotype" w:eastAsia="Palatino Linotype" w:hAnsi="Palatino Linotype" w:cs="Palatino Linotype"/>
          <w:b/>
          <w:sz w:val="24"/>
          <w:szCs w:val="24"/>
        </w:rPr>
        <w:t>/IP/2022.</w:t>
      </w:r>
    </w:p>
    <w:p w14:paraId="47C72419" w14:textId="77777777" w:rsidR="0089546B" w:rsidRPr="00065939" w:rsidRDefault="0089546B">
      <w:pPr>
        <w:spacing w:after="0" w:line="360" w:lineRule="auto"/>
        <w:ind w:right="49"/>
        <w:jc w:val="both"/>
        <w:rPr>
          <w:rFonts w:ascii="Palatino Linotype" w:eastAsia="Palatino Linotype" w:hAnsi="Palatino Linotype" w:cs="Palatino Linotype"/>
          <w:sz w:val="24"/>
          <w:szCs w:val="24"/>
        </w:rPr>
      </w:pPr>
    </w:p>
    <w:p w14:paraId="3E0402E1" w14:textId="0259BD7D"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r w:rsidR="00203460" w:rsidRPr="00065939">
        <w:rPr>
          <w:rFonts w:ascii="Palatino Linotype" w:eastAsia="Palatino Linotype" w:hAnsi="Palatino Linotype" w:cs="Palatino Linotype"/>
          <w:sz w:val="24"/>
          <w:szCs w:val="24"/>
        </w:rPr>
        <w:t>:</w:t>
      </w:r>
    </w:p>
    <w:p w14:paraId="3AEF5458" w14:textId="2DBFF7B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388EFD6D" w14:textId="609CFF2F" w:rsidR="0089546B" w:rsidRPr="00065939" w:rsidRDefault="0089546B">
      <w:pPr>
        <w:spacing w:after="0" w:line="360" w:lineRule="auto"/>
        <w:ind w:right="49"/>
        <w:jc w:val="both"/>
        <w:rPr>
          <w:rFonts w:ascii="Palatino Linotype" w:eastAsia="Palatino Linotype" w:hAnsi="Palatino Linotype" w:cs="Palatino Linotype"/>
          <w:sz w:val="24"/>
          <w:szCs w:val="24"/>
        </w:rPr>
      </w:pPr>
    </w:p>
    <w:p w14:paraId="01F69DF2" w14:textId="6D1607A8" w:rsidR="0089546B" w:rsidRPr="00065939" w:rsidRDefault="0089546B">
      <w:pPr>
        <w:spacing w:after="0" w:line="360" w:lineRule="auto"/>
        <w:ind w:right="49"/>
        <w:jc w:val="both"/>
        <w:rPr>
          <w:rFonts w:ascii="Palatino Linotype" w:eastAsia="Palatino Linotype" w:hAnsi="Palatino Linotype" w:cs="Palatino Linotype"/>
          <w:sz w:val="24"/>
          <w:szCs w:val="24"/>
        </w:rPr>
      </w:pPr>
    </w:p>
    <w:p w14:paraId="6DB23984" w14:textId="77777777" w:rsidR="0089546B" w:rsidRPr="00065939" w:rsidRDefault="0089546B">
      <w:pPr>
        <w:spacing w:after="0" w:line="360" w:lineRule="auto"/>
        <w:ind w:right="49"/>
        <w:jc w:val="both"/>
        <w:rPr>
          <w:rFonts w:ascii="Palatino Linotype" w:eastAsia="Palatino Linotype" w:hAnsi="Palatino Linotype" w:cs="Palatino Linotype"/>
          <w:sz w:val="24"/>
          <w:szCs w:val="24"/>
        </w:rPr>
      </w:pPr>
    </w:p>
    <w:p w14:paraId="0A838F4F" w14:textId="77777777" w:rsidR="00F8557D" w:rsidRPr="00065939" w:rsidRDefault="00646B44">
      <w:pPr>
        <w:spacing w:after="0" w:line="360" w:lineRule="auto"/>
        <w:ind w:right="49"/>
        <w:jc w:val="center"/>
        <w:rPr>
          <w:rFonts w:ascii="Palatino Linotype" w:eastAsia="Palatino Linotype" w:hAnsi="Palatino Linotype" w:cs="Palatino Linotype"/>
          <w:b/>
          <w:sz w:val="24"/>
          <w:szCs w:val="24"/>
        </w:rPr>
      </w:pPr>
      <w:r w:rsidRPr="00065939">
        <w:rPr>
          <w:rFonts w:ascii="Palatino Linotype" w:eastAsia="Palatino Linotype" w:hAnsi="Palatino Linotype" w:cs="Palatino Linotype"/>
          <w:b/>
          <w:sz w:val="24"/>
          <w:szCs w:val="24"/>
        </w:rPr>
        <w:lastRenderedPageBreak/>
        <w:t>III.</w:t>
      </w:r>
      <w:r w:rsidRPr="00065939">
        <w:rPr>
          <w:rFonts w:ascii="Palatino Linotype" w:eastAsia="Palatino Linotype" w:hAnsi="Palatino Linotype" w:cs="Palatino Linotype"/>
          <w:b/>
          <w:sz w:val="24"/>
          <w:szCs w:val="24"/>
        </w:rPr>
        <w:tab/>
        <w:t>R E S U E L V E:</w:t>
      </w:r>
    </w:p>
    <w:p w14:paraId="741D8D48"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2CC1FD37" w14:textId="27BEA9D8"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Primero.</w:t>
      </w:r>
      <w:r w:rsidRPr="00065939">
        <w:rPr>
          <w:rFonts w:ascii="Palatino Linotype" w:eastAsia="Palatino Linotype" w:hAnsi="Palatino Linotype" w:cs="Palatino Linotype"/>
          <w:sz w:val="24"/>
          <w:szCs w:val="24"/>
        </w:rPr>
        <w:t xml:space="preserve"> Resultan</w:t>
      </w:r>
      <w:r w:rsidRPr="00065939">
        <w:rPr>
          <w:rFonts w:ascii="Palatino Linotype" w:eastAsia="Palatino Linotype" w:hAnsi="Palatino Linotype" w:cs="Palatino Linotype"/>
          <w:b/>
          <w:sz w:val="24"/>
          <w:szCs w:val="24"/>
        </w:rPr>
        <w:t xml:space="preserve"> FUNDADOS</w:t>
      </w:r>
      <w:r w:rsidRPr="00065939">
        <w:rPr>
          <w:rFonts w:ascii="Palatino Linotype" w:eastAsia="Palatino Linotype" w:hAnsi="Palatino Linotype" w:cs="Palatino Linotype"/>
          <w:sz w:val="24"/>
          <w:szCs w:val="24"/>
        </w:rPr>
        <w:t xml:space="preserve"> los motivos de inconformidad hechos valer por el </w:t>
      </w:r>
      <w:r w:rsidRPr="00065939">
        <w:rPr>
          <w:rFonts w:ascii="Palatino Linotype" w:eastAsia="Palatino Linotype" w:hAnsi="Palatino Linotype" w:cs="Palatino Linotype"/>
          <w:b/>
          <w:sz w:val="24"/>
          <w:szCs w:val="24"/>
        </w:rPr>
        <w:t>RECURRENTE</w:t>
      </w:r>
      <w:r w:rsidRPr="00065939">
        <w:rPr>
          <w:rFonts w:ascii="Palatino Linotype" w:eastAsia="Palatino Linotype" w:hAnsi="Palatino Linotype" w:cs="Palatino Linotype"/>
          <w:sz w:val="24"/>
          <w:szCs w:val="24"/>
        </w:rPr>
        <w:t xml:space="preserve"> en el Recurso de Revisión </w:t>
      </w:r>
      <w:r w:rsidRPr="00065939">
        <w:rPr>
          <w:rFonts w:ascii="Palatino Linotype" w:eastAsia="Palatino Linotype" w:hAnsi="Palatino Linotype" w:cs="Palatino Linotype"/>
          <w:b/>
          <w:sz w:val="24"/>
          <w:szCs w:val="24"/>
        </w:rPr>
        <w:t>1</w:t>
      </w:r>
      <w:r w:rsidR="00B16261" w:rsidRPr="00065939">
        <w:rPr>
          <w:rFonts w:ascii="Palatino Linotype" w:eastAsia="Palatino Linotype" w:hAnsi="Palatino Linotype" w:cs="Palatino Linotype"/>
          <w:b/>
          <w:sz w:val="24"/>
          <w:szCs w:val="24"/>
        </w:rPr>
        <w:t>3454</w:t>
      </w:r>
      <w:r w:rsidRPr="00065939">
        <w:rPr>
          <w:rFonts w:ascii="Palatino Linotype" w:eastAsia="Palatino Linotype" w:hAnsi="Palatino Linotype" w:cs="Palatino Linotype"/>
          <w:b/>
          <w:sz w:val="24"/>
          <w:szCs w:val="24"/>
        </w:rPr>
        <w:t>/INFOEM/IP/RR/2022</w:t>
      </w:r>
      <w:r w:rsidRPr="00065939">
        <w:rPr>
          <w:rFonts w:ascii="Palatino Linotype" w:eastAsia="Palatino Linotype" w:hAnsi="Palatino Linotype" w:cs="Palatino Linotype"/>
          <w:sz w:val="24"/>
          <w:szCs w:val="24"/>
        </w:rPr>
        <w:t xml:space="preserve">, por lo que, en términos del </w:t>
      </w:r>
      <w:r w:rsidRPr="00065939">
        <w:rPr>
          <w:rFonts w:ascii="Palatino Linotype" w:eastAsia="Palatino Linotype" w:hAnsi="Palatino Linotype" w:cs="Palatino Linotype"/>
          <w:b/>
          <w:sz w:val="24"/>
          <w:szCs w:val="24"/>
        </w:rPr>
        <w:t>Considerando Cuarto</w:t>
      </w:r>
      <w:r w:rsidRPr="00065939">
        <w:rPr>
          <w:rFonts w:ascii="Palatino Linotype" w:eastAsia="Palatino Linotype" w:hAnsi="Palatino Linotype" w:cs="Palatino Linotype"/>
          <w:sz w:val="24"/>
          <w:szCs w:val="24"/>
        </w:rPr>
        <w:t xml:space="preserve"> de esta resolución, se </w:t>
      </w:r>
      <w:r w:rsidRPr="00065939">
        <w:rPr>
          <w:rFonts w:ascii="Palatino Linotype" w:eastAsia="Palatino Linotype" w:hAnsi="Palatino Linotype" w:cs="Palatino Linotype"/>
          <w:b/>
          <w:sz w:val="24"/>
          <w:szCs w:val="24"/>
        </w:rPr>
        <w:t>MODIFICA</w:t>
      </w:r>
      <w:r w:rsidRPr="00065939">
        <w:rPr>
          <w:rFonts w:ascii="Palatino Linotype" w:eastAsia="Palatino Linotype" w:hAnsi="Palatino Linotype" w:cs="Palatino Linotype"/>
          <w:sz w:val="24"/>
          <w:szCs w:val="24"/>
        </w:rPr>
        <w:t xml:space="preserve"> la respuesta emitida por el </w:t>
      </w:r>
      <w:r w:rsidRPr="00065939">
        <w:rPr>
          <w:rFonts w:ascii="Palatino Linotype" w:eastAsia="Palatino Linotype" w:hAnsi="Palatino Linotype" w:cs="Palatino Linotype"/>
          <w:b/>
          <w:sz w:val="24"/>
          <w:szCs w:val="24"/>
        </w:rPr>
        <w:t>SUJETO OBLIGADO</w:t>
      </w:r>
      <w:r w:rsidRPr="00065939">
        <w:rPr>
          <w:rFonts w:ascii="Palatino Linotype" w:eastAsia="Palatino Linotype" w:hAnsi="Palatino Linotype" w:cs="Palatino Linotype"/>
          <w:sz w:val="24"/>
          <w:szCs w:val="24"/>
        </w:rPr>
        <w:t>.</w:t>
      </w:r>
    </w:p>
    <w:p w14:paraId="291BFCC6"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31BD10F2" w14:textId="08CB91FE"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Segundo</w:t>
      </w:r>
      <w:r w:rsidRPr="00065939">
        <w:rPr>
          <w:rFonts w:ascii="Palatino Linotype" w:eastAsia="Palatino Linotype" w:hAnsi="Palatino Linotype" w:cs="Palatino Linotype"/>
          <w:sz w:val="24"/>
          <w:szCs w:val="24"/>
        </w:rPr>
        <w:t xml:space="preserve">. Se </w:t>
      </w:r>
      <w:r w:rsidRPr="00065939">
        <w:rPr>
          <w:rFonts w:ascii="Palatino Linotype" w:eastAsia="Palatino Linotype" w:hAnsi="Palatino Linotype" w:cs="Palatino Linotype"/>
          <w:b/>
          <w:sz w:val="24"/>
          <w:szCs w:val="24"/>
        </w:rPr>
        <w:t>ORDENA</w:t>
      </w:r>
      <w:r w:rsidRPr="00065939">
        <w:rPr>
          <w:rFonts w:ascii="Palatino Linotype" w:eastAsia="Palatino Linotype" w:hAnsi="Palatino Linotype" w:cs="Palatino Linotype"/>
          <w:sz w:val="24"/>
          <w:szCs w:val="24"/>
        </w:rPr>
        <w:t xml:space="preserve"> al </w:t>
      </w:r>
      <w:r w:rsidRPr="00065939">
        <w:rPr>
          <w:rFonts w:ascii="Palatino Linotype" w:eastAsia="Palatino Linotype" w:hAnsi="Palatino Linotype" w:cs="Palatino Linotype"/>
          <w:b/>
          <w:sz w:val="24"/>
          <w:szCs w:val="24"/>
        </w:rPr>
        <w:t>SUJETO OBLIGADO</w:t>
      </w:r>
      <w:r w:rsidRPr="00065939">
        <w:rPr>
          <w:rFonts w:ascii="Palatino Linotype" w:eastAsia="Palatino Linotype" w:hAnsi="Palatino Linotype" w:cs="Palatino Linotype"/>
          <w:sz w:val="24"/>
          <w:szCs w:val="24"/>
        </w:rPr>
        <w:t xml:space="preserve"> a que, en términos del Considerando Cuarto y Quinto, haga entrega</w:t>
      </w:r>
      <w:r w:rsidR="00B16261" w:rsidRPr="00065939">
        <w:rPr>
          <w:rFonts w:ascii="Palatino Linotype" w:eastAsia="Palatino Linotype" w:hAnsi="Palatino Linotype" w:cs="Palatino Linotype"/>
          <w:sz w:val="24"/>
          <w:szCs w:val="24"/>
        </w:rPr>
        <w:t xml:space="preserve"> previa búsqueda exhaustiva y razonable,</w:t>
      </w:r>
      <w:r w:rsidRPr="00065939">
        <w:rPr>
          <w:rFonts w:ascii="Palatino Linotype" w:eastAsia="Palatino Linotype" w:hAnsi="Palatino Linotype" w:cs="Palatino Linotype"/>
          <w:sz w:val="24"/>
          <w:szCs w:val="24"/>
        </w:rPr>
        <w:t xml:space="preserve"> vía Sistema de Acceso a la Información Mexiquense, de ser el caso, en versión pública, de la siguiente información:</w:t>
      </w:r>
    </w:p>
    <w:p w14:paraId="3BE49D15" w14:textId="77777777" w:rsidR="00B16261" w:rsidRPr="00065939" w:rsidRDefault="00B16261" w:rsidP="00B16261">
      <w:pPr>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sz w:val="24"/>
          <w:szCs w:val="24"/>
        </w:rPr>
      </w:pPr>
      <w:bookmarkStart w:id="2" w:name="_heading=h.1fob9te" w:colFirst="0" w:colLast="0"/>
      <w:bookmarkEnd w:id="2"/>
    </w:p>
    <w:p w14:paraId="6E39E762" w14:textId="5913715D" w:rsidR="00B16261" w:rsidRPr="00065939" w:rsidRDefault="00B16261" w:rsidP="00B16261">
      <w:pPr>
        <w:pStyle w:val="Prrafodelista"/>
        <w:numPr>
          <w:ilvl w:val="0"/>
          <w:numId w:val="8"/>
        </w:numPr>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b/>
          <w:sz w:val="24"/>
          <w:szCs w:val="24"/>
        </w:rPr>
      </w:pPr>
      <w:r w:rsidRPr="00065939">
        <w:rPr>
          <w:rFonts w:ascii="Palatino Linotype" w:eastAsia="Palatino Linotype" w:hAnsi="Palatino Linotype" w:cs="Palatino Linotype"/>
          <w:b/>
          <w:bCs/>
          <w:sz w:val="24"/>
          <w:szCs w:val="24"/>
        </w:rPr>
        <w:t xml:space="preserve">Recibos de nómina del Presidente Municipal y de los Regidores de la </w:t>
      </w:r>
      <w:r w:rsidR="0089546B" w:rsidRPr="00065939">
        <w:rPr>
          <w:rFonts w:ascii="Palatino Linotype" w:eastAsia="Palatino Linotype" w:hAnsi="Palatino Linotype" w:cs="Palatino Linotype"/>
          <w:b/>
          <w:bCs/>
          <w:sz w:val="24"/>
          <w:szCs w:val="24"/>
        </w:rPr>
        <w:t>primera quincena de junio</w:t>
      </w:r>
      <w:r w:rsidRPr="00065939">
        <w:rPr>
          <w:rFonts w:ascii="Palatino Linotype" w:eastAsia="Palatino Linotype" w:hAnsi="Palatino Linotype" w:cs="Palatino Linotype"/>
          <w:b/>
          <w:bCs/>
          <w:sz w:val="24"/>
          <w:szCs w:val="24"/>
        </w:rPr>
        <w:t xml:space="preserve"> de dos mil veintidós.</w:t>
      </w:r>
    </w:p>
    <w:p w14:paraId="35B912B6" w14:textId="77777777" w:rsidR="00634588" w:rsidRPr="00065939" w:rsidRDefault="00634588" w:rsidP="00634588">
      <w:pPr>
        <w:pStyle w:val="Prrafodelista"/>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b/>
          <w:sz w:val="24"/>
          <w:szCs w:val="24"/>
        </w:rPr>
      </w:pPr>
    </w:p>
    <w:p w14:paraId="180CD279" w14:textId="01A33BCD" w:rsidR="00F8557D" w:rsidRPr="00065939" w:rsidRDefault="00646B44" w:rsidP="00B16261">
      <w:pPr>
        <w:pStyle w:val="Prrafodelista"/>
        <w:pBdr>
          <w:top w:val="nil"/>
          <w:left w:val="nil"/>
          <w:bottom w:val="nil"/>
          <w:right w:val="nil"/>
          <w:between w:val="nil"/>
        </w:pBdr>
        <w:tabs>
          <w:tab w:val="left" w:pos="993"/>
        </w:tabs>
        <w:spacing w:after="0" w:line="360" w:lineRule="auto"/>
        <w:ind w:left="0" w:right="-28"/>
        <w:jc w:val="both"/>
        <w:rPr>
          <w:rFonts w:ascii="Palatino Linotype" w:eastAsia="Palatino Linotype" w:hAnsi="Palatino Linotype" w:cs="Palatino Linotype"/>
          <w:b/>
          <w:sz w:val="24"/>
          <w:szCs w:val="24"/>
        </w:rPr>
      </w:pPr>
      <w:r w:rsidRPr="00065939">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EF3346A" w14:textId="77777777" w:rsidR="00F8557D" w:rsidRPr="00065939" w:rsidRDefault="00F8557D">
      <w:pPr>
        <w:tabs>
          <w:tab w:val="left" w:pos="993"/>
        </w:tabs>
        <w:spacing w:after="0" w:line="360" w:lineRule="auto"/>
        <w:ind w:right="-28"/>
        <w:jc w:val="both"/>
        <w:rPr>
          <w:rFonts w:ascii="Palatino Linotype" w:eastAsia="Palatino Linotype" w:hAnsi="Palatino Linotype" w:cs="Palatino Linotype"/>
          <w:b/>
          <w:sz w:val="24"/>
          <w:szCs w:val="24"/>
        </w:rPr>
      </w:pPr>
    </w:p>
    <w:p w14:paraId="132E92CA"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Tercero.</w:t>
      </w:r>
      <w:r w:rsidRPr="00065939">
        <w:rPr>
          <w:rFonts w:ascii="Palatino Linotype" w:eastAsia="Palatino Linotype" w:hAnsi="Palatino Linotype" w:cs="Palatino Linotype"/>
          <w:sz w:val="24"/>
          <w:szCs w:val="24"/>
        </w:rPr>
        <w:t xml:space="preserve"> </w:t>
      </w:r>
      <w:r w:rsidRPr="00065939">
        <w:rPr>
          <w:rFonts w:ascii="Palatino Linotype" w:eastAsia="Palatino Linotype" w:hAnsi="Palatino Linotype" w:cs="Palatino Linotype"/>
          <w:b/>
          <w:sz w:val="24"/>
          <w:szCs w:val="24"/>
        </w:rPr>
        <w:t>Notifíquese vía SAIMEX</w:t>
      </w:r>
      <w:r w:rsidRPr="00065939">
        <w:rPr>
          <w:rFonts w:ascii="Palatino Linotype" w:eastAsia="Palatino Linotype" w:hAnsi="Palatino Linotype" w:cs="Palatino Linotype"/>
          <w:sz w:val="24"/>
          <w:szCs w:val="24"/>
        </w:rPr>
        <w:t xml:space="preserve">, al </w:t>
      </w:r>
      <w:r w:rsidRPr="00065939">
        <w:rPr>
          <w:rFonts w:ascii="Palatino Linotype" w:eastAsia="Palatino Linotype" w:hAnsi="Palatino Linotype" w:cs="Palatino Linotype"/>
          <w:b/>
          <w:sz w:val="24"/>
          <w:szCs w:val="24"/>
        </w:rPr>
        <w:t>Responsable de la Unidad de Transparencia</w:t>
      </w:r>
      <w:r w:rsidRPr="00065939">
        <w:rPr>
          <w:rFonts w:ascii="Palatino Linotype" w:eastAsia="Palatino Linotype" w:hAnsi="Palatino Linotype" w:cs="Palatino Linotype"/>
          <w:sz w:val="24"/>
          <w:szCs w:val="24"/>
        </w:rPr>
        <w:t xml:space="preserve"> </w:t>
      </w:r>
      <w:r w:rsidRPr="00065939">
        <w:rPr>
          <w:rFonts w:ascii="Palatino Linotype" w:eastAsia="Palatino Linotype" w:hAnsi="Palatino Linotype" w:cs="Palatino Linotype"/>
          <w:b/>
          <w:sz w:val="24"/>
          <w:szCs w:val="24"/>
        </w:rPr>
        <w:t>del Sujeto Obligado</w:t>
      </w:r>
      <w:r w:rsidRPr="00065939">
        <w:rPr>
          <w:rFonts w:ascii="Palatino Linotype" w:eastAsia="Palatino Linotype" w:hAnsi="Palatino Linotype" w:cs="Palatino Linotype"/>
          <w:sz w:val="24"/>
          <w:szCs w:val="24"/>
        </w:rPr>
        <w:t xml:space="preserve"> la presente resolución, para que conforme al artículo 186, último </w:t>
      </w:r>
      <w:r w:rsidRPr="00065939">
        <w:rPr>
          <w:rFonts w:ascii="Palatino Linotype" w:eastAsia="Palatino Linotype" w:hAnsi="Palatino Linotype" w:cs="Palatino Linotype"/>
          <w:sz w:val="24"/>
          <w:szCs w:val="24"/>
        </w:rPr>
        <w:lastRenderedPageBreak/>
        <w:t>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7CC1FF69"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3970498B" w14:textId="78199E9A"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Cuarto.</w:t>
      </w:r>
      <w:r w:rsidRPr="00065939">
        <w:rPr>
          <w:rFonts w:ascii="Palatino Linotype" w:eastAsia="Palatino Linotype" w:hAnsi="Palatino Linotype" w:cs="Palatino Linotype"/>
          <w:sz w:val="24"/>
          <w:szCs w:val="24"/>
        </w:rPr>
        <w:t xml:space="preserve"> </w:t>
      </w:r>
      <w:r w:rsidRPr="00065939">
        <w:rPr>
          <w:rFonts w:ascii="Palatino Linotype" w:eastAsia="Palatino Linotype" w:hAnsi="Palatino Linotype" w:cs="Palatino Linotype"/>
          <w:b/>
          <w:sz w:val="24"/>
          <w:szCs w:val="24"/>
        </w:rPr>
        <w:t>Notifíquese vía SAIMEX</w:t>
      </w:r>
      <w:r w:rsidRPr="00065939">
        <w:rPr>
          <w:rFonts w:ascii="Palatino Linotype" w:eastAsia="Palatino Linotype" w:hAnsi="Palatino Linotype" w:cs="Palatino Linotype"/>
          <w:sz w:val="24"/>
          <w:szCs w:val="24"/>
        </w:rPr>
        <w:t xml:space="preserve"> a la parte </w:t>
      </w:r>
      <w:r w:rsidRPr="00065939">
        <w:rPr>
          <w:rFonts w:ascii="Palatino Linotype" w:eastAsia="Palatino Linotype" w:hAnsi="Palatino Linotype" w:cs="Palatino Linotype"/>
          <w:b/>
          <w:sz w:val="24"/>
          <w:szCs w:val="24"/>
        </w:rPr>
        <w:t xml:space="preserve">RECURRENTE </w:t>
      </w:r>
      <w:r w:rsidRPr="00065939">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r w:rsidR="0089546B" w:rsidRPr="00065939">
        <w:rPr>
          <w:rFonts w:ascii="Palatino Linotype" w:eastAsia="Palatino Linotype" w:hAnsi="Palatino Linotype" w:cs="Palatino Linotype"/>
          <w:sz w:val="24"/>
          <w:szCs w:val="24"/>
        </w:rPr>
        <w:t xml:space="preserve">. </w:t>
      </w:r>
    </w:p>
    <w:p w14:paraId="23C230A4"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6BD0C091" w14:textId="77777777" w:rsidR="00F8557D" w:rsidRPr="00065939" w:rsidRDefault="00646B44">
      <w:pPr>
        <w:spacing w:after="0" w:line="360" w:lineRule="auto"/>
        <w:ind w:right="49"/>
        <w:jc w:val="both"/>
        <w:rPr>
          <w:rFonts w:ascii="Palatino Linotype" w:eastAsia="Palatino Linotype" w:hAnsi="Palatino Linotype" w:cs="Palatino Linotype"/>
          <w:sz w:val="24"/>
          <w:szCs w:val="24"/>
        </w:rPr>
      </w:pPr>
      <w:r w:rsidRPr="00065939">
        <w:rPr>
          <w:rFonts w:ascii="Palatino Linotype" w:eastAsia="Palatino Linotype" w:hAnsi="Palatino Linotype" w:cs="Palatino Linotype"/>
          <w:b/>
          <w:sz w:val="24"/>
          <w:szCs w:val="24"/>
        </w:rPr>
        <w:t>Quinto.</w:t>
      </w:r>
      <w:r w:rsidRPr="00065939">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065939">
        <w:rPr>
          <w:rFonts w:ascii="Palatino Linotype" w:eastAsia="Palatino Linotype" w:hAnsi="Palatino Linotype" w:cs="Palatino Linotype"/>
          <w:b/>
          <w:sz w:val="24"/>
          <w:szCs w:val="24"/>
        </w:rPr>
        <w:t>SUJETO OBLIGADO</w:t>
      </w:r>
      <w:r w:rsidRPr="00065939">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2787555" w14:textId="77777777" w:rsidR="00F8557D" w:rsidRPr="00065939" w:rsidRDefault="00F8557D">
      <w:pPr>
        <w:spacing w:after="0" w:line="360" w:lineRule="auto"/>
        <w:ind w:right="49"/>
        <w:jc w:val="both"/>
        <w:rPr>
          <w:rFonts w:ascii="Palatino Linotype" w:eastAsia="Palatino Linotype" w:hAnsi="Palatino Linotype" w:cs="Palatino Linotype"/>
          <w:sz w:val="24"/>
          <w:szCs w:val="24"/>
        </w:rPr>
      </w:pPr>
    </w:p>
    <w:p w14:paraId="0026736C" w14:textId="6A6DC53C" w:rsidR="00F8557D" w:rsidRDefault="00646B44">
      <w:pPr>
        <w:spacing w:after="0" w:line="360" w:lineRule="auto"/>
        <w:ind w:right="49"/>
        <w:jc w:val="both"/>
        <w:rPr>
          <w:rFonts w:ascii="Palatino Linotype" w:eastAsia="Palatino Linotype" w:hAnsi="Palatino Linotype" w:cs="Palatino Linotype"/>
        </w:rPr>
      </w:pPr>
      <w:r w:rsidRPr="0006593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16261" w:rsidRPr="00065939">
        <w:rPr>
          <w:rFonts w:ascii="Palatino Linotype" w:eastAsia="Palatino Linotype" w:hAnsi="Palatino Linotype" w:cs="Palatino Linotype"/>
        </w:rPr>
        <w:t xml:space="preserve">CUARTA SESIÓN ORDINARIA </w:t>
      </w:r>
      <w:r w:rsidRPr="00065939">
        <w:rPr>
          <w:rFonts w:ascii="Palatino Linotype" w:eastAsia="Palatino Linotype" w:hAnsi="Palatino Linotype" w:cs="Palatino Linotype"/>
        </w:rPr>
        <w:t xml:space="preserve">CELEBRADA EL </w:t>
      </w:r>
      <w:r w:rsidR="00B16261" w:rsidRPr="00065939">
        <w:rPr>
          <w:rFonts w:ascii="Palatino Linotype" w:eastAsia="Palatino Linotype" w:hAnsi="Palatino Linotype" w:cs="Palatino Linotype"/>
        </w:rPr>
        <w:t>UNO DE FEBRERO</w:t>
      </w:r>
      <w:r w:rsidRPr="00065939">
        <w:rPr>
          <w:rFonts w:ascii="Palatino Linotype" w:eastAsia="Palatino Linotype" w:hAnsi="Palatino Linotype" w:cs="Palatino Linotype"/>
        </w:rPr>
        <w:t xml:space="preserve"> DE DOS MIL VEINTI</w:t>
      </w:r>
      <w:r w:rsidR="00B16261" w:rsidRPr="00065939">
        <w:rPr>
          <w:rFonts w:ascii="Palatino Linotype" w:eastAsia="Palatino Linotype" w:hAnsi="Palatino Linotype" w:cs="Palatino Linotype"/>
        </w:rPr>
        <w:t>TRÉS</w:t>
      </w:r>
      <w:r w:rsidRPr="00065939">
        <w:rPr>
          <w:rFonts w:ascii="Palatino Linotype" w:eastAsia="Palatino Linotype" w:hAnsi="Palatino Linotype" w:cs="Palatino Linotype"/>
        </w:rPr>
        <w:t>, ANTE EL SECRETARIO TÉCNICO DEL PLENO ALEXIS TAPIA RAMÍRE</w:t>
      </w:r>
      <w:r w:rsidR="008D7B94" w:rsidRPr="00065939">
        <w:rPr>
          <w:rFonts w:ascii="Palatino Linotype" w:eastAsia="Palatino Linotype" w:hAnsi="Palatino Linotype" w:cs="Palatino Linotype"/>
        </w:rPr>
        <w:t>Z.</w:t>
      </w:r>
    </w:p>
    <w:p w14:paraId="103484AA" w14:textId="77777777" w:rsidR="00963FF3" w:rsidRPr="00065939" w:rsidRDefault="00963FF3">
      <w:pPr>
        <w:spacing w:after="0" w:line="360" w:lineRule="auto"/>
        <w:ind w:right="49"/>
        <w:jc w:val="both"/>
        <w:rPr>
          <w:rFonts w:ascii="Palatino Linotype" w:eastAsia="Palatino Linotype" w:hAnsi="Palatino Linotype" w:cs="Palatino Linotype"/>
          <w:sz w:val="24"/>
          <w:szCs w:val="24"/>
        </w:rPr>
      </w:pPr>
    </w:p>
    <w:sectPr w:rsidR="00963FF3" w:rsidRPr="00065939">
      <w:headerReference w:type="default" r:id="rId19"/>
      <w:footerReference w:type="default" r:id="rId20"/>
      <w:headerReference w:type="first" r:id="rId21"/>
      <w:footerReference w:type="first" r:id="rId2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DEE62" w14:textId="77777777" w:rsidR="008771D9" w:rsidRDefault="008771D9">
      <w:pPr>
        <w:spacing w:after="0" w:line="240" w:lineRule="auto"/>
      </w:pPr>
      <w:r>
        <w:separator/>
      </w:r>
    </w:p>
  </w:endnote>
  <w:endnote w:type="continuationSeparator" w:id="0">
    <w:p w14:paraId="3D303405" w14:textId="77777777" w:rsidR="008771D9" w:rsidRDefault="0087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21C3D" w14:textId="6C78F5DB" w:rsidR="00F8557D" w:rsidRDefault="00646B4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A1CBD">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A1CBD">
      <w:rPr>
        <w:b/>
        <w:noProof/>
        <w:color w:val="000000"/>
        <w:sz w:val="24"/>
        <w:szCs w:val="24"/>
      </w:rPr>
      <w:t>45</w:t>
    </w:r>
    <w:r>
      <w:rPr>
        <w:b/>
        <w:color w:val="000000"/>
        <w:sz w:val="24"/>
        <w:szCs w:val="24"/>
      </w:rPr>
      <w:fldChar w:fldCharType="end"/>
    </w:r>
  </w:p>
  <w:p w14:paraId="693219AA" w14:textId="77777777" w:rsidR="00F8557D" w:rsidRDefault="00F8557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6C6E" w14:textId="06599C05" w:rsidR="00F8557D" w:rsidRDefault="00646B4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A1CB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A1CBD">
      <w:rPr>
        <w:b/>
        <w:noProof/>
        <w:color w:val="000000"/>
        <w:sz w:val="24"/>
        <w:szCs w:val="24"/>
      </w:rPr>
      <w:t>45</w:t>
    </w:r>
    <w:r>
      <w:rPr>
        <w:b/>
        <w:color w:val="000000"/>
        <w:sz w:val="24"/>
        <w:szCs w:val="24"/>
      </w:rPr>
      <w:fldChar w:fldCharType="end"/>
    </w:r>
  </w:p>
  <w:p w14:paraId="54B4B9F6" w14:textId="77777777" w:rsidR="00F8557D" w:rsidRDefault="00F8557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B52F4" w14:textId="77777777" w:rsidR="008771D9" w:rsidRDefault="008771D9">
      <w:pPr>
        <w:spacing w:after="0" w:line="240" w:lineRule="auto"/>
      </w:pPr>
      <w:r>
        <w:separator/>
      </w:r>
    </w:p>
  </w:footnote>
  <w:footnote w:type="continuationSeparator" w:id="0">
    <w:p w14:paraId="19FDF4D7" w14:textId="77777777" w:rsidR="008771D9" w:rsidRDefault="00877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7E2F0" w14:textId="77777777" w:rsidR="00F8557D" w:rsidRDefault="00DB71F7">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274BBFD8">
          <wp:simplePos x="0" y="0"/>
          <wp:positionH relativeFrom="column">
            <wp:posOffset>-774700</wp:posOffset>
          </wp:positionH>
          <wp:positionV relativeFrom="paragraph">
            <wp:posOffset>-345440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F8557D" w14:paraId="3D10BF48" w14:textId="77777777">
      <w:tc>
        <w:tcPr>
          <w:tcW w:w="2551" w:type="dxa"/>
          <w:vAlign w:val="center"/>
        </w:tcPr>
        <w:p w14:paraId="3489D479"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77777777" w:rsidR="00F8557D" w:rsidRDefault="00B30C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13454</w:t>
          </w:r>
          <w:r w:rsidR="00646B44">
            <w:rPr>
              <w:rFonts w:ascii="Palatino Linotype" w:eastAsia="Palatino Linotype" w:hAnsi="Palatino Linotype" w:cs="Palatino Linotype"/>
              <w:b/>
              <w:color w:val="000000"/>
            </w:rPr>
            <w:t>/INFOEM/IP/RR/2022</w:t>
          </w:r>
        </w:p>
      </w:tc>
    </w:tr>
    <w:tr w:rsidR="00F8557D" w14:paraId="537DBD70" w14:textId="77777777" w:rsidTr="00634588">
      <w:trPr>
        <w:trHeight w:val="643"/>
      </w:trPr>
      <w:tc>
        <w:tcPr>
          <w:tcW w:w="2551" w:type="dxa"/>
          <w:vAlign w:val="center"/>
        </w:tcPr>
        <w:p w14:paraId="4686FDB4"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3BFC658" w14:textId="77777777" w:rsidR="00F8557D" w:rsidRDefault="00F8557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F2903A6" w14:textId="77777777" w:rsidR="00F8557D" w:rsidRDefault="00646B44" w:rsidP="00B30C44">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B30C44">
            <w:rPr>
              <w:rFonts w:ascii="Palatino Linotype" w:eastAsia="Palatino Linotype" w:hAnsi="Palatino Linotype" w:cs="Palatino Linotype"/>
              <w:b/>
              <w:color w:val="000000"/>
            </w:rPr>
            <w:t>Tenancingo</w:t>
          </w:r>
        </w:p>
      </w:tc>
    </w:tr>
    <w:tr w:rsidR="00F8557D" w14:paraId="7D1FD3FE" w14:textId="77777777">
      <w:tc>
        <w:tcPr>
          <w:tcW w:w="2551" w:type="dxa"/>
          <w:vAlign w:val="center"/>
        </w:tcPr>
        <w:p w14:paraId="19D94C21"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F8557D" w:rsidRDefault="00F8557D">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35AB5" w14:textId="77777777" w:rsidR="00F8557D" w:rsidRDefault="00F8557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3"/>
      <w:tblW w:w="5603" w:type="dxa"/>
      <w:tblInd w:w="3611" w:type="dxa"/>
      <w:tblLayout w:type="fixed"/>
      <w:tblLook w:val="0400" w:firstRow="0" w:lastRow="0" w:firstColumn="0" w:lastColumn="0" w:noHBand="0" w:noVBand="1"/>
    </w:tblPr>
    <w:tblGrid>
      <w:gridCol w:w="2551"/>
      <w:gridCol w:w="3052"/>
    </w:tblGrid>
    <w:tr w:rsidR="00F8557D" w14:paraId="7C8FDD66" w14:textId="77777777">
      <w:tc>
        <w:tcPr>
          <w:tcW w:w="2551" w:type="dxa"/>
          <w:vAlign w:val="center"/>
        </w:tcPr>
        <w:p w14:paraId="63FBC165"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77777777" w:rsidR="00F8557D" w:rsidRDefault="00B30C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13454</w:t>
          </w:r>
          <w:r w:rsidR="00646B44">
            <w:rPr>
              <w:rFonts w:ascii="Palatino Linotype" w:eastAsia="Palatino Linotype" w:hAnsi="Palatino Linotype" w:cs="Palatino Linotype"/>
              <w:b/>
              <w:color w:val="000000"/>
            </w:rPr>
            <w:t>/INFOEM/IP/RR/2022</w:t>
          </w:r>
        </w:p>
      </w:tc>
    </w:tr>
    <w:tr w:rsidR="00F8557D" w14:paraId="44EE5E5E" w14:textId="77777777">
      <w:tc>
        <w:tcPr>
          <w:tcW w:w="2551" w:type="dxa"/>
          <w:vAlign w:val="center"/>
        </w:tcPr>
        <w:p w14:paraId="362D8093"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588D4301" w:rsidR="00F8557D" w:rsidRDefault="008A1CBD" w:rsidP="008A1CB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XXXXXXXXXX XXXXX XXXXXXXX</w:t>
          </w:r>
        </w:p>
      </w:tc>
    </w:tr>
    <w:tr w:rsidR="00F8557D" w14:paraId="62AB0F25" w14:textId="77777777" w:rsidTr="00634588">
      <w:trPr>
        <w:trHeight w:val="743"/>
      </w:trPr>
      <w:tc>
        <w:tcPr>
          <w:tcW w:w="2551" w:type="dxa"/>
          <w:vAlign w:val="center"/>
        </w:tcPr>
        <w:p w14:paraId="07A720EE"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1A709B4" w14:textId="77777777" w:rsidR="00F8557D" w:rsidRDefault="00F8557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2BFD8D" w14:textId="77777777" w:rsidR="00F8557D" w:rsidRDefault="00646B44" w:rsidP="0063458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B30C44">
            <w:rPr>
              <w:rFonts w:ascii="Palatino Linotype" w:eastAsia="Palatino Linotype" w:hAnsi="Palatino Linotype" w:cs="Palatino Linotype"/>
              <w:b/>
              <w:color w:val="000000"/>
            </w:rPr>
            <w:t>Tenancingo</w:t>
          </w:r>
        </w:p>
      </w:tc>
    </w:tr>
    <w:tr w:rsidR="00F8557D" w14:paraId="43D52849" w14:textId="77777777">
      <w:tc>
        <w:tcPr>
          <w:tcW w:w="2551" w:type="dxa"/>
          <w:vAlign w:val="center"/>
        </w:tcPr>
        <w:p w14:paraId="5770E145"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F8557D" w:rsidRDefault="00646B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77777777" w:rsidR="00F8557D" w:rsidRDefault="00646B44">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r>
      <w:rPr>
        <w:noProof/>
      </w:rPr>
      <w:drawing>
        <wp:anchor distT="0" distB="0" distL="0" distR="0" simplePos="0" relativeHeight="251659264" behindDoc="1" locked="0" layoutInCell="1" hidden="0" allowOverlap="1" wp14:anchorId="200B91A5" wp14:editId="76DF280D">
          <wp:simplePos x="0" y="0"/>
          <wp:positionH relativeFrom="column">
            <wp:posOffset>-761998</wp:posOffset>
          </wp:positionH>
          <wp:positionV relativeFrom="paragraph">
            <wp:posOffset>-1200783</wp:posOffset>
          </wp:positionV>
          <wp:extent cx="7809876" cy="10165823"/>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6B95DB4"/>
    <w:multiLevelType w:val="hybridMultilevel"/>
    <w:tmpl w:val="E542CC1C"/>
    <w:lvl w:ilvl="0" w:tplc="E760F230">
      <w:start w:val="1"/>
      <w:numFmt w:val="bullet"/>
      <w:lvlText w:val=""/>
      <w:lvlJc w:val="left"/>
      <w:pPr>
        <w:ind w:left="720" w:hanging="360"/>
      </w:pPr>
      <w:rPr>
        <w:rFonts w:ascii="Symbol" w:hAnsi="Symbol" w:hint="default"/>
        <w:color w:val="auto"/>
      </w:rPr>
    </w:lvl>
    <w:lvl w:ilvl="1" w:tplc="A68AAD32">
      <w:numFmt w:val="bullet"/>
      <w:lvlText w:val="•"/>
      <w:lvlJc w:val="left"/>
      <w:pPr>
        <w:ind w:left="1440" w:hanging="360"/>
      </w:pPr>
      <w:rPr>
        <w:rFonts w:ascii="Palatino Linotype" w:eastAsia="Calibri" w:hAnsi="Palatino Linotype" w:cs="Calibri" w:hint="default"/>
      </w:rPr>
    </w:lvl>
    <w:lvl w:ilvl="2" w:tplc="E760F230">
      <w:start w:val="1"/>
      <w:numFmt w:val="bullet"/>
      <w:lvlText w:val=""/>
      <w:lvlJc w:val="left"/>
      <w:pPr>
        <w:ind w:left="2160" w:hanging="360"/>
      </w:pPr>
      <w:rPr>
        <w:rFonts w:ascii="Symbol" w:hAnsi="Symbol" w:hint="default"/>
        <w:color w:val="auto"/>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99833AA"/>
    <w:multiLevelType w:val="hybridMultilevel"/>
    <w:tmpl w:val="F2204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6"/>
  </w:num>
  <w:num w:numId="3">
    <w:abstractNumId w:val="0"/>
  </w:num>
  <w:num w:numId="4">
    <w:abstractNumId w:val="8"/>
  </w:num>
  <w:num w:numId="5">
    <w:abstractNumId w:val="2"/>
  </w:num>
  <w:num w:numId="6">
    <w:abstractNumId w:val="5"/>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7D"/>
    <w:rsid w:val="00065939"/>
    <w:rsid w:val="001217EF"/>
    <w:rsid w:val="00203460"/>
    <w:rsid w:val="0032615A"/>
    <w:rsid w:val="003355E2"/>
    <w:rsid w:val="003373DE"/>
    <w:rsid w:val="00347010"/>
    <w:rsid w:val="00440E52"/>
    <w:rsid w:val="00582034"/>
    <w:rsid w:val="00634588"/>
    <w:rsid w:val="00646B44"/>
    <w:rsid w:val="0070149A"/>
    <w:rsid w:val="00720498"/>
    <w:rsid w:val="0078543E"/>
    <w:rsid w:val="008645E3"/>
    <w:rsid w:val="008701A3"/>
    <w:rsid w:val="008755B0"/>
    <w:rsid w:val="008771D9"/>
    <w:rsid w:val="00886D95"/>
    <w:rsid w:val="0089546B"/>
    <w:rsid w:val="008A1CBD"/>
    <w:rsid w:val="008C7B3C"/>
    <w:rsid w:val="008D7B94"/>
    <w:rsid w:val="008E6C40"/>
    <w:rsid w:val="00963FF3"/>
    <w:rsid w:val="0098482D"/>
    <w:rsid w:val="00A23CC3"/>
    <w:rsid w:val="00B16261"/>
    <w:rsid w:val="00B30C44"/>
    <w:rsid w:val="00B540DB"/>
    <w:rsid w:val="00B63FC6"/>
    <w:rsid w:val="00C166B9"/>
    <w:rsid w:val="00CA2CD1"/>
    <w:rsid w:val="00D80548"/>
    <w:rsid w:val="00DB71F7"/>
    <w:rsid w:val="00E15094"/>
    <w:rsid w:val="00E2699F"/>
    <w:rsid w:val="00EE0730"/>
    <w:rsid w:val="00F855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mega.nz/file/qnZSFBwJ"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ga.nz/file/qnZSFBwJ" TargetMode="External"/><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10144</Words>
  <Characters>55796</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2023-02-03T18:28:00Z</cp:lastPrinted>
  <dcterms:created xsi:type="dcterms:W3CDTF">2023-02-09T18:42:00Z</dcterms:created>
  <dcterms:modified xsi:type="dcterms:W3CDTF">2023-02-09T18:42:00Z</dcterms:modified>
</cp:coreProperties>
</file>