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A890" w14:textId="77777777" w:rsidR="00C8730C" w:rsidRPr="00F96018" w:rsidRDefault="00D23B6E">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081AE0" w:rsidRPr="00F96018">
        <w:rPr>
          <w:rFonts w:ascii="Palatino Linotype" w:eastAsia="Palatino Linotype" w:hAnsi="Palatino Linotype" w:cs="Palatino Linotype"/>
        </w:rPr>
        <w:t>pec, Estado</w:t>
      </w:r>
      <w:r w:rsidR="006A2C19" w:rsidRPr="00F96018">
        <w:rPr>
          <w:rFonts w:ascii="Palatino Linotype" w:eastAsia="Palatino Linotype" w:hAnsi="Palatino Linotype" w:cs="Palatino Linotype"/>
        </w:rPr>
        <w:t xml:space="preserve"> de México, a </w:t>
      </w:r>
      <w:r w:rsidR="004D0876" w:rsidRPr="00F96018">
        <w:rPr>
          <w:rFonts w:ascii="Palatino Linotype" w:eastAsia="Palatino Linotype" w:hAnsi="Palatino Linotype" w:cs="Palatino Linotype"/>
          <w:b/>
        </w:rPr>
        <w:t>doce</w:t>
      </w:r>
      <w:r w:rsidR="006842AD" w:rsidRPr="00F96018">
        <w:rPr>
          <w:rFonts w:ascii="Palatino Linotype" w:eastAsia="Palatino Linotype" w:hAnsi="Palatino Linotype" w:cs="Palatino Linotype"/>
          <w:b/>
        </w:rPr>
        <w:t xml:space="preserve"> de jul</w:t>
      </w:r>
      <w:r w:rsidR="004B30A8" w:rsidRPr="00F96018">
        <w:rPr>
          <w:rFonts w:ascii="Palatino Linotype" w:eastAsia="Palatino Linotype" w:hAnsi="Palatino Linotype" w:cs="Palatino Linotype"/>
          <w:b/>
        </w:rPr>
        <w:t xml:space="preserve">io </w:t>
      </w:r>
      <w:r w:rsidR="00FA0794" w:rsidRPr="00F96018">
        <w:rPr>
          <w:rFonts w:ascii="Palatino Linotype" w:eastAsia="Palatino Linotype" w:hAnsi="Palatino Linotype" w:cs="Palatino Linotype"/>
          <w:b/>
        </w:rPr>
        <w:t>de dos mil veintitrés</w:t>
      </w:r>
      <w:r w:rsidRPr="00F96018">
        <w:rPr>
          <w:rFonts w:ascii="Palatino Linotype" w:eastAsia="Palatino Linotype" w:hAnsi="Palatino Linotype" w:cs="Palatino Linotype"/>
        </w:rPr>
        <w:t xml:space="preserve">. </w:t>
      </w:r>
    </w:p>
    <w:p w14:paraId="097E4C0C" w14:textId="19CA4F3F" w:rsidR="00C8730C" w:rsidRPr="00F96018" w:rsidRDefault="006A2C19">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b/>
        </w:rPr>
        <w:t>Visto</w:t>
      </w:r>
      <w:r w:rsidR="00D23B6E" w:rsidRPr="00F96018">
        <w:rPr>
          <w:rFonts w:ascii="Palatino Linotype" w:eastAsia="Palatino Linotype" w:hAnsi="Palatino Linotype" w:cs="Palatino Linotype"/>
        </w:rPr>
        <w:t xml:space="preserve"> el expediente formado con motivo del recurso de revisión </w:t>
      </w:r>
      <w:r w:rsidR="004D0876" w:rsidRPr="00F96018">
        <w:rPr>
          <w:rFonts w:ascii="Palatino Linotype" w:eastAsia="Palatino Linotype" w:hAnsi="Palatino Linotype" w:cs="Palatino Linotype"/>
          <w:b/>
        </w:rPr>
        <w:t>03394/INFOEM/IP/RR/2023</w:t>
      </w:r>
      <w:r w:rsidR="00D23B6E" w:rsidRPr="00F96018">
        <w:rPr>
          <w:rFonts w:ascii="Palatino Linotype" w:eastAsia="Palatino Linotype" w:hAnsi="Palatino Linotype" w:cs="Palatino Linotype"/>
        </w:rPr>
        <w:t xml:space="preserve">, por </w:t>
      </w:r>
      <w:r w:rsidR="00081AE0" w:rsidRPr="00F96018">
        <w:rPr>
          <w:rFonts w:ascii="Palatino Linotype" w:eastAsia="Palatino Linotype" w:hAnsi="Palatino Linotype" w:cs="Palatino Linotype"/>
        </w:rPr>
        <w:t>interpuesto por</w:t>
      </w:r>
      <w:r w:rsidR="0006456C" w:rsidRPr="00F96018">
        <w:rPr>
          <w:rFonts w:ascii="Palatino Linotype" w:eastAsia="Palatino Linotype" w:hAnsi="Palatino Linotype" w:cs="Palatino Linotype"/>
          <w:b/>
        </w:rPr>
        <w:t xml:space="preserve"> </w:t>
      </w:r>
      <w:r w:rsidR="007A4AE6">
        <w:rPr>
          <w:rFonts w:ascii="Palatino Linotype" w:eastAsia="Palatino Linotype" w:hAnsi="Palatino Linotype" w:cs="Palatino Linotype"/>
          <w:b/>
        </w:rPr>
        <w:t>XXXXXX XXX XXXXXXXXXX</w:t>
      </w:r>
      <w:r w:rsidRPr="00F96018">
        <w:rPr>
          <w:rFonts w:ascii="Palatino Linotype" w:eastAsia="Palatino Linotype" w:hAnsi="Palatino Linotype" w:cs="Palatino Linotype"/>
        </w:rPr>
        <w:t xml:space="preserve">, en lo sucesivo </w:t>
      </w:r>
      <w:r w:rsidR="0006456C" w:rsidRPr="00F96018">
        <w:rPr>
          <w:rFonts w:ascii="Palatino Linotype" w:eastAsia="Palatino Linotype" w:hAnsi="Palatino Linotype" w:cs="Palatino Linotype"/>
          <w:b/>
        </w:rPr>
        <w:t xml:space="preserve">la parte </w:t>
      </w:r>
      <w:r w:rsidRPr="00F96018">
        <w:rPr>
          <w:rFonts w:ascii="Palatino Linotype" w:eastAsia="Palatino Linotype" w:hAnsi="Palatino Linotype" w:cs="Palatino Linotype"/>
          <w:b/>
        </w:rPr>
        <w:t>Recurrente</w:t>
      </w:r>
      <w:r w:rsidR="00D23B6E" w:rsidRPr="00F96018">
        <w:rPr>
          <w:rFonts w:ascii="Palatino Linotype" w:eastAsia="Palatino Linotype" w:hAnsi="Palatino Linotype" w:cs="Palatino Linotype"/>
          <w:b/>
        </w:rPr>
        <w:t>,</w:t>
      </w:r>
      <w:r w:rsidR="00D23B6E" w:rsidRPr="00F96018">
        <w:rPr>
          <w:rFonts w:ascii="Palatino Linotype" w:eastAsia="Palatino Linotype" w:hAnsi="Palatino Linotype" w:cs="Palatino Linotype"/>
        </w:rPr>
        <w:t xml:space="preserve"> en contra de la respuesta a su solicitud p</w:t>
      </w:r>
      <w:r w:rsidR="005F1354" w:rsidRPr="00F96018">
        <w:rPr>
          <w:rFonts w:ascii="Palatino Linotype" w:eastAsia="Palatino Linotype" w:hAnsi="Palatino Linotype" w:cs="Palatino Linotype"/>
        </w:rPr>
        <w:t>or parte de</w:t>
      </w:r>
      <w:r w:rsidR="00D229CC" w:rsidRPr="00F96018">
        <w:rPr>
          <w:rFonts w:ascii="Palatino Linotype" w:eastAsia="Palatino Linotype" w:hAnsi="Palatino Linotype" w:cs="Palatino Linotype"/>
        </w:rPr>
        <w:t>l</w:t>
      </w:r>
      <w:r w:rsidR="00D23B6E" w:rsidRPr="00F96018">
        <w:rPr>
          <w:rFonts w:ascii="Palatino Linotype" w:eastAsia="Palatino Linotype" w:hAnsi="Palatino Linotype" w:cs="Palatino Linotype"/>
        </w:rPr>
        <w:t xml:space="preserve"> </w:t>
      </w:r>
      <w:r w:rsidR="004D0876" w:rsidRPr="00F96018">
        <w:rPr>
          <w:rFonts w:ascii="Palatino Linotype" w:eastAsia="Palatino Linotype" w:hAnsi="Palatino Linotype" w:cs="Palatino Linotype"/>
          <w:b/>
        </w:rPr>
        <w:t>Organismo Público Descent</w:t>
      </w:r>
      <w:r w:rsidR="00D725CD">
        <w:rPr>
          <w:rFonts w:ascii="Palatino Linotype" w:eastAsia="Palatino Linotype" w:hAnsi="Palatino Linotype" w:cs="Palatino Linotype"/>
          <w:b/>
        </w:rPr>
        <w:t>ralizado para la Prestación de l</w:t>
      </w:r>
      <w:r w:rsidR="004D0876" w:rsidRPr="00F96018">
        <w:rPr>
          <w:rFonts w:ascii="Palatino Linotype" w:eastAsia="Palatino Linotype" w:hAnsi="Palatino Linotype" w:cs="Palatino Linotype"/>
          <w:b/>
        </w:rPr>
        <w:t>os Servicios de Agua Potable Alcantarillado y Saneamiento de Atizapán de Zaragoza por sus siglas S.A.P.A.S.A.</w:t>
      </w:r>
      <w:r w:rsidR="00D23B6E" w:rsidRPr="00F96018">
        <w:rPr>
          <w:rFonts w:ascii="Palatino Linotype" w:eastAsia="Palatino Linotype" w:hAnsi="Palatino Linotype" w:cs="Palatino Linotype"/>
          <w:b/>
        </w:rPr>
        <w:t xml:space="preserve">, </w:t>
      </w:r>
      <w:r w:rsidR="00D23B6E" w:rsidRPr="00F96018">
        <w:rPr>
          <w:rFonts w:ascii="Palatino Linotype" w:eastAsia="Palatino Linotype" w:hAnsi="Palatino Linotype" w:cs="Palatino Linotype"/>
        </w:rPr>
        <w:t xml:space="preserve">en lo sucesivo el </w:t>
      </w:r>
      <w:r w:rsidRPr="00F96018">
        <w:rPr>
          <w:rFonts w:ascii="Palatino Linotype" w:eastAsia="Palatino Linotype" w:hAnsi="Palatino Linotype" w:cs="Palatino Linotype"/>
          <w:b/>
        </w:rPr>
        <w:t>Sujeto Obligado</w:t>
      </w:r>
      <w:r w:rsidR="00D23B6E" w:rsidRPr="00F96018">
        <w:rPr>
          <w:rFonts w:ascii="Palatino Linotype" w:eastAsia="Palatino Linotype" w:hAnsi="Palatino Linotype" w:cs="Palatino Linotype"/>
          <w:b/>
        </w:rPr>
        <w:t xml:space="preserve">, </w:t>
      </w:r>
      <w:r w:rsidR="00D23B6E" w:rsidRPr="00F96018">
        <w:rPr>
          <w:rFonts w:ascii="Palatino Linotype" w:eastAsia="Palatino Linotype" w:hAnsi="Palatino Linotype" w:cs="Palatino Linotype"/>
        </w:rPr>
        <w:t xml:space="preserve">se procede a dictar la presente resolución con base en los siguientes: </w:t>
      </w:r>
    </w:p>
    <w:p w14:paraId="4D381085" w14:textId="77777777" w:rsidR="00C8730C" w:rsidRPr="00F96018" w:rsidRDefault="00D23B6E">
      <w:pPr>
        <w:spacing w:before="240" w:after="240" w:line="360" w:lineRule="auto"/>
        <w:jc w:val="center"/>
        <w:rPr>
          <w:rFonts w:ascii="Palatino Linotype" w:eastAsia="Palatino Linotype" w:hAnsi="Palatino Linotype" w:cs="Palatino Linotype"/>
          <w:b/>
        </w:rPr>
      </w:pPr>
      <w:r w:rsidRPr="00F96018">
        <w:rPr>
          <w:rFonts w:ascii="Palatino Linotype" w:eastAsia="Palatino Linotype" w:hAnsi="Palatino Linotype" w:cs="Palatino Linotype"/>
          <w:b/>
        </w:rPr>
        <w:t>I. A N T E C E D E N T E S</w:t>
      </w:r>
    </w:p>
    <w:p w14:paraId="7ADEA5F0" w14:textId="77777777" w:rsidR="00C8730C" w:rsidRPr="00F96018" w:rsidRDefault="00D23B6E">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b/>
        </w:rPr>
        <w:t>1. Solicitud de acceso a la información.</w:t>
      </w:r>
      <w:r w:rsidR="00D229CC" w:rsidRPr="00F96018">
        <w:rPr>
          <w:rFonts w:ascii="Palatino Linotype" w:eastAsia="Palatino Linotype" w:hAnsi="Palatino Linotype" w:cs="Palatino Linotype"/>
        </w:rPr>
        <w:t xml:space="preserve"> El</w:t>
      </w:r>
      <w:r w:rsidRPr="00F96018">
        <w:rPr>
          <w:rFonts w:ascii="Palatino Linotype" w:eastAsia="Palatino Linotype" w:hAnsi="Palatino Linotype" w:cs="Palatino Linotype"/>
        </w:rPr>
        <w:t xml:space="preserve"> </w:t>
      </w:r>
      <w:r w:rsidR="004D0876" w:rsidRPr="00F96018">
        <w:rPr>
          <w:rFonts w:ascii="Palatino Linotype" w:eastAsia="Palatino Linotype" w:hAnsi="Palatino Linotype" w:cs="Palatino Linotype"/>
          <w:b/>
        </w:rPr>
        <w:t>diecinueve</w:t>
      </w:r>
      <w:r w:rsidR="00690783" w:rsidRPr="00F96018">
        <w:rPr>
          <w:rFonts w:ascii="Palatino Linotype" w:eastAsia="Palatino Linotype" w:hAnsi="Palatino Linotype" w:cs="Palatino Linotype"/>
          <w:b/>
        </w:rPr>
        <w:t xml:space="preserve"> de </w:t>
      </w:r>
      <w:r w:rsidR="004D0876" w:rsidRPr="00F96018">
        <w:rPr>
          <w:rFonts w:ascii="Palatino Linotype" w:eastAsia="Palatino Linotype" w:hAnsi="Palatino Linotype" w:cs="Palatino Linotype"/>
          <w:b/>
        </w:rPr>
        <w:t>may</w:t>
      </w:r>
      <w:r w:rsidR="006842AD" w:rsidRPr="00F96018">
        <w:rPr>
          <w:rFonts w:ascii="Palatino Linotype" w:eastAsia="Palatino Linotype" w:hAnsi="Palatino Linotype" w:cs="Palatino Linotype"/>
          <w:b/>
        </w:rPr>
        <w:t>o</w:t>
      </w:r>
      <w:r w:rsidR="00690783" w:rsidRPr="00F96018">
        <w:rPr>
          <w:rFonts w:ascii="Palatino Linotype" w:eastAsia="Palatino Linotype" w:hAnsi="Palatino Linotype" w:cs="Palatino Linotype"/>
          <w:b/>
        </w:rPr>
        <w:t xml:space="preserve"> d</w:t>
      </w:r>
      <w:r w:rsidRPr="00F96018">
        <w:rPr>
          <w:rFonts w:ascii="Palatino Linotype" w:eastAsia="Palatino Linotype" w:hAnsi="Palatino Linotype" w:cs="Palatino Linotype"/>
          <w:b/>
        </w:rPr>
        <w:t>e</w:t>
      </w:r>
      <w:r w:rsidR="00690783" w:rsidRPr="00F96018">
        <w:rPr>
          <w:rFonts w:ascii="Palatino Linotype" w:eastAsia="Palatino Linotype" w:hAnsi="Palatino Linotype" w:cs="Palatino Linotype"/>
          <w:b/>
        </w:rPr>
        <w:t>l</w:t>
      </w:r>
      <w:r w:rsidRPr="00F96018">
        <w:rPr>
          <w:rFonts w:ascii="Palatino Linotype" w:eastAsia="Palatino Linotype" w:hAnsi="Palatino Linotype" w:cs="Palatino Linotype"/>
          <w:b/>
        </w:rPr>
        <w:t xml:space="preserve"> dos </w:t>
      </w:r>
      <w:r w:rsidR="006842AD" w:rsidRPr="00F96018">
        <w:rPr>
          <w:rFonts w:ascii="Palatino Linotype" w:eastAsia="Palatino Linotype" w:hAnsi="Palatino Linotype" w:cs="Palatino Linotype"/>
          <w:b/>
        </w:rPr>
        <w:t>mil veintitrés</w:t>
      </w:r>
      <w:r w:rsidRPr="00F96018">
        <w:rPr>
          <w:rFonts w:ascii="Palatino Linotype" w:eastAsia="Palatino Linotype" w:hAnsi="Palatino Linotype" w:cs="Palatino Linotype"/>
          <w:b/>
        </w:rPr>
        <w:t>,</w:t>
      </w:r>
      <w:r w:rsidRPr="00F96018">
        <w:rPr>
          <w:rFonts w:ascii="Palatino Linotype" w:eastAsia="Palatino Linotype" w:hAnsi="Palatino Linotype" w:cs="Palatino Linotype"/>
        </w:rPr>
        <w:t xml:space="preserve"> </w:t>
      </w:r>
      <w:r w:rsidR="0006456C" w:rsidRPr="00F96018">
        <w:rPr>
          <w:rFonts w:ascii="Palatino Linotype" w:eastAsia="Palatino Linotype" w:hAnsi="Palatino Linotype" w:cs="Palatino Linotype"/>
          <w:b/>
        </w:rPr>
        <w:t>la parte</w:t>
      </w:r>
      <w:r w:rsidRPr="00F96018">
        <w:rPr>
          <w:rFonts w:ascii="Palatino Linotype" w:eastAsia="Palatino Linotype" w:hAnsi="Palatino Linotype" w:cs="Palatino Linotype"/>
          <w:b/>
        </w:rPr>
        <w:t xml:space="preserve"> </w:t>
      </w:r>
      <w:r w:rsidR="006A2C19" w:rsidRPr="00F96018">
        <w:rPr>
          <w:rFonts w:ascii="Palatino Linotype" w:eastAsia="Palatino Linotype" w:hAnsi="Palatino Linotype" w:cs="Palatino Linotype"/>
          <w:b/>
        </w:rPr>
        <w:t>Recurrente</w:t>
      </w:r>
      <w:r w:rsidRPr="00F96018">
        <w:rPr>
          <w:rFonts w:ascii="Palatino Linotype" w:eastAsia="Palatino Linotype" w:hAnsi="Palatino Linotype" w:cs="Palatino Linotype"/>
          <w:b/>
        </w:rPr>
        <w:t xml:space="preserve"> </w:t>
      </w:r>
      <w:r w:rsidRPr="00F96018">
        <w:rPr>
          <w:rFonts w:ascii="Palatino Linotype" w:eastAsia="Palatino Linotype" w:hAnsi="Palatino Linotype" w:cs="Palatino Linotype"/>
        </w:rPr>
        <w:t xml:space="preserve">presentó, </w:t>
      </w:r>
      <w:r w:rsidR="006A2C19" w:rsidRPr="00F96018">
        <w:rPr>
          <w:rFonts w:ascii="Palatino Linotype" w:eastAsia="Palatino Linotype" w:hAnsi="Palatino Linotype" w:cs="Palatino Linotype"/>
        </w:rPr>
        <w:t xml:space="preserve">a </w:t>
      </w:r>
      <w:r w:rsidRPr="00F96018">
        <w:rPr>
          <w:rFonts w:ascii="Palatino Linotype" w:eastAsia="Palatino Linotype" w:hAnsi="Palatino Linotype" w:cs="Palatino Linotype"/>
        </w:rPr>
        <w:t xml:space="preserve">través del Sistema de Acceso a la Información Mexiquense, en lo subsecuente el </w:t>
      </w:r>
      <w:r w:rsidRPr="00F96018">
        <w:rPr>
          <w:rFonts w:ascii="Palatino Linotype" w:eastAsia="Palatino Linotype" w:hAnsi="Palatino Linotype" w:cs="Palatino Linotype"/>
          <w:b/>
        </w:rPr>
        <w:t>SAIMEX,</w:t>
      </w:r>
      <w:r w:rsidRPr="00F96018">
        <w:rPr>
          <w:rFonts w:ascii="Palatino Linotype" w:eastAsia="Palatino Linotype" w:hAnsi="Palatino Linotype" w:cs="Palatino Linotype"/>
        </w:rPr>
        <w:t xml:space="preserve"> ante el </w:t>
      </w:r>
      <w:r w:rsidR="006A2C19" w:rsidRPr="00F96018">
        <w:rPr>
          <w:rFonts w:ascii="Palatino Linotype" w:eastAsia="Palatino Linotype" w:hAnsi="Palatino Linotype" w:cs="Palatino Linotype"/>
          <w:b/>
        </w:rPr>
        <w:t>Sujeto Obligado</w:t>
      </w:r>
      <w:r w:rsidRPr="00F96018">
        <w:rPr>
          <w:rFonts w:ascii="Palatino Linotype" w:eastAsia="Palatino Linotype" w:hAnsi="Palatino Linotype" w:cs="Palatino Linotype"/>
        </w:rPr>
        <w:t>, la solicitud de acceso a la información pública, a la que se le asignó el número</w:t>
      </w:r>
      <w:r w:rsidRPr="00F96018">
        <w:rPr>
          <w:rFonts w:ascii="Palatino Linotype" w:eastAsia="Palatino Linotype" w:hAnsi="Palatino Linotype" w:cs="Palatino Linotype"/>
          <w:b/>
        </w:rPr>
        <w:t xml:space="preserve"> </w:t>
      </w:r>
      <w:r w:rsidR="004D0876" w:rsidRPr="00F96018">
        <w:rPr>
          <w:rFonts w:ascii="Palatino Linotype" w:eastAsia="Palatino Linotype" w:hAnsi="Palatino Linotype" w:cs="Palatino Linotype"/>
          <w:b/>
          <w:bCs/>
        </w:rPr>
        <w:t>00092/OASATIZARA/IP/2023</w:t>
      </w:r>
      <w:r w:rsidRPr="00F96018">
        <w:rPr>
          <w:rFonts w:ascii="Palatino Linotype" w:eastAsia="Palatino Linotype" w:hAnsi="Palatino Linotype" w:cs="Palatino Linotype"/>
          <w:b/>
        </w:rPr>
        <w:t xml:space="preserve">, </w:t>
      </w:r>
      <w:r w:rsidRPr="00F96018">
        <w:rPr>
          <w:rFonts w:ascii="Palatino Linotype" w:eastAsia="Palatino Linotype" w:hAnsi="Palatino Linotype" w:cs="Palatino Linotype"/>
        </w:rPr>
        <w:t xml:space="preserve">mediante la cual requirió la información siguiente: </w:t>
      </w:r>
    </w:p>
    <w:p w14:paraId="4A90F068" w14:textId="77777777" w:rsidR="00C8730C" w:rsidRPr="00F96018" w:rsidRDefault="00D23B6E">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F96018">
        <w:rPr>
          <w:rFonts w:ascii="Palatino Linotype" w:eastAsia="Palatino Linotype" w:hAnsi="Palatino Linotype" w:cs="Palatino Linotype"/>
          <w:i/>
          <w:sz w:val="22"/>
          <w:szCs w:val="22"/>
        </w:rPr>
        <w:t>“</w:t>
      </w:r>
      <w:r w:rsidR="004D0876" w:rsidRPr="00F96018">
        <w:rPr>
          <w:rFonts w:ascii="Palatino Linotype" w:eastAsia="Palatino Linotype" w:hAnsi="Palatino Linotype" w:cs="Palatino Linotype"/>
          <w:b/>
          <w:i/>
          <w:sz w:val="22"/>
          <w:szCs w:val="22"/>
          <w:u w:val="single"/>
        </w:rPr>
        <w:t>Requiero dispersión de nómina de la última quincena de mayo</w:t>
      </w:r>
      <w:r w:rsidR="00081AE0" w:rsidRPr="00F96018">
        <w:rPr>
          <w:rFonts w:ascii="Palatino Linotype" w:eastAsia="Palatino Linotype" w:hAnsi="Palatino Linotype" w:cs="Palatino Linotype"/>
          <w:i/>
          <w:sz w:val="22"/>
          <w:szCs w:val="22"/>
        </w:rPr>
        <w:t>”</w:t>
      </w:r>
      <w:r w:rsidRPr="00F96018">
        <w:rPr>
          <w:rFonts w:ascii="Palatino Linotype" w:eastAsia="Palatino Linotype" w:hAnsi="Palatino Linotype" w:cs="Palatino Linotype"/>
          <w:i/>
          <w:sz w:val="22"/>
          <w:szCs w:val="22"/>
        </w:rPr>
        <w:t xml:space="preserve"> (Sic)</w:t>
      </w:r>
      <w:r w:rsidR="00D229CC" w:rsidRPr="00F96018">
        <w:rPr>
          <w:rFonts w:ascii="Palatino Linotype" w:eastAsia="Palatino Linotype" w:hAnsi="Palatino Linotype" w:cs="Palatino Linotype"/>
          <w:i/>
          <w:sz w:val="22"/>
          <w:szCs w:val="22"/>
        </w:rPr>
        <w:t xml:space="preserve"> (Énfasis añadido)</w:t>
      </w:r>
    </w:p>
    <w:p w14:paraId="3563A850" w14:textId="77777777" w:rsidR="00C8730C" w:rsidRPr="00F96018" w:rsidRDefault="00C8730C">
      <w:pPr>
        <w:spacing w:line="360" w:lineRule="auto"/>
        <w:jc w:val="both"/>
        <w:rPr>
          <w:rFonts w:ascii="Palatino Linotype" w:eastAsia="Palatino Linotype" w:hAnsi="Palatino Linotype" w:cs="Palatino Linotype"/>
        </w:rPr>
      </w:pPr>
    </w:p>
    <w:p w14:paraId="4B3CD96E" w14:textId="77777777" w:rsidR="00C8730C" w:rsidRPr="00F96018" w:rsidRDefault="00D23B6E">
      <w:pPr>
        <w:spacing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b/>
        </w:rPr>
        <w:lastRenderedPageBreak/>
        <w:t>Modalidad de Entrega:</w:t>
      </w:r>
      <w:r w:rsidRPr="00F96018">
        <w:rPr>
          <w:rFonts w:ascii="Palatino Linotype" w:eastAsia="Palatino Linotype" w:hAnsi="Palatino Linotype" w:cs="Palatino Linotype"/>
        </w:rPr>
        <w:t xml:space="preserve"> A través de </w:t>
      </w:r>
      <w:r w:rsidRPr="00F96018">
        <w:rPr>
          <w:rFonts w:ascii="Palatino Linotype" w:eastAsia="Palatino Linotype" w:hAnsi="Palatino Linotype" w:cs="Palatino Linotype"/>
          <w:b/>
        </w:rPr>
        <w:t>SAIMEX</w:t>
      </w:r>
      <w:r w:rsidRPr="00F96018">
        <w:rPr>
          <w:rFonts w:ascii="Palatino Linotype" w:eastAsia="Palatino Linotype" w:hAnsi="Palatino Linotype" w:cs="Palatino Linotype"/>
        </w:rPr>
        <w:t>.</w:t>
      </w:r>
    </w:p>
    <w:p w14:paraId="786E3F07" w14:textId="77777777" w:rsidR="00C8730C" w:rsidRPr="00F96018" w:rsidRDefault="00C8730C">
      <w:pPr>
        <w:spacing w:line="360" w:lineRule="auto"/>
        <w:jc w:val="both"/>
        <w:rPr>
          <w:rFonts w:ascii="Palatino Linotype" w:eastAsia="Palatino Linotype" w:hAnsi="Palatino Linotype" w:cs="Palatino Linotype"/>
        </w:rPr>
      </w:pPr>
    </w:p>
    <w:p w14:paraId="3874E93A" w14:textId="77777777" w:rsidR="00C8730C" w:rsidRPr="00F96018" w:rsidRDefault="00D23B6E">
      <w:pPr>
        <w:spacing w:after="240" w:line="360" w:lineRule="auto"/>
        <w:jc w:val="both"/>
        <w:rPr>
          <w:rFonts w:ascii="Palatino Linotype" w:eastAsia="Palatino Linotype" w:hAnsi="Palatino Linotype" w:cs="Palatino Linotype"/>
          <w:i/>
          <w:sz w:val="22"/>
        </w:rPr>
      </w:pPr>
      <w:r w:rsidRPr="00F96018">
        <w:rPr>
          <w:rFonts w:ascii="Palatino Linotype" w:eastAsia="Palatino Linotype" w:hAnsi="Palatino Linotype" w:cs="Palatino Linotype"/>
          <w:b/>
        </w:rPr>
        <w:t xml:space="preserve">2. Respuesta. </w:t>
      </w:r>
      <w:r w:rsidR="00D229CC" w:rsidRPr="00F96018">
        <w:rPr>
          <w:rFonts w:ascii="Palatino Linotype" w:eastAsia="Palatino Linotype" w:hAnsi="Palatino Linotype" w:cs="Palatino Linotype"/>
        </w:rPr>
        <w:t>El</w:t>
      </w:r>
      <w:r w:rsidRPr="00F96018">
        <w:rPr>
          <w:rFonts w:ascii="Palatino Linotype" w:eastAsia="Palatino Linotype" w:hAnsi="Palatino Linotype" w:cs="Palatino Linotype"/>
        </w:rPr>
        <w:t xml:space="preserve"> </w:t>
      </w:r>
      <w:r w:rsidR="004D0876" w:rsidRPr="00F96018">
        <w:rPr>
          <w:rFonts w:ascii="Palatino Linotype" w:eastAsia="Palatino Linotype" w:hAnsi="Palatino Linotype" w:cs="Palatino Linotype"/>
          <w:b/>
        </w:rPr>
        <w:t>nueve</w:t>
      </w:r>
      <w:r w:rsidR="00FA0794" w:rsidRPr="00F96018">
        <w:rPr>
          <w:rFonts w:ascii="Palatino Linotype" w:eastAsia="Palatino Linotype" w:hAnsi="Palatino Linotype" w:cs="Palatino Linotype"/>
          <w:b/>
        </w:rPr>
        <w:t xml:space="preserve"> </w:t>
      </w:r>
      <w:r w:rsidR="004D0876" w:rsidRPr="00F96018">
        <w:rPr>
          <w:rFonts w:ascii="Palatino Linotype" w:eastAsia="Palatino Linotype" w:hAnsi="Palatino Linotype" w:cs="Palatino Linotype"/>
          <w:b/>
        </w:rPr>
        <w:t>de juni</w:t>
      </w:r>
      <w:r w:rsidR="006842AD" w:rsidRPr="00F96018">
        <w:rPr>
          <w:rFonts w:ascii="Palatino Linotype" w:eastAsia="Palatino Linotype" w:hAnsi="Palatino Linotype" w:cs="Palatino Linotype"/>
          <w:b/>
        </w:rPr>
        <w:t>o de dos mil veintitré</w:t>
      </w:r>
      <w:r w:rsidRPr="00F96018">
        <w:rPr>
          <w:rFonts w:ascii="Palatino Linotype" w:eastAsia="Palatino Linotype" w:hAnsi="Palatino Linotype" w:cs="Palatino Linotype"/>
          <w:b/>
        </w:rPr>
        <w:t>s</w:t>
      </w:r>
      <w:r w:rsidRPr="00F96018">
        <w:rPr>
          <w:rFonts w:ascii="Palatino Linotype" w:eastAsia="Palatino Linotype" w:hAnsi="Palatino Linotype" w:cs="Palatino Linotype"/>
        </w:rPr>
        <w:t xml:space="preserve">, el </w:t>
      </w:r>
      <w:r w:rsidR="006A2C19" w:rsidRPr="00F96018">
        <w:rPr>
          <w:rFonts w:ascii="Palatino Linotype" w:eastAsia="Palatino Linotype" w:hAnsi="Palatino Linotype" w:cs="Palatino Linotype"/>
          <w:b/>
        </w:rPr>
        <w:t xml:space="preserve">Sujeto Obligado </w:t>
      </w:r>
      <w:r w:rsidR="006A2C19" w:rsidRPr="00F96018">
        <w:rPr>
          <w:rFonts w:ascii="Palatino Linotype" w:eastAsia="Palatino Linotype" w:hAnsi="Palatino Linotype" w:cs="Palatino Linotype"/>
        </w:rPr>
        <w:t>remiti</w:t>
      </w:r>
      <w:r w:rsidRPr="00F96018">
        <w:rPr>
          <w:rFonts w:ascii="Palatino Linotype" w:eastAsia="Palatino Linotype" w:hAnsi="Palatino Linotype" w:cs="Palatino Linotype"/>
        </w:rPr>
        <w:t xml:space="preserve">ó su respuesta a la solicitud de acceso a la información a través de SAIMEX, sustancialmente en los términos siguientes:   </w:t>
      </w:r>
    </w:p>
    <w:p w14:paraId="78242F4F" w14:textId="77777777" w:rsidR="004D0876" w:rsidRPr="00F96018" w:rsidRDefault="006A2C19" w:rsidP="004D0876">
      <w:pPr>
        <w:spacing w:before="240" w:after="24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w:t>
      </w:r>
      <w:r w:rsidR="004D0876" w:rsidRPr="00F9601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37D05A" w14:textId="77777777" w:rsidR="004D0876" w:rsidRPr="00F96018" w:rsidRDefault="004D0876" w:rsidP="004D0876">
      <w:pPr>
        <w:spacing w:before="240" w:after="24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En relación a la solicitud número 00092/OASATIZARA/IP/2023 se anexa el archivo 00092 SAIMEX</w:t>
      </w:r>
    </w:p>
    <w:p w14:paraId="3B40E0D7" w14:textId="77777777" w:rsidR="004D0876" w:rsidRPr="00F96018" w:rsidRDefault="004D0876" w:rsidP="004D0876">
      <w:pPr>
        <w:spacing w:before="240" w:after="24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ATENTAMENTE</w:t>
      </w:r>
    </w:p>
    <w:p w14:paraId="42FE7145" w14:textId="77777777" w:rsidR="00FA0794" w:rsidRPr="00F96018" w:rsidRDefault="004D0876" w:rsidP="004D0876">
      <w:pPr>
        <w:spacing w:before="240" w:after="24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C. MARIAMNEÈ VEGA BLANCARTE</w:t>
      </w:r>
      <w:r w:rsidR="00D23B6E" w:rsidRPr="00F96018">
        <w:rPr>
          <w:rFonts w:ascii="Palatino Linotype" w:eastAsia="Palatino Linotype" w:hAnsi="Palatino Linotype" w:cs="Palatino Linotype"/>
          <w:i/>
          <w:sz w:val="22"/>
          <w:szCs w:val="22"/>
        </w:rPr>
        <w:t xml:space="preserve">” </w:t>
      </w:r>
    </w:p>
    <w:p w14:paraId="364C43C0" w14:textId="77777777" w:rsidR="0006456C" w:rsidRPr="00F96018" w:rsidRDefault="0006456C" w:rsidP="0006456C">
      <w:pPr>
        <w:spacing w:before="240" w:after="240"/>
        <w:ind w:left="567" w:right="902"/>
        <w:jc w:val="both"/>
        <w:rPr>
          <w:rFonts w:ascii="Palatino Linotype" w:eastAsia="Palatino Linotype" w:hAnsi="Palatino Linotype" w:cs="Palatino Linotype"/>
          <w:b/>
          <w:sz w:val="22"/>
          <w:szCs w:val="22"/>
        </w:rPr>
      </w:pPr>
      <w:r w:rsidRPr="00F96018">
        <w:rPr>
          <w:rFonts w:ascii="Palatino Linotype" w:eastAsia="Palatino Linotype" w:hAnsi="Palatino Linotype" w:cs="Palatino Linotype"/>
          <w:b/>
          <w:sz w:val="22"/>
          <w:szCs w:val="22"/>
        </w:rPr>
        <w:t xml:space="preserve">Archivo adjunto: </w:t>
      </w:r>
    </w:p>
    <w:p w14:paraId="26CFF4DE" w14:textId="77777777" w:rsidR="006842AD" w:rsidRPr="00F96018" w:rsidRDefault="0006456C" w:rsidP="00EC54DE">
      <w:pPr>
        <w:spacing w:before="240" w:after="240" w:line="360" w:lineRule="auto"/>
        <w:ind w:left="567" w:right="902"/>
        <w:jc w:val="both"/>
        <w:rPr>
          <w:rFonts w:ascii="Palatino Linotype" w:eastAsia="Palatino Linotype" w:hAnsi="Palatino Linotype" w:cs="Palatino Linotype"/>
          <w:szCs w:val="22"/>
        </w:rPr>
      </w:pPr>
      <w:r w:rsidRPr="00F96018">
        <w:rPr>
          <w:rFonts w:ascii="Palatino Linotype" w:eastAsia="Palatino Linotype" w:hAnsi="Palatino Linotype" w:cs="Palatino Linotype"/>
          <w:b/>
          <w:i/>
          <w:sz w:val="22"/>
          <w:szCs w:val="22"/>
        </w:rPr>
        <w:t>“</w:t>
      </w:r>
      <w:r w:rsidR="004D0876" w:rsidRPr="00F96018">
        <w:rPr>
          <w:rFonts w:ascii="Palatino Linotype" w:eastAsia="Palatino Linotype" w:hAnsi="Palatino Linotype" w:cs="Palatino Linotype"/>
          <w:b/>
          <w:i/>
          <w:sz w:val="22"/>
          <w:szCs w:val="22"/>
        </w:rPr>
        <w:t>00092 SAIMEX.pdf</w:t>
      </w:r>
      <w:r w:rsidRPr="00F96018">
        <w:rPr>
          <w:rFonts w:ascii="Palatino Linotype" w:eastAsia="Palatino Linotype" w:hAnsi="Palatino Linotype" w:cs="Palatino Linotype"/>
          <w:b/>
          <w:i/>
          <w:sz w:val="22"/>
          <w:szCs w:val="22"/>
        </w:rPr>
        <w:t xml:space="preserve">”: </w:t>
      </w:r>
      <w:r w:rsidRPr="00F96018">
        <w:rPr>
          <w:rFonts w:ascii="Palatino Linotype" w:eastAsia="Palatino Linotype" w:hAnsi="Palatino Linotype" w:cs="Palatino Linotype"/>
          <w:szCs w:val="22"/>
        </w:rPr>
        <w:t>Do</w:t>
      </w:r>
      <w:r w:rsidR="006842AD" w:rsidRPr="00F96018">
        <w:rPr>
          <w:rFonts w:ascii="Palatino Linotype" w:eastAsia="Palatino Linotype" w:hAnsi="Palatino Linotype" w:cs="Palatino Linotype"/>
          <w:szCs w:val="22"/>
        </w:rPr>
        <w:t>cumento de dos</w:t>
      </w:r>
      <w:r w:rsidRPr="00F96018">
        <w:rPr>
          <w:rFonts w:ascii="Palatino Linotype" w:eastAsia="Palatino Linotype" w:hAnsi="Palatino Linotype" w:cs="Palatino Linotype"/>
          <w:szCs w:val="22"/>
        </w:rPr>
        <w:t xml:space="preserve"> fojas, suscrito por el </w:t>
      </w:r>
      <w:proofErr w:type="gramStart"/>
      <w:r w:rsidR="00EC54DE" w:rsidRPr="00F96018">
        <w:rPr>
          <w:rFonts w:ascii="Palatino Linotype" w:eastAsia="Palatino Linotype" w:hAnsi="Palatino Linotype" w:cs="Palatino Linotype"/>
          <w:szCs w:val="22"/>
        </w:rPr>
        <w:t>Subdirector</w:t>
      </w:r>
      <w:proofErr w:type="gramEnd"/>
      <w:r w:rsidR="00EC54DE" w:rsidRPr="00F96018">
        <w:rPr>
          <w:rFonts w:ascii="Palatino Linotype" w:eastAsia="Palatino Linotype" w:hAnsi="Palatino Linotype" w:cs="Palatino Linotype"/>
          <w:szCs w:val="22"/>
        </w:rPr>
        <w:t xml:space="preserve"> de Administración y Finanzas, quien a su vez remite el pronunciamiento de la Jefa del Departamento de Capital Humano, en el cual se aprecia de la dispersión bancaria. </w:t>
      </w:r>
    </w:p>
    <w:p w14:paraId="12F1B381" w14:textId="77777777" w:rsidR="00EC54DE" w:rsidRPr="00F96018" w:rsidRDefault="00EC54DE" w:rsidP="00EC54DE">
      <w:pPr>
        <w:spacing w:before="240" w:after="240" w:line="360" w:lineRule="auto"/>
        <w:ind w:left="567" w:right="902"/>
        <w:jc w:val="both"/>
        <w:rPr>
          <w:rFonts w:ascii="Palatino Linotype" w:eastAsia="Palatino Linotype" w:hAnsi="Palatino Linotype" w:cs="Palatino Linotype"/>
          <w:szCs w:val="22"/>
        </w:rPr>
      </w:pPr>
      <w:r w:rsidRPr="00F96018">
        <w:rPr>
          <w:rFonts w:ascii="Palatino Linotype" w:eastAsia="Palatino Linotype" w:hAnsi="Palatino Linotype" w:cs="Palatino Linotype"/>
          <w:noProof/>
          <w:szCs w:val="22"/>
          <w:lang w:val="es-MX"/>
        </w:rPr>
        <w:lastRenderedPageBreak/>
        <w:drawing>
          <wp:inline distT="0" distB="0" distL="0" distR="0" wp14:anchorId="56DB9E70" wp14:editId="425A168A">
            <wp:extent cx="4993640" cy="6376186"/>
            <wp:effectExtent l="19050" t="19050" r="1651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4586" cy="6390162"/>
                    </a:xfrm>
                    <a:prstGeom prst="rect">
                      <a:avLst/>
                    </a:prstGeom>
                    <a:ln>
                      <a:solidFill>
                        <a:schemeClr val="tx1"/>
                      </a:solidFill>
                    </a:ln>
                  </pic:spPr>
                </pic:pic>
              </a:graphicData>
            </a:graphic>
          </wp:inline>
        </w:drawing>
      </w:r>
    </w:p>
    <w:p w14:paraId="5D8020F2" w14:textId="77777777" w:rsidR="00C8730C" w:rsidRPr="00F96018" w:rsidRDefault="00C867C3">
      <w:pPr>
        <w:spacing w:before="240" w:after="240" w:line="360" w:lineRule="auto"/>
        <w:ind w:right="49"/>
        <w:jc w:val="both"/>
        <w:rPr>
          <w:rFonts w:ascii="Palatino Linotype" w:eastAsia="Palatino Linotype" w:hAnsi="Palatino Linotype" w:cs="Palatino Linotype"/>
        </w:rPr>
      </w:pPr>
      <w:r w:rsidRPr="00F96018">
        <w:rPr>
          <w:rFonts w:ascii="Palatino Linotype" w:eastAsia="Palatino Linotype" w:hAnsi="Palatino Linotype" w:cs="Palatino Linotype"/>
          <w:b/>
        </w:rPr>
        <w:lastRenderedPageBreak/>
        <w:t>3</w:t>
      </w:r>
      <w:r w:rsidR="00D23B6E" w:rsidRPr="00F96018">
        <w:rPr>
          <w:rFonts w:ascii="Palatino Linotype" w:eastAsia="Palatino Linotype" w:hAnsi="Palatino Linotype" w:cs="Palatino Linotype"/>
          <w:b/>
        </w:rPr>
        <w:t xml:space="preserve">. Interposición del recurso de revisión. </w:t>
      </w:r>
      <w:r w:rsidR="00D23B6E" w:rsidRPr="00F96018">
        <w:rPr>
          <w:rFonts w:ascii="Palatino Linotype" w:eastAsia="Palatino Linotype" w:hAnsi="Palatino Linotype" w:cs="Palatino Linotype"/>
        </w:rPr>
        <w:t xml:space="preserve">Inconforme con los términos de la respuesta emitida por parte del </w:t>
      </w:r>
      <w:r w:rsidR="0089229D" w:rsidRPr="00F96018">
        <w:rPr>
          <w:rFonts w:ascii="Palatino Linotype" w:eastAsia="Palatino Linotype" w:hAnsi="Palatino Linotype" w:cs="Palatino Linotype"/>
          <w:b/>
        </w:rPr>
        <w:t>Sujeto Obligado</w:t>
      </w:r>
      <w:r w:rsidR="00D23B6E" w:rsidRPr="00F96018">
        <w:rPr>
          <w:rFonts w:ascii="Palatino Linotype" w:eastAsia="Palatino Linotype" w:hAnsi="Palatino Linotype" w:cs="Palatino Linotype"/>
        </w:rPr>
        <w:t xml:space="preserve">, el </w:t>
      </w:r>
      <w:r w:rsidR="00EC54DE" w:rsidRPr="00F96018">
        <w:rPr>
          <w:rFonts w:ascii="Palatino Linotype" w:eastAsia="Palatino Linotype" w:hAnsi="Palatino Linotype" w:cs="Palatino Linotype"/>
          <w:b/>
        </w:rPr>
        <w:t>catorce de juni</w:t>
      </w:r>
      <w:r w:rsidR="006842AD" w:rsidRPr="00F96018">
        <w:rPr>
          <w:rFonts w:ascii="Palatino Linotype" w:eastAsia="Palatino Linotype" w:hAnsi="Palatino Linotype" w:cs="Palatino Linotype"/>
          <w:b/>
        </w:rPr>
        <w:t>o</w:t>
      </w:r>
      <w:r w:rsidR="00EC54DE" w:rsidRPr="00F96018">
        <w:rPr>
          <w:rFonts w:ascii="Palatino Linotype" w:eastAsia="Palatino Linotype" w:hAnsi="Palatino Linotype" w:cs="Palatino Linotype"/>
          <w:b/>
        </w:rPr>
        <w:t xml:space="preserve"> de dos mil veintitré</w:t>
      </w:r>
      <w:r w:rsidR="00D23B6E" w:rsidRPr="00F96018">
        <w:rPr>
          <w:rFonts w:ascii="Palatino Linotype" w:eastAsia="Palatino Linotype" w:hAnsi="Palatino Linotype" w:cs="Palatino Linotype"/>
          <w:b/>
        </w:rPr>
        <w:t>s,</w:t>
      </w:r>
      <w:r w:rsidR="00D23B6E" w:rsidRPr="00F96018">
        <w:rPr>
          <w:rFonts w:ascii="Palatino Linotype" w:eastAsia="Palatino Linotype" w:hAnsi="Palatino Linotype" w:cs="Palatino Linotype"/>
        </w:rPr>
        <w:t xml:space="preserve"> </w:t>
      </w:r>
      <w:r w:rsidRPr="00F96018">
        <w:rPr>
          <w:rFonts w:ascii="Palatino Linotype" w:eastAsia="Palatino Linotype" w:hAnsi="Palatino Linotype" w:cs="Palatino Linotype"/>
          <w:b/>
        </w:rPr>
        <w:t>la parte</w:t>
      </w:r>
      <w:r w:rsidR="0089229D" w:rsidRPr="00F96018">
        <w:rPr>
          <w:rFonts w:ascii="Palatino Linotype" w:eastAsia="Palatino Linotype" w:hAnsi="Palatino Linotype" w:cs="Palatino Linotype"/>
          <w:b/>
        </w:rPr>
        <w:t xml:space="preserve"> Recurrente</w:t>
      </w:r>
      <w:r w:rsidR="0089229D" w:rsidRPr="00F96018">
        <w:rPr>
          <w:rFonts w:ascii="Palatino Linotype" w:eastAsia="Palatino Linotype" w:hAnsi="Palatino Linotype" w:cs="Palatino Linotype"/>
        </w:rPr>
        <w:t xml:space="preserve"> </w:t>
      </w:r>
      <w:r w:rsidR="00D23B6E" w:rsidRPr="00F96018">
        <w:rPr>
          <w:rFonts w:ascii="Palatino Linotype" w:eastAsia="Palatino Linotype" w:hAnsi="Palatino Linotype" w:cs="Palatino Linotype"/>
        </w:rPr>
        <w:t xml:space="preserve">interpuso el recurso de revisión a través de </w:t>
      </w:r>
      <w:r w:rsidR="00D23B6E" w:rsidRPr="00F96018">
        <w:rPr>
          <w:rFonts w:ascii="Palatino Linotype" w:eastAsia="Palatino Linotype" w:hAnsi="Palatino Linotype" w:cs="Palatino Linotype"/>
          <w:b/>
        </w:rPr>
        <w:t xml:space="preserve">SAIMEX, </w:t>
      </w:r>
      <w:r w:rsidR="00D23B6E" w:rsidRPr="00F96018">
        <w:rPr>
          <w:rFonts w:ascii="Palatino Linotype" w:eastAsia="Palatino Linotype" w:hAnsi="Palatino Linotype" w:cs="Palatino Linotype"/>
        </w:rPr>
        <w:t>en donde se manifestó de la siguiente manera:</w:t>
      </w:r>
    </w:p>
    <w:p w14:paraId="177CCFE3" w14:textId="77777777" w:rsidR="00C8730C" w:rsidRPr="00F96018" w:rsidRDefault="0089229D">
      <w:pPr>
        <w:tabs>
          <w:tab w:val="left" w:pos="2745"/>
        </w:tabs>
        <w:spacing w:before="240" w:after="240" w:line="360" w:lineRule="auto"/>
        <w:jc w:val="both"/>
        <w:rPr>
          <w:rFonts w:ascii="Palatino Linotype" w:eastAsia="Palatino Linotype" w:hAnsi="Palatino Linotype" w:cs="Palatino Linotype"/>
          <w:b/>
        </w:rPr>
      </w:pPr>
      <w:r w:rsidRPr="00F96018">
        <w:rPr>
          <w:rFonts w:ascii="Palatino Linotype" w:eastAsia="Palatino Linotype" w:hAnsi="Palatino Linotype" w:cs="Palatino Linotype"/>
          <w:b/>
        </w:rPr>
        <w:t xml:space="preserve">a) </w:t>
      </w:r>
      <w:r w:rsidR="00D23B6E" w:rsidRPr="00F96018">
        <w:rPr>
          <w:rFonts w:ascii="Palatino Linotype" w:eastAsia="Palatino Linotype" w:hAnsi="Palatino Linotype" w:cs="Palatino Linotype"/>
          <w:b/>
        </w:rPr>
        <w:t xml:space="preserve">Acto impugnado: </w:t>
      </w:r>
      <w:r w:rsidR="00D23B6E" w:rsidRPr="00F96018">
        <w:rPr>
          <w:rFonts w:ascii="Palatino Linotype" w:eastAsia="Palatino Linotype" w:hAnsi="Palatino Linotype" w:cs="Palatino Linotype"/>
          <w:b/>
        </w:rPr>
        <w:tab/>
      </w:r>
    </w:p>
    <w:p w14:paraId="2A40077D" w14:textId="77777777" w:rsidR="00C8730C" w:rsidRPr="00F96018" w:rsidRDefault="00D23B6E" w:rsidP="00FA0794">
      <w:pPr>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w:t>
      </w:r>
      <w:r w:rsidR="00EC54DE" w:rsidRPr="00F96018">
        <w:rPr>
          <w:rFonts w:ascii="Palatino Linotype" w:eastAsia="Palatino Linotype" w:hAnsi="Palatino Linotype" w:cs="Palatino Linotype"/>
          <w:i/>
          <w:sz w:val="22"/>
          <w:szCs w:val="22"/>
        </w:rPr>
        <w:t>respuesta</w:t>
      </w:r>
      <w:r w:rsidRPr="00F96018">
        <w:rPr>
          <w:rFonts w:ascii="Palatino Linotype" w:eastAsia="Palatino Linotype" w:hAnsi="Palatino Linotype" w:cs="Palatino Linotype"/>
          <w:i/>
          <w:sz w:val="22"/>
          <w:szCs w:val="22"/>
        </w:rPr>
        <w:t>” (Sic)</w:t>
      </w:r>
    </w:p>
    <w:p w14:paraId="756C1FF2" w14:textId="77777777" w:rsidR="00C8730C" w:rsidRPr="00F96018" w:rsidRDefault="00C8730C">
      <w:pPr>
        <w:ind w:left="851" w:right="902"/>
        <w:jc w:val="both"/>
        <w:rPr>
          <w:rFonts w:ascii="Palatino Linotype" w:eastAsia="Palatino Linotype" w:hAnsi="Palatino Linotype" w:cs="Palatino Linotype"/>
          <w:i/>
          <w:sz w:val="22"/>
          <w:szCs w:val="22"/>
        </w:rPr>
      </w:pPr>
    </w:p>
    <w:p w14:paraId="50128970" w14:textId="77777777" w:rsidR="00C8730C" w:rsidRPr="00F96018" w:rsidRDefault="0089229D">
      <w:pPr>
        <w:spacing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b/>
        </w:rPr>
        <w:t xml:space="preserve">b) </w:t>
      </w:r>
      <w:r w:rsidR="00D23B6E" w:rsidRPr="00F96018">
        <w:rPr>
          <w:rFonts w:ascii="Palatino Linotype" w:eastAsia="Palatino Linotype" w:hAnsi="Palatino Linotype" w:cs="Palatino Linotype"/>
          <w:b/>
        </w:rPr>
        <w:t>Razones o motivos de inconformidad</w:t>
      </w:r>
      <w:r w:rsidR="00D23B6E" w:rsidRPr="00F96018">
        <w:rPr>
          <w:rFonts w:ascii="Palatino Linotype" w:eastAsia="Palatino Linotype" w:hAnsi="Palatino Linotype" w:cs="Palatino Linotype"/>
        </w:rPr>
        <w:t>:</w:t>
      </w:r>
    </w:p>
    <w:p w14:paraId="722F77B5" w14:textId="77777777" w:rsidR="00C8730C" w:rsidRPr="00F96018" w:rsidRDefault="00D23B6E" w:rsidP="00FA0794">
      <w:pPr>
        <w:ind w:left="567" w:right="902"/>
        <w:jc w:val="both"/>
        <w:rPr>
          <w:rFonts w:ascii="Palatino Linotype" w:eastAsia="Palatino Linotype" w:hAnsi="Palatino Linotype" w:cs="Palatino Linotype"/>
          <w:i/>
          <w:sz w:val="22"/>
          <w:szCs w:val="22"/>
        </w:rPr>
      </w:pPr>
      <w:bookmarkStart w:id="1" w:name="_heading=h.30j0zll" w:colFirst="0" w:colLast="0"/>
      <w:bookmarkEnd w:id="1"/>
      <w:r w:rsidRPr="00F96018">
        <w:rPr>
          <w:rFonts w:ascii="Palatino Linotype" w:eastAsia="Palatino Linotype" w:hAnsi="Palatino Linotype" w:cs="Palatino Linotype"/>
          <w:i/>
          <w:sz w:val="22"/>
          <w:szCs w:val="22"/>
        </w:rPr>
        <w:t xml:space="preserve"> “</w:t>
      </w:r>
      <w:r w:rsidR="00EC54DE" w:rsidRPr="00F96018">
        <w:rPr>
          <w:rFonts w:ascii="Palatino Linotype" w:eastAsia="Palatino Linotype" w:hAnsi="Palatino Linotype" w:cs="Palatino Linotype"/>
          <w:i/>
          <w:sz w:val="22"/>
          <w:szCs w:val="22"/>
        </w:rPr>
        <w:t xml:space="preserve">no remite el documento que se genera, sin </w:t>
      </w:r>
      <w:proofErr w:type="gramStart"/>
      <w:r w:rsidR="00EC54DE" w:rsidRPr="00F96018">
        <w:rPr>
          <w:rFonts w:ascii="Palatino Linotype" w:eastAsia="Palatino Linotype" w:hAnsi="Palatino Linotype" w:cs="Palatino Linotype"/>
          <w:i/>
          <w:sz w:val="22"/>
          <w:szCs w:val="22"/>
        </w:rPr>
        <w:t>embargo</w:t>
      </w:r>
      <w:proofErr w:type="gramEnd"/>
      <w:r w:rsidR="00EC54DE" w:rsidRPr="00F96018">
        <w:rPr>
          <w:rFonts w:ascii="Palatino Linotype" w:eastAsia="Palatino Linotype" w:hAnsi="Palatino Linotype" w:cs="Palatino Linotype"/>
          <w:i/>
          <w:sz w:val="22"/>
          <w:szCs w:val="22"/>
        </w:rPr>
        <w:t xml:space="preserve"> hace un documento </w:t>
      </w:r>
      <w:proofErr w:type="spellStart"/>
      <w:r w:rsidR="00EC54DE" w:rsidRPr="00F96018">
        <w:rPr>
          <w:rFonts w:ascii="Palatino Linotype" w:eastAsia="Palatino Linotype" w:hAnsi="Palatino Linotype" w:cs="Palatino Linotype"/>
          <w:i/>
          <w:sz w:val="22"/>
          <w:szCs w:val="22"/>
        </w:rPr>
        <w:t>adhoc</w:t>
      </w:r>
      <w:proofErr w:type="spellEnd"/>
      <w:r w:rsidR="00EC54DE" w:rsidRPr="00F96018">
        <w:rPr>
          <w:rFonts w:ascii="Palatino Linotype" w:eastAsia="Palatino Linotype" w:hAnsi="Palatino Linotype" w:cs="Palatino Linotype"/>
          <w:i/>
          <w:sz w:val="22"/>
          <w:szCs w:val="22"/>
        </w:rPr>
        <w:t xml:space="preserve"> no solicitado</w:t>
      </w:r>
      <w:r w:rsidRPr="00F96018">
        <w:rPr>
          <w:rFonts w:ascii="Palatino Linotype" w:eastAsia="Palatino Linotype" w:hAnsi="Palatino Linotype" w:cs="Palatino Linotype"/>
          <w:i/>
          <w:sz w:val="22"/>
          <w:szCs w:val="22"/>
        </w:rPr>
        <w:t>” (Sic)</w:t>
      </w:r>
      <w:r w:rsidR="00FA0794" w:rsidRPr="00F96018">
        <w:rPr>
          <w:rFonts w:ascii="Palatino Linotype" w:eastAsia="Palatino Linotype" w:hAnsi="Palatino Linotype" w:cs="Palatino Linotype"/>
          <w:i/>
          <w:sz w:val="22"/>
          <w:szCs w:val="22"/>
        </w:rPr>
        <w:t xml:space="preserve"> </w:t>
      </w:r>
    </w:p>
    <w:p w14:paraId="22105BC8" w14:textId="77777777" w:rsidR="00C8730C" w:rsidRPr="00F96018" w:rsidRDefault="00C8730C">
      <w:pPr>
        <w:ind w:left="851" w:right="902"/>
        <w:jc w:val="both"/>
        <w:rPr>
          <w:rFonts w:ascii="Palatino Linotype" w:eastAsia="Palatino Linotype" w:hAnsi="Palatino Linotype" w:cs="Palatino Linotype"/>
          <w:i/>
          <w:sz w:val="22"/>
          <w:szCs w:val="22"/>
        </w:rPr>
      </w:pPr>
    </w:p>
    <w:p w14:paraId="689DD967" w14:textId="77777777" w:rsidR="00590DB6" w:rsidRPr="00F96018" w:rsidRDefault="00590DB6" w:rsidP="00C93F06">
      <w:pPr>
        <w:ind w:right="902"/>
        <w:jc w:val="both"/>
        <w:rPr>
          <w:rFonts w:ascii="Palatino Linotype" w:eastAsia="Palatino Linotype" w:hAnsi="Palatino Linotype" w:cs="Palatino Linotype"/>
          <w:sz w:val="22"/>
          <w:szCs w:val="22"/>
        </w:rPr>
      </w:pPr>
    </w:p>
    <w:p w14:paraId="0AAA24C8" w14:textId="77777777" w:rsidR="00C8730C" w:rsidRPr="00F96018" w:rsidRDefault="00C867C3">
      <w:pPr>
        <w:spacing w:line="360" w:lineRule="auto"/>
        <w:ind w:right="51"/>
        <w:jc w:val="both"/>
        <w:rPr>
          <w:rFonts w:ascii="Palatino Linotype" w:eastAsia="Palatino Linotype" w:hAnsi="Palatino Linotype" w:cs="Palatino Linotype"/>
        </w:rPr>
      </w:pPr>
      <w:r w:rsidRPr="00F96018">
        <w:rPr>
          <w:rFonts w:ascii="Palatino Linotype" w:eastAsia="Palatino Linotype" w:hAnsi="Palatino Linotype" w:cs="Palatino Linotype"/>
          <w:b/>
        </w:rPr>
        <w:t>4</w:t>
      </w:r>
      <w:r w:rsidR="00D23B6E" w:rsidRPr="00F96018">
        <w:rPr>
          <w:rFonts w:ascii="Palatino Linotype" w:eastAsia="Palatino Linotype" w:hAnsi="Palatino Linotype" w:cs="Palatino Linotype"/>
          <w:b/>
        </w:rPr>
        <w:t xml:space="preserve">. Turno. </w:t>
      </w:r>
      <w:r w:rsidR="00D23B6E" w:rsidRPr="00F9601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D23B6E" w:rsidRPr="00F96018">
        <w:rPr>
          <w:rFonts w:ascii="Palatino Linotype" w:eastAsia="Palatino Linotype" w:hAnsi="Palatino Linotype" w:cs="Palatino Linotype"/>
          <w:b/>
        </w:rPr>
        <w:t>Comisionada</w:t>
      </w:r>
      <w:r w:rsidR="00D23B6E" w:rsidRPr="00F96018">
        <w:rPr>
          <w:rFonts w:ascii="Palatino Linotype" w:eastAsia="Palatino Linotype" w:hAnsi="Palatino Linotype" w:cs="Palatino Linotype"/>
        </w:rPr>
        <w:t xml:space="preserve"> </w:t>
      </w:r>
      <w:r w:rsidR="00D23B6E" w:rsidRPr="00F96018">
        <w:rPr>
          <w:rFonts w:ascii="Palatino Linotype" w:eastAsia="Palatino Linotype" w:hAnsi="Palatino Linotype" w:cs="Palatino Linotype"/>
          <w:b/>
        </w:rPr>
        <w:t xml:space="preserve">Guadalupe Ramírez Peña, </w:t>
      </w:r>
      <w:r w:rsidR="00D23B6E" w:rsidRPr="00F96018">
        <w:rPr>
          <w:rFonts w:ascii="Palatino Linotype" w:eastAsia="Palatino Linotype" w:hAnsi="Palatino Linotype" w:cs="Palatino Linotype"/>
        </w:rPr>
        <w:t xml:space="preserve">a efecto de que analizara sobre su admisión o su </w:t>
      </w:r>
      <w:proofErr w:type="spellStart"/>
      <w:r w:rsidR="00D23B6E" w:rsidRPr="00F96018">
        <w:rPr>
          <w:rFonts w:ascii="Palatino Linotype" w:eastAsia="Palatino Linotype" w:hAnsi="Palatino Linotype" w:cs="Palatino Linotype"/>
        </w:rPr>
        <w:t>desechamiento</w:t>
      </w:r>
      <w:proofErr w:type="spellEnd"/>
      <w:r w:rsidR="00D23B6E" w:rsidRPr="00F96018">
        <w:rPr>
          <w:rFonts w:ascii="Palatino Linotype" w:eastAsia="Palatino Linotype" w:hAnsi="Palatino Linotype" w:cs="Palatino Linotype"/>
        </w:rPr>
        <w:t>.</w:t>
      </w:r>
    </w:p>
    <w:p w14:paraId="3C51B066" w14:textId="77777777" w:rsidR="00C8730C" w:rsidRPr="00F96018" w:rsidRDefault="00C8730C">
      <w:pPr>
        <w:spacing w:line="360" w:lineRule="auto"/>
        <w:ind w:right="51"/>
        <w:jc w:val="both"/>
        <w:rPr>
          <w:rFonts w:ascii="Palatino Linotype" w:eastAsia="Palatino Linotype" w:hAnsi="Palatino Linotype" w:cs="Palatino Linotype"/>
        </w:rPr>
      </w:pPr>
    </w:p>
    <w:p w14:paraId="24E9052F" w14:textId="77777777" w:rsidR="00C8730C" w:rsidRPr="00F96018" w:rsidRDefault="00E60A0C">
      <w:pPr>
        <w:spacing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b/>
        </w:rPr>
        <w:t>5. Admisión del Recurso de R</w:t>
      </w:r>
      <w:r w:rsidR="00D23B6E" w:rsidRPr="00F96018">
        <w:rPr>
          <w:rFonts w:ascii="Palatino Linotype" w:eastAsia="Palatino Linotype" w:hAnsi="Palatino Linotype" w:cs="Palatino Linotype"/>
          <w:b/>
        </w:rPr>
        <w:t>evisión.</w:t>
      </w:r>
      <w:r w:rsidR="00D229CC" w:rsidRPr="00F96018">
        <w:rPr>
          <w:rFonts w:ascii="Palatino Linotype" w:eastAsia="Palatino Linotype" w:hAnsi="Palatino Linotype" w:cs="Palatino Linotype"/>
        </w:rPr>
        <w:t xml:space="preserve"> El</w:t>
      </w:r>
      <w:r w:rsidR="00EC54DE" w:rsidRPr="00F96018">
        <w:rPr>
          <w:rFonts w:ascii="Palatino Linotype" w:eastAsia="Palatino Linotype" w:hAnsi="Palatino Linotype" w:cs="Palatino Linotype"/>
          <w:b/>
        </w:rPr>
        <w:t xml:space="preserve"> diecinueve de juni</w:t>
      </w:r>
      <w:r w:rsidR="006842AD" w:rsidRPr="00F96018">
        <w:rPr>
          <w:rFonts w:ascii="Palatino Linotype" w:eastAsia="Palatino Linotype" w:hAnsi="Palatino Linotype" w:cs="Palatino Linotype"/>
          <w:b/>
        </w:rPr>
        <w:t>o de dos mil veintitré</w:t>
      </w:r>
      <w:r w:rsidR="00D23B6E" w:rsidRPr="00F96018">
        <w:rPr>
          <w:rFonts w:ascii="Palatino Linotype" w:eastAsia="Palatino Linotype" w:hAnsi="Palatino Linotype" w:cs="Palatino Linotype"/>
          <w:b/>
        </w:rPr>
        <w:t xml:space="preserve">s, </w:t>
      </w:r>
      <w:r w:rsidR="00D23B6E" w:rsidRPr="00F9601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w:t>
      </w:r>
      <w:r w:rsidR="00D23B6E" w:rsidRPr="00F96018">
        <w:rPr>
          <w:rFonts w:ascii="Palatino Linotype" w:eastAsia="Palatino Linotype" w:hAnsi="Palatino Linotype" w:cs="Palatino Linotype"/>
        </w:rPr>
        <w:lastRenderedPageBreak/>
        <w:t xml:space="preserve">que ahora se resuelve, dando un plazo máximo de siete días hábiles para que las partes manifestaran lo que a su derecho resultara conveniente, ofrecieran pruebas, formularan alegatos y el </w:t>
      </w:r>
      <w:r w:rsidRPr="00F96018">
        <w:rPr>
          <w:rFonts w:ascii="Palatino Linotype" w:eastAsia="Palatino Linotype" w:hAnsi="Palatino Linotype" w:cs="Palatino Linotype"/>
          <w:b/>
        </w:rPr>
        <w:t xml:space="preserve">Sujeto Obligado </w:t>
      </w:r>
      <w:r w:rsidR="00D23B6E" w:rsidRPr="00F96018">
        <w:rPr>
          <w:rFonts w:ascii="Palatino Linotype" w:eastAsia="Palatino Linotype" w:hAnsi="Palatino Linotype" w:cs="Palatino Linotype"/>
        </w:rPr>
        <w:t>presentara su informe justificado.</w:t>
      </w:r>
    </w:p>
    <w:p w14:paraId="1A78A488" w14:textId="77777777" w:rsidR="006600AD" w:rsidRPr="00F96018" w:rsidRDefault="00D23B6E" w:rsidP="00EC54DE">
      <w:pPr>
        <w:spacing w:after="240" w:line="360" w:lineRule="auto"/>
        <w:jc w:val="both"/>
        <w:rPr>
          <w:rFonts w:ascii="Palatino Linotype" w:eastAsia="Palatino Linotype" w:hAnsi="Palatino Linotype" w:cs="Palatino Linotype"/>
          <w:noProof/>
          <w:lang w:val="es-MX"/>
        </w:rPr>
      </w:pPr>
      <w:bookmarkStart w:id="2" w:name="_heading=h.2s8eyo1" w:colFirst="0" w:colLast="0"/>
      <w:bookmarkEnd w:id="2"/>
      <w:r w:rsidRPr="00F96018">
        <w:rPr>
          <w:rFonts w:ascii="Palatino Linotype" w:eastAsia="Palatino Linotype" w:hAnsi="Palatino Linotype" w:cs="Palatino Linotype"/>
          <w:b/>
        </w:rPr>
        <w:t>6. Manifestaciones</w:t>
      </w:r>
      <w:r w:rsidRPr="00F96018">
        <w:rPr>
          <w:rFonts w:ascii="Palatino Linotype" w:eastAsia="Palatino Linotype" w:hAnsi="Palatino Linotype" w:cs="Palatino Linotype"/>
        </w:rPr>
        <w:t>.</w:t>
      </w:r>
      <w:r w:rsidR="00D229CC" w:rsidRPr="00F96018">
        <w:rPr>
          <w:rFonts w:ascii="Palatino Linotype" w:eastAsia="Palatino Linotype" w:hAnsi="Palatino Linotype" w:cs="Palatino Linotype"/>
        </w:rPr>
        <w:t xml:space="preserve"> </w:t>
      </w:r>
      <w:r w:rsidR="006600AD" w:rsidRPr="00F96018">
        <w:rPr>
          <w:rFonts w:ascii="Palatino Linotype" w:eastAsia="Palatino Linotype" w:hAnsi="Palatino Linotype" w:cs="Palatino Linotype"/>
        </w:rPr>
        <w:t xml:space="preserve">De las constancias que obran en el expediente electrónico, se advierte que </w:t>
      </w:r>
      <w:r w:rsidR="00EC54DE" w:rsidRPr="00F96018">
        <w:rPr>
          <w:rFonts w:ascii="Palatino Linotype" w:eastAsia="Palatino Linotype" w:hAnsi="Palatino Linotype" w:cs="Palatino Linotype"/>
        </w:rPr>
        <w:t>las partes fueron omisas en remitir sus manifestaciones, alegatos o cualquier argumento que a su derecho conviniera, por lo que se tiene por precluido su derecho para tal efecto.</w:t>
      </w:r>
    </w:p>
    <w:p w14:paraId="214CC1AF" w14:textId="77777777" w:rsidR="00C8730C" w:rsidRPr="00F96018" w:rsidRDefault="00D23B6E" w:rsidP="00EC54DE">
      <w:pPr>
        <w:widowControl w:val="0"/>
        <w:spacing w:after="240" w:line="360" w:lineRule="auto"/>
        <w:jc w:val="both"/>
        <w:rPr>
          <w:rFonts w:ascii="Palatino Linotype" w:eastAsia="Palatino Linotype" w:hAnsi="Palatino Linotype" w:cs="Palatino Linotype"/>
          <w:b/>
        </w:rPr>
      </w:pPr>
      <w:r w:rsidRPr="00F96018">
        <w:rPr>
          <w:rFonts w:ascii="Palatino Linotype" w:eastAsia="Palatino Linotype" w:hAnsi="Palatino Linotype" w:cs="Palatino Linotype"/>
          <w:b/>
        </w:rPr>
        <w:t xml:space="preserve">7.- Cierre de instrucción. </w:t>
      </w:r>
      <w:r w:rsidRPr="00F96018">
        <w:rPr>
          <w:rFonts w:ascii="Palatino Linotype" w:eastAsia="Palatino Linotype" w:hAnsi="Palatino Linotype" w:cs="Palatino Linotype"/>
        </w:rPr>
        <w:t>Una vez transcurrido el periodo otorgado a las partes para realizar sus manifestaciones y no habiendo documentos que in</w:t>
      </w:r>
      <w:r w:rsidR="00AD5C01" w:rsidRPr="00F96018">
        <w:rPr>
          <w:rFonts w:ascii="Palatino Linotype" w:eastAsia="Palatino Linotype" w:hAnsi="Palatino Linotype" w:cs="Palatino Linotype"/>
        </w:rPr>
        <w:t xml:space="preserve">tegrar al expediente, el </w:t>
      </w:r>
      <w:r w:rsidR="00EC54DE" w:rsidRPr="00F96018">
        <w:rPr>
          <w:rFonts w:ascii="Palatino Linotype" w:eastAsia="Palatino Linotype" w:hAnsi="Palatino Linotype" w:cs="Palatino Linotype"/>
          <w:b/>
        </w:rPr>
        <w:t>seis</w:t>
      </w:r>
      <w:r w:rsidR="00AD5C01" w:rsidRPr="00F96018">
        <w:rPr>
          <w:rFonts w:ascii="Palatino Linotype" w:eastAsia="Palatino Linotype" w:hAnsi="Palatino Linotype" w:cs="Palatino Linotype"/>
          <w:b/>
        </w:rPr>
        <w:t xml:space="preserve"> de </w:t>
      </w:r>
      <w:r w:rsidR="006842AD" w:rsidRPr="00F96018">
        <w:rPr>
          <w:rFonts w:ascii="Palatino Linotype" w:eastAsia="Palatino Linotype" w:hAnsi="Palatino Linotype" w:cs="Palatino Linotype"/>
          <w:b/>
        </w:rPr>
        <w:t>jul</w:t>
      </w:r>
      <w:r w:rsidR="007F08D6" w:rsidRPr="00F96018">
        <w:rPr>
          <w:rFonts w:ascii="Palatino Linotype" w:eastAsia="Palatino Linotype" w:hAnsi="Palatino Linotype" w:cs="Palatino Linotype"/>
          <w:b/>
        </w:rPr>
        <w:t>i</w:t>
      </w:r>
      <w:r w:rsidR="006600AD" w:rsidRPr="00F96018">
        <w:rPr>
          <w:rFonts w:ascii="Palatino Linotype" w:eastAsia="Palatino Linotype" w:hAnsi="Palatino Linotype" w:cs="Palatino Linotype"/>
          <w:b/>
        </w:rPr>
        <w:t>o</w:t>
      </w:r>
      <w:r w:rsidR="006F61AF" w:rsidRPr="00F96018">
        <w:rPr>
          <w:rFonts w:ascii="Palatino Linotype" w:eastAsia="Palatino Linotype" w:hAnsi="Palatino Linotype" w:cs="Palatino Linotype"/>
          <w:b/>
        </w:rPr>
        <w:t xml:space="preserve"> </w:t>
      </w:r>
      <w:r w:rsidR="00013456" w:rsidRPr="00F96018">
        <w:rPr>
          <w:rFonts w:ascii="Palatino Linotype" w:eastAsia="Palatino Linotype" w:hAnsi="Palatino Linotype" w:cs="Palatino Linotype"/>
          <w:b/>
        </w:rPr>
        <w:t>de dos mil veintitré</w:t>
      </w:r>
      <w:r w:rsidRPr="00F96018">
        <w:rPr>
          <w:rFonts w:ascii="Palatino Linotype" w:eastAsia="Palatino Linotype" w:hAnsi="Palatino Linotype" w:cs="Palatino Linotype"/>
          <w:b/>
        </w:rPr>
        <w:t>s</w:t>
      </w:r>
      <w:r w:rsidRPr="00F9601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8AF2CF8" w14:textId="77777777" w:rsidR="006600AD" w:rsidRPr="00F96018" w:rsidRDefault="00D23B6E">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35CEA22" w14:textId="77777777" w:rsidR="00C8730C" w:rsidRPr="00F96018" w:rsidRDefault="00D23B6E">
      <w:pPr>
        <w:widowControl w:val="0"/>
        <w:spacing w:line="360" w:lineRule="auto"/>
        <w:jc w:val="center"/>
        <w:rPr>
          <w:rFonts w:ascii="Palatino Linotype" w:eastAsia="Palatino Linotype" w:hAnsi="Palatino Linotype" w:cs="Palatino Linotype"/>
          <w:b/>
        </w:rPr>
      </w:pPr>
      <w:r w:rsidRPr="00F96018">
        <w:rPr>
          <w:rFonts w:ascii="Palatino Linotype" w:eastAsia="Palatino Linotype" w:hAnsi="Palatino Linotype" w:cs="Palatino Linotype"/>
          <w:b/>
        </w:rPr>
        <w:t>II. C O N S I D E R A N D O S</w:t>
      </w:r>
    </w:p>
    <w:p w14:paraId="6E8ECB21" w14:textId="77777777" w:rsidR="00C8730C" w:rsidRPr="00F96018" w:rsidRDefault="00D23B6E">
      <w:pPr>
        <w:spacing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b/>
        </w:rPr>
        <w:t>Primero. Competencia.</w:t>
      </w:r>
      <w:r w:rsidRPr="00F9601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F96018">
        <w:rPr>
          <w:rFonts w:ascii="Palatino Linotype" w:eastAsia="Palatino Linotype" w:hAnsi="Palatino Linotype" w:cs="Palatino Linotype"/>
        </w:rPr>
        <w:lastRenderedPageBreak/>
        <w:t xml:space="preserve">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w:t>
      </w:r>
      <w:r w:rsidR="006600AD" w:rsidRPr="00F96018">
        <w:rPr>
          <w:rFonts w:ascii="Palatino Linotype" w:eastAsia="Palatino Linotype" w:hAnsi="Palatino Linotype" w:cs="Palatino Linotype"/>
        </w:rPr>
        <w:t>I y XXIII</w:t>
      </w:r>
      <w:r w:rsidRPr="00F96018">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7139457" w14:textId="77777777" w:rsidR="00C8730C" w:rsidRPr="00F96018" w:rsidRDefault="00D23B6E">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F96018">
        <w:rPr>
          <w:rFonts w:ascii="Palatino Linotype" w:eastAsia="Palatino Linotype" w:hAnsi="Palatino Linotype" w:cs="Palatino Linotype"/>
          <w:b/>
        </w:rPr>
        <w:t xml:space="preserve">Segundo. Oportunidad y Procedibilidad del Recurso de Revisión. </w:t>
      </w:r>
      <w:r w:rsidRPr="00F96018">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52EC86A" w14:textId="77777777" w:rsidR="00C8730C" w:rsidRPr="00F96018" w:rsidRDefault="00D23B6E">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rPr>
        <w:t>Al respecto la Ley de Transparencia y Acceso a la Información Pública del Estado de México y Municipios, establece lo siguiente:</w:t>
      </w:r>
    </w:p>
    <w:p w14:paraId="2ECB5942" w14:textId="77777777" w:rsidR="00C8730C" w:rsidRPr="00F96018" w:rsidRDefault="00D23B6E">
      <w:pPr>
        <w:ind w:left="851" w:right="900"/>
        <w:jc w:val="both"/>
        <w:rPr>
          <w:rFonts w:ascii="Palatino Linotype" w:eastAsia="Palatino Linotype" w:hAnsi="Palatino Linotype" w:cs="Palatino Linotype"/>
          <w:i/>
          <w:sz w:val="28"/>
          <w:szCs w:val="28"/>
        </w:rPr>
      </w:pPr>
      <w:r w:rsidRPr="00F96018">
        <w:rPr>
          <w:rFonts w:ascii="Palatino Linotype" w:eastAsia="Palatino Linotype" w:hAnsi="Palatino Linotype" w:cs="Palatino Linotype"/>
          <w:b/>
          <w:i/>
          <w:sz w:val="22"/>
          <w:szCs w:val="22"/>
        </w:rPr>
        <w:t xml:space="preserve">“Artículo 178. </w:t>
      </w:r>
      <w:r w:rsidRPr="00F9601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A2C0F25" w14:textId="77777777" w:rsidR="00C8730C" w:rsidRPr="00F96018" w:rsidRDefault="00D23B6E">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rPr>
        <w:lastRenderedPageBreak/>
        <w:t>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w:t>
      </w:r>
      <w:r w:rsidR="006048C0" w:rsidRPr="00F96018">
        <w:rPr>
          <w:rFonts w:ascii="Palatino Linotype" w:eastAsia="Palatino Linotype" w:hAnsi="Palatino Linotype" w:cs="Palatino Linotype"/>
        </w:rPr>
        <w:t xml:space="preserve"> notificación de la respuesta, en este sentido se advierte </w:t>
      </w:r>
      <w:r w:rsidRPr="00F96018">
        <w:rPr>
          <w:rFonts w:ascii="Palatino Linotype" w:eastAsia="Palatino Linotype" w:hAnsi="Palatino Linotype" w:cs="Palatino Linotype"/>
        </w:rPr>
        <w:t xml:space="preserve">que el </w:t>
      </w:r>
      <w:r w:rsidR="003F43AF" w:rsidRPr="00F96018">
        <w:rPr>
          <w:rFonts w:ascii="Palatino Linotype" w:eastAsia="Palatino Linotype" w:hAnsi="Palatino Linotype" w:cs="Palatino Linotype"/>
          <w:b/>
        </w:rPr>
        <w:t xml:space="preserve">Sujeto Obligado </w:t>
      </w:r>
      <w:r w:rsidRPr="00F96018">
        <w:rPr>
          <w:rFonts w:ascii="Palatino Linotype" w:eastAsia="Palatino Linotype" w:hAnsi="Palatino Linotype" w:cs="Palatino Linotype"/>
        </w:rPr>
        <w:t xml:space="preserve">remitió la respuesta a la solicitud de información el día </w:t>
      </w:r>
      <w:r w:rsidR="00EC54DE" w:rsidRPr="00F96018">
        <w:rPr>
          <w:rFonts w:ascii="Palatino Linotype" w:eastAsia="Palatino Linotype" w:hAnsi="Palatino Linotype" w:cs="Palatino Linotype"/>
          <w:b/>
        </w:rPr>
        <w:t>nueve de junio</w:t>
      </w:r>
      <w:r w:rsidR="006842AD" w:rsidRPr="00F96018">
        <w:rPr>
          <w:rFonts w:ascii="Palatino Linotype" w:eastAsia="Palatino Linotype" w:hAnsi="Palatino Linotype" w:cs="Palatino Linotype"/>
          <w:b/>
        </w:rPr>
        <w:t xml:space="preserve"> de dos mil veintitré</w:t>
      </w:r>
      <w:r w:rsidRPr="00F96018">
        <w:rPr>
          <w:rFonts w:ascii="Palatino Linotype" w:eastAsia="Palatino Linotype" w:hAnsi="Palatino Linotype" w:cs="Palatino Linotype"/>
          <w:b/>
        </w:rPr>
        <w:t xml:space="preserve">s, </w:t>
      </w:r>
      <w:r w:rsidRPr="00F96018">
        <w:rPr>
          <w:rFonts w:ascii="Palatino Linotype" w:eastAsia="Palatino Linotype" w:hAnsi="Palatino Linotype" w:cs="Palatino Linotype"/>
        </w:rPr>
        <w:t xml:space="preserve">mientras que el recurso de revisión interpuesto por </w:t>
      </w:r>
      <w:r w:rsidR="00F8666B" w:rsidRPr="00F96018">
        <w:rPr>
          <w:rFonts w:ascii="Palatino Linotype" w:eastAsia="Palatino Linotype" w:hAnsi="Palatino Linotype" w:cs="Palatino Linotype"/>
          <w:b/>
        </w:rPr>
        <w:t>la parte</w:t>
      </w:r>
      <w:r w:rsidRPr="00F96018">
        <w:rPr>
          <w:rFonts w:ascii="Palatino Linotype" w:eastAsia="Palatino Linotype" w:hAnsi="Palatino Linotype" w:cs="Palatino Linotype"/>
          <w:b/>
        </w:rPr>
        <w:t xml:space="preserve"> </w:t>
      </w:r>
      <w:r w:rsidR="003F43AF" w:rsidRPr="00F96018">
        <w:rPr>
          <w:rFonts w:ascii="Palatino Linotype" w:eastAsia="Palatino Linotype" w:hAnsi="Palatino Linotype" w:cs="Palatino Linotype"/>
          <w:b/>
        </w:rPr>
        <w:t>Recurrente</w:t>
      </w:r>
      <w:r w:rsidRPr="00F96018">
        <w:rPr>
          <w:rFonts w:ascii="Palatino Linotype" w:eastAsia="Palatino Linotype" w:hAnsi="Palatino Linotype" w:cs="Palatino Linotype"/>
        </w:rPr>
        <w:t xml:space="preserve">, se tuvo por presentado el día </w:t>
      </w:r>
      <w:r w:rsidR="00EC54DE" w:rsidRPr="00F96018">
        <w:rPr>
          <w:rFonts w:ascii="Palatino Linotype" w:eastAsia="Palatino Linotype" w:hAnsi="Palatino Linotype" w:cs="Palatino Linotype"/>
          <w:b/>
        </w:rPr>
        <w:t>catorce de juni</w:t>
      </w:r>
      <w:r w:rsidR="006842AD" w:rsidRPr="00F96018">
        <w:rPr>
          <w:rFonts w:ascii="Palatino Linotype" w:eastAsia="Palatino Linotype" w:hAnsi="Palatino Linotype" w:cs="Palatino Linotype"/>
          <w:b/>
        </w:rPr>
        <w:t>o</w:t>
      </w:r>
      <w:r w:rsidR="00E561A3" w:rsidRPr="00F96018">
        <w:rPr>
          <w:rFonts w:ascii="Palatino Linotype" w:eastAsia="Palatino Linotype" w:hAnsi="Palatino Linotype" w:cs="Palatino Linotype"/>
          <w:b/>
        </w:rPr>
        <w:t xml:space="preserve"> </w:t>
      </w:r>
      <w:r w:rsidR="006842AD" w:rsidRPr="00F96018">
        <w:rPr>
          <w:rFonts w:ascii="Palatino Linotype" w:eastAsia="Palatino Linotype" w:hAnsi="Palatino Linotype" w:cs="Palatino Linotype"/>
          <w:b/>
        </w:rPr>
        <w:t>de dos mil veintitré</w:t>
      </w:r>
      <w:r w:rsidRPr="00F96018">
        <w:rPr>
          <w:rFonts w:ascii="Palatino Linotype" w:eastAsia="Palatino Linotype" w:hAnsi="Palatino Linotype" w:cs="Palatino Linotype"/>
          <w:b/>
        </w:rPr>
        <w:t>s</w:t>
      </w:r>
      <w:r w:rsidR="00EC54DE" w:rsidRPr="00F96018">
        <w:rPr>
          <w:rFonts w:ascii="Palatino Linotype" w:eastAsia="Palatino Linotype" w:hAnsi="Palatino Linotype" w:cs="Palatino Linotype"/>
        </w:rPr>
        <w:t xml:space="preserve">; esto es, el </w:t>
      </w:r>
      <w:r w:rsidR="00EC54DE" w:rsidRPr="00F96018">
        <w:rPr>
          <w:rFonts w:ascii="Palatino Linotype" w:eastAsia="Palatino Linotype" w:hAnsi="Palatino Linotype" w:cs="Palatino Linotype"/>
          <w:b/>
        </w:rPr>
        <w:t>tercer</w:t>
      </w:r>
      <w:r w:rsidR="00E561A3" w:rsidRPr="00F96018">
        <w:rPr>
          <w:rFonts w:ascii="Palatino Linotype" w:eastAsia="Palatino Linotype" w:hAnsi="Palatino Linotype" w:cs="Palatino Linotype"/>
          <w:b/>
        </w:rPr>
        <w:t xml:space="preserve"> </w:t>
      </w:r>
      <w:r w:rsidRPr="00F96018">
        <w:rPr>
          <w:rFonts w:ascii="Palatino Linotype" w:eastAsia="Palatino Linotype" w:hAnsi="Palatino Linotype" w:cs="Palatino Linotype"/>
          <w:b/>
        </w:rPr>
        <w:t>día hábil</w:t>
      </w:r>
      <w:r w:rsidRPr="00F96018">
        <w:rPr>
          <w:rFonts w:ascii="Palatino Linotype" w:eastAsia="Palatino Linotype" w:hAnsi="Palatino Linotype" w:cs="Palatino Linotype"/>
        </w:rPr>
        <w:t xml:space="preserve"> </w:t>
      </w:r>
      <w:r w:rsidR="00B1597B" w:rsidRPr="00F96018">
        <w:rPr>
          <w:rFonts w:ascii="Palatino Linotype" w:eastAsia="Palatino Linotype" w:hAnsi="Palatino Linotype" w:cs="Palatino Linotype"/>
        </w:rPr>
        <w:t xml:space="preserve">siguiente de aquel </w:t>
      </w:r>
      <w:r w:rsidRPr="00F96018">
        <w:rPr>
          <w:rFonts w:ascii="Palatino Linotype" w:eastAsia="Palatino Linotype" w:hAnsi="Palatino Linotype" w:cs="Palatino Linotype"/>
        </w:rPr>
        <w:t>en que tuvo conocimiento de la respuesta impugnada.</w:t>
      </w:r>
    </w:p>
    <w:p w14:paraId="174DD3F0" w14:textId="77777777" w:rsidR="006600AD" w:rsidRPr="00F96018" w:rsidRDefault="006600AD">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rPr>
        <w:t xml:space="preserve">En este sentido, al considerar la fecha en que se formuló la solicitud y la fecha en que respondió a esta el </w:t>
      </w:r>
      <w:r w:rsidRPr="00F96018">
        <w:rPr>
          <w:rFonts w:ascii="Palatino Linotype" w:eastAsia="Palatino Linotype" w:hAnsi="Palatino Linotype" w:cs="Palatino Linotype"/>
          <w:b/>
        </w:rPr>
        <w:t>Sujeto Obligado</w:t>
      </w:r>
      <w:r w:rsidRPr="00F96018">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1FC85B55" w14:textId="77777777" w:rsidR="00F8666B" w:rsidRPr="00F96018" w:rsidRDefault="00F8666B" w:rsidP="00F8666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rPr>
        <w:t xml:space="preserve">Asimismo, por cuanto hace a la procedibilidad del  recurso de revisión, es de suma importancia señalar que </w:t>
      </w:r>
      <w:r w:rsidRPr="00F96018">
        <w:rPr>
          <w:rFonts w:ascii="Palatino Linotype" w:eastAsia="Palatino Linotype" w:hAnsi="Palatino Linotype" w:cs="Palatino Linotype"/>
          <w:b/>
        </w:rPr>
        <w:t>la parte Recurrente</w:t>
      </w:r>
      <w:r w:rsidR="00D25914" w:rsidRPr="00F96018">
        <w:rPr>
          <w:rFonts w:ascii="Palatino Linotype" w:eastAsia="Palatino Linotype" w:hAnsi="Palatino Linotype" w:cs="Palatino Linotype"/>
        </w:rPr>
        <w:t xml:space="preserve"> únicamente señaló un seudónimo</w:t>
      </w:r>
      <w:r w:rsidRPr="00F96018">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w:t>
      </w:r>
      <w:r w:rsidRPr="00F96018">
        <w:rPr>
          <w:rFonts w:ascii="Palatino Linotype" w:eastAsia="Palatino Linotype" w:hAnsi="Palatino Linotype" w:cs="Palatino Linotype"/>
        </w:rPr>
        <w:lastRenderedPageBreak/>
        <w:t>penúltimo párrafo de la Ley de Transparencia y Acceso a la Información Pública del Estado de México y Municipios que establece lo siguiente:</w:t>
      </w:r>
    </w:p>
    <w:p w14:paraId="646487BF" w14:textId="77777777" w:rsidR="00F8666B" w:rsidRPr="00F96018" w:rsidRDefault="00F8666B" w:rsidP="00F8666B">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FB8893E" w14:textId="77777777" w:rsidR="00C8730C" w:rsidRPr="00F96018" w:rsidRDefault="00D23B6E">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5760E13" w14:textId="77777777" w:rsidR="00C8730C" w:rsidRPr="00F96018" w:rsidRDefault="00D23B6E">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F96018">
        <w:rPr>
          <w:rFonts w:ascii="Palatino Linotype" w:eastAsia="Palatino Linotype" w:hAnsi="Palatino Linotype" w:cs="Palatino Linotype"/>
        </w:rPr>
        <w:t xml:space="preserve">Ahora bien, resulta procedente la interposición del recurso, según lo aducido por la </w:t>
      </w:r>
      <w:r w:rsidR="007F4140" w:rsidRPr="00F96018">
        <w:rPr>
          <w:rFonts w:ascii="Palatino Linotype" w:eastAsia="Palatino Linotype" w:hAnsi="Palatino Linotype" w:cs="Palatino Linotype"/>
        </w:rPr>
        <w:t xml:space="preserve">parte </w:t>
      </w:r>
      <w:r w:rsidRPr="00F96018">
        <w:rPr>
          <w:rFonts w:ascii="Palatino Linotype" w:eastAsia="Palatino Linotype" w:hAnsi="Palatino Linotype" w:cs="Palatino Linotype"/>
        </w:rPr>
        <w:t xml:space="preserve">recurrente en sus razones o motivos de inconformidad, de acuerdo al artículo 179, </w:t>
      </w:r>
      <w:r w:rsidR="008065A2" w:rsidRPr="00F96018">
        <w:rPr>
          <w:rFonts w:ascii="Palatino Linotype" w:eastAsia="Palatino Linotype" w:hAnsi="Palatino Linotype" w:cs="Palatino Linotype"/>
        </w:rPr>
        <w:t>fracción</w:t>
      </w:r>
      <w:r w:rsidR="006600AD" w:rsidRPr="00F96018">
        <w:rPr>
          <w:rFonts w:ascii="Palatino Linotype" w:eastAsia="Palatino Linotype" w:hAnsi="Palatino Linotype" w:cs="Palatino Linotype"/>
        </w:rPr>
        <w:t xml:space="preserve"> </w:t>
      </w:r>
      <w:r w:rsidR="00EC54DE" w:rsidRPr="00F96018">
        <w:rPr>
          <w:rFonts w:ascii="Palatino Linotype" w:eastAsia="Palatino Linotype" w:hAnsi="Palatino Linotype" w:cs="Palatino Linotype"/>
        </w:rPr>
        <w:t>V</w:t>
      </w:r>
      <w:r w:rsidR="00013456" w:rsidRPr="00F96018">
        <w:rPr>
          <w:rFonts w:ascii="Palatino Linotype" w:eastAsia="Palatino Linotype" w:hAnsi="Palatino Linotype" w:cs="Palatino Linotype"/>
        </w:rPr>
        <w:t xml:space="preserve">I </w:t>
      </w:r>
      <w:r w:rsidRPr="00F96018">
        <w:rPr>
          <w:rFonts w:ascii="Palatino Linotype" w:eastAsia="Palatino Linotype" w:hAnsi="Palatino Linotype" w:cs="Palatino Linotype"/>
        </w:rPr>
        <w:t>de la Ley de Transparencia y Acceso a la Información Pública del Estado de México y Municipios; que a la letra dice:</w:t>
      </w:r>
    </w:p>
    <w:p w14:paraId="7D06E729" w14:textId="77777777" w:rsidR="00C8730C" w:rsidRPr="00F96018" w:rsidRDefault="00D23B6E">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“Artículo 179</w:t>
      </w:r>
      <w:r w:rsidRPr="00F96018">
        <w:rPr>
          <w:rFonts w:ascii="Palatino Linotype" w:eastAsia="Palatino Linotype" w:hAnsi="Palatino Linotype" w:cs="Palatino Linotype"/>
          <w:i/>
          <w:sz w:val="22"/>
          <w:szCs w:val="22"/>
        </w:rPr>
        <w:t xml:space="preserve">. </w:t>
      </w:r>
      <w:r w:rsidRPr="00F96018">
        <w:rPr>
          <w:rFonts w:ascii="Palatino Linotype" w:eastAsia="Palatino Linotype" w:hAnsi="Palatino Linotype" w:cs="Palatino Linotype"/>
          <w:b/>
          <w:i/>
          <w:sz w:val="22"/>
          <w:szCs w:val="22"/>
        </w:rPr>
        <w:t>El recurso de revisión</w:t>
      </w:r>
      <w:r w:rsidRPr="00F96018">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F96018">
        <w:rPr>
          <w:rFonts w:ascii="Palatino Linotype" w:eastAsia="Palatino Linotype" w:hAnsi="Palatino Linotype" w:cs="Palatino Linotype"/>
          <w:b/>
          <w:i/>
          <w:sz w:val="22"/>
          <w:szCs w:val="22"/>
        </w:rPr>
        <w:t>, y procederá en contra de las siguientes causas</w:t>
      </w:r>
      <w:r w:rsidRPr="00F96018">
        <w:rPr>
          <w:rFonts w:ascii="Palatino Linotype" w:eastAsia="Palatino Linotype" w:hAnsi="Palatino Linotype" w:cs="Palatino Linotype"/>
          <w:i/>
          <w:sz w:val="22"/>
          <w:szCs w:val="22"/>
        </w:rPr>
        <w:t>:</w:t>
      </w:r>
    </w:p>
    <w:p w14:paraId="0CDEFE31" w14:textId="77777777" w:rsidR="00EC54DE" w:rsidRPr="00F96018" w:rsidRDefault="00EC54DE">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w:t>
      </w:r>
    </w:p>
    <w:p w14:paraId="61CA5FA9" w14:textId="77777777" w:rsidR="00C8730C" w:rsidRPr="00F96018" w:rsidRDefault="00EC54DE" w:rsidP="003F43AF">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VI. La entrega de información que no corresponda con lo solicitado</w:t>
      </w:r>
      <w:r w:rsidR="004C36DC" w:rsidRPr="00F96018">
        <w:rPr>
          <w:rFonts w:ascii="Palatino Linotype" w:eastAsia="Palatino Linotype" w:hAnsi="Palatino Linotype" w:cs="Palatino Linotype"/>
          <w:b/>
          <w:i/>
          <w:sz w:val="22"/>
          <w:szCs w:val="22"/>
        </w:rPr>
        <w:t>;</w:t>
      </w:r>
      <w:r w:rsidR="00D23B6E" w:rsidRPr="00F96018">
        <w:rPr>
          <w:rFonts w:ascii="Palatino Linotype" w:eastAsia="Palatino Linotype" w:hAnsi="Palatino Linotype" w:cs="Palatino Linotype"/>
          <w:i/>
          <w:sz w:val="22"/>
          <w:szCs w:val="22"/>
        </w:rPr>
        <w:t>” (Sic)</w:t>
      </w:r>
    </w:p>
    <w:p w14:paraId="2BC4C9A3" w14:textId="77777777" w:rsidR="00F845DA" w:rsidRPr="00F96018" w:rsidRDefault="00F845DA" w:rsidP="00F845DA">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b/>
        </w:rPr>
        <w:lastRenderedPageBreak/>
        <w:t xml:space="preserve">Tercero. Materia de la revisión. </w:t>
      </w:r>
      <w:r w:rsidRPr="00F9601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F96018">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F96018">
        <w:rPr>
          <w:rFonts w:ascii="Palatino Linotype" w:eastAsia="Palatino Linotype" w:hAnsi="Palatino Linotype" w:cs="Palatino Linotype"/>
        </w:rPr>
        <w:t xml:space="preserve">de </w:t>
      </w:r>
      <w:r w:rsidRPr="00F96018">
        <w:rPr>
          <w:rFonts w:ascii="Palatino Linotype" w:eastAsia="Palatino Linotype" w:hAnsi="Palatino Linotype" w:cs="Palatino Linotype"/>
          <w:b/>
        </w:rPr>
        <w:t>la parte Recurrente,</w:t>
      </w:r>
      <w:r w:rsidRPr="00F96018">
        <w:rPr>
          <w:rFonts w:ascii="Palatino Linotype" w:eastAsia="Palatino Linotype" w:hAnsi="Palatino Linotype" w:cs="Palatino Linotype"/>
        </w:rPr>
        <w:t xml:space="preserve"> o en su defecto, en caso de ser procedente, ordenar la entrega de información oportuna.</w:t>
      </w:r>
    </w:p>
    <w:p w14:paraId="377833A1" w14:textId="77777777" w:rsidR="00F845DA" w:rsidRPr="00F96018" w:rsidRDefault="00F845DA" w:rsidP="00F845DA">
      <w:pPr>
        <w:pBdr>
          <w:top w:val="nil"/>
          <w:left w:val="nil"/>
          <w:bottom w:val="nil"/>
          <w:right w:val="nil"/>
          <w:between w:val="nil"/>
        </w:pBdr>
        <w:spacing w:before="240" w:after="240" w:line="360" w:lineRule="auto"/>
        <w:jc w:val="both"/>
      </w:pPr>
      <w:r w:rsidRPr="00F96018">
        <w:rPr>
          <w:rFonts w:ascii="Palatino Linotype" w:eastAsia="Palatino Linotype" w:hAnsi="Palatino Linotype" w:cs="Palatino Linotype"/>
          <w:b/>
        </w:rPr>
        <w:t xml:space="preserve">Cuarto. Estudio del asunto. </w:t>
      </w:r>
      <w:r w:rsidRPr="00F96018">
        <w:rPr>
          <w:rFonts w:ascii="Palatino Linotype" w:eastAsia="Palatino Linotype" w:hAnsi="Palatino Linotype" w:cs="Palatino Linotype"/>
        </w:rPr>
        <w:t xml:space="preserve">Antes de entrar al análisis de los pronunciamientos del </w:t>
      </w:r>
      <w:r w:rsidRPr="00F96018">
        <w:rPr>
          <w:rFonts w:ascii="Palatino Linotype" w:eastAsia="Palatino Linotype" w:hAnsi="Palatino Linotype" w:cs="Palatino Linotype"/>
          <w:b/>
        </w:rPr>
        <w:t>Sujeto Obligado</w:t>
      </w:r>
      <w:r w:rsidRPr="00F96018">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96170EC" w14:textId="77777777" w:rsidR="00F845DA" w:rsidRPr="00F96018" w:rsidRDefault="007F08D6" w:rsidP="00F845DA">
      <w:pPr>
        <w:pBdr>
          <w:top w:val="nil"/>
          <w:left w:val="nil"/>
          <w:bottom w:val="nil"/>
          <w:right w:val="nil"/>
          <w:between w:val="nil"/>
        </w:pBdr>
        <w:spacing w:before="240" w:after="240"/>
        <w:ind w:left="851" w:right="850"/>
        <w:jc w:val="both"/>
      </w:pPr>
      <w:r w:rsidRPr="00F96018">
        <w:rPr>
          <w:rFonts w:ascii="Palatino Linotype" w:eastAsia="Palatino Linotype" w:hAnsi="Palatino Linotype" w:cs="Palatino Linotype"/>
          <w:b/>
          <w:i/>
          <w:sz w:val="22"/>
          <w:szCs w:val="22"/>
          <w:u w:val="single"/>
        </w:rPr>
        <w:t>“</w:t>
      </w:r>
      <w:r w:rsidR="00F845DA" w:rsidRPr="00F9601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F845DA" w:rsidRPr="00F9601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A35C182" w14:textId="77777777" w:rsidR="00F845DA" w:rsidRPr="00F96018" w:rsidRDefault="00F845DA" w:rsidP="00F845DA">
      <w:pPr>
        <w:pBdr>
          <w:top w:val="nil"/>
          <w:left w:val="nil"/>
          <w:bottom w:val="nil"/>
          <w:right w:val="nil"/>
          <w:between w:val="nil"/>
        </w:pBdr>
        <w:spacing w:before="240" w:after="240"/>
        <w:ind w:left="851" w:right="850"/>
        <w:jc w:val="both"/>
      </w:pPr>
      <w:r w:rsidRPr="00F9601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B4D85C6" w14:textId="77777777" w:rsidR="00F845DA" w:rsidRPr="00F96018" w:rsidRDefault="00F845DA" w:rsidP="00F845DA">
      <w:pPr>
        <w:pBdr>
          <w:top w:val="nil"/>
          <w:left w:val="nil"/>
          <w:bottom w:val="nil"/>
          <w:right w:val="nil"/>
          <w:between w:val="nil"/>
        </w:pBdr>
        <w:spacing w:before="240" w:after="240"/>
        <w:ind w:left="851" w:right="850"/>
        <w:jc w:val="both"/>
      </w:pPr>
      <w:r w:rsidRPr="00F96018">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F9601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11C5D6" w14:textId="77777777" w:rsidR="00F845DA" w:rsidRPr="00F96018" w:rsidRDefault="00F845DA" w:rsidP="00F845DA">
      <w:pPr>
        <w:pBdr>
          <w:top w:val="nil"/>
          <w:left w:val="nil"/>
          <w:bottom w:val="nil"/>
          <w:right w:val="nil"/>
          <w:between w:val="nil"/>
        </w:pBdr>
        <w:spacing w:before="240" w:after="240"/>
        <w:ind w:left="851" w:right="850"/>
        <w:jc w:val="both"/>
      </w:pPr>
      <w:r w:rsidRPr="00F96018">
        <w:rPr>
          <w:rFonts w:ascii="Palatino Linotype" w:eastAsia="Palatino Linotype" w:hAnsi="Palatino Linotype" w:cs="Palatino Linotype"/>
          <w:i/>
          <w:sz w:val="22"/>
          <w:szCs w:val="22"/>
        </w:rPr>
        <w:t>[…]</w:t>
      </w:r>
    </w:p>
    <w:p w14:paraId="1CDF7278" w14:textId="77777777" w:rsidR="00F845DA" w:rsidRPr="00F96018" w:rsidRDefault="00F845DA" w:rsidP="00F845DA">
      <w:pPr>
        <w:pBdr>
          <w:top w:val="nil"/>
          <w:left w:val="nil"/>
          <w:bottom w:val="nil"/>
          <w:right w:val="nil"/>
          <w:between w:val="nil"/>
        </w:pBdr>
        <w:spacing w:before="240" w:after="240"/>
        <w:ind w:left="851" w:right="901"/>
        <w:jc w:val="both"/>
      </w:pPr>
      <w:r w:rsidRPr="00F96018">
        <w:rPr>
          <w:rFonts w:ascii="Palatino Linotype" w:eastAsia="Palatino Linotype" w:hAnsi="Palatino Linotype" w:cs="Palatino Linotype"/>
          <w:b/>
          <w:i/>
          <w:sz w:val="22"/>
          <w:szCs w:val="22"/>
        </w:rPr>
        <w:t>“Artículo 6o.</w:t>
      </w:r>
    </w:p>
    <w:p w14:paraId="43372343" w14:textId="77777777" w:rsidR="00F845DA" w:rsidRPr="00F96018" w:rsidRDefault="00F845DA" w:rsidP="00F845DA">
      <w:pPr>
        <w:pBdr>
          <w:top w:val="nil"/>
          <w:left w:val="nil"/>
          <w:bottom w:val="nil"/>
          <w:right w:val="nil"/>
          <w:between w:val="nil"/>
        </w:pBdr>
        <w:spacing w:before="240" w:after="240"/>
        <w:ind w:left="851" w:right="901"/>
        <w:jc w:val="both"/>
      </w:pPr>
      <w:r w:rsidRPr="00F96018">
        <w:rPr>
          <w:rFonts w:ascii="Palatino Linotype" w:eastAsia="Palatino Linotype" w:hAnsi="Palatino Linotype" w:cs="Palatino Linotype"/>
          <w:i/>
          <w:sz w:val="22"/>
          <w:szCs w:val="22"/>
        </w:rPr>
        <w:t>[...]</w:t>
      </w:r>
    </w:p>
    <w:p w14:paraId="355087A0" w14:textId="77777777" w:rsidR="00F845DA" w:rsidRPr="00F96018" w:rsidRDefault="00F845DA" w:rsidP="00F845DA">
      <w:pPr>
        <w:pBdr>
          <w:top w:val="nil"/>
          <w:left w:val="nil"/>
          <w:bottom w:val="nil"/>
          <w:right w:val="nil"/>
          <w:between w:val="nil"/>
        </w:pBdr>
        <w:spacing w:before="240" w:after="240"/>
        <w:ind w:left="851" w:right="851"/>
        <w:jc w:val="both"/>
      </w:pPr>
      <w:r w:rsidRPr="00F96018">
        <w:rPr>
          <w:rFonts w:ascii="Palatino Linotype" w:eastAsia="Palatino Linotype" w:hAnsi="Palatino Linotype" w:cs="Palatino Linotype"/>
          <w:b/>
          <w:i/>
          <w:sz w:val="22"/>
          <w:szCs w:val="22"/>
        </w:rPr>
        <w:t xml:space="preserve">A. Para el ejercicio del derecho de acceso a la información, la Federación y </w:t>
      </w:r>
      <w:r w:rsidRPr="00F96018">
        <w:rPr>
          <w:rFonts w:ascii="Palatino Linotype" w:eastAsia="Palatino Linotype" w:hAnsi="Palatino Linotype" w:cs="Palatino Linotype"/>
          <w:b/>
          <w:i/>
          <w:sz w:val="22"/>
          <w:szCs w:val="22"/>
          <w:u w:val="single"/>
        </w:rPr>
        <w:t>las entidades federativas</w:t>
      </w:r>
      <w:r w:rsidRPr="00F96018">
        <w:rPr>
          <w:rFonts w:ascii="Palatino Linotype" w:eastAsia="Palatino Linotype" w:hAnsi="Palatino Linotype" w:cs="Palatino Linotype"/>
          <w:b/>
          <w:i/>
          <w:sz w:val="22"/>
          <w:szCs w:val="22"/>
        </w:rPr>
        <w:t>,</w:t>
      </w:r>
      <w:r w:rsidRPr="00F96018">
        <w:rPr>
          <w:rFonts w:ascii="Palatino Linotype" w:eastAsia="Palatino Linotype" w:hAnsi="Palatino Linotype" w:cs="Palatino Linotype"/>
          <w:i/>
          <w:sz w:val="22"/>
          <w:szCs w:val="22"/>
        </w:rPr>
        <w:t xml:space="preserve"> en el ámbito de sus respectivas competencias, se regirán por los siguientes principios y bases:</w:t>
      </w:r>
    </w:p>
    <w:p w14:paraId="6D6FC722" w14:textId="77777777" w:rsidR="00F845DA" w:rsidRPr="00F96018" w:rsidRDefault="00F845DA" w:rsidP="00F845DA">
      <w:pPr>
        <w:pBdr>
          <w:top w:val="nil"/>
          <w:left w:val="nil"/>
          <w:bottom w:val="nil"/>
          <w:right w:val="nil"/>
          <w:between w:val="nil"/>
        </w:pBdr>
        <w:spacing w:before="240" w:after="240"/>
        <w:ind w:left="851" w:right="851"/>
        <w:jc w:val="both"/>
      </w:pPr>
      <w:r w:rsidRPr="00F96018">
        <w:rPr>
          <w:rFonts w:ascii="Palatino Linotype" w:eastAsia="Palatino Linotype" w:hAnsi="Palatino Linotype" w:cs="Palatino Linotype"/>
          <w:i/>
          <w:sz w:val="22"/>
          <w:szCs w:val="22"/>
        </w:rPr>
        <w:t> </w:t>
      </w:r>
      <w:r w:rsidRPr="00F96018">
        <w:rPr>
          <w:rFonts w:ascii="Palatino Linotype" w:eastAsia="Palatino Linotype" w:hAnsi="Palatino Linotype" w:cs="Palatino Linotype"/>
          <w:b/>
          <w:i/>
          <w:sz w:val="22"/>
          <w:szCs w:val="22"/>
        </w:rPr>
        <w:t xml:space="preserve">I. </w:t>
      </w:r>
      <w:r w:rsidRPr="00F9601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96018">
        <w:rPr>
          <w:rFonts w:ascii="Palatino Linotype" w:eastAsia="Palatino Linotype" w:hAnsi="Palatino Linotype" w:cs="Palatino Linotype"/>
          <w:i/>
          <w:sz w:val="22"/>
          <w:szCs w:val="22"/>
        </w:rPr>
        <w:t xml:space="preserve"> Ejecutivo, Legislativo </w:t>
      </w:r>
      <w:r w:rsidRPr="00F96018">
        <w:rPr>
          <w:rFonts w:ascii="Palatino Linotype" w:eastAsia="Palatino Linotype" w:hAnsi="Palatino Linotype" w:cs="Palatino Linotype"/>
          <w:b/>
          <w:i/>
          <w:sz w:val="22"/>
          <w:szCs w:val="22"/>
          <w:u w:val="single"/>
        </w:rPr>
        <w:t>y Judicial</w:t>
      </w:r>
      <w:r w:rsidRPr="00F9601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96018">
        <w:rPr>
          <w:rFonts w:ascii="Palatino Linotype" w:eastAsia="Palatino Linotype" w:hAnsi="Palatino Linotype" w:cs="Palatino Linotype"/>
          <w:b/>
          <w:i/>
          <w:sz w:val="22"/>
          <w:szCs w:val="22"/>
        </w:rPr>
        <w:t>es pública y sólo podrá ser reservada temporalmente por razones de interés público y seguridad nacional,</w:t>
      </w:r>
      <w:r w:rsidRPr="00F9601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4376486" w14:textId="77777777" w:rsidR="00F845DA" w:rsidRPr="00F96018" w:rsidRDefault="00F845DA" w:rsidP="00F845DA">
      <w:pPr>
        <w:pBdr>
          <w:top w:val="nil"/>
          <w:left w:val="nil"/>
          <w:bottom w:val="nil"/>
          <w:right w:val="nil"/>
          <w:between w:val="nil"/>
        </w:pBdr>
        <w:spacing w:before="240" w:after="240"/>
        <w:ind w:left="851" w:right="851"/>
        <w:jc w:val="both"/>
      </w:pPr>
      <w:r w:rsidRPr="00F96018">
        <w:rPr>
          <w:rFonts w:ascii="Palatino Linotype" w:eastAsia="Palatino Linotype" w:hAnsi="Palatino Linotype" w:cs="Palatino Linotype"/>
          <w:i/>
          <w:sz w:val="22"/>
          <w:szCs w:val="22"/>
        </w:rPr>
        <w:t> </w:t>
      </w:r>
      <w:r w:rsidRPr="00F9601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C186E94" w14:textId="77777777" w:rsidR="00F845DA" w:rsidRPr="00F96018" w:rsidRDefault="00F845DA" w:rsidP="00F845DA">
      <w:pPr>
        <w:pBdr>
          <w:top w:val="nil"/>
          <w:left w:val="nil"/>
          <w:bottom w:val="nil"/>
          <w:right w:val="nil"/>
          <w:between w:val="nil"/>
        </w:pBdr>
        <w:spacing w:before="240" w:after="240"/>
        <w:ind w:left="851" w:right="851"/>
        <w:jc w:val="both"/>
      </w:pPr>
      <w:r w:rsidRPr="00F96018">
        <w:rPr>
          <w:rFonts w:ascii="Palatino Linotype" w:eastAsia="Palatino Linotype" w:hAnsi="Palatino Linotype" w:cs="Palatino Linotype"/>
          <w:i/>
          <w:sz w:val="22"/>
          <w:szCs w:val="22"/>
        </w:rPr>
        <w:t> </w:t>
      </w:r>
      <w:r w:rsidRPr="00F96018">
        <w:rPr>
          <w:rFonts w:ascii="Palatino Linotype" w:eastAsia="Palatino Linotype" w:hAnsi="Palatino Linotype" w:cs="Palatino Linotype"/>
          <w:b/>
          <w:i/>
          <w:sz w:val="22"/>
          <w:szCs w:val="22"/>
        </w:rPr>
        <w:t xml:space="preserve">III. </w:t>
      </w:r>
      <w:r w:rsidRPr="00F9601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96018">
        <w:rPr>
          <w:rFonts w:ascii="Palatino Linotype" w:eastAsia="Palatino Linotype" w:hAnsi="Palatino Linotype" w:cs="Palatino Linotype"/>
          <w:i/>
          <w:sz w:val="22"/>
          <w:szCs w:val="22"/>
        </w:rPr>
        <w:t xml:space="preserve"> a sus datos personales o a la rectificación de éstos.</w:t>
      </w:r>
    </w:p>
    <w:p w14:paraId="2056EE06" w14:textId="77777777" w:rsidR="00F845DA" w:rsidRPr="00F96018" w:rsidRDefault="00F845DA" w:rsidP="00F845DA">
      <w:pPr>
        <w:pBdr>
          <w:top w:val="nil"/>
          <w:left w:val="nil"/>
          <w:bottom w:val="nil"/>
          <w:right w:val="nil"/>
          <w:between w:val="nil"/>
        </w:pBdr>
        <w:spacing w:before="240" w:after="240"/>
        <w:ind w:left="851" w:right="851"/>
        <w:jc w:val="both"/>
      </w:pPr>
      <w:r w:rsidRPr="00F96018">
        <w:rPr>
          <w:rFonts w:ascii="Palatino Linotype" w:eastAsia="Palatino Linotype" w:hAnsi="Palatino Linotype" w:cs="Palatino Linotype"/>
          <w:i/>
          <w:sz w:val="22"/>
          <w:szCs w:val="22"/>
        </w:rPr>
        <w:lastRenderedPageBreak/>
        <w:t> </w:t>
      </w:r>
      <w:r w:rsidRPr="00F96018">
        <w:rPr>
          <w:rFonts w:ascii="Palatino Linotype" w:eastAsia="Palatino Linotype" w:hAnsi="Palatino Linotype" w:cs="Palatino Linotype"/>
          <w:b/>
          <w:i/>
          <w:sz w:val="22"/>
          <w:szCs w:val="22"/>
        </w:rPr>
        <w:t xml:space="preserve">IV. </w:t>
      </w:r>
      <w:r w:rsidRPr="00F9601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1F60FE1" w14:textId="77777777" w:rsidR="00F845DA" w:rsidRPr="00F96018" w:rsidRDefault="00F845DA" w:rsidP="00F845DA">
      <w:pPr>
        <w:pBdr>
          <w:top w:val="nil"/>
          <w:left w:val="nil"/>
          <w:bottom w:val="nil"/>
          <w:right w:val="nil"/>
          <w:between w:val="nil"/>
        </w:pBdr>
        <w:spacing w:before="240" w:after="240"/>
        <w:ind w:left="851" w:right="851"/>
        <w:jc w:val="both"/>
      </w:pPr>
      <w:r w:rsidRPr="00F96018">
        <w:rPr>
          <w:rFonts w:ascii="Palatino Linotype" w:eastAsia="Palatino Linotype" w:hAnsi="Palatino Linotype" w:cs="Palatino Linotype"/>
          <w:b/>
          <w:i/>
          <w:sz w:val="22"/>
          <w:szCs w:val="22"/>
        </w:rPr>
        <w:t xml:space="preserve">V. </w:t>
      </w:r>
      <w:r w:rsidRPr="00F9601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7CC1151" w14:textId="77777777" w:rsidR="00F845DA" w:rsidRPr="00F96018" w:rsidRDefault="00F845DA" w:rsidP="00F845DA">
      <w:pPr>
        <w:pBdr>
          <w:top w:val="nil"/>
          <w:left w:val="nil"/>
          <w:bottom w:val="nil"/>
          <w:right w:val="nil"/>
          <w:between w:val="nil"/>
        </w:pBdr>
        <w:spacing w:before="240" w:after="240"/>
        <w:ind w:left="851" w:right="851"/>
        <w:jc w:val="both"/>
      </w:pPr>
      <w:r w:rsidRPr="00F96018">
        <w:rPr>
          <w:rFonts w:ascii="Palatino Linotype" w:eastAsia="Palatino Linotype" w:hAnsi="Palatino Linotype" w:cs="Palatino Linotype"/>
          <w:i/>
          <w:sz w:val="22"/>
          <w:szCs w:val="22"/>
        </w:rPr>
        <w:t> </w:t>
      </w:r>
      <w:r w:rsidRPr="00F96018">
        <w:rPr>
          <w:rFonts w:ascii="Palatino Linotype" w:eastAsia="Palatino Linotype" w:hAnsi="Palatino Linotype" w:cs="Palatino Linotype"/>
          <w:b/>
          <w:i/>
          <w:sz w:val="22"/>
          <w:szCs w:val="22"/>
        </w:rPr>
        <w:t xml:space="preserve">VI. </w:t>
      </w:r>
      <w:r w:rsidRPr="00F9601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AC11D75" w14:textId="77777777" w:rsidR="00F845DA" w:rsidRPr="00F96018" w:rsidRDefault="00F845DA" w:rsidP="00F845DA">
      <w:pPr>
        <w:pBdr>
          <w:top w:val="nil"/>
          <w:left w:val="nil"/>
          <w:bottom w:val="nil"/>
          <w:right w:val="nil"/>
          <w:between w:val="nil"/>
        </w:pBdr>
        <w:spacing w:before="240" w:after="240"/>
        <w:ind w:left="851" w:right="851"/>
        <w:jc w:val="both"/>
      </w:pPr>
      <w:r w:rsidRPr="00F96018">
        <w:rPr>
          <w:rFonts w:ascii="Palatino Linotype" w:eastAsia="Palatino Linotype" w:hAnsi="Palatino Linotype" w:cs="Palatino Linotype"/>
          <w:i/>
          <w:sz w:val="22"/>
          <w:szCs w:val="22"/>
        </w:rPr>
        <w:t> </w:t>
      </w:r>
      <w:r w:rsidRPr="00F96018">
        <w:rPr>
          <w:rFonts w:ascii="Palatino Linotype" w:eastAsia="Palatino Linotype" w:hAnsi="Palatino Linotype" w:cs="Palatino Linotype"/>
          <w:b/>
          <w:i/>
          <w:sz w:val="22"/>
          <w:szCs w:val="22"/>
        </w:rPr>
        <w:t xml:space="preserve">VII. </w:t>
      </w:r>
      <w:r w:rsidRPr="00F9601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r w:rsidR="007F08D6" w:rsidRPr="00F96018">
        <w:rPr>
          <w:rFonts w:ascii="Palatino Linotype" w:eastAsia="Palatino Linotype" w:hAnsi="Palatino Linotype" w:cs="Palatino Linotype"/>
          <w:i/>
          <w:sz w:val="22"/>
          <w:szCs w:val="22"/>
        </w:rPr>
        <w:t>”</w:t>
      </w:r>
    </w:p>
    <w:p w14:paraId="2D93BA7E" w14:textId="77777777" w:rsidR="00F845DA" w:rsidRPr="00F96018" w:rsidRDefault="00F845DA" w:rsidP="00F845DA">
      <w:pPr>
        <w:pBdr>
          <w:top w:val="nil"/>
          <w:left w:val="nil"/>
          <w:bottom w:val="nil"/>
          <w:right w:val="nil"/>
          <w:between w:val="nil"/>
        </w:pBdr>
        <w:spacing w:before="240" w:after="240" w:line="360" w:lineRule="auto"/>
        <w:jc w:val="both"/>
      </w:pPr>
      <w:r w:rsidRPr="00F96018">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76634F7" w14:textId="77777777" w:rsidR="00F845DA" w:rsidRPr="00F96018" w:rsidRDefault="00F845DA" w:rsidP="00F845DA">
      <w:pPr>
        <w:pBdr>
          <w:top w:val="nil"/>
          <w:left w:val="nil"/>
          <w:bottom w:val="nil"/>
          <w:right w:val="nil"/>
          <w:between w:val="nil"/>
        </w:pBdr>
        <w:spacing w:before="240" w:after="240"/>
        <w:ind w:left="709" w:right="760"/>
        <w:jc w:val="both"/>
      </w:pPr>
      <w:r w:rsidRPr="00F96018">
        <w:rPr>
          <w:rFonts w:ascii="Palatino Linotype" w:eastAsia="Palatino Linotype" w:hAnsi="Palatino Linotype" w:cs="Palatino Linotype"/>
          <w:i/>
          <w:sz w:val="22"/>
          <w:szCs w:val="22"/>
        </w:rPr>
        <w:lastRenderedPageBreak/>
        <w:t>“</w:t>
      </w:r>
      <w:r w:rsidRPr="00F96018">
        <w:rPr>
          <w:rFonts w:ascii="Palatino Linotype" w:eastAsia="Palatino Linotype" w:hAnsi="Palatino Linotype" w:cs="Palatino Linotype"/>
          <w:b/>
          <w:i/>
          <w:sz w:val="22"/>
          <w:szCs w:val="22"/>
        </w:rPr>
        <w:t>Artículo 4</w:t>
      </w:r>
      <w:r w:rsidRPr="00F96018">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470A9C41" w14:textId="77777777" w:rsidR="00F845DA" w:rsidRPr="00F96018" w:rsidRDefault="00F845DA" w:rsidP="00F845DA">
      <w:pPr>
        <w:pBdr>
          <w:top w:val="nil"/>
          <w:left w:val="nil"/>
          <w:bottom w:val="nil"/>
          <w:right w:val="nil"/>
          <w:between w:val="nil"/>
        </w:pBdr>
        <w:spacing w:before="240" w:after="240"/>
        <w:ind w:left="709" w:right="760"/>
        <w:jc w:val="both"/>
      </w:pPr>
      <w:r w:rsidRPr="00F9601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D19501D" w14:textId="77777777" w:rsidR="00F845DA" w:rsidRPr="00F96018" w:rsidRDefault="00F845DA" w:rsidP="00F845DA">
      <w:pPr>
        <w:pBdr>
          <w:top w:val="nil"/>
          <w:left w:val="nil"/>
          <w:bottom w:val="nil"/>
          <w:right w:val="nil"/>
          <w:between w:val="nil"/>
        </w:pBdr>
        <w:spacing w:before="240" w:after="240"/>
        <w:ind w:left="709" w:right="760"/>
        <w:jc w:val="both"/>
      </w:pPr>
      <w:r w:rsidRPr="00F96018">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w:t>
      </w:r>
      <w:r w:rsidR="007F08D6" w:rsidRPr="00F96018">
        <w:rPr>
          <w:rFonts w:ascii="Palatino Linotype" w:eastAsia="Palatino Linotype" w:hAnsi="Palatino Linotype" w:cs="Palatino Linotype"/>
          <w:i/>
          <w:sz w:val="22"/>
          <w:szCs w:val="22"/>
        </w:rPr>
        <w:t>beneficio de los solicitantes.”</w:t>
      </w:r>
    </w:p>
    <w:p w14:paraId="4F2354F5" w14:textId="77777777" w:rsidR="00F845DA" w:rsidRPr="00F96018" w:rsidRDefault="00F845DA" w:rsidP="00F845DA">
      <w:pPr>
        <w:pBdr>
          <w:top w:val="nil"/>
          <w:left w:val="nil"/>
          <w:bottom w:val="nil"/>
          <w:right w:val="nil"/>
          <w:between w:val="nil"/>
        </w:pBdr>
        <w:spacing w:before="240" w:after="240" w:line="360" w:lineRule="auto"/>
        <w:jc w:val="both"/>
      </w:pPr>
      <w:r w:rsidRPr="00F96018">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97F0E8D" w14:textId="77777777" w:rsidR="00F845DA" w:rsidRPr="00F96018" w:rsidRDefault="00F845DA" w:rsidP="00F845DA">
      <w:pPr>
        <w:pBdr>
          <w:top w:val="nil"/>
          <w:left w:val="nil"/>
          <w:bottom w:val="nil"/>
          <w:right w:val="nil"/>
          <w:between w:val="nil"/>
        </w:pBdr>
        <w:spacing w:before="240" w:after="240"/>
        <w:ind w:left="567" w:right="758"/>
        <w:jc w:val="both"/>
      </w:pPr>
      <w:r w:rsidRPr="00F96018">
        <w:rPr>
          <w:rFonts w:ascii="Palatino Linotype" w:eastAsia="Palatino Linotype" w:hAnsi="Palatino Linotype" w:cs="Palatino Linotype"/>
          <w:i/>
          <w:sz w:val="22"/>
          <w:szCs w:val="22"/>
        </w:rPr>
        <w:t>“</w:t>
      </w:r>
      <w:r w:rsidRPr="00F96018">
        <w:rPr>
          <w:rFonts w:ascii="Palatino Linotype" w:eastAsia="Palatino Linotype" w:hAnsi="Palatino Linotype" w:cs="Palatino Linotype"/>
          <w:b/>
          <w:i/>
          <w:sz w:val="22"/>
          <w:szCs w:val="22"/>
        </w:rPr>
        <w:t>Artículo 12</w:t>
      </w:r>
      <w:r w:rsidRPr="00F96018">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3A5DFF01" w14:textId="77777777" w:rsidR="00F845DA" w:rsidRPr="00F96018" w:rsidRDefault="00F845DA" w:rsidP="00F845DA">
      <w:pPr>
        <w:pBdr>
          <w:top w:val="nil"/>
          <w:left w:val="nil"/>
          <w:bottom w:val="nil"/>
          <w:right w:val="nil"/>
          <w:between w:val="nil"/>
        </w:pBdr>
        <w:spacing w:before="240" w:after="240"/>
        <w:ind w:left="567" w:right="758"/>
        <w:jc w:val="both"/>
      </w:pPr>
      <w:r w:rsidRPr="00F96018">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F96018">
        <w:rPr>
          <w:rFonts w:ascii="Palatino Linotype" w:eastAsia="Palatino Linotype" w:hAnsi="Palatino Linotype" w:cs="Palatino Linotype"/>
          <w:i/>
          <w:sz w:val="22"/>
          <w:szCs w:val="22"/>
        </w:rPr>
        <w:lastRenderedPageBreak/>
        <w:t>interés del solicitante; no estarán obligados a generarla, resumirla, efectuar cálculos o p</w:t>
      </w:r>
      <w:r w:rsidR="007F08D6" w:rsidRPr="00F96018">
        <w:rPr>
          <w:rFonts w:ascii="Palatino Linotype" w:eastAsia="Palatino Linotype" w:hAnsi="Palatino Linotype" w:cs="Palatino Linotype"/>
          <w:i/>
          <w:sz w:val="22"/>
          <w:szCs w:val="22"/>
        </w:rPr>
        <w:t>racticar investigaciones.”</w:t>
      </w:r>
    </w:p>
    <w:p w14:paraId="430CA3A7" w14:textId="77777777" w:rsidR="00F845DA" w:rsidRPr="00F96018" w:rsidRDefault="00F845DA" w:rsidP="00F845DA">
      <w:pPr>
        <w:pBdr>
          <w:top w:val="nil"/>
          <w:left w:val="nil"/>
          <w:bottom w:val="nil"/>
          <w:right w:val="nil"/>
          <w:between w:val="nil"/>
        </w:pBdr>
        <w:spacing w:before="240" w:after="240" w:line="360" w:lineRule="auto"/>
        <w:jc w:val="both"/>
      </w:pPr>
      <w:r w:rsidRPr="00F96018">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F96018">
        <w:rPr>
          <w:rFonts w:ascii="Palatino Linotype" w:eastAsia="Palatino Linotype" w:hAnsi="Palatino Linotype" w:cs="Palatino Linotype"/>
          <w:b/>
        </w:rPr>
        <w:t xml:space="preserve"> </w:t>
      </w:r>
      <w:r w:rsidRPr="00F96018">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F96018">
        <w:rPr>
          <w:rFonts w:ascii="Palatino Linotype" w:eastAsia="Palatino Linotype" w:hAnsi="Palatino Linotype" w:cs="Palatino Linotype"/>
          <w:i/>
        </w:rPr>
        <w:t>ad hoc</w:t>
      </w:r>
      <w:r w:rsidRPr="00F96018">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56EF12C9" w14:textId="77777777" w:rsidR="00F845DA" w:rsidRPr="00F96018" w:rsidRDefault="00F845DA" w:rsidP="00F845DA">
      <w:pPr>
        <w:pBdr>
          <w:top w:val="nil"/>
          <w:left w:val="nil"/>
          <w:bottom w:val="nil"/>
          <w:right w:val="nil"/>
          <w:between w:val="nil"/>
        </w:pBdr>
        <w:spacing w:before="240" w:after="240"/>
        <w:ind w:left="567" w:right="567"/>
        <w:jc w:val="both"/>
      </w:pPr>
      <w:r w:rsidRPr="00F96018">
        <w:rPr>
          <w:rFonts w:ascii="Palatino Linotype" w:eastAsia="Palatino Linotype" w:hAnsi="Palatino Linotype" w:cs="Palatino Linotype"/>
          <w:b/>
          <w:i/>
          <w:sz w:val="22"/>
          <w:szCs w:val="22"/>
        </w:rPr>
        <w:t>03/17</w:t>
      </w:r>
    </w:p>
    <w:p w14:paraId="2CB0900C" w14:textId="77777777" w:rsidR="00F845DA" w:rsidRPr="00F96018" w:rsidRDefault="00F845DA" w:rsidP="00F845DA">
      <w:pPr>
        <w:pBdr>
          <w:top w:val="nil"/>
          <w:left w:val="nil"/>
          <w:bottom w:val="nil"/>
          <w:right w:val="nil"/>
          <w:between w:val="nil"/>
        </w:pBdr>
        <w:spacing w:before="240" w:after="240"/>
        <w:ind w:left="567" w:right="567"/>
        <w:jc w:val="both"/>
      </w:pPr>
      <w:r w:rsidRPr="00F96018">
        <w:rPr>
          <w:rFonts w:ascii="Palatino Linotype" w:eastAsia="Palatino Linotype" w:hAnsi="Palatino Linotype" w:cs="Palatino Linotype"/>
          <w:b/>
          <w:i/>
          <w:sz w:val="22"/>
          <w:szCs w:val="22"/>
        </w:rPr>
        <w:t>“NO EXISTE OBLIGACIÓN DE ELABORAR DOCUMENTOS AD HOC PARA ATENDER LAS SOLICITUDES DE ACCESO A LA INFORMACIÓN.</w:t>
      </w:r>
    </w:p>
    <w:p w14:paraId="0C92ECD6" w14:textId="77777777" w:rsidR="00F845DA" w:rsidRPr="00F96018" w:rsidRDefault="00F845DA" w:rsidP="00F845DA">
      <w:pPr>
        <w:pBdr>
          <w:top w:val="nil"/>
          <w:left w:val="nil"/>
          <w:bottom w:val="nil"/>
          <w:right w:val="nil"/>
          <w:between w:val="nil"/>
        </w:pBdr>
        <w:spacing w:before="240" w:after="240"/>
        <w:ind w:left="567" w:right="567"/>
        <w:jc w:val="both"/>
      </w:pPr>
      <w:r w:rsidRPr="00F96018">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w:t>
      </w:r>
      <w:r w:rsidR="007F08D6" w:rsidRPr="00F96018">
        <w:rPr>
          <w:rFonts w:ascii="Palatino Linotype" w:eastAsia="Palatino Linotype" w:hAnsi="Palatino Linotype" w:cs="Palatino Linotype"/>
          <w:i/>
          <w:sz w:val="22"/>
          <w:szCs w:val="22"/>
        </w:rPr>
        <w:t>olicitudes de información."</w:t>
      </w:r>
    </w:p>
    <w:p w14:paraId="7B94845D" w14:textId="77777777" w:rsidR="00F845DA" w:rsidRPr="00F96018" w:rsidRDefault="00F845DA" w:rsidP="00F845DA">
      <w:pPr>
        <w:pBdr>
          <w:top w:val="nil"/>
          <w:left w:val="nil"/>
          <w:bottom w:val="nil"/>
          <w:right w:val="nil"/>
          <w:between w:val="nil"/>
        </w:pBdr>
        <w:spacing w:before="240" w:after="240" w:line="360" w:lineRule="auto"/>
        <w:jc w:val="both"/>
      </w:pPr>
      <w:r w:rsidRPr="00F96018">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w:t>
      </w:r>
      <w:r w:rsidRPr="00F96018">
        <w:rPr>
          <w:rFonts w:ascii="Palatino Linotype" w:eastAsia="Palatino Linotype" w:hAnsi="Palatino Linotype" w:cs="Palatino Linotype"/>
        </w:rPr>
        <w:lastRenderedPageBreak/>
        <w:t>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BA6CD96" w14:textId="77777777" w:rsidR="00F845DA" w:rsidRPr="00F96018" w:rsidRDefault="00F845DA" w:rsidP="00F845DA">
      <w:pPr>
        <w:pBdr>
          <w:top w:val="nil"/>
          <w:left w:val="nil"/>
          <w:bottom w:val="nil"/>
          <w:right w:val="nil"/>
          <w:between w:val="nil"/>
        </w:pBdr>
        <w:spacing w:before="240" w:after="240" w:line="360" w:lineRule="auto"/>
        <w:ind w:right="49"/>
        <w:jc w:val="both"/>
      </w:pPr>
      <w:r w:rsidRPr="00F9601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929B941" w14:textId="77777777" w:rsidR="00F845DA" w:rsidRPr="00F96018" w:rsidRDefault="00F845DA" w:rsidP="00F845DA">
      <w:pPr>
        <w:pBdr>
          <w:top w:val="nil"/>
          <w:left w:val="nil"/>
          <w:bottom w:val="nil"/>
          <w:right w:val="nil"/>
          <w:between w:val="nil"/>
        </w:pBdr>
        <w:spacing w:before="240" w:after="240" w:line="360" w:lineRule="auto"/>
        <w:jc w:val="both"/>
      </w:pPr>
      <w:r w:rsidRPr="00F96018">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0B4AA35" w14:textId="77777777" w:rsidR="00F845DA" w:rsidRPr="00F96018" w:rsidRDefault="00F845DA" w:rsidP="00F845DA">
      <w:pPr>
        <w:pBdr>
          <w:top w:val="nil"/>
          <w:left w:val="nil"/>
          <w:bottom w:val="nil"/>
          <w:right w:val="nil"/>
          <w:between w:val="nil"/>
        </w:pBdr>
        <w:spacing w:before="240" w:after="240"/>
        <w:ind w:left="567" w:right="567"/>
        <w:jc w:val="both"/>
      </w:pPr>
      <w:r w:rsidRPr="00F96018">
        <w:rPr>
          <w:rFonts w:ascii="Palatino Linotype" w:eastAsia="Palatino Linotype" w:hAnsi="Palatino Linotype" w:cs="Palatino Linotype"/>
          <w:i/>
          <w:sz w:val="22"/>
          <w:szCs w:val="22"/>
        </w:rPr>
        <w:lastRenderedPageBreak/>
        <w:t>“</w:t>
      </w:r>
      <w:r w:rsidRPr="00F96018">
        <w:rPr>
          <w:rFonts w:ascii="Palatino Linotype" w:eastAsia="Palatino Linotype" w:hAnsi="Palatino Linotype" w:cs="Palatino Linotype"/>
          <w:b/>
          <w:i/>
          <w:sz w:val="22"/>
          <w:szCs w:val="22"/>
        </w:rPr>
        <w:t xml:space="preserve">Artículo 3. </w:t>
      </w:r>
      <w:r w:rsidRPr="00F96018">
        <w:rPr>
          <w:rFonts w:ascii="Palatino Linotype" w:eastAsia="Palatino Linotype" w:hAnsi="Palatino Linotype" w:cs="Palatino Linotype"/>
          <w:i/>
          <w:sz w:val="22"/>
          <w:szCs w:val="22"/>
        </w:rPr>
        <w:t>Para los efectos de la presente Ley se entenderá por:</w:t>
      </w:r>
    </w:p>
    <w:p w14:paraId="5DF2AAEA" w14:textId="77777777" w:rsidR="00F845DA" w:rsidRPr="00F96018" w:rsidRDefault="00F845DA" w:rsidP="00F845DA">
      <w:pPr>
        <w:pBdr>
          <w:top w:val="nil"/>
          <w:left w:val="nil"/>
          <w:bottom w:val="nil"/>
          <w:right w:val="nil"/>
          <w:between w:val="nil"/>
        </w:pBdr>
        <w:spacing w:before="240" w:after="240"/>
        <w:ind w:left="567" w:right="567"/>
        <w:jc w:val="both"/>
      </w:pPr>
      <w:r w:rsidRPr="00F96018">
        <w:rPr>
          <w:rFonts w:ascii="Palatino Linotype" w:eastAsia="Palatino Linotype" w:hAnsi="Palatino Linotype" w:cs="Palatino Linotype"/>
          <w:i/>
          <w:sz w:val="22"/>
          <w:szCs w:val="22"/>
        </w:rPr>
        <w:t>…</w:t>
      </w:r>
    </w:p>
    <w:p w14:paraId="4193AFFE" w14:textId="77777777" w:rsidR="00F845DA" w:rsidRPr="00F96018" w:rsidRDefault="00F845DA" w:rsidP="00F845DA">
      <w:pPr>
        <w:pBdr>
          <w:top w:val="nil"/>
          <w:left w:val="nil"/>
          <w:bottom w:val="nil"/>
          <w:right w:val="nil"/>
          <w:between w:val="nil"/>
        </w:pBdr>
        <w:spacing w:before="240" w:after="240"/>
        <w:ind w:left="567" w:right="567"/>
        <w:jc w:val="both"/>
      </w:pPr>
      <w:r w:rsidRPr="00F96018">
        <w:rPr>
          <w:rFonts w:ascii="Palatino Linotype" w:eastAsia="Palatino Linotype" w:hAnsi="Palatino Linotype" w:cs="Palatino Linotype"/>
          <w:b/>
          <w:i/>
          <w:sz w:val="22"/>
          <w:szCs w:val="22"/>
        </w:rPr>
        <w:t>XI. Documento:</w:t>
      </w:r>
      <w:r w:rsidRPr="00F96018">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96018">
        <w:rPr>
          <w:rFonts w:ascii="Palatino Linotype" w:eastAsia="Palatino Linotype" w:hAnsi="Palatino Linotype" w:cs="Palatino Linotype"/>
          <w:b/>
          <w:i/>
          <w:sz w:val="22"/>
          <w:szCs w:val="22"/>
        </w:rPr>
        <w:t>…</w:t>
      </w:r>
      <w:r w:rsidRPr="00F96018">
        <w:rPr>
          <w:rFonts w:ascii="Palatino Linotype" w:eastAsia="Palatino Linotype" w:hAnsi="Palatino Linotype" w:cs="Palatino Linotype"/>
          <w:i/>
          <w:sz w:val="22"/>
          <w:szCs w:val="22"/>
        </w:rPr>
        <w:t>” (Sic)</w:t>
      </w:r>
    </w:p>
    <w:p w14:paraId="59D38D12" w14:textId="77777777" w:rsidR="00F845DA" w:rsidRPr="00F96018" w:rsidRDefault="00F845DA" w:rsidP="00F845DA">
      <w:pPr>
        <w:pBdr>
          <w:top w:val="nil"/>
          <w:left w:val="nil"/>
          <w:bottom w:val="nil"/>
          <w:right w:val="nil"/>
          <w:between w:val="nil"/>
        </w:pBdr>
        <w:spacing w:before="240" w:after="240" w:line="360" w:lineRule="auto"/>
        <w:jc w:val="both"/>
      </w:pPr>
      <w:r w:rsidRPr="00F9601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3D7D7AA" w14:textId="77777777" w:rsidR="00F845DA" w:rsidRPr="00F96018" w:rsidRDefault="00F845DA" w:rsidP="00F845DA">
      <w:pPr>
        <w:pBdr>
          <w:top w:val="nil"/>
          <w:left w:val="nil"/>
          <w:bottom w:val="nil"/>
          <w:right w:val="nil"/>
          <w:between w:val="nil"/>
        </w:pBdr>
        <w:spacing w:before="240" w:after="240"/>
        <w:ind w:left="567" w:right="567"/>
        <w:jc w:val="both"/>
      </w:pPr>
      <w:r w:rsidRPr="00F96018">
        <w:rPr>
          <w:rFonts w:ascii="Palatino Linotype" w:eastAsia="Palatino Linotype" w:hAnsi="Palatino Linotype" w:cs="Palatino Linotype"/>
          <w:b/>
          <w:sz w:val="22"/>
          <w:szCs w:val="22"/>
        </w:rPr>
        <w:t>“</w:t>
      </w:r>
      <w:r w:rsidRPr="00F96018">
        <w:rPr>
          <w:rFonts w:ascii="Palatino Linotype" w:eastAsia="Palatino Linotype" w:hAnsi="Palatino Linotype" w:cs="Palatino Linotype"/>
          <w:b/>
          <w:i/>
          <w:sz w:val="22"/>
          <w:szCs w:val="22"/>
        </w:rPr>
        <w:t>CRITERIO 0002-11</w:t>
      </w:r>
    </w:p>
    <w:p w14:paraId="2A794C5B" w14:textId="77777777" w:rsidR="00F845DA" w:rsidRPr="00F96018" w:rsidRDefault="00F845DA" w:rsidP="00F845DA">
      <w:pPr>
        <w:pBdr>
          <w:top w:val="nil"/>
          <w:left w:val="nil"/>
          <w:bottom w:val="nil"/>
          <w:right w:val="nil"/>
          <w:between w:val="nil"/>
        </w:pBdr>
        <w:spacing w:before="240" w:after="240"/>
        <w:ind w:left="567" w:right="567"/>
        <w:jc w:val="both"/>
      </w:pPr>
      <w:r w:rsidRPr="00F9601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9601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73105C" w14:textId="77777777" w:rsidR="00F845DA" w:rsidRPr="00F96018" w:rsidRDefault="00F845DA" w:rsidP="00F845DA">
      <w:pPr>
        <w:pBdr>
          <w:top w:val="nil"/>
          <w:left w:val="nil"/>
          <w:bottom w:val="nil"/>
          <w:right w:val="nil"/>
          <w:between w:val="nil"/>
        </w:pBdr>
        <w:spacing w:before="240" w:after="240"/>
        <w:ind w:left="567" w:right="567"/>
        <w:jc w:val="both"/>
      </w:pPr>
      <w:r w:rsidRPr="00F96018">
        <w:rPr>
          <w:rFonts w:ascii="Palatino Linotype" w:eastAsia="Palatino Linotype" w:hAnsi="Palatino Linotype" w:cs="Palatino Linotype"/>
          <w:i/>
          <w:sz w:val="22"/>
          <w:szCs w:val="22"/>
        </w:rPr>
        <w:t xml:space="preserve">En </w:t>
      </w:r>
      <w:proofErr w:type="gramStart"/>
      <w:r w:rsidRPr="00F96018">
        <w:rPr>
          <w:rFonts w:ascii="Palatino Linotype" w:eastAsia="Palatino Linotype" w:hAnsi="Palatino Linotype" w:cs="Palatino Linotype"/>
          <w:i/>
          <w:sz w:val="22"/>
          <w:szCs w:val="22"/>
        </w:rPr>
        <w:t>consecuencia</w:t>
      </w:r>
      <w:proofErr w:type="gramEnd"/>
      <w:r w:rsidRPr="00F96018">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B474FF7" w14:textId="77777777" w:rsidR="00F845DA" w:rsidRPr="00F96018" w:rsidRDefault="00F845DA" w:rsidP="00F845DA">
      <w:pPr>
        <w:numPr>
          <w:ilvl w:val="0"/>
          <w:numId w:val="2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lastRenderedPageBreak/>
        <w:t xml:space="preserve">Que se trate de información registrada en cualquier soporte documental, </w:t>
      </w:r>
      <w:proofErr w:type="gramStart"/>
      <w:r w:rsidRPr="00F96018">
        <w:rPr>
          <w:rFonts w:ascii="Palatino Linotype" w:eastAsia="Palatino Linotype" w:hAnsi="Palatino Linotype" w:cs="Palatino Linotype"/>
          <w:i/>
          <w:sz w:val="22"/>
          <w:szCs w:val="22"/>
        </w:rPr>
        <w:t>que</w:t>
      </w:r>
      <w:proofErr w:type="gramEnd"/>
      <w:r w:rsidRPr="00F96018">
        <w:rPr>
          <w:rFonts w:ascii="Palatino Linotype" w:eastAsia="Palatino Linotype" w:hAnsi="Palatino Linotype" w:cs="Palatino Linotype"/>
          <w:i/>
          <w:sz w:val="22"/>
          <w:szCs w:val="22"/>
        </w:rPr>
        <w:t xml:space="preserve"> en ejercicio de las atribuciones conferidas, sea generada por los Sujetos Obligados;</w:t>
      </w:r>
    </w:p>
    <w:p w14:paraId="79D3BFEC" w14:textId="77777777" w:rsidR="00F845DA" w:rsidRPr="00F96018" w:rsidRDefault="00F845DA" w:rsidP="00F845DA">
      <w:pPr>
        <w:numPr>
          <w:ilvl w:val="0"/>
          <w:numId w:val="2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 xml:space="preserve">Que se trate de información registrada en cualquier soporte documental, </w:t>
      </w:r>
      <w:proofErr w:type="gramStart"/>
      <w:r w:rsidRPr="00F96018">
        <w:rPr>
          <w:rFonts w:ascii="Palatino Linotype" w:eastAsia="Palatino Linotype" w:hAnsi="Palatino Linotype" w:cs="Palatino Linotype"/>
          <w:i/>
          <w:sz w:val="22"/>
          <w:szCs w:val="22"/>
        </w:rPr>
        <w:t>que</w:t>
      </w:r>
      <w:proofErr w:type="gramEnd"/>
      <w:r w:rsidRPr="00F96018">
        <w:rPr>
          <w:rFonts w:ascii="Palatino Linotype" w:eastAsia="Palatino Linotype" w:hAnsi="Palatino Linotype" w:cs="Palatino Linotype"/>
          <w:i/>
          <w:sz w:val="22"/>
          <w:szCs w:val="22"/>
        </w:rPr>
        <w:t xml:space="preserve"> en ejercicio de las atribuciones conferidas, sea administrada por los Sujetos Obligados, y</w:t>
      </w:r>
    </w:p>
    <w:p w14:paraId="4B76B10D" w14:textId="77777777" w:rsidR="00F845DA" w:rsidRPr="00F96018" w:rsidRDefault="00F845DA" w:rsidP="00F845DA">
      <w:pPr>
        <w:pBdr>
          <w:top w:val="nil"/>
          <w:left w:val="nil"/>
          <w:bottom w:val="nil"/>
          <w:right w:val="nil"/>
          <w:between w:val="nil"/>
        </w:pBdr>
        <w:spacing w:before="240" w:after="240"/>
        <w:ind w:left="567" w:right="567" w:hanging="284"/>
        <w:jc w:val="both"/>
      </w:pPr>
      <w:r w:rsidRPr="00F96018">
        <w:rPr>
          <w:rFonts w:ascii="Palatino Linotype" w:eastAsia="Palatino Linotype" w:hAnsi="Palatino Linotype" w:cs="Palatino Linotype"/>
          <w:i/>
          <w:sz w:val="22"/>
          <w:szCs w:val="22"/>
        </w:rPr>
        <w:t xml:space="preserve">3. </w:t>
      </w:r>
      <w:r w:rsidRPr="00F96018">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F96018">
        <w:rPr>
          <w:rFonts w:ascii="Palatino Linotype" w:eastAsia="Palatino Linotype" w:hAnsi="Palatino Linotype" w:cs="Palatino Linotype"/>
          <w:b/>
          <w:i/>
          <w:sz w:val="22"/>
          <w:szCs w:val="22"/>
        </w:rPr>
        <w:t>que</w:t>
      </w:r>
      <w:proofErr w:type="gramEnd"/>
      <w:r w:rsidRPr="00F96018">
        <w:rPr>
          <w:rFonts w:ascii="Palatino Linotype" w:eastAsia="Palatino Linotype" w:hAnsi="Palatino Linotype" w:cs="Palatino Linotype"/>
          <w:b/>
          <w:i/>
          <w:sz w:val="22"/>
          <w:szCs w:val="22"/>
        </w:rPr>
        <w:t xml:space="preserve"> en ejercicio de las atribuciones conferidas, se encuentre en posesión</w:t>
      </w:r>
      <w:r w:rsidR="00623984" w:rsidRPr="00F96018">
        <w:rPr>
          <w:rFonts w:ascii="Palatino Linotype" w:eastAsia="Palatino Linotype" w:hAnsi="Palatino Linotype" w:cs="Palatino Linotype"/>
          <w:b/>
          <w:i/>
          <w:sz w:val="22"/>
          <w:szCs w:val="22"/>
        </w:rPr>
        <w:t xml:space="preserve"> de los Sujetos Obligados.” (Énfasis añadido</w:t>
      </w:r>
      <w:r w:rsidRPr="00F96018">
        <w:rPr>
          <w:rFonts w:ascii="Palatino Linotype" w:eastAsia="Palatino Linotype" w:hAnsi="Palatino Linotype" w:cs="Palatino Linotype"/>
          <w:b/>
          <w:i/>
          <w:sz w:val="22"/>
          <w:szCs w:val="22"/>
        </w:rPr>
        <w:t>)</w:t>
      </w:r>
    </w:p>
    <w:p w14:paraId="2373245A" w14:textId="77777777" w:rsidR="00F845DA" w:rsidRPr="00F96018" w:rsidRDefault="00F845DA" w:rsidP="00F845DA">
      <w:pPr>
        <w:pBdr>
          <w:top w:val="nil"/>
          <w:left w:val="nil"/>
          <w:bottom w:val="nil"/>
          <w:right w:val="nil"/>
          <w:between w:val="nil"/>
        </w:pBdr>
        <w:spacing w:before="240" w:after="240" w:line="360" w:lineRule="auto"/>
        <w:jc w:val="both"/>
      </w:pPr>
      <w:r w:rsidRPr="00F96018">
        <w:rPr>
          <w:rFonts w:ascii="Palatino Linotype" w:eastAsia="Palatino Linotype" w:hAnsi="Palatino Linotype" w:cs="Palatino Linotype"/>
        </w:rPr>
        <w:t xml:space="preserve">De ahí que el </w:t>
      </w:r>
      <w:r w:rsidRPr="00F96018">
        <w:rPr>
          <w:rFonts w:ascii="Palatino Linotype" w:eastAsia="Palatino Linotype" w:hAnsi="Palatino Linotype" w:cs="Palatino Linotype"/>
          <w:b/>
        </w:rPr>
        <w:t>Sujeto Obligado</w:t>
      </w:r>
      <w:r w:rsidRPr="00F96018">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1346685D" w14:textId="77777777" w:rsidR="00B1597B" w:rsidRPr="00F96018" w:rsidRDefault="00F845DA" w:rsidP="00F845DA">
      <w:pPr>
        <w:pBdr>
          <w:top w:val="nil"/>
          <w:left w:val="nil"/>
          <w:bottom w:val="nil"/>
          <w:right w:val="nil"/>
          <w:between w:val="nil"/>
        </w:pBdr>
        <w:spacing w:before="240" w:after="240" w:line="360" w:lineRule="auto"/>
        <w:jc w:val="both"/>
      </w:pPr>
      <w:r w:rsidRPr="00F96018">
        <w:rPr>
          <w:rFonts w:ascii="Palatino Linotype" w:eastAsia="Palatino Linotype" w:hAnsi="Palatino Linotype" w:cs="Palatino Linotype"/>
        </w:rPr>
        <w:t xml:space="preserve">Ahora bien, para profundizar en el estudio del presente asunto, es conveniente recordar que la parte solicitante requirió al </w:t>
      </w:r>
      <w:r w:rsidRPr="00F96018">
        <w:rPr>
          <w:rFonts w:ascii="Palatino Linotype" w:eastAsia="Palatino Linotype" w:hAnsi="Palatino Linotype" w:cs="Palatino Linotype"/>
          <w:b/>
        </w:rPr>
        <w:t>Sujeto Obligado</w:t>
      </w:r>
      <w:r w:rsidRPr="00F96018">
        <w:rPr>
          <w:rFonts w:ascii="Palatino Linotype" w:eastAsia="Palatino Linotype" w:hAnsi="Palatino Linotype" w:cs="Palatino Linotype"/>
        </w:rPr>
        <w:t>, le proporcionara lo siguiente:</w:t>
      </w:r>
    </w:p>
    <w:p w14:paraId="0F1E7F32" w14:textId="77777777" w:rsidR="00EC54DE" w:rsidRPr="00F96018" w:rsidRDefault="00EC54DE" w:rsidP="00EC54DE">
      <w:pPr>
        <w:pStyle w:val="Prrafodelista"/>
        <w:numPr>
          <w:ilvl w:val="0"/>
          <w:numId w:val="44"/>
        </w:numPr>
        <w:spacing w:before="240" w:after="240" w:line="360" w:lineRule="auto"/>
        <w:ind w:right="-93"/>
        <w:jc w:val="both"/>
        <w:rPr>
          <w:rFonts w:ascii="Palatino Linotype" w:hAnsi="Palatino Linotype" w:cs="Arial"/>
          <w:b/>
          <w:lang w:val="es-MX" w:eastAsia="es-ES"/>
        </w:rPr>
      </w:pPr>
      <w:r w:rsidRPr="00F96018">
        <w:rPr>
          <w:rFonts w:ascii="Palatino Linotype" w:hAnsi="Palatino Linotype" w:cs="Arial"/>
          <w:b/>
          <w:lang w:val="es-MX" w:eastAsia="es-ES"/>
        </w:rPr>
        <w:t>Dispersión de nómina de la última quincena de mayo</w:t>
      </w:r>
    </w:p>
    <w:p w14:paraId="2002589D" w14:textId="77777777" w:rsidR="00EC54DE" w:rsidRPr="00F96018" w:rsidRDefault="00EC54DE" w:rsidP="00623984">
      <w:pPr>
        <w:spacing w:before="240" w:after="240" w:line="360" w:lineRule="auto"/>
        <w:ind w:right="-93"/>
        <w:jc w:val="both"/>
        <w:rPr>
          <w:rFonts w:ascii="Palatino Linotype" w:hAnsi="Palatino Linotype" w:cs="Arial"/>
          <w:lang w:val="es-MX" w:eastAsia="es-ES"/>
        </w:rPr>
      </w:pPr>
    </w:p>
    <w:p w14:paraId="150E4266" w14:textId="77777777" w:rsidR="00EC54DE" w:rsidRPr="00F96018" w:rsidRDefault="00EC54DE" w:rsidP="00623984">
      <w:pPr>
        <w:spacing w:before="240" w:after="240" w:line="360" w:lineRule="auto"/>
        <w:ind w:right="-93"/>
        <w:jc w:val="both"/>
        <w:rPr>
          <w:rFonts w:ascii="Palatino Linotype" w:hAnsi="Palatino Linotype" w:cs="Arial"/>
          <w:lang w:val="es-MX" w:eastAsia="es-ES"/>
        </w:rPr>
      </w:pPr>
    </w:p>
    <w:p w14:paraId="5F1601D8" w14:textId="77777777" w:rsidR="00EC54DE" w:rsidRPr="00F96018" w:rsidRDefault="003F43AF" w:rsidP="00EC54DE">
      <w:pPr>
        <w:spacing w:before="240" w:after="240" w:line="360" w:lineRule="auto"/>
        <w:jc w:val="both"/>
        <w:rPr>
          <w:rFonts w:ascii="Palatino Linotype" w:eastAsia="Palatino Linotype" w:hAnsi="Palatino Linotype" w:cs="Palatino Linotype"/>
          <w:szCs w:val="22"/>
        </w:rPr>
      </w:pPr>
      <w:r w:rsidRPr="00F96018">
        <w:rPr>
          <w:rFonts w:ascii="Palatino Linotype" w:hAnsi="Palatino Linotype" w:cs="Arial"/>
          <w:lang w:val="es-MX" w:eastAsia="es-ES"/>
        </w:rPr>
        <w:lastRenderedPageBreak/>
        <w:t xml:space="preserve">El </w:t>
      </w:r>
      <w:r w:rsidRPr="00F96018">
        <w:rPr>
          <w:rFonts w:ascii="Palatino Linotype" w:hAnsi="Palatino Linotype" w:cs="Arial"/>
          <w:b/>
          <w:lang w:val="es-MX" w:eastAsia="es-ES"/>
        </w:rPr>
        <w:t>Sujeto Obligado</w:t>
      </w:r>
      <w:r w:rsidR="00437731" w:rsidRPr="00F96018">
        <w:rPr>
          <w:rFonts w:ascii="Palatino Linotype" w:hAnsi="Palatino Linotype" w:cs="Arial"/>
          <w:lang w:val="es-MX" w:eastAsia="es-ES"/>
        </w:rPr>
        <w:t xml:space="preserve"> por conducto d</w:t>
      </w:r>
      <w:r w:rsidR="00F8666B" w:rsidRPr="00F96018">
        <w:rPr>
          <w:rFonts w:ascii="Palatino Linotype" w:hAnsi="Palatino Linotype" w:cs="Arial"/>
          <w:lang w:eastAsia="es-ES"/>
        </w:rPr>
        <w:t xml:space="preserve">el </w:t>
      </w:r>
      <w:proofErr w:type="gramStart"/>
      <w:r w:rsidR="00EC54DE" w:rsidRPr="00F96018">
        <w:rPr>
          <w:rFonts w:ascii="Palatino Linotype" w:eastAsia="Palatino Linotype" w:hAnsi="Palatino Linotype" w:cs="Palatino Linotype"/>
          <w:szCs w:val="22"/>
        </w:rPr>
        <w:t>Subdirector</w:t>
      </w:r>
      <w:proofErr w:type="gramEnd"/>
      <w:r w:rsidR="00EC54DE" w:rsidRPr="00F96018">
        <w:rPr>
          <w:rFonts w:ascii="Palatino Linotype" w:eastAsia="Palatino Linotype" w:hAnsi="Palatino Linotype" w:cs="Palatino Linotype"/>
          <w:szCs w:val="22"/>
        </w:rPr>
        <w:t xml:space="preserve"> de Administración y Finanzas, quien a su vez remite el pronunciamiento de la Jefa del Departamento de Capital Humano, en el cual se aprecia de la dispersión bancaria. </w:t>
      </w:r>
    </w:p>
    <w:p w14:paraId="6A519D8C" w14:textId="77777777" w:rsidR="007E7AB4" w:rsidRPr="00F96018" w:rsidRDefault="00AC560E" w:rsidP="00EC54DE">
      <w:pPr>
        <w:spacing w:before="240" w:after="240" w:line="360" w:lineRule="auto"/>
        <w:jc w:val="both"/>
        <w:rPr>
          <w:rFonts w:ascii="Palatino Linotype" w:eastAsia="Palatino Linotype" w:hAnsi="Palatino Linotype" w:cs="Palatino Linotype"/>
          <w:szCs w:val="22"/>
        </w:rPr>
      </w:pPr>
      <w:r w:rsidRPr="00F96018">
        <w:rPr>
          <w:rFonts w:ascii="Palatino Linotype" w:eastAsia="Palatino Linotype" w:hAnsi="Palatino Linotype" w:cs="Palatino Linotype"/>
          <w:lang w:eastAsia="es-ES"/>
        </w:rPr>
        <w:t>U</w:t>
      </w:r>
      <w:r w:rsidR="003F43AF" w:rsidRPr="00F96018">
        <w:rPr>
          <w:rFonts w:ascii="Palatino Linotype" w:eastAsia="Palatino Linotype" w:hAnsi="Palatino Linotype" w:cs="Palatino Linotype"/>
          <w:lang w:eastAsia="es-ES"/>
        </w:rPr>
        <w:t xml:space="preserve">na vez conocida la respuesta emitida por el </w:t>
      </w:r>
      <w:r w:rsidR="003F43AF" w:rsidRPr="00F96018">
        <w:rPr>
          <w:rFonts w:ascii="Palatino Linotype" w:eastAsia="Palatino Linotype" w:hAnsi="Palatino Linotype" w:cs="Palatino Linotype"/>
          <w:b/>
          <w:lang w:eastAsia="es-ES"/>
        </w:rPr>
        <w:t xml:space="preserve">Sujeto </w:t>
      </w:r>
      <w:proofErr w:type="gramStart"/>
      <w:r w:rsidR="003F43AF" w:rsidRPr="00F96018">
        <w:rPr>
          <w:rFonts w:ascii="Palatino Linotype" w:eastAsia="Palatino Linotype" w:hAnsi="Palatino Linotype" w:cs="Palatino Linotype"/>
          <w:b/>
          <w:lang w:eastAsia="es-ES"/>
        </w:rPr>
        <w:t>Obligado</w:t>
      </w:r>
      <w:r w:rsidR="009F7E8A" w:rsidRPr="00F96018">
        <w:rPr>
          <w:rFonts w:ascii="Palatino Linotype" w:eastAsia="Palatino Linotype" w:hAnsi="Palatino Linotype" w:cs="Palatino Linotype"/>
          <w:lang w:eastAsia="es-ES"/>
        </w:rPr>
        <w:t xml:space="preserve">,  </w:t>
      </w:r>
      <w:r w:rsidR="00437731" w:rsidRPr="00F96018">
        <w:rPr>
          <w:rFonts w:ascii="Palatino Linotype" w:eastAsia="Palatino Linotype" w:hAnsi="Palatino Linotype" w:cs="Palatino Linotype"/>
          <w:b/>
          <w:lang w:eastAsia="es-ES"/>
        </w:rPr>
        <w:t>la</w:t>
      </w:r>
      <w:proofErr w:type="gramEnd"/>
      <w:r w:rsidR="00437731" w:rsidRPr="00F96018">
        <w:rPr>
          <w:rFonts w:ascii="Palatino Linotype" w:eastAsia="Palatino Linotype" w:hAnsi="Palatino Linotype" w:cs="Palatino Linotype"/>
          <w:b/>
          <w:lang w:eastAsia="es-ES"/>
        </w:rPr>
        <w:t xml:space="preserve"> parte</w:t>
      </w:r>
      <w:r w:rsidR="003949B4" w:rsidRPr="00F96018">
        <w:rPr>
          <w:rFonts w:ascii="Palatino Linotype" w:eastAsia="Palatino Linotype" w:hAnsi="Palatino Linotype" w:cs="Palatino Linotype"/>
          <w:b/>
          <w:lang w:eastAsia="es-ES"/>
        </w:rPr>
        <w:t xml:space="preserve"> </w:t>
      </w:r>
      <w:r w:rsidR="004C36DC" w:rsidRPr="00F96018">
        <w:rPr>
          <w:rFonts w:ascii="Palatino Linotype" w:eastAsia="Palatino Linotype" w:hAnsi="Palatino Linotype" w:cs="Palatino Linotype"/>
          <w:b/>
          <w:lang w:eastAsia="es-ES"/>
        </w:rPr>
        <w:t>R</w:t>
      </w:r>
      <w:r w:rsidR="009F7E8A" w:rsidRPr="00F96018">
        <w:rPr>
          <w:rFonts w:ascii="Palatino Linotype" w:eastAsia="Palatino Linotype" w:hAnsi="Palatino Linotype" w:cs="Palatino Linotype"/>
          <w:b/>
          <w:lang w:eastAsia="es-ES"/>
        </w:rPr>
        <w:t>ecurrente</w:t>
      </w:r>
      <w:r w:rsidR="003F43AF" w:rsidRPr="00F96018">
        <w:rPr>
          <w:rFonts w:ascii="Palatino Linotype" w:eastAsia="Palatino Linotype" w:hAnsi="Palatino Linotype" w:cs="Palatino Linotype"/>
          <w:lang w:eastAsia="es-ES"/>
        </w:rPr>
        <w:t xml:space="preserve">, al no estar conforme con los términos de la misma, interpuso el recurso de revisión que nos ocupa, donde señaló en sus razones o motivos de inconformidad lo siguiente: </w:t>
      </w:r>
      <w:r w:rsidR="00EC54DE" w:rsidRPr="00F96018">
        <w:rPr>
          <w:rFonts w:ascii="Palatino Linotype" w:eastAsia="Palatino Linotype" w:hAnsi="Palatino Linotype" w:cs="Palatino Linotype"/>
          <w:i/>
          <w:lang w:eastAsia="es-ES"/>
        </w:rPr>
        <w:t xml:space="preserve">“no remite el documento que se genera, sin embargo hace un documento </w:t>
      </w:r>
      <w:proofErr w:type="spellStart"/>
      <w:r w:rsidR="00EC54DE" w:rsidRPr="00F96018">
        <w:rPr>
          <w:rFonts w:ascii="Palatino Linotype" w:eastAsia="Palatino Linotype" w:hAnsi="Palatino Linotype" w:cs="Palatino Linotype"/>
          <w:i/>
          <w:lang w:eastAsia="es-ES"/>
        </w:rPr>
        <w:t>adhoc</w:t>
      </w:r>
      <w:proofErr w:type="spellEnd"/>
      <w:r w:rsidR="00EC54DE" w:rsidRPr="00F96018">
        <w:rPr>
          <w:rFonts w:ascii="Palatino Linotype" w:eastAsia="Palatino Linotype" w:hAnsi="Palatino Linotype" w:cs="Palatino Linotype"/>
          <w:i/>
          <w:lang w:eastAsia="es-ES"/>
        </w:rPr>
        <w:t xml:space="preserve"> no solicitado” (Sic)</w:t>
      </w:r>
      <w:r w:rsidR="00623984" w:rsidRPr="00F96018">
        <w:rPr>
          <w:rFonts w:ascii="Palatino Linotype" w:eastAsia="Palatino Linotype" w:hAnsi="Palatino Linotype" w:cs="Palatino Linotype"/>
          <w:i/>
          <w:lang w:eastAsia="es-ES"/>
        </w:rPr>
        <w:t>” (Sic)</w:t>
      </w:r>
      <w:r w:rsidR="002F4688" w:rsidRPr="00F96018">
        <w:rPr>
          <w:rFonts w:ascii="Palatino Linotype" w:eastAsia="Palatino Linotype" w:hAnsi="Palatino Linotype" w:cs="Palatino Linotype"/>
          <w:i/>
          <w:lang w:eastAsia="es-ES"/>
        </w:rPr>
        <w:t xml:space="preserve">, </w:t>
      </w:r>
      <w:r w:rsidR="003F43AF" w:rsidRPr="00F96018">
        <w:rPr>
          <w:rFonts w:ascii="Palatino Linotype" w:eastAsia="Palatino Linotype" w:hAnsi="Palatino Linotype" w:cs="Palatino Linotype"/>
          <w:lang w:eastAsia="es-ES"/>
        </w:rPr>
        <w:t xml:space="preserve">es decir, su inconformidad medularmente versa sobre la </w:t>
      </w:r>
      <w:r w:rsidR="00EC54DE" w:rsidRPr="00F96018">
        <w:rPr>
          <w:rFonts w:ascii="Palatino Linotype" w:eastAsia="Palatino Linotype" w:hAnsi="Palatino Linotype" w:cs="Palatino Linotype"/>
          <w:lang w:eastAsia="es-ES"/>
        </w:rPr>
        <w:t>entrega de información que no corresponde a lo solicitado.</w:t>
      </w:r>
    </w:p>
    <w:p w14:paraId="5815FB25" w14:textId="77777777" w:rsidR="002F4688" w:rsidRPr="00F96018" w:rsidRDefault="002F4688" w:rsidP="002F4688">
      <w:pPr>
        <w:spacing w:before="240" w:after="240" w:line="360" w:lineRule="auto"/>
        <w:jc w:val="both"/>
        <w:rPr>
          <w:rFonts w:ascii="Palatino Linotype" w:eastAsia="Palatino Linotype" w:hAnsi="Palatino Linotype" w:cs="Palatino Linotype"/>
          <w:b/>
          <w:i/>
          <w:lang w:eastAsia="es-ES"/>
        </w:rPr>
      </w:pPr>
      <w:r w:rsidRPr="00F96018">
        <w:rPr>
          <w:rFonts w:ascii="Palatino Linotype" w:eastAsia="Palatino Linotype" w:hAnsi="Palatino Linotype" w:cs="Palatino Linotype"/>
          <w:lang w:eastAsia="es-ES"/>
        </w:rPr>
        <w:t xml:space="preserve">Una vez admitido el medio de impugnación que nos ocupa, se procedió a conjuntar el expediente electrónico, concediéndole a las partes un plazo de siete días para rendir sus alegatos, por lo </w:t>
      </w:r>
      <w:proofErr w:type="gramStart"/>
      <w:r w:rsidRPr="00F96018">
        <w:rPr>
          <w:rFonts w:ascii="Palatino Linotype" w:eastAsia="Palatino Linotype" w:hAnsi="Palatino Linotype" w:cs="Palatino Linotype"/>
          <w:lang w:eastAsia="es-ES"/>
        </w:rPr>
        <w:t>que</w:t>
      </w:r>
      <w:proofErr w:type="gramEnd"/>
      <w:r w:rsidRPr="00F96018">
        <w:rPr>
          <w:rFonts w:ascii="Palatino Linotype" w:eastAsia="Palatino Linotype" w:hAnsi="Palatino Linotype" w:cs="Palatino Linotype"/>
          <w:lang w:eastAsia="es-ES"/>
        </w:rPr>
        <w:t xml:space="preserve"> </w:t>
      </w:r>
      <w:r w:rsidR="003F43AF" w:rsidRPr="00F96018">
        <w:rPr>
          <w:rFonts w:ascii="Palatino Linotype" w:eastAsia="Palatino Linotype" w:hAnsi="Palatino Linotype" w:cs="Palatino Linotype"/>
          <w:lang w:eastAsia="es-ES"/>
        </w:rPr>
        <w:t xml:space="preserve">durante la etapa de manifestaciones, </w:t>
      </w:r>
      <w:r w:rsidR="00EC54DE" w:rsidRPr="00F96018">
        <w:rPr>
          <w:rFonts w:ascii="Palatino Linotype" w:eastAsia="Palatino Linotype" w:hAnsi="Palatino Linotype" w:cs="Palatino Linotype"/>
          <w:lang w:eastAsia="es-ES"/>
        </w:rPr>
        <w:t>las partes fueron omisas en remitir sus manifestaciones</w:t>
      </w:r>
      <w:r w:rsidR="00AC560E" w:rsidRPr="00F96018">
        <w:rPr>
          <w:rFonts w:ascii="Palatino Linotype" w:eastAsia="Palatino Linotype" w:hAnsi="Palatino Linotype" w:cs="Palatino Linotype"/>
          <w:lang w:eastAsia="es-ES"/>
        </w:rPr>
        <w:t>, por lo que se tiene por precluido su derecho para tal efecto.</w:t>
      </w:r>
    </w:p>
    <w:p w14:paraId="5E509ADF" w14:textId="77777777" w:rsidR="00A40F24" w:rsidRPr="00F96018" w:rsidRDefault="00F845DA" w:rsidP="00EC54DE">
      <w:pPr>
        <w:spacing w:after="240" w:line="360" w:lineRule="auto"/>
        <w:ind w:right="49"/>
        <w:jc w:val="both"/>
        <w:rPr>
          <w:rFonts w:ascii="Palatino Linotype" w:eastAsia="Palatino Linotype" w:hAnsi="Palatino Linotype" w:cs="Palatino Linotype"/>
        </w:rPr>
      </w:pPr>
      <w:bookmarkStart w:id="4" w:name="_heading=h.3rdcrjn" w:colFirst="0" w:colLast="0"/>
      <w:bookmarkEnd w:id="4"/>
      <w:r w:rsidRPr="00F96018">
        <w:rPr>
          <w:rFonts w:ascii="Palatino Linotype" w:eastAsia="Palatino Linotype" w:hAnsi="Palatino Linotype" w:cs="Palatino Linotype"/>
        </w:rPr>
        <w:t xml:space="preserve">Expuestas las posturas de las partes, resulta importante iniciar este análisis mencionando que </w:t>
      </w:r>
      <w:r w:rsidR="00437731" w:rsidRPr="00F96018">
        <w:rPr>
          <w:rFonts w:ascii="Palatino Linotype" w:eastAsia="Palatino Linotype" w:hAnsi="Palatino Linotype" w:cs="Palatino Linotype"/>
        </w:rPr>
        <w:t xml:space="preserve">de las constancias que conforman el expediente electrónico, se aprecia que </w:t>
      </w:r>
      <w:r w:rsidR="00CF1A8D" w:rsidRPr="00F96018">
        <w:rPr>
          <w:rFonts w:ascii="Palatino Linotype" w:eastAsia="Palatino Linotype" w:hAnsi="Palatino Linotype" w:cs="Palatino Linotype"/>
        </w:rPr>
        <w:t xml:space="preserve">el </w:t>
      </w:r>
      <w:r w:rsidR="00CF1A8D" w:rsidRPr="00F96018">
        <w:rPr>
          <w:rFonts w:ascii="Palatino Linotype" w:eastAsia="Palatino Linotype" w:hAnsi="Palatino Linotype" w:cs="Palatino Linotype"/>
          <w:b/>
        </w:rPr>
        <w:t>Sujeto Obligado</w:t>
      </w:r>
      <w:r w:rsidR="00CF1A8D" w:rsidRPr="00F96018">
        <w:rPr>
          <w:rFonts w:ascii="Palatino Linotype" w:eastAsia="Palatino Linotype" w:hAnsi="Palatino Linotype" w:cs="Palatino Linotype"/>
        </w:rPr>
        <w:t xml:space="preserve"> </w:t>
      </w:r>
      <w:r w:rsidR="00FF669C" w:rsidRPr="00F96018">
        <w:rPr>
          <w:rFonts w:ascii="Palatino Linotype" w:eastAsia="Palatino Linotype" w:hAnsi="Palatino Linotype" w:cs="Palatino Linotype"/>
        </w:rPr>
        <w:t xml:space="preserve">turnó el requerimiento de información a la unidad administrativa competente que es la Subdirección de Administración y Finanzas, que a su vez cuenta con el Departamento de Capital Humano, ello de conformidad con lo dispuesto por el Reglamento Interno del </w:t>
      </w:r>
      <w:r w:rsidR="00FF669C" w:rsidRPr="00F96018">
        <w:rPr>
          <w:rFonts w:ascii="Palatino Linotype" w:eastAsia="Palatino Linotype" w:hAnsi="Palatino Linotype" w:cs="Palatino Linotype"/>
          <w:b/>
        </w:rPr>
        <w:t xml:space="preserve">Organismo Público Descentralizado para la </w:t>
      </w:r>
      <w:r w:rsidR="00FF669C" w:rsidRPr="00F96018">
        <w:rPr>
          <w:rFonts w:ascii="Palatino Linotype" w:eastAsia="Palatino Linotype" w:hAnsi="Palatino Linotype" w:cs="Palatino Linotype"/>
          <w:b/>
        </w:rPr>
        <w:lastRenderedPageBreak/>
        <w:t xml:space="preserve">Prestación de Los Servicios de Agua Potable Alcantarillado y Saneamiento de Atizapán de Zaragoza por sus siglas S.A.P.A.S.A., </w:t>
      </w:r>
      <w:r w:rsidR="00FF669C" w:rsidRPr="00F96018">
        <w:rPr>
          <w:rFonts w:ascii="Palatino Linotype" w:eastAsia="Palatino Linotype" w:hAnsi="Palatino Linotype" w:cs="Palatino Linotype"/>
        </w:rPr>
        <w:t xml:space="preserve">mismo que se trae a colación a continuación: </w:t>
      </w:r>
    </w:p>
    <w:p w14:paraId="55525472" w14:textId="77777777" w:rsidR="00FF669C" w:rsidRPr="00F96018" w:rsidRDefault="00FF669C" w:rsidP="00FF669C">
      <w:pPr>
        <w:spacing w:after="240"/>
        <w:ind w:left="567" w:right="1276"/>
        <w:jc w:val="both"/>
        <w:rPr>
          <w:rFonts w:ascii="Palatino Linotype" w:eastAsia="Palatino Linotype" w:hAnsi="Palatino Linotype" w:cs="Palatino Linotype"/>
          <w:i/>
          <w:sz w:val="22"/>
        </w:rPr>
      </w:pPr>
      <w:r w:rsidRPr="00F96018">
        <w:rPr>
          <w:rFonts w:ascii="Palatino Linotype" w:eastAsia="Palatino Linotype" w:hAnsi="Palatino Linotype" w:cs="Palatino Linotype"/>
          <w:i/>
          <w:sz w:val="22"/>
        </w:rPr>
        <w:t xml:space="preserve">“Artículo 74.- La Subdirección de Administración y Finanzas para el estudio, planeación y despacho de los asuntos de su competencia, estará integrada de la siguiente manera: I. La Coordinación de Administración que se integra a su vez por las siguientes unidades: </w:t>
      </w:r>
    </w:p>
    <w:p w14:paraId="527E87C8" w14:textId="77777777" w:rsidR="00FF669C" w:rsidRPr="00F96018" w:rsidRDefault="00FF669C" w:rsidP="00FF669C">
      <w:pPr>
        <w:spacing w:after="240"/>
        <w:ind w:left="567" w:right="1276"/>
        <w:jc w:val="both"/>
        <w:rPr>
          <w:rFonts w:ascii="Palatino Linotype" w:eastAsia="Palatino Linotype" w:hAnsi="Palatino Linotype" w:cs="Palatino Linotype"/>
          <w:b/>
          <w:i/>
          <w:sz w:val="22"/>
        </w:rPr>
      </w:pPr>
      <w:r w:rsidRPr="00F96018">
        <w:rPr>
          <w:rFonts w:ascii="Palatino Linotype" w:eastAsia="Palatino Linotype" w:hAnsi="Palatino Linotype" w:cs="Palatino Linotype"/>
          <w:b/>
          <w:i/>
          <w:sz w:val="22"/>
        </w:rPr>
        <w:t>a) Departamento de Capital Humano</w:t>
      </w:r>
    </w:p>
    <w:p w14:paraId="5B2BF2D9" w14:textId="77777777" w:rsidR="00FF669C" w:rsidRPr="00F96018" w:rsidRDefault="00FF669C" w:rsidP="00FF669C">
      <w:pPr>
        <w:spacing w:after="240"/>
        <w:ind w:left="567" w:right="1276"/>
        <w:jc w:val="both"/>
        <w:rPr>
          <w:rFonts w:ascii="Palatino Linotype" w:eastAsia="Palatino Linotype" w:hAnsi="Palatino Linotype" w:cs="Palatino Linotype"/>
          <w:i/>
          <w:sz w:val="22"/>
        </w:rPr>
      </w:pPr>
      <w:r w:rsidRPr="00F96018">
        <w:rPr>
          <w:rFonts w:ascii="Palatino Linotype" w:eastAsia="Palatino Linotype" w:hAnsi="Palatino Linotype" w:cs="Palatino Linotype"/>
          <w:i/>
          <w:sz w:val="22"/>
        </w:rPr>
        <w:t>…</w:t>
      </w:r>
    </w:p>
    <w:p w14:paraId="40105DF3" w14:textId="77777777" w:rsidR="00FF669C" w:rsidRPr="00F96018" w:rsidRDefault="00FF669C" w:rsidP="00FF669C">
      <w:pPr>
        <w:spacing w:after="240"/>
        <w:ind w:left="567" w:right="1276"/>
        <w:jc w:val="both"/>
        <w:rPr>
          <w:rFonts w:ascii="Palatino Linotype" w:eastAsia="Palatino Linotype" w:hAnsi="Palatino Linotype" w:cs="Palatino Linotype"/>
          <w:i/>
          <w:sz w:val="22"/>
        </w:rPr>
      </w:pPr>
      <w:r w:rsidRPr="00F96018">
        <w:rPr>
          <w:rFonts w:ascii="Palatino Linotype" w:eastAsia="Palatino Linotype" w:hAnsi="Palatino Linotype" w:cs="Palatino Linotype"/>
          <w:i/>
          <w:sz w:val="22"/>
        </w:rPr>
        <w:t xml:space="preserve">Artículo 76.- El Departamento de Capital Humano, estará a cargo de un </w:t>
      </w:r>
      <w:proofErr w:type="gramStart"/>
      <w:r w:rsidRPr="00F96018">
        <w:rPr>
          <w:rFonts w:ascii="Palatino Linotype" w:eastAsia="Palatino Linotype" w:hAnsi="Palatino Linotype" w:cs="Palatino Linotype"/>
          <w:i/>
          <w:sz w:val="22"/>
        </w:rPr>
        <w:t>Jefe</w:t>
      </w:r>
      <w:proofErr w:type="gramEnd"/>
      <w:r w:rsidRPr="00F96018">
        <w:rPr>
          <w:rFonts w:ascii="Palatino Linotype" w:eastAsia="Palatino Linotype" w:hAnsi="Palatino Linotype" w:cs="Palatino Linotype"/>
          <w:i/>
          <w:sz w:val="22"/>
        </w:rPr>
        <w:t xml:space="preserve"> de Departamento denominado “Jefe del Departamento de Capital Humano”, quien responderá del desempeño de sus funciones directamente ante el Coordinador de Administración y tendrá las siguientes atribuciones:</w:t>
      </w:r>
    </w:p>
    <w:p w14:paraId="4EF11B6D" w14:textId="77777777" w:rsidR="00FF669C" w:rsidRPr="00F96018" w:rsidRDefault="00FF669C" w:rsidP="00FF669C">
      <w:pPr>
        <w:spacing w:after="240"/>
        <w:ind w:left="567" w:right="1276"/>
        <w:jc w:val="both"/>
        <w:rPr>
          <w:rFonts w:ascii="Palatino Linotype" w:eastAsia="Palatino Linotype" w:hAnsi="Palatino Linotype" w:cs="Palatino Linotype"/>
          <w:i/>
          <w:sz w:val="22"/>
        </w:rPr>
      </w:pPr>
      <w:r w:rsidRPr="00F96018">
        <w:rPr>
          <w:rFonts w:ascii="Palatino Linotype" w:eastAsia="Palatino Linotype" w:hAnsi="Palatino Linotype" w:cs="Palatino Linotype"/>
          <w:i/>
          <w:sz w:val="22"/>
        </w:rPr>
        <w:t>…</w:t>
      </w:r>
    </w:p>
    <w:p w14:paraId="12B610DF" w14:textId="77777777" w:rsidR="00FF669C" w:rsidRPr="00F96018" w:rsidRDefault="00FF669C" w:rsidP="00FF669C">
      <w:pPr>
        <w:spacing w:after="240"/>
        <w:ind w:left="567" w:right="1276"/>
        <w:jc w:val="both"/>
        <w:rPr>
          <w:rFonts w:ascii="Palatino Linotype" w:eastAsia="Palatino Linotype" w:hAnsi="Palatino Linotype" w:cs="Palatino Linotype"/>
          <w:b/>
          <w:i/>
          <w:sz w:val="22"/>
        </w:rPr>
      </w:pPr>
      <w:r w:rsidRPr="00F96018">
        <w:rPr>
          <w:rFonts w:ascii="Palatino Linotype" w:eastAsia="Palatino Linotype" w:hAnsi="Palatino Linotype" w:cs="Palatino Linotype"/>
          <w:b/>
          <w:i/>
          <w:sz w:val="22"/>
        </w:rPr>
        <w:t>XIII. Elaborar la nómina quincenal conforme a la normatividad establecida;</w:t>
      </w:r>
    </w:p>
    <w:p w14:paraId="6DB2008B" w14:textId="77777777" w:rsidR="00FF669C" w:rsidRPr="00F96018" w:rsidRDefault="00FF669C" w:rsidP="00FF669C">
      <w:pPr>
        <w:spacing w:after="240"/>
        <w:ind w:left="567" w:right="1276"/>
        <w:jc w:val="both"/>
        <w:rPr>
          <w:rFonts w:ascii="Palatino Linotype" w:eastAsia="Palatino Linotype" w:hAnsi="Palatino Linotype" w:cs="Palatino Linotype"/>
          <w:sz w:val="22"/>
        </w:rPr>
      </w:pPr>
      <w:r w:rsidRPr="00F96018">
        <w:rPr>
          <w:rFonts w:ascii="Palatino Linotype" w:eastAsia="Palatino Linotype" w:hAnsi="Palatino Linotype" w:cs="Palatino Linotype"/>
          <w:b/>
          <w:i/>
          <w:sz w:val="22"/>
        </w:rPr>
        <w:t>XIV. Proporcionar la información para el debido cumplimiento de las declaraciones informativas de sueldos y salarios en tiempo y forma que corresponda a cada ejercicio fiscal</w:t>
      </w:r>
      <w:r w:rsidRPr="00F96018">
        <w:rPr>
          <w:rFonts w:ascii="Palatino Linotype" w:eastAsia="Palatino Linotype" w:hAnsi="Palatino Linotype" w:cs="Palatino Linotype"/>
          <w:b/>
          <w:sz w:val="22"/>
        </w:rPr>
        <w:t xml:space="preserve">;” </w:t>
      </w:r>
      <w:r w:rsidRPr="00F96018">
        <w:rPr>
          <w:rFonts w:ascii="Palatino Linotype" w:eastAsia="Palatino Linotype" w:hAnsi="Palatino Linotype" w:cs="Palatino Linotype"/>
          <w:i/>
          <w:sz w:val="22"/>
        </w:rPr>
        <w:t>(Énfasis añadido)</w:t>
      </w:r>
    </w:p>
    <w:p w14:paraId="60CBC3EA" w14:textId="77777777" w:rsidR="00FF669C" w:rsidRPr="00F96018" w:rsidRDefault="00FF669C" w:rsidP="00EC54DE">
      <w:pPr>
        <w:spacing w:after="240" w:line="360" w:lineRule="auto"/>
        <w:ind w:right="49"/>
        <w:jc w:val="both"/>
        <w:rPr>
          <w:rFonts w:ascii="Palatino Linotype" w:eastAsia="Palatino Linotype" w:hAnsi="Palatino Linotype" w:cs="Palatino Linotype"/>
        </w:rPr>
      </w:pPr>
      <w:r w:rsidRPr="00F96018">
        <w:rPr>
          <w:rFonts w:ascii="Palatino Linotype" w:eastAsia="Palatino Linotype" w:hAnsi="Palatino Linotype" w:cs="Palatino Linotype"/>
        </w:rPr>
        <w:t xml:space="preserve">Ahora bien, de un análisis exhaustivo practicado a la respuesta, se advierte que este consiste en un oficio signado por la </w:t>
      </w:r>
      <w:proofErr w:type="gramStart"/>
      <w:r w:rsidRPr="00F96018">
        <w:rPr>
          <w:rFonts w:ascii="Palatino Linotype" w:eastAsia="Palatino Linotype" w:hAnsi="Palatino Linotype" w:cs="Palatino Linotype"/>
        </w:rPr>
        <w:t>Jefa</w:t>
      </w:r>
      <w:proofErr w:type="gramEnd"/>
      <w:r w:rsidRPr="00F96018">
        <w:rPr>
          <w:rFonts w:ascii="Palatino Linotype" w:eastAsia="Palatino Linotype" w:hAnsi="Palatino Linotype" w:cs="Palatino Linotype"/>
        </w:rPr>
        <w:t xml:space="preserve"> del Departamento de Capital Humano, el cual se encuentra dirigido al Coordinador de Finanzas, refiriendo que es una dispersión de nómina, tal como se vislumbra a continuación:</w:t>
      </w:r>
    </w:p>
    <w:p w14:paraId="0427C5BF" w14:textId="77777777" w:rsidR="00FF669C" w:rsidRPr="00F96018" w:rsidRDefault="00FF669C" w:rsidP="00EC54DE">
      <w:pPr>
        <w:spacing w:after="240" w:line="360" w:lineRule="auto"/>
        <w:ind w:right="49"/>
        <w:jc w:val="both"/>
        <w:rPr>
          <w:rFonts w:ascii="Palatino Linotype" w:eastAsia="Palatino Linotype" w:hAnsi="Palatino Linotype" w:cs="Palatino Linotype"/>
        </w:rPr>
      </w:pPr>
      <w:r w:rsidRPr="00F96018">
        <w:rPr>
          <w:rFonts w:ascii="Palatino Linotype" w:eastAsia="Palatino Linotype" w:hAnsi="Palatino Linotype" w:cs="Palatino Linotype"/>
          <w:noProof/>
          <w:szCs w:val="22"/>
          <w:lang w:val="es-MX"/>
        </w:rPr>
        <w:lastRenderedPageBreak/>
        <w:drawing>
          <wp:inline distT="0" distB="0" distL="0" distR="0" wp14:anchorId="151F7C89" wp14:editId="73F9436C">
            <wp:extent cx="4993640" cy="6376186"/>
            <wp:effectExtent l="19050" t="19050" r="16510" b="247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4586" cy="6390162"/>
                    </a:xfrm>
                    <a:prstGeom prst="rect">
                      <a:avLst/>
                    </a:prstGeom>
                    <a:ln>
                      <a:solidFill>
                        <a:sysClr val="windowText" lastClr="000000"/>
                      </a:solidFill>
                    </a:ln>
                  </pic:spPr>
                </pic:pic>
              </a:graphicData>
            </a:graphic>
          </wp:inline>
        </w:drawing>
      </w:r>
    </w:p>
    <w:p w14:paraId="04D9ECC8" w14:textId="77777777" w:rsidR="00FF669C" w:rsidRPr="00F96018" w:rsidRDefault="00FF669C" w:rsidP="00FF669C">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rPr>
        <w:lastRenderedPageBreak/>
        <w:t>No obstante, se determina que este documento remitido no corresponde a la dispersión de nómina pues únicamente es un oficio en el que se da cuenta de los archivos de dispersión bancaria, por lo tanto, al no existir un pronunciamiento puntual, se contraviene a los principios de congruencia y exhaustividad, como refuerzo de lo anterior</w:t>
      </w:r>
      <w:r w:rsidRPr="00F96018">
        <w:rPr>
          <w:rFonts w:ascii="Palatino Linotype" w:eastAsia="Palatino Linotype" w:hAnsi="Palatino Linotype" w:cs="Palatino Linotype"/>
          <w:u w:val="single"/>
        </w:rPr>
        <w:t xml:space="preserve">, resulta crucial el Criterio 02/17, emitido por el Pleno del </w:t>
      </w:r>
      <w:r w:rsidRPr="00F96018">
        <w:rPr>
          <w:rFonts w:ascii="Palatino Linotype" w:eastAsia="Palatino Linotype" w:hAnsi="Palatino Linotype" w:cs="Palatino Linotype"/>
        </w:rPr>
        <w:t>Instituto Nacional de Transparencia y Acceso a la Información y Protección de Datos Personales, de título y texto siguientes:</w:t>
      </w:r>
    </w:p>
    <w:p w14:paraId="375D7791" w14:textId="77777777" w:rsidR="00FF669C" w:rsidRPr="00F96018" w:rsidRDefault="00FF669C" w:rsidP="00FF669C">
      <w:pPr>
        <w:spacing w:before="240" w:after="240"/>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 xml:space="preserve">“Congruencia y exhaustividad. Sus alcances para garantizar el derecho de acceso a la información. </w:t>
      </w:r>
      <w:r w:rsidRPr="00F96018">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96018">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F96018">
        <w:rPr>
          <w:rFonts w:ascii="Palatino Linotype" w:eastAsia="Palatino Linotype" w:hAnsi="Palatino Linotype" w:cs="Palatino Linotype"/>
          <w:i/>
          <w:sz w:val="22"/>
          <w:szCs w:val="22"/>
        </w:rPr>
        <w:t xml:space="preserve">; mientras que </w:t>
      </w:r>
      <w:r w:rsidRPr="00F96018">
        <w:rPr>
          <w:rFonts w:ascii="Palatino Linotype" w:eastAsia="Palatino Linotype" w:hAnsi="Palatino Linotype" w:cs="Palatino Linotype"/>
          <w:b/>
          <w:i/>
          <w:sz w:val="22"/>
          <w:szCs w:val="22"/>
        </w:rPr>
        <w:t>la exhaustividad significa que dicha respuesta se refiera expresamente a cada uno de los puntos solicitados</w:t>
      </w:r>
      <w:r w:rsidRPr="00F96018">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(Énfasis añadido)</w:t>
      </w:r>
    </w:p>
    <w:p w14:paraId="17C0D763" w14:textId="77777777" w:rsidR="00FF669C" w:rsidRPr="00F96018" w:rsidRDefault="00FF669C" w:rsidP="00FF669C">
      <w:pPr>
        <w:spacing w:line="360" w:lineRule="auto"/>
        <w:jc w:val="both"/>
        <w:rPr>
          <w:rFonts w:ascii="Palatino Linotype" w:eastAsia="Palatino Linotype" w:hAnsi="Palatino Linotype" w:cs="Palatino Linotype"/>
          <w:lang w:eastAsia="es-ES"/>
        </w:rPr>
      </w:pPr>
      <w:r w:rsidRPr="00F96018">
        <w:rPr>
          <w:rFonts w:ascii="Palatino Linotype" w:eastAsia="Palatino Linotype" w:hAnsi="Palatino Linotype" w:cs="Palatino Linotype"/>
          <w:lang w:eastAsia="es-ES"/>
        </w:rPr>
        <w:t xml:space="preserve">En lo que concierne a los comprobantes bancarios de la dispersión de la nómina, el artículo 32, párrafo segundo, de la Ley de Fiscalización Superior del Estado de México, establece que los </w:t>
      </w:r>
      <w:proofErr w:type="gramStart"/>
      <w:r w:rsidRPr="00F96018">
        <w:rPr>
          <w:rFonts w:ascii="Palatino Linotype" w:eastAsia="Palatino Linotype" w:hAnsi="Palatino Linotype" w:cs="Palatino Linotype"/>
          <w:lang w:eastAsia="es-ES"/>
        </w:rPr>
        <w:t>Presidentes</w:t>
      </w:r>
      <w:proofErr w:type="gramEnd"/>
      <w:r w:rsidRPr="00F96018">
        <w:rPr>
          <w:rFonts w:ascii="Palatino Linotype" w:eastAsia="Palatino Linotype" w:hAnsi="Palatino Linotype" w:cs="Palatino Linotype"/>
          <w:lang w:eastAsia="es-ES"/>
        </w:rPr>
        <w:t xml:space="preserve"> Municipales, presentarán a la Legislatura los informes mensuales, dentro de los veinte días posteriores al término del mes correspondiente.</w:t>
      </w:r>
    </w:p>
    <w:p w14:paraId="5C139F0B" w14:textId="77777777" w:rsidR="00FF669C" w:rsidRPr="00F96018" w:rsidRDefault="00FF669C" w:rsidP="00FF669C">
      <w:pPr>
        <w:spacing w:line="360" w:lineRule="auto"/>
        <w:jc w:val="both"/>
        <w:rPr>
          <w:rFonts w:ascii="Palatino Linotype" w:eastAsia="Palatino Linotype" w:hAnsi="Palatino Linotype" w:cs="Palatino Linotype"/>
          <w:lang w:eastAsia="es-ES"/>
        </w:rPr>
      </w:pPr>
    </w:p>
    <w:p w14:paraId="77C95E08" w14:textId="77777777" w:rsidR="00FF669C" w:rsidRPr="00F96018" w:rsidRDefault="00FF669C" w:rsidP="00FF669C">
      <w:pPr>
        <w:spacing w:line="360" w:lineRule="auto"/>
        <w:jc w:val="both"/>
        <w:rPr>
          <w:rFonts w:ascii="Palatino Linotype" w:eastAsia="Palatino Linotype" w:hAnsi="Palatino Linotype" w:cs="Palatino Linotype"/>
          <w:lang w:eastAsia="es-ES"/>
        </w:rPr>
      </w:pPr>
      <w:r w:rsidRPr="00F96018">
        <w:rPr>
          <w:rFonts w:ascii="Palatino Linotype" w:eastAsia="Palatino Linotype" w:hAnsi="Palatino Linotype" w:cs="Palatino Linotype"/>
          <w:lang w:eastAsia="es-ES"/>
        </w:rPr>
        <w:lastRenderedPageBreak/>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03294E79" w14:textId="77777777" w:rsidR="00FF669C" w:rsidRPr="00F96018" w:rsidRDefault="00FF669C" w:rsidP="00EC54DE">
      <w:pPr>
        <w:spacing w:after="240" w:line="360" w:lineRule="auto"/>
        <w:ind w:right="49"/>
        <w:jc w:val="both"/>
        <w:rPr>
          <w:rFonts w:ascii="Palatino Linotype" w:eastAsia="Palatino Linotype" w:hAnsi="Palatino Linotype" w:cs="Palatino Linotype"/>
        </w:rPr>
      </w:pPr>
    </w:p>
    <w:p w14:paraId="62B42B48" w14:textId="77777777" w:rsidR="00FF669C" w:rsidRPr="00F96018" w:rsidRDefault="00FF669C" w:rsidP="00FF669C">
      <w:pPr>
        <w:spacing w:line="360" w:lineRule="auto"/>
        <w:jc w:val="both"/>
        <w:rPr>
          <w:rFonts w:ascii="Palatino Linotype" w:eastAsia="Palatino Linotype" w:hAnsi="Palatino Linotype" w:cs="Palatino Linotype"/>
          <w:b/>
          <w:lang w:eastAsia="es-ES"/>
        </w:rPr>
      </w:pPr>
      <w:r w:rsidRPr="00F96018">
        <w:rPr>
          <w:rFonts w:ascii="Palatino Linotype" w:eastAsia="Palatino Linotype" w:hAnsi="Palatino Linotype" w:cs="Palatino Linotype"/>
          <w:lang w:eastAsia="es-ES"/>
        </w:rPr>
        <w:t xml:space="preserve">Además,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w:t>
      </w:r>
      <w:r w:rsidRPr="00F96018">
        <w:rPr>
          <w:rFonts w:ascii="Palatino Linotype" w:eastAsia="Palatino Linotype" w:hAnsi="Palatino Linotype" w:cs="Palatino Linotype"/>
          <w:b/>
          <w:lang w:eastAsia="es-ES"/>
        </w:rPr>
        <w:t>de Nómina.</w:t>
      </w:r>
    </w:p>
    <w:p w14:paraId="34ED5342" w14:textId="77777777" w:rsidR="00FF669C" w:rsidRPr="00F96018" w:rsidRDefault="00FF669C" w:rsidP="00FF669C">
      <w:pPr>
        <w:spacing w:line="360" w:lineRule="auto"/>
        <w:jc w:val="both"/>
        <w:rPr>
          <w:rFonts w:ascii="Palatino Linotype" w:eastAsia="Palatino Linotype" w:hAnsi="Palatino Linotype" w:cs="Palatino Linotype"/>
          <w:lang w:eastAsia="es-ES"/>
        </w:rPr>
      </w:pPr>
    </w:p>
    <w:p w14:paraId="0F9FDD40" w14:textId="77777777" w:rsidR="00FF669C" w:rsidRPr="00F96018" w:rsidRDefault="00FF669C" w:rsidP="00FF669C">
      <w:pPr>
        <w:spacing w:line="360" w:lineRule="auto"/>
        <w:jc w:val="both"/>
        <w:rPr>
          <w:rFonts w:ascii="Palatino Linotype" w:eastAsia="Palatino Linotype" w:hAnsi="Palatino Linotype" w:cs="Palatino Linotype"/>
          <w:lang w:eastAsia="es-ES"/>
        </w:rPr>
      </w:pPr>
      <w:r w:rsidRPr="00F96018">
        <w:rPr>
          <w:rFonts w:ascii="Palatino Linotype" w:eastAsia="Palatino Linotype" w:hAnsi="Palatino Linotype" w:cs="Palatino Linotype"/>
          <w:lang w:eastAsia="es-ES"/>
        </w:rPr>
        <w:t xml:space="preserve">En ese sentido, los Lineamientos para la Integración del Informe Trimestral de los Sujetos de Fiscalización Municipales, para los ejercicios fiscales dos mil veintidós y veintidós, se advierte que el </w:t>
      </w:r>
      <w:r w:rsidRPr="00F96018">
        <w:rPr>
          <w:rFonts w:ascii="Palatino Linotype" w:eastAsia="Palatino Linotype" w:hAnsi="Palatino Linotype" w:cs="Palatino Linotype"/>
          <w:b/>
          <w:lang w:eastAsia="es-ES"/>
        </w:rPr>
        <w:t>Módulo 4</w:t>
      </w:r>
      <w:r w:rsidRPr="00F96018">
        <w:rPr>
          <w:rFonts w:ascii="Palatino Linotype" w:eastAsia="Palatino Linotype" w:hAnsi="Palatino Linotype" w:cs="Palatino Linotype"/>
          <w:lang w:eastAsia="es-ES"/>
        </w:rPr>
        <w:t xml:space="preserve">, se integra por diversos documentos, entre los que se encuentra </w:t>
      </w:r>
      <w:r w:rsidRPr="00F96018">
        <w:rPr>
          <w:rFonts w:ascii="Palatino Linotype" w:eastAsia="Palatino Linotype" w:hAnsi="Palatino Linotype" w:cs="Palatino Linotype"/>
          <w:b/>
          <w:lang w:eastAsia="es-ES"/>
        </w:rPr>
        <w:t>el Comprobante Bancario de la Dispersión de la Nómina</w:t>
      </w:r>
      <w:r w:rsidRPr="00F96018">
        <w:rPr>
          <w:rFonts w:ascii="Palatino Linotype" w:eastAsia="Palatino Linotype" w:hAnsi="Palatino Linotype" w:cs="Palatino Linotype"/>
          <w:lang w:eastAsia="es-ES"/>
        </w:rPr>
        <w:t>, mismo que será entregado al Órgano Superior de Fiscalización del Estado de México, tal como se muestra a continuación:</w:t>
      </w:r>
    </w:p>
    <w:p w14:paraId="02F7A4AA" w14:textId="77777777" w:rsidR="00FF669C" w:rsidRPr="00F96018" w:rsidRDefault="00FF669C" w:rsidP="00456EFD">
      <w:pPr>
        <w:spacing w:line="360" w:lineRule="auto"/>
        <w:jc w:val="both"/>
        <w:rPr>
          <w:rFonts w:ascii="Palatino Linotype" w:eastAsia="Palatino Linotype" w:hAnsi="Palatino Linotype" w:cs="Palatino Linotype"/>
          <w:sz w:val="20"/>
          <w:szCs w:val="20"/>
          <w:lang w:eastAsia="es-ES"/>
        </w:rPr>
      </w:pPr>
      <w:r w:rsidRPr="00F96018">
        <w:rPr>
          <w:noProof/>
          <w:lang w:val="es-MX"/>
        </w:rPr>
        <w:lastRenderedPageBreak/>
        <mc:AlternateContent>
          <mc:Choice Requires="wps">
            <w:drawing>
              <wp:anchor distT="0" distB="0" distL="114300" distR="114300" simplePos="0" relativeHeight="251659264" behindDoc="0" locked="0" layoutInCell="1" hidden="0" allowOverlap="1" wp14:anchorId="3C9C7428" wp14:editId="5920E7FD">
                <wp:simplePos x="0" y="0"/>
                <wp:positionH relativeFrom="column">
                  <wp:posOffset>367665</wp:posOffset>
                </wp:positionH>
                <wp:positionV relativeFrom="paragraph">
                  <wp:posOffset>391795</wp:posOffset>
                </wp:positionV>
                <wp:extent cx="3000375" cy="371475"/>
                <wp:effectExtent l="19050" t="19050" r="28575" b="28575"/>
                <wp:wrapNone/>
                <wp:docPr id="79" name="Rectángulo 79"/>
                <wp:cNvGraphicFramePr/>
                <a:graphic xmlns:a="http://schemas.openxmlformats.org/drawingml/2006/main">
                  <a:graphicData uri="http://schemas.microsoft.com/office/word/2010/wordprocessingShape">
                    <wps:wsp>
                      <wps:cNvSpPr/>
                      <wps:spPr>
                        <a:xfrm>
                          <a:off x="0" y="0"/>
                          <a:ext cx="3000375" cy="371475"/>
                        </a:xfrm>
                        <a:prstGeom prst="rect">
                          <a:avLst/>
                        </a:prstGeom>
                        <a:noFill/>
                        <a:ln w="41275" cap="flat" cmpd="sng">
                          <a:solidFill>
                            <a:srgbClr val="42719B"/>
                          </a:solidFill>
                          <a:prstDash val="solid"/>
                          <a:miter lim="800000"/>
                          <a:headEnd type="none" w="sm" len="sm"/>
                          <a:tailEnd type="none" w="sm" len="sm"/>
                        </a:ln>
                      </wps:spPr>
                      <wps:txbx>
                        <w:txbxContent>
                          <w:p w14:paraId="207DA224" w14:textId="77777777" w:rsidR="00FF669C" w:rsidRDefault="00FF669C" w:rsidP="00FF669C">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7B1E67F" id="Rectángulo 79" o:spid="_x0000_s1026" style="position:absolute;left:0;text-align:left;margin-left:28.95pt;margin-top:30.85pt;width:236.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" filled="f" strokecolor="#42719b" strokeweight="3.25pt">
                <v:stroke startarrowwidth="narrow" startarrowlength="short" endarrowwidth="narrow" endarrowlength="short"/>
                <v:textbox inset="2.53958mm,2.53958mm,2.53958mm,2.53958mm">
                  <w:txbxContent>
                    <w:p w:rsidR="00FF669C" w:rsidRDefault="00FF669C" w:rsidP="00FF669C">
                      <w:pPr>
                        <w:textDirection w:val="btLr"/>
                      </w:pPr>
                    </w:p>
                  </w:txbxContent>
                </v:textbox>
              </v:rect>
            </w:pict>
          </mc:Fallback>
        </mc:AlternateContent>
      </w:r>
      <w:r w:rsidRPr="00F96018">
        <w:rPr>
          <w:rFonts w:ascii="Palatino Linotype" w:eastAsia="Palatino Linotype" w:hAnsi="Palatino Linotype" w:cs="Palatino Linotype"/>
          <w:noProof/>
          <w:sz w:val="20"/>
          <w:szCs w:val="20"/>
          <w:lang w:val="es-MX"/>
        </w:rPr>
        <w:drawing>
          <wp:inline distT="0" distB="0" distL="0" distR="0" wp14:anchorId="5E70BD5C" wp14:editId="261D5435">
            <wp:extent cx="5255684" cy="1155749"/>
            <wp:effectExtent l="19050" t="19050" r="21590" b="25400"/>
            <wp:docPr id="8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r="9234"/>
                    <a:stretch>
                      <a:fillRect/>
                    </a:stretch>
                  </pic:blipFill>
                  <pic:spPr>
                    <a:xfrm>
                      <a:off x="0" y="0"/>
                      <a:ext cx="5255684" cy="1155749"/>
                    </a:xfrm>
                    <a:prstGeom prst="rect">
                      <a:avLst/>
                    </a:prstGeom>
                    <a:ln>
                      <a:solidFill>
                        <a:schemeClr val="tx1"/>
                      </a:solidFill>
                    </a:ln>
                  </pic:spPr>
                </pic:pic>
              </a:graphicData>
            </a:graphic>
          </wp:inline>
        </w:drawing>
      </w:r>
    </w:p>
    <w:p w14:paraId="7174BB03" w14:textId="77777777" w:rsidR="00EC54DE" w:rsidRPr="00F96018" w:rsidRDefault="00456EFD" w:rsidP="00EC54DE">
      <w:pPr>
        <w:spacing w:after="240" w:line="360" w:lineRule="auto"/>
        <w:ind w:right="49"/>
        <w:jc w:val="both"/>
        <w:rPr>
          <w:rFonts w:ascii="Palatino Linotype" w:eastAsia="Palatino Linotype" w:hAnsi="Palatino Linotype" w:cs="Palatino Linotype"/>
        </w:rPr>
      </w:pPr>
      <w:r w:rsidRPr="00F96018">
        <w:rPr>
          <w:noProof/>
          <w:lang w:val="es-MX"/>
        </w:rPr>
        <w:drawing>
          <wp:inline distT="0" distB="0" distL="0" distR="0" wp14:anchorId="4E342A4D" wp14:editId="4247BCE4">
            <wp:extent cx="5473675" cy="2846912"/>
            <wp:effectExtent l="19050" t="19050" r="13335" b="10795"/>
            <wp:docPr id="8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l="40691" t="50568" r="26626" b="27820"/>
                    <a:stretch>
                      <a:fillRect/>
                    </a:stretch>
                  </pic:blipFill>
                  <pic:spPr>
                    <a:xfrm>
                      <a:off x="0" y="0"/>
                      <a:ext cx="5473675" cy="2846912"/>
                    </a:xfrm>
                    <a:prstGeom prst="rect">
                      <a:avLst/>
                    </a:prstGeom>
                    <a:ln>
                      <a:solidFill>
                        <a:schemeClr val="tx1"/>
                      </a:solidFill>
                    </a:ln>
                  </pic:spPr>
                </pic:pic>
              </a:graphicData>
            </a:graphic>
          </wp:inline>
        </w:drawing>
      </w:r>
    </w:p>
    <w:p w14:paraId="26375735" w14:textId="77777777" w:rsidR="00456EFD" w:rsidRPr="00F96018" w:rsidRDefault="00456EFD" w:rsidP="00456EFD">
      <w:pPr>
        <w:spacing w:line="360" w:lineRule="auto"/>
        <w:jc w:val="both"/>
        <w:rPr>
          <w:rFonts w:ascii="Palatino Linotype" w:eastAsia="Palatino Linotype" w:hAnsi="Palatino Linotype" w:cs="Palatino Linotype"/>
          <w:lang w:eastAsia="es-ES"/>
        </w:rPr>
      </w:pPr>
      <w:r w:rsidRPr="00F96018">
        <w:rPr>
          <w:rFonts w:ascii="Palatino Linotype" w:eastAsia="Palatino Linotype" w:hAnsi="Palatino Linotype" w:cs="Palatino Linotype"/>
          <w:lang w:eastAsia="es-ES"/>
        </w:rPr>
        <w:t xml:space="preserve">De lo anterior se concluye que la información al comprobante bancario de la dispersión de la nómina, </w:t>
      </w:r>
      <w:proofErr w:type="gramStart"/>
      <w:r w:rsidRPr="00F96018">
        <w:rPr>
          <w:rFonts w:ascii="Palatino Linotype" w:eastAsia="Palatino Linotype" w:hAnsi="Palatino Linotype" w:cs="Palatino Linotype"/>
          <w:lang w:eastAsia="es-ES"/>
        </w:rPr>
        <w:t>obra  en</w:t>
      </w:r>
      <w:proofErr w:type="gramEnd"/>
      <w:r w:rsidRPr="00F96018">
        <w:rPr>
          <w:rFonts w:ascii="Palatino Linotype" w:eastAsia="Palatino Linotype" w:hAnsi="Palatino Linotype" w:cs="Palatino Linotype"/>
          <w:lang w:eastAsia="es-ES"/>
        </w:rPr>
        <w:t xml:space="preserve"> los archivos del </w:t>
      </w:r>
      <w:r w:rsidRPr="00F96018">
        <w:rPr>
          <w:rFonts w:ascii="Palatino Linotype" w:eastAsia="Palatino Linotype" w:hAnsi="Palatino Linotype" w:cs="Palatino Linotype"/>
          <w:b/>
          <w:lang w:eastAsia="es-ES"/>
        </w:rPr>
        <w:t>Sujeto Obligado</w:t>
      </w:r>
      <w:r w:rsidRPr="00F96018">
        <w:rPr>
          <w:rFonts w:ascii="Palatino Linotype" w:eastAsia="Palatino Linotype" w:hAnsi="Palatino Linotype" w:cs="Palatino Linotype"/>
          <w:lang w:eastAsia="es-ES"/>
        </w:rPr>
        <w:t xml:space="preserve">, por lo que no es necesario emitir algún pronunciamiento o generar un documento ad hoc; por consiguiente, se trata de un derecho de acceso a la información pública. </w:t>
      </w:r>
    </w:p>
    <w:p w14:paraId="34195310" w14:textId="77777777" w:rsidR="00456EFD" w:rsidRPr="00F96018" w:rsidRDefault="00456EFD" w:rsidP="00456EFD">
      <w:pPr>
        <w:spacing w:line="360" w:lineRule="auto"/>
        <w:jc w:val="both"/>
        <w:rPr>
          <w:rFonts w:ascii="Palatino Linotype" w:eastAsia="Palatino Linotype" w:hAnsi="Palatino Linotype" w:cs="Palatino Linotype"/>
          <w:lang w:eastAsia="es-ES"/>
        </w:rPr>
      </w:pPr>
    </w:p>
    <w:p w14:paraId="4A94593D" w14:textId="77777777" w:rsidR="00456EFD" w:rsidRPr="00F96018" w:rsidRDefault="00456EFD" w:rsidP="00456EFD">
      <w:pPr>
        <w:spacing w:line="360" w:lineRule="auto"/>
        <w:jc w:val="both"/>
        <w:rPr>
          <w:rFonts w:ascii="Palatino Linotype" w:eastAsia="Palatino Linotype" w:hAnsi="Palatino Linotype" w:cs="Palatino Linotype"/>
          <w:lang w:eastAsia="es-ES"/>
        </w:rPr>
      </w:pPr>
      <w:r w:rsidRPr="00F96018">
        <w:rPr>
          <w:rFonts w:ascii="Palatino Linotype" w:eastAsia="Palatino Linotype" w:hAnsi="Palatino Linotype" w:cs="Palatino Linotype"/>
          <w:lang w:eastAsia="es-ES"/>
        </w:rPr>
        <w:t xml:space="preserve">Finalmente es importante precisar </w:t>
      </w:r>
      <w:proofErr w:type="gramStart"/>
      <w:r w:rsidRPr="00F96018">
        <w:rPr>
          <w:rFonts w:ascii="Palatino Linotype" w:eastAsia="Palatino Linotype" w:hAnsi="Palatino Linotype" w:cs="Palatino Linotype"/>
          <w:lang w:eastAsia="es-ES"/>
        </w:rPr>
        <w:t>que</w:t>
      </w:r>
      <w:proofErr w:type="gramEnd"/>
      <w:r w:rsidRPr="00F96018">
        <w:rPr>
          <w:rFonts w:ascii="Palatino Linotype" w:eastAsia="Palatino Linotype" w:hAnsi="Palatino Linotype" w:cs="Palatino Linotype"/>
          <w:lang w:eastAsia="es-ES"/>
        </w:rPr>
        <w:t xml:space="preserve"> si bien es cierto, </w:t>
      </w:r>
      <w:r w:rsidRPr="00F96018">
        <w:rPr>
          <w:rFonts w:ascii="Palatino Linotype" w:eastAsia="Palatino Linotype" w:hAnsi="Palatino Linotype" w:cs="Palatino Linotype"/>
          <w:b/>
          <w:lang w:eastAsia="es-ES"/>
        </w:rPr>
        <w:t>la parte Recurrente</w:t>
      </w:r>
      <w:r w:rsidRPr="00F96018">
        <w:rPr>
          <w:rFonts w:ascii="Palatino Linotype" w:eastAsia="Palatino Linotype" w:hAnsi="Palatino Linotype" w:cs="Palatino Linotype"/>
          <w:lang w:eastAsia="es-ES"/>
        </w:rPr>
        <w:t xml:space="preserve"> hizo referencia a “la última quincena de mayo”, no menos cierto es que de una interpretación </w:t>
      </w:r>
      <w:r w:rsidRPr="00F96018">
        <w:rPr>
          <w:rFonts w:ascii="Palatino Linotype" w:eastAsia="Palatino Linotype" w:hAnsi="Palatino Linotype" w:cs="Palatino Linotype"/>
          <w:lang w:eastAsia="es-ES"/>
        </w:rPr>
        <w:lastRenderedPageBreak/>
        <w:t>a su requerimiento, se advierte que la dispersión que requiere es de la quincena más reciente de mayo a la fecha de la solicitud, por lo que en este caso, correspondería a la primera quincena de mayo, por lo tanto, deberá entregarse la información generada a esta fecha.</w:t>
      </w:r>
    </w:p>
    <w:p w14:paraId="38305D7D" w14:textId="77777777" w:rsidR="00456EFD" w:rsidRPr="00F96018" w:rsidRDefault="00456EFD" w:rsidP="00456EFD">
      <w:pPr>
        <w:spacing w:line="360" w:lineRule="auto"/>
        <w:jc w:val="both"/>
        <w:rPr>
          <w:rFonts w:ascii="Palatino Linotype" w:eastAsia="Palatino Linotype" w:hAnsi="Palatino Linotype" w:cs="Palatino Linotype"/>
          <w:lang w:eastAsia="es-ES"/>
        </w:rPr>
      </w:pPr>
    </w:p>
    <w:p w14:paraId="327F6691" w14:textId="77777777" w:rsidR="00456EFD" w:rsidRPr="00F96018" w:rsidRDefault="00456EFD" w:rsidP="00456EFD">
      <w:pPr>
        <w:spacing w:line="360" w:lineRule="auto"/>
        <w:jc w:val="both"/>
        <w:rPr>
          <w:rFonts w:ascii="Palatino Linotype" w:eastAsia="Palatino Linotype" w:hAnsi="Palatino Linotype" w:cs="Palatino Linotype"/>
          <w:lang w:eastAsia="es-ES"/>
        </w:rPr>
      </w:pPr>
      <w:r w:rsidRPr="00F96018">
        <w:rPr>
          <w:rFonts w:ascii="Palatino Linotype" w:eastAsia="Palatino Linotype" w:hAnsi="Palatino Linotype" w:cs="Palatino Linotype"/>
          <w:lang w:eastAsia="es-ES"/>
        </w:rPr>
        <w:t xml:space="preserve">Es por lo anterior que se acredita que el </w:t>
      </w:r>
      <w:r w:rsidRPr="00F96018">
        <w:rPr>
          <w:rFonts w:ascii="Palatino Linotype" w:eastAsia="Palatino Linotype" w:hAnsi="Palatino Linotype" w:cs="Palatino Linotype"/>
          <w:b/>
          <w:lang w:eastAsia="es-ES"/>
        </w:rPr>
        <w:t>Sujeto Obligado</w:t>
      </w:r>
      <w:r w:rsidRPr="00F96018">
        <w:rPr>
          <w:rFonts w:ascii="Palatino Linotype" w:eastAsia="Palatino Linotype" w:hAnsi="Palatino Linotype" w:cs="Palatino Linotype"/>
          <w:lang w:eastAsia="es-ES"/>
        </w:rPr>
        <w:t xml:space="preserve">, debió haber entregado al Órgano Superior de Fiscalización del Estado de México, la información correspondiente al comprobante bancario de la dispersión de la nómina de la primera quincena de mayo de 2023; razones por las cuales lo procedente es ordenar su entrega y en versión pública conforme a lo señalado en el considerando quinto del presente fallo. </w:t>
      </w:r>
    </w:p>
    <w:p w14:paraId="5C8EA091" w14:textId="77777777" w:rsidR="00456EFD" w:rsidRPr="00F96018" w:rsidRDefault="00456EFD" w:rsidP="00456EFD">
      <w:pPr>
        <w:spacing w:line="360" w:lineRule="auto"/>
        <w:jc w:val="both"/>
        <w:rPr>
          <w:rFonts w:ascii="Palatino Linotype" w:eastAsia="Palatino Linotype" w:hAnsi="Palatino Linotype" w:cs="Palatino Linotype"/>
          <w:lang w:eastAsia="es-ES"/>
        </w:rPr>
      </w:pPr>
    </w:p>
    <w:p w14:paraId="66B2B6FC" w14:textId="77777777" w:rsidR="00456EFD" w:rsidRPr="00F96018" w:rsidRDefault="00456EFD" w:rsidP="00456EFD">
      <w:pPr>
        <w:spacing w:line="360" w:lineRule="auto"/>
        <w:jc w:val="both"/>
        <w:rPr>
          <w:rFonts w:ascii="Palatino Linotype" w:eastAsia="Palatino Linotype" w:hAnsi="Palatino Linotype" w:cs="Palatino Linotype"/>
          <w:lang w:eastAsia="es-ES"/>
        </w:rPr>
      </w:pPr>
      <w:r w:rsidRPr="00F96018">
        <w:rPr>
          <w:rFonts w:ascii="Palatino Linotype" w:eastAsia="Palatino Linotype" w:hAnsi="Palatino Linotype" w:cs="Palatino Linotype"/>
          <w:lang w:eastAsia="es-ES"/>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7122D95B" w14:textId="77777777" w:rsidR="00456EFD" w:rsidRPr="00F96018" w:rsidRDefault="00456EFD" w:rsidP="00456EFD">
      <w:pPr>
        <w:spacing w:line="360" w:lineRule="auto"/>
        <w:jc w:val="both"/>
        <w:rPr>
          <w:rFonts w:ascii="Palatino Linotype" w:eastAsia="Palatino Linotype" w:hAnsi="Palatino Linotype" w:cs="Palatino Linotype"/>
          <w:lang w:eastAsia="es-ES"/>
        </w:rPr>
      </w:pPr>
    </w:p>
    <w:p w14:paraId="60F962E8" w14:textId="77777777" w:rsidR="00456EFD" w:rsidRPr="00F96018" w:rsidRDefault="00456EFD" w:rsidP="00456EFD">
      <w:pPr>
        <w:ind w:left="851" w:right="851"/>
        <w:jc w:val="both"/>
        <w:rPr>
          <w:rFonts w:ascii="Palatino Linotype" w:eastAsia="Palatino Linotype" w:hAnsi="Palatino Linotype" w:cs="Palatino Linotype"/>
          <w:i/>
          <w:sz w:val="22"/>
          <w:szCs w:val="22"/>
          <w:u w:val="single"/>
          <w:lang w:eastAsia="es-ES"/>
        </w:rPr>
      </w:pPr>
      <w:r w:rsidRPr="00F96018">
        <w:rPr>
          <w:rFonts w:ascii="Palatino Linotype" w:eastAsia="Palatino Linotype" w:hAnsi="Palatino Linotype" w:cs="Palatino Linotype"/>
          <w:b/>
          <w:i/>
          <w:sz w:val="22"/>
          <w:szCs w:val="22"/>
          <w:u w:val="single"/>
          <w:lang w:eastAsia="es-ES"/>
        </w:rPr>
        <w:t>“Artículo 7. El Estado de México garantizará el efectivo acceso de toda persona a la información en posesión de cualquier entidad,</w:t>
      </w:r>
      <w:r w:rsidRPr="00F96018">
        <w:rPr>
          <w:rFonts w:ascii="Palatino Linotype" w:eastAsia="Palatino Linotype" w:hAnsi="Palatino Linotype" w:cs="Palatino Linotype"/>
          <w:i/>
          <w:sz w:val="22"/>
          <w:szCs w:val="22"/>
          <w:lang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F96018">
        <w:rPr>
          <w:rFonts w:ascii="Palatino Linotype" w:eastAsia="Palatino Linotype" w:hAnsi="Palatino Linotype" w:cs="Palatino Linotype"/>
          <w:b/>
          <w:i/>
          <w:sz w:val="22"/>
          <w:szCs w:val="22"/>
          <w:u w:val="single"/>
          <w:lang w:eastAsia="es-ES"/>
        </w:rPr>
        <w:t>que reciba y ejerza recursos públicos</w:t>
      </w:r>
      <w:r w:rsidRPr="00F96018">
        <w:rPr>
          <w:rFonts w:ascii="Palatino Linotype" w:eastAsia="Palatino Linotype" w:hAnsi="Palatino Linotype" w:cs="Palatino Linotype"/>
          <w:i/>
          <w:sz w:val="22"/>
          <w:szCs w:val="22"/>
          <w:lang w:eastAsia="es-ES"/>
        </w:rPr>
        <w:t xml:space="preserve"> o realice actos de autoridad </w:t>
      </w:r>
      <w:r w:rsidRPr="00F96018">
        <w:rPr>
          <w:rFonts w:ascii="Palatino Linotype" w:eastAsia="Palatino Linotype" w:hAnsi="Palatino Linotype" w:cs="Palatino Linotype"/>
          <w:b/>
          <w:i/>
          <w:sz w:val="22"/>
          <w:szCs w:val="22"/>
          <w:u w:val="single"/>
          <w:lang w:eastAsia="es-ES"/>
        </w:rPr>
        <w:t>en el ámbito de competencia del Estado de México y sus municipios</w:t>
      </w:r>
      <w:r w:rsidRPr="00F96018">
        <w:rPr>
          <w:rFonts w:ascii="Palatino Linotype" w:eastAsia="Palatino Linotype" w:hAnsi="Palatino Linotype" w:cs="Palatino Linotype"/>
          <w:i/>
          <w:sz w:val="22"/>
          <w:szCs w:val="22"/>
          <w:u w:val="single"/>
          <w:lang w:eastAsia="es-ES"/>
        </w:rPr>
        <w:t>.</w:t>
      </w:r>
    </w:p>
    <w:p w14:paraId="5A543905" w14:textId="77777777" w:rsidR="00456EFD" w:rsidRPr="00F96018" w:rsidRDefault="00456EFD" w:rsidP="00456EFD">
      <w:pPr>
        <w:ind w:left="851" w:right="851"/>
        <w:jc w:val="both"/>
        <w:rPr>
          <w:rFonts w:ascii="Palatino Linotype" w:eastAsia="Palatino Linotype" w:hAnsi="Palatino Linotype" w:cs="Palatino Linotype"/>
          <w:i/>
          <w:sz w:val="22"/>
          <w:szCs w:val="22"/>
          <w:lang w:eastAsia="es-ES"/>
        </w:rPr>
      </w:pPr>
      <w:r w:rsidRPr="00F96018">
        <w:rPr>
          <w:rFonts w:ascii="Palatino Linotype" w:eastAsia="Palatino Linotype" w:hAnsi="Palatino Linotype" w:cs="Palatino Linotype"/>
          <w:i/>
          <w:sz w:val="22"/>
          <w:szCs w:val="22"/>
          <w:lang w:eastAsia="es-ES"/>
        </w:rPr>
        <w:t>Artículo 23. Son sujetos obligados a transparentar y permitir el acceso a su información y proteger los datos personales que obren en su poder:</w:t>
      </w:r>
    </w:p>
    <w:p w14:paraId="6C1C4D61" w14:textId="77777777" w:rsidR="00456EFD" w:rsidRPr="00F96018" w:rsidRDefault="00456EFD" w:rsidP="00456EFD">
      <w:pPr>
        <w:ind w:left="851" w:right="851"/>
        <w:jc w:val="both"/>
        <w:rPr>
          <w:rFonts w:ascii="Palatino Linotype" w:eastAsia="Palatino Linotype" w:hAnsi="Palatino Linotype" w:cs="Palatino Linotype"/>
          <w:i/>
          <w:sz w:val="22"/>
          <w:szCs w:val="22"/>
          <w:lang w:eastAsia="es-ES"/>
        </w:rPr>
      </w:pPr>
      <w:r w:rsidRPr="00F96018">
        <w:rPr>
          <w:rFonts w:ascii="Palatino Linotype" w:eastAsia="Palatino Linotype" w:hAnsi="Palatino Linotype" w:cs="Palatino Linotype"/>
          <w:i/>
          <w:sz w:val="22"/>
          <w:szCs w:val="22"/>
          <w:lang w:eastAsia="es-ES"/>
        </w:rPr>
        <w:t>(…)</w:t>
      </w:r>
    </w:p>
    <w:p w14:paraId="14D176E8" w14:textId="77777777" w:rsidR="00456EFD" w:rsidRPr="00F96018" w:rsidRDefault="00456EFD" w:rsidP="00456EFD">
      <w:pPr>
        <w:ind w:left="851" w:right="851"/>
        <w:jc w:val="both"/>
        <w:rPr>
          <w:rFonts w:ascii="Palatino Linotype" w:eastAsia="Palatino Linotype" w:hAnsi="Palatino Linotype" w:cs="Palatino Linotype"/>
          <w:b/>
          <w:i/>
          <w:sz w:val="22"/>
          <w:szCs w:val="22"/>
          <w:u w:val="single"/>
          <w:lang w:eastAsia="es-ES"/>
        </w:rPr>
      </w:pPr>
      <w:r w:rsidRPr="00F96018">
        <w:rPr>
          <w:rFonts w:ascii="Palatino Linotype" w:eastAsia="Palatino Linotype" w:hAnsi="Palatino Linotype" w:cs="Palatino Linotype"/>
          <w:b/>
          <w:i/>
          <w:sz w:val="22"/>
          <w:szCs w:val="22"/>
          <w:u w:val="single"/>
          <w:lang w:eastAsia="es-ES"/>
        </w:rPr>
        <w:t>IV. Los ayuntamientos y las dependencias, organismos, órganos y entidades de la administración municipal;</w:t>
      </w:r>
    </w:p>
    <w:p w14:paraId="42CB4EB7" w14:textId="77777777" w:rsidR="00456EFD" w:rsidRPr="00F96018" w:rsidRDefault="00456EFD" w:rsidP="00456EFD">
      <w:pPr>
        <w:ind w:left="851" w:right="851"/>
        <w:jc w:val="both"/>
        <w:rPr>
          <w:rFonts w:ascii="Palatino Linotype" w:eastAsia="Palatino Linotype" w:hAnsi="Palatino Linotype" w:cs="Palatino Linotype"/>
          <w:i/>
          <w:sz w:val="22"/>
          <w:szCs w:val="22"/>
          <w:lang w:eastAsia="es-ES"/>
        </w:rPr>
      </w:pPr>
      <w:r w:rsidRPr="00F96018">
        <w:rPr>
          <w:rFonts w:ascii="Palatino Linotype" w:eastAsia="Palatino Linotype" w:hAnsi="Palatino Linotype" w:cs="Palatino Linotype"/>
          <w:i/>
          <w:sz w:val="22"/>
          <w:szCs w:val="22"/>
          <w:lang w:eastAsia="es-ES"/>
        </w:rPr>
        <w:t>(…)</w:t>
      </w:r>
    </w:p>
    <w:p w14:paraId="0C97914F" w14:textId="77777777" w:rsidR="00456EFD" w:rsidRPr="00F96018" w:rsidRDefault="00456EFD" w:rsidP="00456EFD">
      <w:pPr>
        <w:ind w:left="851" w:right="851"/>
        <w:jc w:val="both"/>
        <w:rPr>
          <w:rFonts w:ascii="Palatino Linotype" w:eastAsia="Palatino Linotype" w:hAnsi="Palatino Linotype" w:cs="Palatino Linotype"/>
          <w:b/>
          <w:i/>
          <w:sz w:val="22"/>
          <w:szCs w:val="22"/>
          <w:u w:val="single"/>
          <w:lang w:eastAsia="es-ES"/>
        </w:rPr>
      </w:pPr>
      <w:r w:rsidRPr="00F96018">
        <w:rPr>
          <w:rFonts w:ascii="Palatino Linotype" w:eastAsia="Palatino Linotype" w:hAnsi="Palatino Linotype" w:cs="Palatino Linotype"/>
          <w:b/>
          <w:i/>
          <w:sz w:val="22"/>
          <w:szCs w:val="22"/>
          <w:u w:val="single"/>
          <w:lang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AE3A79" w14:textId="77777777" w:rsidR="00456EFD" w:rsidRPr="00F96018" w:rsidRDefault="00456EFD" w:rsidP="00456EFD">
      <w:pPr>
        <w:ind w:left="851" w:right="851"/>
        <w:jc w:val="both"/>
        <w:rPr>
          <w:rFonts w:ascii="Palatino Linotype" w:eastAsia="Palatino Linotype" w:hAnsi="Palatino Linotype" w:cs="Palatino Linotype"/>
          <w:b/>
          <w:i/>
          <w:sz w:val="22"/>
          <w:szCs w:val="22"/>
          <w:lang w:eastAsia="es-ES"/>
        </w:rPr>
      </w:pPr>
      <w:r w:rsidRPr="00F96018">
        <w:rPr>
          <w:rFonts w:ascii="Palatino Linotype" w:eastAsia="Palatino Linotype" w:hAnsi="Palatino Linotype" w:cs="Palatino Linotype"/>
          <w:i/>
          <w:sz w:val="22"/>
          <w:szCs w:val="22"/>
          <w:lang w:eastAsia="es-ES"/>
        </w:rPr>
        <w:t xml:space="preserve">Los servidores públicos deberán transparentar sus </w:t>
      </w:r>
      <w:proofErr w:type="gramStart"/>
      <w:r w:rsidRPr="00F96018">
        <w:rPr>
          <w:rFonts w:ascii="Palatino Linotype" w:eastAsia="Palatino Linotype" w:hAnsi="Palatino Linotype" w:cs="Palatino Linotype"/>
          <w:i/>
          <w:sz w:val="22"/>
          <w:szCs w:val="22"/>
          <w:lang w:eastAsia="es-ES"/>
        </w:rPr>
        <w:t>acciones</w:t>
      </w:r>
      <w:proofErr w:type="gramEnd"/>
      <w:r w:rsidRPr="00F96018">
        <w:rPr>
          <w:rFonts w:ascii="Palatino Linotype" w:eastAsia="Palatino Linotype" w:hAnsi="Palatino Linotype" w:cs="Palatino Linotype"/>
          <w:i/>
          <w:sz w:val="22"/>
          <w:szCs w:val="22"/>
          <w:lang w:eastAsia="es-ES"/>
        </w:rPr>
        <w:t xml:space="preserve"> así como garantizar y respetar el derecho de acceso a la información pública.”</w:t>
      </w:r>
      <w:r w:rsidRPr="00F96018">
        <w:rPr>
          <w:rFonts w:ascii="Palatino Linotype" w:eastAsia="Palatino Linotype" w:hAnsi="Palatino Linotype" w:cs="Palatino Linotype"/>
          <w:b/>
          <w:i/>
          <w:sz w:val="22"/>
          <w:szCs w:val="22"/>
          <w:lang w:eastAsia="es-ES"/>
        </w:rPr>
        <w:t xml:space="preserve"> [Sic]</w:t>
      </w:r>
    </w:p>
    <w:p w14:paraId="10060555" w14:textId="77777777" w:rsidR="00456EFD" w:rsidRPr="00F96018" w:rsidRDefault="00456EFD" w:rsidP="00456EFD">
      <w:pPr>
        <w:spacing w:line="360" w:lineRule="auto"/>
        <w:jc w:val="both"/>
        <w:rPr>
          <w:rFonts w:ascii="Palatino Linotype" w:eastAsia="Palatino Linotype" w:hAnsi="Palatino Linotype" w:cs="Palatino Linotype"/>
          <w:lang w:eastAsia="es-ES"/>
        </w:rPr>
      </w:pPr>
    </w:p>
    <w:p w14:paraId="52074B65" w14:textId="77777777" w:rsidR="00456EFD" w:rsidRPr="00F96018" w:rsidRDefault="00456EFD" w:rsidP="00456EFD">
      <w:pPr>
        <w:spacing w:line="360" w:lineRule="auto"/>
        <w:jc w:val="both"/>
        <w:rPr>
          <w:rFonts w:ascii="Palatino Linotype" w:eastAsia="Palatino Linotype" w:hAnsi="Palatino Linotype" w:cs="Palatino Linotype"/>
          <w:lang w:eastAsia="es-ES"/>
        </w:rPr>
      </w:pPr>
      <w:r w:rsidRPr="00F96018">
        <w:rPr>
          <w:rFonts w:ascii="Palatino Linotype" w:eastAsia="Palatino Linotype" w:hAnsi="Palatino Linotype" w:cs="Palatino Linotype"/>
          <w:lang w:eastAsia="es-ES"/>
        </w:rPr>
        <w:t xml:space="preserve">Sirve de sustento por analogía, para justificar la publicidad sobre los datos relativos a los montos por concepto de pago de las remuneraciones, los criterios </w:t>
      </w:r>
      <w:r w:rsidRPr="00F96018">
        <w:rPr>
          <w:rFonts w:ascii="Palatino Linotype" w:eastAsia="Palatino Linotype" w:hAnsi="Palatino Linotype" w:cs="Palatino Linotype"/>
          <w:b/>
          <w:lang w:eastAsia="es-ES"/>
        </w:rPr>
        <w:t>01/2003</w:t>
      </w:r>
      <w:r w:rsidRPr="00F96018">
        <w:rPr>
          <w:rFonts w:ascii="Palatino Linotype" w:eastAsia="Palatino Linotype" w:hAnsi="Palatino Linotype" w:cs="Palatino Linotype"/>
          <w:lang w:eastAsia="es-ES"/>
        </w:rPr>
        <w:t xml:space="preserve"> y </w:t>
      </w:r>
      <w:r w:rsidRPr="00F96018">
        <w:rPr>
          <w:rFonts w:ascii="Palatino Linotype" w:eastAsia="Palatino Linotype" w:hAnsi="Palatino Linotype" w:cs="Palatino Linotype"/>
          <w:b/>
          <w:lang w:eastAsia="es-ES"/>
        </w:rPr>
        <w:t>02/2003</w:t>
      </w:r>
      <w:r w:rsidRPr="00F96018">
        <w:rPr>
          <w:rFonts w:ascii="Palatino Linotype" w:eastAsia="Palatino Linotype" w:hAnsi="Palatino Linotype" w:cs="Palatino Linotype"/>
          <w:lang w:eastAsia="es-ES"/>
        </w:rPr>
        <w:t xml:space="preserve"> emitidos por el Comité de Acceso a la Información Pública y Protección de Datos Personales de la Suprema Corte de Justicia de la Nación que a continuación se citan: </w:t>
      </w:r>
    </w:p>
    <w:p w14:paraId="7CE44066" w14:textId="77777777" w:rsidR="00945E14" w:rsidRPr="00F96018" w:rsidRDefault="00945E14" w:rsidP="00456EFD">
      <w:pPr>
        <w:spacing w:line="360" w:lineRule="auto"/>
        <w:jc w:val="both"/>
        <w:rPr>
          <w:rFonts w:ascii="Palatino Linotype" w:eastAsia="Palatino Linotype" w:hAnsi="Palatino Linotype" w:cs="Palatino Linotype"/>
          <w:lang w:eastAsia="es-ES"/>
        </w:rPr>
      </w:pPr>
    </w:p>
    <w:p w14:paraId="5B8779AC" w14:textId="77777777" w:rsidR="00456EFD" w:rsidRPr="00F96018" w:rsidRDefault="00456EFD" w:rsidP="00456EFD">
      <w:pPr>
        <w:ind w:left="851" w:right="851"/>
        <w:rPr>
          <w:rFonts w:ascii="Palatino Linotype" w:eastAsia="Palatino Linotype" w:hAnsi="Palatino Linotype" w:cs="Palatino Linotype"/>
          <w:b/>
          <w:i/>
          <w:sz w:val="22"/>
          <w:szCs w:val="22"/>
          <w:lang w:eastAsia="es-ES"/>
        </w:rPr>
      </w:pPr>
      <w:r w:rsidRPr="00F96018">
        <w:rPr>
          <w:rFonts w:ascii="Palatino Linotype" w:eastAsia="Palatino Linotype" w:hAnsi="Palatino Linotype" w:cs="Palatino Linotype"/>
          <w:b/>
          <w:i/>
          <w:sz w:val="22"/>
          <w:szCs w:val="22"/>
          <w:lang w:eastAsia="es-ES"/>
        </w:rPr>
        <w:t>“Criterio 01/2003.</w:t>
      </w:r>
    </w:p>
    <w:p w14:paraId="7753959F" w14:textId="77777777" w:rsidR="00456EFD" w:rsidRPr="00F96018" w:rsidRDefault="00456EFD" w:rsidP="00456EFD">
      <w:pPr>
        <w:ind w:left="851" w:right="851"/>
        <w:jc w:val="both"/>
        <w:rPr>
          <w:rFonts w:ascii="Palatino Linotype" w:eastAsia="Palatino Linotype" w:hAnsi="Palatino Linotype" w:cs="Palatino Linotype"/>
          <w:i/>
          <w:sz w:val="22"/>
          <w:szCs w:val="22"/>
          <w:lang w:eastAsia="es-ES"/>
        </w:rPr>
      </w:pPr>
      <w:r w:rsidRPr="00F96018">
        <w:rPr>
          <w:rFonts w:ascii="Palatino Linotype" w:eastAsia="Palatino Linotype" w:hAnsi="Palatino Linotype" w:cs="Palatino Linotype"/>
          <w:b/>
          <w:i/>
          <w:sz w:val="22"/>
          <w:szCs w:val="22"/>
          <w:lang w:eastAsia="es-ES"/>
        </w:rPr>
        <w:lastRenderedPageBreak/>
        <w:t>INGRESOS DE LOS SERVIDORES PÚBLICOS. CONSTITUYEN INFORMACIÓN PÚBLICA AÚN Y CUANDO SU DIFUSIÓN PUEDE AFECTAR LA VIDA O LA SEGURIDAD DE AQUELLOS.</w:t>
      </w:r>
      <w:r w:rsidRPr="00F96018">
        <w:rPr>
          <w:rFonts w:ascii="Palatino Linotype" w:eastAsia="Palatino Linotype" w:hAnsi="Palatino Linotype" w:cs="Palatino Linotype"/>
          <w:i/>
          <w:sz w:val="22"/>
          <w:szCs w:val="22"/>
          <w:lang w:eastAsia="es-ES"/>
        </w:rPr>
        <w:t xml:space="preserve"> </w:t>
      </w:r>
    </w:p>
    <w:p w14:paraId="5C9FE24E" w14:textId="77777777" w:rsidR="00456EFD" w:rsidRPr="00F96018" w:rsidRDefault="00456EFD" w:rsidP="00456EFD">
      <w:pPr>
        <w:ind w:left="851" w:right="851"/>
        <w:jc w:val="both"/>
        <w:rPr>
          <w:rFonts w:ascii="Palatino Linotype" w:eastAsia="Palatino Linotype" w:hAnsi="Palatino Linotype" w:cs="Palatino Linotype"/>
          <w:i/>
          <w:sz w:val="22"/>
          <w:szCs w:val="22"/>
          <w:u w:val="single"/>
          <w:lang w:eastAsia="es-ES"/>
        </w:rPr>
      </w:pPr>
      <w:r w:rsidRPr="00F96018">
        <w:rPr>
          <w:rFonts w:ascii="Palatino Linotype" w:eastAsia="Palatino Linotype" w:hAnsi="Palatino Linotype" w:cs="Palatino Linotype"/>
          <w:i/>
          <w:sz w:val="22"/>
          <w:szCs w:val="22"/>
          <w:lang w:eastAsia="es-E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96018">
        <w:rPr>
          <w:rFonts w:ascii="Palatino Linotype" w:eastAsia="Palatino Linotype" w:hAnsi="Palatino Linotype" w:cs="Palatino Linotype"/>
          <w:b/>
          <w:i/>
          <w:sz w:val="22"/>
          <w:szCs w:val="22"/>
          <w:u w:val="single"/>
          <w:lang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96018">
        <w:rPr>
          <w:rFonts w:ascii="Palatino Linotype" w:eastAsia="Palatino Linotype" w:hAnsi="Palatino Linotype" w:cs="Palatino Linotype"/>
          <w:i/>
          <w:sz w:val="22"/>
          <w:szCs w:val="22"/>
          <w:u w:val="single"/>
          <w:lang w:eastAsia="es-ES"/>
        </w:rPr>
        <w:t>…”</w:t>
      </w:r>
    </w:p>
    <w:p w14:paraId="7CB9B9C0" w14:textId="77777777" w:rsidR="00456EFD" w:rsidRPr="00F96018" w:rsidRDefault="00456EFD" w:rsidP="00456EFD">
      <w:pPr>
        <w:ind w:left="851" w:right="851"/>
        <w:jc w:val="both"/>
        <w:rPr>
          <w:rFonts w:ascii="Palatino Linotype" w:eastAsia="Palatino Linotype" w:hAnsi="Palatino Linotype" w:cs="Palatino Linotype"/>
          <w:i/>
          <w:sz w:val="22"/>
          <w:szCs w:val="22"/>
          <w:lang w:eastAsia="es-ES"/>
        </w:rPr>
      </w:pPr>
    </w:p>
    <w:p w14:paraId="7C17FEC5" w14:textId="77777777" w:rsidR="00456EFD" w:rsidRPr="00F96018" w:rsidRDefault="00456EFD" w:rsidP="00456EFD">
      <w:pPr>
        <w:ind w:left="851" w:right="851"/>
        <w:rPr>
          <w:rFonts w:ascii="Palatino Linotype" w:eastAsia="Palatino Linotype" w:hAnsi="Palatino Linotype" w:cs="Palatino Linotype"/>
          <w:b/>
          <w:i/>
          <w:sz w:val="22"/>
          <w:szCs w:val="22"/>
          <w:lang w:eastAsia="es-ES"/>
        </w:rPr>
      </w:pPr>
      <w:r w:rsidRPr="00F96018">
        <w:rPr>
          <w:rFonts w:ascii="Palatino Linotype" w:eastAsia="Palatino Linotype" w:hAnsi="Palatino Linotype" w:cs="Palatino Linotype"/>
          <w:b/>
          <w:i/>
          <w:sz w:val="22"/>
          <w:szCs w:val="22"/>
          <w:lang w:eastAsia="es-ES"/>
        </w:rPr>
        <w:t>“Criterio 02/2003.</w:t>
      </w:r>
    </w:p>
    <w:p w14:paraId="3F95CDDE" w14:textId="77777777" w:rsidR="00456EFD" w:rsidRPr="00F96018" w:rsidRDefault="00456EFD" w:rsidP="00456EFD">
      <w:pPr>
        <w:ind w:left="851" w:right="851"/>
        <w:jc w:val="both"/>
        <w:rPr>
          <w:rFonts w:ascii="Palatino Linotype" w:eastAsia="Palatino Linotype" w:hAnsi="Palatino Linotype" w:cs="Palatino Linotype"/>
          <w:i/>
          <w:sz w:val="22"/>
          <w:szCs w:val="22"/>
          <w:lang w:eastAsia="es-ES"/>
        </w:rPr>
      </w:pPr>
      <w:r w:rsidRPr="00F96018">
        <w:rPr>
          <w:rFonts w:ascii="Palatino Linotype" w:eastAsia="Palatino Linotype" w:hAnsi="Palatino Linotype" w:cs="Palatino Linotype"/>
          <w:b/>
          <w:i/>
          <w:sz w:val="22"/>
          <w:szCs w:val="22"/>
          <w:lang w:eastAsia="es-ES"/>
        </w:rPr>
        <w:t>INGRESOS DE LOS SERVIDORES PÚBLICOS, SON INFORMACIÓN PÚBLICA AÚN Y CUANDO CONSTITUYEN DATOS PERSONALES QUE SE REFIEREN AL PATRIMONIO DE AQUÉLLOS.</w:t>
      </w:r>
      <w:r w:rsidRPr="00F96018">
        <w:rPr>
          <w:rFonts w:ascii="Palatino Linotype" w:eastAsia="Palatino Linotype" w:hAnsi="Palatino Linotype" w:cs="Palatino Linotype"/>
          <w:i/>
          <w:sz w:val="22"/>
          <w:szCs w:val="22"/>
          <w:lang w:eastAsia="es-ES"/>
        </w:rPr>
        <w:t xml:space="preserve"> </w:t>
      </w:r>
    </w:p>
    <w:p w14:paraId="710792B0" w14:textId="77777777" w:rsidR="00456EFD" w:rsidRPr="00F96018" w:rsidRDefault="00456EFD" w:rsidP="00456EFD">
      <w:pPr>
        <w:ind w:left="851" w:right="851"/>
        <w:jc w:val="both"/>
        <w:rPr>
          <w:rFonts w:ascii="Palatino Linotype" w:eastAsia="Palatino Linotype" w:hAnsi="Palatino Linotype" w:cs="Palatino Linotype"/>
          <w:b/>
          <w:i/>
          <w:sz w:val="22"/>
          <w:szCs w:val="22"/>
          <w:lang w:eastAsia="es-ES"/>
        </w:rPr>
      </w:pPr>
      <w:r w:rsidRPr="00F96018">
        <w:rPr>
          <w:rFonts w:ascii="Palatino Linotype" w:eastAsia="Palatino Linotype" w:hAnsi="Palatino Linotype" w:cs="Palatino Linotype"/>
          <w:i/>
          <w:sz w:val="22"/>
          <w:szCs w:val="22"/>
          <w:lang w:eastAsia="es-ES"/>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96018">
        <w:rPr>
          <w:rFonts w:ascii="Palatino Linotype" w:eastAsia="Palatino Linotype" w:hAnsi="Palatino Linotype" w:cs="Palatino Linotype"/>
          <w:b/>
          <w:i/>
          <w:sz w:val="22"/>
          <w:szCs w:val="22"/>
          <w:u w:val="single"/>
          <w:lang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6018">
        <w:rPr>
          <w:rFonts w:ascii="Palatino Linotype" w:eastAsia="Palatino Linotype" w:hAnsi="Palatino Linotype" w:cs="Palatino Linotype"/>
          <w:i/>
          <w:sz w:val="22"/>
          <w:szCs w:val="22"/>
          <w:lang w:eastAsia="es-ES"/>
        </w:rPr>
        <w:t xml:space="preserve"> el sistema de compensación…” </w:t>
      </w:r>
      <w:r w:rsidRPr="00F96018">
        <w:rPr>
          <w:rFonts w:ascii="Palatino Linotype" w:eastAsia="Palatino Linotype" w:hAnsi="Palatino Linotype" w:cs="Palatino Linotype"/>
          <w:b/>
          <w:i/>
          <w:sz w:val="22"/>
          <w:szCs w:val="22"/>
          <w:lang w:eastAsia="es-ES"/>
        </w:rPr>
        <w:t>[Sic]</w:t>
      </w:r>
    </w:p>
    <w:p w14:paraId="4A93705C" w14:textId="77777777" w:rsidR="00456EFD" w:rsidRPr="00F96018" w:rsidRDefault="00456EFD" w:rsidP="00456EFD">
      <w:pPr>
        <w:spacing w:line="360" w:lineRule="auto"/>
        <w:jc w:val="both"/>
        <w:rPr>
          <w:rFonts w:ascii="Palatino Linotype" w:eastAsia="Palatino Linotype" w:hAnsi="Palatino Linotype" w:cs="Palatino Linotype"/>
          <w:lang w:eastAsia="es-ES"/>
        </w:rPr>
      </w:pPr>
    </w:p>
    <w:p w14:paraId="154A4E2B" w14:textId="77777777" w:rsidR="00456EFD" w:rsidRPr="00F96018" w:rsidRDefault="00456EFD" w:rsidP="00456EFD">
      <w:pPr>
        <w:spacing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b/>
        </w:rPr>
        <w:lastRenderedPageBreak/>
        <w:t xml:space="preserve">Quinto. Versión Pública. </w:t>
      </w:r>
      <w:r w:rsidRPr="00F96018">
        <w:rPr>
          <w:rFonts w:ascii="Palatino Linotype" w:eastAsia="Palatino Linotype" w:hAnsi="Palatino Linotype" w:cs="Palatino Linotype"/>
        </w:rPr>
        <w:t xml:space="preserve">Finalmente para la entrega de los soportes documentales que deberá proporcionar el </w:t>
      </w:r>
      <w:r w:rsidRPr="00F96018">
        <w:rPr>
          <w:rFonts w:ascii="Palatino Linotype" w:eastAsia="Palatino Linotype" w:hAnsi="Palatino Linotype" w:cs="Palatino Linotype"/>
          <w:b/>
        </w:rPr>
        <w:t>Sujeto Obligado</w:t>
      </w:r>
      <w:r w:rsidRPr="00F96018">
        <w:rPr>
          <w:rFonts w:ascii="Palatino Linotype" w:eastAsia="Palatino Linotype" w:hAnsi="Palatino Linotype" w:cs="Palatino Linotype"/>
        </w:rPr>
        <w:t xml:space="preserve">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F96018">
        <w:rPr>
          <w:rFonts w:ascii="Palatino Linotype" w:eastAsia="Palatino Linotype" w:hAnsi="Palatino Linotype" w:cs="Palatino Linotype"/>
          <w:b/>
        </w:rPr>
        <w:t>Sujeto Obligado</w:t>
      </w:r>
      <w:r w:rsidRPr="00F96018">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5EA58BCE" w14:textId="77777777" w:rsidR="00456EFD" w:rsidRPr="00F96018" w:rsidRDefault="00456EFD" w:rsidP="00456EFD">
      <w:pPr>
        <w:spacing w:before="240" w:after="240" w:line="360" w:lineRule="auto"/>
        <w:ind w:right="50"/>
        <w:jc w:val="both"/>
        <w:rPr>
          <w:rFonts w:ascii="Palatino Linotype" w:eastAsia="Palatino Linotype" w:hAnsi="Palatino Linotype" w:cs="Palatino Linotype"/>
        </w:rPr>
      </w:pPr>
      <w:r w:rsidRPr="00F96018">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0FF142EB"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w:t>
      </w:r>
      <w:r w:rsidRPr="00F96018">
        <w:rPr>
          <w:rFonts w:ascii="Palatino Linotype" w:eastAsia="Palatino Linotype" w:hAnsi="Palatino Linotype" w:cs="Palatino Linotype"/>
          <w:b/>
          <w:i/>
          <w:sz w:val="22"/>
          <w:szCs w:val="22"/>
        </w:rPr>
        <w:t>Artículo 3</w:t>
      </w:r>
      <w:r w:rsidRPr="00F96018">
        <w:rPr>
          <w:rFonts w:ascii="Palatino Linotype" w:eastAsia="Palatino Linotype" w:hAnsi="Palatino Linotype" w:cs="Palatino Linotype"/>
          <w:i/>
          <w:sz w:val="22"/>
          <w:szCs w:val="22"/>
        </w:rPr>
        <w:t>. Para los efectos de la presente Ley se entenderá por:</w:t>
      </w:r>
    </w:p>
    <w:p w14:paraId="35A0E61F"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w:t>
      </w:r>
    </w:p>
    <w:p w14:paraId="78A9084D"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IX. Datos personales:</w:t>
      </w:r>
      <w:r w:rsidRPr="00F96018">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7B07866"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XX. Información clasificada</w:t>
      </w:r>
      <w:r w:rsidRPr="00F96018">
        <w:rPr>
          <w:rFonts w:ascii="Palatino Linotype" w:eastAsia="Palatino Linotype" w:hAnsi="Palatino Linotype" w:cs="Palatino Linotype"/>
          <w:i/>
          <w:sz w:val="22"/>
          <w:szCs w:val="22"/>
        </w:rPr>
        <w:t>: Aquella considerada por la presente Ley como reservada o confidencial;</w:t>
      </w:r>
    </w:p>
    <w:p w14:paraId="18078F70"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XXI. Información confidencial:</w:t>
      </w:r>
      <w:r w:rsidRPr="00F96018">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5167FDF"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lastRenderedPageBreak/>
        <w:t>XLV. Versión pública:</w:t>
      </w:r>
      <w:r w:rsidRPr="00F96018">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7B347316"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w:t>
      </w:r>
    </w:p>
    <w:p w14:paraId="2630148C"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 xml:space="preserve">Artículo 91. </w:t>
      </w:r>
      <w:r w:rsidRPr="00F9601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D90F496"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 xml:space="preserve">Artículo 132. </w:t>
      </w:r>
      <w:r w:rsidRPr="00F96018">
        <w:rPr>
          <w:rFonts w:ascii="Palatino Linotype" w:eastAsia="Palatino Linotype" w:hAnsi="Palatino Linotype" w:cs="Palatino Linotype"/>
          <w:i/>
          <w:sz w:val="22"/>
          <w:szCs w:val="22"/>
        </w:rPr>
        <w:t>La clasificación de la información se llevará a cabo en el momento en que:</w:t>
      </w:r>
    </w:p>
    <w:p w14:paraId="5D03DB08"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I</w:t>
      </w:r>
      <w:r w:rsidRPr="00F96018">
        <w:rPr>
          <w:rFonts w:ascii="Palatino Linotype" w:eastAsia="Palatino Linotype" w:hAnsi="Palatino Linotype" w:cs="Palatino Linotype"/>
          <w:i/>
          <w:sz w:val="22"/>
          <w:szCs w:val="22"/>
        </w:rPr>
        <w:t>. Se reciba una solicitud de acceso a la información;</w:t>
      </w:r>
    </w:p>
    <w:p w14:paraId="77F6B91D"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II</w:t>
      </w:r>
      <w:r w:rsidRPr="00F96018">
        <w:rPr>
          <w:rFonts w:ascii="Palatino Linotype" w:eastAsia="Palatino Linotype" w:hAnsi="Palatino Linotype" w:cs="Palatino Linotype"/>
          <w:i/>
          <w:sz w:val="22"/>
          <w:szCs w:val="22"/>
        </w:rPr>
        <w:t>. Se determine mediante resolución de autoridad competente; o</w:t>
      </w:r>
    </w:p>
    <w:p w14:paraId="4F288D5D"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III</w:t>
      </w:r>
      <w:r w:rsidRPr="00F96018">
        <w:rPr>
          <w:rFonts w:ascii="Palatino Linotype" w:eastAsia="Palatino Linotype" w:hAnsi="Palatino Linotype" w:cs="Palatino Linotype"/>
          <w:i/>
          <w:sz w:val="22"/>
          <w:szCs w:val="22"/>
        </w:rPr>
        <w:t>. Se generen versiones públicas para dar cumplimiento a las obligaciones de transparencia previstas en esta Ley.</w:t>
      </w:r>
    </w:p>
    <w:p w14:paraId="61C3FE20"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w:t>
      </w:r>
    </w:p>
    <w:p w14:paraId="36F90D8F"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Artículo 143</w:t>
      </w:r>
      <w:r w:rsidRPr="00F9601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B89EB10"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I.</w:t>
      </w:r>
      <w:r w:rsidRPr="00F9601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50B7C8F"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II.</w:t>
      </w:r>
      <w:r w:rsidRPr="00F96018">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4B6592E"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III</w:t>
      </w:r>
      <w:r w:rsidRPr="00F96018">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428834BE"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E5C409A" w14:textId="77777777" w:rsidR="00456EFD" w:rsidRPr="00F96018" w:rsidRDefault="00456EFD" w:rsidP="00456EFD">
      <w:pPr>
        <w:spacing w:before="120" w:after="120"/>
        <w:ind w:left="567" w:right="902"/>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4273D25" w14:textId="77777777" w:rsidR="00456EFD" w:rsidRPr="00F96018" w:rsidRDefault="00456EFD" w:rsidP="00456EFD">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0618F2E" w14:textId="77777777" w:rsidR="00456EFD" w:rsidRPr="00F96018" w:rsidRDefault="00456EFD" w:rsidP="00456EFD">
      <w:pPr>
        <w:spacing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F96018">
        <w:rPr>
          <w:rFonts w:ascii="Palatino Linotype" w:eastAsia="Palatino Linotype" w:hAnsi="Palatino Linotype" w:cs="Palatino Linotype"/>
          <w:b/>
        </w:rPr>
        <w:t>Sujeto Obligado</w:t>
      </w:r>
      <w:r w:rsidRPr="00F96018">
        <w:rPr>
          <w:rFonts w:ascii="Palatino Linotype" w:eastAsia="Palatino Linotype" w:hAnsi="Palatino Linotype" w:cs="Palatino Linotype"/>
        </w:rPr>
        <w:t>, siendo estas las siguientes:</w:t>
      </w:r>
    </w:p>
    <w:p w14:paraId="19BEB047" w14:textId="77777777" w:rsidR="00456EFD" w:rsidRPr="00F96018" w:rsidRDefault="00456EFD" w:rsidP="00456EFD">
      <w:pPr>
        <w:spacing w:line="360" w:lineRule="auto"/>
        <w:jc w:val="both"/>
        <w:rPr>
          <w:rFonts w:ascii="Palatino Linotype" w:eastAsia="Palatino Linotype" w:hAnsi="Palatino Linotype" w:cs="Palatino Linotype"/>
        </w:rPr>
      </w:pPr>
    </w:p>
    <w:p w14:paraId="437D6218" w14:textId="77777777" w:rsidR="00456EFD" w:rsidRPr="00F96018" w:rsidRDefault="00456EFD" w:rsidP="00456EFD">
      <w:pPr>
        <w:spacing w:line="276" w:lineRule="auto"/>
        <w:ind w:left="567"/>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 xml:space="preserve">“CAPÍTULO VIII </w:t>
      </w:r>
    </w:p>
    <w:p w14:paraId="3C290571" w14:textId="77777777" w:rsidR="00456EFD" w:rsidRPr="00F96018" w:rsidRDefault="00456EFD" w:rsidP="00456EFD">
      <w:pPr>
        <w:spacing w:line="276" w:lineRule="auto"/>
        <w:ind w:left="567"/>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 xml:space="preserve">DE LOS ELEMENTOS PARA LA CLASIFICACIÓN </w:t>
      </w:r>
    </w:p>
    <w:p w14:paraId="0CC287E9" w14:textId="77777777" w:rsidR="00456EFD" w:rsidRPr="00F96018" w:rsidRDefault="00456EFD" w:rsidP="00456EFD">
      <w:pP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Quincuagésimo.</w:t>
      </w:r>
      <w:r w:rsidRPr="00F96018">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DE4B08A" w14:textId="77777777" w:rsidR="00456EFD" w:rsidRPr="00F96018" w:rsidRDefault="00456EFD" w:rsidP="00456EFD">
      <w:pP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Quincuagésimo primero.</w:t>
      </w:r>
      <w:r w:rsidRPr="00F96018">
        <w:rPr>
          <w:rFonts w:ascii="Palatino Linotype" w:eastAsia="Palatino Linotype" w:hAnsi="Palatino Linotype" w:cs="Palatino Linotype"/>
          <w:i/>
          <w:sz w:val="22"/>
          <w:szCs w:val="22"/>
        </w:rPr>
        <w:t xml:space="preserve"> Toda acta del Comité de Transparencia deberá contener: </w:t>
      </w:r>
    </w:p>
    <w:p w14:paraId="69556F21" w14:textId="77777777" w:rsidR="00456EFD" w:rsidRPr="00F96018" w:rsidRDefault="00456EFD" w:rsidP="00456EFD">
      <w:pPr>
        <w:numPr>
          <w:ilvl w:val="1"/>
          <w:numId w:val="45"/>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 xml:space="preserve">El número de sesión y fecha; </w:t>
      </w:r>
    </w:p>
    <w:p w14:paraId="0D952C65" w14:textId="77777777" w:rsidR="00456EFD" w:rsidRPr="00F96018" w:rsidRDefault="00456EFD" w:rsidP="00456EFD">
      <w:pPr>
        <w:numPr>
          <w:ilvl w:val="1"/>
          <w:numId w:val="4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 xml:space="preserve">El nombre del área que solicitó la clasificación de información; </w:t>
      </w:r>
    </w:p>
    <w:p w14:paraId="2ED4C548" w14:textId="77777777" w:rsidR="00456EFD" w:rsidRPr="00F96018" w:rsidRDefault="00456EFD" w:rsidP="00456EFD">
      <w:pPr>
        <w:numPr>
          <w:ilvl w:val="1"/>
          <w:numId w:val="4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lastRenderedPageBreak/>
        <w:t xml:space="preserve">La fundamentación legal y motivación correspondiente; </w:t>
      </w:r>
    </w:p>
    <w:p w14:paraId="33A1238A" w14:textId="77777777" w:rsidR="00456EFD" w:rsidRPr="00F96018" w:rsidRDefault="00456EFD" w:rsidP="00456EFD">
      <w:pPr>
        <w:numPr>
          <w:ilvl w:val="1"/>
          <w:numId w:val="4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 xml:space="preserve">La resolución o resoluciones aprobadas; y </w:t>
      </w:r>
    </w:p>
    <w:p w14:paraId="47DD2A71" w14:textId="77777777" w:rsidR="00456EFD" w:rsidRPr="00F96018" w:rsidRDefault="00456EFD" w:rsidP="00456EFD">
      <w:pPr>
        <w:numPr>
          <w:ilvl w:val="1"/>
          <w:numId w:val="4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 xml:space="preserve">La rúbrica o firma digital de cada integrante del Comité de Transparencia. </w:t>
      </w:r>
    </w:p>
    <w:p w14:paraId="0AB20B91"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B727D55"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I. Los motivos y razonamientos que sustenten la confirmación o modificación de la prueba de daño;</w:t>
      </w:r>
    </w:p>
    <w:p w14:paraId="223F26E8"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 xml:space="preserve">II. Descripción de las partes o secciones reservadas, en caso de clasificación parcial; </w:t>
      </w:r>
    </w:p>
    <w:p w14:paraId="6BC46407"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 xml:space="preserve">III. El periodo por el que mantendrá su clasificación y fecha de expiración; y </w:t>
      </w:r>
    </w:p>
    <w:p w14:paraId="683E40E6"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74CA82C"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2DC7A0D"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F96018">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F4304F0"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 xml:space="preserve">Quincuagésimo segundo. </w:t>
      </w:r>
      <w:r w:rsidRPr="00F96018">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9213837"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4A766554"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I. Fijar la fecha en que se elaboró la versión pública y la fecha en la cual el Comité de</w:t>
      </w:r>
    </w:p>
    <w:p w14:paraId="3B1A2F11"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Transparencia confirmó dicha versión;</w:t>
      </w:r>
    </w:p>
    <w:p w14:paraId="768C7A10"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6339E51"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t>III. Señalar las personas o instancias autorizadas a acceder a la información clasificada.</w:t>
      </w:r>
    </w:p>
    <w:p w14:paraId="054D4F7D"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i/>
          <w:sz w:val="22"/>
          <w:szCs w:val="22"/>
        </w:rPr>
        <w:lastRenderedPageBreak/>
        <w:t>En los documentos de difusión electrónica, señalar en la primera hoja y en el nombre del archivo, que la versión pública corresponde a un documento que contiene información confidencial.</w:t>
      </w:r>
      <w:r w:rsidRPr="00F96018">
        <w:rPr>
          <w:noProof/>
          <w:lang w:val="es-MX"/>
        </w:rPr>
        <w:drawing>
          <wp:anchor distT="0" distB="0" distL="114300" distR="114300" simplePos="0" relativeHeight="251661312" behindDoc="0" locked="0" layoutInCell="1" hidden="0" allowOverlap="1" wp14:anchorId="55264667" wp14:editId="3867B383">
            <wp:simplePos x="0" y="0"/>
            <wp:positionH relativeFrom="column">
              <wp:posOffset>377190</wp:posOffset>
            </wp:positionH>
            <wp:positionV relativeFrom="paragraph">
              <wp:posOffset>798830</wp:posOffset>
            </wp:positionV>
            <wp:extent cx="4568190" cy="330200"/>
            <wp:effectExtent l="0" t="0" r="0" b="0"/>
            <wp:wrapTopAndBottom distT="0" distB="0"/>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568190" cy="330200"/>
                    </a:xfrm>
                    <a:prstGeom prst="rect">
                      <a:avLst/>
                    </a:prstGeom>
                    <a:ln/>
                  </pic:spPr>
                </pic:pic>
              </a:graphicData>
            </a:graphic>
          </wp:anchor>
        </w:drawing>
      </w:r>
    </w:p>
    <w:p w14:paraId="01EF1B85"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F96018">
        <w:rPr>
          <w:rFonts w:ascii="Palatino Linotype" w:eastAsia="Palatino Linotype" w:hAnsi="Palatino Linotype" w:cs="Palatino Linotype"/>
          <w:b/>
          <w:i/>
          <w:noProof/>
          <w:sz w:val="22"/>
          <w:szCs w:val="22"/>
          <w:lang w:val="es-MX"/>
        </w:rPr>
        <w:drawing>
          <wp:inline distT="0" distB="0" distL="0" distR="0" wp14:anchorId="7D5E771C" wp14:editId="2C0C7B2A">
            <wp:extent cx="4576404" cy="5139653"/>
            <wp:effectExtent l="0" t="0" r="0" b="0"/>
            <wp:docPr id="7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3"/>
                    <a:srcRect/>
                    <a:stretch>
                      <a:fillRect/>
                    </a:stretch>
                  </pic:blipFill>
                  <pic:spPr>
                    <a:xfrm>
                      <a:off x="0" y="0"/>
                      <a:ext cx="4576404" cy="5139653"/>
                    </a:xfrm>
                    <a:prstGeom prst="rect">
                      <a:avLst/>
                    </a:prstGeom>
                    <a:ln/>
                  </pic:spPr>
                </pic:pic>
              </a:graphicData>
            </a:graphic>
          </wp:inline>
        </w:drawing>
      </w:r>
    </w:p>
    <w:p w14:paraId="4CFF7E21"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00969668"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 xml:space="preserve">Quincuagésimo cuarto. </w:t>
      </w:r>
      <w:r w:rsidRPr="00F96018">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C14B2CE"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311C43F5" w14:textId="77777777" w:rsidR="00456EFD" w:rsidRPr="00F96018" w:rsidRDefault="00456EFD" w:rsidP="00456EFD">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96018">
        <w:rPr>
          <w:rFonts w:ascii="Palatino Linotype" w:eastAsia="Palatino Linotype" w:hAnsi="Palatino Linotype" w:cs="Palatino Linotype"/>
          <w:b/>
          <w:i/>
          <w:sz w:val="22"/>
          <w:szCs w:val="22"/>
        </w:rPr>
        <w:t xml:space="preserve">Quincuagésimo quinto. </w:t>
      </w:r>
      <w:r w:rsidRPr="00F96018">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F96018">
        <w:rPr>
          <w:rFonts w:ascii="Palatino Linotype" w:eastAsia="Palatino Linotype" w:hAnsi="Palatino Linotype" w:cs="Palatino Linotype"/>
          <w:i/>
          <w:sz w:val="22"/>
          <w:szCs w:val="22"/>
        </w:rPr>
        <w:t>testado</w:t>
      </w:r>
      <w:proofErr w:type="spellEnd"/>
      <w:r w:rsidRPr="00F96018">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14:paraId="2467D90C" w14:textId="77777777" w:rsidR="00D25914" w:rsidRPr="00F96018" w:rsidRDefault="00D25914" w:rsidP="00D25914">
      <w:pPr>
        <w:pStyle w:val="NormalWeb"/>
        <w:spacing w:before="240" w:beforeAutospacing="0" w:after="240" w:afterAutospacing="0" w:line="360" w:lineRule="auto"/>
        <w:ind w:right="50"/>
        <w:jc w:val="both"/>
      </w:pPr>
      <w:r w:rsidRPr="00F96018">
        <w:rPr>
          <w:rFonts w:ascii="Palatino Linotype" w:eastAsia="Palatino Linotype" w:hAnsi="Palatino Linotype" w:cs="Palatino Linotype"/>
        </w:rPr>
        <w:t xml:space="preserve">Finalmente, para el caso en el que la documentación a entregar contenga </w:t>
      </w:r>
      <w:r w:rsidRPr="00F96018">
        <w:rPr>
          <w:rFonts w:ascii="Palatino Linotype" w:hAnsi="Palatino Linotype"/>
        </w:rPr>
        <w:t xml:space="preserve">el número de cuenta bancaria, este </w:t>
      </w:r>
      <w:proofErr w:type="gramStart"/>
      <w:r w:rsidRPr="00F96018">
        <w:rPr>
          <w:rFonts w:ascii="Palatino Linotype" w:hAnsi="Palatino Linotype"/>
        </w:rPr>
        <w:t>deberá  ser</w:t>
      </w:r>
      <w:proofErr w:type="gramEnd"/>
      <w:r w:rsidRPr="00F96018">
        <w:rPr>
          <w:rFonts w:ascii="Palatino Linotype" w:hAnsi="Palatino Linotype"/>
        </w:rPr>
        <w:t xml:space="preserve"> clasificado como confidencial con fundamento en las fracciones I y II del artículo 143 de la Ley de la Materia de la Entidad; en razón de que, con su difusión se estaría poniendo en riesgo la seguridad de su titular.</w:t>
      </w:r>
    </w:p>
    <w:p w14:paraId="3EFE64AF" w14:textId="77777777" w:rsidR="00D25914" w:rsidRPr="00F96018" w:rsidRDefault="00D25914" w:rsidP="00D25914">
      <w:pPr>
        <w:pStyle w:val="NormalWeb"/>
        <w:spacing w:before="240" w:beforeAutospacing="0" w:after="240" w:afterAutospacing="0" w:line="360" w:lineRule="auto"/>
        <w:ind w:right="50"/>
        <w:jc w:val="both"/>
      </w:pPr>
      <w:r w:rsidRPr="00F96018">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w:t>
      </w:r>
      <w:r w:rsidRPr="00F96018">
        <w:rPr>
          <w:rFonts w:ascii="Palatino Linotype" w:hAnsi="Palatino Linotype"/>
        </w:rPr>
        <w:lastRenderedPageBreak/>
        <w:t>público, toda vez que se podría dar un uso inadecuado a la misma o cometer algún ilícito o fraude en contra del patrimonio de los particulares. </w:t>
      </w:r>
    </w:p>
    <w:p w14:paraId="40695C10" w14:textId="77777777" w:rsidR="00D25914" w:rsidRPr="00F96018" w:rsidRDefault="00D25914" w:rsidP="00D25914">
      <w:pPr>
        <w:pStyle w:val="NormalWeb"/>
        <w:spacing w:before="240" w:beforeAutospacing="0" w:after="240" w:afterAutospacing="0" w:line="360" w:lineRule="auto"/>
        <w:ind w:right="50"/>
        <w:jc w:val="both"/>
      </w:pPr>
      <w:r w:rsidRPr="00F96018">
        <w:rPr>
          <w:rFonts w:ascii="Palatino Linotype" w:hAnsi="Palatino Linotype"/>
        </w:rPr>
        <w:t>En esa virtud, este Pleno determina que dicha información no puede ser del dominio público, toda vez que se podría dar un uso inadecuado a la misma o cometer algún ilícito o fraude como ya ha sido expuesto. </w:t>
      </w:r>
    </w:p>
    <w:p w14:paraId="24FDA2BD" w14:textId="77777777" w:rsidR="00D25914" w:rsidRPr="00F96018" w:rsidRDefault="00D25914" w:rsidP="00D25914">
      <w:pPr>
        <w:pStyle w:val="NormalWeb"/>
        <w:spacing w:before="240" w:beforeAutospacing="0" w:after="240" w:afterAutospacing="0" w:line="360" w:lineRule="auto"/>
        <w:ind w:right="50"/>
        <w:jc w:val="both"/>
      </w:pPr>
      <w:r w:rsidRPr="00F96018">
        <w:rPr>
          <w:rFonts w:ascii="Palatino Linotype" w:hAnsi="Palatino Linotype"/>
        </w:rPr>
        <w:t>Es por esta razón que se debe omitir el o los números de cuentas bancarias de particulares en las versiones públicas que de las facturas se hagan, para ser entregadas.</w:t>
      </w:r>
    </w:p>
    <w:p w14:paraId="3158E6BB" w14:textId="77777777" w:rsidR="00D25914" w:rsidRPr="00F96018" w:rsidRDefault="00D25914" w:rsidP="00D25914">
      <w:pPr>
        <w:pStyle w:val="NormalWeb"/>
        <w:spacing w:before="240" w:beforeAutospacing="0" w:after="240" w:afterAutospacing="0" w:line="360" w:lineRule="auto"/>
        <w:ind w:right="50"/>
        <w:jc w:val="both"/>
      </w:pPr>
      <w:r w:rsidRPr="00F96018">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3A986502" w14:textId="77777777" w:rsidR="00D25914" w:rsidRPr="00F96018" w:rsidRDefault="00D25914" w:rsidP="00D25914">
      <w:pPr>
        <w:pStyle w:val="NormalWeb"/>
        <w:spacing w:before="240" w:beforeAutospacing="0" w:after="240" w:afterAutospacing="0" w:line="360" w:lineRule="auto"/>
        <w:ind w:right="50"/>
        <w:jc w:val="both"/>
      </w:pPr>
      <w:r w:rsidRPr="00F96018">
        <w:rPr>
          <w:rFonts w:ascii="Palatino Linotype" w:hAnsi="Palatino Linotype"/>
        </w:rPr>
        <w:t>Lo argumentado encuentra sustento en los criterios 10/17 y 11/17 emitidos por el Instituto Nacional de Transparencia, Acceso a la Información y Protección de Datos Personales, INAI, que llevan por rubro y texto los siguientes:</w:t>
      </w:r>
    </w:p>
    <w:p w14:paraId="0367C5BD" w14:textId="77777777" w:rsidR="00D25914" w:rsidRPr="00F96018" w:rsidRDefault="00D25914" w:rsidP="00D25914">
      <w:pPr>
        <w:pStyle w:val="NormalWeb"/>
        <w:spacing w:before="240" w:beforeAutospacing="0" w:after="240" w:afterAutospacing="0"/>
        <w:ind w:left="851" w:right="900"/>
        <w:jc w:val="both"/>
      </w:pPr>
      <w:r w:rsidRPr="00F96018">
        <w:rPr>
          <w:rFonts w:ascii="Palatino Linotype" w:hAnsi="Palatino Linotype"/>
          <w:b/>
          <w:bCs/>
          <w:i/>
          <w:iCs/>
          <w:sz w:val="22"/>
          <w:szCs w:val="22"/>
        </w:rPr>
        <w:t>“Cuentas bancarias y/o CLABE interbancaria de personas físicas y morales privadas.</w:t>
      </w:r>
      <w:r w:rsidRPr="00F96018">
        <w:rPr>
          <w:rFonts w:ascii="Palatino Linotype" w:hAnsi="Palatino Linotype"/>
          <w:i/>
          <w:iCs/>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F198621" w14:textId="77777777" w:rsidR="00D25914" w:rsidRPr="00F96018" w:rsidRDefault="00D25914" w:rsidP="00D25914">
      <w:pPr>
        <w:pStyle w:val="NormalWeb"/>
        <w:spacing w:before="240" w:beforeAutospacing="0" w:after="240" w:afterAutospacing="0"/>
        <w:ind w:left="851" w:right="900"/>
        <w:jc w:val="both"/>
      </w:pPr>
      <w:r w:rsidRPr="00F96018">
        <w:rPr>
          <w:rFonts w:ascii="Palatino Linotype" w:hAnsi="Palatino Linotype"/>
          <w:b/>
          <w:bCs/>
          <w:i/>
          <w:iCs/>
          <w:sz w:val="22"/>
          <w:szCs w:val="22"/>
        </w:rPr>
        <w:lastRenderedPageBreak/>
        <w:t>Cuentas bancarias y/o CLABE interbancaria de sujetos obligados que reciben y/o transfieren recursos públicos, son información pública</w:t>
      </w:r>
      <w:r w:rsidRPr="00F96018">
        <w:rPr>
          <w:rFonts w:ascii="Palatino Linotype" w:hAnsi="Palatino Linotype"/>
          <w:i/>
          <w:iCs/>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13B68BE" w14:textId="77777777" w:rsidR="00BC151F" w:rsidRPr="00F96018" w:rsidRDefault="00456EFD" w:rsidP="00456EFD">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F96018">
        <w:rPr>
          <w:rFonts w:ascii="Palatino Linotype" w:eastAsia="Palatino Linotype" w:hAnsi="Palatino Linotype" w:cs="Palatino Linotype"/>
          <w:b/>
        </w:rPr>
        <w:t>Sujeto Obligado</w:t>
      </w:r>
      <w:r w:rsidRPr="00F96018">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sidR="00945E14" w:rsidRPr="00F96018">
        <w:rPr>
          <w:rFonts w:ascii="Palatino Linotype" w:eastAsia="Palatino Linotype" w:hAnsi="Palatino Linotype" w:cs="Palatino Linotype"/>
        </w:rPr>
        <w:t xml:space="preserve">. </w:t>
      </w:r>
      <w:r w:rsidR="00D974B6" w:rsidRPr="00F96018">
        <w:rPr>
          <w:rFonts w:ascii="Palatino Linotype" w:eastAsia="Palatino Linotype" w:hAnsi="Palatino Linotype" w:cs="Palatino Linotype"/>
        </w:rPr>
        <w:t>Es por todo lo expuesto que</w:t>
      </w:r>
      <w:r w:rsidR="006E23CF" w:rsidRPr="00F96018">
        <w:rPr>
          <w:rFonts w:ascii="Palatino Linotype" w:eastAsia="Palatino Linotype" w:hAnsi="Palatino Linotype" w:cs="Palatino Linotype"/>
        </w:rPr>
        <w:t xml:space="preserve"> resulta procedente revo</w:t>
      </w:r>
      <w:r w:rsidR="00BC151F" w:rsidRPr="00F96018">
        <w:rPr>
          <w:rFonts w:ascii="Palatino Linotype" w:eastAsia="Palatino Linotype" w:hAnsi="Palatino Linotype" w:cs="Palatino Linotype"/>
        </w:rPr>
        <w:t xml:space="preserve">car la respuesta en términos de la fracción III del artículo 186 de la Ley de Transparencia y Acceso a la Información Pública del Estado de México y Municipios, a efectos de que el </w:t>
      </w:r>
      <w:r w:rsidR="00BC151F" w:rsidRPr="00F96018">
        <w:rPr>
          <w:rFonts w:ascii="Palatino Linotype" w:eastAsia="Palatino Linotype" w:hAnsi="Palatino Linotype" w:cs="Palatino Linotype"/>
          <w:b/>
        </w:rPr>
        <w:t xml:space="preserve">Sujeto Obligado </w:t>
      </w:r>
      <w:r w:rsidR="00BC151F" w:rsidRPr="00F96018">
        <w:rPr>
          <w:rFonts w:ascii="Palatino Linotype" w:eastAsia="Palatino Linotype" w:hAnsi="Palatino Linotype" w:cs="Palatino Linotype"/>
        </w:rPr>
        <w:t>entregue la información requerida.</w:t>
      </w:r>
    </w:p>
    <w:p w14:paraId="6F2E292C" w14:textId="77777777" w:rsidR="00873071" w:rsidRPr="00F96018" w:rsidRDefault="00BC151F" w:rsidP="00BC151F">
      <w:pPr>
        <w:spacing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14:paraId="58EE6941" w14:textId="77777777" w:rsidR="00BC151F" w:rsidRPr="00F96018" w:rsidRDefault="00BC151F" w:rsidP="00BC151F">
      <w:pPr>
        <w:numPr>
          <w:ilvl w:val="0"/>
          <w:numId w:val="24"/>
        </w:numPr>
        <w:spacing w:after="240" w:line="360" w:lineRule="auto"/>
        <w:ind w:left="2552" w:hanging="142"/>
        <w:jc w:val="both"/>
        <w:rPr>
          <w:rFonts w:ascii="Palatino Linotype" w:eastAsia="Palatino Linotype" w:hAnsi="Palatino Linotype" w:cs="Palatino Linotype"/>
          <w:b/>
        </w:rPr>
      </w:pPr>
      <w:r w:rsidRPr="00F96018">
        <w:rPr>
          <w:rFonts w:ascii="Palatino Linotype" w:eastAsia="Palatino Linotype" w:hAnsi="Palatino Linotype" w:cs="Palatino Linotype"/>
          <w:b/>
        </w:rPr>
        <w:lastRenderedPageBreak/>
        <w:t>R E S U E L V E:</w:t>
      </w:r>
    </w:p>
    <w:p w14:paraId="4D48CE96" w14:textId="77777777" w:rsidR="00BC151F" w:rsidRPr="00F96018" w:rsidRDefault="00BC151F" w:rsidP="00BC151F">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b/>
        </w:rPr>
        <w:t xml:space="preserve">Primero. </w:t>
      </w:r>
      <w:r w:rsidRPr="00F96018">
        <w:rPr>
          <w:rFonts w:ascii="Palatino Linotype" w:eastAsia="Palatino Linotype" w:hAnsi="Palatino Linotype" w:cs="Palatino Linotype"/>
        </w:rPr>
        <w:t xml:space="preserve">Resultan </w:t>
      </w:r>
      <w:r w:rsidRPr="00F96018">
        <w:rPr>
          <w:rFonts w:ascii="Palatino Linotype" w:eastAsia="Palatino Linotype" w:hAnsi="Palatino Linotype" w:cs="Palatino Linotype"/>
          <w:b/>
        </w:rPr>
        <w:t>fundadas</w:t>
      </w:r>
      <w:r w:rsidRPr="00F96018">
        <w:rPr>
          <w:rFonts w:ascii="Palatino Linotype" w:eastAsia="Palatino Linotype" w:hAnsi="Palatino Linotype" w:cs="Palatino Linotype"/>
        </w:rPr>
        <w:t xml:space="preserve"> las razones o motivos de inconformidad hechos valer por </w:t>
      </w:r>
      <w:r w:rsidR="00AC6C09" w:rsidRPr="00F96018">
        <w:rPr>
          <w:rFonts w:ascii="Palatino Linotype" w:eastAsia="Palatino Linotype" w:hAnsi="Palatino Linotype" w:cs="Palatino Linotype"/>
          <w:b/>
        </w:rPr>
        <w:t>la parte</w:t>
      </w:r>
      <w:r w:rsidRPr="00F96018">
        <w:rPr>
          <w:rFonts w:ascii="Palatino Linotype" w:eastAsia="Palatino Linotype" w:hAnsi="Palatino Linotype" w:cs="Palatino Linotype"/>
          <w:b/>
        </w:rPr>
        <w:t xml:space="preserve"> Recurrente</w:t>
      </w:r>
      <w:r w:rsidRPr="00F96018">
        <w:rPr>
          <w:rFonts w:ascii="Palatino Linotype" w:eastAsia="Palatino Linotype" w:hAnsi="Palatino Linotype" w:cs="Palatino Linotype"/>
        </w:rPr>
        <w:t xml:space="preserve"> en el recurso de revisión </w:t>
      </w:r>
      <w:r w:rsidR="00456EFD" w:rsidRPr="00F96018">
        <w:rPr>
          <w:rFonts w:ascii="Palatino Linotype" w:eastAsia="Palatino Linotype" w:hAnsi="Palatino Linotype" w:cs="Palatino Linotype"/>
          <w:b/>
        </w:rPr>
        <w:t>03394/INFOEM/IP/RR/2023</w:t>
      </w:r>
      <w:r w:rsidRPr="00F96018">
        <w:rPr>
          <w:rFonts w:ascii="Palatino Linotype" w:eastAsia="Palatino Linotype" w:hAnsi="Palatino Linotype" w:cs="Palatino Linotype"/>
        </w:rPr>
        <w:t xml:space="preserve">; por lo que, en términos del </w:t>
      </w:r>
      <w:r w:rsidRPr="00F96018">
        <w:rPr>
          <w:rFonts w:ascii="Palatino Linotype" w:eastAsia="Palatino Linotype" w:hAnsi="Palatino Linotype" w:cs="Palatino Linotype"/>
          <w:b/>
        </w:rPr>
        <w:t>Considerando</w:t>
      </w:r>
      <w:r w:rsidRPr="00F96018">
        <w:rPr>
          <w:rFonts w:ascii="Palatino Linotype" w:eastAsia="Palatino Linotype" w:hAnsi="Palatino Linotype" w:cs="Palatino Linotype"/>
        </w:rPr>
        <w:t xml:space="preserve"> </w:t>
      </w:r>
      <w:r w:rsidRPr="00F96018">
        <w:rPr>
          <w:rFonts w:ascii="Palatino Linotype" w:eastAsia="Palatino Linotype" w:hAnsi="Palatino Linotype" w:cs="Palatino Linotype"/>
          <w:b/>
        </w:rPr>
        <w:t xml:space="preserve">Cuarto </w:t>
      </w:r>
      <w:r w:rsidRPr="00F96018">
        <w:rPr>
          <w:rFonts w:ascii="Palatino Linotype" w:eastAsia="Palatino Linotype" w:hAnsi="Palatino Linotype" w:cs="Palatino Linotype"/>
        </w:rPr>
        <w:t>de esta resolución, s</w:t>
      </w:r>
      <w:r w:rsidR="00926E1E" w:rsidRPr="00F96018">
        <w:rPr>
          <w:rFonts w:ascii="Palatino Linotype" w:eastAsia="Palatino Linotype" w:hAnsi="Palatino Linotype" w:cs="Palatino Linotype"/>
        </w:rPr>
        <w:t xml:space="preserve">e </w:t>
      </w:r>
      <w:r w:rsidR="00926E1E" w:rsidRPr="00F96018">
        <w:rPr>
          <w:rFonts w:ascii="Palatino Linotype" w:eastAsia="Palatino Linotype" w:hAnsi="Palatino Linotype" w:cs="Palatino Linotype"/>
          <w:b/>
        </w:rPr>
        <w:t>REVO</w:t>
      </w:r>
      <w:r w:rsidRPr="00F96018">
        <w:rPr>
          <w:rFonts w:ascii="Palatino Linotype" w:eastAsia="Palatino Linotype" w:hAnsi="Palatino Linotype" w:cs="Palatino Linotype"/>
          <w:b/>
        </w:rPr>
        <w:t xml:space="preserve">CA </w:t>
      </w:r>
      <w:r w:rsidRPr="00F96018">
        <w:rPr>
          <w:rFonts w:ascii="Palatino Linotype" w:eastAsia="Palatino Linotype" w:hAnsi="Palatino Linotype" w:cs="Palatino Linotype"/>
        </w:rPr>
        <w:t xml:space="preserve">la respuesta emitida por el </w:t>
      </w:r>
      <w:r w:rsidRPr="00F96018">
        <w:rPr>
          <w:rFonts w:ascii="Palatino Linotype" w:eastAsia="Palatino Linotype" w:hAnsi="Palatino Linotype" w:cs="Palatino Linotype"/>
          <w:b/>
        </w:rPr>
        <w:t xml:space="preserve">Sujeto Obligado. </w:t>
      </w:r>
    </w:p>
    <w:p w14:paraId="7D2A2083" w14:textId="77777777" w:rsidR="00BC151F" w:rsidRPr="00F96018" w:rsidRDefault="00BC151F" w:rsidP="00BC151F">
      <w:pPr>
        <w:spacing w:before="240" w:after="240" w:line="360" w:lineRule="auto"/>
        <w:ind w:right="49"/>
        <w:jc w:val="both"/>
        <w:rPr>
          <w:rFonts w:ascii="Palatino Linotype" w:eastAsia="Palatino Linotype" w:hAnsi="Palatino Linotype" w:cs="Palatino Linotype"/>
          <w:b/>
        </w:rPr>
      </w:pPr>
      <w:bookmarkStart w:id="5" w:name="_heading=h.1fob9te" w:colFirst="0" w:colLast="0"/>
      <w:bookmarkEnd w:id="5"/>
      <w:r w:rsidRPr="00F96018">
        <w:rPr>
          <w:rFonts w:ascii="Palatino Linotype" w:eastAsia="Palatino Linotype" w:hAnsi="Palatino Linotype" w:cs="Palatino Linotype"/>
          <w:b/>
        </w:rPr>
        <w:t xml:space="preserve">Segundo. </w:t>
      </w:r>
      <w:r w:rsidRPr="00F96018">
        <w:rPr>
          <w:rFonts w:ascii="Palatino Linotype" w:eastAsia="Palatino Linotype" w:hAnsi="Palatino Linotype" w:cs="Palatino Linotype"/>
        </w:rPr>
        <w:t xml:space="preserve">Se </w:t>
      </w:r>
      <w:r w:rsidRPr="00F96018">
        <w:rPr>
          <w:rFonts w:ascii="Palatino Linotype" w:eastAsia="Palatino Linotype" w:hAnsi="Palatino Linotype" w:cs="Palatino Linotype"/>
          <w:b/>
        </w:rPr>
        <w:t xml:space="preserve">Ordena </w:t>
      </w:r>
      <w:r w:rsidRPr="00F96018">
        <w:rPr>
          <w:rFonts w:ascii="Palatino Linotype" w:eastAsia="Palatino Linotype" w:hAnsi="Palatino Linotype" w:cs="Palatino Linotype"/>
        </w:rPr>
        <w:t xml:space="preserve">al </w:t>
      </w:r>
      <w:r w:rsidRPr="00F96018">
        <w:rPr>
          <w:rFonts w:ascii="Palatino Linotype" w:eastAsia="Palatino Linotype" w:hAnsi="Palatino Linotype" w:cs="Palatino Linotype"/>
          <w:b/>
        </w:rPr>
        <w:t>Sujeto Obligado</w:t>
      </w:r>
      <w:r w:rsidR="00926E1E" w:rsidRPr="00F96018">
        <w:rPr>
          <w:rFonts w:ascii="Palatino Linotype" w:eastAsia="Palatino Linotype" w:hAnsi="Palatino Linotype" w:cs="Palatino Linotype"/>
        </w:rPr>
        <w:t xml:space="preserve"> haga entrega a</w:t>
      </w:r>
      <w:r w:rsidR="00AC6C09" w:rsidRPr="00F96018">
        <w:rPr>
          <w:rFonts w:ascii="Palatino Linotype" w:eastAsia="Palatino Linotype" w:hAnsi="Palatino Linotype" w:cs="Palatino Linotype"/>
          <w:b/>
        </w:rPr>
        <w:t xml:space="preserve"> la parte</w:t>
      </w:r>
      <w:r w:rsidRPr="00F96018">
        <w:rPr>
          <w:rFonts w:ascii="Palatino Linotype" w:eastAsia="Palatino Linotype" w:hAnsi="Palatino Linotype" w:cs="Palatino Linotype"/>
          <w:b/>
        </w:rPr>
        <w:t xml:space="preserve"> Recurrente, previa,</w:t>
      </w:r>
      <w:r w:rsidRPr="00F96018">
        <w:rPr>
          <w:rFonts w:ascii="Palatino Linotype" w:eastAsia="Palatino Linotype" w:hAnsi="Palatino Linotype" w:cs="Palatino Linotype"/>
        </w:rPr>
        <w:t xml:space="preserve"> vía SAIMEX</w:t>
      </w:r>
      <w:r w:rsidRPr="00F96018">
        <w:rPr>
          <w:rFonts w:ascii="Palatino Linotype" w:eastAsia="Palatino Linotype" w:hAnsi="Palatino Linotype" w:cs="Palatino Linotype"/>
          <w:b/>
        </w:rPr>
        <w:t>, en versión pública de ser procedente</w:t>
      </w:r>
      <w:r w:rsidRPr="00F96018">
        <w:rPr>
          <w:rFonts w:ascii="Palatino Linotype" w:eastAsia="Palatino Linotype" w:hAnsi="Palatino Linotype" w:cs="Palatino Linotype"/>
        </w:rPr>
        <w:t xml:space="preserve">, en términos de los </w:t>
      </w:r>
      <w:r w:rsidRPr="00F96018">
        <w:rPr>
          <w:rFonts w:ascii="Palatino Linotype" w:eastAsia="Palatino Linotype" w:hAnsi="Palatino Linotype" w:cs="Palatino Linotype"/>
          <w:b/>
        </w:rPr>
        <w:t>Considerandos</w:t>
      </w:r>
      <w:r w:rsidRPr="00F96018">
        <w:rPr>
          <w:rFonts w:ascii="Palatino Linotype" w:eastAsia="Palatino Linotype" w:hAnsi="Palatino Linotype" w:cs="Palatino Linotype"/>
        </w:rPr>
        <w:t xml:space="preserve"> </w:t>
      </w:r>
      <w:r w:rsidRPr="00F96018">
        <w:rPr>
          <w:rFonts w:ascii="Palatino Linotype" w:eastAsia="Palatino Linotype" w:hAnsi="Palatino Linotype" w:cs="Palatino Linotype"/>
          <w:b/>
        </w:rPr>
        <w:t xml:space="preserve">Cuarto y Quinto de la presente resolución, lo siguiente: </w:t>
      </w:r>
    </w:p>
    <w:p w14:paraId="542E417E" w14:textId="77777777" w:rsidR="00456EFD" w:rsidRPr="00F96018" w:rsidRDefault="00456EFD" w:rsidP="00A40F24">
      <w:pPr>
        <w:tabs>
          <w:tab w:val="left" w:pos="7655"/>
        </w:tabs>
        <w:spacing w:after="120"/>
        <w:ind w:left="567" w:right="900"/>
        <w:jc w:val="both"/>
        <w:rPr>
          <w:rFonts w:ascii="Palatino Linotype" w:hAnsi="Palatino Linotype" w:cs="Arial"/>
          <w:b/>
          <w:i/>
          <w:sz w:val="22"/>
          <w:szCs w:val="20"/>
          <w:lang w:eastAsia="en-US"/>
        </w:rPr>
      </w:pPr>
      <w:r w:rsidRPr="00F96018">
        <w:rPr>
          <w:rFonts w:ascii="Palatino Linotype" w:hAnsi="Palatino Linotype" w:cs="Arial"/>
          <w:b/>
          <w:i/>
          <w:sz w:val="22"/>
          <w:szCs w:val="20"/>
          <w:lang w:eastAsia="en-US"/>
        </w:rPr>
        <w:t>Comprobante bancario de la dispersión de nómina de la primera quincena de mayo de 2023.</w:t>
      </w:r>
    </w:p>
    <w:p w14:paraId="0D935B03" w14:textId="77777777" w:rsidR="00A40F24" w:rsidRPr="00F96018" w:rsidRDefault="00BC151F" w:rsidP="00A40F24">
      <w:pPr>
        <w:tabs>
          <w:tab w:val="left" w:pos="7655"/>
        </w:tabs>
        <w:spacing w:after="120"/>
        <w:ind w:left="567" w:right="900"/>
        <w:jc w:val="both"/>
        <w:rPr>
          <w:rFonts w:ascii="Palatino Linotype" w:hAnsi="Palatino Linotype" w:cs="Arial"/>
          <w:i/>
          <w:sz w:val="22"/>
          <w:szCs w:val="20"/>
          <w:lang w:eastAsia="en-US"/>
        </w:rPr>
      </w:pPr>
      <w:r w:rsidRPr="00F96018">
        <w:rPr>
          <w:rFonts w:ascii="Palatino Linotype" w:hAnsi="Palatino Linotype" w:cs="Arial"/>
          <w:i/>
          <w:sz w:val="22"/>
          <w:szCs w:val="20"/>
          <w:lang w:eastAsia="en-US"/>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F96018">
        <w:rPr>
          <w:rFonts w:ascii="Palatino Linotype" w:hAnsi="Palatino Linotype" w:cs="Arial"/>
          <w:b/>
          <w:i/>
          <w:sz w:val="22"/>
          <w:szCs w:val="20"/>
          <w:lang w:eastAsia="en-US"/>
        </w:rPr>
        <w:t>Recurrente</w:t>
      </w:r>
      <w:r w:rsidRPr="00F96018">
        <w:rPr>
          <w:rFonts w:ascii="Palatino Linotype" w:hAnsi="Palatino Linotype" w:cs="Arial"/>
          <w:i/>
          <w:sz w:val="22"/>
          <w:szCs w:val="20"/>
          <w:lang w:eastAsia="en-US"/>
        </w:rPr>
        <w:t>.</w:t>
      </w:r>
    </w:p>
    <w:p w14:paraId="69174C91" w14:textId="77777777" w:rsidR="004A2865" w:rsidRPr="00F96018" w:rsidRDefault="004A2865" w:rsidP="004A2865">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b/>
        </w:rPr>
        <w:t>Tercero</w:t>
      </w:r>
      <w:r w:rsidRPr="00F96018">
        <w:rPr>
          <w:rFonts w:ascii="Palatino Linotype" w:eastAsia="Palatino Linotype" w:hAnsi="Palatino Linotype" w:cs="Palatino Linotype"/>
          <w:b/>
          <w:sz w:val="28"/>
          <w:szCs w:val="28"/>
        </w:rPr>
        <w:t xml:space="preserve">.  </w:t>
      </w:r>
      <w:r w:rsidRPr="00F96018">
        <w:rPr>
          <w:rFonts w:ascii="Palatino Linotype" w:eastAsia="Palatino Linotype" w:hAnsi="Palatino Linotype" w:cs="Palatino Linotype"/>
          <w:b/>
        </w:rPr>
        <w:t>Notifíquese vía SAIMEX,</w:t>
      </w:r>
      <w:r w:rsidRPr="00F96018">
        <w:rPr>
          <w:rFonts w:ascii="Palatino Linotype" w:eastAsia="Palatino Linotype" w:hAnsi="Palatino Linotype" w:cs="Palatino Linotype"/>
          <w:b/>
          <w:sz w:val="28"/>
          <w:szCs w:val="28"/>
        </w:rPr>
        <w:t xml:space="preserve"> </w:t>
      </w:r>
      <w:r w:rsidRPr="00F96018">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w:t>
      </w:r>
      <w:r w:rsidRPr="00F96018">
        <w:rPr>
          <w:rFonts w:ascii="Palatino Linotype" w:eastAsia="Palatino Linotype" w:hAnsi="Palatino Linotype" w:cs="Palatino Linotype"/>
        </w:rPr>
        <w:lastRenderedPageBreak/>
        <w:t>de apremio de conformidad con lo previsto en los artículos 198, 200, fracción III; 214, 215 y 216 de la Ley  de Transparencia y Acceso a la Información Pública del Estado de México y Municipios.</w:t>
      </w:r>
    </w:p>
    <w:p w14:paraId="3DE145A5" w14:textId="77777777" w:rsidR="004A2865" w:rsidRPr="00F96018" w:rsidRDefault="004A2865" w:rsidP="004A2865">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b/>
        </w:rPr>
        <w:t>Cuarto.</w:t>
      </w:r>
      <w:r w:rsidRPr="00F96018">
        <w:rPr>
          <w:rFonts w:ascii="Palatino Linotype" w:eastAsia="Palatino Linotype" w:hAnsi="Palatino Linotype" w:cs="Palatino Linotype"/>
          <w:b/>
          <w:sz w:val="28"/>
          <w:szCs w:val="28"/>
        </w:rPr>
        <w:t xml:space="preserve"> </w:t>
      </w:r>
      <w:r w:rsidRPr="00F9601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39A529" w14:textId="77777777" w:rsidR="00431796" w:rsidRPr="00F96018" w:rsidRDefault="00431796" w:rsidP="00431796">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b/>
        </w:rPr>
        <w:t>Quinto</w:t>
      </w:r>
      <w:r w:rsidRPr="00F96018">
        <w:rPr>
          <w:rFonts w:ascii="Palatino Linotype" w:eastAsia="Palatino Linotype" w:hAnsi="Palatino Linotype" w:cs="Palatino Linotype"/>
          <w:b/>
          <w:sz w:val="28"/>
          <w:szCs w:val="28"/>
        </w:rPr>
        <w:t xml:space="preserve">. </w:t>
      </w:r>
      <w:r w:rsidRPr="00F96018">
        <w:rPr>
          <w:rFonts w:ascii="Palatino Linotype" w:eastAsia="Palatino Linotype" w:hAnsi="Palatino Linotype" w:cs="Palatino Linotype"/>
          <w:b/>
        </w:rPr>
        <w:t xml:space="preserve">Notifíquese vía SAIMEX, </w:t>
      </w:r>
      <w:r w:rsidR="0000250A" w:rsidRPr="00F96018">
        <w:rPr>
          <w:rFonts w:ascii="Palatino Linotype" w:eastAsia="Palatino Linotype" w:hAnsi="Palatino Linotype" w:cs="Palatino Linotype"/>
        </w:rPr>
        <w:t>a</w:t>
      </w:r>
      <w:r w:rsidR="00AC6C09" w:rsidRPr="00F96018">
        <w:rPr>
          <w:rFonts w:ascii="Palatino Linotype" w:eastAsia="Palatino Linotype" w:hAnsi="Palatino Linotype" w:cs="Palatino Linotype"/>
          <w:b/>
        </w:rPr>
        <w:t xml:space="preserve"> la parte</w:t>
      </w:r>
      <w:r w:rsidRPr="00F96018">
        <w:rPr>
          <w:rFonts w:ascii="Palatino Linotype" w:eastAsia="Palatino Linotype" w:hAnsi="Palatino Linotype" w:cs="Palatino Linotype"/>
          <w:b/>
        </w:rPr>
        <w:t xml:space="preserve"> Recurrente</w:t>
      </w:r>
      <w:r w:rsidRPr="00F96018">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6C81BDAE" w14:textId="77777777" w:rsidR="007F29A9" w:rsidRPr="00F96018" w:rsidRDefault="007F29A9" w:rsidP="007F29A9">
      <w:pPr>
        <w:spacing w:before="240" w:after="240" w:line="360" w:lineRule="auto"/>
        <w:jc w:val="both"/>
        <w:rPr>
          <w:rFonts w:ascii="Palatino Linotype" w:eastAsia="Palatino Linotype" w:hAnsi="Palatino Linotype" w:cs="Palatino Linotype"/>
        </w:rPr>
      </w:pPr>
      <w:r w:rsidRPr="00F9601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A1BDA" w:rsidRPr="00F96018">
        <w:rPr>
          <w:rFonts w:ascii="Palatino Linotype" w:eastAsia="Palatino Linotype" w:hAnsi="Palatino Linotype" w:cs="Palatino Linotype"/>
        </w:rPr>
        <w:t xml:space="preserve"> </w:t>
      </w:r>
      <w:r w:rsidRPr="00F96018">
        <w:rPr>
          <w:rFonts w:ascii="Palatino Linotype" w:eastAsia="Palatino Linotype" w:hAnsi="Palatino Linotype" w:cs="Palatino Linotype"/>
        </w:rPr>
        <w:t xml:space="preserve">Y GUADALUPE RAMÍREZ PEÑA; EN LA </w:t>
      </w:r>
      <w:r w:rsidR="00456EFD" w:rsidRPr="00F96018">
        <w:rPr>
          <w:rFonts w:ascii="Palatino Linotype" w:eastAsia="Palatino Linotype" w:hAnsi="Palatino Linotype" w:cs="Palatino Linotype"/>
        </w:rPr>
        <w:t>VIGÉSIMA SEX</w:t>
      </w:r>
      <w:r w:rsidR="00AC6C09" w:rsidRPr="00F96018">
        <w:rPr>
          <w:rFonts w:ascii="Palatino Linotype" w:eastAsia="Palatino Linotype" w:hAnsi="Palatino Linotype" w:cs="Palatino Linotype"/>
        </w:rPr>
        <w:t>T</w:t>
      </w:r>
      <w:r w:rsidR="004B30A8" w:rsidRPr="00F96018">
        <w:rPr>
          <w:rFonts w:ascii="Palatino Linotype" w:eastAsia="Palatino Linotype" w:hAnsi="Palatino Linotype" w:cs="Palatino Linotype"/>
        </w:rPr>
        <w:t xml:space="preserve">A </w:t>
      </w:r>
      <w:r w:rsidRPr="00F96018">
        <w:rPr>
          <w:rFonts w:ascii="Palatino Linotype" w:eastAsia="Palatino Linotype" w:hAnsi="Palatino Linotype" w:cs="Palatino Linotype"/>
        </w:rPr>
        <w:t>SES</w:t>
      </w:r>
      <w:r w:rsidR="007A1BDA" w:rsidRPr="00F96018">
        <w:rPr>
          <w:rFonts w:ascii="Palatino Linotype" w:eastAsia="Palatino Linotype" w:hAnsi="Palatino Linotype" w:cs="Palatino Linotype"/>
        </w:rPr>
        <w:t xml:space="preserve">IÓN ORDINARIA CELEBRADA </w:t>
      </w:r>
      <w:r w:rsidR="00AC6C09" w:rsidRPr="00F96018">
        <w:rPr>
          <w:rFonts w:ascii="Palatino Linotype" w:eastAsia="Palatino Linotype" w:hAnsi="Palatino Linotype" w:cs="Palatino Linotype"/>
        </w:rPr>
        <w:t>EL</w:t>
      </w:r>
      <w:r w:rsidR="00456EFD" w:rsidRPr="00F96018">
        <w:rPr>
          <w:rFonts w:ascii="Palatino Linotype" w:eastAsia="Palatino Linotype" w:hAnsi="Palatino Linotype" w:cs="Palatino Linotype"/>
        </w:rPr>
        <w:t xml:space="preserve"> DOCE</w:t>
      </w:r>
      <w:r w:rsidR="009D3CC2" w:rsidRPr="00F96018">
        <w:rPr>
          <w:rFonts w:ascii="Palatino Linotype" w:eastAsia="Palatino Linotype" w:hAnsi="Palatino Linotype" w:cs="Palatino Linotype"/>
        </w:rPr>
        <w:t xml:space="preserve"> </w:t>
      </w:r>
      <w:r w:rsidR="00AC6C09" w:rsidRPr="00F96018">
        <w:rPr>
          <w:rFonts w:ascii="Palatino Linotype" w:eastAsia="Palatino Linotype" w:hAnsi="Palatino Linotype" w:cs="Palatino Linotype"/>
        </w:rPr>
        <w:t>DE JULI</w:t>
      </w:r>
      <w:r w:rsidR="004A2865" w:rsidRPr="00F96018">
        <w:rPr>
          <w:rFonts w:ascii="Palatino Linotype" w:eastAsia="Palatino Linotype" w:hAnsi="Palatino Linotype" w:cs="Palatino Linotype"/>
        </w:rPr>
        <w:t>O</w:t>
      </w:r>
      <w:r w:rsidR="007A1BDA" w:rsidRPr="00F96018">
        <w:rPr>
          <w:rFonts w:ascii="Palatino Linotype" w:eastAsia="Palatino Linotype" w:hAnsi="Palatino Linotype" w:cs="Palatino Linotype"/>
        </w:rPr>
        <w:t xml:space="preserve"> DE DOS MIL VEINTITRÉ</w:t>
      </w:r>
      <w:r w:rsidRPr="00F96018">
        <w:rPr>
          <w:rFonts w:ascii="Palatino Linotype" w:eastAsia="Palatino Linotype" w:hAnsi="Palatino Linotype" w:cs="Palatino Linotype"/>
        </w:rPr>
        <w:t>S, ANTE EL SECRETARIO TÉCNICO DEL PLENO ALEXIS TAPIA RAMÍREZ.</w:t>
      </w:r>
    </w:p>
    <w:p w14:paraId="4856A75C" w14:textId="77777777" w:rsidR="007F29A9" w:rsidRPr="00F96018" w:rsidRDefault="007F29A9" w:rsidP="007F29A9">
      <w:pPr>
        <w:spacing w:before="240" w:after="240" w:line="360" w:lineRule="auto"/>
        <w:jc w:val="both"/>
        <w:rPr>
          <w:rFonts w:ascii="Palatino Linotype" w:eastAsia="Palatino Linotype" w:hAnsi="Palatino Linotype" w:cs="Palatino Linotype"/>
        </w:rPr>
      </w:pPr>
    </w:p>
    <w:p w14:paraId="3F5F44AC" w14:textId="77777777" w:rsidR="007A1BDA" w:rsidRPr="00F96018" w:rsidRDefault="007A1BDA" w:rsidP="007F29A9">
      <w:pPr>
        <w:spacing w:before="240" w:after="240" w:line="360" w:lineRule="auto"/>
        <w:jc w:val="both"/>
        <w:rPr>
          <w:rFonts w:ascii="Palatino Linotype" w:eastAsia="Palatino Linotype" w:hAnsi="Palatino Linotype" w:cs="Palatino Linotype"/>
        </w:rPr>
      </w:pPr>
    </w:p>
    <w:p w14:paraId="44DA4291" w14:textId="77777777" w:rsidR="007A1BDA" w:rsidRPr="00F96018" w:rsidRDefault="007A1BDA" w:rsidP="007F29A9">
      <w:pPr>
        <w:spacing w:before="240" w:after="240" w:line="360" w:lineRule="auto"/>
        <w:jc w:val="both"/>
        <w:rPr>
          <w:rFonts w:ascii="Palatino Linotype" w:eastAsia="Palatino Linotype" w:hAnsi="Palatino Linotype" w:cs="Palatino Linotype"/>
        </w:rPr>
      </w:pPr>
    </w:p>
    <w:p w14:paraId="0438847A" w14:textId="77777777" w:rsidR="007F29A9" w:rsidRPr="00F96018" w:rsidRDefault="007F29A9" w:rsidP="007F29A9">
      <w:pPr>
        <w:spacing w:before="240" w:after="240" w:line="360" w:lineRule="auto"/>
        <w:jc w:val="both"/>
        <w:rPr>
          <w:rFonts w:ascii="Palatino Linotype" w:eastAsia="Palatino Linotype" w:hAnsi="Palatino Linotype" w:cs="Palatino Linotype"/>
        </w:rPr>
      </w:pPr>
    </w:p>
    <w:p w14:paraId="073F00F5" w14:textId="77777777" w:rsidR="005B72F7" w:rsidRPr="00F96018" w:rsidRDefault="005B72F7">
      <w:pPr>
        <w:spacing w:before="240" w:after="240" w:line="360" w:lineRule="auto"/>
        <w:jc w:val="both"/>
        <w:rPr>
          <w:rFonts w:ascii="Palatino Linotype" w:eastAsia="Palatino Linotype" w:hAnsi="Palatino Linotype" w:cs="Palatino Linotype"/>
        </w:rPr>
      </w:pPr>
    </w:p>
    <w:p w14:paraId="1714792B" w14:textId="77777777" w:rsidR="005B72F7" w:rsidRPr="00F96018" w:rsidRDefault="005B72F7">
      <w:pPr>
        <w:spacing w:before="240" w:after="240" w:line="360" w:lineRule="auto"/>
        <w:jc w:val="both"/>
        <w:rPr>
          <w:rFonts w:ascii="Palatino Linotype" w:eastAsia="Palatino Linotype" w:hAnsi="Palatino Linotype" w:cs="Palatino Linotype"/>
        </w:rPr>
      </w:pPr>
    </w:p>
    <w:p w14:paraId="07792903" w14:textId="77777777" w:rsidR="005B72F7" w:rsidRPr="00F96018" w:rsidRDefault="005B72F7">
      <w:pPr>
        <w:spacing w:before="240" w:after="240" w:line="360" w:lineRule="auto"/>
        <w:jc w:val="both"/>
        <w:rPr>
          <w:rFonts w:ascii="Palatino Linotype" w:eastAsia="Palatino Linotype" w:hAnsi="Palatino Linotype" w:cs="Palatino Linotype"/>
        </w:rPr>
      </w:pPr>
    </w:p>
    <w:p w14:paraId="4E270904" w14:textId="77777777" w:rsidR="005B72F7" w:rsidRPr="00F96018" w:rsidRDefault="005B72F7">
      <w:pPr>
        <w:spacing w:before="240" w:after="240" w:line="360" w:lineRule="auto"/>
        <w:jc w:val="both"/>
        <w:rPr>
          <w:rFonts w:ascii="Palatino Linotype" w:eastAsia="Palatino Linotype" w:hAnsi="Palatino Linotype" w:cs="Palatino Linotype"/>
        </w:rPr>
      </w:pPr>
    </w:p>
    <w:p w14:paraId="4A91CFBF" w14:textId="77777777" w:rsidR="005B72F7" w:rsidRPr="00F96018" w:rsidRDefault="005B72F7">
      <w:pPr>
        <w:spacing w:before="240" w:after="240" w:line="360" w:lineRule="auto"/>
        <w:jc w:val="both"/>
        <w:rPr>
          <w:rFonts w:ascii="Palatino Linotype" w:eastAsia="Palatino Linotype" w:hAnsi="Palatino Linotype" w:cs="Palatino Linotype"/>
        </w:rPr>
      </w:pPr>
    </w:p>
    <w:sectPr w:rsidR="005B72F7" w:rsidRPr="00F96018" w:rsidSect="008F40CB">
      <w:headerReference w:type="default" r:id="rId14"/>
      <w:footerReference w:type="default" r:id="rId15"/>
      <w:headerReference w:type="first" r:id="rId16"/>
      <w:footerReference w:type="first" r:id="rId17"/>
      <w:pgSz w:w="12240" w:h="15840"/>
      <w:pgMar w:top="1985" w:right="1325"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78D0" w14:textId="77777777" w:rsidR="00972DCA" w:rsidRDefault="00972DCA">
      <w:r>
        <w:separator/>
      </w:r>
    </w:p>
  </w:endnote>
  <w:endnote w:type="continuationSeparator" w:id="0">
    <w:p w14:paraId="58507F06" w14:textId="77777777" w:rsidR="00972DCA" w:rsidRDefault="0097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44FA" w14:textId="77777777" w:rsidR="008F40CB" w:rsidRDefault="008F40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4420">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4420">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25681E23" w14:textId="77777777" w:rsidR="008F40CB" w:rsidRDefault="008F40C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7156" w14:textId="77777777" w:rsidR="008F40CB" w:rsidRDefault="008F40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442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4420">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1BADC763" w14:textId="77777777" w:rsidR="008F40CB" w:rsidRDefault="008F40C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DB5D3" w14:textId="77777777" w:rsidR="00972DCA" w:rsidRDefault="00972DCA">
      <w:r>
        <w:separator/>
      </w:r>
    </w:p>
  </w:footnote>
  <w:footnote w:type="continuationSeparator" w:id="0">
    <w:p w14:paraId="5B1E6DD3" w14:textId="77777777" w:rsidR="00972DCA" w:rsidRDefault="00972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1A23" w14:textId="77777777" w:rsidR="008F40CB" w:rsidRDefault="008F40CB">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B064EC9" wp14:editId="7C09536D">
          <wp:simplePos x="0" y="0"/>
          <wp:positionH relativeFrom="column">
            <wp:posOffset>-860425</wp:posOffset>
          </wp:positionH>
          <wp:positionV relativeFrom="paragraph">
            <wp:posOffset>-230505</wp:posOffset>
          </wp:positionV>
          <wp:extent cx="7809865" cy="10165715"/>
          <wp:effectExtent l="0" t="0" r="0" b="0"/>
          <wp:wrapNone/>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1"/>
      <w:tblW w:w="5953" w:type="dxa"/>
      <w:tblInd w:w="3261" w:type="dxa"/>
      <w:tblLayout w:type="fixed"/>
      <w:tblLook w:val="0400" w:firstRow="0" w:lastRow="0" w:firstColumn="0" w:lastColumn="0" w:noHBand="0" w:noVBand="1"/>
    </w:tblPr>
    <w:tblGrid>
      <w:gridCol w:w="2489"/>
      <w:gridCol w:w="3464"/>
    </w:tblGrid>
    <w:tr w:rsidR="008F40CB" w14:paraId="4B77163D" w14:textId="77777777">
      <w:tc>
        <w:tcPr>
          <w:tcW w:w="2489" w:type="dxa"/>
          <w:shd w:val="clear" w:color="auto" w:fill="auto"/>
        </w:tcPr>
        <w:p w14:paraId="317166AA" w14:textId="77777777" w:rsidR="008F40CB" w:rsidRDefault="008F40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67C5934" w14:textId="77777777" w:rsidR="008F40CB" w:rsidRDefault="004D0876" w:rsidP="0089229D">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0339</w:t>
          </w:r>
          <w:r w:rsidR="008F40CB" w:rsidRPr="006842AD">
            <w:rPr>
              <w:rFonts w:ascii="Palatino Linotype" w:eastAsia="Palatino Linotype" w:hAnsi="Palatino Linotype" w:cs="Palatino Linotype"/>
              <w:b/>
              <w:sz w:val="22"/>
              <w:szCs w:val="22"/>
            </w:rPr>
            <w:t>4/INFOEM/IP/RR/2023</w:t>
          </w:r>
        </w:p>
      </w:tc>
    </w:tr>
    <w:tr w:rsidR="008F40CB" w14:paraId="4B853476" w14:textId="77777777">
      <w:trPr>
        <w:trHeight w:val="228"/>
      </w:trPr>
      <w:tc>
        <w:tcPr>
          <w:tcW w:w="2489" w:type="dxa"/>
          <w:shd w:val="clear" w:color="auto" w:fill="auto"/>
          <w:vAlign w:val="center"/>
        </w:tcPr>
        <w:p w14:paraId="329D0B5C" w14:textId="77777777" w:rsidR="008F40CB" w:rsidRDefault="008F40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DC9A329" w14:textId="77777777" w:rsidR="008F40CB" w:rsidRDefault="004D0876" w:rsidP="0006456C">
          <w:pPr>
            <w:ind w:left="-45"/>
            <w:jc w:val="both"/>
            <w:rPr>
              <w:rFonts w:ascii="Palatino Linotype" w:eastAsia="Palatino Linotype" w:hAnsi="Palatino Linotype" w:cs="Palatino Linotype"/>
              <w:b/>
              <w:sz w:val="22"/>
              <w:szCs w:val="22"/>
            </w:rPr>
          </w:pPr>
          <w:r w:rsidRPr="004D0876">
            <w:rPr>
              <w:rFonts w:ascii="Palatino Linotype" w:eastAsia="Palatino Linotype" w:hAnsi="Palatino Linotype" w:cs="Palatino Linotype"/>
              <w:b/>
              <w:sz w:val="22"/>
              <w:szCs w:val="22"/>
            </w:rPr>
            <w:t>Organismo Público Descent</w:t>
          </w:r>
          <w:r w:rsidR="00D725CD">
            <w:rPr>
              <w:rFonts w:ascii="Palatino Linotype" w:eastAsia="Palatino Linotype" w:hAnsi="Palatino Linotype" w:cs="Palatino Linotype"/>
              <w:b/>
              <w:sz w:val="22"/>
              <w:szCs w:val="22"/>
            </w:rPr>
            <w:t>ralizado para la Prestación de l</w:t>
          </w:r>
          <w:r w:rsidRPr="004D0876">
            <w:rPr>
              <w:rFonts w:ascii="Palatino Linotype" w:eastAsia="Palatino Linotype" w:hAnsi="Palatino Linotype" w:cs="Palatino Linotype"/>
              <w:b/>
              <w:sz w:val="22"/>
              <w:szCs w:val="22"/>
            </w:rPr>
            <w:t>os Servicios de Agua Potable Alcantarillado y Saneamiento de Atizapán de Zaragoza por sus siglas S.A.P.A.S.A.</w:t>
          </w:r>
        </w:p>
      </w:tc>
    </w:tr>
    <w:tr w:rsidR="008F40CB" w14:paraId="43A4D4D3" w14:textId="77777777">
      <w:tc>
        <w:tcPr>
          <w:tcW w:w="2489" w:type="dxa"/>
          <w:shd w:val="clear" w:color="auto" w:fill="auto"/>
          <w:vAlign w:val="center"/>
        </w:tcPr>
        <w:p w14:paraId="503A612B" w14:textId="77777777" w:rsidR="008F40CB" w:rsidRDefault="008F40C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AAE8157" w14:textId="77777777" w:rsidR="008F40CB" w:rsidRDefault="008F40CB" w:rsidP="0089229D">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58583E9" w14:textId="77777777" w:rsidR="008F40CB" w:rsidRDefault="008F40C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9D64" w14:textId="77777777" w:rsidR="008F40CB" w:rsidRDefault="008F40C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CD277B5" wp14:editId="01471F05">
          <wp:simplePos x="0" y="0"/>
          <wp:positionH relativeFrom="column">
            <wp:posOffset>-955675</wp:posOffset>
          </wp:positionH>
          <wp:positionV relativeFrom="paragraph">
            <wp:posOffset>-288925</wp:posOffset>
          </wp:positionV>
          <wp:extent cx="7809865" cy="10165715"/>
          <wp:effectExtent l="0" t="0" r="0" b="0"/>
          <wp:wrapNone/>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
      <w:tblW w:w="6662" w:type="dxa"/>
      <w:tblInd w:w="3261" w:type="dxa"/>
      <w:tblLayout w:type="fixed"/>
      <w:tblLook w:val="0400" w:firstRow="0" w:lastRow="0" w:firstColumn="0" w:lastColumn="0" w:noHBand="0" w:noVBand="1"/>
    </w:tblPr>
    <w:tblGrid>
      <w:gridCol w:w="2551"/>
      <w:gridCol w:w="4111"/>
    </w:tblGrid>
    <w:tr w:rsidR="008F40CB" w14:paraId="1DC33DBB" w14:textId="77777777" w:rsidTr="0006456C">
      <w:tc>
        <w:tcPr>
          <w:tcW w:w="2551" w:type="dxa"/>
          <w:shd w:val="clear" w:color="auto" w:fill="auto"/>
          <w:vAlign w:val="center"/>
        </w:tcPr>
        <w:p w14:paraId="797EDFD7" w14:textId="77777777" w:rsidR="008F40CB" w:rsidRDefault="008F40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135E2522" w14:textId="77777777" w:rsidR="008F40CB" w:rsidRDefault="004D087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0339</w:t>
          </w:r>
          <w:r w:rsidR="008F40CB" w:rsidRPr="006842AD">
            <w:rPr>
              <w:rFonts w:ascii="Palatino Linotype" w:eastAsia="Palatino Linotype" w:hAnsi="Palatino Linotype" w:cs="Palatino Linotype"/>
              <w:b/>
              <w:sz w:val="22"/>
              <w:szCs w:val="22"/>
            </w:rPr>
            <w:t>4/INFOEM/IP/RR/2023</w:t>
          </w:r>
        </w:p>
      </w:tc>
    </w:tr>
    <w:tr w:rsidR="008F40CB" w14:paraId="2CD2CE2D" w14:textId="77777777" w:rsidTr="0006456C">
      <w:trPr>
        <w:trHeight w:val="130"/>
      </w:trPr>
      <w:tc>
        <w:tcPr>
          <w:tcW w:w="2551" w:type="dxa"/>
          <w:shd w:val="clear" w:color="auto" w:fill="auto"/>
          <w:vAlign w:val="center"/>
        </w:tcPr>
        <w:p w14:paraId="6623E122" w14:textId="77777777" w:rsidR="008F40CB" w:rsidRDefault="008F40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14:paraId="0980CA05" w14:textId="43C0CB4E" w:rsidR="008F40CB" w:rsidRDefault="007A4AE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 XXXXXXXXXX</w:t>
          </w:r>
        </w:p>
      </w:tc>
    </w:tr>
    <w:tr w:rsidR="008F40CB" w14:paraId="046D3ACE" w14:textId="77777777" w:rsidTr="0006456C">
      <w:trPr>
        <w:trHeight w:val="228"/>
      </w:trPr>
      <w:tc>
        <w:tcPr>
          <w:tcW w:w="2551" w:type="dxa"/>
          <w:shd w:val="clear" w:color="auto" w:fill="auto"/>
          <w:vAlign w:val="center"/>
        </w:tcPr>
        <w:p w14:paraId="2E3C5C35" w14:textId="77777777" w:rsidR="008F40CB" w:rsidRDefault="008F40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5CAA1825" w14:textId="77777777" w:rsidR="008F40CB" w:rsidRDefault="004D0876" w:rsidP="00D725CD">
          <w:pPr>
            <w:ind w:left="-45" w:right="452"/>
            <w:jc w:val="both"/>
            <w:rPr>
              <w:rFonts w:ascii="Palatino Linotype" w:eastAsia="Palatino Linotype" w:hAnsi="Palatino Linotype" w:cs="Palatino Linotype"/>
              <w:b/>
              <w:sz w:val="22"/>
              <w:szCs w:val="22"/>
            </w:rPr>
          </w:pPr>
          <w:r w:rsidRPr="004D0876">
            <w:rPr>
              <w:rFonts w:ascii="Palatino Linotype" w:eastAsia="Palatino Linotype" w:hAnsi="Palatino Linotype" w:cs="Palatino Linotype"/>
              <w:b/>
              <w:sz w:val="22"/>
              <w:szCs w:val="22"/>
            </w:rPr>
            <w:t xml:space="preserve">Organismo Público Descentralizado para la Prestación de </w:t>
          </w:r>
          <w:r w:rsidR="00D725CD">
            <w:rPr>
              <w:rFonts w:ascii="Palatino Linotype" w:eastAsia="Palatino Linotype" w:hAnsi="Palatino Linotype" w:cs="Palatino Linotype"/>
              <w:b/>
              <w:sz w:val="22"/>
              <w:szCs w:val="22"/>
            </w:rPr>
            <w:t>l</w:t>
          </w:r>
          <w:r w:rsidRPr="004D0876">
            <w:rPr>
              <w:rFonts w:ascii="Palatino Linotype" w:eastAsia="Palatino Linotype" w:hAnsi="Palatino Linotype" w:cs="Palatino Linotype"/>
              <w:b/>
              <w:sz w:val="22"/>
              <w:szCs w:val="22"/>
            </w:rPr>
            <w:t>os Servicios de Agua Potable Alcantarillado y Saneamiento de Atizapán de Zaragoza por sus siglas S.A.P.A.S.A.</w:t>
          </w:r>
        </w:p>
      </w:tc>
    </w:tr>
    <w:tr w:rsidR="008F40CB" w14:paraId="40FA7DF9" w14:textId="77777777" w:rsidTr="0006456C">
      <w:tc>
        <w:tcPr>
          <w:tcW w:w="2551" w:type="dxa"/>
          <w:shd w:val="clear" w:color="auto" w:fill="auto"/>
          <w:vAlign w:val="center"/>
        </w:tcPr>
        <w:p w14:paraId="6D75B1DF" w14:textId="77777777" w:rsidR="008F40CB" w:rsidRDefault="008F40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5735AB53" w14:textId="77777777" w:rsidR="008F40CB" w:rsidRDefault="008F40CB" w:rsidP="00567E32">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BF85BB" w14:textId="77777777" w:rsidR="008F40CB" w:rsidRDefault="008F40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76D"/>
    <w:multiLevelType w:val="multilevel"/>
    <w:tmpl w:val="621C2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DA3879"/>
    <w:multiLevelType w:val="multilevel"/>
    <w:tmpl w:val="66B0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14DDE"/>
    <w:multiLevelType w:val="hybridMultilevel"/>
    <w:tmpl w:val="1B7E2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C158E4"/>
    <w:multiLevelType w:val="multilevel"/>
    <w:tmpl w:val="F9408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10217"/>
    <w:multiLevelType w:val="hybridMultilevel"/>
    <w:tmpl w:val="A38CC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142B7442"/>
    <w:multiLevelType w:val="multilevel"/>
    <w:tmpl w:val="C9DC7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A60151"/>
    <w:multiLevelType w:val="hybridMultilevel"/>
    <w:tmpl w:val="646C0A86"/>
    <w:lvl w:ilvl="0" w:tplc="2B909BD4">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1B1637"/>
    <w:multiLevelType w:val="multilevel"/>
    <w:tmpl w:val="C4DA85F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CA64268"/>
    <w:multiLevelType w:val="hybridMultilevel"/>
    <w:tmpl w:val="46E05A3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F0239E7"/>
    <w:multiLevelType w:val="hybridMultilevel"/>
    <w:tmpl w:val="FF642C9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1EC0683"/>
    <w:multiLevelType w:val="multilevel"/>
    <w:tmpl w:val="66B0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F408D"/>
    <w:multiLevelType w:val="multilevel"/>
    <w:tmpl w:val="417A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934882"/>
    <w:multiLevelType w:val="multilevel"/>
    <w:tmpl w:val="E2D0C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8217D8"/>
    <w:multiLevelType w:val="hybridMultilevel"/>
    <w:tmpl w:val="CE7AC3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623AC0"/>
    <w:multiLevelType w:val="hybridMultilevel"/>
    <w:tmpl w:val="C0D2AB44"/>
    <w:lvl w:ilvl="0" w:tplc="43D00652">
      <w:start w:val="1"/>
      <w:numFmt w:val="decimal"/>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9403A06"/>
    <w:multiLevelType w:val="hybridMultilevel"/>
    <w:tmpl w:val="8318A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85090B"/>
    <w:multiLevelType w:val="hybridMultilevel"/>
    <w:tmpl w:val="4C70B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CA29D6"/>
    <w:multiLevelType w:val="multilevel"/>
    <w:tmpl w:val="712AEA7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C11B9B"/>
    <w:multiLevelType w:val="multilevel"/>
    <w:tmpl w:val="84E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EA3A1E"/>
    <w:multiLevelType w:val="multilevel"/>
    <w:tmpl w:val="B1B28B8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1F6391C"/>
    <w:multiLevelType w:val="hybridMultilevel"/>
    <w:tmpl w:val="46128CD0"/>
    <w:lvl w:ilvl="0" w:tplc="C9F0A93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C35500"/>
    <w:multiLevelType w:val="hybridMultilevel"/>
    <w:tmpl w:val="F8D0E216"/>
    <w:lvl w:ilvl="0" w:tplc="48B236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D26845"/>
    <w:multiLevelType w:val="hybridMultilevel"/>
    <w:tmpl w:val="501234BE"/>
    <w:lvl w:ilvl="0" w:tplc="E92610E8">
      <w:start w:val="1"/>
      <w:numFmt w:val="upperRoman"/>
      <w:lvlText w:val="%1."/>
      <w:lvlJc w:val="left"/>
      <w:pPr>
        <w:ind w:left="1712" w:hanging="720"/>
      </w:pPr>
      <w:rPr>
        <w:rFonts w:hint="default"/>
        <w:color w:val="FF0000"/>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25" w15:restartNumberingAfterBreak="0">
    <w:nsid w:val="45C26851"/>
    <w:multiLevelType w:val="hybridMultilevel"/>
    <w:tmpl w:val="E0C80E52"/>
    <w:lvl w:ilvl="0" w:tplc="D17890E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7C45F25"/>
    <w:multiLevelType w:val="multilevel"/>
    <w:tmpl w:val="A8148E0A"/>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A6512A"/>
    <w:multiLevelType w:val="multilevel"/>
    <w:tmpl w:val="FDDA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5B347A"/>
    <w:multiLevelType w:val="hybridMultilevel"/>
    <w:tmpl w:val="CF2A2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CC3A13"/>
    <w:multiLevelType w:val="hybridMultilevel"/>
    <w:tmpl w:val="3D8CA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C849B3"/>
    <w:multiLevelType w:val="multilevel"/>
    <w:tmpl w:val="54661D06"/>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B715010"/>
    <w:multiLevelType w:val="hybridMultilevel"/>
    <w:tmpl w:val="689CB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DB65F6"/>
    <w:multiLevelType w:val="hybridMultilevel"/>
    <w:tmpl w:val="17822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AA3A87"/>
    <w:multiLevelType w:val="hybridMultilevel"/>
    <w:tmpl w:val="F8BE3E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7F14CE"/>
    <w:multiLevelType w:val="hybridMultilevel"/>
    <w:tmpl w:val="8F3420D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5A1040"/>
    <w:multiLevelType w:val="hybridMultilevel"/>
    <w:tmpl w:val="32789916"/>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6" w15:restartNumberingAfterBreak="0">
    <w:nsid w:val="6FB9583E"/>
    <w:multiLevelType w:val="multilevel"/>
    <w:tmpl w:val="F0CC4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EC4CC7"/>
    <w:multiLevelType w:val="multilevel"/>
    <w:tmpl w:val="4D94B9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4262C2"/>
    <w:multiLevelType w:val="multilevel"/>
    <w:tmpl w:val="FCF26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85409B5"/>
    <w:multiLevelType w:val="multilevel"/>
    <w:tmpl w:val="374CC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8AF1FE5"/>
    <w:multiLevelType w:val="hybridMultilevel"/>
    <w:tmpl w:val="AB4E4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D26895"/>
    <w:multiLevelType w:val="hybridMultilevel"/>
    <w:tmpl w:val="2E246AD6"/>
    <w:lvl w:ilvl="0" w:tplc="D5BE838C">
      <w:start w:val="3"/>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2" w15:restartNumberingAfterBreak="0">
    <w:nsid w:val="7AD76611"/>
    <w:multiLevelType w:val="multilevel"/>
    <w:tmpl w:val="E9A85F64"/>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2102FA"/>
    <w:multiLevelType w:val="multilevel"/>
    <w:tmpl w:val="B784E8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C714CF9"/>
    <w:multiLevelType w:val="hybridMultilevel"/>
    <w:tmpl w:val="61B6E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2"/>
  </w:num>
  <w:num w:numId="3">
    <w:abstractNumId w:val="38"/>
  </w:num>
  <w:num w:numId="4">
    <w:abstractNumId w:val="39"/>
  </w:num>
  <w:num w:numId="5">
    <w:abstractNumId w:val="8"/>
  </w:num>
  <w:num w:numId="6">
    <w:abstractNumId w:val="29"/>
  </w:num>
  <w:num w:numId="7">
    <w:abstractNumId w:val="24"/>
  </w:num>
  <w:num w:numId="8">
    <w:abstractNumId w:val="34"/>
  </w:num>
  <w:num w:numId="9">
    <w:abstractNumId w:val="25"/>
  </w:num>
  <w:num w:numId="10">
    <w:abstractNumId w:val="15"/>
  </w:num>
  <w:num w:numId="11">
    <w:abstractNumId w:val="7"/>
  </w:num>
  <w:num w:numId="12">
    <w:abstractNumId w:val="2"/>
  </w:num>
  <w:num w:numId="13">
    <w:abstractNumId w:val="4"/>
  </w:num>
  <w:num w:numId="14">
    <w:abstractNumId w:val="1"/>
  </w:num>
  <w:num w:numId="15">
    <w:abstractNumId w:val="11"/>
  </w:num>
  <w:num w:numId="16">
    <w:abstractNumId w:val="16"/>
  </w:num>
  <w:num w:numId="17">
    <w:abstractNumId w:val="28"/>
  </w:num>
  <w:num w:numId="18">
    <w:abstractNumId w:val="40"/>
  </w:num>
  <w:num w:numId="19">
    <w:abstractNumId w:val="17"/>
  </w:num>
  <w:num w:numId="20">
    <w:abstractNumId w:val="44"/>
  </w:num>
  <w:num w:numId="21">
    <w:abstractNumId w:val="43"/>
  </w:num>
  <w:num w:numId="22">
    <w:abstractNumId w:val="37"/>
  </w:num>
  <w:num w:numId="23">
    <w:abstractNumId w:val="0"/>
  </w:num>
  <w:num w:numId="24">
    <w:abstractNumId w:val="18"/>
  </w:num>
  <w:num w:numId="25">
    <w:abstractNumId w:val="32"/>
  </w:num>
  <w:num w:numId="26">
    <w:abstractNumId w:val="30"/>
  </w:num>
  <w:num w:numId="27">
    <w:abstractNumId w:val="14"/>
  </w:num>
  <w:num w:numId="28">
    <w:abstractNumId w:val="21"/>
  </w:num>
  <w:num w:numId="29">
    <w:abstractNumId w:val="26"/>
  </w:num>
  <w:num w:numId="30">
    <w:abstractNumId w:val="33"/>
  </w:num>
  <w:num w:numId="31">
    <w:abstractNumId w:val="41"/>
  </w:num>
  <w:num w:numId="32">
    <w:abstractNumId w:val="23"/>
  </w:num>
  <w:num w:numId="33">
    <w:abstractNumId w:val="22"/>
  </w:num>
  <w:num w:numId="34">
    <w:abstractNumId w:val="5"/>
  </w:num>
  <w:num w:numId="35">
    <w:abstractNumId w:val="9"/>
  </w:num>
  <w:num w:numId="36">
    <w:abstractNumId w:val="13"/>
  </w:num>
  <w:num w:numId="37">
    <w:abstractNumId w:val="12"/>
  </w:num>
  <w:num w:numId="38">
    <w:abstractNumId w:val="27"/>
  </w:num>
  <w:num w:numId="39">
    <w:abstractNumId w:val="19"/>
  </w:num>
  <w:num w:numId="40">
    <w:abstractNumId w:val="35"/>
  </w:num>
  <w:num w:numId="41">
    <w:abstractNumId w:val="10"/>
  </w:num>
  <w:num w:numId="42">
    <w:abstractNumId w:val="3"/>
    <w:lvlOverride w:ilvl="0">
      <w:lvl w:ilvl="0">
        <w:numFmt w:val="lowerLetter"/>
        <w:lvlText w:val="%1."/>
        <w:lvlJc w:val="left"/>
      </w:lvl>
    </w:lvlOverride>
  </w:num>
  <w:num w:numId="43">
    <w:abstractNumId w:val="36"/>
    <w:lvlOverride w:ilvl="0">
      <w:lvl w:ilvl="0">
        <w:numFmt w:val="lowerLetter"/>
        <w:lvlText w:val="%1."/>
        <w:lvlJc w:val="left"/>
      </w:lvl>
    </w:lvlOverride>
  </w:num>
  <w:num w:numId="44">
    <w:abstractNumId w:val="31"/>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30C"/>
    <w:rsid w:val="0000250A"/>
    <w:rsid w:val="00013456"/>
    <w:rsid w:val="00027B30"/>
    <w:rsid w:val="00032698"/>
    <w:rsid w:val="00033F3F"/>
    <w:rsid w:val="00042F53"/>
    <w:rsid w:val="0006456C"/>
    <w:rsid w:val="00070935"/>
    <w:rsid w:val="00076C74"/>
    <w:rsid w:val="00081AE0"/>
    <w:rsid w:val="00083E18"/>
    <w:rsid w:val="00085312"/>
    <w:rsid w:val="0009570D"/>
    <w:rsid w:val="000A51ED"/>
    <w:rsid w:val="000A580C"/>
    <w:rsid w:val="000B474C"/>
    <w:rsid w:val="000C27EF"/>
    <w:rsid w:val="000C374E"/>
    <w:rsid w:val="000C6D2D"/>
    <w:rsid w:val="000E1B02"/>
    <w:rsid w:val="00105A4D"/>
    <w:rsid w:val="00126621"/>
    <w:rsid w:val="00131056"/>
    <w:rsid w:val="001320D9"/>
    <w:rsid w:val="001337AD"/>
    <w:rsid w:val="00144FE2"/>
    <w:rsid w:val="00147D44"/>
    <w:rsid w:val="00154E93"/>
    <w:rsid w:val="00157080"/>
    <w:rsid w:val="00164E8A"/>
    <w:rsid w:val="00165F27"/>
    <w:rsid w:val="001663C1"/>
    <w:rsid w:val="00182D51"/>
    <w:rsid w:val="00184C47"/>
    <w:rsid w:val="001865A4"/>
    <w:rsid w:val="001A0228"/>
    <w:rsid w:val="001A19EF"/>
    <w:rsid w:val="001B1169"/>
    <w:rsid w:val="001B2C19"/>
    <w:rsid w:val="001B6E9F"/>
    <w:rsid w:val="001C2228"/>
    <w:rsid w:val="001C4420"/>
    <w:rsid w:val="001C526F"/>
    <w:rsid w:val="001D48CB"/>
    <w:rsid w:val="001F359C"/>
    <w:rsid w:val="001F41EE"/>
    <w:rsid w:val="00211DC3"/>
    <w:rsid w:val="002222D5"/>
    <w:rsid w:val="00225F8A"/>
    <w:rsid w:val="00236AB5"/>
    <w:rsid w:val="00264242"/>
    <w:rsid w:val="00276EA9"/>
    <w:rsid w:val="002825EA"/>
    <w:rsid w:val="00293B82"/>
    <w:rsid w:val="002A5862"/>
    <w:rsid w:val="002A7B5E"/>
    <w:rsid w:val="002C7517"/>
    <w:rsid w:val="002D1F08"/>
    <w:rsid w:val="002E2438"/>
    <w:rsid w:val="002F1853"/>
    <w:rsid w:val="002F1D69"/>
    <w:rsid w:val="002F4688"/>
    <w:rsid w:val="003079C4"/>
    <w:rsid w:val="00315240"/>
    <w:rsid w:val="00343704"/>
    <w:rsid w:val="00344F56"/>
    <w:rsid w:val="003464C2"/>
    <w:rsid w:val="003949B4"/>
    <w:rsid w:val="003A0378"/>
    <w:rsid w:val="003A5762"/>
    <w:rsid w:val="003A5F54"/>
    <w:rsid w:val="003D79D4"/>
    <w:rsid w:val="003F43AF"/>
    <w:rsid w:val="00431796"/>
    <w:rsid w:val="00437731"/>
    <w:rsid w:val="00456EFD"/>
    <w:rsid w:val="00461E6B"/>
    <w:rsid w:val="00476BF3"/>
    <w:rsid w:val="00480A9E"/>
    <w:rsid w:val="004A2865"/>
    <w:rsid w:val="004B30A8"/>
    <w:rsid w:val="004B357E"/>
    <w:rsid w:val="004B5E29"/>
    <w:rsid w:val="004C36DC"/>
    <w:rsid w:val="004C6123"/>
    <w:rsid w:val="004C778D"/>
    <w:rsid w:val="004D0876"/>
    <w:rsid w:val="004D3A15"/>
    <w:rsid w:val="005001C2"/>
    <w:rsid w:val="005059B0"/>
    <w:rsid w:val="00505FBA"/>
    <w:rsid w:val="00533373"/>
    <w:rsid w:val="00543B73"/>
    <w:rsid w:val="00546237"/>
    <w:rsid w:val="005613B5"/>
    <w:rsid w:val="005677DC"/>
    <w:rsid w:val="00567E32"/>
    <w:rsid w:val="00572018"/>
    <w:rsid w:val="00580CDE"/>
    <w:rsid w:val="00582F51"/>
    <w:rsid w:val="005902BE"/>
    <w:rsid w:val="00590DB6"/>
    <w:rsid w:val="005A5DA3"/>
    <w:rsid w:val="005B4095"/>
    <w:rsid w:val="005B6992"/>
    <w:rsid w:val="005B72F7"/>
    <w:rsid w:val="005B7C96"/>
    <w:rsid w:val="005D5F5A"/>
    <w:rsid w:val="005E5709"/>
    <w:rsid w:val="005F1354"/>
    <w:rsid w:val="005F21DB"/>
    <w:rsid w:val="005F5C11"/>
    <w:rsid w:val="006048C0"/>
    <w:rsid w:val="00611C73"/>
    <w:rsid w:val="00617C7F"/>
    <w:rsid w:val="00617D54"/>
    <w:rsid w:val="00623984"/>
    <w:rsid w:val="00623F10"/>
    <w:rsid w:val="006600AD"/>
    <w:rsid w:val="006609FD"/>
    <w:rsid w:val="006626D8"/>
    <w:rsid w:val="006842AD"/>
    <w:rsid w:val="00687486"/>
    <w:rsid w:val="00690783"/>
    <w:rsid w:val="006A1DA6"/>
    <w:rsid w:val="006A2C19"/>
    <w:rsid w:val="006D6970"/>
    <w:rsid w:val="006E23CF"/>
    <w:rsid w:val="006F61AF"/>
    <w:rsid w:val="007015A8"/>
    <w:rsid w:val="007058A5"/>
    <w:rsid w:val="00705A4E"/>
    <w:rsid w:val="00707296"/>
    <w:rsid w:val="00711BFE"/>
    <w:rsid w:val="0071474F"/>
    <w:rsid w:val="00725CE5"/>
    <w:rsid w:val="007300DD"/>
    <w:rsid w:val="00737637"/>
    <w:rsid w:val="00740D62"/>
    <w:rsid w:val="00743B48"/>
    <w:rsid w:val="0075566B"/>
    <w:rsid w:val="00756FCB"/>
    <w:rsid w:val="00763B55"/>
    <w:rsid w:val="00763D37"/>
    <w:rsid w:val="007948EA"/>
    <w:rsid w:val="00796E26"/>
    <w:rsid w:val="007A1BDA"/>
    <w:rsid w:val="007A4AE6"/>
    <w:rsid w:val="007A5A74"/>
    <w:rsid w:val="007A5A86"/>
    <w:rsid w:val="007C4E3F"/>
    <w:rsid w:val="007C5945"/>
    <w:rsid w:val="007D1493"/>
    <w:rsid w:val="007D1773"/>
    <w:rsid w:val="007E7AB4"/>
    <w:rsid w:val="007F08D6"/>
    <w:rsid w:val="007F29A9"/>
    <w:rsid w:val="007F328C"/>
    <w:rsid w:val="007F4140"/>
    <w:rsid w:val="008065A2"/>
    <w:rsid w:val="008261A2"/>
    <w:rsid w:val="00846A2C"/>
    <w:rsid w:val="00860425"/>
    <w:rsid w:val="008651FF"/>
    <w:rsid w:val="00873071"/>
    <w:rsid w:val="008823FF"/>
    <w:rsid w:val="0089229D"/>
    <w:rsid w:val="008A1BF1"/>
    <w:rsid w:val="008B55A4"/>
    <w:rsid w:val="008C237B"/>
    <w:rsid w:val="008C327C"/>
    <w:rsid w:val="008C4E61"/>
    <w:rsid w:val="008D3D24"/>
    <w:rsid w:val="008D5691"/>
    <w:rsid w:val="008D68C6"/>
    <w:rsid w:val="008F2C98"/>
    <w:rsid w:val="008F40CB"/>
    <w:rsid w:val="0090503D"/>
    <w:rsid w:val="00906329"/>
    <w:rsid w:val="00917061"/>
    <w:rsid w:val="00917DAD"/>
    <w:rsid w:val="00926E1E"/>
    <w:rsid w:val="0093005B"/>
    <w:rsid w:val="00945E14"/>
    <w:rsid w:val="00946EF3"/>
    <w:rsid w:val="00951DDD"/>
    <w:rsid w:val="009527F6"/>
    <w:rsid w:val="00954308"/>
    <w:rsid w:val="00955C1C"/>
    <w:rsid w:val="00963489"/>
    <w:rsid w:val="00970104"/>
    <w:rsid w:val="00970AAF"/>
    <w:rsid w:val="00972DCA"/>
    <w:rsid w:val="00985286"/>
    <w:rsid w:val="00997DC9"/>
    <w:rsid w:val="009A24C1"/>
    <w:rsid w:val="009A6885"/>
    <w:rsid w:val="009B1CE9"/>
    <w:rsid w:val="009B7535"/>
    <w:rsid w:val="009D3CC2"/>
    <w:rsid w:val="009E11A6"/>
    <w:rsid w:val="009F5475"/>
    <w:rsid w:val="009F7E8A"/>
    <w:rsid w:val="00A034FF"/>
    <w:rsid w:val="00A10291"/>
    <w:rsid w:val="00A1683D"/>
    <w:rsid w:val="00A2465F"/>
    <w:rsid w:val="00A25B28"/>
    <w:rsid w:val="00A34AE7"/>
    <w:rsid w:val="00A35218"/>
    <w:rsid w:val="00A40F24"/>
    <w:rsid w:val="00A422FE"/>
    <w:rsid w:val="00A73560"/>
    <w:rsid w:val="00A749E8"/>
    <w:rsid w:val="00A77307"/>
    <w:rsid w:val="00A847D7"/>
    <w:rsid w:val="00A855FD"/>
    <w:rsid w:val="00A91227"/>
    <w:rsid w:val="00A9178B"/>
    <w:rsid w:val="00A93956"/>
    <w:rsid w:val="00A97581"/>
    <w:rsid w:val="00AA6ACF"/>
    <w:rsid w:val="00AB1303"/>
    <w:rsid w:val="00AB2E0E"/>
    <w:rsid w:val="00AC560E"/>
    <w:rsid w:val="00AC5655"/>
    <w:rsid w:val="00AC6C09"/>
    <w:rsid w:val="00AD0133"/>
    <w:rsid w:val="00AD43D6"/>
    <w:rsid w:val="00AD5C01"/>
    <w:rsid w:val="00AD6E6D"/>
    <w:rsid w:val="00AE58DC"/>
    <w:rsid w:val="00AE620D"/>
    <w:rsid w:val="00AF416B"/>
    <w:rsid w:val="00AF6032"/>
    <w:rsid w:val="00B01B38"/>
    <w:rsid w:val="00B104EA"/>
    <w:rsid w:val="00B1187C"/>
    <w:rsid w:val="00B123CE"/>
    <w:rsid w:val="00B1597B"/>
    <w:rsid w:val="00B25FE5"/>
    <w:rsid w:val="00B309DE"/>
    <w:rsid w:val="00B4005E"/>
    <w:rsid w:val="00B45549"/>
    <w:rsid w:val="00B53756"/>
    <w:rsid w:val="00B859D5"/>
    <w:rsid w:val="00B93A53"/>
    <w:rsid w:val="00B97047"/>
    <w:rsid w:val="00BA0600"/>
    <w:rsid w:val="00BA53D7"/>
    <w:rsid w:val="00BB61D8"/>
    <w:rsid w:val="00BB6C7A"/>
    <w:rsid w:val="00BC151F"/>
    <w:rsid w:val="00BC6175"/>
    <w:rsid w:val="00BF6084"/>
    <w:rsid w:val="00C0318D"/>
    <w:rsid w:val="00C179C6"/>
    <w:rsid w:val="00C23677"/>
    <w:rsid w:val="00C242FB"/>
    <w:rsid w:val="00C24D86"/>
    <w:rsid w:val="00C335E5"/>
    <w:rsid w:val="00C42CE4"/>
    <w:rsid w:val="00C44A23"/>
    <w:rsid w:val="00C628BA"/>
    <w:rsid w:val="00C644E7"/>
    <w:rsid w:val="00C867C3"/>
    <w:rsid w:val="00C8730C"/>
    <w:rsid w:val="00C93F06"/>
    <w:rsid w:val="00CC6A86"/>
    <w:rsid w:val="00CE7E05"/>
    <w:rsid w:val="00CF1A8D"/>
    <w:rsid w:val="00D229CC"/>
    <w:rsid w:val="00D23B6E"/>
    <w:rsid w:val="00D25914"/>
    <w:rsid w:val="00D51873"/>
    <w:rsid w:val="00D51CCC"/>
    <w:rsid w:val="00D52447"/>
    <w:rsid w:val="00D725CD"/>
    <w:rsid w:val="00D7399F"/>
    <w:rsid w:val="00D8228E"/>
    <w:rsid w:val="00D84F2F"/>
    <w:rsid w:val="00D87171"/>
    <w:rsid w:val="00D87D7C"/>
    <w:rsid w:val="00D94A7A"/>
    <w:rsid w:val="00D974B6"/>
    <w:rsid w:val="00DA4D80"/>
    <w:rsid w:val="00DC4B3E"/>
    <w:rsid w:val="00DD7970"/>
    <w:rsid w:val="00DE4226"/>
    <w:rsid w:val="00DE51D5"/>
    <w:rsid w:val="00DF05D9"/>
    <w:rsid w:val="00E00219"/>
    <w:rsid w:val="00E05183"/>
    <w:rsid w:val="00E12EBB"/>
    <w:rsid w:val="00E14CE5"/>
    <w:rsid w:val="00E216D9"/>
    <w:rsid w:val="00E32CB7"/>
    <w:rsid w:val="00E415DF"/>
    <w:rsid w:val="00E51169"/>
    <w:rsid w:val="00E51FE9"/>
    <w:rsid w:val="00E561A3"/>
    <w:rsid w:val="00E60A0C"/>
    <w:rsid w:val="00E75FF6"/>
    <w:rsid w:val="00E822FC"/>
    <w:rsid w:val="00E928A4"/>
    <w:rsid w:val="00EB563C"/>
    <w:rsid w:val="00EB6C04"/>
    <w:rsid w:val="00EC54DE"/>
    <w:rsid w:val="00EC7DE8"/>
    <w:rsid w:val="00ED6BAF"/>
    <w:rsid w:val="00EE1633"/>
    <w:rsid w:val="00EF2DF8"/>
    <w:rsid w:val="00EF46E2"/>
    <w:rsid w:val="00EF51F3"/>
    <w:rsid w:val="00F41D77"/>
    <w:rsid w:val="00F4515D"/>
    <w:rsid w:val="00F6004B"/>
    <w:rsid w:val="00F6574D"/>
    <w:rsid w:val="00F7048A"/>
    <w:rsid w:val="00F80068"/>
    <w:rsid w:val="00F813E3"/>
    <w:rsid w:val="00F83FC0"/>
    <w:rsid w:val="00F845DA"/>
    <w:rsid w:val="00F8666B"/>
    <w:rsid w:val="00F87520"/>
    <w:rsid w:val="00F96018"/>
    <w:rsid w:val="00FA0794"/>
    <w:rsid w:val="00FA09B8"/>
    <w:rsid w:val="00FA0E0A"/>
    <w:rsid w:val="00FC067E"/>
    <w:rsid w:val="00FC7851"/>
    <w:rsid w:val="00FD7AD1"/>
    <w:rsid w:val="00FE3B47"/>
    <w:rsid w:val="00FF241D"/>
    <w:rsid w:val="00FF66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47EEC"/>
  <w15:docId w15:val="{CC8F1B01-6A26-4DF1-ACD9-54511F1E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84"/>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7408">
      <w:bodyDiv w:val="1"/>
      <w:marLeft w:val="0"/>
      <w:marRight w:val="0"/>
      <w:marTop w:val="0"/>
      <w:marBottom w:val="0"/>
      <w:divBdr>
        <w:top w:val="none" w:sz="0" w:space="0" w:color="auto"/>
        <w:left w:val="none" w:sz="0" w:space="0" w:color="auto"/>
        <w:bottom w:val="none" w:sz="0" w:space="0" w:color="auto"/>
        <w:right w:val="none" w:sz="0" w:space="0" w:color="auto"/>
      </w:divBdr>
    </w:div>
    <w:div w:id="280962298">
      <w:bodyDiv w:val="1"/>
      <w:marLeft w:val="0"/>
      <w:marRight w:val="0"/>
      <w:marTop w:val="0"/>
      <w:marBottom w:val="0"/>
      <w:divBdr>
        <w:top w:val="none" w:sz="0" w:space="0" w:color="auto"/>
        <w:left w:val="none" w:sz="0" w:space="0" w:color="auto"/>
        <w:bottom w:val="none" w:sz="0" w:space="0" w:color="auto"/>
        <w:right w:val="none" w:sz="0" w:space="0" w:color="auto"/>
      </w:divBdr>
    </w:div>
    <w:div w:id="521169356">
      <w:bodyDiv w:val="1"/>
      <w:marLeft w:val="0"/>
      <w:marRight w:val="0"/>
      <w:marTop w:val="0"/>
      <w:marBottom w:val="0"/>
      <w:divBdr>
        <w:top w:val="none" w:sz="0" w:space="0" w:color="auto"/>
        <w:left w:val="none" w:sz="0" w:space="0" w:color="auto"/>
        <w:bottom w:val="none" w:sz="0" w:space="0" w:color="auto"/>
        <w:right w:val="none" w:sz="0" w:space="0" w:color="auto"/>
      </w:divBdr>
    </w:div>
    <w:div w:id="592788360">
      <w:bodyDiv w:val="1"/>
      <w:marLeft w:val="0"/>
      <w:marRight w:val="0"/>
      <w:marTop w:val="0"/>
      <w:marBottom w:val="0"/>
      <w:divBdr>
        <w:top w:val="none" w:sz="0" w:space="0" w:color="auto"/>
        <w:left w:val="none" w:sz="0" w:space="0" w:color="auto"/>
        <w:bottom w:val="none" w:sz="0" w:space="0" w:color="auto"/>
        <w:right w:val="none" w:sz="0" w:space="0" w:color="auto"/>
      </w:divBdr>
    </w:div>
    <w:div w:id="711029800">
      <w:bodyDiv w:val="1"/>
      <w:marLeft w:val="0"/>
      <w:marRight w:val="0"/>
      <w:marTop w:val="0"/>
      <w:marBottom w:val="0"/>
      <w:divBdr>
        <w:top w:val="none" w:sz="0" w:space="0" w:color="auto"/>
        <w:left w:val="none" w:sz="0" w:space="0" w:color="auto"/>
        <w:bottom w:val="none" w:sz="0" w:space="0" w:color="auto"/>
        <w:right w:val="none" w:sz="0" w:space="0" w:color="auto"/>
      </w:divBdr>
    </w:div>
    <w:div w:id="741413592">
      <w:bodyDiv w:val="1"/>
      <w:marLeft w:val="0"/>
      <w:marRight w:val="0"/>
      <w:marTop w:val="0"/>
      <w:marBottom w:val="0"/>
      <w:divBdr>
        <w:top w:val="none" w:sz="0" w:space="0" w:color="auto"/>
        <w:left w:val="none" w:sz="0" w:space="0" w:color="auto"/>
        <w:bottom w:val="none" w:sz="0" w:space="0" w:color="auto"/>
        <w:right w:val="none" w:sz="0" w:space="0" w:color="auto"/>
      </w:divBdr>
    </w:div>
    <w:div w:id="814955018">
      <w:bodyDiv w:val="1"/>
      <w:marLeft w:val="0"/>
      <w:marRight w:val="0"/>
      <w:marTop w:val="0"/>
      <w:marBottom w:val="0"/>
      <w:divBdr>
        <w:top w:val="none" w:sz="0" w:space="0" w:color="auto"/>
        <w:left w:val="none" w:sz="0" w:space="0" w:color="auto"/>
        <w:bottom w:val="none" w:sz="0" w:space="0" w:color="auto"/>
        <w:right w:val="none" w:sz="0" w:space="0" w:color="auto"/>
      </w:divBdr>
    </w:div>
    <w:div w:id="1046755803">
      <w:bodyDiv w:val="1"/>
      <w:marLeft w:val="0"/>
      <w:marRight w:val="0"/>
      <w:marTop w:val="0"/>
      <w:marBottom w:val="0"/>
      <w:divBdr>
        <w:top w:val="none" w:sz="0" w:space="0" w:color="auto"/>
        <w:left w:val="none" w:sz="0" w:space="0" w:color="auto"/>
        <w:bottom w:val="none" w:sz="0" w:space="0" w:color="auto"/>
        <w:right w:val="none" w:sz="0" w:space="0" w:color="auto"/>
      </w:divBdr>
    </w:div>
    <w:div w:id="1289774617">
      <w:bodyDiv w:val="1"/>
      <w:marLeft w:val="0"/>
      <w:marRight w:val="0"/>
      <w:marTop w:val="0"/>
      <w:marBottom w:val="0"/>
      <w:divBdr>
        <w:top w:val="none" w:sz="0" w:space="0" w:color="auto"/>
        <w:left w:val="none" w:sz="0" w:space="0" w:color="auto"/>
        <w:bottom w:val="none" w:sz="0" w:space="0" w:color="auto"/>
        <w:right w:val="none" w:sz="0" w:space="0" w:color="auto"/>
      </w:divBdr>
    </w:div>
    <w:div w:id="1300841124">
      <w:bodyDiv w:val="1"/>
      <w:marLeft w:val="0"/>
      <w:marRight w:val="0"/>
      <w:marTop w:val="0"/>
      <w:marBottom w:val="0"/>
      <w:divBdr>
        <w:top w:val="none" w:sz="0" w:space="0" w:color="auto"/>
        <w:left w:val="none" w:sz="0" w:space="0" w:color="auto"/>
        <w:bottom w:val="none" w:sz="0" w:space="0" w:color="auto"/>
        <w:right w:val="none" w:sz="0" w:space="0" w:color="auto"/>
      </w:divBdr>
    </w:div>
    <w:div w:id="1495493819">
      <w:bodyDiv w:val="1"/>
      <w:marLeft w:val="0"/>
      <w:marRight w:val="0"/>
      <w:marTop w:val="0"/>
      <w:marBottom w:val="0"/>
      <w:divBdr>
        <w:top w:val="none" w:sz="0" w:space="0" w:color="auto"/>
        <w:left w:val="none" w:sz="0" w:space="0" w:color="auto"/>
        <w:bottom w:val="none" w:sz="0" w:space="0" w:color="auto"/>
        <w:right w:val="none" w:sz="0" w:space="0" w:color="auto"/>
      </w:divBdr>
    </w:div>
    <w:div w:id="1695381779">
      <w:bodyDiv w:val="1"/>
      <w:marLeft w:val="0"/>
      <w:marRight w:val="0"/>
      <w:marTop w:val="0"/>
      <w:marBottom w:val="0"/>
      <w:divBdr>
        <w:top w:val="none" w:sz="0" w:space="0" w:color="auto"/>
        <w:left w:val="none" w:sz="0" w:space="0" w:color="auto"/>
        <w:bottom w:val="none" w:sz="0" w:space="0" w:color="auto"/>
        <w:right w:val="none" w:sz="0" w:space="0" w:color="auto"/>
      </w:divBdr>
    </w:div>
    <w:div w:id="1806776807">
      <w:bodyDiv w:val="1"/>
      <w:marLeft w:val="0"/>
      <w:marRight w:val="0"/>
      <w:marTop w:val="0"/>
      <w:marBottom w:val="0"/>
      <w:divBdr>
        <w:top w:val="none" w:sz="0" w:space="0" w:color="auto"/>
        <w:left w:val="none" w:sz="0" w:space="0" w:color="auto"/>
        <w:bottom w:val="none" w:sz="0" w:space="0" w:color="auto"/>
        <w:right w:val="none" w:sz="0" w:space="0" w:color="auto"/>
      </w:divBdr>
    </w:div>
    <w:div w:id="1880781273">
      <w:bodyDiv w:val="1"/>
      <w:marLeft w:val="0"/>
      <w:marRight w:val="0"/>
      <w:marTop w:val="0"/>
      <w:marBottom w:val="0"/>
      <w:divBdr>
        <w:top w:val="none" w:sz="0" w:space="0" w:color="auto"/>
        <w:left w:val="none" w:sz="0" w:space="0" w:color="auto"/>
        <w:bottom w:val="none" w:sz="0" w:space="0" w:color="auto"/>
        <w:right w:val="none" w:sz="0" w:space="0" w:color="auto"/>
      </w:divBdr>
    </w:div>
    <w:div w:id="209397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zU02ubcHkpTM3k907AHc3RI/zw==">AMUW2mVLq7hXLrxeKMvxh1Egjru4LslpmGYZVrMTNn7agjHNyXZ6saC/hDr5tihIq63PN+wZnpOUCnjOKlEYSgchhj8l4RdT3MW1tHLvaIKilgTSvDuEFsZCgWtxTJWz8CupiqQuypAM4Jb4QqKUKrDor+b91W5VfPwE8TLZeLs2AYopiTA4N1oyXPZsSTtkUzy8qXsraDvp</go:docsCustomData>
</go:gDocsCustomXmlDataStorage>
</file>

<file path=customXml/itemProps1.xml><?xml version="1.0" encoding="utf-8"?>
<ds:datastoreItem xmlns:ds="http://schemas.openxmlformats.org/officeDocument/2006/customXml" ds:itemID="{26EE511F-B613-4214-906C-0F25A11CF1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7623</Words>
  <Characters>41928</Characters>
  <Application>Microsoft Office Word</Application>
  <DocSecurity>4</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Villagomez</cp:lastModifiedBy>
  <cp:revision>2</cp:revision>
  <cp:lastPrinted>2023-07-13T17:32:00Z</cp:lastPrinted>
  <dcterms:created xsi:type="dcterms:W3CDTF">2023-08-07T17:20:00Z</dcterms:created>
  <dcterms:modified xsi:type="dcterms:W3CDTF">2023-08-07T17:20:00Z</dcterms:modified>
</cp:coreProperties>
</file>