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8A9E1" w14:textId="77777777" w:rsidR="009F09BC" w:rsidRPr="00CD2099" w:rsidRDefault="009F09BC" w:rsidP="009F09BC">
      <w:pPr>
        <w:tabs>
          <w:tab w:val="left" w:pos="3465"/>
        </w:tabs>
        <w:spacing w:before="240" w:after="360" w:line="360" w:lineRule="auto"/>
        <w:jc w:val="both"/>
        <w:rPr>
          <w:rFonts w:ascii="Palatino Linotype" w:hAnsi="Palatino Linotype"/>
          <w:color w:val="000000" w:themeColor="text1"/>
        </w:rPr>
      </w:pPr>
      <w:r w:rsidRPr="00CD2099">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4727DB" w:rsidRPr="00CD2099">
        <w:rPr>
          <w:rFonts w:ascii="Palatino Linotype" w:eastAsia="MS Mincho" w:hAnsi="Palatino Linotype" w:cs="Times New Roman"/>
          <w:color w:val="000000"/>
          <w:lang w:val="es-MX"/>
        </w:rPr>
        <w:t xml:space="preserve">trece </w:t>
      </w:r>
      <w:r w:rsidR="00A03D0F" w:rsidRPr="00CD2099">
        <w:rPr>
          <w:rFonts w:ascii="Palatino Linotype" w:eastAsia="MS Mincho" w:hAnsi="Palatino Linotype" w:cs="Times New Roman"/>
          <w:color w:val="000000"/>
          <w:lang w:val="es-MX"/>
        </w:rPr>
        <w:t xml:space="preserve">(13) </w:t>
      </w:r>
      <w:r w:rsidR="004727DB" w:rsidRPr="00CD2099">
        <w:rPr>
          <w:rFonts w:ascii="Palatino Linotype" w:eastAsia="MS Mincho" w:hAnsi="Palatino Linotype" w:cs="Times New Roman"/>
          <w:color w:val="000000"/>
          <w:lang w:val="es-MX"/>
        </w:rPr>
        <w:t>de diciembre</w:t>
      </w:r>
      <w:r w:rsidR="00677893" w:rsidRPr="00CD2099">
        <w:rPr>
          <w:rFonts w:ascii="Palatino Linotype" w:eastAsia="MS Mincho" w:hAnsi="Palatino Linotype" w:cs="Times New Roman"/>
          <w:color w:val="000000"/>
          <w:lang w:val="es-MX"/>
        </w:rPr>
        <w:t xml:space="preserve"> de dos mil veintitrés.</w:t>
      </w:r>
    </w:p>
    <w:p w14:paraId="1AF8A9E2" w14:textId="02F83BD9" w:rsidR="00677893" w:rsidRPr="00CD2099" w:rsidRDefault="00677893" w:rsidP="00677893">
      <w:pPr>
        <w:spacing w:line="360" w:lineRule="auto"/>
        <w:jc w:val="both"/>
        <w:rPr>
          <w:rFonts w:ascii="Palatino Linotype" w:eastAsia="Times New Roman" w:hAnsi="Palatino Linotype" w:cs="Times New Roman"/>
          <w:color w:val="000000" w:themeColor="text1"/>
        </w:rPr>
      </w:pPr>
      <w:r w:rsidRPr="00CD2099">
        <w:rPr>
          <w:rFonts w:ascii="Palatino Linotype" w:hAnsi="Palatino Linotype"/>
          <w:b/>
          <w:color w:val="000000" w:themeColor="text1"/>
        </w:rPr>
        <w:t>VISTO</w:t>
      </w:r>
      <w:r w:rsidRPr="00CD2099">
        <w:rPr>
          <w:rFonts w:ascii="Palatino Linotype" w:hAnsi="Palatino Linotype"/>
          <w:color w:val="000000" w:themeColor="text1"/>
        </w:rPr>
        <w:t xml:space="preserve"> el expediente electrónico formado con motivo del recurso de revisión </w:t>
      </w:r>
      <w:r w:rsidR="004727DB" w:rsidRPr="00CD2099">
        <w:rPr>
          <w:rFonts w:ascii="Palatino Linotype" w:hAnsi="Palatino Linotype"/>
          <w:b/>
          <w:bCs/>
        </w:rPr>
        <w:t>04113/INFOEM/IP/RR/2023</w:t>
      </w:r>
      <w:r w:rsidRPr="00CD2099">
        <w:rPr>
          <w:rFonts w:ascii="Palatino Linotype" w:eastAsia="Times New Roman" w:hAnsi="Palatino Linotype" w:cs="Arial"/>
          <w:bCs/>
          <w:color w:val="000000" w:themeColor="text1"/>
        </w:rPr>
        <w:t xml:space="preserve">, </w:t>
      </w:r>
      <w:r w:rsidRPr="00CD2099">
        <w:rPr>
          <w:rFonts w:ascii="Palatino Linotype" w:eastAsia="Times New Roman" w:hAnsi="Palatino Linotype" w:cs="Times New Roman"/>
          <w:color w:val="000000" w:themeColor="text1"/>
        </w:rPr>
        <w:t xml:space="preserve">interpuesto por </w:t>
      </w:r>
      <w:r w:rsidR="000729B2">
        <w:rPr>
          <w:rFonts w:ascii="Palatino Linotype" w:eastAsia="Times New Roman" w:hAnsi="Palatino Linotype" w:cs="Times New Roman"/>
          <w:b/>
        </w:rPr>
        <w:t xml:space="preserve">XXX </w:t>
      </w:r>
      <w:proofErr w:type="spellStart"/>
      <w:r w:rsidR="000729B2">
        <w:rPr>
          <w:rFonts w:ascii="Palatino Linotype" w:eastAsia="Times New Roman" w:hAnsi="Palatino Linotype" w:cs="Times New Roman"/>
          <w:b/>
        </w:rPr>
        <w:t>XXX</w:t>
      </w:r>
      <w:proofErr w:type="spellEnd"/>
      <w:r w:rsidR="000729B2">
        <w:rPr>
          <w:rFonts w:ascii="Palatino Linotype" w:eastAsia="Times New Roman" w:hAnsi="Palatino Linotype" w:cs="Times New Roman"/>
          <w:b/>
        </w:rPr>
        <w:t xml:space="preserve"> </w:t>
      </w:r>
      <w:proofErr w:type="spellStart"/>
      <w:r w:rsidR="000729B2">
        <w:rPr>
          <w:rFonts w:ascii="Palatino Linotype" w:eastAsia="Times New Roman" w:hAnsi="Palatino Linotype" w:cs="Times New Roman"/>
          <w:b/>
        </w:rPr>
        <w:t>XXX</w:t>
      </w:r>
      <w:proofErr w:type="spellEnd"/>
      <w:r w:rsidR="00A03D0F" w:rsidRPr="00CD2099">
        <w:rPr>
          <w:rFonts w:ascii="Palatino Linotype" w:eastAsia="Times New Roman" w:hAnsi="Palatino Linotype" w:cs="Times New Roman"/>
          <w:color w:val="000000" w:themeColor="text1"/>
        </w:rPr>
        <w:t>, en lo sucesivo</w:t>
      </w:r>
      <w:r w:rsidRPr="00CD2099">
        <w:rPr>
          <w:rFonts w:ascii="Palatino Linotype" w:eastAsia="Times New Roman" w:hAnsi="Palatino Linotype" w:cs="Times New Roman"/>
          <w:color w:val="000000" w:themeColor="text1"/>
        </w:rPr>
        <w:t xml:space="preserve"> </w:t>
      </w:r>
      <w:r w:rsidR="002D7E85" w:rsidRPr="00CD2099">
        <w:rPr>
          <w:rFonts w:ascii="Palatino Linotype" w:eastAsia="Times New Roman" w:hAnsi="Palatino Linotype" w:cs="Times New Roman"/>
          <w:b/>
          <w:color w:val="000000" w:themeColor="text1"/>
        </w:rPr>
        <w:t xml:space="preserve">EL </w:t>
      </w:r>
      <w:r w:rsidRPr="00CD2099">
        <w:rPr>
          <w:rFonts w:ascii="Palatino Linotype" w:eastAsia="Times New Roman" w:hAnsi="Palatino Linotype" w:cs="Times New Roman"/>
          <w:b/>
          <w:bCs/>
          <w:color w:val="000000" w:themeColor="text1"/>
        </w:rPr>
        <w:t>RECURRENTE</w:t>
      </w:r>
      <w:r w:rsidR="00A03D0F" w:rsidRPr="00CD2099">
        <w:rPr>
          <w:rFonts w:ascii="Palatino Linotype" w:eastAsia="Times New Roman" w:hAnsi="Palatino Linotype" w:cs="Arial"/>
          <w:color w:val="000000" w:themeColor="text1"/>
        </w:rPr>
        <w:t>,</w:t>
      </w:r>
      <w:r w:rsidRPr="00CD2099">
        <w:rPr>
          <w:rFonts w:ascii="Palatino Linotype" w:eastAsia="Times New Roman" w:hAnsi="Palatino Linotype" w:cs="Arial"/>
          <w:color w:val="000000" w:themeColor="text1"/>
        </w:rPr>
        <w:t xml:space="preserve"> en contra del incumplimiento </w:t>
      </w:r>
      <w:r w:rsidR="00BF3240" w:rsidRPr="00CD2099">
        <w:rPr>
          <w:rFonts w:ascii="Palatino Linotype" w:eastAsia="Times New Roman" w:hAnsi="Palatino Linotype" w:cs="Arial"/>
          <w:color w:val="000000" w:themeColor="text1"/>
        </w:rPr>
        <w:t xml:space="preserve">del </w:t>
      </w:r>
      <w:r w:rsidR="004727DB" w:rsidRPr="00CD2099">
        <w:rPr>
          <w:rFonts w:ascii="Palatino Linotype" w:eastAsia="Times New Roman" w:hAnsi="Palatino Linotype" w:cs="Times New Roman"/>
          <w:color w:val="000000" w:themeColor="text1"/>
        </w:rPr>
        <w:t>Tribunal de Justicia Administrativa del Estado de México</w:t>
      </w:r>
      <w:r w:rsidRPr="00CD2099">
        <w:rPr>
          <w:rFonts w:ascii="Palatino Linotype" w:eastAsia="Times New Roman" w:hAnsi="Palatino Linotype" w:cs="Times New Roman"/>
          <w:color w:val="000000" w:themeColor="text1"/>
        </w:rPr>
        <w:t xml:space="preserve">, en </w:t>
      </w:r>
      <w:r w:rsidR="00A03D0F" w:rsidRPr="00CD2099">
        <w:rPr>
          <w:rFonts w:ascii="Palatino Linotype" w:eastAsia="Times New Roman" w:hAnsi="Palatino Linotype" w:cs="Times New Roman"/>
          <w:color w:val="000000" w:themeColor="text1"/>
        </w:rPr>
        <w:t>adelante</w:t>
      </w:r>
      <w:r w:rsidRPr="00CD2099">
        <w:rPr>
          <w:rFonts w:ascii="Palatino Linotype" w:eastAsia="Times New Roman" w:hAnsi="Palatino Linotype" w:cs="Times New Roman"/>
          <w:color w:val="000000" w:themeColor="text1"/>
        </w:rPr>
        <w:t xml:space="preserve"> el</w:t>
      </w:r>
      <w:r w:rsidRPr="00CD2099">
        <w:rPr>
          <w:rFonts w:ascii="Palatino Linotype" w:eastAsia="Times New Roman" w:hAnsi="Palatino Linotype" w:cs="Times New Roman"/>
          <w:b/>
          <w:color w:val="000000" w:themeColor="text1"/>
        </w:rPr>
        <w:t xml:space="preserve"> SUJETO OBLIGADO</w:t>
      </w:r>
      <w:r w:rsidRPr="00CD2099">
        <w:rPr>
          <w:rFonts w:ascii="Palatino Linotype" w:eastAsia="Times New Roman" w:hAnsi="Palatino Linotype" w:cs="Times New Roman"/>
          <w:color w:val="000000" w:themeColor="text1"/>
        </w:rPr>
        <w:t>,</w:t>
      </w:r>
      <w:r w:rsidRPr="00CD2099">
        <w:rPr>
          <w:rFonts w:ascii="Palatino Linotype" w:eastAsia="Times New Roman" w:hAnsi="Palatino Linotype" w:cs="Times New Roman"/>
          <w:b/>
          <w:color w:val="000000" w:themeColor="text1"/>
        </w:rPr>
        <w:t xml:space="preserve"> </w:t>
      </w:r>
      <w:r w:rsidRPr="00CD2099">
        <w:rPr>
          <w:rFonts w:ascii="Palatino Linotype" w:eastAsia="Times New Roman" w:hAnsi="Palatino Linotype" w:cs="Times New Roman"/>
          <w:color w:val="000000" w:themeColor="text1"/>
        </w:rPr>
        <w:t>se procede a dictar la presente resolución, con base en los siguientes:</w:t>
      </w:r>
    </w:p>
    <w:p w14:paraId="1AF8A9E3" w14:textId="77777777" w:rsidR="00CE3153" w:rsidRPr="00CD2099" w:rsidRDefault="00CE3153" w:rsidP="00995B4E">
      <w:pPr>
        <w:spacing w:line="360" w:lineRule="auto"/>
        <w:jc w:val="both"/>
        <w:rPr>
          <w:rFonts w:ascii="Palatino Linotype" w:hAnsi="Palatino Linotype"/>
          <w:b/>
          <w:color w:val="000000" w:themeColor="text1"/>
        </w:rPr>
      </w:pPr>
    </w:p>
    <w:p w14:paraId="1AF8A9E4" w14:textId="77777777" w:rsidR="009F09BC" w:rsidRPr="00CD2099" w:rsidRDefault="009F09BC" w:rsidP="00995B4E">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CD2099">
        <w:rPr>
          <w:rFonts w:ascii="Palatino Linotype" w:hAnsi="Palatino Linotype"/>
          <w:b/>
          <w:color w:val="000000" w:themeColor="text1"/>
          <w:sz w:val="24"/>
          <w:szCs w:val="24"/>
        </w:rPr>
        <w:t>ANTECEDENTES</w:t>
      </w:r>
      <w:bookmarkEnd w:id="0"/>
      <w:bookmarkEnd w:id="1"/>
      <w:bookmarkEnd w:id="2"/>
    </w:p>
    <w:p w14:paraId="1AF8A9E5" w14:textId="77777777" w:rsidR="00677893" w:rsidRPr="00CD2099" w:rsidRDefault="00677893" w:rsidP="0067789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AF8A9E6" w14:textId="77777777" w:rsidR="00677893" w:rsidRPr="00CD2099" w:rsidRDefault="004727DB" w:rsidP="00677893">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CD2099">
        <w:rPr>
          <w:rFonts w:ascii="Palatino Linotype" w:eastAsia="Calibri" w:hAnsi="Palatino Linotype" w:cs="Arial"/>
          <w:color w:val="000000" w:themeColor="text1"/>
          <w:lang w:val="es-ES"/>
        </w:rPr>
        <w:t>El cuatro de julio</w:t>
      </w:r>
      <w:r w:rsidR="00F857F0" w:rsidRPr="00CD2099">
        <w:rPr>
          <w:rFonts w:ascii="Palatino Linotype" w:eastAsia="Calibri" w:hAnsi="Palatino Linotype" w:cs="Arial"/>
          <w:color w:val="000000" w:themeColor="text1"/>
          <w:lang w:val="es-ES"/>
        </w:rPr>
        <w:t xml:space="preserve"> de dos mil veintitrés</w:t>
      </w:r>
      <w:r w:rsidR="00677893" w:rsidRPr="00CD2099">
        <w:rPr>
          <w:rFonts w:ascii="Palatino Linotype" w:eastAsia="Calibri" w:hAnsi="Palatino Linotype" w:cs="Arial"/>
          <w:color w:val="000000" w:themeColor="text1"/>
          <w:lang w:val="es-ES"/>
        </w:rPr>
        <w:t>, el particular</w:t>
      </w:r>
      <w:r w:rsidR="00677893" w:rsidRPr="00CD2099">
        <w:rPr>
          <w:rFonts w:ascii="Palatino Linotype" w:hAnsi="Palatino Linotype"/>
          <w:color w:val="000000" w:themeColor="text1"/>
        </w:rPr>
        <w:t xml:space="preserve"> presentó</w:t>
      </w:r>
      <w:r w:rsidR="00677893" w:rsidRPr="00CD2099">
        <w:rPr>
          <w:rFonts w:ascii="Palatino Linotype" w:hAnsi="Palatino Linotype"/>
          <w:b/>
          <w:color w:val="000000" w:themeColor="text1"/>
        </w:rPr>
        <w:t xml:space="preserve"> </w:t>
      </w:r>
      <w:r w:rsidR="00677893" w:rsidRPr="00CD2099">
        <w:rPr>
          <w:rFonts w:ascii="Palatino Linotype" w:hAnsi="Palatino Linotype"/>
          <w:bCs/>
          <w:color w:val="000000" w:themeColor="text1"/>
        </w:rPr>
        <w:t>a través del Sistema de Acceso a la Información Mexiquense (</w:t>
      </w:r>
      <w:r w:rsidR="00677893" w:rsidRPr="00CD2099">
        <w:rPr>
          <w:rFonts w:ascii="Palatino Linotype" w:eastAsia="Calibri" w:hAnsi="Palatino Linotype" w:cs="Arial"/>
          <w:color w:val="000000" w:themeColor="text1"/>
          <w:lang w:val="es-ES"/>
        </w:rPr>
        <w:t xml:space="preserve">SAIMEX), la solicitud de información pública registrada con el número </w:t>
      </w:r>
      <w:r w:rsidRPr="00CD2099">
        <w:rPr>
          <w:rFonts w:ascii="Palatino Linotype" w:hAnsi="Palatino Linotype"/>
          <w:b/>
          <w:bCs/>
        </w:rPr>
        <w:t>00173/TRIJAEM/IP/2023</w:t>
      </w:r>
      <w:r w:rsidR="00677893" w:rsidRPr="00CD2099">
        <w:rPr>
          <w:rFonts w:ascii="Palatino Linotype" w:eastAsia="Calibri" w:hAnsi="Palatino Linotype" w:cs="Arial"/>
          <w:b/>
          <w:color w:val="000000" w:themeColor="text1"/>
          <w:lang w:val="es-ES"/>
        </w:rPr>
        <w:t>,</w:t>
      </w:r>
      <w:r w:rsidR="00677893" w:rsidRPr="00CD2099">
        <w:rPr>
          <w:rFonts w:ascii="Palatino Linotype" w:eastAsia="Calibri" w:hAnsi="Palatino Linotype" w:cs="Arial"/>
          <w:color w:val="000000" w:themeColor="text1"/>
          <w:lang w:val="es-ES"/>
        </w:rPr>
        <w:t xml:space="preserve"> mediante la que requirió lo siguiente:</w:t>
      </w:r>
    </w:p>
    <w:p w14:paraId="1AF8A9E7" w14:textId="77777777" w:rsidR="00677893" w:rsidRPr="00CD2099" w:rsidRDefault="00677893" w:rsidP="00677893">
      <w:pPr>
        <w:pStyle w:val="Prrafodelista"/>
        <w:spacing w:line="276" w:lineRule="auto"/>
        <w:ind w:left="567" w:right="567"/>
        <w:jc w:val="both"/>
        <w:rPr>
          <w:rFonts w:ascii="Palatino Linotype" w:hAnsi="Palatino Linotype"/>
          <w:i/>
          <w:color w:val="000000" w:themeColor="text1"/>
        </w:rPr>
      </w:pPr>
    </w:p>
    <w:p w14:paraId="1AF8A9E8" w14:textId="77777777" w:rsidR="00677893" w:rsidRPr="00CD2099" w:rsidRDefault="00677893" w:rsidP="00677893">
      <w:pPr>
        <w:pStyle w:val="Prrafodelista"/>
        <w:spacing w:line="276" w:lineRule="auto"/>
        <w:ind w:left="567" w:right="567"/>
        <w:jc w:val="both"/>
        <w:rPr>
          <w:rFonts w:ascii="Palatino Linotype" w:hAnsi="Palatino Linotype"/>
          <w:color w:val="000000" w:themeColor="text1"/>
        </w:rPr>
      </w:pPr>
      <w:r w:rsidRPr="00CD2099">
        <w:rPr>
          <w:rFonts w:ascii="Palatino Linotype" w:hAnsi="Palatino Linotype"/>
          <w:i/>
          <w:color w:val="000000" w:themeColor="text1"/>
        </w:rPr>
        <w:t xml:space="preserve"> “</w:t>
      </w:r>
      <w:r w:rsidR="004727DB" w:rsidRPr="00CD2099">
        <w:rPr>
          <w:rFonts w:ascii="Palatino Linotype" w:hAnsi="Palatino Linotype"/>
          <w:i/>
          <w:color w:val="000000" w:themeColor="text1"/>
        </w:rPr>
        <w:t xml:space="preserve">Quiero conocer la fecha de nombramiento de todos los magistrados adscritos al tribunal y copia de su nombramiento </w:t>
      </w:r>
      <w:r w:rsidRPr="00CD2099">
        <w:rPr>
          <w:rFonts w:ascii="Palatino Linotype" w:hAnsi="Palatino Linotype"/>
          <w:color w:val="000000" w:themeColor="text1"/>
        </w:rPr>
        <w:t>(Sic).</w:t>
      </w:r>
    </w:p>
    <w:p w14:paraId="1AF8A9E9" w14:textId="77777777" w:rsidR="00677893" w:rsidRPr="00CD2099" w:rsidRDefault="00677893" w:rsidP="00677893">
      <w:pPr>
        <w:spacing w:line="360" w:lineRule="auto"/>
        <w:ind w:right="333"/>
        <w:jc w:val="both"/>
        <w:rPr>
          <w:rFonts w:ascii="Palatino Linotype" w:hAnsi="Palatino Linotype"/>
          <w:color w:val="000000" w:themeColor="text1"/>
        </w:rPr>
      </w:pPr>
    </w:p>
    <w:p w14:paraId="1AF8A9EA" w14:textId="77777777" w:rsidR="00677893" w:rsidRPr="00CD2099" w:rsidRDefault="00677893" w:rsidP="00677893">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themeColor="text1"/>
        </w:rPr>
      </w:pPr>
      <w:r w:rsidRPr="00CD2099">
        <w:rPr>
          <w:rFonts w:ascii="Palatino Linotype" w:hAnsi="Palatino Linotype" w:cs="Arial"/>
          <w:color w:val="000000" w:themeColor="text1"/>
        </w:rPr>
        <w:t xml:space="preserve">Se hace constar que </w:t>
      </w:r>
      <w:r w:rsidRPr="00CD2099">
        <w:rPr>
          <w:rFonts w:ascii="Palatino Linotype" w:eastAsia="Times New Roman" w:hAnsi="Palatino Linotype" w:cs="Arial"/>
          <w:color w:val="000000" w:themeColor="text1"/>
          <w:lang w:val="es-ES"/>
        </w:rPr>
        <w:t xml:space="preserve">el entonces </w:t>
      </w:r>
      <w:r w:rsidRPr="00CD2099">
        <w:rPr>
          <w:rFonts w:ascii="Palatino Linotype" w:eastAsia="Times New Roman" w:hAnsi="Palatino Linotype" w:cs="Arial"/>
          <w:b/>
          <w:color w:val="000000" w:themeColor="text1"/>
          <w:lang w:val="es-ES"/>
        </w:rPr>
        <w:t>SOLICITANTE</w:t>
      </w:r>
      <w:r w:rsidRPr="00CD2099">
        <w:rPr>
          <w:rFonts w:ascii="Palatino Linotype" w:eastAsia="Times New Roman" w:hAnsi="Palatino Linotype" w:cs="Arial"/>
          <w:color w:val="000000" w:themeColor="text1"/>
          <w:lang w:val="es-ES"/>
        </w:rPr>
        <w:t xml:space="preserve"> señaló como modalidad de entrega de la información</w:t>
      </w:r>
      <w:r w:rsidRPr="00CD2099">
        <w:rPr>
          <w:rFonts w:ascii="Palatino Linotype" w:eastAsia="Times New Roman" w:hAnsi="Palatino Linotype" w:cs="Arial"/>
          <w:bCs/>
          <w:color w:val="000000" w:themeColor="text1"/>
          <w:lang w:val="es-ES"/>
        </w:rPr>
        <w:t>:</w:t>
      </w:r>
      <w:r w:rsidRPr="00CD2099">
        <w:rPr>
          <w:rFonts w:ascii="Palatino Linotype" w:eastAsia="Times New Roman" w:hAnsi="Palatino Linotype" w:cs="Arial"/>
          <w:b/>
          <w:color w:val="000000" w:themeColor="text1"/>
          <w:lang w:val="es-ES"/>
        </w:rPr>
        <w:t xml:space="preserve"> </w:t>
      </w:r>
      <w:r w:rsidRPr="00CD2099">
        <w:rPr>
          <w:rFonts w:ascii="Palatino Linotype" w:eastAsia="Times New Roman" w:hAnsi="Palatino Linotype" w:cs="Arial"/>
          <w:b/>
          <w:i/>
          <w:iCs/>
          <w:color w:val="000000" w:themeColor="text1"/>
          <w:lang w:val="es-ES"/>
        </w:rPr>
        <w:t>A través del SAIMEX</w:t>
      </w:r>
      <w:r w:rsidRPr="00CD2099">
        <w:rPr>
          <w:rFonts w:ascii="Palatino Linotype" w:eastAsia="Calibri" w:hAnsi="Palatino Linotype" w:cs="Arial"/>
          <w:color w:val="000000" w:themeColor="text1"/>
          <w:lang w:val="es-ES"/>
        </w:rPr>
        <w:t>.</w:t>
      </w:r>
    </w:p>
    <w:p w14:paraId="1AF8A9EB" w14:textId="77777777" w:rsidR="00677893" w:rsidRPr="00CD2099" w:rsidRDefault="00677893" w:rsidP="00677893">
      <w:pPr>
        <w:pStyle w:val="Prrafodelista"/>
        <w:spacing w:line="360" w:lineRule="auto"/>
        <w:ind w:left="284"/>
        <w:jc w:val="both"/>
        <w:rPr>
          <w:rFonts w:ascii="Palatino Linotype" w:eastAsia="MS Mincho" w:hAnsi="Palatino Linotype" w:cs="Times New Roman"/>
          <w:color w:val="000000" w:themeColor="text1"/>
        </w:rPr>
      </w:pPr>
    </w:p>
    <w:p w14:paraId="1AF8A9EC" w14:textId="77777777" w:rsidR="007D5AAA" w:rsidRPr="00CD2099" w:rsidRDefault="00677893" w:rsidP="007D5AAA">
      <w:pPr>
        <w:pStyle w:val="Prrafodelista"/>
        <w:numPr>
          <w:ilvl w:val="0"/>
          <w:numId w:val="1"/>
        </w:numPr>
        <w:tabs>
          <w:tab w:val="left" w:pos="426"/>
        </w:tabs>
        <w:spacing w:line="360" w:lineRule="auto"/>
        <w:ind w:left="0" w:firstLine="0"/>
        <w:jc w:val="both"/>
        <w:rPr>
          <w:rFonts w:ascii="Palatino Linotype" w:hAnsi="Palatino Linotype" w:cs="Arial"/>
        </w:rPr>
      </w:pPr>
      <w:r w:rsidRPr="00CD2099">
        <w:rPr>
          <w:rFonts w:ascii="Palatino Linotype" w:eastAsia="MS Mincho" w:hAnsi="Palatino Linotype" w:cs="Times New Roman"/>
          <w:color w:val="000000" w:themeColor="text1"/>
        </w:rPr>
        <w:lastRenderedPageBreak/>
        <w:t xml:space="preserve">El </w:t>
      </w:r>
      <w:r w:rsidRPr="00CD2099">
        <w:rPr>
          <w:rFonts w:ascii="Palatino Linotype" w:eastAsia="MS Mincho" w:hAnsi="Palatino Linotype" w:cs="Times New Roman"/>
          <w:b/>
          <w:bCs/>
          <w:color w:val="000000" w:themeColor="text1"/>
        </w:rPr>
        <w:t>SUJETO OBLIGADO</w:t>
      </w:r>
      <w:r w:rsidRPr="00CD2099">
        <w:rPr>
          <w:rFonts w:ascii="Palatino Linotype" w:eastAsia="MS Mincho" w:hAnsi="Palatino Linotype" w:cs="Times New Roman"/>
          <w:color w:val="000000" w:themeColor="text1"/>
        </w:rPr>
        <w:t xml:space="preserve"> </w:t>
      </w:r>
      <w:r w:rsidR="004727DB" w:rsidRPr="00CD2099">
        <w:rPr>
          <w:rFonts w:ascii="Palatino Linotype" w:eastAsia="MS Mincho" w:hAnsi="Palatino Linotype" w:cs="Times New Roman"/>
          <w:color w:val="000000" w:themeColor="text1"/>
        </w:rPr>
        <w:t xml:space="preserve">rindió respuesta en fecha once de julio de dos mil veintitrés por medio de los siguientes archivos: </w:t>
      </w:r>
    </w:p>
    <w:p w14:paraId="1AF8A9ED" w14:textId="77777777" w:rsidR="004727DB" w:rsidRPr="00CD2099" w:rsidRDefault="004727DB" w:rsidP="00FB005A">
      <w:pPr>
        <w:pStyle w:val="Prrafodelista"/>
        <w:numPr>
          <w:ilvl w:val="0"/>
          <w:numId w:val="12"/>
        </w:numPr>
        <w:rPr>
          <w:rFonts w:ascii="Palatino Linotype" w:hAnsi="Palatino Linotype" w:cs="Arial"/>
          <w:b/>
          <w:sz w:val="22"/>
          <w:u w:val="single"/>
        </w:rPr>
      </w:pPr>
      <w:r w:rsidRPr="00CD2099">
        <w:rPr>
          <w:rFonts w:ascii="Palatino Linotype" w:hAnsi="Palatino Linotype" w:cs="Arial"/>
          <w:b/>
          <w:sz w:val="22"/>
          <w:u w:val="single"/>
        </w:rPr>
        <w:t xml:space="preserve">21.pdf </w:t>
      </w:r>
    </w:p>
    <w:p w14:paraId="1AF8A9EE" w14:textId="77777777" w:rsidR="004727DB" w:rsidRPr="00CD2099" w:rsidRDefault="004727DB" w:rsidP="004727DB">
      <w:pPr>
        <w:rPr>
          <w:rFonts w:ascii="Palatino Linotype" w:hAnsi="Palatino Linotype" w:cs="Arial"/>
          <w:sz w:val="22"/>
        </w:rPr>
      </w:pPr>
      <w:r w:rsidRPr="00CD2099">
        <w:rPr>
          <w:rFonts w:ascii="Palatino Linotype" w:hAnsi="Palatino Linotype" w:cs="Arial"/>
          <w:sz w:val="22"/>
        </w:rPr>
        <w:t xml:space="preserve">Gaceta de gobierno </w:t>
      </w:r>
      <w:r w:rsidR="007D5AAA" w:rsidRPr="00CD2099">
        <w:rPr>
          <w:rFonts w:ascii="Palatino Linotype" w:hAnsi="Palatino Linotype" w:cs="Arial"/>
          <w:sz w:val="22"/>
        </w:rPr>
        <w:t>de fecha 5 de julio de 2017</w:t>
      </w:r>
    </w:p>
    <w:p w14:paraId="1AF8A9EF" w14:textId="77777777" w:rsidR="007D5AAA" w:rsidRPr="00CD2099" w:rsidRDefault="007D5AAA" w:rsidP="004727DB">
      <w:pPr>
        <w:rPr>
          <w:rFonts w:ascii="Palatino Linotype" w:hAnsi="Palatino Linotype" w:cs="Arial"/>
          <w:sz w:val="22"/>
        </w:rPr>
      </w:pPr>
    </w:p>
    <w:p w14:paraId="1AF8A9F0" w14:textId="77777777" w:rsidR="004727DB" w:rsidRPr="00CD2099" w:rsidRDefault="004727DB" w:rsidP="00FB005A">
      <w:pPr>
        <w:pStyle w:val="Prrafodelista"/>
        <w:numPr>
          <w:ilvl w:val="0"/>
          <w:numId w:val="12"/>
        </w:numPr>
        <w:rPr>
          <w:rFonts w:ascii="Palatino Linotype" w:hAnsi="Palatino Linotype" w:cs="Arial"/>
          <w:b/>
          <w:sz w:val="22"/>
          <w:u w:val="single"/>
        </w:rPr>
      </w:pPr>
      <w:r w:rsidRPr="00CD2099">
        <w:rPr>
          <w:rFonts w:ascii="Palatino Linotype" w:hAnsi="Palatino Linotype" w:cs="Arial"/>
          <w:b/>
          <w:sz w:val="22"/>
          <w:u w:val="single"/>
        </w:rPr>
        <w:t>24.pdf</w:t>
      </w:r>
    </w:p>
    <w:p w14:paraId="1AF8A9F1" w14:textId="77777777" w:rsidR="007D5AAA" w:rsidRPr="00CD2099" w:rsidRDefault="007D5AAA" w:rsidP="007D5AAA">
      <w:pPr>
        <w:rPr>
          <w:rFonts w:ascii="Palatino Linotype" w:hAnsi="Palatino Linotype" w:cs="Arial"/>
          <w:sz w:val="22"/>
        </w:rPr>
      </w:pPr>
      <w:r w:rsidRPr="00CD2099">
        <w:rPr>
          <w:rFonts w:ascii="Palatino Linotype" w:hAnsi="Palatino Linotype" w:cs="Arial"/>
          <w:sz w:val="22"/>
        </w:rPr>
        <w:t>Gaceta de Gobierno de fecha 13 de septiembre de 2021</w:t>
      </w:r>
    </w:p>
    <w:p w14:paraId="1AF8A9F2" w14:textId="77777777" w:rsidR="007D5AAA" w:rsidRPr="00CD2099" w:rsidRDefault="007D5AAA" w:rsidP="007D5AAA">
      <w:pPr>
        <w:rPr>
          <w:rFonts w:ascii="Palatino Linotype" w:hAnsi="Palatino Linotype" w:cs="Arial"/>
          <w:sz w:val="22"/>
        </w:rPr>
      </w:pPr>
    </w:p>
    <w:p w14:paraId="1AF8A9F3" w14:textId="77777777" w:rsidR="004727DB" w:rsidRPr="00CD2099" w:rsidRDefault="004727DB" w:rsidP="00FB005A">
      <w:pPr>
        <w:pStyle w:val="Prrafodelista"/>
        <w:numPr>
          <w:ilvl w:val="0"/>
          <w:numId w:val="12"/>
        </w:numPr>
        <w:rPr>
          <w:rFonts w:ascii="Palatino Linotype" w:hAnsi="Palatino Linotype" w:cs="Arial"/>
          <w:b/>
          <w:sz w:val="22"/>
          <w:u w:val="single"/>
        </w:rPr>
      </w:pPr>
      <w:r w:rsidRPr="00CD2099">
        <w:rPr>
          <w:rFonts w:ascii="Palatino Linotype" w:hAnsi="Palatino Linotype" w:cs="Arial"/>
          <w:b/>
          <w:sz w:val="22"/>
          <w:u w:val="single"/>
        </w:rPr>
        <w:t>RESPUESTA SOLICITUD 00173.pdf</w:t>
      </w:r>
    </w:p>
    <w:p w14:paraId="1AF8A9F4" w14:textId="77777777" w:rsidR="007D5AAA" w:rsidRPr="00CD2099" w:rsidRDefault="007D5AAA" w:rsidP="007D5AAA">
      <w:pPr>
        <w:rPr>
          <w:rFonts w:ascii="Palatino Linotype" w:hAnsi="Palatino Linotype" w:cs="Arial"/>
          <w:sz w:val="22"/>
        </w:rPr>
      </w:pPr>
      <w:r w:rsidRPr="00CD2099">
        <w:rPr>
          <w:rFonts w:ascii="Palatino Linotype" w:hAnsi="Palatino Linotype" w:cs="Arial"/>
          <w:sz w:val="22"/>
        </w:rPr>
        <w:t xml:space="preserve">Oficio No, TJA/DA/SMYNA/092/2023 por medio del cual </w:t>
      </w:r>
      <w:r w:rsidR="00D6060C" w:rsidRPr="00CD2099">
        <w:rPr>
          <w:rFonts w:ascii="Palatino Linotype" w:hAnsi="Palatino Linotype" w:cs="Arial"/>
          <w:sz w:val="22"/>
        </w:rPr>
        <w:t xml:space="preserve">se </w:t>
      </w:r>
      <w:r w:rsidRPr="00CD2099">
        <w:rPr>
          <w:rFonts w:ascii="Palatino Linotype" w:hAnsi="Palatino Linotype" w:cs="Arial"/>
          <w:sz w:val="22"/>
        </w:rPr>
        <w:t>da respuesta al</w:t>
      </w:r>
      <w:r w:rsidR="00D6060C" w:rsidRPr="00CD2099">
        <w:rPr>
          <w:rFonts w:ascii="Palatino Linotype" w:hAnsi="Palatino Linotype" w:cs="Arial"/>
          <w:sz w:val="22"/>
        </w:rPr>
        <w:t xml:space="preserve"> </w:t>
      </w:r>
      <w:r w:rsidRPr="00CD2099">
        <w:rPr>
          <w:rFonts w:ascii="Palatino Linotype" w:hAnsi="Palatino Linotype" w:cs="Arial"/>
          <w:sz w:val="22"/>
        </w:rPr>
        <w:t>a información solicitada por el recurrente de la siguiente manera:</w:t>
      </w:r>
    </w:p>
    <w:p w14:paraId="1AF8A9F5" w14:textId="77777777" w:rsidR="007D5AAA" w:rsidRPr="00CD2099" w:rsidRDefault="007D5AAA" w:rsidP="007D5AAA">
      <w:pPr>
        <w:rPr>
          <w:rFonts w:ascii="Palatino Linotype" w:hAnsi="Palatino Linotype" w:cs="Arial"/>
        </w:rPr>
      </w:pPr>
    </w:p>
    <w:p w14:paraId="1AF8A9F6" w14:textId="77777777" w:rsidR="007D5AAA" w:rsidRPr="00CD2099" w:rsidRDefault="007D5AAA" w:rsidP="007D5AAA">
      <w:pPr>
        <w:jc w:val="center"/>
        <w:rPr>
          <w:rFonts w:ascii="Palatino Linotype" w:hAnsi="Palatino Linotype" w:cs="Arial"/>
        </w:rPr>
      </w:pPr>
      <w:r w:rsidRPr="00CD2099">
        <w:rPr>
          <w:rFonts w:ascii="Palatino Linotype" w:hAnsi="Palatino Linotype" w:cs="Arial"/>
          <w:noProof/>
          <w:lang w:val="es-MX" w:eastAsia="es-MX"/>
        </w:rPr>
        <w:drawing>
          <wp:inline distT="0" distB="0" distL="0" distR="0" wp14:anchorId="1AF8AACA" wp14:editId="1AF8AACB">
            <wp:extent cx="4099771" cy="3609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5297" cy="3632452"/>
                    </a:xfrm>
                    <a:prstGeom prst="rect">
                      <a:avLst/>
                    </a:prstGeom>
                    <a:noFill/>
                    <a:ln>
                      <a:noFill/>
                    </a:ln>
                  </pic:spPr>
                </pic:pic>
              </a:graphicData>
            </a:graphic>
          </wp:inline>
        </w:drawing>
      </w:r>
    </w:p>
    <w:p w14:paraId="1AF8A9F7" w14:textId="77777777" w:rsidR="007D5AAA" w:rsidRPr="00CD2099" w:rsidRDefault="007D5AAA" w:rsidP="007D5AAA">
      <w:pPr>
        <w:jc w:val="center"/>
        <w:rPr>
          <w:rFonts w:ascii="Palatino Linotype" w:hAnsi="Palatino Linotype" w:cs="Arial"/>
        </w:rPr>
      </w:pPr>
      <w:r w:rsidRPr="00CD2099">
        <w:rPr>
          <w:rFonts w:ascii="Palatino Linotype" w:hAnsi="Palatino Linotype" w:cs="Arial"/>
          <w:noProof/>
          <w:lang w:val="es-MX" w:eastAsia="es-MX"/>
        </w:rPr>
        <w:lastRenderedPageBreak/>
        <w:drawing>
          <wp:inline distT="0" distB="0" distL="0" distR="0" wp14:anchorId="1AF8AACC" wp14:editId="1AF8AACD">
            <wp:extent cx="4286250" cy="74676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7467600"/>
                    </a:xfrm>
                    <a:prstGeom prst="rect">
                      <a:avLst/>
                    </a:prstGeom>
                    <a:noFill/>
                    <a:ln>
                      <a:noFill/>
                    </a:ln>
                  </pic:spPr>
                </pic:pic>
              </a:graphicData>
            </a:graphic>
          </wp:inline>
        </w:drawing>
      </w:r>
    </w:p>
    <w:p w14:paraId="1AF8A9F8" w14:textId="77777777" w:rsidR="007D5AAA" w:rsidRPr="00CD2099" w:rsidRDefault="004727DB" w:rsidP="00FB005A">
      <w:pPr>
        <w:pStyle w:val="Prrafodelista"/>
        <w:numPr>
          <w:ilvl w:val="0"/>
          <w:numId w:val="12"/>
        </w:numPr>
        <w:rPr>
          <w:rFonts w:ascii="Palatino Linotype" w:hAnsi="Palatino Linotype" w:cs="Arial"/>
          <w:b/>
          <w:sz w:val="22"/>
          <w:u w:val="single"/>
        </w:rPr>
      </w:pPr>
      <w:r w:rsidRPr="00CD2099">
        <w:rPr>
          <w:rFonts w:ascii="Palatino Linotype" w:hAnsi="Palatino Linotype" w:cs="Arial"/>
          <w:b/>
          <w:sz w:val="22"/>
          <w:u w:val="single"/>
        </w:rPr>
        <w:lastRenderedPageBreak/>
        <w:t>20.pdf</w:t>
      </w:r>
    </w:p>
    <w:p w14:paraId="1AF8A9F9" w14:textId="77777777" w:rsidR="007D5AAA" w:rsidRPr="00CD2099" w:rsidRDefault="007D5AAA" w:rsidP="007D5AAA">
      <w:pPr>
        <w:rPr>
          <w:rFonts w:ascii="Palatino Linotype" w:hAnsi="Palatino Linotype" w:cs="Arial"/>
          <w:sz w:val="22"/>
        </w:rPr>
      </w:pPr>
      <w:r w:rsidRPr="00CD2099">
        <w:rPr>
          <w:rFonts w:ascii="Palatino Linotype" w:hAnsi="Palatino Linotype" w:cs="Arial"/>
          <w:sz w:val="22"/>
        </w:rPr>
        <w:t>Garceta de Gobierno de fecha 16 de octubre de 2015</w:t>
      </w:r>
    </w:p>
    <w:p w14:paraId="1AF8A9FA" w14:textId="77777777" w:rsidR="007D5AAA" w:rsidRPr="00CD2099" w:rsidRDefault="007D5AAA" w:rsidP="007D5AAA">
      <w:pPr>
        <w:rPr>
          <w:rFonts w:ascii="Palatino Linotype" w:hAnsi="Palatino Linotype" w:cs="Arial"/>
          <w:sz w:val="22"/>
        </w:rPr>
      </w:pPr>
    </w:p>
    <w:p w14:paraId="1AF8A9FB" w14:textId="77777777" w:rsidR="004727DB" w:rsidRPr="00CD2099" w:rsidRDefault="004727DB" w:rsidP="00FB005A">
      <w:pPr>
        <w:pStyle w:val="Prrafodelista"/>
        <w:numPr>
          <w:ilvl w:val="0"/>
          <w:numId w:val="12"/>
        </w:numPr>
        <w:rPr>
          <w:rFonts w:ascii="Palatino Linotype" w:hAnsi="Palatino Linotype" w:cs="Arial"/>
          <w:b/>
          <w:sz w:val="22"/>
          <w:u w:val="single"/>
        </w:rPr>
      </w:pPr>
      <w:r w:rsidRPr="00CD2099">
        <w:rPr>
          <w:rFonts w:ascii="Palatino Linotype" w:hAnsi="Palatino Linotype" w:cs="Arial"/>
          <w:b/>
          <w:sz w:val="22"/>
          <w:u w:val="single"/>
        </w:rPr>
        <w:t>22.pdf</w:t>
      </w:r>
    </w:p>
    <w:p w14:paraId="1AF8A9FC" w14:textId="77777777" w:rsidR="007D5AAA" w:rsidRPr="00CD2099" w:rsidRDefault="007D5AAA" w:rsidP="007D5AAA">
      <w:pPr>
        <w:rPr>
          <w:rFonts w:ascii="Palatino Linotype" w:hAnsi="Palatino Linotype" w:cs="Arial"/>
          <w:sz w:val="22"/>
        </w:rPr>
      </w:pPr>
      <w:r w:rsidRPr="00CD2099">
        <w:rPr>
          <w:rFonts w:ascii="Palatino Linotype" w:hAnsi="Palatino Linotype" w:cs="Arial"/>
          <w:sz w:val="22"/>
        </w:rPr>
        <w:t>Gaceta de Gobierno de fecha 31 de agosto de 2021</w:t>
      </w:r>
    </w:p>
    <w:p w14:paraId="1AF8A9FD" w14:textId="77777777" w:rsidR="00DD590D" w:rsidRPr="00CD2099" w:rsidRDefault="00DD590D" w:rsidP="007D5AAA">
      <w:pPr>
        <w:rPr>
          <w:rFonts w:ascii="Palatino Linotype" w:hAnsi="Palatino Linotype" w:cs="Arial"/>
          <w:sz w:val="22"/>
        </w:rPr>
      </w:pPr>
    </w:p>
    <w:p w14:paraId="1AF8A9FE" w14:textId="77777777" w:rsidR="004727DB" w:rsidRPr="00CD2099" w:rsidRDefault="004727DB" w:rsidP="00FB005A">
      <w:pPr>
        <w:pStyle w:val="Prrafodelista"/>
        <w:numPr>
          <w:ilvl w:val="0"/>
          <w:numId w:val="12"/>
        </w:numPr>
        <w:rPr>
          <w:rFonts w:ascii="Palatino Linotype" w:hAnsi="Palatino Linotype" w:cs="Arial"/>
          <w:b/>
          <w:sz w:val="22"/>
          <w:u w:val="single"/>
        </w:rPr>
      </w:pPr>
      <w:r w:rsidRPr="00CD2099">
        <w:rPr>
          <w:rFonts w:ascii="Palatino Linotype" w:hAnsi="Palatino Linotype" w:cs="Arial"/>
          <w:b/>
          <w:sz w:val="22"/>
          <w:u w:val="single"/>
        </w:rPr>
        <w:t>23.pdf</w:t>
      </w:r>
    </w:p>
    <w:p w14:paraId="1AF8A9FF" w14:textId="77777777" w:rsidR="00DD590D" w:rsidRPr="00CD2099" w:rsidRDefault="00DD590D" w:rsidP="00DD590D">
      <w:pPr>
        <w:rPr>
          <w:rFonts w:ascii="Palatino Linotype" w:hAnsi="Palatino Linotype" w:cs="Arial"/>
          <w:sz w:val="22"/>
        </w:rPr>
      </w:pPr>
      <w:r w:rsidRPr="00CD2099">
        <w:rPr>
          <w:rFonts w:ascii="Palatino Linotype" w:hAnsi="Palatino Linotype" w:cs="Arial"/>
          <w:sz w:val="22"/>
        </w:rPr>
        <w:t>Gaceta de Gobierno de fecha 31 de agosto de 2021</w:t>
      </w:r>
    </w:p>
    <w:p w14:paraId="1AF8AA00" w14:textId="77777777" w:rsidR="00DD590D" w:rsidRPr="00CD2099" w:rsidRDefault="00DD590D" w:rsidP="00DD590D">
      <w:pPr>
        <w:rPr>
          <w:rFonts w:ascii="Palatino Linotype" w:hAnsi="Palatino Linotype" w:cs="Arial"/>
          <w:sz w:val="22"/>
        </w:rPr>
      </w:pPr>
    </w:p>
    <w:p w14:paraId="1AF8AA01" w14:textId="77777777" w:rsidR="004727DB" w:rsidRPr="00CD2099" w:rsidRDefault="004727DB" w:rsidP="00FB005A">
      <w:pPr>
        <w:pStyle w:val="Prrafodelista"/>
        <w:numPr>
          <w:ilvl w:val="0"/>
          <w:numId w:val="12"/>
        </w:numPr>
        <w:rPr>
          <w:rFonts w:ascii="Palatino Linotype" w:hAnsi="Palatino Linotype" w:cs="Arial"/>
          <w:b/>
          <w:sz w:val="22"/>
          <w:u w:val="single"/>
        </w:rPr>
      </w:pPr>
      <w:r w:rsidRPr="00CD2099">
        <w:rPr>
          <w:rFonts w:ascii="Palatino Linotype" w:hAnsi="Palatino Linotype" w:cs="Arial"/>
          <w:b/>
          <w:sz w:val="22"/>
          <w:u w:val="single"/>
        </w:rPr>
        <w:t>13.pdf</w:t>
      </w:r>
    </w:p>
    <w:p w14:paraId="1AF8AA02" w14:textId="77777777" w:rsidR="00DD590D" w:rsidRPr="00CD2099" w:rsidRDefault="00DD590D" w:rsidP="00DD590D">
      <w:pPr>
        <w:rPr>
          <w:rFonts w:ascii="Palatino Linotype" w:hAnsi="Palatino Linotype" w:cs="Arial"/>
          <w:sz w:val="22"/>
        </w:rPr>
      </w:pPr>
      <w:r w:rsidRPr="00CD2099">
        <w:rPr>
          <w:rFonts w:ascii="Palatino Linotype" w:hAnsi="Palatino Linotype" w:cs="Arial"/>
          <w:sz w:val="22"/>
        </w:rPr>
        <w:t>Gaceta de Gobierno de fecha 3 de agosto de 2017</w:t>
      </w:r>
    </w:p>
    <w:p w14:paraId="1AF8AA03" w14:textId="77777777" w:rsidR="00DD590D" w:rsidRPr="00CD2099" w:rsidRDefault="00DD590D" w:rsidP="00DD590D">
      <w:pPr>
        <w:rPr>
          <w:rFonts w:ascii="Palatino Linotype" w:hAnsi="Palatino Linotype" w:cs="Arial"/>
          <w:b/>
          <w:sz w:val="22"/>
          <w:u w:val="single"/>
        </w:rPr>
      </w:pPr>
    </w:p>
    <w:p w14:paraId="1AF8AA04" w14:textId="77777777" w:rsidR="004727DB" w:rsidRPr="00CD2099" w:rsidRDefault="004727DB" w:rsidP="00FB005A">
      <w:pPr>
        <w:pStyle w:val="Prrafodelista"/>
        <w:numPr>
          <w:ilvl w:val="0"/>
          <w:numId w:val="12"/>
        </w:numPr>
        <w:rPr>
          <w:rFonts w:ascii="Palatino Linotype" w:hAnsi="Palatino Linotype" w:cs="Arial"/>
          <w:b/>
          <w:sz w:val="22"/>
          <w:u w:val="single"/>
        </w:rPr>
      </w:pPr>
      <w:r w:rsidRPr="00CD2099">
        <w:rPr>
          <w:rFonts w:ascii="Palatino Linotype" w:hAnsi="Palatino Linotype" w:cs="Arial"/>
          <w:b/>
          <w:sz w:val="22"/>
          <w:u w:val="single"/>
        </w:rPr>
        <w:t>14.pdf</w:t>
      </w:r>
    </w:p>
    <w:p w14:paraId="1AF8AA05" w14:textId="77777777" w:rsidR="00DD590D" w:rsidRPr="00CD2099" w:rsidRDefault="00DD590D" w:rsidP="00DD590D">
      <w:pPr>
        <w:rPr>
          <w:rFonts w:ascii="Palatino Linotype" w:hAnsi="Palatino Linotype" w:cs="Arial"/>
          <w:sz w:val="22"/>
        </w:rPr>
      </w:pPr>
      <w:r w:rsidRPr="00CD2099">
        <w:rPr>
          <w:rFonts w:ascii="Palatino Linotype" w:hAnsi="Palatino Linotype" w:cs="Arial"/>
          <w:sz w:val="22"/>
        </w:rPr>
        <w:t>Gaceta de Gobierno de fecha 2 de febrero de 2018</w:t>
      </w:r>
    </w:p>
    <w:p w14:paraId="1AF8AA06" w14:textId="77777777" w:rsidR="00DD590D" w:rsidRPr="00CD2099" w:rsidRDefault="00DD590D" w:rsidP="00DD590D">
      <w:pPr>
        <w:rPr>
          <w:rFonts w:ascii="Palatino Linotype" w:hAnsi="Palatino Linotype" w:cs="Arial"/>
          <w:b/>
          <w:sz w:val="22"/>
          <w:u w:val="single"/>
        </w:rPr>
      </w:pPr>
    </w:p>
    <w:p w14:paraId="1AF8AA07" w14:textId="77777777" w:rsidR="004727DB" w:rsidRPr="00CD2099" w:rsidRDefault="004727DB" w:rsidP="00FB005A">
      <w:pPr>
        <w:pStyle w:val="Prrafodelista"/>
        <w:numPr>
          <w:ilvl w:val="0"/>
          <w:numId w:val="12"/>
        </w:numPr>
        <w:rPr>
          <w:rFonts w:ascii="Palatino Linotype" w:hAnsi="Palatino Linotype" w:cs="Arial"/>
          <w:b/>
          <w:sz w:val="22"/>
          <w:u w:val="single"/>
        </w:rPr>
      </w:pPr>
      <w:r w:rsidRPr="00CD2099">
        <w:rPr>
          <w:rFonts w:ascii="Palatino Linotype" w:hAnsi="Palatino Linotype" w:cs="Arial"/>
          <w:b/>
          <w:sz w:val="22"/>
          <w:u w:val="single"/>
        </w:rPr>
        <w:t>1-4,6-12,15-19.pdf</w:t>
      </w:r>
    </w:p>
    <w:p w14:paraId="1AF8AA08" w14:textId="77777777" w:rsidR="00DD590D" w:rsidRPr="00CD2099" w:rsidRDefault="00DD590D" w:rsidP="00DD590D">
      <w:pPr>
        <w:rPr>
          <w:rFonts w:ascii="Palatino Linotype" w:hAnsi="Palatino Linotype" w:cs="Arial"/>
          <w:sz w:val="22"/>
        </w:rPr>
      </w:pPr>
      <w:r w:rsidRPr="00CD2099">
        <w:rPr>
          <w:rFonts w:ascii="Palatino Linotype" w:hAnsi="Palatino Linotype" w:cs="Arial"/>
          <w:sz w:val="22"/>
        </w:rPr>
        <w:t>Gaceta de Gobierno de fecha 16 de enero de 2023</w:t>
      </w:r>
    </w:p>
    <w:p w14:paraId="1AF8AA09" w14:textId="77777777" w:rsidR="00DD590D" w:rsidRPr="00CD2099" w:rsidRDefault="00DD590D" w:rsidP="004727DB">
      <w:pPr>
        <w:pStyle w:val="Prrafodelista"/>
        <w:rPr>
          <w:rFonts w:ascii="Palatino Linotype" w:hAnsi="Palatino Linotype" w:cs="Arial"/>
          <w:b/>
          <w:sz w:val="22"/>
          <w:u w:val="single"/>
        </w:rPr>
      </w:pPr>
    </w:p>
    <w:p w14:paraId="1AF8AA0A" w14:textId="77777777" w:rsidR="004727DB" w:rsidRPr="00CD2099" w:rsidRDefault="004727DB" w:rsidP="00FB005A">
      <w:pPr>
        <w:pStyle w:val="Prrafodelista"/>
        <w:numPr>
          <w:ilvl w:val="0"/>
          <w:numId w:val="12"/>
        </w:numPr>
        <w:rPr>
          <w:rFonts w:ascii="Palatino Linotype" w:hAnsi="Palatino Linotype" w:cs="Arial"/>
          <w:b/>
          <w:sz w:val="22"/>
          <w:u w:val="single"/>
        </w:rPr>
      </w:pPr>
      <w:r w:rsidRPr="00CD2099">
        <w:rPr>
          <w:rFonts w:ascii="Palatino Linotype" w:hAnsi="Palatino Linotype" w:cs="Arial"/>
          <w:b/>
          <w:sz w:val="22"/>
          <w:u w:val="single"/>
        </w:rPr>
        <w:t>5.pdf</w:t>
      </w:r>
    </w:p>
    <w:p w14:paraId="1AF8AA0B" w14:textId="77777777" w:rsidR="00DD590D" w:rsidRPr="00CD2099" w:rsidRDefault="00DD590D" w:rsidP="00DD590D">
      <w:pPr>
        <w:rPr>
          <w:rFonts w:ascii="Palatino Linotype" w:hAnsi="Palatino Linotype" w:cs="Arial"/>
          <w:sz w:val="22"/>
        </w:rPr>
      </w:pPr>
      <w:r w:rsidRPr="00CD2099">
        <w:rPr>
          <w:rFonts w:ascii="Palatino Linotype" w:hAnsi="Palatino Linotype" w:cs="Arial"/>
          <w:sz w:val="22"/>
        </w:rPr>
        <w:t>Gaceta de Gobierno de fecha 10 de julio de 2017</w:t>
      </w:r>
    </w:p>
    <w:p w14:paraId="1AF8AA0C" w14:textId="77777777" w:rsidR="00DD590D" w:rsidRPr="00CD2099" w:rsidRDefault="00DD590D" w:rsidP="00DD590D">
      <w:pPr>
        <w:rPr>
          <w:rFonts w:ascii="Palatino Linotype" w:hAnsi="Palatino Linotype" w:cs="Arial"/>
          <w:b/>
          <w:sz w:val="22"/>
          <w:u w:val="single"/>
        </w:rPr>
      </w:pPr>
    </w:p>
    <w:p w14:paraId="1AF8AA0D" w14:textId="77777777" w:rsidR="004727DB" w:rsidRPr="00CD2099" w:rsidRDefault="004727DB" w:rsidP="00FB005A">
      <w:pPr>
        <w:pStyle w:val="Prrafodelista"/>
        <w:numPr>
          <w:ilvl w:val="0"/>
          <w:numId w:val="12"/>
        </w:numPr>
        <w:rPr>
          <w:rFonts w:ascii="Palatino Linotype" w:hAnsi="Palatino Linotype" w:cs="Arial"/>
          <w:b/>
          <w:sz w:val="22"/>
          <w:u w:val="single"/>
        </w:rPr>
      </w:pPr>
      <w:r w:rsidRPr="00CD2099">
        <w:rPr>
          <w:rFonts w:ascii="Palatino Linotype" w:hAnsi="Palatino Linotype" w:cs="Arial"/>
          <w:b/>
          <w:sz w:val="22"/>
          <w:u w:val="single"/>
        </w:rPr>
        <w:t>respuesta sol 173.pdf</w:t>
      </w:r>
    </w:p>
    <w:p w14:paraId="1AF8AA0E" w14:textId="77777777" w:rsidR="00DD590D" w:rsidRPr="00CD2099" w:rsidRDefault="00DD590D" w:rsidP="00DD590D">
      <w:pPr>
        <w:rPr>
          <w:rFonts w:ascii="Palatino Linotype" w:hAnsi="Palatino Linotype" w:cs="Arial"/>
          <w:sz w:val="22"/>
        </w:rPr>
      </w:pPr>
      <w:r w:rsidRPr="00CD2099">
        <w:rPr>
          <w:rFonts w:ascii="Palatino Linotype" w:hAnsi="Palatino Linotype" w:cs="Arial"/>
          <w:sz w:val="22"/>
        </w:rPr>
        <w:t>Acuerdo NO.00173/TRIJAEM/IP/2023</w:t>
      </w:r>
    </w:p>
    <w:p w14:paraId="1AF8AA0F" w14:textId="77777777" w:rsidR="00677893" w:rsidRPr="00CD2099" w:rsidRDefault="00677893" w:rsidP="00677893">
      <w:pPr>
        <w:pStyle w:val="Prrafodelista"/>
        <w:tabs>
          <w:tab w:val="left" w:pos="426"/>
        </w:tabs>
        <w:spacing w:line="360" w:lineRule="auto"/>
        <w:ind w:left="0"/>
        <w:jc w:val="both"/>
        <w:rPr>
          <w:rFonts w:ascii="Palatino Linotype" w:hAnsi="Palatino Linotype" w:cs="Arial"/>
        </w:rPr>
      </w:pPr>
    </w:p>
    <w:p w14:paraId="1AF8AA10" w14:textId="77777777" w:rsidR="00677893" w:rsidRPr="00CD2099" w:rsidRDefault="00DD590D" w:rsidP="00DD590D">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CD2099">
        <w:rPr>
          <w:rFonts w:ascii="Palatino Linotype" w:eastAsia="Times New Roman" w:hAnsi="Palatino Linotype" w:cs="Arial"/>
          <w:color w:val="000000" w:themeColor="text1"/>
          <w:lang w:val="es-ES"/>
        </w:rPr>
        <w:t>Inconforme con lo anterior</w:t>
      </w:r>
      <w:r w:rsidR="002D7E85" w:rsidRPr="00CD2099">
        <w:rPr>
          <w:rFonts w:ascii="Palatino Linotype" w:eastAsia="Times New Roman" w:hAnsi="Palatino Linotype" w:cs="Arial"/>
          <w:color w:val="000000" w:themeColor="text1"/>
          <w:lang w:val="es-ES"/>
        </w:rPr>
        <w:t xml:space="preserve">, </w:t>
      </w:r>
      <w:r w:rsidRPr="00CD2099">
        <w:rPr>
          <w:rFonts w:ascii="Palatino Linotype" w:eastAsia="Times New Roman" w:hAnsi="Palatino Linotype" w:cs="Arial"/>
          <w:color w:val="000000" w:themeColor="text1"/>
          <w:lang w:val="es-ES"/>
        </w:rPr>
        <w:t>treinta y uno de julio</w:t>
      </w:r>
      <w:r w:rsidR="00677893" w:rsidRPr="00CD2099">
        <w:rPr>
          <w:rFonts w:ascii="Palatino Linotype" w:eastAsia="Times New Roman" w:hAnsi="Palatino Linotype" w:cs="Arial"/>
          <w:color w:val="000000" w:themeColor="text1"/>
          <w:lang w:val="es-ES"/>
        </w:rPr>
        <w:t xml:space="preserve"> dos mil veintitrés, el </w:t>
      </w:r>
      <w:r w:rsidRPr="00CD2099">
        <w:rPr>
          <w:rFonts w:ascii="Palatino Linotype" w:eastAsia="Times New Roman" w:hAnsi="Palatino Linotype" w:cs="Arial"/>
          <w:color w:val="000000" w:themeColor="text1"/>
          <w:lang w:val="es-ES"/>
        </w:rPr>
        <w:t xml:space="preserve">PARTICULAR </w:t>
      </w:r>
      <w:r w:rsidR="00677893" w:rsidRPr="00CD2099">
        <w:rPr>
          <w:rFonts w:ascii="Palatino Linotype" w:eastAsia="Times New Roman" w:hAnsi="Palatino Linotype" w:cs="Arial"/>
          <w:color w:val="000000" w:themeColor="text1"/>
          <w:lang w:val="es-ES"/>
        </w:rPr>
        <w:t xml:space="preserve">interpuso el recurso de revisión </w:t>
      </w:r>
      <w:r w:rsidRPr="00CD2099">
        <w:rPr>
          <w:rFonts w:ascii="Palatino Linotype" w:hAnsi="Palatino Linotype"/>
          <w:b/>
          <w:bCs/>
        </w:rPr>
        <w:t xml:space="preserve">04113/INFOEM/IP/RR/2023; </w:t>
      </w:r>
      <w:r w:rsidR="00677893" w:rsidRPr="00CD2099">
        <w:rPr>
          <w:rFonts w:ascii="Palatino Linotype" w:eastAsia="Times New Roman" w:hAnsi="Palatino Linotype" w:cs="Arial"/>
          <w:color w:val="000000" w:themeColor="text1"/>
          <w:lang w:val="es-ES"/>
        </w:rPr>
        <w:t>impugnación en la que refirió lo siguiente:</w:t>
      </w:r>
    </w:p>
    <w:p w14:paraId="1AF8AA11" w14:textId="77777777" w:rsidR="00677893" w:rsidRPr="00CD2099" w:rsidRDefault="00677893" w:rsidP="00677893">
      <w:pPr>
        <w:pStyle w:val="Prrafodelista"/>
        <w:tabs>
          <w:tab w:val="left" w:pos="426"/>
        </w:tabs>
        <w:spacing w:line="360" w:lineRule="auto"/>
        <w:ind w:left="284"/>
        <w:jc w:val="both"/>
        <w:rPr>
          <w:rFonts w:ascii="Palatino Linotype" w:eastAsia="Times New Roman" w:hAnsi="Palatino Linotype" w:cs="Arial"/>
          <w:color w:val="000000" w:themeColor="text1"/>
          <w:sz w:val="22"/>
        </w:rPr>
      </w:pPr>
    </w:p>
    <w:p w14:paraId="1AF8AA12" w14:textId="77777777" w:rsidR="00677893" w:rsidRPr="00CD2099" w:rsidRDefault="00677893" w:rsidP="00DD590D">
      <w:pPr>
        <w:pStyle w:val="Prrafodelista"/>
        <w:numPr>
          <w:ilvl w:val="0"/>
          <w:numId w:val="9"/>
        </w:numPr>
        <w:tabs>
          <w:tab w:val="left" w:pos="851"/>
        </w:tabs>
        <w:spacing w:line="276" w:lineRule="auto"/>
        <w:ind w:right="567"/>
        <w:jc w:val="both"/>
        <w:rPr>
          <w:rFonts w:ascii="Palatino Linotype" w:eastAsia="Times New Roman" w:hAnsi="Palatino Linotype" w:cs="Arial"/>
          <w:color w:val="000000" w:themeColor="text1"/>
          <w:sz w:val="22"/>
          <w:lang w:val="es-ES"/>
        </w:rPr>
      </w:pPr>
      <w:r w:rsidRPr="00CD2099">
        <w:rPr>
          <w:rFonts w:ascii="Palatino Linotype" w:eastAsia="Times New Roman" w:hAnsi="Palatino Linotype" w:cs="Arial"/>
          <w:b/>
          <w:color w:val="000000" w:themeColor="text1"/>
          <w:sz w:val="22"/>
          <w:lang w:val="es-ES"/>
        </w:rPr>
        <w:t>Acto impugnado:</w:t>
      </w:r>
      <w:r w:rsidRPr="00CD2099">
        <w:rPr>
          <w:rFonts w:ascii="Palatino Linotype" w:eastAsia="Times New Roman" w:hAnsi="Palatino Linotype" w:cs="Arial"/>
          <w:color w:val="000000" w:themeColor="text1"/>
          <w:sz w:val="22"/>
          <w:lang w:val="es-ES"/>
        </w:rPr>
        <w:t xml:space="preserve"> “</w:t>
      </w:r>
      <w:r w:rsidR="00DD590D" w:rsidRPr="00CD2099">
        <w:rPr>
          <w:rFonts w:ascii="Palatino Linotype" w:eastAsia="Times New Roman" w:hAnsi="Palatino Linotype" w:cs="Arial"/>
          <w:i/>
          <w:color w:val="000000" w:themeColor="text1"/>
          <w:sz w:val="22"/>
        </w:rPr>
        <w:t>Respuesta a la solicitud</w:t>
      </w:r>
      <w:r w:rsidR="002D7E85" w:rsidRPr="00CD2099">
        <w:rPr>
          <w:rFonts w:ascii="Palatino Linotype" w:eastAsia="Times New Roman" w:hAnsi="Palatino Linotype" w:cs="Arial"/>
          <w:i/>
          <w:color w:val="000000" w:themeColor="text1"/>
          <w:sz w:val="22"/>
        </w:rPr>
        <w:t>.</w:t>
      </w:r>
      <w:r w:rsidRPr="00CD2099">
        <w:rPr>
          <w:rFonts w:ascii="Palatino Linotype" w:eastAsia="Times New Roman" w:hAnsi="Palatino Linotype" w:cs="Arial"/>
          <w:i/>
          <w:color w:val="000000" w:themeColor="text1"/>
          <w:sz w:val="22"/>
          <w:lang w:val="es-ES"/>
        </w:rPr>
        <w:t>”</w:t>
      </w:r>
      <w:r w:rsidRPr="00CD2099">
        <w:rPr>
          <w:rFonts w:ascii="Palatino Linotype" w:eastAsia="Times New Roman" w:hAnsi="Palatino Linotype" w:cs="Arial"/>
          <w:color w:val="000000" w:themeColor="text1"/>
          <w:sz w:val="22"/>
          <w:lang w:val="es-ES"/>
        </w:rPr>
        <w:t xml:space="preserve"> (Sic).</w:t>
      </w:r>
    </w:p>
    <w:p w14:paraId="1AF8AA13" w14:textId="77777777" w:rsidR="00677893" w:rsidRPr="00CD2099" w:rsidRDefault="00677893" w:rsidP="00677893">
      <w:pPr>
        <w:pStyle w:val="Prrafodelista"/>
        <w:tabs>
          <w:tab w:val="left" w:pos="851"/>
        </w:tabs>
        <w:spacing w:line="276" w:lineRule="auto"/>
        <w:ind w:left="1134" w:right="567"/>
        <w:jc w:val="both"/>
        <w:rPr>
          <w:rFonts w:ascii="Palatino Linotype" w:eastAsia="Times New Roman" w:hAnsi="Palatino Linotype" w:cs="Arial"/>
          <w:color w:val="000000" w:themeColor="text1"/>
          <w:sz w:val="22"/>
          <w:lang w:val="es-ES"/>
        </w:rPr>
      </w:pPr>
    </w:p>
    <w:p w14:paraId="1AF8AA14" w14:textId="77777777" w:rsidR="00677893" w:rsidRPr="00CD2099" w:rsidRDefault="00677893" w:rsidP="00DD590D">
      <w:pPr>
        <w:pStyle w:val="Prrafodelista"/>
        <w:numPr>
          <w:ilvl w:val="0"/>
          <w:numId w:val="9"/>
        </w:numPr>
        <w:tabs>
          <w:tab w:val="left" w:pos="851"/>
        </w:tabs>
        <w:spacing w:line="276" w:lineRule="auto"/>
        <w:ind w:right="567"/>
        <w:jc w:val="both"/>
        <w:rPr>
          <w:rFonts w:ascii="Palatino Linotype" w:eastAsia="Times New Roman" w:hAnsi="Palatino Linotype" w:cs="Arial"/>
          <w:color w:val="000000" w:themeColor="text1"/>
          <w:sz w:val="22"/>
          <w:lang w:val="es-ES"/>
        </w:rPr>
      </w:pPr>
      <w:r w:rsidRPr="00CD2099">
        <w:rPr>
          <w:rFonts w:ascii="Palatino Linotype" w:eastAsia="Times New Roman" w:hAnsi="Palatino Linotype" w:cs="Arial"/>
          <w:b/>
          <w:color w:val="000000" w:themeColor="text1"/>
          <w:sz w:val="22"/>
          <w:lang w:val="es-ES"/>
        </w:rPr>
        <w:t>Razones o motivos de inconformidad:</w:t>
      </w:r>
      <w:r w:rsidRPr="00CD2099">
        <w:rPr>
          <w:rFonts w:ascii="Palatino Linotype" w:eastAsia="Times New Roman" w:hAnsi="Palatino Linotype" w:cs="Arial"/>
          <w:color w:val="000000" w:themeColor="text1"/>
          <w:sz w:val="22"/>
          <w:lang w:val="es-ES"/>
        </w:rPr>
        <w:t xml:space="preserve"> </w:t>
      </w:r>
      <w:r w:rsidR="00DD590D" w:rsidRPr="00CD2099">
        <w:rPr>
          <w:rFonts w:ascii="Palatino Linotype" w:eastAsia="Times New Roman" w:hAnsi="Palatino Linotype" w:cs="Arial"/>
          <w:color w:val="000000" w:themeColor="text1"/>
          <w:sz w:val="22"/>
          <w:lang w:val="es-ES"/>
        </w:rPr>
        <w:t>“</w:t>
      </w:r>
      <w:r w:rsidR="00DD590D" w:rsidRPr="00CD2099">
        <w:rPr>
          <w:rFonts w:ascii="Palatino Linotype" w:eastAsia="Times New Roman" w:hAnsi="Palatino Linotype" w:cs="Arial"/>
          <w:i/>
          <w:iCs/>
          <w:color w:val="000000" w:themeColor="text1"/>
          <w:sz w:val="22"/>
          <w:lang w:val="es-ES"/>
        </w:rPr>
        <w:t xml:space="preserve">La solicitud fue muy breve, era posible contestar la fecha de los nombramientos de los magistrados en menos de media cuartilla. Recibí más de 1300 paginas de información que vuelve ininteligible encontrar la respuesta a mi solicitud. Deseo que se otorgue la respuesta de forma breve y concisa, ya que los datos de inicio de un </w:t>
      </w:r>
      <w:r w:rsidR="00DD590D" w:rsidRPr="00CD2099">
        <w:rPr>
          <w:rFonts w:ascii="Palatino Linotype" w:eastAsia="Times New Roman" w:hAnsi="Palatino Linotype" w:cs="Arial"/>
          <w:i/>
          <w:iCs/>
          <w:color w:val="000000" w:themeColor="text1"/>
          <w:sz w:val="22"/>
          <w:lang w:val="es-ES"/>
        </w:rPr>
        <w:lastRenderedPageBreak/>
        <w:t>nombramiento son datos básicos que deben obrar en un expediente administrativo de carácter laboral normal.</w:t>
      </w:r>
      <w:r w:rsidRPr="00CD2099">
        <w:rPr>
          <w:rFonts w:ascii="Palatino Linotype" w:eastAsia="Times New Roman" w:hAnsi="Palatino Linotype" w:cs="Arial"/>
          <w:i/>
          <w:iCs/>
          <w:color w:val="000000" w:themeColor="text1"/>
          <w:sz w:val="22"/>
          <w:lang w:val="es-ES"/>
        </w:rPr>
        <w:t>”</w:t>
      </w:r>
      <w:r w:rsidRPr="00CD2099">
        <w:rPr>
          <w:rFonts w:ascii="Palatino Linotype" w:eastAsia="Times New Roman" w:hAnsi="Palatino Linotype" w:cs="Arial"/>
          <w:color w:val="000000" w:themeColor="text1"/>
          <w:sz w:val="22"/>
          <w:lang w:val="es-ES"/>
        </w:rPr>
        <w:t xml:space="preserve"> (Sic).</w:t>
      </w:r>
    </w:p>
    <w:p w14:paraId="1AF8AA15" w14:textId="77777777" w:rsidR="00677893" w:rsidRPr="00CD2099" w:rsidRDefault="00677893" w:rsidP="00677893">
      <w:pPr>
        <w:tabs>
          <w:tab w:val="left" w:pos="426"/>
        </w:tabs>
        <w:spacing w:line="360" w:lineRule="auto"/>
        <w:jc w:val="both"/>
        <w:rPr>
          <w:rFonts w:ascii="Palatino Linotype" w:hAnsi="Palatino Linotype"/>
          <w:color w:val="000000" w:themeColor="text1"/>
        </w:rPr>
      </w:pPr>
    </w:p>
    <w:p w14:paraId="1AF8AA16" w14:textId="77777777" w:rsidR="00677893" w:rsidRPr="00CD2099" w:rsidRDefault="002D7E85" w:rsidP="00E87D88">
      <w:pPr>
        <w:pStyle w:val="Prrafodelista"/>
        <w:numPr>
          <w:ilvl w:val="0"/>
          <w:numId w:val="1"/>
        </w:numPr>
        <w:tabs>
          <w:tab w:val="left" w:pos="284"/>
          <w:tab w:val="left" w:pos="426"/>
        </w:tabs>
        <w:spacing w:line="360" w:lineRule="auto"/>
        <w:ind w:left="0" w:firstLine="0"/>
        <w:jc w:val="both"/>
        <w:rPr>
          <w:rFonts w:ascii="Palatino Linotype" w:eastAsia="Calibri" w:hAnsi="Palatino Linotype" w:cs="Arial"/>
          <w:color w:val="000000" w:themeColor="text1"/>
          <w:lang w:val="es-ES"/>
        </w:rPr>
      </w:pPr>
      <w:r w:rsidRPr="00CD2099">
        <w:rPr>
          <w:rFonts w:ascii="Palatino Linotype" w:eastAsia="Calibri" w:hAnsi="Palatino Linotype" w:cs="Arial"/>
          <w:bCs/>
          <w:color w:val="000000" w:themeColor="text1"/>
        </w:rPr>
        <w:t>Asimismo</w:t>
      </w:r>
      <w:r w:rsidR="00E87D88" w:rsidRPr="00CD2099">
        <w:rPr>
          <w:rFonts w:ascii="Palatino Linotype" w:eastAsia="Calibri" w:hAnsi="Palatino Linotype" w:cs="Arial"/>
          <w:bCs/>
          <w:color w:val="000000" w:themeColor="text1"/>
        </w:rPr>
        <w:t xml:space="preserve">, con fundamento en lo dispuesto por el </w:t>
      </w:r>
      <w:r w:rsidR="00E87D88" w:rsidRPr="00CD2099">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se turnó a la </w:t>
      </w:r>
      <w:r w:rsidR="00E87D88" w:rsidRPr="00CD2099">
        <w:rPr>
          <w:rFonts w:ascii="Palatino Linotype" w:eastAsia="Calibri" w:hAnsi="Palatino Linotype" w:cs="Arial"/>
          <w:b/>
          <w:bCs/>
          <w:color w:val="000000" w:themeColor="text1"/>
          <w:lang w:val="es-ES"/>
        </w:rPr>
        <w:t>Comisionada María del Rosario Mejía Ayala</w:t>
      </w:r>
      <w:r w:rsidR="00E87D88" w:rsidRPr="00CD2099">
        <w:rPr>
          <w:rFonts w:ascii="Palatino Linotype" w:eastAsia="Calibri" w:hAnsi="Palatino Linotype" w:cs="Arial"/>
          <w:bCs/>
          <w:color w:val="000000" w:themeColor="text1"/>
          <w:lang w:val="es-ES"/>
        </w:rPr>
        <w:t xml:space="preserve">, </w:t>
      </w:r>
      <w:r w:rsidR="00A03D0F" w:rsidRPr="00CD2099">
        <w:rPr>
          <w:rFonts w:ascii="Palatino Linotype" w:eastAsia="Calibri" w:hAnsi="Palatino Linotype" w:cs="Arial"/>
          <w:bCs/>
          <w:color w:val="000000" w:themeColor="text1"/>
          <w:lang w:val="es-ES"/>
        </w:rPr>
        <w:t>para</w:t>
      </w:r>
      <w:r w:rsidR="00E87D88" w:rsidRPr="00CD2099">
        <w:rPr>
          <w:rFonts w:ascii="Palatino Linotype" w:eastAsia="Calibri" w:hAnsi="Palatino Linotype" w:cs="Arial"/>
          <w:bCs/>
          <w:color w:val="000000" w:themeColor="text1"/>
          <w:lang w:val="es-ES"/>
        </w:rPr>
        <w:t xml:space="preserve"> </w:t>
      </w:r>
      <w:r w:rsidR="00E87D88" w:rsidRPr="00CD2099">
        <w:rPr>
          <w:rFonts w:ascii="Palatino Linotype" w:eastAsia="Calibri" w:hAnsi="Palatino Linotype" w:cs="Arial"/>
          <w:bCs/>
          <w:color w:val="000000" w:themeColor="text1"/>
        </w:rPr>
        <w:t>su análisis.</w:t>
      </w:r>
    </w:p>
    <w:p w14:paraId="1AF8AA17" w14:textId="77777777" w:rsidR="00E87D88" w:rsidRPr="00CD2099" w:rsidRDefault="00E87D88" w:rsidP="00E87D88">
      <w:pPr>
        <w:pStyle w:val="Prrafodelista"/>
        <w:tabs>
          <w:tab w:val="left" w:pos="284"/>
          <w:tab w:val="left" w:pos="426"/>
        </w:tabs>
        <w:spacing w:line="360" w:lineRule="auto"/>
        <w:ind w:left="0"/>
        <w:jc w:val="both"/>
        <w:rPr>
          <w:rFonts w:ascii="Palatino Linotype" w:eastAsia="Calibri" w:hAnsi="Palatino Linotype" w:cs="Arial"/>
          <w:color w:val="000000" w:themeColor="text1"/>
          <w:lang w:val="es-ES"/>
        </w:rPr>
      </w:pPr>
    </w:p>
    <w:p w14:paraId="1AF8AA18" w14:textId="77777777" w:rsidR="00677893" w:rsidRPr="00CD2099" w:rsidRDefault="00677893" w:rsidP="00677893">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bookmarkStart w:id="3" w:name="_Hlk74251533"/>
      <w:r w:rsidRPr="00CD2099">
        <w:rPr>
          <w:rFonts w:ascii="Palatino Linotype" w:eastAsia="Times New Roman" w:hAnsi="Palatino Linotype" w:cs="Arial"/>
          <w:color w:val="000000" w:themeColor="text1"/>
          <w:lang w:val="es-ES"/>
        </w:rPr>
        <w:t>La Comisionada Ponente</w:t>
      </w:r>
      <w:r w:rsidRPr="00CD2099">
        <w:rPr>
          <w:rFonts w:ascii="Palatino Linotype" w:eastAsia="Calibri" w:hAnsi="Palatino Linotype" w:cs="Arial"/>
          <w:color w:val="000000" w:themeColor="text1"/>
          <w:lang w:val="es-ES"/>
        </w:rPr>
        <w:t>, con fundamento en lo dispuesto por el artículo 185, fracción II, de la ley de la materia, a través del</w:t>
      </w:r>
      <w:r w:rsidR="002D7E85" w:rsidRPr="00CD2099">
        <w:rPr>
          <w:rFonts w:ascii="Palatino Linotype" w:eastAsia="Calibri" w:hAnsi="Palatino Linotype" w:cs="Arial"/>
          <w:color w:val="000000" w:themeColor="text1"/>
          <w:lang w:val="es-ES"/>
        </w:rPr>
        <w:t xml:space="preserve"> acuerdo de admisión de </w:t>
      </w:r>
      <w:r w:rsidR="00DD590D" w:rsidRPr="00CD2099">
        <w:rPr>
          <w:rFonts w:ascii="Palatino Linotype" w:eastAsia="Calibri" w:hAnsi="Palatino Linotype" w:cs="Arial"/>
          <w:color w:val="000000" w:themeColor="text1"/>
          <w:lang w:val="es-ES"/>
        </w:rPr>
        <w:t>primero de agosto</w:t>
      </w:r>
      <w:r w:rsidR="00F857F0" w:rsidRPr="00CD2099">
        <w:rPr>
          <w:rFonts w:ascii="Palatino Linotype" w:eastAsia="Calibri" w:hAnsi="Palatino Linotype" w:cs="Arial"/>
          <w:color w:val="000000" w:themeColor="text1"/>
          <w:lang w:val="es-ES"/>
        </w:rPr>
        <w:t xml:space="preserve"> </w:t>
      </w:r>
      <w:r w:rsidRPr="00CD2099">
        <w:rPr>
          <w:rFonts w:ascii="Palatino Linotype" w:eastAsia="Calibri" w:hAnsi="Palatino Linotype" w:cs="Arial"/>
          <w:color w:val="000000" w:themeColor="text1"/>
          <w:lang w:val="es-ES"/>
        </w:rPr>
        <w:t xml:space="preserve">de dos mil veintitrés, puso a disposición de las partes el expediente electrónico </w:t>
      </w:r>
      <w:r w:rsidRPr="00CD2099">
        <w:rPr>
          <w:rFonts w:ascii="Palatino Linotype" w:eastAsia="Calibri" w:hAnsi="Palatino Linotype" w:cs="Arial"/>
          <w:color w:val="000000" w:themeColor="text1"/>
        </w:rPr>
        <w:t xml:space="preserve">vía </w:t>
      </w:r>
      <w:r w:rsidRPr="00CD2099">
        <w:rPr>
          <w:rFonts w:ascii="Palatino Linotype" w:eastAsia="Calibri" w:hAnsi="Palatino Linotype" w:cs="Arial"/>
          <w:color w:val="000000" w:themeColor="text1"/>
          <w:lang w:val="es-ES"/>
        </w:rPr>
        <w:t xml:space="preserve">SAIMEX, a efecto de que en un plazo máximo de siete días manifestaran lo que a derecho convinieran, ofrecieran pruebas y alegatos según corresponda a los casos concretos, de esta forma para que el </w:t>
      </w:r>
      <w:r w:rsidRPr="00CD2099">
        <w:rPr>
          <w:rFonts w:ascii="Palatino Linotype" w:eastAsia="Calibri" w:hAnsi="Palatino Linotype" w:cs="Arial"/>
          <w:b/>
          <w:color w:val="000000" w:themeColor="text1"/>
          <w:lang w:val="es-ES"/>
        </w:rPr>
        <w:t>SUJETO OBLIGADO</w:t>
      </w:r>
      <w:r w:rsidRPr="00CD2099">
        <w:rPr>
          <w:rFonts w:ascii="Palatino Linotype" w:eastAsia="Calibri" w:hAnsi="Palatino Linotype" w:cs="Arial"/>
          <w:color w:val="000000" w:themeColor="text1"/>
          <w:lang w:val="es-ES"/>
        </w:rPr>
        <w:t xml:space="preserve"> presentara </w:t>
      </w:r>
      <w:bookmarkEnd w:id="3"/>
      <w:r w:rsidRPr="00CD2099">
        <w:rPr>
          <w:rFonts w:ascii="Palatino Linotype" w:eastAsia="Calibri" w:hAnsi="Palatino Linotype" w:cs="Arial"/>
          <w:color w:val="000000" w:themeColor="text1"/>
          <w:lang w:val="es-ES"/>
        </w:rPr>
        <w:t>su informe justificado procedente.</w:t>
      </w:r>
    </w:p>
    <w:p w14:paraId="1AF8AA19" w14:textId="77777777" w:rsidR="00677893" w:rsidRPr="00CD2099" w:rsidRDefault="00677893" w:rsidP="0067789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AF8AA1A" w14:textId="77777777" w:rsidR="00FF274C" w:rsidRPr="00CD2099" w:rsidRDefault="00677893" w:rsidP="00FF274C">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CD2099">
        <w:rPr>
          <w:rFonts w:ascii="Palatino Linotype" w:eastAsia="Calibri" w:hAnsi="Palatino Linotype" w:cs="Arial"/>
          <w:color w:val="000000" w:themeColor="text1"/>
          <w:lang w:val="es-ES"/>
        </w:rPr>
        <w:t xml:space="preserve">De las </w:t>
      </w:r>
      <w:r w:rsidRPr="00CD2099">
        <w:rPr>
          <w:rFonts w:ascii="Palatino Linotype" w:eastAsia="Calibri" w:hAnsi="Palatino Linotype" w:cs="Arial"/>
          <w:color w:val="000000" w:themeColor="text1"/>
        </w:rPr>
        <w:t xml:space="preserve">constancias que obran en el expediente digital del recurso de revisión que hoy se resuelve, se aprecia que el </w:t>
      </w:r>
      <w:r w:rsidRPr="00CD2099">
        <w:rPr>
          <w:rFonts w:ascii="Palatino Linotype" w:eastAsia="Calibri" w:hAnsi="Palatino Linotype" w:cs="Arial"/>
          <w:b/>
          <w:color w:val="000000" w:themeColor="text1"/>
        </w:rPr>
        <w:t xml:space="preserve">SUJETO OBLIGADO </w:t>
      </w:r>
      <w:r w:rsidRPr="00CD2099">
        <w:rPr>
          <w:rFonts w:ascii="Palatino Linotype" w:eastAsia="Calibri" w:hAnsi="Palatino Linotype" w:cs="Arial"/>
          <w:color w:val="000000" w:themeColor="text1"/>
        </w:rPr>
        <w:t xml:space="preserve">rindió su informe justificado </w:t>
      </w:r>
      <w:r w:rsidR="00DD590D" w:rsidRPr="00CD2099">
        <w:rPr>
          <w:rFonts w:ascii="Palatino Linotype" w:eastAsia="Calibri" w:hAnsi="Palatino Linotype" w:cs="Arial"/>
          <w:color w:val="000000" w:themeColor="text1"/>
        </w:rPr>
        <w:t>por medio de los archivos siguientes:</w:t>
      </w:r>
    </w:p>
    <w:p w14:paraId="1AF8AA1B" w14:textId="77777777" w:rsidR="00FF274C" w:rsidRPr="00CD2099" w:rsidRDefault="00FF274C" w:rsidP="00FF274C">
      <w:pPr>
        <w:pStyle w:val="Prrafodelista"/>
        <w:rPr>
          <w:rFonts w:ascii="Palatino Linotype" w:eastAsia="Calibri" w:hAnsi="Palatino Linotype" w:cs="Arial"/>
          <w:color w:val="000000" w:themeColor="text1"/>
          <w:lang w:val="es-ES"/>
        </w:rPr>
      </w:pPr>
    </w:p>
    <w:p w14:paraId="1AF8AA1C" w14:textId="77777777" w:rsidR="00DD590D" w:rsidRPr="00CD2099" w:rsidRDefault="00DD590D" w:rsidP="00FB005A">
      <w:pPr>
        <w:pStyle w:val="Prrafodelista"/>
        <w:numPr>
          <w:ilvl w:val="0"/>
          <w:numId w:val="12"/>
        </w:numPr>
        <w:spacing w:line="360" w:lineRule="auto"/>
        <w:rPr>
          <w:rFonts w:ascii="Palatino Linotype" w:eastAsia="Calibri" w:hAnsi="Palatino Linotype" w:cs="Arial"/>
          <w:b/>
          <w:color w:val="000000" w:themeColor="text1"/>
          <w:sz w:val="22"/>
          <w:u w:val="single"/>
        </w:rPr>
      </w:pPr>
      <w:r w:rsidRPr="00CD2099">
        <w:rPr>
          <w:rFonts w:ascii="Palatino Linotype" w:eastAsia="Calibri" w:hAnsi="Palatino Linotype" w:cs="Arial"/>
          <w:b/>
          <w:color w:val="000000" w:themeColor="text1"/>
          <w:sz w:val="22"/>
          <w:u w:val="single"/>
        </w:rPr>
        <w:t>informe justificado rr 04113 de sol 173.pdf</w:t>
      </w:r>
    </w:p>
    <w:p w14:paraId="1AF8AA1D" w14:textId="77777777" w:rsidR="00495609" w:rsidRPr="00CD2099" w:rsidRDefault="00495609" w:rsidP="00495609">
      <w:pPr>
        <w:spacing w:line="360" w:lineRule="auto"/>
        <w:ind w:left="1080"/>
        <w:rPr>
          <w:rFonts w:ascii="Palatino Linotype" w:eastAsia="Calibri" w:hAnsi="Palatino Linotype" w:cs="Arial"/>
          <w:b/>
          <w:color w:val="000000" w:themeColor="text1"/>
          <w:u w:val="single"/>
        </w:rPr>
      </w:pPr>
    </w:p>
    <w:p w14:paraId="1AF8AA1E" w14:textId="77777777" w:rsidR="00DD590D" w:rsidRPr="00CD2099" w:rsidRDefault="00DD590D" w:rsidP="00FF274C">
      <w:pPr>
        <w:spacing w:line="360" w:lineRule="auto"/>
        <w:rPr>
          <w:rFonts w:ascii="Palatino Linotype" w:eastAsia="Calibri" w:hAnsi="Palatino Linotype" w:cs="Arial"/>
          <w:color w:val="000000" w:themeColor="text1"/>
        </w:rPr>
      </w:pPr>
      <w:r w:rsidRPr="00CD2099">
        <w:rPr>
          <w:rFonts w:ascii="Palatino Linotype" w:eastAsia="Calibri" w:hAnsi="Palatino Linotype" w:cs="Arial"/>
          <w:color w:val="000000" w:themeColor="text1"/>
        </w:rPr>
        <w:t>Se rinde Informe Justificado</w:t>
      </w:r>
      <w:r w:rsidR="00B21874" w:rsidRPr="00CD2099">
        <w:rPr>
          <w:rFonts w:ascii="Palatino Linotype" w:eastAsia="Calibri" w:hAnsi="Palatino Linotype" w:cs="Arial"/>
          <w:color w:val="000000" w:themeColor="text1"/>
        </w:rPr>
        <w:t>, signado por la Jefa de la Unidad de Información, Planeación, Programación y Evaluación, Leslie Adriana Serrano Flores informando en lo que nos concierne, lo siguiente:</w:t>
      </w:r>
    </w:p>
    <w:p w14:paraId="1AF8AA1F" w14:textId="77777777" w:rsidR="00B21874" w:rsidRPr="00CD2099" w:rsidRDefault="00B21874" w:rsidP="00B21874">
      <w:pPr>
        <w:jc w:val="center"/>
        <w:rPr>
          <w:rFonts w:ascii="Palatino Linotype" w:eastAsia="Calibri" w:hAnsi="Palatino Linotype" w:cs="Arial"/>
          <w:color w:val="000000" w:themeColor="text1"/>
        </w:rPr>
      </w:pPr>
      <w:r w:rsidRPr="00CD2099">
        <w:rPr>
          <w:rFonts w:ascii="Palatino Linotype" w:eastAsia="Calibri" w:hAnsi="Palatino Linotype" w:cs="Arial"/>
          <w:noProof/>
          <w:color w:val="000000" w:themeColor="text1"/>
          <w:lang w:val="es-MX" w:eastAsia="es-MX"/>
        </w:rPr>
        <w:lastRenderedPageBreak/>
        <w:drawing>
          <wp:inline distT="0" distB="0" distL="0" distR="0" wp14:anchorId="1AF8AACE" wp14:editId="1AF8AACF">
            <wp:extent cx="5610225" cy="32956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3295650"/>
                    </a:xfrm>
                    <a:prstGeom prst="rect">
                      <a:avLst/>
                    </a:prstGeom>
                    <a:noFill/>
                    <a:ln>
                      <a:noFill/>
                    </a:ln>
                  </pic:spPr>
                </pic:pic>
              </a:graphicData>
            </a:graphic>
          </wp:inline>
        </w:drawing>
      </w:r>
    </w:p>
    <w:p w14:paraId="1AF8AA20" w14:textId="77777777" w:rsidR="00B21874" w:rsidRPr="00CD2099" w:rsidRDefault="00B21874" w:rsidP="00B21874">
      <w:pPr>
        <w:jc w:val="center"/>
        <w:rPr>
          <w:rFonts w:ascii="Palatino Linotype" w:eastAsia="Calibri" w:hAnsi="Palatino Linotype" w:cs="Arial"/>
          <w:color w:val="000000" w:themeColor="text1"/>
        </w:rPr>
      </w:pPr>
      <w:r w:rsidRPr="00CD2099">
        <w:rPr>
          <w:rFonts w:ascii="Palatino Linotype" w:eastAsia="Calibri" w:hAnsi="Palatino Linotype" w:cs="Arial"/>
          <w:noProof/>
          <w:color w:val="000000" w:themeColor="text1"/>
          <w:lang w:val="es-MX" w:eastAsia="es-MX"/>
        </w:rPr>
        <w:drawing>
          <wp:inline distT="0" distB="0" distL="0" distR="0" wp14:anchorId="1AF8AAD0" wp14:editId="1AF8AAD1">
            <wp:extent cx="5610225" cy="30194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3019425"/>
                    </a:xfrm>
                    <a:prstGeom prst="rect">
                      <a:avLst/>
                    </a:prstGeom>
                    <a:noFill/>
                    <a:ln>
                      <a:noFill/>
                    </a:ln>
                  </pic:spPr>
                </pic:pic>
              </a:graphicData>
            </a:graphic>
          </wp:inline>
        </w:drawing>
      </w:r>
    </w:p>
    <w:p w14:paraId="1AF8AA21" w14:textId="77777777" w:rsidR="00DD590D" w:rsidRPr="00CD2099" w:rsidRDefault="00DD590D" w:rsidP="00DD590D">
      <w:pPr>
        <w:pStyle w:val="Prrafodelista"/>
        <w:rPr>
          <w:rFonts w:ascii="Palatino Linotype" w:eastAsia="Calibri" w:hAnsi="Palatino Linotype" w:cs="Arial"/>
          <w:b/>
          <w:color w:val="000000" w:themeColor="text1"/>
          <w:u w:val="single"/>
        </w:rPr>
      </w:pPr>
    </w:p>
    <w:p w14:paraId="1AF8AA22" w14:textId="77777777" w:rsidR="00DD590D" w:rsidRPr="00CD2099" w:rsidRDefault="00DD590D" w:rsidP="00FB005A">
      <w:pPr>
        <w:pStyle w:val="Prrafodelista"/>
        <w:numPr>
          <w:ilvl w:val="0"/>
          <w:numId w:val="12"/>
        </w:numPr>
        <w:tabs>
          <w:tab w:val="left" w:pos="426"/>
        </w:tabs>
        <w:spacing w:line="360" w:lineRule="auto"/>
        <w:jc w:val="both"/>
        <w:rPr>
          <w:rFonts w:ascii="Palatino Linotype" w:eastAsia="Calibri" w:hAnsi="Palatino Linotype" w:cs="Arial"/>
          <w:b/>
          <w:color w:val="000000" w:themeColor="text1"/>
          <w:sz w:val="22"/>
          <w:u w:val="single"/>
          <w:lang w:val="es-ES"/>
        </w:rPr>
      </w:pPr>
      <w:r w:rsidRPr="00CD2099">
        <w:rPr>
          <w:rFonts w:ascii="Palatino Linotype" w:eastAsia="Calibri" w:hAnsi="Palatino Linotype" w:cs="Arial"/>
          <w:b/>
          <w:color w:val="000000" w:themeColor="text1"/>
          <w:sz w:val="22"/>
          <w:u w:val="single"/>
          <w:lang w:val="es-ES"/>
        </w:rPr>
        <w:t>DIRECCIÓN DE ADMINISTRACIÓN 04113.pdf</w:t>
      </w:r>
    </w:p>
    <w:p w14:paraId="1AF8AA23" w14:textId="77777777" w:rsidR="00B21874" w:rsidRPr="00CD2099" w:rsidRDefault="00B21874" w:rsidP="00B21874">
      <w:pPr>
        <w:tabs>
          <w:tab w:val="left" w:pos="426"/>
        </w:tabs>
        <w:spacing w:line="360" w:lineRule="auto"/>
        <w:jc w:val="both"/>
        <w:rPr>
          <w:rFonts w:ascii="Palatino Linotype" w:eastAsia="Calibri" w:hAnsi="Palatino Linotype" w:cs="Arial"/>
          <w:color w:val="000000" w:themeColor="text1"/>
          <w:sz w:val="22"/>
          <w:lang w:val="es-ES"/>
        </w:rPr>
      </w:pPr>
      <w:r w:rsidRPr="00CD2099">
        <w:rPr>
          <w:rFonts w:ascii="Palatino Linotype" w:eastAsia="Calibri" w:hAnsi="Palatino Linotype" w:cs="Arial"/>
          <w:color w:val="000000" w:themeColor="text1"/>
          <w:sz w:val="22"/>
          <w:lang w:val="es-ES"/>
        </w:rPr>
        <w:t xml:space="preserve">Oficio No. TJA/DA/SMYNA/093/20223 de fecha 08 de agosto de 2023, signado por el Subdirector de la Subdirección de Modernización y Normatividad Administrativa, Edgar </w:t>
      </w:r>
      <w:r w:rsidRPr="00CD2099">
        <w:rPr>
          <w:rFonts w:ascii="Palatino Linotype" w:eastAsia="Calibri" w:hAnsi="Palatino Linotype" w:cs="Arial"/>
          <w:color w:val="000000" w:themeColor="text1"/>
          <w:sz w:val="22"/>
          <w:lang w:val="es-ES"/>
        </w:rPr>
        <w:lastRenderedPageBreak/>
        <w:t>Arturo González A</w:t>
      </w:r>
      <w:r w:rsidR="00987673" w:rsidRPr="00CD2099">
        <w:rPr>
          <w:rFonts w:ascii="Palatino Linotype" w:eastAsia="Calibri" w:hAnsi="Palatino Linotype" w:cs="Arial"/>
          <w:color w:val="000000" w:themeColor="text1"/>
          <w:sz w:val="22"/>
          <w:lang w:val="es-ES"/>
        </w:rPr>
        <w:t>rteaga, informando la fecha de nombramiento de todos los magistrados adscritos al Tribunal, asimismo se anexan extractos de la gaceta correspondiente en donde obra el nombramiento de cada uno de los veinticuatro magistrados que conforman el Tribunal de Justicia Administrativa del Estado de México.</w:t>
      </w:r>
    </w:p>
    <w:p w14:paraId="1AF8AA24" w14:textId="77777777" w:rsidR="00987673" w:rsidRPr="00CD2099" w:rsidRDefault="00987673" w:rsidP="00B21874">
      <w:pPr>
        <w:tabs>
          <w:tab w:val="left" w:pos="426"/>
        </w:tabs>
        <w:spacing w:line="360" w:lineRule="auto"/>
        <w:jc w:val="both"/>
        <w:rPr>
          <w:rFonts w:ascii="Palatino Linotype" w:eastAsia="Calibri" w:hAnsi="Palatino Linotype" w:cs="Arial"/>
          <w:color w:val="000000" w:themeColor="text1"/>
          <w:lang w:val="es-ES"/>
        </w:rPr>
      </w:pPr>
    </w:p>
    <w:p w14:paraId="1AF8AA25" w14:textId="77777777" w:rsidR="00987673" w:rsidRPr="00CD2099" w:rsidRDefault="00987673" w:rsidP="00987673">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CD2099">
        <w:rPr>
          <w:rFonts w:ascii="Palatino Linotype" w:eastAsia="Calibri" w:hAnsi="Palatino Linotype" w:cs="Arial"/>
          <w:color w:val="000000" w:themeColor="text1"/>
        </w:rPr>
        <w:t xml:space="preserve">El </w:t>
      </w:r>
      <w:r w:rsidR="00677893" w:rsidRPr="00CD2099">
        <w:rPr>
          <w:rFonts w:ascii="Palatino Linotype" w:eastAsia="Calibri" w:hAnsi="Palatino Linotype" w:cs="Arial"/>
          <w:b/>
          <w:color w:val="000000" w:themeColor="text1"/>
        </w:rPr>
        <w:t xml:space="preserve">RECURRENTE </w:t>
      </w:r>
      <w:r w:rsidR="00677893" w:rsidRPr="00CD2099">
        <w:rPr>
          <w:rFonts w:ascii="Palatino Linotype" w:eastAsia="Calibri" w:hAnsi="Palatino Linotype" w:cs="Arial"/>
          <w:color w:val="000000" w:themeColor="text1"/>
        </w:rPr>
        <w:t>no presentó alegatos ni ofreció m</w:t>
      </w:r>
      <w:r w:rsidRPr="00CD2099">
        <w:rPr>
          <w:rFonts w:ascii="Palatino Linotype" w:eastAsia="Calibri" w:hAnsi="Palatino Linotype" w:cs="Arial"/>
          <w:color w:val="000000" w:themeColor="text1"/>
        </w:rPr>
        <w:t xml:space="preserve">edios de prueba que a su derecho convinieran. </w:t>
      </w:r>
    </w:p>
    <w:p w14:paraId="1AF8AA26" w14:textId="77777777" w:rsidR="00987673" w:rsidRPr="00CD2099" w:rsidRDefault="00987673" w:rsidP="0098767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AF8AA27" w14:textId="77777777" w:rsidR="00987673" w:rsidRPr="00CD2099" w:rsidRDefault="00987673" w:rsidP="00987673">
      <w:pPr>
        <w:numPr>
          <w:ilvl w:val="0"/>
          <w:numId w:val="1"/>
        </w:numPr>
        <w:spacing w:line="360" w:lineRule="auto"/>
        <w:ind w:left="0" w:firstLine="0"/>
        <w:contextualSpacing/>
        <w:jc w:val="both"/>
        <w:rPr>
          <w:rFonts w:ascii="Palatino Linotype" w:hAnsi="Palatino Linotype" w:cs="Arial"/>
          <w:b/>
        </w:rPr>
      </w:pPr>
      <w:r w:rsidRPr="00CD2099">
        <w:rPr>
          <w:rFonts w:ascii="Palatino Linotype" w:hAnsi="Palatino Linotype" w:cs="Arial"/>
        </w:rPr>
        <w:t>En fecha trece de octubre de dos mil veintitrés, de notifico el acuerdo de día once del mismo mes y año por medio del cual se ordenó ampliar el plazo para dictar resolución, por lo que, al respecto es menester realizar las siguientes precisiones.</w:t>
      </w:r>
    </w:p>
    <w:p w14:paraId="1AF8AA28" w14:textId="77777777" w:rsidR="00987673" w:rsidRPr="00CD2099" w:rsidRDefault="00987673" w:rsidP="00987673">
      <w:pPr>
        <w:spacing w:line="360" w:lineRule="auto"/>
        <w:contextualSpacing/>
        <w:jc w:val="both"/>
        <w:rPr>
          <w:rFonts w:ascii="Palatino Linotype" w:hAnsi="Palatino Linotype"/>
          <w:b/>
          <w:color w:val="000000" w:themeColor="text1"/>
        </w:rPr>
      </w:pPr>
    </w:p>
    <w:p w14:paraId="1AF8AA29" w14:textId="77777777" w:rsidR="00987673" w:rsidRPr="00CD2099" w:rsidRDefault="00987673" w:rsidP="00987673">
      <w:pPr>
        <w:numPr>
          <w:ilvl w:val="0"/>
          <w:numId w:val="1"/>
        </w:numPr>
        <w:spacing w:line="360" w:lineRule="auto"/>
        <w:ind w:left="0" w:firstLine="0"/>
        <w:contextualSpacing/>
        <w:jc w:val="both"/>
        <w:rPr>
          <w:rFonts w:ascii="Palatino Linotype" w:hAnsi="Palatino Linotype"/>
        </w:rPr>
      </w:pPr>
      <w:r w:rsidRPr="00CD2099">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AF8AA2A" w14:textId="77777777" w:rsidR="00987673" w:rsidRPr="00CD2099" w:rsidRDefault="00987673" w:rsidP="00987673">
      <w:pPr>
        <w:spacing w:line="360" w:lineRule="auto"/>
        <w:jc w:val="both"/>
        <w:rPr>
          <w:rFonts w:ascii="Palatino Linotype" w:hAnsi="Palatino Linotype"/>
        </w:rPr>
      </w:pPr>
    </w:p>
    <w:p w14:paraId="1AF8AA2B" w14:textId="77777777" w:rsidR="00987673" w:rsidRPr="00CD2099" w:rsidRDefault="00987673" w:rsidP="00987673">
      <w:pPr>
        <w:numPr>
          <w:ilvl w:val="0"/>
          <w:numId w:val="1"/>
        </w:numPr>
        <w:spacing w:line="360" w:lineRule="auto"/>
        <w:ind w:left="0" w:firstLine="0"/>
        <w:contextualSpacing/>
        <w:jc w:val="both"/>
        <w:rPr>
          <w:rFonts w:ascii="Palatino Linotype" w:hAnsi="Palatino Linotype"/>
        </w:rPr>
      </w:pPr>
      <w:r w:rsidRPr="00CD2099">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CD2099">
        <w:rPr>
          <w:rFonts w:ascii="Palatino Linotype" w:hAnsi="Palatino Linotype"/>
        </w:rPr>
        <w:lastRenderedPageBreak/>
        <w:t>órganos jurisdiccionales federales, aplicables también en procedimientos análogos, como el que nos ocupa.</w:t>
      </w:r>
    </w:p>
    <w:p w14:paraId="1AF8AA2C" w14:textId="77777777" w:rsidR="00987673" w:rsidRPr="00CD2099" w:rsidRDefault="00987673" w:rsidP="00987673">
      <w:pPr>
        <w:spacing w:line="360" w:lineRule="auto"/>
        <w:jc w:val="both"/>
        <w:rPr>
          <w:rFonts w:ascii="Palatino Linotype" w:hAnsi="Palatino Linotype"/>
        </w:rPr>
      </w:pPr>
      <w:r w:rsidRPr="00CD2099">
        <w:rPr>
          <w:rFonts w:ascii="Palatino Linotype" w:hAnsi="Palatino Linotype"/>
        </w:rPr>
        <w:t xml:space="preserve"> </w:t>
      </w:r>
    </w:p>
    <w:p w14:paraId="1AF8AA2D" w14:textId="77777777" w:rsidR="00987673" w:rsidRPr="00CD2099" w:rsidRDefault="00987673" w:rsidP="00987673">
      <w:pPr>
        <w:numPr>
          <w:ilvl w:val="0"/>
          <w:numId w:val="1"/>
        </w:numPr>
        <w:spacing w:line="360" w:lineRule="auto"/>
        <w:ind w:left="0" w:firstLine="0"/>
        <w:contextualSpacing/>
        <w:jc w:val="both"/>
        <w:rPr>
          <w:rFonts w:ascii="Palatino Linotype" w:hAnsi="Palatino Linotype"/>
        </w:rPr>
      </w:pPr>
      <w:r w:rsidRPr="00CD209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AF8AA2E" w14:textId="77777777" w:rsidR="00987673" w:rsidRPr="00CD2099" w:rsidRDefault="00987673" w:rsidP="00987673">
      <w:pPr>
        <w:spacing w:line="360" w:lineRule="auto"/>
        <w:jc w:val="both"/>
        <w:rPr>
          <w:rFonts w:ascii="Palatino Linotype" w:hAnsi="Palatino Linotype"/>
        </w:rPr>
      </w:pPr>
      <w:r w:rsidRPr="00CD2099">
        <w:rPr>
          <w:rFonts w:ascii="Palatino Linotype" w:hAnsi="Palatino Linotype"/>
        </w:rPr>
        <w:t xml:space="preserve"> </w:t>
      </w:r>
    </w:p>
    <w:p w14:paraId="1AF8AA2F" w14:textId="77777777" w:rsidR="00987673" w:rsidRPr="00CD2099" w:rsidRDefault="00987673" w:rsidP="00987673">
      <w:pPr>
        <w:numPr>
          <w:ilvl w:val="0"/>
          <w:numId w:val="1"/>
        </w:numPr>
        <w:spacing w:line="360" w:lineRule="auto"/>
        <w:ind w:left="0" w:firstLine="0"/>
        <w:contextualSpacing/>
        <w:jc w:val="both"/>
        <w:rPr>
          <w:rFonts w:ascii="Palatino Linotype" w:hAnsi="Palatino Linotype"/>
        </w:rPr>
      </w:pPr>
      <w:r w:rsidRPr="00CD2099">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AF8AA30" w14:textId="77777777" w:rsidR="00987673" w:rsidRPr="00CD2099" w:rsidRDefault="00987673" w:rsidP="00987673">
      <w:pPr>
        <w:spacing w:line="360" w:lineRule="auto"/>
        <w:jc w:val="both"/>
        <w:rPr>
          <w:rFonts w:ascii="Palatino Linotype" w:hAnsi="Palatino Linotype"/>
        </w:rPr>
      </w:pPr>
      <w:r w:rsidRPr="00CD2099">
        <w:rPr>
          <w:rFonts w:ascii="Palatino Linotype" w:hAnsi="Palatino Linotype"/>
        </w:rPr>
        <w:t xml:space="preserve"> </w:t>
      </w:r>
    </w:p>
    <w:p w14:paraId="1AF8AA31" w14:textId="77777777" w:rsidR="00987673" w:rsidRPr="00CD2099" w:rsidRDefault="00987673" w:rsidP="00987673">
      <w:pPr>
        <w:numPr>
          <w:ilvl w:val="0"/>
          <w:numId w:val="1"/>
        </w:numPr>
        <w:spacing w:line="360" w:lineRule="auto"/>
        <w:ind w:left="0" w:firstLine="0"/>
        <w:contextualSpacing/>
        <w:jc w:val="both"/>
        <w:rPr>
          <w:rFonts w:ascii="Palatino Linotype" w:hAnsi="Palatino Linotype"/>
        </w:rPr>
      </w:pPr>
      <w:r w:rsidRPr="00CD2099">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AF8AA32" w14:textId="77777777" w:rsidR="00987673" w:rsidRPr="00CD2099" w:rsidRDefault="00987673" w:rsidP="00987673">
      <w:pPr>
        <w:spacing w:line="360" w:lineRule="auto"/>
        <w:jc w:val="both"/>
        <w:rPr>
          <w:rFonts w:ascii="Palatino Linotype" w:hAnsi="Palatino Linotype"/>
          <w:sz w:val="22"/>
        </w:rPr>
      </w:pPr>
    </w:p>
    <w:p w14:paraId="1AF8AA33" w14:textId="77777777" w:rsidR="00987673" w:rsidRPr="00CD2099" w:rsidRDefault="00987673" w:rsidP="00987673">
      <w:pPr>
        <w:numPr>
          <w:ilvl w:val="0"/>
          <w:numId w:val="11"/>
        </w:numPr>
        <w:spacing w:line="360" w:lineRule="auto"/>
        <w:ind w:left="567" w:hanging="283"/>
        <w:jc w:val="both"/>
        <w:rPr>
          <w:rFonts w:ascii="Palatino Linotype" w:hAnsi="Palatino Linotype"/>
          <w:sz w:val="22"/>
        </w:rPr>
      </w:pPr>
      <w:r w:rsidRPr="00CD2099">
        <w:rPr>
          <w:rFonts w:ascii="Palatino Linotype" w:hAnsi="Palatino Linotype"/>
          <w:sz w:val="22"/>
        </w:rPr>
        <w:t>Complejidad del asunto: La complejidad de la prueba, la pluralidad de sujetos procesales, el tiempo transcurrido, las características y contexto del recurso.</w:t>
      </w:r>
    </w:p>
    <w:p w14:paraId="1AF8AA34" w14:textId="77777777" w:rsidR="00987673" w:rsidRPr="00CD2099" w:rsidRDefault="00987673" w:rsidP="00987673">
      <w:pPr>
        <w:numPr>
          <w:ilvl w:val="0"/>
          <w:numId w:val="11"/>
        </w:numPr>
        <w:spacing w:line="360" w:lineRule="auto"/>
        <w:ind w:left="567" w:hanging="283"/>
        <w:jc w:val="both"/>
        <w:rPr>
          <w:rFonts w:ascii="Palatino Linotype" w:hAnsi="Palatino Linotype"/>
          <w:sz w:val="22"/>
        </w:rPr>
      </w:pPr>
      <w:r w:rsidRPr="00CD2099">
        <w:rPr>
          <w:rFonts w:ascii="Palatino Linotype" w:hAnsi="Palatino Linotype"/>
          <w:sz w:val="22"/>
        </w:rPr>
        <w:t>Actividad Procesal del interesado: Acciones u omisiones del interesado.</w:t>
      </w:r>
    </w:p>
    <w:p w14:paraId="1AF8AA35" w14:textId="77777777" w:rsidR="00987673" w:rsidRPr="00CD2099" w:rsidRDefault="00987673" w:rsidP="00987673">
      <w:pPr>
        <w:numPr>
          <w:ilvl w:val="0"/>
          <w:numId w:val="11"/>
        </w:numPr>
        <w:spacing w:line="360" w:lineRule="auto"/>
        <w:ind w:left="567" w:hanging="283"/>
        <w:jc w:val="both"/>
        <w:rPr>
          <w:rFonts w:ascii="Palatino Linotype" w:hAnsi="Palatino Linotype"/>
          <w:sz w:val="22"/>
        </w:rPr>
      </w:pPr>
      <w:r w:rsidRPr="00CD2099">
        <w:rPr>
          <w:rFonts w:ascii="Palatino Linotype" w:hAnsi="Palatino Linotype"/>
          <w:sz w:val="22"/>
        </w:rPr>
        <w:t>Conducta de la Autoridad: Las Acciones u omisiones realizadas en el procedimiento. Así como si la autoridad actuó con la debida diligencia.</w:t>
      </w:r>
    </w:p>
    <w:p w14:paraId="1AF8AA36" w14:textId="77777777" w:rsidR="00987673" w:rsidRPr="00CD2099" w:rsidRDefault="00987673" w:rsidP="00987673">
      <w:pPr>
        <w:numPr>
          <w:ilvl w:val="0"/>
          <w:numId w:val="11"/>
        </w:numPr>
        <w:spacing w:line="360" w:lineRule="auto"/>
        <w:ind w:left="567" w:hanging="283"/>
        <w:jc w:val="both"/>
        <w:rPr>
          <w:rFonts w:ascii="Palatino Linotype" w:hAnsi="Palatino Linotype"/>
          <w:sz w:val="22"/>
        </w:rPr>
      </w:pPr>
      <w:r w:rsidRPr="00CD2099">
        <w:rPr>
          <w:rFonts w:ascii="Palatino Linotype" w:hAnsi="Palatino Linotype"/>
          <w:sz w:val="22"/>
        </w:rPr>
        <w:t>La afectación generada en la situación jurídica de la persona involucrada en el proceso: Violación a sus derechos humanos.</w:t>
      </w:r>
    </w:p>
    <w:p w14:paraId="1AF8AA37" w14:textId="77777777" w:rsidR="00987673" w:rsidRPr="00CD2099" w:rsidRDefault="00987673" w:rsidP="00987673">
      <w:pPr>
        <w:spacing w:line="360" w:lineRule="auto"/>
        <w:jc w:val="both"/>
        <w:rPr>
          <w:rFonts w:ascii="Palatino Linotype" w:hAnsi="Palatino Linotype"/>
        </w:rPr>
      </w:pPr>
    </w:p>
    <w:p w14:paraId="1AF8AA38" w14:textId="77777777" w:rsidR="00987673" w:rsidRPr="00CD2099" w:rsidRDefault="00987673" w:rsidP="00987673">
      <w:pPr>
        <w:numPr>
          <w:ilvl w:val="0"/>
          <w:numId w:val="1"/>
        </w:numPr>
        <w:spacing w:line="360" w:lineRule="auto"/>
        <w:ind w:left="0" w:firstLine="0"/>
        <w:contextualSpacing/>
        <w:jc w:val="both"/>
        <w:rPr>
          <w:rFonts w:ascii="Palatino Linotype" w:hAnsi="Palatino Linotype"/>
        </w:rPr>
      </w:pPr>
      <w:r w:rsidRPr="00CD2099">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AF8AA39" w14:textId="77777777" w:rsidR="00987673" w:rsidRPr="00CD2099" w:rsidRDefault="00987673" w:rsidP="00987673">
      <w:pPr>
        <w:spacing w:line="360" w:lineRule="auto"/>
        <w:jc w:val="both"/>
        <w:rPr>
          <w:rFonts w:ascii="Palatino Linotype" w:hAnsi="Palatino Linotype"/>
        </w:rPr>
      </w:pPr>
      <w:r w:rsidRPr="00CD2099">
        <w:rPr>
          <w:rFonts w:ascii="Palatino Linotype" w:hAnsi="Palatino Linotype"/>
        </w:rPr>
        <w:t xml:space="preserve"> </w:t>
      </w:r>
    </w:p>
    <w:p w14:paraId="1AF8AA3A" w14:textId="77777777" w:rsidR="00987673" w:rsidRPr="00CD2099" w:rsidRDefault="00987673" w:rsidP="00987673">
      <w:pPr>
        <w:numPr>
          <w:ilvl w:val="0"/>
          <w:numId w:val="1"/>
        </w:numPr>
        <w:spacing w:line="360" w:lineRule="auto"/>
        <w:ind w:left="0" w:firstLine="0"/>
        <w:contextualSpacing/>
        <w:jc w:val="both"/>
        <w:rPr>
          <w:rFonts w:ascii="Palatino Linotype" w:hAnsi="Palatino Linotype"/>
        </w:rPr>
      </w:pPr>
      <w:r w:rsidRPr="00CD2099">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AF8AA3B" w14:textId="77777777" w:rsidR="00987673" w:rsidRPr="00CD2099" w:rsidRDefault="00987673" w:rsidP="00987673">
      <w:pPr>
        <w:spacing w:line="360" w:lineRule="auto"/>
        <w:jc w:val="both"/>
        <w:rPr>
          <w:rFonts w:ascii="Palatino Linotype" w:hAnsi="Palatino Linotype"/>
        </w:rPr>
      </w:pPr>
      <w:r w:rsidRPr="00CD2099">
        <w:rPr>
          <w:rFonts w:ascii="Palatino Linotype" w:hAnsi="Palatino Linotype"/>
        </w:rPr>
        <w:t xml:space="preserve"> </w:t>
      </w:r>
    </w:p>
    <w:p w14:paraId="1AF8AA3C" w14:textId="77777777" w:rsidR="00987673" w:rsidRPr="00CD2099" w:rsidRDefault="00987673" w:rsidP="00987673">
      <w:pPr>
        <w:numPr>
          <w:ilvl w:val="0"/>
          <w:numId w:val="1"/>
        </w:numPr>
        <w:spacing w:line="360" w:lineRule="auto"/>
        <w:ind w:left="0" w:firstLine="0"/>
        <w:contextualSpacing/>
        <w:jc w:val="both"/>
        <w:rPr>
          <w:rFonts w:ascii="Palatino Linotype" w:hAnsi="Palatino Linotype"/>
        </w:rPr>
      </w:pPr>
      <w:r w:rsidRPr="00CD2099">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CD2099">
        <w:rPr>
          <w:rFonts w:ascii="Palatino Linotype" w:hAnsi="Palatino Linotype"/>
        </w:rPr>
        <w:lastRenderedPageBreak/>
        <w:t>los términos legales previamente establecidos por la Ley, por tratarse de causas de fuerza mayor.</w:t>
      </w:r>
    </w:p>
    <w:p w14:paraId="1AF8AA3D" w14:textId="77777777" w:rsidR="00987673" w:rsidRPr="00CD2099" w:rsidRDefault="00987673" w:rsidP="00987673">
      <w:pPr>
        <w:spacing w:line="360" w:lineRule="auto"/>
        <w:jc w:val="both"/>
        <w:rPr>
          <w:rFonts w:ascii="Palatino Linotype" w:hAnsi="Palatino Linotype"/>
        </w:rPr>
      </w:pPr>
    </w:p>
    <w:p w14:paraId="1AF8AA3E" w14:textId="77777777" w:rsidR="00987673" w:rsidRPr="00CD2099" w:rsidRDefault="00987673" w:rsidP="00987673">
      <w:pPr>
        <w:numPr>
          <w:ilvl w:val="0"/>
          <w:numId w:val="1"/>
        </w:numPr>
        <w:spacing w:line="360" w:lineRule="auto"/>
        <w:ind w:left="0" w:firstLine="0"/>
        <w:contextualSpacing/>
        <w:jc w:val="both"/>
        <w:rPr>
          <w:rFonts w:ascii="Palatino Linotype" w:hAnsi="Palatino Linotype"/>
        </w:rPr>
      </w:pPr>
      <w:r w:rsidRPr="00CD2099">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AF8AA3F" w14:textId="77777777" w:rsidR="00987673" w:rsidRPr="00CD2099" w:rsidRDefault="00987673" w:rsidP="00987673">
      <w:pPr>
        <w:spacing w:line="360" w:lineRule="auto"/>
        <w:jc w:val="both"/>
        <w:rPr>
          <w:rFonts w:ascii="Palatino Linotype" w:hAnsi="Palatino Linotype"/>
          <w:sz w:val="22"/>
        </w:rPr>
      </w:pPr>
      <w:r w:rsidRPr="00CD2099">
        <w:rPr>
          <w:rFonts w:ascii="Palatino Linotype" w:hAnsi="Palatino Linotype"/>
          <w:sz w:val="22"/>
        </w:rPr>
        <w:t xml:space="preserve"> </w:t>
      </w:r>
    </w:p>
    <w:p w14:paraId="1AF8AA40" w14:textId="77777777" w:rsidR="00987673" w:rsidRPr="00CD2099" w:rsidRDefault="00987673" w:rsidP="00987673">
      <w:pPr>
        <w:spacing w:line="360" w:lineRule="auto"/>
        <w:jc w:val="both"/>
        <w:rPr>
          <w:rFonts w:ascii="Palatino Linotype" w:hAnsi="Palatino Linotype"/>
          <w:sz w:val="22"/>
        </w:rPr>
      </w:pPr>
      <w:r w:rsidRPr="00CD2099">
        <w:rPr>
          <w:rFonts w:ascii="Palatino Linotype" w:hAnsi="Palatino Linotype"/>
          <w:sz w:val="22"/>
        </w:rPr>
        <w:t xml:space="preserve"> “PLAZO RAZONABLE PARA RESOLVER. DIMENSIÓN Y EFECTOS DE ESTE CONCEPTO CUANDO SE ADUCE EXCESIVA CARGA DE TRABAJO.” consultable en el Seminario Judicial de la Federación y su gaceta, con el registro digital 2002351.</w:t>
      </w:r>
    </w:p>
    <w:p w14:paraId="1AF8AA41" w14:textId="77777777" w:rsidR="00987673" w:rsidRPr="00CD2099" w:rsidRDefault="00987673" w:rsidP="00987673">
      <w:pPr>
        <w:spacing w:line="360" w:lineRule="auto"/>
        <w:jc w:val="both"/>
        <w:rPr>
          <w:rFonts w:ascii="Palatino Linotype" w:hAnsi="Palatino Linotype"/>
          <w:sz w:val="22"/>
        </w:rPr>
      </w:pPr>
      <w:r w:rsidRPr="00CD2099">
        <w:rPr>
          <w:rFonts w:ascii="Palatino Linotype" w:hAnsi="Palatino Linotype"/>
          <w:sz w:val="22"/>
        </w:rPr>
        <w:t xml:space="preserve"> </w:t>
      </w:r>
    </w:p>
    <w:p w14:paraId="1AF8AA42" w14:textId="77777777" w:rsidR="00987673" w:rsidRPr="00CD2099" w:rsidRDefault="00987673" w:rsidP="00987673">
      <w:pPr>
        <w:spacing w:line="360" w:lineRule="auto"/>
        <w:jc w:val="both"/>
        <w:rPr>
          <w:rFonts w:ascii="Palatino Linotype" w:hAnsi="Palatino Linotype"/>
          <w:sz w:val="22"/>
        </w:rPr>
      </w:pPr>
      <w:r w:rsidRPr="00CD2099">
        <w:rPr>
          <w:rFonts w:ascii="Palatino Linotype" w:hAnsi="Palatino Linotype"/>
          <w:sz w:val="22"/>
        </w:rPr>
        <w:t>“PLAZO RAZONABLE PARA RESOLVER. CONCEPTO Y ELEMENTOS QUE LO INTEGRAN A LA LUZ DEL DERECHO INTERNACIONAL DE LOS DERECHOS HUMANOS.”, visible en el Seminario Judicial de la Federación y su gaceta, con el registro digital 2002350.</w:t>
      </w:r>
    </w:p>
    <w:p w14:paraId="1AF8AA43" w14:textId="77777777" w:rsidR="00987673" w:rsidRPr="00CD2099" w:rsidRDefault="00987673" w:rsidP="00987673">
      <w:pPr>
        <w:spacing w:line="360" w:lineRule="auto"/>
        <w:jc w:val="both"/>
        <w:rPr>
          <w:rFonts w:ascii="Palatino Linotype" w:hAnsi="Palatino Linotype"/>
          <w:sz w:val="22"/>
        </w:rPr>
      </w:pPr>
    </w:p>
    <w:p w14:paraId="1AF8AA44" w14:textId="77777777" w:rsidR="00987673" w:rsidRPr="00CD2099" w:rsidRDefault="00987673" w:rsidP="00987673">
      <w:pPr>
        <w:numPr>
          <w:ilvl w:val="0"/>
          <w:numId w:val="1"/>
        </w:numPr>
        <w:spacing w:line="360" w:lineRule="auto"/>
        <w:ind w:left="0" w:firstLine="0"/>
        <w:contextualSpacing/>
        <w:jc w:val="both"/>
        <w:rPr>
          <w:rFonts w:ascii="Palatino Linotype" w:hAnsi="Palatino Linotype"/>
        </w:rPr>
      </w:pPr>
      <w:r w:rsidRPr="00CD2099">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AF8AA45" w14:textId="77777777" w:rsidR="00987673" w:rsidRPr="00CD2099" w:rsidRDefault="00987673" w:rsidP="00987673">
      <w:pPr>
        <w:spacing w:line="360" w:lineRule="auto"/>
        <w:contextualSpacing/>
        <w:jc w:val="both"/>
        <w:rPr>
          <w:rFonts w:ascii="Palatino Linotype" w:hAnsi="Palatino Linotype"/>
          <w:b/>
          <w:color w:val="000000" w:themeColor="text1"/>
        </w:rPr>
      </w:pPr>
    </w:p>
    <w:p w14:paraId="1AF8AA46" w14:textId="77777777" w:rsidR="00677893" w:rsidRPr="00CD2099" w:rsidRDefault="00543478" w:rsidP="00F522D3">
      <w:pPr>
        <w:numPr>
          <w:ilvl w:val="0"/>
          <w:numId w:val="1"/>
        </w:numPr>
        <w:tabs>
          <w:tab w:val="left" w:pos="426"/>
        </w:tabs>
        <w:spacing w:line="360" w:lineRule="auto"/>
        <w:ind w:left="0" w:firstLine="0"/>
        <w:contextualSpacing/>
        <w:jc w:val="both"/>
        <w:rPr>
          <w:rFonts w:ascii="Palatino Linotype" w:eastAsia="MS Mincho" w:hAnsi="Palatino Linotype" w:cs="Times New Roman"/>
          <w:color w:val="000000"/>
          <w:lang w:val="es-MX"/>
        </w:rPr>
      </w:pPr>
      <w:r w:rsidRPr="00CD2099">
        <w:rPr>
          <w:rFonts w:ascii="Palatino Linotype" w:eastAsia="MS Mincho" w:hAnsi="Palatino Linotype" w:cs="Times New Roman"/>
          <w:lang w:val="es-MX"/>
        </w:rPr>
        <w:t>Una vez transcurrido el plazo decretado con anterioridad, en fecha</w:t>
      </w:r>
      <w:r w:rsidR="002D7E85" w:rsidRPr="00CD2099">
        <w:rPr>
          <w:rFonts w:ascii="Palatino Linotype" w:eastAsia="Times New Roman" w:hAnsi="Palatino Linotype" w:cs="Arial"/>
          <w:color w:val="000000"/>
          <w:lang w:val="es-MX"/>
        </w:rPr>
        <w:t xml:space="preserve"> </w:t>
      </w:r>
      <w:r w:rsidR="00F522D3" w:rsidRPr="00CD2099">
        <w:rPr>
          <w:rFonts w:ascii="Palatino Linotype" w:eastAsia="Times New Roman" w:hAnsi="Palatino Linotype" w:cs="Arial"/>
          <w:color w:val="000000"/>
          <w:lang w:val="es-MX"/>
        </w:rPr>
        <w:t>trece de diciembre</w:t>
      </w:r>
      <w:r w:rsidR="00892089" w:rsidRPr="00CD2099">
        <w:rPr>
          <w:rFonts w:ascii="Palatino Linotype" w:eastAsia="Times New Roman" w:hAnsi="Palatino Linotype" w:cs="Arial"/>
          <w:color w:val="000000"/>
          <w:lang w:val="es-MX"/>
        </w:rPr>
        <w:t xml:space="preserve"> </w:t>
      </w:r>
      <w:r w:rsidRPr="00CD2099">
        <w:rPr>
          <w:rFonts w:ascii="Palatino Linotype" w:eastAsia="Times New Roman" w:hAnsi="Palatino Linotype" w:cs="Arial"/>
          <w:color w:val="000000"/>
          <w:lang w:val="es-MX"/>
        </w:rPr>
        <w:t>de dos mil veintitrés</w:t>
      </w:r>
      <w:r w:rsidRPr="00CD2099">
        <w:rPr>
          <w:rFonts w:ascii="Palatino Linotype" w:eastAsia="MS Mincho" w:hAnsi="Palatino Linotype" w:cs="Times New Roman"/>
          <w:color w:val="000000"/>
          <w:lang w:val="es-MX"/>
        </w:rPr>
        <w:t xml:space="preserve"> </w:t>
      </w:r>
      <w:r w:rsidRPr="00CD2099">
        <w:rPr>
          <w:rFonts w:ascii="Palatino Linotype" w:eastAsia="MS Mincho" w:hAnsi="Palatino Linotype" w:cs="Arial"/>
          <w:color w:val="000000"/>
          <w:lang w:val="es-MX"/>
        </w:rPr>
        <w:t>se decretó el ci</w:t>
      </w:r>
      <w:r w:rsidR="00F522D3" w:rsidRPr="00CD2099">
        <w:rPr>
          <w:rFonts w:ascii="Palatino Linotype" w:eastAsia="MS Mincho" w:hAnsi="Palatino Linotype" w:cs="Arial"/>
          <w:color w:val="000000"/>
          <w:lang w:val="es-MX"/>
        </w:rPr>
        <w:t xml:space="preserve">erre del periodo de instrucción </w:t>
      </w:r>
      <w:r w:rsidR="00677893" w:rsidRPr="00CD2099">
        <w:rPr>
          <w:rFonts w:ascii="Palatino Linotype" w:hAnsi="Palatino Linotype"/>
          <w:color w:val="000000" w:themeColor="text1"/>
        </w:rPr>
        <w:t>y al no existir diligencias por realizar y se turnó el expediente a resolución correspondiente,</w:t>
      </w:r>
      <w:r w:rsidR="00677893" w:rsidRPr="00CD2099">
        <w:t xml:space="preserve"> </w:t>
      </w:r>
      <w:r w:rsidR="00677893" w:rsidRPr="00CD2099">
        <w:rPr>
          <w:rFonts w:ascii="Palatino Linotype" w:hAnsi="Palatino Linotype"/>
          <w:color w:val="000000" w:themeColor="text1"/>
        </w:rPr>
        <w:t xml:space="preserve">por lo que no habiendo más que hacer constar, y </w:t>
      </w:r>
      <w:r w:rsidR="00677893" w:rsidRPr="00CD2099">
        <w:rPr>
          <w:rFonts w:ascii="Palatino Linotype" w:hAnsi="Palatino Linotype" w:cs="Arial"/>
          <w:color w:val="000000" w:themeColor="text1"/>
        </w:rPr>
        <w:t>-----------------------------------------------------------------------------------------------------------------------------------</w:t>
      </w:r>
      <w:r w:rsidR="00F522D3" w:rsidRPr="00CD2099">
        <w:rPr>
          <w:rFonts w:ascii="Palatino Linotype" w:hAnsi="Palatino Linotype" w:cs="Arial"/>
          <w:color w:val="000000" w:themeColor="text1"/>
        </w:rPr>
        <w:t>------------------------</w:t>
      </w:r>
    </w:p>
    <w:p w14:paraId="1AF8AA47" w14:textId="77777777" w:rsidR="007601B1" w:rsidRPr="00CD2099" w:rsidRDefault="007601B1" w:rsidP="00692B55">
      <w:pPr>
        <w:rPr>
          <w:rFonts w:ascii="Palatino Linotype" w:hAnsi="Palatino Linotype"/>
          <w:b/>
          <w:color w:val="000000" w:themeColor="text1"/>
        </w:rPr>
      </w:pPr>
    </w:p>
    <w:p w14:paraId="1AF8AA48" w14:textId="77777777" w:rsidR="009F09BC" w:rsidRPr="00CD2099" w:rsidRDefault="009F09BC" w:rsidP="00A56791">
      <w:pPr>
        <w:pStyle w:val="Ttulo1"/>
        <w:spacing w:before="0" w:line="360" w:lineRule="auto"/>
        <w:jc w:val="center"/>
        <w:rPr>
          <w:rFonts w:ascii="Palatino Linotype" w:hAnsi="Palatino Linotype"/>
          <w:b/>
          <w:color w:val="000000" w:themeColor="text1"/>
          <w:sz w:val="24"/>
          <w:szCs w:val="24"/>
        </w:rPr>
      </w:pPr>
      <w:bookmarkStart w:id="4" w:name="_Toc491791302"/>
      <w:bookmarkStart w:id="5" w:name="_Toc83128578"/>
      <w:r w:rsidRPr="00CD2099">
        <w:rPr>
          <w:rFonts w:ascii="Palatino Linotype" w:hAnsi="Palatino Linotype"/>
          <w:b/>
          <w:color w:val="000000" w:themeColor="text1"/>
          <w:sz w:val="24"/>
          <w:szCs w:val="24"/>
        </w:rPr>
        <w:t>CONSIDERANDO</w:t>
      </w:r>
      <w:bookmarkEnd w:id="4"/>
      <w:bookmarkEnd w:id="5"/>
    </w:p>
    <w:p w14:paraId="1AF8AA49" w14:textId="77777777" w:rsidR="009F09BC" w:rsidRPr="00CD2099" w:rsidRDefault="009F09BC" w:rsidP="009F09BC">
      <w:pPr>
        <w:rPr>
          <w:rFonts w:ascii="Palatino Linotype" w:hAnsi="Palatino Linotype"/>
          <w:color w:val="000000" w:themeColor="text1"/>
          <w:lang w:val="es-MX" w:eastAsia="en-US"/>
        </w:rPr>
      </w:pPr>
    </w:p>
    <w:p w14:paraId="1AF8AA4A" w14:textId="77777777" w:rsidR="009F09BC" w:rsidRPr="00CD2099" w:rsidRDefault="009F09BC" w:rsidP="009F09BC">
      <w:pPr>
        <w:pStyle w:val="Ttulo2"/>
        <w:rPr>
          <w:rFonts w:ascii="Palatino Linotype" w:hAnsi="Palatino Linotype"/>
          <w:b/>
          <w:color w:val="000000" w:themeColor="text1"/>
          <w:sz w:val="24"/>
          <w:szCs w:val="24"/>
        </w:rPr>
      </w:pPr>
      <w:bookmarkStart w:id="6" w:name="_Toc491791303"/>
      <w:bookmarkStart w:id="7" w:name="_Toc83128579"/>
      <w:r w:rsidRPr="00CD2099">
        <w:rPr>
          <w:rFonts w:ascii="Palatino Linotype" w:hAnsi="Palatino Linotype"/>
          <w:b/>
          <w:color w:val="000000" w:themeColor="text1"/>
          <w:sz w:val="24"/>
          <w:szCs w:val="24"/>
        </w:rPr>
        <w:t>PRIMERO. De la competencia</w:t>
      </w:r>
      <w:bookmarkEnd w:id="6"/>
      <w:bookmarkEnd w:id="7"/>
    </w:p>
    <w:p w14:paraId="1AF8AA4B" w14:textId="77777777" w:rsidR="00353F1D" w:rsidRPr="00CD2099" w:rsidRDefault="003F61A3" w:rsidP="00692B55">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bookmarkStart w:id="8" w:name="_Hlk63334754"/>
      <w:r w:rsidRPr="00CD2099">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w:t>
      </w:r>
      <w:r w:rsidRPr="00CD2099">
        <w:rPr>
          <w:rFonts w:ascii="Palatino Linotype" w:eastAsia="Times New Roman" w:hAnsi="Palatino Linotype" w:cs="Tahoma"/>
          <w:bCs/>
        </w:rPr>
        <w:t>la</w:t>
      </w:r>
      <w:r w:rsidRPr="00CD2099">
        <w:rPr>
          <w:rFonts w:ascii="Palatino Linotype" w:hAnsi="Palatino Linotype"/>
        </w:rPr>
        <w:t xml:space="preserve">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330AC9" w:rsidRPr="00CD2099">
        <w:rPr>
          <w:rFonts w:ascii="Palatino Linotype" w:eastAsia="Times New Roman" w:hAnsi="Palatino Linotype" w:cs="Tahoma"/>
          <w:bCs/>
        </w:rPr>
        <w:t>.</w:t>
      </w:r>
      <w:bookmarkEnd w:id="8"/>
    </w:p>
    <w:p w14:paraId="1AF8AA4C" w14:textId="77777777" w:rsidR="009F09BC" w:rsidRPr="00CD2099" w:rsidRDefault="009F09BC" w:rsidP="00456AEE">
      <w:pPr>
        <w:pStyle w:val="Prrafodelista"/>
        <w:spacing w:line="360" w:lineRule="auto"/>
        <w:ind w:left="0"/>
        <w:jc w:val="both"/>
        <w:rPr>
          <w:rFonts w:ascii="Palatino Linotype" w:eastAsia="Calibri" w:hAnsi="Palatino Linotype" w:cs="Times New Roman"/>
          <w:b/>
          <w:color w:val="000000" w:themeColor="text1"/>
          <w:lang w:val="es-ES"/>
        </w:rPr>
      </w:pPr>
    </w:p>
    <w:p w14:paraId="1AF8AA4D" w14:textId="77777777" w:rsidR="009F09BC" w:rsidRPr="00CD2099" w:rsidRDefault="009F09BC" w:rsidP="00456AEE">
      <w:pPr>
        <w:pStyle w:val="Ttulo2"/>
        <w:spacing w:before="0" w:line="360" w:lineRule="auto"/>
        <w:rPr>
          <w:rFonts w:ascii="Palatino Linotype" w:hAnsi="Palatino Linotype"/>
          <w:b/>
          <w:color w:val="000000" w:themeColor="text1"/>
          <w:sz w:val="24"/>
          <w:szCs w:val="24"/>
        </w:rPr>
      </w:pPr>
      <w:bookmarkStart w:id="9" w:name="_Toc491791304"/>
      <w:bookmarkStart w:id="10" w:name="_Toc83128580"/>
      <w:r w:rsidRPr="00CD2099">
        <w:rPr>
          <w:rFonts w:ascii="Palatino Linotype" w:hAnsi="Palatino Linotype"/>
          <w:b/>
          <w:color w:val="000000" w:themeColor="text1"/>
          <w:sz w:val="24"/>
          <w:szCs w:val="24"/>
        </w:rPr>
        <w:t>SEGUNDO. De la oportunidad y procedencia.</w:t>
      </w:r>
      <w:bookmarkEnd w:id="9"/>
      <w:bookmarkEnd w:id="10"/>
    </w:p>
    <w:p w14:paraId="1AF8AA4E" w14:textId="77777777" w:rsidR="00F522D3" w:rsidRPr="00CD2099" w:rsidRDefault="00F522D3" w:rsidP="00F522D3">
      <w:pPr>
        <w:numPr>
          <w:ilvl w:val="0"/>
          <w:numId w:val="1"/>
        </w:numPr>
        <w:spacing w:after="160" w:line="360" w:lineRule="auto"/>
        <w:ind w:left="0" w:firstLine="0"/>
        <w:contextualSpacing/>
        <w:jc w:val="both"/>
        <w:rPr>
          <w:rFonts w:ascii="Palatino Linotype" w:eastAsia="Calibri" w:hAnsi="Palatino Linotype" w:cs="Arial"/>
          <w:lang w:val="es-ES"/>
        </w:rPr>
      </w:pPr>
      <w:r w:rsidRPr="00CD2099">
        <w:rPr>
          <w:rFonts w:ascii="Palatino Linotype" w:eastAsia="Calibri" w:hAnsi="Palatino Linotype" w:cs="Arial"/>
          <w:lang w:val="es-ES"/>
        </w:rPr>
        <w:t xml:space="preserve">El medio de impugnación fue presentado a través del </w:t>
      </w:r>
      <w:r w:rsidRPr="00CD2099">
        <w:rPr>
          <w:rFonts w:ascii="Palatino Linotype" w:eastAsia="Calibri" w:hAnsi="Palatino Linotype" w:cs="Arial"/>
          <w:b/>
          <w:lang w:val="es-ES"/>
        </w:rPr>
        <w:t>SAIMEX</w:t>
      </w:r>
      <w:r w:rsidRPr="00CD2099">
        <w:rPr>
          <w:rFonts w:ascii="Palatino Linotype" w:eastAsia="Calibri" w:hAnsi="Palatino Linotype" w:cs="Arial"/>
          <w:lang w:val="es-ES"/>
        </w:rPr>
        <w:t xml:space="preserve">, en el formato previamente aprobado para tal efecto y dentro del plazo legal de quince días hábiles otorgados; para el caso en particular es de señalar que el </w:t>
      </w:r>
      <w:r w:rsidRPr="00CD2099">
        <w:rPr>
          <w:rFonts w:ascii="Palatino Linotype" w:eastAsia="Calibri" w:hAnsi="Palatino Linotype" w:cs="Arial"/>
          <w:b/>
          <w:lang w:val="es-ES"/>
        </w:rPr>
        <w:t>SUJETO OBLIGADO</w:t>
      </w:r>
      <w:r w:rsidRPr="00CD2099">
        <w:rPr>
          <w:rFonts w:ascii="Palatino Linotype" w:eastAsia="Calibri" w:hAnsi="Palatino Linotype" w:cs="Arial"/>
          <w:lang w:val="es-ES"/>
        </w:rPr>
        <w:t xml:space="preserve"> </w:t>
      </w:r>
      <w:r w:rsidRPr="00CD2099">
        <w:rPr>
          <w:rFonts w:ascii="Palatino Linotype" w:eastAsia="Calibri" w:hAnsi="Palatino Linotype" w:cs="Arial"/>
          <w:b/>
          <w:lang w:val="es-ES"/>
        </w:rPr>
        <w:t xml:space="preserve">entregó su respuesta el </w:t>
      </w:r>
      <w:r w:rsidR="00FB005A" w:rsidRPr="00CD2099">
        <w:rPr>
          <w:rFonts w:ascii="Palatino Linotype" w:eastAsia="Calibri" w:hAnsi="Palatino Linotype" w:cs="Arial"/>
          <w:b/>
          <w:lang w:val="es-ES"/>
        </w:rPr>
        <w:t>once de julio</w:t>
      </w:r>
      <w:r w:rsidRPr="00CD2099">
        <w:rPr>
          <w:rFonts w:ascii="Palatino Linotype" w:eastAsia="Calibri" w:hAnsi="Palatino Linotype" w:cs="Arial"/>
          <w:b/>
          <w:lang w:val="es-ES"/>
        </w:rPr>
        <w:t xml:space="preserve"> de dos mil veintitrés</w:t>
      </w:r>
      <w:r w:rsidRPr="00CD2099">
        <w:rPr>
          <w:rFonts w:ascii="Palatino Linotype" w:eastAsia="Calibri" w:hAnsi="Palatino Linotype" w:cs="Arial"/>
          <w:lang w:val="es-ES"/>
        </w:rPr>
        <w:t xml:space="preserve">, de tal forma que el plazo para interponer el recurso de revisión transcurrió del día dos de octubre de dos mil veintitrés al </w:t>
      </w:r>
      <w:r w:rsidR="00FB005A" w:rsidRPr="00CD2099">
        <w:rPr>
          <w:rFonts w:ascii="Palatino Linotype" w:eastAsia="Calibri" w:hAnsi="Palatino Linotype" w:cs="Arial"/>
          <w:lang w:val="es-ES"/>
        </w:rPr>
        <w:t>quince de agosto</w:t>
      </w:r>
      <w:r w:rsidRPr="00CD2099">
        <w:rPr>
          <w:rFonts w:ascii="Palatino Linotype" w:eastAsia="Calibri" w:hAnsi="Palatino Linotype" w:cs="Arial"/>
          <w:lang w:val="es-ES"/>
        </w:rPr>
        <w:t xml:space="preserve"> de do mil veintitrés</w:t>
      </w:r>
      <w:r w:rsidR="00FB005A" w:rsidRPr="00CD2099">
        <w:rPr>
          <w:rFonts w:ascii="Palatino Linotype" w:eastAsia="Calibri" w:hAnsi="Palatino Linotype" w:cs="Arial"/>
          <w:lang w:val="es-ES"/>
        </w:rPr>
        <w:t xml:space="preserve"> tomando en consideración el periodo vacacional que va del día diecisiete al veintiocho de julio de dos mil veintitrés; </w:t>
      </w:r>
      <w:r w:rsidRPr="00CD2099">
        <w:rPr>
          <w:rFonts w:ascii="Palatino Linotype" w:eastAsia="Calibri" w:hAnsi="Palatino Linotype" w:cs="Arial"/>
          <w:lang w:val="es-ES"/>
        </w:rPr>
        <w:t xml:space="preserve"> siendo que el ahora </w:t>
      </w:r>
      <w:r w:rsidRPr="00CD2099">
        <w:rPr>
          <w:rFonts w:ascii="Palatino Linotype" w:eastAsia="Calibri" w:hAnsi="Palatino Linotype" w:cs="Arial"/>
          <w:b/>
          <w:lang w:val="es-ES"/>
        </w:rPr>
        <w:t>RECURRENTE</w:t>
      </w:r>
      <w:r w:rsidRPr="00CD2099">
        <w:rPr>
          <w:rFonts w:ascii="Palatino Linotype" w:eastAsia="Calibri" w:hAnsi="Palatino Linotype" w:cs="Arial"/>
          <w:lang w:val="es-ES"/>
        </w:rPr>
        <w:t xml:space="preserve"> </w:t>
      </w:r>
      <w:r w:rsidRPr="00CD2099">
        <w:rPr>
          <w:rFonts w:ascii="Palatino Linotype" w:eastAsia="Calibri" w:hAnsi="Palatino Linotype" w:cs="Arial"/>
          <w:b/>
          <w:lang w:val="es-ES"/>
        </w:rPr>
        <w:t xml:space="preserve">presentó su inconformidad el día </w:t>
      </w:r>
      <w:r w:rsidR="00FB005A" w:rsidRPr="00CD2099">
        <w:rPr>
          <w:rFonts w:ascii="Palatino Linotype" w:eastAsia="Calibri" w:hAnsi="Palatino Linotype" w:cs="Arial"/>
          <w:b/>
          <w:lang w:val="es-ES"/>
        </w:rPr>
        <w:lastRenderedPageBreak/>
        <w:t>treinta y uno de julio</w:t>
      </w:r>
      <w:r w:rsidRPr="00CD2099">
        <w:rPr>
          <w:rFonts w:ascii="Palatino Linotype" w:eastAsia="Calibri" w:hAnsi="Palatino Linotype" w:cs="Arial"/>
          <w:b/>
          <w:lang w:val="es-ES"/>
        </w:rPr>
        <w:t xml:space="preserve"> de dos mil veintitrés</w:t>
      </w:r>
      <w:r w:rsidRPr="00CD2099">
        <w:rPr>
          <w:rFonts w:ascii="Palatino Linotype" w:eastAsia="Calibri" w:hAnsi="Palatino Linotype" w:cs="Arial"/>
          <w:lang w:val="es-ES"/>
        </w:rPr>
        <w:t>; este se interpuso dentro del lapso legalmente establecido para tal efecto.</w:t>
      </w:r>
    </w:p>
    <w:p w14:paraId="1AF8AA4F" w14:textId="77777777" w:rsidR="008B6C7C" w:rsidRPr="00CD2099" w:rsidRDefault="008B6C7C" w:rsidP="008B6C7C">
      <w:pPr>
        <w:spacing w:line="360" w:lineRule="auto"/>
        <w:jc w:val="both"/>
        <w:rPr>
          <w:rFonts w:ascii="Palatino Linotype" w:eastAsia="Times New Roman" w:hAnsi="Palatino Linotype" w:cs="Tahoma"/>
          <w:bCs/>
        </w:rPr>
      </w:pPr>
    </w:p>
    <w:p w14:paraId="1AF8AA50" w14:textId="77777777" w:rsidR="00F522D3" w:rsidRPr="00CD2099" w:rsidRDefault="00F522D3" w:rsidP="00F522D3">
      <w:pPr>
        <w:pStyle w:val="Prrafodelista"/>
        <w:numPr>
          <w:ilvl w:val="0"/>
          <w:numId w:val="1"/>
        </w:numPr>
        <w:tabs>
          <w:tab w:val="left" w:pos="426"/>
        </w:tabs>
        <w:spacing w:line="360" w:lineRule="auto"/>
        <w:ind w:left="0" w:firstLine="0"/>
        <w:jc w:val="both"/>
        <w:rPr>
          <w:rFonts w:ascii="Palatino Linotype" w:eastAsia="Times New Roman" w:hAnsi="Palatino Linotype" w:cs="Tahoma"/>
        </w:rPr>
      </w:pPr>
      <w:r w:rsidRPr="00CD2099">
        <w:rPr>
          <w:rFonts w:ascii="Palatino Linotype" w:eastAsia="Times New Roman" w:hAnsi="Palatino Linotype" w:cs="Tahoma"/>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AF8AA51" w14:textId="77777777" w:rsidR="00C9681E" w:rsidRPr="00CD2099" w:rsidRDefault="00C9681E" w:rsidP="00C9681E">
      <w:pPr>
        <w:pStyle w:val="Prrafodelista"/>
        <w:tabs>
          <w:tab w:val="left" w:pos="426"/>
        </w:tabs>
        <w:spacing w:line="360" w:lineRule="auto"/>
        <w:ind w:left="0"/>
        <w:jc w:val="both"/>
        <w:rPr>
          <w:rFonts w:ascii="Palatino Linotype" w:eastAsia="Times New Roman" w:hAnsi="Palatino Linotype" w:cs="Tahoma"/>
        </w:rPr>
      </w:pPr>
    </w:p>
    <w:p w14:paraId="1AF8AA52" w14:textId="77777777" w:rsidR="00C9681E" w:rsidRPr="00CD2099" w:rsidRDefault="00C9681E" w:rsidP="00C9681E">
      <w:pPr>
        <w:pStyle w:val="Ttulo2"/>
        <w:spacing w:before="0" w:line="360" w:lineRule="auto"/>
        <w:rPr>
          <w:rFonts w:ascii="Palatino Linotype" w:hAnsi="Palatino Linotype"/>
          <w:b/>
          <w:color w:val="000000" w:themeColor="text1"/>
          <w:sz w:val="24"/>
          <w:szCs w:val="24"/>
        </w:rPr>
      </w:pPr>
      <w:r w:rsidRPr="00CD2099">
        <w:rPr>
          <w:rFonts w:ascii="Palatino Linotype" w:hAnsi="Palatino Linotype"/>
          <w:b/>
          <w:color w:val="000000" w:themeColor="text1"/>
          <w:sz w:val="24"/>
          <w:szCs w:val="24"/>
        </w:rPr>
        <w:t>TERCERO. De las causales de sobreseimiento</w:t>
      </w:r>
    </w:p>
    <w:p w14:paraId="1AF8AA53" w14:textId="77777777" w:rsidR="008B6C7C" w:rsidRPr="00CD2099" w:rsidRDefault="008B6C7C" w:rsidP="00C9681E">
      <w:pPr>
        <w:pStyle w:val="Prrafodelista"/>
        <w:numPr>
          <w:ilvl w:val="0"/>
          <w:numId w:val="1"/>
        </w:numPr>
        <w:tabs>
          <w:tab w:val="left" w:pos="426"/>
        </w:tabs>
        <w:spacing w:line="360" w:lineRule="auto"/>
        <w:ind w:left="0" w:firstLine="0"/>
        <w:jc w:val="both"/>
        <w:rPr>
          <w:rFonts w:ascii="Palatino Linotype" w:eastAsia="Times New Roman" w:hAnsi="Palatino Linotype" w:cs="Tahoma"/>
        </w:rPr>
      </w:pPr>
      <w:r w:rsidRPr="00CD2099">
        <w:rPr>
          <w:rFonts w:ascii="Palatino Linotype" w:eastAsia="Times New Roman" w:hAnsi="Palatino Linotype" w:cs="Tahoma"/>
        </w:rPr>
        <w:t xml:space="preserve">En el </w:t>
      </w:r>
      <w:r w:rsidRPr="00CD2099">
        <w:rPr>
          <w:rFonts w:ascii="Palatino Linotype" w:eastAsia="Times New Roman" w:hAnsi="Palatino Linotype" w:cs="Tahoma"/>
          <w:bCs/>
        </w:rPr>
        <w:t>presente</w:t>
      </w:r>
      <w:r w:rsidRPr="00CD2099">
        <w:rPr>
          <w:rFonts w:ascii="Palatino Linotype" w:eastAsia="Times New Roman" w:hAnsi="Palatino Linotype" w:cs="Tahoma"/>
        </w:rPr>
        <w:t xml:space="preserve"> caso, </w:t>
      </w:r>
      <w:r w:rsidRPr="00CD2099">
        <w:rPr>
          <w:rFonts w:ascii="Palatino Linotype" w:eastAsia="Times New Roman" w:hAnsi="Palatino Linotype" w:cs="Tahoma"/>
          <w:bCs/>
        </w:rPr>
        <w:t>no se actualiza ninguna de las causales de improcedencia</w:t>
      </w:r>
      <w:r w:rsidRPr="00CD2099">
        <w:rPr>
          <w:rFonts w:ascii="Palatino Linotype" w:eastAsia="Times New Roman" w:hAnsi="Palatino Linotype" w:cs="Tahoma"/>
        </w:rPr>
        <w:t xml:space="preserve"> establecidas 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14:paraId="1AF8AA54" w14:textId="77777777" w:rsidR="008B6C7C" w:rsidRPr="00CD2099" w:rsidRDefault="008B6C7C" w:rsidP="008B6C7C">
      <w:pPr>
        <w:spacing w:line="360" w:lineRule="auto"/>
        <w:jc w:val="both"/>
        <w:rPr>
          <w:rFonts w:ascii="Palatino Linotype" w:eastAsia="Times New Roman" w:hAnsi="Palatino Linotype" w:cs="Tahoma"/>
        </w:rPr>
      </w:pPr>
    </w:p>
    <w:p w14:paraId="1AF8AA55" w14:textId="77777777" w:rsidR="008B6C7C" w:rsidRPr="00CD2099" w:rsidRDefault="008B6C7C" w:rsidP="00692B55">
      <w:pPr>
        <w:pStyle w:val="Prrafodelista"/>
        <w:numPr>
          <w:ilvl w:val="0"/>
          <w:numId w:val="1"/>
        </w:numPr>
        <w:tabs>
          <w:tab w:val="left" w:pos="426"/>
        </w:tabs>
        <w:spacing w:line="360" w:lineRule="auto"/>
        <w:ind w:left="0" w:firstLine="0"/>
        <w:jc w:val="both"/>
        <w:rPr>
          <w:rFonts w:ascii="Palatino Linotype" w:eastAsia="Times New Roman" w:hAnsi="Palatino Linotype" w:cs="Tahoma"/>
          <w:lang w:val="es-ES"/>
        </w:rPr>
      </w:pPr>
      <w:r w:rsidRPr="00CD2099">
        <w:rPr>
          <w:rFonts w:ascii="Palatino Linotype" w:eastAsia="Times New Roman" w:hAnsi="Palatino Linotype" w:cs="Tahoma"/>
        </w:rPr>
        <w:t>Asimismo, se considera por lo que hace a la fracción III, del artículo 191, de la Ley de la materia, toda vez, que ya ha sido admitido el Recurso de Revisión, se realizará el análisis correspondiente en el Considerando Tercero.</w:t>
      </w:r>
    </w:p>
    <w:p w14:paraId="1AF8AA56" w14:textId="77777777" w:rsidR="009F09BC" w:rsidRPr="00CD2099" w:rsidRDefault="009F09BC" w:rsidP="00EF280A">
      <w:pPr>
        <w:pStyle w:val="Prrafodelista"/>
        <w:spacing w:line="360" w:lineRule="auto"/>
        <w:ind w:left="0"/>
        <w:jc w:val="both"/>
        <w:rPr>
          <w:rFonts w:ascii="Palatino Linotype" w:hAnsi="Palatino Linotype"/>
          <w:color w:val="000000" w:themeColor="text1"/>
        </w:rPr>
      </w:pPr>
    </w:p>
    <w:p w14:paraId="1AF8AA57" w14:textId="77777777" w:rsidR="009F09BC" w:rsidRPr="00CD2099" w:rsidRDefault="009F09BC" w:rsidP="00CF0D2B">
      <w:pPr>
        <w:pStyle w:val="Ttulo1"/>
        <w:spacing w:before="0" w:line="360" w:lineRule="auto"/>
        <w:rPr>
          <w:rFonts w:ascii="Palatino Linotype" w:hAnsi="Palatino Linotype"/>
          <w:b/>
          <w:color w:val="000000" w:themeColor="text1"/>
          <w:sz w:val="24"/>
          <w:szCs w:val="24"/>
        </w:rPr>
      </w:pPr>
      <w:bookmarkStart w:id="11" w:name="_Toc34246179"/>
      <w:bookmarkStart w:id="12" w:name="_Toc50033991"/>
      <w:bookmarkStart w:id="13" w:name="_Toc51259588"/>
      <w:bookmarkStart w:id="14" w:name="_Toc83128581"/>
      <w:r w:rsidRPr="00CD2099">
        <w:rPr>
          <w:rFonts w:ascii="Palatino Linotype" w:hAnsi="Palatino Linotype"/>
          <w:b/>
          <w:color w:val="000000" w:themeColor="text1"/>
          <w:sz w:val="24"/>
          <w:szCs w:val="24"/>
        </w:rPr>
        <w:lastRenderedPageBreak/>
        <w:t xml:space="preserve">TERCERO. </w:t>
      </w:r>
      <w:bookmarkStart w:id="15" w:name="_Toc501021589"/>
      <w:r w:rsidRPr="00CD2099">
        <w:rPr>
          <w:rFonts w:ascii="Palatino Linotype" w:hAnsi="Palatino Linotype"/>
          <w:b/>
          <w:color w:val="000000" w:themeColor="text1"/>
          <w:sz w:val="24"/>
          <w:szCs w:val="24"/>
        </w:rPr>
        <w:t>De</w:t>
      </w:r>
      <w:r w:rsidR="00EA660A" w:rsidRPr="00CD2099">
        <w:rPr>
          <w:rFonts w:ascii="Palatino Linotype" w:hAnsi="Palatino Linotype"/>
          <w:b/>
          <w:color w:val="000000" w:themeColor="text1"/>
          <w:sz w:val="24"/>
          <w:szCs w:val="24"/>
        </w:rPr>
        <w:t xml:space="preserve"> las causales de sobreseimiento</w:t>
      </w:r>
      <w:r w:rsidRPr="00CD2099">
        <w:rPr>
          <w:rFonts w:ascii="Palatino Linotype" w:hAnsi="Palatino Linotype"/>
          <w:b/>
          <w:color w:val="000000" w:themeColor="text1"/>
          <w:sz w:val="24"/>
          <w:szCs w:val="24"/>
        </w:rPr>
        <w:t>.</w:t>
      </w:r>
      <w:bookmarkEnd w:id="11"/>
      <w:bookmarkEnd w:id="12"/>
      <w:bookmarkEnd w:id="13"/>
      <w:bookmarkEnd w:id="14"/>
      <w:bookmarkEnd w:id="15"/>
    </w:p>
    <w:p w14:paraId="1AF8AA58" w14:textId="77777777" w:rsidR="005414D5" w:rsidRPr="00CD2099" w:rsidRDefault="005414D5" w:rsidP="00692B55">
      <w:pPr>
        <w:pStyle w:val="Prrafodelista"/>
        <w:numPr>
          <w:ilvl w:val="0"/>
          <w:numId w:val="1"/>
        </w:numPr>
        <w:tabs>
          <w:tab w:val="left" w:pos="426"/>
        </w:tabs>
        <w:spacing w:line="360" w:lineRule="auto"/>
        <w:ind w:left="0" w:firstLine="0"/>
        <w:jc w:val="both"/>
        <w:rPr>
          <w:rFonts w:ascii="Palatino Linotype" w:eastAsia="Times New Roman" w:hAnsi="Palatino Linotype" w:cs="Arial"/>
          <w:bCs/>
        </w:rPr>
      </w:pPr>
      <w:r w:rsidRPr="00CD2099">
        <w:rPr>
          <w:rFonts w:ascii="Palatino Linotype" w:eastAsia="Times New Roman" w:hAnsi="Palatino Linotype" w:cs="Tahoma"/>
        </w:rPr>
        <w:t xml:space="preserve">El artículo 192 de la </w:t>
      </w:r>
      <w:r w:rsidRPr="00CD2099">
        <w:rPr>
          <w:rFonts w:ascii="Palatino Linotype" w:eastAsia="Calibri" w:hAnsi="Palatino Linotype" w:cs="Tahoma"/>
          <w:bCs/>
          <w:color w:val="000000"/>
          <w:lang w:eastAsia="es-ES_tradnl"/>
        </w:rPr>
        <w:t xml:space="preserve">Ley Transparencia y Acceso a la Información Pública del Estado de México y </w:t>
      </w:r>
      <w:r w:rsidRPr="00CD2099">
        <w:rPr>
          <w:rFonts w:ascii="Palatino Linotype" w:eastAsia="Calibri" w:hAnsi="Palatino Linotype" w:cs="Arial"/>
        </w:rPr>
        <w:t>Municipios</w:t>
      </w:r>
      <w:r w:rsidRPr="00CD2099">
        <w:rPr>
          <w:rFonts w:ascii="Palatino Linotype" w:eastAsia="Calibri" w:hAnsi="Palatino Linotype" w:cs="Tahoma"/>
          <w:bCs/>
          <w:color w:val="000000"/>
          <w:lang w:eastAsia="es-ES_tradnl"/>
        </w:rPr>
        <w:t xml:space="preserve">, señala las causales por las cuales se puede sobreseer en todo o </w:t>
      </w:r>
      <w:r w:rsidRPr="00CD2099">
        <w:rPr>
          <w:rFonts w:ascii="Palatino Linotype" w:eastAsia="Calibri" w:hAnsi="Palatino Linotype" w:cs="Arial"/>
        </w:rPr>
        <w:t>en</w:t>
      </w:r>
      <w:r w:rsidRPr="00CD2099">
        <w:rPr>
          <w:rFonts w:ascii="Palatino Linotype" w:eastAsia="Calibri" w:hAnsi="Palatino Linotype" w:cs="Tahoma"/>
          <w:bCs/>
          <w:color w:val="000000"/>
          <w:lang w:eastAsia="es-ES_tradnl"/>
        </w:rPr>
        <w:t xml:space="preserve"> parte el Recurso de Revisión;</w:t>
      </w:r>
      <w:r w:rsidRPr="00CD2099">
        <w:rPr>
          <w:rFonts w:ascii="Palatino Linotype" w:eastAsia="Calibri" w:hAnsi="Palatino Linotype" w:cs="Tahoma"/>
          <w:lang w:eastAsia="es-ES_tradnl"/>
        </w:rPr>
        <w:t xml:space="preserve"> por lo que hace a la hipótesis prevista en </w:t>
      </w:r>
      <w:r w:rsidRPr="00CD2099">
        <w:rPr>
          <w:rFonts w:ascii="Palatino Linotype" w:eastAsia="Calibri" w:hAnsi="Palatino Linotype" w:cs="Tahoma"/>
          <w:bCs/>
          <w:lang w:eastAsia="es-ES_tradnl"/>
        </w:rPr>
        <w:t>la fracción IV,</w:t>
      </w:r>
      <w:r w:rsidRPr="00CD2099">
        <w:rPr>
          <w:rFonts w:ascii="Palatino Linotype" w:eastAsia="Calibri" w:hAnsi="Palatino Linotype" w:cs="Tahoma"/>
          <w:lang w:eastAsia="es-ES_tradnl"/>
        </w:rPr>
        <w:t xml:space="preserve"> señala</w:t>
      </w:r>
      <w:r w:rsidR="00BB5758" w:rsidRPr="00CD2099">
        <w:rPr>
          <w:rFonts w:ascii="Palatino Linotype" w:eastAsia="Calibri" w:hAnsi="Palatino Linotype" w:cs="Tahoma"/>
          <w:lang w:eastAsia="es-ES_tradnl"/>
        </w:rPr>
        <w:t xml:space="preserve"> que</w:t>
      </w:r>
      <w:r w:rsidRPr="00CD2099">
        <w:rPr>
          <w:rFonts w:ascii="Palatino Linotype" w:eastAsia="Calibri" w:hAnsi="Palatino Linotype" w:cs="Tahoma"/>
          <w:lang w:eastAsia="es-ES_tradnl"/>
        </w:rPr>
        <w:t xml:space="preserve"> una vez admitido el Recurso de Revisión, aparezca alguna causal de improcedencia en términos de la presente Ley, </w:t>
      </w:r>
      <w:r w:rsidRPr="00CD2099">
        <w:rPr>
          <w:rFonts w:ascii="Palatino Linotype" w:eastAsia="Calibri" w:hAnsi="Palatino Linotype" w:cs="Tahoma"/>
          <w:bCs/>
          <w:lang w:eastAsia="es-ES_tradnl"/>
        </w:rPr>
        <w:t>resulta necesario traer a colación</w:t>
      </w:r>
      <w:r w:rsidRPr="00CD2099">
        <w:rPr>
          <w:rFonts w:ascii="Palatino Linotype" w:eastAsia="Calibri" w:hAnsi="Palatino Linotype" w:cs="Tahoma"/>
          <w:bCs/>
          <w:lang w:val="es-ES" w:eastAsia="es-ES_tradnl"/>
        </w:rPr>
        <w:t xml:space="preserve"> el artículo 191, fracción III, de dicho ordenamiento jurídico, que establece que el Recurso de Revisión será desechado por improcedente, cuando dicho medio no actualice alguno de los supuestos previstos en el diverso 179 de la presente Ley. </w:t>
      </w:r>
      <w:r w:rsidRPr="00CD2099">
        <w:rPr>
          <w:rFonts w:ascii="Palatino Linotype" w:eastAsia="Times New Roman" w:hAnsi="Palatino Linotype" w:cs="Arial"/>
          <w:bCs/>
        </w:rPr>
        <w:t>En ese orden de ideas, dicho artículo prevé lo siguiente:</w:t>
      </w:r>
    </w:p>
    <w:p w14:paraId="1AF8AA59" w14:textId="77777777" w:rsidR="005414D5" w:rsidRPr="00CD2099" w:rsidRDefault="005414D5" w:rsidP="005414D5">
      <w:pPr>
        <w:spacing w:line="360" w:lineRule="auto"/>
        <w:jc w:val="both"/>
        <w:rPr>
          <w:rFonts w:ascii="Palatino Linotype" w:eastAsia="Times New Roman" w:hAnsi="Palatino Linotype" w:cs="Arial"/>
          <w:bCs/>
          <w:sz w:val="22"/>
        </w:rPr>
      </w:pPr>
    </w:p>
    <w:p w14:paraId="1AF8AA5A" w14:textId="77777777" w:rsidR="005414D5" w:rsidRPr="00CD2099" w:rsidRDefault="005414D5" w:rsidP="005414D5">
      <w:pPr>
        <w:spacing w:line="360" w:lineRule="auto"/>
        <w:ind w:left="567" w:right="567"/>
        <w:jc w:val="both"/>
        <w:rPr>
          <w:rFonts w:ascii="Palatino Linotype" w:hAnsi="Palatino Linotype" w:cs="Arial"/>
          <w:bCs/>
          <w:i/>
          <w:sz w:val="22"/>
        </w:rPr>
      </w:pPr>
      <w:r w:rsidRPr="00CD2099">
        <w:rPr>
          <w:rFonts w:ascii="Palatino Linotype" w:hAnsi="Palatino Linotype" w:cs="Arial"/>
          <w:b/>
          <w:bCs/>
          <w:i/>
          <w:sz w:val="22"/>
        </w:rPr>
        <w:t xml:space="preserve">“Artículo 179. </w:t>
      </w:r>
      <w:r w:rsidRPr="00CD2099">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14:paraId="1AF8AA5B" w14:textId="77777777" w:rsidR="00411B64" w:rsidRPr="00CD2099" w:rsidRDefault="00411B64" w:rsidP="005414D5">
      <w:pPr>
        <w:spacing w:line="360" w:lineRule="auto"/>
        <w:ind w:left="567" w:right="567"/>
        <w:jc w:val="both"/>
        <w:rPr>
          <w:rFonts w:ascii="Palatino Linotype" w:hAnsi="Palatino Linotype" w:cs="Arial"/>
          <w:bCs/>
          <w:i/>
          <w:sz w:val="22"/>
        </w:rPr>
      </w:pPr>
    </w:p>
    <w:p w14:paraId="1AF8AA5C" w14:textId="77777777" w:rsidR="005414D5" w:rsidRPr="00CD2099" w:rsidRDefault="005414D5" w:rsidP="005414D5">
      <w:pPr>
        <w:spacing w:line="360" w:lineRule="auto"/>
        <w:ind w:left="567" w:right="567"/>
        <w:jc w:val="both"/>
        <w:rPr>
          <w:rFonts w:ascii="Palatino Linotype" w:hAnsi="Palatino Linotype" w:cs="Arial"/>
          <w:bCs/>
          <w:i/>
          <w:sz w:val="22"/>
        </w:rPr>
      </w:pPr>
      <w:r w:rsidRPr="00CD2099">
        <w:rPr>
          <w:rFonts w:ascii="Palatino Linotype" w:hAnsi="Palatino Linotype" w:cs="Arial"/>
          <w:bCs/>
          <w:i/>
          <w:sz w:val="22"/>
        </w:rPr>
        <w:t xml:space="preserve">I. La negativa a la información solicitada; </w:t>
      </w:r>
    </w:p>
    <w:p w14:paraId="1AF8AA5D" w14:textId="77777777" w:rsidR="005414D5" w:rsidRPr="00CD2099" w:rsidRDefault="005414D5" w:rsidP="005414D5">
      <w:pPr>
        <w:spacing w:line="360" w:lineRule="auto"/>
        <w:ind w:left="567" w:right="567"/>
        <w:jc w:val="both"/>
        <w:rPr>
          <w:rFonts w:ascii="Palatino Linotype" w:hAnsi="Palatino Linotype" w:cs="Arial"/>
          <w:bCs/>
          <w:i/>
          <w:sz w:val="22"/>
        </w:rPr>
      </w:pPr>
      <w:r w:rsidRPr="00CD2099">
        <w:rPr>
          <w:rFonts w:ascii="Palatino Linotype" w:hAnsi="Palatino Linotype" w:cs="Arial"/>
          <w:bCs/>
          <w:i/>
          <w:sz w:val="22"/>
        </w:rPr>
        <w:t xml:space="preserve">II. La clasificación de la información; </w:t>
      </w:r>
    </w:p>
    <w:p w14:paraId="1AF8AA5E" w14:textId="77777777" w:rsidR="005414D5" w:rsidRPr="00CD2099" w:rsidRDefault="005414D5" w:rsidP="005414D5">
      <w:pPr>
        <w:spacing w:line="360" w:lineRule="auto"/>
        <w:ind w:left="567" w:right="567"/>
        <w:jc w:val="both"/>
        <w:rPr>
          <w:rFonts w:ascii="Palatino Linotype" w:hAnsi="Palatino Linotype" w:cs="Arial"/>
          <w:bCs/>
          <w:i/>
          <w:sz w:val="22"/>
        </w:rPr>
      </w:pPr>
      <w:r w:rsidRPr="00CD2099">
        <w:rPr>
          <w:rFonts w:ascii="Palatino Linotype" w:hAnsi="Palatino Linotype" w:cs="Arial"/>
          <w:bCs/>
          <w:i/>
          <w:sz w:val="22"/>
        </w:rPr>
        <w:t xml:space="preserve">III. La declaración de inexistencia de la información; </w:t>
      </w:r>
    </w:p>
    <w:p w14:paraId="1AF8AA5F" w14:textId="77777777" w:rsidR="005414D5" w:rsidRPr="00CD2099" w:rsidRDefault="005414D5" w:rsidP="005414D5">
      <w:pPr>
        <w:spacing w:line="360" w:lineRule="auto"/>
        <w:ind w:left="567" w:right="567"/>
        <w:jc w:val="both"/>
        <w:rPr>
          <w:rFonts w:ascii="Palatino Linotype" w:hAnsi="Palatino Linotype" w:cs="Arial"/>
          <w:bCs/>
          <w:i/>
          <w:sz w:val="22"/>
        </w:rPr>
      </w:pPr>
      <w:r w:rsidRPr="00CD2099">
        <w:rPr>
          <w:rFonts w:ascii="Palatino Linotype" w:hAnsi="Palatino Linotype" w:cs="Arial"/>
          <w:bCs/>
          <w:i/>
          <w:sz w:val="22"/>
        </w:rPr>
        <w:t xml:space="preserve">IV. La declaración de incompetencia por el sujeto obligado; </w:t>
      </w:r>
    </w:p>
    <w:p w14:paraId="1AF8AA60" w14:textId="77777777" w:rsidR="005414D5" w:rsidRPr="00CD2099" w:rsidRDefault="005414D5" w:rsidP="005414D5">
      <w:pPr>
        <w:spacing w:line="360" w:lineRule="auto"/>
        <w:ind w:left="567" w:right="567"/>
        <w:jc w:val="both"/>
        <w:rPr>
          <w:rFonts w:ascii="Palatino Linotype" w:hAnsi="Palatino Linotype" w:cs="Arial"/>
          <w:bCs/>
          <w:i/>
          <w:sz w:val="22"/>
        </w:rPr>
      </w:pPr>
      <w:r w:rsidRPr="00CD2099">
        <w:rPr>
          <w:rFonts w:ascii="Palatino Linotype" w:hAnsi="Palatino Linotype" w:cs="Arial"/>
          <w:bCs/>
          <w:i/>
          <w:sz w:val="22"/>
        </w:rPr>
        <w:t xml:space="preserve">V. La entrega de información incompleta; </w:t>
      </w:r>
    </w:p>
    <w:p w14:paraId="1AF8AA61" w14:textId="77777777" w:rsidR="005414D5" w:rsidRPr="00CD2099" w:rsidRDefault="005414D5" w:rsidP="005414D5">
      <w:pPr>
        <w:spacing w:line="360" w:lineRule="auto"/>
        <w:ind w:left="567" w:right="567"/>
        <w:jc w:val="both"/>
        <w:rPr>
          <w:rFonts w:ascii="Palatino Linotype" w:hAnsi="Palatino Linotype" w:cs="Arial"/>
          <w:bCs/>
          <w:i/>
          <w:sz w:val="22"/>
        </w:rPr>
      </w:pPr>
      <w:r w:rsidRPr="00CD2099">
        <w:rPr>
          <w:rFonts w:ascii="Palatino Linotype" w:hAnsi="Palatino Linotype" w:cs="Arial"/>
          <w:bCs/>
          <w:i/>
          <w:sz w:val="22"/>
        </w:rPr>
        <w:t xml:space="preserve">VI. La entrega de información que no corresponda con lo solicitado; </w:t>
      </w:r>
    </w:p>
    <w:p w14:paraId="1AF8AA62" w14:textId="77777777" w:rsidR="005414D5" w:rsidRPr="00CD2099" w:rsidRDefault="005414D5" w:rsidP="005414D5">
      <w:pPr>
        <w:spacing w:line="360" w:lineRule="auto"/>
        <w:ind w:left="567" w:right="567"/>
        <w:jc w:val="both"/>
        <w:rPr>
          <w:rFonts w:ascii="Palatino Linotype" w:hAnsi="Palatino Linotype" w:cs="Arial"/>
          <w:bCs/>
          <w:i/>
          <w:sz w:val="22"/>
        </w:rPr>
      </w:pPr>
      <w:r w:rsidRPr="00CD2099">
        <w:rPr>
          <w:rFonts w:ascii="Palatino Linotype" w:hAnsi="Palatino Linotype" w:cs="Arial"/>
          <w:bCs/>
          <w:i/>
          <w:sz w:val="22"/>
        </w:rPr>
        <w:t xml:space="preserve">VII. La falta de respuesta a una solicitud de acceso a la información; </w:t>
      </w:r>
    </w:p>
    <w:p w14:paraId="1AF8AA63" w14:textId="77777777" w:rsidR="005414D5" w:rsidRPr="00CD2099" w:rsidRDefault="005414D5" w:rsidP="005414D5">
      <w:pPr>
        <w:spacing w:line="360" w:lineRule="auto"/>
        <w:ind w:left="567" w:right="567"/>
        <w:jc w:val="both"/>
        <w:rPr>
          <w:rFonts w:ascii="Palatino Linotype" w:hAnsi="Palatino Linotype" w:cs="Arial"/>
          <w:bCs/>
          <w:i/>
          <w:sz w:val="22"/>
        </w:rPr>
      </w:pPr>
      <w:r w:rsidRPr="00CD2099">
        <w:rPr>
          <w:rFonts w:ascii="Palatino Linotype" w:hAnsi="Palatino Linotype" w:cs="Arial"/>
          <w:bCs/>
          <w:i/>
          <w:sz w:val="22"/>
        </w:rPr>
        <w:t xml:space="preserve">VIII. La notificación, entrega o puesta a disposición de información en una modalidad o formato distinto al solicitado; </w:t>
      </w:r>
    </w:p>
    <w:p w14:paraId="1AF8AA64" w14:textId="77777777" w:rsidR="005414D5" w:rsidRPr="00CD2099" w:rsidRDefault="005414D5" w:rsidP="005414D5">
      <w:pPr>
        <w:spacing w:line="360" w:lineRule="auto"/>
        <w:ind w:left="567" w:right="567"/>
        <w:jc w:val="both"/>
        <w:rPr>
          <w:rFonts w:ascii="Palatino Linotype" w:hAnsi="Palatino Linotype" w:cs="Arial"/>
          <w:bCs/>
          <w:i/>
          <w:sz w:val="22"/>
        </w:rPr>
      </w:pPr>
      <w:r w:rsidRPr="00CD2099">
        <w:rPr>
          <w:rFonts w:ascii="Palatino Linotype" w:hAnsi="Palatino Linotype" w:cs="Arial"/>
          <w:bCs/>
          <w:i/>
          <w:sz w:val="22"/>
        </w:rPr>
        <w:lastRenderedPageBreak/>
        <w:t xml:space="preserve">IX. La entrega o puesta a disposición de información en un formato incomprensible y/o no accesible para el solicitante; </w:t>
      </w:r>
    </w:p>
    <w:p w14:paraId="1AF8AA65" w14:textId="77777777" w:rsidR="005414D5" w:rsidRPr="00CD2099" w:rsidRDefault="005414D5" w:rsidP="005414D5">
      <w:pPr>
        <w:spacing w:line="360" w:lineRule="auto"/>
        <w:ind w:left="567" w:right="567"/>
        <w:jc w:val="both"/>
        <w:rPr>
          <w:rFonts w:ascii="Palatino Linotype" w:hAnsi="Palatino Linotype" w:cs="Arial"/>
          <w:bCs/>
          <w:i/>
          <w:sz w:val="22"/>
        </w:rPr>
      </w:pPr>
      <w:r w:rsidRPr="00CD2099">
        <w:rPr>
          <w:rFonts w:ascii="Palatino Linotype" w:hAnsi="Palatino Linotype" w:cs="Arial"/>
          <w:bCs/>
          <w:i/>
          <w:sz w:val="22"/>
        </w:rPr>
        <w:t xml:space="preserve">X. Los costos o tiempos de entrega de la información; </w:t>
      </w:r>
    </w:p>
    <w:p w14:paraId="1AF8AA66" w14:textId="77777777" w:rsidR="005414D5" w:rsidRPr="00CD2099" w:rsidRDefault="005414D5" w:rsidP="005414D5">
      <w:pPr>
        <w:spacing w:line="360" w:lineRule="auto"/>
        <w:ind w:left="567" w:right="567"/>
        <w:jc w:val="both"/>
        <w:rPr>
          <w:rFonts w:ascii="Palatino Linotype" w:hAnsi="Palatino Linotype" w:cs="Arial"/>
          <w:bCs/>
          <w:i/>
          <w:sz w:val="22"/>
        </w:rPr>
      </w:pPr>
      <w:r w:rsidRPr="00CD2099">
        <w:rPr>
          <w:rFonts w:ascii="Palatino Linotype" w:hAnsi="Palatino Linotype" w:cs="Arial"/>
          <w:bCs/>
          <w:i/>
          <w:sz w:val="22"/>
        </w:rPr>
        <w:t xml:space="preserve">XI. La falta de trámite a una solicitud; </w:t>
      </w:r>
    </w:p>
    <w:p w14:paraId="1AF8AA67" w14:textId="77777777" w:rsidR="005414D5" w:rsidRPr="00CD2099" w:rsidRDefault="005414D5" w:rsidP="005414D5">
      <w:pPr>
        <w:spacing w:line="360" w:lineRule="auto"/>
        <w:ind w:left="567" w:right="567"/>
        <w:jc w:val="both"/>
        <w:rPr>
          <w:rFonts w:ascii="Palatino Linotype" w:hAnsi="Palatino Linotype" w:cs="Arial"/>
          <w:bCs/>
          <w:i/>
          <w:sz w:val="22"/>
        </w:rPr>
      </w:pPr>
      <w:r w:rsidRPr="00CD2099">
        <w:rPr>
          <w:rFonts w:ascii="Palatino Linotype" w:hAnsi="Palatino Linotype" w:cs="Arial"/>
          <w:bCs/>
          <w:i/>
          <w:sz w:val="22"/>
        </w:rPr>
        <w:t xml:space="preserve">XII. La negativa a permitir la consulta directa de la información; </w:t>
      </w:r>
    </w:p>
    <w:p w14:paraId="1AF8AA68" w14:textId="77777777" w:rsidR="005414D5" w:rsidRPr="00CD2099" w:rsidRDefault="005414D5" w:rsidP="005414D5">
      <w:pPr>
        <w:spacing w:line="360" w:lineRule="auto"/>
        <w:ind w:left="567" w:right="567"/>
        <w:jc w:val="both"/>
        <w:rPr>
          <w:rFonts w:ascii="Palatino Linotype" w:hAnsi="Palatino Linotype" w:cs="Arial"/>
          <w:bCs/>
          <w:i/>
          <w:sz w:val="22"/>
        </w:rPr>
      </w:pPr>
      <w:r w:rsidRPr="00CD2099">
        <w:rPr>
          <w:rFonts w:ascii="Palatino Linotype" w:hAnsi="Palatino Linotype" w:cs="Arial"/>
          <w:bCs/>
          <w:i/>
          <w:sz w:val="22"/>
        </w:rPr>
        <w:t xml:space="preserve">XIII. La falta, deficiencia o insuficiencia de la fundamentación y/o motivación en la respuesta; y </w:t>
      </w:r>
    </w:p>
    <w:p w14:paraId="1AF8AA69" w14:textId="77777777" w:rsidR="005414D5" w:rsidRPr="00CD2099" w:rsidRDefault="005414D5" w:rsidP="005414D5">
      <w:pPr>
        <w:spacing w:line="360" w:lineRule="auto"/>
        <w:ind w:left="567" w:right="567"/>
        <w:jc w:val="both"/>
        <w:rPr>
          <w:rFonts w:ascii="Palatino Linotype" w:hAnsi="Palatino Linotype" w:cs="Arial"/>
          <w:bCs/>
          <w:i/>
          <w:sz w:val="22"/>
        </w:rPr>
      </w:pPr>
      <w:r w:rsidRPr="00CD2099">
        <w:rPr>
          <w:rFonts w:ascii="Palatino Linotype" w:hAnsi="Palatino Linotype" w:cs="Arial"/>
          <w:bCs/>
          <w:i/>
          <w:sz w:val="22"/>
        </w:rPr>
        <w:t>XIV. La orientación a un trámite específico.</w:t>
      </w:r>
    </w:p>
    <w:p w14:paraId="1AF8AA6A" w14:textId="77777777" w:rsidR="005414D5" w:rsidRPr="00CD2099" w:rsidRDefault="005414D5" w:rsidP="005414D5">
      <w:pPr>
        <w:spacing w:line="360" w:lineRule="auto"/>
        <w:ind w:left="567" w:right="567"/>
        <w:jc w:val="both"/>
        <w:rPr>
          <w:rFonts w:ascii="Palatino Linotype" w:hAnsi="Palatino Linotype" w:cs="Arial"/>
          <w:bCs/>
          <w:i/>
          <w:sz w:val="22"/>
        </w:rPr>
      </w:pPr>
      <w:r w:rsidRPr="00CD2099">
        <w:rPr>
          <w:rFonts w:ascii="Palatino Linotype" w:hAnsi="Palatino Linotype" w:cs="Arial"/>
          <w:bCs/>
          <w:i/>
          <w:sz w:val="22"/>
        </w:rPr>
        <w:t>...”</w:t>
      </w:r>
    </w:p>
    <w:p w14:paraId="1AF8AA6B" w14:textId="77777777" w:rsidR="00BB5758" w:rsidRPr="00CD2099" w:rsidRDefault="00BB5758" w:rsidP="00BB5758">
      <w:pPr>
        <w:spacing w:line="360" w:lineRule="auto"/>
        <w:ind w:right="49"/>
        <w:contextualSpacing/>
        <w:jc w:val="both"/>
        <w:rPr>
          <w:rFonts w:ascii="Palatino Linotype" w:hAnsi="Palatino Linotype" w:cs="Tahoma"/>
          <w:lang w:val="es-ES"/>
        </w:rPr>
      </w:pPr>
    </w:p>
    <w:p w14:paraId="1AF8AA6C" w14:textId="77777777" w:rsidR="005414D5" w:rsidRPr="00CD2099" w:rsidRDefault="005414D5" w:rsidP="00692B55">
      <w:pPr>
        <w:pStyle w:val="Prrafodelista"/>
        <w:numPr>
          <w:ilvl w:val="0"/>
          <w:numId w:val="1"/>
        </w:numPr>
        <w:tabs>
          <w:tab w:val="left" w:pos="426"/>
        </w:tabs>
        <w:spacing w:line="360" w:lineRule="auto"/>
        <w:ind w:left="0" w:firstLine="0"/>
        <w:jc w:val="both"/>
        <w:rPr>
          <w:rFonts w:ascii="Palatino Linotype" w:hAnsi="Palatino Linotype" w:cs="Tahoma"/>
          <w:lang w:val="es-ES"/>
        </w:rPr>
      </w:pPr>
      <w:r w:rsidRPr="00CD2099">
        <w:rPr>
          <w:rFonts w:ascii="Palatino Linotype" w:hAnsi="Palatino Linotype" w:cs="Tahoma"/>
          <w:lang w:val="es-ES"/>
        </w:rPr>
        <w:t xml:space="preserve">Ahora bien, el artículo 176 de la Ley de Transparencia y Acceso a la Información Pública del Estado de México y Municipios, establece que el Recurso de Revisión, es la garantía secundaria mediante la cual se pretende reparar cualquier afectación al </w:t>
      </w:r>
      <w:r w:rsidRPr="00CD2099">
        <w:rPr>
          <w:rFonts w:ascii="Palatino Linotype" w:eastAsia="Times New Roman" w:hAnsi="Palatino Linotype" w:cs="Tahoma"/>
        </w:rPr>
        <w:t>derecho</w:t>
      </w:r>
      <w:r w:rsidRPr="00CD2099">
        <w:rPr>
          <w:rFonts w:ascii="Palatino Linotype" w:hAnsi="Palatino Linotype" w:cs="Tahoma"/>
          <w:lang w:val="es-ES"/>
        </w:rPr>
        <w:t xml:space="preserve"> de acceso a la información pública.</w:t>
      </w:r>
    </w:p>
    <w:p w14:paraId="1AF8AA6D" w14:textId="77777777" w:rsidR="00BB5758" w:rsidRPr="00CD2099" w:rsidRDefault="00BB5758" w:rsidP="005414D5">
      <w:pPr>
        <w:tabs>
          <w:tab w:val="left" w:pos="4962"/>
        </w:tabs>
        <w:spacing w:line="360" w:lineRule="auto"/>
        <w:jc w:val="both"/>
        <w:rPr>
          <w:rFonts w:ascii="Palatino Linotype" w:hAnsi="Palatino Linotype" w:cs="Tahoma"/>
          <w:lang w:val="es-ES"/>
        </w:rPr>
      </w:pPr>
    </w:p>
    <w:p w14:paraId="1AF8AA6E" w14:textId="77777777" w:rsidR="005414D5" w:rsidRPr="00CD2099" w:rsidRDefault="005414D5" w:rsidP="00692B55">
      <w:pPr>
        <w:pStyle w:val="Prrafodelista"/>
        <w:numPr>
          <w:ilvl w:val="0"/>
          <w:numId w:val="1"/>
        </w:numPr>
        <w:tabs>
          <w:tab w:val="left" w:pos="426"/>
        </w:tabs>
        <w:spacing w:line="360" w:lineRule="auto"/>
        <w:ind w:left="0" w:firstLine="0"/>
        <w:jc w:val="both"/>
        <w:rPr>
          <w:rFonts w:ascii="Palatino Linotype" w:hAnsi="Palatino Linotype" w:cs="Tahoma"/>
          <w:lang w:val="es-ES"/>
        </w:rPr>
      </w:pPr>
      <w:r w:rsidRPr="00CD2099">
        <w:rPr>
          <w:rFonts w:ascii="Palatino Linotype" w:hAnsi="Palatino Linotype" w:cs="Tahoma"/>
          <w:lang w:val="es-ES"/>
        </w:rPr>
        <w:t>Además, conforme al Diccionario de Transparencia y Acceso a la Información Pública y la página oficial de este Instituto (</w:t>
      </w:r>
      <w:hyperlink r:id="rId12" w:anchor="queEsRRdeIP" w:history="1">
        <w:r w:rsidRPr="00CD2099">
          <w:rPr>
            <w:rFonts w:ascii="Palatino Linotype" w:hAnsi="Palatino Linotype" w:cs="Tahoma"/>
            <w:lang w:val="es-ES"/>
          </w:rPr>
          <w:t>https://www.infoem.org.mx/es/content/informacion-publica#queEsRRdeIP</w:t>
        </w:r>
      </w:hyperlink>
      <w:r w:rsidRPr="00CD2099">
        <w:rPr>
          <w:rFonts w:ascii="Palatino Linotype" w:hAnsi="Palatino Linotype" w:cs="Tahoma"/>
          <w:lang w:val="es-ES"/>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14:paraId="1AF8AA6F" w14:textId="77777777" w:rsidR="00CC14BA" w:rsidRPr="00CD2099" w:rsidRDefault="00CC14BA" w:rsidP="00CC14BA">
      <w:pPr>
        <w:spacing w:line="360" w:lineRule="auto"/>
        <w:ind w:right="49"/>
        <w:contextualSpacing/>
        <w:jc w:val="both"/>
        <w:rPr>
          <w:rFonts w:ascii="Palatino Linotype" w:hAnsi="Palatino Linotype" w:cs="Tahoma"/>
          <w:lang w:val="es-ES"/>
        </w:rPr>
      </w:pPr>
    </w:p>
    <w:p w14:paraId="1AF8AA70" w14:textId="77777777" w:rsidR="005414D5" w:rsidRPr="00CD2099" w:rsidRDefault="005414D5" w:rsidP="00692B55">
      <w:pPr>
        <w:pStyle w:val="Prrafodelista"/>
        <w:numPr>
          <w:ilvl w:val="0"/>
          <w:numId w:val="1"/>
        </w:numPr>
        <w:tabs>
          <w:tab w:val="left" w:pos="426"/>
        </w:tabs>
        <w:spacing w:line="360" w:lineRule="auto"/>
        <w:ind w:left="0" w:firstLine="0"/>
        <w:jc w:val="both"/>
        <w:rPr>
          <w:rFonts w:ascii="Palatino Linotype" w:hAnsi="Palatino Linotype" w:cs="Tahoma"/>
          <w:lang w:val="es-ES"/>
        </w:rPr>
      </w:pPr>
      <w:r w:rsidRPr="00CD2099">
        <w:rPr>
          <w:rFonts w:ascii="Palatino Linotype" w:hAnsi="Palatino Linotype" w:cs="Tahoma"/>
          <w:lang w:val="es-ES"/>
        </w:rPr>
        <w:t xml:space="preserve">Así, se logra vislumbrar que el Recurso de Revisión es una garantía secundaría al Derecho de Acceso a la Información Pública, por lo que, es procedente cuando los </w:t>
      </w:r>
      <w:r w:rsidRPr="00CD2099">
        <w:rPr>
          <w:rFonts w:ascii="Palatino Linotype" w:hAnsi="Palatino Linotype" w:cs="Tahoma"/>
          <w:lang w:val="es-ES"/>
        </w:rPr>
        <w:lastRenderedPageBreak/>
        <w:t>Particulares se inconformen con la falta de respuesta o trámite, o bien, de alguna circunstancia de la contestación realizada por los Sujetos Obligados a una solicitud de información específica.</w:t>
      </w:r>
    </w:p>
    <w:p w14:paraId="1AF8AA71" w14:textId="77777777" w:rsidR="00F849F2" w:rsidRPr="00CD2099" w:rsidRDefault="00F849F2" w:rsidP="00F849F2">
      <w:pPr>
        <w:pStyle w:val="Prrafodelista"/>
        <w:rPr>
          <w:rFonts w:ascii="Palatino Linotype" w:hAnsi="Palatino Linotype" w:cs="Tahoma"/>
          <w:lang w:val="es-ES"/>
        </w:rPr>
      </w:pPr>
    </w:p>
    <w:p w14:paraId="1AF8AA72" w14:textId="77777777" w:rsidR="00C9681E" w:rsidRPr="00CD2099" w:rsidRDefault="00C9681E" w:rsidP="00C9681E">
      <w:pPr>
        <w:pStyle w:val="Prrafodelista"/>
        <w:numPr>
          <w:ilvl w:val="0"/>
          <w:numId w:val="1"/>
        </w:numPr>
        <w:spacing w:line="360" w:lineRule="auto"/>
        <w:ind w:left="0" w:firstLine="0"/>
        <w:jc w:val="both"/>
        <w:rPr>
          <w:rFonts w:ascii="Palatino Linotype" w:eastAsia="Calibri" w:hAnsi="Palatino Linotype" w:cs="Arial"/>
        </w:rPr>
      </w:pPr>
      <w:r w:rsidRPr="00CD2099">
        <w:rPr>
          <w:rFonts w:ascii="Palatino Linotype" w:eastAsia="Calibri" w:hAnsi="Palatino Linotype" w:cs="Arial"/>
        </w:rPr>
        <w:t xml:space="preserve">En dichas condiciones, la Litis a resolver en este recurso se circunscribe a determinar si se actualiza la causal de procedencia prevista en el artículo 179, fracción V de la Ley de Transparencia y Acceso a la Información Pública del Estado de México y Municipios, fracción que determina la hipótesis jurídica relativa entrega de información incompleta; contexto del cual se dolió </w:t>
      </w:r>
      <w:r w:rsidRPr="00CD2099">
        <w:rPr>
          <w:rFonts w:ascii="Palatino Linotype" w:eastAsia="Calibri" w:hAnsi="Palatino Linotype" w:cs="Arial"/>
          <w:b/>
        </w:rPr>
        <w:t>EL RECURRENTE</w:t>
      </w:r>
      <w:r w:rsidRPr="00CD2099">
        <w:rPr>
          <w:rFonts w:ascii="Palatino Linotype" w:eastAsia="Calibri" w:hAnsi="Palatino Linotype" w:cs="Arial"/>
        </w:rPr>
        <w:t xml:space="preserve"> al momento de interponer su inconformidad.</w:t>
      </w:r>
    </w:p>
    <w:p w14:paraId="1AF8AA73" w14:textId="77777777" w:rsidR="00C9681E" w:rsidRPr="00CD2099" w:rsidRDefault="00C9681E" w:rsidP="00C9681E">
      <w:pPr>
        <w:pStyle w:val="Prrafodelista"/>
        <w:rPr>
          <w:rFonts w:ascii="Palatino Linotype" w:eastAsia="Calibri" w:hAnsi="Palatino Linotype" w:cs="Arial"/>
        </w:rPr>
      </w:pPr>
    </w:p>
    <w:p w14:paraId="1AF8AA74" w14:textId="77777777" w:rsidR="00C9681E" w:rsidRPr="00CD2099" w:rsidRDefault="00C9681E" w:rsidP="00C9681E">
      <w:pPr>
        <w:pStyle w:val="Prrafodelista"/>
        <w:numPr>
          <w:ilvl w:val="0"/>
          <w:numId w:val="1"/>
        </w:numPr>
        <w:spacing w:line="360" w:lineRule="auto"/>
        <w:ind w:left="0" w:firstLine="0"/>
        <w:jc w:val="both"/>
        <w:rPr>
          <w:rFonts w:ascii="Palatino Linotype" w:eastAsia="Calibri" w:hAnsi="Palatino Linotype" w:cs="Arial"/>
        </w:rPr>
      </w:pPr>
      <w:r w:rsidRPr="00CD2099">
        <w:rPr>
          <w:rFonts w:ascii="Palatino Linotype" w:eastAsia="Calibri" w:hAnsi="Palatino Linotype" w:cs="Arial"/>
        </w:rPr>
        <w:t>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AF8AA75" w14:textId="77777777" w:rsidR="00C9681E" w:rsidRPr="00CD2099" w:rsidRDefault="00C9681E" w:rsidP="00C9681E">
      <w:pPr>
        <w:pStyle w:val="Prrafodelista"/>
        <w:spacing w:line="360" w:lineRule="auto"/>
        <w:ind w:left="0"/>
        <w:jc w:val="both"/>
        <w:rPr>
          <w:rFonts w:ascii="Palatino Linotype" w:eastAsia="Calibri" w:hAnsi="Palatino Linotype" w:cs="Arial"/>
        </w:rPr>
      </w:pPr>
    </w:p>
    <w:p w14:paraId="1AF8AA76" w14:textId="77777777" w:rsidR="00C9681E" w:rsidRPr="00CD2099" w:rsidRDefault="00C9681E" w:rsidP="00C9681E">
      <w:pPr>
        <w:pStyle w:val="Prrafodelista"/>
        <w:numPr>
          <w:ilvl w:val="0"/>
          <w:numId w:val="1"/>
        </w:numPr>
        <w:spacing w:line="360" w:lineRule="auto"/>
        <w:ind w:left="0" w:firstLine="0"/>
        <w:jc w:val="both"/>
        <w:rPr>
          <w:rFonts w:ascii="Palatino Linotype" w:hAnsi="Palatino Linotype"/>
          <w:color w:val="000000" w:themeColor="text1"/>
        </w:rPr>
      </w:pPr>
      <w:r w:rsidRPr="00CD2099">
        <w:rPr>
          <w:rFonts w:ascii="Palatino Linotype" w:hAnsi="Palatino Linotype"/>
          <w:color w:val="000000" w:themeColor="text1"/>
          <w:lang w:val="es-MX" w:eastAsia="en-US"/>
        </w:rPr>
        <w:t xml:space="preserve">En </w:t>
      </w:r>
      <w:r w:rsidRPr="00CD2099">
        <w:rPr>
          <w:rFonts w:ascii="Palatino Linotype" w:hAnsi="Palatino Linotype" w:cs="Arial"/>
          <w:color w:val="000000" w:themeColor="text1"/>
        </w:rPr>
        <w:t>ese</w:t>
      </w:r>
      <w:r w:rsidRPr="00CD2099">
        <w:rPr>
          <w:rFonts w:ascii="Palatino Linotype" w:hAnsi="Palatino Linotype"/>
          <w:color w:val="000000" w:themeColor="text1"/>
          <w:lang w:val="es-MX" w:eastAsia="en-US"/>
        </w:rPr>
        <w:t xml:space="preserve"> sentido, se estima dable traer a contexto </w:t>
      </w:r>
      <w:r w:rsidRPr="00CD2099">
        <w:rPr>
          <w:rFonts w:ascii="Palatino Linotype" w:eastAsia="Batang" w:hAnsi="Palatino Linotype" w:cs="Arial"/>
          <w:color w:val="000000" w:themeColor="text1"/>
        </w:rPr>
        <w:t xml:space="preserve">la causal de sobreseimiento contenida en </w:t>
      </w:r>
      <w:r w:rsidRPr="00CD2099">
        <w:rPr>
          <w:rFonts w:ascii="Palatino Linotype" w:hAnsi="Palatino Linotype" w:cs="Arial"/>
          <w:color w:val="000000" w:themeColor="text1"/>
        </w:rPr>
        <w:t xml:space="preserve">la </w:t>
      </w:r>
      <w:r w:rsidRPr="00CD2099">
        <w:rPr>
          <w:rFonts w:ascii="Palatino Linotype" w:hAnsi="Palatino Linotype" w:cs="Arial"/>
          <w:b/>
          <w:color w:val="000000" w:themeColor="text1"/>
        </w:rPr>
        <w:t>fracción IV del artículo 192,</w:t>
      </w:r>
      <w:r w:rsidRPr="00CD2099">
        <w:rPr>
          <w:rFonts w:ascii="Palatino Linotype" w:hAnsi="Palatino Linotype" w:cs="Arial"/>
          <w:color w:val="000000" w:themeColor="text1"/>
        </w:rPr>
        <w:t xml:space="preserve"> en relación con el artículo </w:t>
      </w:r>
      <w:r w:rsidRPr="00CD2099">
        <w:rPr>
          <w:rFonts w:ascii="Palatino Linotype" w:hAnsi="Palatino Linotype" w:cs="Arial"/>
          <w:b/>
          <w:color w:val="000000" w:themeColor="text1"/>
        </w:rPr>
        <w:t xml:space="preserve">191 fracción III, </w:t>
      </w:r>
      <w:r w:rsidRPr="00CD2099">
        <w:rPr>
          <w:rFonts w:ascii="Palatino Linotype" w:eastAsia="Batang" w:hAnsi="Palatino Linotype" w:cs="Arial"/>
          <w:color w:val="000000" w:themeColor="text1"/>
        </w:rPr>
        <w:t xml:space="preserve">de la </w:t>
      </w:r>
      <w:r w:rsidRPr="00CD2099">
        <w:rPr>
          <w:rFonts w:ascii="Palatino Linotype" w:eastAsia="Batang" w:hAnsi="Palatino Linotype" w:cs="Arial"/>
          <w:b/>
          <w:color w:val="000000" w:themeColor="text1"/>
        </w:rPr>
        <w:t>Ley de Transparencia y Acceso a la Información Pública del Estado de México y Municipios</w:t>
      </w:r>
      <w:r w:rsidRPr="00CD2099">
        <w:rPr>
          <w:rFonts w:ascii="Palatino Linotype" w:eastAsia="Batang" w:hAnsi="Palatino Linotype" w:cs="Arial"/>
          <w:color w:val="000000" w:themeColor="text1"/>
        </w:rPr>
        <w:t>, que establecen lo siguiente:</w:t>
      </w:r>
    </w:p>
    <w:p w14:paraId="1AF8AA77" w14:textId="77777777" w:rsidR="005414D5" w:rsidRPr="00CD2099" w:rsidRDefault="005414D5" w:rsidP="00C9681E">
      <w:pPr>
        <w:pStyle w:val="Prrafodelista"/>
        <w:spacing w:line="360" w:lineRule="auto"/>
        <w:ind w:left="0"/>
        <w:contextualSpacing w:val="0"/>
        <w:jc w:val="both"/>
        <w:rPr>
          <w:rFonts w:ascii="Palatino Linotype" w:hAnsi="Palatino Linotype" w:cs="Tahoma"/>
          <w:bCs/>
          <w:iCs/>
          <w:sz w:val="22"/>
          <w:lang w:val="es-ES"/>
        </w:rPr>
      </w:pPr>
    </w:p>
    <w:p w14:paraId="1AF8AA78" w14:textId="77777777" w:rsidR="00C9681E" w:rsidRPr="00CD2099" w:rsidRDefault="00C9681E" w:rsidP="00C9681E">
      <w:pPr>
        <w:pStyle w:val="Prrafodelista"/>
        <w:spacing w:line="360" w:lineRule="auto"/>
        <w:ind w:left="502" w:right="425"/>
        <w:jc w:val="both"/>
        <w:rPr>
          <w:rFonts w:ascii="Palatino Linotype" w:hAnsi="Palatino Linotype"/>
          <w:i/>
          <w:color w:val="000000" w:themeColor="text1"/>
          <w:sz w:val="22"/>
        </w:rPr>
      </w:pPr>
      <w:r w:rsidRPr="00CD2099">
        <w:rPr>
          <w:rFonts w:ascii="Palatino Linotype" w:hAnsi="Palatino Linotype"/>
          <w:i/>
          <w:color w:val="000000" w:themeColor="text1"/>
          <w:sz w:val="22"/>
        </w:rPr>
        <w:t>"Artículo 192. El recurso será sobreseído, en todo o en parte, cuando una vez admitido, se actualicen alguno de los siguientes supuestos:</w:t>
      </w:r>
    </w:p>
    <w:p w14:paraId="1AF8AA79" w14:textId="77777777" w:rsidR="00C9681E" w:rsidRPr="00CD2099" w:rsidRDefault="00C9681E" w:rsidP="00C9681E">
      <w:pPr>
        <w:pStyle w:val="Prrafodelista"/>
        <w:spacing w:line="360" w:lineRule="auto"/>
        <w:ind w:left="502" w:right="425"/>
        <w:jc w:val="both"/>
        <w:rPr>
          <w:rFonts w:ascii="Palatino Linotype" w:hAnsi="Palatino Linotype"/>
          <w:i/>
          <w:color w:val="000000" w:themeColor="text1"/>
          <w:sz w:val="22"/>
        </w:rPr>
      </w:pPr>
    </w:p>
    <w:p w14:paraId="1AF8AA7A" w14:textId="77777777" w:rsidR="00C9681E" w:rsidRPr="00CD2099" w:rsidRDefault="00C9681E" w:rsidP="00C9681E">
      <w:pPr>
        <w:pStyle w:val="Prrafodelista"/>
        <w:spacing w:line="360" w:lineRule="auto"/>
        <w:ind w:left="426" w:right="425"/>
        <w:jc w:val="both"/>
        <w:rPr>
          <w:rFonts w:ascii="Palatino Linotype" w:hAnsi="Palatino Linotype"/>
          <w:i/>
          <w:color w:val="000000" w:themeColor="text1"/>
          <w:sz w:val="22"/>
        </w:rPr>
      </w:pPr>
      <w:r w:rsidRPr="00CD2099">
        <w:rPr>
          <w:rFonts w:ascii="Palatino Linotype" w:hAnsi="Palatino Linotype"/>
          <w:b/>
          <w:i/>
          <w:color w:val="000000" w:themeColor="text1"/>
          <w:sz w:val="22"/>
        </w:rPr>
        <w:lastRenderedPageBreak/>
        <w:t>IV</w:t>
      </w:r>
      <w:r w:rsidRPr="00CD2099">
        <w:rPr>
          <w:rFonts w:ascii="Palatino Linotype" w:hAnsi="Palatino Linotype"/>
          <w:i/>
          <w:color w:val="000000" w:themeColor="text1"/>
          <w:sz w:val="22"/>
        </w:rPr>
        <w:t xml:space="preserve">. </w:t>
      </w:r>
      <w:r w:rsidRPr="00CD2099">
        <w:rPr>
          <w:rFonts w:ascii="Palatino Linotype" w:hAnsi="Palatino Linotype"/>
          <w:b/>
          <w:i/>
          <w:color w:val="000000" w:themeColor="text1"/>
          <w:sz w:val="22"/>
        </w:rPr>
        <w:t>Admitido el recurso de revisión, aparezca alguna causal de improcedencia en los términos de la presente Ley; y</w:t>
      </w:r>
      <w:r w:rsidRPr="00CD2099">
        <w:rPr>
          <w:rFonts w:ascii="Palatino Linotype" w:hAnsi="Palatino Linotype"/>
          <w:i/>
          <w:color w:val="000000" w:themeColor="text1"/>
          <w:sz w:val="22"/>
        </w:rPr>
        <w:t>;</w:t>
      </w:r>
      <w:r w:rsidRPr="00CD2099">
        <w:rPr>
          <w:rFonts w:ascii="Palatino Linotype" w:hAnsi="Palatino Linotype"/>
          <w:i/>
          <w:color w:val="000000" w:themeColor="text1"/>
          <w:sz w:val="22"/>
        </w:rPr>
        <w:cr/>
        <w:t>..."</w:t>
      </w:r>
    </w:p>
    <w:p w14:paraId="1AF8AA7B" w14:textId="77777777" w:rsidR="00C9681E" w:rsidRPr="00CD2099" w:rsidRDefault="00C9681E" w:rsidP="00C9681E">
      <w:pPr>
        <w:pStyle w:val="Prrafodelista"/>
        <w:spacing w:line="360" w:lineRule="auto"/>
        <w:ind w:left="426" w:right="425"/>
        <w:jc w:val="both"/>
        <w:rPr>
          <w:rFonts w:ascii="Palatino Linotype" w:hAnsi="Palatino Linotype"/>
          <w:color w:val="000000" w:themeColor="text1"/>
          <w:sz w:val="22"/>
        </w:rPr>
      </w:pPr>
      <w:r w:rsidRPr="00CD2099">
        <w:rPr>
          <w:rFonts w:ascii="Palatino Linotype" w:hAnsi="Palatino Linotype"/>
          <w:color w:val="000000" w:themeColor="text1"/>
          <w:sz w:val="22"/>
        </w:rPr>
        <w:t>Énfasis añadido</w:t>
      </w:r>
    </w:p>
    <w:p w14:paraId="1AF8AA7C" w14:textId="77777777" w:rsidR="00C9681E" w:rsidRPr="00CD2099" w:rsidRDefault="00C9681E" w:rsidP="00C9681E">
      <w:pPr>
        <w:pStyle w:val="Prrafodelista"/>
        <w:spacing w:line="360" w:lineRule="auto"/>
        <w:ind w:left="426" w:right="425"/>
        <w:jc w:val="both"/>
        <w:rPr>
          <w:rFonts w:ascii="Palatino Linotype" w:hAnsi="Palatino Linotype"/>
          <w:color w:val="000000" w:themeColor="text1"/>
          <w:sz w:val="22"/>
        </w:rPr>
      </w:pPr>
    </w:p>
    <w:p w14:paraId="1AF8AA7D" w14:textId="77777777" w:rsidR="00C9681E" w:rsidRPr="00CD2099" w:rsidRDefault="00C9681E" w:rsidP="00C9681E">
      <w:pPr>
        <w:pStyle w:val="Prrafodelista"/>
        <w:spacing w:line="360" w:lineRule="auto"/>
        <w:ind w:left="426" w:right="425"/>
        <w:jc w:val="both"/>
        <w:rPr>
          <w:rFonts w:ascii="Palatino Linotype" w:hAnsi="Palatino Linotype"/>
          <w:i/>
          <w:color w:val="000000" w:themeColor="text1"/>
          <w:sz w:val="22"/>
        </w:rPr>
      </w:pPr>
      <w:r w:rsidRPr="00CD2099">
        <w:rPr>
          <w:rFonts w:ascii="Palatino Linotype" w:hAnsi="Palatino Linotype"/>
          <w:i/>
          <w:color w:val="000000" w:themeColor="text1"/>
          <w:sz w:val="22"/>
        </w:rPr>
        <w:t>Artículo 191. El recurso será desechado por improcedente cuando:</w:t>
      </w:r>
    </w:p>
    <w:p w14:paraId="1AF8AA7E" w14:textId="77777777" w:rsidR="00C9681E" w:rsidRPr="00CD2099" w:rsidRDefault="00C9681E" w:rsidP="00C9681E">
      <w:pPr>
        <w:spacing w:line="360" w:lineRule="auto"/>
        <w:ind w:left="426" w:right="425"/>
        <w:jc w:val="both"/>
        <w:rPr>
          <w:rFonts w:ascii="Palatino Linotype" w:hAnsi="Palatino Linotype"/>
          <w:i/>
          <w:color w:val="000000" w:themeColor="text1"/>
          <w:sz w:val="22"/>
        </w:rPr>
      </w:pPr>
      <w:r w:rsidRPr="00CD2099">
        <w:rPr>
          <w:rFonts w:ascii="Palatino Linotype" w:hAnsi="Palatino Linotype"/>
          <w:b/>
          <w:i/>
          <w:color w:val="000000" w:themeColor="text1"/>
          <w:sz w:val="22"/>
        </w:rPr>
        <w:t>III. No actualice alguno de los supuestos previstos en la presente Ley;…</w:t>
      </w:r>
      <w:r w:rsidRPr="00CD2099">
        <w:rPr>
          <w:rFonts w:ascii="Palatino Linotype" w:hAnsi="Palatino Linotype"/>
          <w:i/>
          <w:color w:val="000000" w:themeColor="text1"/>
          <w:sz w:val="22"/>
        </w:rPr>
        <w:t>"</w:t>
      </w:r>
    </w:p>
    <w:p w14:paraId="1AF8AA7F" w14:textId="77777777" w:rsidR="005414D5" w:rsidRPr="00CD2099" w:rsidRDefault="00C9681E" w:rsidP="00C9681E">
      <w:pPr>
        <w:spacing w:line="360" w:lineRule="auto"/>
        <w:ind w:right="425" w:firstLine="426"/>
        <w:jc w:val="both"/>
        <w:rPr>
          <w:rFonts w:ascii="Palatino Linotype" w:hAnsi="Palatino Linotype"/>
          <w:color w:val="000000" w:themeColor="text1"/>
          <w:sz w:val="22"/>
        </w:rPr>
      </w:pPr>
      <w:r w:rsidRPr="00CD2099">
        <w:rPr>
          <w:rFonts w:ascii="Palatino Linotype" w:hAnsi="Palatino Linotype"/>
          <w:color w:val="000000" w:themeColor="text1"/>
          <w:sz w:val="22"/>
        </w:rPr>
        <w:t>Énfasis añadido</w:t>
      </w:r>
    </w:p>
    <w:p w14:paraId="1AF8AA80" w14:textId="77777777" w:rsidR="005414D5" w:rsidRPr="00CD2099" w:rsidRDefault="005414D5" w:rsidP="005414D5">
      <w:pPr>
        <w:spacing w:line="360" w:lineRule="auto"/>
        <w:jc w:val="both"/>
        <w:rPr>
          <w:rFonts w:ascii="Palatino Linotype" w:eastAsia="Calibri" w:hAnsi="Palatino Linotype" w:cs="Tahoma"/>
          <w:bCs/>
          <w:color w:val="0D0D0D" w:themeColor="text1" w:themeTint="F2"/>
          <w:sz w:val="22"/>
        </w:rPr>
      </w:pPr>
    </w:p>
    <w:p w14:paraId="1AF8AA81" w14:textId="77777777" w:rsidR="00C9681E" w:rsidRPr="00CD2099" w:rsidRDefault="00C9681E" w:rsidP="00C9681E">
      <w:pPr>
        <w:pStyle w:val="Prrafodelista"/>
        <w:numPr>
          <w:ilvl w:val="0"/>
          <w:numId w:val="1"/>
        </w:numPr>
        <w:spacing w:line="360" w:lineRule="auto"/>
        <w:ind w:left="0" w:firstLine="0"/>
        <w:jc w:val="both"/>
        <w:rPr>
          <w:rFonts w:ascii="Palatino Linotype" w:hAnsi="Palatino Linotype"/>
          <w:color w:val="000000" w:themeColor="text1"/>
        </w:rPr>
      </w:pPr>
      <w:r w:rsidRPr="00CD2099">
        <w:rPr>
          <w:rFonts w:ascii="Palatino Linotype" w:eastAsia="Batang" w:hAnsi="Palatino Linotype" w:cs="Arial"/>
          <w:color w:val="000000" w:themeColor="text1"/>
        </w:rPr>
        <w:t xml:space="preserve">Al respecto, es oportuno señalar que la figura del sobreseimiento privilegia la existencia de elementos de fondo, tales como el que una vez </w:t>
      </w:r>
      <w:r w:rsidRPr="00CD2099">
        <w:rPr>
          <w:rFonts w:ascii="Palatino Linotype" w:eastAsia="Batang" w:hAnsi="Palatino Linotype" w:cs="Arial"/>
          <w:b/>
          <w:color w:val="000000" w:themeColor="text1"/>
          <w:u w:val="single"/>
        </w:rPr>
        <w:t>admitido el recurso de revisión aparezca alguna causal de improcedencia,</w:t>
      </w:r>
      <w:r w:rsidRPr="00CD2099">
        <w:rPr>
          <w:rFonts w:ascii="Palatino Linotype" w:eastAsia="Batang" w:hAnsi="Palatino Linotype" w:cs="Arial"/>
          <w:b/>
          <w:color w:val="000000" w:themeColor="text1"/>
        </w:rPr>
        <w:t xml:space="preserve"> </w:t>
      </w:r>
      <w:r w:rsidRPr="00CD2099">
        <w:rPr>
          <w:rFonts w:ascii="Palatino Linotype" w:eastAsia="Batang" w:hAnsi="Palatino Linotype" w:cs="Arial"/>
          <w:color w:val="000000" w:themeColor="text1"/>
        </w:rPr>
        <w:t>de ahí que la actualización de alguno de éstos trae como consecuencia que el medio de impugnación se concluya sin que se analice el objeto de estudio planteado, es decir, que se sobresea.</w:t>
      </w:r>
    </w:p>
    <w:p w14:paraId="1AF8AA82" w14:textId="77777777" w:rsidR="00C9681E" w:rsidRPr="00CD2099" w:rsidRDefault="00C9681E" w:rsidP="00C9681E">
      <w:pPr>
        <w:pStyle w:val="Prrafodelista"/>
        <w:spacing w:line="360" w:lineRule="auto"/>
        <w:ind w:left="0"/>
        <w:jc w:val="both"/>
        <w:rPr>
          <w:rFonts w:ascii="Palatino Linotype" w:hAnsi="Palatino Linotype"/>
          <w:color w:val="000000" w:themeColor="text1"/>
        </w:rPr>
      </w:pPr>
    </w:p>
    <w:p w14:paraId="1AF8AA83" w14:textId="77777777" w:rsidR="00C9681E" w:rsidRPr="00CD2099" w:rsidRDefault="00C9681E" w:rsidP="00C9681E">
      <w:pPr>
        <w:pStyle w:val="Prrafodelista"/>
        <w:numPr>
          <w:ilvl w:val="0"/>
          <w:numId w:val="1"/>
        </w:numPr>
        <w:spacing w:line="360" w:lineRule="auto"/>
        <w:ind w:left="0" w:firstLine="0"/>
        <w:jc w:val="both"/>
        <w:rPr>
          <w:rFonts w:ascii="Palatino Linotype" w:hAnsi="Palatino Linotype"/>
          <w:color w:val="000000" w:themeColor="text1"/>
        </w:rPr>
      </w:pPr>
      <w:r w:rsidRPr="00CD2099">
        <w:rPr>
          <w:rFonts w:ascii="Palatino Linotype" w:eastAsia="Batang" w:hAnsi="Palatino Linotype" w:cs="Arial"/>
          <w:color w:val="000000" w:themeColor="text1"/>
        </w:rPr>
        <w:t>Sirve como sustento a lo anterior, lo seña</w:t>
      </w:r>
      <w:r w:rsidR="00FB005A" w:rsidRPr="00CD2099">
        <w:rPr>
          <w:rFonts w:ascii="Palatino Linotype" w:eastAsia="Batang" w:hAnsi="Palatino Linotype" w:cs="Arial"/>
          <w:color w:val="000000" w:themeColor="text1"/>
        </w:rPr>
        <w:t xml:space="preserve">lado por </w:t>
      </w:r>
      <w:r w:rsidRPr="00CD2099">
        <w:rPr>
          <w:rFonts w:ascii="Palatino Linotype" w:eastAsia="Batang" w:hAnsi="Palatino Linotype" w:cs="Arial"/>
          <w:color w:val="000000" w:themeColor="text1"/>
        </w:rPr>
        <w:t xml:space="preserve">el procesalista Niceto Alcalá-Zamora y Castillo en su obra </w:t>
      </w:r>
      <w:r w:rsidRPr="00CD2099">
        <w:rPr>
          <w:rFonts w:ascii="Palatino Linotype" w:eastAsia="Batang" w:hAnsi="Palatino Linotype" w:cs="Arial"/>
          <w:i/>
          <w:color w:val="000000" w:themeColor="text1"/>
        </w:rPr>
        <w:t>“</w:t>
      </w:r>
      <w:r w:rsidRPr="00CD2099">
        <w:rPr>
          <w:rFonts w:ascii="Palatino Linotype" w:eastAsia="Calibri" w:hAnsi="Palatino Linotype"/>
          <w:color w:val="000000" w:themeColor="text1"/>
        </w:rPr>
        <w:t>Cuestiones</w:t>
      </w:r>
      <w:r w:rsidRPr="00CD2099">
        <w:rPr>
          <w:rFonts w:ascii="Palatino Linotype" w:eastAsia="Batang" w:hAnsi="Palatino Linotype" w:cs="Arial"/>
          <w:i/>
          <w:color w:val="000000" w:themeColor="text1"/>
        </w:rPr>
        <w:t xml:space="preserve"> de Terminología Procesal”</w:t>
      </w:r>
      <w:r w:rsidRPr="00CD2099">
        <w:rPr>
          <w:rFonts w:ascii="Palatino Linotype" w:eastAsia="Batang" w:hAnsi="Palatino Linotype" w:cs="Arial"/>
          <w:color w:val="000000" w:themeColor="text1"/>
        </w:rPr>
        <w:t xml:space="preserve">, el sobreseimiento es </w:t>
      </w:r>
      <w:r w:rsidRPr="00CD2099">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1AF8AA84" w14:textId="77777777" w:rsidR="00C9681E" w:rsidRPr="00CD2099" w:rsidRDefault="00C9681E" w:rsidP="00C9681E">
      <w:pPr>
        <w:pStyle w:val="Prrafodelista"/>
        <w:spacing w:line="360" w:lineRule="auto"/>
        <w:ind w:left="0"/>
        <w:jc w:val="both"/>
        <w:rPr>
          <w:rFonts w:ascii="Palatino Linotype" w:hAnsi="Palatino Linotype"/>
          <w:color w:val="000000" w:themeColor="text1"/>
        </w:rPr>
      </w:pPr>
    </w:p>
    <w:p w14:paraId="1AF8AA85" w14:textId="77777777" w:rsidR="00C9681E" w:rsidRPr="00CD2099" w:rsidRDefault="00C9681E" w:rsidP="00C9681E">
      <w:pPr>
        <w:pStyle w:val="Prrafodelista"/>
        <w:numPr>
          <w:ilvl w:val="0"/>
          <w:numId w:val="1"/>
        </w:numPr>
        <w:spacing w:line="360" w:lineRule="auto"/>
        <w:ind w:left="0" w:firstLine="0"/>
        <w:jc w:val="both"/>
        <w:rPr>
          <w:rFonts w:ascii="Palatino Linotype" w:hAnsi="Palatino Linotype"/>
          <w:color w:val="000000" w:themeColor="text1"/>
        </w:rPr>
      </w:pPr>
      <w:r w:rsidRPr="00CD2099">
        <w:rPr>
          <w:rFonts w:ascii="Palatino Linotype" w:eastAsia="Batang" w:hAnsi="Palatino Linotype" w:cs="Arial"/>
          <w:color w:val="000000" w:themeColor="text1"/>
        </w:rPr>
        <w:t xml:space="preserve">Asimismo, Eduardo Pallares, en su artículo </w:t>
      </w:r>
      <w:r w:rsidRPr="00CD2099">
        <w:rPr>
          <w:rFonts w:ascii="Palatino Linotype" w:eastAsia="Batang" w:hAnsi="Palatino Linotype" w:cs="Arial"/>
          <w:i/>
          <w:color w:val="000000" w:themeColor="text1"/>
        </w:rPr>
        <w:t>“La caducidad y el sobreseimiento en el amparo”</w:t>
      </w:r>
      <w:r w:rsidRPr="00CD2099">
        <w:rPr>
          <w:rFonts w:ascii="Palatino Linotype" w:eastAsia="Batang" w:hAnsi="Palatino Linotype" w:cs="Arial"/>
          <w:color w:val="000000" w:themeColor="text1"/>
        </w:rPr>
        <w:t xml:space="preserve">, cita la definición de Aguilera Paz, aduciendo que se </w:t>
      </w:r>
      <w:r w:rsidRPr="00CD2099">
        <w:rPr>
          <w:rFonts w:ascii="Palatino Linotype" w:eastAsia="Batang" w:hAnsi="Palatino Linotype" w:cs="Arial"/>
          <w:i/>
          <w:color w:val="000000" w:themeColor="text1"/>
        </w:rPr>
        <w:t xml:space="preserve">“...entiende por sobreseimiento en el tecnicismo forense, el hecho de cesar en el procedimiento o curso de la causa, por no existir méritos bastantes para entrar en un juicio o para entablar la contienda </w:t>
      </w:r>
      <w:r w:rsidRPr="00CD2099">
        <w:rPr>
          <w:rFonts w:ascii="Palatino Linotype" w:eastAsia="Batang" w:hAnsi="Palatino Linotype" w:cs="Arial"/>
          <w:i/>
          <w:color w:val="000000" w:themeColor="text1"/>
        </w:rPr>
        <w:lastRenderedPageBreak/>
        <w:t>judicial que debe ser objeto del mismo...”</w:t>
      </w:r>
      <w:r w:rsidRPr="00CD2099">
        <w:rPr>
          <w:rFonts w:ascii="Palatino Linotype" w:eastAsia="Batang" w:hAnsi="Palatino Linotype" w:cs="Arial"/>
          <w:color w:val="000000" w:themeColor="text1"/>
        </w:rPr>
        <w:t>. Asimismo señala que existe el sobreseimiento provisional y el definitivo</w:t>
      </w:r>
      <w:r w:rsidRPr="00CD2099">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14:paraId="1AF8AA86" w14:textId="77777777" w:rsidR="00C9681E" w:rsidRPr="00CD2099" w:rsidRDefault="00C9681E" w:rsidP="00C9681E">
      <w:pPr>
        <w:pStyle w:val="Prrafodelista"/>
        <w:spacing w:line="360" w:lineRule="auto"/>
        <w:ind w:left="0"/>
        <w:jc w:val="both"/>
        <w:rPr>
          <w:rFonts w:ascii="Palatino Linotype" w:hAnsi="Palatino Linotype"/>
          <w:color w:val="000000" w:themeColor="text1"/>
        </w:rPr>
      </w:pPr>
    </w:p>
    <w:p w14:paraId="1AF8AA87" w14:textId="77777777" w:rsidR="00C9681E" w:rsidRPr="00CD2099" w:rsidRDefault="00C9681E" w:rsidP="00C9681E">
      <w:pPr>
        <w:pStyle w:val="Prrafodelista"/>
        <w:numPr>
          <w:ilvl w:val="0"/>
          <w:numId w:val="1"/>
        </w:numPr>
        <w:spacing w:line="360" w:lineRule="auto"/>
        <w:ind w:left="0" w:firstLine="0"/>
        <w:jc w:val="both"/>
        <w:rPr>
          <w:rFonts w:ascii="Palatino Linotype" w:hAnsi="Palatino Linotype"/>
          <w:color w:val="000000" w:themeColor="text1"/>
        </w:rPr>
      </w:pPr>
      <w:r w:rsidRPr="00CD2099">
        <w:rPr>
          <w:rFonts w:ascii="Palatino Linotype" w:eastAsia="Batang" w:hAnsi="Palatino Linotype" w:cs="Arial"/>
          <w:color w:val="000000" w:themeColor="text1"/>
        </w:rPr>
        <w:t xml:space="preserve">Es así que, para la doctrina el sobreseimiento provoca que un procedimiento se suspenda o se resuelva en definitiva </w:t>
      </w:r>
      <w:r w:rsidRPr="00CD2099">
        <w:rPr>
          <w:rFonts w:ascii="Palatino Linotype" w:eastAsia="Batang" w:hAnsi="Palatino Linotype" w:cs="Arial"/>
          <w:b/>
          <w:color w:val="000000" w:themeColor="text1"/>
          <w:u w:val="single"/>
        </w:rPr>
        <w:t>sin que se entre al estudio de los agravios o motivos de inconformidad.</w:t>
      </w:r>
      <w:r w:rsidRPr="00CD2099">
        <w:rPr>
          <w:rFonts w:ascii="Palatino Linotype" w:eastAsia="Batang" w:hAnsi="Palatino Linotype" w:cs="Arial"/>
          <w:b/>
          <w:color w:val="000000" w:themeColor="text1"/>
        </w:rPr>
        <w:t xml:space="preserve"> </w:t>
      </w:r>
      <w:r w:rsidRPr="00CD2099">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14:paraId="1AF8AA88" w14:textId="77777777" w:rsidR="00C9681E" w:rsidRPr="00CD2099" w:rsidRDefault="00C9681E" w:rsidP="00C9681E">
      <w:pPr>
        <w:pStyle w:val="Prrafodelista"/>
        <w:spacing w:line="360" w:lineRule="auto"/>
        <w:ind w:left="0"/>
        <w:jc w:val="both"/>
        <w:rPr>
          <w:rFonts w:ascii="Palatino Linotype" w:hAnsi="Palatino Linotype"/>
          <w:color w:val="000000" w:themeColor="text1"/>
          <w:sz w:val="22"/>
        </w:rPr>
      </w:pPr>
    </w:p>
    <w:p w14:paraId="1AF8AA89" w14:textId="77777777" w:rsidR="00C9681E" w:rsidRPr="00CD2099" w:rsidRDefault="00C9681E" w:rsidP="00C9681E">
      <w:pPr>
        <w:pStyle w:val="Prrafodelista"/>
        <w:spacing w:line="360" w:lineRule="auto"/>
        <w:ind w:left="567" w:right="616"/>
        <w:jc w:val="both"/>
        <w:rPr>
          <w:rFonts w:ascii="Palatino Linotype" w:hAnsi="Palatino Linotype"/>
          <w:color w:val="000000" w:themeColor="text1"/>
          <w:sz w:val="22"/>
        </w:rPr>
      </w:pPr>
      <w:r w:rsidRPr="00CD2099">
        <w:rPr>
          <w:rFonts w:ascii="Palatino Linotype" w:eastAsia="Batang" w:hAnsi="Palatino Linotype" w:cs="Arial"/>
          <w:b/>
          <w:i/>
          <w:color w:val="000000" w:themeColor="text1"/>
          <w:sz w:val="22"/>
          <w:lang w:val="es-AR"/>
        </w:rPr>
        <w:t>SOBRESEIMIENTO EN EL JUICIO DE AMPARO DIRECTO. IMPIDE EL ESTUDIO DE LAS VIOLACIONES PROCESALES PLANTEADAS EN LOS CONCEPTOS DE VIOLACIÓN.</w:t>
      </w:r>
    </w:p>
    <w:p w14:paraId="1AF8AA8A" w14:textId="77777777" w:rsidR="00C9681E" w:rsidRPr="00CD2099" w:rsidRDefault="00C9681E" w:rsidP="00C9681E">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lang w:val="es-AR"/>
        </w:rPr>
      </w:pPr>
      <w:r w:rsidRPr="00CD2099">
        <w:rPr>
          <w:rFonts w:ascii="Palatino Linotype" w:eastAsia="Batang" w:hAnsi="Palatino Linotype" w:cs="Arial"/>
          <w:b/>
          <w:i/>
          <w:color w:val="000000" w:themeColor="text1"/>
          <w:sz w:val="22"/>
          <w:lang w:val="es-AR"/>
        </w:rPr>
        <w:t>El sobreseimiento</w:t>
      </w:r>
      <w:r w:rsidRPr="00CD2099">
        <w:rPr>
          <w:rFonts w:ascii="Palatino Linotype" w:eastAsia="Batang" w:hAnsi="Palatino Linotype" w:cs="Arial"/>
          <w:i/>
          <w:color w:val="000000" w:themeColor="text1"/>
          <w:sz w:val="22"/>
          <w:lang w:val="es-AR"/>
        </w:rPr>
        <w:t xml:space="preserve"> en el juicio de amparo directo </w:t>
      </w:r>
      <w:r w:rsidRPr="00CD2099">
        <w:rPr>
          <w:rFonts w:ascii="Palatino Linotype" w:eastAsia="Batang" w:hAnsi="Palatino Linotype" w:cs="Arial"/>
          <w:b/>
          <w:i/>
          <w:color w:val="000000" w:themeColor="text1"/>
          <w:sz w:val="22"/>
          <w:lang w:val="es-AR"/>
        </w:rPr>
        <w:t>provoca la terminación de la controversia planteada</w:t>
      </w:r>
      <w:r w:rsidRPr="00CD2099">
        <w:rPr>
          <w:rFonts w:ascii="Palatino Linotype" w:eastAsia="Batang" w:hAnsi="Palatino Linotype" w:cs="Arial"/>
          <w:i/>
          <w:color w:val="000000" w:themeColor="text1"/>
          <w:sz w:val="22"/>
          <w:lang w:val="es-AR"/>
        </w:rPr>
        <w:t xml:space="preserve"> por el quejoso en la demanda de amparo</w:t>
      </w:r>
      <w:r w:rsidRPr="00CD2099">
        <w:rPr>
          <w:rFonts w:ascii="Palatino Linotype" w:eastAsia="Batang" w:hAnsi="Palatino Linotype" w:cs="Arial"/>
          <w:b/>
          <w:i/>
          <w:color w:val="000000" w:themeColor="text1"/>
          <w:sz w:val="22"/>
          <w:lang w:val="es-AR"/>
        </w:rPr>
        <w:t>, sin hacer un pronunciamiento de fondo sobre la legalidad o ilegalidad de la sentencia reclamada</w:t>
      </w:r>
      <w:r w:rsidRPr="00CD2099">
        <w:rPr>
          <w:rFonts w:ascii="Palatino Linotype" w:eastAsia="Batang" w:hAnsi="Palatino Linotype" w:cs="Arial"/>
          <w:i/>
          <w:color w:val="000000" w:themeColor="text1"/>
          <w:sz w:val="22"/>
          <w:lang w:val="es-AR"/>
        </w:rPr>
        <w:t xml:space="preserve">. </w:t>
      </w:r>
      <w:r w:rsidRPr="00CD2099">
        <w:rPr>
          <w:rFonts w:ascii="Palatino Linotype" w:eastAsia="Batang" w:hAnsi="Palatino Linotype" w:cs="Arial"/>
          <w:b/>
          <w:i/>
          <w:color w:val="000000" w:themeColor="text1"/>
          <w:sz w:val="22"/>
          <w:lang w:val="es-AR"/>
        </w:rPr>
        <w:t xml:space="preserve">Por consiguiente, si al sobreseerse en el juicio de amparo </w:t>
      </w:r>
      <w:r w:rsidRPr="00CD2099">
        <w:rPr>
          <w:rFonts w:ascii="Palatino Linotype" w:eastAsia="Batang" w:hAnsi="Palatino Linotype" w:cs="Arial"/>
          <w:b/>
          <w:i/>
          <w:color w:val="000000" w:themeColor="text1"/>
          <w:sz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CD2099">
        <w:rPr>
          <w:rFonts w:ascii="Palatino Linotype" w:eastAsia="Batang" w:hAnsi="Palatino Linotype" w:cs="Arial"/>
          <w:i/>
          <w:color w:val="000000" w:themeColor="text1"/>
          <w:sz w:val="22"/>
          <w:lang w:val="es-AR"/>
        </w:rPr>
        <w:t>.</w:t>
      </w:r>
    </w:p>
    <w:p w14:paraId="1AF8AA8B" w14:textId="77777777" w:rsidR="00C9681E" w:rsidRPr="00CD2099" w:rsidRDefault="00C9681E" w:rsidP="00C9681E">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lang w:val="es-AR"/>
        </w:rPr>
      </w:pPr>
      <w:r w:rsidRPr="00CD2099">
        <w:rPr>
          <w:rFonts w:ascii="Palatino Linotype" w:eastAsia="Batang" w:hAnsi="Palatino Linotype" w:cs="Arial"/>
          <w:i/>
          <w:color w:val="000000" w:themeColor="text1"/>
          <w:sz w:val="22"/>
          <w:lang w:val="es-AR"/>
        </w:rPr>
        <w:t>SÉPTIMO TRIBUNAL COLEGIADO EN MATERIA CIVIL DEL PRIMER CIRCUITO.</w:t>
      </w:r>
    </w:p>
    <w:p w14:paraId="1AF8AA8C" w14:textId="77777777" w:rsidR="00C9681E" w:rsidRPr="00CD2099" w:rsidRDefault="00C9681E" w:rsidP="00C9681E">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lang w:val="es-AR"/>
        </w:rPr>
      </w:pPr>
      <w:r w:rsidRPr="00CD2099">
        <w:rPr>
          <w:rFonts w:ascii="Palatino Linotype" w:eastAsia="Batang" w:hAnsi="Palatino Linotype" w:cs="Arial"/>
          <w:i/>
          <w:color w:val="000000" w:themeColor="text1"/>
          <w:sz w:val="22"/>
          <w:lang w:val="es-AR"/>
        </w:rPr>
        <w:lastRenderedPageBreak/>
        <w:t>Amparo directo 699/2008. Mariana Leticia González Steele. 13 de noviembre de 2008. Unanimidad de votos. Ponente: Sara Judith Montalvo Trejo. Secretario: Arnulfo Mateos García.</w:t>
      </w:r>
    </w:p>
    <w:p w14:paraId="1AF8AA8D" w14:textId="77777777" w:rsidR="00C9681E" w:rsidRPr="00CD2099" w:rsidRDefault="00C9681E" w:rsidP="00C9681E">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p>
    <w:p w14:paraId="1AF8AA8E" w14:textId="77777777" w:rsidR="00D6060C" w:rsidRPr="00CD2099" w:rsidRDefault="00D6060C" w:rsidP="00D6060C">
      <w:pPr>
        <w:pStyle w:val="Prrafodelista"/>
        <w:numPr>
          <w:ilvl w:val="0"/>
          <w:numId w:val="1"/>
        </w:numPr>
        <w:spacing w:line="360" w:lineRule="auto"/>
        <w:ind w:left="0" w:firstLine="0"/>
        <w:jc w:val="both"/>
        <w:rPr>
          <w:rFonts w:ascii="Palatino Linotype" w:eastAsia="Calibri" w:hAnsi="Palatino Linotype" w:cs="Arial"/>
        </w:rPr>
      </w:pPr>
      <w:r w:rsidRPr="00CD2099">
        <w:rPr>
          <w:rFonts w:ascii="Palatino Linotype" w:eastAsia="Calibri" w:hAnsi="Palatino Linotype" w:cs="Arial"/>
        </w:rPr>
        <w:t xml:space="preserve">A mayor abundamiento resulta relevante traer a colación lo establecido en el artículo 12 de la </w:t>
      </w:r>
      <w:r w:rsidRPr="00CD2099">
        <w:rPr>
          <w:rFonts w:ascii="Palatino Linotype" w:hAnsi="Palatino Linotype"/>
        </w:rPr>
        <w:t>Ley De Transparencia y Acceso y la Información Pública del Estado de México y Municipios que refiere lo siguiente:</w:t>
      </w:r>
    </w:p>
    <w:p w14:paraId="1AF8AA8F" w14:textId="77777777" w:rsidR="00D6060C" w:rsidRPr="00CD2099" w:rsidRDefault="00D6060C" w:rsidP="00D6060C">
      <w:pPr>
        <w:pStyle w:val="Prrafodelista"/>
        <w:rPr>
          <w:rFonts w:ascii="Palatino Linotype" w:eastAsia="Calibri" w:hAnsi="Palatino Linotype" w:cs="Arial"/>
          <w:i/>
          <w:sz w:val="22"/>
        </w:rPr>
      </w:pPr>
      <w:r w:rsidRPr="00CD2099">
        <w:rPr>
          <w:rFonts w:ascii="Palatino Linotype" w:eastAsia="Calibri" w:hAnsi="Palatino Linotype" w:cs="Arial"/>
          <w:b/>
          <w:sz w:val="22"/>
        </w:rPr>
        <w:t>Artículo 12</w:t>
      </w:r>
      <w:r w:rsidRPr="00CD2099">
        <w:rPr>
          <w:rFonts w:ascii="Palatino Linotype" w:eastAsia="Calibri" w:hAnsi="Palatino Linotype" w:cs="Arial"/>
          <w:sz w:val="22"/>
        </w:rPr>
        <w:t xml:space="preserve">. </w:t>
      </w:r>
      <w:r w:rsidRPr="00CD2099">
        <w:rPr>
          <w:rFonts w:ascii="Palatino Linotype" w:eastAsia="Calibri" w:hAnsi="Palatino Linotype" w:cs="Arial"/>
          <w:i/>
          <w:sz w:val="22"/>
        </w:rPr>
        <w:t xml:space="preserve">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w:t>
      </w:r>
      <w:r w:rsidRPr="00CD2099">
        <w:rPr>
          <w:rFonts w:ascii="Palatino Linotype" w:eastAsia="Calibri" w:hAnsi="Palatino Linotype" w:cs="Arial"/>
          <w:b/>
          <w:i/>
          <w:sz w:val="22"/>
          <w:u w:val="single"/>
        </w:rPr>
        <w:t xml:space="preserve">no estarán obligados a </w:t>
      </w:r>
      <w:r w:rsidRPr="00CD2099">
        <w:rPr>
          <w:rFonts w:ascii="Palatino Linotype" w:eastAsia="Calibri" w:hAnsi="Palatino Linotype" w:cs="Arial"/>
          <w:sz w:val="22"/>
        </w:rPr>
        <w:t>generarla,</w:t>
      </w:r>
      <w:r w:rsidRPr="00CD2099">
        <w:rPr>
          <w:rFonts w:ascii="Palatino Linotype" w:eastAsia="Calibri" w:hAnsi="Palatino Linotype" w:cs="Arial"/>
          <w:b/>
          <w:i/>
          <w:sz w:val="22"/>
          <w:u w:val="single"/>
        </w:rPr>
        <w:t xml:space="preserve"> resumirla</w:t>
      </w:r>
      <w:r w:rsidRPr="00CD2099">
        <w:rPr>
          <w:rFonts w:ascii="Palatino Linotype" w:eastAsia="Calibri" w:hAnsi="Palatino Linotype" w:cs="Arial"/>
          <w:i/>
          <w:sz w:val="22"/>
        </w:rPr>
        <w:t>, efectuar cálculos o practicar investigaciones.</w:t>
      </w:r>
    </w:p>
    <w:p w14:paraId="1AF8AA90" w14:textId="77777777" w:rsidR="00D6060C" w:rsidRPr="00CD2099" w:rsidRDefault="00D6060C" w:rsidP="00D6060C">
      <w:pPr>
        <w:pStyle w:val="Prrafodelista"/>
        <w:spacing w:line="360" w:lineRule="auto"/>
        <w:ind w:left="0"/>
        <w:jc w:val="both"/>
        <w:rPr>
          <w:rFonts w:ascii="Palatino Linotype" w:eastAsia="Calibri" w:hAnsi="Palatino Linotype" w:cs="Arial"/>
          <w:sz w:val="22"/>
        </w:rPr>
      </w:pPr>
    </w:p>
    <w:p w14:paraId="1AF8AA91" w14:textId="77777777" w:rsidR="00F62267" w:rsidRPr="00CD2099" w:rsidRDefault="005414D5" w:rsidP="00B416E1">
      <w:pPr>
        <w:pStyle w:val="Prrafodelista"/>
        <w:numPr>
          <w:ilvl w:val="0"/>
          <w:numId w:val="1"/>
        </w:numPr>
        <w:spacing w:line="360" w:lineRule="auto"/>
        <w:ind w:left="0" w:firstLine="0"/>
        <w:contextualSpacing w:val="0"/>
        <w:jc w:val="both"/>
        <w:rPr>
          <w:rFonts w:ascii="Palatino Linotype" w:hAnsi="Palatino Linotype" w:cs="Tahoma"/>
        </w:rPr>
      </w:pPr>
      <w:r w:rsidRPr="00CD2099">
        <w:rPr>
          <w:rFonts w:ascii="Palatino Linotype" w:hAnsi="Palatino Linotype" w:cs="Tahoma"/>
          <w:lang w:val="es-ES"/>
        </w:rPr>
        <w:t xml:space="preserve">Por lo expuesto, se logra </w:t>
      </w:r>
      <w:r w:rsidR="00411B64" w:rsidRPr="00CD2099">
        <w:rPr>
          <w:rFonts w:ascii="Palatino Linotype" w:hAnsi="Palatino Linotype" w:cs="Tahoma"/>
          <w:lang w:val="es-ES"/>
        </w:rPr>
        <w:t>distinguir</w:t>
      </w:r>
      <w:r w:rsidRPr="00CD2099">
        <w:rPr>
          <w:rFonts w:ascii="Palatino Linotype" w:hAnsi="Palatino Linotype" w:cs="Tahoma"/>
          <w:lang w:val="es-ES"/>
        </w:rPr>
        <w:t xml:space="preserve"> que, la inconformidad referida po</w:t>
      </w:r>
      <w:r w:rsidR="00D6060C" w:rsidRPr="00CD2099">
        <w:rPr>
          <w:rFonts w:ascii="Palatino Linotype" w:hAnsi="Palatino Linotype" w:cs="Tahoma"/>
          <w:lang w:val="es-ES"/>
        </w:rPr>
        <w:t>r el</w:t>
      </w:r>
      <w:r w:rsidRPr="00CD2099">
        <w:rPr>
          <w:rFonts w:ascii="Palatino Linotype" w:hAnsi="Palatino Linotype" w:cs="Tahoma"/>
          <w:lang w:val="es-ES"/>
        </w:rPr>
        <w:t xml:space="preserve"> Particular, no actualizan ninguna causal de proc</w:t>
      </w:r>
      <w:r w:rsidR="00BB5758" w:rsidRPr="00CD2099">
        <w:rPr>
          <w:rFonts w:ascii="Palatino Linotype" w:hAnsi="Palatino Linotype" w:cs="Tahoma"/>
          <w:lang w:val="es-ES"/>
        </w:rPr>
        <w:t xml:space="preserve">edencia, pues como se refirió, </w:t>
      </w:r>
      <w:r w:rsidR="00C9681E" w:rsidRPr="00CD2099">
        <w:rPr>
          <w:rFonts w:ascii="Palatino Linotype" w:hAnsi="Palatino Linotype" w:cs="Tahoma"/>
          <w:lang w:val="es-ES"/>
        </w:rPr>
        <w:t>el</w:t>
      </w:r>
      <w:r w:rsidRPr="00CD2099">
        <w:rPr>
          <w:rFonts w:ascii="Palatino Linotype" w:hAnsi="Palatino Linotype" w:cs="Tahoma"/>
          <w:lang w:val="es-ES"/>
        </w:rPr>
        <w:t xml:space="preserve"> </w:t>
      </w:r>
      <w:r w:rsidR="00C9681E" w:rsidRPr="00CD2099">
        <w:rPr>
          <w:rFonts w:ascii="Palatino Linotype" w:hAnsi="Palatino Linotype" w:cs="Tahoma"/>
          <w:b/>
          <w:lang w:val="es-ES"/>
        </w:rPr>
        <w:t>PARTICULAR</w:t>
      </w:r>
      <w:r w:rsidRPr="00CD2099">
        <w:rPr>
          <w:rFonts w:ascii="Palatino Linotype" w:hAnsi="Palatino Linotype" w:cs="Tahoma"/>
          <w:lang w:val="es-ES"/>
        </w:rPr>
        <w:t xml:space="preserve"> interpuso</w:t>
      </w:r>
      <w:r w:rsidR="00C9681E" w:rsidRPr="00CD2099">
        <w:rPr>
          <w:rFonts w:ascii="Palatino Linotype" w:hAnsi="Palatino Linotype" w:cs="Tahoma"/>
          <w:lang w:val="es-ES"/>
        </w:rPr>
        <w:t xml:space="preserve"> recurso de revisión inconformándose </w:t>
      </w:r>
      <w:r w:rsidR="00FF274C" w:rsidRPr="00CD2099">
        <w:rPr>
          <w:rFonts w:ascii="Palatino Linotype" w:hAnsi="Palatino Linotype" w:cs="Tahoma"/>
          <w:lang w:val="es-ES"/>
        </w:rPr>
        <w:t>por la</w:t>
      </w:r>
      <w:r w:rsidR="00C9681E" w:rsidRPr="00CD2099">
        <w:rPr>
          <w:rFonts w:ascii="Palatino Linotype" w:hAnsi="Palatino Linotype" w:cs="Tahoma"/>
          <w:lang w:val="es-ES"/>
        </w:rPr>
        <w:t xml:space="preserve"> respuesta remitida </w:t>
      </w:r>
      <w:r w:rsidR="00FF274C" w:rsidRPr="00CD2099">
        <w:rPr>
          <w:rFonts w:ascii="Palatino Linotype" w:hAnsi="Palatino Linotype" w:cs="Tahoma"/>
          <w:lang w:val="es-ES"/>
        </w:rPr>
        <w:t>ya que la misma le resultó</w:t>
      </w:r>
      <w:r w:rsidR="00C9681E" w:rsidRPr="00CD2099">
        <w:rPr>
          <w:rFonts w:ascii="Palatino Linotype" w:hAnsi="Palatino Linotype" w:cs="Tahoma"/>
          <w:lang w:val="es-ES"/>
        </w:rPr>
        <w:t xml:space="preserve"> extensa y abundante, solicitando que le sea resu</w:t>
      </w:r>
      <w:r w:rsidR="00F62267" w:rsidRPr="00CD2099">
        <w:rPr>
          <w:rFonts w:ascii="Palatino Linotype" w:hAnsi="Palatino Linotype" w:cs="Tahoma"/>
          <w:lang w:val="es-ES"/>
        </w:rPr>
        <w:t xml:space="preserve">mida; por lo que en atención al numeral citado con anterioridad se establece que no es obligación de los </w:t>
      </w:r>
      <w:r w:rsidR="00F62267" w:rsidRPr="00CD2099">
        <w:rPr>
          <w:rFonts w:ascii="Palatino Linotype" w:hAnsi="Palatino Linotype" w:cs="Tahoma"/>
          <w:b/>
          <w:lang w:val="es-ES"/>
        </w:rPr>
        <w:t xml:space="preserve">SUJETOS OBLIGADOS, </w:t>
      </w:r>
      <w:r w:rsidR="00F62267" w:rsidRPr="00CD2099">
        <w:rPr>
          <w:rFonts w:ascii="Palatino Linotype" w:hAnsi="Palatino Linotype" w:cs="Tahoma"/>
          <w:lang w:val="es-ES"/>
        </w:rPr>
        <w:t xml:space="preserve">en este caso el </w:t>
      </w:r>
      <w:r w:rsidR="00F62267" w:rsidRPr="00CD2099">
        <w:rPr>
          <w:rFonts w:ascii="Palatino Linotype" w:hAnsi="Palatino Linotype" w:cs="Tahoma"/>
          <w:b/>
          <w:lang w:val="es-MX"/>
        </w:rPr>
        <w:t>Tribunal de Justicia Administrativa del Estado de México</w:t>
      </w:r>
      <w:r w:rsidR="00C9681E" w:rsidRPr="00CD2099">
        <w:rPr>
          <w:rFonts w:ascii="Palatino Linotype" w:hAnsi="Palatino Linotype" w:cs="Tahoma"/>
          <w:lang w:val="es-ES"/>
        </w:rPr>
        <w:t xml:space="preserve"> </w:t>
      </w:r>
      <w:r w:rsidR="00F62267" w:rsidRPr="00CD2099">
        <w:rPr>
          <w:rFonts w:ascii="Palatino Linotype" w:hAnsi="Palatino Linotype" w:cs="Tahoma"/>
          <w:lang w:val="es-ES"/>
        </w:rPr>
        <w:t xml:space="preserve">hacer entrega de la información solicitada de manera resumida, es así que con la entrega de la misma se tiene por colmada solicitud de información </w:t>
      </w:r>
      <w:r w:rsidR="00F62267" w:rsidRPr="00CD2099">
        <w:rPr>
          <w:rFonts w:ascii="Palatino Linotype" w:hAnsi="Palatino Linotype"/>
          <w:b/>
          <w:bCs/>
        </w:rPr>
        <w:t>00173/TRIJAEM/IP/2023</w:t>
      </w:r>
      <w:r w:rsidR="00F62267" w:rsidRPr="00CD2099">
        <w:rPr>
          <w:rFonts w:ascii="Palatino Linotype" w:hAnsi="Palatino Linotype" w:cs="Tahoma"/>
          <w:lang w:val="es-ES"/>
        </w:rPr>
        <w:t>.</w:t>
      </w:r>
    </w:p>
    <w:p w14:paraId="1AF8AA92" w14:textId="77777777" w:rsidR="00FB005A" w:rsidRPr="00CD2099" w:rsidRDefault="00FB005A" w:rsidP="00FB005A">
      <w:pPr>
        <w:pStyle w:val="Prrafodelista"/>
        <w:spacing w:line="360" w:lineRule="auto"/>
        <w:ind w:left="0"/>
        <w:contextualSpacing w:val="0"/>
        <w:jc w:val="both"/>
        <w:rPr>
          <w:rFonts w:ascii="Palatino Linotype" w:hAnsi="Palatino Linotype" w:cs="Tahoma"/>
        </w:rPr>
      </w:pPr>
    </w:p>
    <w:p w14:paraId="1AF8AA93" w14:textId="77777777" w:rsidR="00F62267" w:rsidRPr="00CD2099" w:rsidRDefault="002E769C" w:rsidP="002E769C">
      <w:pPr>
        <w:pStyle w:val="Prrafodelista"/>
        <w:numPr>
          <w:ilvl w:val="0"/>
          <w:numId w:val="1"/>
        </w:numPr>
        <w:spacing w:line="360" w:lineRule="auto"/>
        <w:ind w:left="0" w:firstLine="0"/>
        <w:contextualSpacing w:val="0"/>
        <w:jc w:val="both"/>
        <w:rPr>
          <w:rFonts w:ascii="Palatino Linotype" w:hAnsi="Palatino Linotype" w:cs="Tahoma"/>
        </w:rPr>
      </w:pPr>
      <w:r w:rsidRPr="00CD2099">
        <w:rPr>
          <w:rFonts w:ascii="Palatino Linotype" w:eastAsia="Calibri" w:hAnsi="Palatino Linotype" w:cs="Arial"/>
        </w:rPr>
        <w:t xml:space="preserve">Asimismo, se advierte que dicha información fue proporcionada el </w:t>
      </w:r>
      <w:r w:rsidRPr="00CD2099">
        <w:rPr>
          <w:rFonts w:ascii="Palatino Linotype" w:eastAsia="Calibri" w:hAnsi="Palatino Linotype" w:cs="Arial"/>
          <w:lang w:val="es-ES"/>
        </w:rPr>
        <w:t xml:space="preserve">Subdirector de la Subdirección de Modernización y Normatividad Administrativa, </w:t>
      </w:r>
      <w:r w:rsidRPr="00CD2099">
        <w:rPr>
          <w:rFonts w:ascii="Palatino Linotype" w:eastAsia="Calibri" w:hAnsi="Palatino Linotype" w:cs="Arial"/>
          <w:lang w:val="es-ES"/>
        </w:rPr>
        <w:lastRenderedPageBreak/>
        <w:t xml:space="preserve">Edgar Arturo González Arteaga, </w:t>
      </w:r>
      <w:r w:rsidRPr="00CD2099">
        <w:rPr>
          <w:rFonts w:ascii="Palatino Linotype" w:eastAsia="Calibri" w:hAnsi="Palatino Linotype" w:cs="Arial"/>
        </w:rPr>
        <w:t>Servidor Público Habilitado para hacerlo</w:t>
      </w:r>
      <w:r w:rsidRPr="00CD2099">
        <w:rPr>
          <w:rFonts w:ascii="Palatino Linotype" w:eastAsia="Calibri" w:hAnsi="Palatino Linotype" w:cs="Arial"/>
          <w:b/>
        </w:rPr>
        <w:t xml:space="preserve">, </w:t>
      </w:r>
      <w:r w:rsidRPr="00CD2099">
        <w:rPr>
          <w:rFonts w:ascii="Palatino Linotype" w:eastAsia="Calibri" w:hAnsi="Palatino Linotype" w:cs="Arial"/>
        </w:rPr>
        <w:t xml:space="preserve"> por lo que se establece que el </w:t>
      </w:r>
      <w:r w:rsidRPr="00CD2099">
        <w:rPr>
          <w:rFonts w:ascii="Palatino Linotype" w:eastAsia="Calibri" w:hAnsi="Palatino Linotype" w:cs="Arial"/>
          <w:b/>
        </w:rPr>
        <w:t xml:space="preserve">SUJETO OBLIGADO </w:t>
      </w:r>
      <w:r w:rsidRPr="00CD2099">
        <w:rPr>
          <w:rFonts w:ascii="Palatino Linotype" w:eastAsia="Calibri" w:hAnsi="Palatino Linotype" w:cs="Arial"/>
        </w:rPr>
        <w:t>cumplió con todos los requisitos previstos en la ley al momento de dar respuesta a la solicitud en comento.</w:t>
      </w:r>
    </w:p>
    <w:p w14:paraId="1AF8AA94" w14:textId="77777777" w:rsidR="00495609" w:rsidRPr="00CD2099" w:rsidRDefault="00495609" w:rsidP="00495609">
      <w:pPr>
        <w:pStyle w:val="Prrafodelista"/>
        <w:rPr>
          <w:rFonts w:ascii="Palatino Linotype" w:hAnsi="Palatino Linotype" w:cs="Tahoma"/>
        </w:rPr>
      </w:pPr>
    </w:p>
    <w:p w14:paraId="1AF8AA95" w14:textId="77777777" w:rsidR="00495609" w:rsidRPr="00CD2099" w:rsidRDefault="00495609" w:rsidP="00495609">
      <w:pPr>
        <w:spacing w:line="360" w:lineRule="auto"/>
        <w:jc w:val="both"/>
        <w:rPr>
          <w:rFonts w:ascii="Palatino Linotype" w:hAnsi="Palatino Linotype" w:cs="Tahoma"/>
        </w:rPr>
      </w:pPr>
    </w:p>
    <w:p w14:paraId="1AF8AA96" w14:textId="77777777" w:rsidR="005414D5" w:rsidRPr="00CD2099" w:rsidRDefault="00FB005A" w:rsidP="00B416E1">
      <w:pPr>
        <w:pStyle w:val="Prrafodelista"/>
        <w:numPr>
          <w:ilvl w:val="0"/>
          <w:numId w:val="1"/>
        </w:numPr>
        <w:spacing w:line="360" w:lineRule="auto"/>
        <w:ind w:left="0" w:firstLine="0"/>
        <w:contextualSpacing w:val="0"/>
        <w:jc w:val="both"/>
        <w:rPr>
          <w:rFonts w:ascii="Palatino Linotype" w:hAnsi="Palatino Linotype" w:cs="Tahoma"/>
        </w:rPr>
      </w:pPr>
      <w:r w:rsidRPr="00CD2099">
        <w:rPr>
          <w:rFonts w:ascii="Palatino Linotype" w:hAnsi="Palatino Linotype" w:cs="Tahoma"/>
          <w:lang w:val="es-ES"/>
        </w:rPr>
        <w:t>Dicho lo anterior, las r</w:t>
      </w:r>
      <w:r w:rsidR="00C9681E" w:rsidRPr="00CD2099">
        <w:rPr>
          <w:rFonts w:ascii="Palatino Linotype" w:hAnsi="Palatino Linotype" w:cs="Tahoma"/>
          <w:lang w:val="es-ES"/>
        </w:rPr>
        <w:t>azones o motivos hechos valer en el presente recurso</w:t>
      </w:r>
      <w:r w:rsidR="00D6060C" w:rsidRPr="00CD2099">
        <w:rPr>
          <w:rFonts w:ascii="Palatino Linotype" w:hAnsi="Palatino Linotype" w:cs="Tahoma"/>
          <w:lang w:val="es-ES"/>
        </w:rPr>
        <w:t xml:space="preserve"> resultan improcedentes</w:t>
      </w:r>
      <w:r w:rsidR="00D6060C" w:rsidRPr="00CD2099">
        <w:rPr>
          <w:rFonts w:ascii="Palatino Linotype" w:eastAsia="Calibri" w:hAnsi="Palatino Linotype" w:cs="Tahoma"/>
          <w:lang w:val="es-ES" w:eastAsia="es-ES_tradnl"/>
        </w:rPr>
        <w:t xml:space="preserve"> al </w:t>
      </w:r>
      <w:r w:rsidR="005414D5" w:rsidRPr="00CD2099">
        <w:rPr>
          <w:rFonts w:ascii="Palatino Linotype" w:eastAsia="Calibri" w:hAnsi="Palatino Linotype" w:cs="Tahoma"/>
          <w:lang w:val="es-ES" w:eastAsia="es-ES_tradnl"/>
        </w:rPr>
        <w:t>no actualiza</w:t>
      </w:r>
      <w:r w:rsidR="00D6060C" w:rsidRPr="00CD2099">
        <w:rPr>
          <w:rFonts w:ascii="Palatino Linotype" w:eastAsia="Calibri" w:hAnsi="Palatino Linotype" w:cs="Tahoma"/>
          <w:lang w:val="es-ES" w:eastAsia="es-ES_tradnl"/>
        </w:rPr>
        <w:t>r</w:t>
      </w:r>
      <w:r w:rsidRPr="00CD2099">
        <w:rPr>
          <w:rFonts w:ascii="Palatino Linotype" w:eastAsia="Calibri" w:hAnsi="Palatino Linotype" w:cs="Tahoma"/>
          <w:lang w:val="es-ES" w:eastAsia="es-ES_tradnl"/>
        </w:rPr>
        <w:t>se</w:t>
      </w:r>
      <w:r w:rsidR="005414D5" w:rsidRPr="00CD2099">
        <w:rPr>
          <w:rFonts w:ascii="Palatino Linotype" w:eastAsia="Calibri" w:hAnsi="Palatino Linotype" w:cs="Tahoma"/>
          <w:lang w:val="es-ES" w:eastAsia="es-ES_tradnl"/>
        </w:rPr>
        <w:t xml:space="preserve"> ninguna de las causales estipuladas en el artículo 179 de la Ley de Transparencia y Acceso a la Información Pública del Estado de México y Municipios</w:t>
      </w:r>
      <w:r w:rsidR="005414D5" w:rsidRPr="00CD2099">
        <w:rPr>
          <w:rFonts w:ascii="Palatino Linotype" w:hAnsi="Palatino Linotype" w:cs="Tahoma"/>
          <w:bCs/>
          <w:color w:val="000000"/>
          <w:lang w:val="es-ES"/>
        </w:rPr>
        <w:t>, por lo tanto, se materializa la</w:t>
      </w:r>
      <w:r w:rsidR="005414D5" w:rsidRPr="00CD2099">
        <w:rPr>
          <w:rFonts w:ascii="Palatino Linotype" w:hAnsi="Palatino Linotype" w:cs="Tahoma"/>
        </w:rPr>
        <w:t xml:space="preserve"> causal de desechamiento establecida en el artículo 191, fracción III, de la Ley de la materia; sin embargo, toda vez que fue necesario admitir el Medio de Impugnación, para verificar dicha circunstancia</w:t>
      </w:r>
      <w:r w:rsidR="005414D5" w:rsidRPr="00CD2099">
        <w:rPr>
          <w:rFonts w:ascii="Palatino Linotype" w:hAnsi="Palatino Linotype" w:cs="Tahoma"/>
          <w:lang w:val="es-ES"/>
        </w:rPr>
        <w:t xml:space="preserve">, lo procedente es </w:t>
      </w:r>
      <w:r w:rsidR="005414D5" w:rsidRPr="00CD2099">
        <w:rPr>
          <w:rFonts w:ascii="Palatino Linotype" w:hAnsi="Palatino Linotype" w:cs="Tahoma"/>
          <w:b/>
          <w:lang w:val="es-ES"/>
        </w:rPr>
        <w:t>SOBRESEER</w:t>
      </w:r>
      <w:r w:rsidR="005414D5" w:rsidRPr="00CD2099">
        <w:rPr>
          <w:rFonts w:ascii="Palatino Linotype" w:hAnsi="Palatino Linotype" w:cs="Tahoma"/>
          <w:lang w:val="es-ES"/>
        </w:rPr>
        <w:t xml:space="preserve"> el mismo. </w:t>
      </w:r>
    </w:p>
    <w:p w14:paraId="1AF8AA97" w14:textId="77777777" w:rsidR="002E769C" w:rsidRPr="00CD2099" w:rsidRDefault="002E769C" w:rsidP="002E769C">
      <w:pPr>
        <w:pStyle w:val="Prrafodelista"/>
        <w:spacing w:line="360" w:lineRule="auto"/>
        <w:ind w:left="0"/>
        <w:jc w:val="both"/>
        <w:rPr>
          <w:rFonts w:ascii="Palatino Linotype" w:eastAsia="Times New Roman" w:hAnsi="Palatino Linotype" w:cs="Tahoma"/>
          <w:lang w:val="es-ES"/>
        </w:rPr>
      </w:pPr>
    </w:p>
    <w:p w14:paraId="1AF8AA98" w14:textId="77777777" w:rsidR="00F62267" w:rsidRPr="00CD2099" w:rsidRDefault="00D6060C" w:rsidP="00F62267">
      <w:pPr>
        <w:pStyle w:val="Prrafodelista"/>
        <w:numPr>
          <w:ilvl w:val="0"/>
          <w:numId w:val="1"/>
        </w:numPr>
        <w:spacing w:line="360" w:lineRule="auto"/>
        <w:ind w:left="0" w:firstLine="0"/>
        <w:jc w:val="both"/>
        <w:rPr>
          <w:rFonts w:ascii="Palatino Linotype" w:hAnsi="Palatino Linotype"/>
          <w:color w:val="000000" w:themeColor="text1"/>
        </w:rPr>
      </w:pPr>
      <w:r w:rsidRPr="00CD2099">
        <w:rPr>
          <w:rFonts w:ascii="Palatino Linotype" w:eastAsia="Times New Roman" w:hAnsi="Palatino Linotype" w:cs="Tahoma"/>
          <w:lang w:val="es-ES"/>
        </w:rPr>
        <w:t xml:space="preserve">Dicho lo anterior se concluye que, resultan inoperantes e inatendibles los motivos o razones de inconformidad argüidos por </w:t>
      </w:r>
      <w:r w:rsidRPr="00CD2099">
        <w:rPr>
          <w:rFonts w:ascii="Palatino Linotype" w:eastAsia="Times New Roman" w:hAnsi="Palatino Linotype" w:cs="Tahoma"/>
          <w:b/>
          <w:lang w:val="es-ES"/>
        </w:rPr>
        <w:t>el RECURRENTE</w:t>
      </w:r>
      <w:r w:rsidRPr="00CD2099">
        <w:rPr>
          <w:rFonts w:ascii="Palatino Linotype" w:eastAsia="Times New Roman" w:hAnsi="Palatino Linotype" w:cs="Tahoma"/>
          <w:lang w:val="es-ES"/>
        </w:rPr>
        <w:t xml:space="preserve">, </w:t>
      </w:r>
      <w:r w:rsidR="00F62267" w:rsidRPr="00CD2099">
        <w:rPr>
          <w:rFonts w:ascii="Palatino Linotype" w:hAnsi="Palatino Linotype" w:cs="Arial"/>
          <w:noProof/>
          <w:color w:val="000000" w:themeColor="text1"/>
          <w:lang w:eastAsia="es-MX"/>
        </w:rPr>
        <w:t>por actualizarse la figura del sobreseimiento, misma que impide el estudio de los agravios planteados.</w:t>
      </w:r>
    </w:p>
    <w:p w14:paraId="1AF8AA99" w14:textId="77777777" w:rsidR="005414D5" w:rsidRPr="00CD2099" w:rsidRDefault="005414D5" w:rsidP="00F62267">
      <w:pPr>
        <w:spacing w:line="360" w:lineRule="auto"/>
        <w:jc w:val="both"/>
      </w:pPr>
    </w:p>
    <w:p w14:paraId="1AF8AA9A" w14:textId="77777777" w:rsidR="00F62267" w:rsidRPr="00CD2099" w:rsidRDefault="00F62267" w:rsidP="00F62267">
      <w:pPr>
        <w:pStyle w:val="Prrafodelista"/>
        <w:numPr>
          <w:ilvl w:val="0"/>
          <w:numId w:val="1"/>
        </w:numPr>
        <w:spacing w:line="360" w:lineRule="auto"/>
        <w:ind w:left="0" w:firstLine="0"/>
        <w:jc w:val="both"/>
        <w:rPr>
          <w:rFonts w:ascii="Palatino Linotype" w:hAnsi="Palatino Linotype"/>
          <w:color w:val="000000" w:themeColor="text1"/>
        </w:rPr>
      </w:pPr>
      <w:r w:rsidRPr="00CD2099">
        <w:rPr>
          <w:rFonts w:ascii="Palatino Linotype" w:hAnsi="Palatino Linotype"/>
          <w:color w:val="000000" w:themeColor="text1"/>
        </w:rPr>
        <w:t xml:space="preserve">Atento a lo anterior, </w:t>
      </w:r>
      <w:r w:rsidRPr="00CD2099">
        <w:rPr>
          <w:rFonts w:ascii="Palatino Linotype" w:hAnsi="Palatino Linotype" w:cs="Arial"/>
          <w:color w:val="000000" w:themeColor="text1"/>
          <w:lang w:val="es-CO"/>
        </w:rPr>
        <w:t xml:space="preserve">y en términos del artículo 186 fracción I este Pleno determina el </w:t>
      </w:r>
      <w:r w:rsidRPr="00CD2099">
        <w:rPr>
          <w:rFonts w:ascii="Palatino Linotype" w:hAnsi="Palatino Linotype" w:cs="Arial"/>
          <w:b/>
          <w:color w:val="000000" w:themeColor="text1"/>
          <w:lang w:val="es-CO"/>
        </w:rPr>
        <w:t xml:space="preserve">SOBRESEIMIENTO </w:t>
      </w:r>
      <w:r w:rsidRPr="00CD2099">
        <w:rPr>
          <w:rFonts w:ascii="Palatino Linotype" w:hAnsi="Palatino Linotype" w:cs="Arial"/>
          <w:color w:val="000000" w:themeColor="text1"/>
          <w:lang w:val="es-CO"/>
        </w:rPr>
        <w:t>del presente recurso de revisión, toda vez que una vez admitido el recurso de revisión, apareció una causal de improcedencia y,</w:t>
      </w:r>
      <w:r w:rsidRPr="00CD2099">
        <w:rPr>
          <w:rFonts w:ascii="Palatino Linotype" w:hAnsi="Palatino Linotype" w:cs="Arial"/>
          <w:color w:val="000000" w:themeColor="text1"/>
          <w:lang w:eastAsia="es-MX"/>
        </w:rPr>
        <w:t xml:space="preserve"> emite los siguientes:</w:t>
      </w:r>
    </w:p>
    <w:p w14:paraId="1AF8AA9B" w14:textId="77777777" w:rsidR="00982FCD" w:rsidRPr="00CD2099" w:rsidRDefault="00982FCD" w:rsidP="00982FCD">
      <w:pPr>
        <w:pStyle w:val="Prrafodelista"/>
        <w:rPr>
          <w:rFonts w:ascii="Palatino Linotype" w:hAnsi="Palatino Linotype"/>
          <w:color w:val="000000" w:themeColor="text1"/>
        </w:rPr>
      </w:pPr>
    </w:p>
    <w:p w14:paraId="1AF8AA9C" w14:textId="77777777" w:rsidR="00495609" w:rsidRPr="00CD2099" w:rsidRDefault="00495609" w:rsidP="00982FCD">
      <w:pPr>
        <w:pStyle w:val="Prrafodelista"/>
        <w:rPr>
          <w:rFonts w:ascii="Palatino Linotype" w:hAnsi="Palatino Linotype"/>
          <w:color w:val="000000" w:themeColor="text1"/>
        </w:rPr>
      </w:pPr>
    </w:p>
    <w:p w14:paraId="1AF8AA9D" w14:textId="77777777" w:rsidR="009F09BC" w:rsidRPr="00CD2099"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6" w:name="_Toc504500693"/>
      <w:bookmarkStart w:id="17" w:name="_Toc534742545"/>
      <w:bookmarkStart w:id="18" w:name="_Toc2248738"/>
      <w:bookmarkStart w:id="19" w:name="_Toc34819440"/>
      <w:bookmarkStart w:id="20" w:name="_Toc51259595"/>
      <w:bookmarkStart w:id="21" w:name="_Toc83128595"/>
      <w:r w:rsidRPr="00CD2099">
        <w:rPr>
          <w:rFonts w:ascii="Palatino Linotype" w:eastAsia="Calibri" w:hAnsi="Palatino Linotype"/>
          <w:b/>
          <w:color w:val="000000" w:themeColor="text1"/>
          <w:sz w:val="24"/>
          <w:szCs w:val="24"/>
          <w:lang w:val="es-ES"/>
        </w:rPr>
        <w:lastRenderedPageBreak/>
        <w:t>R E S O L U T I V O S</w:t>
      </w:r>
      <w:bookmarkEnd w:id="16"/>
      <w:bookmarkEnd w:id="17"/>
      <w:bookmarkEnd w:id="18"/>
      <w:bookmarkEnd w:id="19"/>
      <w:bookmarkEnd w:id="20"/>
      <w:bookmarkEnd w:id="21"/>
    </w:p>
    <w:p w14:paraId="1AF8AA9E" w14:textId="77777777" w:rsidR="00CE7B83" w:rsidRPr="00CD2099" w:rsidRDefault="00CE7B83" w:rsidP="00CE7B83">
      <w:pPr>
        <w:rPr>
          <w:rFonts w:ascii="Palatino Linotype" w:hAnsi="Palatino Linotype"/>
          <w:color w:val="000000" w:themeColor="text1"/>
          <w:lang w:val="es-ES"/>
        </w:rPr>
      </w:pPr>
    </w:p>
    <w:p w14:paraId="1AF8AA9F" w14:textId="77777777" w:rsidR="00F62267" w:rsidRPr="00CD2099" w:rsidRDefault="00F62267" w:rsidP="00F62267">
      <w:pPr>
        <w:pStyle w:val="Prrafodelista"/>
        <w:tabs>
          <w:tab w:val="left" w:pos="284"/>
        </w:tabs>
        <w:spacing w:line="360" w:lineRule="auto"/>
        <w:ind w:left="0"/>
        <w:jc w:val="both"/>
        <w:rPr>
          <w:rFonts w:ascii="Palatino Linotype" w:hAnsi="Palatino Linotype" w:cs="Arial"/>
        </w:rPr>
      </w:pPr>
      <w:r w:rsidRPr="00CD2099">
        <w:rPr>
          <w:rFonts w:ascii="Palatino Linotype" w:hAnsi="Palatino Linotype" w:cs="Arial"/>
          <w:b/>
        </w:rPr>
        <w:t>PRIMERO.</w:t>
      </w:r>
      <w:r w:rsidRPr="00CD2099">
        <w:rPr>
          <w:rFonts w:ascii="Palatino Linotype" w:hAnsi="Palatino Linotype" w:cs="Arial"/>
        </w:rPr>
        <w:t xml:space="preserve"> Se </w:t>
      </w:r>
      <w:r w:rsidRPr="00CD2099">
        <w:rPr>
          <w:rFonts w:ascii="Palatino Linotype" w:hAnsi="Palatino Linotype" w:cs="Arial"/>
          <w:b/>
        </w:rPr>
        <w:t xml:space="preserve">SOBRESEE </w:t>
      </w:r>
      <w:r w:rsidRPr="00CD2099">
        <w:rPr>
          <w:rFonts w:ascii="Palatino Linotype" w:hAnsi="Palatino Linotype" w:cs="Arial"/>
        </w:rPr>
        <w:t>por improcedente</w:t>
      </w:r>
      <w:r w:rsidRPr="00CD2099">
        <w:rPr>
          <w:rFonts w:ascii="Palatino Linotype" w:hAnsi="Palatino Linotype" w:cs="Arial"/>
          <w:b/>
        </w:rPr>
        <w:t xml:space="preserve"> </w:t>
      </w:r>
      <w:r w:rsidRPr="00CD2099">
        <w:rPr>
          <w:rFonts w:ascii="Palatino Linotype" w:hAnsi="Palatino Linotype" w:cs="Arial"/>
        </w:rPr>
        <w:t>el recurso de revisión</w:t>
      </w:r>
      <w:r w:rsidRPr="00CD2099">
        <w:rPr>
          <w:rFonts w:ascii="Palatino Linotype" w:hAnsi="Palatino Linotype" w:cs="Arial"/>
          <w:b/>
        </w:rPr>
        <w:t xml:space="preserve"> </w:t>
      </w:r>
      <w:r w:rsidRPr="00CD2099">
        <w:rPr>
          <w:rFonts w:ascii="Palatino Linotype" w:hAnsi="Palatino Linotype" w:cs="Arial"/>
        </w:rPr>
        <w:t xml:space="preserve">número </w:t>
      </w:r>
      <w:r w:rsidRPr="00CD2099">
        <w:rPr>
          <w:rFonts w:ascii="Palatino Linotype" w:hAnsi="Palatino Linotype" w:cs="Arial"/>
          <w:b/>
          <w:bCs/>
          <w:lang w:eastAsia="es-MX"/>
        </w:rPr>
        <w:t>04113/INFOEM/IP/RR/2023</w:t>
      </w:r>
      <w:r w:rsidR="00495609" w:rsidRPr="00CD2099">
        <w:rPr>
          <w:rFonts w:ascii="Palatino Linotype" w:hAnsi="Palatino Linotype" w:cs="Arial"/>
          <w:b/>
          <w:bCs/>
          <w:lang w:eastAsia="es-MX"/>
        </w:rPr>
        <w:t>,</w:t>
      </w:r>
      <w:r w:rsidRPr="00CD2099">
        <w:rPr>
          <w:rFonts w:ascii="Palatino Linotype" w:hAnsi="Palatino Linotype" w:cs="Arial"/>
        </w:rPr>
        <w:t xml:space="preserve"> de conformidad con lo dispuesto en el artículo 191 fracción III, en relación con el artículo 192 fracción IV de la Ley de Transparencia y Acceso a la Información Pública del Estado de México y Municipios, en términos del </w:t>
      </w:r>
      <w:r w:rsidR="00495609" w:rsidRPr="00CD2099">
        <w:rPr>
          <w:rFonts w:ascii="Palatino Linotype" w:hAnsi="Palatino Linotype" w:cs="Arial"/>
          <w:b/>
        </w:rPr>
        <w:t>c</w:t>
      </w:r>
      <w:r w:rsidRPr="00CD2099">
        <w:rPr>
          <w:rFonts w:ascii="Palatino Linotype" w:hAnsi="Palatino Linotype" w:cs="Arial"/>
          <w:b/>
        </w:rPr>
        <w:t xml:space="preserve">onsiderando </w:t>
      </w:r>
      <w:r w:rsidR="00495609" w:rsidRPr="00CD2099">
        <w:rPr>
          <w:rFonts w:ascii="Palatino Linotype" w:hAnsi="Palatino Linotype" w:cs="Arial"/>
          <w:b/>
        </w:rPr>
        <w:t>TERCERO</w:t>
      </w:r>
      <w:r w:rsidRPr="00CD2099">
        <w:rPr>
          <w:rFonts w:ascii="Palatino Linotype" w:hAnsi="Palatino Linotype" w:cs="Arial"/>
        </w:rPr>
        <w:t xml:space="preserve"> de la presente Resolución.</w:t>
      </w:r>
    </w:p>
    <w:p w14:paraId="1AF8AAA0" w14:textId="77777777" w:rsidR="00F62267" w:rsidRPr="00CD2099" w:rsidRDefault="00F62267" w:rsidP="00F62267">
      <w:pPr>
        <w:pStyle w:val="Prrafodelista"/>
        <w:tabs>
          <w:tab w:val="left" w:pos="284"/>
        </w:tabs>
        <w:spacing w:line="360" w:lineRule="auto"/>
        <w:ind w:left="0"/>
        <w:jc w:val="both"/>
        <w:rPr>
          <w:rFonts w:ascii="Palatino Linotype" w:hAnsi="Palatino Linotype" w:cs="Arial"/>
        </w:rPr>
      </w:pPr>
    </w:p>
    <w:p w14:paraId="1AF8AAA1" w14:textId="77777777" w:rsidR="00F62267" w:rsidRPr="00CD2099" w:rsidRDefault="00F62267" w:rsidP="00F62267">
      <w:pPr>
        <w:pStyle w:val="Prrafodelista"/>
        <w:tabs>
          <w:tab w:val="left" w:pos="284"/>
        </w:tabs>
        <w:spacing w:line="360" w:lineRule="auto"/>
        <w:ind w:left="0"/>
        <w:jc w:val="both"/>
        <w:rPr>
          <w:rFonts w:ascii="Palatino Linotype" w:hAnsi="Palatino Linotype" w:cs="Arial"/>
        </w:rPr>
      </w:pPr>
      <w:r w:rsidRPr="00CD2099">
        <w:rPr>
          <w:rFonts w:ascii="Palatino Linotype" w:hAnsi="Palatino Linotype" w:cs="Arial"/>
          <w:b/>
        </w:rPr>
        <w:t>SEGUNDO.</w:t>
      </w:r>
      <w:r w:rsidRPr="00CD2099">
        <w:rPr>
          <w:rFonts w:ascii="Palatino Linotype" w:hAnsi="Palatino Linotype" w:cs="Arial"/>
        </w:rPr>
        <w:t xml:space="preserve"> Notifíquese la presente resolución al Titular de la Unidad de Transparencia del </w:t>
      </w:r>
      <w:r w:rsidRPr="00CD2099">
        <w:rPr>
          <w:rFonts w:ascii="Palatino Linotype" w:hAnsi="Palatino Linotype" w:cs="Arial"/>
          <w:b/>
        </w:rPr>
        <w:t>SUJETO OBLIGADO</w:t>
      </w:r>
      <w:r w:rsidRPr="00CD2099">
        <w:rPr>
          <w:rFonts w:ascii="Palatino Linotype" w:hAnsi="Palatino Linotype" w:cs="Arial"/>
        </w:rPr>
        <w:t xml:space="preserve"> mediante el Sistema de Acceso a la Información Mexiquense </w:t>
      </w:r>
      <w:r w:rsidRPr="00CD2099">
        <w:rPr>
          <w:rFonts w:ascii="Palatino Linotype" w:hAnsi="Palatino Linotype" w:cs="Arial"/>
          <w:b/>
        </w:rPr>
        <w:t>(SAIMEX).</w:t>
      </w:r>
    </w:p>
    <w:p w14:paraId="1AF8AAA2" w14:textId="77777777" w:rsidR="00F62267" w:rsidRPr="00CD2099" w:rsidRDefault="00F62267" w:rsidP="00F62267">
      <w:pPr>
        <w:pStyle w:val="Prrafodelista"/>
        <w:tabs>
          <w:tab w:val="left" w:pos="284"/>
        </w:tabs>
        <w:spacing w:line="360" w:lineRule="auto"/>
        <w:ind w:left="0"/>
        <w:jc w:val="both"/>
        <w:rPr>
          <w:rFonts w:ascii="Palatino Linotype" w:hAnsi="Palatino Linotype" w:cs="Arial"/>
        </w:rPr>
      </w:pPr>
    </w:p>
    <w:p w14:paraId="1AF8AAA3" w14:textId="77777777" w:rsidR="00F62267" w:rsidRPr="00CD2099" w:rsidRDefault="00F62267" w:rsidP="00F62267">
      <w:pPr>
        <w:pStyle w:val="Prrafodelista"/>
        <w:tabs>
          <w:tab w:val="left" w:pos="284"/>
        </w:tabs>
        <w:spacing w:line="360" w:lineRule="auto"/>
        <w:ind w:left="0"/>
        <w:jc w:val="both"/>
        <w:rPr>
          <w:rFonts w:ascii="Palatino Linotype" w:hAnsi="Palatino Linotype" w:cs="Arial"/>
        </w:rPr>
      </w:pPr>
      <w:r w:rsidRPr="00CD2099">
        <w:rPr>
          <w:rFonts w:ascii="Palatino Linotype" w:hAnsi="Palatino Linotype" w:cs="Arial"/>
          <w:b/>
        </w:rPr>
        <w:t>TERCERO.</w:t>
      </w:r>
      <w:r w:rsidRPr="00CD2099">
        <w:rPr>
          <w:rFonts w:ascii="Palatino Linotype" w:hAnsi="Palatino Linotype" w:cs="Arial"/>
        </w:rPr>
        <w:t xml:space="preserve"> NOTIFÍQUESE a través del Sistema de Acceso a la Información Mexiquense </w:t>
      </w:r>
      <w:r w:rsidRPr="00CD2099">
        <w:rPr>
          <w:rFonts w:ascii="Palatino Linotype" w:hAnsi="Palatino Linotype" w:cs="Arial"/>
          <w:b/>
        </w:rPr>
        <w:t>(SAIMEX)</w:t>
      </w:r>
      <w:r w:rsidRPr="00CD2099">
        <w:rPr>
          <w:rFonts w:ascii="Palatino Linotype" w:hAnsi="Palatino Linotype" w:cs="Arial"/>
        </w:rPr>
        <w:t>, al Recurrente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AF8AAA4" w14:textId="77777777" w:rsidR="00D60F5E" w:rsidRPr="00CD2099" w:rsidRDefault="00D60F5E" w:rsidP="00D60F5E">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14:paraId="1AF8AAA5" w14:textId="77777777" w:rsidR="00495609" w:rsidRPr="00495609" w:rsidRDefault="00495609" w:rsidP="00495609">
      <w:pPr>
        <w:spacing w:before="240" w:after="240" w:line="360" w:lineRule="auto"/>
        <w:ind w:firstLine="1"/>
        <w:jc w:val="both"/>
        <w:rPr>
          <w:rStyle w:val="Referenciasutil"/>
          <w:rFonts w:ascii="Palatino Linotype" w:hAnsi="Palatino Linotype"/>
          <w:color w:val="auto"/>
        </w:rPr>
      </w:pPr>
      <w:bookmarkStart w:id="22" w:name="_Hlk129792997"/>
      <w:r w:rsidRPr="00CD2099">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CD2099">
        <w:rPr>
          <w:rStyle w:val="Referenciasutil"/>
          <w:rFonts w:ascii="Palatino Linotype" w:hAnsi="Palatino Linotype"/>
          <w:color w:val="auto"/>
        </w:rPr>
        <w:lastRenderedPageBreak/>
        <w:t>GUSTAVO PARRA NORIEGA Y GUADALUPE RAMÍREZ PEÑA; EN LA CUADRAGÉSIMA QUINTA SESIÓN ORDINARIA CELEBRADA EL TRECE (13) DE DICIEMBRE DE DOS MIL VEINTITRÉS, ANTE EL SECRETARIO TÉCNICO DEL PLENO ALEXIS TAPIA RAMÍREZ.</w:t>
      </w:r>
      <w:r w:rsidRPr="00495609">
        <w:rPr>
          <w:rStyle w:val="Referenciasutil"/>
          <w:rFonts w:ascii="Palatino Linotype" w:hAnsi="Palatino Linotype"/>
          <w:color w:val="auto"/>
        </w:rPr>
        <w:t xml:space="preserve"> </w:t>
      </w:r>
      <w:bookmarkEnd w:id="22"/>
    </w:p>
    <w:p w14:paraId="1AF8AAA6" w14:textId="77777777" w:rsidR="009F09BC" w:rsidRPr="00A03D0F" w:rsidRDefault="009F09BC" w:rsidP="009F09BC">
      <w:pPr>
        <w:spacing w:line="360" w:lineRule="auto"/>
        <w:jc w:val="both"/>
        <w:rPr>
          <w:rFonts w:ascii="Palatino Linotype" w:hAnsi="Palatino Linotype"/>
          <w:color w:val="000000" w:themeColor="text1"/>
        </w:rPr>
      </w:pPr>
    </w:p>
    <w:p w14:paraId="1AF8AAA7" w14:textId="77777777" w:rsidR="009F09BC" w:rsidRPr="00A03D0F" w:rsidRDefault="009F09BC" w:rsidP="009F09BC">
      <w:pPr>
        <w:spacing w:line="360" w:lineRule="auto"/>
        <w:jc w:val="both"/>
        <w:rPr>
          <w:rFonts w:ascii="Palatino Linotype" w:hAnsi="Palatino Linotype"/>
          <w:color w:val="000000" w:themeColor="text1"/>
        </w:rPr>
      </w:pPr>
    </w:p>
    <w:p w14:paraId="1AF8AAA8" w14:textId="77777777" w:rsidR="009F09BC" w:rsidRPr="00A03D0F" w:rsidRDefault="009F09BC" w:rsidP="009F09BC">
      <w:pPr>
        <w:spacing w:line="360" w:lineRule="auto"/>
        <w:jc w:val="both"/>
        <w:rPr>
          <w:rFonts w:ascii="Palatino Linotype" w:hAnsi="Palatino Linotype"/>
          <w:color w:val="000000" w:themeColor="text1"/>
        </w:rPr>
      </w:pPr>
    </w:p>
    <w:p w14:paraId="1AF8AAA9" w14:textId="77777777" w:rsidR="009F09BC" w:rsidRPr="00A03D0F" w:rsidRDefault="009F09BC" w:rsidP="009F09BC">
      <w:pPr>
        <w:spacing w:line="360" w:lineRule="auto"/>
        <w:jc w:val="both"/>
        <w:rPr>
          <w:rFonts w:ascii="Palatino Linotype" w:hAnsi="Palatino Linotype"/>
          <w:color w:val="000000" w:themeColor="text1"/>
        </w:rPr>
      </w:pPr>
    </w:p>
    <w:p w14:paraId="1AF8AAAA" w14:textId="77777777" w:rsidR="009F09BC" w:rsidRPr="00A03D0F" w:rsidRDefault="009F09BC" w:rsidP="009F09BC">
      <w:pPr>
        <w:spacing w:line="360" w:lineRule="auto"/>
        <w:jc w:val="both"/>
        <w:rPr>
          <w:rFonts w:ascii="Palatino Linotype" w:hAnsi="Palatino Linotype"/>
          <w:color w:val="000000" w:themeColor="text1"/>
        </w:rPr>
      </w:pPr>
    </w:p>
    <w:p w14:paraId="1AF8AAAB" w14:textId="77777777" w:rsidR="009F09BC" w:rsidRPr="00A03D0F" w:rsidRDefault="009F09BC" w:rsidP="009F09BC">
      <w:pPr>
        <w:spacing w:line="360" w:lineRule="auto"/>
        <w:jc w:val="both"/>
        <w:rPr>
          <w:rFonts w:ascii="Palatino Linotype" w:hAnsi="Palatino Linotype"/>
          <w:color w:val="000000" w:themeColor="text1"/>
        </w:rPr>
      </w:pPr>
    </w:p>
    <w:p w14:paraId="1AF8AAAC" w14:textId="77777777" w:rsidR="009F09BC" w:rsidRPr="00A03D0F" w:rsidRDefault="009F09BC" w:rsidP="009F09BC">
      <w:pPr>
        <w:spacing w:line="360" w:lineRule="auto"/>
        <w:jc w:val="both"/>
        <w:rPr>
          <w:rFonts w:ascii="Palatino Linotype" w:hAnsi="Palatino Linotype"/>
          <w:color w:val="000000" w:themeColor="text1"/>
        </w:rPr>
      </w:pPr>
    </w:p>
    <w:p w14:paraId="1AF8AAAD" w14:textId="77777777" w:rsidR="009F09BC" w:rsidRPr="00A03D0F" w:rsidRDefault="009F09BC" w:rsidP="009F09BC">
      <w:pPr>
        <w:spacing w:line="360" w:lineRule="auto"/>
        <w:jc w:val="both"/>
        <w:rPr>
          <w:rFonts w:ascii="Palatino Linotype" w:hAnsi="Palatino Linotype"/>
          <w:color w:val="000000" w:themeColor="text1"/>
        </w:rPr>
      </w:pPr>
    </w:p>
    <w:p w14:paraId="1AF8AAAE" w14:textId="77777777" w:rsidR="009F09BC" w:rsidRPr="00A03D0F" w:rsidRDefault="009F09BC" w:rsidP="009F09BC">
      <w:pPr>
        <w:spacing w:line="360" w:lineRule="auto"/>
        <w:jc w:val="both"/>
        <w:rPr>
          <w:rFonts w:ascii="Palatino Linotype" w:hAnsi="Palatino Linotype"/>
          <w:color w:val="000000" w:themeColor="text1"/>
        </w:rPr>
      </w:pPr>
    </w:p>
    <w:p w14:paraId="1AF8AAAF" w14:textId="77777777" w:rsidR="009F09BC" w:rsidRPr="00A03D0F" w:rsidRDefault="009F09BC" w:rsidP="009F09BC">
      <w:pPr>
        <w:rPr>
          <w:rFonts w:ascii="Palatino Linotype" w:hAnsi="Palatino Linotype"/>
          <w:color w:val="000000" w:themeColor="text1"/>
        </w:rPr>
      </w:pPr>
    </w:p>
    <w:p w14:paraId="1AF8AAB0" w14:textId="77777777" w:rsidR="009F09BC" w:rsidRPr="00A03D0F" w:rsidRDefault="009F09BC" w:rsidP="009F09BC">
      <w:pPr>
        <w:rPr>
          <w:rFonts w:ascii="Palatino Linotype" w:hAnsi="Palatino Linotype"/>
          <w:color w:val="000000" w:themeColor="text1"/>
        </w:rPr>
      </w:pPr>
    </w:p>
    <w:p w14:paraId="1AF8AAB1" w14:textId="77777777" w:rsidR="009F09BC" w:rsidRPr="00A03D0F" w:rsidRDefault="009F09BC" w:rsidP="009F09BC">
      <w:pPr>
        <w:rPr>
          <w:rFonts w:ascii="Palatino Linotype" w:hAnsi="Palatino Linotype"/>
          <w:color w:val="000000" w:themeColor="text1"/>
        </w:rPr>
      </w:pPr>
    </w:p>
    <w:p w14:paraId="1AF8AAB2" w14:textId="77777777" w:rsidR="009F09BC" w:rsidRPr="00A03D0F" w:rsidRDefault="009F09BC" w:rsidP="009F09BC">
      <w:pPr>
        <w:rPr>
          <w:rFonts w:ascii="Palatino Linotype" w:hAnsi="Palatino Linotype"/>
          <w:color w:val="000000" w:themeColor="text1"/>
        </w:rPr>
      </w:pPr>
    </w:p>
    <w:p w14:paraId="1AF8AAB3" w14:textId="77777777" w:rsidR="009F09BC" w:rsidRPr="00A03D0F" w:rsidRDefault="009F09BC" w:rsidP="009F09BC">
      <w:pPr>
        <w:rPr>
          <w:rFonts w:ascii="Palatino Linotype" w:hAnsi="Palatino Linotype"/>
          <w:color w:val="000000" w:themeColor="text1"/>
        </w:rPr>
      </w:pPr>
    </w:p>
    <w:p w14:paraId="1AF8AAB4" w14:textId="77777777" w:rsidR="009F09BC" w:rsidRPr="00A03D0F" w:rsidRDefault="009F09BC" w:rsidP="009F09BC">
      <w:pPr>
        <w:rPr>
          <w:rFonts w:ascii="Palatino Linotype" w:hAnsi="Palatino Linotype"/>
          <w:color w:val="000000" w:themeColor="text1"/>
        </w:rPr>
      </w:pPr>
    </w:p>
    <w:p w14:paraId="1AF8AAB5" w14:textId="77777777" w:rsidR="009F09BC" w:rsidRPr="00A03D0F" w:rsidRDefault="009F09BC" w:rsidP="009F09BC">
      <w:pPr>
        <w:rPr>
          <w:rFonts w:ascii="Palatino Linotype" w:hAnsi="Palatino Linotype"/>
          <w:color w:val="000000" w:themeColor="text1"/>
        </w:rPr>
      </w:pPr>
    </w:p>
    <w:p w14:paraId="1AF8AAB6" w14:textId="77777777" w:rsidR="009F09BC" w:rsidRPr="00A03D0F" w:rsidRDefault="009F09BC" w:rsidP="009F09BC">
      <w:pPr>
        <w:tabs>
          <w:tab w:val="left" w:pos="3374"/>
        </w:tabs>
        <w:rPr>
          <w:rFonts w:ascii="Palatino Linotype" w:hAnsi="Palatino Linotype"/>
          <w:color w:val="000000" w:themeColor="text1"/>
        </w:rPr>
      </w:pPr>
      <w:r w:rsidRPr="00A03D0F">
        <w:rPr>
          <w:rFonts w:ascii="Palatino Linotype" w:hAnsi="Palatino Linotype"/>
          <w:color w:val="000000" w:themeColor="text1"/>
        </w:rPr>
        <w:tab/>
      </w:r>
    </w:p>
    <w:p w14:paraId="1AF8AAB7" w14:textId="77777777" w:rsidR="0074110E" w:rsidRPr="00A03D0F" w:rsidRDefault="0074110E" w:rsidP="009F09BC">
      <w:pPr>
        <w:tabs>
          <w:tab w:val="left" w:pos="3374"/>
        </w:tabs>
        <w:rPr>
          <w:rFonts w:ascii="Palatino Linotype" w:hAnsi="Palatino Linotype"/>
          <w:color w:val="000000" w:themeColor="text1"/>
        </w:rPr>
      </w:pPr>
    </w:p>
    <w:p w14:paraId="1AF8AAB8" w14:textId="77777777" w:rsidR="0074110E" w:rsidRPr="00A03D0F" w:rsidRDefault="0074110E" w:rsidP="009F09BC">
      <w:pPr>
        <w:tabs>
          <w:tab w:val="left" w:pos="3374"/>
        </w:tabs>
        <w:rPr>
          <w:rFonts w:ascii="Palatino Linotype" w:hAnsi="Palatino Linotype"/>
          <w:color w:val="000000" w:themeColor="text1"/>
        </w:rPr>
      </w:pPr>
    </w:p>
    <w:p w14:paraId="1AF8AAB9" w14:textId="77777777" w:rsidR="0074110E" w:rsidRPr="00A03D0F" w:rsidRDefault="0074110E" w:rsidP="009F09BC">
      <w:pPr>
        <w:tabs>
          <w:tab w:val="left" w:pos="3374"/>
        </w:tabs>
        <w:rPr>
          <w:rFonts w:ascii="Palatino Linotype" w:hAnsi="Palatino Linotype"/>
          <w:color w:val="000000" w:themeColor="text1"/>
        </w:rPr>
      </w:pPr>
    </w:p>
    <w:p w14:paraId="1AF8AABA" w14:textId="77777777" w:rsidR="0074110E" w:rsidRPr="00A03D0F" w:rsidRDefault="0074110E" w:rsidP="009F09BC">
      <w:pPr>
        <w:tabs>
          <w:tab w:val="left" w:pos="3374"/>
        </w:tabs>
        <w:rPr>
          <w:rFonts w:ascii="Palatino Linotype" w:hAnsi="Palatino Linotype"/>
          <w:color w:val="000000" w:themeColor="text1"/>
        </w:rPr>
      </w:pPr>
    </w:p>
    <w:p w14:paraId="1AF8AABB" w14:textId="77777777" w:rsidR="0074110E" w:rsidRPr="00A03D0F" w:rsidRDefault="0074110E" w:rsidP="009F09BC">
      <w:pPr>
        <w:tabs>
          <w:tab w:val="left" w:pos="3374"/>
        </w:tabs>
        <w:rPr>
          <w:rFonts w:ascii="Palatino Linotype" w:hAnsi="Palatino Linotype"/>
          <w:color w:val="000000" w:themeColor="text1"/>
        </w:rPr>
      </w:pPr>
    </w:p>
    <w:p w14:paraId="1AF8AABC" w14:textId="77777777" w:rsidR="0074110E" w:rsidRPr="00A03D0F" w:rsidRDefault="0074110E" w:rsidP="009F09BC">
      <w:pPr>
        <w:tabs>
          <w:tab w:val="left" w:pos="3374"/>
        </w:tabs>
        <w:rPr>
          <w:rFonts w:ascii="Palatino Linotype" w:hAnsi="Palatino Linotype"/>
          <w:color w:val="000000" w:themeColor="text1"/>
        </w:rPr>
      </w:pPr>
    </w:p>
    <w:p w14:paraId="1AF8AABD" w14:textId="77777777" w:rsidR="0074110E" w:rsidRPr="00A03D0F" w:rsidRDefault="0074110E" w:rsidP="009F09BC">
      <w:pPr>
        <w:tabs>
          <w:tab w:val="left" w:pos="3374"/>
        </w:tabs>
        <w:rPr>
          <w:rFonts w:ascii="Palatino Linotype" w:hAnsi="Palatino Linotype"/>
          <w:color w:val="000000" w:themeColor="text1"/>
        </w:rPr>
      </w:pPr>
    </w:p>
    <w:p w14:paraId="1AF8AABE" w14:textId="77777777" w:rsidR="0074110E" w:rsidRPr="00A03D0F" w:rsidRDefault="0074110E" w:rsidP="009F09BC">
      <w:pPr>
        <w:tabs>
          <w:tab w:val="left" w:pos="3374"/>
        </w:tabs>
        <w:rPr>
          <w:rFonts w:ascii="Palatino Linotype" w:hAnsi="Palatino Linotype"/>
          <w:color w:val="000000" w:themeColor="text1"/>
        </w:rPr>
      </w:pPr>
    </w:p>
    <w:p w14:paraId="1AF8AABF" w14:textId="77777777" w:rsidR="00053FB7" w:rsidRPr="00A03D0F" w:rsidRDefault="00053FB7" w:rsidP="009F09BC">
      <w:pPr>
        <w:tabs>
          <w:tab w:val="left" w:pos="3374"/>
        </w:tabs>
        <w:rPr>
          <w:rFonts w:ascii="Palatino Linotype" w:hAnsi="Palatino Linotype"/>
          <w:color w:val="000000" w:themeColor="text1"/>
        </w:rPr>
      </w:pPr>
    </w:p>
    <w:p w14:paraId="1AF8AAC0" w14:textId="77777777" w:rsidR="00053FB7" w:rsidRPr="00A03D0F" w:rsidRDefault="00053FB7" w:rsidP="009F09BC">
      <w:pPr>
        <w:tabs>
          <w:tab w:val="left" w:pos="3374"/>
        </w:tabs>
        <w:rPr>
          <w:rFonts w:ascii="Palatino Linotype" w:hAnsi="Palatino Linotype"/>
          <w:color w:val="000000" w:themeColor="text1"/>
        </w:rPr>
      </w:pPr>
    </w:p>
    <w:p w14:paraId="1AF8AAC1" w14:textId="77777777" w:rsidR="00053FB7" w:rsidRPr="00A03D0F" w:rsidRDefault="00053FB7" w:rsidP="009F09BC">
      <w:pPr>
        <w:tabs>
          <w:tab w:val="left" w:pos="3374"/>
        </w:tabs>
        <w:rPr>
          <w:rFonts w:ascii="Palatino Linotype" w:hAnsi="Palatino Linotype"/>
          <w:color w:val="000000" w:themeColor="text1"/>
        </w:rPr>
      </w:pPr>
    </w:p>
    <w:p w14:paraId="1AF8AAC2" w14:textId="77777777" w:rsidR="00053FB7" w:rsidRPr="00A03D0F" w:rsidRDefault="00053FB7" w:rsidP="009F09BC">
      <w:pPr>
        <w:tabs>
          <w:tab w:val="left" w:pos="3374"/>
        </w:tabs>
        <w:rPr>
          <w:rFonts w:ascii="Palatino Linotype" w:hAnsi="Palatino Linotype"/>
          <w:color w:val="000000" w:themeColor="text1"/>
        </w:rPr>
      </w:pPr>
    </w:p>
    <w:p w14:paraId="1AF8AAC3" w14:textId="77777777" w:rsidR="00053FB7" w:rsidRPr="00A03D0F" w:rsidRDefault="00053FB7" w:rsidP="009F09BC">
      <w:pPr>
        <w:tabs>
          <w:tab w:val="left" w:pos="3374"/>
        </w:tabs>
        <w:rPr>
          <w:rFonts w:ascii="Palatino Linotype" w:hAnsi="Palatino Linotype"/>
          <w:color w:val="000000" w:themeColor="text1"/>
        </w:rPr>
      </w:pPr>
    </w:p>
    <w:p w14:paraId="1AF8AAC4" w14:textId="77777777" w:rsidR="00053FB7" w:rsidRPr="00A03D0F" w:rsidRDefault="00053FB7" w:rsidP="009F09BC">
      <w:pPr>
        <w:tabs>
          <w:tab w:val="left" w:pos="3374"/>
        </w:tabs>
        <w:rPr>
          <w:rFonts w:ascii="Palatino Linotype" w:hAnsi="Palatino Linotype"/>
          <w:color w:val="000000" w:themeColor="text1"/>
        </w:rPr>
      </w:pPr>
    </w:p>
    <w:p w14:paraId="1AF8AAC5" w14:textId="77777777" w:rsidR="00053FB7" w:rsidRPr="00A03D0F" w:rsidRDefault="00053FB7" w:rsidP="009F09BC">
      <w:pPr>
        <w:tabs>
          <w:tab w:val="left" w:pos="3374"/>
        </w:tabs>
        <w:rPr>
          <w:rFonts w:ascii="Palatino Linotype" w:hAnsi="Palatino Linotype"/>
          <w:color w:val="000000" w:themeColor="text1"/>
        </w:rPr>
      </w:pPr>
    </w:p>
    <w:p w14:paraId="1AF8AAC6" w14:textId="77777777" w:rsidR="00053FB7" w:rsidRPr="00A03D0F" w:rsidRDefault="00053FB7" w:rsidP="009F09BC">
      <w:pPr>
        <w:tabs>
          <w:tab w:val="left" w:pos="3374"/>
        </w:tabs>
        <w:rPr>
          <w:rFonts w:ascii="Palatino Linotype" w:hAnsi="Palatino Linotype"/>
          <w:color w:val="000000" w:themeColor="text1"/>
        </w:rPr>
      </w:pPr>
    </w:p>
    <w:p w14:paraId="1AF8AAC7" w14:textId="77777777" w:rsidR="00053FB7" w:rsidRPr="00A03D0F" w:rsidRDefault="00053FB7" w:rsidP="009F09BC">
      <w:pPr>
        <w:tabs>
          <w:tab w:val="left" w:pos="3374"/>
        </w:tabs>
        <w:rPr>
          <w:rFonts w:ascii="Palatino Linotype" w:hAnsi="Palatino Linotype"/>
          <w:color w:val="000000" w:themeColor="text1"/>
        </w:rPr>
      </w:pPr>
    </w:p>
    <w:p w14:paraId="1AF8AAC8" w14:textId="77777777" w:rsidR="00053FB7" w:rsidRPr="00A03D0F" w:rsidRDefault="00053FB7" w:rsidP="009F09BC">
      <w:pPr>
        <w:tabs>
          <w:tab w:val="left" w:pos="3374"/>
        </w:tabs>
        <w:rPr>
          <w:rFonts w:ascii="Palatino Linotype" w:hAnsi="Palatino Linotype"/>
          <w:color w:val="000000" w:themeColor="text1"/>
        </w:rPr>
      </w:pPr>
    </w:p>
    <w:p w14:paraId="1AF8AAC9" w14:textId="77777777" w:rsidR="00053FB7" w:rsidRPr="00A03D0F" w:rsidRDefault="00053FB7" w:rsidP="009F09BC">
      <w:pPr>
        <w:tabs>
          <w:tab w:val="left" w:pos="3374"/>
        </w:tabs>
        <w:rPr>
          <w:rFonts w:ascii="Palatino Linotype" w:hAnsi="Palatino Linotype"/>
          <w:color w:val="000000" w:themeColor="text1"/>
        </w:rPr>
      </w:pPr>
    </w:p>
    <w:sectPr w:rsidR="00053FB7" w:rsidRPr="00A03D0F" w:rsidSect="004D465B">
      <w:headerReference w:type="even" r:id="rId13"/>
      <w:headerReference w:type="default" r:id="rId14"/>
      <w:footerReference w:type="default" r:id="rId15"/>
      <w:headerReference w:type="first" r:id="rId16"/>
      <w:footerReference w:type="first" r:id="rId17"/>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356A2" w14:textId="77777777" w:rsidR="001C47B6" w:rsidRDefault="001C47B6" w:rsidP="003B7751">
      <w:r>
        <w:separator/>
      </w:r>
    </w:p>
  </w:endnote>
  <w:endnote w:type="continuationSeparator" w:id="0">
    <w:p w14:paraId="0D7BA76D" w14:textId="77777777" w:rsidR="001C47B6" w:rsidRDefault="001C47B6"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AF8AAE1" w14:textId="77777777"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5609">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95609">
              <w:rPr>
                <w:rFonts w:ascii="Palatino Linotype" w:hAnsi="Palatino Linotype"/>
                <w:bCs/>
                <w:noProof/>
                <w:sz w:val="20"/>
              </w:rPr>
              <w:t>22</w:t>
            </w:r>
            <w:r>
              <w:rPr>
                <w:rFonts w:ascii="Palatino Linotype" w:hAnsi="Palatino Linotype"/>
                <w:bCs/>
                <w:noProof/>
                <w:sz w:val="20"/>
              </w:rPr>
              <w:fldChar w:fldCharType="end"/>
            </w:r>
          </w:p>
        </w:sdtContent>
      </w:sdt>
    </w:sdtContent>
  </w:sdt>
  <w:p w14:paraId="1AF8AAE2" w14:textId="77777777" w:rsidR="00D46375" w:rsidRDefault="00D463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AAF0" w14:textId="77777777"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560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95609">
      <w:rPr>
        <w:rFonts w:ascii="Palatino Linotype" w:hAnsi="Palatino Linotype"/>
        <w:bCs/>
        <w:noProof/>
        <w:sz w:val="20"/>
      </w:rPr>
      <w:t>22</w:t>
    </w:r>
    <w:r>
      <w:rPr>
        <w:rFonts w:ascii="Palatino Linotype" w:hAnsi="Palatino Linotype"/>
        <w:bCs/>
        <w:noProof/>
        <w:sz w:val="20"/>
      </w:rPr>
      <w:fldChar w:fldCharType="end"/>
    </w:r>
  </w:p>
  <w:p w14:paraId="1AF8AAF1" w14:textId="77777777" w:rsidR="00D46375" w:rsidRDefault="00D463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198EB" w14:textId="77777777" w:rsidR="001C47B6" w:rsidRDefault="001C47B6" w:rsidP="003B7751">
      <w:r>
        <w:separator/>
      </w:r>
    </w:p>
  </w:footnote>
  <w:footnote w:type="continuationSeparator" w:id="0">
    <w:p w14:paraId="1F36CEBC" w14:textId="77777777" w:rsidR="001C47B6" w:rsidRDefault="001C47B6" w:rsidP="003B7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AAD6" w14:textId="77777777" w:rsidR="00D46375" w:rsidRDefault="001C47B6">
    <w:pPr>
      <w:pStyle w:val="Encabezado"/>
    </w:pPr>
    <w:r>
      <w:rPr>
        <w:noProof/>
        <w:lang w:eastAsia="es-MX"/>
      </w:rPr>
      <w:pict w14:anchorId="1AF8A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1025"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945" w:type="dxa"/>
      <w:tblInd w:w="2694" w:type="dxa"/>
      <w:tblCellMar>
        <w:left w:w="70" w:type="dxa"/>
        <w:right w:w="70" w:type="dxa"/>
      </w:tblCellMar>
      <w:tblLook w:val="04A0" w:firstRow="1" w:lastRow="0" w:firstColumn="1" w:lastColumn="0" w:noHBand="0" w:noVBand="1"/>
    </w:tblPr>
    <w:tblGrid>
      <w:gridCol w:w="2976"/>
      <w:gridCol w:w="3969"/>
    </w:tblGrid>
    <w:tr w:rsidR="00D46375" w14:paraId="1AF8AAD9" w14:textId="77777777" w:rsidTr="00A03D0F">
      <w:trPr>
        <w:trHeight w:val="227"/>
      </w:trPr>
      <w:tc>
        <w:tcPr>
          <w:tcW w:w="2976" w:type="dxa"/>
          <w:vAlign w:val="center"/>
          <w:hideMark/>
        </w:tcPr>
        <w:p w14:paraId="1AF8AAD7" w14:textId="77777777" w:rsidR="00D46375" w:rsidRPr="00A03D0F" w:rsidRDefault="00D46375" w:rsidP="009F09BC">
          <w:pPr>
            <w:ind w:right="34"/>
            <w:jc w:val="right"/>
            <w:rPr>
              <w:rFonts w:ascii="Palatino Linotype" w:hAnsi="Palatino Linotype"/>
              <w:b/>
              <w:sz w:val="22"/>
              <w:szCs w:val="22"/>
            </w:rPr>
          </w:pPr>
          <w:r w:rsidRPr="00A03D0F">
            <w:rPr>
              <w:rFonts w:ascii="Palatino Linotype" w:hAnsi="Palatino Linotype"/>
              <w:b/>
              <w:sz w:val="22"/>
              <w:szCs w:val="22"/>
            </w:rPr>
            <w:t>Recurso de Revisión:</w:t>
          </w:r>
        </w:p>
      </w:tc>
      <w:tc>
        <w:tcPr>
          <w:tcW w:w="3969" w:type="dxa"/>
          <w:vAlign w:val="center"/>
          <w:hideMark/>
        </w:tcPr>
        <w:p w14:paraId="1AF8AAD8" w14:textId="77777777" w:rsidR="00D46375" w:rsidRPr="00A03D0F" w:rsidRDefault="004727DB" w:rsidP="00A03D0F">
          <w:pPr>
            <w:pStyle w:val="Encabezado"/>
            <w:rPr>
              <w:rFonts w:ascii="Palatino Linotype" w:hAnsi="Palatino Linotype"/>
              <w:sz w:val="22"/>
              <w:szCs w:val="22"/>
            </w:rPr>
          </w:pPr>
          <w:r w:rsidRPr="00A03D0F">
            <w:rPr>
              <w:rFonts w:ascii="Palatino Linotype" w:hAnsi="Palatino Linotype"/>
              <w:sz w:val="22"/>
              <w:szCs w:val="22"/>
            </w:rPr>
            <w:t>04113/INFOEM/IP/RR/2023</w:t>
          </w:r>
        </w:p>
      </w:tc>
    </w:tr>
    <w:tr w:rsidR="00D46375" w14:paraId="1AF8AADC" w14:textId="77777777" w:rsidTr="00A03D0F">
      <w:trPr>
        <w:trHeight w:val="242"/>
      </w:trPr>
      <w:tc>
        <w:tcPr>
          <w:tcW w:w="2976" w:type="dxa"/>
          <w:vAlign w:val="center"/>
          <w:hideMark/>
        </w:tcPr>
        <w:p w14:paraId="1AF8AADA" w14:textId="77777777" w:rsidR="00D46375" w:rsidRPr="00A03D0F" w:rsidRDefault="00D46375" w:rsidP="009F09BC">
          <w:pPr>
            <w:ind w:right="34"/>
            <w:jc w:val="right"/>
            <w:rPr>
              <w:rFonts w:ascii="Palatino Linotype" w:hAnsi="Palatino Linotype"/>
              <w:b/>
              <w:sz w:val="22"/>
              <w:szCs w:val="22"/>
            </w:rPr>
          </w:pPr>
          <w:r w:rsidRPr="00A03D0F">
            <w:rPr>
              <w:rFonts w:ascii="Palatino Linotype" w:hAnsi="Palatino Linotype"/>
              <w:b/>
              <w:sz w:val="22"/>
              <w:szCs w:val="22"/>
            </w:rPr>
            <w:t>Sujeto Obligado:</w:t>
          </w:r>
        </w:p>
      </w:tc>
      <w:tc>
        <w:tcPr>
          <w:tcW w:w="3969" w:type="dxa"/>
          <w:vAlign w:val="center"/>
          <w:hideMark/>
        </w:tcPr>
        <w:p w14:paraId="1AF8AADB" w14:textId="77777777" w:rsidR="00D46375" w:rsidRPr="00A03D0F" w:rsidRDefault="004727DB" w:rsidP="00A03D0F">
          <w:pPr>
            <w:pStyle w:val="Encabezado"/>
            <w:rPr>
              <w:rFonts w:ascii="Palatino Linotype" w:hAnsi="Palatino Linotype"/>
              <w:sz w:val="22"/>
              <w:szCs w:val="22"/>
            </w:rPr>
          </w:pPr>
          <w:r w:rsidRPr="00A03D0F">
            <w:rPr>
              <w:rFonts w:ascii="Palatino Linotype" w:eastAsia="Times New Roman" w:hAnsi="Palatino Linotype" w:cs="Arial"/>
              <w:color w:val="000000"/>
              <w:sz w:val="22"/>
              <w:szCs w:val="22"/>
              <w:lang w:val="es-MX"/>
            </w:rPr>
            <w:t>Tribunal de Justicia Administrativa del Estado de México</w:t>
          </w:r>
        </w:p>
      </w:tc>
    </w:tr>
    <w:tr w:rsidR="00D46375" w14:paraId="1AF8AADF" w14:textId="77777777" w:rsidTr="00A03D0F">
      <w:trPr>
        <w:trHeight w:val="342"/>
      </w:trPr>
      <w:tc>
        <w:tcPr>
          <w:tcW w:w="2976" w:type="dxa"/>
          <w:vAlign w:val="center"/>
          <w:hideMark/>
        </w:tcPr>
        <w:p w14:paraId="1AF8AADD" w14:textId="77777777" w:rsidR="00D46375" w:rsidRPr="00A03D0F" w:rsidRDefault="00D46375" w:rsidP="00103414">
          <w:pPr>
            <w:ind w:right="34"/>
            <w:jc w:val="right"/>
            <w:rPr>
              <w:rFonts w:ascii="Palatino Linotype" w:hAnsi="Palatino Linotype"/>
              <w:b/>
              <w:sz w:val="22"/>
              <w:szCs w:val="22"/>
            </w:rPr>
          </w:pPr>
          <w:r w:rsidRPr="00A03D0F">
            <w:rPr>
              <w:rFonts w:ascii="Palatino Linotype" w:hAnsi="Palatino Linotype"/>
              <w:b/>
              <w:sz w:val="22"/>
              <w:szCs w:val="22"/>
            </w:rPr>
            <w:t>Comisionad</w:t>
          </w:r>
          <w:r w:rsidR="00103414" w:rsidRPr="00A03D0F">
            <w:rPr>
              <w:rFonts w:ascii="Palatino Linotype" w:hAnsi="Palatino Linotype"/>
              <w:b/>
              <w:sz w:val="22"/>
              <w:szCs w:val="22"/>
            </w:rPr>
            <w:t>a</w:t>
          </w:r>
          <w:r w:rsidRPr="00A03D0F">
            <w:rPr>
              <w:rFonts w:ascii="Palatino Linotype" w:hAnsi="Palatino Linotype"/>
              <w:b/>
              <w:sz w:val="22"/>
              <w:szCs w:val="22"/>
            </w:rPr>
            <w:t xml:space="preserve"> Ponente:</w:t>
          </w:r>
        </w:p>
      </w:tc>
      <w:tc>
        <w:tcPr>
          <w:tcW w:w="3969" w:type="dxa"/>
          <w:vAlign w:val="center"/>
          <w:hideMark/>
        </w:tcPr>
        <w:p w14:paraId="1AF8AADE" w14:textId="77777777" w:rsidR="00D46375" w:rsidRPr="00A03D0F" w:rsidRDefault="00D46375" w:rsidP="00A03D0F">
          <w:pPr>
            <w:pStyle w:val="Encabezado"/>
            <w:rPr>
              <w:rFonts w:ascii="Palatino Linotype" w:hAnsi="Palatino Linotype"/>
              <w:sz w:val="22"/>
              <w:szCs w:val="22"/>
            </w:rPr>
          </w:pPr>
          <w:r w:rsidRPr="00A03D0F">
            <w:rPr>
              <w:rFonts w:ascii="Palatino Linotype" w:eastAsia="Times New Roman" w:hAnsi="Palatino Linotype" w:cs="Arial"/>
              <w:color w:val="000000"/>
              <w:sz w:val="22"/>
              <w:szCs w:val="22"/>
              <w:lang w:val="es-MX"/>
            </w:rPr>
            <w:t>María del Rosario Mejía Ayala</w:t>
          </w:r>
        </w:p>
      </w:tc>
    </w:tr>
  </w:tbl>
  <w:p w14:paraId="1AF8AAE0" w14:textId="77777777" w:rsidR="00D46375" w:rsidRPr="00AE046A" w:rsidRDefault="001C47B6" w:rsidP="003B7751">
    <w:pPr>
      <w:pStyle w:val="Encabezado"/>
      <w:tabs>
        <w:tab w:val="clear" w:pos="4419"/>
        <w:tab w:val="clear" w:pos="8838"/>
        <w:tab w:val="left" w:pos="6005"/>
      </w:tabs>
      <w:rPr>
        <w:sz w:val="14"/>
      </w:rPr>
    </w:pPr>
    <w:r>
      <w:rPr>
        <w:noProof/>
        <w:sz w:val="14"/>
        <w:lang w:eastAsia="es-MX"/>
      </w:rPr>
      <w:pict w14:anchorId="1AF8AA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1026"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371" w:type="dxa"/>
      <w:tblInd w:w="2552" w:type="dxa"/>
      <w:tblCellMar>
        <w:left w:w="70" w:type="dxa"/>
        <w:right w:w="70" w:type="dxa"/>
      </w:tblCellMar>
      <w:tblLook w:val="04A0" w:firstRow="1" w:lastRow="0" w:firstColumn="1" w:lastColumn="0" w:noHBand="0" w:noVBand="1"/>
    </w:tblPr>
    <w:tblGrid>
      <w:gridCol w:w="2977"/>
      <w:gridCol w:w="4394"/>
    </w:tblGrid>
    <w:tr w:rsidR="00A03D0F" w:rsidRPr="00A03D0F" w14:paraId="1AF8AAE5" w14:textId="77777777" w:rsidTr="00A03D0F">
      <w:trPr>
        <w:trHeight w:val="227"/>
      </w:trPr>
      <w:tc>
        <w:tcPr>
          <w:tcW w:w="2977" w:type="dxa"/>
          <w:vAlign w:val="center"/>
          <w:hideMark/>
        </w:tcPr>
        <w:p w14:paraId="1AF8AAE3" w14:textId="77777777" w:rsidR="00D46375" w:rsidRPr="00A03D0F" w:rsidRDefault="00D46375" w:rsidP="009F09BC">
          <w:pPr>
            <w:jc w:val="right"/>
            <w:rPr>
              <w:rFonts w:ascii="Palatino Linotype" w:hAnsi="Palatino Linotype"/>
              <w:b/>
              <w:sz w:val="22"/>
              <w:szCs w:val="22"/>
            </w:rPr>
          </w:pPr>
          <w:r w:rsidRPr="00A03D0F">
            <w:rPr>
              <w:rFonts w:ascii="Palatino Linotype" w:hAnsi="Palatino Linotype"/>
              <w:b/>
              <w:sz w:val="22"/>
              <w:szCs w:val="22"/>
            </w:rPr>
            <w:t>Recurso de Revisión:</w:t>
          </w:r>
        </w:p>
      </w:tc>
      <w:tc>
        <w:tcPr>
          <w:tcW w:w="4394" w:type="dxa"/>
          <w:vAlign w:val="center"/>
          <w:hideMark/>
        </w:tcPr>
        <w:p w14:paraId="1AF8AAE4" w14:textId="77777777" w:rsidR="00D46375" w:rsidRPr="00A03D0F" w:rsidRDefault="004727DB" w:rsidP="00A03D0F">
          <w:pPr>
            <w:pStyle w:val="Encabezado"/>
            <w:rPr>
              <w:rFonts w:ascii="Palatino Linotype" w:hAnsi="Palatino Linotype"/>
              <w:sz w:val="22"/>
              <w:szCs w:val="22"/>
            </w:rPr>
          </w:pPr>
          <w:r w:rsidRPr="00A03D0F">
            <w:rPr>
              <w:rFonts w:ascii="Palatino Linotype" w:hAnsi="Palatino Linotype"/>
              <w:bCs/>
              <w:sz w:val="22"/>
              <w:szCs w:val="22"/>
            </w:rPr>
            <w:t>04113/INFOEM/IP/RR/2023</w:t>
          </w:r>
        </w:p>
      </w:tc>
    </w:tr>
    <w:tr w:rsidR="00A03D0F" w:rsidRPr="00A03D0F" w14:paraId="1AF8AAE8" w14:textId="77777777" w:rsidTr="00A03D0F">
      <w:trPr>
        <w:trHeight w:val="242"/>
      </w:trPr>
      <w:tc>
        <w:tcPr>
          <w:tcW w:w="2977" w:type="dxa"/>
          <w:vAlign w:val="center"/>
          <w:hideMark/>
        </w:tcPr>
        <w:p w14:paraId="1AF8AAE6" w14:textId="77777777" w:rsidR="00D46375" w:rsidRPr="00A03D0F" w:rsidRDefault="00D46375" w:rsidP="009F09BC">
          <w:pPr>
            <w:jc w:val="right"/>
            <w:rPr>
              <w:rFonts w:ascii="Palatino Linotype" w:hAnsi="Palatino Linotype"/>
              <w:b/>
              <w:sz w:val="22"/>
              <w:szCs w:val="22"/>
            </w:rPr>
          </w:pPr>
          <w:r w:rsidRPr="00A03D0F">
            <w:rPr>
              <w:rFonts w:ascii="Palatino Linotype" w:hAnsi="Palatino Linotype"/>
              <w:b/>
              <w:sz w:val="22"/>
              <w:szCs w:val="22"/>
            </w:rPr>
            <w:t>Recurrente:</w:t>
          </w:r>
        </w:p>
      </w:tc>
      <w:tc>
        <w:tcPr>
          <w:tcW w:w="4394" w:type="dxa"/>
          <w:hideMark/>
        </w:tcPr>
        <w:p w14:paraId="1AF8AAE7" w14:textId="537C6B90" w:rsidR="00D46375" w:rsidRPr="00A03D0F" w:rsidRDefault="000729B2" w:rsidP="00A03D0F">
          <w:pPr>
            <w:pStyle w:val="Encabezado"/>
            <w:tabs>
              <w:tab w:val="left" w:pos="521"/>
            </w:tabs>
            <w:rPr>
              <w:rFonts w:ascii="Palatino Linotype" w:hAnsi="Palatino Linotype"/>
              <w:sz w:val="22"/>
              <w:szCs w:val="22"/>
            </w:rPr>
          </w:pPr>
          <w:r>
            <w:rPr>
              <w:rFonts w:ascii="Palatino Linotype" w:hAnsi="Palatino Linotype"/>
              <w:bCs/>
              <w:sz w:val="22"/>
              <w:szCs w:val="22"/>
            </w:rPr>
            <w:t xml:space="preserve">XXX </w:t>
          </w:r>
          <w:proofErr w:type="spellStart"/>
          <w:r>
            <w:rPr>
              <w:rFonts w:ascii="Palatino Linotype" w:hAnsi="Palatino Linotype"/>
              <w:bCs/>
              <w:sz w:val="22"/>
              <w:szCs w:val="22"/>
            </w:rPr>
            <w:t>XXX</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XXX</w:t>
          </w:r>
          <w:proofErr w:type="spellEnd"/>
          <w:r w:rsidR="004727DB" w:rsidRPr="00A03D0F">
            <w:rPr>
              <w:rFonts w:ascii="Palatino Linotype" w:hAnsi="Palatino Linotype"/>
              <w:bCs/>
              <w:sz w:val="22"/>
              <w:szCs w:val="22"/>
            </w:rPr>
            <w:t> </w:t>
          </w:r>
        </w:p>
      </w:tc>
    </w:tr>
    <w:tr w:rsidR="00A03D0F" w:rsidRPr="00A03D0F" w14:paraId="1AF8AAEB" w14:textId="77777777" w:rsidTr="00A03D0F">
      <w:trPr>
        <w:trHeight w:val="342"/>
      </w:trPr>
      <w:tc>
        <w:tcPr>
          <w:tcW w:w="2977" w:type="dxa"/>
          <w:vAlign w:val="center"/>
        </w:tcPr>
        <w:p w14:paraId="1AF8AAE9" w14:textId="77777777" w:rsidR="00D46375" w:rsidRPr="00A03D0F" w:rsidRDefault="00D46375" w:rsidP="009F09BC">
          <w:pPr>
            <w:jc w:val="right"/>
            <w:rPr>
              <w:rFonts w:ascii="Palatino Linotype" w:hAnsi="Palatino Linotype"/>
              <w:b/>
              <w:sz w:val="22"/>
              <w:szCs w:val="22"/>
            </w:rPr>
          </w:pPr>
          <w:r w:rsidRPr="00A03D0F">
            <w:rPr>
              <w:rFonts w:ascii="Palatino Linotype" w:hAnsi="Palatino Linotype"/>
              <w:b/>
              <w:sz w:val="22"/>
              <w:szCs w:val="22"/>
            </w:rPr>
            <w:t>Sujeto Obligado:</w:t>
          </w:r>
        </w:p>
      </w:tc>
      <w:tc>
        <w:tcPr>
          <w:tcW w:w="4394" w:type="dxa"/>
          <w:vAlign w:val="center"/>
        </w:tcPr>
        <w:p w14:paraId="1AF8AAEA" w14:textId="77777777" w:rsidR="00D46375" w:rsidRPr="00A03D0F" w:rsidRDefault="004727DB" w:rsidP="00A03D0F">
          <w:pPr>
            <w:pStyle w:val="Encabezado"/>
            <w:rPr>
              <w:rFonts w:ascii="Palatino Linotype" w:hAnsi="Palatino Linotype"/>
              <w:sz w:val="22"/>
              <w:szCs w:val="22"/>
            </w:rPr>
          </w:pPr>
          <w:r w:rsidRPr="00A03D0F">
            <w:rPr>
              <w:rFonts w:ascii="Palatino Linotype" w:hAnsi="Palatino Linotype"/>
              <w:sz w:val="22"/>
              <w:szCs w:val="22"/>
              <w:lang w:val="es-MX"/>
            </w:rPr>
            <w:t>Tribunal de Justicia Administrativa del Estado de México</w:t>
          </w:r>
        </w:p>
      </w:tc>
    </w:tr>
    <w:tr w:rsidR="00A03D0F" w:rsidRPr="00A03D0F" w14:paraId="1AF8AAEE" w14:textId="77777777" w:rsidTr="00A03D0F">
      <w:trPr>
        <w:trHeight w:val="342"/>
      </w:trPr>
      <w:tc>
        <w:tcPr>
          <w:tcW w:w="2977" w:type="dxa"/>
          <w:vAlign w:val="center"/>
        </w:tcPr>
        <w:p w14:paraId="1AF8AAEC" w14:textId="77777777" w:rsidR="00D46375" w:rsidRPr="00A03D0F" w:rsidRDefault="00D46375" w:rsidP="009F09BC">
          <w:pPr>
            <w:jc w:val="right"/>
            <w:rPr>
              <w:rFonts w:ascii="Palatino Linotype" w:hAnsi="Palatino Linotype"/>
              <w:b/>
              <w:sz w:val="22"/>
              <w:szCs w:val="22"/>
            </w:rPr>
          </w:pPr>
          <w:r w:rsidRPr="00A03D0F">
            <w:rPr>
              <w:rFonts w:ascii="Palatino Linotype" w:hAnsi="Palatino Linotype"/>
              <w:b/>
              <w:sz w:val="22"/>
              <w:szCs w:val="22"/>
            </w:rPr>
            <w:t>Comisionada Ponente:</w:t>
          </w:r>
        </w:p>
      </w:tc>
      <w:tc>
        <w:tcPr>
          <w:tcW w:w="4394" w:type="dxa"/>
          <w:vAlign w:val="center"/>
        </w:tcPr>
        <w:p w14:paraId="1AF8AAED" w14:textId="77777777" w:rsidR="00D46375" w:rsidRPr="00A03D0F" w:rsidRDefault="00D46375" w:rsidP="00A03D0F">
          <w:pPr>
            <w:pStyle w:val="Encabezado"/>
            <w:rPr>
              <w:rFonts w:ascii="Palatino Linotype" w:hAnsi="Palatino Linotype"/>
              <w:sz w:val="22"/>
              <w:szCs w:val="22"/>
            </w:rPr>
          </w:pPr>
          <w:r w:rsidRPr="00A03D0F">
            <w:rPr>
              <w:rFonts w:ascii="Palatino Linotype" w:hAnsi="Palatino Linotype"/>
              <w:sz w:val="22"/>
              <w:szCs w:val="22"/>
            </w:rPr>
            <w:t>María del Rosario Mejía Ayala</w:t>
          </w:r>
        </w:p>
      </w:tc>
    </w:tr>
  </w:tbl>
  <w:p w14:paraId="1AF8AAEF" w14:textId="77777777" w:rsidR="00D46375" w:rsidRPr="00C222C0" w:rsidRDefault="001C47B6">
    <w:pPr>
      <w:pStyle w:val="Encabezado"/>
      <w:rPr>
        <w:sz w:val="16"/>
      </w:rPr>
    </w:pPr>
    <w:r>
      <w:rPr>
        <w:noProof/>
        <w:sz w:val="16"/>
        <w:lang w:eastAsia="es-MX"/>
      </w:rPr>
      <w:pict w14:anchorId="1AF8AA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1027"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B63D88"/>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F5A6350"/>
    <w:multiLevelType w:val="hybridMultilevel"/>
    <w:tmpl w:val="7C96F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E616099"/>
    <w:multiLevelType w:val="hybridMultilevel"/>
    <w:tmpl w:val="6CD6AB4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15:restartNumberingAfterBreak="0">
    <w:nsid w:val="7ACD6BA1"/>
    <w:multiLevelType w:val="hybridMultilevel"/>
    <w:tmpl w:val="A894A28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BAF3DB4"/>
    <w:multiLevelType w:val="hybridMultilevel"/>
    <w:tmpl w:val="673AA77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961225552">
    <w:abstractNumId w:val="2"/>
  </w:num>
  <w:num w:numId="2" w16cid:durableId="1713653044">
    <w:abstractNumId w:val="0"/>
  </w:num>
  <w:num w:numId="3" w16cid:durableId="406151648">
    <w:abstractNumId w:val="4"/>
  </w:num>
  <w:num w:numId="4" w16cid:durableId="184373047">
    <w:abstractNumId w:val="8"/>
  </w:num>
  <w:num w:numId="5" w16cid:durableId="1412266994">
    <w:abstractNumId w:val="11"/>
  </w:num>
  <w:num w:numId="6" w16cid:durableId="1186482657">
    <w:abstractNumId w:val="6"/>
  </w:num>
  <w:num w:numId="7" w16cid:durableId="1839687179">
    <w:abstractNumId w:val="5"/>
  </w:num>
  <w:num w:numId="8" w16cid:durableId="1759330663">
    <w:abstractNumId w:val="10"/>
  </w:num>
  <w:num w:numId="9" w16cid:durableId="1548251537">
    <w:abstractNumId w:val="1"/>
  </w:num>
  <w:num w:numId="10" w16cid:durableId="758525671">
    <w:abstractNumId w:val="3"/>
  </w:num>
  <w:num w:numId="11" w16cid:durableId="1297032010">
    <w:abstractNumId w:val="7"/>
  </w:num>
  <w:num w:numId="12" w16cid:durableId="86502056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729B2"/>
    <w:rsid w:val="0008243D"/>
    <w:rsid w:val="000901F1"/>
    <w:rsid w:val="000A6153"/>
    <w:rsid w:val="000A703D"/>
    <w:rsid w:val="000B42EA"/>
    <w:rsid w:val="000E1A02"/>
    <w:rsid w:val="000E31C4"/>
    <w:rsid w:val="000E4891"/>
    <w:rsid w:val="00103414"/>
    <w:rsid w:val="00114502"/>
    <w:rsid w:val="001269AD"/>
    <w:rsid w:val="001310C6"/>
    <w:rsid w:val="00134CE6"/>
    <w:rsid w:val="001352F5"/>
    <w:rsid w:val="00166F3E"/>
    <w:rsid w:val="001A18E7"/>
    <w:rsid w:val="001B19F1"/>
    <w:rsid w:val="001C0DB3"/>
    <w:rsid w:val="001C31A4"/>
    <w:rsid w:val="001C3AA6"/>
    <w:rsid w:val="001C4290"/>
    <w:rsid w:val="001C47B6"/>
    <w:rsid w:val="001D23C1"/>
    <w:rsid w:val="001D373F"/>
    <w:rsid w:val="001D5404"/>
    <w:rsid w:val="001D630C"/>
    <w:rsid w:val="001E755B"/>
    <w:rsid w:val="00223C06"/>
    <w:rsid w:val="00237FA4"/>
    <w:rsid w:val="00252540"/>
    <w:rsid w:val="00264C9A"/>
    <w:rsid w:val="002650A0"/>
    <w:rsid w:val="00267A08"/>
    <w:rsid w:val="00272CA2"/>
    <w:rsid w:val="00277FAC"/>
    <w:rsid w:val="002901F4"/>
    <w:rsid w:val="00291500"/>
    <w:rsid w:val="002945D6"/>
    <w:rsid w:val="0029504E"/>
    <w:rsid w:val="002A3B71"/>
    <w:rsid w:val="002B10AB"/>
    <w:rsid w:val="002C0D3C"/>
    <w:rsid w:val="002C4997"/>
    <w:rsid w:val="002C77D6"/>
    <w:rsid w:val="002D294C"/>
    <w:rsid w:val="002D7E85"/>
    <w:rsid w:val="002E769C"/>
    <w:rsid w:val="002F3330"/>
    <w:rsid w:val="002F7675"/>
    <w:rsid w:val="0030094A"/>
    <w:rsid w:val="00312281"/>
    <w:rsid w:val="00321085"/>
    <w:rsid w:val="00323FFD"/>
    <w:rsid w:val="00330AC9"/>
    <w:rsid w:val="003437D9"/>
    <w:rsid w:val="00353F1D"/>
    <w:rsid w:val="0037157C"/>
    <w:rsid w:val="003833B3"/>
    <w:rsid w:val="003933C4"/>
    <w:rsid w:val="0039541A"/>
    <w:rsid w:val="003A06E6"/>
    <w:rsid w:val="003A15C8"/>
    <w:rsid w:val="003B70DC"/>
    <w:rsid w:val="003B7751"/>
    <w:rsid w:val="003C13F1"/>
    <w:rsid w:val="003E42AE"/>
    <w:rsid w:val="003E66D2"/>
    <w:rsid w:val="003F61A3"/>
    <w:rsid w:val="00403D64"/>
    <w:rsid w:val="00407FDA"/>
    <w:rsid w:val="004118FA"/>
    <w:rsid w:val="00411B64"/>
    <w:rsid w:val="00425842"/>
    <w:rsid w:val="00427038"/>
    <w:rsid w:val="00432130"/>
    <w:rsid w:val="00435583"/>
    <w:rsid w:val="00437672"/>
    <w:rsid w:val="004533ED"/>
    <w:rsid w:val="00456AEE"/>
    <w:rsid w:val="00456CFF"/>
    <w:rsid w:val="004727DB"/>
    <w:rsid w:val="0048131B"/>
    <w:rsid w:val="00495609"/>
    <w:rsid w:val="004C76C2"/>
    <w:rsid w:val="004D465B"/>
    <w:rsid w:val="004E4EE6"/>
    <w:rsid w:val="004E6CE4"/>
    <w:rsid w:val="004F34D1"/>
    <w:rsid w:val="00500BD7"/>
    <w:rsid w:val="00507B30"/>
    <w:rsid w:val="00523ADA"/>
    <w:rsid w:val="00531473"/>
    <w:rsid w:val="005331D8"/>
    <w:rsid w:val="005414D5"/>
    <w:rsid w:val="00541549"/>
    <w:rsid w:val="005432D0"/>
    <w:rsid w:val="00543478"/>
    <w:rsid w:val="00546076"/>
    <w:rsid w:val="00547ACE"/>
    <w:rsid w:val="005507B0"/>
    <w:rsid w:val="00554A21"/>
    <w:rsid w:val="00556E0A"/>
    <w:rsid w:val="00563F2E"/>
    <w:rsid w:val="0057514F"/>
    <w:rsid w:val="00575E75"/>
    <w:rsid w:val="00583A39"/>
    <w:rsid w:val="005B0088"/>
    <w:rsid w:val="005B076D"/>
    <w:rsid w:val="005B6702"/>
    <w:rsid w:val="005C3FC7"/>
    <w:rsid w:val="005C5021"/>
    <w:rsid w:val="005D2F1C"/>
    <w:rsid w:val="005D4C57"/>
    <w:rsid w:val="0062406B"/>
    <w:rsid w:val="00642B8B"/>
    <w:rsid w:val="00647F7C"/>
    <w:rsid w:val="00657639"/>
    <w:rsid w:val="006672E1"/>
    <w:rsid w:val="00677893"/>
    <w:rsid w:val="00680C93"/>
    <w:rsid w:val="00692B55"/>
    <w:rsid w:val="0069487D"/>
    <w:rsid w:val="006A04B6"/>
    <w:rsid w:val="006A5154"/>
    <w:rsid w:val="006A6390"/>
    <w:rsid w:val="006D15D0"/>
    <w:rsid w:val="006D1CED"/>
    <w:rsid w:val="006D6CC1"/>
    <w:rsid w:val="006E7397"/>
    <w:rsid w:val="006E7C94"/>
    <w:rsid w:val="00707B87"/>
    <w:rsid w:val="00711062"/>
    <w:rsid w:val="007142AB"/>
    <w:rsid w:val="007142D6"/>
    <w:rsid w:val="00716BCA"/>
    <w:rsid w:val="00720371"/>
    <w:rsid w:val="0074110E"/>
    <w:rsid w:val="00742823"/>
    <w:rsid w:val="007601B1"/>
    <w:rsid w:val="00775EB2"/>
    <w:rsid w:val="00782A12"/>
    <w:rsid w:val="007851DB"/>
    <w:rsid w:val="00792D6A"/>
    <w:rsid w:val="00792F5F"/>
    <w:rsid w:val="007979DB"/>
    <w:rsid w:val="007A08D0"/>
    <w:rsid w:val="007A1AA9"/>
    <w:rsid w:val="007A460E"/>
    <w:rsid w:val="007A6A1A"/>
    <w:rsid w:val="007B0745"/>
    <w:rsid w:val="007B3713"/>
    <w:rsid w:val="007B5FAE"/>
    <w:rsid w:val="007C3C29"/>
    <w:rsid w:val="007D5AAA"/>
    <w:rsid w:val="007D711C"/>
    <w:rsid w:val="007E56E1"/>
    <w:rsid w:val="00804DAA"/>
    <w:rsid w:val="0082142B"/>
    <w:rsid w:val="008227A9"/>
    <w:rsid w:val="008526F4"/>
    <w:rsid w:val="008563C8"/>
    <w:rsid w:val="008573BF"/>
    <w:rsid w:val="0086792A"/>
    <w:rsid w:val="00873EB6"/>
    <w:rsid w:val="00892089"/>
    <w:rsid w:val="008A06F8"/>
    <w:rsid w:val="008A64D0"/>
    <w:rsid w:val="008A699B"/>
    <w:rsid w:val="008B0637"/>
    <w:rsid w:val="008B6C7C"/>
    <w:rsid w:val="008C1ED7"/>
    <w:rsid w:val="008D21E2"/>
    <w:rsid w:val="008E12E3"/>
    <w:rsid w:val="008E32EE"/>
    <w:rsid w:val="008E330F"/>
    <w:rsid w:val="008E6574"/>
    <w:rsid w:val="008F2DFB"/>
    <w:rsid w:val="008F6D18"/>
    <w:rsid w:val="00911A75"/>
    <w:rsid w:val="009126F1"/>
    <w:rsid w:val="00925458"/>
    <w:rsid w:val="00926716"/>
    <w:rsid w:val="009335F9"/>
    <w:rsid w:val="00945135"/>
    <w:rsid w:val="0095341F"/>
    <w:rsid w:val="00967DFA"/>
    <w:rsid w:val="00982FCD"/>
    <w:rsid w:val="00987673"/>
    <w:rsid w:val="00995B4E"/>
    <w:rsid w:val="009972BB"/>
    <w:rsid w:val="009A2251"/>
    <w:rsid w:val="009A3106"/>
    <w:rsid w:val="009C1B6F"/>
    <w:rsid w:val="009C46F2"/>
    <w:rsid w:val="009D0241"/>
    <w:rsid w:val="009D5A32"/>
    <w:rsid w:val="009E5B16"/>
    <w:rsid w:val="009F09BC"/>
    <w:rsid w:val="00A03D0F"/>
    <w:rsid w:val="00A224A7"/>
    <w:rsid w:val="00A23E82"/>
    <w:rsid w:val="00A429D6"/>
    <w:rsid w:val="00A47F71"/>
    <w:rsid w:val="00A533B8"/>
    <w:rsid w:val="00A56791"/>
    <w:rsid w:val="00A626EB"/>
    <w:rsid w:val="00A739EE"/>
    <w:rsid w:val="00A9000C"/>
    <w:rsid w:val="00AD316E"/>
    <w:rsid w:val="00AD63B4"/>
    <w:rsid w:val="00AF4BBC"/>
    <w:rsid w:val="00AF5D2F"/>
    <w:rsid w:val="00B0695D"/>
    <w:rsid w:val="00B07BF8"/>
    <w:rsid w:val="00B11CDD"/>
    <w:rsid w:val="00B21874"/>
    <w:rsid w:val="00B416E1"/>
    <w:rsid w:val="00B5225F"/>
    <w:rsid w:val="00B530E8"/>
    <w:rsid w:val="00B86242"/>
    <w:rsid w:val="00B92791"/>
    <w:rsid w:val="00BB5758"/>
    <w:rsid w:val="00BF3240"/>
    <w:rsid w:val="00BF3FB5"/>
    <w:rsid w:val="00C03BA3"/>
    <w:rsid w:val="00C0715F"/>
    <w:rsid w:val="00C105CC"/>
    <w:rsid w:val="00C1074F"/>
    <w:rsid w:val="00C14F2A"/>
    <w:rsid w:val="00C21FAE"/>
    <w:rsid w:val="00C242A7"/>
    <w:rsid w:val="00C35712"/>
    <w:rsid w:val="00C41B2B"/>
    <w:rsid w:val="00C47C3D"/>
    <w:rsid w:val="00C524F8"/>
    <w:rsid w:val="00C54D99"/>
    <w:rsid w:val="00C85E64"/>
    <w:rsid w:val="00C860B1"/>
    <w:rsid w:val="00C87396"/>
    <w:rsid w:val="00C90814"/>
    <w:rsid w:val="00C91F0F"/>
    <w:rsid w:val="00C9681E"/>
    <w:rsid w:val="00CA1063"/>
    <w:rsid w:val="00CB757D"/>
    <w:rsid w:val="00CC14BA"/>
    <w:rsid w:val="00CC5B2F"/>
    <w:rsid w:val="00CD2099"/>
    <w:rsid w:val="00CE3153"/>
    <w:rsid w:val="00CE7B83"/>
    <w:rsid w:val="00CF0D2B"/>
    <w:rsid w:val="00D021A5"/>
    <w:rsid w:val="00D16FC7"/>
    <w:rsid w:val="00D367B4"/>
    <w:rsid w:val="00D46375"/>
    <w:rsid w:val="00D47231"/>
    <w:rsid w:val="00D5729F"/>
    <w:rsid w:val="00D6060C"/>
    <w:rsid w:val="00D60F5E"/>
    <w:rsid w:val="00D6224B"/>
    <w:rsid w:val="00D81329"/>
    <w:rsid w:val="00D8320F"/>
    <w:rsid w:val="00D96104"/>
    <w:rsid w:val="00DA2B13"/>
    <w:rsid w:val="00DA6D37"/>
    <w:rsid w:val="00DB17E1"/>
    <w:rsid w:val="00DB753F"/>
    <w:rsid w:val="00DC2611"/>
    <w:rsid w:val="00DD1021"/>
    <w:rsid w:val="00DD590D"/>
    <w:rsid w:val="00DD628A"/>
    <w:rsid w:val="00DE2F5A"/>
    <w:rsid w:val="00DE60AD"/>
    <w:rsid w:val="00DF03A5"/>
    <w:rsid w:val="00E118BA"/>
    <w:rsid w:val="00E17429"/>
    <w:rsid w:val="00E25145"/>
    <w:rsid w:val="00E55966"/>
    <w:rsid w:val="00E56172"/>
    <w:rsid w:val="00E5636B"/>
    <w:rsid w:val="00E566C9"/>
    <w:rsid w:val="00E61C13"/>
    <w:rsid w:val="00E61DA9"/>
    <w:rsid w:val="00E87D88"/>
    <w:rsid w:val="00E92E04"/>
    <w:rsid w:val="00EA660A"/>
    <w:rsid w:val="00EB1CE2"/>
    <w:rsid w:val="00ED1D6B"/>
    <w:rsid w:val="00ED3A35"/>
    <w:rsid w:val="00ED6E75"/>
    <w:rsid w:val="00EF280A"/>
    <w:rsid w:val="00EF45F9"/>
    <w:rsid w:val="00F24A04"/>
    <w:rsid w:val="00F35B0C"/>
    <w:rsid w:val="00F42ADB"/>
    <w:rsid w:val="00F469C7"/>
    <w:rsid w:val="00F522D3"/>
    <w:rsid w:val="00F572AD"/>
    <w:rsid w:val="00F62267"/>
    <w:rsid w:val="00F6466E"/>
    <w:rsid w:val="00F72588"/>
    <w:rsid w:val="00F7371C"/>
    <w:rsid w:val="00F849F2"/>
    <w:rsid w:val="00F857F0"/>
    <w:rsid w:val="00F946B5"/>
    <w:rsid w:val="00FB005A"/>
    <w:rsid w:val="00FB6D42"/>
    <w:rsid w:val="00FD2FA4"/>
    <w:rsid w:val="00FE3FBE"/>
    <w:rsid w:val="00FE50A0"/>
    <w:rsid w:val="00FE6761"/>
    <w:rsid w:val="00FF274C"/>
    <w:rsid w:val="00FF4D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8A9E1"/>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90D"/>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3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styleId="Referenciasutil">
    <w:name w:val="Subtle Reference"/>
    <w:basedOn w:val="Fuentedeprrafopredeter"/>
    <w:uiPriority w:val="31"/>
    <w:qFormat/>
    <w:rsid w:val="0049560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00494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oem.org.mx/es/content/informacion-public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6272E-5931-436E-BF7F-2D7D9E620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3834</Words>
  <Characters>21093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inf03m612@outlook.com</cp:lastModifiedBy>
  <cp:revision>5</cp:revision>
  <cp:lastPrinted>2023-08-03T17:58:00Z</cp:lastPrinted>
  <dcterms:created xsi:type="dcterms:W3CDTF">2023-12-07T18:24:00Z</dcterms:created>
  <dcterms:modified xsi:type="dcterms:W3CDTF">2023-12-19T18:00:00Z</dcterms:modified>
</cp:coreProperties>
</file>