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B835B" w14:textId="54A5E62B" w:rsidR="00870B18" w:rsidRDefault="00870B18" w:rsidP="00870B18">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0096F">
        <w:rPr>
          <w:rFonts w:ascii="Palatino Linotype" w:eastAsia="Times New Roman" w:hAnsi="Palatino Linotype" w:cs="Arial"/>
          <w:color w:val="000000"/>
          <w:sz w:val="24"/>
          <w:szCs w:val="24"/>
          <w:lang w:eastAsia="es-MX"/>
        </w:rPr>
        <w:t>doce</w:t>
      </w:r>
      <w:r w:rsidR="009C2C81">
        <w:rPr>
          <w:rFonts w:ascii="Palatino Linotype" w:eastAsia="Times New Roman" w:hAnsi="Palatino Linotype" w:cs="Arial"/>
          <w:color w:val="000000"/>
          <w:sz w:val="24"/>
          <w:szCs w:val="24"/>
          <w:lang w:eastAsia="es-MX"/>
        </w:rPr>
        <w:t xml:space="preserve"> de octubre de dos mil veintitrés. </w:t>
      </w:r>
      <w:r w:rsidR="00FA10C0">
        <w:rPr>
          <w:rFonts w:ascii="Palatino Linotype" w:eastAsia="Times New Roman" w:hAnsi="Palatino Linotype" w:cs="Arial"/>
          <w:color w:val="000000"/>
          <w:sz w:val="24"/>
          <w:szCs w:val="24"/>
          <w:lang w:eastAsia="es-MX"/>
        </w:rPr>
        <w:t xml:space="preserve"> </w:t>
      </w:r>
      <w:r w:rsidR="0021546A">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CF43F4E" w14:textId="2E55ABD8" w:rsidR="00F048D7" w:rsidRPr="00F048D7" w:rsidRDefault="00870B18" w:rsidP="00870B18">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bookmarkStart w:id="0" w:name="_GoBack"/>
      <w:r w:rsidR="009C2C81">
        <w:rPr>
          <w:rFonts w:ascii="Palatino Linotype" w:hAnsi="Palatino Linotype" w:cs="Arial"/>
          <w:b/>
          <w:bCs/>
          <w:sz w:val="24"/>
          <w:lang w:eastAsia="es-MX"/>
        </w:rPr>
        <w:t>05455</w:t>
      </w:r>
      <w:r>
        <w:rPr>
          <w:rFonts w:ascii="Palatino Linotype" w:hAnsi="Palatino Linotype" w:cs="Arial"/>
          <w:b/>
          <w:bCs/>
          <w:sz w:val="24"/>
          <w:lang w:eastAsia="es-MX"/>
        </w:rPr>
        <w:t>/</w:t>
      </w:r>
      <w:r w:rsidRPr="00F403EA">
        <w:rPr>
          <w:rFonts w:ascii="Palatino Linotype" w:hAnsi="Palatino Linotype" w:cs="Arial"/>
          <w:b/>
          <w:bCs/>
          <w:sz w:val="24"/>
          <w:lang w:eastAsia="es-MX"/>
        </w:rPr>
        <w:t>INFOEM/IP/RR/20</w:t>
      </w:r>
      <w:r>
        <w:rPr>
          <w:rFonts w:ascii="Palatino Linotype" w:hAnsi="Palatino Linotype" w:cs="Arial"/>
          <w:b/>
          <w:bCs/>
          <w:sz w:val="24"/>
          <w:lang w:eastAsia="es-MX"/>
        </w:rPr>
        <w:t>23</w:t>
      </w:r>
      <w:bookmarkEnd w:id="0"/>
      <w:r w:rsidRPr="00F403EA">
        <w:rPr>
          <w:rFonts w:ascii="Palatino Linotype" w:hAnsi="Palatino Linotype" w:cs="Arial"/>
          <w:sz w:val="24"/>
        </w:rPr>
        <w:t xml:space="preserve">, </w:t>
      </w:r>
      <w:r w:rsidRPr="00F403EA">
        <w:rPr>
          <w:rFonts w:ascii="Palatino Linotype" w:hAnsi="Palatino Linotype" w:cs="Arial"/>
          <w:sz w:val="24"/>
          <w:szCs w:val="24"/>
        </w:rPr>
        <w:t>interpuesto por</w:t>
      </w:r>
      <w:r>
        <w:rPr>
          <w:rFonts w:ascii="Palatino Linotype" w:hAnsi="Palatino Linotype" w:cs="Arial"/>
          <w:sz w:val="24"/>
          <w:szCs w:val="24"/>
        </w:rPr>
        <w:t xml:space="preserve"> </w:t>
      </w:r>
      <w:r w:rsidR="00F048D7">
        <w:rPr>
          <w:rFonts w:ascii="Palatino Linotype" w:hAnsi="Palatino Linotype" w:cs="Arial"/>
          <w:sz w:val="24"/>
          <w:szCs w:val="24"/>
        </w:rPr>
        <w:t xml:space="preserve">un particular, en lo sucesivo </w:t>
      </w:r>
      <w:r w:rsidR="00F048D7">
        <w:rPr>
          <w:rFonts w:ascii="Palatino Linotype" w:hAnsi="Palatino Linotype" w:cs="Arial"/>
          <w:b/>
          <w:bCs/>
          <w:sz w:val="24"/>
          <w:szCs w:val="24"/>
        </w:rPr>
        <w:t xml:space="preserve">El Recurrente, </w:t>
      </w:r>
      <w:r w:rsidR="00F048D7">
        <w:rPr>
          <w:rFonts w:ascii="Palatino Linotype" w:hAnsi="Palatino Linotype" w:cs="Arial"/>
          <w:sz w:val="24"/>
          <w:szCs w:val="24"/>
        </w:rPr>
        <w:t xml:space="preserve">en contra de la respuesta del </w:t>
      </w:r>
      <w:r w:rsidR="00F048D7">
        <w:rPr>
          <w:rFonts w:ascii="Palatino Linotype" w:hAnsi="Palatino Linotype" w:cs="Arial"/>
          <w:b/>
          <w:bCs/>
          <w:sz w:val="24"/>
          <w:szCs w:val="24"/>
        </w:rPr>
        <w:t xml:space="preserve">Ayuntamiento de Zinacantepec, </w:t>
      </w:r>
      <w:r w:rsidR="00F048D7">
        <w:rPr>
          <w:rFonts w:ascii="Palatino Linotype" w:hAnsi="Palatino Linotype" w:cs="Arial"/>
          <w:sz w:val="24"/>
          <w:szCs w:val="24"/>
        </w:rPr>
        <w:t xml:space="preserve">en lo subsecuente </w:t>
      </w:r>
      <w:r w:rsidR="00F048D7">
        <w:rPr>
          <w:rFonts w:ascii="Palatino Linotype" w:hAnsi="Palatino Linotype" w:cs="Arial"/>
          <w:b/>
          <w:bCs/>
          <w:sz w:val="24"/>
          <w:szCs w:val="24"/>
        </w:rPr>
        <w:t xml:space="preserve">El Sujeto Obligado, </w:t>
      </w:r>
      <w:r w:rsidR="00F048D7">
        <w:rPr>
          <w:rFonts w:ascii="Palatino Linotype" w:hAnsi="Palatino Linotype" w:cs="Arial"/>
          <w:sz w:val="24"/>
          <w:szCs w:val="24"/>
        </w:rPr>
        <w:t xml:space="preserve">se procede a dictar la presente resolución. </w:t>
      </w:r>
    </w:p>
    <w:p w14:paraId="0AC73ACD" w14:textId="77777777" w:rsidR="00F048D7" w:rsidRDefault="00F048D7" w:rsidP="00870B18">
      <w:pPr>
        <w:tabs>
          <w:tab w:val="left" w:pos="1701"/>
        </w:tabs>
        <w:spacing w:before="240" w:line="360" w:lineRule="auto"/>
        <w:jc w:val="both"/>
        <w:rPr>
          <w:rFonts w:ascii="Palatino Linotype" w:hAnsi="Palatino Linotype" w:cs="Arial"/>
          <w:sz w:val="24"/>
          <w:szCs w:val="24"/>
        </w:rPr>
      </w:pPr>
    </w:p>
    <w:p w14:paraId="51FDFCCD" w14:textId="1AF3433D" w:rsidR="00870B18" w:rsidRPr="00F205B9" w:rsidRDefault="00870B18" w:rsidP="00870B18">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7D82356" w14:textId="77777777" w:rsidR="00870B18" w:rsidRDefault="00870B18" w:rsidP="00870B18">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E5488B" w14:textId="3779D731" w:rsidR="009C2C81" w:rsidRPr="009C2C81" w:rsidRDefault="00870B18" w:rsidP="00870B18">
      <w:pPr>
        <w:spacing w:before="240" w:line="360" w:lineRule="auto"/>
        <w:jc w:val="both"/>
        <w:rPr>
          <w:rFonts w:ascii="Palatino Linotype" w:hAnsi="Palatino Linotype" w:cs="Arial"/>
          <w:sz w:val="24"/>
        </w:rPr>
      </w:pPr>
      <w:r>
        <w:rPr>
          <w:rFonts w:ascii="Palatino Linotype" w:hAnsi="Palatino Linotype" w:cs="Arial"/>
          <w:sz w:val="24"/>
        </w:rPr>
        <w:t>Con fecha</w:t>
      </w:r>
      <w:r w:rsidR="00F048D7">
        <w:rPr>
          <w:rFonts w:ascii="Palatino Linotype" w:hAnsi="Palatino Linotype" w:cs="Arial"/>
          <w:sz w:val="24"/>
        </w:rPr>
        <w:t xml:space="preserve"> </w:t>
      </w:r>
      <w:r w:rsidR="009C2C81">
        <w:rPr>
          <w:rFonts w:ascii="Palatino Linotype" w:hAnsi="Palatino Linotype" w:cs="Arial"/>
          <w:b/>
          <w:bCs/>
          <w:sz w:val="24"/>
        </w:rPr>
        <w:t xml:space="preserve">catorce de agosto de dos mil veintitrés, El Recurrente, </w:t>
      </w:r>
      <w:r w:rsidR="009C2C81">
        <w:rPr>
          <w:rFonts w:ascii="Palatino Linotype" w:hAnsi="Palatino Linotype" w:cs="Arial"/>
          <w:sz w:val="24"/>
        </w:rPr>
        <w:t>presentó a través del Sistema de Acceso a la Información Mexiquense (</w:t>
      </w:r>
      <w:r w:rsidR="009C2C81">
        <w:rPr>
          <w:rFonts w:ascii="Palatino Linotype" w:hAnsi="Palatino Linotype" w:cs="Arial"/>
          <w:b/>
          <w:sz w:val="24"/>
        </w:rPr>
        <w:t>SAIMEX)</w:t>
      </w:r>
      <w:r w:rsidR="009C2C81">
        <w:rPr>
          <w:rFonts w:ascii="Palatino Linotype" w:hAnsi="Palatino Linotype" w:cs="Arial"/>
          <w:sz w:val="24"/>
        </w:rPr>
        <w:t xml:space="preserve"> ante </w:t>
      </w:r>
      <w:r w:rsidR="009C2C81">
        <w:rPr>
          <w:rFonts w:ascii="Palatino Linotype" w:hAnsi="Palatino Linotype" w:cs="Arial"/>
          <w:b/>
          <w:sz w:val="24"/>
        </w:rPr>
        <w:t>El Sujeto Obligado</w:t>
      </w:r>
      <w:r w:rsidR="009C2C81">
        <w:rPr>
          <w:rFonts w:ascii="Palatino Linotype" w:hAnsi="Palatino Linotype" w:cs="Arial"/>
          <w:sz w:val="24"/>
        </w:rPr>
        <w:t xml:space="preserve">, solicitud de acceso a la información pública, registrada bajo el número de expediente </w:t>
      </w:r>
      <w:r w:rsidR="009C2C81">
        <w:rPr>
          <w:rFonts w:ascii="Palatino Linotype" w:hAnsi="Palatino Linotype" w:cs="Arial"/>
          <w:b/>
          <w:bCs/>
          <w:sz w:val="24"/>
        </w:rPr>
        <w:t xml:space="preserve">01182/ZINACANT/IP/2023, </w:t>
      </w:r>
      <w:r w:rsidR="009C2C81">
        <w:rPr>
          <w:rFonts w:ascii="Palatino Linotype" w:hAnsi="Palatino Linotype" w:cs="Arial"/>
          <w:sz w:val="24"/>
        </w:rPr>
        <w:t>mediante la cual solicitó información en el tenor siguiente:</w:t>
      </w:r>
    </w:p>
    <w:p w14:paraId="76FB2008" w14:textId="09258EB6" w:rsidR="009C2C81" w:rsidRPr="009C2C81" w:rsidRDefault="009C2C81" w:rsidP="009C2C81">
      <w:pPr>
        <w:pStyle w:val="Citas"/>
        <w:rPr>
          <w:b/>
          <w:bCs/>
          <w:sz w:val="24"/>
        </w:rPr>
      </w:pPr>
      <w:r>
        <w:t xml:space="preserve">“SOLICITO LOS PERMISOS DE FUNCIONAMIENTO DE LOCALES EMITIDOS DURANTE EL MES DE ENERO 2022 Y 2023” </w:t>
      </w:r>
      <w:r>
        <w:rPr>
          <w:b/>
          <w:bCs/>
        </w:rPr>
        <w:t>(Sic)</w:t>
      </w:r>
    </w:p>
    <w:p w14:paraId="3DFD50C0" w14:textId="77777777" w:rsidR="00870B18" w:rsidRDefault="00870B18"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417C8CB5" w14:textId="77777777" w:rsidR="0021546A" w:rsidRDefault="0021546A" w:rsidP="00870B18">
      <w:pPr>
        <w:spacing w:before="240" w:line="360" w:lineRule="auto"/>
        <w:jc w:val="both"/>
        <w:rPr>
          <w:rFonts w:ascii="Palatino Linotype" w:hAnsi="Palatino Linotype" w:cs="Arial"/>
          <w:b/>
          <w:sz w:val="28"/>
          <w:lang w:val="es-ES_tradnl"/>
        </w:rPr>
      </w:pPr>
    </w:p>
    <w:p w14:paraId="609B2597" w14:textId="377DF649" w:rsidR="00870B18" w:rsidRDefault="00FA10C0" w:rsidP="00870B18">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870B18">
        <w:rPr>
          <w:rFonts w:ascii="Palatino Linotype" w:hAnsi="Palatino Linotype" w:cs="Arial"/>
          <w:b/>
          <w:sz w:val="28"/>
        </w:rPr>
        <w:t xml:space="preserve">. </w:t>
      </w:r>
      <w:r w:rsidR="00870B18" w:rsidRPr="00165D6E">
        <w:rPr>
          <w:rFonts w:ascii="Palatino Linotype" w:hAnsi="Palatino Linotype" w:cs="Arial"/>
          <w:b/>
          <w:sz w:val="28"/>
          <w:szCs w:val="20"/>
        </w:rPr>
        <w:t xml:space="preserve">De la respuesta </w:t>
      </w:r>
      <w:r w:rsidR="00870B18">
        <w:rPr>
          <w:rFonts w:ascii="Palatino Linotype" w:hAnsi="Palatino Linotype" w:cs="Arial"/>
          <w:b/>
          <w:sz w:val="28"/>
          <w:szCs w:val="20"/>
        </w:rPr>
        <w:t>del Sujeto Obligado</w:t>
      </w:r>
      <w:r w:rsidR="00870B18" w:rsidRPr="00165D6E">
        <w:rPr>
          <w:rFonts w:ascii="Palatino Linotype" w:hAnsi="Palatino Linotype" w:cs="Arial"/>
          <w:b/>
          <w:sz w:val="28"/>
          <w:szCs w:val="20"/>
        </w:rPr>
        <w:t>.</w:t>
      </w:r>
    </w:p>
    <w:p w14:paraId="410016C1" w14:textId="67852A11" w:rsidR="009C2C81" w:rsidRDefault="00870B18" w:rsidP="00870B18">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w:t>
      </w:r>
      <w:r>
        <w:rPr>
          <w:rFonts w:ascii="Palatino Linotype" w:hAnsi="Palatino Linotype" w:cs="Arial"/>
          <w:sz w:val="24"/>
          <w:szCs w:val="24"/>
        </w:rPr>
        <w:t xml:space="preserve"> </w:t>
      </w:r>
      <w:r w:rsidR="009C2C81">
        <w:rPr>
          <w:rFonts w:ascii="Palatino Linotype" w:hAnsi="Palatino Linotype" w:cs="Arial"/>
          <w:sz w:val="24"/>
          <w:szCs w:val="24"/>
        </w:rPr>
        <w:t xml:space="preserve">cuatro de septiembre de dos mil veintitrés, </w:t>
      </w:r>
      <w:r w:rsidR="009C2C81">
        <w:rPr>
          <w:rFonts w:ascii="Palatino Linotype" w:hAnsi="Palatino Linotype" w:cs="Arial"/>
          <w:b/>
          <w:bCs/>
          <w:sz w:val="24"/>
          <w:szCs w:val="24"/>
        </w:rPr>
        <w:t xml:space="preserve">El Sujeto Obligado </w:t>
      </w:r>
      <w:r w:rsidR="009C2C81">
        <w:rPr>
          <w:rFonts w:ascii="Palatino Linotype" w:hAnsi="Palatino Linotype" w:cs="Arial"/>
          <w:sz w:val="24"/>
          <w:szCs w:val="24"/>
        </w:rPr>
        <w:t xml:space="preserve">dio respuesta a la solicitud de información </w:t>
      </w:r>
      <w:r w:rsidR="009C2C81">
        <w:rPr>
          <w:rFonts w:ascii="Palatino Linotype" w:hAnsi="Palatino Linotype" w:cs="Arial"/>
          <w:b/>
          <w:bCs/>
          <w:sz w:val="24"/>
          <w:szCs w:val="24"/>
        </w:rPr>
        <w:t xml:space="preserve">01182/ZINACANT/IP/2023, </w:t>
      </w:r>
      <w:r w:rsidR="009C2C81">
        <w:rPr>
          <w:rFonts w:ascii="Palatino Linotype" w:hAnsi="Palatino Linotype" w:cs="Arial"/>
          <w:sz w:val="24"/>
          <w:szCs w:val="24"/>
        </w:rPr>
        <w:t xml:space="preserve">resultando de nuestro interés lo siguiente: </w:t>
      </w:r>
    </w:p>
    <w:p w14:paraId="28421D24" w14:textId="308C5756" w:rsidR="009C2C81" w:rsidRDefault="009C2C81" w:rsidP="009C2C81">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3724B809" w14:textId="77105E9E" w:rsidR="009C2C81" w:rsidRPr="009C2C81" w:rsidRDefault="009C2C81" w:rsidP="009C2C81">
      <w:pPr>
        <w:pStyle w:val="Citas"/>
        <w:rPr>
          <w:b/>
          <w:bCs/>
          <w:sz w:val="24"/>
          <w:szCs w:val="24"/>
        </w:rPr>
      </w:pPr>
      <w: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001182/ZINACANT/IP/2023, recibida a través del Sistema SAIMEX, en donde se solicita textualmente lo siguiente: “SOLICITO LOS PERMISOS DE FUNCIONAMIENTO DE LOCALES EMITIDOS DURANTE EL MES DE ENERO 2022 Y 2023.” (sic). En apego a lo establecido su solicitud fue analizada y turnada al área poseedora de la información, en este caso a la Dirección de Desarrollo Económico,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w:t>
      </w:r>
      <w:r>
        <w:lastRenderedPageBreak/>
        <w:t xml:space="preserve">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Pr>
          <w:b/>
          <w:bCs/>
        </w:rPr>
        <w:t>(Sic)</w:t>
      </w:r>
    </w:p>
    <w:p w14:paraId="2FFC8400" w14:textId="77777777" w:rsidR="009C2C81" w:rsidRDefault="009C2C81" w:rsidP="00870B18">
      <w:pPr>
        <w:spacing w:before="240" w:line="360" w:lineRule="auto"/>
        <w:jc w:val="both"/>
        <w:rPr>
          <w:rFonts w:ascii="Palatino Linotype" w:hAnsi="Palatino Linotype" w:cs="Arial"/>
          <w:sz w:val="24"/>
          <w:szCs w:val="24"/>
        </w:rPr>
      </w:pPr>
    </w:p>
    <w:p w14:paraId="19CC7888" w14:textId="009ADEA6" w:rsidR="00FA10C0" w:rsidRPr="00FA10C0" w:rsidRDefault="00870B18" w:rsidP="00870B1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w:t>
      </w:r>
      <w:r w:rsidR="009C2C81">
        <w:rPr>
          <w:rFonts w:ascii="Palatino Linotype" w:hAnsi="Palatino Linotype" w:cs="Arial"/>
          <w:b/>
          <w:bCs/>
          <w:sz w:val="24"/>
          <w:szCs w:val="24"/>
        </w:rPr>
        <w:t xml:space="preserve">ZIN DDE 0505 2023.pdf”, </w:t>
      </w:r>
      <w:r w:rsidR="00FA10C0">
        <w:rPr>
          <w:rFonts w:ascii="Palatino Linotype" w:hAnsi="Palatino Linotype" w:cs="Arial"/>
          <w:sz w:val="24"/>
          <w:szCs w:val="24"/>
        </w:rPr>
        <w:t xml:space="preserve">cuyo contenido se tiene por reproducido como si a la letra se insertase en virtud de que será materia de análisis en el considerando respectivo. </w:t>
      </w:r>
    </w:p>
    <w:p w14:paraId="20C563D0" w14:textId="77777777" w:rsidR="00FA10C0" w:rsidRDefault="00FA10C0" w:rsidP="00870B18">
      <w:pPr>
        <w:spacing w:before="240" w:line="360" w:lineRule="auto"/>
        <w:jc w:val="both"/>
        <w:rPr>
          <w:rFonts w:ascii="Palatino Linotype" w:hAnsi="Palatino Linotype" w:cs="Arial"/>
          <w:b/>
          <w:bCs/>
          <w:sz w:val="24"/>
          <w:szCs w:val="24"/>
        </w:rPr>
      </w:pPr>
    </w:p>
    <w:p w14:paraId="2F3F8225" w14:textId="781E194D" w:rsidR="00870B18" w:rsidRDefault="00FA10C0" w:rsidP="00870B18">
      <w:pPr>
        <w:spacing w:before="240" w:line="360" w:lineRule="auto"/>
        <w:jc w:val="both"/>
        <w:rPr>
          <w:rFonts w:ascii="Palatino Linotype" w:hAnsi="Palatino Linotype" w:cs="Arial"/>
          <w:b/>
          <w:sz w:val="28"/>
        </w:rPr>
      </w:pPr>
      <w:r>
        <w:rPr>
          <w:rFonts w:ascii="Palatino Linotype" w:hAnsi="Palatino Linotype" w:cs="Arial"/>
          <w:b/>
          <w:sz w:val="28"/>
        </w:rPr>
        <w:t>TERCERO</w:t>
      </w:r>
      <w:r w:rsidR="00870B18">
        <w:rPr>
          <w:rFonts w:ascii="Palatino Linotype" w:hAnsi="Palatino Linotype" w:cs="Arial"/>
          <w:b/>
          <w:sz w:val="28"/>
        </w:rPr>
        <w:t xml:space="preserve">. </w:t>
      </w:r>
      <w:r w:rsidR="00870B18">
        <w:rPr>
          <w:rFonts w:ascii="Palatino Linotype" w:hAnsi="Palatino Linotype"/>
          <w:b/>
          <w:sz w:val="28"/>
        </w:rPr>
        <w:t>Del recurso de revisión.</w:t>
      </w:r>
    </w:p>
    <w:p w14:paraId="46795421" w14:textId="644DD58E" w:rsidR="00FA10C0" w:rsidRPr="00FA10C0" w:rsidRDefault="00870B18" w:rsidP="00870B18">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Pr="008B42B1">
        <w:rPr>
          <w:rFonts w:ascii="Palatino Linotype" w:hAnsi="Palatino Linotype" w:cs="Arial"/>
          <w:b/>
          <w:sz w:val="24"/>
          <w:szCs w:val="24"/>
        </w:rPr>
        <w:t xml:space="preserve">El Sujeto Obligado, </w:t>
      </w:r>
      <w:r>
        <w:rPr>
          <w:rFonts w:ascii="Palatino Linotype" w:hAnsi="Palatino Linotype" w:cs="Arial"/>
          <w:b/>
          <w:sz w:val="24"/>
          <w:szCs w:val="24"/>
        </w:rPr>
        <w:t xml:space="preserve">El Recurrente </w:t>
      </w:r>
      <w:r>
        <w:rPr>
          <w:rFonts w:ascii="Palatino Linotype" w:hAnsi="Palatino Linotype" w:cs="Arial"/>
          <w:bCs/>
          <w:sz w:val="24"/>
          <w:szCs w:val="24"/>
        </w:rPr>
        <w:t xml:space="preserve">interpuso el recurso de revisión, en fecha </w:t>
      </w:r>
      <w:r w:rsidR="009C2C81">
        <w:rPr>
          <w:rFonts w:ascii="Palatino Linotype" w:hAnsi="Palatino Linotype" w:cs="Arial"/>
          <w:b/>
          <w:sz w:val="24"/>
          <w:szCs w:val="24"/>
        </w:rPr>
        <w:t xml:space="preserve">cinco de septiembre de dos mil veintitrés, </w:t>
      </w:r>
      <w:r w:rsidR="009C2C81">
        <w:rPr>
          <w:rFonts w:ascii="Palatino Linotype" w:hAnsi="Palatino Linotype" w:cs="Arial"/>
          <w:bCs/>
          <w:sz w:val="24"/>
          <w:szCs w:val="24"/>
        </w:rPr>
        <w:t xml:space="preserve">el cual fue registrado en el sistema electrónico con el expediente </w:t>
      </w:r>
      <w:r w:rsidR="009C2C81">
        <w:rPr>
          <w:rFonts w:ascii="Palatino Linotype" w:hAnsi="Palatino Linotype" w:cs="Arial"/>
          <w:b/>
          <w:sz w:val="24"/>
          <w:szCs w:val="24"/>
        </w:rPr>
        <w:t xml:space="preserve">05455/INFOEM/IP/RR/2023, </w:t>
      </w:r>
      <w:r w:rsidR="00FA10C0">
        <w:rPr>
          <w:rFonts w:ascii="Palatino Linotype" w:hAnsi="Palatino Linotype" w:cs="Arial"/>
          <w:bCs/>
          <w:sz w:val="24"/>
          <w:szCs w:val="24"/>
        </w:rPr>
        <w:t xml:space="preserve">en el cual arguye las siguientes manifestaciones: </w:t>
      </w:r>
    </w:p>
    <w:p w14:paraId="22BB7FF0" w14:textId="77777777" w:rsidR="00870B18" w:rsidRDefault="00870B18" w:rsidP="00870B18">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E27E066" w14:textId="15D2006B" w:rsidR="00870B18" w:rsidRPr="003406C5" w:rsidRDefault="00870B18" w:rsidP="00870B18">
      <w:pPr>
        <w:pStyle w:val="Citas"/>
        <w:rPr>
          <w:b/>
          <w:bCs/>
          <w:sz w:val="24"/>
        </w:rPr>
      </w:pPr>
      <w:r w:rsidRPr="009C2C81">
        <w:t>“</w:t>
      </w:r>
      <w:r w:rsidR="009C2C81" w:rsidRPr="009C2C81">
        <w:t>NO ENTREGA INFORMACIÓN</w:t>
      </w:r>
      <w:r w:rsidR="005C5860" w:rsidRPr="009C2C81">
        <w:t>”</w:t>
      </w:r>
      <w:r>
        <w:t xml:space="preserve"> </w:t>
      </w:r>
      <w:r>
        <w:rPr>
          <w:b/>
          <w:bCs/>
        </w:rPr>
        <w:t>(Sic)</w:t>
      </w:r>
    </w:p>
    <w:p w14:paraId="2AD8641A" w14:textId="77777777" w:rsidR="00870B18" w:rsidRDefault="00870B18" w:rsidP="00870B18">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A84F204" w14:textId="34A72D8C" w:rsidR="00870B18" w:rsidRPr="003406C5" w:rsidRDefault="00870B18" w:rsidP="00870B18">
      <w:pPr>
        <w:pStyle w:val="Citas"/>
        <w:rPr>
          <w:b/>
          <w:bCs/>
        </w:rPr>
      </w:pPr>
      <w:r w:rsidRPr="009C2C81">
        <w:lastRenderedPageBreak/>
        <w:t>“</w:t>
      </w:r>
      <w:r w:rsidR="009C2C81" w:rsidRPr="009C2C81">
        <w:t>A ENTONCES NO HAY CONTROL O QUE</w:t>
      </w:r>
      <w:r w:rsidRPr="009C2C81">
        <w:t>”</w:t>
      </w:r>
      <w:r>
        <w:t xml:space="preserve"> </w:t>
      </w:r>
      <w:r>
        <w:rPr>
          <w:b/>
          <w:bCs/>
        </w:rPr>
        <w:t>(Sic)</w:t>
      </w:r>
    </w:p>
    <w:p w14:paraId="608F4AEF" w14:textId="77777777" w:rsidR="009C2C81" w:rsidRDefault="009C2C81" w:rsidP="00870B18">
      <w:pPr>
        <w:spacing w:before="240" w:line="360" w:lineRule="auto"/>
        <w:jc w:val="both"/>
        <w:rPr>
          <w:rFonts w:ascii="Palatino Linotype" w:hAnsi="Palatino Linotype" w:cs="Arial"/>
          <w:b/>
          <w:sz w:val="28"/>
        </w:rPr>
      </w:pPr>
    </w:p>
    <w:p w14:paraId="25E4EEBD" w14:textId="743A9D5F" w:rsidR="00870B18" w:rsidRDefault="00FA10C0" w:rsidP="00870B18">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870B18" w:rsidRPr="008551ED">
        <w:rPr>
          <w:rFonts w:ascii="Palatino Linotype" w:hAnsi="Palatino Linotype" w:cs="Arial"/>
          <w:b/>
          <w:sz w:val="24"/>
          <w:szCs w:val="24"/>
        </w:rPr>
        <w:t xml:space="preserve">. </w:t>
      </w:r>
      <w:r w:rsidR="00870B18" w:rsidRPr="0087163A">
        <w:rPr>
          <w:rFonts w:ascii="Palatino Linotype" w:hAnsi="Palatino Linotype" w:cs="Arial"/>
          <w:b/>
          <w:sz w:val="28"/>
          <w:szCs w:val="28"/>
        </w:rPr>
        <w:t>Del turno del recurso de revisión.</w:t>
      </w:r>
    </w:p>
    <w:p w14:paraId="5AA789FF" w14:textId="2A5D370C" w:rsidR="00870B18" w:rsidRDefault="00870B18" w:rsidP="00870B1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José Martínez Vilchis</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9C2C81">
        <w:rPr>
          <w:rFonts w:ascii="Palatino Linotype" w:hAnsi="Palatino Linotype" w:cs="Arial"/>
          <w:b/>
          <w:bCs/>
          <w:sz w:val="24"/>
          <w:szCs w:val="24"/>
        </w:rPr>
        <w:t xml:space="preserve">siete de septiembre del presente, </w:t>
      </w:r>
      <w:r>
        <w:rPr>
          <w:rFonts w:ascii="Palatino Linotype" w:hAnsi="Palatino Linotype" w:cs="Arial"/>
          <w:sz w:val="24"/>
          <w:szCs w:val="24"/>
        </w:rPr>
        <w:t>determinándose en él, un plazo de siete días para que las partes manifestaran lo que a su derecho corresponda en términos del numeral ya citado.</w:t>
      </w:r>
    </w:p>
    <w:p w14:paraId="6865E476" w14:textId="77777777" w:rsidR="00870B18" w:rsidRDefault="00870B18" w:rsidP="00870B18">
      <w:pPr>
        <w:spacing w:before="240" w:line="360" w:lineRule="auto"/>
        <w:jc w:val="both"/>
        <w:rPr>
          <w:rFonts w:ascii="Palatino Linotype" w:hAnsi="Palatino Linotype" w:cs="Arial"/>
          <w:sz w:val="24"/>
          <w:szCs w:val="24"/>
        </w:rPr>
      </w:pPr>
    </w:p>
    <w:p w14:paraId="27FA6121" w14:textId="6F3B0C75" w:rsidR="00870B18" w:rsidRPr="00B07D6D" w:rsidRDefault="001F2130" w:rsidP="00870B1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870B18" w:rsidRPr="00B07D6D">
        <w:rPr>
          <w:rFonts w:ascii="Palatino Linotype" w:hAnsi="Palatino Linotype" w:cs="Arial"/>
          <w:b/>
          <w:sz w:val="24"/>
          <w:szCs w:val="24"/>
        </w:rPr>
        <w:t xml:space="preserve">. </w:t>
      </w:r>
      <w:r w:rsidR="00870B18" w:rsidRPr="00B07D6D">
        <w:rPr>
          <w:rFonts w:ascii="Palatino Linotype" w:hAnsi="Palatino Linotype" w:cs="Arial"/>
          <w:b/>
          <w:sz w:val="28"/>
          <w:szCs w:val="28"/>
        </w:rPr>
        <w:t>De la etapa de instrucción.</w:t>
      </w:r>
    </w:p>
    <w:p w14:paraId="25D2B184" w14:textId="127117FD" w:rsidR="00F42452" w:rsidRPr="00F42452" w:rsidRDefault="00870B18" w:rsidP="00870B18">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D36C02">
        <w:rPr>
          <w:rFonts w:ascii="Palatino Linotype" w:hAnsi="Palatino Linotype" w:cs="Arial"/>
          <w:bCs/>
          <w:sz w:val="24"/>
          <w:szCs w:val="24"/>
        </w:rPr>
        <w:t xml:space="preserve">fue omiso en rendir su informe justificado. </w:t>
      </w:r>
      <w:r w:rsidR="00F42452">
        <w:rPr>
          <w:rFonts w:ascii="Palatino Linotype" w:hAnsi="Palatino Linotype" w:cs="Arial"/>
          <w:b/>
          <w:sz w:val="24"/>
          <w:szCs w:val="24"/>
        </w:rPr>
        <w:t xml:space="preserve"> </w:t>
      </w:r>
    </w:p>
    <w:p w14:paraId="2E1E5F8A" w14:textId="16C60E41" w:rsidR="00870B18" w:rsidRDefault="00F42452" w:rsidP="00870B18">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9C2C81">
        <w:rPr>
          <w:rFonts w:ascii="Palatino Linotype" w:hAnsi="Palatino Linotype" w:cs="Arial"/>
          <w:b/>
          <w:sz w:val="24"/>
          <w:szCs w:val="24"/>
        </w:rPr>
        <w:t xml:space="preserve">diecinueve de septiembre de dos mil veintitrés, </w:t>
      </w:r>
      <w:r w:rsidR="00870B18" w:rsidRPr="00E008E2">
        <w:rPr>
          <w:rFonts w:ascii="Palatino Linotype" w:hAnsi="Palatino Linotype" w:cs="Arial"/>
          <w:bCs/>
          <w:sz w:val="24"/>
          <w:szCs w:val="24"/>
        </w:rPr>
        <w:t>e</w:t>
      </w:r>
      <w:r w:rsidR="00870B18"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A6651AF" w14:textId="77777777" w:rsidR="00D36C02" w:rsidRDefault="00D36C02" w:rsidP="00870B18">
      <w:pPr>
        <w:spacing w:before="240" w:line="360" w:lineRule="auto"/>
        <w:jc w:val="center"/>
        <w:rPr>
          <w:rFonts w:ascii="Palatino Linotype" w:hAnsi="Palatino Linotype" w:cs="Arial"/>
          <w:b/>
          <w:sz w:val="24"/>
        </w:rPr>
      </w:pPr>
    </w:p>
    <w:p w14:paraId="34D2D0F1" w14:textId="026CFE59" w:rsidR="00870B18" w:rsidRDefault="00870B18" w:rsidP="00870B18">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16A675B6" w14:textId="77777777" w:rsidR="00870B18" w:rsidRDefault="00870B18" w:rsidP="00870B18">
      <w:pPr>
        <w:spacing w:before="240" w:line="360" w:lineRule="auto"/>
        <w:jc w:val="both"/>
        <w:rPr>
          <w:rFonts w:ascii="Palatino Linotype" w:hAnsi="Palatino Linotype" w:cs="Arial"/>
          <w:sz w:val="24"/>
        </w:rPr>
      </w:pPr>
      <w:r w:rsidRPr="00C43323">
        <w:rPr>
          <w:rFonts w:ascii="Palatino Linotype" w:hAnsi="Palatino Linotype" w:cs="Arial"/>
          <w:b/>
          <w:sz w:val="28"/>
        </w:rPr>
        <w:lastRenderedPageBreak/>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466346EA" w14:textId="77777777" w:rsidR="009C2C81" w:rsidRDefault="009C2C81" w:rsidP="009C2C81">
      <w:pPr>
        <w:spacing w:before="240" w:line="360" w:lineRule="auto"/>
        <w:jc w:val="both"/>
        <w:rPr>
          <w:rFonts w:ascii="Palatino Linotype" w:eastAsia="Calibri" w:hAnsi="Palatino Linotype" w:cs="Arial"/>
          <w:bCs/>
          <w:color w:val="000000" w:themeColor="text1"/>
          <w:sz w:val="24"/>
          <w:szCs w:val="24"/>
        </w:rPr>
      </w:pPr>
      <w:r>
        <w:rPr>
          <w:rFonts w:ascii="Palatino Linotype" w:eastAsia="Calibri" w:hAnsi="Palatino Linotype" w:cs="Arial"/>
          <w:bCs/>
          <w:color w:val="000000" w:themeColor="text1"/>
          <w:sz w:val="24"/>
          <w:szCs w:val="24"/>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8CE266D" w14:textId="77777777" w:rsidR="009C2C81" w:rsidRDefault="009C2C81" w:rsidP="00870B1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E4610B4" w14:textId="325866A4"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0FB8842" w14:textId="77777777" w:rsidR="00870B18"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245D2A8" w14:textId="77777777" w:rsidR="005C5860" w:rsidRPr="00161CEB" w:rsidRDefault="005C5860" w:rsidP="005C586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lastRenderedPageBreak/>
        <w:t>TERCERO. Cuestiones de previo y especial pronunciamiento</w:t>
      </w:r>
      <w:r w:rsidRPr="00161CEB">
        <w:rPr>
          <w:rFonts w:ascii="Palatino Linotype" w:hAnsi="Palatino Linotype" w:cs="Arial"/>
          <w:b/>
        </w:rPr>
        <w:t>.</w:t>
      </w:r>
    </w:p>
    <w:p w14:paraId="4BAF2530" w14:textId="77777777" w:rsidR="005C5860" w:rsidRPr="00187D70" w:rsidRDefault="005C5860" w:rsidP="005C5860">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9327816"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40359FB6"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643CDA0A"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D859212"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5841673F"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022CA41"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31B60ECF"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3062E3F5"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CCFEFCA"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302F04A8"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16D26691" w14:textId="77777777" w:rsidR="005C5860" w:rsidRPr="00187D70" w:rsidRDefault="005C5860" w:rsidP="005C5860">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20B591BC" w14:textId="77777777" w:rsidR="005C5860" w:rsidRPr="009B74C2" w:rsidRDefault="005C5860" w:rsidP="005C5860">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70A49097" w14:textId="77777777" w:rsidR="005C5860" w:rsidRPr="00187D70" w:rsidRDefault="005C5860" w:rsidP="005C5860">
      <w:pPr>
        <w:spacing w:after="0" w:line="360" w:lineRule="auto"/>
        <w:jc w:val="both"/>
        <w:rPr>
          <w:rFonts w:ascii="Palatino Linotype" w:eastAsia="Times New Roman" w:hAnsi="Palatino Linotype" w:cs="Arial"/>
          <w:b/>
          <w:i/>
          <w:sz w:val="24"/>
          <w:szCs w:val="24"/>
          <w:lang w:eastAsia="es-ES"/>
        </w:rPr>
      </w:pPr>
    </w:p>
    <w:p w14:paraId="744BF301" w14:textId="77777777" w:rsidR="005C5860" w:rsidRPr="00187D70" w:rsidRDefault="005C5860" w:rsidP="005C5860">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0B65AD6" w14:textId="77777777" w:rsidR="005C5860" w:rsidRDefault="005C5860" w:rsidP="005C5860">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0EC785C2" w14:textId="77777777" w:rsidR="005C5860" w:rsidRPr="009B74C2" w:rsidRDefault="005C5860" w:rsidP="005C5860">
      <w:pPr>
        <w:spacing w:before="240" w:line="360" w:lineRule="auto"/>
        <w:ind w:left="851" w:right="851"/>
        <w:jc w:val="both"/>
        <w:rPr>
          <w:rFonts w:ascii="Palatino Linotype" w:hAnsi="Palatino Linotype" w:cs="Arial"/>
          <w:b/>
          <w:i/>
          <w:lang w:val="es-ES" w:eastAsia="es-ES"/>
        </w:rPr>
      </w:pPr>
    </w:p>
    <w:p w14:paraId="176317EE" w14:textId="77777777" w:rsidR="005C5860" w:rsidRDefault="005C5860" w:rsidP="005C5860">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4F99BEA1" w14:textId="77777777" w:rsidR="005C5860" w:rsidRPr="00187D70" w:rsidRDefault="005C5860" w:rsidP="005C5860">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58331708"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B076101"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52127B3"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03FCCAAF"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3F84816"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6F2236C"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0245BF41" w14:textId="77777777" w:rsidR="005C5860" w:rsidRDefault="005C5860" w:rsidP="005C5860">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8C6CBFF" w14:textId="77777777" w:rsidR="005C5860" w:rsidRPr="00E71AB2" w:rsidRDefault="005C5860" w:rsidP="005C5860">
      <w:pPr>
        <w:spacing w:before="240" w:line="360" w:lineRule="auto"/>
        <w:ind w:left="851" w:right="851"/>
        <w:jc w:val="both"/>
        <w:rPr>
          <w:rFonts w:ascii="Palatino Linotype" w:eastAsia="Times New Roman" w:hAnsi="Palatino Linotype" w:cs="Times New Roman"/>
          <w:b/>
          <w:i/>
          <w:lang w:val="es-ES" w:eastAsia="es-ES"/>
        </w:rPr>
      </w:pPr>
    </w:p>
    <w:p w14:paraId="0D8CD600" w14:textId="77777777" w:rsidR="005C5860" w:rsidRPr="00187D70" w:rsidRDefault="005C5860" w:rsidP="005C5860">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EFA78BE"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187D70">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9F6FA73"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2F2D722"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9340686"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BEB0DFB"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3844515"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5AE383"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DD6EADD"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8FCE4B1"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18DE5449" w14:textId="77777777" w:rsidR="005C5860" w:rsidRPr="00187D70"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4544345" w14:textId="77777777" w:rsidR="005C5860" w:rsidRPr="009B74C2" w:rsidRDefault="005C5860" w:rsidP="005C5860">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4FA5843C" w14:textId="77777777" w:rsidR="005C5860" w:rsidRDefault="005C5860" w:rsidP="005C5860">
      <w:pPr>
        <w:spacing w:after="0" w:line="360" w:lineRule="auto"/>
        <w:jc w:val="both"/>
        <w:rPr>
          <w:rFonts w:ascii="Palatino Linotype" w:eastAsia="Times New Roman" w:hAnsi="Palatino Linotype" w:cs="Times New Roman"/>
          <w:sz w:val="24"/>
          <w:szCs w:val="24"/>
          <w:lang w:val="es-ES" w:eastAsia="es-ES"/>
        </w:rPr>
      </w:pPr>
    </w:p>
    <w:p w14:paraId="1BCEC74B" w14:textId="77777777" w:rsidR="005C5860" w:rsidRPr="00187D70" w:rsidRDefault="005C5860" w:rsidP="005C5860">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6C04563" w14:textId="77777777" w:rsidR="005C5860" w:rsidRPr="00187D70" w:rsidRDefault="005C5860" w:rsidP="005C5860">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932C931" w14:textId="77777777" w:rsidR="005C5860" w:rsidRPr="00187D70" w:rsidRDefault="005C5860" w:rsidP="005C5860">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C5D6206" w14:textId="77777777" w:rsidR="005C5860" w:rsidRPr="009B74C2" w:rsidRDefault="005C5860" w:rsidP="005C5860">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15865886" w14:textId="77777777" w:rsidR="005C5860" w:rsidRDefault="005C5860" w:rsidP="005C5860">
      <w:pPr>
        <w:pStyle w:val="Prrafodelista"/>
        <w:autoSpaceDE w:val="0"/>
        <w:autoSpaceDN w:val="0"/>
        <w:adjustRightInd w:val="0"/>
        <w:spacing w:before="240" w:after="160" w:line="360" w:lineRule="auto"/>
        <w:ind w:left="0"/>
        <w:jc w:val="both"/>
        <w:rPr>
          <w:rFonts w:ascii="Palatino Linotype" w:hAnsi="Palatino Linotype"/>
        </w:rPr>
      </w:pPr>
    </w:p>
    <w:p w14:paraId="5DFEC613" w14:textId="77777777" w:rsidR="005C5860" w:rsidRDefault="005C5860" w:rsidP="005C586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87D70">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hAnsi="Palatino Linotype"/>
          <w:b/>
          <w:u w:val="single"/>
        </w:rPr>
        <w:t>incluso, la solicitud de acceso a la información pueda ser anónima</w:t>
      </w:r>
      <w:r w:rsidRPr="00187D70">
        <w:rPr>
          <w:rFonts w:ascii="Palatino Linotype" w:hAnsi="Palatino Linotype"/>
        </w:rPr>
        <w:t xml:space="preserve"> o no contener un nombre que identifique al solicitante o que permita tener certeza sobre su identidad.</w:t>
      </w:r>
      <w:r>
        <w:rPr>
          <w:rFonts w:ascii="Palatino Linotype" w:hAnsi="Palatino Linotype"/>
        </w:rPr>
        <w:t xml:space="preserve"> </w:t>
      </w:r>
      <w:r w:rsidRPr="009A0C69">
        <w:rPr>
          <w:rFonts w:ascii="Palatino Linotype" w:hAnsi="Palatino Linotype" w:cs="Arial"/>
        </w:rPr>
        <w:t>En conclusión, se cubrieron los requisitos de procedencia y procedibilidad y conforme a las constancias que obran en el expediente.</w:t>
      </w:r>
    </w:p>
    <w:p w14:paraId="1201A5FD" w14:textId="77777777" w:rsidR="005C5860" w:rsidRPr="00C07D77" w:rsidRDefault="005C5860" w:rsidP="005C5860">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6449A1A4" w14:textId="77777777" w:rsidR="005C5860" w:rsidRDefault="005C5860" w:rsidP="005C586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w:t>
      </w:r>
      <w:r>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77CAFC66" w14:textId="77777777" w:rsidR="005C5860" w:rsidRDefault="005C5860" w:rsidP="005C586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4141BD81" w14:textId="77777777" w:rsidR="005C5860" w:rsidRDefault="005C5860" w:rsidP="005C5860">
      <w:pPr>
        <w:tabs>
          <w:tab w:val="left" w:pos="709"/>
        </w:tabs>
        <w:spacing w:before="240" w:line="360" w:lineRule="auto"/>
        <w:ind w:right="51"/>
        <w:jc w:val="both"/>
        <w:rPr>
          <w:rFonts w:ascii="Palatino Linotype" w:hAnsi="Palatino Linotype"/>
          <w:b/>
          <w:sz w:val="28"/>
          <w:szCs w:val="28"/>
          <w:lang w:val="es-ES"/>
        </w:rPr>
      </w:pPr>
    </w:p>
    <w:p w14:paraId="1034D210" w14:textId="77777777" w:rsidR="00154C5F" w:rsidRPr="009A0D0A" w:rsidRDefault="00154C5F" w:rsidP="00154C5F">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556B5846" w14:textId="77777777" w:rsidR="00154C5F"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2265292" w14:textId="77777777" w:rsidR="00154C5F" w:rsidRPr="002869E1" w:rsidRDefault="00154C5F" w:rsidP="00154C5F">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33A560C"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03EE3D"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778DF"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0244CD45"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48383C5"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462DCC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FBCC8B0" w14:textId="77777777" w:rsidR="00154C5F" w:rsidRPr="006010FE" w:rsidRDefault="00154C5F" w:rsidP="00154C5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486BCE3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AD322B7"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0E7C7A8"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6E35791" w14:textId="77777777" w:rsidR="00154C5F" w:rsidRPr="006010FE" w:rsidRDefault="00154C5F" w:rsidP="00154C5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A31FDB" w14:textId="77777777" w:rsidR="00154C5F" w:rsidRPr="006E4CCA" w:rsidRDefault="00154C5F" w:rsidP="00154C5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4F09E7A7" w14:textId="77777777" w:rsidR="00154C5F" w:rsidRDefault="00154C5F" w:rsidP="00154C5F">
      <w:pPr>
        <w:spacing w:after="0" w:line="360" w:lineRule="auto"/>
        <w:jc w:val="both"/>
        <w:rPr>
          <w:rFonts w:ascii="Palatino Linotype" w:eastAsia="Times New Roman" w:hAnsi="Palatino Linotype" w:cs="Times New Roman"/>
          <w:sz w:val="24"/>
          <w:szCs w:val="24"/>
          <w:lang w:eastAsia="es-ES"/>
        </w:rPr>
      </w:pPr>
    </w:p>
    <w:p w14:paraId="4A08DC5E" w14:textId="77777777" w:rsidR="00154C5F" w:rsidRPr="006010FE" w:rsidRDefault="00154C5F" w:rsidP="00154C5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0FACECD" w14:textId="77777777" w:rsidR="00154C5F" w:rsidRDefault="00154C5F" w:rsidP="00154C5F">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71C1A91" w14:textId="5C33D968" w:rsidR="00BE3339" w:rsidRDefault="00BE3339" w:rsidP="00BE3339">
      <w:pPr>
        <w:pStyle w:val="Citas"/>
        <w:rPr>
          <w:b/>
        </w:rPr>
      </w:pPr>
    </w:p>
    <w:p w14:paraId="0AA8C207" w14:textId="59921205" w:rsidR="005C5860" w:rsidRDefault="00F42452" w:rsidP="00F42452">
      <w:pPr>
        <w:spacing w:before="240" w:line="360" w:lineRule="auto"/>
        <w:jc w:val="both"/>
        <w:rPr>
          <w:rFonts w:ascii="Palatino Linotype" w:hAnsi="Palatino Linotype" w:cs="Arial"/>
          <w:sz w:val="24"/>
          <w:szCs w:val="24"/>
        </w:rPr>
      </w:pPr>
      <w:r w:rsidRPr="00A279CF">
        <w:rPr>
          <w:rFonts w:ascii="Palatino Linotype" w:hAnsi="Palatino Linotype"/>
          <w:sz w:val="24"/>
          <w:szCs w:val="24"/>
        </w:rPr>
        <w:t xml:space="preserve">Una vez sentado lo anterior, </w:t>
      </w:r>
      <w:r>
        <w:rPr>
          <w:rFonts w:ascii="Palatino Linotype" w:hAnsi="Palatino Linotype" w:cs="Arial"/>
          <w:sz w:val="24"/>
          <w:szCs w:val="24"/>
        </w:rPr>
        <w:t xml:space="preserve">de una interpretación </w:t>
      </w:r>
      <w:r w:rsidR="00C15C47">
        <w:rPr>
          <w:rFonts w:ascii="Palatino Linotype" w:hAnsi="Palatino Linotype" w:cs="Arial"/>
          <w:sz w:val="24"/>
          <w:szCs w:val="24"/>
        </w:rPr>
        <w:t xml:space="preserve">literal a la solicitud de información </w:t>
      </w:r>
      <w:r w:rsidR="009C2C81">
        <w:rPr>
          <w:rFonts w:ascii="Palatino Linotype" w:hAnsi="Palatino Linotype" w:cs="Arial"/>
          <w:b/>
          <w:bCs/>
          <w:sz w:val="24"/>
          <w:szCs w:val="24"/>
        </w:rPr>
        <w:t>01182</w:t>
      </w:r>
      <w:r w:rsidR="005C5860">
        <w:rPr>
          <w:rFonts w:ascii="Palatino Linotype" w:hAnsi="Palatino Linotype" w:cs="Arial"/>
          <w:b/>
          <w:bCs/>
          <w:sz w:val="24"/>
          <w:szCs w:val="24"/>
        </w:rPr>
        <w:t xml:space="preserve">/ZINACANT/IP/2023, </w:t>
      </w:r>
      <w:r w:rsidR="005C5860">
        <w:rPr>
          <w:rFonts w:ascii="Palatino Linotype" w:hAnsi="Palatino Linotype" w:cs="Arial"/>
          <w:sz w:val="24"/>
          <w:szCs w:val="24"/>
        </w:rPr>
        <w:t xml:space="preserve">se desprenden las siguientes consideraciones: </w:t>
      </w:r>
    </w:p>
    <w:p w14:paraId="0BE3FD43" w14:textId="77777777" w:rsidR="00B27F33" w:rsidRPr="00690743" w:rsidRDefault="005C5860" w:rsidP="00B27F33">
      <w:pPr>
        <w:pStyle w:val="Prrafodelista"/>
        <w:numPr>
          <w:ilvl w:val="0"/>
          <w:numId w:val="29"/>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w:t>
      </w:r>
      <w:r w:rsidR="00B27F33">
        <w:rPr>
          <w:rFonts w:ascii="Palatino Linotype" w:hAnsi="Palatino Linotype" w:cs="Arial"/>
        </w:rPr>
        <w:t xml:space="preserve">derecho de acceso a la información pública estriba en la prerrogativa de carácter constitucional que reconoce la potestad de los ciudadanos para solicitar soportes documentales generados, poseídos o administrados por los </w:t>
      </w:r>
      <w:r w:rsidR="00B27F33">
        <w:rPr>
          <w:rFonts w:ascii="Palatino Linotype" w:hAnsi="Palatino Linotype" w:cs="Arial"/>
          <w:b/>
          <w:bCs/>
        </w:rPr>
        <w:t>Sujetos Obligados.</w:t>
      </w:r>
    </w:p>
    <w:p w14:paraId="0DBDEA96" w14:textId="2B05FF36" w:rsidR="009C2C81" w:rsidRDefault="00B27F33" w:rsidP="005C5860">
      <w:pPr>
        <w:pStyle w:val="Prrafodelista"/>
        <w:numPr>
          <w:ilvl w:val="0"/>
          <w:numId w:val="28"/>
        </w:numPr>
        <w:spacing w:before="240" w:line="360" w:lineRule="auto"/>
        <w:jc w:val="both"/>
        <w:rPr>
          <w:rFonts w:ascii="Palatino Linotype" w:hAnsi="Palatino Linotype" w:cs="Arial"/>
        </w:rPr>
      </w:pPr>
      <w:r>
        <w:rPr>
          <w:rFonts w:ascii="Palatino Linotype" w:hAnsi="Palatino Linotype" w:cs="Arial"/>
        </w:rPr>
        <w:t>Que fue</w:t>
      </w:r>
      <w:r w:rsidR="009C2C81">
        <w:rPr>
          <w:rFonts w:ascii="Palatino Linotype" w:hAnsi="Palatino Linotype" w:cs="Arial"/>
        </w:rPr>
        <w:t xml:space="preserve"> formulado </w:t>
      </w:r>
      <w:r w:rsidR="009C2C81">
        <w:rPr>
          <w:rFonts w:ascii="Palatino Linotype" w:hAnsi="Palatino Linotype" w:cs="Arial"/>
          <w:b/>
          <w:bCs/>
        </w:rPr>
        <w:t xml:space="preserve">1 -un- </w:t>
      </w:r>
      <w:r w:rsidR="009C2C81">
        <w:rPr>
          <w:rFonts w:ascii="Palatino Linotype" w:hAnsi="Palatino Linotype" w:cs="Arial"/>
        </w:rPr>
        <w:t xml:space="preserve">requerimiento, respecto del cual fue señalado como elemento temporal </w:t>
      </w:r>
      <w:r w:rsidR="009C2C81" w:rsidRPr="009C2C81">
        <w:rPr>
          <w:rFonts w:ascii="Palatino Linotype" w:hAnsi="Palatino Linotype" w:cs="Arial"/>
          <w:i/>
          <w:iCs/>
        </w:rPr>
        <w:t>“</w:t>
      </w:r>
      <w:r w:rsidR="009C2C81" w:rsidRPr="009C2C81">
        <w:rPr>
          <w:rFonts w:ascii="Palatino Linotype" w:hAnsi="Palatino Linotype"/>
          <w:i/>
          <w:iCs/>
          <w:color w:val="000000"/>
        </w:rPr>
        <w:t>DURANTE EL MES DE ENERO 2022 Y 2023</w:t>
      </w:r>
      <w:r w:rsidR="009C2C81">
        <w:rPr>
          <w:rFonts w:ascii="Palatino Linotype" w:hAnsi="Palatino Linotype"/>
          <w:i/>
          <w:iCs/>
          <w:color w:val="000000"/>
        </w:rPr>
        <w:t xml:space="preserve">”, </w:t>
      </w:r>
      <w:r w:rsidR="009C2C81">
        <w:rPr>
          <w:rFonts w:ascii="Palatino Linotype" w:hAnsi="Palatino Linotype"/>
          <w:color w:val="000000"/>
        </w:rPr>
        <w:t xml:space="preserve">debiendo de ser fijado del uno de enero al treinta y uno de enero de dos mil veintidós y del uno al treinta y uno de enero de dos mil veintitrés. </w:t>
      </w:r>
    </w:p>
    <w:p w14:paraId="02A9277E" w14:textId="720A8CFA" w:rsidR="009C2C81" w:rsidRPr="009C2C81" w:rsidRDefault="00B27F33" w:rsidP="00B27F33">
      <w:pPr>
        <w:pStyle w:val="Prrafodelista"/>
        <w:numPr>
          <w:ilvl w:val="0"/>
          <w:numId w:val="13"/>
        </w:numPr>
        <w:spacing w:before="240" w:line="360" w:lineRule="auto"/>
        <w:jc w:val="both"/>
        <w:rPr>
          <w:rFonts w:ascii="Palatino Linotype" w:hAnsi="Palatino Linotype"/>
        </w:rPr>
      </w:pPr>
      <w:proofErr w:type="gramStart"/>
      <w:r>
        <w:rPr>
          <w:rFonts w:ascii="Palatino Linotype" w:hAnsi="Palatino Linotype" w:cs="Arial"/>
        </w:rPr>
        <w:lastRenderedPageBreak/>
        <w:t>Que</w:t>
      </w:r>
      <w:proofErr w:type="gramEnd"/>
      <w:r>
        <w:rPr>
          <w:rFonts w:ascii="Palatino Linotype" w:hAnsi="Palatino Linotype" w:cs="Arial"/>
        </w:rPr>
        <w:t xml:space="preserve"> </w:t>
      </w:r>
      <w:r w:rsidR="009C2C81">
        <w:rPr>
          <w:rFonts w:ascii="Palatino Linotype" w:hAnsi="Palatino Linotype" w:cs="Arial"/>
        </w:rPr>
        <w:t xml:space="preserve">en alusión al único requerimiento, el particular señaló que resulta de su interés </w:t>
      </w:r>
      <w:r w:rsidR="00C17EF2">
        <w:rPr>
          <w:rFonts w:ascii="Palatino Linotype" w:hAnsi="Palatino Linotype" w:cs="Arial"/>
        </w:rPr>
        <w:t xml:space="preserve">los </w:t>
      </w:r>
      <w:r w:rsidR="00C17EF2" w:rsidRPr="00C17EF2">
        <w:rPr>
          <w:rFonts w:ascii="Palatino Linotype" w:hAnsi="Palatino Linotype" w:cs="Arial"/>
          <w:i/>
          <w:iCs/>
        </w:rPr>
        <w:t>“PERMISOS DE FUNCIONAMIENTO DE LOCALES”</w:t>
      </w:r>
      <w:r w:rsidR="00C17EF2">
        <w:rPr>
          <w:rFonts w:ascii="Palatino Linotype" w:hAnsi="Palatino Linotype" w:cs="Arial"/>
          <w:i/>
          <w:iCs/>
        </w:rPr>
        <w:t xml:space="preserve">. </w:t>
      </w:r>
      <w:r w:rsidR="00C17EF2">
        <w:rPr>
          <w:rFonts w:ascii="Palatino Linotype" w:hAnsi="Palatino Linotype" w:cs="Arial"/>
        </w:rPr>
        <w:t>En consecuencia, al tomar en consideración que el particular no resulta experto en terminología de administración pública o derecho municipal, el requerimiento en cita debe de concebirse como licencias de funcionamiento</w:t>
      </w:r>
      <w:r w:rsidR="00E70EC3">
        <w:rPr>
          <w:rFonts w:ascii="Palatino Linotype" w:hAnsi="Palatino Linotype" w:cs="Arial"/>
        </w:rPr>
        <w:t xml:space="preserve"> de unidades económicas o locales. </w:t>
      </w:r>
    </w:p>
    <w:p w14:paraId="64C96A6A" w14:textId="20AA0273" w:rsidR="00B27F33" w:rsidRDefault="00B27F33" w:rsidP="00B27F33">
      <w:pPr>
        <w:spacing w:before="240" w:line="360" w:lineRule="auto"/>
        <w:jc w:val="both"/>
        <w:rPr>
          <w:rFonts w:ascii="Palatino Linotype" w:hAnsi="Palatino Linotype" w:cs="Arial"/>
        </w:rPr>
      </w:pPr>
    </w:p>
    <w:p w14:paraId="5E10B501" w14:textId="77777777" w:rsidR="00B27F33" w:rsidRPr="0051062B" w:rsidRDefault="00B27F33" w:rsidP="00B27F33">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41FCBDE8" w14:textId="77777777" w:rsidR="00B27F33" w:rsidRPr="0051062B" w:rsidRDefault="00B27F33" w:rsidP="00B27F33">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180E3F41" w14:textId="77777777" w:rsidR="00B27F33" w:rsidRPr="0051062B" w:rsidRDefault="00B27F33" w:rsidP="00B27F33">
      <w:pPr>
        <w:pStyle w:val="Citas"/>
        <w:rPr>
          <w:b/>
        </w:rPr>
      </w:pPr>
      <w:r w:rsidRPr="0051062B">
        <w:rPr>
          <w:b/>
        </w:rPr>
        <w:t xml:space="preserve">Artículo 181. … </w:t>
      </w:r>
    </w:p>
    <w:p w14:paraId="759D6F83" w14:textId="77777777" w:rsidR="00B27F33" w:rsidRDefault="00B27F33" w:rsidP="00B27F33">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0BDBD70F" w14:textId="77777777" w:rsidR="001F2130" w:rsidRDefault="001F2130" w:rsidP="00B27F33">
      <w:pPr>
        <w:spacing w:before="240" w:line="360" w:lineRule="auto"/>
        <w:jc w:val="both"/>
        <w:rPr>
          <w:rFonts w:ascii="Palatino Linotype" w:hAnsi="Palatino Linotype"/>
          <w:sz w:val="24"/>
          <w:szCs w:val="24"/>
        </w:rPr>
      </w:pPr>
    </w:p>
    <w:p w14:paraId="4CFBEB27" w14:textId="524067D2" w:rsidR="00B27F33" w:rsidRDefault="00B27F33" w:rsidP="00B27F33">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0AA64F55" w14:textId="5D1A18B2" w:rsidR="001F2130" w:rsidRDefault="00C17EF2" w:rsidP="00B27F33">
      <w:pPr>
        <w:pStyle w:val="Prrafodelista"/>
        <w:numPr>
          <w:ilvl w:val="0"/>
          <w:numId w:val="30"/>
        </w:numPr>
        <w:spacing w:before="240" w:line="360" w:lineRule="auto"/>
        <w:jc w:val="both"/>
        <w:rPr>
          <w:rFonts w:ascii="Palatino Linotype" w:hAnsi="Palatino Linotype" w:cs="Arial"/>
        </w:rPr>
      </w:pPr>
      <w:r>
        <w:rPr>
          <w:rFonts w:ascii="Palatino Linotype" w:hAnsi="Palatino Linotype" w:cs="Arial"/>
        </w:rPr>
        <w:lastRenderedPageBreak/>
        <w:t xml:space="preserve">Licencias de funcionamiento expedidas </w:t>
      </w:r>
      <w:r w:rsidR="00CF096B">
        <w:rPr>
          <w:rFonts w:ascii="Palatino Linotype" w:hAnsi="Palatino Linotype" w:cs="Arial"/>
        </w:rPr>
        <w:t xml:space="preserve">a favor de unidades económicas o locales, </w:t>
      </w:r>
      <w:r>
        <w:rPr>
          <w:rFonts w:ascii="Palatino Linotype" w:hAnsi="Palatino Linotype" w:cs="Arial"/>
        </w:rPr>
        <w:t xml:space="preserve">durante los periodos comprendidos del uno al treinta y uno de enero de dos mil veintidós y del uno al treinta y uno de enero de dos mil veintitrés. </w:t>
      </w:r>
    </w:p>
    <w:p w14:paraId="7A8FBECD" w14:textId="5D018D1D" w:rsidR="001F2130" w:rsidRDefault="001F2130" w:rsidP="00C17EF2">
      <w:pPr>
        <w:pStyle w:val="Prrafodelista"/>
        <w:spacing w:before="240" w:line="360" w:lineRule="auto"/>
        <w:ind w:left="720"/>
        <w:jc w:val="both"/>
        <w:rPr>
          <w:rFonts w:ascii="Palatino Linotype" w:hAnsi="Palatino Linotype" w:cs="Arial"/>
        </w:rPr>
      </w:pPr>
    </w:p>
    <w:p w14:paraId="55F43A4E" w14:textId="77777777" w:rsidR="00B27F33" w:rsidRDefault="00B27F33" w:rsidP="00B27F33">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156DB67A" w14:textId="77777777" w:rsidR="00B27F33" w:rsidRPr="009535E0" w:rsidRDefault="00B27F33" w:rsidP="00B27F33">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2CFE2EA1" w14:textId="77777777" w:rsidR="00B27F33" w:rsidRPr="009535E0" w:rsidRDefault="00B27F33" w:rsidP="00B27F3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2E4F94D4" w14:textId="77777777" w:rsidR="00B27F33" w:rsidRPr="009535E0" w:rsidRDefault="00B27F33" w:rsidP="00B27F3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E0D67A7" w14:textId="77777777" w:rsidR="00B27F33" w:rsidRPr="00A94BBE" w:rsidRDefault="00B27F33" w:rsidP="00B27F33">
      <w:pPr>
        <w:pStyle w:val="INFOEM"/>
        <w:rPr>
          <w:b/>
        </w:rPr>
      </w:pPr>
      <w: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 </w:t>
      </w:r>
      <w:r>
        <w:rPr>
          <w:b/>
        </w:rPr>
        <w:t xml:space="preserve">[Sic] </w:t>
      </w:r>
    </w:p>
    <w:p w14:paraId="234E34F5" w14:textId="77777777" w:rsidR="00B27F33" w:rsidRDefault="00B27F33" w:rsidP="00B27F33">
      <w:pPr>
        <w:spacing w:line="360" w:lineRule="auto"/>
        <w:jc w:val="both"/>
        <w:rPr>
          <w:rFonts w:ascii="Palatino Linotype" w:hAnsi="Palatino Linotype" w:cs="Arial"/>
          <w:sz w:val="24"/>
          <w:szCs w:val="24"/>
        </w:rPr>
      </w:pPr>
    </w:p>
    <w:p w14:paraId="0A5252D4" w14:textId="77777777" w:rsidR="00B27F33" w:rsidRDefault="00B27F33" w:rsidP="00B27F33">
      <w:pPr>
        <w:spacing w:line="360" w:lineRule="auto"/>
        <w:jc w:val="both"/>
        <w:rPr>
          <w:rFonts w:ascii="Palatino Linotype" w:hAnsi="Palatino Linotype" w:cs="Arial"/>
          <w:noProof/>
          <w:sz w:val="24"/>
          <w:szCs w:val="24"/>
        </w:rPr>
      </w:pPr>
      <w:r>
        <w:rPr>
          <w:rFonts w:ascii="Palatino Linotype" w:hAnsi="Palatino Linotype" w:cs="Arial"/>
          <w:noProof/>
          <w:sz w:val="24"/>
          <w:szCs w:val="24"/>
        </w:rPr>
        <w:lastRenderedPageBreak/>
        <w:t>Al respecto, sirven de sustento las siguientes imágenes ilustrativas:</w:t>
      </w:r>
    </w:p>
    <w:p w14:paraId="2AA9FA4E" w14:textId="252EA56B" w:rsidR="00B27F33" w:rsidRDefault="00C17EF2" w:rsidP="00F42452">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762688" behindDoc="0" locked="0" layoutInCell="1" allowOverlap="1" wp14:anchorId="63D727A6" wp14:editId="098CCBFF">
            <wp:simplePos x="0" y="0"/>
            <wp:positionH relativeFrom="page">
              <wp:align>center</wp:align>
            </wp:positionH>
            <wp:positionV relativeFrom="paragraph">
              <wp:posOffset>274955</wp:posOffset>
            </wp:positionV>
            <wp:extent cx="5758815" cy="3263900"/>
            <wp:effectExtent l="19050" t="19050" r="13335" b="12700"/>
            <wp:wrapThrough wrapText="bothSides">
              <wp:wrapPolygon edited="0">
                <wp:start x="-71" y="-126"/>
                <wp:lineTo x="-71" y="21558"/>
                <wp:lineTo x="21579" y="21558"/>
                <wp:lineTo x="21579" y="-126"/>
                <wp:lineTo x="-71" y="-126"/>
              </wp:wrapPolygon>
            </wp:wrapThrough>
            <wp:docPr id="2130984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815" cy="32639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A546EB">
        <w:rPr>
          <w:rFonts w:ascii="Palatino Linotype" w:hAnsi="Palatino Linotype" w:cs="Arial"/>
          <w:noProof/>
          <w:sz w:val="24"/>
          <w:szCs w:val="24"/>
          <w:lang w:eastAsia="es-MX"/>
        </w:rPr>
        <mc:AlternateContent>
          <mc:Choice Requires="wps">
            <w:drawing>
              <wp:anchor distT="0" distB="0" distL="114300" distR="114300" simplePos="0" relativeHeight="251756544" behindDoc="0" locked="0" layoutInCell="1" allowOverlap="1" wp14:anchorId="57C934EA" wp14:editId="4458ED01">
                <wp:simplePos x="0" y="0"/>
                <wp:positionH relativeFrom="column">
                  <wp:posOffset>379290</wp:posOffset>
                </wp:positionH>
                <wp:positionV relativeFrom="paragraph">
                  <wp:posOffset>2205990</wp:posOffset>
                </wp:positionV>
                <wp:extent cx="328246" cy="328246"/>
                <wp:effectExtent l="0" t="0" r="15240" b="15240"/>
                <wp:wrapNone/>
                <wp:docPr id="1168397705" name="Oval 1"/>
                <wp:cNvGraphicFramePr/>
                <a:graphic xmlns:a="http://schemas.openxmlformats.org/drawingml/2006/main">
                  <a:graphicData uri="http://schemas.microsoft.com/office/word/2010/wordprocessingShape">
                    <wps:wsp>
                      <wps:cNvSpPr/>
                      <wps:spPr>
                        <a:xfrm>
                          <a:off x="0" y="0"/>
                          <a:ext cx="328246" cy="328246"/>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0E8530E" id="Oval 1" o:spid="_x0000_s1026" style="position:absolute;margin-left:29.85pt;margin-top:173.7pt;width:25.85pt;height:25.8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" filled="f" strokecolor="red" strokeweight="1pt">
                <v:stroke joinstyle="miter"/>
              </v:oval>
            </w:pict>
          </mc:Fallback>
        </mc:AlternateContent>
      </w:r>
    </w:p>
    <w:p w14:paraId="721CF57E" w14:textId="73C21F4D" w:rsidR="005C5860" w:rsidRDefault="00C17EF2" w:rsidP="00F42452">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763712" behindDoc="0" locked="0" layoutInCell="1" allowOverlap="1" wp14:anchorId="53AC263A" wp14:editId="7937B6FE">
            <wp:simplePos x="0" y="0"/>
            <wp:positionH relativeFrom="page">
              <wp:align>center</wp:align>
            </wp:positionH>
            <wp:positionV relativeFrom="paragraph">
              <wp:posOffset>3417570</wp:posOffset>
            </wp:positionV>
            <wp:extent cx="1718945" cy="927735"/>
            <wp:effectExtent l="19050" t="19050" r="14605" b="24765"/>
            <wp:wrapThrough wrapText="bothSides">
              <wp:wrapPolygon edited="0">
                <wp:start x="-239" y="-444"/>
                <wp:lineTo x="-239" y="21733"/>
                <wp:lineTo x="21544" y="21733"/>
                <wp:lineTo x="21544" y="-444"/>
                <wp:lineTo x="-239" y="-444"/>
              </wp:wrapPolygon>
            </wp:wrapThrough>
            <wp:docPr id="1162290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8945" cy="9277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F27BFB9" w14:textId="55673752" w:rsidR="00B27F33" w:rsidRDefault="00B27F33" w:rsidP="00F42452">
      <w:pPr>
        <w:spacing w:before="240" w:line="360" w:lineRule="auto"/>
        <w:jc w:val="both"/>
        <w:rPr>
          <w:rFonts w:ascii="Palatino Linotype" w:hAnsi="Palatino Linotype" w:cs="Arial"/>
          <w:sz w:val="24"/>
          <w:szCs w:val="24"/>
        </w:rPr>
      </w:pPr>
    </w:p>
    <w:p w14:paraId="38D2F264" w14:textId="77777777" w:rsidR="00C17EF2" w:rsidRDefault="00C17EF2" w:rsidP="00F42452">
      <w:pPr>
        <w:spacing w:before="240" w:line="360" w:lineRule="auto"/>
        <w:jc w:val="both"/>
        <w:rPr>
          <w:rFonts w:ascii="Palatino Linotype" w:hAnsi="Palatino Linotype" w:cs="Arial"/>
          <w:sz w:val="24"/>
          <w:szCs w:val="24"/>
        </w:rPr>
      </w:pPr>
    </w:p>
    <w:p w14:paraId="1E7634D9" w14:textId="77777777" w:rsidR="00C17EF2" w:rsidRDefault="00C17EF2" w:rsidP="00F42452">
      <w:pPr>
        <w:spacing w:before="240" w:line="360" w:lineRule="auto"/>
        <w:jc w:val="both"/>
        <w:rPr>
          <w:rFonts w:ascii="Palatino Linotype" w:hAnsi="Palatino Linotype" w:cs="Arial"/>
          <w:sz w:val="24"/>
          <w:szCs w:val="24"/>
        </w:rPr>
      </w:pPr>
    </w:p>
    <w:p w14:paraId="0DE30FF6" w14:textId="5BFF55E7" w:rsidR="00B27F33" w:rsidRDefault="00B27F33" w:rsidP="00B27F3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w:t>
      </w:r>
      <w:r w:rsidR="00C17EF2">
        <w:rPr>
          <w:rFonts w:ascii="Palatino Linotype" w:hAnsi="Palatino Linotype" w:cs="Arial"/>
        </w:rPr>
        <w:t xml:space="preserve">la Dirección de Desarrollo Económico. </w:t>
      </w:r>
    </w:p>
    <w:p w14:paraId="3101C87E" w14:textId="1531F11F" w:rsidR="00C17EF2" w:rsidRDefault="00B27F33" w:rsidP="00B27F33">
      <w:pPr>
        <w:spacing w:before="240" w:line="360" w:lineRule="auto"/>
        <w:jc w:val="both"/>
        <w:rPr>
          <w:rFonts w:ascii="Palatino Linotype" w:hAnsi="Palatino Linotype" w:cs="Arial"/>
          <w:sz w:val="24"/>
          <w:szCs w:val="24"/>
        </w:rPr>
      </w:pPr>
      <w:r w:rsidRPr="007B1D30">
        <w:rPr>
          <w:rFonts w:ascii="Palatino Linotype" w:hAnsi="Palatino Linotype" w:cs="Arial"/>
          <w:sz w:val="24"/>
          <w:szCs w:val="24"/>
        </w:rPr>
        <w:lastRenderedPageBreak/>
        <w:t xml:space="preserve">De manera complementaria, a efecto de ilustrar la esfera competencial de la unidad administrativa en cita, resulta oportuno traer a colación </w:t>
      </w:r>
      <w:r w:rsidR="00A71C71">
        <w:rPr>
          <w:rFonts w:ascii="Palatino Linotype" w:hAnsi="Palatino Linotype" w:cs="Arial"/>
          <w:sz w:val="24"/>
          <w:szCs w:val="24"/>
        </w:rPr>
        <w:t xml:space="preserve">el artículo 66 de la Ley de competitividad y ordenamiento comercial del Estado de México; así como los numerales </w:t>
      </w:r>
      <w:r w:rsidR="00A71C71" w:rsidRPr="00A71C71">
        <w:rPr>
          <w:rFonts w:ascii="Palatino Linotype" w:hAnsi="Palatino Linotype" w:cs="Arial"/>
          <w:sz w:val="24"/>
          <w:szCs w:val="24"/>
        </w:rPr>
        <w:t>95, 124, 125, 133</w:t>
      </w:r>
      <w:r w:rsidR="00A71C71">
        <w:rPr>
          <w:rFonts w:ascii="Palatino Linotype" w:hAnsi="Palatino Linotype" w:cs="Arial"/>
          <w:sz w:val="24"/>
          <w:szCs w:val="24"/>
        </w:rPr>
        <w:t xml:space="preserve"> del Bando Municipal de Zinacantepec, porciones normativas que disponen a la literalidad lo siguiente:</w:t>
      </w:r>
    </w:p>
    <w:p w14:paraId="08E29ACC" w14:textId="3752CC88" w:rsidR="00964524" w:rsidRPr="00A71C71" w:rsidRDefault="00A71C71" w:rsidP="00A71C71">
      <w:pPr>
        <w:pStyle w:val="Citas"/>
        <w:rPr>
          <w:b/>
          <w:bCs/>
        </w:rPr>
      </w:pPr>
      <w:r w:rsidRPr="00A71C71">
        <w:rPr>
          <w:b/>
          <w:bCs/>
        </w:rPr>
        <w:t xml:space="preserve">LEY DE COMPETITIVIDAD Y ORDENAMIENTO COMERCIAL DEL ESTADO DE MÉXICO </w:t>
      </w:r>
    </w:p>
    <w:p w14:paraId="320869B7" w14:textId="65092D7E" w:rsidR="00964524" w:rsidRDefault="00A71C71" w:rsidP="00964524">
      <w:pPr>
        <w:pStyle w:val="Citas"/>
      </w:pPr>
      <w:r>
        <w:t>“</w:t>
      </w:r>
      <w:r w:rsidR="00964524">
        <w:t>Artículo 66. Para la obtención de un permiso o licencia de funcionamiento, los solicitantes o representante legal tendrán que cumplir los requisitos siguientes:</w:t>
      </w:r>
    </w:p>
    <w:p w14:paraId="0819E3EC" w14:textId="77777777" w:rsidR="00A71C71" w:rsidRDefault="00964524" w:rsidP="00964524">
      <w:pPr>
        <w:pStyle w:val="Citas"/>
      </w:pPr>
      <w:r>
        <w:t xml:space="preserve">I. Solicitud en la que se señale la razón social del solicitante, así como domicilio para oír y recibir notificaciones y dirección de correo electrónico para los efectos de esta Ley. En caso de que el solicitante sea persona física se cotejarán los datos de la credencial para votar con fotografía. </w:t>
      </w:r>
    </w:p>
    <w:p w14:paraId="279DF461" w14:textId="77777777" w:rsidR="00A71C71" w:rsidRDefault="00964524" w:rsidP="00964524">
      <w:pPr>
        <w:pStyle w:val="Citas"/>
      </w:pPr>
      <w:r>
        <w:t xml:space="preserve">II. Actividad económica que se pretende operar. </w:t>
      </w:r>
    </w:p>
    <w:p w14:paraId="45D81EBA" w14:textId="77777777" w:rsidR="00A71C71" w:rsidRDefault="00964524" w:rsidP="00964524">
      <w:pPr>
        <w:pStyle w:val="Citas"/>
      </w:pPr>
      <w:r>
        <w:t>III. Datos de la licencia de uso del suelo que señale el permitido para la actividad económica que se pretende operar.</w:t>
      </w:r>
    </w:p>
    <w:p w14:paraId="4A8C9851" w14:textId="77777777" w:rsidR="00A71C71" w:rsidRDefault="00964524" w:rsidP="00964524">
      <w:pPr>
        <w:pStyle w:val="Citas"/>
      </w:pPr>
      <w:r>
        <w:t xml:space="preserve"> IV. Que cuenta con los cajones de estacionamiento que determine la autoridad correspondiente. </w:t>
      </w:r>
    </w:p>
    <w:p w14:paraId="669634E3" w14:textId="77777777" w:rsidR="00A71C71" w:rsidRDefault="00964524" w:rsidP="00964524">
      <w:pPr>
        <w:pStyle w:val="Citas"/>
      </w:pPr>
      <w:r>
        <w:t xml:space="preserve">V. La capacidad de aforo respectiva. </w:t>
      </w:r>
    </w:p>
    <w:p w14:paraId="31E67CA4" w14:textId="77777777" w:rsidR="00A71C71" w:rsidRDefault="00964524" w:rsidP="00964524">
      <w:pPr>
        <w:pStyle w:val="Citas"/>
      </w:pPr>
      <w:r>
        <w:t xml:space="preserve">VI. Dar cuenta del programa interno de protección civil. </w:t>
      </w:r>
    </w:p>
    <w:p w14:paraId="5DAC7A7A" w14:textId="77777777" w:rsidR="00A71C71" w:rsidRDefault="00964524" w:rsidP="00964524">
      <w:pPr>
        <w:pStyle w:val="Citas"/>
      </w:pPr>
      <w:r>
        <w:t xml:space="preserve">VII. Dictamen de Giro o permiso, en su caso, emitido por la autoridad municipal. </w:t>
      </w:r>
    </w:p>
    <w:p w14:paraId="00B1EF1E" w14:textId="77777777" w:rsidR="00A71C71" w:rsidRDefault="00964524" w:rsidP="00964524">
      <w:pPr>
        <w:pStyle w:val="Citas"/>
      </w:pPr>
      <w:r>
        <w:lastRenderedPageBreak/>
        <w:t xml:space="preserve">VIII. Para el caso de las unidades económicas de alto impacto deberá manifestar que cuenta con el sistema de seguridad a que hace referencia esta Ley. </w:t>
      </w:r>
    </w:p>
    <w:p w14:paraId="4D79D4AE" w14:textId="7A3A8435" w:rsidR="00964524" w:rsidRPr="00A71C71" w:rsidRDefault="00964524" w:rsidP="00964524">
      <w:pPr>
        <w:pStyle w:val="Citas"/>
        <w:rPr>
          <w:b/>
          <w:bCs/>
        </w:rPr>
      </w:pPr>
      <w:r>
        <w:t>Una vez cubiertos los requisitos señalados en el presente artículo y en caso de ser procedente el permiso o licencia de funcionamiento, la autoridad hará del conocimiento al solicitante o representante legal el monto a cubrir por los derechos correspondientes, una vez cubiertos se otorgará el permiso o licencia de funcionamiento.</w:t>
      </w:r>
      <w:r w:rsidR="00A71C71">
        <w:t xml:space="preserve">” </w:t>
      </w:r>
      <w:r w:rsidR="00A71C71">
        <w:rPr>
          <w:b/>
          <w:bCs/>
        </w:rPr>
        <w:t>(Sic)</w:t>
      </w:r>
    </w:p>
    <w:p w14:paraId="159E0AB5" w14:textId="77777777" w:rsidR="00964524" w:rsidRDefault="00964524" w:rsidP="00B27F33">
      <w:pPr>
        <w:spacing w:before="240" w:line="360" w:lineRule="auto"/>
        <w:jc w:val="both"/>
      </w:pPr>
    </w:p>
    <w:p w14:paraId="10D8F120" w14:textId="56D9E333" w:rsidR="00964524" w:rsidRPr="00A71C71" w:rsidRDefault="00A71C71" w:rsidP="00A71C71">
      <w:pPr>
        <w:pStyle w:val="Citas"/>
        <w:jc w:val="center"/>
        <w:rPr>
          <w:b/>
          <w:bCs/>
        </w:rPr>
      </w:pPr>
      <w:r w:rsidRPr="00A71C71">
        <w:rPr>
          <w:b/>
          <w:bCs/>
        </w:rPr>
        <w:t>BANDO MUNICIPAL DE ZINACANTEPEC</w:t>
      </w:r>
    </w:p>
    <w:p w14:paraId="1F85684B" w14:textId="5C96050E" w:rsidR="00C17EF2" w:rsidRDefault="00A71C71" w:rsidP="00A71C71">
      <w:pPr>
        <w:pStyle w:val="Citas"/>
      </w:pPr>
      <w:r>
        <w:t>“</w:t>
      </w:r>
      <w:r w:rsidR="00C17EF2">
        <w:t xml:space="preserve">Artículo 95. La Dirección de Desarrollo Económico es la dependencia responsable, de regular y fomentar el desarrollo económico sustentable en el Municipio, de promover e impulsar el fortalecimiento para el desarrollo de la competitividad mediante la generación de más y mejores empleos, así como apoyar al sector turístico, agropecuario y forestal de acuerdo con las atribuciones y acciones que establezca la Ley de Fomento Económico para el Estado de México, el Plan de Desarrollo Municipal, el reglamento interno de la Administración Pública, el Manual de Procedimientos de la Dirección de Desarrollo Económico y las demás disposiciones legales aplicables. </w:t>
      </w:r>
    </w:p>
    <w:p w14:paraId="6BD9DEDB" w14:textId="77777777" w:rsidR="00A71C71" w:rsidRDefault="00C17EF2" w:rsidP="00A71C71">
      <w:pPr>
        <w:pStyle w:val="Citas"/>
      </w:pPr>
      <w:r>
        <w:t xml:space="preserve">Artículo 124. Toda actividad económica que realicen las personas físicas o jurídico colectivas podrán ejercerla si cuentan con la Licencia de Funcionamiento, Permiso Municipal o Autorización, expedidas por la Dirección de Desarrollo Económico, previo cumplimiento de requisitos de acuerdo a la normatividad establecida en la materia. </w:t>
      </w:r>
    </w:p>
    <w:p w14:paraId="6F2F3801" w14:textId="77777777" w:rsidR="00A71C71" w:rsidRDefault="00C17EF2" w:rsidP="00A71C71">
      <w:pPr>
        <w:pStyle w:val="Citas"/>
      </w:pPr>
      <w:r>
        <w:lastRenderedPageBreak/>
        <w:t xml:space="preserve">A través de la Dirección de Desarrollo Económico, se tramitará la licencia de funcionamiento, permiso municipal o autorización para las actividades y/o unidades económicas: </w:t>
      </w:r>
    </w:p>
    <w:p w14:paraId="4F3B1D90" w14:textId="77777777" w:rsidR="00A71C71" w:rsidRDefault="00C17EF2" w:rsidP="00A71C71">
      <w:pPr>
        <w:pStyle w:val="Citas"/>
      </w:pPr>
      <w:r>
        <w:t xml:space="preserve">I. Expedición o refrendo anual de permisos sobre anuncios publicitarios. </w:t>
      </w:r>
    </w:p>
    <w:p w14:paraId="47EA9B5F" w14:textId="77777777" w:rsidR="00A71C71" w:rsidRDefault="00C17EF2" w:rsidP="00A71C71">
      <w:pPr>
        <w:pStyle w:val="Citas"/>
      </w:pPr>
      <w:r>
        <w:t xml:space="preserve">II. La expedición o refrendo anual de permisos sobre diversiones, juegos y espectáculos públicos. </w:t>
      </w:r>
    </w:p>
    <w:p w14:paraId="49B2A10C" w14:textId="77777777" w:rsidR="00A71C71" w:rsidRDefault="00C17EF2" w:rsidP="00A71C71">
      <w:pPr>
        <w:pStyle w:val="Citas"/>
      </w:pPr>
      <w:r>
        <w:t xml:space="preserve">III. La expedición o refrendo anual de permisos por uso de vías y áreas públicas para el </w:t>
      </w:r>
    </w:p>
    <w:p w14:paraId="7B5E73B8" w14:textId="77777777" w:rsidR="00A71C71" w:rsidRDefault="00C17EF2" w:rsidP="00A71C71">
      <w:pPr>
        <w:pStyle w:val="Citas"/>
      </w:pPr>
      <w:r>
        <w:t xml:space="preserve">IV. La expedición o refrendo anual de licencia de funcionamiento o autorización de estacionamiento en la vía pública y de servicio público. </w:t>
      </w:r>
    </w:p>
    <w:p w14:paraId="62AD7BB0" w14:textId="77777777" w:rsidR="00A71C71" w:rsidRDefault="00C17EF2" w:rsidP="00A71C71">
      <w:pPr>
        <w:pStyle w:val="Citas"/>
      </w:pPr>
      <w:r>
        <w:t xml:space="preserve">V. La expedición o refrendo anual de licencia de funcionamiento para la venta de bebidas alcohólicas al público. </w:t>
      </w:r>
    </w:p>
    <w:p w14:paraId="23262F71" w14:textId="77777777" w:rsidR="00A71C71" w:rsidRPr="00A71C71" w:rsidRDefault="00C17EF2" w:rsidP="00A71C71">
      <w:pPr>
        <w:pStyle w:val="Citas"/>
        <w:rPr>
          <w:b/>
          <w:bCs/>
          <w:u w:val="single"/>
        </w:rPr>
      </w:pPr>
      <w:r w:rsidRPr="00A71C71">
        <w:rPr>
          <w:b/>
          <w:bCs/>
          <w:u w:val="single"/>
        </w:rPr>
        <w:t xml:space="preserve">VI. La expedición o refrendo anual de licencia de funcionamiento para unidades económicas. </w:t>
      </w:r>
    </w:p>
    <w:p w14:paraId="39BADE62" w14:textId="77777777" w:rsidR="00A71C71" w:rsidRDefault="00C17EF2" w:rsidP="00A71C71">
      <w:pPr>
        <w:pStyle w:val="Citas"/>
      </w:pPr>
      <w:r>
        <w:t xml:space="preserve">VII. La expedición o refrendo anual de licencia de funcionamiento para actividades de bajo impacto por medio del Sistema de Apertura Rápida de Empresas (SARE). </w:t>
      </w:r>
    </w:p>
    <w:p w14:paraId="5A962E1D" w14:textId="0AF6D0F4" w:rsidR="00C17EF2" w:rsidRDefault="00C17EF2" w:rsidP="00A71C71">
      <w:pPr>
        <w:pStyle w:val="Citas"/>
        <w:rPr>
          <w:sz w:val="24"/>
          <w:szCs w:val="24"/>
        </w:rPr>
      </w:pPr>
      <w:r>
        <w:t>VIII. La expedición o refrendo anual de licencia de funcionamiento para Proyectos de Inversión que requieran de Dictamen de Impacto Estatal, expedidos por el Gobierno Estatal y Dictamen de giro expedido por el Comité Municipal de Dictamen de Giro.</w:t>
      </w:r>
    </w:p>
    <w:p w14:paraId="742FE972" w14:textId="77777777" w:rsidR="00A71C71" w:rsidRDefault="00C17EF2" w:rsidP="00A71C71">
      <w:pPr>
        <w:pStyle w:val="Citas"/>
      </w:pPr>
      <w:r>
        <w:t xml:space="preserve">Artículo 125. Para que a los titulares o representantes legales de las unidades económicas se les expida su licencia de funcionamiento o permiso municipal, deberán </w:t>
      </w:r>
      <w:r>
        <w:lastRenderedPageBreak/>
        <w:t xml:space="preserve">de cumplir con los requisitos establecidos en este Bando Municipal y demás disposiciones en la materia. </w:t>
      </w:r>
    </w:p>
    <w:p w14:paraId="296BF2CB" w14:textId="50F222DA" w:rsidR="00C17EF2" w:rsidRDefault="00C17EF2" w:rsidP="00A71C71">
      <w:pPr>
        <w:pStyle w:val="Citas"/>
      </w:pPr>
      <w:r>
        <w:t>Las unidades económicas deberán de estar registradas en el Padrón de Unidades Económicas del Municipio de Zinacantepec y deberán iniciar su trámite de expedición de licencia de funcionamiento en un plazo que no exceda los treinta días naturales a partir de que inicien operaciones</w:t>
      </w:r>
      <w:r w:rsidR="00964524">
        <w:t>.</w:t>
      </w:r>
    </w:p>
    <w:p w14:paraId="5C06CED1" w14:textId="77777777" w:rsidR="00A71C71" w:rsidRDefault="00964524" w:rsidP="00A71C71">
      <w:pPr>
        <w:pStyle w:val="Citas"/>
      </w:pPr>
      <w:r>
        <w:t>Artículo 133. Son obligaciones de los titulares de licencias o permisos:</w:t>
      </w:r>
    </w:p>
    <w:p w14:paraId="718B073A" w14:textId="77777777" w:rsidR="00A71C71" w:rsidRPr="00A71C71" w:rsidRDefault="00964524" w:rsidP="00A71C71">
      <w:pPr>
        <w:pStyle w:val="Citas"/>
        <w:rPr>
          <w:b/>
          <w:bCs/>
          <w:u w:val="single"/>
        </w:rPr>
      </w:pPr>
      <w:r w:rsidRPr="00A71C71">
        <w:rPr>
          <w:b/>
          <w:bCs/>
          <w:u w:val="single"/>
        </w:rPr>
        <w:t xml:space="preserve"> I. Tener a la vista en todo momento la licencia o permiso en original o copia certificada, otorgada por la Dirección de Desarrollo Económico y mostrarla las veces que sea requerida por el personal de inspección, adscrito a dicha dependencia o a la Tesorería Municipal, previa identificación vigente con fotografía expedida por el Ayuntamiento; </w:t>
      </w:r>
    </w:p>
    <w:p w14:paraId="04AFCBFC" w14:textId="77777777" w:rsidR="00A71C71" w:rsidRDefault="00964524" w:rsidP="00A71C71">
      <w:pPr>
        <w:pStyle w:val="Citas"/>
      </w:pPr>
      <w:r>
        <w:t>II. Destinar el local exclusivamente para el giro autorizado en la licencia de funcionamiento o permiso, debiendo desempeñar su actividad únicamente en el interior de su local sin invadir el arroyo vehicular o banqueta;</w:t>
      </w:r>
    </w:p>
    <w:p w14:paraId="66AD2D71" w14:textId="77777777" w:rsidR="00A71C71" w:rsidRDefault="00964524" w:rsidP="00A71C71">
      <w:pPr>
        <w:pStyle w:val="Citas"/>
      </w:pPr>
      <w:r>
        <w:t xml:space="preserve"> III. Respetar el horario establecido en el Bando Municipal, de acuerdo al giro de que se trate, así como la suspensión de actividades en las fechas y horarios que la autoridad señale; </w:t>
      </w:r>
    </w:p>
    <w:p w14:paraId="71AA56E5" w14:textId="77777777" w:rsidR="00A71C71" w:rsidRDefault="00964524" w:rsidP="00A71C71">
      <w:pPr>
        <w:pStyle w:val="Citas"/>
      </w:pPr>
      <w:r>
        <w:t xml:space="preserve">IV. Informar sobre la modificación del giro, cambio de propietario o baja, dentro de un término no mayor de tres días naturales, a partir del día en que se realizó el mismo; así mismo, se deberán tramitar los cambios en la documentación que ampara el ejercicio de su actividad; </w:t>
      </w:r>
    </w:p>
    <w:p w14:paraId="29A25D7B" w14:textId="77777777" w:rsidR="00A71C71" w:rsidRDefault="00964524" w:rsidP="00A71C71">
      <w:pPr>
        <w:pStyle w:val="Citas"/>
      </w:pPr>
      <w:r>
        <w:lastRenderedPageBreak/>
        <w:t xml:space="preserve">V. Revalidar su permiso en un lapso de treinta días naturales, contados a partir de la fecha en que expiró, en caso contrario dará lugar a su cancelación; </w:t>
      </w:r>
    </w:p>
    <w:p w14:paraId="08A05DE7" w14:textId="77777777" w:rsidR="00A71C71" w:rsidRDefault="00964524" w:rsidP="00A71C71">
      <w:pPr>
        <w:pStyle w:val="Citas"/>
      </w:pPr>
      <w:r>
        <w:t xml:space="preserve">VI. Respetar en todo momento el contenido de los convenios que se celebren con el Ayuntamiento; </w:t>
      </w:r>
    </w:p>
    <w:p w14:paraId="10CA3083" w14:textId="77777777" w:rsidR="00A71C71" w:rsidRDefault="00964524" w:rsidP="00A71C71">
      <w:pPr>
        <w:pStyle w:val="Citas"/>
      </w:pPr>
      <w:r>
        <w:t xml:space="preserve">VII. Las personas físicas o jurídicas colectivas que cuenten con licencia o permiso para el funcionamiento de baños públicos, lavado de vehículos automotores, lavanderías o cualquier otro establecimiento que dependa del servicio de agua potable, tendrán la obligación de registrarse ante el Organismo Público Descentralizado para la Prestación de los Servicios de Agua Potable, Alcantarillado y Saneamiento de Zinacantepec y controlar su consumo por medio de aparatos de medición instalados por personal operativo del organismo, previo pago de derechos y además sujetarse a las normas que establezcan las leyes y reglamentos correspondientes a la materia; </w:t>
      </w:r>
    </w:p>
    <w:p w14:paraId="05A799D8" w14:textId="77777777" w:rsidR="00A71C71" w:rsidRDefault="00964524" w:rsidP="00A71C71">
      <w:pPr>
        <w:pStyle w:val="Citas"/>
      </w:pPr>
      <w:r>
        <w:t xml:space="preserve">VIII. Pagar el derecho de conformidad a lo establecido por el Código Financiero del Estado de México y Municipios, cuando anuncien o promuevan la venta de bienes y servicios; </w:t>
      </w:r>
    </w:p>
    <w:p w14:paraId="7F51BBB2" w14:textId="77777777" w:rsidR="00A71C71" w:rsidRDefault="00964524" w:rsidP="00A71C71">
      <w:pPr>
        <w:pStyle w:val="Citas"/>
      </w:pPr>
      <w:r>
        <w:t xml:space="preserve">IX. Permitir libre acceso a mujeres embarazadas, adultos mayores, personas con discapacidad, débiles visuales y/o invidentes guiadas por perros y personas de la tercera edad; </w:t>
      </w:r>
    </w:p>
    <w:p w14:paraId="2C1BAAD9" w14:textId="77777777" w:rsidR="00A71C71" w:rsidRDefault="00964524" w:rsidP="00A71C71">
      <w:pPr>
        <w:pStyle w:val="Citas"/>
      </w:pPr>
      <w:r>
        <w:t xml:space="preserve">X. La expedición de un permiso en varias ocasiones no genera derecho de antigüedad para su titular; y </w:t>
      </w:r>
    </w:p>
    <w:p w14:paraId="5D687E49" w14:textId="6432D9B7" w:rsidR="00964524" w:rsidRPr="00A71C71" w:rsidRDefault="00964524" w:rsidP="00A71C71">
      <w:pPr>
        <w:pStyle w:val="Citas"/>
        <w:rPr>
          <w:b/>
          <w:bCs/>
        </w:rPr>
      </w:pPr>
      <w:r>
        <w:t>XI. Las demás que le confieren esta Ley y otras disposiciones aplicables.</w:t>
      </w:r>
      <w:r w:rsidR="00A71C71">
        <w:t xml:space="preserve">” </w:t>
      </w:r>
      <w:r w:rsidR="00A71C71">
        <w:rPr>
          <w:b/>
          <w:bCs/>
        </w:rPr>
        <w:t>(Sic)</w:t>
      </w:r>
    </w:p>
    <w:p w14:paraId="7910E7FD" w14:textId="77777777" w:rsidR="00964524" w:rsidRDefault="00964524" w:rsidP="00B27F33">
      <w:pPr>
        <w:spacing w:before="240" w:line="360" w:lineRule="auto"/>
        <w:jc w:val="both"/>
      </w:pPr>
    </w:p>
    <w:p w14:paraId="4A941947" w14:textId="24A84F2D" w:rsidR="00964524" w:rsidRDefault="00964524" w:rsidP="00C22CC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D</w:t>
      </w:r>
      <w:r w:rsidR="00C22CC5">
        <w:rPr>
          <w:rFonts w:ascii="Palatino Linotype" w:hAnsi="Palatino Linotype" w:cs="Arial"/>
        </w:rPr>
        <w:t>e ahí que deba de arribarse a la</w:t>
      </w:r>
      <w:r>
        <w:rPr>
          <w:rFonts w:ascii="Palatino Linotype" w:hAnsi="Palatino Linotype" w:cs="Arial"/>
        </w:rPr>
        <w:t>s siguientes premisas:</w:t>
      </w:r>
    </w:p>
    <w:p w14:paraId="536C76EE" w14:textId="5085E3C3" w:rsidR="00964524" w:rsidRDefault="00964524" w:rsidP="00964524">
      <w:pPr>
        <w:pStyle w:val="Prrafodelista"/>
        <w:numPr>
          <w:ilvl w:val="0"/>
          <w:numId w:val="28"/>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La licencia de funcionamiento es el acto administrativo, emitido por autoridad competente, mediante el cual se autoriza a una persona física o jurídica colectiva a efecto de desarrollar actividades económicas.</w:t>
      </w:r>
    </w:p>
    <w:p w14:paraId="28F6B12F" w14:textId="718ECB52" w:rsidR="00964524" w:rsidRDefault="00964524" w:rsidP="00964524">
      <w:pPr>
        <w:pStyle w:val="Prrafodelista"/>
        <w:numPr>
          <w:ilvl w:val="0"/>
          <w:numId w:val="28"/>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Que las licencias de funcionamiento son susceptibles de ser expedidas </w:t>
      </w:r>
      <w:r w:rsidR="00A71C71">
        <w:rPr>
          <w:rFonts w:ascii="Palatino Linotype" w:hAnsi="Palatino Linotype" w:cs="Arial"/>
        </w:rPr>
        <w:t>y en su caso</w:t>
      </w:r>
      <w:r>
        <w:rPr>
          <w:rFonts w:ascii="Palatino Linotype" w:hAnsi="Palatino Linotype" w:cs="Arial"/>
        </w:rPr>
        <w:t xml:space="preserve"> revalidadas en términos de la normatividad aplicable.</w:t>
      </w:r>
    </w:p>
    <w:p w14:paraId="08ACD63E" w14:textId="108E6359" w:rsidR="00964524" w:rsidRDefault="00964524" w:rsidP="00964524">
      <w:pPr>
        <w:pStyle w:val="Prrafodelista"/>
        <w:numPr>
          <w:ilvl w:val="0"/>
          <w:numId w:val="28"/>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Que los titulares de licencias o permisos contraen una serie de obligaciones frente al Estado, destacando la relativa a tener a la vista la licencia o permiso, en original o copia certificada. </w:t>
      </w:r>
    </w:p>
    <w:p w14:paraId="7B319FEF" w14:textId="77777777" w:rsidR="00964524" w:rsidRDefault="00964524" w:rsidP="00C22CC5">
      <w:pPr>
        <w:pStyle w:val="Prrafodelista"/>
        <w:autoSpaceDE w:val="0"/>
        <w:autoSpaceDN w:val="0"/>
        <w:adjustRightInd w:val="0"/>
        <w:spacing w:before="240" w:after="160" w:line="360" w:lineRule="auto"/>
        <w:ind w:left="0"/>
        <w:jc w:val="both"/>
        <w:rPr>
          <w:rFonts w:ascii="Palatino Linotype" w:hAnsi="Palatino Linotype" w:cs="Arial"/>
        </w:rPr>
      </w:pPr>
    </w:p>
    <w:p w14:paraId="0266F406" w14:textId="2E703D0A" w:rsidR="00A95C19" w:rsidRDefault="00A95C19" w:rsidP="00A95C19">
      <w:pPr>
        <w:spacing w:line="360" w:lineRule="auto"/>
        <w:jc w:val="both"/>
        <w:rPr>
          <w:rFonts w:ascii="Palatino Linotype" w:hAnsi="Palatino Linotype" w:cs="Arial"/>
          <w:sz w:val="24"/>
          <w:szCs w:val="24"/>
        </w:rPr>
      </w:pPr>
      <w:r w:rsidRPr="00344519">
        <w:rPr>
          <w:rFonts w:ascii="Palatino Linotype" w:hAnsi="Palatino Linotype" w:cs="Arial"/>
          <w:sz w:val="24"/>
          <w:szCs w:val="24"/>
        </w:rPr>
        <w:t>Bajo este contexto, en términos de los numerales 18 y 19 de la Ley de Transparencia local existe obligación de documentar actos de autoridad, así como</w:t>
      </w:r>
      <w:r>
        <w:rPr>
          <w:rFonts w:ascii="Palatino Linotype" w:hAnsi="Palatino Linotype" w:cs="Arial"/>
          <w:sz w:val="24"/>
          <w:szCs w:val="24"/>
        </w:rPr>
        <w:t xml:space="preserve"> una presunción de existencia de la información cuando se refiera a las atribuciones de los sujetos obligados, porciones normativas que disponen a la literalidad lo siguiente: </w:t>
      </w:r>
    </w:p>
    <w:p w14:paraId="42AC45AC" w14:textId="77777777" w:rsidR="00A95C19" w:rsidRDefault="00A95C19" w:rsidP="00A95C19">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65F9B9DE" w14:textId="77777777" w:rsidR="00A95C19" w:rsidRDefault="00A95C19" w:rsidP="00A95C19">
      <w:pPr>
        <w:pStyle w:val="Citas"/>
      </w:pPr>
      <w:r>
        <w:t xml:space="preserve">Artículo 19. Se presume que la información debe existir si se refiere a las facultades, competencias y funciones que los ordenamientos jurídicos aplicables otorgan a los sujetos obligados. </w:t>
      </w:r>
    </w:p>
    <w:p w14:paraId="385C5716" w14:textId="77777777" w:rsidR="00A95C19" w:rsidRDefault="00A95C19" w:rsidP="00A95C19">
      <w:pPr>
        <w:pStyle w:val="Citas"/>
      </w:pPr>
      <w:r>
        <w:lastRenderedPageBreak/>
        <w:t xml:space="preserve">En los casos en que ciertas facultades, competencias o funciones no se hayan ejercido, se debe motivar la respuesta en función de las causas que motiven tal circunstancia. </w:t>
      </w:r>
    </w:p>
    <w:p w14:paraId="4985ADE0" w14:textId="77777777" w:rsidR="00A95C19" w:rsidRPr="00407C65" w:rsidRDefault="00A95C19" w:rsidP="00A95C19">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49A60DA9" w14:textId="77777777" w:rsidR="00A95C19" w:rsidRDefault="00A95C19" w:rsidP="00A95C19">
      <w:pPr>
        <w:autoSpaceDE w:val="0"/>
        <w:autoSpaceDN w:val="0"/>
        <w:adjustRightInd w:val="0"/>
        <w:spacing w:before="240" w:line="360" w:lineRule="auto"/>
        <w:jc w:val="both"/>
        <w:rPr>
          <w:rFonts w:ascii="Palatino Linotype" w:hAnsi="Palatino Linotype" w:cs="Arial"/>
          <w:b/>
          <w:bCs/>
        </w:rPr>
      </w:pPr>
    </w:p>
    <w:p w14:paraId="73DEB734" w14:textId="72700435" w:rsidR="00BD6031" w:rsidRDefault="00BD6031" w:rsidP="00BD6031">
      <w:pPr>
        <w:spacing w:before="240" w:line="360" w:lineRule="auto"/>
        <w:jc w:val="both"/>
        <w:rPr>
          <w:rFonts w:ascii="Palatino Linotype" w:hAnsi="Palatino Linotype"/>
          <w:bCs/>
          <w:sz w:val="24"/>
          <w:szCs w:val="24"/>
        </w:rPr>
      </w:pPr>
      <w:r w:rsidRPr="00322E78">
        <w:rPr>
          <w:rFonts w:ascii="Palatino Linotype" w:hAnsi="Palatino Linotype" w:cs="Arial"/>
          <w:sz w:val="24"/>
          <w:szCs w:val="24"/>
        </w:rPr>
        <w:t xml:space="preserve">Por otra parte, es óbice mencionar que la información requerida estriba parcialmente en las obligaciones de transparencia común, lo anterior con fundamento </w:t>
      </w:r>
      <w:r w:rsidRPr="00322E78">
        <w:rPr>
          <w:rFonts w:ascii="Palatino Linotype" w:hAnsi="Palatino Linotype"/>
          <w:bCs/>
          <w:sz w:val="24"/>
          <w:szCs w:val="24"/>
        </w:rPr>
        <w:t xml:space="preserve">en </w:t>
      </w:r>
      <w:r>
        <w:rPr>
          <w:rFonts w:ascii="Palatino Linotype" w:hAnsi="Palatino Linotype"/>
          <w:bCs/>
          <w:sz w:val="24"/>
          <w:szCs w:val="24"/>
        </w:rPr>
        <w:t>los artículos</w:t>
      </w:r>
      <w:r w:rsidRPr="00322E78">
        <w:rPr>
          <w:rFonts w:ascii="Palatino Linotype" w:hAnsi="Palatino Linotype"/>
          <w:bCs/>
          <w:sz w:val="24"/>
          <w:szCs w:val="24"/>
        </w:rPr>
        <w:t xml:space="preserve"> 24, fracción XII, 92, </w:t>
      </w:r>
      <w:r>
        <w:rPr>
          <w:rFonts w:ascii="Palatino Linotype" w:hAnsi="Palatino Linotype"/>
          <w:bCs/>
          <w:sz w:val="24"/>
          <w:szCs w:val="24"/>
        </w:rPr>
        <w:t xml:space="preserve">fracción </w:t>
      </w:r>
      <w:r w:rsidR="004001E0">
        <w:rPr>
          <w:rFonts w:ascii="Palatino Linotype" w:hAnsi="Palatino Linotype"/>
          <w:bCs/>
          <w:sz w:val="24"/>
          <w:szCs w:val="24"/>
        </w:rPr>
        <w:t>XXXII</w:t>
      </w:r>
      <w:r>
        <w:rPr>
          <w:rFonts w:ascii="Palatino Linotype" w:hAnsi="Palatino Linotype"/>
          <w:bCs/>
          <w:sz w:val="24"/>
          <w:szCs w:val="24"/>
        </w:rPr>
        <w:t xml:space="preserve"> de la Ley de Transparencia y Acceso a la Información Pública del Estado de México y Municipios, porciones normativas que disponen a la literalidad lo siguiente:</w:t>
      </w:r>
    </w:p>
    <w:p w14:paraId="42272F2A" w14:textId="77777777" w:rsidR="00BD6031" w:rsidRDefault="00BD6031" w:rsidP="00BD6031">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74494009" w14:textId="77777777" w:rsidR="00BD6031" w:rsidRPr="00E66BD3" w:rsidRDefault="00BD6031" w:rsidP="00BD6031">
      <w:pPr>
        <w:spacing w:before="240" w:line="360" w:lineRule="auto"/>
        <w:ind w:left="851" w:right="851"/>
        <w:jc w:val="both"/>
        <w:rPr>
          <w:rFonts w:ascii="Palatino Linotype" w:hAnsi="Palatino Linotype"/>
          <w:i/>
        </w:rPr>
      </w:pPr>
      <w:r>
        <w:rPr>
          <w:rFonts w:ascii="Palatino Linotype" w:hAnsi="Palatino Linotype"/>
          <w:i/>
        </w:rPr>
        <w:t>(…)</w:t>
      </w:r>
    </w:p>
    <w:p w14:paraId="392A9B0C" w14:textId="77777777" w:rsidR="00BD6031" w:rsidRDefault="00BD6031" w:rsidP="00BD6031">
      <w:pPr>
        <w:spacing w:before="240" w:line="360" w:lineRule="auto"/>
        <w:ind w:left="851" w:right="851"/>
        <w:jc w:val="both"/>
        <w:rPr>
          <w:rFonts w:ascii="Palatino Linotype" w:hAnsi="Palatino Linotype"/>
          <w:bCs/>
          <w:i/>
        </w:rPr>
      </w:pPr>
      <w:r w:rsidRPr="000C0AAF">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328AE5EA" w14:textId="77777777" w:rsidR="00BD6031" w:rsidRDefault="00BD6031" w:rsidP="00BD6031">
      <w:pPr>
        <w:spacing w:before="240" w:line="360" w:lineRule="auto"/>
        <w:ind w:left="851" w:right="851"/>
        <w:jc w:val="both"/>
        <w:rPr>
          <w:rFonts w:ascii="Palatino Linotype" w:hAnsi="Palatino Linotype"/>
          <w:bCs/>
          <w:i/>
        </w:rPr>
      </w:pPr>
      <w:r>
        <w:rPr>
          <w:rFonts w:ascii="Palatino Linotype" w:hAnsi="Palatino Linotype"/>
          <w:bCs/>
          <w:i/>
        </w:rPr>
        <w:t>(…)</w:t>
      </w:r>
    </w:p>
    <w:p w14:paraId="15A31196" w14:textId="77777777" w:rsidR="00BD6031" w:rsidRDefault="00BD6031" w:rsidP="00BD6031">
      <w:pPr>
        <w:spacing w:before="240" w:line="360" w:lineRule="auto"/>
        <w:ind w:left="851" w:right="851"/>
        <w:jc w:val="both"/>
        <w:rPr>
          <w:rFonts w:ascii="Palatino Linotype" w:hAnsi="Palatino Linotype"/>
          <w:bCs/>
          <w:sz w:val="24"/>
          <w:szCs w:val="24"/>
        </w:rPr>
      </w:pPr>
      <w:r w:rsidRPr="00E66BD3">
        <w:rPr>
          <w:rFonts w:ascii="Palatino Linotype" w:hAnsi="Palatino Linotype"/>
          <w:i/>
        </w:rPr>
        <w:t xml:space="preserve">Artículo 92. Los sujetos obligados deberán poner a disposición del público de manera permanente y actualizada de forma sencilla, precisa y entendible, en los respectivos </w:t>
      </w:r>
      <w:r w:rsidRPr="00E66BD3">
        <w:rPr>
          <w:rFonts w:ascii="Palatino Linotype" w:hAnsi="Palatino Linotype"/>
          <w:i/>
        </w:rPr>
        <w:lastRenderedPageBreak/>
        <w:t>medios electrónicos, de acuerdo con sus facultades, atribuciones, funciones u objeto social, según corresponda, la información, por lo menos, de los temas, documentos y políticas que a continuación se señalan:</w:t>
      </w:r>
    </w:p>
    <w:p w14:paraId="2BE65739" w14:textId="77777777" w:rsidR="00BD6031" w:rsidRDefault="00BD6031" w:rsidP="00BD6031">
      <w:pPr>
        <w:pStyle w:val="Citas"/>
      </w:pPr>
      <w:r>
        <w:t>(…)</w:t>
      </w:r>
    </w:p>
    <w:p w14:paraId="522DCBC2" w14:textId="055B800C" w:rsidR="00BD6031" w:rsidRDefault="00BD6031" w:rsidP="00BD6031">
      <w:pPr>
        <w:pStyle w:val="Citas"/>
      </w:pPr>
      <w: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D9A8F60" w14:textId="553982AC" w:rsidR="00BD6031" w:rsidRPr="00BD6031" w:rsidRDefault="00BD6031" w:rsidP="00BD6031">
      <w:pPr>
        <w:pStyle w:val="Citas"/>
        <w:rPr>
          <w:b/>
          <w:bCs/>
        </w:rPr>
      </w:pPr>
      <w:r>
        <w:t xml:space="preserve">(…)” </w:t>
      </w:r>
      <w:r>
        <w:rPr>
          <w:b/>
          <w:bCs/>
        </w:rPr>
        <w:t>(Sic)</w:t>
      </w:r>
    </w:p>
    <w:p w14:paraId="60E7DFD0" w14:textId="77777777" w:rsidR="00BD6031" w:rsidRDefault="00BD6031" w:rsidP="00A95C19">
      <w:pPr>
        <w:autoSpaceDE w:val="0"/>
        <w:autoSpaceDN w:val="0"/>
        <w:adjustRightInd w:val="0"/>
        <w:spacing w:before="240" w:line="360" w:lineRule="auto"/>
        <w:jc w:val="both"/>
        <w:rPr>
          <w:rFonts w:ascii="Palatino Linotype" w:hAnsi="Palatino Linotype" w:cs="Arial"/>
          <w:b/>
          <w:bCs/>
        </w:rPr>
      </w:pPr>
    </w:p>
    <w:p w14:paraId="13B734A9" w14:textId="3112627A" w:rsidR="00BD6031" w:rsidRDefault="00BD6031" w:rsidP="00A95C19">
      <w:pPr>
        <w:autoSpaceDE w:val="0"/>
        <w:autoSpaceDN w:val="0"/>
        <w:adjustRightInd w:val="0"/>
        <w:spacing w:before="240" w:line="360" w:lineRule="auto"/>
        <w:jc w:val="both"/>
        <w:rPr>
          <w:rFonts w:ascii="Palatino Linotype" w:eastAsia="Arial Unicode MS" w:hAnsi="Palatino Linotype"/>
          <w:sz w:val="24"/>
          <w:szCs w:val="24"/>
        </w:rPr>
      </w:pPr>
      <w:r w:rsidRPr="00D9557E">
        <w:rPr>
          <w:rFonts w:ascii="Palatino Linotype" w:eastAsia="MS Mincho" w:hAnsi="Palatino Linotype" w:cs="Tahoma"/>
          <w:sz w:val="24"/>
          <w:szCs w:val="24"/>
        </w:rPr>
        <w:t xml:space="preserve">Así la Ley de Transparencia y Acceso a la Información Pública del Estado de México y Municipios </w:t>
      </w:r>
      <w:r w:rsidRPr="00D9557E">
        <w:rPr>
          <w:rFonts w:ascii="Palatino Linotype" w:eastAsia="Arial Unicode MS" w:hAnsi="Palatino Linotype" w:cs="Arial"/>
          <w:sz w:val="24"/>
          <w:szCs w:val="24"/>
        </w:rPr>
        <w:t xml:space="preserve">en el artículo 92 </w:t>
      </w:r>
      <w:r>
        <w:rPr>
          <w:rFonts w:ascii="Palatino Linotype" w:eastAsia="Arial Unicode MS" w:hAnsi="Palatino Linotype" w:cs="Arial"/>
          <w:sz w:val="24"/>
          <w:szCs w:val="24"/>
        </w:rPr>
        <w:t xml:space="preserve">fracción </w:t>
      </w:r>
      <w:r>
        <w:rPr>
          <w:rFonts w:ascii="Palatino Linotype" w:hAnsi="Palatino Linotype"/>
          <w:bCs/>
          <w:sz w:val="24"/>
          <w:szCs w:val="24"/>
        </w:rPr>
        <w:t xml:space="preserve">XXXII de la Ley de Transparencia y Acceso a la Información Pública del Estado de México y Municipios </w:t>
      </w:r>
      <w:r w:rsidRPr="00D9557E">
        <w:rPr>
          <w:rFonts w:ascii="Palatino Linotype" w:eastAsia="Arial Unicode MS" w:hAnsi="Palatino Linotype"/>
          <w:sz w:val="24"/>
          <w:szCs w:val="24"/>
        </w:rPr>
        <w:t>señala que la información requerida respecto de</w:t>
      </w:r>
      <w:r>
        <w:rPr>
          <w:rFonts w:ascii="Palatino Linotype" w:eastAsia="Arial Unicode MS" w:hAnsi="Palatino Linotype"/>
          <w:sz w:val="24"/>
          <w:szCs w:val="24"/>
        </w:rPr>
        <w:t xml:space="preserve"> licencias de funcionamiento </w:t>
      </w:r>
      <w:r w:rsidRPr="00D9557E">
        <w:rPr>
          <w:rFonts w:ascii="Palatino Linotype" w:eastAsia="Arial Unicode MS" w:hAnsi="Palatino Linotype"/>
          <w:sz w:val="24"/>
          <w:szCs w:val="24"/>
        </w:rPr>
        <w:t>se trata de una obligación de transparencia común</w:t>
      </w:r>
      <w:r>
        <w:rPr>
          <w:rFonts w:ascii="Palatino Linotype" w:eastAsia="Arial Unicode MS" w:hAnsi="Palatino Linotype"/>
          <w:sz w:val="24"/>
          <w:szCs w:val="24"/>
        </w:rPr>
        <w:t>. Robustece lo anterior las siguientes imágenes ilustrativas correspondientes a la tabla de aplicabilidad:</w:t>
      </w:r>
    </w:p>
    <w:p w14:paraId="492F257C" w14:textId="187F9B94" w:rsidR="00BD6031" w:rsidRDefault="00BD6031" w:rsidP="00A95C19">
      <w:pPr>
        <w:autoSpaceDE w:val="0"/>
        <w:autoSpaceDN w:val="0"/>
        <w:adjustRightInd w:val="0"/>
        <w:spacing w:before="240" w:line="360" w:lineRule="auto"/>
        <w:jc w:val="both"/>
        <w:rPr>
          <w:rFonts w:ascii="Palatino Linotype" w:eastAsia="Arial Unicode MS" w:hAnsi="Palatino Linotype"/>
          <w:sz w:val="24"/>
          <w:szCs w:val="24"/>
        </w:rPr>
      </w:pPr>
      <w:r>
        <w:rPr>
          <w:rFonts w:ascii="Palatino Linotype" w:eastAsia="Arial Unicode MS" w:hAnsi="Palatino Linotype"/>
          <w:noProof/>
          <w:sz w:val="24"/>
          <w:szCs w:val="24"/>
          <w:lang w:eastAsia="es-MX"/>
        </w:rPr>
        <mc:AlternateContent>
          <mc:Choice Requires="wps">
            <w:drawing>
              <wp:anchor distT="0" distB="0" distL="114300" distR="114300" simplePos="0" relativeHeight="251764736" behindDoc="0" locked="0" layoutInCell="1" allowOverlap="1" wp14:anchorId="72802FCA" wp14:editId="5FA0AE58">
                <wp:simplePos x="0" y="0"/>
                <wp:positionH relativeFrom="column">
                  <wp:posOffset>-143789</wp:posOffset>
                </wp:positionH>
                <wp:positionV relativeFrom="paragraph">
                  <wp:posOffset>128472</wp:posOffset>
                </wp:positionV>
                <wp:extent cx="6027724" cy="1638605"/>
                <wp:effectExtent l="0" t="0" r="30480" b="19050"/>
                <wp:wrapNone/>
                <wp:docPr id="1190439853" name="Straight Connector 1"/>
                <wp:cNvGraphicFramePr/>
                <a:graphic xmlns:a="http://schemas.openxmlformats.org/drawingml/2006/main">
                  <a:graphicData uri="http://schemas.microsoft.com/office/word/2010/wordprocessingShape">
                    <wps:wsp>
                      <wps:cNvCnPr/>
                      <wps:spPr>
                        <a:xfrm>
                          <a:off x="0" y="0"/>
                          <a:ext cx="6027724" cy="16386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E08D55" id="Straight Connector 1"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11.3pt,10.1pt" to="463.3pt,1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" strokecolor="#5b9bd5 [3204]" strokeweight=".5pt">
                <v:stroke joinstyle="miter"/>
              </v:line>
            </w:pict>
          </mc:Fallback>
        </mc:AlternateContent>
      </w:r>
    </w:p>
    <w:p w14:paraId="7F3759A7" w14:textId="77777777" w:rsidR="00BD6031" w:rsidRDefault="00BD6031" w:rsidP="00A95C19">
      <w:pPr>
        <w:autoSpaceDE w:val="0"/>
        <w:autoSpaceDN w:val="0"/>
        <w:adjustRightInd w:val="0"/>
        <w:spacing w:before="240" w:line="360" w:lineRule="auto"/>
        <w:jc w:val="both"/>
        <w:rPr>
          <w:rFonts w:ascii="Palatino Linotype" w:eastAsia="Arial Unicode MS" w:hAnsi="Palatino Linotype"/>
          <w:sz w:val="24"/>
          <w:szCs w:val="24"/>
        </w:rPr>
      </w:pPr>
    </w:p>
    <w:p w14:paraId="3FB3B24C" w14:textId="77777777" w:rsidR="00BD6031" w:rsidRDefault="00BD6031" w:rsidP="00A95C19">
      <w:pPr>
        <w:autoSpaceDE w:val="0"/>
        <w:autoSpaceDN w:val="0"/>
        <w:adjustRightInd w:val="0"/>
        <w:spacing w:before="240" w:line="360" w:lineRule="auto"/>
        <w:jc w:val="both"/>
        <w:rPr>
          <w:rFonts w:ascii="Palatino Linotype" w:eastAsia="Arial Unicode MS" w:hAnsi="Palatino Linotype"/>
          <w:sz w:val="24"/>
          <w:szCs w:val="24"/>
        </w:rPr>
      </w:pPr>
    </w:p>
    <w:p w14:paraId="09864C6D" w14:textId="77777777" w:rsidR="00BD6031" w:rsidRDefault="00BD6031" w:rsidP="00A95C19">
      <w:pPr>
        <w:autoSpaceDE w:val="0"/>
        <w:autoSpaceDN w:val="0"/>
        <w:adjustRightInd w:val="0"/>
        <w:spacing w:before="240" w:line="360" w:lineRule="auto"/>
        <w:jc w:val="both"/>
        <w:rPr>
          <w:rFonts w:ascii="Palatino Linotype" w:eastAsia="Arial Unicode MS" w:hAnsi="Palatino Linotype"/>
          <w:sz w:val="24"/>
          <w:szCs w:val="24"/>
        </w:rPr>
      </w:pPr>
    </w:p>
    <w:p w14:paraId="5BDD141B" w14:textId="370D7407" w:rsidR="00BD6031" w:rsidRDefault="00BD6031"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noProof/>
          <w:lang w:val="es-MX" w:eastAsia="es-MX"/>
        </w:rPr>
        <w:lastRenderedPageBreak/>
        <w:drawing>
          <wp:anchor distT="0" distB="0" distL="114300" distR="114300" simplePos="0" relativeHeight="251768832" behindDoc="0" locked="0" layoutInCell="1" allowOverlap="1" wp14:anchorId="07BA99A4" wp14:editId="4ACBD609">
            <wp:simplePos x="0" y="0"/>
            <wp:positionH relativeFrom="margin">
              <wp:posOffset>35611</wp:posOffset>
            </wp:positionH>
            <wp:positionV relativeFrom="paragraph">
              <wp:posOffset>3790823</wp:posOffset>
            </wp:positionV>
            <wp:extent cx="5756910" cy="3484880"/>
            <wp:effectExtent l="19050" t="19050" r="15240" b="20320"/>
            <wp:wrapThrough wrapText="bothSides">
              <wp:wrapPolygon edited="0">
                <wp:start x="-71" y="-118"/>
                <wp:lineTo x="-71" y="21608"/>
                <wp:lineTo x="21586" y="21608"/>
                <wp:lineTo x="21586" y="-118"/>
                <wp:lineTo x="-71" y="-118"/>
              </wp:wrapPolygon>
            </wp:wrapThrough>
            <wp:docPr id="6331876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34848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val="es-MX" w:eastAsia="es-MX"/>
        </w:rPr>
        <w:drawing>
          <wp:anchor distT="0" distB="0" distL="114300" distR="114300" simplePos="0" relativeHeight="251765760" behindDoc="0" locked="0" layoutInCell="1" allowOverlap="1" wp14:anchorId="46AD9F37" wp14:editId="50389E25">
            <wp:simplePos x="0" y="0"/>
            <wp:positionH relativeFrom="margin">
              <wp:align>left</wp:align>
            </wp:positionH>
            <wp:positionV relativeFrom="paragraph">
              <wp:posOffset>19050</wp:posOffset>
            </wp:positionV>
            <wp:extent cx="5759450" cy="3484880"/>
            <wp:effectExtent l="19050" t="19050" r="12700" b="20320"/>
            <wp:wrapThrough wrapText="bothSides">
              <wp:wrapPolygon edited="0">
                <wp:start x="-71" y="-118"/>
                <wp:lineTo x="-71" y="21608"/>
                <wp:lineTo x="21576" y="21608"/>
                <wp:lineTo x="21576" y="-118"/>
                <wp:lineTo x="-71" y="-118"/>
              </wp:wrapPolygon>
            </wp:wrapThrough>
            <wp:docPr id="1051487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0084" cy="349100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6FBFF3C" w14:textId="6A1F21F5" w:rsidR="00A71C71" w:rsidRPr="00A71C71" w:rsidRDefault="00A95C19"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lastRenderedPageBreak/>
        <w:t xml:space="preserve">Una vez sentado lo anterior, como se mencionó en el antecedente </w:t>
      </w:r>
      <w:r w:rsidR="001F2130">
        <w:rPr>
          <w:rFonts w:ascii="Palatino Linotype" w:hAnsi="Palatino Linotype" w:cs="Arial"/>
          <w:lang w:val="es-MX"/>
        </w:rPr>
        <w:t>segundo</w:t>
      </w:r>
      <w:r>
        <w:rPr>
          <w:rFonts w:ascii="Palatino Linotype" w:hAnsi="Palatino Linotype" w:cs="Arial"/>
          <w:lang w:val="es-MX"/>
        </w:rPr>
        <w:t xml:space="preserve">, </w:t>
      </w:r>
      <w:r>
        <w:rPr>
          <w:rFonts w:ascii="Palatino Linotype" w:hAnsi="Palatino Linotype" w:cs="Arial"/>
          <w:b/>
          <w:bCs/>
          <w:lang w:val="es-MX"/>
        </w:rPr>
        <w:t xml:space="preserve">El Sujeto Obligado </w:t>
      </w:r>
      <w:r>
        <w:rPr>
          <w:rFonts w:ascii="Palatino Linotype" w:hAnsi="Palatino Linotype" w:cs="Arial"/>
          <w:lang w:val="es-MX"/>
        </w:rPr>
        <w:t xml:space="preserve">en fecha </w:t>
      </w:r>
      <w:r w:rsidR="00A71C71">
        <w:rPr>
          <w:rFonts w:ascii="Palatino Linotype" w:hAnsi="Palatino Linotype" w:cs="Arial"/>
          <w:b/>
          <w:bCs/>
          <w:lang w:val="es-MX"/>
        </w:rPr>
        <w:t xml:space="preserve">cuatro de septiembre de dos mil veintitrés, </w:t>
      </w:r>
      <w:r w:rsidR="00A71C71">
        <w:rPr>
          <w:rFonts w:ascii="Palatino Linotype" w:hAnsi="Palatino Linotype" w:cs="Arial"/>
          <w:lang w:val="es-MX"/>
        </w:rPr>
        <w:t xml:space="preserve">rindió su respuesta a la </w:t>
      </w:r>
      <w:r w:rsidR="00187EE0">
        <w:rPr>
          <w:rFonts w:ascii="Palatino Linotype" w:hAnsi="Palatino Linotype" w:cs="Arial"/>
          <w:lang w:val="es-MX"/>
        </w:rPr>
        <w:t>solicitud</w:t>
      </w:r>
      <w:r w:rsidR="00A71C71">
        <w:rPr>
          <w:rFonts w:ascii="Palatino Linotype" w:hAnsi="Palatino Linotype" w:cs="Arial"/>
          <w:lang w:val="es-MX"/>
        </w:rPr>
        <w:t xml:space="preserve"> de información, adjuntando para tal efecto lo siguiente: </w:t>
      </w:r>
    </w:p>
    <w:p w14:paraId="48595026" w14:textId="16CDB539" w:rsidR="001F2130" w:rsidRDefault="001F2130" w:rsidP="00187EE0">
      <w:pPr>
        <w:pStyle w:val="Prrafodelista"/>
        <w:numPr>
          <w:ilvl w:val="0"/>
          <w:numId w:val="34"/>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b/>
          <w:bCs/>
          <w:lang w:val="es-MX"/>
        </w:rPr>
        <w:t>“</w:t>
      </w:r>
      <w:r w:rsidR="00187EE0">
        <w:rPr>
          <w:rFonts w:ascii="Palatino Linotype" w:hAnsi="Palatino Linotype" w:cs="Arial"/>
          <w:b/>
          <w:bCs/>
          <w:lang w:val="es-MX"/>
        </w:rPr>
        <w:t xml:space="preserve">ZIN DDE 0505 2023.pdf”: </w:t>
      </w:r>
      <w:r w:rsidR="00187EE0">
        <w:rPr>
          <w:rFonts w:ascii="Palatino Linotype" w:hAnsi="Palatino Linotype" w:cs="Arial"/>
          <w:lang w:val="es-MX"/>
        </w:rPr>
        <w:t xml:space="preserve">Oficio número </w:t>
      </w:r>
      <w:r w:rsidR="00187EE0">
        <w:rPr>
          <w:rFonts w:ascii="Palatino Linotype" w:hAnsi="Palatino Linotype" w:cs="Arial"/>
          <w:b/>
          <w:bCs/>
          <w:lang w:val="es-MX"/>
        </w:rPr>
        <w:t xml:space="preserve">ZIN/DDE/0505/2023 </w:t>
      </w:r>
      <w:r w:rsidR="00187EE0">
        <w:rPr>
          <w:rFonts w:ascii="Palatino Linotype" w:hAnsi="Palatino Linotype" w:cs="Arial"/>
          <w:lang w:val="es-MX"/>
        </w:rPr>
        <w:t xml:space="preserve">signado por el director de Desarrollo Económico y dirigido a la Titular de la Unidad de Transparencia de Zinacantepec, de fecha </w:t>
      </w:r>
      <w:r w:rsidR="00187EE0">
        <w:rPr>
          <w:rFonts w:ascii="Palatino Linotype" w:hAnsi="Palatino Linotype" w:cs="Arial"/>
          <w:b/>
          <w:bCs/>
          <w:lang w:val="es-MX"/>
        </w:rPr>
        <w:t xml:space="preserve">cuatro de septiembre de dos mil veintitrés, </w:t>
      </w:r>
      <w:r w:rsidR="00187EE0">
        <w:rPr>
          <w:rFonts w:ascii="Palatino Linotype" w:hAnsi="Palatino Linotype" w:cs="Arial"/>
          <w:lang w:val="es-MX"/>
        </w:rPr>
        <w:t>resulta de nuestro interés el siguiente extracto:</w:t>
      </w:r>
    </w:p>
    <w:p w14:paraId="731AF91B" w14:textId="48CA9F19" w:rsidR="00187EE0" w:rsidRDefault="00187EE0" w:rsidP="00187EE0">
      <w:pPr>
        <w:pStyle w:val="Prrafodelista"/>
        <w:autoSpaceDE w:val="0"/>
        <w:autoSpaceDN w:val="0"/>
        <w:adjustRightInd w:val="0"/>
        <w:spacing w:before="240" w:after="160" w:line="360" w:lineRule="auto"/>
        <w:ind w:left="720"/>
        <w:jc w:val="both"/>
        <w:rPr>
          <w:rFonts w:ascii="Palatino Linotype" w:hAnsi="Palatino Linotype" w:cs="Arial"/>
          <w:i/>
          <w:iCs/>
          <w:lang w:val="es-MX"/>
        </w:rPr>
      </w:pPr>
      <w:r w:rsidRPr="00187EE0">
        <w:rPr>
          <w:rFonts w:ascii="Palatino Linotype" w:hAnsi="Palatino Linotype" w:cs="Arial"/>
          <w:i/>
          <w:iCs/>
          <w:lang w:val="es-MX"/>
        </w:rPr>
        <w:t>“</w:t>
      </w:r>
      <w:r>
        <w:rPr>
          <w:rFonts w:ascii="Palatino Linotype" w:hAnsi="Palatino Linotype" w:cs="Arial"/>
          <w:i/>
          <w:iCs/>
          <w:lang w:val="es-MX"/>
        </w:rPr>
        <w:t>(…)</w:t>
      </w:r>
    </w:p>
    <w:p w14:paraId="46F93621" w14:textId="1DBE7E73" w:rsidR="00187EE0" w:rsidRPr="00187EE0" w:rsidRDefault="00187EE0" w:rsidP="00187EE0">
      <w:pPr>
        <w:pStyle w:val="Prrafodelista"/>
        <w:autoSpaceDE w:val="0"/>
        <w:autoSpaceDN w:val="0"/>
        <w:adjustRightInd w:val="0"/>
        <w:spacing w:before="240" w:after="160" w:line="360" w:lineRule="auto"/>
        <w:ind w:left="720"/>
        <w:jc w:val="both"/>
        <w:rPr>
          <w:rFonts w:ascii="Palatino Linotype" w:hAnsi="Palatino Linotype" w:cs="Arial"/>
          <w:b/>
          <w:bCs/>
          <w:i/>
          <w:iCs/>
          <w:lang w:val="es-MX"/>
        </w:rPr>
      </w:pPr>
      <w:r>
        <w:rPr>
          <w:rFonts w:ascii="Palatino Linotype" w:hAnsi="Palatino Linotype" w:cs="Arial"/>
          <w:i/>
          <w:iCs/>
          <w:lang w:val="es-MX"/>
        </w:rPr>
        <w:t xml:space="preserve">Respecto de la anterior solicitud, conforme a los artículos 12 de la Ley de Transparencia y Acceso a la Información Pública del Estado de México y Municipios, le informo que, la Dirección de Desarrollo Económico </w:t>
      </w:r>
      <w:r>
        <w:rPr>
          <w:rFonts w:ascii="Palatino Linotype" w:hAnsi="Palatino Linotype" w:cs="Arial"/>
          <w:b/>
          <w:bCs/>
          <w:i/>
          <w:iCs/>
          <w:lang w:val="es-MX"/>
        </w:rPr>
        <w:t>NO EMITE PERMISOS DE FUNCIONAMIENTO PARA LOCALES” (Sic)</w:t>
      </w:r>
    </w:p>
    <w:p w14:paraId="75DE01AD" w14:textId="77777777" w:rsidR="00187EE0" w:rsidRDefault="00187EE0" w:rsidP="00982D4D">
      <w:pPr>
        <w:autoSpaceDE w:val="0"/>
        <w:autoSpaceDN w:val="0"/>
        <w:adjustRightInd w:val="0"/>
        <w:spacing w:before="240" w:line="360" w:lineRule="auto"/>
        <w:jc w:val="both"/>
        <w:rPr>
          <w:rFonts w:ascii="Palatino Linotype" w:hAnsi="Palatino Linotype" w:cs="Arial"/>
          <w:noProof/>
          <w:color w:val="000000"/>
          <w:sz w:val="24"/>
          <w:lang w:val="es-ES" w:eastAsia="es-MX"/>
        </w:rPr>
      </w:pPr>
    </w:p>
    <w:p w14:paraId="2FD3711F" w14:textId="4E42789B" w:rsidR="00187EE0" w:rsidRDefault="00982D4D" w:rsidP="00187EE0">
      <w:pPr>
        <w:autoSpaceDE w:val="0"/>
        <w:autoSpaceDN w:val="0"/>
        <w:adjustRightInd w:val="0"/>
        <w:spacing w:before="240" w:line="360" w:lineRule="auto"/>
        <w:jc w:val="both"/>
        <w:rPr>
          <w:rFonts w:ascii="Palatino Linotype" w:hAnsi="Palatino Linotype" w:cs="Arial"/>
          <w:noProof/>
          <w:color w:val="000000"/>
          <w:sz w:val="24"/>
          <w:lang w:val="es-ES" w:eastAsia="es-MX"/>
        </w:rPr>
      </w:pPr>
      <w:r>
        <w:rPr>
          <w:rFonts w:ascii="Palatino Linotype" w:hAnsi="Palatino Linotype" w:cs="Arial"/>
          <w:noProof/>
          <w:color w:val="000000"/>
          <w:sz w:val="24"/>
          <w:lang w:val="es-ES" w:eastAsia="es-MX"/>
        </w:rPr>
        <w:t xml:space="preserve">Luego entonces, </w:t>
      </w:r>
      <w:r w:rsidR="00275FDB">
        <w:rPr>
          <w:rFonts w:ascii="Palatino Linotype" w:hAnsi="Palatino Linotype" w:cs="Arial"/>
          <w:noProof/>
          <w:color w:val="000000"/>
          <w:sz w:val="24"/>
          <w:lang w:val="es-ES" w:eastAsia="es-MX"/>
        </w:rPr>
        <w:t xml:space="preserve">con relación al requerimiento identificado con el numeral </w:t>
      </w:r>
      <w:r w:rsidR="00275FDB">
        <w:rPr>
          <w:rFonts w:ascii="Palatino Linotype" w:hAnsi="Palatino Linotype" w:cs="Arial"/>
          <w:b/>
          <w:bCs/>
          <w:noProof/>
          <w:color w:val="000000"/>
          <w:sz w:val="24"/>
          <w:lang w:val="es-ES" w:eastAsia="es-MX"/>
        </w:rPr>
        <w:t xml:space="preserve">1 -uno-, </w:t>
      </w:r>
      <w:r>
        <w:rPr>
          <w:rFonts w:ascii="Palatino Linotype" w:hAnsi="Palatino Linotype" w:cs="Arial"/>
          <w:noProof/>
          <w:color w:val="000000"/>
          <w:sz w:val="24"/>
          <w:lang w:val="es-ES" w:eastAsia="es-MX"/>
        </w:rPr>
        <w:t xml:space="preserve">resulta obice señalar que </w:t>
      </w:r>
      <w:r w:rsidR="00187EE0">
        <w:rPr>
          <w:rFonts w:ascii="Palatino Linotype" w:hAnsi="Palatino Linotype" w:cs="Arial"/>
          <w:b/>
          <w:bCs/>
          <w:noProof/>
          <w:color w:val="000000"/>
          <w:sz w:val="24"/>
          <w:lang w:val="es-ES" w:eastAsia="es-MX"/>
        </w:rPr>
        <w:t xml:space="preserve">El Sujeto Obligado </w:t>
      </w:r>
      <w:r w:rsidR="00187EE0">
        <w:rPr>
          <w:rFonts w:ascii="Palatino Linotype" w:hAnsi="Palatino Linotype" w:cs="Arial"/>
          <w:noProof/>
          <w:color w:val="000000"/>
          <w:sz w:val="24"/>
          <w:lang w:val="es-ES" w:eastAsia="es-MX"/>
        </w:rPr>
        <w:t>observó de manera diligente el artículo 162 de la Ley de Transparencia local, porción normativa que dispone a la literalidad lo siguiente:</w:t>
      </w:r>
    </w:p>
    <w:p w14:paraId="5DCE8C68" w14:textId="67B681BE" w:rsidR="00187EE0" w:rsidRDefault="00187EE0" w:rsidP="00187EE0">
      <w:pPr>
        <w:pStyle w:val="Citas"/>
        <w:rPr>
          <w:b/>
          <w:bCs/>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bCs/>
        </w:rPr>
        <w:t>(Sic)</w:t>
      </w:r>
    </w:p>
    <w:p w14:paraId="207C3C3F" w14:textId="50EA0B16" w:rsidR="00187EE0" w:rsidRPr="00187EE0" w:rsidRDefault="00187EE0" w:rsidP="00187EE0">
      <w:pPr>
        <w:pStyle w:val="Citas"/>
        <w:ind w:left="0" w:right="0"/>
        <w:rPr>
          <w:i w:val="0"/>
          <w:iCs/>
          <w:noProof/>
          <w:color w:val="000000"/>
          <w:sz w:val="24"/>
          <w:szCs w:val="24"/>
          <w:lang w:val="es-ES" w:eastAsia="es-MX"/>
        </w:rPr>
      </w:pPr>
      <w:r>
        <w:rPr>
          <w:i w:val="0"/>
          <w:iCs/>
          <w:sz w:val="24"/>
          <w:szCs w:val="24"/>
        </w:rPr>
        <w:lastRenderedPageBreak/>
        <w:t xml:space="preserve">No obstante, </w:t>
      </w:r>
      <w:r>
        <w:rPr>
          <w:b/>
          <w:bCs/>
          <w:i w:val="0"/>
          <w:iCs/>
          <w:sz w:val="24"/>
          <w:szCs w:val="24"/>
        </w:rPr>
        <w:t>El Sujeto Obligado</w:t>
      </w:r>
      <w:r>
        <w:rPr>
          <w:i w:val="0"/>
          <w:iCs/>
          <w:sz w:val="24"/>
          <w:szCs w:val="24"/>
        </w:rPr>
        <w:t xml:space="preserve">, a través del Director de Desarrollo Económico se limitó a señalar que no emite permisos de funcionamiento para locales, luego entonces, a toda luz se desprende que dio respuesta a la solicitud de información </w:t>
      </w:r>
      <w:r w:rsidRPr="00E70EC3">
        <w:rPr>
          <w:b/>
          <w:bCs/>
          <w:i w:val="0"/>
          <w:iCs/>
          <w:sz w:val="24"/>
          <w:szCs w:val="24"/>
        </w:rPr>
        <w:t>01182/ZINACANT/IP/2023</w:t>
      </w:r>
      <w:r>
        <w:rPr>
          <w:i w:val="0"/>
          <w:iCs/>
          <w:sz w:val="24"/>
          <w:szCs w:val="24"/>
        </w:rPr>
        <w:t xml:space="preserve"> inobservando el principio de suplencia de la queja imperante en la materia, al tomar en consideración que el particular no resulta experto en terminología de administración </w:t>
      </w:r>
      <w:r w:rsidR="00CF096B">
        <w:rPr>
          <w:i w:val="0"/>
          <w:iCs/>
          <w:sz w:val="24"/>
          <w:szCs w:val="24"/>
        </w:rPr>
        <w:t xml:space="preserve">pública, derecho municipal o incluso derecho de acceso a la información pública. </w:t>
      </w:r>
    </w:p>
    <w:p w14:paraId="5F6C9558" w14:textId="77777777" w:rsidR="00B13A10" w:rsidRDefault="00B13A10" w:rsidP="00E6369C">
      <w:pPr>
        <w:spacing w:after="0" w:line="360" w:lineRule="auto"/>
        <w:jc w:val="both"/>
        <w:rPr>
          <w:rFonts w:ascii="Palatino Linotype" w:hAnsi="Palatino Linotype" w:cs="Arial"/>
          <w:noProof/>
          <w:color w:val="000000"/>
          <w:sz w:val="24"/>
          <w:lang w:eastAsia="es-MX"/>
        </w:rPr>
      </w:pPr>
    </w:p>
    <w:p w14:paraId="1C9A40C5" w14:textId="4EA92C90" w:rsidR="00CF096B" w:rsidRDefault="00093E92" w:rsidP="00E6369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Inconforme con la respuesta rendida por </w:t>
      </w:r>
      <w:r>
        <w:rPr>
          <w:rFonts w:ascii="Palatino Linotype" w:hAnsi="Palatino Linotype" w:cs="Arial"/>
          <w:b/>
          <w:bCs/>
          <w:noProof/>
          <w:color w:val="000000"/>
          <w:sz w:val="24"/>
          <w:lang w:eastAsia="es-MX"/>
        </w:rPr>
        <w:t xml:space="preserve">El Sujeto Obligado, El Recurrente </w:t>
      </w:r>
      <w:r>
        <w:rPr>
          <w:rFonts w:ascii="Palatino Linotype" w:hAnsi="Palatino Linotype" w:cs="Arial"/>
          <w:noProof/>
          <w:color w:val="000000"/>
          <w:sz w:val="24"/>
          <w:lang w:eastAsia="es-MX"/>
        </w:rPr>
        <w:t xml:space="preserve">interpuso recurso de revisión en fecha </w:t>
      </w:r>
      <w:r w:rsidR="00CF096B">
        <w:rPr>
          <w:rFonts w:ascii="Palatino Linotype" w:hAnsi="Palatino Linotype" w:cs="Arial"/>
          <w:noProof/>
          <w:color w:val="000000"/>
          <w:sz w:val="24"/>
          <w:lang w:eastAsia="es-MX"/>
        </w:rPr>
        <w:t>cinco de septiembre, admitiendose el siete de septiembre, ambos de dos mil veintitrés. Señalando como acto impugnado y como razones o motivos de inconformidad:</w:t>
      </w:r>
    </w:p>
    <w:p w14:paraId="4B7245DF" w14:textId="19CF4F21" w:rsidR="00CF096B" w:rsidRDefault="00CF096B" w:rsidP="00CF096B">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9EF5D01" w14:textId="77777777" w:rsidR="00CF096B" w:rsidRPr="003406C5" w:rsidRDefault="00CF096B" w:rsidP="00CF096B">
      <w:pPr>
        <w:pStyle w:val="Citas"/>
        <w:rPr>
          <w:b/>
          <w:bCs/>
          <w:sz w:val="24"/>
        </w:rPr>
      </w:pPr>
      <w:r w:rsidRPr="009C2C81">
        <w:t>“NO ENTREGA INFORMACIÓN”</w:t>
      </w:r>
      <w:r>
        <w:t xml:space="preserve"> </w:t>
      </w:r>
      <w:r>
        <w:rPr>
          <w:b/>
          <w:bCs/>
        </w:rPr>
        <w:t>(Sic)</w:t>
      </w:r>
    </w:p>
    <w:p w14:paraId="6ECFED04" w14:textId="77777777" w:rsidR="00CF096B" w:rsidRDefault="00CF096B" w:rsidP="00CF096B">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9C4A3D2" w14:textId="77777777" w:rsidR="00CF096B" w:rsidRPr="003406C5" w:rsidRDefault="00CF096B" w:rsidP="00CF096B">
      <w:pPr>
        <w:pStyle w:val="Citas"/>
        <w:rPr>
          <w:b/>
          <w:bCs/>
        </w:rPr>
      </w:pPr>
      <w:r w:rsidRPr="009C2C81">
        <w:t>“A ENTONCES NO HAY CONTROL O QUE”</w:t>
      </w:r>
      <w:r>
        <w:t xml:space="preserve"> </w:t>
      </w:r>
      <w:r>
        <w:rPr>
          <w:b/>
          <w:bCs/>
        </w:rPr>
        <w:t>(Sic)</w:t>
      </w:r>
    </w:p>
    <w:p w14:paraId="0F0FEDA7" w14:textId="77777777" w:rsidR="00CF096B" w:rsidRDefault="00CF096B" w:rsidP="00E6369C">
      <w:pPr>
        <w:spacing w:after="0" w:line="360" w:lineRule="auto"/>
        <w:jc w:val="both"/>
        <w:rPr>
          <w:rFonts w:ascii="Palatino Linotype" w:hAnsi="Palatino Linotype" w:cs="Arial"/>
          <w:noProof/>
          <w:color w:val="000000"/>
          <w:sz w:val="24"/>
          <w:lang w:eastAsia="es-MX"/>
        </w:rPr>
      </w:pPr>
    </w:p>
    <w:p w14:paraId="5570BE92" w14:textId="77777777" w:rsidR="00CF096B" w:rsidRDefault="00CF096B" w:rsidP="00E6369C">
      <w:pPr>
        <w:spacing w:after="0" w:line="360" w:lineRule="auto"/>
        <w:jc w:val="both"/>
        <w:rPr>
          <w:rFonts w:ascii="Palatino Linotype" w:hAnsi="Palatino Linotype" w:cs="Arial"/>
          <w:noProof/>
          <w:color w:val="000000"/>
          <w:sz w:val="24"/>
          <w:lang w:eastAsia="es-MX"/>
        </w:rPr>
      </w:pPr>
    </w:p>
    <w:p w14:paraId="37F90230" w14:textId="0032659B" w:rsidR="00A95C19" w:rsidRPr="00105956" w:rsidRDefault="00A95C19" w:rsidP="00A95C19">
      <w:pPr>
        <w:spacing w:after="240" w:line="360" w:lineRule="auto"/>
        <w:jc w:val="both"/>
        <w:rPr>
          <w:rFonts w:ascii="Palatino Linotype" w:hAnsi="Palatino Linotype" w:cs="Arial"/>
          <w:bCs/>
          <w:noProof/>
          <w:color w:val="000000"/>
          <w:sz w:val="24"/>
          <w:lang w:eastAsia="es-MX"/>
        </w:rPr>
      </w:pPr>
      <w:r w:rsidRPr="00105956">
        <w:rPr>
          <w:rFonts w:ascii="Palatino Linotype" w:hAnsi="Palatino Linotype"/>
          <w:sz w:val="24"/>
          <w:szCs w:val="24"/>
        </w:rPr>
        <w:t xml:space="preserve">Así las cosas, hasta aquí lo expuesto, resulta inconcuso que </w:t>
      </w:r>
      <w:r w:rsidRPr="00105956">
        <w:rPr>
          <w:rFonts w:ascii="Palatino Linotype" w:hAnsi="Palatino Linotype"/>
          <w:bCs/>
          <w:sz w:val="24"/>
          <w:szCs w:val="24"/>
        </w:rPr>
        <w:t>los motivos de inconformidad aducidos por</w:t>
      </w:r>
      <w:r w:rsidRPr="00105956">
        <w:rPr>
          <w:rFonts w:ascii="Palatino Linotype" w:hAnsi="Palatino Linotype" w:cs="Arial"/>
          <w:noProof/>
          <w:color w:val="000000"/>
          <w:sz w:val="24"/>
          <w:lang w:eastAsia="es-MX"/>
        </w:rPr>
        <w:t xml:space="preserve"> </w:t>
      </w:r>
      <w:r w:rsidRPr="00105956">
        <w:rPr>
          <w:rFonts w:ascii="Palatino Linotype" w:hAnsi="Palatino Linotype" w:cs="Arial"/>
          <w:b/>
          <w:noProof/>
          <w:color w:val="000000"/>
          <w:sz w:val="24"/>
          <w:lang w:eastAsia="es-MX"/>
        </w:rPr>
        <w:t>El Recurrente,</w:t>
      </w:r>
      <w:r>
        <w:rPr>
          <w:rFonts w:ascii="Palatino Linotype" w:hAnsi="Palatino Linotype" w:cs="Arial"/>
          <w:b/>
          <w:noProof/>
          <w:color w:val="000000"/>
          <w:sz w:val="24"/>
          <w:lang w:eastAsia="es-MX"/>
        </w:rPr>
        <w:t xml:space="preserve"> </w:t>
      </w:r>
      <w:r>
        <w:rPr>
          <w:rFonts w:ascii="Palatino Linotype" w:hAnsi="Palatino Linotype" w:cs="Arial"/>
          <w:bCs/>
          <w:noProof/>
          <w:color w:val="000000"/>
          <w:sz w:val="24"/>
          <w:lang w:eastAsia="es-MX"/>
        </w:rPr>
        <w:t xml:space="preserve">actualizan la hipotesis normativa prevista en el artículo 179, </w:t>
      </w:r>
      <w:r w:rsidR="00CF096B">
        <w:rPr>
          <w:rFonts w:ascii="Palatino Linotype" w:hAnsi="Palatino Linotype" w:cs="Arial"/>
          <w:bCs/>
          <w:noProof/>
          <w:color w:val="000000"/>
          <w:sz w:val="24"/>
          <w:lang w:eastAsia="es-MX"/>
        </w:rPr>
        <w:t>fracción I</w:t>
      </w:r>
      <w:r>
        <w:rPr>
          <w:rFonts w:ascii="Palatino Linotype" w:hAnsi="Palatino Linotype" w:cs="Arial"/>
          <w:bCs/>
          <w:noProof/>
          <w:color w:val="000000"/>
          <w:sz w:val="24"/>
          <w:lang w:eastAsia="es-MX"/>
        </w:rPr>
        <w:t xml:space="preserve"> de la Ley de Transparencia y Acceso a la Información Pública del Estado de México y Municipios, cuyo contenido literal es el siguiente: </w:t>
      </w:r>
    </w:p>
    <w:p w14:paraId="66D5B683" w14:textId="77777777" w:rsidR="00A95C19" w:rsidRDefault="00A95C19" w:rsidP="00A95C19">
      <w:pPr>
        <w:pStyle w:val="Citas"/>
      </w:pPr>
      <w:r>
        <w:lastRenderedPageBreak/>
        <w:t>“Artículo 179. El recurso de revisión es un medio de protección que la Ley otorga a los particulares, para hacer valer su derecho de acceso a la información pública, y procederá en contra de las siguientes causas:</w:t>
      </w:r>
    </w:p>
    <w:p w14:paraId="2FC7BFF1" w14:textId="77777777" w:rsidR="00A95C19" w:rsidRDefault="00A95C19" w:rsidP="00A95C19">
      <w:pPr>
        <w:pStyle w:val="Citas"/>
      </w:pPr>
      <w:r>
        <w:t>I. La negativa a la información solicitada;</w:t>
      </w:r>
    </w:p>
    <w:p w14:paraId="1D1B6029" w14:textId="7F663B51" w:rsidR="00A95C19" w:rsidRPr="005A12AE" w:rsidRDefault="0035671C" w:rsidP="00A95C19">
      <w:pPr>
        <w:pStyle w:val="Citas"/>
        <w:rPr>
          <w:b/>
          <w:bCs/>
          <w:noProof/>
          <w:color w:val="000000"/>
          <w:sz w:val="24"/>
          <w:lang w:eastAsia="es-MX"/>
        </w:rPr>
      </w:pPr>
      <w:r>
        <w:t>(…)</w:t>
      </w:r>
      <w:r w:rsidR="00A95C19">
        <w:rPr>
          <w:noProof/>
          <w:color w:val="000000"/>
          <w:sz w:val="24"/>
          <w:lang w:eastAsia="es-MX"/>
        </w:rPr>
        <w:t xml:space="preserve">” </w:t>
      </w:r>
      <w:r w:rsidR="00A95C19">
        <w:rPr>
          <w:b/>
          <w:bCs/>
          <w:noProof/>
          <w:color w:val="000000"/>
          <w:sz w:val="24"/>
          <w:lang w:eastAsia="es-MX"/>
        </w:rPr>
        <w:t>(Sic)</w:t>
      </w:r>
    </w:p>
    <w:p w14:paraId="631EC7E2" w14:textId="77777777" w:rsidR="00A95C19" w:rsidRDefault="00A95C19" w:rsidP="00E6369C">
      <w:pPr>
        <w:spacing w:after="0" w:line="360" w:lineRule="auto"/>
        <w:jc w:val="both"/>
        <w:rPr>
          <w:rFonts w:ascii="Palatino Linotype" w:hAnsi="Palatino Linotype" w:cs="Arial"/>
          <w:noProof/>
          <w:color w:val="000000"/>
          <w:sz w:val="24"/>
          <w:lang w:eastAsia="es-MX"/>
        </w:rPr>
      </w:pPr>
    </w:p>
    <w:p w14:paraId="5DCDCF53" w14:textId="404F0F2B" w:rsidR="00A95C19" w:rsidRDefault="00A95C19" w:rsidP="00A95C19">
      <w:pPr>
        <w:spacing w:after="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referido en el antecedente quinto, </w:t>
      </w:r>
      <w:r>
        <w:rPr>
          <w:rFonts w:ascii="Palatino Linotype" w:hAnsi="Palatino Linotype" w:cs="Arial"/>
          <w:b/>
          <w:bCs/>
          <w:color w:val="000000"/>
          <w:sz w:val="24"/>
          <w:lang w:val="es-ES_tradnl"/>
        </w:rPr>
        <w:t xml:space="preserve">El Sujeto Obligado </w:t>
      </w:r>
      <w:r>
        <w:rPr>
          <w:rFonts w:ascii="Palatino Linotype" w:hAnsi="Palatino Linotype" w:cs="Arial"/>
          <w:color w:val="000000"/>
          <w:sz w:val="24"/>
          <w:lang w:val="es-ES_tradnl"/>
        </w:rPr>
        <w:t>fue omiso en rendir sus informes justificados.</w:t>
      </w:r>
      <w:r w:rsidRPr="00A95C19">
        <w:rPr>
          <w:rFonts w:ascii="Palatino Linotype" w:hAnsi="Palatino Linotype" w:cs="Arial"/>
          <w:color w:val="000000"/>
          <w:sz w:val="24"/>
          <w:lang w:val="es-ES_tradnl"/>
        </w:rPr>
        <w:t xml:space="preserve"> </w:t>
      </w:r>
      <w:r>
        <w:rPr>
          <w:rFonts w:ascii="Palatino Linotype" w:hAnsi="Palatino Linotype" w:cs="Arial"/>
          <w:color w:val="000000"/>
          <w:sz w:val="24"/>
          <w:lang w:val="es-ES_tradnl"/>
        </w:rPr>
        <w:t>De ahí que se infiere a las siguientes conclusiones:</w:t>
      </w:r>
    </w:p>
    <w:p w14:paraId="01F9E99F" w14:textId="77777777" w:rsidR="00330C50" w:rsidRDefault="00330C50" w:rsidP="00330C50">
      <w:pPr>
        <w:pStyle w:val="Prrafodelista"/>
        <w:numPr>
          <w:ilvl w:val="0"/>
          <w:numId w:val="32"/>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El derecho de acceso a la información pública se traduce en la prerrogativa constitucionalmente reconocida que le permite a la ciudadanía, acceder a los soportes documentales generados por los </w:t>
      </w:r>
      <w:r>
        <w:rPr>
          <w:rFonts w:ascii="Palatino Linotype" w:hAnsi="Palatino Linotype" w:cs="Arial"/>
          <w:b/>
          <w:bCs/>
          <w:color w:val="000000"/>
          <w:lang w:val="es-ES_tradnl"/>
        </w:rPr>
        <w:t xml:space="preserve">Sujetos Obligados, </w:t>
      </w:r>
      <w:r>
        <w:rPr>
          <w:rFonts w:ascii="Palatino Linotype" w:hAnsi="Palatino Linotype" w:cs="Arial"/>
          <w:color w:val="000000"/>
          <w:lang w:val="es-ES_tradnl"/>
        </w:rPr>
        <w:t xml:space="preserve">observando las restricciones previstas a la normatividad aplicable. </w:t>
      </w:r>
    </w:p>
    <w:p w14:paraId="69A71D0A" w14:textId="05B2878F" w:rsidR="00676E40" w:rsidRPr="00676E40" w:rsidRDefault="00676E40" w:rsidP="00024156">
      <w:pPr>
        <w:pStyle w:val="Prrafodelista"/>
        <w:numPr>
          <w:ilvl w:val="0"/>
          <w:numId w:val="32"/>
        </w:numPr>
        <w:spacing w:line="360" w:lineRule="auto"/>
        <w:jc w:val="both"/>
        <w:rPr>
          <w:rFonts w:ascii="Palatino Linotype" w:hAnsi="Palatino Linotype" w:cs="Arial"/>
          <w:color w:val="000000"/>
          <w:lang w:val="es-ES_tradnl"/>
        </w:rPr>
      </w:pPr>
      <w:r w:rsidRPr="00676E40">
        <w:rPr>
          <w:rFonts w:ascii="Palatino Linotype" w:hAnsi="Palatino Linotype"/>
        </w:rPr>
        <w:t xml:space="preserve">Que </w:t>
      </w:r>
      <w:r w:rsidR="00CF096B">
        <w:rPr>
          <w:rFonts w:ascii="Palatino Linotype" w:hAnsi="Palatino Linotype"/>
        </w:rPr>
        <w:t xml:space="preserve">el derecho de acceso a la información pública se rige por un complejo entramado de principios tales como certeza, gratuidad, imparcialidad, legalidad, independencia, máxima publicidad, </w:t>
      </w:r>
      <w:r w:rsidR="00CF096B" w:rsidRPr="00CF096B">
        <w:rPr>
          <w:rFonts w:ascii="Palatino Linotype" w:hAnsi="Palatino Linotype"/>
          <w:b/>
          <w:bCs/>
        </w:rPr>
        <w:t>suplencia de la queja,</w:t>
      </w:r>
      <w:r w:rsidR="00CF096B">
        <w:rPr>
          <w:rFonts w:ascii="Palatino Linotype" w:hAnsi="Palatino Linotype"/>
        </w:rPr>
        <w:t xml:space="preserve"> entre otros. </w:t>
      </w:r>
      <w:r>
        <w:rPr>
          <w:rFonts w:ascii="Palatino Linotype" w:hAnsi="Palatino Linotype"/>
          <w:b/>
          <w:bCs/>
        </w:rPr>
        <w:t xml:space="preserve"> </w:t>
      </w:r>
    </w:p>
    <w:p w14:paraId="32F8CB7F" w14:textId="409B46B6" w:rsidR="0035671C" w:rsidRPr="00676E40" w:rsidRDefault="00676E40" w:rsidP="00DB6C81">
      <w:pPr>
        <w:pStyle w:val="Prrafodelista"/>
        <w:numPr>
          <w:ilvl w:val="0"/>
          <w:numId w:val="32"/>
        </w:numPr>
        <w:spacing w:line="360" w:lineRule="auto"/>
        <w:jc w:val="both"/>
        <w:rPr>
          <w:rFonts w:ascii="Palatino Linotype" w:hAnsi="Palatino Linotype" w:cs="Arial"/>
          <w:color w:val="000000"/>
          <w:lang w:val="es-ES_tradnl"/>
        </w:rPr>
      </w:pPr>
      <w:r w:rsidRPr="00676E40">
        <w:rPr>
          <w:rFonts w:ascii="Palatino Linotype" w:hAnsi="Palatino Linotype" w:cs="Arial"/>
          <w:color w:val="000000"/>
          <w:lang w:val="es-ES_tradnl"/>
        </w:rPr>
        <w:t>Que</w:t>
      </w:r>
      <w:r w:rsidR="00CF096B">
        <w:rPr>
          <w:rFonts w:ascii="Palatino Linotype" w:hAnsi="Palatino Linotype" w:cs="Arial"/>
          <w:color w:val="000000"/>
          <w:lang w:val="es-ES_tradnl"/>
        </w:rPr>
        <w:t xml:space="preserve"> la figura de la suplencia de la queja en materia de acceso a la información constriñe a la autoridad competente a efecto de subsanar omisiones o imperfecciones, sin llegar al extremo de cambiar los hechos expuestos. </w:t>
      </w:r>
    </w:p>
    <w:p w14:paraId="04A339EC" w14:textId="53178824" w:rsidR="00CF096B" w:rsidRDefault="00CD1057" w:rsidP="008427CD">
      <w:pPr>
        <w:pStyle w:val="Prrafodelista"/>
        <w:numPr>
          <w:ilvl w:val="0"/>
          <w:numId w:val="32"/>
        </w:numPr>
        <w:spacing w:line="360" w:lineRule="auto"/>
        <w:jc w:val="both"/>
        <w:rPr>
          <w:rFonts w:ascii="Palatino Linotype" w:hAnsi="Palatino Linotype" w:cs="Arial"/>
          <w:color w:val="000000"/>
          <w:lang w:val="es-ES_tradnl"/>
        </w:rPr>
      </w:pPr>
      <w:r w:rsidRPr="0035671C">
        <w:rPr>
          <w:rFonts w:ascii="Palatino Linotype" w:hAnsi="Palatino Linotype" w:cs="Arial"/>
          <w:color w:val="000000"/>
          <w:lang w:val="es-ES_tradnl"/>
        </w:rPr>
        <w:t>Que,</w:t>
      </w:r>
      <w:r w:rsidR="0035671C" w:rsidRPr="0035671C">
        <w:rPr>
          <w:rFonts w:ascii="Palatino Linotype" w:hAnsi="Palatino Linotype" w:cs="Arial"/>
          <w:color w:val="000000"/>
          <w:lang w:val="es-ES_tradnl"/>
        </w:rPr>
        <w:t xml:space="preserve"> </w:t>
      </w:r>
      <w:r w:rsidR="00CF096B">
        <w:rPr>
          <w:rFonts w:ascii="Palatino Linotype" w:hAnsi="Palatino Linotype" w:cs="Arial"/>
          <w:color w:val="000000"/>
          <w:lang w:val="es-ES_tradnl"/>
        </w:rPr>
        <w:t xml:space="preserve">mediante respuesta primigenia, </w:t>
      </w:r>
      <w:r w:rsidR="00CF096B">
        <w:rPr>
          <w:rFonts w:ascii="Palatino Linotype" w:hAnsi="Palatino Linotype" w:cs="Arial"/>
          <w:b/>
          <w:bCs/>
          <w:color w:val="000000"/>
          <w:lang w:val="es-ES_tradnl"/>
        </w:rPr>
        <w:t xml:space="preserve">El Sujeto Obligado </w:t>
      </w:r>
      <w:r w:rsidR="00CF096B">
        <w:rPr>
          <w:rFonts w:ascii="Palatino Linotype" w:hAnsi="Palatino Linotype" w:cs="Arial"/>
          <w:color w:val="000000"/>
          <w:lang w:val="es-ES_tradnl"/>
        </w:rPr>
        <w:t xml:space="preserve">a través del servidor público habilitado adscrito a la Dirección de Desarrollo Económico se limitó a </w:t>
      </w:r>
      <w:r w:rsidR="00CF096B">
        <w:rPr>
          <w:rFonts w:ascii="Palatino Linotype" w:hAnsi="Palatino Linotype" w:cs="Arial"/>
          <w:color w:val="000000"/>
          <w:lang w:val="es-ES_tradnl"/>
        </w:rPr>
        <w:lastRenderedPageBreak/>
        <w:t xml:space="preserve">señalar que no emite </w:t>
      </w:r>
      <w:r w:rsidR="00CF096B">
        <w:rPr>
          <w:rFonts w:ascii="Palatino Linotype" w:hAnsi="Palatino Linotype" w:cs="Arial"/>
          <w:i/>
          <w:iCs/>
          <w:color w:val="000000"/>
          <w:lang w:val="es-ES_tradnl"/>
        </w:rPr>
        <w:t>“permisos de funcionamiento para locales”</w:t>
      </w:r>
      <w:r>
        <w:rPr>
          <w:rFonts w:ascii="Palatino Linotype" w:hAnsi="Palatino Linotype" w:cs="Arial"/>
          <w:color w:val="000000"/>
          <w:lang w:val="es-ES_tradnl"/>
        </w:rPr>
        <w:t xml:space="preserve">, no obstante, omitió pronunciarse con relación a licencias de funcionamiento expedidas a favor de unidades económicas o locales. </w:t>
      </w:r>
    </w:p>
    <w:p w14:paraId="68A0DACD" w14:textId="7D7CBFF0" w:rsidR="00A95C19" w:rsidRPr="00330C50" w:rsidRDefault="00330C50" w:rsidP="00330C50">
      <w:pPr>
        <w:pStyle w:val="Prrafodelista"/>
        <w:numPr>
          <w:ilvl w:val="0"/>
          <w:numId w:val="32"/>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Finalmente, resulta óbice señalar que </w:t>
      </w:r>
      <w:r>
        <w:rPr>
          <w:rFonts w:ascii="Palatino Linotype" w:hAnsi="Palatino Linotype" w:cs="Arial"/>
          <w:b/>
          <w:bCs/>
          <w:color w:val="000000"/>
          <w:lang w:val="es-ES_tradnl"/>
        </w:rPr>
        <w:t xml:space="preserve">El Sujeto Obligado </w:t>
      </w:r>
      <w:r>
        <w:rPr>
          <w:rFonts w:ascii="Palatino Linotype" w:hAnsi="Palatino Linotype" w:cs="Arial"/>
          <w:color w:val="000000"/>
          <w:lang w:val="es-ES_tradnl"/>
        </w:rPr>
        <w:t xml:space="preserve">no rindió su informe justificado, </w:t>
      </w:r>
      <w:r w:rsidR="00510653">
        <w:rPr>
          <w:rFonts w:ascii="Palatino Linotype" w:hAnsi="Palatino Linotype" w:cs="Arial"/>
          <w:color w:val="000000"/>
          <w:lang w:val="es-ES_tradnl"/>
        </w:rPr>
        <w:t xml:space="preserve">es decir, no subsanó la violación al derecho de acceso a la información. </w:t>
      </w:r>
    </w:p>
    <w:p w14:paraId="148C1E1B" w14:textId="77777777" w:rsidR="00B13A10" w:rsidRDefault="00B13A10" w:rsidP="00676E40">
      <w:pPr>
        <w:spacing w:line="360" w:lineRule="auto"/>
        <w:contextualSpacing/>
        <w:jc w:val="both"/>
        <w:rPr>
          <w:rFonts w:ascii="Palatino Linotype" w:hAnsi="Palatino Linotype" w:cs="Arial"/>
          <w:noProof/>
          <w:color w:val="000000"/>
          <w:sz w:val="24"/>
          <w:lang w:eastAsia="es-MX"/>
        </w:rPr>
      </w:pPr>
    </w:p>
    <w:p w14:paraId="7B014F01" w14:textId="126D2D9A" w:rsidR="00CD1057" w:rsidRDefault="00154C5F" w:rsidP="00CD1057">
      <w:pPr>
        <w:spacing w:line="360" w:lineRule="auto"/>
        <w:contextualSpacing/>
        <w:jc w:val="both"/>
        <w:rPr>
          <w:rFonts w:ascii="Palatino Linotype" w:hAnsi="Palatino Linotype" w:cs="Arial"/>
          <w:sz w:val="24"/>
          <w:szCs w:val="24"/>
        </w:rPr>
      </w:pPr>
      <w:r w:rsidRPr="00CD1057">
        <w:rPr>
          <w:rFonts w:ascii="Palatino Linotype" w:hAnsi="Palatino Linotype" w:cs="Arial"/>
          <w:noProof/>
          <w:color w:val="000000"/>
          <w:sz w:val="24"/>
          <w:szCs w:val="24"/>
          <w:lang w:eastAsia="es-MX"/>
        </w:rPr>
        <w:t xml:space="preserve">En virtud de lo anterior, este Órgano Garante arriba a la conclusión de que la respuesta primigenia del </w:t>
      </w:r>
      <w:r w:rsidRPr="00CD1057">
        <w:rPr>
          <w:rFonts w:ascii="Palatino Linotype" w:hAnsi="Palatino Linotype" w:cs="Arial"/>
          <w:b/>
          <w:noProof/>
          <w:color w:val="000000"/>
          <w:sz w:val="24"/>
          <w:szCs w:val="24"/>
          <w:lang w:eastAsia="es-MX"/>
        </w:rPr>
        <w:t xml:space="preserve">Sujeto Obligado </w:t>
      </w:r>
      <w:r w:rsidR="00676E40" w:rsidRPr="00CD1057">
        <w:rPr>
          <w:rFonts w:ascii="Palatino Linotype" w:hAnsi="Palatino Linotype" w:cs="Arial"/>
          <w:bCs/>
          <w:noProof/>
          <w:color w:val="000000"/>
          <w:sz w:val="24"/>
          <w:szCs w:val="24"/>
          <w:lang w:eastAsia="es-MX"/>
        </w:rPr>
        <w:t xml:space="preserve">no garantiza plenamente el derecho de acceso a la información, resultando procedente ordenar una búsqueda exhaustiva y razonable </w:t>
      </w:r>
      <w:r w:rsidR="008422C5" w:rsidRPr="00CD1057">
        <w:rPr>
          <w:rFonts w:ascii="Palatino Linotype" w:hAnsi="Palatino Linotype" w:cs="Arial"/>
          <w:bCs/>
          <w:noProof/>
          <w:color w:val="000000"/>
          <w:sz w:val="24"/>
          <w:szCs w:val="24"/>
          <w:lang w:eastAsia="es-MX"/>
        </w:rPr>
        <w:t>de</w:t>
      </w:r>
      <w:r w:rsidR="00676E40" w:rsidRPr="00CD1057">
        <w:rPr>
          <w:rFonts w:ascii="Palatino Linotype" w:hAnsi="Palatino Linotype" w:cs="Arial"/>
          <w:sz w:val="24"/>
          <w:szCs w:val="24"/>
        </w:rPr>
        <w:t xml:space="preserve"> </w:t>
      </w:r>
      <w:r w:rsidR="00CD1057" w:rsidRPr="00CD1057">
        <w:rPr>
          <w:rFonts w:ascii="Palatino Linotype" w:hAnsi="Palatino Linotype" w:cs="Arial"/>
          <w:sz w:val="24"/>
          <w:szCs w:val="24"/>
        </w:rPr>
        <w:t>las licencias de funcionamiento expedidas a favor de unidades económicas o locales, durante los periodos comprendidos del uno al treinta y uno de enero de dos mil veintidós y del uno al treinta y uno de enero de dos mil veintitrés</w:t>
      </w:r>
      <w:r w:rsidR="00C06D60">
        <w:rPr>
          <w:rFonts w:ascii="Palatino Linotype" w:hAnsi="Palatino Linotype" w:cs="Arial"/>
          <w:sz w:val="24"/>
          <w:szCs w:val="24"/>
        </w:rPr>
        <w:t xml:space="preserve">, en versión pública de ser procedente. </w:t>
      </w:r>
    </w:p>
    <w:p w14:paraId="6AEB28AA" w14:textId="77777777" w:rsidR="00C06D60" w:rsidRPr="00CD1057" w:rsidRDefault="00C06D60" w:rsidP="00CD1057">
      <w:pPr>
        <w:spacing w:line="360" w:lineRule="auto"/>
        <w:contextualSpacing/>
        <w:jc w:val="both"/>
        <w:rPr>
          <w:rFonts w:ascii="Palatino Linotype" w:hAnsi="Palatino Linotype" w:cs="Arial"/>
          <w:sz w:val="24"/>
          <w:szCs w:val="24"/>
        </w:rPr>
      </w:pPr>
    </w:p>
    <w:p w14:paraId="0F67A3E0" w14:textId="7606E3C8" w:rsidR="00676E40" w:rsidRDefault="00676E40" w:rsidP="00676E40">
      <w:pPr>
        <w:spacing w:line="360" w:lineRule="auto"/>
        <w:contextualSpacing/>
        <w:jc w:val="both"/>
        <w:rPr>
          <w:rFonts w:ascii="Palatino Linotype" w:hAnsi="Palatino Linotype"/>
          <w:bCs/>
          <w:sz w:val="24"/>
          <w:szCs w:val="24"/>
        </w:rPr>
      </w:pPr>
      <w:r w:rsidRPr="00676E40">
        <w:rPr>
          <w:rFonts w:ascii="Palatino Linotype" w:hAnsi="Palatino Linotype" w:cs="Arial"/>
          <w:bCs/>
          <w:noProof/>
          <w:color w:val="000000"/>
          <w:sz w:val="24"/>
          <w:szCs w:val="24"/>
          <w:lang w:val="es-ES" w:eastAsia="es-MX"/>
        </w:rPr>
        <w:t xml:space="preserve">Finalmente, </w:t>
      </w:r>
      <w:r w:rsidR="00CD1057">
        <w:rPr>
          <w:rFonts w:ascii="Palatino Linotype" w:hAnsi="Palatino Linotype" w:cs="Arial"/>
          <w:bCs/>
          <w:noProof/>
          <w:color w:val="000000"/>
          <w:sz w:val="24"/>
          <w:szCs w:val="24"/>
          <w:lang w:val="es-ES" w:eastAsia="es-MX"/>
        </w:rPr>
        <w:t xml:space="preserve">no se omite mencionar que las licencias de funcionamiento son documentos expedidos a petición o solicitud de parte, por ello, </w:t>
      </w:r>
      <w:r>
        <w:rPr>
          <w:rFonts w:ascii="Palatino Linotype" w:hAnsi="Palatino Linotype"/>
          <w:bCs/>
          <w:sz w:val="24"/>
          <w:szCs w:val="24"/>
        </w:rPr>
        <w:t xml:space="preserve">para el caso de que no cuente con la información, bastará que con lo haga del conocimiento del particular mediante etapa de cumplimiento. </w:t>
      </w:r>
    </w:p>
    <w:p w14:paraId="120A7D29" w14:textId="77777777" w:rsidR="00C06D60" w:rsidRDefault="00C06D60" w:rsidP="00676E40">
      <w:pPr>
        <w:spacing w:line="360" w:lineRule="auto"/>
        <w:contextualSpacing/>
        <w:jc w:val="both"/>
        <w:rPr>
          <w:rFonts w:ascii="Palatino Linotype" w:hAnsi="Palatino Linotype"/>
          <w:bCs/>
          <w:sz w:val="24"/>
          <w:szCs w:val="24"/>
        </w:rPr>
      </w:pPr>
    </w:p>
    <w:p w14:paraId="7E842200" w14:textId="77777777" w:rsidR="00C06D60" w:rsidRPr="00C06D60" w:rsidRDefault="00C06D60" w:rsidP="00C06D60">
      <w:pPr>
        <w:pStyle w:val="Prrafodelista"/>
        <w:numPr>
          <w:ilvl w:val="0"/>
          <w:numId w:val="41"/>
        </w:numPr>
        <w:spacing w:before="240" w:after="240" w:line="360" w:lineRule="auto"/>
        <w:jc w:val="both"/>
        <w:rPr>
          <w:rFonts w:ascii="Palatino Linotype" w:hAnsi="Palatino Linotype"/>
          <w:b/>
          <w:sz w:val="28"/>
          <w:szCs w:val="28"/>
        </w:rPr>
      </w:pPr>
      <w:r w:rsidRPr="00C06D60">
        <w:rPr>
          <w:rFonts w:ascii="Palatino Linotype" w:hAnsi="Palatino Linotype"/>
          <w:b/>
          <w:bCs/>
          <w:sz w:val="28"/>
          <w:szCs w:val="28"/>
        </w:rPr>
        <w:t>De la</w:t>
      </w:r>
      <w:r w:rsidRPr="00C06D60">
        <w:rPr>
          <w:rFonts w:ascii="Palatino Linotype" w:hAnsi="Palatino Linotype"/>
          <w:bCs/>
        </w:rPr>
        <w:t xml:space="preserve"> </w:t>
      </w:r>
      <w:r w:rsidRPr="00C06D60">
        <w:rPr>
          <w:rFonts w:ascii="Palatino Linotype" w:hAnsi="Palatino Linotype"/>
          <w:b/>
          <w:sz w:val="28"/>
          <w:szCs w:val="28"/>
        </w:rPr>
        <w:t xml:space="preserve">Versión Pública </w:t>
      </w:r>
    </w:p>
    <w:p w14:paraId="2E194573" w14:textId="77777777" w:rsidR="00C06D60" w:rsidRDefault="00C06D60" w:rsidP="00C06D60">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w:t>
      </w:r>
      <w:r w:rsidRPr="001571EB">
        <w:rPr>
          <w:rFonts w:ascii="Palatino Linotype" w:eastAsia="Arial Unicode MS" w:hAnsi="Palatino Linotype" w:cs="Arial"/>
          <w:sz w:val="24"/>
          <w:szCs w:val="24"/>
        </w:rPr>
        <w:lastRenderedPageBreak/>
        <w:t>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A8A128A" w14:textId="77777777" w:rsidR="00C06D60" w:rsidRPr="00E60DEF" w:rsidRDefault="00C06D60" w:rsidP="00C06D60">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DF5EFBB" w14:textId="77777777" w:rsidR="00C06D60" w:rsidRPr="00E60DEF" w:rsidRDefault="00C06D60" w:rsidP="00C06D60">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EFAAA3C" w14:textId="77777777" w:rsidR="00C06D60" w:rsidRPr="001571EB" w:rsidRDefault="00C06D60" w:rsidP="00C06D6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1617659" w14:textId="77777777" w:rsidR="00C06D60" w:rsidRPr="001571EB" w:rsidRDefault="00C06D60" w:rsidP="00C06D60">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305F0CC" w14:textId="77777777" w:rsidR="00C06D60" w:rsidRPr="001571EB" w:rsidRDefault="00C06D60" w:rsidP="00C06D6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5F3B259" w14:textId="77777777" w:rsidR="00C06D60" w:rsidRPr="001571EB" w:rsidRDefault="00C06D60" w:rsidP="00C06D60">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10E0448" w14:textId="77777777" w:rsidR="00C06D60" w:rsidRPr="001571EB" w:rsidRDefault="00C06D60" w:rsidP="00C06D6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1C7130D" w14:textId="77777777" w:rsidR="00C06D60" w:rsidRPr="001571EB" w:rsidRDefault="00C06D60" w:rsidP="00C06D60">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14:paraId="3D32ABD8" w14:textId="77777777" w:rsidR="00C06D60" w:rsidRPr="001571EB" w:rsidRDefault="00C06D60" w:rsidP="00C06D6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BF75A4E" w14:textId="77777777" w:rsidR="00C06D60" w:rsidRPr="00E60DEF" w:rsidRDefault="00C06D60" w:rsidP="00C06D60">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B503E33" w14:textId="77777777" w:rsidR="00C06D60" w:rsidRPr="001571EB" w:rsidRDefault="00C06D60" w:rsidP="00C06D60">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06EF888" w14:textId="77777777" w:rsidR="00C06D60" w:rsidRDefault="00C06D60" w:rsidP="00C06D60">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C413042" w14:textId="77777777" w:rsidR="00C06D60" w:rsidRDefault="00C06D60" w:rsidP="00C06D60">
      <w:pPr>
        <w:spacing w:after="0" w:line="360" w:lineRule="auto"/>
        <w:ind w:right="51"/>
        <w:jc w:val="both"/>
        <w:rPr>
          <w:rFonts w:ascii="Palatino Linotype" w:eastAsia="Arial Unicode MS" w:hAnsi="Palatino Linotype" w:cs="Arial"/>
          <w:sz w:val="24"/>
          <w:szCs w:val="24"/>
        </w:rPr>
      </w:pPr>
    </w:p>
    <w:p w14:paraId="3BE505F4" w14:textId="77777777" w:rsidR="00C06D60" w:rsidRPr="001571EB" w:rsidRDefault="00C06D60" w:rsidP="00C06D60">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w:t>
      </w:r>
      <w:r w:rsidRPr="009738E1">
        <w:rPr>
          <w:rFonts w:ascii="Palatino Linotype" w:eastAsia="Arial Unicode MS" w:hAnsi="Palatino Linotype" w:cs="Arial"/>
          <w:sz w:val="24"/>
          <w:szCs w:val="24"/>
        </w:rPr>
        <w:t xml:space="preserve">poner a disposición la información correspondiente debe considerarse que tiene carácter de confidencial </w:t>
      </w:r>
      <w:r w:rsidRPr="009738E1">
        <w:rPr>
          <w:rFonts w:ascii="Palatino Linotype" w:hAnsi="Palatino Linotype" w:cs="Arial"/>
          <w:sz w:val="24"/>
          <w:szCs w:val="24"/>
        </w:rPr>
        <w:t xml:space="preserve">el Registro Federal de Contribuyentes </w:t>
      </w:r>
      <w:r w:rsidRPr="009738E1">
        <w:rPr>
          <w:rFonts w:ascii="Palatino Linotype" w:hAnsi="Palatino Linotype" w:cs="Arial"/>
          <w:b/>
          <w:bCs/>
          <w:sz w:val="24"/>
          <w:szCs w:val="24"/>
          <w:u w:val="single"/>
        </w:rPr>
        <w:t>(RFC) que no sean de proveedores,</w:t>
      </w:r>
      <w:r w:rsidRPr="009738E1">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w:t>
      </w:r>
      <w:r w:rsidRPr="001571EB">
        <w:rPr>
          <w:rFonts w:ascii="Palatino Linotype" w:hAnsi="Palatino Linotype" w:cs="Arial"/>
          <w:sz w:val="24"/>
          <w:szCs w:val="24"/>
        </w:rPr>
        <w:t xml:space="preserve">  o aquellos que no reciban recursos públicos, entre otros considerados como datos personales en términos de la normatividad aplicable.</w:t>
      </w:r>
    </w:p>
    <w:p w14:paraId="5C224166" w14:textId="77777777" w:rsidR="00C06D60" w:rsidRPr="001571EB" w:rsidRDefault="00C06D60" w:rsidP="00C06D60">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933C524" w14:textId="77777777" w:rsidR="00C06D60" w:rsidRPr="001571EB" w:rsidRDefault="00C06D60" w:rsidP="00C06D60">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21EBCD0" w14:textId="77777777" w:rsidR="00C06D60" w:rsidRDefault="00C06D60" w:rsidP="00C06D60">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303E3D06" w14:textId="77777777" w:rsidR="00C06D60" w:rsidRDefault="00C06D60" w:rsidP="00C06D60">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EB7D144" w14:textId="77777777" w:rsidR="00C06D60" w:rsidRPr="001571EB" w:rsidRDefault="00C06D60" w:rsidP="00C06D60">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CE3FF7C" w14:textId="77777777" w:rsidR="00C06D60" w:rsidRPr="001571EB" w:rsidRDefault="00C06D60" w:rsidP="00C06D6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1CD1375" w14:textId="77777777" w:rsidR="00C06D60" w:rsidRPr="001571EB" w:rsidRDefault="00C06D60" w:rsidP="00C06D6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370606D" w14:textId="77777777" w:rsidR="00C06D60" w:rsidRPr="001571EB" w:rsidRDefault="00C06D60" w:rsidP="00C06D6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92FDECF" w14:textId="77777777" w:rsidR="00C06D60" w:rsidRPr="00EE0180" w:rsidRDefault="00C06D60" w:rsidP="00C06D60">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C83814B" w14:textId="77777777" w:rsidR="00C06D60" w:rsidRPr="001571EB" w:rsidRDefault="00C06D60" w:rsidP="00C06D60">
      <w:pPr>
        <w:autoSpaceDE w:val="0"/>
        <w:autoSpaceDN w:val="0"/>
        <w:adjustRightInd w:val="0"/>
        <w:spacing w:before="120" w:after="120"/>
        <w:ind w:left="567" w:right="850"/>
        <w:jc w:val="both"/>
        <w:rPr>
          <w:rFonts w:ascii="Palatino Linotype" w:eastAsia="Times New Roman" w:hAnsi="Palatino Linotype" w:cs="Arial"/>
          <w:i/>
        </w:rPr>
      </w:pPr>
    </w:p>
    <w:p w14:paraId="7C03E8C5" w14:textId="77777777" w:rsidR="00C06D60" w:rsidRDefault="00C06D60" w:rsidP="00C06D60">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lastRenderedPageBreak/>
        <w:t xml:space="preserve">Así, el RFC se vincula al nombre de su titular, permite identificar la edad de la persona, su fecha de nacimiento, así como su homoclave, la cual es única e irrepetible y determina </w:t>
      </w:r>
      <w:r w:rsidRPr="009738E1">
        <w:rPr>
          <w:rFonts w:ascii="Palatino Linotype" w:hAnsi="Palatino Linotype" w:cs="Arial"/>
          <w:sz w:val="24"/>
          <w:szCs w:val="24"/>
        </w:rPr>
        <w:t>justamente la identificación de dicha persona para efectos fiscales, por lo éste constituye un dato personal que concierne a una persona física identificada e identificable.</w:t>
      </w:r>
    </w:p>
    <w:p w14:paraId="3D05B531" w14:textId="77777777" w:rsidR="00C06D60" w:rsidRPr="001571EB" w:rsidRDefault="00C06D60" w:rsidP="00C06D60">
      <w:pPr>
        <w:spacing w:before="240" w:after="240" w:line="360" w:lineRule="auto"/>
        <w:jc w:val="both"/>
        <w:rPr>
          <w:rFonts w:ascii="Palatino Linotype" w:hAnsi="Palatino Linotype" w:cs="Arial"/>
          <w:sz w:val="24"/>
          <w:szCs w:val="24"/>
        </w:rPr>
      </w:pPr>
      <w:r w:rsidRPr="009738E1">
        <w:rPr>
          <w:rFonts w:ascii="Palatino Linotype" w:hAnsi="Palatino Linotype" w:cs="Arial"/>
          <w:sz w:val="24"/>
          <w:szCs w:val="24"/>
        </w:rPr>
        <w:t>En cuanto a la Clave Única de Registro de Población (CURP) en virtud de que éste se integra por datos personales que únicamente</w:t>
      </w:r>
      <w:r w:rsidRPr="001571EB">
        <w:rPr>
          <w:rFonts w:ascii="Palatino Linotype" w:hAnsi="Palatino Linotype" w:cs="Arial"/>
          <w:sz w:val="24"/>
          <w:szCs w:val="24"/>
        </w:rPr>
        <w:t xml:space="preserve"> le conciernen a un particular como son su fecha de nacimiento, su nombre, sus apellidos y su lugar de nacimiento; información que permite distinguirlo del resto de los habitantes, se considera que es de carácter confidencial.</w:t>
      </w:r>
    </w:p>
    <w:p w14:paraId="1F04FABC" w14:textId="77777777" w:rsidR="00C06D60" w:rsidRDefault="00C06D60" w:rsidP="00C06D60">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D13C149" w14:textId="77777777" w:rsidR="00C06D60" w:rsidRDefault="00C06D60" w:rsidP="00C06D60">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19EACFD5" w14:textId="77777777" w:rsidR="00C06D60" w:rsidRPr="001571EB" w:rsidRDefault="00C06D60" w:rsidP="00C06D60">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033EEB3" w14:textId="77777777" w:rsidR="00C06D60" w:rsidRPr="001571EB" w:rsidRDefault="00C06D60" w:rsidP="00C06D6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43593E71" w14:textId="77777777" w:rsidR="00C06D60" w:rsidRPr="001571EB" w:rsidRDefault="00C06D60" w:rsidP="00C06D6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 xml:space="preserve">Secretaría de la Defensa Nacional. 1 de febrero de 2017. Por unanimidad. Comisionado Ponente </w:t>
      </w:r>
      <w:proofErr w:type="spellStart"/>
      <w:r w:rsidRPr="001571EB">
        <w:rPr>
          <w:rFonts w:ascii="Palatino Linotype" w:eastAsia="Times New Roman" w:hAnsi="Palatino Linotype" w:cs="Arial"/>
          <w:i/>
        </w:rPr>
        <w:t>Rosendoevgueni</w:t>
      </w:r>
      <w:proofErr w:type="spellEnd"/>
      <w:r w:rsidRPr="001571EB">
        <w:rPr>
          <w:rFonts w:ascii="Palatino Linotype" w:eastAsia="Times New Roman" w:hAnsi="Palatino Linotype" w:cs="Arial"/>
          <w:i/>
        </w:rPr>
        <w:t xml:space="preserve"> Monterrey </w:t>
      </w:r>
      <w:proofErr w:type="spellStart"/>
      <w:r w:rsidRPr="001571EB">
        <w:rPr>
          <w:rFonts w:ascii="Palatino Linotype" w:eastAsia="Times New Roman" w:hAnsi="Palatino Linotype" w:cs="Arial"/>
          <w:i/>
        </w:rPr>
        <w:t>Chepov</w:t>
      </w:r>
      <w:proofErr w:type="spellEnd"/>
      <w:r w:rsidRPr="001571EB">
        <w:rPr>
          <w:rFonts w:ascii="Palatino Linotype" w:eastAsia="Times New Roman" w:hAnsi="Palatino Linotype" w:cs="Arial"/>
          <w:i/>
        </w:rPr>
        <w:t>.</w:t>
      </w:r>
    </w:p>
    <w:p w14:paraId="51BD40BA" w14:textId="77777777" w:rsidR="00C06D60" w:rsidRPr="001571EB" w:rsidRDefault="00C06D60" w:rsidP="00C06D6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64690AF1" w14:textId="77777777" w:rsidR="00C06D60" w:rsidRDefault="00C06D60" w:rsidP="00C06D6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Ponente Areli Cano Guadiana.</w:t>
      </w:r>
      <w:r>
        <w:rPr>
          <w:rFonts w:ascii="Palatino Linotype" w:eastAsia="Times New Roman" w:hAnsi="Palatino Linotype" w:cs="Arial"/>
          <w:i/>
        </w:rPr>
        <w:t xml:space="preserve">” </w:t>
      </w:r>
      <w:r>
        <w:rPr>
          <w:rFonts w:ascii="Palatino Linotype" w:eastAsia="Times New Roman" w:hAnsi="Palatino Linotype" w:cs="Arial"/>
          <w:b/>
          <w:i/>
        </w:rPr>
        <w:t>[Sic]</w:t>
      </w:r>
    </w:p>
    <w:p w14:paraId="7F7D6E42" w14:textId="77777777" w:rsidR="00C06D60" w:rsidRDefault="00C06D60" w:rsidP="00C06D60">
      <w:pPr>
        <w:spacing w:after="0" w:line="360" w:lineRule="auto"/>
        <w:ind w:right="51"/>
        <w:jc w:val="both"/>
        <w:rPr>
          <w:rFonts w:ascii="Palatino Linotype" w:hAnsi="Palatino Linotype" w:cs="Arial"/>
          <w:sz w:val="24"/>
          <w:szCs w:val="24"/>
        </w:rPr>
      </w:pPr>
    </w:p>
    <w:p w14:paraId="5E7CDB42" w14:textId="77777777" w:rsidR="00C06D60" w:rsidRPr="00950E85" w:rsidRDefault="00C06D60" w:rsidP="00C06D60">
      <w:pPr>
        <w:spacing w:line="360" w:lineRule="auto"/>
        <w:contextualSpacing/>
        <w:jc w:val="both"/>
        <w:rPr>
          <w:rFonts w:ascii="Palatino Linotype" w:eastAsia="MS Mincho" w:hAnsi="Palatino Linotype" w:cs="Tahoma"/>
          <w:sz w:val="24"/>
          <w:szCs w:val="24"/>
          <w:lang w:val="es-ES_tradnl"/>
        </w:rPr>
      </w:pPr>
      <w:r>
        <w:rPr>
          <w:rFonts w:ascii="Palatino Linotype" w:hAnsi="Palatino Linotype" w:cs="Arial"/>
          <w:sz w:val="24"/>
          <w:szCs w:val="24"/>
        </w:rPr>
        <w:t xml:space="preserve">Finalmente, con relación a la clave catastral se destaca que el </w:t>
      </w:r>
      <w:r w:rsidRPr="00950E85">
        <w:rPr>
          <w:rFonts w:ascii="Palatino Linotype" w:eastAsia="MS Mincho" w:hAnsi="Palatino Linotype" w:cs="Tahoma"/>
          <w:sz w:val="24"/>
          <w:szCs w:val="24"/>
          <w:lang w:val="es-ES_tradnl"/>
        </w:rPr>
        <w:t>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76F4592D" w14:textId="77777777" w:rsidR="00C06D60" w:rsidRPr="00950E85" w:rsidRDefault="00C06D60" w:rsidP="00C06D60">
      <w:pPr>
        <w:spacing w:line="360" w:lineRule="auto"/>
        <w:contextualSpacing/>
        <w:jc w:val="both"/>
        <w:rPr>
          <w:rFonts w:ascii="Palatino Linotype" w:eastAsia="MS Mincho" w:hAnsi="Palatino Linotype" w:cs="Tahoma"/>
          <w:sz w:val="24"/>
          <w:szCs w:val="24"/>
          <w:lang w:val="es-ES_tradnl"/>
        </w:rPr>
      </w:pPr>
    </w:p>
    <w:p w14:paraId="170E0A43" w14:textId="77777777" w:rsidR="00C06D60" w:rsidRPr="00950E85" w:rsidRDefault="00C06D60" w:rsidP="00C06D60">
      <w:pPr>
        <w:spacing w:line="360" w:lineRule="auto"/>
        <w:contextualSpacing/>
        <w:jc w:val="both"/>
        <w:rPr>
          <w:rFonts w:ascii="Palatino Linotype" w:eastAsia="MS Mincho" w:hAnsi="Palatino Linotype" w:cs="Tahoma"/>
          <w:sz w:val="24"/>
          <w:szCs w:val="24"/>
          <w:lang w:val="es-ES_tradnl"/>
        </w:rPr>
      </w:pPr>
      <w:r w:rsidRPr="00950E85">
        <w:rPr>
          <w:rFonts w:ascii="Palatino Linotype" w:eastAsia="MS Mincho" w:hAnsi="Palatino Linotype" w:cs="Tahoma"/>
          <w:sz w:val="24"/>
          <w:szCs w:val="24"/>
          <w:lang w:val="es-ES_tradnl"/>
        </w:rPr>
        <w:t>El diccionario de Datos catastrales Escala 1:1000 del Instituto Nacional de Estadística y Geografía (INEGI), contempla en su glosario la definición de clave catastral, la cual, es la siguiente:</w:t>
      </w:r>
    </w:p>
    <w:p w14:paraId="10AC6A02" w14:textId="77777777" w:rsidR="00C06D60" w:rsidRPr="00B47B42" w:rsidRDefault="00C06D60" w:rsidP="00C06D60">
      <w:pPr>
        <w:pStyle w:val="Citas"/>
        <w:rPr>
          <w:b/>
          <w:bCs/>
        </w:rPr>
      </w:pPr>
      <w:r w:rsidRPr="00AF5EC2">
        <w:t>“</w:t>
      </w:r>
      <w:r w:rsidRPr="00AF5EC2">
        <w:rPr>
          <w:b/>
          <w:bCs/>
        </w:rPr>
        <w:t>Clave catastral</w:t>
      </w:r>
      <w:r w:rsidRPr="00AF5EC2">
        <w:t>: El código que identifica al predio de forma única para su localización geográfica, mismo que es asignado a cada uno de ellos en el momento de su inscripción en el padrón catastral por las Unidades del estado con atribuciones catastrales”</w:t>
      </w:r>
      <w:r>
        <w:t xml:space="preserve"> </w:t>
      </w:r>
      <w:r>
        <w:rPr>
          <w:b/>
          <w:bCs/>
        </w:rPr>
        <w:t>(Sic)</w:t>
      </w:r>
    </w:p>
    <w:p w14:paraId="416B9502" w14:textId="77777777" w:rsidR="00C06D60" w:rsidRPr="00AF5EC2" w:rsidRDefault="00C06D60" w:rsidP="00C06D60">
      <w:pPr>
        <w:pStyle w:val="Citas"/>
      </w:pPr>
    </w:p>
    <w:p w14:paraId="5740561A" w14:textId="77777777" w:rsidR="00C06D60" w:rsidRPr="00950E85" w:rsidRDefault="00C06D60" w:rsidP="00C06D60">
      <w:pPr>
        <w:spacing w:line="360" w:lineRule="auto"/>
        <w:contextualSpacing/>
        <w:jc w:val="both"/>
        <w:rPr>
          <w:rFonts w:ascii="Palatino Linotype" w:eastAsia="MS Mincho" w:hAnsi="Palatino Linotype" w:cs="Tahoma"/>
          <w:sz w:val="24"/>
          <w:szCs w:val="24"/>
        </w:rPr>
      </w:pPr>
      <w:r w:rsidRPr="00950E85">
        <w:rPr>
          <w:rFonts w:ascii="Palatino Linotype" w:eastAsia="MS Mincho" w:hAnsi="Palatino Linotype" w:cs="Tahoma"/>
          <w:sz w:val="24"/>
          <w:szCs w:val="24"/>
        </w:rPr>
        <w:lastRenderedPageBreak/>
        <w:t>Asimismo, dicho diccionario estipula dos tipos de Claves catastrales, siendo estas la Estándar y la Original, cuyo diccionario de datos catastrales Escala 1:1000 del INEGI, las define como:</w:t>
      </w:r>
    </w:p>
    <w:p w14:paraId="5A33FE42" w14:textId="77777777" w:rsidR="00C06D60" w:rsidRPr="00AF5EC2" w:rsidRDefault="00C06D60" w:rsidP="00C06D60">
      <w:pPr>
        <w:spacing w:line="276" w:lineRule="auto"/>
        <w:contextualSpacing/>
        <w:jc w:val="both"/>
        <w:rPr>
          <w:rFonts w:ascii="Palatino Linotype" w:eastAsia="MS Mincho" w:hAnsi="Palatino Linotype" w:cs="Tahoma"/>
          <w:b/>
          <w:bCs/>
          <w:i/>
          <w:iCs/>
        </w:rPr>
      </w:pPr>
    </w:p>
    <w:p w14:paraId="17AE0983" w14:textId="77777777" w:rsidR="00C06D60" w:rsidRPr="00AF5EC2" w:rsidRDefault="00C06D60" w:rsidP="00C06D60">
      <w:pPr>
        <w:pStyle w:val="Citas"/>
      </w:pPr>
      <w:r w:rsidRPr="00AF5EC2">
        <w:rPr>
          <w:b/>
          <w:bCs/>
        </w:rPr>
        <w:t>“CLAVE CATASTRAL ESTÁNDAR</w:t>
      </w:r>
      <w:r w:rsidRPr="00AF5EC2">
        <w:t>: Código de 31 caracteres conformado por elementos administrativos y que identifica al objeto espacial en forma única para su localización, compuesto por: Estado (2) + Región Catastral (3) + Municipio (3) + Zona Catastral (2) +</w:t>
      </w:r>
    </w:p>
    <w:p w14:paraId="0AAFB0C6" w14:textId="77777777" w:rsidR="00C06D60" w:rsidRPr="00AF5EC2" w:rsidRDefault="00C06D60" w:rsidP="00C06D60">
      <w:pPr>
        <w:pStyle w:val="Citas"/>
      </w:pPr>
      <w:r w:rsidRPr="00AF5EC2">
        <w:t>Localidad (4) + Sector Catastral (3) + Manzana (3) + Predio (5) + Condominio: edificio (2) y unidad (4).</w:t>
      </w:r>
    </w:p>
    <w:p w14:paraId="111D48AA" w14:textId="77777777" w:rsidR="00C06D60" w:rsidRPr="00B47B42" w:rsidRDefault="00C06D60" w:rsidP="00C06D60">
      <w:pPr>
        <w:pStyle w:val="Citas"/>
        <w:rPr>
          <w:b/>
          <w:bCs/>
        </w:rPr>
      </w:pPr>
      <w:r w:rsidRPr="00AF5EC2">
        <w:rPr>
          <w:b/>
          <w:bCs/>
        </w:rPr>
        <w:t xml:space="preserve">CLAVE CATASTRAL ORIGINAL: </w:t>
      </w:r>
      <w:r w:rsidRPr="00AF5EC2">
        <w:t>Código que identifica al objeto espacial el cual es asignado, por el Catastro Estatal, Municipal o por el registro Agrario Nacional”</w:t>
      </w:r>
      <w:r>
        <w:t xml:space="preserve"> </w:t>
      </w:r>
      <w:r>
        <w:rPr>
          <w:b/>
          <w:bCs/>
        </w:rPr>
        <w:t>(Sic)</w:t>
      </w:r>
    </w:p>
    <w:p w14:paraId="2B796618" w14:textId="77777777" w:rsidR="00C06D60" w:rsidRDefault="00C06D60" w:rsidP="00C06D60">
      <w:pPr>
        <w:spacing w:line="360" w:lineRule="auto"/>
        <w:contextualSpacing/>
        <w:jc w:val="both"/>
        <w:rPr>
          <w:rFonts w:ascii="Palatino Linotype" w:eastAsia="MS Mincho" w:hAnsi="Palatino Linotype" w:cs="Tahoma"/>
          <w:sz w:val="24"/>
          <w:szCs w:val="24"/>
        </w:rPr>
      </w:pPr>
    </w:p>
    <w:p w14:paraId="6B4E735E" w14:textId="77777777" w:rsidR="00C06D60" w:rsidRPr="00950E85" w:rsidRDefault="00C06D60" w:rsidP="00C06D60">
      <w:pPr>
        <w:spacing w:line="360" w:lineRule="auto"/>
        <w:contextualSpacing/>
        <w:jc w:val="both"/>
        <w:rPr>
          <w:rFonts w:ascii="Palatino Linotype" w:eastAsia="MS Mincho" w:hAnsi="Palatino Linotype" w:cs="Tahoma"/>
          <w:sz w:val="24"/>
          <w:szCs w:val="24"/>
        </w:rPr>
      </w:pPr>
      <w:r w:rsidRPr="00950E85">
        <w:rPr>
          <w:rFonts w:ascii="Palatino Linotype" w:eastAsia="MS Mincho" w:hAnsi="Palatino Linotype" w:cs="Tahoma"/>
          <w:sz w:val="24"/>
          <w:szCs w:val="24"/>
        </w:rPr>
        <w:t>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es procedente clasificarlo como confidencial con fundamento en el artículo 143, fracción I de la Ley de Transparencia y Acceso a la Información Pública del Estado de México y Municipios.</w:t>
      </w:r>
    </w:p>
    <w:p w14:paraId="11159E12" w14:textId="77777777" w:rsidR="00C06D60" w:rsidRDefault="00C06D60" w:rsidP="00C06D60">
      <w:pPr>
        <w:spacing w:after="0" w:line="360" w:lineRule="auto"/>
        <w:ind w:right="51"/>
        <w:jc w:val="both"/>
        <w:rPr>
          <w:rFonts w:ascii="Palatino Linotype" w:hAnsi="Palatino Linotype" w:cs="Arial"/>
          <w:sz w:val="24"/>
          <w:szCs w:val="24"/>
        </w:rPr>
      </w:pPr>
    </w:p>
    <w:p w14:paraId="2CD5A48E" w14:textId="5AAF45CD" w:rsidR="00C06D60" w:rsidRDefault="00C06D60" w:rsidP="00C06D60">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6A3AB7A7" w14:textId="77777777" w:rsidR="00C06D60" w:rsidRDefault="00C06D60" w:rsidP="00676E40">
      <w:pPr>
        <w:spacing w:line="360" w:lineRule="auto"/>
        <w:contextualSpacing/>
        <w:jc w:val="both"/>
        <w:rPr>
          <w:rFonts w:ascii="Palatino Linotype" w:hAnsi="Palatino Linotype"/>
          <w:bCs/>
          <w:sz w:val="24"/>
          <w:szCs w:val="24"/>
        </w:rPr>
      </w:pPr>
    </w:p>
    <w:p w14:paraId="3D2D5F0C" w14:textId="66F39BFB" w:rsidR="008422C5" w:rsidRPr="00D5257A" w:rsidRDefault="008422C5" w:rsidP="008422C5">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510653">
        <w:rPr>
          <w:rFonts w:ascii="Palatino Linotype" w:hAnsi="Palatino Linotype"/>
          <w:b/>
          <w:sz w:val="24"/>
          <w:szCs w:val="24"/>
        </w:rPr>
        <w:t xml:space="preserve">El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CD1057">
        <w:rPr>
          <w:rFonts w:ascii="Palatino Linotype" w:hAnsi="Palatino Linotype"/>
          <w:b/>
          <w:sz w:val="24"/>
          <w:szCs w:val="24"/>
        </w:rPr>
        <w:t>01182</w:t>
      </w:r>
      <w:r>
        <w:rPr>
          <w:rFonts w:ascii="Palatino Linotype" w:hAnsi="Palatino Linotype"/>
          <w:b/>
          <w:sz w:val="24"/>
          <w:szCs w:val="24"/>
        </w:rPr>
        <w:t>/ZINACANT/IP/2023</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10A4180C" w14:textId="77777777" w:rsidR="008422C5" w:rsidRDefault="008422C5" w:rsidP="008422C5">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10A15E3F" w14:textId="77777777" w:rsidR="008422C5" w:rsidRDefault="008422C5" w:rsidP="008422C5">
      <w:pPr>
        <w:spacing w:before="240" w:line="360" w:lineRule="auto"/>
        <w:jc w:val="center"/>
        <w:rPr>
          <w:rFonts w:ascii="Palatino Linotype" w:eastAsia="Times New Roman" w:hAnsi="Palatino Linotype"/>
          <w:b/>
          <w:bCs/>
          <w:spacing w:val="60"/>
          <w:sz w:val="24"/>
          <w:szCs w:val="24"/>
          <w:lang w:val="es-ES_tradnl"/>
        </w:rPr>
      </w:pPr>
    </w:p>
    <w:p w14:paraId="19253BE0" w14:textId="415262B4" w:rsidR="008422C5" w:rsidRPr="00D05C83" w:rsidRDefault="008422C5" w:rsidP="008422C5">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4476B619" w14:textId="671126E1" w:rsidR="008422C5" w:rsidRDefault="008422C5" w:rsidP="008422C5">
      <w:pPr>
        <w:spacing w:before="240" w:line="360" w:lineRule="auto"/>
        <w:jc w:val="both"/>
        <w:rPr>
          <w:rFonts w:ascii="Palatino Linotype" w:hAnsi="Palatino Linotype" w:cs="Arial"/>
          <w:sz w:val="24"/>
        </w:rPr>
      </w:pPr>
      <w:r w:rsidRPr="000041C3">
        <w:rPr>
          <w:rFonts w:ascii="Palatino Linotype" w:hAnsi="Palatino Linotype" w:cs="Arial"/>
          <w:b/>
          <w:sz w:val="28"/>
          <w:szCs w:val="28"/>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CD1057">
        <w:rPr>
          <w:rFonts w:ascii="Palatino Linotype" w:hAnsi="Palatino Linotype"/>
          <w:b/>
          <w:sz w:val="24"/>
          <w:szCs w:val="24"/>
        </w:rPr>
        <w:t>01182</w:t>
      </w:r>
      <w:r>
        <w:rPr>
          <w:rFonts w:ascii="Palatino Linotype" w:hAnsi="Palatino Linotype"/>
          <w:b/>
          <w:sz w:val="24"/>
          <w:szCs w:val="24"/>
        </w:rPr>
        <w:t>/ZINACANT/IP/2023</w:t>
      </w:r>
      <w:r>
        <w:rPr>
          <w:rFonts w:ascii="Palatino Linotype" w:hAnsi="Palatino Linotype" w:cs="Arial"/>
          <w:b/>
          <w:sz w:val="24"/>
        </w:rPr>
        <w:t xml:space="preserve">, </w:t>
      </w:r>
      <w:r>
        <w:rPr>
          <w:rFonts w:ascii="Palatino Linotype" w:hAnsi="Palatino Linotype" w:cs="Arial"/>
          <w:sz w:val="24"/>
        </w:rPr>
        <w:t xml:space="preserve">por resultar </w:t>
      </w:r>
      <w:r>
        <w:rPr>
          <w:rFonts w:ascii="Palatino Linotype" w:hAnsi="Palatino Linotype" w:cs="Arial"/>
          <w:sz w:val="24"/>
        </w:rPr>
        <w:lastRenderedPageBreak/>
        <w:t xml:space="preserve">parcialmente fundados los motivos de inconformidad que arguye </w:t>
      </w:r>
      <w:r w:rsidR="00B13A10">
        <w:rPr>
          <w:rFonts w:ascii="Palatino Linotype" w:hAnsi="Palatino Linotype" w:cs="Arial"/>
          <w:b/>
          <w:sz w:val="24"/>
        </w:rPr>
        <w:t>EL</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1934BFFD" w14:textId="77777777" w:rsidR="008422C5" w:rsidRDefault="008422C5" w:rsidP="008422C5">
      <w:pPr>
        <w:spacing w:after="0" w:line="360" w:lineRule="auto"/>
        <w:ind w:right="51"/>
        <w:jc w:val="both"/>
        <w:rPr>
          <w:rFonts w:ascii="Palatino Linotype" w:hAnsi="Palatino Linotype" w:cs="Arial"/>
          <w:sz w:val="24"/>
          <w:szCs w:val="24"/>
        </w:rPr>
      </w:pPr>
    </w:p>
    <w:p w14:paraId="17B61DC3" w14:textId="5A1F0D0F" w:rsidR="008422C5" w:rsidRPr="006633BF" w:rsidRDefault="008422C5" w:rsidP="008422C5">
      <w:pPr>
        <w:autoSpaceDE w:val="0"/>
        <w:autoSpaceDN w:val="0"/>
        <w:adjustRightInd w:val="0"/>
        <w:spacing w:before="240" w:line="360" w:lineRule="auto"/>
        <w:ind w:right="49"/>
        <w:jc w:val="both"/>
        <w:rPr>
          <w:rFonts w:ascii="Palatino Linotype" w:hAnsi="Palatino Linotype" w:cs="Arial"/>
          <w:sz w:val="24"/>
          <w:szCs w:val="24"/>
        </w:rPr>
      </w:pPr>
      <w:r w:rsidRPr="000041C3">
        <w:rPr>
          <w:rFonts w:ascii="Palatino Linotype" w:hAnsi="Palatino Linotype" w:cs="Arial"/>
          <w:b/>
          <w:sz w:val="28"/>
          <w:szCs w:val="28"/>
          <w:lang w:val="es-ES_tradnl"/>
        </w:rPr>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Pr>
          <w:rFonts w:ascii="Palatino Linotype" w:hAnsi="Palatino Linotype" w:cs="Arial"/>
          <w:sz w:val="24"/>
          <w:szCs w:val="24"/>
        </w:rPr>
        <w:t>realizar una búsqueda exhaustiva y razonable a fin de entregar</w:t>
      </w:r>
      <w:r w:rsidRPr="006633BF">
        <w:rPr>
          <w:rFonts w:ascii="Palatino Linotype" w:hAnsi="Palatino Linotype" w:cs="Arial"/>
          <w:sz w:val="24"/>
          <w:szCs w:val="24"/>
        </w:rPr>
        <w:t xml:space="preserve"> </w:t>
      </w:r>
      <w:r w:rsidR="00510653">
        <w:rPr>
          <w:rFonts w:ascii="Palatino Linotype" w:hAnsi="Palatino Linotype" w:cs="Arial"/>
          <w:sz w:val="24"/>
          <w:szCs w:val="24"/>
        </w:rPr>
        <w:t>al</w:t>
      </w:r>
      <w:r w:rsidRPr="00676653">
        <w:rPr>
          <w:rFonts w:ascii="Palatino Linotype" w:hAnsi="Palatino Linotype" w:cs="Arial"/>
          <w:b/>
          <w:bCs/>
          <w:sz w:val="24"/>
          <w:szCs w:val="24"/>
        </w:rPr>
        <w:t xml:space="preserve"> </w:t>
      </w:r>
      <w:r w:rsidRPr="006633BF">
        <w:rPr>
          <w:rFonts w:ascii="Palatino Linotype" w:hAnsi="Palatino Linotype" w:cs="Arial"/>
          <w:b/>
          <w:sz w:val="24"/>
          <w:szCs w:val="24"/>
        </w:rPr>
        <w:t xml:space="preserve">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Pr="006633BF">
        <w:rPr>
          <w:rFonts w:ascii="Palatino Linotype" w:hAnsi="Palatino Linotype" w:cs="Arial"/>
          <w:sz w:val="24"/>
          <w:szCs w:val="24"/>
        </w:rPr>
        <w:t xml:space="preserve">a través del Sistema de Acceso a la Información Mexiquense </w:t>
      </w:r>
      <w:r w:rsidRPr="006633BF">
        <w:rPr>
          <w:rFonts w:ascii="Palatino Linotype" w:hAnsi="Palatino Linotype" w:cs="Arial"/>
          <w:b/>
          <w:sz w:val="24"/>
          <w:szCs w:val="24"/>
        </w:rPr>
        <w:t xml:space="preserve">(SAIMEX), </w:t>
      </w:r>
      <w:r w:rsidR="00C06D60">
        <w:rPr>
          <w:rFonts w:ascii="Palatino Linotype" w:hAnsi="Palatino Linotype" w:cs="Arial"/>
          <w:b/>
          <w:sz w:val="24"/>
          <w:szCs w:val="24"/>
        </w:rPr>
        <w:t xml:space="preserve">en versión pública de ser procedente, </w:t>
      </w:r>
      <w:r w:rsidRPr="006633BF">
        <w:rPr>
          <w:rFonts w:ascii="Palatino Linotype" w:hAnsi="Palatino Linotype" w:cs="Arial"/>
          <w:sz w:val="24"/>
          <w:szCs w:val="24"/>
        </w:rPr>
        <w:t xml:space="preserve">de lo siguiente: </w:t>
      </w:r>
    </w:p>
    <w:p w14:paraId="50CDBDA3" w14:textId="77777777" w:rsidR="00CD1057" w:rsidRPr="00CD1057" w:rsidRDefault="00CD1057" w:rsidP="00CD1057">
      <w:pPr>
        <w:pStyle w:val="Prrafodelista"/>
        <w:numPr>
          <w:ilvl w:val="0"/>
          <w:numId w:val="39"/>
        </w:numPr>
        <w:spacing w:before="240" w:line="360" w:lineRule="auto"/>
        <w:jc w:val="both"/>
        <w:rPr>
          <w:rFonts w:ascii="Palatino Linotype" w:hAnsi="Palatino Linotype" w:cs="Arial"/>
          <w:i/>
          <w:iCs/>
        </w:rPr>
      </w:pPr>
      <w:r w:rsidRPr="00CD1057">
        <w:rPr>
          <w:rFonts w:ascii="Palatino Linotype" w:hAnsi="Palatino Linotype" w:cs="Arial"/>
          <w:i/>
          <w:iCs/>
        </w:rPr>
        <w:t xml:space="preserve">Licencias de funcionamiento expedidas a favor de unidades económicas o locales, durante los periodos comprendidos del uno al treinta y uno de enero de dos mil veintidós y del uno al treinta y uno de enero de dos mil veintitrés. </w:t>
      </w:r>
    </w:p>
    <w:p w14:paraId="113A2512" w14:textId="5794B88F" w:rsidR="008422C5" w:rsidRDefault="008422C5" w:rsidP="008422C5">
      <w:pPr>
        <w:pStyle w:val="Prrafodelista"/>
        <w:spacing w:before="240" w:line="360" w:lineRule="auto"/>
        <w:ind w:left="709"/>
        <w:jc w:val="both"/>
        <w:rPr>
          <w:rFonts w:ascii="Palatino Linotype" w:hAnsi="Palatino Linotype" w:cs="Arial"/>
          <w:i/>
        </w:rPr>
      </w:pPr>
      <w:r>
        <w:rPr>
          <w:rFonts w:ascii="Palatino Linotype" w:hAnsi="Palatino Linotype" w:cs="Arial"/>
          <w:i/>
        </w:rPr>
        <w:t>U</w:t>
      </w:r>
      <w:r w:rsidRPr="00BB518B">
        <w:rPr>
          <w:rFonts w:ascii="Palatino Linotype" w:hAnsi="Palatino Linotype" w:cs="Arial"/>
          <w:i/>
        </w:rPr>
        <w:t>na vez realizada la búsqueda exhaustiva y razonable, para el caso de no contar con la información previamente referida, bastará con que El Sujeto Obligado lo haga del conocimiento del Recurrente.</w:t>
      </w:r>
    </w:p>
    <w:p w14:paraId="5E5E5E0F" w14:textId="77777777" w:rsidR="002204EA" w:rsidRDefault="002204EA" w:rsidP="00C06D60">
      <w:pPr>
        <w:pStyle w:val="Sinespaciado"/>
        <w:spacing w:line="360" w:lineRule="auto"/>
        <w:ind w:left="782"/>
        <w:jc w:val="both"/>
        <w:rPr>
          <w:rFonts w:ascii="Palatino Linotype" w:hAnsi="Palatino Linotype" w:cs="Arial"/>
          <w:i/>
        </w:rPr>
      </w:pPr>
    </w:p>
    <w:p w14:paraId="7F222EAE" w14:textId="426957E9" w:rsidR="00C06D60" w:rsidRDefault="00C06D60" w:rsidP="00C06D60">
      <w:pPr>
        <w:pStyle w:val="Sinespaciado"/>
        <w:spacing w:line="360" w:lineRule="auto"/>
        <w:ind w:left="782"/>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7479F62" w14:textId="77777777" w:rsidR="008422C5" w:rsidRDefault="008422C5" w:rsidP="008422C5">
      <w:pPr>
        <w:pStyle w:val="Prrafodelista"/>
        <w:spacing w:before="240" w:line="360" w:lineRule="auto"/>
        <w:ind w:left="709"/>
        <w:jc w:val="both"/>
        <w:rPr>
          <w:rFonts w:ascii="Palatino Linotype" w:hAnsi="Palatino Linotype" w:cs="Arial"/>
          <w:i/>
        </w:rPr>
      </w:pPr>
    </w:p>
    <w:p w14:paraId="11BA68C4" w14:textId="77777777" w:rsidR="008422C5" w:rsidRPr="006F36F4" w:rsidRDefault="008422C5" w:rsidP="008422C5">
      <w:pPr>
        <w:spacing w:after="0" w:line="360" w:lineRule="auto"/>
        <w:jc w:val="both"/>
        <w:rPr>
          <w:rFonts w:ascii="Palatino Linotype" w:eastAsia="Times New Roman" w:hAnsi="Palatino Linotype" w:cs="Tahoma"/>
          <w:sz w:val="24"/>
          <w:szCs w:val="24"/>
          <w:lang w:eastAsia="es-ES"/>
        </w:rPr>
      </w:pPr>
      <w:r w:rsidRPr="000041C3">
        <w:rPr>
          <w:rFonts w:ascii="Palatino Linotype" w:eastAsia="Times New Roman" w:hAnsi="Palatino Linotype" w:cs="Arial"/>
          <w:b/>
          <w:sz w:val="28"/>
          <w:szCs w:val="28"/>
          <w:lang w:eastAsia="es-ES"/>
        </w:rPr>
        <w:lastRenderedPageBreak/>
        <w:t>TERCERO.</w:t>
      </w:r>
      <w:r w:rsidRPr="00593F5D">
        <w:rPr>
          <w:rFonts w:ascii="Palatino Linotype" w:eastAsia="Times New Roman" w:hAnsi="Palatino Linotype" w:cs="Arial"/>
          <w:sz w:val="24"/>
          <w:szCs w:val="24"/>
          <w:lang w:eastAsia="es-ES"/>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51EBEA" w14:textId="77777777" w:rsidR="008422C5" w:rsidRDefault="008422C5" w:rsidP="008422C5">
      <w:pPr>
        <w:autoSpaceDE w:val="0"/>
        <w:autoSpaceDN w:val="0"/>
        <w:adjustRightInd w:val="0"/>
        <w:spacing w:before="240" w:line="360" w:lineRule="auto"/>
        <w:jc w:val="both"/>
        <w:rPr>
          <w:rFonts w:ascii="Palatino Linotype" w:hAnsi="Palatino Linotype" w:cs="Arial"/>
          <w:sz w:val="24"/>
          <w:szCs w:val="24"/>
        </w:rPr>
      </w:pPr>
    </w:p>
    <w:p w14:paraId="5CD43923" w14:textId="77777777" w:rsidR="008422C5" w:rsidRDefault="008422C5" w:rsidP="008422C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041C3">
        <w:rPr>
          <w:rFonts w:ascii="Palatino Linotype" w:eastAsia="Times New Roman" w:hAnsi="Palatino Linotype" w:cs="Arial"/>
          <w:b/>
          <w:sz w:val="28"/>
          <w:szCs w:val="28"/>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B63550" w14:textId="77777777" w:rsidR="002204EA" w:rsidRDefault="002204EA" w:rsidP="00510653">
      <w:pPr>
        <w:spacing w:after="0" w:line="360" w:lineRule="auto"/>
        <w:jc w:val="both"/>
        <w:rPr>
          <w:rFonts w:ascii="Palatino Linotype" w:eastAsia="Times New Roman" w:hAnsi="Palatino Linotype" w:cs="Arial"/>
          <w:b/>
          <w:sz w:val="28"/>
          <w:szCs w:val="28"/>
          <w:lang w:eastAsia="es-ES"/>
        </w:rPr>
      </w:pPr>
    </w:p>
    <w:p w14:paraId="21AF10ED" w14:textId="654B4C2D" w:rsidR="00510653" w:rsidRDefault="00510653" w:rsidP="00510653">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0041C3">
        <w:rPr>
          <w:rFonts w:ascii="Palatino Linotype" w:eastAsia="Times New Roman" w:hAnsi="Palatino Linotype" w:cs="Arial"/>
          <w:b/>
          <w:sz w:val="28"/>
          <w:szCs w:val="28"/>
          <w:lang w:eastAsia="es-ES"/>
        </w:rPr>
        <w:t>QUINTO.</w:t>
      </w:r>
      <w:r w:rsidRPr="00DB757B">
        <w:rPr>
          <w:rFonts w:ascii="Palatino Linotype" w:eastAsia="Times New Roman" w:hAnsi="Palatino Linotype" w:cs="Arial"/>
          <w:b/>
          <w:sz w:val="24"/>
          <w:szCs w:val="24"/>
          <w:lang w:eastAsia="es-ES"/>
        </w:rPr>
        <w:t xml:space="preserve"> NOTIFÍQUESE </w:t>
      </w:r>
      <w:r>
        <w:rPr>
          <w:rFonts w:ascii="Palatino Linotype" w:eastAsia="Times New Roman" w:hAnsi="Palatino Linotype" w:cs="Arial"/>
          <w:sz w:val="24"/>
          <w:szCs w:val="24"/>
          <w:lang w:eastAsia="es-ES"/>
        </w:rPr>
        <w:t xml:space="preserve">la presente resolución </w:t>
      </w:r>
      <w:r w:rsidR="00B13A10">
        <w:rPr>
          <w:rFonts w:ascii="Palatino Linotype" w:eastAsia="Times New Roman" w:hAnsi="Palatino Linotype" w:cs="Arial"/>
          <w:sz w:val="24"/>
          <w:szCs w:val="24"/>
          <w:lang w:eastAsia="es-ES"/>
        </w:rPr>
        <w:t>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1911A53B" w14:textId="77777777" w:rsidR="00510653" w:rsidRDefault="00510653" w:rsidP="00154C5F">
      <w:pPr>
        <w:pStyle w:val="Prrafodelista"/>
        <w:autoSpaceDE w:val="0"/>
        <w:autoSpaceDN w:val="0"/>
        <w:adjustRightInd w:val="0"/>
        <w:spacing w:before="240" w:after="160" w:line="360" w:lineRule="auto"/>
        <w:ind w:left="0"/>
        <w:jc w:val="both"/>
        <w:rPr>
          <w:rFonts w:ascii="Palatino Linotype" w:hAnsi="Palatino Linotype" w:cs="Arial"/>
        </w:rPr>
      </w:pPr>
    </w:p>
    <w:p w14:paraId="05131F4B" w14:textId="1B06434A" w:rsidR="00154C5F" w:rsidRPr="00AA7E8A"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AA7E8A">
        <w:rPr>
          <w:rFonts w:ascii="Palatino Linotype" w:hAnsi="Palatino Linotype" w:cs="Arial"/>
        </w:rPr>
        <w:lastRenderedPageBreak/>
        <w:t>ASÍ LO ACORDÓ, POR UNANIMIDAD DE VOTOS, EL PLENO DEL</w:t>
      </w:r>
      <w:r w:rsidRPr="00AA7E8A">
        <w:rPr>
          <w:rFonts w:ascii="Palatino Linotype" w:eastAsia="Arial Unicode MS" w:hAnsi="Palatino Linotype" w:cs="Arial"/>
        </w:rPr>
        <w:t xml:space="preserve"> INSTITUTO DE TRANSPARENCIA, ACCESO A LA INFORMACIÓN PÚBLICA Y PROTECCIÓN DE DATOS PERSONALES DEL ESTADO DE MÉXICO Y MUNICIPIOS</w:t>
      </w:r>
      <w:r w:rsidRPr="00AA7E8A">
        <w:rPr>
          <w:rFonts w:ascii="Palatino Linotype" w:hAnsi="Palatino Linotype" w:cs="Arial"/>
        </w:rPr>
        <w:t xml:space="preserve">, CONFORMADO POR LOS COMISIONADOS JOSÉ MARTÍNEZ VILCHIS, MARÍA DEL ROSARIO MEJÍA AYALA, SHARON CRISTINA MORALES </w:t>
      </w:r>
      <w:r w:rsidR="00B65F4C" w:rsidRPr="00AA7E8A">
        <w:rPr>
          <w:rFonts w:ascii="Palatino Linotype" w:hAnsi="Palatino Linotype" w:cs="Arial"/>
        </w:rPr>
        <w:t>MARTÍNEZ</w:t>
      </w:r>
      <w:r w:rsidR="00B65F4C">
        <w:rPr>
          <w:rFonts w:ascii="Palatino Linotype" w:hAnsi="Palatino Linotype" w:cs="Arial"/>
        </w:rPr>
        <w:t xml:space="preserve"> (AUSENCIA JUSTIFICADA)</w:t>
      </w:r>
      <w:r w:rsidR="00B65F4C" w:rsidRPr="00AA7E8A">
        <w:rPr>
          <w:rFonts w:ascii="Palatino Linotype" w:hAnsi="Palatino Linotype" w:cs="Arial"/>
        </w:rPr>
        <w:t xml:space="preserve">, </w:t>
      </w:r>
      <w:r w:rsidRPr="00AA7E8A">
        <w:rPr>
          <w:rFonts w:ascii="Palatino Linotype" w:hAnsi="Palatino Linotype" w:cs="Arial"/>
        </w:rPr>
        <w:t xml:space="preserve">LUIS GUSTAVO PARRA </w:t>
      </w:r>
      <w:r w:rsidR="00D843C7" w:rsidRPr="00AA7E8A">
        <w:rPr>
          <w:rFonts w:ascii="Palatino Linotype" w:hAnsi="Palatino Linotype" w:cs="Arial"/>
        </w:rPr>
        <w:t>NORIEGA</w:t>
      </w:r>
      <w:r w:rsidR="00D843C7">
        <w:rPr>
          <w:rFonts w:ascii="Palatino Linotype" w:hAnsi="Palatino Linotype" w:cs="Arial"/>
        </w:rPr>
        <w:t xml:space="preserve"> (EMITIENDO VOTO PARTICULAR) </w:t>
      </w:r>
      <w:r w:rsidR="00D843C7" w:rsidRPr="00AA7E8A">
        <w:rPr>
          <w:rFonts w:ascii="Palatino Linotype" w:hAnsi="Palatino Linotype" w:cs="Arial"/>
        </w:rPr>
        <w:t xml:space="preserve"> Y GUADALUPE </w:t>
      </w:r>
      <w:r w:rsidRPr="00AA7E8A">
        <w:rPr>
          <w:rFonts w:ascii="Palatino Linotype" w:hAnsi="Palatino Linotype" w:cs="Arial"/>
        </w:rPr>
        <w:t xml:space="preserve">RAMÍREZ PEÑA; EN LA </w:t>
      </w:r>
      <w:r>
        <w:rPr>
          <w:rFonts w:ascii="Palatino Linotype" w:hAnsi="Palatino Linotype" w:cs="Arial"/>
        </w:rPr>
        <w:t xml:space="preserve">TRIGÉSIMA </w:t>
      </w:r>
      <w:r w:rsidR="00CD1057">
        <w:rPr>
          <w:rFonts w:ascii="Palatino Linotype" w:hAnsi="Palatino Linotype" w:cs="Arial"/>
        </w:rPr>
        <w:t xml:space="preserve">SÉPTIMA </w:t>
      </w:r>
      <w:r>
        <w:rPr>
          <w:rFonts w:ascii="Palatino Linotype" w:hAnsi="Palatino Linotype" w:cs="Arial"/>
        </w:rPr>
        <w:t xml:space="preserve">SESIÓN ORDINARIA, CELEBRADA EL </w:t>
      </w:r>
      <w:r w:rsidR="00B0096F">
        <w:rPr>
          <w:rFonts w:ascii="Palatino Linotype" w:hAnsi="Palatino Linotype" w:cs="Arial"/>
        </w:rPr>
        <w:t>DOCE</w:t>
      </w:r>
      <w:r w:rsidR="0035671C">
        <w:rPr>
          <w:rFonts w:ascii="Palatino Linotype" w:hAnsi="Palatino Linotype" w:cs="Arial"/>
        </w:rPr>
        <w:t xml:space="preserve"> DE OCTUBRE</w:t>
      </w:r>
      <w:r>
        <w:rPr>
          <w:rFonts w:ascii="Palatino Linotype" w:hAnsi="Palatino Linotype" w:cs="Arial"/>
        </w:rPr>
        <w:t xml:space="preserve"> DE DOS MIL VEINTITRÉS, ANTE EL </w:t>
      </w:r>
      <w:r w:rsidRPr="00AA7E8A">
        <w:rPr>
          <w:rFonts w:ascii="Palatino Linotype" w:hAnsi="Palatino Linotype" w:cs="Arial"/>
        </w:rPr>
        <w:t xml:space="preserve">SECRETARIO TÉCNICO DEL PLENO, ALEXIS TAPIA RAMÍREZ. </w:t>
      </w:r>
    </w:p>
    <w:p w14:paraId="49A43F1C" w14:textId="77777777" w:rsidR="00154C5F" w:rsidRDefault="00154C5F" w:rsidP="00154C5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62070D02" w14:textId="53E52100" w:rsidR="00154C5F" w:rsidRDefault="00B65F4C" w:rsidP="00B436EA">
      <w:pPr>
        <w:spacing w:before="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69856" behindDoc="0" locked="0" layoutInCell="1" allowOverlap="1" wp14:anchorId="182FDF89" wp14:editId="0E17ABE7">
                <wp:simplePos x="0" y="0"/>
                <wp:positionH relativeFrom="column">
                  <wp:posOffset>-203835</wp:posOffset>
                </wp:positionH>
                <wp:positionV relativeFrom="paragraph">
                  <wp:posOffset>200660</wp:posOffset>
                </wp:positionV>
                <wp:extent cx="6035040" cy="3779520"/>
                <wp:effectExtent l="0" t="0" r="22860" b="30480"/>
                <wp:wrapNone/>
                <wp:docPr id="1305407976" name="Straight Connector 1"/>
                <wp:cNvGraphicFramePr/>
                <a:graphic xmlns:a="http://schemas.openxmlformats.org/drawingml/2006/main">
                  <a:graphicData uri="http://schemas.microsoft.com/office/word/2010/wordprocessingShape">
                    <wps:wsp>
                      <wps:cNvCnPr/>
                      <wps:spPr>
                        <a:xfrm>
                          <a:off x="0" y="0"/>
                          <a:ext cx="6035040" cy="37795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BC9A2F" id="Straight Connector 1"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6.05pt,15.8pt" to="459.15pt,3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" strokecolor="#5b9bd5 [3204]" strokeweight=".5pt">
                <v:stroke joinstyle="miter"/>
              </v:line>
            </w:pict>
          </mc:Fallback>
        </mc:AlternateContent>
      </w:r>
    </w:p>
    <w:p w14:paraId="1FAFA7ED" w14:textId="77777777" w:rsidR="00154C5F" w:rsidRDefault="00154C5F" w:rsidP="00B436EA">
      <w:pPr>
        <w:spacing w:before="240" w:line="360" w:lineRule="auto"/>
        <w:jc w:val="both"/>
        <w:rPr>
          <w:rFonts w:ascii="Palatino Linotype" w:hAnsi="Palatino Linotype"/>
          <w:sz w:val="24"/>
          <w:szCs w:val="24"/>
        </w:rPr>
      </w:pPr>
    </w:p>
    <w:p w14:paraId="4FC607E1" w14:textId="77777777" w:rsidR="00154C5F" w:rsidRDefault="00154C5F" w:rsidP="00B436EA">
      <w:pPr>
        <w:spacing w:before="240" w:line="360" w:lineRule="auto"/>
        <w:jc w:val="both"/>
        <w:rPr>
          <w:rFonts w:ascii="Palatino Linotype" w:hAnsi="Palatino Linotype"/>
          <w:sz w:val="24"/>
          <w:szCs w:val="24"/>
        </w:rPr>
      </w:pPr>
    </w:p>
    <w:p w14:paraId="73DB2431" w14:textId="77777777" w:rsidR="00154C5F" w:rsidRDefault="00154C5F" w:rsidP="00B436EA">
      <w:pPr>
        <w:spacing w:before="240" w:line="360" w:lineRule="auto"/>
        <w:jc w:val="both"/>
        <w:rPr>
          <w:rFonts w:ascii="Palatino Linotype" w:hAnsi="Palatino Linotype"/>
          <w:sz w:val="24"/>
          <w:szCs w:val="24"/>
        </w:rPr>
      </w:pPr>
    </w:p>
    <w:p w14:paraId="1301B5AA" w14:textId="77777777" w:rsidR="00154C5F" w:rsidRDefault="00154C5F" w:rsidP="00B436EA">
      <w:pPr>
        <w:spacing w:before="240" w:line="360" w:lineRule="auto"/>
        <w:jc w:val="both"/>
        <w:rPr>
          <w:rFonts w:ascii="Palatino Linotype" w:hAnsi="Palatino Linotype"/>
          <w:sz w:val="24"/>
          <w:szCs w:val="24"/>
        </w:rPr>
      </w:pPr>
    </w:p>
    <w:p w14:paraId="7263DA32" w14:textId="77777777" w:rsidR="003E3072" w:rsidRDefault="003E3072" w:rsidP="00B436EA">
      <w:pPr>
        <w:spacing w:before="240" w:line="360" w:lineRule="auto"/>
        <w:jc w:val="both"/>
        <w:rPr>
          <w:rFonts w:ascii="Palatino Linotype" w:hAnsi="Palatino Linotype"/>
          <w:sz w:val="24"/>
          <w:szCs w:val="24"/>
        </w:rPr>
      </w:pPr>
    </w:p>
    <w:p w14:paraId="27A4D9D6" w14:textId="77777777" w:rsidR="003E3072" w:rsidRDefault="003E3072" w:rsidP="00B436EA">
      <w:pPr>
        <w:spacing w:before="240" w:line="360" w:lineRule="auto"/>
        <w:jc w:val="both"/>
        <w:rPr>
          <w:rFonts w:ascii="Palatino Linotype" w:hAnsi="Palatino Linotype"/>
          <w:sz w:val="24"/>
          <w:szCs w:val="24"/>
        </w:rPr>
      </w:pPr>
    </w:p>
    <w:p w14:paraId="5C9E97FA" w14:textId="77777777" w:rsidR="003E3072" w:rsidRDefault="003E3072" w:rsidP="00B436EA">
      <w:pPr>
        <w:spacing w:before="240" w:line="360" w:lineRule="auto"/>
        <w:jc w:val="both"/>
        <w:rPr>
          <w:rFonts w:ascii="Palatino Linotype" w:hAnsi="Palatino Linotype"/>
          <w:sz w:val="24"/>
          <w:szCs w:val="24"/>
        </w:rPr>
      </w:pPr>
    </w:p>
    <w:p w14:paraId="6F299793" w14:textId="77777777" w:rsidR="003E3072" w:rsidRDefault="003E3072" w:rsidP="00B436EA">
      <w:pPr>
        <w:spacing w:before="240" w:line="360" w:lineRule="auto"/>
        <w:jc w:val="both"/>
        <w:rPr>
          <w:rFonts w:ascii="Palatino Linotype" w:hAnsi="Palatino Linotype"/>
          <w:sz w:val="24"/>
          <w:szCs w:val="24"/>
        </w:rPr>
      </w:pPr>
    </w:p>
    <w:p w14:paraId="4F3DE3BA" w14:textId="77777777" w:rsidR="003E3072" w:rsidRDefault="003E3072" w:rsidP="00B436EA">
      <w:pPr>
        <w:spacing w:before="240" w:line="360" w:lineRule="auto"/>
        <w:jc w:val="both"/>
        <w:rPr>
          <w:rFonts w:ascii="Palatino Linotype" w:hAnsi="Palatino Linotype"/>
          <w:sz w:val="24"/>
          <w:szCs w:val="24"/>
        </w:rPr>
      </w:pPr>
    </w:p>
    <w:p w14:paraId="4AE7CE2B" w14:textId="77777777" w:rsidR="003E3072" w:rsidRDefault="003E3072" w:rsidP="00B436EA">
      <w:pPr>
        <w:spacing w:before="240" w:line="360" w:lineRule="auto"/>
        <w:jc w:val="both"/>
        <w:rPr>
          <w:rFonts w:ascii="Palatino Linotype" w:hAnsi="Palatino Linotype"/>
          <w:sz w:val="24"/>
          <w:szCs w:val="24"/>
        </w:rPr>
      </w:pPr>
    </w:p>
    <w:p w14:paraId="734B1E2F" w14:textId="77777777" w:rsidR="003E3072" w:rsidRDefault="003E3072" w:rsidP="00B436EA">
      <w:pPr>
        <w:spacing w:before="240" w:line="360" w:lineRule="auto"/>
        <w:jc w:val="both"/>
        <w:rPr>
          <w:rFonts w:ascii="Palatino Linotype" w:hAnsi="Palatino Linotype"/>
          <w:sz w:val="24"/>
          <w:szCs w:val="24"/>
        </w:rPr>
      </w:pPr>
    </w:p>
    <w:p w14:paraId="456781E4" w14:textId="77777777" w:rsidR="003E3072" w:rsidRDefault="003E3072" w:rsidP="00B436EA">
      <w:pPr>
        <w:spacing w:before="240" w:line="360" w:lineRule="auto"/>
        <w:jc w:val="both"/>
        <w:rPr>
          <w:rFonts w:ascii="Palatino Linotype" w:hAnsi="Palatino Linotype"/>
          <w:sz w:val="24"/>
          <w:szCs w:val="24"/>
        </w:rPr>
      </w:pPr>
    </w:p>
    <w:p w14:paraId="1DDB48B8" w14:textId="77777777" w:rsidR="003E3072" w:rsidRDefault="003E3072" w:rsidP="00B436EA">
      <w:pPr>
        <w:spacing w:before="240" w:line="360" w:lineRule="auto"/>
        <w:jc w:val="both"/>
        <w:rPr>
          <w:rFonts w:ascii="Palatino Linotype" w:hAnsi="Palatino Linotype"/>
          <w:sz w:val="24"/>
          <w:szCs w:val="24"/>
        </w:rPr>
      </w:pPr>
    </w:p>
    <w:p w14:paraId="0018F579" w14:textId="77777777" w:rsidR="003E3072" w:rsidRDefault="003E3072" w:rsidP="00B436EA">
      <w:pPr>
        <w:spacing w:before="240" w:line="360" w:lineRule="auto"/>
        <w:jc w:val="both"/>
        <w:rPr>
          <w:rFonts w:ascii="Palatino Linotype" w:hAnsi="Palatino Linotype"/>
          <w:sz w:val="24"/>
          <w:szCs w:val="24"/>
        </w:rPr>
      </w:pPr>
    </w:p>
    <w:sectPr w:rsidR="003E3072"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4C9BC" w14:textId="77777777" w:rsidR="00E65414" w:rsidRDefault="00E65414" w:rsidP="006168E4">
      <w:pPr>
        <w:spacing w:after="0" w:line="240" w:lineRule="auto"/>
      </w:pPr>
      <w:r>
        <w:separator/>
      </w:r>
    </w:p>
  </w:endnote>
  <w:endnote w:type="continuationSeparator" w:id="0">
    <w:p w14:paraId="3B2B4A6B" w14:textId="77777777" w:rsidR="00E65414" w:rsidRDefault="00E6541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F03E" w14:textId="650DBF0F"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32CC">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B32CC">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2FDF" w14:textId="2348966E"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32C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B32CC">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43DEB" w14:textId="77777777" w:rsidR="00E65414" w:rsidRDefault="00E65414" w:rsidP="006168E4">
      <w:pPr>
        <w:spacing w:after="0" w:line="240" w:lineRule="auto"/>
      </w:pPr>
      <w:r>
        <w:separator/>
      </w:r>
    </w:p>
  </w:footnote>
  <w:footnote w:type="continuationSeparator" w:id="0">
    <w:p w14:paraId="18BFBD0C" w14:textId="77777777" w:rsidR="00E65414" w:rsidRDefault="00E65414" w:rsidP="006168E4">
      <w:pPr>
        <w:spacing w:after="0" w:line="240" w:lineRule="auto"/>
      </w:pPr>
      <w:r>
        <w:continuationSeparator/>
      </w:r>
    </w:p>
  </w:footnote>
  <w:footnote w:id="1">
    <w:p w14:paraId="120FDFCC" w14:textId="77777777" w:rsidR="005C5860" w:rsidRPr="005552A8" w:rsidRDefault="005C5860" w:rsidP="005C5860">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6095819" w14:textId="77777777" w:rsidR="005C5860" w:rsidRPr="005552A8" w:rsidRDefault="005C5860" w:rsidP="005C586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4DF0262D"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771FA">
            <w:rPr>
              <w:rFonts w:ascii="Palatino Linotype" w:hAnsi="Palatino Linotype" w:cs="Arial"/>
              <w:bCs/>
              <w:sz w:val="24"/>
              <w:lang w:eastAsia="es-MX"/>
            </w:rPr>
            <w:t>545</w:t>
          </w:r>
          <w:r w:rsidR="009C2C81">
            <w:rPr>
              <w:rFonts w:ascii="Palatino Linotype" w:hAnsi="Palatino Linotype" w:cs="Arial"/>
              <w:bCs/>
              <w:sz w:val="24"/>
              <w:lang w:eastAsia="es-MX"/>
            </w:rPr>
            <w:t>5</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00B67E77" w:rsidR="00C70B4A" w:rsidRPr="00F06FED" w:rsidRDefault="0021546A" w:rsidP="00C01E1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F048D7">
            <w:rPr>
              <w:rFonts w:ascii="Palatino Linotype" w:hAnsi="Palatino Linotype" w:cs="Arial"/>
            </w:rPr>
            <w:t>Zinacantepec</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48C605F0"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771FA">
            <w:rPr>
              <w:rFonts w:ascii="Palatino Linotype" w:hAnsi="Palatino Linotype" w:cs="Arial"/>
              <w:bCs/>
              <w:sz w:val="24"/>
              <w:lang w:eastAsia="es-MX"/>
            </w:rPr>
            <w:t>545</w:t>
          </w:r>
          <w:r w:rsidR="009C2C81">
            <w:rPr>
              <w:rFonts w:ascii="Palatino Linotype" w:hAnsi="Palatino Linotype" w:cs="Arial"/>
              <w:bCs/>
              <w:sz w:val="24"/>
              <w:lang w:eastAsia="es-MX"/>
            </w:rPr>
            <w:t>5</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74754E7E" w:rsidR="00C70B4A" w:rsidRPr="00F06FED" w:rsidRDefault="009B32CC" w:rsidP="00870B18">
          <w:pPr>
            <w:spacing w:after="120" w:line="256" w:lineRule="auto"/>
            <w:ind w:left="637" w:right="214"/>
            <w:jc w:val="both"/>
            <w:rPr>
              <w:rFonts w:ascii="Palatino Linotype" w:hAnsi="Palatino Linotype" w:cs="Arial"/>
            </w:rPr>
          </w:pPr>
          <w:r>
            <w:rPr>
              <w:rFonts w:ascii="Palatino Linotype" w:hAnsi="Palatino Linotype" w:cs="Arial"/>
            </w:rPr>
            <w:t>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057A24C6" w:rsidR="00C70B4A" w:rsidRDefault="0021546A"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F048D7">
            <w:rPr>
              <w:rFonts w:ascii="Palatino Linotype" w:hAnsi="Palatino Linotype" w:cs="Arial"/>
              <w:szCs w:val="20"/>
            </w:rPr>
            <w:t>Zinacantepec</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F6271"/>
    <w:multiLevelType w:val="hybridMultilevel"/>
    <w:tmpl w:val="89064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F4468D"/>
    <w:multiLevelType w:val="hybridMultilevel"/>
    <w:tmpl w:val="9B42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8C61540"/>
    <w:multiLevelType w:val="hybridMultilevel"/>
    <w:tmpl w:val="D9C6252A"/>
    <w:lvl w:ilvl="0" w:tplc="1EB21E8A">
      <w:start w:val="8"/>
      <w:numFmt w:val="bullet"/>
      <w:lvlText w:val="-"/>
      <w:lvlJc w:val="left"/>
      <w:pPr>
        <w:ind w:left="1080" w:hanging="360"/>
      </w:pPr>
      <w:rPr>
        <w:rFonts w:ascii="Palatino Linotype" w:eastAsia="Palatino Linotype" w:hAnsi="Palatino Linotype" w:cs="Palatino Linotype" w:hint="default"/>
        <w:color w:val="00000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9F04268"/>
    <w:multiLevelType w:val="hybridMultilevel"/>
    <w:tmpl w:val="9F5C0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FDE4F93"/>
    <w:multiLevelType w:val="hybridMultilevel"/>
    <w:tmpl w:val="E7D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15:restartNumberingAfterBreak="0">
    <w:nsid w:val="37DE7809"/>
    <w:multiLevelType w:val="hybridMultilevel"/>
    <w:tmpl w:val="61FA48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3E446C"/>
    <w:multiLevelType w:val="hybridMultilevel"/>
    <w:tmpl w:val="2B96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D5634E"/>
    <w:multiLevelType w:val="hybridMultilevel"/>
    <w:tmpl w:val="6BBA2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6A04FD"/>
    <w:multiLevelType w:val="hybridMultilevel"/>
    <w:tmpl w:val="4C3E590E"/>
    <w:lvl w:ilvl="0" w:tplc="4A900424">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44966B2C"/>
    <w:multiLevelType w:val="hybridMultilevel"/>
    <w:tmpl w:val="A4BAE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E86F0B"/>
    <w:multiLevelType w:val="hybridMultilevel"/>
    <w:tmpl w:val="40BCE3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F2C16"/>
    <w:multiLevelType w:val="hybridMultilevel"/>
    <w:tmpl w:val="2B5CE9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7192D25"/>
    <w:multiLevelType w:val="hybridMultilevel"/>
    <w:tmpl w:val="5510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5BED6BD5"/>
    <w:multiLevelType w:val="hybridMultilevel"/>
    <w:tmpl w:val="3BA0C6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9B6767"/>
    <w:multiLevelType w:val="hybridMultilevel"/>
    <w:tmpl w:val="9042C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D576D"/>
    <w:multiLevelType w:val="hybridMultilevel"/>
    <w:tmpl w:val="71D442DE"/>
    <w:lvl w:ilvl="0" w:tplc="933A9A28">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62BF0821"/>
    <w:multiLevelType w:val="hybridMultilevel"/>
    <w:tmpl w:val="A4BAE3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457A08"/>
    <w:multiLevelType w:val="hybridMultilevel"/>
    <w:tmpl w:val="A4BAE3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E978A1"/>
    <w:multiLevelType w:val="hybridMultilevel"/>
    <w:tmpl w:val="2704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DD061F"/>
    <w:multiLevelType w:val="hybridMultilevel"/>
    <w:tmpl w:val="96C6AF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6F1A1035"/>
    <w:multiLevelType w:val="hybridMultilevel"/>
    <w:tmpl w:val="D2F8E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2169A9"/>
    <w:multiLevelType w:val="hybridMultilevel"/>
    <w:tmpl w:val="8392EC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D72084"/>
    <w:multiLevelType w:val="hybridMultilevel"/>
    <w:tmpl w:val="5EEAC2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63C15"/>
    <w:multiLevelType w:val="hybridMultilevel"/>
    <w:tmpl w:val="A386D79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86340"/>
    <w:multiLevelType w:val="hybridMultilevel"/>
    <w:tmpl w:val="8A901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342423"/>
    <w:multiLevelType w:val="hybridMultilevel"/>
    <w:tmpl w:val="84647480"/>
    <w:lvl w:ilvl="0" w:tplc="8E4A10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79713176"/>
    <w:multiLevelType w:val="hybridMultilevel"/>
    <w:tmpl w:val="62A0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39"/>
  </w:num>
  <w:num w:numId="3">
    <w:abstractNumId w:val="6"/>
  </w:num>
  <w:num w:numId="4">
    <w:abstractNumId w:val="22"/>
  </w:num>
  <w:num w:numId="5">
    <w:abstractNumId w:val="37"/>
  </w:num>
  <w:num w:numId="6">
    <w:abstractNumId w:val="15"/>
  </w:num>
  <w:num w:numId="7">
    <w:abstractNumId w:val="40"/>
  </w:num>
  <w:num w:numId="8">
    <w:abstractNumId w:val="7"/>
  </w:num>
  <w:num w:numId="9">
    <w:abstractNumId w:val="30"/>
  </w:num>
  <w:num w:numId="10">
    <w:abstractNumId w:val="12"/>
  </w:num>
  <w:num w:numId="11">
    <w:abstractNumId w:val="5"/>
  </w:num>
  <w:num w:numId="12">
    <w:abstractNumId w:val="19"/>
  </w:num>
  <w:num w:numId="13">
    <w:abstractNumId w:val="36"/>
  </w:num>
  <w:num w:numId="14">
    <w:abstractNumId w:val="0"/>
  </w:num>
  <w:num w:numId="15">
    <w:abstractNumId w:val="34"/>
  </w:num>
  <w:num w:numId="16">
    <w:abstractNumId w:val="32"/>
  </w:num>
  <w:num w:numId="17">
    <w:abstractNumId w:val="8"/>
  </w:num>
  <w:num w:numId="18">
    <w:abstractNumId w:val="20"/>
  </w:num>
  <w:num w:numId="19">
    <w:abstractNumId w:val="9"/>
  </w:num>
  <w:num w:numId="20">
    <w:abstractNumId w:val="33"/>
  </w:num>
  <w:num w:numId="21">
    <w:abstractNumId w:val="26"/>
  </w:num>
  <w:num w:numId="22">
    <w:abstractNumId w:val="27"/>
  </w:num>
  <w:num w:numId="23">
    <w:abstractNumId w:val="38"/>
  </w:num>
  <w:num w:numId="24">
    <w:abstractNumId w:val="35"/>
  </w:num>
  <w:num w:numId="25">
    <w:abstractNumId w:val="23"/>
  </w:num>
  <w:num w:numId="26">
    <w:abstractNumId w:val="17"/>
  </w:num>
  <w:num w:numId="27">
    <w:abstractNumId w:val="11"/>
  </w:num>
  <w:num w:numId="28">
    <w:abstractNumId w:val="10"/>
  </w:num>
  <w:num w:numId="29">
    <w:abstractNumId w:val="29"/>
  </w:num>
  <w:num w:numId="30">
    <w:abstractNumId w:val="13"/>
  </w:num>
  <w:num w:numId="31">
    <w:abstractNumId w:val="16"/>
  </w:num>
  <w:num w:numId="32">
    <w:abstractNumId w:val="1"/>
  </w:num>
  <w:num w:numId="33">
    <w:abstractNumId w:val="4"/>
  </w:num>
  <w:num w:numId="34">
    <w:abstractNumId w:val="14"/>
  </w:num>
  <w:num w:numId="35">
    <w:abstractNumId w:val="18"/>
  </w:num>
  <w:num w:numId="36">
    <w:abstractNumId w:val="25"/>
  </w:num>
  <w:num w:numId="37">
    <w:abstractNumId w:val="2"/>
  </w:num>
  <w:num w:numId="38">
    <w:abstractNumId w:val="3"/>
  </w:num>
  <w:num w:numId="39">
    <w:abstractNumId w:val="21"/>
  </w:num>
  <w:num w:numId="40">
    <w:abstractNumId w:val="24"/>
  </w:num>
  <w:num w:numId="41">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41C3"/>
    <w:rsid w:val="0000573A"/>
    <w:rsid w:val="000061F8"/>
    <w:rsid w:val="00007BD9"/>
    <w:rsid w:val="00010F2B"/>
    <w:rsid w:val="0001225E"/>
    <w:rsid w:val="00013759"/>
    <w:rsid w:val="00014564"/>
    <w:rsid w:val="0001630D"/>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3F93"/>
    <w:rsid w:val="000662F8"/>
    <w:rsid w:val="00073E78"/>
    <w:rsid w:val="000758EF"/>
    <w:rsid w:val="00081988"/>
    <w:rsid w:val="0008582E"/>
    <w:rsid w:val="00090AFC"/>
    <w:rsid w:val="00091552"/>
    <w:rsid w:val="00091C3A"/>
    <w:rsid w:val="00093E92"/>
    <w:rsid w:val="000A2D37"/>
    <w:rsid w:val="000A3486"/>
    <w:rsid w:val="000A44C7"/>
    <w:rsid w:val="000A4DD1"/>
    <w:rsid w:val="000A70F8"/>
    <w:rsid w:val="000A71F4"/>
    <w:rsid w:val="000A733E"/>
    <w:rsid w:val="000A79DA"/>
    <w:rsid w:val="000B0B8F"/>
    <w:rsid w:val="000B1702"/>
    <w:rsid w:val="000B4B51"/>
    <w:rsid w:val="000B7158"/>
    <w:rsid w:val="000C1477"/>
    <w:rsid w:val="000C309C"/>
    <w:rsid w:val="000C5B8B"/>
    <w:rsid w:val="000C7E6E"/>
    <w:rsid w:val="000D0BC5"/>
    <w:rsid w:val="000D1B55"/>
    <w:rsid w:val="000D3C75"/>
    <w:rsid w:val="000D53CB"/>
    <w:rsid w:val="000D6116"/>
    <w:rsid w:val="000D7A3D"/>
    <w:rsid w:val="000D7B04"/>
    <w:rsid w:val="000E0557"/>
    <w:rsid w:val="000E0655"/>
    <w:rsid w:val="000E0A71"/>
    <w:rsid w:val="000E34A3"/>
    <w:rsid w:val="000E686B"/>
    <w:rsid w:val="000F3EE7"/>
    <w:rsid w:val="000F68B1"/>
    <w:rsid w:val="000F6F19"/>
    <w:rsid w:val="000F7AC2"/>
    <w:rsid w:val="00100E19"/>
    <w:rsid w:val="00102D69"/>
    <w:rsid w:val="00110EDB"/>
    <w:rsid w:val="00111DCD"/>
    <w:rsid w:val="00114CF9"/>
    <w:rsid w:val="0011564C"/>
    <w:rsid w:val="001167AA"/>
    <w:rsid w:val="00117157"/>
    <w:rsid w:val="00123898"/>
    <w:rsid w:val="00124855"/>
    <w:rsid w:val="00124EC6"/>
    <w:rsid w:val="001254F5"/>
    <w:rsid w:val="001336D3"/>
    <w:rsid w:val="001364AA"/>
    <w:rsid w:val="00136FAD"/>
    <w:rsid w:val="00143D5F"/>
    <w:rsid w:val="00144B4A"/>
    <w:rsid w:val="00146F0A"/>
    <w:rsid w:val="00146FFD"/>
    <w:rsid w:val="00147B36"/>
    <w:rsid w:val="00150D1D"/>
    <w:rsid w:val="00152124"/>
    <w:rsid w:val="00152C2B"/>
    <w:rsid w:val="001542FC"/>
    <w:rsid w:val="00154C5F"/>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2DA4"/>
    <w:rsid w:val="00187EE0"/>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7319"/>
    <w:rsid w:val="001C7D87"/>
    <w:rsid w:val="001D299A"/>
    <w:rsid w:val="001D3E87"/>
    <w:rsid w:val="001D5F16"/>
    <w:rsid w:val="001D6FAB"/>
    <w:rsid w:val="001E0EC8"/>
    <w:rsid w:val="001E1D18"/>
    <w:rsid w:val="001E2C0F"/>
    <w:rsid w:val="001E668A"/>
    <w:rsid w:val="001E6A63"/>
    <w:rsid w:val="001F0A4F"/>
    <w:rsid w:val="001F2130"/>
    <w:rsid w:val="001F2A14"/>
    <w:rsid w:val="001F3F0E"/>
    <w:rsid w:val="001F4ADC"/>
    <w:rsid w:val="001F5597"/>
    <w:rsid w:val="001F71ED"/>
    <w:rsid w:val="00203D3A"/>
    <w:rsid w:val="00203FF3"/>
    <w:rsid w:val="002044B4"/>
    <w:rsid w:val="00207086"/>
    <w:rsid w:val="00211D60"/>
    <w:rsid w:val="0021501E"/>
    <w:rsid w:val="0021546A"/>
    <w:rsid w:val="0021572A"/>
    <w:rsid w:val="002204EA"/>
    <w:rsid w:val="002205C0"/>
    <w:rsid w:val="0022494A"/>
    <w:rsid w:val="00225507"/>
    <w:rsid w:val="00232223"/>
    <w:rsid w:val="0023373D"/>
    <w:rsid w:val="00233D7E"/>
    <w:rsid w:val="00233EF7"/>
    <w:rsid w:val="0023423C"/>
    <w:rsid w:val="00235505"/>
    <w:rsid w:val="00237F4F"/>
    <w:rsid w:val="0024112D"/>
    <w:rsid w:val="002428BA"/>
    <w:rsid w:val="00244177"/>
    <w:rsid w:val="00254477"/>
    <w:rsid w:val="00257337"/>
    <w:rsid w:val="002577FE"/>
    <w:rsid w:val="0025780C"/>
    <w:rsid w:val="002609D8"/>
    <w:rsid w:val="00262CBE"/>
    <w:rsid w:val="002630ED"/>
    <w:rsid w:val="002642D3"/>
    <w:rsid w:val="002646EF"/>
    <w:rsid w:val="00266AE6"/>
    <w:rsid w:val="00267C18"/>
    <w:rsid w:val="00273D0E"/>
    <w:rsid w:val="00275FDB"/>
    <w:rsid w:val="002764D6"/>
    <w:rsid w:val="002771FA"/>
    <w:rsid w:val="00280B8B"/>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E6FBB"/>
    <w:rsid w:val="002F22FA"/>
    <w:rsid w:val="002F37BE"/>
    <w:rsid w:val="002F41CA"/>
    <w:rsid w:val="002F4C6A"/>
    <w:rsid w:val="002F527C"/>
    <w:rsid w:val="002F70F6"/>
    <w:rsid w:val="00300D0B"/>
    <w:rsid w:val="003043BE"/>
    <w:rsid w:val="00305181"/>
    <w:rsid w:val="00306096"/>
    <w:rsid w:val="00306974"/>
    <w:rsid w:val="00307014"/>
    <w:rsid w:val="00307CAC"/>
    <w:rsid w:val="00313A1F"/>
    <w:rsid w:val="00314F93"/>
    <w:rsid w:val="0031645D"/>
    <w:rsid w:val="00320A67"/>
    <w:rsid w:val="00324AC9"/>
    <w:rsid w:val="003272FB"/>
    <w:rsid w:val="00330857"/>
    <w:rsid w:val="00330C50"/>
    <w:rsid w:val="00331499"/>
    <w:rsid w:val="0033580E"/>
    <w:rsid w:val="00337F09"/>
    <w:rsid w:val="00343D1E"/>
    <w:rsid w:val="00344519"/>
    <w:rsid w:val="00345E01"/>
    <w:rsid w:val="0035054D"/>
    <w:rsid w:val="00354258"/>
    <w:rsid w:val="00355593"/>
    <w:rsid w:val="0035671C"/>
    <w:rsid w:val="00357548"/>
    <w:rsid w:val="00357E0E"/>
    <w:rsid w:val="00361B9C"/>
    <w:rsid w:val="00361D89"/>
    <w:rsid w:val="003672FB"/>
    <w:rsid w:val="00370588"/>
    <w:rsid w:val="00370797"/>
    <w:rsid w:val="003707FE"/>
    <w:rsid w:val="00370C79"/>
    <w:rsid w:val="003712F3"/>
    <w:rsid w:val="00372D3E"/>
    <w:rsid w:val="003746C6"/>
    <w:rsid w:val="00375763"/>
    <w:rsid w:val="00375BEA"/>
    <w:rsid w:val="00376CEC"/>
    <w:rsid w:val="00380758"/>
    <w:rsid w:val="003810B1"/>
    <w:rsid w:val="003815E5"/>
    <w:rsid w:val="00381E2B"/>
    <w:rsid w:val="003821A1"/>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793"/>
    <w:rsid w:val="003B0D66"/>
    <w:rsid w:val="003B11BA"/>
    <w:rsid w:val="003B1E88"/>
    <w:rsid w:val="003B5E96"/>
    <w:rsid w:val="003C3F7B"/>
    <w:rsid w:val="003C5243"/>
    <w:rsid w:val="003C53ED"/>
    <w:rsid w:val="003D0B7E"/>
    <w:rsid w:val="003D4E0F"/>
    <w:rsid w:val="003D5C0A"/>
    <w:rsid w:val="003E16E1"/>
    <w:rsid w:val="003E1871"/>
    <w:rsid w:val="003E3072"/>
    <w:rsid w:val="003E397A"/>
    <w:rsid w:val="003E504D"/>
    <w:rsid w:val="003E656A"/>
    <w:rsid w:val="003E78B7"/>
    <w:rsid w:val="003F0230"/>
    <w:rsid w:val="003F3016"/>
    <w:rsid w:val="003F38EB"/>
    <w:rsid w:val="003F76E5"/>
    <w:rsid w:val="003F7952"/>
    <w:rsid w:val="004001E0"/>
    <w:rsid w:val="004012CF"/>
    <w:rsid w:val="004015EE"/>
    <w:rsid w:val="00402FF3"/>
    <w:rsid w:val="0040673A"/>
    <w:rsid w:val="004069EB"/>
    <w:rsid w:val="00407601"/>
    <w:rsid w:val="00410ACB"/>
    <w:rsid w:val="00411E6F"/>
    <w:rsid w:val="00412600"/>
    <w:rsid w:val="004150FE"/>
    <w:rsid w:val="00421D09"/>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2DA6"/>
    <w:rsid w:val="004640F2"/>
    <w:rsid w:val="00467337"/>
    <w:rsid w:val="00467C17"/>
    <w:rsid w:val="0047195A"/>
    <w:rsid w:val="00471D57"/>
    <w:rsid w:val="00475345"/>
    <w:rsid w:val="00475F48"/>
    <w:rsid w:val="00476790"/>
    <w:rsid w:val="00477CC2"/>
    <w:rsid w:val="00477D47"/>
    <w:rsid w:val="00480C32"/>
    <w:rsid w:val="004814EA"/>
    <w:rsid w:val="0048180A"/>
    <w:rsid w:val="00481C7A"/>
    <w:rsid w:val="00486984"/>
    <w:rsid w:val="00487DB5"/>
    <w:rsid w:val="004906C8"/>
    <w:rsid w:val="00491877"/>
    <w:rsid w:val="00492BC7"/>
    <w:rsid w:val="004938E6"/>
    <w:rsid w:val="0049549B"/>
    <w:rsid w:val="004967E2"/>
    <w:rsid w:val="004975A8"/>
    <w:rsid w:val="004A114B"/>
    <w:rsid w:val="004A2363"/>
    <w:rsid w:val="004A290F"/>
    <w:rsid w:val="004A55D8"/>
    <w:rsid w:val="004A5FFD"/>
    <w:rsid w:val="004A7CE2"/>
    <w:rsid w:val="004B031A"/>
    <w:rsid w:val="004B1236"/>
    <w:rsid w:val="004B1ACE"/>
    <w:rsid w:val="004B234F"/>
    <w:rsid w:val="004B353F"/>
    <w:rsid w:val="004B59BB"/>
    <w:rsid w:val="004B5CCC"/>
    <w:rsid w:val="004C117E"/>
    <w:rsid w:val="004C2845"/>
    <w:rsid w:val="004C3081"/>
    <w:rsid w:val="004C7961"/>
    <w:rsid w:val="004D0658"/>
    <w:rsid w:val="004D08EB"/>
    <w:rsid w:val="004D3B15"/>
    <w:rsid w:val="004D54E3"/>
    <w:rsid w:val="004D6459"/>
    <w:rsid w:val="004D761E"/>
    <w:rsid w:val="004E1A3D"/>
    <w:rsid w:val="004E1A71"/>
    <w:rsid w:val="004E2371"/>
    <w:rsid w:val="004E3C3B"/>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53"/>
    <w:rsid w:val="005106F9"/>
    <w:rsid w:val="00510D77"/>
    <w:rsid w:val="005128DD"/>
    <w:rsid w:val="00513F18"/>
    <w:rsid w:val="00514207"/>
    <w:rsid w:val="005149BE"/>
    <w:rsid w:val="00515090"/>
    <w:rsid w:val="005179E4"/>
    <w:rsid w:val="00521E57"/>
    <w:rsid w:val="00525093"/>
    <w:rsid w:val="005305E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3FBE"/>
    <w:rsid w:val="0057453A"/>
    <w:rsid w:val="00575268"/>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5860"/>
    <w:rsid w:val="005C6982"/>
    <w:rsid w:val="005C6B74"/>
    <w:rsid w:val="005C7AEA"/>
    <w:rsid w:val="005D125D"/>
    <w:rsid w:val="005D29BF"/>
    <w:rsid w:val="005D2B59"/>
    <w:rsid w:val="005D362F"/>
    <w:rsid w:val="005D370F"/>
    <w:rsid w:val="005D3E85"/>
    <w:rsid w:val="005D44D1"/>
    <w:rsid w:val="005D53D6"/>
    <w:rsid w:val="005E1B06"/>
    <w:rsid w:val="005E265D"/>
    <w:rsid w:val="005E2F0A"/>
    <w:rsid w:val="005E3D7D"/>
    <w:rsid w:val="005E4D7C"/>
    <w:rsid w:val="005E5F6A"/>
    <w:rsid w:val="005F048E"/>
    <w:rsid w:val="005F2047"/>
    <w:rsid w:val="005F2C76"/>
    <w:rsid w:val="005F57F0"/>
    <w:rsid w:val="00601010"/>
    <w:rsid w:val="006028C9"/>
    <w:rsid w:val="0060676C"/>
    <w:rsid w:val="00606B79"/>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56060"/>
    <w:rsid w:val="00661753"/>
    <w:rsid w:val="0066216F"/>
    <w:rsid w:val="00663C3F"/>
    <w:rsid w:val="00664B05"/>
    <w:rsid w:val="006654F6"/>
    <w:rsid w:val="00666CAF"/>
    <w:rsid w:val="00675390"/>
    <w:rsid w:val="00676CAA"/>
    <w:rsid w:val="00676E40"/>
    <w:rsid w:val="006802CF"/>
    <w:rsid w:val="006827AB"/>
    <w:rsid w:val="006831E4"/>
    <w:rsid w:val="00683B62"/>
    <w:rsid w:val="006848B7"/>
    <w:rsid w:val="006868A7"/>
    <w:rsid w:val="00690791"/>
    <w:rsid w:val="00690BFF"/>
    <w:rsid w:val="006915EA"/>
    <w:rsid w:val="00694828"/>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D23FC"/>
    <w:rsid w:val="006D643D"/>
    <w:rsid w:val="006E063C"/>
    <w:rsid w:val="006E0EA3"/>
    <w:rsid w:val="006E3851"/>
    <w:rsid w:val="006E53FF"/>
    <w:rsid w:val="006E7EEE"/>
    <w:rsid w:val="006F1167"/>
    <w:rsid w:val="006F4044"/>
    <w:rsid w:val="006F46DC"/>
    <w:rsid w:val="006F4CC6"/>
    <w:rsid w:val="006F6BBD"/>
    <w:rsid w:val="00701033"/>
    <w:rsid w:val="00701A3F"/>
    <w:rsid w:val="00701E4C"/>
    <w:rsid w:val="00702A03"/>
    <w:rsid w:val="00704BD8"/>
    <w:rsid w:val="00704EFD"/>
    <w:rsid w:val="007051A0"/>
    <w:rsid w:val="00705B96"/>
    <w:rsid w:val="007078C8"/>
    <w:rsid w:val="00712E3A"/>
    <w:rsid w:val="00713CE6"/>
    <w:rsid w:val="007169EF"/>
    <w:rsid w:val="00721506"/>
    <w:rsid w:val="007216DB"/>
    <w:rsid w:val="0072323D"/>
    <w:rsid w:val="007246D3"/>
    <w:rsid w:val="00725F5A"/>
    <w:rsid w:val="007274EC"/>
    <w:rsid w:val="00737175"/>
    <w:rsid w:val="00737605"/>
    <w:rsid w:val="007404D5"/>
    <w:rsid w:val="00740BDD"/>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028F"/>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4DCD"/>
    <w:rsid w:val="00827964"/>
    <w:rsid w:val="008311A6"/>
    <w:rsid w:val="008327EA"/>
    <w:rsid w:val="00833E8A"/>
    <w:rsid w:val="008349CC"/>
    <w:rsid w:val="00834D2F"/>
    <w:rsid w:val="008357C0"/>
    <w:rsid w:val="00836987"/>
    <w:rsid w:val="008422C5"/>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B18"/>
    <w:rsid w:val="00870F44"/>
    <w:rsid w:val="00872ECB"/>
    <w:rsid w:val="0087456A"/>
    <w:rsid w:val="008763E4"/>
    <w:rsid w:val="00877C8E"/>
    <w:rsid w:val="00884054"/>
    <w:rsid w:val="00890B7A"/>
    <w:rsid w:val="00890C62"/>
    <w:rsid w:val="0089173B"/>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4DF4"/>
    <w:rsid w:val="008B5971"/>
    <w:rsid w:val="008B6C58"/>
    <w:rsid w:val="008B70DC"/>
    <w:rsid w:val="008C08BE"/>
    <w:rsid w:val="008C229F"/>
    <w:rsid w:val="008C32A8"/>
    <w:rsid w:val="008C3445"/>
    <w:rsid w:val="008C366D"/>
    <w:rsid w:val="008C4E94"/>
    <w:rsid w:val="008C5595"/>
    <w:rsid w:val="008C55A3"/>
    <w:rsid w:val="008C7368"/>
    <w:rsid w:val="008D32F0"/>
    <w:rsid w:val="008D595F"/>
    <w:rsid w:val="008E012F"/>
    <w:rsid w:val="008E6375"/>
    <w:rsid w:val="008F17A1"/>
    <w:rsid w:val="008F2158"/>
    <w:rsid w:val="008F3D79"/>
    <w:rsid w:val="008F4670"/>
    <w:rsid w:val="008F4C65"/>
    <w:rsid w:val="008F5D20"/>
    <w:rsid w:val="008F7579"/>
    <w:rsid w:val="0090019F"/>
    <w:rsid w:val="00902944"/>
    <w:rsid w:val="009041AF"/>
    <w:rsid w:val="00905422"/>
    <w:rsid w:val="009067B3"/>
    <w:rsid w:val="00906BD5"/>
    <w:rsid w:val="0090759E"/>
    <w:rsid w:val="009104D1"/>
    <w:rsid w:val="00911863"/>
    <w:rsid w:val="00913133"/>
    <w:rsid w:val="009131C3"/>
    <w:rsid w:val="0091475B"/>
    <w:rsid w:val="00914DC8"/>
    <w:rsid w:val="0092120C"/>
    <w:rsid w:val="00921AC3"/>
    <w:rsid w:val="00921DB9"/>
    <w:rsid w:val="0092403D"/>
    <w:rsid w:val="00924E40"/>
    <w:rsid w:val="0092524A"/>
    <w:rsid w:val="00925E60"/>
    <w:rsid w:val="00926C36"/>
    <w:rsid w:val="00930714"/>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4524"/>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2D4D"/>
    <w:rsid w:val="009855E2"/>
    <w:rsid w:val="00987C03"/>
    <w:rsid w:val="00990E3D"/>
    <w:rsid w:val="00992977"/>
    <w:rsid w:val="00992B07"/>
    <w:rsid w:val="0099557F"/>
    <w:rsid w:val="009A3511"/>
    <w:rsid w:val="009A686F"/>
    <w:rsid w:val="009A76E9"/>
    <w:rsid w:val="009A7912"/>
    <w:rsid w:val="009B0094"/>
    <w:rsid w:val="009B28E9"/>
    <w:rsid w:val="009B32CC"/>
    <w:rsid w:val="009B33A8"/>
    <w:rsid w:val="009B3487"/>
    <w:rsid w:val="009B390A"/>
    <w:rsid w:val="009B7C61"/>
    <w:rsid w:val="009C22B1"/>
    <w:rsid w:val="009C2C81"/>
    <w:rsid w:val="009C3793"/>
    <w:rsid w:val="009C62BD"/>
    <w:rsid w:val="009C68AC"/>
    <w:rsid w:val="009D26AD"/>
    <w:rsid w:val="009D341C"/>
    <w:rsid w:val="009D3C55"/>
    <w:rsid w:val="009D45BD"/>
    <w:rsid w:val="009D5261"/>
    <w:rsid w:val="009D76A3"/>
    <w:rsid w:val="009E1411"/>
    <w:rsid w:val="009E19FC"/>
    <w:rsid w:val="009E52F2"/>
    <w:rsid w:val="009F1118"/>
    <w:rsid w:val="009F1287"/>
    <w:rsid w:val="009F25EB"/>
    <w:rsid w:val="009F2A10"/>
    <w:rsid w:val="009F333B"/>
    <w:rsid w:val="009F3C1F"/>
    <w:rsid w:val="009F614E"/>
    <w:rsid w:val="009F657D"/>
    <w:rsid w:val="009F762B"/>
    <w:rsid w:val="009F76BA"/>
    <w:rsid w:val="009F7E09"/>
    <w:rsid w:val="00A00604"/>
    <w:rsid w:val="00A02047"/>
    <w:rsid w:val="00A02B9D"/>
    <w:rsid w:val="00A035C0"/>
    <w:rsid w:val="00A036BE"/>
    <w:rsid w:val="00A0575E"/>
    <w:rsid w:val="00A068CE"/>
    <w:rsid w:val="00A06A16"/>
    <w:rsid w:val="00A10F77"/>
    <w:rsid w:val="00A12205"/>
    <w:rsid w:val="00A139AF"/>
    <w:rsid w:val="00A20113"/>
    <w:rsid w:val="00A24B74"/>
    <w:rsid w:val="00A274C2"/>
    <w:rsid w:val="00A3248C"/>
    <w:rsid w:val="00A339E6"/>
    <w:rsid w:val="00A33EF8"/>
    <w:rsid w:val="00A34362"/>
    <w:rsid w:val="00A343D5"/>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46EB"/>
    <w:rsid w:val="00A55818"/>
    <w:rsid w:val="00A56556"/>
    <w:rsid w:val="00A5790A"/>
    <w:rsid w:val="00A625E2"/>
    <w:rsid w:val="00A63DC7"/>
    <w:rsid w:val="00A65B7E"/>
    <w:rsid w:val="00A70289"/>
    <w:rsid w:val="00A71C71"/>
    <w:rsid w:val="00A72105"/>
    <w:rsid w:val="00A72465"/>
    <w:rsid w:val="00A80C92"/>
    <w:rsid w:val="00A82461"/>
    <w:rsid w:val="00A84417"/>
    <w:rsid w:val="00A851D8"/>
    <w:rsid w:val="00A870C4"/>
    <w:rsid w:val="00A87326"/>
    <w:rsid w:val="00A94568"/>
    <w:rsid w:val="00A953BA"/>
    <w:rsid w:val="00A95C19"/>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07C7"/>
    <w:rsid w:val="00AD1291"/>
    <w:rsid w:val="00AD134F"/>
    <w:rsid w:val="00AD1F40"/>
    <w:rsid w:val="00AD3428"/>
    <w:rsid w:val="00AD3604"/>
    <w:rsid w:val="00AD3AA2"/>
    <w:rsid w:val="00AD43B8"/>
    <w:rsid w:val="00AD4B1A"/>
    <w:rsid w:val="00AD5295"/>
    <w:rsid w:val="00AE008F"/>
    <w:rsid w:val="00AE7291"/>
    <w:rsid w:val="00AF0161"/>
    <w:rsid w:val="00AF2A1F"/>
    <w:rsid w:val="00AF2D9B"/>
    <w:rsid w:val="00B00628"/>
    <w:rsid w:val="00B0096F"/>
    <w:rsid w:val="00B0749B"/>
    <w:rsid w:val="00B10050"/>
    <w:rsid w:val="00B10A1E"/>
    <w:rsid w:val="00B11E08"/>
    <w:rsid w:val="00B12FF9"/>
    <w:rsid w:val="00B13A10"/>
    <w:rsid w:val="00B14039"/>
    <w:rsid w:val="00B149FA"/>
    <w:rsid w:val="00B177F4"/>
    <w:rsid w:val="00B22242"/>
    <w:rsid w:val="00B2232C"/>
    <w:rsid w:val="00B2330D"/>
    <w:rsid w:val="00B23384"/>
    <w:rsid w:val="00B27F33"/>
    <w:rsid w:val="00B32CD3"/>
    <w:rsid w:val="00B34CED"/>
    <w:rsid w:val="00B35A93"/>
    <w:rsid w:val="00B3672D"/>
    <w:rsid w:val="00B37E9B"/>
    <w:rsid w:val="00B433C9"/>
    <w:rsid w:val="00B436EA"/>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22EF"/>
    <w:rsid w:val="00B63BC9"/>
    <w:rsid w:val="00B653BB"/>
    <w:rsid w:val="00B65F4C"/>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352E"/>
    <w:rsid w:val="00BD5023"/>
    <w:rsid w:val="00BD5133"/>
    <w:rsid w:val="00BD58AB"/>
    <w:rsid w:val="00BD6031"/>
    <w:rsid w:val="00BE28ED"/>
    <w:rsid w:val="00BE3339"/>
    <w:rsid w:val="00BF1D3A"/>
    <w:rsid w:val="00BF5FFF"/>
    <w:rsid w:val="00C008B2"/>
    <w:rsid w:val="00C0130E"/>
    <w:rsid w:val="00C01ABC"/>
    <w:rsid w:val="00C01E1C"/>
    <w:rsid w:val="00C01F6B"/>
    <w:rsid w:val="00C02A84"/>
    <w:rsid w:val="00C06D60"/>
    <w:rsid w:val="00C07B2D"/>
    <w:rsid w:val="00C12209"/>
    <w:rsid w:val="00C135B2"/>
    <w:rsid w:val="00C14CD6"/>
    <w:rsid w:val="00C15C47"/>
    <w:rsid w:val="00C16927"/>
    <w:rsid w:val="00C17EF2"/>
    <w:rsid w:val="00C2082E"/>
    <w:rsid w:val="00C20835"/>
    <w:rsid w:val="00C22CC5"/>
    <w:rsid w:val="00C23F05"/>
    <w:rsid w:val="00C24A09"/>
    <w:rsid w:val="00C25084"/>
    <w:rsid w:val="00C274BE"/>
    <w:rsid w:val="00C274C6"/>
    <w:rsid w:val="00C310B6"/>
    <w:rsid w:val="00C321D9"/>
    <w:rsid w:val="00C3330D"/>
    <w:rsid w:val="00C34654"/>
    <w:rsid w:val="00C347FE"/>
    <w:rsid w:val="00C357BE"/>
    <w:rsid w:val="00C4006D"/>
    <w:rsid w:val="00C4530E"/>
    <w:rsid w:val="00C45C21"/>
    <w:rsid w:val="00C52786"/>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76C0"/>
    <w:rsid w:val="00CA2F57"/>
    <w:rsid w:val="00CA5334"/>
    <w:rsid w:val="00CA6A85"/>
    <w:rsid w:val="00CA6FDA"/>
    <w:rsid w:val="00CB0886"/>
    <w:rsid w:val="00CB2CC0"/>
    <w:rsid w:val="00CB3B6F"/>
    <w:rsid w:val="00CB5099"/>
    <w:rsid w:val="00CC0C5F"/>
    <w:rsid w:val="00CC2F3D"/>
    <w:rsid w:val="00CC4CF6"/>
    <w:rsid w:val="00CC51A7"/>
    <w:rsid w:val="00CC5FF3"/>
    <w:rsid w:val="00CC6072"/>
    <w:rsid w:val="00CD1057"/>
    <w:rsid w:val="00CD1612"/>
    <w:rsid w:val="00CD262A"/>
    <w:rsid w:val="00CD365B"/>
    <w:rsid w:val="00CD4BFA"/>
    <w:rsid w:val="00CE0E72"/>
    <w:rsid w:val="00CE2ADF"/>
    <w:rsid w:val="00CE367D"/>
    <w:rsid w:val="00CE6D6A"/>
    <w:rsid w:val="00CF096B"/>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7C6"/>
    <w:rsid w:val="00D25BEE"/>
    <w:rsid w:val="00D27079"/>
    <w:rsid w:val="00D2737E"/>
    <w:rsid w:val="00D274A9"/>
    <w:rsid w:val="00D302CF"/>
    <w:rsid w:val="00D32644"/>
    <w:rsid w:val="00D33619"/>
    <w:rsid w:val="00D36C02"/>
    <w:rsid w:val="00D400F4"/>
    <w:rsid w:val="00D43CF1"/>
    <w:rsid w:val="00D449AE"/>
    <w:rsid w:val="00D477C3"/>
    <w:rsid w:val="00D508EB"/>
    <w:rsid w:val="00D51B89"/>
    <w:rsid w:val="00D52AC7"/>
    <w:rsid w:val="00D54CA9"/>
    <w:rsid w:val="00D54D64"/>
    <w:rsid w:val="00D5567D"/>
    <w:rsid w:val="00D55FBE"/>
    <w:rsid w:val="00D604FD"/>
    <w:rsid w:val="00D6340F"/>
    <w:rsid w:val="00D6535E"/>
    <w:rsid w:val="00D654EC"/>
    <w:rsid w:val="00D6681B"/>
    <w:rsid w:val="00D66C0C"/>
    <w:rsid w:val="00D720DC"/>
    <w:rsid w:val="00D72D16"/>
    <w:rsid w:val="00D742B9"/>
    <w:rsid w:val="00D7492C"/>
    <w:rsid w:val="00D766CC"/>
    <w:rsid w:val="00D81029"/>
    <w:rsid w:val="00D8195B"/>
    <w:rsid w:val="00D821F8"/>
    <w:rsid w:val="00D832FA"/>
    <w:rsid w:val="00D843C7"/>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0265"/>
    <w:rsid w:val="00DB5C0A"/>
    <w:rsid w:val="00DC0220"/>
    <w:rsid w:val="00DC0A85"/>
    <w:rsid w:val="00DC6B33"/>
    <w:rsid w:val="00DC6FF8"/>
    <w:rsid w:val="00DD01FC"/>
    <w:rsid w:val="00DD13E2"/>
    <w:rsid w:val="00DD435C"/>
    <w:rsid w:val="00DE47A1"/>
    <w:rsid w:val="00DE7DCC"/>
    <w:rsid w:val="00DF003C"/>
    <w:rsid w:val="00DF0E8B"/>
    <w:rsid w:val="00DF0F8A"/>
    <w:rsid w:val="00DF137F"/>
    <w:rsid w:val="00DF4501"/>
    <w:rsid w:val="00DF5C75"/>
    <w:rsid w:val="00DF65E5"/>
    <w:rsid w:val="00DF6971"/>
    <w:rsid w:val="00DF78AE"/>
    <w:rsid w:val="00E00E78"/>
    <w:rsid w:val="00E0759A"/>
    <w:rsid w:val="00E076C1"/>
    <w:rsid w:val="00E11E2E"/>
    <w:rsid w:val="00E1235F"/>
    <w:rsid w:val="00E13C83"/>
    <w:rsid w:val="00E15555"/>
    <w:rsid w:val="00E15B7D"/>
    <w:rsid w:val="00E23477"/>
    <w:rsid w:val="00E2408E"/>
    <w:rsid w:val="00E27CDB"/>
    <w:rsid w:val="00E371EC"/>
    <w:rsid w:val="00E43116"/>
    <w:rsid w:val="00E444DA"/>
    <w:rsid w:val="00E50F38"/>
    <w:rsid w:val="00E51A48"/>
    <w:rsid w:val="00E550AA"/>
    <w:rsid w:val="00E571F8"/>
    <w:rsid w:val="00E57E5A"/>
    <w:rsid w:val="00E6173D"/>
    <w:rsid w:val="00E6369C"/>
    <w:rsid w:val="00E63C1D"/>
    <w:rsid w:val="00E64F0A"/>
    <w:rsid w:val="00E65414"/>
    <w:rsid w:val="00E67668"/>
    <w:rsid w:val="00E70AEE"/>
    <w:rsid w:val="00E70EC3"/>
    <w:rsid w:val="00E7107E"/>
    <w:rsid w:val="00E71C93"/>
    <w:rsid w:val="00E7201A"/>
    <w:rsid w:val="00E725D5"/>
    <w:rsid w:val="00E72AE3"/>
    <w:rsid w:val="00E73B51"/>
    <w:rsid w:val="00E76B98"/>
    <w:rsid w:val="00E76D0D"/>
    <w:rsid w:val="00E8151C"/>
    <w:rsid w:val="00E81A88"/>
    <w:rsid w:val="00E81E9C"/>
    <w:rsid w:val="00E82E15"/>
    <w:rsid w:val="00E83FE9"/>
    <w:rsid w:val="00E84151"/>
    <w:rsid w:val="00E86FA6"/>
    <w:rsid w:val="00E91409"/>
    <w:rsid w:val="00E91D17"/>
    <w:rsid w:val="00E936FF"/>
    <w:rsid w:val="00E939C8"/>
    <w:rsid w:val="00E93A33"/>
    <w:rsid w:val="00E93B6B"/>
    <w:rsid w:val="00E96C74"/>
    <w:rsid w:val="00EA1F89"/>
    <w:rsid w:val="00EA2512"/>
    <w:rsid w:val="00EA5177"/>
    <w:rsid w:val="00EA7FEF"/>
    <w:rsid w:val="00EB117B"/>
    <w:rsid w:val="00EB2BEB"/>
    <w:rsid w:val="00EB40D6"/>
    <w:rsid w:val="00EB4222"/>
    <w:rsid w:val="00EB5F75"/>
    <w:rsid w:val="00EB79CD"/>
    <w:rsid w:val="00EC52A5"/>
    <w:rsid w:val="00ED4C91"/>
    <w:rsid w:val="00ED5985"/>
    <w:rsid w:val="00EE0648"/>
    <w:rsid w:val="00EE079C"/>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48D7"/>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452"/>
    <w:rsid w:val="00F42753"/>
    <w:rsid w:val="00F42E10"/>
    <w:rsid w:val="00F440D8"/>
    <w:rsid w:val="00F44A7B"/>
    <w:rsid w:val="00F44FFA"/>
    <w:rsid w:val="00F45B6F"/>
    <w:rsid w:val="00F46BBF"/>
    <w:rsid w:val="00F510DB"/>
    <w:rsid w:val="00F516E3"/>
    <w:rsid w:val="00F5627B"/>
    <w:rsid w:val="00F567CC"/>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0C0"/>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2DEC"/>
    <w:rsid w:val="00FD40CE"/>
    <w:rsid w:val="00FD4599"/>
    <w:rsid w:val="00FD4784"/>
    <w:rsid w:val="00FD51A0"/>
    <w:rsid w:val="00FD65FE"/>
    <w:rsid w:val="00FD74EB"/>
    <w:rsid w:val="00FE009C"/>
    <w:rsid w:val="00FE01E5"/>
    <w:rsid w:val="00FE214F"/>
    <w:rsid w:val="00FE3DA3"/>
    <w:rsid w:val="00FE4094"/>
    <w:rsid w:val="00FE6357"/>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61605-0C3E-4376-8E22-0EF1650B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42</Pages>
  <Words>8117</Words>
  <Characters>44644</Characters>
  <Application>Microsoft Office Word</Application>
  <DocSecurity>0</DocSecurity>
  <Lines>372</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17</cp:revision>
  <cp:lastPrinted>2019-11-07T00:56:00Z</cp:lastPrinted>
  <dcterms:created xsi:type="dcterms:W3CDTF">2023-10-02T16:41:00Z</dcterms:created>
  <dcterms:modified xsi:type="dcterms:W3CDTF">2023-10-30T23:16:00Z</dcterms:modified>
</cp:coreProperties>
</file>