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121" w:rsidRPr="0090068A" w:rsidRDefault="00BB0A51">
      <w:pPr>
        <w:spacing w:before="240"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catorce de junio de dos mil veintitrés.</w:t>
      </w:r>
    </w:p>
    <w:p w:rsidR="00F55121" w:rsidRPr="0090068A" w:rsidRDefault="00F55121"/>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 xml:space="preserve">Visto </w:t>
      </w:r>
      <w:r w:rsidRPr="0090068A">
        <w:rPr>
          <w:rFonts w:ascii="Palatino Linotype" w:eastAsia="Palatino Linotype" w:hAnsi="Palatino Linotype" w:cs="Palatino Linotype"/>
          <w:sz w:val="24"/>
          <w:szCs w:val="24"/>
        </w:rPr>
        <w:t xml:space="preserve">el expediente relativo al recurso de revisión </w:t>
      </w:r>
      <w:r w:rsidRPr="0090068A">
        <w:rPr>
          <w:rFonts w:ascii="Palatino Linotype" w:eastAsia="Palatino Linotype" w:hAnsi="Palatino Linotype" w:cs="Palatino Linotype"/>
          <w:b/>
          <w:sz w:val="24"/>
          <w:szCs w:val="24"/>
        </w:rPr>
        <w:t>15854/INFOEM/IP/RR/2022</w:t>
      </w:r>
      <w:r w:rsidRPr="0090068A">
        <w:rPr>
          <w:rFonts w:ascii="Palatino Linotype" w:eastAsia="Palatino Linotype" w:hAnsi="Palatino Linotype" w:cs="Palatino Linotype"/>
          <w:sz w:val="24"/>
          <w:szCs w:val="24"/>
        </w:rPr>
        <w:t xml:space="preserve">, interpuesto por </w:t>
      </w:r>
      <w:r w:rsidR="00A6726D">
        <w:rPr>
          <w:rFonts w:ascii="Palatino Linotype" w:eastAsia="Palatino Linotype" w:hAnsi="Palatino Linotype" w:cs="Palatino Linotype"/>
          <w:b/>
          <w:sz w:val="24"/>
          <w:szCs w:val="24"/>
        </w:rPr>
        <w:t>XXXXXX XXX XXXXXXXXXX,</w:t>
      </w:r>
      <w:bookmarkStart w:id="0" w:name="_GoBack"/>
      <w:bookmarkEnd w:id="0"/>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 xml:space="preserve">a quien en lo sucesivo se le denominara </w:t>
      </w:r>
      <w:r w:rsidRPr="0090068A">
        <w:rPr>
          <w:rFonts w:ascii="Palatino Linotype" w:eastAsia="Palatino Linotype" w:hAnsi="Palatino Linotype" w:cs="Palatino Linotype"/>
          <w:b/>
          <w:sz w:val="24"/>
          <w:szCs w:val="24"/>
        </w:rPr>
        <w:t>LA PARTE RECURRENTE</w:t>
      </w:r>
      <w:r w:rsidRPr="0090068A">
        <w:rPr>
          <w:rFonts w:ascii="Palatino Linotype" w:eastAsia="Palatino Linotype" w:hAnsi="Palatino Linotype" w:cs="Palatino Linotype"/>
          <w:sz w:val="24"/>
          <w:szCs w:val="24"/>
        </w:rPr>
        <w:t xml:space="preserve">, en contra de la respuesta a la solicitud de información con número de folio </w:t>
      </w:r>
      <w:r w:rsidRPr="0090068A">
        <w:rPr>
          <w:rFonts w:ascii="Palatino Linotype" w:eastAsia="Palatino Linotype" w:hAnsi="Palatino Linotype" w:cs="Palatino Linotype"/>
          <w:b/>
          <w:sz w:val="24"/>
          <w:szCs w:val="24"/>
        </w:rPr>
        <w:t>00156/DIFTLALNE/IP/2022</w:t>
      </w:r>
      <w:r w:rsidRPr="0090068A">
        <w:rPr>
          <w:rFonts w:ascii="Palatino Linotype" w:eastAsia="Palatino Linotype" w:hAnsi="Palatino Linotype" w:cs="Palatino Linotype"/>
          <w:sz w:val="24"/>
          <w:szCs w:val="24"/>
        </w:rPr>
        <w:t xml:space="preserve">, por parte del </w:t>
      </w:r>
      <w:r w:rsidRPr="0090068A">
        <w:rPr>
          <w:rFonts w:ascii="Palatino Linotype" w:eastAsia="Palatino Linotype" w:hAnsi="Palatino Linotype" w:cs="Palatino Linotype"/>
          <w:b/>
          <w:sz w:val="24"/>
          <w:szCs w:val="24"/>
        </w:rPr>
        <w:t>Sistema Municipal Para el Desarrollo Integral de la Familia de Tlalnepantla de Baz</w:t>
      </w:r>
      <w:r w:rsidRPr="0090068A">
        <w:rPr>
          <w:rFonts w:ascii="Palatino Linotype" w:eastAsia="Palatino Linotype" w:hAnsi="Palatino Linotype" w:cs="Palatino Linotype"/>
          <w:sz w:val="24"/>
          <w:szCs w:val="24"/>
        </w:rPr>
        <w:t xml:space="preserve">, en lo sucesivo </w:t>
      </w:r>
      <w:r w:rsidRPr="0090068A">
        <w:rPr>
          <w:rFonts w:ascii="Palatino Linotype" w:eastAsia="Palatino Linotype" w:hAnsi="Palatino Linotype" w:cs="Palatino Linotype"/>
          <w:b/>
          <w:sz w:val="24"/>
          <w:szCs w:val="24"/>
        </w:rPr>
        <w:t>EL</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 xml:space="preserve">SUJETO OBLIGADO; </w:t>
      </w:r>
      <w:r w:rsidRPr="0090068A">
        <w:rPr>
          <w:rFonts w:ascii="Palatino Linotype" w:eastAsia="Palatino Linotype" w:hAnsi="Palatino Linotype" w:cs="Palatino Linotype"/>
          <w:sz w:val="24"/>
          <w:szCs w:val="24"/>
        </w:rPr>
        <w:t>se procede a dictar la presente resolución, con base en los siguientes.</w:t>
      </w:r>
    </w:p>
    <w:p w:rsidR="00F55121" w:rsidRPr="0090068A" w:rsidRDefault="00BB0A51">
      <w:pPr>
        <w:spacing w:after="0" w:line="360" w:lineRule="auto"/>
        <w:jc w:val="center"/>
        <w:rPr>
          <w:rFonts w:ascii="Palatino Linotype" w:eastAsia="Palatino Linotype" w:hAnsi="Palatino Linotype" w:cs="Palatino Linotype"/>
          <w:b/>
        </w:rPr>
      </w:pPr>
      <w:r w:rsidRPr="0090068A">
        <w:rPr>
          <w:rFonts w:ascii="Palatino Linotype" w:eastAsia="Palatino Linotype" w:hAnsi="Palatino Linotype" w:cs="Palatino Linotype"/>
          <w:b/>
        </w:rPr>
        <w:t xml:space="preserve">A N T E C E D E N T E 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1.</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 xml:space="preserve">SOLICITUD DE INFORMACIÓN. </w:t>
      </w:r>
      <w:r w:rsidRPr="0090068A">
        <w:rPr>
          <w:rFonts w:ascii="Palatino Linotype" w:eastAsia="Palatino Linotype" w:hAnsi="Palatino Linotype" w:cs="Palatino Linotype"/>
          <w:sz w:val="24"/>
          <w:szCs w:val="24"/>
        </w:rPr>
        <w:t xml:space="preserve">Con fecha veintiocho de septiembre de dos mil veintidós, </w:t>
      </w:r>
      <w:r w:rsidRPr="0090068A">
        <w:rPr>
          <w:rFonts w:ascii="Palatino Linotype" w:eastAsia="Palatino Linotype" w:hAnsi="Palatino Linotype" w:cs="Palatino Linotype"/>
          <w:b/>
          <w:sz w:val="24"/>
          <w:szCs w:val="24"/>
        </w:rPr>
        <w:t>LA PARTE RECURRENTE</w:t>
      </w:r>
      <w:r w:rsidRPr="0090068A">
        <w:rPr>
          <w:rFonts w:ascii="Palatino Linotype" w:eastAsia="Palatino Linotype" w:hAnsi="Palatino Linotype" w:cs="Palatino Linotype"/>
          <w:sz w:val="24"/>
          <w:szCs w:val="24"/>
        </w:rPr>
        <w:t>, presentó a través del Sistema de Acceso a la Información Mexiquense (</w:t>
      </w:r>
      <w:r w:rsidRPr="0090068A">
        <w:rPr>
          <w:rFonts w:ascii="Palatino Linotype" w:eastAsia="Palatino Linotype" w:hAnsi="Palatino Linotype" w:cs="Palatino Linotype"/>
          <w:b/>
          <w:sz w:val="24"/>
          <w:szCs w:val="24"/>
        </w:rPr>
        <w:t>SAIMEX)</w:t>
      </w:r>
      <w:r w:rsidRPr="0090068A">
        <w:rPr>
          <w:rFonts w:ascii="Palatino Linotype" w:eastAsia="Palatino Linotype" w:hAnsi="Palatino Linotype" w:cs="Palatino Linotype"/>
          <w:sz w:val="24"/>
          <w:szCs w:val="24"/>
        </w:rPr>
        <w:t xml:space="preserve"> ante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solicitud de acceso a la información pública, registrada bajo el número de expediente</w:t>
      </w:r>
      <w:r w:rsidRPr="0090068A">
        <w:rPr>
          <w:rFonts w:ascii="Verdana" w:eastAsia="Verdana" w:hAnsi="Verdana" w:cs="Verdana"/>
          <w:b/>
        </w:rPr>
        <w:t> </w:t>
      </w:r>
      <w:r w:rsidRPr="0090068A">
        <w:rPr>
          <w:rFonts w:ascii="Palatino Linotype" w:eastAsia="Palatino Linotype" w:hAnsi="Palatino Linotype" w:cs="Palatino Linotype"/>
          <w:b/>
          <w:sz w:val="24"/>
          <w:szCs w:val="24"/>
        </w:rPr>
        <w:t>00156/DIFTLALNE/IP/2022</w:t>
      </w: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mediante la cual solicitó la siguiente información:</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276" w:lineRule="auto"/>
        <w:ind w:left="709" w:right="758"/>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“solicito expedientes con los que fueron dados de alta todos los titulares del </w:t>
      </w:r>
      <w:proofErr w:type="spellStart"/>
      <w:r w:rsidRPr="0090068A">
        <w:rPr>
          <w:rFonts w:ascii="Palatino Linotype" w:eastAsia="Palatino Linotype" w:hAnsi="Palatino Linotype" w:cs="Palatino Linotype"/>
          <w:i/>
        </w:rPr>
        <w:t>dif</w:t>
      </w:r>
      <w:proofErr w:type="spellEnd"/>
      <w:r w:rsidRPr="0090068A">
        <w:rPr>
          <w:rFonts w:ascii="Palatino Linotype" w:eastAsia="Palatino Linotype" w:hAnsi="Palatino Linotype" w:cs="Palatino Linotype"/>
          <w:i/>
        </w:rPr>
        <w:t xml:space="preserve">, mismos que deben estar conforme la ley” (Sic). </w:t>
      </w:r>
    </w:p>
    <w:p w:rsidR="00F55121" w:rsidRPr="0090068A" w:rsidRDefault="00F55121">
      <w:pPr>
        <w:spacing w:after="0" w:line="276" w:lineRule="auto"/>
        <w:ind w:left="709" w:right="758"/>
        <w:jc w:val="both"/>
        <w:rPr>
          <w:rFonts w:ascii="Palatino Linotype" w:eastAsia="Palatino Linotype" w:hAnsi="Palatino Linotype" w:cs="Palatino Linotype"/>
          <w:i/>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Modalidad de entrega: A través del </w:t>
      </w:r>
      <w:r w:rsidRPr="0090068A">
        <w:rPr>
          <w:rFonts w:ascii="Palatino Linotype" w:eastAsia="Palatino Linotype" w:hAnsi="Palatino Linotype" w:cs="Palatino Linotype"/>
          <w:b/>
          <w:sz w:val="24"/>
          <w:szCs w:val="24"/>
        </w:rPr>
        <w:t>SAIMEX</w:t>
      </w:r>
      <w:r w:rsidRPr="0090068A">
        <w:rPr>
          <w:rFonts w:ascii="Palatino Linotype" w:eastAsia="Palatino Linotype" w:hAnsi="Palatino Linotype" w:cs="Palatino Linotype"/>
          <w:sz w:val="24"/>
          <w:szCs w:val="24"/>
        </w:rPr>
        <w:t>.</w:t>
      </w:r>
    </w:p>
    <w:p w:rsidR="00F55121" w:rsidRPr="0090068A" w:rsidRDefault="00BB0A51">
      <w:pPr>
        <w:spacing w:after="0" w:line="360" w:lineRule="auto"/>
        <w:jc w:val="both"/>
        <w:rPr>
          <w:sz w:val="24"/>
          <w:szCs w:val="24"/>
        </w:rPr>
      </w:pPr>
      <w:r w:rsidRPr="0090068A">
        <w:rPr>
          <w:rFonts w:ascii="Palatino Linotype" w:eastAsia="Palatino Linotype" w:hAnsi="Palatino Linotype" w:cs="Palatino Linotype"/>
          <w:b/>
          <w:sz w:val="24"/>
          <w:szCs w:val="24"/>
        </w:rPr>
        <w:t xml:space="preserve">2. DE LA SOLICITUD DE ACLARACIÓN. </w:t>
      </w:r>
      <w:r w:rsidRPr="0090068A">
        <w:rPr>
          <w:rFonts w:ascii="Palatino Linotype" w:eastAsia="Palatino Linotype" w:hAnsi="Palatino Linotype" w:cs="Palatino Linotype"/>
          <w:sz w:val="24"/>
          <w:szCs w:val="24"/>
        </w:rPr>
        <w:t xml:space="preserve">Con fecha cinco de octubre del dos mil veintidós,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90068A">
        <w:rPr>
          <w:sz w:val="24"/>
          <w:szCs w:val="24"/>
        </w:rPr>
        <w:t xml:space="preserve"> </w:t>
      </w:r>
    </w:p>
    <w:p w:rsidR="00F55121" w:rsidRPr="0090068A" w:rsidRDefault="00F55121">
      <w:pPr>
        <w:spacing w:after="0" w:line="360" w:lineRule="auto"/>
        <w:jc w:val="both"/>
        <w:rPr>
          <w:rFonts w:ascii="Palatino Linotype" w:eastAsia="Palatino Linotype" w:hAnsi="Palatino Linotype" w:cs="Palatino Linotype"/>
          <w:b/>
          <w:sz w:val="24"/>
          <w:szCs w:val="24"/>
        </w:rPr>
      </w:pPr>
    </w:p>
    <w:p w:rsidR="00F55121" w:rsidRPr="0090068A" w:rsidRDefault="00BB0A51">
      <w:pPr>
        <w:spacing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“Con fundamento en el </w:t>
      </w:r>
      <w:proofErr w:type="spellStart"/>
      <w:r w:rsidRPr="0090068A">
        <w:rPr>
          <w:rFonts w:ascii="Palatino Linotype" w:eastAsia="Palatino Linotype" w:hAnsi="Palatino Linotype" w:cs="Palatino Linotype"/>
          <w:i/>
        </w:rPr>
        <w:t>articulo</w:t>
      </w:r>
      <w:proofErr w:type="spellEnd"/>
      <w:r w:rsidRPr="0090068A">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rsidR="00F55121" w:rsidRPr="0090068A" w:rsidRDefault="00BB0A51">
      <w:pPr>
        <w:spacing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En atención al requerimiento de fecha veintiocho de septiembre de dos mil veintidós, derivado de la solicitud de acceso a la información pública identificada con número de folio 00156/DIFTLALNE/IP/2022, presentada a través del Sistema de Acceso a la Información Mexiquense (SAIMEX), que a la letra refiere: “solicito expedientes con los que fueron dados de alta todos los titulares del </w:t>
      </w:r>
      <w:proofErr w:type="spellStart"/>
      <w:r w:rsidRPr="0090068A">
        <w:rPr>
          <w:rFonts w:ascii="Palatino Linotype" w:eastAsia="Palatino Linotype" w:hAnsi="Palatino Linotype" w:cs="Palatino Linotype"/>
          <w:i/>
        </w:rPr>
        <w:t>dif</w:t>
      </w:r>
      <w:proofErr w:type="spellEnd"/>
      <w:r w:rsidRPr="0090068A">
        <w:rPr>
          <w:rFonts w:ascii="Palatino Linotype" w:eastAsia="Palatino Linotype" w:hAnsi="Palatino Linotype" w:cs="Palatino Linotype"/>
          <w:i/>
        </w:rPr>
        <w:t>, mismos que deben estar conforme la ley</w:t>
      </w:r>
      <w:proofErr w:type="gramStart"/>
      <w:r w:rsidRPr="0090068A">
        <w:rPr>
          <w:rFonts w:ascii="Palatino Linotype" w:eastAsia="Palatino Linotype" w:hAnsi="Palatino Linotype" w:cs="Palatino Linotype"/>
          <w:i/>
        </w:rPr>
        <w:t>” …</w:t>
      </w:r>
      <w:proofErr w:type="gramEnd"/>
      <w:r w:rsidRPr="0090068A">
        <w:rPr>
          <w:rFonts w:ascii="Palatino Linotype" w:eastAsia="Palatino Linotype" w:hAnsi="Palatino Linotype" w:cs="Palatino Linotype"/>
          <w:i/>
        </w:rPr>
        <w:t>(Sic). En relación a lo anterior, y con la finalidad de atender los principios de certeza jurídica y máxima publicidad que establecen los artículos 4 y 8 de la Ley de Transparencia y Acceso a la Información Pública del Estado de México y Municipios, amablemente y en término de lo que dispone el artículo 159 de la cita ley, amablemente le solicito informe específicamente: ¿Cuál es la información que requiere el solicitante? y ¿De cuál de las unidades administrativas que integran este Organismo Público Descentralizado?, esto con el objeto de entregar la información que realmente desea conocer, teniendo sustento la aclaración.</w:t>
      </w:r>
    </w:p>
    <w:p w:rsidR="00F55121" w:rsidRPr="0090068A" w:rsidRDefault="00BB0A51">
      <w:pPr>
        <w:spacing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F55121" w:rsidRPr="0090068A" w:rsidRDefault="00BB0A51">
      <w:pPr>
        <w:spacing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ATENTAMENTE</w:t>
      </w:r>
    </w:p>
    <w:p w:rsidR="00F55121" w:rsidRPr="0090068A" w:rsidRDefault="00BB0A51">
      <w:pPr>
        <w:spacing w:after="0" w:line="276"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Mtro. Ubaldo Vázquez </w:t>
      </w:r>
      <w:proofErr w:type="spellStart"/>
      <w:r w:rsidRPr="0090068A">
        <w:rPr>
          <w:rFonts w:ascii="Palatino Linotype" w:eastAsia="Palatino Linotype" w:hAnsi="Palatino Linotype" w:cs="Palatino Linotype"/>
          <w:i/>
        </w:rPr>
        <w:t>Bucio</w:t>
      </w:r>
      <w:proofErr w:type="spellEnd"/>
      <w:r w:rsidRPr="0090068A">
        <w:rPr>
          <w:rFonts w:ascii="Palatino Linotype" w:eastAsia="Palatino Linotype" w:hAnsi="Palatino Linotype" w:cs="Palatino Linotype"/>
          <w:i/>
        </w:rPr>
        <w:t>”</w:t>
      </w:r>
    </w:p>
    <w:p w:rsidR="00F55121" w:rsidRPr="0090068A" w:rsidRDefault="00F55121">
      <w:pPr>
        <w:spacing w:after="0" w:line="276" w:lineRule="auto"/>
        <w:ind w:left="851" w:right="902"/>
        <w:jc w:val="both"/>
        <w:rPr>
          <w:rFonts w:ascii="Palatino Linotype" w:eastAsia="Palatino Linotype" w:hAnsi="Palatino Linotype" w:cs="Palatino Linotype"/>
          <w:i/>
        </w:rPr>
      </w:pPr>
    </w:p>
    <w:p w:rsidR="00F55121" w:rsidRPr="0090068A" w:rsidRDefault="00BB0A51">
      <w:pPr>
        <w:spacing w:after="0" w:line="276" w:lineRule="auto"/>
        <w:ind w:right="902"/>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EL SUEJTO OBLIGADO</w:t>
      </w:r>
      <w:r w:rsidRPr="0090068A">
        <w:rPr>
          <w:rFonts w:ascii="Palatino Linotype" w:eastAsia="Palatino Linotype" w:hAnsi="Palatino Linotype" w:cs="Palatino Linotype"/>
          <w:sz w:val="24"/>
          <w:szCs w:val="24"/>
        </w:rPr>
        <w:t xml:space="preserve"> adjuntó el archivo electrónico:</w:t>
      </w: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i/>
          <w:sz w:val="24"/>
          <w:szCs w:val="24"/>
          <w:u w:val="single"/>
        </w:rPr>
        <w:t>Aclaración CT IP 00156.pdf</w:t>
      </w:r>
      <w:r w:rsidRPr="0090068A">
        <w:rPr>
          <w:rFonts w:ascii="Palatino Linotype" w:eastAsia="Palatino Linotype" w:hAnsi="Palatino Linotype" w:cs="Palatino Linotype"/>
          <w:sz w:val="24"/>
          <w:szCs w:val="24"/>
        </w:rPr>
        <w:t xml:space="preserve">”: Oficio de fecha cinco de octubre de dos mil veintidós, signado por el Titular de la Unidad de Transparencia mediante el cual, se observa los mismos planteamientos antes descritos.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3. DE LA RESPUESTA DE ACLARACIÓN. </w:t>
      </w:r>
      <w:r w:rsidRPr="0090068A">
        <w:rPr>
          <w:rFonts w:ascii="Palatino Linotype" w:eastAsia="Palatino Linotype" w:hAnsi="Palatino Linotype" w:cs="Palatino Linotype"/>
          <w:sz w:val="24"/>
          <w:szCs w:val="24"/>
        </w:rPr>
        <w:t>Con fecha veintiséis de octubre del dos mil veintidós, el particular dio atención a la solicitud de la aclaración, en el siguiente término: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line="276" w:lineRule="auto"/>
        <w:ind w:left="567" w:right="616"/>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 “La </w:t>
      </w:r>
      <w:proofErr w:type="spellStart"/>
      <w:r w:rsidRPr="0090068A">
        <w:rPr>
          <w:rFonts w:ascii="Palatino Linotype" w:eastAsia="Palatino Linotype" w:hAnsi="Palatino Linotype" w:cs="Palatino Linotype"/>
          <w:i/>
        </w:rPr>
        <w:t>informacion</w:t>
      </w:r>
      <w:proofErr w:type="spellEnd"/>
      <w:r w:rsidRPr="0090068A">
        <w:rPr>
          <w:rFonts w:ascii="Palatino Linotype" w:eastAsia="Palatino Linotype" w:hAnsi="Palatino Linotype" w:cs="Palatino Linotype"/>
          <w:i/>
        </w:rPr>
        <w:t xml:space="preserve"> es clara, deje de aclarar cosas sin sentido y atienda como una persona profesional” (Sic)</w:t>
      </w:r>
    </w:p>
    <w:p w:rsidR="00F55121" w:rsidRPr="0090068A" w:rsidRDefault="00F55121">
      <w:pPr>
        <w:spacing w:line="276" w:lineRule="auto"/>
        <w:ind w:left="567" w:right="616"/>
        <w:jc w:val="both"/>
        <w:rPr>
          <w:rFonts w:ascii="Palatino Linotype" w:eastAsia="Palatino Linotype" w:hAnsi="Palatino Linotype" w:cs="Palatino Linotype"/>
          <w:i/>
        </w:rPr>
      </w:pPr>
    </w:p>
    <w:p w:rsidR="00F55121" w:rsidRPr="0090068A" w:rsidRDefault="00BB0A51">
      <w:pPr>
        <w:spacing w:after="0" w:line="360" w:lineRule="auto"/>
        <w:jc w:val="both"/>
      </w:pPr>
      <w:r w:rsidRPr="0090068A">
        <w:rPr>
          <w:rFonts w:ascii="Palatino Linotype" w:eastAsia="Palatino Linotype" w:hAnsi="Palatino Linotype" w:cs="Palatino Linotype"/>
          <w:b/>
          <w:sz w:val="24"/>
          <w:szCs w:val="24"/>
        </w:rPr>
        <w:t xml:space="preserve">4. RESPUESTA.  </w:t>
      </w:r>
      <w:r w:rsidRPr="0090068A">
        <w:rPr>
          <w:rFonts w:ascii="Palatino Linotype" w:eastAsia="Palatino Linotype" w:hAnsi="Palatino Linotype" w:cs="Palatino Linotype"/>
          <w:sz w:val="24"/>
          <w:szCs w:val="24"/>
        </w:rPr>
        <w:t xml:space="preserve">Con fecha veintiséis de octubre del dos mil veintidós,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0068A">
        <w:t xml:space="preserve"> </w:t>
      </w:r>
    </w:p>
    <w:p w:rsidR="00F55121" w:rsidRPr="0090068A" w:rsidRDefault="00F55121">
      <w:pPr>
        <w:spacing w:after="0" w:line="360" w:lineRule="auto"/>
        <w:jc w:val="both"/>
      </w:pP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Atento a lo anterior, y después de realizar un análisis exhaustivo de la solicitud, se advierte que parte de la información recae en el supuesto establecido en el artículo 116 primer párrafo de la Ley General de Transparencia y Acceso a la información Pública, por contener información confidencial, la cual se identifica como Registro Federal de Contribuyentes (RFC) Clave Única de Registro de </w:t>
      </w:r>
      <w:r w:rsidRPr="0090068A">
        <w:rPr>
          <w:rFonts w:ascii="Palatino Linotype" w:eastAsia="Palatino Linotype" w:hAnsi="Palatino Linotype" w:cs="Palatino Linotype"/>
          <w:i/>
        </w:rPr>
        <w:lastRenderedPageBreak/>
        <w:t>Población (CURP), Numero de Seguridad Social, Dirección personal, Referencias personales, Teléfono, Credencial de Elector, Comprobante de Domicilio, Acta de Nacimiento; para lo cual anexo la información solicitada, en versión pública aprobada en la Vigésima Sesión Extraordinaria del Comité Interno de Transparencia, con el número de acuerdo CT/SMDIF/COMT/EXT/20ª/2022/SEGUNDO.</w:t>
      </w: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ATENTAMENTE</w:t>
      </w: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Mtro. Ubaldo Vázquez </w:t>
      </w:r>
      <w:proofErr w:type="spellStart"/>
      <w:r w:rsidRPr="0090068A">
        <w:rPr>
          <w:rFonts w:ascii="Palatino Linotype" w:eastAsia="Palatino Linotype" w:hAnsi="Palatino Linotype" w:cs="Palatino Linotype"/>
          <w:i/>
        </w:rPr>
        <w:t>Bucio</w:t>
      </w:r>
      <w:proofErr w:type="spellEnd"/>
      <w:r w:rsidRPr="0090068A">
        <w:rPr>
          <w:rFonts w:ascii="Palatino Linotype" w:eastAsia="Palatino Linotype" w:hAnsi="Palatino Linotype" w:cs="Palatino Linotype"/>
          <w:i/>
        </w:rPr>
        <w:t>”</w:t>
      </w:r>
    </w:p>
    <w:p w:rsidR="00F55121" w:rsidRPr="0090068A" w:rsidRDefault="00F55121">
      <w:pPr>
        <w:spacing w:after="0" w:line="276" w:lineRule="auto"/>
        <w:ind w:left="851" w:right="900"/>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adjuntó a su respuesta los archivos electrónicos siguientes: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i/>
          <w:sz w:val="24"/>
          <w:szCs w:val="24"/>
          <w:u w:val="single"/>
        </w:rPr>
        <w:t>EXPEDIENTES 150,156.pdf</w:t>
      </w:r>
      <w:r w:rsidRPr="0090068A">
        <w:rPr>
          <w:rFonts w:ascii="Palatino Linotype" w:eastAsia="Palatino Linotype" w:hAnsi="Palatino Linotype" w:cs="Palatino Linotype"/>
          <w:sz w:val="24"/>
          <w:szCs w:val="24"/>
        </w:rPr>
        <w:t xml:space="preserve">”: Diversas fichas curriculares, comprobantes de último grado de estudios, certificado de antecedentes no penales y certificado de no deudor alimentario.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i/>
          <w:sz w:val="24"/>
          <w:szCs w:val="24"/>
          <w:u w:val="single"/>
        </w:rPr>
        <w:t>SAIMEX 00156.PDF</w:t>
      </w:r>
      <w:r w:rsidRPr="0090068A">
        <w:rPr>
          <w:rFonts w:ascii="Palatino Linotype" w:eastAsia="Palatino Linotype" w:hAnsi="Palatino Linotype" w:cs="Palatino Linotype"/>
          <w:sz w:val="24"/>
          <w:szCs w:val="24"/>
        </w:rPr>
        <w:t xml:space="preserve">”: Oficio de fecha veinticuatro de octubre de dos mil veintidós, signado por el Director de Administración y Finanzas, en donde menciona que después de realizar un análisis exhaustivo de la solicitud, advierte que parte de la solicitud, recae en el supuesto de información confidencial ya que contiene Clave Única del Registro de Población, Registro Federal de Contribuyentes, número de seguridad social, dirección personal, referencias personales, teléfono personal, credencial de elector, comprobante de domicilio, acta de nacimiento, por lo que refiere que adjunta la información en versión pública, aprobada en la Vigésima Sesión Extraordinaria del Comité de Transparencia.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w:t>
      </w:r>
      <w:proofErr w:type="spellStart"/>
      <w:r w:rsidRPr="0090068A">
        <w:rPr>
          <w:rFonts w:ascii="Palatino Linotype" w:eastAsia="Palatino Linotype" w:hAnsi="Palatino Linotype" w:cs="Palatino Linotype"/>
          <w:b/>
          <w:i/>
          <w:sz w:val="24"/>
          <w:szCs w:val="24"/>
          <w:u w:val="single"/>
        </w:rPr>
        <w:t>RespuestaCT</w:t>
      </w:r>
      <w:proofErr w:type="spellEnd"/>
      <w:r w:rsidRPr="0090068A">
        <w:rPr>
          <w:rFonts w:ascii="Palatino Linotype" w:eastAsia="Palatino Linotype" w:hAnsi="Palatino Linotype" w:cs="Palatino Linotype"/>
          <w:b/>
          <w:i/>
          <w:sz w:val="24"/>
          <w:szCs w:val="24"/>
          <w:u w:val="single"/>
        </w:rPr>
        <w:t xml:space="preserve"> IP 00156-938.pdf</w:t>
      </w:r>
      <w:r w:rsidRPr="0090068A">
        <w:rPr>
          <w:rFonts w:ascii="Palatino Linotype" w:eastAsia="Palatino Linotype" w:hAnsi="Palatino Linotype" w:cs="Palatino Linotype"/>
          <w:sz w:val="24"/>
          <w:szCs w:val="24"/>
        </w:rPr>
        <w:t>”: Oficio de fecha veintiséis de octubre de dos mil veintidós, signado por el Coordinador de Transparencia, mediante el cual menciona que hace entrega de los expedientes en formato PDF y el Acta de la Vigésima Sesión Extraordinaria del Comité de Transparencia.</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i/>
          <w:sz w:val="24"/>
          <w:szCs w:val="24"/>
          <w:u w:val="single"/>
        </w:rPr>
        <w:t>VIGÉSIMA SESIÓN EXTRAORDINARIA CT 2022.pdf</w:t>
      </w:r>
      <w:r w:rsidRPr="0090068A">
        <w:rPr>
          <w:rFonts w:ascii="Palatino Linotype" w:eastAsia="Palatino Linotype" w:hAnsi="Palatino Linotype" w:cs="Palatino Linotype"/>
          <w:sz w:val="24"/>
          <w:szCs w:val="24"/>
        </w:rPr>
        <w:t xml:space="preserve">”: Acta de la Vigésima Sesión Extraordinaria, en donde clasifica información concerniente a una solicitud de información diversas que dio origen al Recurso de Revisión citado al rubro. </w:t>
      </w:r>
    </w:p>
    <w:p w:rsidR="00F55121" w:rsidRPr="0090068A" w:rsidRDefault="00F55121">
      <w:pPr>
        <w:spacing w:line="276" w:lineRule="auto"/>
        <w:ind w:right="900"/>
        <w:jc w:val="both"/>
        <w:rPr>
          <w:rFonts w:ascii="Palatino Linotype" w:eastAsia="Palatino Linotype" w:hAnsi="Palatino Linotype" w:cs="Palatino Linotype"/>
          <w:i/>
        </w:rPr>
      </w:pPr>
    </w:p>
    <w:p w:rsidR="00F55121" w:rsidRPr="0090068A" w:rsidRDefault="00BB0A51">
      <w:pPr>
        <w:spacing w:after="240" w:line="360" w:lineRule="auto"/>
        <w:ind w:right="-234"/>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 xml:space="preserve">5. DEL RECURSO DE REVISIÓN. </w:t>
      </w:r>
      <w:r w:rsidRPr="0090068A">
        <w:rPr>
          <w:rFonts w:ascii="Palatino Linotype" w:eastAsia="Palatino Linotype" w:hAnsi="Palatino Linotype" w:cs="Palatino Linotype"/>
          <w:sz w:val="24"/>
          <w:szCs w:val="24"/>
        </w:rPr>
        <w:t>Inconforme con la respuesta del</w:t>
      </w:r>
      <w:r w:rsidRPr="0090068A">
        <w:rPr>
          <w:rFonts w:ascii="Palatino Linotype" w:eastAsia="Palatino Linotype" w:hAnsi="Palatino Linotype" w:cs="Palatino Linotype"/>
          <w:b/>
          <w:sz w:val="24"/>
          <w:szCs w:val="24"/>
        </w:rPr>
        <w:t xml:space="preserve"> SUJETO OBLIGADO, </w:t>
      </w:r>
      <w:r w:rsidRPr="0090068A">
        <w:rPr>
          <w:rFonts w:ascii="Palatino Linotype" w:eastAsia="Palatino Linotype" w:hAnsi="Palatino Linotype" w:cs="Palatino Linotype"/>
          <w:sz w:val="24"/>
          <w:szCs w:val="24"/>
        </w:rPr>
        <w:t>en fecha veintiocho de octubre de dos mil veintidós</w:t>
      </w:r>
      <w:r w:rsidRPr="0090068A">
        <w:rPr>
          <w:rFonts w:ascii="Palatino Linotype" w:eastAsia="Palatino Linotype" w:hAnsi="Palatino Linotype" w:cs="Palatino Linotype"/>
          <w:b/>
          <w:sz w:val="24"/>
          <w:szCs w:val="24"/>
        </w:rPr>
        <w:t>, LA PARTE</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 xml:space="preserve">RECURRENTE </w:t>
      </w:r>
      <w:r w:rsidRPr="0090068A">
        <w:rPr>
          <w:rFonts w:ascii="Palatino Linotype" w:eastAsia="Palatino Linotype" w:hAnsi="Palatino Linotype" w:cs="Palatino Linotype"/>
          <w:sz w:val="24"/>
          <w:szCs w:val="24"/>
        </w:rPr>
        <w:t>interpuso el recurso de revisión, el cual fue registrado</w:t>
      </w:r>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 xml:space="preserve">en el sistema electrónico con el expediente número </w:t>
      </w:r>
      <w:r w:rsidRPr="0090068A">
        <w:rPr>
          <w:rFonts w:ascii="Palatino Linotype" w:eastAsia="Palatino Linotype" w:hAnsi="Palatino Linotype" w:cs="Palatino Linotype"/>
          <w:b/>
          <w:sz w:val="24"/>
          <w:szCs w:val="24"/>
        </w:rPr>
        <w:t>15854/INFOEM/IP/RR/2022</w:t>
      </w:r>
      <w:r w:rsidRPr="0090068A">
        <w:rPr>
          <w:rFonts w:ascii="Palatino Linotype" w:eastAsia="Palatino Linotype" w:hAnsi="Palatino Linotype" w:cs="Palatino Linotype"/>
          <w:sz w:val="24"/>
          <w:szCs w:val="24"/>
        </w:rPr>
        <w:t>, en el cual manifiesta, lo siguiente:</w:t>
      </w:r>
    </w:p>
    <w:p w:rsidR="00F55121" w:rsidRPr="0090068A" w:rsidRDefault="00BB0A5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90068A">
        <w:rPr>
          <w:rFonts w:ascii="Palatino Linotype" w:eastAsia="Palatino Linotype" w:hAnsi="Palatino Linotype" w:cs="Palatino Linotype"/>
          <w:b/>
          <w:i/>
          <w:sz w:val="24"/>
          <w:szCs w:val="24"/>
        </w:rPr>
        <w:t>Acto Impugnado:</w:t>
      </w:r>
    </w:p>
    <w:p w:rsidR="00F55121" w:rsidRPr="0090068A" w:rsidRDefault="00BB0A51">
      <w:pPr>
        <w:spacing w:before="240" w:after="240" w:line="276" w:lineRule="auto"/>
        <w:ind w:left="851"/>
        <w:jc w:val="both"/>
        <w:rPr>
          <w:rFonts w:ascii="Palatino Linotype" w:eastAsia="Palatino Linotype" w:hAnsi="Palatino Linotype" w:cs="Palatino Linotype"/>
          <w:i/>
        </w:rPr>
      </w:pPr>
      <w:r w:rsidRPr="0090068A">
        <w:rPr>
          <w:rFonts w:ascii="Palatino Linotype" w:eastAsia="Palatino Linotype" w:hAnsi="Palatino Linotype" w:cs="Palatino Linotype"/>
          <w:i/>
        </w:rPr>
        <w:t>“Respuesta” [sic]</w:t>
      </w:r>
    </w:p>
    <w:p w:rsidR="00F55121" w:rsidRPr="0090068A" w:rsidRDefault="00BB0A51">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0068A">
        <w:rPr>
          <w:rFonts w:ascii="Palatino Linotype" w:eastAsia="Palatino Linotype" w:hAnsi="Palatino Linotype" w:cs="Palatino Linotype"/>
          <w:b/>
          <w:i/>
          <w:sz w:val="24"/>
          <w:szCs w:val="24"/>
        </w:rPr>
        <w:t>Razones o Motivos de Inconformidad</w:t>
      </w:r>
      <w:r w:rsidRPr="0090068A">
        <w:rPr>
          <w:rFonts w:ascii="Palatino Linotype" w:eastAsia="Palatino Linotype" w:hAnsi="Palatino Linotype" w:cs="Palatino Linotype"/>
          <w:i/>
          <w:sz w:val="24"/>
          <w:szCs w:val="24"/>
        </w:rPr>
        <w:t>:</w:t>
      </w:r>
    </w:p>
    <w:p w:rsidR="00F55121" w:rsidRPr="0090068A" w:rsidRDefault="00BB0A51">
      <w:pPr>
        <w:spacing w:before="240" w:after="0" w:line="276" w:lineRule="auto"/>
        <w:ind w:left="851" w:right="569"/>
        <w:jc w:val="both"/>
        <w:rPr>
          <w:rFonts w:ascii="Palatino Linotype" w:eastAsia="Palatino Linotype" w:hAnsi="Palatino Linotype" w:cs="Palatino Linotype"/>
          <w:i/>
        </w:rPr>
      </w:pPr>
      <w:r w:rsidRPr="0090068A">
        <w:rPr>
          <w:rFonts w:ascii="Palatino Linotype" w:eastAsia="Palatino Linotype" w:hAnsi="Palatino Linotype" w:cs="Palatino Linotype"/>
          <w:i/>
          <w:sz w:val="24"/>
          <w:szCs w:val="24"/>
        </w:rPr>
        <w:t>“</w:t>
      </w:r>
      <w:r w:rsidRPr="0090068A">
        <w:rPr>
          <w:rFonts w:ascii="Palatino Linotype" w:eastAsia="Palatino Linotype" w:hAnsi="Palatino Linotype" w:cs="Palatino Linotype"/>
          <w:i/>
        </w:rPr>
        <w:t xml:space="preserve">Falta información y hay un acta que no dice nada, porque firman tres personas </w:t>
      </w:r>
      <w:proofErr w:type="spellStart"/>
      <w:r w:rsidRPr="0090068A">
        <w:rPr>
          <w:rFonts w:ascii="Palatino Linotype" w:eastAsia="Palatino Linotype" w:hAnsi="Palatino Linotype" w:cs="Palatino Linotype"/>
          <w:i/>
        </w:rPr>
        <w:t>alli</w:t>
      </w:r>
      <w:proofErr w:type="spellEnd"/>
      <w:r w:rsidRPr="0090068A">
        <w:rPr>
          <w:rFonts w:ascii="Palatino Linotype" w:eastAsia="Palatino Linotype" w:hAnsi="Palatino Linotype" w:cs="Palatino Linotype"/>
          <w:i/>
        </w:rPr>
        <w:t xml:space="preserve"> y no </w:t>
      </w:r>
      <w:proofErr w:type="spellStart"/>
      <w:r w:rsidRPr="0090068A">
        <w:rPr>
          <w:rFonts w:ascii="Palatino Linotype" w:eastAsia="Palatino Linotype" w:hAnsi="Palatino Linotype" w:cs="Palatino Linotype"/>
          <w:i/>
        </w:rPr>
        <w:t>pedi</w:t>
      </w:r>
      <w:proofErr w:type="spellEnd"/>
      <w:r w:rsidRPr="0090068A">
        <w:rPr>
          <w:rFonts w:ascii="Palatino Linotype" w:eastAsia="Palatino Linotype" w:hAnsi="Palatino Linotype" w:cs="Palatino Linotype"/>
          <w:i/>
        </w:rPr>
        <w:t xml:space="preserve"> ver información confidencial y no está conforme ley porque no mandan no deudor moroso y demás” [sic]</w:t>
      </w:r>
    </w:p>
    <w:p w:rsidR="00F55121" w:rsidRPr="0090068A" w:rsidRDefault="00F55121">
      <w:pPr>
        <w:spacing w:line="276" w:lineRule="auto"/>
        <w:ind w:right="900"/>
        <w:jc w:val="both"/>
        <w:rPr>
          <w:rFonts w:ascii="Palatino Linotype" w:eastAsia="Palatino Linotype" w:hAnsi="Palatino Linotype" w:cs="Palatino Linotype"/>
          <w:i/>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lastRenderedPageBreak/>
        <w:t xml:space="preserve">6. TURNO. </w:t>
      </w:r>
      <w:r w:rsidRPr="0090068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0068A">
        <w:rPr>
          <w:rFonts w:ascii="Palatino Linotype" w:eastAsia="Palatino Linotype" w:hAnsi="Palatino Linotype" w:cs="Palatino Linotype"/>
          <w:b/>
          <w:sz w:val="24"/>
          <w:szCs w:val="24"/>
        </w:rPr>
        <w:t xml:space="preserve">Guadalupe Ramírez Peña, </w:t>
      </w:r>
      <w:r w:rsidRPr="0090068A">
        <w:rPr>
          <w:rFonts w:ascii="Palatino Linotype" w:eastAsia="Palatino Linotype" w:hAnsi="Palatino Linotype" w:cs="Palatino Linotype"/>
          <w:sz w:val="24"/>
          <w:szCs w:val="24"/>
        </w:rPr>
        <w:t xml:space="preserve">a efecto de que analizara sobre su admisión o su </w:t>
      </w:r>
      <w:proofErr w:type="spellStart"/>
      <w:r w:rsidRPr="0090068A">
        <w:rPr>
          <w:rFonts w:ascii="Palatino Linotype" w:eastAsia="Palatino Linotype" w:hAnsi="Palatino Linotype" w:cs="Palatino Linotype"/>
          <w:sz w:val="24"/>
          <w:szCs w:val="24"/>
        </w:rPr>
        <w:t>desechamiento</w:t>
      </w:r>
      <w:proofErr w:type="spellEnd"/>
      <w:r w:rsidRPr="0090068A">
        <w:rPr>
          <w:rFonts w:ascii="Palatino Linotype" w:eastAsia="Palatino Linotype" w:hAnsi="Palatino Linotype" w:cs="Palatino Linotype"/>
          <w:sz w:val="24"/>
          <w:szCs w:val="24"/>
        </w:rPr>
        <w:t>.</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7. ADMISIÓN DEL RECURSO DE REVISIÓN.</w:t>
      </w:r>
      <w:r w:rsidRPr="0090068A">
        <w:rPr>
          <w:rFonts w:ascii="Palatino Linotype" w:eastAsia="Palatino Linotype" w:hAnsi="Palatino Linotype" w:cs="Palatino Linotype"/>
          <w:sz w:val="24"/>
          <w:szCs w:val="24"/>
        </w:rPr>
        <w:t xml:space="preserve"> Con fecha</w:t>
      </w:r>
      <w:r w:rsidRPr="0090068A">
        <w:rPr>
          <w:rFonts w:ascii="Palatino Linotype" w:eastAsia="Palatino Linotype" w:hAnsi="Palatino Linotype" w:cs="Palatino Linotype"/>
          <w:b/>
          <w:sz w:val="24"/>
          <w:szCs w:val="24"/>
        </w:rPr>
        <w:t xml:space="preserve"> tres de noviembre de dos mil veintidós, </w:t>
      </w:r>
      <w:r w:rsidRPr="0090068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0068A">
        <w:rPr>
          <w:rFonts w:ascii="Palatino Linotype" w:eastAsia="Palatino Linotype" w:hAnsi="Palatino Linotype" w:cs="Palatino Linotype"/>
          <w:b/>
          <w:sz w:val="24"/>
          <w:szCs w:val="24"/>
        </w:rPr>
        <w:t xml:space="preserve">SUJETO OBLIGADO </w:t>
      </w:r>
      <w:r w:rsidRPr="0090068A">
        <w:rPr>
          <w:rFonts w:ascii="Palatino Linotype" w:eastAsia="Palatino Linotype" w:hAnsi="Palatino Linotype" w:cs="Palatino Linotype"/>
          <w:sz w:val="24"/>
          <w:szCs w:val="24"/>
        </w:rPr>
        <w:t>presentará su informe justificado.</w:t>
      </w:r>
    </w:p>
    <w:p w:rsidR="00F55121" w:rsidRPr="0090068A" w:rsidRDefault="00F55121">
      <w:pPr>
        <w:spacing w:line="276" w:lineRule="auto"/>
        <w:ind w:right="900"/>
        <w:jc w:val="both"/>
        <w:rPr>
          <w:rFonts w:ascii="Palatino Linotype" w:eastAsia="Palatino Linotype" w:hAnsi="Palatino Linotype" w:cs="Palatino Linotype"/>
          <w:i/>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8. MANIFESTACIONES.</w:t>
      </w:r>
      <w:r w:rsidRPr="0090068A">
        <w:rPr>
          <w:rFonts w:ascii="Palatino Linotype" w:eastAsia="Palatino Linotype" w:hAnsi="Palatino Linotype" w:cs="Palatino Linotype"/>
          <w:sz w:val="24"/>
          <w:szCs w:val="24"/>
        </w:rPr>
        <w:t xml:space="preserve"> El quince de noviembre de dos mil veintidós se recibió, a través del Sistema de Acceso a la Información Mexiquense (SAIMEX), el Informe Justificado del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 xml:space="preserve">a través de los siguientes archivos electrónicos: </w:t>
      </w:r>
    </w:p>
    <w:p w:rsidR="00F55121" w:rsidRPr="0090068A" w:rsidRDefault="00F55121">
      <w:pPr>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i/>
          <w:sz w:val="24"/>
          <w:szCs w:val="24"/>
          <w:u w:val="single"/>
        </w:rPr>
        <w:t>6.EXPEDIENTES 150,156.pdf</w:t>
      </w: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sz w:val="24"/>
          <w:szCs w:val="24"/>
        </w:rPr>
        <w:t xml:space="preserve">: Diversas fichas curriculares, comprobantes de último grado de estudios, certificado de antecedentes no penales y certificado de no deudor alimentario, mismos que fueron entregados en respuesta, sin embargo, no </w:t>
      </w:r>
      <w:r w:rsidRPr="0090068A">
        <w:rPr>
          <w:rFonts w:ascii="Palatino Linotype" w:eastAsia="Palatino Linotype" w:hAnsi="Palatino Linotype" w:cs="Palatino Linotype"/>
          <w:sz w:val="24"/>
          <w:szCs w:val="24"/>
        </w:rPr>
        <w:lastRenderedPageBreak/>
        <w:t>se puso a la vista ya que se observa el certificado de no deudor alimentario, Claves Únicas de Registro de Población (CURP), y el Código de verificación en el certificado de antecedentes no penales en donde al ingresarlo, de observa la dirección y fecha de nacimiento, datos que deben clasificarse como confidencial en su totalidad.</w:t>
      </w:r>
    </w:p>
    <w:p w:rsidR="00F55121" w:rsidRPr="0090068A" w:rsidRDefault="00F55121">
      <w:pPr>
        <w:spacing w:after="0" w:line="360" w:lineRule="auto"/>
        <w:ind w:right="900"/>
        <w:jc w:val="both"/>
        <w:rPr>
          <w:rFonts w:ascii="Palatino Linotype" w:eastAsia="Palatino Linotype" w:hAnsi="Palatino Linotype" w:cs="Palatino Linotype"/>
          <w:b/>
          <w:i/>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b/>
          <w:i/>
          <w:sz w:val="24"/>
          <w:szCs w:val="24"/>
          <w:u w:val="single"/>
        </w:rPr>
        <w:t>8.RespuestaCT IP 00156-938.pdf</w:t>
      </w: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sz w:val="24"/>
          <w:szCs w:val="24"/>
        </w:rPr>
        <w:t xml:space="preserve">: Oficio de fecha veintiséis de octubre de dos mil veintidós, signado por el Coordinador de Transparencia, mismo que entregó en respuesta.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b/>
          <w:i/>
          <w:sz w:val="24"/>
          <w:szCs w:val="24"/>
          <w:u w:val="single"/>
        </w:rPr>
        <w:t>5.SAIMEX 00156.PDF</w:t>
      </w: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sz w:val="24"/>
          <w:szCs w:val="24"/>
        </w:rPr>
        <w:t xml:space="preserve">: Oficio de fecha veinticuatro de octubre de dos mil veintidós, signado por el Director de Administración y Finanzas, mismo que entregó en respuesta.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b/>
          <w:i/>
          <w:sz w:val="24"/>
          <w:szCs w:val="24"/>
          <w:u w:val="single"/>
        </w:rPr>
        <w:t>InformeJusfiticado-RR15854-IP00156.pdf</w:t>
      </w: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sz w:val="24"/>
          <w:szCs w:val="24"/>
        </w:rPr>
        <w:t xml:space="preserve"> : Oficio de fecha catorce de noviembre de dos mil veintidós, signado por el Titular de la Unidad de Transparencia, mediante el cual describe las constancias que obran en el SAIMEX, solicitando se confirme su respuesta y sobreseer el recurso de revisión al dar cumplimiento a lo solicitado. </w:t>
      </w:r>
    </w:p>
    <w:p w:rsidR="00F55121" w:rsidRPr="0090068A" w:rsidRDefault="00F55121">
      <w:pPr>
        <w:spacing w:after="0" w:line="360" w:lineRule="auto"/>
        <w:ind w:right="900"/>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b/>
          <w:i/>
          <w:sz w:val="24"/>
          <w:szCs w:val="24"/>
          <w:u w:val="single"/>
        </w:rPr>
        <w:t>2.Aclaración CT IP 00156.pdf</w:t>
      </w: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sz w:val="24"/>
          <w:szCs w:val="24"/>
        </w:rPr>
        <w:t xml:space="preserve">: Oficio de fecha cinco de octubre de dos mil veintidós, signado por el Coordinador de Transparencia, mismo que entregó en el apartado de solicitud de aclaración. </w:t>
      </w:r>
    </w:p>
    <w:p w:rsidR="00F55121" w:rsidRPr="0090068A" w:rsidRDefault="00F55121">
      <w:pPr>
        <w:spacing w:after="0" w:line="360" w:lineRule="auto"/>
        <w:ind w:right="900"/>
        <w:jc w:val="both"/>
        <w:rPr>
          <w:rFonts w:ascii="Palatino Linotype" w:eastAsia="Palatino Linotype" w:hAnsi="Palatino Linotype" w:cs="Palatino Linotype"/>
          <w:b/>
          <w:i/>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b/>
          <w:i/>
          <w:sz w:val="24"/>
          <w:szCs w:val="24"/>
          <w:u w:val="single"/>
        </w:rPr>
        <w:t>7.VIGÉSIMA SESIÓN EXTRAORDINARIA CT 2022.pdf</w:t>
      </w:r>
      <w:r w:rsidRPr="0090068A">
        <w:rPr>
          <w:rFonts w:ascii="Palatino Linotype" w:eastAsia="Palatino Linotype" w:hAnsi="Palatino Linotype" w:cs="Palatino Linotype"/>
          <w:b/>
          <w:i/>
          <w:sz w:val="24"/>
          <w:szCs w:val="24"/>
        </w:rPr>
        <w:t>”</w:t>
      </w:r>
      <w:r w:rsidRPr="0090068A">
        <w:rPr>
          <w:rFonts w:ascii="Palatino Linotype" w:eastAsia="Palatino Linotype" w:hAnsi="Palatino Linotype" w:cs="Palatino Linotype"/>
          <w:sz w:val="24"/>
          <w:szCs w:val="24"/>
        </w:rPr>
        <w:t xml:space="preserve">: Acta de la Vigésima Sesión Extraordinaria, entregada en respuesta. </w:t>
      </w: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Mismos que se pusieron a la vista en fecha primero de junio de dos mil veintidós.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Por lo que corresponde a </w:t>
      </w:r>
      <w:r w:rsidRPr="0090068A">
        <w:rPr>
          <w:rFonts w:ascii="Palatino Linotype" w:eastAsia="Palatino Linotype" w:hAnsi="Palatino Linotype" w:cs="Palatino Linotype"/>
          <w:b/>
          <w:sz w:val="24"/>
          <w:szCs w:val="24"/>
        </w:rPr>
        <w:t>LA PARTE RECURRENTE</w:t>
      </w:r>
      <w:r w:rsidRPr="0090068A">
        <w:rPr>
          <w:rFonts w:ascii="Palatino Linotype" w:eastAsia="Palatino Linotype" w:hAnsi="Palatino Linotype" w:cs="Palatino Linotype"/>
          <w:sz w:val="24"/>
          <w:szCs w:val="24"/>
        </w:rPr>
        <w:t xml:space="preserve">, resulto omiso de emitir sus manifestaciones conforme a derecho le corresponde.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9. AMPLIACIÓN DEL TÉRMINO PARA RESOLVER</w:t>
      </w: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rPr>
        <w:t xml:space="preserve"> </w:t>
      </w:r>
      <w:r w:rsidRPr="0090068A">
        <w:rPr>
          <w:rFonts w:ascii="Palatino Linotype" w:eastAsia="Palatino Linotype" w:hAnsi="Palatino Linotype" w:cs="Palatino Linotype"/>
          <w:sz w:val="24"/>
          <w:szCs w:val="24"/>
        </w:rPr>
        <w:t xml:space="preserve">En fecha seis de junio de dos mil veintitrés, se amplió el término para resolver el recurso de revisión en términos del artículo 181 párrafo tercero de la Ley de Transparencia y Acceso a la Información Pública del Estado de México y Municipios.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F55121" w:rsidRPr="0090068A" w:rsidRDefault="00F55121">
      <w:pPr>
        <w:spacing w:line="276" w:lineRule="auto"/>
        <w:ind w:right="900"/>
        <w:jc w:val="both"/>
        <w:rPr>
          <w:rFonts w:ascii="Palatino Linotype" w:eastAsia="Palatino Linotype" w:hAnsi="Palatino Linotype" w:cs="Palatino Linotype"/>
          <w:b/>
          <w:i/>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w:t>
      </w:r>
      <w:r w:rsidRPr="0090068A">
        <w:rPr>
          <w:rFonts w:ascii="Palatino Linotype" w:eastAsia="Palatino Linotype" w:hAnsi="Palatino Linotype" w:cs="Palatino Linotype"/>
          <w:sz w:val="24"/>
          <w:szCs w:val="24"/>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trike/>
          <w:sz w:val="24"/>
          <w:szCs w:val="24"/>
        </w:rPr>
      </w:pPr>
      <w:r w:rsidRPr="0090068A">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sidRPr="0090068A">
        <w:rPr>
          <w:rFonts w:ascii="Palatino Linotype" w:eastAsia="Palatino Linotype" w:hAnsi="Palatino Linotype" w:cs="Palatino Linotype"/>
          <w:sz w:val="24"/>
          <w:szCs w:val="24"/>
        </w:rPr>
        <w:t>su resolución atentos</w:t>
      </w:r>
      <w:proofErr w:type="gramEnd"/>
      <w:r w:rsidRPr="0090068A">
        <w:rPr>
          <w:rFonts w:ascii="Palatino Linotype" w:eastAsia="Palatino Linotype" w:hAnsi="Palatino Linotype" w:cs="Palatino Linotype"/>
          <w:sz w:val="24"/>
          <w:szCs w:val="24"/>
        </w:rPr>
        <w:t xml:space="preserve"> a los siguientes criterios: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numPr>
          <w:ilvl w:val="0"/>
          <w:numId w:val="3"/>
        </w:num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F55121" w:rsidRPr="0090068A" w:rsidRDefault="00F55121">
      <w:pPr>
        <w:spacing w:after="0" w:line="360" w:lineRule="auto"/>
        <w:ind w:left="927"/>
        <w:jc w:val="both"/>
        <w:rPr>
          <w:rFonts w:ascii="Palatino Linotype" w:eastAsia="Palatino Linotype" w:hAnsi="Palatino Linotype" w:cs="Palatino Linotype"/>
          <w:sz w:val="24"/>
          <w:szCs w:val="24"/>
        </w:rPr>
      </w:pPr>
    </w:p>
    <w:p w:rsidR="00F55121" w:rsidRPr="0090068A" w:rsidRDefault="00BB0A51">
      <w:pPr>
        <w:numPr>
          <w:ilvl w:val="0"/>
          <w:numId w:val="3"/>
        </w:num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Actividad Procesal del interesado. Acciones u omisiones del interesado.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numPr>
          <w:ilvl w:val="0"/>
          <w:numId w:val="3"/>
        </w:num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left="567"/>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sz w:val="24"/>
          <w:szCs w:val="24"/>
        </w:rPr>
        <w:t>Argumento que encuentra sustento en la jurisprudencia P</w:t>
      </w:r>
      <w:proofErr w:type="gramStart"/>
      <w:r w:rsidRPr="0090068A">
        <w:rPr>
          <w:rFonts w:ascii="Palatino Linotype" w:eastAsia="Palatino Linotype" w:hAnsi="Palatino Linotype" w:cs="Palatino Linotype"/>
          <w:sz w:val="24"/>
          <w:szCs w:val="24"/>
        </w:rPr>
        <w:t>./</w:t>
      </w:r>
      <w:proofErr w:type="gramEnd"/>
      <w:r w:rsidRPr="0090068A">
        <w:rPr>
          <w:rFonts w:ascii="Palatino Linotype" w:eastAsia="Palatino Linotype" w:hAnsi="Palatino Linotype" w:cs="Palatino Linotype"/>
          <w:sz w:val="24"/>
          <w:szCs w:val="24"/>
        </w:rPr>
        <w:t xml:space="preserve">J. 32/92 emitida por el Pleno de la Suprema Corte de Justicia de la Nación de rubro </w:t>
      </w:r>
      <w:r w:rsidRPr="0090068A">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0068A">
        <w:rPr>
          <w:rFonts w:ascii="Palatino Linotype" w:eastAsia="Palatino Linotype" w:hAnsi="Palatino Linotype" w:cs="Palatino Linotype"/>
          <w:sz w:val="24"/>
          <w:szCs w:val="24"/>
        </w:rPr>
        <w:t>, visible en la Gaceta del Seminario Judicial de la Federación con el registro digital 205635.</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i/>
          <w:sz w:val="24"/>
          <w:szCs w:val="24"/>
        </w:rPr>
        <w:t>“PLAZO RAZONABLE PARA RESOLVER. DIMENSIÓN Y EFECTOS DE ESTE CONCEPTO CUANDO SE ADUCE EXCESIVA CARGA DE TRABAJO.”</w:t>
      </w:r>
      <w:r w:rsidRPr="0090068A">
        <w:rPr>
          <w:rFonts w:ascii="Palatino Linotype" w:eastAsia="Palatino Linotype" w:hAnsi="Palatino Linotype" w:cs="Palatino Linotype"/>
          <w:sz w:val="24"/>
          <w:szCs w:val="24"/>
        </w:rPr>
        <w:t xml:space="preserve"> consultable en el Seminario Judicial de la Federación y su gaceta, con el registro digital 2002351.</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0068A">
        <w:rPr>
          <w:rFonts w:ascii="Palatino Linotype" w:eastAsia="Palatino Linotype" w:hAnsi="Palatino Linotype" w:cs="Palatino Linotype"/>
          <w:sz w:val="24"/>
          <w:szCs w:val="24"/>
        </w:rPr>
        <w:t>, visible en el Seminario Judicial de la Federación y su gaceta, con el registro digital 2002350.</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10. CIERRE DE INSTRUCCIÓN. </w:t>
      </w:r>
      <w:r w:rsidRPr="0090068A">
        <w:rPr>
          <w:rFonts w:ascii="Palatino Linotype" w:eastAsia="Palatino Linotype" w:hAnsi="Palatino Linotype" w:cs="Palatino Linotype"/>
          <w:sz w:val="24"/>
          <w:szCs w:val="24"/>
        </w:rPr>
        <w:t>El siete de junio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widowControl w:val="0"/>
        <w:spacing w:after="0" w:line="360" w:lineRule="auto"/>
        <w:jc w:val="center"/>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C O N S I D E R A N D O S</w:t>
      </w:r>
    </w:p>
    <w:p w:rsidR="00F55121" w:rsidRPr="0090068A" w:rsidRDefault="00F55121">
      <w:pPr>
        <w:spacing w:after="0" w:line="360" w:lineRule="auto"/>
        <w:jc w:val="both"/>
        <w:rPr>
          <w:rFonts w:ascii="Palatino Linotype" w:eastAsia="Palatino Linotype" w:hAnsi="Palatino Linotype" w:cs="Palatino Linotype"/>
          <w:b/>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PRIMERO. COMPETENCIA.</w:t>
      </w:r>
      <w:r w:rsidRPr="0090068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90068A">
        <w:rPr>
          <w:rFonts w:ascii="Palatino Linotype" w:eastAsia="Palatino Linotype" w:hAnsi="Palatino Linotype" w:cs="Palatino Linotype"/>
          <w:sz w:val="24"/>
          <w:szCs w:val="24"/>
        </w:rPr>
        <w:lastRenderedPageBreak/>
        <w:t xml:space="preserve">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234"/>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SEGUNDO. OPORTUNIDAD Y PROCEDIBILIDAD DEL RECURSO DE REVISIÓN.  </w:t>
      </w:r>
      <w:r w:rsidRPr="0090068A">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90068A">
        <w:rPr>
          <w:rFonts w:ascii="Palatino Linotype" w:eastAsia="Palatino Linotype" w:hAnsi="Palatino Linotype" w:cs="Palatino Linotype"/>
          <w:sz w:val="24"/>
          <w:szCs w:val="24"/>
        </w:rPr>
        <w:t>procedibilidad</w:t>
      </w:r>
      <w:proofErr w:type="spellEnd"/>
      <w:r w:rsidRPr="0090068A">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F55121" w:rsidRPr="0090068A" w:rsidRDefault="00F55121">
      <w:pPr>
        <w:spacing w:after="0" w:line="360" w:lineRule="auto"/>
        <w:ind w:right="-234"/>
        <w:jc w:val="both"/>
        <w:rPr>
          <w:rFonts w:ascii="Palatino Linotype" w:eastAsia="Palatino Linotype" w:hAnsi="Palatino Linotype" w:cs="Palatino Linotype"/>
          <w:sz w:val="24"/>
          <w:szCs w:val="24"/>
        </w:rPr>
      </w:pPr>
    </w:p>
    <w:p w:rsidR="00F55121" w:rsidRPr="0090068A" w:rsidRDefault="00BB0A51">
      <w:pPr>
        <w:spacing w:after="0" w:line="360" w:lineRule="auto"/>
        <w:ind w:right="-234"/>
        <w:jc w:val="both"/>
        <w:rPr>
          <w:rFonts w:ascii="Palatino Linotype" w:eastAsia="Palatino Linotype" w:hAnsi="Palatino Linotype" w:cs="Palatino Linotype"/>
          <w:strike/>
          <w:sz w:val="24"/>
          <w:szCs w:val="24"/>
        </w:rPr>
      </w:pPr>
      <w:r w:rsidRPr="0090068A">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90068A">
        <w:rPr>
          <w:rFonts w:ascii="Palatino Linotype" w:eastAsia="Palatino Linotype" w:hAnsi="Palatino Linotype" w:cs="Palatino Linotype"/>
          <w:b/>
          <w:sz w:val="24"/>
          <w:szCs w:val="24"/>
        </w:rPr>
        <w:t xml:space="preserve"> EL SUJETO OBLIGADO </w:t>
      </w:r>
      <w:r w:rsidRPr="0090068A">
        <w:rPr>
          <w:rFonts w:ascii="Palatino Linotype" w:eastAsia="Palatino Linotype" w:hAnsi="Palatino Linotype" w:cs="Palatino Linotype"/>
          <w:sz w:val="24"/>
          <w:szCs w:val="24"/>
        </w:rPr>
        <w:t xml:space="preserve">emitió la respuesta, toda vez que esta fue pronunciada el día veintiséis de octubre de dos mil veintidós, mientras que </w:t>
      </w:r>
      <w:r w:rsidRPr="0090068A">
        <w:rPr>
          <w:rFonts w:ascii="Palatino Linotype" w:eastAsia="Palatino Linotype" w:hAnsi="Palatino Linotype" w:cs="Palatino Linotype"/>
          <w:b/>
          <w:sz w:val="24"/>
          <w:szCs w:val="24"/>
        </w:rPr>
        <w:t>LA PARTE</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RECURRENTE</w:t>
      </w:r>
      <w:r w:rsidRPr="0090068A">
        <w:rPr>
          <w:rFonts w:ascii="Palatino Linotype" w:eastAsia="Palatino Linotype" w:hAnsi="Palatino Linotype" w:cs="Palatino Linotype"/>
          <w:sz w:val="24"/>
          <w:szCs w:val="24"/>
        </w:rPr>
        <w:t xml:space="preserve"> interpuso el recurso de revisión en fecha veintiocho de octubre de dos mil veintidós, es decir al segundo día hábil siguiente en la que se pronunció la respuesta.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Además, por cuanto hace a la </w:t>
      </w:r>
      <w:proofErr w:type="spellStart"/>
      <w:r w:rsidRPr="0090068A">
        <w:rPr>
          <w:rFonts w:ascii="Palatino Linotype" w:eastAsia="Palatino Linotype" w:hAnsi="Palatino Linotype" w:cs="Palatino Linotype"/>
          <w:sz w:val="24"/>
          <w:szCs w:val="24"/>
        </w:rPr>
        <w:t>procedibilidad</w:t>
      </w:r>
      <w:proofErr w:type="spellEnd"/>
      <w:r w:rsidRPr="0090068A">
        <w:rPr>
          <w:rFonts w:ascii="Palatino Linotype" w:eastAsia="Palatino Linotype" w:hAnsi="Palatino Linotype" w:cs="Palatino Linotype"/>
          <w:sz w:val="24"/>
          <w:szCs w:val="24"/>
        </w:rPr>
        <w:t xml:space="preserve"> del recurso de revisión, es de suma importancia señalar que </w:t>
      </w:r>
      <w:r w:rsidRPr="0090068A">
        <w:rPr>
          <w:rFonts w:ascii="Palatino Linotype" w:eastAsia="Palatino Linotype" w:hAnsi="Palatino Linotype" w:cs="Palatino Linotype"/>
          <w:b/>
          <w:sz w:val="24"/>
          <w:szCs w:val="24"/>
        </w:rPr>
        <w:t>LA PARTE</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RECURRENTE</w:t>
      </w:r>
      <w:r w:rsidRPr="0090068A">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240"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 xml:space="preserve">Las solicitudes </w:t>
      </w:r>
      <w:r w:rsidRPr="0090068A">
        <w:rPr>
          <w:rFonts w:ascii="Palatino Linotype" w:eastAsia="Palatino Linotype" w:hAnsi="Palatino Linotype" w:cs="Palatino Linotype"/>
          <w:i/>
        </w:rPr>
        <w:t xml:space="preserve">anónimas, </w:t>
      </w:r>
      <w:r w:rsidRPr="0090068A">
        <w:rPr>
          <w:rFonts w:ascii="Palatino Linotype" w:eastAsia="Palatino Linotype" w:hAnsi="Palatino Linotype" w:cs="Palatino Linotype"/>
          <w:b/>
          <w:i/>
        </w:rPr>
        <w:t xml:space="preserve">con </w:t>
      </w:r>
      <w:r w:rsidRPr="0090068A">
        <w:rPr>
          <w:rFonts w:ascii="Palatino Linotype" w:eastAsia="Palatino Linotype" w:hAnsi="Palatino Linotype" w:cs="Palatino Linotype"/>
          <w:i/>
        </w:rPr>
        <w:t xml:space="preserve">nombre incompleto o </w:t>
      </w:r>
      <w:r w:rsidRPr="0090068A">
        <w:rPr>
          <w:rFonts w:ascii="Palatino Linotype" w:eastAsia="Palatino Linotype" w:hAnsi="Palatino Linotype" w:cs="Palatino Linotype"/>
          <w:b/>
          <w:i/>
        </w:rPr>
        <w:t>seudónimo</w:t>
      </w:r>
      <w:r w:rsidRPr="0090068A">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rsidR="00F55121" w:rsidRPr="0090068A" w:rsidRDefault="00F55121">
      <w:pPr>
        <w:spacing w:after="0" w:line="360" w:lineRule="auto"/>
        <w:ind w:right="-234"/>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90068A">
        <w:rPr>
          <w:rFonts w:ascii="Palatino Linotype" w:eastAsia="Palatino Linotype" w:hAnsi="Palatino Linotype" w:cs="Palatino Linotype"/>
          <w:b/>
          <w:sz w:val="24"/>
          <w:szCs w:val="24"/>
        </w:rPr>
        <w:t xml:space="preserve">EL SAIMEX.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147"/>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Finalmente, resulta procedente la interposición del recurso, según lo aducido por </w:t>
      </w:r>
      <w:r w:rsidRPr="0090068A">
        <w:rPr>
          <w:rFonts w:ascii="Palatino Linotype" w:eastAsia="Palatino Linotype" w:hAnsi="Palatino Linotype" w:cs="Palatino Linotype"/>
          <w:b/>
          <w:sz w:val="24"/>
          <w:szCs w:val="24"/>
        </w:rPr>
        <w:t>LA PARTE RECURRENTE</w:t>
      </w:r>
      <w:r w:rsidRPr="0090068A">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F55121" w:rsidRPr="0090068A" w:rsidRDefault="00F55121">
      <w:pPr>
        <w:spacing w:after="0" w:line="360" w:lineRule="auto"/>
        <w:ind w:right="-147"/>
        <w:jc w:val="both"/>
        <w:rPr>
          <w:rFonts w:ascii="Palatino Linotype" w:eastAsia="Palatino Linotype" w:hAnsi="Palatino Linotype" w:cs="Palatino Linotype"/>
        </w:rPr>
      </w:pPr>
    </w:p>
    <w:p w:rsidR="00F55121" w:rsidRPr="0090068A" w:rsidRDefault="00BB0A51">
      <w:pPr>
        <w:spacing w:after="0"/>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179</w:t>
      </w:r>
      <w:r w:rsidRPr="0090068A">
        <w:rPr>
          <w:rFonts w:ascii="Palatino Linotype" w:eastAsia="Palatino Linotype" w:hAnsi="Palatino Linotype" w:cs="Palatino Linotype"/>
          <w:i/>
        </w:rPr>
        <w:t xml:space="preserve">. </w:t>
      </w:r>
      <w:r w:rsidRPr="0090068A">
        <w:rPr>
          <w:rFonts w:ascii="Palatino Linotype" w:eastAsia="Palatino Linotype" w:hAnsi="Palatino Linotype" w:cs="Palatino Linotype"/>
          <w:b/>
          <w:i/>
        </w:rPr>
        <w:t>El recurso de revisión</w:t>
      </w:r>
      <w:r w:rsidRPr="0090068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0068A">
        <w:rPr>
          <w:rFonts w:ascii="Palatino Linotype" w:eastAsia="Palatino Linotype" w:hAnsi="Palatino Linotype" w:cs="Palatino Linotype"/>
          <w:b/>
          <w:i/>
        </w:rPr>
        <w:t>, y procederá en contra de las siguientes causas</w:t>
      </w:r>
      <w:r w:rsidRPr="0090068A">
        <w:rPr>
          <w:rFonts w:ascii="Palatino Linotype" w:eastAsia="Palatino Linotype" w:hAnsi="Palatino Linotype" w:cs="Palatino Linotype"/>
          <w:i/>
        </w:rPr>
        <w:t>:</w:t>
      </w:r>
    </w:p>
    <w:p w:rsidR="00F55121" w:rsidRPr="0090068A" w:rsidRDefault="00BB0A51">
      <w:pPr>
        <w:spacing w:after="0"/>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i/>
        </w:rPr>
        <w:t>II. La clasificación de la información;</w:t>
      </w:r>
    </w:p>
    <w:p w:rsidR="00F55121" w:rsidRPr="0090068A" w:rsidRDefault="00BB0A51">
      <w:pPr>
        <w:spacing w:after="0"/>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p>
    <w:p w:rsidR="00F55121" w:rsidRPr="0090068A" w:rsidRDefault="00BB0A51">
      <w:pPr>
        <w:spacing w:after="0"/>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V. La entrega de información incompleta;”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TERCERO. MATERIA DE LA REVISIÓN. </w:t>
      </w:r>
      <w:r w:rsidRPr="0090068A">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como informe justificado otorgados por</w:t>
      </w:r>
      <w:r w:rsidRPr="0090068A">
        <w:rPr>
          <w:rFonts w:ascii="Palatino Linotype" w:eastAsia="Palatino Linotype" w:hAnsi="Palatino Linotype" w:cs="Palatino Linotype"/>
          <w:b/>
          <w:sz w:val="24"/>
          <w:szCs w:val="24"/>
        </w:rPr>
        <w:t xml:space="preserve"> EL SUJETO OBLIGADO</w:t>
      </w:r>
      <w:r w:rsidRPr="0090068A">
        <w:rPr>
          <w:rFonts w:ascii="Palatino Linotype" w:eastAsia="Palatino Linotype" w:hAnsi="Palatino Linotype" w:cs="Palatino Linotype"/>
          <w:sz w:val="24"/>
          <w:szCs w:val="24"/>
        </w:rPr>
        <w:t xml:space="preserve"> es adecuada y suficiente para satisfacer el derecho de acceso a la información pública de la parte </w:t>
      </w:r>
      <w:r w:rsidRPr="0090068A">
        <w:rPr>
          <w:rFonts w:ascii="Palatino Linotype" w:eastAsia="Palatino Linotype" w:hAnsi="Palatino Linotype" w:cs="Palatino Linotype"/>
          <w:b/>
          <w:sz w:val="24"/>
          <w:szCs w:val="24"/>
        </w:rPr>
        <w:t>RECURRENTE</w:t>
      </w:r>
      <w:r w:rsidRPr="0090068A">
        <w:rPr>
          <w:rFonts w:ascii="Palatino Linotype" w:eastAsia="Palatino Linotype" w:hAnsi="Palatino Linotype" w:cs="Palatino Linotype"/>
          <w:sz w:val="24"/>
          <w:szCs w:val="24"/>
        </w:rPr>
        <w:t>, o en su defecto, en caso de ser procedente, ordenar la entrega de información oportuna.</w:t>
      </w:r>
    </w:p>
    <w:p w:rsidR="00F55121" w:rsidRPr="0090068A" w:rsidRDefault="00F55121">
      <w:pPr>
        <w:jc w:val="both"/>
      </w:pPr>
    </w:p>
    <w:p w:rsidR="00F55121" w:rsidRPr="0090068A" w:rsidRDefault="00BB0A51">
      <w:pPr>
        <w:spacing w:before="160"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CUARTO. ESTUDIO Y RESOLUCIÓN DEL ASUNTO.  </w:t>
      </w:r>
      <w:r w:rsidRPr="0090068A">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tabs>
          <w:tab w:val="left" w:pos="709"/>
        </w:tabs>
        <w:spacing w:after="0" w:line="276" w:lineRule="auto"/>
        <w:ind w:left="851" w:right="850"/>
        <w:jc w:val="both"/>
        <w:rPr>
          <w:rFonts w:ascii="Palatino Linotype" w:eastAsia="Palatino Linotype" w:hAnsi="Palatino Linotype" w:cs="Palatino Linotype"/>
          <w:i/>
        </w:rPr>
      </w:pPr>
      <w:r w:rsidRPr="0090068A">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90068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F55121" w:rsidRPr="0090068A" w:rsidRDefault="00BB0A51">
      <w:pPr>
        <w:tabs>
          <w:tab w:val="left" w:pos="709"/>
        </w:tabs>
        <w:spacing w:line="276" w:lineRule="auto"/>
        <w:ind w:left="851" w:right="850"/>
        <w:jc w:val="both"/>
        <w:rPr>
          <w:rFonts w:ascii="Palatino Linotype" w:eastAsia="Palatino Linotype" w:hAnsi="Palatino Linotype" w:cs="Palatino Linotype"/>
          <w:b/>
          <w:i/>
        </w:rPr>
      </w:pPr>
      <w:r w:rsidRPr="0090068A">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F55121" w:rsidRPr="0090068A" w:rsidRDefault="00BB0A51">
      <w:pPr>
        <w:tabs>
          <w:tab w:val="left" w:pos="709"/>
        </w:tabs>
        <w:spacing w:line="276" w:lineRule="auto"/>
        <w:ind w:left="851" w:right="850"/>
        <w:jc w:val="both"/>
        <w:rPr>
          <w:rFonts w:ascii="Palatino Linotype" w:eastAsia="Palatino Linotype" w:hAnsi="Palatino Linotype" w:cs="Palatino Linotype"/>
          <w:i/>
        </w:rPr>
      </w:pPr>
      <w:r w:rsidRPr="0090068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0068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F55121" w:rsidRPr="0090068A" w:rsidRDefault="00BB0A51">
      <w:pPr>
        <w:tabs>
          <w:tab w:val="left" w:pos="709"/>
        </w:tabs>
        <w:spacing w:line="276" w:lineRule="auto"/>
        <w:ind w:left="851" w:right="850"/>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p>
    <w:p w:rsidR="00F55121" w:rsidRPr="0090068A" w:rsidRDefault="00BB0A51">
      <w:pPr>
        <w:spacing w:line="276" w:lineRule="auto"/>
        <w:ind w:left="851" w:right="901"/>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6o.</w:t>
      </w:r>
    </w:p>
    <w:p w:rsidR="00F55121" w:rsidRPr="0090068A" w:rsidRDefault="00BB0A51">
      <w:pPr>
        <w:spacing w:line="276" w:lineRule="auto"/>
        <w:ind w:left="851" w:right="901"/>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p>
    <w:p w:rsidR="00F55121" w:rsidRPr="0090068A" w:rsidRDefault="00BB0A51">
      <w:pPr>
        <w:spacing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A. Para el ejercicio del derecho de acceso a la información, la Federación y </w:t>
      </w:r>
      <w:r w:rsidRPr="0090068A">
        <w:rPr>
          <w:rFonts w:ascii="Palatino Linotype" w:eastAsia="Palatino Linotype" w:hAnsi="Palatino Linotype" w:cs="Palatino Linotype"/>
          <w:b/>
          <w:i/>
          <w:u w:val="single"/>
        </w:rPr>
        <w:t>las entidades federativas</w:t>
      </w:r>
      <w:r w:rsidRPr="0090068A">
        <w:rPr>
          <w:rFonts w:ascii="Palatino Linotype" w:eastAsia="Palatino Linotype" w:hAnsi="Palatino Linotype" w:cs="Palatino Linotype"/>
          <w:b/>
          <w:i/>
        </w:rPr>
        <w:t>,</w:t>
      </w:r>
      <w:r w:rsidRPr="0090068A">
        <w:rPr>
          <w:rFonts w:ascii="Palatino Linotype" w:eastAsia="Palatino Linotype" w:hAnsi="Palatino Linotype" w:cs="Palatino Linotype"/>
          <w:i/>
        </w:rPr>
        <w:t xml:space="preserve"> en el ámbito de sus respectivas competencias, se regirán por los siguientes principios y bases:</w:t>
      </w:r>
    </w:p>
    <w:p w:rsidR="00F55121" w:rsidRPr="0090068A" w:rsidRDefault="00BB0A51">
      <w:pPr>
        <w:spacing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i/>
        </w:rPr>
        <w:t> </w:t>
      </w:r>
    </w:p>
    <w:p w:rsidR="00F55121" w:rsidRPr="0090068A" w:rsidRDefault="00BB0A51">
      <w:pPr>
        <w:spacing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I. </w:t>
      </w:r>
      <w:r w:rsidRPr="0090068A">
        <w:rPr>
          <w:rFonts w:ascii="Palatino Linotype" w:eastAsia="Palatino Linotype" w:hAnsi="Palatino Linotype" w:cs="Palatino Linotype"/>
          <w:b/>
          <w:i/>
          <w:u w:val="single"/>
        </w:rPr>
        <w:t>Toda la información en posesión de cualquier autoridad, entidad, órgano y organismo de los Poderes</w:t>
      </w:r>
      <w:r w:rsidRPr="0090068A">
        <w:rPr>
          <w:rFonts w:ascii="Palatino Linotype" w:eastAsia="Palatino Linotype" w:hAnsi="Palatino Linotype" w:cs="Palatino Linotype"/>
          <w:i/>
        </w:rPr>
        <w:t xml:space="preserve"> Ejecutivo, Legislativo </w:t>
      </w:r>
      <w:r w:rsidRPr="0090068A">
        <w:rPr>
          <w:rFonts w:ascii="Palatino Linotype" w:eastAsia="Palatino Linotype" w:hAnsi="Palatino Linotype" w:cs="Palatino Linotype"/>
          <w:b/>
          <w:i/>
          <w:u w:val="single"/>
        </w:rPr>
        <w:t>y Judicial</w:t>
      </w:r>
      <w:r w:rsidRPr="0090068A">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0068A">
        <w:rPr>
          <w:rFonts w:ascii="Palatino Linotype" w:eastAsia="Palatino Linotype" w:hAnsi="Palatino Linotype" w:cs="Palatino Linotype"/>
          <w:b/>
          <w:i/>
        </w:rPr>
        <w:t xml:space="preserve">es pública y sólo podrá ser reservada temporalmente por razones de interés público y </w:t>
      </w:r>
      <w:r w:rsidRPr="0090068A">
        <w:rPr>
          <w:rFonts w:ascii="Palatino Linotype" w:eastAsia="Palatino Linotype" w:hAnsi="Palatino Linotype" w:cs="Palatino Linotype"/>
          <w:b/>
          <w:i/>
        </w:rPr>
        <w:lastRenderedPageBreak/>
        <w:t>seguridad nacional,</w:t>
      </w:r>
      <w:r w:rsidRPr="0090068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55121" w:rsidRPr="0090068A" w:rsidRDefault="00BB0A51">
      <w:pPr>
        <w:spacing w:line="276" w:lineRule="auto"/>
        <w:ind w:left="851" w:right="851"/>
        <w:jc w:val="both"/>
        <w:rPr>
          <w:rFonts w:ascii="Palatino Linotype" w:eastAsia="Palatino Linotype" w:hAnsi="Palatino Linotype" w:cs="Palatino Linotype"/>
          <w:b/>
          <w:i/>
        </w:rPr>
      </w:pPr>
      <w:r w:rsidRPr="0090068A">
        <w:rPr>
          <w:rFonts w:ascii="Palatino Linotype" w:eastAsia="Palatino Linotype" w:hAnsi="Palatino Linotype" w:cs="Palatino Linotype"/>
          <w:i/>
        </w:rPr>
        <w:t> </w:t>
      </w:r>
      <w:r w:rsidRPr="0090068A">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F55121" w:rsidRPr="0090068A" w:rsidRDefault="00BB0A51">
      <w:pPr>
        <w:spacing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i/>
        </w:rPr>
        <w:t> </w:t>
      </w:r>
      <w:r w:rsidRPr="0090068A">
        <w:rPr>
          <w:rFonts w:ascii="Palatino Linotype" w:eastAsia="Palatino Linotype" w:hAnsi="Palatino Linotype" w:cs="Palatino Linotype"/>
          <w:b/>
          <w:i/>
        </w:rPr>
        <w:t xml:space="preserve">III. </w:t>
      </w:r>
      <w:r w:rsidRPr="0090068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0068A">
        <w:rPr>
          <w:rFonts w:ascii="Palatino Linotype" w:eastAsia="Palatino Linotype" w:hAnsi="Palatino Linotype" w:cs="Palatino Linotype"/>
          <w:i/>
        </w:rPr>
        <w:t xml:space="preserve"> a sus datos personales o a la rectificación de éstos.</w:t>
      </w:r>
    </w:p>
    <w:p w:rsidR="00F55121" w:rsidRPr="0090068A" w:rsidRDefault="00BB0A51">
      <w:pPr>
        <w:spacing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i/>
        </w:rPr>
        <w:t> </w:t>
      </w:r>
      <w:r w:rsidRPr="0090068A">
        <w:rPr>
          <w:rFonts w:ascii="Palatino Linotype" w:eastAsia="Palatino Linotype" w:hAnsi="Palatino Linotype" w:cs="Palatino Linotype"/>
          <w:b/>
          <w:i/>
        </w:rPr>
        <w:t xml:space="preserve">IV. </w:t>
      </w:r>
      <w:r w:rsidRPr="0090068A">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F55121" w:rsidRPr="0090068A" w:rsidRDefault="00BB0A51">
      <w:pPr>
        <w:spacing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V. </w:t>
      </w:r>
      <w:r w:rsidRPr="0090068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55121" w:rsidRPr="0090068A" w:rsidRDefault="00BB0A51">
      <w:pPr>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VI. </w:t>
      </w:r>
      <w:r w:rsidRPr="0090068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F55121" w:rsidRPr="0090068A" w:rsidRDefault="00BB0A51">
      <w:pPr>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VII. </w:t>
      </w:r>
      <w:r w:rsidRPr="0090068A">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F55121" w:rsidRPr="0090068A" w:rsidRDefault="00F55121">
      <w:pPr>
        <w:ind w:right="851"/>
        <w:jc w:val="both"/>
        <w:rPr>
          <w:rFonts w:ascii="Palatino Linotype" w:eastAsia="Palatino Linotype" w:hAnsi="Palatino Linotype" w:cs="Palatino Linotype"/>
          <w:i/>
        </w:rPr>
      </w:pPr>
    </w:p>
    <w:p w:rsidR="00F55121" w:rsidRPr="0090068A" w:rsidRDefault="00BB0A51">
      <w:pPr>
        <w:tabs>
          <w:tab w:val="left" w:pos="709"/>
        </w:tabs>
        <w:spacing w:before="160"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90068A">
        <w:rPr>
          <w:rFonts w:ascii="Palatino Linotype" w:eastAsia="Palatino Linotype" w:hAnsi="Palatino Linotype" w:cs="Palatino Linotype"/>
          <w:sz w:val="24"/>
          <w:szCs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primer lugar, es conveniente analizar si la respuesta del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276" w:lineRule="auto"/>
        <w:ind w:left="851" w:right="760"/>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Artículo 4.</w:t>
      </w:r>
      <w:r w:rsidRPr="0090068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55121" w:rsidRPr="0090068A" w:rsidRDefault="00BB0A51">
      <w:pPr>
        <w:spacing w:line="276" w:lineRule="auto"/>
        <w:ind w:left="851" w:right="760"/>
        <w:jc w:val="both"/>
        <w:rPr>
          <w:rFonts w:ascii="Palatino Linotype" w:eastAsia="Palatino Linotype" w:hAnsi="Palatino Linotype" w:cs="Palatino Linotype"/>
          <w:i/>
        </w:rPr>
      </w:pPr>
      <w:r w:rsidRPr="0090068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0068A">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w:t>
      </w:r>
      <w:r w:rsidRPr="0090068A">
        <w:rPr>
          <w:rFonts w:ascii="Palatino Linotype" w:eastAsia="Palatino Linotype" w:hAnsi="Palatino Linotype" w:cs="Palatino Linotype"/>
          <w:i/>
        </w:rPr>
        <w:lastRenderedPageBreak/>
        <w:t>Pública del Estado de México y Municipios 29 como reservada temporalmente por razones de interés público, en los términos de las causas legítimas y estrictamente necesarias previstas por esta Ley.</w:t>
      </w:r>
    </w:p>
    <w:p w:rsidR="00F55121" w:rsidRPr="0090068A" w:rsidRDefault="00F55121">
      <w:pPr>
        <w:spacing w:line="276" w:lineRule="auto"/>
        <w:ind w:left="851" w:right="760"/>
        <w:jc w:val="both"/>
        <w:rPr>
          <w:rFonts w:ascii="Palatino Linotype" w:eastAsia="Palatino Linotype" w:hAnsi="Palatino Linotype" w:cs="Palatino Linotype"/>
          <w:i/>
        </w:rPr>
      </w:pPr>
    </w:p>
    <w:p w:rsidR="00F55121" w:rsidRPr="0090068A" w:rsidRDefault="00BB0A51">
      <w:pPr>
        <w:spacing w:after="0" w:line="276" w:lineRule="auto"/>
        <w:ind w:left="851" w:right="760"/>
        <w:jc w:val="both"/>
        <w:rPr>
          <w:rFonts w:ascii="Palatino Linotype" w:eastAsia="Palatino Linotype" w:hAnsi="Palatino Linotype" w:cs="Palatino Linotype"/>
          <w:i/>
        </w:rPr>
      </w:pPr>
      <w:r w:rsidRPr="0090068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0068A">
        <w:rPr>
          <w:rFonts w:ascii="Palatino Linotype" w:eastAsia="Palatino Linotype" w:hAnsi="Palatino Linotype" w:cs="Palatino Linotype"/>
          <w:i/>
        </w:rPr>
        <w:t>.”(Sic)</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Artículo 12.-</w:t>
      </w:r>
      <w:r w:rsidRPr="0090068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F55121" w:rsidRPr="0090068A" w:rsidRDefault="00BB0A51">
      <w:pPr>
        <w:spacing w:after="0" w:line="276" w:lineRule="auto"/>
        <w:ind w:left="851" w:right="900"/>
        <w:jc w:val="both"/>
        <w:rPr>
          <w:rFonts w:ascii="Palatino Linotype" w:eastAsia="Palatino Linotype" w:hAnsi="Palatino Linotype" w:cs="Palatino Linotype"/>
          <w:b/>
          <w:i/>
        </w:rPr>
      </w:pPr>
      <w:r w:rsidRPr="0090068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0068A">
        <w:rPr>
          <w:rFonts w:ascii="Palatino Linotype" w:eastAsia="Palatino Linotype" w:hAnsi="Palatino Linotype" w:cs="Palatino Linotype"/>
          <w:i/>
        </w:rPr>
        <w:t xml:space="preserve">. </w:t>
      </w:r>
      <w:r w:rsidRPr="0090068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F55121" w:rsidRPr="0090068A" w:rsidRDefault="00F55121">
      <w:pPr>
        <w:spacing w:after="0" w:line="360" w:lineRule="auto"/>
        <w:ind w:left="567" w:right="758"/>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F55121" w:rsidRPr="0090068A" w:rsidRDefault="00F55121">
      <w:pPr>
        <w:spacing w:after="0" w:line="360" w:lineRule="auto"/>
        <w:jc w:val="both"/>
        <w:rPr>
          <w:rFonts w:ascii="Palatino Linotype" w:eastAsia="Palatino Linotype" w:hAnsi="Palatino Linotype" w:cs="Palatino Linotype"/>
        </w:rPr>
      </w:pP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18.</w:t>
      </w:r>
      <w:r w:rsidRPr="0090068A">
        <w:rPr>
          <w:rFonts w:ascii="Palatino Linotype" w:eastAsia="Palatino Linotype" w:hAnsi="Palatino Linotype" w:cs="Palatino Linotype"/>
          <w:i/>
        </w:rPr>
        <w:t xml:space="preserve"> </w:t>
      </w:r>
      <w:r w:rsidRPr="0090068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90068A">
        <w:rPr>
          <w:rFonts w:ascii="Palatino Linotype" w:eastAsia="Palatino Linotype" w:hAnsi="Palatino Linotype" w:cs="Palatino Linotype"/>
          <w:i/>
        </w:rPr>
        <w:t xml:space="preserve"> y reutilización de la información que generen.</w:t>
      </w: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Artículo 19. </w:t>
      </w:r>
      <w:r w:rsidRPr="0090068A">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0068A">
        <w:rPr>
          <w:rFonts w:ascii="Palatino Linotype" w:eastAsia="Palatino Linotype" w:hAnsi="Palatino Linotype" w:cs="Palatino Linotype"/>
          <w:i/>
        </w:rPr>
        <w:t>.</w:t>
      </w:r>
    </w:p>
    <w:p w:rsidR="00F55121" w:rsidRPr="0090068A" w:rsidRDefault="00F55121">
      <w:pPr>
        <w:spacing w:after="0" w:line="276" w:lineRule="auto"/>
        <w:ind w:left="851" w:right="851"/>
        <w:jc w:val="both"/>
        <w:rPr>
          <w:rFonts w:ascii="Palatino Linotype" w:eastAsia="Palatino Linotype" w:hAnsi="Palatino Linotype" w:cs="Palatino Linotype"/>
          <w:i/>
        </w:rPr>
      </w:pP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55121" w:rsidRPr="0090068A" w:rsidRDefault="00F55121">
      <w:pPr>
        <w:spacing w:after="0" w:line="360" w:lineRule="auto"/>
        <w:ind w:left="851" w:right="851"/>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90068A">
        <w:rPr>
          <w:rFonts w:ascii="Palatino Linotype" w:eastAsia="Palatino Linotype" w:hAnsi="Palatino Linotype" w:cs="Palatino Linotype"/>
          <w:sz w:val="24"/>
          <w:szCs w:val="24"/>
        </w:rPr>
        <w:lastRenderedPageBreak/>
        <w:t xml:space="preserve">podrán estar en cualquier medio, sea escrito, impreso, sonoro, visual, electrónico, informático u holográfico de conformidad con el artículo 3, fracción XI de la Ley de la materia, el cual señala lo siguiente: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 xml:space="preserve">Artículo 3. </w:t>
      </w:r>
      <w:r w:rsidRPr="0090068A">
        <w:rPr>
          <w:rFonts w:ascii="Palatino Linotype" w:eastAsia="Palatino Linotype" w:hAnsi="Palatino Linotype" w:cs="Palatino Linotype"/>
          <w:i/>
        </w:rPr>
        <w:t>Para los efectos de la presente Ley se entenderá por:</w:t>
      </w:r>
    </w:p>
    <w:p w:rsidR="00F55121" w:rsidRPr="0090068A" w:rsidRDefault="00BB0A51">
      <w:pPr>
        <w:spacing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p>
    <w:p w:rsidR="00F55121" w:rsidRPr="0090068A" w:rsidRDefault="00BB0A51">
      <w:pPr>
        <w:spacing w:after="0"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b/>
          <w:i/>
        </w:rPr>
        <w:t>XI. Documento:</w:t>
      </w:r>
      <w:r w:rsidRPr="0090068A">
        <w:rPr>
          <w:rFonts w:ascii="Palatino Linotype" w:eastAsia="Palatino Linotype" w:hAnsi="Palatino Linotype" w:cs="Palatino Linotype"/>
          <w:i/>
        </w:rPr>
        <w:t xml:space="preserve"> Los expedientes, reportes, estudios, actas</w:t>
      </w:r>
      <w:r w:rsidRPr="0090068A">
        <w:rPr>
          <w:rFonts w:ascii="Palatino Linotype" w:eastAsia="Palatino Linotype" w:hAnsi="Palatino Linotype" w:cs="Palatino Linotype"/>
          <w:b/>
          <w:i/>
        </w:rPr>
        <w:t>,</w:t>
      </w:r>
      <w:r w:rsidRPr="0090068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55121" w:rsidRPr="0090068A" w:rsidRDefault="00F55121">
      <w:pPr>
        <w:spacing w:after="0" w:line="360" w:lineRule="auto"/>
        <w:ind w:left="851" w:right="899"/>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line="276" w:lineRule="auto"/>
        <w:ind w:left="851" w:right="899"/>
        <w:jc w:val="both"/>
        <w:rPr>
          <w:rFonts w:ascii="Palatino Linotype" w:eastAsia="Palatino Linotype" w:hAnsi="Palatino Linotype" w:cs="Palatino Linotype"/>
          <w:b/>
          <w:i/>
        </w:rPr>
      </w:pPr>
      <w:r w:rsidRPr="0090068A">
        <w:rPr>
          <w:rFonts w:ascii="Palatino Linotype" w:eastAsia="Palatino Linotype" w:hAnsi="Palatino Linotype" w:cs="Palatino Linotype"/>
          <w:b/>
        </w:rPr>
        <w:t>“</w:t>
      </w:r>
      <w:r w:rsidRPr="0090068A">
        <w:rPr>
          <w:rFonts w:ascii="Palatino Linotype" w:eastAsia="Palatino Linotype" w:hAnsi="Palatino Linotype" w:cs="Palatino Linotype"/>
          <w:b/>
          <w:i/>
        </w:rPr>
        <w:t>CRITERIO 0002-11</w:t>
      </w:r>
    </w:p>
    <w:p w:rsidR="00F55121" w:rsidRPr="0090068A" w:rsidRDefault="00BB0A51">
      <w:pPr>
        <w:spacing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0068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w:t>
      </w:r>
      <w:r w:rsidRPr="0090068A">
        <w:rPr>
          <w:rFonts w:ascii="Palatino Linotype" w:eastAsia="Palatino Linotype" w:hAnsi="Palatino Linotype" w:cs="Palatino Linotype"/>
          <w:i/>
        </w:rPr>
        <w:lastRenderedPageBreak/>
        <w:t>registros y documentos públicos, administrados, generados o en posesión de los órganos u organismos públicos, en virtud del ejercicio de sus funciones de derecho público, sin importar su fuente, soporte o fecha de elaboración.</w:t>
      </w:r>
    </w:p>
    <w:p w:rsidR="00F55121" w:rsidRPr="0090068A" w:rsidRDefault="00BB0A51">
      <w:pPr>
        <w:spacing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En consecuencia el acceso a la información se refiere a que se cumplan cualquiera de los siguientes tres supuestos:</w:t>
      </w:r>
    </w:p>
    <w:p w:rsidR="00F55121" w:rsidRPr="0090068A" w:rsidRDefault="00BB0A51">
      <w:pPr>
        <w:spacing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F55121" w:rsidRPr="0090068A" w:rsidRDefault="00BB0A51">
      <w:pPr>
        <w:spacing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F55121" w:rsidRPr="0090068A" w:rsidRDefault="00BB0A51">
      <w:pPr>
        <w:spacing w:after="0" w:line="276"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F55121" w:rsidRPr="0090068A" w:rsidRDefault="00BB0A51">
      <w:pPr>
        <w:tabs>
          <w:tab w:val="left" w:pos="3510"/>
        </w:tabs>
        <w:spacing w:after="0" w:line="360" w:lineRule="auto"/>
        <w:ind w:left="851" w:right="899"/>
        <w:jc w:val="both"/>
        <w:rPr>
          <w:rFonts w:ascii="Palatino Linotype" w:eastAsia="Palatino Linotype" w:hAnsi="Palatino Linotype" w:cs="Palatino Linotype"/>
          <w:i/>
        </w:rPr>
      </w:pPr>
      <w:r w:rsidRPr="0090068A">
        <w:rPr>
          <w:rFonts w:ascii="Palatino Linotype" w:eastAsia="Palatino Linotype" w:hAnsi="Palatino Linotype" w:cs="Palatino Linotype"/>
          <w:i/>
        </w:rPr>
        <w:tab/>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De ahí que 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0068A">
        <w:rPr>
          <w:rFonts w:ascii="Palatino Linotype" w:eastAsia="Palatino Linotype" w:hAnsi="Palatino Linotype" w:cs="Palatino Linotype"/>
          <w:sz w:val="24"/>
          <w:szCs w:val="24"/>
          <w:vertAlign w:val="superscript"/>
        </w:rPr>
        <w:footnoteReference w:id="1"/>
      </w:r>
      <w:r w:rsidRPr="0090068A">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90068A">
        <w:rPr>
          <w:rFonts w:ascii="Palatino Linotype" w:eastAsia="Palatino Linotype" w:hAnsi="Palatino Linotype" w:cs="Palatino Linotype"/>
          <w:sz w:val="24"/>
          <w:szCs w:val="24"/>
        </w:rPr>
        <w:lastRenderedPageBreak/>
        <w:t>actividades que llevan a cabo los Sujetos Obligados</w:t>
      </w:r>
      <w:r w:rsidRPr="0090068A">
        <w:rPr>
          <w:rFonts w:ascii="Palatino Linotype" w:eastAsia="Palatino Linotype" w:hAnsi="Palatino Linotype" w:cs="Palatino Linotype"/>
          <w:sz w:val="24"/>
          <w:szCs w:val="24"/>
          <w:vertAlign w:val="superscript"/>
        </w:rPr>
        <w:footnoteReference w:id="2"/>
      </w:r>
      <w:r w:rsidRPr="0090068A">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w:t>
      </w:r>
      <w:r w:rsidRPr="0090068A">
        <w:rPr>
          <w:rFonts w:ascii="Palatino Linotype" w:eastAsia="Palatino Linotype" w:hAnsi="Palatino Linotype" w:cs="Palatino Linotype"/>
          <w:b/>
          <w:sz w:val="24"/>
          <w:szCs w:val="24"/>
        </w:rPr>
        <w:t>LA PARTE</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RECURRENTE</w:t>
      </w:r>
      <w:r w:rsidRPr="0090068A">
        <w:rPr>
          <w:rFonts w:ascii="Palatino Linotype" w:eastAsia="Palatino Linotype" w:hAnsi="Palatino Linotype" w:cs="Palatino Linotype"/>
          <w:sz w:val="24"/>
          <w:szCs w:val="24"/>
        </w:rPr>
        <w:t xml:space="preserve"> requirió 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la siguiente documentación:</w:t>
      </w:r>
    </w:p>
    <w:p w:rsidR="00F55121" w:rsidRPr="0090068A" w:rsidRDefault="00BB0A51">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Expedientes con los que fueron dados de alta todos los titulares del DIF.</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El </w:t>
      </w:r>
      <w:r w:rsidRPr="0090068A">
        <w:rPr>
          <w:rFonts w:ascii="Palatino Linotype" w:eastAsia="Palatino Linotype" w:hAnsi="Palatino Linotype" w:cs="Palatino Linotype"/>
          <w:b/>
          <w:sz w:val="24"/>
          <w:szCs w:val="24"/>
        </w:rPr>
        <w:t xml:space="preserve">SUJETO OBLIGADO </w:t>
      </w:r>
      <w:r w:rsidRPr="0090068A">
        <w:rPr>
          <w:rFonts w:ascii="Palatino Linotype" w:eastAsia="Palatino Linotype" w:hAnsi="Palatino Linotype" w:cs="Palatino Linotype"/>
          <w:sz w:val="24"/>
          <w:szCs w:val="24"/>
        </w:rPr>
        <w:t>al momento de remitir su respuesta, hace entrega de diversas fichas curriculares, comprobantes de último grado de estudios, certificado de antecedentes no penales y certificado de no deudor alimentario.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Conocida la respuesta por la particular, al no estar conforme con los términos de la misma, presentó el recurso de revisión que nos ocupa, mediante el cual señaló como motivo de inconformidad en lo medular porque falta información y hay un acta que no dice nada, en donde firman tres personas y no está conforme ley porque no mandan no deudor moroso y demás.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Cabe precisar que, una vez notificado el recurso de revisión 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remitió su informe justificado, mediante el cual ratificó en términos generales su respuesta inicial, enviando para tal efecto los archivos entregados en su respuesta inicial, sin embargo, uno de ellos, no se puso a la vista ya que, cuenta con diversos certificados de no deudor alimentario, Claves Únicas de Registro de Población (CURP), y el Código de verificación en el certificado de antecedentes no penales en donde al ingresarlo, de observa la dirección y fecha de nacimiento, datos que deben clasificarse como confidencial.</w:t>
      </w:r>
    </w:p>
    <w:p w:rsidR="00F55121" w:rsidRPr="0090068A" w:rsidRDefault="00F55121">
      <w:pPr>
        <w:spacing w:after="0" w:line="360" w:lineRule="auto"/>
        <w:ind w:right="49"/>
        <w:jc w:val="both"/>
        <w:rPr>
          <w:rFonts w:ascii="Palatino Linotype" w:eastAsia="Palatino Linotype" w:hAnsi="Palatino Linotype" w:cs="Palatino Linotype"/>
          <w:strike/>
          <w:sz w:val="24"/>
          <w:szCs w:val="24"/>
        </w:rPr>
      </w:pP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Ahora bien, resulta importante reiterar que el particular requiere los expedientes personales de los titulares del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por lo que se precisa su organigrama: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A6726D">
      <w:pPr>
        <w:spacing w:after="0" w:line="360" w:lineRule="auto"/>
        <w:jc w:val="both"/>
        <w:rPr>
          <w:rFonts w:ascii="Palatino Linotype" w:eastAsia="Palatino Linotype" w:hAnsi="Palatino Linotype" w:cs="Palatino Linotype"/>
          <w:sz w:val="24"/>
          <w:szCs w:val="24"/>
        </w:rPr>
      </w:pPr>
      <w:hyperlink r:id="rId8">
        <w:r w:rsidR="00BB0A51" w:rsidRPr="0090068A">
          <w:rPr>
            <w:rFonts w:ascii="Palatino Linotype" w:eastAsia="Palatino Linotype" w:hAnsi="Palatino Linotype" w:cs="Palatino Linotype"/>
            <w:sz w:val="24"/>
            <w:szCs w:val="24"/>
            <w:u w:val="single"/>
          </w:rPr>
          <w:t>http://diftlalnepantla.gob.mx/IPOMEX/DGSMDIF/2022/1ER-TRIM/Junio_2022/ORGANIGRAMA_SMDIF_22-24.pdf</w:t>
        </w:r>
      </w:hyperlink>
      <w:r w:rsidR="00BB0A51" w:rsidRPr="0090068A">
        <w:rPr>
          <w:rFonts w:ascii="Palatino Linotype" w:eastAsia="Palatino Linotype" w:hAnsi="Palatino Linotype" w:cs="Palatino Linotype"/>
          <w:sz w:val="24"/>
          <w:szCs w:val="24"/>
        </w:rPr>
        <w:t xml:space="preserve">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noProof/>
        </w:rPr>
        <w:lastRenderedPageBreak/>
        <w:drawing>
          <wp:inline distT="0" distB="0" distL="0" distR="0">
            <wp:extent cx="5601288" cy="3143580"/>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6633" t="12070" r="16837" b="21546"/>
                    <a:stretch>
                      <a:fillRect/>
                    </a:stretch>
                  </pic:blipFill>
                  <pic:spPr>
                    <a:xfrm>
                      <a:off x="0" y="0"/>
                      <a:ext cx="5601288" cy="3143580"/>
                    </a:xfrm>
                    <a:prstGeom prst="rect">
                      <a:avLst/>
                    </a:prstGeom>
                    <a:ln/>
                  </pic:spPr>
                </pic:pic>
              </a:graphicData>
            </a:graphic>
          </wp:inline>
        </w:drawing>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De acuerdo a lo anterior,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se compone de diversas Direcciones, Coordinaciones y Departamentos que le permitirán cumplir con sus objetivos estimados.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Por lo anterior, resulta conveniente analizar la naturaleza de la información solicitada, al respecto el artículo 47 de la Ley del Trabajo de los Servidores Públicos del Estado y Municipios, el cual refiere que para ingresar al servicio público, se requiere, entre otras cosas, cumplir con diversos requisitos. En ese contexto, es conducente hacer referencia sobre aquellas exigencias a cumplir que señala el artículo en comento: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b/>
          <w:i/>
        </w:rPr>
        <w:lastRenderedPageBreak/>
        <w:t xml:space="preserve">ARTÍCULO 47. </w:t>
      </w:r>
      <w:r w:rsidRPr="0090068A">
        <w:rPr>
          <w:rFonts w:ascii="Palatino Linotype" w:eastAsia="Palatino Linotype" w:hAnsi="Palatino Linotype" w:cs="Palatino Linotype"/>
          <w:i/>
        </w:rPr>
        <w:t>Para ingresar al servicio público se requiere:</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I. Presentar una solicitud utilizando la forma oficial que se autorice por la institución pública o dependencia correspondiente;</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II. Ser de nacionalidad mexicana, con la excepción prevista en el artículo 17 de la presente ley;</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III. Estar en pleno ejercicio de sus derechos civiles y políticos, en su caso;</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IV. Acreditar, cuando proceda, el cumplimiento de la Ley del Servicio Militar Nacional;</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V. Derogada.</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VI. No haber sido separado anteriormente del servicio por las causas previstas en el artículo 93 de la presente ley;</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VIII. Cumplir con los requisitos que se establezcan para los diferentes puestos;</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IX. Acreditar por medio de los exámenes correspondientes los conocimientos y aptitudes necesarios para el desempeño del puesto; y</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X. No estar inhabilitado para el ejercicio del servicio público.</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XI. Presentar certificado expedido por la Unidad del Registro de Deudores Alimentarios Morosos en el que conste, si se encuentra inscrito o no en el mismo.</w:t>
      </w:r>
    </w:p>
    <w:p w:rsidR="00F55121" w:rsidRPr="0090068A" w:rsidRDefault="00BB0A51">
      <w:pPr>
        <w:tabs>
          <w:tab w:val="left" w:pos="7938"/>
        </w:tabs>
        <w:spacing w:after="0" w:line="276" w:lineRule="auto"/>
        <w:ind w:left="851" w:right="539"/>
        <w:jc w:val="both"/>
        <w:rPr>
          <w:rFonts w:ascii="Palatino Linotype" w:eastAsia="Palatino Linotype" w:hAnsi="Palatino Linotype" w:cs="Palatino Linotype"/>
          <w:i/>
        </w:rPr>
      </w:pPr>
      <w:r w:rsidRPr="0090068A">
        <w:rPr>
          <w:rFonts w:ascii="Palatino Linotype" w:eastAsia="Palatino Linotype" w:hAnsi="Palatino Linotype" w:cs="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F55121" w:rsidRPr="0090068A" w:rsidRDefault="00F55121">
      <w:pPr>
        <w:spacing w:after="0" w:line="360" w:lineRule="auto"/>
        <w:ind w:right="539"/>
        <w:jc w:val="both"/>
        <w:rPr>
          <w:rFonts w:ascii="Palatino Linotype" w:eastAsia="Palatino Linotype" w:hAnsi="Palatino Linotype" w:cs="Palatino Linotype"/>
          <w:i/>
          <w:strike/>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w:t>
      </w:r>
      <w:r w:rsidRPr="0090068A">
        <w:rPr>
          <w:rFonts w:ascii="Palatino Linotype" w:eastAsia="Palatino Linotype" w:hAnsi="Palatino Linotype" w:cs="Palatino Linotype"/>
          <w:sz w:val="24"/>
          <w:szCs w:val="24"/>
        </w:rPr>
        <w:lastRenderedPageBreak/>
        <w:t>que otros no; por lo que es conveniente analizar qué documentos pueden colmar dichos requisitos.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 xml:space="preserve">FRACCIÓN I. </w:t>
      </w:r>
    </w:p>
    <w:p w:rsidR="00F55121" w:rsidRPr="0090068A" w:rsidRDefault="00F55121">
      <w:pPr>
        <w:spacing w:after="0" w:line="360" w:lineRule="auto"/>
        <w:jc w:val="both"/>
        <w:rPr>
          <w:rFonts w:ascii="Palatino Linotype" w:eastAsia="Palatino Linotype" w:hAnsi="Palatino Linotype" w:cs="Palatino Linotype"/>
          <w:b/>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90068A">
        <w:rPr>
          <w:rFonts w:ascii="Palatino Linotype" w:eastAsia="Palatino Linotype" w:hAnsi="Palatino Linotype" w:cs="Palatino Linotype"/>
          <w:sz w:val="24"/>
          <w:szCs w:val="24"/>
        </w:rPr>
        <w:t xml:space="preserve">En este sentido, de la </w:t>
      </w:r>
      <w:r w:rsidRPr="0090068A">
        <w:rPr>
          <w:rFonts w:ascii="Palatino Linotype" w:eastAsia="Palatino Linotype" w:hAnsi="Palatino Linotype" w:cs="Palatino Linotype"/>
          <w:b/>
          <w:sz w:val="24"/>
          <w:szCs w:val="24"/>
        </w:rPr>
        <w:t>fracción I,</w:t>
      </w:r>
      <w:r w:rsidRPr="0090068A">
        <w:rPr>
          <w:rFonts w:ascii="Palatino Linotype" w:eastAsia="Palatino Linotype" w:hAnsi="Palatino Linotype" w:cs="Palatino Linotype"/>
          <w:sz w:val="24"/>
          <w:szCs w:val="24"/>
        </w:rPr>
        <w:t xml:space="preserve"> se desprende que para ingresar al servicio público se requiere, presentar una solicitud utilizando la forma oficial que se autorice por la institución pública o dependencia correspondiente, en la que de manera enunciativa obran los siguientes datos: nombre, domicilio, teléfono, correo electrónico, escolaridad, capacitación recibida con relación al puesto solicitado, conocimientos y/o habilidades para el puesto, experiencia laboral, fecha y firma de quien solicita; esto conforme a la referencia obtenida de conformidad al formato utilizado por la Secretaría de Finanzas del Gobierno del Estado de México.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ese tenor, los datos como el domicilio, teléfono y correo electrónico no corresponde a la persona física en su calidad de particular y no como servidor público, ya que, permiten hacer identificable y ubicable, a los servidores públicos ya que puede propiciar que pueda ser molestado en su casa o negocio, de este modo, los datos que permiten a cualquier individuo con esfuerzos mínimos identificar directamente en la privacidad de personas físicas identificadas y su difusión podría afectar la esfera privada de las mismas.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Por cuanto hace a los datos escolares y laborales en su mayor parte pueden ser visibles, puesto que con ellos se permite comprobar la preparación y experiencia del servidor público.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u w:val="single"/>
        </w:rPr>
      </w:pPr>
      <w:r w:rsidRPr="0090068A">
        <w:rPr>
          <w:rFonts w:ascii="Palatino Linotype" w:eastAsia="Palatino Linotype" w:hAnsi="Palatino Linotype" w:cs="Palatino Linotype"/>
          <w:sz w:val="24"/>
          <w:szCs w:val="24"/>
        </w:rPr>
        <w:t>Por lo tanto, es información pública</w:t>
      </w:r>
      <w:r w:rsidRPr="0090068A">
        <w:rPr>
          <w:rFonts w:ascii="Palatino Linotype" w:eastAsia="Palatino Linotype" w:hAnsi="Palatino Linotype" w:cs="Palatino Linotype"/>
          <w:sz w:val="24"/>
          <w:szCs w:val="24"/>
          <w:vertAlign w:val="superscript"/>
        </w:rPr>
        <w:footnoteReference w:id="3"/>
      </w:r>
      <w:r w:rsidRPr="0090068A">
        <w:rPr>
          <w:rFonts w:ascii="Palatino Linotype" w:eastAsia="Palatino Linotype" w:hAnsi="Palatino Linotype" w:cs="Palatino Linotype"/>
          <w:sz w:val="24"/>
          <w:szCs w:val="24"/>
        </w:rPr>
        <w:t xml:space="preserve"> de los servidores públicos  siendo el </w:t>
      </w:r>
      <w:proofErr w:type="spellStart"/>
      <w:r w:rsidRPr="0090068A">
        <w:rPr>
          <w:rFonts w:ascii="Palatino Linotype" w:eastAsia="Palatino Linotype" w:hAnsi="Palatino Linotype" w:cs="Palatino Linotype"/>
          <w:i/>
          <w:sz w:val="24"/>
          <w:szCs w:val="24"/>
        </w:rPr>
        <w:t>curriculum</w:t>
      </w:r>
      <w:proofErr w:type="spellEnd"/>
      <w:r w:rsidRPr="0090068A">
        <w:rPr>
          <w:rFonts w:ascii="Palatino Linotype" w:eastAsia="Palatino Linotype" w:hAnsi="Palatino Linotype" w:cs="Palatino Linotype"/>
          <w:i/>
          <w:sz w:val="24"/>
          <w:szCs w:val="24"/>
        </w:rPr>
        <w:t xml:space="preserve"> vitae</w:t>
      </w:r>
      <w:r w:rsidRPr="0090068A">
        <w:rPr>
          <w:rFonts w:ascii="Palatino Linotype" w:eastAsia="Palatino Linotype" w:hAnsi="Palatino Linotype" w:cs="Palatino Linotype"/>
          <w:sz w:val="24"/>
          <w:szCs w:val="24"/>
        </w:rPr>
        <w:t xml:space="preserve"> el documento que contiene lo relativa a su trayectoria académica, profesional, laboral, así como todos aquellos datos que acrediten su capacidad, habilidades o pericia para ocupar el cargo público.</w:t>
      </w:r>
    </w:p>
    <w:p w:rsidR="00F55121" w:rsidRPr="0090068A" w:rsidRDefault="00F55121">
      <w:pPr>
        <w:spacing w:after="0" w:line="360" w:lineRule="auto"/>
        <w:jc w:val="both"/>
        <w:rPr>
          <w:rFonts w:ascii="Palatino Linotype" w:eastAsia="Palatino Linotype" w:hAnsi="Palatino Linotype" w:cs="Palatino Linotype"/>
          <w:b/>
          <w:sz w:val="24"/>
          <w:szCs w:val="24"/>
          <w:u w:val="single"/>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El </w:t>
      </w:r>
      <w:proofErr w:type="spellStart"/>
      <w:r w:rsidRPr="0090068A">
        <w:rPr>
          <w:rFonts w:ascii="Palatino Linotype" w:eastAsia="Palatino Linotype" w:hAnsi="Palatino Linotype" w:cs="Palatino Linotype"/>
          <w:i/>
          <w:sz w:val="24"/>
          <w:szCs w:val="24"/>
        </w:rPr>
        <w:t>curriculum</w:t>
      </w:r>
      <w:proofErr w:type="spellEnd"/>
      <w:r w:rsidRPr="0090068A">
        <w:rPr>
          <w:rFonts w:ascii="Palatino Linotype" w:eastAsia="Palatino Linotype" w:hAnsi="Palatino Linotype" w:cs="Palatino Linotype"/>
          <w:i/>
          <w:sz w:val="24"/>
          <w:szCs w:val="24"/>
        </w:rPr>
        <w:t xml:space="preserve"> vitae</w:t>
      </w:r>
      <w:r w:rsidRPr="0090068A">
        <w:rPr>
          <w:rFonts w:ascii="Palatino Linotype" w:eastAsia="Palatino Linotype" w:hAnsi="Palatino Linotype" w:cs="Palatino Linotype"/>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F55121" w:rsidRPr="0090068A" w:rsidRDefault="00F55121">
      <w:pPr>
        <w:spacing w:after="0" w:line="360" w:lineRule="auto"/>
        <w:jc w:val="both"/>
        <w:rPr>
          <w:rFonts w:ascii="Palatino Linotype" w:eastAsia="Palatino Linotype" w:hAnsi="Palatino Linotype" w:cs="Palatino Linotype"/>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rsidR="00F55121" w:rsidRPr="0090068A" w:rsidRDefault="00BB0A51">
      <w:pPr>
        <w:spacing w:after="0" w:line="360" w:lineRule="auto"/>
        <w:jc w:val="center"/>
        <w:rPr>
          <w:rFonts w:ascii="Palatino Linotype" w:eastAsia="Palatino Linotype" w:hAnsi="Palatino Linotype" w:cs="Palatino Linotype"/>
        </w:rPr>
      </w:pPr>
      <w:r w:rsidRPr="0090068A">
        <w:rPr>
          <w:rFonts w:ascii="Palatino Linotype" w:eastAsia="Palatino Linotype" w:hAnsi="Palatino Linotype" w:cs="Palatino Linotype"/>
          <w:noProof/>
        </w:rPr>
        <w:drawing>
          <wp:inline distT="0" distB="0" distL="0" distR="0">
            <wp:extent cx="4229100" cy="1457325"/>
            <wp:effectExtent l="0" t="0" r="0" b="0"/>
            <wp:docPr id="84" name="image2.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Tabla&#10;&#10;Descripción generada automáticamente"/>
                    <pic:cNvPicPr preferRelativeResize="0"/>
                  </pic:nvPicPr>
                  <pic:blipFill>
                    <a:blip r:embed="rId10"/>
                    <a:srcRect t="24638"/>
                    <a:stretch>
                      <a:fillRect/>
                    </a:stretch>
                  </pic:blipFill>
                  <pic:spPr>
                    <a:xfrm>
                      <a:off x="0" y="0"/>
                      <a:ext cx="4229100" cy="1457325"/>
                    </a:xfrm>
                    <a:prstGeom prst="rect">
                      <a:avLst/>
                    </a:prstGeom>
                    <a:ln/>
                  </pic:spPr>
                </pic:pic>
              </a:graphicData>
            </a:graphic>
          </wp:inline>
        </w:drawing>
      </w:r>
      <w:r w:rsidRPr="0090068A">
        <w:rPr>
          <w:noProof/>
        </w:rPr>
        <mc:AlternateContent>
          <mc:Choice Requires="wpg">
            <w:drawing>
              <wp:anchor distT="0" distB="0" distL="114300" distR="114300" simplePos="0" relativeHeight="251658240" behindDoc="0" locked="0" layoutInCell="1" hidden="0" allowOverlap="1">
                <wp:simplePos x="0" y="0"/>
                <wp:positionH relativeFrom="column">
                  <wp:posOffset>762000</wp:posOffset>
                </wp:positionH>
                <wp:positionV relativeFrom="paragraph">
                  <wp:posOffset>495300</wp:posOffset>
                </wp:positionV>
                <wp:extent cx="4254500" cy="908685"/>
                <wp:effectExtent l="0" t="0" r="0" b="0"/>
                <wp:wrapNone/>
                <wp:docPr id="80" name="Rectángulo 80"/>
                <wp:cNvGraphicFramePr/>
                <a:graphic xmlns:a="http://schemas.openxmlformats.org/drawingml/2006/main">
                  <a:graphicData uri="http://schemas.microsoft.com/office/word/2010/wordprocessingShape">
                    <wps:wsp>
                      <wps:cNvSpPr/>
                      <wps:spPr>
                        <a:xfrm>
                          <a:off x="4183950" y="3538383"/>
                          <a:ext cx="2324100" cy="483235"/>
                        </a:xfrm>
                        <a:prstGeom prst="rect">
                          <a:avLst/>
                        </a:prstGeom>
                        <a:noFill/>
                        <a:ln w="28575" cap="flat" cmpd="sng">
                          <a:solidFill>
                            <a:srgbClr val="000000"/>
                          </a:solidFill>
                          <a:prstDash val="solid"/>
                          <a:miter lim="800000"/>
                          <a:headEnd type="none" w="sm" len="sm"/>
                          <a:tailEnd type="none" w="sm" len="sm"/>
                        </a:ln>
                      </wps:spPr>
                      <wps:txbx>
                        <w:txbxContent>
                          <w:p w:rsidR="00F55121" w:rsidRDefault="00F551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495300</wp:posOffset>
                </wp:positionV>
                <wp:extent cx="4254500" cy="908685"/>
                <wp:effectExtent b="0" l="0" r="0" t="0"/>
                <wp:wrapNone/>
                <wp:docPr id="8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254500" cy="908685"/>
                        </a:xfrm>
                        <a:prstGeom prst="rect"/>
                        <a:ln/>
                      </pic:spPr>
                    </pic:pic>
                  </a:graphicData>
                </a:graphic>
              </wp:anchor>
            </w:drawing>
          </mc:Fallback>
        </mc:AlternateConten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ese contexto, según Islas, Jorge (2016), en la “Ley General de Transparencia y Acceso a la Información Pública Comentada” (p. 244), refirió que el </w:t>
      </w:r>
      <w:proofErr w:type="spellStart"/>
      <w:r w:rsidRPr="0090068A">
        <w:rPr>
          <w:rFonts w:ascii="Palatino Linotype" w:eastAsia="Palatino Linotype" w:hAnsi="Palatino Linotype" w:cs="Palatino Linotype"/>
          <w:b/>
          <w:i/>
          <w:sz w:val="24"/>
          <w:szCs w:val="24"/>
        </w:rPr>
        <w:t>curriculum</w:t>
      </w:r>
      <w:proofErr w:type="spellEnd"/>
      <w:r w:rsidRPr="0090068A">
        <w:rPr>
          <w:rFonts w:ascii="Palatino Linotype" w:eastAsia="Palatino Linotype" w:hAnsi="Palatino Linotype" w:cs="Palatino Linotype"/>
          <w:b/>
          <w:i/>
          <w:sz w:val="24"/>
          <w:szCs w:val="24"/>
        </w:rPr>
        <w:t xml:space="preserve"> vitae</w:t>
      </w:r>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d</w:t>
      </w:r>
      <w:r w:rsidRPr="0090068A">
        <w:rPr>
          <w:rFonts w:ascii="Palatino Linotype" w:eastAsia="Palatino Linotype" w:hAnsi="Palatino Linotype" w:cs="Palatino Linotype"/>
          <w:b/>
          <w:sz w:val="24"/>
          <w:szCs w:val="24"/>
        </w:rPr>
        <w:t xml:space="preserve">e un servidor público, justifica que su formación académica resulta viable para </w:t>
      </w:r>
      <w:r w:rsidRPr="0090068A">
        <w:rPr>
          <w:rFonts w:ascii="Palatino Linotype" w:eastAsia="Palatino Linotype" w:hAnsi="Palatino Linotype" w:cs="Palatino Linotype"/>
          <w:b/>
          <w:sz w:val="24"/>
          <w:szCs w:val="24"/>
        </w:rPr>
        <w:lastRenderedPageBreak/>
        <w:t>el desempeño eficiente y correcto de su encargo; lo anterior, con el fin de acreditar que dichos trabajadores sean los más capacitados acordes al área solicitada.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93"/>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Se robustece lo anterior, con el </w:t>
      </w:r>
      <w:r w:rsidRPr="0090068A">
        <w:rPr>
          <w:rFonts w:ascii="Palatino Linotype" w:eastAsia="Palatino Linotype" w:hAnsi="Palatino Linotype" w:cs="Palatino Linotype"/>
          <w:b/>
          <w:sz w:val="24"/>
          <w:szCs w:val="24"/>
        </w:rPr>
        <w:t>Criterio 03/09</w:t>
      </w:r>
      <w:r w:rsidRPr="0090068A">
        <w:rPr>
          <w:rFonts w:ascii="Palatino Linotype" w:eastAsia="Palatino Linotype" w:hAnsi="Palatino Linotype" w:cs="Palatino Linotype"/>
          <w:sz w:val="24"/>
          <w:szCs w:val="24"/>
        </w:rPr>
        <w:t>, emitido por el Pleno del entonces Instituto Federal de Acceso a la Información y Protección de Datos, que prevé lo siguiente:</w:t>
      </w:r>
    </w:p>
    <w:p w:rsidR="00F55121" w:rsidRPr="0090068A" w:rsidRDefault="00F55121">
      <w:pPr>
        <w:spacing w:after="0" w:line="276" w:lineRule="auto"/>
        <w:ind w:right="-93"/>
        <w:jc w:val="both"/>
        <w:rPr>
          <w:rFonts w:ascii="Palatino Linotype" w:eastAsia="Palatino Linotype" w:hAnsi="Palatino Linotype" w:cs="Palatino Linotype"/>
        </w:rPr>
      </w:pP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b/>
          <w:i/>
        </w:rPr>
        <w:t>“</w:t>
      </w:r>
      <w:proofErr w:type="spellStart"/>
      <w:r w:rsidRPr="0090068A">
        <w:rPr>
          <w:rFonts w:ascii="Palatino Linotype" w:eastAsia="Palatino Linotype" w:hAnsi="Palatino Linotype" w:cs="Palatino Linotype"/>
          <w:b/>
          <w:i/>
        </w:rPr>
        <w:t>Curriculum</w:t>
      </w:r>
      <w:proofErr w:type="spellEnd"/>
      <w:r w:rsidRPr="0090068A">
        <w:rPr>
          <w:rFonts w:ascii="Palatino Linotype" w:eastAsia="Palatino Linotype" w:hAnsi="Palatino Linotype" w:cs="Palatino Linotype"/>
          <w:b/>
          <w:i/>
        </w:rPr>
        <w:t xml:space="preserve"> Vitae de servidores públicos. Es obligación de los sujetos obligados otorgar acceso a versiones públicas de los mismos ante una solicitud de acceso.</w:t>
      </w:r>
      <w:r w:rsidRPr="0090068A">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90068A">
        <w:rPr>
          <w:rFonts w:ascii="Palatino Linotype" w:eastAsia="Palatino Linotype" w:hAnsi="Palatino Linotype" w:cs="Palatino Linotype"/>
          <w:i/>
        </w:rPr>
        <w:t>curriculum</w:t>
      </w:r>
      <w:proofErr w:type="spellEnd"/>
      <w:r w:rsidRPr="0090068A">
        <w:rPr>
          <w:rFonts w:ascii="Palatino Linotype" w:eastAsia="Palatino Linotype" w:hAnsi="Palatino Linotype" w:cs="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90068A">
        <w:rPr>
          <w:rFonts w:ascii="Palatino Linotype" w:eastAsia="Palatino Linotype" w:hAnsi="Palatino Linotype" w:cs="Palatino Linotype"/>
          <w:i/>
        </w:rPr>
        <w:t>curriculum</w:t>
      </w:r>
      <w:proofErr w:type="spellEnd"/>
      <w:r w:rsidRPr="0090068A">
        <w:rPr>
          <w:rFonts w:ascii="Palatino Linotype" w:eastAsia="Palatino Linotype" w:hAnsi="Palatino Linotype" w:cs="Palatino Linotype"/>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90068A">
        <w:rPr>
          <w:rFonts w:ascii="Palatino Linotype" w:eastAsia="Palatino Linotype" w:hAnsi="Palatino Linotype" w:cs="Palatino Linotype"/>
          <w:i/>
        </w:rPr>
        <w:t>curriculum</w:t>
      </w:r>
      <w:proofErr w:type="spellEnd"/>
      <w:r w:rsidRPr="0090068A">
        <w:rPr>
          <w:rFonts w:ascii="Palatino Linotype" w:eastAsia="Palatino Linotype" w:hAnsi="Palatino Linotype" w:cs="Palatino Linotype"/>
          <w:i/>
        </w:rPr>
        <w:t xml:space="preserve"> vitae de un servidor público susceptibles de hacerse del conocimiento público, ante una solicitud de acceso, </w:t>
      </w:r>
      <w:r w:rsidRPr="0090068A">
        <w:rPr>
          <w:rFonts w:ascii="Palatino Linotype" w:eastAsia="Palatino Linotype" w:hAnsi="Palatino Linotype" w:cs="Palatino Linotype"/>
          <w:b/>
          <w:i/>
          <w:u w:val="single"/>
        </w:rPr>
        <w:t>se encuentran los relativos a su trayectoria académic</w:t>
      </w:r>
      <w:r w:rsidRPr="0090068A">
        <w:rPr>
          <w:rFonts w:ascii="Palatino Linotype" w:eastAsia="Palatino Linotype" w:hAnsi="Palatino Linotype" w:cs="Palatino Linotype"/>
          <w:i/>
        </w:rPr>
        <w:t>a, profesional, laboral, así como todos aquellos que acrediten su capacidad, habilidades o pericia para ocupar el cargo público.”</w:t>
      </w:r>
    </w:p>
    <w:p w:rsidR="00F55121" w:rsidRPr="0090068A" w:rsidRDefault="00F55121">
      <w:pPr>
        <w:spacing w:after="0" w:line="276" w:lineRule="auto"/>
        <w:ind w:left="567" w:right="567"/>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Del citado criterio, se desprende que una de las formas en que los ciudadanos pueden evaluar las aptitudes para desempeñar un cargo público determinado, es mediante la publicidad de ciertos datos contenidos en el </w:t>
      </w:r>
      <w:proofErr w:type="spellStart"/>
      <w:r w:rsidRPr="0090068A">
        <w:rPr>
          <w:rFonts w:ascii="Palatino Linotype" w:eastAsia="Palatino Linotype" w:hAnsi="Palatino Linotype" w:cs="Palatino Linotype"/>
          <w:i/>
          <w:sz w:val="24"/>
          <w:szCs w:val="24"/>
        </w:rPr>
        <w:t>curriculum</w:t>
      </w:r>
      <w:proofErr w:type="spellEnd"/>
      <w:r w:rsidRPr="0090068A">
        <w:rPr>
          <w:rFonts w:ascii="Palatino Linotype" w:eastAsia="Palatino Linotype" w:hAnsi="Palatino Linotype" w:cs="Palatino Linotype"/>
          <w:i/>
          <w:sz w:val="24"/>
          <w:szCs w:val="24"/>
        </w:rPr>
        <w:t xml:space="preserve"> vitae, </w:t>
      </w:r>
      <w:r w:rsidRPr="0090068A">
        <w:rPr>
          <w:rFonts w:ascii="Palatino Linotype" w:eastAsia="Palatino Linotype" w:hAnsi="Palatino Linotype" w:cs="Palatino Linotype"/>
          <w:sz w:val="24"/>
          <w:szCs w:val="24"/>
        </w:rPr>
        <w:t xml:space="preserve">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 </w:t>
      </w:r>
      <w:r w:rsidRPr="0090068A">
        <w:rPr>
          <w:rFonts w:ascii="Palatino Linotype" w:eastAsia="Palatino Linotype" w:hAnsi="Palatino Linotype" w:cs="Palatino Linotype"/>
          <w:b/>
          <w:sz w:val="24"/>
          <w:szCs w:val="24"/>
          <w:u w:val="single"/>
        </w:rPr>
        <w:t>por lo que se estima que las sesenta y dos fichas curriculares en respuesta colman lo referente a la fracción analizada,</w:t>
      </w:r>
      <w:r w:rsidRPr="0090068A">
        <w:rPr>
          <w:rFonts w:ascii="Palatino Linotype" w:eastAsia="Palatino Linotype" w:hAnsi="Palatino Linotype" w:cs="Palatino Linotype"/>
          <w:sz w:val="24"/>
          <w:szCs w:val="24"/>
        </w:rPr>
        <w:t xml:space="preserve"> sin embargo, la estructura orgánica</w:t>
      </w:r>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 xml:space="preserve">del </w:t>
      </w:r>
      <w:r w:rsidRPr="0090068A">
        <w:rPr>
          <w:rFonts w:ascii="Palatino Linotype" w:eastAsia="Palatino Linotype" w:hAnsi="Palatino Linotype" w:cs="Palatino Linotype"/>
          <w:b/>
          <w:sz w:val="24"/>
          <w:szCs w:val="24"/>
        </w:rPr>
        <w:t xml:space="preserve">SUJETO OBLIGADO </w:t>
      </w:r>
      <w:r w:rsidRPr="0090068A">
        <w:rPr>
          <w:rFonts w:ascii="Palatino Linotype" w:eastAsia="Palatino Linotype" w:hAnsi="Palatino Linotype" w:cs="Palatino Linotype"/>
          <w:sz w:val="24"/>
          <w:szCs w:val="24"/>
        </w:rPr>
        <w:t>se compone de setenta y cinco unidades administrativas, motivo por el que se ordenan los documentos faltantes en el que conste lo solicitado por la fracción I, en términos del considerando quinto, sin embargo, si derivado de la búsqueda que se ordena, no se llegara a localizar, derivado de que alguna de las titularidades de la unidades administrativas se encuentren vacantes,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120" w:line="276"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Artículo 19</w:t>
      </w:r>
      <w:r w:rsidRPr="0090068A">
        <w:rPr>
          <w:rFonts w:ascii="Palatino Linotype" w:eastAsia="Palatino Linotype" w:hAnsi="Palatino Linotype" w:cs="Palatino Linotype"/>
          <w:i/>
        </w:rPr>
        <w:t>…</w:t>
      </w:r>
    </w:p>
    <w:p w:rsidR="00F55121" w:rsidRPr="0090068A" w:rsidRDefault="00BB0A51">
      <w:pPr>
        <w:spacing w:before="120" w:after="0" w:line="276"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lastRenderedPageBreak/>
        <w:t xml:space="preserve">FRACCIÓN II. </w:t>
      </w:r>
    </w:p>
    <w:p w:rsidR="00F55121" w:rsidRPr="0090068A" w:rsidRDefault="00F55121">
      <w:pPr>
        <w:spacing w:after="0" w:line="360" w:lineRule="auto"/>
        <w:jc w:val="both"/>
        <w:rPr>
          <w:rFonts w:ascii="Palatino Linotype" w:eastAsia="Palatino Linotype" w:hAnsi="Palatino Linotype" w:cs="Palatino Linotype"/>
          <w:b/>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Tocante a la fracción II, se observa que el requisito consiste en ser de nacionalidad mexicana, por lo que el documento que colmaría este punto de la solicitud de manera enunciativa más no limitativa sería el acta de nacimiento, por 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Ahora bien, de acuerdo con el Formato Único del Acta de Nacimiento publicado por la Secretaría de Gobernación en el enlace http</w:t>
      </w:r>
      <w:proofErr w:type="gramStart"/>
      <w:r w:rsidRPr="0090068A">
        <w:rPr>
          <w:rFonts w:ascii="Palatino Linotype" w:eastAsia="Palatino Linotype" w:hAnsi="Palatino Linotype" w:cs="Palatino Linotype"/>
          <w:sz w:val="24"/>
          <w:szCs w:val="24"/>
        </w:rPr>
        <w:t>:/</w:t>
      </w:r>
      <w:proofErr w:type="gramEnd"/>
      <w:r w:rsidRPr="0090068A">
        <w:rPr>
          <w:rFonts w:ascii="Palatino Linotype" w:eastAsia="Palatino Linotype" w:hAnsi="Palatino Linotype" w:cs="Palatino Linotype"/>
          <w:sz w:val="24"/>
          <w:szCs w:val="24"/>
        </w:rPr>
        <w:t xml:space="preserve">/www.diputados.gob.mx/documentos/N_Acta_Nacimiento.pdf, se advierte que el Acta de Nacimiento se componte de quince elementos siendo los siguientes: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w:t>
      </w:r>
      <w:r w:rsidRPr="0090068A">
        <w:rPr>
          <w:rFonts w:ascii="Palatino Linotype" w:eastAsia="Palatino Linotype" w:hAnsi="Palatino Linotype" w:cs="Palatino Linotype"/>
          <w:sz w:val="24"/>
          <w:szCs w:val="24"/>
        </w:rPr>
        <w:tab/>
        <w:t>Folio de Impresión.</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b)</w:t>
      </w:r>
      <w:r w:rsidRPr="0090068A">
        <w:rPr>
          <w:rFonts w:ascii="Palatino Linotype" w:eastAsia="Palatino Linotype" w:hAnsi="Palatino Linotype" w:cs="Palatino Linotype"/>
          <w:sz w:val="24"/>
          <w:szCs w:val="24"/>
        </w:rPr>
        <w:tab/>
        <w:t>Denominación del Documento.</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c)</w:t>
      </w:r>
      <w:r w:rsidRPr="0090068A">
        <w:rPr>
          <w:rFonts w:ascii="Palatino Linotype" w:eastAsia="Palatino Linotype" w:hAnsi="Palatino Linotype" w:cs="Palatino Linotype"/>
          <w:sz w:val="24"/>
          <w:szCs w:val="24"/>
        </w:rPr>
        <w:tab/>
        <w:t xml:space="preserve">Identificador Electrónico.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w:t>
      </w:r>
      <w:r w:rsidRPr="0090068A">
        <w:rPr>
          <w:rFonts w:ascii="Palatino Linotype" w:eastAsia="Palatino Linotype" w:hAnsi="Palatino Linotype" w:cs="Palatino Linotype"/>
          <w:sz w:val="24"/>
          <w:szCs w:val="24"/>
        </w:rPr>
        <w:tab/>
        <w:t xml:space="preserve">Elementos del Registro.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w:t>
      </w:r>
      <w:r w:rsidRPr="0090068A">
        <w:rPr>
          <w:rFonts w:ascii="Palatino Linotype" w:eastAsia="Palatino Linotype" w:hAnsi="Palatino Linotype" w:cs="Palatino Linotype"/>
          <w:sz w:val="24"/>
          <w:szCs w:val="24"/>
        </w:rPr>
        <w:tab/>
        <w:t xml:space="preserve">Datos de la Persona Registrada.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f)</w:t>
      </w:r>
      <w:r w:rsidRPr="0090068A">
        <w:rPr>
          <w:rFonts w:ascii="Palatino Linotype" w:eastAsia="Palatino Linotype" w:hAnsi="Palatino Linotype" w:cs="Palatino Linotype"/>
          <w:sz w:val="24"/>
          <w:szCs w:val="24"/>
        </w:rPr>
        <w:tab/>
        <w:t xml:space="preserve">Datos de Filiación de la Persona Registrada.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g)</w:t>
      </w:r>
      <w:r w:rsidRPr="0090068A">
        <w:rPr>
          <w:rFonts w:ascii="Palatino Linotype" w:eastAsia="Palatino Linotype" w:hAnsi="Palatino Linotype" w:cs="Palatino Linotype"/>
          <w:sz w:val="24"/>
          <w:szCs w:val="24"/>
        </w:rPr>
        <w:tab/>
        <w:t xml:space="preserve">Anotaciones Marginales.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h)</w:t>
      </w:r>
      <w:r w:rsidRPr="0090068A">
        <w:rPr>
          <w:rFonts w:ascii="Palatino Linotype" w:eastAsia="Palatino Linotype" w:hAnsi="Palatino Linotype" w:cs="Palatino Linotype"/>
          <w:sz w:val="24"/>
          <w:szCs w:val="24"/>
        </w:rPr>
        <w:tab/>
        <w:t xml:space="preserve">Certificación.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i)</w:t>
      </w:r>
      <w:r w:rsidRPr="0090068A">
        <w:rPr>
          <w:rFonts w:ascii="Palatino Linotype" w:eastAsia="Palatino Linotype" w:hAnsi="Palatino Linotype" w:cs="Palatino Linotype"/>
          <w:sz w:val="24"/>
          <w:szCs w:val="24"/>
        </w:rPr>
        <w:tab/>
        <w:t xml:space="preserve">Código Bidimensional QR que contiene información encriptada del acta.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j)</w:t>
      </w:r>
      <w:r w:rsidRPr="0090068A">
        <w:rPr>
          <w:rFonts w:ascii="Palatino Linotype" w:eastAsia="Palatino Linotype" w:hAnsi="Palatino Linotype" w:cs="Palatino Linotype"/>
          <w:sz w:val="24"/>
          <w:szCs w:val="24"/>
        </w:rPr>
        <w:tab/>
        <w:t xml:space="preserve">Leyenda “Soy México”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k)</w:t>
      </w:r>
      <w:r w:rsidRPr="0090068A">
        <w:rPr>
          <w:rFonts w:ascii="Palatino Linotype" w:eastAsia="Palatino Linotype" w:hAnsi="Palatino Linotype" w:cs="Palatino Linotype"/>
          <w:sz w:val="24"/>
          <w:szCs w:val="24"/>
        </w:rPr>
        <w:tab/>
        <w:t xml:space="preserve">Firma Electrónica Avanzada.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l)</w:t>
      </w:r>
      <w:r w:rsidRPr="0090068A">
        <w:rPr>
          <w:rFonts w:ascii="Palatino Linotype" w:eastAsia="Palatino Linotype" w:hAnsi="Palatino Linotype" w:cs="Palatino Linotype"/>
          <w:sz w:val="24"/>
          <w:szCs w:val="24"/>
        </w:rPr>
        <w:tab/>
        <w:t xml:space="preserve">Firma y datos de la autoridad emisora.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m)</w:t>
      </w:r>
      <w:r w:rsidRPr="0090068A">
        <w:rPr>
          <w:rFonts w:ascii="Palatino Linotype" w:eastAsia="Palatino Linotype" w:hAnsi="Palatino Linotype" w:cs="Palatino Linotype"/>
          <w:sz w:val="24"/>
          <w:szCs w:val="24"/>
        </w:rPr>
        <w:tab/>
        <w:t xml:space="preserve">Código QR. </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n)</w:t>
      </w:r>
      <w:r w:rsidRPr="0090068A">
        <w:rPr>
          <w:rFonts w:ascii="Palatino Linotype" w:eastAsia="Palatino Linotype" w:hAnsi="Palatino Linotype" w:cs="Palatino Linotype"/>
          <w:sz w:val="24"/>
          <w:szCs w:val="24"/>
        </w:rPr>
        <w:tab/>
        <w:t>Código de Verificación.</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o)</w:t>
      </w:r>
      <w:r w:rsidRPr="0090068A">
        <w:rPr>
          <w:rFonts w:ascii="Palatino Linotype" w:eastAsia="Palatino Linotype" w:hAnsi="Palatino Linotype" w:cs="Palatino Linotype"/>
          <w:sz w:val="24"/>
          <w:szCs w:val="24"/>
        </w:rPr>
        <w:tab/>
        <w:t xml:space="preserve">Leyenda de instrucciones para la verificación del documento. </w:t>
      </w:r>
    </w:p>
    <w:p w:rsidR="00F55121" w:rsidRPr="0090068A" w:rsidRDefault="00F55121">
      <w:pPr>
        <w:spacing w:after="80" w:line="360" w:lineRule="auto"/>
        <w:jc w:val="both"/>
        <w:rPr>
          <w:rFonts w:ascii="Palatino Linotype" w:eastAsia="Palatino Linotype" w:hAnsi="Palatino Linotype" w:cs="Palatino Linotype"/>
          <w:sz w:val="24"/>
          <w:szCs w:val="24"/>
        </w:rPr>
      </w:pPr>
    </w:p>
    <w:p w:rsidR="00F55121" w:rsidRPr="0090068A" w:rsidRDefault="00BB0A51">
      <w:pPr>
        <w:spacing w:before="80" w:after="24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Siendo de suma importancia mencionar que la información relativa a los incisos </w:t>
      </w:r>
      <w:r w:rsidRPr="0090068A">
        <w:rPr>
          <w:rFonts w:ascii="Palatino Linotype" w:eastAsia="Palatino Linotype" w:hAnsi="Palatino Linotype" w:cs="Palatino Linotype"/>
          <w:b/>
          <w:sz w:val="24"/>
          <w:szCs w:val="24"/>
        </w:rPr>
        <w:t>d) elementos de registro, e) datos de la persona registrada, f) datos de filiación de la persona registrada</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 xml:space="preserve">g), anotaciones marginales </w:t>
      </w:r>
      <w:r w:rsidRPr="0090068A">
        <w:rPr>
          <w:rFonts w:ascii="Palatino Linotype" w:eastAsia="Palatino Linotype" w:hAnsi="Palatino Linotype" w:cs="Palatino Linotype"/>
          <w:sz w:val="24"/>
          <w:szCs w:val="24"/>
        </w:rPr>
        <w:t>y</w:t>
      </w:r>
      <w:r w:rsidRPr="0090068A">
        <w:rPr>
          <w:rFonts w:ascii="Palatino Linotype" w:eastAsia="Palatino Linotype" w:hAnsi="Palatino Linotype" w:cs="Palatino Linotype"/>
          <w:b/>
          <w:sz w:val="24"/>
          <w:szCs w:val="24"/>
        </w:rPr>
        <w:t xml:space="preserve"> m) Código QR, </w:t>
      </w:r>
      <w:r w:rsidRPr="0090068A">
        <w:rPr>
          <w:rFonts w:ascii="Palatino Linotype" w:eastAsia="Palatino Linotype" w:hAnsi="Palatino Linotype" w:cs="Palatino Linotype"/>
          <w:sz w:val="24"/>
          <w:szCs w:val="24"/>
        </w:rPr>
        <w:t>se encuentra intrínsecamente relacionada con la esfera privada de una persona haciéndole identificada o identificable, como al contener los siguientes datos:</w:t>
      </w:r>
    </w:p>
    <w:p w:rsidR="00F55121" w:rsidRPr="0090068A" w:rsidRDefault="00BB0A51">
      <w:pPr>
        <w:spacing w:before="240" w:after="240" w:line="360" w:lineRule="auto"/>
        <w:jc w:val="both"/>
        <w:rPr>
          <w:rFonts w:ascii="Palatino Linotype" w:eastAsia="Palatino Linotype" w:hAnsi="Palatino Linotype" w:cs="Palatino Linotype"/>
        </w:rPr>
      </w:pPr>
      <w:r w:rsidRPr="0090068A">
        <w:rPr>
          <w:rFonts w:ascii="Palatino Linotype" w:eastAsia="Palatino Linotype" w:hAnsi="Palatino Linotype" w:cs="Palatino Linotype"/>
          <w:noProof/>
        </w:rPr>
        <w:lastRenderedPageBreak/>
        <w:drawing>
          <wp:inline distT="0" distB="0" distL="0" distR="0">
            <wp:extent cx="5610225" cy="293370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0225" cy="2933700"/>
                    </a:xfrm>
                    <a:prstGeom prst="rect">
                      <a:avLst/>
                    </a:prstGeom>
                    <a:ln/>
                  </pic:spPr>
                </pic:pic>
              </a:graphicData>
            </a:graphic>
          </wp:inline>
        </w:drawing>
      </w:r>
    </w:p>
    <w:p w:rsidR="00F55121" w:rsidRPr="0090068A" w:rsidRDefault="00BB0A51">
      <w:pPr>
        <w:spacing w:before="240" w:after="240" w:line="360" w:lineRule="auto"/>
        <w:jc w:val="both"/>
        <w:rPr>
          <w:rFonts w:ascii="Palatino Linotype" w:eastAsia="Palatino Linotype" w:hAnsi="Palatino Linotype" w:cs="Palatino Linotype"/>
        </w:rPr>
      </w:pPr>
      <w:r w:rsidRPr="0090068A">
        <w:rPr>
          <w:rFonts w:ascii="Palatino Linotype" w:eastAsia="Palatino Linotype" w:hAnsi="Palatino Linotype" w:cs="Palatino Linotype"/>
          <w:noProof/>
        </w:rPr>
        <w:drawing>
          <wp:inline distT="0" distB="0" distL="0" distR="0">
            <wp:extent cx="5610225" cy="1695450"/>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60179"/>
                    <a:stretch>
                      <a:fillRect/>
                    </a:stretch>
                  </pic:blipFill>
                  <pic:spPr>
                    <a:xfrm>
                      <a:off x="0" y="0"/>
                      <a:ext cx="5610225" cy="1695450"/>
                    </a:xfrm>
                    <a:prstGeom prst="rect">
                      <a:avLst/>
                    </a:prstGeom>
                    <a:ln/>
                  </pic:spPr>
                </pic:pic>
              </a:graphicData>
            </a:graphic>
          </wp:inline>
        </w:drawing>
      </w:r>
    </w:p>
    <w:p w:rsidR="00F55121" w:rsidRPr="0090068A" w:rsidRDefault="00BB0A51">
      <w:pPr>
        <w:spacing w:before="240" w:after="240" w:line="360" w:lineRule="auto"/>
        <w:jc w:val="both"/>
        <w:rPr>
          <w:rFonts w:ascii="Palatino Linotype" w:eastAsia="Palatino Linotype" w:hAnsi="Palatino Linotype" w:cs="Palatino Linotype"/>
        </w:rPr>
      </w:pPr>
      <w:r w:rsidRPr="0090068A">
        <w:rPr>
          <w:rFonts w:ascii="Palatino Linotype" w:eastAsia="Palatino Linotype" w:hAnsi="Palatino Linotype" w:cs="Palatino Linotype"/>
          <w:noProof/>
        </w:rPr>
        <w:lastRenderedPageBreak/>
        <w:drawing>
          <wp:inline distT="0" distB="0" distL="0" distR="0">
            <wp:extent cx="5610225" cy="2466975"/>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42282" b="-223"/>
                    <a:stretch>
                      <a:fillRect/>
                    </a:stretch>
                  </pic:blipFill>
                  <pic:spPr>
                    <a:xfrm>
                      <a:off x="0" y="0"/>
                      <a:ext cx="5610225" cy="2466975"/>
                    </a:xfrm>
                    <a:prstGeom prst="rect">
                      <a:avLst/>
                    </a:prstGeom>
                    <a:ln/>
                  </pic:spPr>
                </pic:pic>
              </a:graphicData>
            </a:graphic>
          </wp:inline>
        </w:drawing>
      </w:r>
    </w:p>
    <w:p w:rsidR="00F55121" w:rsidRPr="0090068A" w:rsidRDefault="00BB0A51">
      <w:pPr>
        <w:spacing w:before="240" w:after="240" w:line="360" w:lineRule="auto"/>
        <w:jc w:val="both"/>
        <w:rPr>
          <w:rFonts w:ascii="Palatino Linotype" w:eastAsia="Palatino Linotype" w:hAnsi="Palatino Linotype" w:cs="Palatino Linotype"/>
        </w:rPr>
      </w:pPr>
      <w:r w:rsidRPr="0090068A">
        <w:rPr>
          <w:rFonts w:ascii="Palatino Linotype" w:eastAsia="Palatino Linotype" w:hAnsi="Palatino Linotype" w:cs="Palatino Linotype"/>
          <w:noProof/>
        </w:rPr>
        <w:drawing>
          <wp:inline distT="0" distB="0" distL="0" distR="0">
            <wp:extent cx="5577840" cy="914400"/>
            <wp:effectExtent l="0" t="0" r="0" b="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577840" cy="914400"/>
                    </a:xfrm>
                    <a:prstGeom prst="rect">
                      <a:avLst/>
                    </a:prstGeom>
                    <a:ln/>
                  </pic:spPr>
                </pic:pic>
              </a:graphicData>
            </a:graphic>
          </wp:inline>
        </w:drawing>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 para el caso de que el </w:t>
      </w:r>
      <w:r w:rsidRPr="0090068A">
        <w:rPr>
          <w:rFonts w:ascii="Palatino Linotype" w:eastAsia="Palatino Linotype" w:hAnsi="Palatino Linotype" w:cs="Palatino Linotype"/>
          <w:b/>
          <w:sz w:val="24"/>
          <w:szCs w:val="24"/>
        </w:rPr>
        <w:t xml:space="preserve">SUJETO OBLIGADO </w:t>
      </w:r>
      <w:r w:rsidRPr="0090068A">
        <w:rPr>
          <w:rFonts w:ascii="Palatino Linotype" w:eastAsia="Palatino Linotype" w:hAnsi="Palatino Linotype" w:cs="Palatino Linotype"/>
          <w:sz w:val="24"/>
          <w:szCs w:val="24"/>
        </w:rPr>
        <w:t>lo administre o posea en sus archivos.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Motivo por el que se ordena la clasificación total del acta de nacimiento de los titulares de las áreas administrativas que componen 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III.</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Por cuanto hace, al acreditar estar en pleno ejercicio de sus derechos civiles y políticos, requisito marcado bajo la fracción III, es de precisar que en la normatividad no existe algún documento específico que permita acreditar que el ciudadano está en pleno uso de sus derechos; sin embargo, de manera enunciativa más no limitativa ello se puede acreditar mediante el “informe o certificado de antecedentes no penales” ya que mediante este documento se puede apreciar si una persona ha sido condenada o no por sentencia firme dictada por los órganos jurisdiccionales competentes, la cual se expide, cuando se requiera para trámites de carácter personal cuando:</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240" w:line="360" w:lineRule="auto"/>
        <w:ind w:left="70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I. Las disposiciones legales establezcan como requisito para desempeñar un empleo, cargo o comisión en el servicio público, la acreditación por parte del interesado de no haber cometido delito alguno o que no tiene antecedentes penales.</w:t>
      </w:r>
    </w:p>
    <w:p w:rsidR="00F55121" w:rsidRPr="0090068A" w:rsidRDefault="00BB0A51">
      <w:pPr>
        <w:spacing w:before="240"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En concordancia con lo anterior, cabe decir que en términos del numeral NOVENO de los “</w:t>
      </w:r>
      <w:r w:rsidRPr="0090068A">
        <w:rPr>
          <w:rFonts w:ascii="Palatino Linotype" w:eastAsia="Palatino Linotype" w:hAnsi="Palatino Linotype" w:cs="Palatino Linotype"/>
          <w:i/>
          <w:sz w:val="24"/>
          <w:szCs w:val="24"/>
        </w:rPr>
        <w:t>LINEAMIENTOS PARA LA EXPEDICIÓN OE INFORMES Y CERTIFICADOS DE NO ANTECEDENTES PENALES</w:t>
      </w:r>
      <w:r w:rsidRPr="0090068A">
        <w:rPr>
          <w:rFonts w:ascii="Palatino Linotype" w:eastAsia="Palatino Linotype" w:hAnsi="Palatino Linotype" w:cs="Palatino Linotype"/>
          <w:sz w:val="24"/>
          <w:szCs w:val="24"/>
        </w:rPr>
        <w:t xml:space="preserve">”, el informe de antecedentes </w:t>
      </w:r>
      <w:r w:rsidRPr="0090068A">
        <w:rPr>
          <w:rFonts w:ascii="Palatino Linotype" w:eastAsia="Palatino Linotype" w:hAnsi="Palatino Linotype" w:cs="Palatino Linotype"/>
          <w:sz w:val="24"/>
          <w:szCs w:val="24"/>
        </w:rPr>
        <w:lastRenderedPageBreak/>
        <w:t>no penales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 sirve de apoyo a lo anterior la Tesis XXXX.3º.3P(10ª.), de los Tribunales Colegiados de circuito de la Suprema Corte de Justicia de la Nación, que es del rubro y texto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b/>
          <w:i/>
        </w:rPr>
        <w:t>“CONSTANCIA DE ANTECEDENTES PENALES. LINEAMIENTOS QUE LA AUTORIDAD PENITENCIARIA DEBE OBSERVAR OFICIOSAMENTE PARA SU EXPEDICIÓN, A FIN DE QUE SU ACTUAR NO RESULTE DISCRIMINATORIO.</w:t>
      </w:r>
      <w:r w:rsidRPr="0090068A">
        <w:rPr>
          <w:rFonts w:ascii="Palatino Linotype" w:eastAsia="Palatino Linotype" w:hAnsi="Palatino Linotype" w:cs="Palatino Linotype"/>
          <w:i/>
        </w:rPr>
        <w:t xml:space="preserve"> De la interpretación conforme del artículo 27, fracción V, inciso g), de la Ley Nacional de Ejecución Penal, deriva el deber de la autoridad penitenciaria, ante una solicitud de la constancia referida, de realizar un ejercicio oficioso en relación con el soporte informativo contenido en la base de datos que subyace a la emisión de la constancia de antecedentes penales. Esto es, existe el deber del Juez de Ejecución de expresar en un proceso intelectivo, que se allegó de otros elementos con los que llegó a la plena convicción de que es jurídicamente válido el registro que contienen las bases de datos relativas. Para tal efecto, la autoridad correspondiente, a fin de reconocer el pleno ejercicio de los derechos humanos, conforme al nuevo modelo penitenciario de reinserción social, deberá actuar oficiosamente acorde con los escenarios siguientes: 1. Si la persona no cuenta con algún antecedente penal, emitir una carta de no antecedentes penales; y, 2. </w:t>
      </w:r>
      <w:r w:rsidRPr="0090068A">
        <w:rPr>
          <w:rFonts w:ascii="Palatino Linotype" w:eastAsia="Palatino Linotype" w:hAnsi="Palatino Linotype" w:cs="Palatino Linotype"/>
          <w:b/>
          <w:i/>
        </w:rPr>
        <w:t xml:space="preserve">En caso de que sí cuente con algún antecedente penal, deberá realizar oficiosamente lo siguiente: a) recabar las constancias correspondientes, a fin de verificar si el solicitante cumplió la pena impuesta en sentencia ejecutoriada y </w:t>
      </w:r>
      <w:r w:rsidRPr="0090068A">
        <w:rPr>
          <w:rFonts w:ascii="Palatino Linotype" w:eastAsia="Palatino Linotype" w:hAnsi="Palatino Linotype" w:cs="Palatino Linotype"/>
          <w:b/>
          <w:i/>
        </w:rPr>
        <w:lastRenderedPageBreak/>
        <w:t>constate que no se trata de un delito grave; b) en caso de que haya cumplido la pena impuesta en sentencia ejecutoriada y no se trate de un delito grave, emitirá una carta de no antecedentes penales; c) en el supuesto de que no haya cumplido la pena impuesta y no se trate de un delito grave, emitirá una carta de antecedentes penales, en la que especificará tal situación; y, d) en la hipótesis de que se trate de delito grave, emitirá una carta de antecedentes penales, en la que destacará esa circunstancia.</w:t>
      </w:r>
      <w:r w:rsidRPr="0090068A">
        <w:rPr>
          <w:rFonts w:ascii="Palatino Linotype" w:eastAsia="Palatino Linotype" w:hAnsi="Palatino Linotype" w:cs="Palatino Linotype"/>
          <w:i/>
        </w:rPr>
        <w:t xml:space="preserve"> Consecuentemente, el Juez debe llevar a cabo las acciones señaladas para constatar la situación que guarda el quejoso ante el antecedente penal que se le impuso en el proceso y poder decidir con mayor información al respecto, es decir, si lo procedente es eliminar o no dicho registro, con base en el artículo citado y con ello evitar la discriminación estructural del quejoso.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Por lo antes expuesto, se observa que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mediante su respuesta hace entrega de 58 certificados de antecedentes no penales, de los cuales tres entrega de forma íntegra, sin que se observen datos personales, mismo que corresponde a María Guadalupe Torres González, Jefa de Departamento de Enfermería; Ma. de Lourdes Camacho Flores, Jefa de Departamento de Laboratorio; Marina Adriana Gutiérrez Jefa de Departamento de Atención Jurídica Prevención al Maltrato Familiar y Procuración del Adulto Mayor y de Blanca Estela Estrada García, Titular de un centro Comunitario,  motivo por el que se tiene por colmado el certificado de antecedentes no penales de las servidoras públicas en mención.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Respecto a los 55 certificados de antecedentes no penales, restantes, de los cuales uno de ellos no se logra, determinar de qué titular corresponde, ya que es ilegible el nombre, como se aprecia a continuación:</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noProof/>
        </w:rPr>
        <w:lastRenderedPageBreak/>
        <w:drawing>
          <wp:inline distT="0" distB="0" distL="0" distR="0">
            <wp:extent cx="5592410" cy="2252233"/>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4793" t="22933" r="15478" b="41459"/>
                    <a:stretch>
                      <a:fillRect/>
                    </a:stretch>
                  </pic:blipFill>
                  <pic:spPr>
                    <a:xfrm>
                      <a:off x="0" y="0"/>
                      <a:ext cx="5592410" cy="2252233"/>
                    </a:xfrm>
                    <a:prstGeom prst="rect">
                      <a:avLst/>
                    </a:prstGeom>
                    <a:ln/>
                  </pic:spPr>
                </pic:pic>
              </a:graphicData>
            </a:graphic>
          </wp:inline>
        </w:drawing>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Motivo por el que se ordena la entrega de dicho certificado de forma legible.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Ahora bien respecto a los 54 certificados de antecedente no penales restantes se envían en una aparente versión pública, ya que se advierte que testó, la fecha de nacimiento, CURP, clave de elector y domicilio, sin embargo, las versiones públicas, deben acompañarse necesariamente del Acuerdo del Comité de Transparencia que la sustente el cual debe estar debidamente fundado y motivado, en el que se expongan los fundamentos y razonamientos que llevaron 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w:t>
      </w:r>
      <w:r w:rsidRPr="0090068A">
        <w:rPr>
          <w:rFonts w:ascii="Palatino Linotype" w:eastAsia="Palatino Linotype" w:hAnsi="Palatino Linotype" w:cs="Palatino Linotype"/>
          <w:sz w:val="24"/>
          <w:szCs w:val="24"/>
        </w:rPr>
        <w:lastRenderedPageBreak/>
        <w:t xml:space="preserve">documentación respectiva, ya que el acta con el que pretende sustentar la versión pública, no hace referencia a la solicitud de información que da origen al recurso de revisión citado al rubro.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trike/>
          <w:sz w:val="24"/>
          <w:szCs w:val="24"/>
        </w:rPr>
      </w:pPr>
      <w:r w:rsidRPr="0090068A">
        <w:rPr>
          <w:rFonts w:ascii="Palatino Linotype" w:eastAsia="Palatino Linotype" w:hAnsi="Palatino Linotype" w:cs="Palatino Linotype"/>
          <w:sz w:val="24"/>
          <w:szCs w:val="24"/>
        </w:rPr>
        <w:t xml:space="preserve">Por lo anterior resulta procedente ordenar el acuerdo del Comité de Transparencia que la sustente la versión pública de los 54 certificado de no antecedentes remitidos en respuesta, no obstante a ello,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dejó a la vista el código de verificación, mismo que al consultarlo se observa la información que se testó y se mencionó con anterioridad, por lo que la puesta a disposición de la información referida, pudiese causar un daño a la esfera personal del titular de los datos personales, motivo por el que este Organismo Garante considera procedente dar vista al Titular de la 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 a efecto de que investigue y sanciones las posibles omisiones en las que 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para que </w:t>
      </w:r>
      <w:r w:rsidRPr="0090068A">
        <w:rPr>
          <w:rFonts w:ascii="Palatino Linotype" w:eastAsia="Palatino Linotype" w:hAnsi="Palatino Linotype" w:cs="Palatino Linotype"/>
          <w:sz w:val="24"/>
          <w:szCs w:val="24"/>
        </w:rPr>
        <w:lastRenderedPageBreak/>
        <w:t>este determine lo que conforme derecho corresponda, cuyo resultado deberá ser informado a este Instituto.</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Finalmente, lo correspondiente a este fracción, como se especificó con anterioridad, </w:t>
      </w:r>
      <w:r w:rsidRPr="0090068A">
        <w:rPr>
          <w:rFonts w:ascii="Palatino Linotype" w:eastAsia="Palatino Linotype" w:hAnsi="Palatino Linotype" w:cs="Palatino Linotype"/>
          <w:b/>
          <w:sz w:val="24"/>
          <w:szCs w:val="24"/>
        </w:rPr>
        <w:t xml:space="preserve">EL SUJETO OBLIGADO </w:t>
      </w:r>
      <w:r w:rsidRPr="0090068A">
        <w:rPr>
          <w:rFonts w:ascii="Palatino Linotype" w:eastAsia="Palatino Linotype" w:hAnsi="Palatino Linotype" w:cs="Palatino Linotype"/>
          <w:sz w:val="24"/>
          <w:szCs w:val="24"/>
        </w:rPr>
        <w:t>se compone de 75 unidades administrativas y solo se proporcionaron 58 certificados de antecedentes no penales, motivo por el que se ordena el documento en el que conste  que están en pleno ejercicio de sus derechos civiles y políticos, sin embargo, para el caso de que alguna de las titularidades faltantes, se encuentre vacante a la fecha de la solicitud, bastará con que lo haga del conocimiento del particular en los términos antes señalados.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IV</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w:t>
      </w:r>
      <w:proofErr w:type="gramStart"/>
      <w:r w:rsidRPr="0090068A">
        <w:rPr>
          <w:rFonts w:ascii="Palatino Linotype" w:eastAsia="Palatino Linotype" w:hAnsi="Palatino Linotype" w:cs="Palatino Linotype"/>
          <w:sz w:val="24"/>
          <w:szCs w:val="24"/>
        </w:rPr>
        <w:t>contendrá</w:t>
      </w:r>
      <w:proofErr w:type="gramEnd"/>
      <w:r w:rsidRPr="0090068A">
        <w:rPr>
          <w:rFonts w:ascii="Palatino Linotype" w:eastAsia="Palatino Linotype" w:hAnsi="Palatino Linotype" w:cs="Palatino Linotype"/>
          <w:sz w:val="24"/>
          <w:szCs w:val="24"/>
        </w:rPr>
        <w:t xml:space="preserve"> lo siguiente:</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151.-</w:t>
      </w:r>
      <w:r w:rsidRPr="0090068A">
        <w:rPr>
          <w:rFonts w:ascii="Palatino Linotype" w:eastAsia="Palatino Linotype" w:hAnsi="Palatino Linotype" w:cs="Palatino Linotype"/>
          <w:i/>
        </w:rPr>
        <w:t xml:space="preserve"> Una vez inscritos los mexicanos, se les expedirá gratuitamente la cartilla de identificación que acreditará su identidad y el cumplimiento de sus deberes militares, y contendrá:</w:t>
      </w:r>
    </w:p>
    <w:p w:rsidR="00F55121" w:rsidRPr="0090068A" w:rsidRDefault="00F5512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I.- Un retrato de frente;</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lastRenderedPageBreak/>
        <w:t>II.- Sus generales (nombre y apellidos paterno y materno, edad, ocupación, estado civil y domicilio);</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III.- Matrícula;</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IV.- Clase a que pertenece;</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V.- Corporación a que se le destine;</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VI.- Unidad a la que deba incorporarse en caso de movilización;</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VII.- Firma de la autoridad que la expida;</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VIII.- Firma del interesado, si sabe hacerlo;</w:t>
      </w:r>
    </w:p>
    <w:p w:rsidR="00F55121" w:rsidRPr="0090068A" w:rsidRDefault="00BB0A51">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IX.- Sello de la Junta Municipal de Reclutamiento o Consulado;</w:t>
      </w:r>
    </w:p>
    <w:p w:rsidR="00F55121" w:rsidRPr="0090068A" w:rsidRDefault="00BB0A51">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i/>
        </w:rPr>
        <w:t>X.- Huella digital.</w:t>
      </w:r>
    </w:p>
    <w:p w:rsidR="00F55121" w:rsidRPr="0090068A" w:rsidRDefault="00F55121">
      <w:pPr>
        <w:pBdr>
          <w:top w:val="nil"/>
          <w:left w:val="nil"/>
          <w:bottom w:val="nil"/>
          <w:right w:val="nil"/>
          <w:between w:val="nil"/>
        </w:pBdr>
        <w:spacing w:after="0" w:line="360" w:lineRule="auto"/>
        <w:ind w:right="900"/>
        <w:jc w:val="both"/>
        <w:rPr>
          <w:rFonts w:ascii="Palatino Linotype" w:eastAsia="Palatino Linotype" w:hAnsi="Palatino Linotype" w:cs="Palatino Linotype"/>
          <w:i/>
        </w:rPr>
      </w:pPr>
    </w:p>
    <w:p w:rsidR="00F55121" w:rsidRPr="0090068A" w:rsidRDefault="00BB0A51">
      <w:pPr>
        <w:pBdr>
          <w:top w:val="nil"/>
          <w:left w:val="nil"/>
          <w:bottom w:val="nil"/>
          <w:right w:val="nil"/>
          <w:between w:val="nil"/>
        </w:pBdr>
        <w:spacing w:after="0" w:line="360" w:lineRule="auto"/>
        <w:ind w:right="900"/>
        <w:jc w:val="both"/>
        <w:rPr>
          <w:rFonts w:ascii="Palatino Linotype" w:eastAsia="Palatino Linotype" w:hAnsi="Palatino Linotype" w:cs="Palatino Linotype"/>
          <w:i/>
        </w:rPr>
      </w:pPr>
      <w:r w:rsidRPr="0090068A">
        <w:rPr>
          <w:rFonts w:ascii="Palatino Linotype" w:eastAsia="Palatino Linotype" w:hAnsi="Palatino Linotype" w:cs="Palatino Linotype"/>
          <w:sz w:val="24"/>
          <w:szCs w:val="24"/>
        </w:rPr>
        <w:t>Mientras que el artículo 17 y 18 del Reglamento de la Ley del Servicio Militar, rezan así:</w:t>
      </w:r>
    </w:p>
    <w:p w:rsidR="00F55121" w:rsidRPr="0090068A" w:rsidRDefault="00F55121">
      <w:pPr>
        <w:spacing w:after="0" w:line="360" w:lineRule="auto"/>
        <w:ind w:left="851" w:right="902"/>
        <w:jc w:val="both"/>
        <w:rPr>
          <w:rFonts w:ascii="Palatino Linotype" w:eastAsia="Palatino Linotype" w:hAnsi="Palatino Linotype" w:cs="Palatino Linotype"/>
          <w:b/>
          <w:i/>
        </w:rPr>
      </w:pPr>
    </w:p>
    <w:p w:rsidR="00F55121" w:rsidRPr="0090068A" w:rsidRDefault="00BB0A51">
      <w:pPr>
        <w:spacing w:after="0" w:line="360"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17.</w:t>
      </w:r>
      <w:r w:rsidRPr="0090068A">
        <w:rPr>
          <w:rFonts w:ascii="Palatino Linotype" w:eastAsia="Palatino Linotype" w:hAnsi="Palatino Linotype" w:cs="Palatino Linotype"/>
          <w:i/>
        </w:rPr>
        <w:t>- La inscripción de cada mexicano se hará una sola vez, entregándole gratuitamente una cartilla de identificación según modelo número uno.</w:t>
      </w:r>
    </w:p>
    <w:p w:rsidR="00F55121" w:rsidRPr="0090068A" w:rsidRDefault="00BB0A51">
      <w:pPr>
        <w:spacing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w:t>
      </w:r>
      <w:r w:rsidRPr="0090068A">
        <w:rPr>
          <w:rFonts w:ascii="Palatino Linotype" w:eastAsia="Palatino Linotype" w:hAnsi="Palatino Linotype" w:cs="Palatino Linotype"/>
          <w:b/>
          <w:i/>
        </w:rPr>
        <w:t>ARTÍCULO 18.-</w:t>
      </w:r>
      <w:r w:rsidRPr="0090068A">
        <w:rPr>
          <w:rFonts w:ascii="Palatino Linotype" w:eastAsia="Palatino Linotype" w:hAnsi="Palatino Linotype" w:cs="Palatino Linotype"/>
          <w:i/>
        </w:rPr>
        <w:t> Una vez hecha la inscripción ante las juntas municipales de reclutamiento o consulados y como consecuencia inmediata, se formarán en dichas oficinas los siguientes documentos:</w:t>
      </w:r>
    </w:p>
    <w:p w:rsidR="00F55121" w:rsidRPr="0090068A" w:rsidRDefault="00BB0A51">
      <w:pPr>
        <w:spacing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w:t>
      </w:r>
      <w:r w:rsidRPr="0090068A">
        <w:rPr>
          <w:rFonts w:ascii="Palatino Linotype" w:eastAsia="Palatino Linotype" w:hAnsi="Palatino Linotype" w:cs="Palatino Linotype"/>
          <w:b/>
          <w:i/>
        </w:rPr>
        <w:t>I.-</w:t>
      </w:r>
      <w:r w:rsidRPr="0090068A">
        <w:rPr>
          <w:rFonts w:ascii="Palatino Linotype" w:eastAsia="Palatino Linotype" w:hAnsi="Palatino Linotype" w:cs="Palatino Linotype"/>
          <w:i/>
        </w:rPr>
        <w:t> Cartilla de identificación que se entregará al interesado….”</w:t>
      </w:r>
      <w:r w:rsidRPr="0090068A">
        <w:rPr>
          <w:rFonts w:ascii="Palatino Linotype" w:eastAsia="Palatino Linotype" w:hAnsi="Palatino Linotype" w:cs="Palatino Linotype"/>
          <w:i/>
          <w:sz w:val="20"/>
          <w:szCs w:val="20"/>
        </w:rPr>
        <w:t> </w:t>
      </w:r>
    </w:p>
    <w:p w:rsidR="00F55121" w:rsidRPr="0090068A" w:rsidRDefault="00F55121">
      <w:pPr>
        <w:spacing w:before="120"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 los preceptos legales transcritos, se obtiene que el documento que permite acreditar la inscripción de cada mexicano, en cumplimiento a la Ley del Servicio Militar, es la cartilla de identificación que se entrega al interesado.</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motivo por el que se ordena el acuerdo del Comité de Transparencia mediante el que clasifica en su totalidad las cartillas militares de los Titulares de las Unidades Administrativas.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VI</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Dicha fracción hace referencia a los casos en los que se rescinde la relación laboral por causas imputables al trabajador. El artículo 93 de la Ley del Trabajo en cita prevé veinte causales de rescisión laboral sin responsabilidad para la institución pública, siendo el documento que de manera enunciativa más no limitativa ello se puede acreditar mediante un escrito o carta bajo “protesta de decir verdad” ya que es un </w:t>
      </w:r>
      <w:r w:rsidRPr="0090068A">
        <w:rPr>
          <w:rFonts w:ascii="Palatino Linotype" w:eastAsia="Palatino Linotype" w:hAnsi="Palatino Linotype" w:cs="Palatino Linotype"/>
          <w:sz w:val="24"/>
          <w:szCs w:val="24"/>
        </w:rPr>
        <w:lastRenderedPageBreak/>
        <w:t xml:space="preserve">documento cuya finalidad es la de manifestar como verdadera una declaración personal, ello ya que de acuerdo con el Diccionario Jurídico Mexicano de la Suprema Corte de Justicia de la Nación, la protesta de decir verdad se define como la testificación espontánea que se hace para adquirir o conservar un derecho o preservar un daño que pueda sobrevenir. </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Dicho documento suele ser utilizado para hacer valer con nuestra palabra ciertos requisitos que en ocasiones no tienen un documento específico, como lo es el presente caso, por lo que este Órgano Garante considera procedente ordenar la entrega del documento que dé cuenta del cumplimiento de dicho requisito. </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VII</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sz w:val="24"/>
          <w:szCs w:val="24"/>
        </w:rPr>
        <w:t xml:space="preserve">Respecto a la comprobación de buena salud, el documento idóneo para comprobarlo es un certificado de salud expedido por alguna institución de salud pública, al respecto es de señalar que cualquier información que dé cuenta del </w:t>
      </w:r>
      <w:r w:rsidRPr="0090068A">
        <w:rPr>
          <w:rFonts w:ascii="Palatino Linotype" w:eastAsia="Palatino Linotype" w:hAnsi="Palatino Linotype" w:cs="Palatino Linotype"/>
          <w:b/>
          <w:sz w:val="24"/>
          <w:szCs w:val="24"/>
        </w:rPr>
        <w:t>estado de salud de una persona</w:t>
      </w:r>
      <w:r w:rsidRPr="0090068A">
        <w:rPr>
          <w:rFonts w:ascii="Palatino Linotype" w:eastAsia="Palatino Linotype" w:hAnsi="Palatino Linotype" w:cs="Palatino Linotype"/>
          <w:sz w:val="24"/>
          <w:szCs w:val="24"/>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90068A">
        <w:rPr>
          <w:rFonts w:ascii="Palatino Linotype" w:eastAsia="Palatino Linotype" w:hAnsi="Palatino Linotype" w:cs="Palatino Linotype"/>
          <w:b/>
          <w:sz w:val="24"/>
          <w:szCs w:val="24"/>
        </w:rPr>
        <w:t>den cuenta del estado de salud, ya sea físico o mental.</w:t>
      </w:r>
    </w:p>
    <w:p w:rsidR="00F55121" w:rsidRPr="0090068A" w:rsidRDefault="00F55121">
      <w:pPr>
        <w:spacing w:after="0" w:line="360" w:lineRule="auto"/>
        <w:jc w:val="both"/>
        <w:rPr>
          <w:rFonts w:ascii="Palatino Linotype" w:eastAsia="Palatino Linotype" w:hAnsi="Palatino Linotype" w:cs="Palatino Linotype"/>
          <w:b/>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De tales circunstancias, se considera que la información contenida en el certificado médico únicamente identifica el estado de salud físico y mental de los servidores públicos, lo cual guarda el carácter confidencial, en términos del artículo 143, fracción I, de la Ley de Transparencia y Acceso a la Información Pública del Estado de México y Municipio, razón por la que debe clasificarse en su totalidad, motivo por el que se ordena el acuerdo del Comité de Transparencia mediante el que clasifica en su totalidad la comprobación de buena salud o certificado de salud, de los Titulares de las Unidades Administrativas.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VIII.</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Esta fracción estipula que es necesario cumplir con todos los requisitos que se establezcan para los diferentes puestos; lo que puede estar ligado con la preparación académica y profesional o bien con otro tipo de requisitos como el lugar de residencia, nacionalidad o edad se colman con otros elementos ya referidos anteriormente, al respecto,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efectuó la entrega de diversos documentos con el que acreditan el grado máximo de estudios y diplomas.</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Aclarado lo anterior, debe tenerse en cuenta lo dispuesto en el artículo 60  de la Ley General de Educación, 3.27 fracción IV, 3.28, 3.29 y 3.31 segundo párrafo del Código Administrativo del Estado de México, que prevén:</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276"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b/>
          <w:i/>
          <w:sz w:val="20"/>
          <w:szCs w:val="20"/>
        </w:rPr>
        <w:lastRenderedPageBreak/>
        <w:t>“</w:t>
      </w:r>
      <w:r w:rsidRPr="0090068A">
        <w:rPr>
          <w:rFonts w:ascii="Palatino Linotype" w:eastAsia="Palatino Linotype" w:hAnsi="Palatino Linotype" w:cs="Palatino Linotype"/>
          <w:b/>
          <w:i/>
        </w:rPr>
        <w:t>ARTÍCULO 60.-</w:t>
      </w:r>
      <w:r w:rsidRPr="0090068A">
        <w:rPr>
          <w:rFonts w:ascii="Palatino Linotype" w:eastAsia="Palatino Linotype" w:hAnsi="Palatino Linotype" w:cs="Palatino Linotype"/>
          <w:i/>
        </w:rPr>
        <w:t xml:space="preserve"> Los estudios realizados dentro del sistema educativo nacional tendrán validez en toda la República.</w:t>
      </w:r>
    </w:p>
    <w:p w:rsidR="00F55121" w:rsidRPr="0090068A" w:rsidRDefault="00BB0A51">
      <w:pPr>
        <w:spacing w:after="0" w:line="276"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rsidR="00F55121" w:rsidRPr="0090068A" w:rsidRDefault="00F55121">
      <w:pPr>
        <w:spacing w:after="0" w:line="360" w:lineRule="auto"/>
        <w:ind w:left="851" w:right="902"/>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ese tenor, y como se refirió con anterioridad,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xml:space="preserve">, entregó lo referente a la fracción en cita 60 archivos en donde se observan diversos documentos con los se acredita el nivel máximo de estudios, diplomas y cédulas profesionales, siendo que los documentos que se observan en el  archivo electrónico proporcionado en respuesta para satisfacer esta fracción, en su página, 2, 18, 35, 40, 59, 62, 66, 86, 41, 100, 102, 109, 110, 126, 128, 150, 157, 166, 170, 177, 182, 184, 190, 197, 201, 205, 213, 231, 245, 258 se enviaron de forma íntegra, colmando con la fracción </w:t>
      </w:r>
      <w:r w:rsidRPr="0090068A">
        <w:rPr>
          <w:rFonts w:ascii="Palatino Linotype" w:eastAsia="Palatino Linotype" w:hAnsi="Palatino Linotype" w:cs="Palatino Linotype"/>
          <w:sz w:val="24"/>
          <w:szCs w:val="24"/>
        </w:rPr>
        <w:lastRenderedPageBreak/>
        <w:t xml:space="preserve">en comento; respecto a los archivos enviados en la página 45, 49, 54, 137, 208, 214, 227 y 247 también se enviaron de forma íntegra, colmando la fracción en cita, no obstante deja a la vista datos personales como la Clave Única de Registro Poblacional (CURP) y la firma en carácter de particular, motivo por el que es procedente dar vista al Titular de la Dirección de Datos Personales de este Instituto, a efecto de que investigue y sanciones las posibles omisiones en las que 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para que este determine lo que conforme derecho corresponda, cuyo resultado deberá ser informado a este Instituto.</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 acuerdo a lo anterior, de los 60 archivos, en donde se observan diversos documentos con los se acredita el nivel máximo de estudios, diplomas y cédulas profesionales, 38 se tienen colmados, por lo que corresponde al resto, es decir, 22 archivos, se enviaron en una aparente versión pública, ya que no se envía el acta del comité que apruebe la versión pública, resulta procedente ordenar el acuerdo del Comité de Transparencia que sustente la versión pública de los 22 archivos restante enviados en respuesta.</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240" w:line="360" w:lineRule="auto"/>
        <w:ind w:right="49"/>
        <w:jc w:val="both"/>
        <w:rPr>
          <w:rFonts w:ascii="Palatino Linotype" w:eastAsia="Palatino Linotype" w:hAnsi="Palatino Linotype" w:cs="Palatino Linotype"/>
          <w:strike/>
          <w:sz w:val="24"/>
          <w:szCs w:val="24"/>
        </w:rPr>
      </w:pPr>
      <w:r w:rsidRPr="0090068A">
        <w:rPr>
          <w:rFonts w:ascii="Palatino Linotype" w:eastAsia="Palatino Linotype" w:hAnsi="Palatino Linotype" w:cs="Palatino Linotype"/>
          <w:sz w:val="24"/>
          <w:szCs w:val="24"/>
        </w:rPr>
        <w:lastRenderedPageBreak/>
        <w:t xml:space="preserve">No obstante a ello, como ya se mencionó con anterioridad, </w:t>
      </w:r>
      <w:r w:rsidRPr="0090068A">
        <w:rPr>
          <w:rFonts w:ascii="Palatino Linotype" w:eastAsia="Palatino Linotype" w:hAnsi="Palatino Linotype" w:cs="Palatino Linotype"/>
          <w:b/>
          <w:sz w:val="24"/>
          <w:szCs w:val="24"/>
        </w:rPr>
        <w:t>EL SUJETO OBLIGADO</w:t>
      </w:r>
      <w:r w:rsidRPr="0090068A">
        <w:rPr>
          <w:rFonts w:ascii="Palatino Linotype" w:eastAsia="Palatino Linotype" w:hAnsi="Palatino Linotype" w:cs="Palatino Linotype"/>
          <w:sz w:val="24"/>
          <w:szCs w:val="24"/>
        </w:rPr>
        <w:t>, cuenta con 75 Titulares de Unidades Administrativas, motivo por el que se ordenan los documentos faltantes que acrediten esta fracción en términos del considerando quinto.</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IX</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El acreditar los conocimientos o aptitudes necesarios para el desempeño del puesto mediante exámenes correspondientes debe ponderarse según el caso en concreto. </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sz w:val="24"/>
          <w:szCs w:val="24"/>
        </w:rPr>
        <w:t xml:space="preserve">Esto porque existen cargos en el servicio público que necesitan estar avalados por una certificación, como es el caso de los titulares de las unidades de transparencia de los sujetos obligados, en cuyo caso sí son susceptibles de ser entregados en su versión pública de ser procedente, motivo por el que se ordena el documento en el que se acredite por medio de los exámenes correspondientes los conocimientos y aptitudes necesarios para el desempeño del puesto, no obstante, para el caso de que se encuentren vacantes, alguna de las titularidades de las unidades administrativas, bastara con que lo haga del conocimiento de </w:t>
      </w:r>
      <w:r w:rsidRPr="0090068A">
        <w:rPr>
          <w:rFonts w:ascii="Palatino Linotype" w:eastAsia="Palatino Linotype" w:hAnsi="Palatino Linotype" w:cs="Palatino Linotype"/>
          <w:b/>
          <w:sz w:val="24"/>
          <w:szCs w:val="24"/>
        </w:rPr>
        <w:t>LA PARTE RECURRENTE.</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FRACCIÓN X.</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Con la finalidad de verificar si las personas que aspiran a ocupar un cargo público no se encuentran inhabilitadas, se encuentren en un procedimiento administrativo o haya sido sancionado, la Secretaría de la Contraloría del Gobierno del Estado de México está facultada para expedir la Constancia de no inhabilitación, circunstancias por la que se ordena 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haga entrega del documento en que conste que los titulares de la unidades administrativas en funciones al veintiocho de septiembre  de dos mil veintidós, no estén inhabilitados para el ejercicio del servicio público. </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FRACCION XI</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En esta fracción se adicionó 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Es decir, la inscripción en dicho registro tiene impacto única y exclusivamente en la vida privada de las personas, pues en nada tiene que ver su inscripción en dicho registro con las funciones que se tiene como servidor público; por lo que lejos de abonar a la transparencia y correcta rendición de cuentas de los entes públicos, su publicidad constituye una vulneración a la vida privada de los servidores públicos, </w:t>
      </w:r>
      <w:r w:rsidRPr="0090068A">
        <w:rPr>
          <w:rFonts w:ascii="Palatino Linotype" w:eastAsia="Palatino Linotype" w:hAnsi="Palatino Linotype" w:cs="Palatino Linotype"/>
          <w:sz w:val="24"/>
          <w:szCs w:val="24"/>
        </w:rPr>
        <w:lastRenderedPageBreak/>
        <w:t xml:space="preserve">por lo que se considera que este documento debe ser clasificado como información confidencial, circunstancia que no fue atendida ya que mediante respuesta 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entregó 62 certificados de no deudor alimentario, motivo por el que se ordena la vista al Titular de la Dirección de Datos Personales de este Órgano, en los términos antes señalados, sin embargo, para el resto de los titulares de las áreas faltantes, se ordena la clasificación en su totalidad del certificado no deudor alimentario.</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QUINTO. VERSIÓN PÚBLICA. </w:t>
      </w:r>
      <w:r w:rsidRPr="0090068A">
        <w:rPr>
          <w:rFonts w:ascii="Palatino Linotype" w:eastAsia="Palatino Linotype" w:hAnsi="Palatino Linotype" w:cs="Palatino Linotype"/>
          <w:sz w:val="24"/>
          <w:szCs w:val="24"/>
        </w:rPr>
        <w:t>Como fue debidamente apuntado, el</w:t>
      </w:r>
      <w:r w:rsidRPr="0090068A">
        <w:rPr>
          <w:rFonts w:ascii="Palatino Linotype" w:eastAsia="Palatino Linotype" w:hAnsi="Palatino Linotype" w:cs="Palatino Linotype"/>
          <w:b/>
          <w:sz w:val="24"/>
          <w:szCs w:val="24"/>
        </w:rPr>
        <w:t> SUJETO OBLIGADO</w:t>
      </w:r>
      <w:r w:rsidRPr="0090068A">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hd w:val="clear" w:color="auto" w:fill="FFFFFF"/>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F55121" w:rsidRPr="0090068A" w:rsidRDefault="00F55121">
      <w:pPr>
        <w:shd w:val="clear" w:color="auto" w:fill="FFFFFF"/>
        <w:spacing w:after="0" w:line="360" w:lineRule="auto"/>
        <w:ind w:right="51"/>
        <w:jc w:val="both"/>
        <w:rPr>
          <w:rFonts w:ascii="Palatino Linotype" w:eastAsia="Palatino Linotype" w:hAnsi="Palatino Linotype" w:cs="Palatino Linotype"/>
          <w:sz w:val="24"/>
          <w:szCs w:val="24"/>
        </w:rPr>
      </w:pPr>
    </w:p>
    <w:p w:rsidR="00F55121" w:rsidRPr="0090068A" w:rsidRDefault="00BB0A51">
      <w:pPr>
        <w:shd w:val="clear" w:color="auto" w:fill="FFFFFF"/>
        <w:spacing w:after="0" w:line="360" w:lineRule="auto"/>
        <w:ind w:right="5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w:t>
      </w:r>
      <w:r w:rsidRPr="0090068A">
        <w:rPr>
          <w:rFonts w:ascii="Palatino Linotype" w:eastAsia="Palatino Linotype" w:hAnsi="Palatino Linotype" w:cs="Palatino Linotype"/>
          <w:sz w:val="24"/>
          <w:szCs w:val="24"/>
        </w:rPr>
        <w:lastRenderedPageBreak/>
        <w:t>versiones públicas en las que se suprima aquella información relacionada con la vida privada de los particulares y de los servidores públicos.</w:t>
      </w:r>
    </w:p>
    <w:p w:rsidR="00F55121" w:rsidRPr="0090068A" w:rsidRDefault="00F55121">
      <w:pPr>
        <w:shd w:val="clear" w:color="auto" w:fill="FFFFFF"/>
        <w:spacing w:after="0" w:line="360" w:lineRule="auto"/>
        <w:ind w:right="51"/>
        <w:jc w:val="both"/>
        <w:rPr>
          <w:rFonts w:ascii="Palatino Linotype" w:eastAsia="Palatino Linotype" w:hAnsi="Palatino Linotype" w:cs="Palatino Linotype"/>
          <w:sz w:val="24"/>
          <w:szCs w:val="24"/>
        </w:rPr>
      </w:pPr>
    </w:p>
    <w:p w:rsidR="00F55121" w:rsidRPr="0090068A" w:rsidRDefault="00BB0A51">
      <w:pPr>
        <w:shd w:val="clear" w:color="auto" w:fill="FFFFFF"/>
        <w:spacing w:after="0" w:line="360" w:lineRule="auto"/>
        <w:ind w:right="5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F55121" w:rsidRPr="0090068A" w:rsidRDefault="00F55121">
      <w:pPr>
        <w:shd w:val="clear" w:color="auto" w:fill="FFFFFF"/>
        <w:spacing w:after="0" w:line="360" w:lineRule="auto"/>
        <w:ind w:right="51"/>
        <w:jc w:val="both"/>
        <w:rPr>
          <w:rFonts w:ascii="Palatino Linotype" w:eastAsia="Palatino Linotype" w:hAnsi="Palatino Linotype" w:cs="Palatino Linotype"/>
          <w:sz w:val="24"/>
          <w:szCs w:val="24"/>
        </w:rPr>
      </w:pPr>
    </w:p>
    <w:p w:rsidR="00F55121" w:rsidRPr="0090068A" w:rsidRDefault="00BB0A51">
      <w:pPr>
        <w:spacing w:after="0" w:line="276" w:lineRule="auto"/>
        <w:ind w:left="993" w:right="1041"/>
        <w:jc w:val="both"/>
        <w:rPr>
          <w:rFonts w:ascii="Palatino Linotype" w:eastAsia="Palatino Linotype" w:hAnsi="Palatino Linotype" w:cs="Palatino Linotype"/>
          <w:b/>
          <w:i/>
        </w:rPr>
      </w:pPr>
      <w:r w:rsidRPr="0090068A">
        <w:rPr>
          <w:rFonts w:ascii="Palatino Linotype" w:eastAsia="Palatino Linotype" w:hAnsi="Palatino Linotype" w:cs="Palatino Linotype"/>
          <w:b/>
          <w:i/>
        </w:rPr>
        <w:t xml:space="preserve"> “Artículo 3. Para los efectos de la presente Ley se entenderá por:</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IX. Datos personales:</w:t>
      </w:r>
      <w:r w:rsidRPr="0090068A">
        <w:rPr>
          <w:rFonts w:ascii="Palatino Linotype" w:eastAsia="Palatino Linotype" w:hAnsi="Palatino Linotype" w:cs="Palatino Linotype"/>
          <w:i/>
        </w:rPr>
        <w:t xml:space="preserve"> </w:t>
      </w:r>
      <w:r w:rsidRPr="0090068A">
        <w:rPr>
          <w:rFonts w:ascii="Palatino Linotype" w:eastAsia="Palatino Linotype" w:hAnsi="Palatino Linotype" w:cs="Palatino Linotype"/>
          <w:b/>
          <w:i/>
        </w:rPr>
        <w:t>La información concerniente a una persona, identificada o identificable</w:t>
      </w:r>
      <w:r w:rsidRPr="0090068A">
        <w:rPr>
          <w:rFonts w:ascii="Palatino Linotype" w:eastAsia="Palatino Linotype" w:hAnsi="Palatino Linotype" w:cs="Palatino Linotype"/>
          <w:i/>
        </w:rPr>
        <w:t xml:space="preserve"> según lo dispuesto por la Ley de Protección de Datos Personales del Estado de México;</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XX. Información clasificada:</w:t>
      </w:r>
      <w:r w:rsidRPr="0090068A">
        <w:rPr>
          <w:rFonts w:ascii="Palatino Linotype" w:eastAsia="Palatino Linotype" w:hAnsi="Palatino Linotype" w:cs="Palatino Linotype"/>
          <w:i/>
        </w:rPr>
        <w:t xml:space="preserve"> Aquella considerada por la presente Ley como reservada o confidencial;</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XXXII. Protección de Datos Personales:</w:t>
      </w:r>
      <w:r w:rsidRPr="0090068A">
        <w:rPr>
          <w:rFonts w:ascii="Palatino Linotype" w:eastAsia="Palatino Linotype" w:hAnsi="Palatino Linotype" w:cs="Palatino Linotype"/>
          <w:i/>
        </w:rPr>
        <w:t xml:space="preserve"> Derecho humano que tutela la privacidad de datos personales en poder de los sujetos obligados y sujetos particulares;</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XLV. Versión pública</w:t>
      </w:r>
      <w:r w:rsidRPr="0090068A">
        <w:rPr>
          <w:rFonts w:ascii="Palatino Linotype" w:eastAsia="Palatino Linotype" w:hAnsi="Palatino Linotype" w:cs="Palatino Linotype"/>
          <w:i/>
        </w:rPr>
        <w:t>: Documento en el que se elimine, suprime o borra la información clasificada como reservada o confidencial para permitir su acceso.”</w:t>
      </w:r>
    </w:p>
    <w:p w:rsidR="00F55121" w:rsidRPr="0090068A" w:rsidRDefault="00F55121">
      <w:pPr>
        <w:spacing w:after="0" w:line="276" w:lineRule="auto"/>
        <w:ind w:left="993" w:right="1041"/>
        <w:jc w:val="both"/>
        <w:rPr>
          <w:rFonts w:ascii="Palatino Linotype" w:eastAsia="Palatino Linotype" w:hAnsi="Palatino Linotype" w:cs="Palatino Linotype"/>
          <w:i/>
        </w:rPr>
      </w:pP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6.</w:t>
      </w:r>
      <w:r w:rsidRPr="0090068A">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55121" w:rsidRPr="0090068A" w:rsidRDefault="00F55121">
      <w:pPr>
        <w:spacing w:after="0" w:line="276" w:lineRule="auto"/>
        <w:ind w:left="993" w:right="1041"/>
        <w:jc w:val="both"/>
        <w:rPr>
          <w:rFonts w:ascii="Palatino Linotype" w:eastAsia="Palatino Linotype" w:hAnsi="Palatino Linotype" w:cs="Palatino Linotype"/>
          <w:i/>
        </w:rPr>
      </w:pP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t> </w:t>
      </w:r>
      <w:r w:rsidRPr="0090068A">
        <w:rPr>
          <w:rFonts w:ascii="Palatino Linotype" w:eastAsia="Palatino Linotype" w:hAnsi="Palatino Linotype" w:cs="Palatino Linotype"/>
          <w:b/>
          <w:i/>
        </w:rPr>
        <w:t>Artículo 49.</w:t>
      </w:r>
      <w:r w:rsidRPr="0090068A">
        <w:rPr>
          <w:rFonts w:ascii="Palatino Linotype" w:eastAsia="Palatino Linotype" w:hAnsi="Palatino Linotype" w:cs="Palatino Linotype"/>
          <w:i/>
        </w:rPr>
        <w:t> Los Comités de Transparencia tendrán las siguientes atribuciones:</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VIII</w:t>
      </w:r>
      <w:r w:rsidRPr="0090068A">
        <w:rPr>
          <w:rFonts w:ascii="Palatino Linotype" w:eastAsia="Palatino Linotype" w:hAnsi="Palatino Linotype" w:cs="Palatino Linotype"/>
          <w:i/>
        </w:rPr>
        <w:t>. Aprobar, modificar o revocar la clasificación de la información;</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Artículo 91. </w:t>
      </w:r>
      <w:r w:rsidRPr="0090068A">
        <w:rPr>
          <w:rFonts w:ascii="Palatino Linotype" w:eastAsia="Palatino Linotype" w:hAnsi="Palatino Linotype" w:cs="Palatino Linotype"/>
          <w:i/>
        </w:rPr>
        <w:t>El acceso a la información pública será restringido excepcionalmente, cuando ésta sea clasificada como reservada o confidencial.</w:t>
      </w:r>
    </w:p>
    <w:p w:rsidR="00F55121" w:rsidRPr="0090068A" w:rsidRDefault="00BB0A51">
      <w:pPr>
        <w:spacing w:after="0" w:line="276" w:lineRule="auto"/>
        <w:ind w:left="993" w:right="1041"/>
        <w:jc w:val="both"/>
        <w:rPr>
          <w:rFonts w:ascii="Palatino Linotype" w:eastAsia="Palatino Linotype" w:hAnsi="Palatino Linotype" w:cs="Palatino Linotype"/>
          <w:b/>
          <w:i/>
        </w:rPr>
      </w:pPr>
      <w:r w:rsidRPr="0090068A">
        <w:rPr>
          <w:rFonts w:ascii="Palatino Linotype" w:eastAsia="Palatino Linotype" w:hAnsi="Palatino Linotype" w:cs="Palatino Linotype"/>
          <w:b/>
          <w:i/>
        </w:rPr>
        <w:t>“Artículo 137.</w:t>
      </w:r>
      <w:r w:rsidRPr="0090068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143</w:t>
      </w:r>
      <w:r w:rsidRPr="0090068A">
        <w:rPr>
          <w:rFonts w:ascii="Palatino Linotype" w:eastAsia="Palatino Linotype" w:hAnsi="Palatino Linotype" w:cs="Palatino Linotype"/>
          <w:i/>
        </w:rPr>
        <w:t>. Para los efectos de esta Ley se considera información confidencial, la clasificada como tal, de manera permanente, por su naturaleza, cuando:</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b/>
          <w:i/>
        </w:rPr>
        <w:t>I.</w:t>
      </w:r>
      <w:r w:rsidRPr="0090068A">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F55121" w:rsidRPr="0090068A" w:rsidRDefault="00F55121">
      <w:pPr>
        <w:spacing w:after="0" w:line="276" w:lineRule="auto"/>
        <w:ind w:left="993" w:right="1041"/>
        <w:jc w:val="both"/>
        <w:rPr>
          <w:rFonts w:ascii="Palatino Linotype" w:eastAsia="Palatino Linotype" w:hAnsi="Palatino Linotype" w:cs="Palatino Linotype"/>
          <w:i/>
        </w:rPr>
      </w:pPr>
    </w:p>
    <w:p w:rsidR="00F55121" w:rsidRPr="0090068A" w:rsidRDefault="00BB0A51">
      <w:pPr>
        <w:spacing w:after="0" w:line="360" w:lineRule="auto"/>
        <w:ind w:right="5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w:t>
      </w:r>
      <w:r w:rsidRPr="0090068A">
        <w:rPr>
          <w:rFonts w:ascii="Palatino Linotype" w:eastAsia="Palatino Linotype" w:hAnsi="Palatino Linotype" w:cs="Palatino Linotype"/>
          <w:sz w:val="24"/>
          <w:szCs w:val="24"/>
        </w:rPr>
        <w:lastRenderedPageBreak/>
        <w:t>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55121" w:rsidRPr="0090068A" w:rsidRDefault="00F55121">
      <w:pPr>
        <w:spacing w:after="0" w:line="360" w:lineRule="auto"/>
        <w:ind w:right="51"/>
        <w:jc w:val="both"/>
        <w:rPr>
          <w:rFonts w:ascii="Palatino Linotype" w:eastAsia="Palatino Linotype" w:hAnsi="Palatino Linotype" w:cs="Palatino Linotype"/>
          <w:sz w:val="24"/>
          <w:szCs w:val="24"/>
        </w:rPr>
      </w:pPr>
    </w:p>
    <w:p w:rsidR="00F55121" w:rsidRPr="0090068A" w:rsidRDefault="00BB0A51">
      <w:pPr>
        <w:spacing w:after="0" w:line="360" w:lineRule="auto"/>
        <w:ind w:right="50"/>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55121" w:rsidRPr="0090068A" w:rsidRDefault="00F55121">
      <w:pPr>
        <w:spacing w:after="0" w:line="360" w:lineRule="auto"/>
        <w:ind w:right="50"/>
        <w:jc w:val="both"/>
        <w:rPr>
          <w:rFonts w:ascii="Palatino Linotype" w:eastAsia="Palatino Linotype" w:hAnsi="Palatino Linotype" w:cs="Palatino Linotype"/>
          <w:sz w:val="24"/>
          <w:szCs w:val="24"/>
        </w:rPr>
      </w:pPr>
    </w:p>
    <w:p w:rsidR="00F55121" w:rsidRPr="0090068A" w:rsidRDefault="00BB0A51">
      <w:pPr>
        <w:spacing w:after="0" w:line="360" w:lineRule="auto"/>
        <w:ind w:right="5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55121" w:rsidRPr="0090068A" w:rsidRDefault="00F55121">
      <w:pPr>
        <w:spacing w:after="0" w:line="360" w:lineRule="auto"/>
        <w:ind w:right="51"/>
        <w:jc w:val="both"/>
        <w:rPr>
          <w:rFonts w:ascii="Palatino Linotype" w:eastAsia="Palatino Linotype" w:hAnsi="Palatino Linotype" w:cs="Palatino Linotype"/>
          <w:sz w:val="24"/>
          <w:szCs w:val="24"/>
        </w:rPr>
      </w:pPr>
    </w:p>
    <w:p w:rsidR="00F55121" w:rsidRPr="0090068A" w:rsidRDefault="00BB0A51">
      <w:pPr>
        <w:spacing w:after="0" w:line="276" w:lineRule="auto"/>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49.</w:t>
      </w:r>
      <w:r w:rsidRPr="0090068A">
        <w:rPr>
          <w:rFonts w:ascii="Palatino Linotype" w:eastAsia="Palatino Linotype" w:hAnsi="Palatino Linotype" w:cs="Palatino Linotype"/>
          <w:i/>
        </w:rPr>
        <w:t xml:space="preserve"> </w:t>
      </w:r>
      <w:r w:rsidRPr="0090068A">
        <w:rPr>
          <w:rFonts w:ascii="Palatino Linotype" w:eastAsia="Palatino Linotype" w:hAnsi="Palatino Linotype" w:cs="Palatino Linotype"/>
          <w:b/>
          <w:i/>
        </w:rPr>
        <w:t>Los Comités de Transparencia</w:t>
      </w:r>
      <w:r w:rsidRPr="0090068A">
        <w:rPr>
          <w:rFonts w:ascii="Palatino Linotype" w:eastAsia="Palatino Linotype" w:hAnsi="Palatino Linotype" w:cs="Palatino Linotype"/>
          <w:i/>
        </w:rPr>
        <w:t xml:space="preserve"> tendrán las siguientes atribuciones:</w:t>
      </w:r>
    </w:p>
    <w:p w:rsidR="00F55121" w:rsidRPr="0090068A" w:rsidRDefault="00BB0A51">
      <w:pPr>
        <w:spacing w:after="0" w:line="276" w:lineRule="auto"/>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b/>
          <w:i/>
        </w:rPr>
        <w:lastRenderedPageBreak/>
        <w:t>VIII. Aprobar, modificar o revocar la clasificación de la información</w:t>
      </w:r>
      <w:r w:rsidRPr="0090068A">
        <w:rPr>
          <w:rFonts w:ascii="Palatino Linotype" w:eastAsia="Palatino Linotype" w:hAnsi="Palatino Linotype" w:cs="Palatino Linotype"/>
          <w:i/>
        </w:rPr>
        <w:t>…”</w:t>
      </w:r>
    </w:p>
    <w:p w:rsidR="00F55121" w:rsidRPr="0090068A" w:rsidRDefault="00BB0A51">
      <w:pPr>
        <w:spacing w:after="0" w:line="276" w:lineRule="auto"/>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Artículo 53.</w:t>
      </w:r>
      <w:r w:rsidRPr="0090068A">
        <w:rPr>
          <w:rFonts w:ascii="Palatino Linotype" w:eastAsia="Palatino Linotype" w:hAnsi="Palatino Linotype" w:cs="Palatino Linotype"/>
          <w:i/>
        </w:rPr>
        <w:t xml:space="preserve"> Las </w:t>
      </w:r>
      <w:r w:rsidRPr="0090068A">
        <w:rPr>
          <w:rFonts w:ascii="Palatino Linotype" w:eastAsia="Palatino Linotype" w:hAnsi="Palatino Linotype" w:cs="Palatino Linotype"/>
          <w:b/>
          <w:i/>
        </w:rPr>
        <w:t>Unidades de Transparencia</w:t>
      </w:r>
      <w:r w:rsidRPr="0090068A">
        <w:rPr>
          <w:rFonts w:ascii="Palatino Linotype" w:eastAsia="Palatino Linotype" w:hAnsi="Palatino Linotype" w:cs="Palatino Linotype"/>
          <w:i/>
        </w:rPr>
        <w:t xml:space="preserve"> tendrán las siguientes </w:t>
      </w:r>
      <w:r w:rsidRPr="0090068A">
        <w:rPr>
          <w:rFonts w:ascii="Palatino Linotype" w:eastAsia="Palatino Linotype" w:hAnsi="Palatino Linotype" w:cs="Palatino Linotype"/>
          <w:b/>
          <w:i/>
        </w:rPr>
        <w:t>funciones</w:t>
      </w:r>
      <w:r w:rsidRPr="0090068A">
        <w:rPr>
          <w:rFonts w:ascii="Palatino Linotype" w:eastAsia="Palatino Linotype" w:hAnsi="Palatino Linotype" w:cs="Palatino Linotype"/>
          <w:i/>
        </w:rPr>
        <w:t>:</w:t>
      </w:r>
    </w:p>
    <w:p w:rsidR="00F55121" w:rsidRPr="0090068A" w:rsidRDefault="00BB0A51">
      <w:pPr>
        <w:spacing w:after="0" w:line="276" w:lineRule="auto"/>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b/>
          <w:i/>
        </w:rPr>
        <w:t>X. Presentar ante el Comité, el proyecto de clasificación de información</w:t>
      </w:r>
      <w:r w:rsidRPr="0090068A">
        <w:rPr>
          <w:rFonts w:ascii="Palatino Linotype" w:eastAsia="Palatino Linotype" w:hAnsi="Palatino Linotype" w:cs="Palatino Linotype"/>
          <w:i/>
        </w:rPr>
        <w:t xml:space="preserve">…” </w:t>
      </w:r>
    </w:p>
    <w:p w:rsidR="00F55121" w:rsidRPr="0090068A" w:rsidRDefault="00BB0A51">
      <w:pPr>
        <w:spacing w:after="0" w:line="276" w:lineRule="auto"/>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b/>
          <w:i/>
        </w:rPr>
        <w:t>“Artículo 59.</w:t>
      </w:r>
      <w:r w:rsidRPr="0090068A">
        <w:rPr>
          <w:rFonts w:ascii="Palatino Linotype" w:eastAsia="Palatino Linotype" w:hAnsi="Palatino Linotype" w:cs="Palatino Linotype"/>
          <w:i/>
        </w:rPr>
        <w:t xml:space="preserve"> Los </w:t>
      </w:r>
      <w:r w:rsidRPr="0090068A">
        <w:rPr>
          <w:rFonts w:ascii="Palatino Linotype" w:eastAsia="Palatino Linotype" w:hAnsi="Palatino Linotype" w:cs="Palatino Linotype"/>
          <w:b/>
          <w:i/>
        </w:rPr>
        <w:t>servidores públicos habilitados</w:t>
      </w:r>
      <w:r w:rsidRPr="0090068A">
        <w:rPr>
          <w:rFonts w:ascii="Palatino Linotype" w:eastAsia="Palatino Linotype" w:hAnsi="Palatino Linotype" w:cs="Palatino Linotype"/>
          <w:i/>
        </w:rPr>
        <w:t xml:space="preserve"> tendrán las </w:t>
      </w:r>
      <w:r w:rsidRPr="0090068A">
        <w:rPr>
          <w:rFonts w:ascii="Palatino Linotype" w:eastAsia="Palatino Linotype" w:hAnsi="Palatino Linotype" w:cs="Palatino Linotype"/>
          <w:b/>
          <w:i/>
        </w:rPr>
        <w:t>funciones</w:t>
      </w:r>
      <w:r w:rsidRPr="0090068A">
        <w:rPr>
          <w:rFonts w:ascii="Palatino Linotype" w:eastAsia="Palatino Linotype" w:hAnsi="Palatino Linotype" w:cs="Palatino Linotype"/>
          <w:i/>
        </w:rPr>
        <w:t xml:space="preserve"> siguientes:</w:t>
      </w:r>
    </w:p>
    <w:p w:rsidR="00F55121" w:rsidRPr="0090068A" w:rsidRDefault="00BB0A51">
      <w:pPr>
        <w:spacing w:after="0" w:line="276" w:lineRule="auto"/>
        <w:ind w:left="992" w:right="1043"/>
        <w:jc w:val="both"/>
        <w:rPr>
          <w:rFonts w:ascii="Palatino Linotype" w:eastAsia="Palatino Linotype" w:hAnsi="Palatino Linotype" w:cs="Palatino Linotype"/>
          <w:i/>
        </w:rPr>
      </w:pPr>
      <w:r w:rsidRPr="0090068A">
        <w:rPr>
          <w:rFonts w:ascii="Palatino Linotype" w:eastAsia="Palatino Linotype" w:hAnsi="Palatino Linotype" w:cs="Palatino Linotype"/>
          <w:b/>
          <w:i/>
        </w:rPr>
        <w:t>V. Integrar y presentar al responsable de la Unidad de Transparencia la propuesta de clasificación de información</w:t>
      </w:r>
      <w:r w:rsidRPr="0090068A">
        <w:rPr>
          <w:rFonts w:ascii="Palatino Linotype" w:eastAsia="Palatino Linotype" w:hAnsi="Palatino Linotype" w:cs="Palatino Linotype"/>
          <w:i/>
        </w:rPr>
        <w:t>, la cual tendrá los fundamentos y argumentos en que se basa dicha propuesta…”</w:t>
      </w:r>
    </w:p>
    <w:p w:rsidR="00F55121" w:rsidRPr="0090068A" w:rsidRDefault="00F55121">
      <w:pPr>
        <w:spacing w:after="0" w:line="276" w:lineRule="auto"/>
        <w:ind w:left="992" w:right="1043"/>
        <w:jc w:val="both"/>
        <w:rPr>
          <w:rFonts w:ascii="Palatino Linotype" w:eastAsia="Palatino Linotype" w:hAnsi="Palatino Linotype" w:cs="Palatino Linotype"/>
          <w:i/>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F55121" w:rsidRPr="0090068A" w:rsidRDefault="00F55121">
      <w:pPr>
        <w:spacing w:after="0" w:line="360" w:lineRule="auto"/>
        <w:jc w:val="both"/>
        <w:rPr>
          <w:rFonts w:ascii="Palatino Linotype" w:eastAsia="Palatino Linotype" w:hAnsi="Palatino Linotype" w:cs="Palatino Linotype"/>
        </w:rPr>
      </w:pPr>
    </w:p>
    <w:p w:rsidR="00F55121" w:rsidRPr="0090068A" w:rsidRDefault="00BB0A51">
      <w:pPr>
        <w:spacing w:after="0" w:line="276" w:lineRule="auto"/>
        <w:ind w:left="993"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t>“</w:t>
      </w:r>
      <w:r w:rsidRPr="0090068A">
        <w:rPr>
          <w:rFonts w:ascii="Palatino Linotype" w:eastAsia="Palatino Linotype" w:hAnsi="Palatino Linotype" w:cs="Palatino Linotype"/>
          <w:b/>
          <w:i/>
        </w:rPr>
        <w:t>Artículo 149.</w:t>
      </w:r>
      <w:r w:rsidRPr="0090068A">
        <w:rPr>
          <w:rFonts w:ascii="Palatino Linotype" w:eastAsia="Palatino Linotype" w:hAnsi="Palatino Linotype" w:cs="Palatino Linotype"/>
          <w:i/>
        </w:rPr>
        <w:t xml:space="preserve"> El </w:t>
      </w:r>
      <w:r w:rsidRPr="0090068A">
        <w:rPr>
          <w:rFonts w:ascii="Palatino Linotype" w:eastAsia="Palatino Linotype" w:hAnsi="Palatino Linotype" w:cs="Palatino Linotype"/>
          <w:b/>
          <w:i/>
        </w:rPr>
        <w:t>acuerdo que clasifique la información como confidencial</w:t>
      </w:r>
      <w:r w:rsidRPr="0090068A">
        <w:rPr>
          <w:rFonts w:ascii="Palatino Linotype" w:eastAsia="Palatino Linotype" w:hAnsi="Palatino Linotype" w:cs="Palatino Linotype"/>
          <w:i/>
        </w:rPr>
        <w:t xml:space="preserve"> deberá contener un razonamiento lógico en el que demuestre que </w:t>
      </w:r>
      <w:r w:rsidRPr="0090068A">
        <w:rPr>
          <w:rFonts w:ascii="Palatino Linotype" w:eastAsia="Palatino Linotype" w:hAnsi="Palatino Linotype" w:cs="Palatino Linotype"/>
          <w:i/>
        </w:rPr>
        <w:lastRenderedPageBreak/>
        <w:t>la información se encuentra en alguna o algunas de las hipótesis previstas en la presente Ley.”(Sic)</w:t>
      </w:r>
    </w:p>
    <w:p w:rsidR="00F55121" w:rsidRPr="0090068A" w:rsidRDefault="00F55121">
      <w:pPr>
        <w:spacing w:after="0" w:line="360" w:lineRule="auto"/>
        <w:ind w:left="993" w:right="1041"/>
        <w:jc w:val="both"/>
        <w:rPr>
          <w:rFonts w:ascii="Palatino Linotype" w:eastAsia="Palatino Linotype" w:hAnsi="Palatino Linotype" w:cs="Palatino Linotype"/>
          <w:i/>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0068A">
        <w:rPr>
          <w:rFonts w:ascii="Palatino Linotype" w:eastAsia="Palatino Linotype" w:hAnsi="Palatino Linotype" w:cs="Palatino Linotype"/>
          <w:b/>
          <w:sz w:val="24"/>
          <w:szCs w:val="24"/>
        </w:rPr>
        <w:t>Registro Federal de Contribuyentes</w:t>
      </w:r>
      <w:r w:rsidRPr="0090068A">
        <w:rPr>
          <w:rFonts w:ascii="Palatino Linotype" w:eastAsia="Palatino Linotype" w:hAnsi="Palatino Linotype" w:cs="Palatino Linotype"/>
          <w:sz w:val="24"/>
          <w:szCs w:val="24"/>
        </w:rPr>
        <w:t xml:space="preserve"> (RFC) y la </w:t>
      </w:r>
      <w:r w:rsidRPr="0090068A">
        <w:rPr>
          <w:rFonts w:ascii="Palatino Linotype" w:eastAsia="Palatino Linotype" w:hAnsi="Palatino Linotype" w:cs="Palatino Linotype"/>
          <w:b/>
          <w:sz w:val="24"/>
          <w:szCs w:val="24"/>
        </w:rPr>
        <w:t>Clave Única de Registro de Población</w:t>
      </w:r>
      <w:r w:rsidRPr="0090068A">
        <w:rPr>
          <w:rFonts w:ascii="Palatino Linotype" w:eastAsia="Palatino Linotype" w:hAnsi="Palatino Linotype" w:cs="Palatino Linotype"/>
          <w:sz w:val="24"/>
          <w:szCs w:val="24"/>
        </w:rPr>
        <w:t xml:space="preserve"> (CURP). </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Por cuanto hace al </w:t>
      </w:r>
      <w:r w:rsidRPr="0090068A">
        <w:rPr>
          <w:rFonts w:ascii="Palatino Linotype" w:eastAsia="Palatino Linotype" w:hAnsi="Palatino Linotype" w:cs="Palatino Linotype"/>
          <w:b/>
          <w:sz w:val="24"/>
          <w:szCs w:val="24"/>
        </w:rPr>
        <w:t>Registro Federal de Contribuyentes (RFC),</w:t>
      </w:r>
      <w:r w:rsidRPr="0090068A">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90068A">
        <w:rPr>
          <w:rFonts w:ascii="Palatino Linotype" w:eastAsia="Palatino Linotype" w:hAnsi="Palatino Linotype" w:cs="Palatino Linotype"/>
          <w:sz w:val="24"/>
          <w:szCs w:val="24"/>
        </w:rPr>
        <w:t>homoclave</w:t>
      </w:r>
      <w:proofErr w:type="spellEnd"/>
      <w:r w:rsidRPr="0090068A">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rsidR="00F55121" w:rsidRPr="0090068A" w:rsidRDefault="00F55121">
      <w:pPr>
        <w:spacing w:after="0" w:line="360" w:lineRule="auto"/>
        <w:ind w:left="851" w:right="900"/>
        <w:jc w:val="both"/>
        <w:rPr>
          <w:rFonts w:ascii="Palatino Linotype" w:eastAsia="Palatino Linotype" w:hAnsi="Palatino Linotype" w:cs="Palatino Linotype"/>
          <w:b/>
          <w:i/>
        </w:rPr>
      </w:pPr>
    </w:p>
    <w:p w:rsidR="00F55121" w:rsidRPr="0090068A" w:rsidRDefault="00BB0A51">
      <w:pPr>
        <w:spacing w:after="0" w:line="276" w:lineRule="auto"/>
        <w:ind w:left="851" w:right="900"/>
        <w:jc w:val="both"/>
        <w:rPr>
          <w:rFonts w:ascii="Palatino Linotype" w:eastAsia="Palatino Linotype" w:hAnsi="Palatino Linotype" w:cs="Palatino Linotype"/>
          <w:i/>
        </w:rPr>
      </w:pPr>
      <w:r w:rsidRPr="0090068A">
        <w:rPr>
          <w:rFonts w:ascii="Palatino Linotype" w:eastAsia="Palatino Linotype" w:hAnsi="Palatino Linotype" w:cs="Palatino Linotype"/>
          <w:b/>
          <w:i/>
        </w:rPr>
        <w:t>“Registro Federal de Contribuyentes (RFC) de personas físicas</w:t>
      </w:r>
      <w:r w:rsidRPr="0090068A">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F55121" w:rsidRPr="0090068A" w:rsidRDefault="00F55121">
      <w:pPr>
        <w:spacing w:after="0" w:line="360" w:lineRule="auto"/>
        <w:jc w:val="both"/>
        <w:rPr>
          <w:rFonts w:ascii="Palatino Linotype" w:eastAsia="Palatino Linotype" w:hAnsi="Palatino Linotype" w:cs="Palatino Linotype"/>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90068A">
        <w:rPr>
          <w:rFonts w:ascii="Palatino Linotype" w:eastAsia="Palatino Linotype" w:hAnsi="Palatino Linotype" w:cs="Palatino Linotype"/>
          <w:sz w:val="24"/>
          <w:szCs w:val="24"/>
        </w:rPr>
        <w:t>homoclave</w:t>
      </w:r>
      <w:proofErr w:type="spellEnd"/>
      <w:r w:rsidRPr="0090068A">
        <w:rPr>
          <w:rFonts w:ascii="Palatino Linotype" w:eastAsia="Palatino Linotype" w:hAnsi="Palatino Linotype" w:cs="Palatino Linotype"/>
          <w:sz w:val="24"/>
          <w:szCs w:val="24"/>
        </w:rPr>
        <w:t xml:space="preserve">, la cual es única e irrepetible y determina la identificación de dicha </w:t>
      </w:r>
      <w:r w:rsidRPr="0090068A">
        <w:rPr>
          <w:rFonts w:ascii="Palatino Linotype" w:eastAsia="Palatino Linotype" w:hAnsi="Palatino Linotype" w:cs="Palatino Linotype"/>
          <w:sz w:val="24"/>
          <w:szCs w:val="24"/>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De igual manera la </w:t>
      </w:r>
      <w:r w:rsidRPr="0090068A">
        <w:rPr>
          <w:rFonts w:ascii="Palatino Linotype" w:eastAsia="Palatino Linotype" w:hAnsi="Palatino Linotype" w:cs="Palatino Linotype"/>
          <w:b/>
          <w:sz w:val="24"/>
          <w:szCs w:val="24"/>
        </w:rPr>
        <w:t>Clave Única de Registro de Población (CURP)</w:t>
      </w:r>
      <w:r w:rsidRPr="0090068A">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90068A">
        <w:rPr>
          <w:rFonts w:ascii="Palatino Linotype" w:eastAsia="Palatino Linotype" w:hAnsi="Palatino Linotype" w:cs="Palatino Linotype"/>
          <w:b/>
          <w:sz w:val="24"/>
          <w:szCs w:val="24"/>
        </w:rPr>
        <w:t xml:space="preserve">, conforme al </w:t>
      </w:r>
      <w:r w:rsidRPr="0090068A">
        <w:rPr>
          <w:rFonts w:ascii="Palatino Linotype" w:eastAsia="Palatino Linotype" w:hAnsi="Palatino Linotype" w:cs="Palatino Linotype"/>
          <w:sz w:val="24"/>
          <w:szCs w:val="24"/>
        </w:rPr>
        <w:t xml:space="preserve">criterio 18/17, el cual refiere: </w:t>
      </w:r>
    </w:p>
    <w:p w:rsidR="00F55121" w:rsidRPr="0090068A" w:rsidRDefault="00F55121">
      <w:pPr>
        <w:spacing w:after="0" w:line="360" w:lineRule="auto"/>
        <w:ind w:left="851" w:right="851"/>
        <w:jc w:val="both"/>
        <w:rPr>
          <w:rFonts w:ascii="Palatino Linotype" w:eastAsia="Palatino Linotype" w:hAnsi="Palatino Linotype" w:cs="Palatino Linotype"/>
          <w:b/>
          <w:i/>
        </w:rPr>
      </w:pP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“Clave Única de Registro de Población (CURP). </w:t>
      </w:r>
      <w:r w:rsidRPr="0090068A">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55121" w:rsidRPr="0090068A" w:rsidRDefault="00F55121">
      <w:pPr>
        <w:spacing w:after="0" w:line="360" w:lineRule="auto"/>
        <w:jc w:val="both"/>
        <w:rPr>
          <w:rFonts w:ascii="Palatino Linotype" w:eastAsia="Palatino Linotype" w:hAnsi="Palatino Linotype" w:cs="Palatino Linotype"/>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Sirven de sustento a lo anterior, las tesis jurisprudenciales </w:t>
      </w:r>
      <w:r w:rsidRPr="0090068A">
        <w:rPr>
          <w:rFonts w:ascii="Palatino Linotype" w:eastAsia="Palatino Linotype" w:hAnsi="Palatino Linotype" w:cs="Palatino Linotype"/>
          <w:i/>
          <w:sz w:val="24"/>
          <w:szCs w:val="24"/>
        </w:rPr>
        <w:t xml:space="preserve">P. LX/2000 </w:t>
      </w:r>
      <w:r w:rsidRPr="0090068A">
        <w:rPr>
          <w:rFonts w:ascii="Palatino Linotype" w:eastAsia="Palatino Linotype" w:hAnsi="Palatino Linotype" w:cs="Palatino Linotype"/>
          <w:sz w:val="24"/>
          <w:szCs w:val="24"/>
        </w:rPr>
        <w:t xml:space="preserve">y </w:t>
      </w:r>
      <w:r w:rsidRPr="0090068A">
        <w:rPr>
          <w:rFonts w:ascii="Palatino Linotype" w:eastAsia="Palatino Linotype" w:hAnsi="Palatino Linotype" w:cs="Palatino Linotype"/>
          <w:i/>
          <w:sz w:val="24"/>
          <w:szCs w:val="24"/>
        </w:rPr>
        <w:t>2a. XLIII/2008</w:t>
      </w:r>
      <w:r w:rsidRPr="0090068A">
        <w:rPr>
          <w:rFonts w:ascii="Tahoma" w:eastAsia="Tahoma" w:hAnsi="Tahoma" w:cs="Tahoma"/>
          <w:b/>
          <w:sz w:val="20"/>
          <w:szCs w:val="20"/>
        </w:rPr>
        <w:t xml:space="preserve"> </w:t>
      </w:r>
      <w:r w:rsidRPr="0090068A">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90068A">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0068A">
        <w:rPr>
          <w:rFonts w:ascii="Palatino Linotype" w:eastAsia="Palatino Linotype" w:hAnsi="Palatino Linotype" w:cs="Palatino Linotype"/>
          <w:b/>
          <w:i/>
        </w:rPr>
        <w:t xml:space="preserve">restringen el acceso a la información en esta materia, en </w:t>
      </w:r>
      <w:r w:rsidRPr="0090068A">
        <w:rPr>
          <w:rFonts w:ascii="Palatino Linotype" w:eastAsia="Palatino Linotype" w:hAnsi="Palatino Linotype" w:cs="Palatino Linotype"/>
          <w:b/>
          <w:i/>
        </w:rPr>
        <w:lastRenderedPageBreak/>
        <w:t>razón de que su conocimiento público puede generar daños a los intereses nacionales y, por el otro, sancionan la inobservancia de esa reserva</w:t>
      </w:r>
      <w:r w:rsidRPr="0090068A">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90068A">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90068A">
        <w:rPr>
          <w:rFonts w:ascii="Palatino Linotype" w:eastAsia="Palatino Linotype" w:hAnsi="Palatino Linotype" w:cs="Palatino Linotype"/>
          <w:i/>
        </w:rPr>
        <w:t>.”</w:t>
      </w:r>
    </w:p>
    <w:p w:rsidR="00F55121" w:rsidRPr="0090068A" w:rsidRDefault="00F55121">
      <w:pPr>
        <w:spacing w:after="0" w:line="276" w:lineRule="auto"/>
        <w:ind w:left="851" w:right="851"/>
        <w:jc w:val="both"/>
        <w:rPr>
          <w:rFonts w:ascii="Palatino Linotype" w:eastAsia="Palatino Linotype" w:hAnsi="Palatino Linotype" w:cs="Palatino Linotype"/>
          <w:i/>
        </w:rPr>
      </w:pPr>
    </w:p>
    <w:p w:rsidR="00F55121" w:rsidRPr="0090068A" w:rsidRDefault="00BB0A51">
      <w:pPr>
        <w:spacing w:after="0" w:line="276" w:lineRule="auto"/>
        <w:ind w:left="851" w:right="851"/>
        <w:jc w:val="both"/>
        <w:rPr>
          <w:rFonts w:ascii="Palatino Linotype" w:eastAsia="Palatino Linotype" w:hAnsi="Palatino Linotype" w:cs="Palatino Linotype"/>
          <w:i/>
        </w:rPr>
      </w:pPr>
      <w:r w:rsidRPr="0090068A">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90068A">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0068A">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0068A">
        <w:rPr>
          <w:rFonts w:ascii="Palatino Linotype" w:eastAsia="Palatino Linotype" w:hAnsi="Palatino Linotype" w:cs="Palatino Linotype"/>
          <w:i/>
        </w:rPr>
        <w:t xml:space="preserve"> la cual debe ser adecuada y necesaria para alcanzar el fin perseguido, de manera que las ventajas obtenidas con la reserva compensen el </w:t>
      </w:r>
      <w:r w:rsidRPr="0090068A">
        <w:rPr>
          <w:rFonts w:ascii="Palatino Linotype" w:eastAsia="Palatino Linotype" w:hAnsi="Palatino Linotype" w:cs="Palatino Linotype"/>
          <w:i/>
        </w:rPr>
        <w:lastRenderedPageBreak/>
        <w:t>sacrificio que ésta implique para los titulares de la garantía individual mencionada o para la sociedad en general.”</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93"/>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Al respecto, es de señalar que </w:t>
      </w:r>
      <w:r w:rsidRPr="0090068A">
        <w:rPr>
          <w:rFonts w:ascii="Palatino Linotype" w:eastAsia="Palatino Linotype" w:hAnsi="Palatino Linotype" w:cs="Palatino Linotype"/>
          <w:b/>
          <w:sz w:val="24"/>
          <w:szCs w:val="24"/>
        </w:rPr>
        <w:t xml:space="preserve">la firma </w:t>
      </w:r>
      <w:r w:rsidRPr="0090068A">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F55121" w:rsidRPr="0090068A" w:rsidRDefault="00F55121">
      <w:pPr>
        <w:spacing w:after="0" w:line="360" w:lineRule="auto"/>
        <w:ind w:right="-93"/>
        <w:jc w:val="both"/>
        <w:rPr>
          <w:rFonts w:ascii="Palatino Linotype" w:eastAsia="Palatino Linotype" w:hAnsi="Palatino Linotype" w:cs="Palatino Linotype"/>
          <w:sz w:val="24"/>
          <w:szCs w:val="24"/>
        </w:rPr>
      </w:pPr>
    </w:p>
    <w:p w:rsidR="00F55121" w:rsidRPr="0090068A" w:rsidRDefault="00BB0A51">
      <w:pPr>
        <w:spacing w:after="0" w:line="360" w:lineRule="auto"/>
        <w:ind w:right="-9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F55121" w:rsidRPr="0090068A" w:rsidRDefault="00F55121">
      <w:pPr>
        <w:spacing w:after="0" w:line="360" w:lineRule="auto"/>
        <w:ind w:right="-91"/>
        <w:jc w:val="both"/>
        <w:rPr>
          <w:rFonts w:ascii="Palatino Linotype" w:eastAsia="Palatino Linotype" w:hAnsi="Palatino Linotype" w:cs="Palatino Linotype"/>
          <w:sz w:val="24"/>
          <w:szCs w:val="24"/>
        </w:rPr>
      </w:pPr>
    </w:p>
    <w:p w:rsidR="00F55121" w:rsidRPr="0090068A" w:rsidRDefault="00BB0A51">
      <w:pPr>
        <w:spacing w:after="0" w:line="360" w:lineRule="auto"/>
        <w:ind w:right="-9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F55121" w:rsidRPr="0090068A" w:rsidRDefault="00F55121">
      <w:pPr>
        <w:spacing w:after="0" w:line="360" w:lineRule="auto"/>
        <w:ind w:right="-93"/>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276" w:lineRule="auto"/>
        <w:ind w:left="1134" w:right="1041"/>
        <w:jc w:val="both"/>
        <w:rPr>
          <w:rFonts w:ascii="Palatino Linotype" w:eastAsia="Palatino Linotype" w:hAnsi="Palatino Linotype" w:cs="Palatino Linotype"/>
          <w:i/>
        </w:rPr>
      </w:pPr>
      <w:r w:rsidRPr="0090068A">
        <w:rPr>
          <w:rFonts w:ascii="Palatino Linotype" w:eastAsia="Palatino Linotype" w:hAnsi="Palatino Linotype" w:cs="Palatino Linotype"/>
          <w:i/>
        </w:rPr>
        <w:lastRenderedPageBreak/>
        <w:t>“</w:t>
      </w:r>
      <w:r w:rsidRPr="0090068A">
        <w:rPr>
          <w:rFonts w:ascii="Palatino Linotype" w:eastAsia="Palatino Linotype" w:hAnsi="Palatino Linotype" w:cs="Palatino Linotype"/>
          <w:b/>
          <w:i/>
        </w:rPr>
        <w:t>FIRMA Y RÚBRICA DE SERVIDORES PÚBLICOS.</w:t>
      </w:r>
      <w:r w:rsidRPr="0090068A">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F55121" w:rsidRPr="0090068A" w:rsidRDefault="00F55121">
      <w:pPr>
        <w:spacing w:after="0" w:line="276" w:lineRule="auto"/>
        <w:ind w:left="1134" w:right="1041"/>
        <w:jc w:val="both"/>
        <w:rPr>
          <w:rFonts w:ascii="Palatino Linotype" w:eastAsia="Palatino Linotype" w:hAnsi="Palatino Linotype" w:cs="Palatino Linotype"/>
          <w:i/>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Al respecto, se destaca que la versión pública que elabore 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hd w:val="clear" w:color="auto" w:fill="FFFFFF"/>
        <w:spacing w:after="0" w:line="360" w:lineRule="auto"/>
        <w:ind w:right="51"/>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a testar, suprimir o eliminar datos de dicho soporte documental, ya que no hacerlo implica que lo entregado no es legal ni formalmente una versión </w:t>
      </w:r>
      <w:r w:rsidRPr="0090068A">
        <w:rPr>
          <w:rFonts w:ascii="Palatino Linotype" w:eastAsia="Palatino Linotype" w:hAnsi="Palatino Linotype" w:cs="Palatino Linotype"/>
          <w:sz w:val="24"/>
          <w:szCs w:val="24"/>
        </w:rPr>
        <w:lastRenderedPageBreak/>
        <w:t>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w:t>
      </w:r>
      <w:r w:rsidRPr="0090068A">
        <w:rPr>
          <w:rFonts w:ascii="Palatino Linotype" w:eastAsia="Palatino Linotype" w:hAnsi="Palatino Linotype" w:cs="Palatino Linotype"/>
          <w:b/>
          <w:sz w:val="24"/>
          <w:szCs w:val="24"/>
        </w:rPr>
        <w:t xml:space="preserve"> LA PARTE RECURRENTE.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90068A">
        <w:rPr>
          <w:rFonts w:ascii="Palatino Linotype" w:eastAsia="Palatino Linotype" w:hAnsi="Palatino Linotype" w:cs="Palatino Linotype"/>
          <w:sz w:val="24"/>
          <w:szCs w:val="24"/>
        </w:rPr>
        <w:lastRenderedPageBreak/>
        <w:t>generarán, en su caso, versiones públicas de expedientes o documentos que contengan partes o secciones clasificadas.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“Quincuagésimo sexto</w:t>
      </w:r>
      <w:r w:rsidRPr="0090068A">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55121" w:rsidRPr="0090068A" w:rsidRDefault="00BB0A51">
      <w:pPr>
        <w:spacing w:before="120"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F55121" w:rsidRPr="0090068A" w:rsidRDefault="00BB0A51">
      <w:pPr>
        <w:spacing w:before="120"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F55121" w:rsidRPr="0090068A" w:rsidRDefault="00BB0A51">
      <w:pPr>
        <w:spacing w:before="120"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F55121" w:rsidRPr="0090068A" w:rsidRDefault="00BB0A51">
      <w:pPr>
        <w:spacing w:before="120"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F55121" w:rsidRPr="0090068A" w:rsidRDefault="00BB0A51">
      <w:pPr>
        <w:spacing w:before="120" w:after="120"/>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F55121" w:rsidRPr="0090068A" w:rsidRDefault="00BB0A51">
      <w:pPr>
        <w:spacing w:before="120" w:after="0" w:line="360" w:lineRule="auto"/>
        <w:ind w:left="851" w:right="902"/>
        <w:jc w:val="both"/>
        <w:rPr>
          <w:rFonts w:ascii="Palatino Linotype" w:eastAsia="Palatino Linotype" w:hAnsi="Palatino Linotype" w:cs="Palatino Linotype"/>
          <w:i/>
        </w:rPr>
      </w:pPr>
      <w:r w:rsidRPr="0090068A">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lastRenderedPageBreak/>
        <w:t xml:space="preserve">Por lo tanto, </w:t>
      </w:r>
      <w:r w:rsidRPr="0090068A">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90068A">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24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90068A" w:rsidRPr="0090068A">
        <w:tc>
          <w:tcPr>
            <w:tcW w:w="4414" w:type="dxa"/>
            <w:gridSpan w:val="2"/>
          </w:tcPr>
          <w:p w:rsidR="00F55121" w:rsidRPr="0090068A" w:rsidRDefault="00BB0A51">
            <w:pPr>
              <w:jc w:val="center"/>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Parcial</w:t>
            </w:r>
          </w:p>
        </w:tc>
        <w:tc>
          <w:tcPr>
            <w:tcW w:w="4414" w:type="dxa"/>
            <w:gridSpan w:val="2"/>
          </w:tcPr>
          <w:p w:rsidR="00F55121" w:rsidRPr="0090068A" w:rsidRDefault="00BB0A51">
            <w:pPr>
              <w:jc w:val="center"/>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Total</w:t>
            </w:r>
          </w:p>
        </w:tc>
      </w:tr>
      <w:tr w:rsidR="0090068A" w:rsidRPr="0090068A">
        <w:tc>
          <w:tcPr>
            <w:tcW w:w="846" w:type="dxa"/>
          </w:tcPr>
          <w:p w:rsidR="00F55121" w:rsidRPr="0090068A" w:rsidRDefault="00BB0A51">
            <w:pPr>
              <w:jc w:val="center"/>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Concepto</w:t>
            </w:r>
          </w:p>
        </w:tc>
        <w:tc>
          <w:tcPr>
            <w:tcW w:w="3568" w:type="dxa"/>
          </w:tcPr>
          <w:p w:rsidR="00F55121" w:rsidRPr="0090068A" w:rsidRDefault="00BB0A51">
            <w:pPr>
              <w:jc w:val="center"/>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Dónde</w:t>
            </w:r>
          </w:p>
        </w:tc>
        <w:tc>
          <w:tcPr>
            <w:tcW w:w="968" w:type="dxa"/>
          </w:tcPr>
          <w:p w:rsidR="00F55121" w:rsidRPr="0090068A" w:rsidRDefault="00BB0A51">
            <w:pPr>
              <w:jc w:val="center"/>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Concepto</w:t>
            </w:r>
          </w:p>
        </w:tc>
        <w:tc>
          <w:tcPr>
            <w:tcW w:w="3446" w:type="dxa"/>
          </w:tcPr>
          <w:p w:rsidR="00F55121" w:rsidRPr="0090068A" w:rsidRDefault="00BB0A51">
            <w:pPr>
              <w:jc w:val="center"/>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Dónde</w:t>
            </w:r>
          </w:p>
        </w:tc>
      </w:tr>
      <w:tr w:rsidR="0090068A" w:rsidRPr="0090068A">
        <w:tc>
          <w:tcPr>
            <w:tcW w:w="8828" w:type="dxa"/>
            <w:gridSpan w:val="4"/>
          </w:tcPr>
          <w:p w:rsidR="00F55121" w:rsidRPr="0090068A" w:rsidRDefault="00BB0A51">
            <w:pPr>
              <w:jc w:val="center"/>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Sello oficial o logotipo del sujeto obligado</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Fecha de clasificación</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Fecha de clasificación</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Área</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señalará el nombre del área del cual es titular quien clasifica.</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Área</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señalará el nombre del área de la cual es el titular quien clasifica.</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Información reservada</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90068A">
              <w:rPr>
                <w:rFonts w:ascii="Palatino Linotype" w:eastAsia="Palatino Linotype" w:hAnsi="Palatino Linotype" w:cs="Palatino Linotype"/>
                <w:sz w:val="12"/>
                <w:szCs w:val="12"/>
              </w:rPr>
              <w:t>anotarán</w:t>
            </w:r>
            <w:proofErr w:type="gramEnd"/>
            <w:r w:rsidRPr="0090068A">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Reservado</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Leyenda de información RESERVADA.</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Fundamento legal</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Periodo de reserva</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lastRenderedPageBreak/>
              <w:t>Ampliación del periodo de reserva</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Fundamento legal</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Confidencial</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Ampliación del periodo de reserva</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Fundamento legal</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Confidencial</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Leyenda de información CONFIDENCIAL.</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Rúbrica del titular del área</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Rúbrica autógrafa de quien clasifica.</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Fundamento legal</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Fecha de desclasificación</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anotará la fecha en que se desclasifica el documento.</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Rúbrica del titular del área</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Rúbrica autógrafa de quien clasifica.</w:t>
            </w:r>
          </w:p>
        </w:tc>
      </w:tr>
      <w:tr w:rsidR="0090068A" w:rsidRPr="0090068A">
        <w:tc>
          <w:tcPr>
            <w:tcW w:w="8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Rúbrica y cargo del servidor público</w:t>
            </w:r>
          </w:p>
        </w:tc>
        <w:tc>
          <w:tcPr>
            <w:tcW w:w="3568"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Rúbrica autógrafa de quien desclasifica.</w:t>
            </w: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Fecha de desclasificación</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Se anotará la fecha en que se desclasifica.</w:t>
            </w:r>
          </w:p>
        </w:tc>
      </w:tr>
      <w:tr w:rsidR="0090068A" w:rsidRPr="0090068A">
        <w:tc>
          <w:tcPr>
            <w:tcW w:w="846" w:type="dxa"/>
          </w:tcPr>
          <w:p w:rsidR="00F55121" w:rsidRPr="0090068A" w:rsidRDefault="00F55121">
            <w:pPr>
              <w:jc w:val="both"/>
              <w:rPr>
                <w:rFonts w:ascii="Palatino Linotype" w:eastAsia="Palatino Linotype" w:hAnsi="Palatino Linotype" w:cs="Palatino Linotype"/>
                <w:sz w:val="12"/>
                <w:szCs w:val="12"/>
              </w:rPr>
            </w:pPr>
          </w:p>
        </w:tc>
        <w:tc>
          <w:tcPr>
            <w:tcW w:w="3568" w:type="dxa"/>
          </w:tcPr>
          <w:p w:rsidR="00F55121" w:rsidRPr="0090068A" w:rsidRDefault="00F55121">
            <w:pPr>
              <w:jc w:val="both"/>
              <w:rPr>
                <w:rFonts w:ascii="Palatino Linotype" w:eastAsia="Palatino Linotype" w:hAnsi="Palatino Linotype" w:cs="Palatino Linotype"/>
                <w:sz w:val="12"/>
                <w:szCs w:val="12"/>
              </w:rPr>
            </w:pP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Partes o secciones reservadas o confidenciales</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90068A" w:rsidRPr="0090068A">
        <w:tc>
          <w:tcPr>
            <w:tcW w:w="846" w:type="dxa"/>
          </w:tcPr>
          <w:p w:rsidR="00F55121" w:rsidRPr="0090068A" w:rsidRDefault="00F55121">
            <w:pPr>
              <w:jc w:val="both"/>
              <w:rPr>
                <w:rFonts w:ascii="Palatino Linotype" w:eastAsia="Palatino Linotype" w:hAnsi="Palatino Linotype" w:cs="Palatino Linotype"/>
                <w:sz w:val="12"/>
                <w:szCs w:val="12"/>
              </w:rPr>
            </w:pPr>
          </w:p>
        </w:tc>
        <w:tc>
          <w:tcPr>
            <w:tcW w:w="3568" w:type="dxa"/>
          </w:tcPr>
          <w:p w:rsidR="00F55121" w:rsidRPr="0090068A" w:rsidRDefault="00F55121">
            <w:pPr>
              <w:jc w:val="both"/>
              <w:rPr>
                <w:rFonts w:ascii="Palatino Linotype" w:eastAsia="Palatino Linotype" w:hAnsi="Palatino Linotype" w:cs="Palatino Linotype"/>
                <w:sz w:val="12"/>
                <w:szCs w:val="12"/>
              </w:rPr>
            </w:pPr>
          </w:p>
        </w:tc>
        <w:tc>
          <w:tcPr>
            <w:tcW w:w="968" w:type="dxa"/>
          </w:tcPr>
          <w:p w:rsidR="00F55121" w:rsidRPr="0090068A" w:rsidRDefault="00BB0A51">
            <w:pPr>
              <w:jc w:val="both"/>
              <w:rPr>
                <w:rFonts w:ascii="Palatino Linotype" w:eastAsia="Palatino Linotype" w:hAnsi="Palatino Linotype" w:cs="Palatino Linotype"/>
                <w:b/>
                <w:sz w:val="12"/>
                <w:szCs w:val="12"/>
              </w:rPr>
            </w:pPr>
            <w:r w:rsidRPr="0090068A">
              <w:rPr>
                <w:rFonts w:ascii="Palatino Linotype" w:eastAsia="Palatino Linotype" w:hAnsi="Palatino Linotype" w:cs="Palatino Linotype"/>
                <w:b/>
                <w:sz w:val="12"/>
                <w:szCs w:val="12"/>
              </w:rPr>
              <w:t>Rúbrica y cargo del servidor público</w:t>
            </w:r>
          </w:p>
        </w:tc>
        <w:tc>
          <w:tcPr>
            <w:tcW w:w="3446" w:type="dxa"/>
          </w:tcPr>
          <w:p w:rsidR="00F55121" w:rsidRPr="0090068A" w:rsidRDefault="00BB0A51">
            <w:pPr>
              <w:jc w:val="both"/>
              <w:rPr>
                <w:rFonts w:ascii="Palatino Linotype" w:eastAsia="Palatino Linotype" w:hAnsi="Palatino Linotype" w:cs="Palatino Linotype"/>
                <w:sz w:val="12"/>
                <w:szCs w:val="12"/>
              </w:rPr>
            </w:pPr>
            <w:r w:rsidRPr="0090068A">
              <w:rPr>
                <w:rFonts w:ascii="Palatino Linotype" w:eastAsia="Palatino Linotype" w:hAnsi="Palatino Linotype" w:cs="Palatino Linotype"/>
                <w:sz w:val="12"/>
                <w:szCs w:val="12"/>
              </w:rPr>
              <w:t>Rúbrica autógrafa de quien desclasifica.</w:t>
            </w:r>
          </w:p>
        </w:tc>
      </w:tr>
    </w:tbl>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93"/>
        <w:jc w:val="center"/>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t>R E S U E L V E:</w:t>
      </w:r>
    </w:p>
    <w:p w:rsidR="00F55121" w:rsidRPr="0090068A" w:rsidRDefault="00F55121">
      <w:pPr>
        <w:spacing w:after="0" w:line="360" w:lineRule="auto"/>
        <w:ind w:left="1080"/>
        <w:rPr>
          <w:rFonts w:ascii="Palatino Linotype" w:eastAsia="Palatino Linotype" w:hAnsi="Palatino Linotype" w:cs="Palatino Linotype"/>
          <w:b/>
          <w:sz w:val="24"/>
          <w:szCs w:val="24"/>
        </w:rPr>
      </w:pPr>
    </w:p>
    <w:p w:rsidR="00F55121" w:rsidRPr="0090068A" w:rsidRDefault="00BB0A51">
      <w:pPr>
        <w:spacing w:after="0" w:line="360" w:lineRule="auto"/>
        <w:jc w:val="both"/>
        <w:rPr>
          <w:rFonts w:ascii="Palatino Linotype" w:eastAsia="Palatino Linotype" w:hAnsi="Palatino Linotype" w:cs="Palatino Linotype"/>
          <w:b/>
          <w:sz w:val="24"/>
          <w:szCs w:val="24"/>
        </w:rPr>
      </w:pPr>
      <w:r w:rsidRPr="0090068A">
        <w:rPr>
          <w:rFonts w:ascii="Palatino Linotype" w:eastAsia="Palatino Linotype" w:hAnsi="Palatino Linotype" w:cs="Palatino Linotype"/>
          <w:b/>
          <w:sz w:val="24"/>
          <w:szCs w:val="24"/>
        </w:rPr>
        <w:lastRenderedPageBreak/>
        <w:t xml:space="preserve">PRIMERO. </w:t>
      </w:r>
      <w:r w:rsidRPr="0090068A">
        <w:rPr>
          <w:rFonts w:ascii="Palatino Linotype" w:eastAsia="Palatino Linotype" w:hAnsi="Palatino Linotype" w:cs="Palatino Linotype"/>
          <w:sz w:val="24"/>
          <w:szCs w:val="24"/>
        </w:rPr>
        <w:t xml:space="preserve">Resultan fundados los motivos de inconformidad hechos valer por el </w:t>
      </w:r>
      <w:r w:rsidRPr="0090068A">
        <w:rPr>
          <w:rFonts w:ascii="Palatino Linotype" w:eastAsia="Palatino Linotype" w:hAnsi="Palatino Linotype" w:cs="Palatino Linotype"/>
          <w:b/>
          <w:sz w:val="24"/>
          <w:szCs w:val="24"/>
        </w:rPr>
        <w:t>RECURRENTE</w:t>
      </w:r>
      <w:r w:rsidRPr="0090068A">
        <w:rPr>
          <w:rFonts w:ascii="Palatino Linotype" w:eastAsia="Palatino Linotype" w:hAnsi="Palatino Linotype" w:cs="Palatino Linotype"/>
          <w:sz w:val="24"/>
          <w:szCs w:val="24"/>
        </w:rPr>
        <w:t xml:space="preserve"> en el Recurso de Revisión </w:t>
      </w:r>
      <w:r w:rsidRPr="0090068A">
        <w:rPr>
          <w:rFonts w:ascii="Palatino Linotype" w:eastAsia="Palatino Linotype" w:hAnsi="Palatino Linotype" w:cs="Palatino Linotype"/>
          <w:b/>
          <w:sz w:val="24"/>
          <w:szCs w:val="24"/>
        </w:rPr>
        <w:t>15854/INFOEM/IP/RR/2022</w:t>
      </w:r>
      <w:r w:rsidRPr="0090068A">
        <w:rPr>
          <w:rFonts w:ascii="Palatino Linotype" w:eastAsia="Palatino Linotype" w:hAnsi="Palatino Linotype" w:cs="Palatino Linotype"/>
          <w:sz w:val="24"/>
          <w:szCs w:val="24"/>
        </w:rPr>
        <w:t>,</w:t>
      </w:r>
      <w:r w:rsidRPr="0090068A">
        <w:rPr>
          <w:rFonts w:ascii="Palatino Linotype" w:eastAsia="Palatino Linotype" w:hAnsi="Palatino Linotype" w:cs="Palatino Linotype"/>
          <w:b/>
          <w:sz w:val="24"/>
          <w:szCs w:val="24"/>
        </w:rPr>
        <w:t xml:space="preserve"> </w:t>
      </w:r>
      <w:r w:rsidRPr="0090068A">
        <w:rPr>
          <w:rFonts w:ascii="Palatino Linotype" w:eastAsia="Palatino Linotype" w:hAnsi="Palatino Linotype" w:cs="Palatino Linotype"/>
          <w:sz w:val="24"/>
          <w:szCs w:val="24"/>
        </w:rPr>
        <w:t xml:space="preserve">por lo que, en términos del considerando </w:t>
      </w:r>
      <w:r w:rsidRPr="0090068A">
        <w:rPr>
          <w:rFonts w:ascii="Palatino Linotype" w:eastAsia="Palatino Linotype" w:hAnsi="Palatino Linotype" w:cs="Palatino Linotype"/>
          <w:b/>
          <w:sz w:val="24"/>
          <w:szCs w:val="24"/>
        </w:rPr>
        <w:t xml:space="preserve">Cuarto </w:t>
      </w:r>
      <w:r w:rsidRPr="0090068A">
        <w:rPr>
          <w:rFonts w:ascii="Palatino Linotype" w:eastAsia="Palatino Linotype" w:hAnsi="Palatino Linotype" w:cs="Palatino Linotype"/>
          <w:sz w:val="24"/>
          <w:szCs w:val="24"/>
        </w:rPr>
        <w:t xml:space="preserve">de esta resolución, se </w:t>
      </w:r>
      <w:r w:rsidRPr="0090068A">
        <w:rPr>
          <w:rFonts w:ascii="Palatino Linotype" w:eastAsia="Palatino Linotype" w:hAnsi="Palatino Linotype" w:cs="Palatino Linotype"/>
          <w:b/>
          <w:sz w:val="24"/>
          <w:szCs w:val="24"/>
        </w:rPr>
        <w:t xml:space="preserve">MODIFICA </w:t>
      </w:r>
      <w:r w:rsidRPr="0090068A">
        <w:rPr>
          <w:rFonts w:ascii="Palatino Linotype" w:eastAsia="Palatino Linotype" w:hAnsi="Palatino Linotype" w:cs="Palatino Linotype"/>
          <w:sz w:val="24"/>
          <w:szCs w:val="24"/>
        </w:rPr>
        <w:t xml:space="preserve">la respuesta emitida por </w:t>
      </w:r>
      <w:r w:rsidRPr="0090068A">
        <w:rPr>
          <w:rFonts w:ascii="Palatino Linotype" w:eastAsia="Palatino Linotype" w:hAnsi="Palatino Linotype" w:cs="Palatino Linotype"/>
          <w:b/>
          <w:sz w:val="24"/>
          <w:szCs w:val="24"/>
        </w:rPr>
        <w:t>EL</w:t>
      </w:r>
      <w:r w:rsidRPr="0090068A">
        <w:rPr>
          <w:rFonts w:ascii="Palatino Linotype" w:eastAsia="Palatino Linotype" w:hAnsi="Palatino Linotype" w:cs="Palatino Linotype"/>
          <w:sz w:val="24"/>
          <w:szCs w:val="24"/>
        </w:rPr>
        <w:t xml:space="preserve">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sidRPr="0090068A">
        <w:rPr>
          <w:rFonts w:ascii="Palatino Linotype" w:eastAsia="Palatino Linotype" w:hAnsi="Palatino Linotype" w:cs="Palatino Linotype"/>
          <w:b/>
          <w:sz w:val="24"/>
          <w:szCs w:val="24"/>
        </w:rPr>
        <w:t xml:space="preserve">SEGUNDO. </w:t>
      </w:r>
      <w:r w:rsidRPr="0090068A">
        <w:rPr>
          <w:rFonts w:ascii="Palatino Linotype" w:eastAsia="Palatino Linotype" w:hAnsi="Palatino Linotype" w:cs="Palatino Linotype"/>
          <w:sz w:val="24"/>
          <w:szCs w:val="24"/>
        </w:rPr>
        <w:t>Se</w:t>
      </w:r>
      <w:r w:rsidRPr="0090068A">
        <w:rPr>
          <w:rFonts w:ascii="Palatino Linotype" w:eastAsia="Palatino Linotype" w:hAnsi="Palatino Linotype" w:cs="Palatino Linotype"/>
          <w:b/>
          <w:sz w:val="24"/>
          <w:szCs w:val="24"/>
        </w:rPr>
        <w:t xml:space="preserve"> ORDENA </w:t>
      </w:r>
      <w:r w:rsidRPr="0090068A">
        <w:rPr>
          <w:rFonts w:ascii="Palatino Linotype" w:eastAsia="Palatino Linotype" w:hAnsi="Palatino Linotype" w:cs="Palatino Linotype"/>
          <w:sz w:val="24"/>
          <w:szCs w:val="24"/>
        </w:rPr>
        <w:t xml:space="preserve">al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en términos del Considerando </w:t>
      </w:r>
      <w:r w:rsidRPr="0090068A">
        <w:rPr>
          <w:rFonts w:ascii="Palatino Linotype" w:eastAsia="Palatino Linotype" w:hAnsi="Palatino Linotype" w:cs="Palatino Linotype"/>
          <w:b/>
          <w:sz w:val="24"/>
          <w:szCs w:val="24"/>
        </w:rPr>
        <w:t xml:space="preserve">Cuarto y Quinto </w:t>
      </w:r>
      <w:r w:rsidRPr="0090068A">
        <w:rPr>
          <w:rFonts w:ascii="Palatino Linotype" w:eastAsia="Palatino Linotype" w:hAnsi="Palatino Linotype" w:cs="Palatino Linotype"/>
          <w:sz w:val="24"/>
          <w:szCs w:val="24"/>
        </w:rPr>
        <w:t xml:space="preserve">de esta resolución, haga entrega en versión pública, vía </w:t>
      </w:r>
      <w:r w:rsidRPr="0090068A">
        <w:rPr>
          <w:rFonts w:ascii="Palatino Linotype" w:eastAsia="Palatino Linotype" w:hAnsi="Palatino Linotype" w:cs="Palatino Linotype"/>
          <w:b/>
          <w:sz w:val="24"/>
          <w:szCs w:val="24"/>
        </w:rPr>
        <w:t>SAIMEX</w:t>
      </w:r>
      <w:r w:rsidRPr="0090068A">
        <w:rPr>
          <w:rFonts w:ascii="Palatino Linotype" w:eastAsia="Palatino Linotype" w:hAnsi="Palatino Linotype" w:cs="Palatino Linotype"/>
          <w:sz w:val="24"/>
          <w:szCs w:val="24"/>
        </w:rPr>
        <w:t>, lo siguiente:</w:t>
      </w:r>
    </w:p>
    <w:p w:rsidR="00F55121" w:rsidRPr="0090068A" w:rsidRDefault="00F55121">
      <w:pPr>
        <w:spacing w:line="360" w:lineRule="auto"/>
        <w:jc w:val="both"/>
        <w:rPr>
          <w:rFonts w:ascii="Palatino Linotype" w:eastAsia="Palatino Linotype" w:hAnsi="Palatino Linotype" w:cs="Palatino Linotype"/>
          <w:sz w:val="24"/>
          <w:szCs w:val="24"/>
        </w:rPr>
      </w:pPr>
    </w:p>
    <w:p w:rsidR="00F55121" w:rsidRPr="0090068A" w:rsidRDefault="00BB0A51">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Expediente laboral completo de los  Titulares de las Unidades Administrativas del Sujeto Obligado, en funciones al veintiocho de septiembre de dos mil veintidós, en términos del Considerando Cuarto de la presente resolución. </w:t>
      </w:r>
    </w:p>
    <w:p w:rsidR="00F55121" w:rsidRPr="0090068A" w:rsidRDefault="00F55121">
      <w:pPr>
        <w:pBdr>
          <w:top w:val="nil"/>
          <w:left w:val="nil"/>
          <w:bottom w:val="nil"/>
          <w:right w:val="nil"/>
          <w:between w:val="nil"/>
        </w:pBdr>
        <w:spacing w:after="0" w:line="360" w:lineRule="auto"/>
        <w:ind w:left="420"/>
        <w:jc w:val="both"/>
        <w:rPr>
          <w:rFonts w:ascii="Palatino Linotype" w:eastAsia="Palatino Linotype" w:hAnsi="Palatino Linotype" w:cs="Palatino Linotype"/>
          <w:sz w:val="24"/>
          <w:szCs w:val="24"/>
        </w:rPr>
      </w:pPr>
    </w:p>
    <w:p w:rsidR="00F55121" w:rsidRPr="0090068A" w:rsidRDefault="00BB0A51">
      <w:pPr>
        <w:pBdr>
          <w:top w:val="nil"/>
          <w:left w:val="nil"/>
          <w:bottom w:val="nil"/>
          <w:right w:val="nil"/>
          <w:between w:val="nil"/>
        </w:pBdr>
        <w:spacing w:after="0" w:line="360" w:lineRule="auto"/>
        <w:ind w:left="420"/>
        <w:jc w:val="both"/>
        <w:rPr>
          <w:rFonts w:ascii="Palatino Linotype" w:eastAsia="Palatino Linotype" w:hAnsi="Palatino Linotype" w:cs="Palatino Linotype"/>
          <w:i/>
        </w:rPr>
      </w:pPr>
      <w:r w:rsidRPr="0090068A">
        <w:rPr>
          <w:rFonts w:ascii="Palatino Linotype" w:eastAsia="Palatino Linotype" w:hAnsi="Palatino Linotype" w:cs="Palatino Linotype"/>
          <w:i/>
        </w:rPr>
        <w:t>Para la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remitan en cumplimiento de esta resolución, por la clasificación total del acta de nacimiento, de las cartillas militares, en el documentos en el que conste la comprobación de buena salud o certificado de salud, certificado no deudor alimentario faltantes y el que sustente la versión pública de los 54 certificados de no antecedentes no penales remitidos en respuesta y el que sustente la versión pública de los 22 archivos enviados en respuesta en los que consta que cumplen con los requisitos que se establezcan para los diferentes puestos, mismos que igualmente harán de su conocimiento.</w:t>
      </w:r>
    </w:p>
    <w:p w:rsidR="00F55121" w:rsidRPr="0090068A" w:rsidRDefault="00F55121">
      <w:pPr>
        <w:spacing w:after="0" w:line="276" w:lineRule="auto"/>
        <w:ind w:right="49"/>
        <w:jc w:val="both"/>
        <w:rPr>
          <w:rFonts w:ascii="Palatino Linotype" w:eastAsia="Palatino Linotype" w:hAnsi="Palatino Linotype" w:cs="Palatino Linotype"/>
          <w:i/>
        </w:rPr>
      </w:pPr>
    </w:p>
    <w:p w:rsidR="00F55121" w:rsidRPr="0090068A" w:rsidRDefault="00BB0A51">
      <w:pPr>
        <w:spacing w:after="0" w:line="276" w:lineRule="auto"/>
        <w:jc w:val="both"/>
        <w:rPr>
          <w:rFonts w:ascii="Palatino Linotype" w:eastAsia="Palatino Linotype" w:hAnsi="Palatino Linotype" w:cs="Palatino Linotype"/>
          <w:i/>
        </w:rPr>
      </w:pPr>
      <w:r w:rsidRPr="0090068A">
        <w:rPr>
          <w:rFonts w:ascii="Palatino Linotype" w:eastAsia="Palatino Linotype" w:hAnsi="Palatino Linotype" w:cs="Palatino Linotype"/>
          <w:i/>
        </w:rPr>
        <w:t>En el supuesto que la información ordenada no obre en los archivos del Sujeto Obligado por no haberse generado derivado de que alguna de la titularidades de las unidades administrativas se encuentre vacante, bastará con que así lo haga del conocimiento de la parte Recurrente, de manera fundada y motivada, para tener por colmado el requerimiento de información.</w:t>
      </w:r>
    </w:p>
    <w:p w:rsidR="00F55121" w:rsidRPr="0090068A" w:rsidRDefault="00F55121">
      <w:pPr>
        <w:spacing w:after="0" w:line="360" w:lineRule="auto"/>
        <w:ind w:right="49"/>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TERCERO.  Notifíquese vía SAIMEX, </w:t>
      </w:r>
      <w:r w:rsidRPr="0090068A">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CUARTO. </w:t>
      </w:r>
      <w:r w:rsidRPr="0090068A">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90068A">
        <w:rPr>
          <w:rFonts w:ascii="Palatino Linotype" w:eastAsia="Palatino Linotype" w:hAnsi="Palatino Linotype" w:cs="Palatino Linotype"/>
          <w:b/>
          <w:sz w:val="24"/>
          <w:szCs w:val="24"/>
        </w:rPr>
        <w:t>Sujeto Obligado</w:t>
      </w:r>
      <w:r w:rsidRPr="0090068A">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 xml:space="preserve">QUINTO. Notifíquese vía SAIMEX, </w:t>
      </w:r>
      <w:r w:rsidRPr="0090068A">
        <w:rPr>
          <w:rFonts w:ascii="Palatino Linotype" w:eastAsia="Palatino Linotype" w:hAnsi="Palatino Linotype" w:cs="Palatino Linotype"/>
          <w:sz w:val="24"/>
          <w:szCs w:val="24"/>
        </w:rPr>
        <w:t xml:space="preserve">a </w:t>
      </w:r>
      <w:r w:rsidRPr="0090068A">
        <w:rPr>
          <w:rFonts w:ascii="Palatino Linotype" w:eastAsia="Palatino Linotype" w:hAnsi="Palatino Linotype" w:cs="Palatino Linotype"/>
          <w:b/>
          <w:sz w:val="24"/>
          <w:szCs w:val="24"/>
        </w:rPr>
        <w:t>la</w:t>
      </w:r>
      <w:r w:rsidRPr="0090068A">
        <w:rPr>
          <w:rFonts w:ascii="Palatino Linotype" w:eastAsia="Palatino Linotype" w:hAnsi="Palatino Linotype" w:cs="Palatino Linotype"/>
          <w:sz w:val="24"/>
          <w:szCs w:val="24"/>
        </w:rPr>
        <w:t xml:space="preserve"> parte </w:t>
      </w:r>
      <w:r w:rsidRPr="0090068A">
        <w:rPr>
          <w:rFonts w:ascii="Palatino Linotype" w:eastAsia="Palatino Linotype" w:hAnsi="Palatino Linotype" w:cs="Palatino Linotype"/>
          <w:b/>
          <w:sz w:val="24"/>
          <w:szCs w:val="24"/>
        </w:rPr>
        <w:t>Recurrente</w:t>
      </w:r>
      <w:r w:rsidRPr="0090068A">
        <w:rPr>
          <w:rFonts w:ascii="Palatino Linotype" w:eastAsia="Palatino Linotype" w:hAnsi="Palatino Linotype" w:cs="Palatino Linotype"/>
          <w:sz w:val="24"/>
          <w:szCs w:val="24"/>
        </w:rPr>
        <w:t xml:space="preserve"> la presente resolución, así como que podrá impugnarla vía Juicio de Amparo en los términos de las leyes </w:t>
      </w:r>
      <w:r w:rsidRPr="0090068A">
        <w:rPr>
          <w:rFonts w:ascii="Palatino Linotype" w:eastAsia="Palatino Linotype" w:hAnsi="Palatino Linotype" w:cs="Palatino Linotype"/>
          <w:sz w:val="24"/>
          <w:szCs w:val="24"/>
        </w:rPr>
        <w:lastRenderedPageBreak/>
        <w:t xml:space="preserve">aplicables, de conformidad con lo establecido en el artículo 196 de la Ley de Transparencia y Acceso a la Información Pública del Estado de México y Municipios. </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BB0A51">
      <w:pPr>
        <w:spacing w:after="0" w:line="360" w:lineRule="auto"/>
        <w:ind w:right="49"/>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b/>
          <w:sz w:val="24"/>
          <w:szCs w:val="24"/>
        </w:rPr>
        <w:t>SEXTO. GÍRESE</w:t>
      </w:r>
      <w:r w:rsidRPr="0090068A">
        <w:rPr>
          <w:rFonts w:ascii="Palatino Linotype" w:eastAsia="Palatino Linotype" w:hAnsi="Palatino Linotype" w:cs="Palatino Linotype"/>
          <w:sz w:val="24"/>
          <w:szCs w:val="24"/>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sidRPr="0090068A">
        <w:rPr>
          <w:rFonts w:ascii="Palatino Linotype" w:eastAsia="Palatino Linotype" w:hAnsi="Palatino Linotype" w:cs="Palatino Linotype"/>
          <w:b/>
          <w:sz w:val="24"/>
          <w:szCs w:val="24"/>
        </w:rPr>
        <w:t>Cuarto</w:t>
      </w:r>
      <w:r w:rsidRPr="0090068A">
        <w:rPr>
          <w:rFonts w:ascii="Palatino Linotype" w:eastAsia="Palatino Linotype" w:hAnsi="Palatino Linotype" w:cs="Palatino Linotype"/>
          <w:sz w:val="24"/>
          <w:szCs w:val="24"/>
        </w:rPr>
        <w:t xml:space="preserve"> de la presente resolución.   </w:t>
      </w: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Default="00BB0A51">
      <w:pPr>
        <w:spacing w:line="360" w:lineRule="auto"/>
        <w:jc w:val="both"/>
        <w:rPr>
          <w:rFonts w:ascii="Palatino Linotype" w:eastAsia="Palatino Linotype" w:hAnsi="Palatino Linotype" w:cs="Palatino Linotype"/>
          <w:sz w:val="24"/>
          <w:szCs w:val="24"/>
        </w:rPr>
      </w:pPr>
      <w:r w:rsidRPr="0090068A">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CATORCE DE JUNIO DE DOS MIL VEINTITRÉS, ANTE EL SECRETARIO TÉCNICO DEL PLENO ALEXIS TAPIA RAMÍREZ. </w:t>
      </w: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Default="002D0CDA">
      <w:pPr>
        <w:spacing w:line="360" w:lineRule="auto"/>
        <w:jc w:val="both"/>
        <w:rPr>
          <w:rFonts w:ascii="Palatino Linotype" w:eastAsia="Palatino Linotype" w:hAnsi="Palatino Linotype" w:cs="Palatino Linotype"/>
          <w:sz w:val="24"/>
          <w:szCs w:val="24"/>
        </w:rPr>
      </w:pPr>
    </w:p>
    <w:p w:rsidR="002D0CDA" w:rsidRPr="0090068A" w:rsidRDefault="002D0CDA">
      <w:pPr>
        <w:spacing w:line="360" w:lineRule="auto"/>
        <w:jc w:val="both"/>
        <w:rPr>
          <w:rFonts w:ascii="Palatino Linotype" w:eastAsia="Palatino Linotype" w:hAnsi="Palatino Linotype" w:cs="Palatino Linotype"/>
          <w:sz w:val="24"/>
          <w:szCs w:val="24"/>
        </w:rPr>
      </w:pP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F5512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55121" w:rsidRPr="0090068A" w:rsidRDefault="00F55121">
      <w:pPr>
        <w:spacing w:after="0" w:line="360" w:lineRule="auto"/>
        <w:jc w:val="both"/>
        <w:rPr>
          <w:rFonts w:ascii="Palatino Linotype" w:eastAsia="Palatino Linotype" w:hAnsi="Palatino Linotype" w:cs="Palatino Linotype"/>
          <w:sz w:val="24"/>
          <w:szCs w:val="24"/>
        </w:rPr>
      </w:pPr>
    </w:p>
    <w:p w:rsidR="00F55121" w:rsidRPr="0090068A" w:rsidRDefault="00F55121">
      <w:pPr>
        <w:spacing w:after="0" w:line="360" w:lineRule="auto"/>
        <w:jc w:val="both"/>
        <w:rPr>
          <w:rFonts w:ascii="Palatino Linotype" w:eastAsia="Palatino Linotype" w:hAnsi="Palatino Linotype" w:cs="Palatino Linotype"/>
          <w:sz w:val="24"/>
          <w:szCs w:val="24"/>
        </w:rPr>
      </w:pPr>
    </w:p>
    <w:sectPr w:rsidR="00F55121" w:rsidRPr="0090068A">
      <w:headerReference w:type="default"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15E" w:rsidRDefault="0001215E">
      <w:pPr>
        <w:spacing w:after="0" w:line="240" w:lineRule="auto"/>
      </w:pPr>
      <w:r>
        <w:separator/>
      </w:r>
    </w:p>
  </w:endnote>
  <w:endnote w:type="continuationSeparator" w:id="0">
    <w:p w:rsidR="0001215E" w:rsidRDefault="0001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21" w:rsidRDefault="00BB0A51">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6726D">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6726D">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rsidR="00F55121" w:rsidRDefault="00F5512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21" w:rsidRDefault="00BB0A51">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6726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6726D">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rsidR="00F55121" w:rsidRDefault="00F5512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15E" w:rsidRDefault="0001215E">
      <w:pPr>
        <w:spacing w:after="0" w:line="240" w:lineRule="auto"/>
      </w:pPr>
      <w:r>
        <w:separator/>
      </w:r>
    </w:p>
  </w:footnote>
  <w:footnote w:type="continuationSeparator" w:id="0">
    <w:p w:rsidR="0001215E" w:rsidRDefault="0001215E">
      <w:pPr>
        <w:spacing w:after="0" w:line="240" w:lineRule="auto"/>
      </w:pPr>
      <w:r>
        <w:continuationSeparator/>
      </w:r>
    </w:p>
  </w:footnote>
  <w:footnote w:id="1">
    <w:p w:rsidR="00F55121" w:rsidRDefault="00BB0A5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F55121" w:rsidRDefault="00BB0A5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F55121" w:rsidRDefault="00BB0A51">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"INFORMACIÓN PÚBLICA. ES AQUELLA QUE SE ENCUENTRA EN POSESIÓN DE CUALQUIER AUTORIDAD, ENTIDAD, ÓRGANO Y ORGANISMO FEDERAL, ESTATAL Y MUNICIPAL, SIEMPRE QUE SE HAYA OBTENIDO POR CAUSA DEL EJERCICIO DE FUNCIONES DE DERECHO PÚBLICO.</w:t>
      </w:r>
      <w:r>
        <w:rPr>
          <w:rFonts w:ascii="Palatino Linotype" w:eastAsia="Palatino Linotype" w:hAnsi="Palatino Linotype" w:cs="Palatino Linotype"/>
          <w:i/>
          <w:color w:val="000000"/>
          <w:sz w:val="16"/>
          <w:szCs w:val="16"/>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21" w:rsidRDefault="00F55121">
    <w:pPr>
      <w:widowControl w:val="0"/>
      <w:pBdr>
        <w:top w:val="nil"/>
        <w:left w:val="nil"/>
        <w:bottom w:val="nil"/>
        <w:right w:val="nil"/>
        <w:between w:val="nil"/>
      </w:pBdr>
      <w:spacing w:after="0" w:line="276" w:lineRule="auto"/>
      <w:rPr>
        <w:color w:val="000000"/>
      </w:rPr>
    </w:pPr>
  </w:p>
  <w:tbl>
    <w:tblPr>
      <w:tblStyle w:val="a1"/>
      <w:tblW w:w="10273" w:type="dxa"/>
      <w:tblInd w:w="-1281" w:type="dxa"/>
      <w:tblLayout w:type="fixed"/>
      <w:tblLook w:val="0400" w:firstRow="0" w:lastRow="0" w:firstColumn="0" w:lastColumn="0" w:noHBand="0" w:noVBand="1"/>
    </w:tblPr>
    <w:tblGrid>
      <w:gridCol w:w="5716"/>
      <w:gridCol w:w="4557"/>
    </w:tblGrid>
    <w:tr w:rsidR="00F55121">
      <w:trPr>
        <w:trHeight w:val="246"/>
      </w:trPr>
      <w:tc>
        <w:tcPr>
          <w:tcW w:w="5716" w:type="dxa"/>
        </w:tcPr>
        <w:p w:rsidR="00F55121" w:rsidRDefault="00BB0A5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rsidR="00F55121" w:rsidRDefault="00BB0A5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15854/INFOEM/IP/RR/2022.</w:t>
          </w:r>
        </w:p>
      </w:tc>
    </w:tr>
    <w:tr w:rsidR="00F55121">
      <w:trPr>
        <w:trHeight w:val="212"/>
      </w:trPr>
      <w:tc>
        <w:tcPr>
          <w:tcW w:w="5716" w:type="dxa"/>
        </w:tcPr>
        <w:p w:rsidR="00F55121" w:rsidRDefault="00BB0A5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rsidR="00F55121" w:rsidRDefault="00F55121">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F55121">
      <w:trPr>
        <w:trHeight w:val="264"/>
      </w:trPr>
      <w:tc>
        <w:tcPr>
          <w:tcW w:w="5716" w:type="dxa"/>
        </w:tcPr>
        <w:p w:rsidR="00F55121" w:rsidRDefault="00BB0A5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rsidR="00F55121" w:rsidRDefault="00BB0A51">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Tlalnepantla de Baz</w:t>
          </w:r>
        </w:p>
      </w:tc>
    </w:tr>
    <w:tr w:rsidR="00F55121">
      <w:trPr>
        <w:trHeight w:val="373"/>
      </w:trPr>
      <w:tc>
        <w:tcPr>
          <w:tcW w:w="5716" w:type="dxa"/>
        </w:tcPr>
        <w:p w:rsidR="00F55121" w:rsidRDefault="00BB0A5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rsidR="00F55121" w:rsidRDefault="00BB0A5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55121" w:rsidRDefault="00BB0A5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-683894</wp:posOffset>
          </wp:positionH>
          <wp:positionV relativeFrom="paragraph">
            <wp:posOffset>-1449069</wp:posOffset>
          </wp:positionV>
          <wp:extent cx="7353300" cy="8658225"/>
          <wp:effectExtent l="0" t="0" r="0" b="0"/>
          <wp:wrapNone/>
          <wp:docPr id="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121" w:rsidRDefault="00F55121">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p>
  <w:tbl>
    <w:tblPr>
      <w:tblStyle w:val="a0"/>
      <w:tblW w:w="10273" w:type="dxa"/>
      <w:tblInd w:w="-1281" w:type="dxa"/>
      <w:tblLayout w:type="fixed"/>
      <w:tblLook w:val="0400" w:firstRow="0" w:lastRow="0" w:firstColumn="0" w:lastColumn="0" w:noHBand="0" w:noVBand="1"/>
    </w:tblPr>
    <w:tblGrid>
      <w:gridCol w:w="5716"/>
      <w:gridCol w:w="4557"/>
    </w:tblGrid>
    <w:tr w:rsidR="00F55121">
      <w:trPr>
        <w:trHeight w:val="246"/>
      </w:trPr>
      <w:tc>
        <w:tcPr>
          <w:tcW w:w="5716" w:type="dxa"/>
        </w:tcPr>
        <w:p w:rsidR="00F55121" w:rsidRDefault="00BB0A5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rsidR="00F55121" w:rsidRDefault="00BB0A5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15854/INFOEM/IP/RR/2022.</w:t>
          </w:r>
        </w:p>
      </w:tc>
    </w:tr>
    <w:tr w:rsidR="00F55121">
      <w:trPr>
        <w:trHeight w:val="212"/>
      </w:trPr>
      <w:tc>
        <w:tcPr>
          <w:tcW w:w="5716" w:type="dxa"/>
        </w:tcPr>
        <w:p w:rsidR="00F55121" w:rsidRDefault="00BB0A5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rsidR="00F55121" w:rsidRDefault="00A6726D" w:rsidP="00A6726D">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 XXX XXXXXXXXXX</w:t>
          </w:r>
        </w:p>
      </w:tc>
    </w:tr>
    <w:tr w:rsidR="00F55121">
      <w:trPr>
        <w:trHeight w:val="264"/>
      </w:trPr>
      <w:tc>
        <w:tcPr>
          <w:tcW w:w="5716" w:type="dxa"/>
        </w:tcPr>
        <w:p w:rsidR="00F55121" w:rsidRDefault="00BB0A5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rsidR="00F55121" w:rsidRDefault="00BB0A51">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Tlalnepantla de Baz</w:t>
          </w:r>
        </w:p>
      </w:tc>
    </w:tr>
    <w:tr w:rsidR="00F55121">
      <w:trPr>
        <w:trHeight w:val="373"/>
      </w:trPr>
      <w:tc>
        <w:tcPr>
          <w:tcW w:w="5716" w:type="dxa"/>
        </w:tcPr>
        <w:p w:rsidR="00F55121" w:rsidRDefault="00BB0A5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rsidR="00F55121" w:rsidRDefault="00BB0A5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55121" w:rsidRDefault="00BB0A5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-655319</wp:posOffset>
          </wp:positionH>
          <wp:positionV relativeFrom="paragraph">
            <wp:posOffset>-1449069</wp:posOffset>
          </wp:positionV>
          <wp:extent cx="7353300" cy="8658225"/>
          <wp:effectExtent l="0" t="0" r="0" b="0"/>
          <wp:wrapNone/>
          <wp:docPr id="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F4038F"/>
    <w:multiLevelType w:val="multilevel"/>
    <w:tmpl w:val="56103F04"/>
    <w:lvl w:ilvl="0">
      <w:start w:val="4"/>
      <w:numFmt w:val="bullet"/>
      <w:lvlText w:val="-"/>
      <w:lvlJc w:val="left"/>
      <w:pPr>
        <w:ind w:left="420" w:hanging="360"/>
      </w:pPr>
      <w:rPr>
        <w:rFonts w:ascii="Palatino Linotype" w:eastAsia="Palatino Linotype" w:hAnsi="Palatino Linotype" w:cs="Palatino Linotype"/>
        <w:i/>
        <w:color w:val="000000"/>
        <w:sz w:val="22"/>
        <w:szCs w:val="22"/>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nsid w:val="6C2A58EE"/>
    <w:multiLevelType w:val="multilevel"/>
    <w:tmpl w:val="E76483AC"/>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0397EDB"/>
    <w:multiLevelType w:val="multilevel"/>
    <w:tmpl w:val="C39AA0F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76264F9E"/>
    <w:multiLevelType w:val="multilevel"/>
    <w:tmpl w:val="6A28110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121"/>
    <w:rsid w:val="0001215E"/>
    <w:rsid w:val="002D0CDA"/>
    <w:rsid w:val="0090068A"/>
    <w:rsid w:val="00A6726D"/>
    <w:rsid w:val="00BB0A51"/>
    <w:rsid w:val="00F45863"/>
    <w:rsid w:val="00F551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D8ADE-37B5-4F1C-BCE8-47166456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7F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17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77FB"/>
  </w:style>
  <w:style w:type="paragraph" w:styleId="Piedepgina">
    <w:name w:val="footer"/>
    <w:basedOn w:val="Normal"/>
    <w:link w:val="PiedepginaCar"/>
    <w:uiPriority w:val="99"/>
    <w:unhideWhenUsed/>
    <w:rsid w:val="00817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77FB"/>
  </w:style>
  <w:style w:type="paragraph" w:styleId="Prrafodelista">
    <w:name w:val="List Paragraph"/>
    <w:basedOn w:val="Normal"/>
    <w:uiPriority w:val="34"/>
    <w:qFormat/>
    <w:rsid w:val="00417D09"/>
    <w:pPr>
      <w:ind w:left="720"/>
      <w:contextualSpacing/>
    </w:pPr>
  </w:style>
  <w:style w:type="character" w:styleId="Hipervnculo">
    <w:name w:val="Hyperlink"/>
    <w:basedOn w:val="Fuentedeprrafopredeter"/>
    <w:uiPriority w:val="99"/>
    <w:unhideWhenUsed/>
    <w:rsid w:val="00E522F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33161"/>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3316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33161"/>
    <w:rPr>
      <w:vertAlign w:val="superscript"/>
    </w:rPr>
  </w:style>
  <w:style w:type="paragraph" w:styleId="Sinespaciado">
    <w:name w:val="No Spacing"/>
    <w:aliases w:val="Francesa,INAI"/>
    <w:link w:val="SinespaciadoCar"/>
    <w:uiPriority w:val="1"/>
    <w:qFormat/>
    <w:rsid w:val="005550B0"/>
    <w:pPr>
      <w:spacing w:after="0" w:line="240" w:lineRule="auto"/>
    </w:pPr>
  </w:style>
  <w:style w:type="character" w:customStyle="1" w:styleId="SinespaciadoCar">
    <w:name w:val="Sin espaciado Car"/>
    <w:aliases w:val="Francesa Car,INAI Car"/>
    <w:link w:val="Sinespaciado"/>
    <w:uiPriority w:val="1"/>
    <w:locked/>
    <w:rsid w:val="005550B0"/>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diftlalnepantla.gob.mx/IPOMEX/DGSMDIF/2022/1ER-TRIM/Junio_2022/ORGANIGRAMA_SMDIF_22-24.pdf"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8jEO2iVKg/9VPyMZrztb+buQUg==">CgMxLjAyCGguZ2pkZ3hzMg5oLmtlbGdzMjQyOG9hNjgAciExREVFSEhlWTR5QWlVSnlMQUxwSWE2c0I2bFZLRE1hbzU=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15237</Words>
  <Characters>83805</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2023-06-16T16:54:00Z</cp:lastPrinted>
  <dcterms:created xsi:type="dcterms:W3CDTF">2023-06-28T20:45:00Z</dcterms:created>
  <dcterms:modified xsi:type="dcterms:W3CDTF">2023-06-28T20:45:00Z</dcterms:modified>
</cp:coreProperties>
</file>