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30BB91F0"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 xml:space="preserve">a </w:t>
      </w:r>
      <w:r w:rsidR="006544D5">
        <w:rPr>
          <w:rFonts w:ascii="Palatino Linotype" w:eastAsia="Palatino Linotype" w:hAnsi="Palatino Linotype" w:cs="Palatino Linotype"/>
          <w:color w:val="000000"/>
          <w:sz w:val="24"/>
          <w:szCs w:val="24"/>
          <w:lang w:val="es-ES_tradnl"/>
        </w:rPr>
        <w:t>veinticuatro de mayo</w:t>
      </w:r>
      <w:r w:rsidR="00A10CA2">
        <w:rPr>
          <w:rFonts w:ascii="Palatino Linotype" w:eastAsia="Palatino Linotype" w:hAnsi="Palatino Linotype" w:cs="Palatino Linotype"/>
          <w:color w:val="000000"/>
          <w:sz w:val="24"/>
          <w:szCs w:val="24"/>
          <w:lang w:val="es-ES_tradnl"/>
        </w:rPr>
        <w:t xml:space="preserve"> de dos mil veintitrés</w:t>
      </w:r>
      <w:bookmarkStart w:id="0" w:name="_GoBack"/>
      <w:bookmarkEnd w:id="0"/>
      <w:r w:rsidR="00C96EBF">
        <w:rPr>
          <w:rFonts w:ascii="Palatino Linotype" w:eastAsia="Palatino Linotype" w:hAnsi="Palatino Linotype" w:cs="Palatino Linotype"/>
          <w:color w:val="000000"/>
          <w:sz w:val="24"/>
          <w:szCs w:val="24"/>
          <w:lang w:val="es-ES_tradnl"/>
        </w:rPr>
        <w:t xml:space="preserve">. </w:t>
      </w:r>
      <w:r w:rsidR="000658F7">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     </w:t>
      </w:r>
    </w:p>
    <w:p w14:paraId="11D3D89A"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822801E" w14:textId="79C13FC8" w:rsidR="00C96EBF" w:rsidRPr="00C96EBF"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C96EBF">
        <w:rPr>
          <w:rFonts w:ascii="Palatino Linotype" w:eastAsia="Palatino Linotype" w:hAnsi="Palatino Linotype" w:cs="Palatino Linotype"/>
          <w:b/>
          <w:color w:val="000000"/>
          <w:sz w:val="24"/>
          <w:szCs w:val="24"/>
          <w:lang w:val="es-ES_tradnl"/>
        </w:rPr>
        <w:t>01585</w:t>
      </w:r>
      <w:r w:rsidRPr="00883102">
        <w:rPr>
          <w:rFonts w:ascii="Palatino Linotype" w:eastAsia="Palatino Linotype" w:hAnsi="Palatino Linotype" w:cs="Palatino Linotype"/>
          <w:b/>
          <w:color w:val="000000"/>
          <w:sz w:val="24"/>
          <w:szCs w:val="24"/>
          <w:lang w:val="es-ES_tradnl"/>
        </w:rPr>
        <w:t>/INFOEM/IP/RR/202</w:t>
      </w:r>
      <w:r>
        <w:rPr>
          <w:rFonts w:ascii="Palatino Linotype" w:eastAsia="Palatino Linotype" w:hAnsi="Palatino Linotype" w:cs="Palatino Linotype"/>
          <w:b/>
          <w:color w:val="000000"/>
          <w:sz w:val="24"/>
          <w:szCs w:val="24"/>
          <w:lang w:val="es-ES_tradnl"/>
        </w:rPr>
        <w:t>3</w:t>
      </w:r>
      <w:r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 por </w:t>
      </w:r>
      <w:r w:rsidR="00C96EBF">
        <w:rPr>
          <w:rFonts w:ascii="Palatino Linotype" w:eastAsia="Palatino Linotype" w:hAnsi="Palatino Linotype" w:cs="Palatino Linotype"/>
          <w:color w:val="000000"/>
          <w:sz w:val="24"/>
          <w:szCs w:val="24"/>
          <w:lang w:val="es-ES_tradnl"/>
        </w:rPr>
        <w:t xml:space="preserve">el </w:t>
      </w:r>
      <w:r w:rsidR="00C96EBF">
        <w:rPr>
          <w:rFonts w:ascii="Palatino Linotype" w:eastAsia="Palatino Linotype" w:hAnsi="Palatino Linotype" w:cs="Palatino Linotype"/>
          <w:b/>
          <w:bCs/>
          <w:color w:val="000000"/>
          <w:sz w:val="24"/>
          <w:szCs w:val="24"/>
          <w:lang w:val="es-ES_tradnl"/>
        </w:rPr>
        <w:t xml:space="preserve">C. </w:t>
      </w:r>
      <w:r w:rsidR="001B1BAD">
        <w:rPr>
          <w:rFonts w:ascii="Palatino Linotype" w:eastAsia="Palatino Linotype" w:hAnsi="Palatino Linotype" w:cs="Palatino Linotype"/>
          <w:b/>
          <w:bCs/>
          <w:color w:val="000000"/>
          <w:sz w:val="24"/>
          <w:szCs w:val="24"/>
          <w:lang w:val="es-ES_tradnl"/>
        </w:rPr>
        <w:t>XXXXXXXXXXXXXXXXX</w:t>
      </w:r>
      <w:r w:rsidR="00C96EBF">
        <w:rPr>
          <w:rFonts w:ascii="Palatino Linotype" w:eastAsia="Palatino Linotype" w:hAnsi="Palatino Linotype" w:cs="Palatino Linotype"/>
          <w:b/>
          <w:bCs/>
          <w:color w:val="000000"/>
          <w:sz w:val="24"/>
          <w:szCs w:val="24"/>
          <w:lang w:val="es-ES_tradnl"/>
        </w:rPr>
        <w:t xml:space="preserve">, </w:t>
      </w:r>
      <w:r w:rsidR="00C96EBF">
        <w:rPr>
          <w:rFonts w:ascii="Palatino Linotype" w:eastAsia="Palatino Linotype" w:hAnsi="Palatino Linotype" w:cs="Palatino Linotype"/>
          <w:color w:val="000000"/>
          <w:sz w:val="24"/>
          <w:szCs w:val="24"/>
          <w:lang w:val="es-ES_tradnl"/>
        </w:rPr>
        <w:t xml:space="preserve">en lo sucesivo </w:t>
      </w:r>
      <w:r w:rsidR="00C96EBF">
        <w:rPr>
          <w:rFonts w:ascii="Palatino Linotype" w:eastAsia="Palatino Linotype" w:hAnsi="Palatino Linotype" w:cs="Palatino Linotype"/>
          <w:b/>
          <w:bCs/>
          <w:color w:val="000000"/>
          <w:sz w:val="24"/>
          <w:szCs w:val="24"/>
          <w:lang w:val="es-ES_tradnl"/>
        </w:rPr>
        <w:t xml:space="preserve">El Recurrente, </w:t>
      </w:r>
      <w:r w:rsidR="00C96EBF">
        <w:rPr>
          <w:rFonts w:ascii="Palatino Linotype" w:eastAsia="Palatino Linotype" w:hAnsi="Palatino Linotype" w:cs="Palatino Linotype"/>
          <w:color w:val="000000"/>
          <w:sz w:val="24"/>
          <w:szCs w:val="24"/>
          <w:lang w:val="es-ES_tradnl"/>
        </w:rPr>
        <w:t xml:space="preserve">en contra de la respuesta del </w:t>
      </w:r>
      <w:r w:rsidR="00C96EBF">
        <w:rPr>
          <w:rFonts w:ascii="Palatino Linotype" w:eastAsia="Palatino Linotype" w:hAnsi="Palatino Linotype" w:cs="Palatino Linotype"/>
          <w:b/>
          <w:bCs/>
          <w:color w:val="000000"/>
          <w:sz w:val="24"/>
          <w:szCs w:val="24"/>
          <w:lang w:val="es-ES_tradnl"/>
        </w:rPr>
        <w:t xml:space="preserve">Ayuntamiento de Huehuetoca, </w:t>
      </w:r>
      <w:r w:rsidR="00C96EBF">
        <w:rPr>
          <w:rFonts w:ascii="Palatino Linotype" w:eastAsia="Palatino Linotype" w:hAnsi="Palatino Linotype" w:cs="Palatino Linotype"/>
          <w:color w:val="000000"/>
          <w:sz w:val="24"/>
          <w:szCs w:val="24"/>
          <w:lang w:val="es-ES_tradnl"/>
        </w:rPr>
        <w:t xml:space="preserve">en lo subsecuente </w:t>
      </w:r>
      <w:r w:rsidR="00C96EBF">
        <w:rPr>
          <w:rFonts w:ascii="Palatino Linotype" w:eastAsia="Palatino Linotype" w:hAnsi="Palatino Linotype" w:cs="Palatino Linotype"/>
          <w:b/>
          <w:bCs/>
          <w:color w:val="000000"/>
          <w:sz w:val="24"/>
          <w:szCs w:val="24"/>
          <w:lang w:val="es-ES_tradnl"/>
        </w:rPr>
        <w:t xml:space="preserve">El Sujeto Obligado, </w:t>
      </w:r>
      <w:r w:rsidR="00C96EBF">
        <w:rPr>
          <w:rFonts w:ascii="Palatino Linotype" w:eastAsia="Palatino Linotype" w:hAnsi="Palatino Linotype" w:cs="Palatino Linotype"/>
          <w:color w:val="000000"/>
          <w:sz w:val="24"/>
          <w:szCs w:val="24"/>
          <w:lang w:val="es-ES_tradnl"/>
        </w:rPr>
        <w:t xml:space="preserve">se procede a dictar la presente resolución. </w:t>
      </w:r>
    </w:p>
    <w:p w14:paraId="59EF77F3" w14:textId="77777777" w:rsidR="00C96EBF" w:rsidRDefault="00C96EBF"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6DBB0A9" w14:textId="77777777" w:rsidR="00F04B5E"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883102"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2B6D130B" w14:textId="39081C09" w:rsidR="00C96EBF"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Con fecha </w:t>
      </w:r>
      <w:r w:rsidR="00C96EBF">
        <w:rPr>
          <w:rFonts w:ascii="Palatino Linotype" w:eastAsia="Palatino Linotype" w:hAnsi="Palatino Linotype" w:cs="Palatino Linotype"/>
          <w:color w:val="000000"/>
          <w:sz w:val="24"/>
          <w:szCs w:val="24"/>
          <w:lang w:val="es-ES_tradnl"/>
        </w:rPr>
        <w:t xml:space="preserve">veinte de febrero de dos mil veintitrés, </w:t>
      </w:r>
      <w:r w:rsidR="00C96EBF">
        <w:rPr>
          <w:rFonts w:ascii="Palatino Linotype" w:eastAsia="Palatino Linotype" w:hAnsi="Palatino Linotype" w:cs="Palatino Linotype"/>
          <w:b/>
          <w:bCs/>
          <w:color w:val="000000"/>
          <w:sz w:val="24"/>
          <w:szCs w:val="24"/>
          <w:lang w:val="es-ES_tradnl"/>
        </w:rPr>
        <w:t xml:space="preserve">El Recurrente, </w:t>
      </w:r>
      <w:r w:rsidR="00C96EBF"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C96EBF">
        <w:rPr>
          <w:rFonts w:ascii="Palatino Linotype" w:eastAsia="Palatino Linotype" w:hAnsi="Palatino Linotype" w:cs="Palatino Linotype"/>
          <w:b/>
          <w:color w:val="000000"/>
          <w:sz w:val="24"/>
          <w:szCs w:val="24"/>
          <w:lang w:val="es-ES_tradnl"/>
        </w:rPr>
        <w:t>E</w:t>
      </w:r>
      <w:r w:rsidR="00C96EBF" w:rsidRPr="00C00092">
        <w:rPr>
          <w:rFonts w:ascii="Palatino Linotype" w:eastAsia="Palatino Linotype" w:hAnsi="Palatino Linotype" w:cs="Palatino Linotype"/>
          <w:b/>
          <w:color w:val="000000"/>
          <w:sz w:val="24"/>
          <w:szCs w:val="24"/>
          <w:lang w:val="es-ES_tradnl"/>
        </w:rPr>
        <w:t>l Sujeto Obligado,</w:t>
      </w:r>
      <w:r w:rsidR="00C96EBF"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C96EBF">
        <w:rPr>
          <w:rFonts w:ascii="Palatino Linotype" w:eastAsia="Palatino Linotype" w:hAnsi="Palatino Linotype" w:cs="Palatino Linotype"/>
          <w:color w:val="000000"/>
          <w:sz w:val="24"/>
          <w:szCs w:val="24"/>
          <w:lang w:val="es-ES_tradnl"/>
        </w:rPr>
        <w:t xml:space="preserve"> </w:t>
      </w:r>
      <w:r w:rsidR="00C96EBF">
        <w:rPr>
          <w:rFonts w:ascii="Palatino Linotype" w:eastAsia="Palatino Linotype" w:hAnsi="Palatino Linotype" w:cs="Palatino Linotype"/>
          <w:b/>
          <w:bCs/>
          <w:color w:val="000000"/>
          <w:sz w:val="24"/>
          <w:szCs w:val="24"/>
          <w:lang w:val="es-ES_tradnl"/>
        </w:rPr>
        <w:t xml:space="preserve">00044/HUEHUETO/IP/2023, </w:t>
      </w:r>
      <w:r w:rsidR="00C96EBF">
        <w:rPr>
          <w:rFonts w:ascii="Palatino Linotype" w:eastAsia="Palatino Linotype" w:hAnsi="Palatino Linotype" w:cs="Palatino Linotype"/>
          <w:color w:val="000000"/>
          <w:sz w:val="24"/>
          <w:szCs w:val="24"/>
          <w:lang w:val="es-ES_tradnl"/>
        </w:rPr>
        <w:t>mediante la cual solicitó información en el tenor siguiente:</w:t>
      </w:r>
    </w:p>
    <w:p w14:paraId="32069028" w14:textId="72112EF2" w:rsidR="00C96EBF" w:rsidRPr="00C96EBF" w:rsidRDefault="00C96EBF" w:rsidP="00C96EBF">
      <w:pPr>
        <w:pStyle w:val="Citas"/>
        <w:rPr>
          <w:rFonts w:eastAsia="Palatino Linotype" w:cs="Palatino Linotype"/>
          <w:b/>
          <w:bCs/>
          <w:sz w:val="24"/>
          <w:szCs w:val="24"/>
          <w:lang w:val="es-ES_tradnl"/>
        </w:rPr>
      </w:pPr>
      <w:r>
        <w:t xml:space="preserve">"De conformidad con el artículo 6, segundo párrafo, apartado A de la Constitución Política de los Estados Unidos Mexicanos y Título Séptimo de la Ley Federal De Transparencia y Acceso a la Información Pública del Estado de México y sus Municipios, todos los sujetos obligados están obligados a entregar la información </w:t>
      </w:r>
      <w:r>
        <w:lastRenderedPageBreak/>
        <w:t xml:space="preserve">pública, que se genere y que de acuerdo con el marco jurídico deba generarse. Solicito la versión pública de la primera y segunda quincena del mes de DICIEMBRE del año 2022 y ENERO del año 2023: Nómina detallada, en formateo PDF y XLS Comprobante bancario de la dispersión de la nómina, en formateo PDF Reporte de remuneraciones de mandos medios y superiores, en formateo PDF y XLS.." </w:t>
      </w:r>
      <w:r>
        <w:rPr>
          <w:b/>
          <w:bCs/>
        </w:rPr>
        <w:t>(Sic)</w:t>
      </w:r>
    </w:p>
    <w:p w14:paraId="0819150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454772E6"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0E5E24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07062706"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883102"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5BA4CCAD" w14:textId="39B6992A" w:rsidR="00C96EBF" w:rsidRPr="00C96EBF"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C96EBF">
        <w:rPr>
          <w:rFonts w:ascii="Palatino Linotype" w:eastAsia="Palatino Linotype" w:hAnsi="Palatino Linotype" w:cs="Palatino Linotype"/>
          <w:color w:val="000000"/>
          <w:sz w:val="24"/>
          <w:szCs w:val="24"/>
          <w:lang w:val="es-ES_tradnl"/>
        </w:rPr>
        <w:t xml:space="preserve">veintitrés de marzo de dos mil veintitrés, </w:t>
      </w:r>
      <w:r w:rsidR="00C96EBF">
        <w:rPr>
          <w:rFonts w:ascii="Palatino Linotype" w:eastAsia="Palatino Linotype" w:hAnsi="Palatino Linotype" w:cs="Palatino Linotype"/>
          <w:b/>
          <w:bCs/>
          <w:color w:val="000000"/>
          <w:sz w:val="24"/>
          <w:szCs w:val="24"/>
          <w:lang w:val="es-ES_tradnl"/>
        </w:rPr>
        <w:t xml:space="preserve">El Recurrente </w:t>
      </w:r>
      <w:r w:rsidR="00C96EBF">
        <w:rPr>
          <w:rFonts w:ascii="Palatino Linotype" w:eastAsia="Palatino Linotype" w:hAnsi="Palatino Linotype" w:cs="Palatino Linotype"/>
          <w:color w:val="000000"/>
          <w:sz w:val="24"/>
          <w:szCs w:val="24"/>
          <w:lang w:val="es-ES_tradnl"/>
        </w:rPr>
        <w:t xml:space="preserve">interpuso el recurso de revisión el cual fue registrado en el </w:t>
      </w:r>
      <w:r w:rsidR="00C96EBF">
        <w:rPr>
          <w:rFonts w:ascii="Palatino Linotype" w:eastAsia="Palatino Linotype" w:hAnsi="Palatino Linotype" w:cs="Palatino Linotype"/>
          <w:b/>
          <w:bCs/>
          <w:color w:val="000000"/>
          <w:sz w:val="24"/>
          <w:szCs w:val="24"/>
          <w:lang w:val="es-ES_tradnl"/>
        </w:rPr>
        <w:t xml:space="preserve">SAIMEX </w:t>
      </w:r>
      <w:r w:rsidR="00C96EBF">
        <w:rPr>
          <w:rFonts w:ascii="Palatino Linotype" w:eastAsia="Palatino Linotype" w:hAnsi="Palatino Linotype" w:cs="Palatino Linotype"/>
          <w:color w:val="000000"/>
          <w:sz w:val="24"/>
          <w:szCs w:val="24"/>
          <w:lang w:val="es-ES_tradnl"/>
        </w:rPr>
        <w:t xml:space="preserve">con el expediente número </w:t>
      </w:r>
      <w:r w:rsidR="00C96EBF">
        <w:rPr>
          <w:rFonts w:ascii="Palatino Linotype" w:eastAsia="Palatino Linotype" w:hAnsi="Palatino Linotype" w:cs="Palatino Linotype"/>
          <w:b/>
          <w:bCs/>
          <w:color w:val="000000"/>
          <w:sz w:val="24"/>
          <w:szCs w:val="24"/>
          <w:lang w:val="es-ES_tradnl"/>
        </w:rPr>
        <w:t xml:space="preserve">01585/INFOEM/IP/RR/2023, </w:t>
      </w:r>
      <w:r w:rsidR="00C96EBF">
        <w:rPr>
          <w:rFonts w:ascii="Palatino Linotype" w:eastAsia="Palatino Linotype" w:hAnsi="Palatino Linotype" w:cs="Palatino Linotype"/>
          <w:color w:val="000000"/>
          <w:sz w:val="24"/>
          <w:szCs w:val="24"/>
          <w:lang w:val="es-ES_tradnl"/>
        </w:rPr>
        <w:t>manifestando lo siguiente:</w:t>
      </w:r>
    </w:p>
    <w:p w14:paraId="4BFE6A15"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7A389745" w14:textId="7B934E33" w:rsidR="00EE12D5" w:rsidRDefault="00EE12D5" w:rsidP="00EE12D5">
      <w:pPr>
        <w:pStyle w:val="Citas"/>
        <w:rPr>
          <w:b/>
        </w:rPr>
      </w:pPr>
      <w:r w:rsidRPr="00C96EBF">
        <w:lastRenderedPageBreak/>
        <w:t>“</w:t>
      </w:r>
      <w:r w:rsidR="00C96EBF" w:rsidRPr="00C96EBF">
        <w:t>La información no me fue proporcionada y tampoco pidieron una ampliación de término para poder entregar dicha información de igual manera informo que siempre es la misma situación respecto a que nunca responden en tiempo y forma</w:t>
      </w:r>
      <w:r w:rsidRPr="00C96EBF">
        <w:t>”</w:t>
      </w:r>
      <w:r>
        <w:t xml:space="preserve"> </w:t>
      </w:r>
      <w:r>
        <w:rPr>
          <w:b/>
        </w:rPr>
        <w:t>(Sic)</w:t>
      </w:r>
    </w:p>
    <w:p w14:paraId="681024A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E5A2A5A" w14:textId="5FE0F181" w:rsidR="00EE12D5" w:rsidRPr="00C00092" w:rsidRDefault="00EE12D5" w:rsidP="00EE12D5">
      <w:pPr>
        <w:pStyle w:val="Citas"/>
        <w:rPr>
          <w:rFonts w:eastAsia="Palatino Linotype" w:cs="Palatino Linotype"/>
          <w:b/>
          <w:sz w:val="24"/>
          <w:szCs w:val="24"/>
          <w:lang w:val="es-ES_tradnl"/>
        </w:rPr>
      </w:pPr>
      <w:r w:rsidRPr="00C96EBF">
        <w:t>“</w:t>
      </w:r>
      <w:r w:rsidR="00C96EBF" w:rsidRPr="00C96EBF">
        <w:t>La información no me fue proporcionada y tampoco pidieron una ampliación de término para poder entregar dicha información de igual manera informo que siempre es la misma situación respecto a que nunca responden en tiempo y forma</w:t>
      </w:r>
      <w:r w:rsidRPr="00C96EBF">
        <w:t>”</w:t>
      </w:r>
      <w:r>
        <w:t xml:space="preserve"> </w:t>
      </w:r>
      <w:r>
        <w:rPr>
          <w:b/>
        </w:rPr>
        <w:t>(Sic)</w:t>
      </w:r>
    </w:p>
    <w:p w14:paraId="49173CC5" w14:textId="77777777" w:rsidR="00F04B5E"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49DA4F26" w14:textId="7547B1AB"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sidR="00C96EBF">
        <w:rPr>
          <w:rFonts w:ascii="Palatino Linotype" w:eastAsia="Palatino Linotype" w:hAnsi="Palatino Linotype" w:cs="Palatino Linotype"/>
          <w:b/>
          <w:bCs/>
          <w:color w:val="000000"/>
          <w:sz w:val="24"/>
          <w:szCs w:val="24"/>
          <w:lang w:val="es-ES_tradnl"/>
        </w:rPr>
        <w:t xml:space="preserve">veintinueve de marzo de dos mil veintitrés, </w:t>
      </w:r>
      <w:r w:rsidR="00C96EBF">
        <w:rPr>
          <w:rFonts w:ascii="Palatino Linotype" w:eastAsia="Palatino Linotype" w:hAnsi="Palatino Linotype" w:cs="Palatino Linotype"/>
          <w:color w:val="000000"/>
          <w:sz w:val="24"/>
          <w:szCs w:val="24"/>
          <w:lang w:val="es-ES_tradnl"/>
        </w:rPr>
        <w:t xml:space="preserve">el recurso de revisión fue admitido en la vía </w:t>
      </w:r>
      <w:r w:rsidRPr="00883102">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571B512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3816A28C" w14:textId="00B387A6" w:rsidR="00EE12D5" w:rsidRPr="00E709FE" w:rsidRDefault="00EE12D5" w:rsidP="00EE12D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5766ADA6" w14:textId="211DB5BB" w:rsidR="00EE12D5" w:rsidRDefault="00EE12D5" w:rsidP="00EE12D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w:t>
      </w:r>
      <w:r w:rsidRPr="00C12209">
        <w:rPr>
          <w:rFonts w:ascii="Palatino Linotype" w:hAnsi="Palatino Linotype" w:cs="Arial"/>
          <w:sz w:val="24"/>
          <w:szCs w:val="24"/>
        </w:rPr>
        <w:t xml:space="preserve">decretó el cierre de instrucción con </w:t>
      </w:r>
      <w:r w:rsidRPr="007B2B7A">
        <w:rPr>
          <w:rFonts w:ascii="Palatino Linotype" w:hAnsi="Palatino Linotype" w:cs="Arial"/>
          <w:sz w:val="24"/>
          <w:szCs w:val="24"/>
        </w:rPr>
        <w:t>fecha</w:t>
      </w:r>
      <w:r>
        <w:rPr>
          <w:rFonts w:ascii="Palatino Linotype" w:hAnsi="Palatino Linotype" w:cs="Arial"/>
          <w:sz w:val="24"/>
          <w:szCs w:val="24"/>
        </w:rPr>
        <w:t xml:space="preserve"> </w:t>
      </w:r>
      <w:r w:rsidR="00C96EBF">
        <w:rPr>
          <w:rFonts w:ascii="Palatino Linotype" w:hAnsi="Palatino Linotype" w:cs="Arial"/>
          <w:b/>
          <w:bCs/>
          <w:sz w:val="24"/>
          <w:szCs w:val="24"/>
        </w:rPr>
        <w:t xml:space="preserve">diecisiete de abril del presente, </w:t>
      </w:r>
      <w:r w:rsidR="00C96EBF">
        <w:rPr>
          <w:rFonts w:ascii="Palatino Linotype" w:hAnsi="Palatino Linotype" w:cs="Arial"/>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71103BD3" w14:textId="53DBF5BD" w:rsidR="006544D5" w:rsidRDefault="006544D5" w:rsidP="006544D5">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diecisiete de mayo del presente,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6D408EA"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66A4D7"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FCEAFE8"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3F5563"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BB856B"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BFA142B"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63E4753C"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E7260CD"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14F888CB"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DA491F0"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1F3B43">
        <w:rPr>
          <w:rFonts w:ascii="Palatino Linotype" w:hAnsi="Palatino Linotype" w:cstheme="majorHAnsi"/>
          <w:sz w:val="24"/>
          <w:szCs w:val="24"/>
        </w:rPr>
        <w:lastRenderedPageBreak/>
        <w:t>considerarse normal, debe concluirse que es una excluyente de responsabilidad en relación con la actuación del funcionario, como ha acontecido en el caso que nos ocupa.</w:t>
      </w:r>
    </w:p>
    <w:p w14:paraId="4D7F74E3"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B3F3FE"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A434B5"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1586F101"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74D8608B" w14:textId="77777777" w:rsidR="006544D5" w:rsidRPr="001F3B43" w:rsidRDefault="006544D5" w:rsidP="006544D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BFCA2A4" w14:textId="77777777" w:rsidR="006544D5" w:rsidRPr="00B01D73" w:rsidRDefault="006544D5" w:rsidP="006544D5">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9348A4A" w14:textId="77777777" w:rsidR="006544D5" w:rsidRDefault="006544D5" w:rsidP="00EE12D5">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A2E64E1" w14:textId="77777777" w:rsidR="00C96EBF" w:rsidRPr="001067B4" w:rsidRDefault="00C96EBF" w:rsidP="00C96EBF">
      <w:pPr>
        <w:spacing w:after="0" w:line="360" w:lineRule="auto"/>
        <w:jc w:val="both"/>
        <w:rPr>
          <w:rFonts w:ascii="Palatino Linotype" w:hAnsi="Palatino Linotype"/>
          <w:sz w:val="24"/>
          <w:szCs w:val="24"/>
        </w:rPr>
      </w:pPr>
      <w:r w:rsidRPr="001067B4">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sidRPr="001067B4">
        <w:rPr>
          <w:rFonts w:ascii="Palatino Linotype" w:hAnsi="Palatino Linotype"/>
          <w:sz w:val="24"/>
          <w:szCs w:val="24"/>
        </w:rPr>
        <w:lastRenderedPageBreak/>
        <w:t>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38EACF7" w14:textId="77777777" w:rsidR="006B413D" w:rsidRPr="00C96EBF"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3506627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0FBA906" w14:textId="77777777" w:rsidR="00F04B5E" w:rsidRDefault="00F04B5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1B533834" w14:textId="77777777" w:rsidR="00C96EBF" w:rsidRDefault="00C96EBF" w:rsidP="00C96E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29FEF8A" w14:textId="77777777" w:rsidR="00C96EBF" w:rsidRPr="00514E66" w:rsidRDefault="00C96EBF" w:rsidP="00C96EBF">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w:t>
      </w:r>
      <w:r w:rsidRPr="00514E66">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2CB57A5E" w14:textId="77777777" w:rsidR="00C96EBF" w:rsidRDefault="00C96EBF" w:rsidP="00C96EBF">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4CED3838"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w:t>
      </w:r>
      <w:r w:rsidR="00F04B5E">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6B413D">
        <w:rPr>
          <w:rFonts w:ascii="Palatino Linotype" w:hAnsi="Palatino Linotype"/>
          <w:sz w:val="24"/>
          <w:szCs w:val="24"/>
        </w:rPr>
        <w:lastRenderedPageBreak/>
        <w:t xml:space="preserve">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lastRenderedPageBreak/>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w:t>
      </w:r>
      <w:r w:rsidRPr="00CF0F1D">
        <w:lastRenderedPageBreak/>
        <w:t>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08808896"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F04B5E">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38E28529"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 solicitud de información, </w:t>
      </w:r>
      <w:r w:rsidR="00F04B5E">
        <w:rPr>
          <w:rFonts w:ascii="Palatino Linotype" w:hAnsi="Palatino Linotype"/>
          <w:b/>
          <w:bCs/>
          <w:sz w:val="24"/>
          <w:szCs w:val="24"/>
        </w:rPr>
        <w:t>El</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47A3F4EA" w14:textId="6F4F3A23" w:rsidR="00BD6BE1" w:rsidRPr="00401333" w:rsidRDefault="00401333" w:rsidP="00401333">
      <w:pPr>
        <w:pStyle w:val="Citas"/>
        <w:rPr>
          <w:b/>
          <w:bCs/>
        </w:rPr>
      </w:pPr>
      <w:r w:rsidRPr="00C96EBF">
        <w:t>“</w:t>
      </w:r>
      <w:r w:rsidR="00C96EBF" w:rsidRPr="00C96EBF">
        <w:t xml:space="preserve">De conformidad con el artículo 6, segundo párrafo, apartado A de la Constitución Política de los Estados Unidos Mexicanos y Título Séptimo de la Ley Federal De Transparencia y Acceso a la Información Pública del Estado de México y sus Municipios, todos los sujetos obligados están obligados a entregar la información </w:t>
      </w:r>
      <w:r w:rsidR="00C96EBF" w:rsidRPr="00C96EBF">
        <w:lastRenderedPageBreak/>
        <w:t xml:space="preserve">pública, que se genere y que de acuerdo con el marco jurídico deba generarse. </w:t>
      </w:r>
      <w:r w:rsidR="00C96EBF" w:rsidRPr="00C96EBF">
        <w:rPr>
          <w:b/>
          <w:bCs/>
          <w:u w:val="single"/>
        </w:rPr>
        <w:t>Solicito la versión pública de la primera y segunda quincena del mes de DICIEMBRE del año 2022 y ENERO del año 2023: Nómina detallada, en formateo PDF y XLS Comprobante bancario de la dispersión de la nómina, en formateo PDF Reporte de remuneraciones de mandos medios y superiores, en formateo PDF y XLS.." (SIC)</w:t>
      </w:r>
      <w:r w:rsidRPr="00C96EBF">
        <w:t>”</w:t>
      </w:r>
      <w:r>
        <w:t xml:space="preserve"> </w:t>
      </w:r>
      <w:r>
        <w:rPr>
          <w:b/>
          <w:bCs/>
        </w:rPr>
        <w:t>(Sic)</w:t>
      </w:r>
    </w:p>
    <w:p w14:paraId="0E734527" w14:textId="77777777" w:rsidR="00C96EBF" w:rsidRDefault="00C96EBF" w:rsidP="004F14BE">
      <w:pPr>
        <w:pStyle w:val="Prrafodelista"/>
        <w:autoSpaceDE w:val="0"/>
        <w:autoSpaceDN w:val="0"/>
        <w:adjustRightInd w:val="0"/>
        <w:spacing w:line="360" w:lineRule="auto"/>
        <w:ind w:left="0"/>
        <w:jc w:val="both"/>
        <w:rPr>
          <w:rFonts w:ascii="Palatino Linotype" w:hAnsi="Palatino Linotype" w:cs="Arial"/>
        </w:rPr>
      </w:pPr>
    </w:p>
    <w:p w14:paraId="3026232B" w14:textId="6EDF7AB4"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00F04B5E">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10018ECC" w14:textId="77777777"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1D1B9A9D" w14:textId="77777777" w:rsidR="006544D5" w:rsidRDefault="006544D5" w:rsidP="006544D5">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lastRenderedPageBreak/>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6544D5">
        <w:rPr>
          <w:rFonts w:ascii="Palatino Linotype" w:hAnsi="Palatino Linotype" w:cs="Arial"/>
        </w:rPr>
        <w:t xml:space="preserve">se acredita que </w:t>
      </w:r>
      <w:r w:rsidRPr="006544D5">
        <w:rPr>
          <w:rFonts w:ascii="Palatino Linotype" w:hAnsi="Palatino Linotype" w:cs="Arial"/>
          <w:b/>
        </w:rPr>
        <w:t xml:space="preserve">El Sujeto Obligado </w:t>
      </w:r>
      <w:r w:rsidRPr="006544D5">
        <w:rPr>
          <w:rFonts w:ascii="Palatino Linotype" w:hAnsi="Palatino Linotype" w:cs="Arial"/>
        </w:rPr>
        <w:t xml:space="preserve">fue omiso en responder la solicitud de información hecha por </w:t>
      </w:r>
      <w:r w:rsidRPr="006544D5">
        <w:rPr>
          <w:rFonts w:ascii="Palatino Linotype" w:hAnsi="Palatino Linotype" w:cs="Arial"/>
          <w:b/>
          <w:bCs/>
        </w:rPr>
        <w:t xml:space="preserve">El Recurrente, </w:t>
      </w:r>
      <w:r w:rsidRPr="006544D5">
        <w:rPr>
          <w:rFonts w:ascii="Palatino Linotype" w:hAnsi="Palatino Linotype" w:cs="Arial"/>
        </w:rPr>
        <w:t xml:space="preserve">por ello </w:t>
      </w:r>
      <w:r w:rsidRPr="006544D5">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6544D5">
        <w:rPr>
          <w:rFonts w:ascii="Palatino Linotype" w:eastAsiaTheme="minorHAnsi" w:hAnsi="Palatino Linotype" w:cstheme="minorHAnsi"/>
          <w:bCs/>
          <w:lang w:val="es-ES_tradnl" w:eastAsia="en-US"/>
        </w:rPr>
        <w:t>conocimiento del Órgano Interno de Control, el cual determinará lo conducente.</w:t>
      </w:r>
      <w:r>
        <w:rPr>
          <w:rFonts w:ascii="Palatino Linotype" w:eastAsiaTheme="minorHAnsi" w:hAnsi="Palatino Linotype" w:cstheme="minorHAnsi"/>
          <w:bCs/>
          <w:lang w:val="es-ES_tradnl" w:eastAsia="en-US"/>
        </w:rPr>
        <w:t xml:space="preserve">  </w:t>
      </w:r>
    </w:p>
    <w:p w14:paraId="5966CB5A" w14:textId="77777777" w:rsidR="00C96EBF" w:rsidRPr="00CF0F1D" w:rsidRDefault="00C96EBF" w:rsidP="004F14BE">
      <w:pPr>
        <w:pStyle w:val="Prrafodelista"/>
        <w:autoSpaceDE w:val="0"/>
        <w:autoSpaceDN w:val="0"/>
        <w:adjustRightInd w:val="0"/>
        <w:spacing w:line="360" w:lineRule="auto"/>
        <w:ind w:left="0"/>
        <w:jc w:val="both"/>
        <w:rPr>
          <w:rFonts w:ascii="Palatino Linotype" w:hAnsi="Palatino Linotype" w:cs="Arial"/>
          <w:b/>
        </w:rPr>
      </w:pP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w:t>
      </w:r>
      <w:r w:rsidRPr="00CF0F1D">
        <w:lastRenderedPageBreak/>
        <w:t xml:space="preserve">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w:t>
      </w:r>
      <w:r w:rsidRPr="00CF0F1D">
        <w:rPr>
          <w:rFonts w:ascii="Palatino Linotype" w:eastAsia="Calibri" w:hAnsi="Palatino Linotype"/>
        </w:rPr>
        <w:lastRenderedPageBreak/>
        <w:t xml:space="preserve">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475414BD"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CF0F1D"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w:t>
      </w:r>
      <w:r w:rsidRPr="00CF0F1D">
        <w:rPr>
          <w:rFonts w:ascii="Palatino Linotype" w:hAnsi="Palatino Linotype" w:cs="Arial"/>
        </w:rPr>
        <w:lastRenderedPageBreak/>
        <w:t>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83963B0" w14:textId="77777777" w:rsidR="0077248B" w:rsidRDefault="0077248B" w:rsidP="004F14BE">
      <w:pPr>
        <w:pStyle w:val="Prrafodelista"/>
        <w:autoSpaceDE w:val="0"/>
        <w:autoSpaceDN w:val="0"/>
        <w:adjustRightInd w:val="0"/>
        <w:spacing w:line="360" w:lineRule="auto"/>
        <w:ind w:left="0"/>
        <w:jc w:val="both"/>
        <w:rPr>
          <w:rFonts w:ascii="Palatino Linotype" w:hAnsi="Palatino Linotype" w:cs="Arial"/>
        </w:rPr>
      </w:pPr>
    </w:p>
    <w:p w14:paraId="0AFDCDE4" w14:textId="14A9D895"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3F5B74FF" w14:textId="77777777" w:rsidR="006544D5" w:rsidRPr="006544D5" w:rsidRDefault="006544D5" w:rsidP="006544D5">
      <w:pPr>
        <w:pStyle w:val="Prrafodelista"/>
        <w:numPr>
          <w:ilvl w:val="0"/>
          <w:numId w:val="20"/>
        </w:numPr>
        <w:autoSpaceDE w:val="0"/>
        <w:autoSpaceDN w:val="0"/>
        <w:adjustRightInd w:val="0"/>
        <w:spacing w:line="360" w:lineRule="auto"/>
        <w:jc w:val="both"/>
        <w:rPr>
          <w:rFonts w:ascii="Palatino Linotype" w:hAnsi="Palatino Linotype"/>
          <w:b/>
          <w:iCs/>
        </w:rPr>
      </w:pPr>
      <w:r w:rsidRPr="006544D5">
        <w:rPr>
          <w:rFonts w:ascii="Palatino Linotype" w:hAnsi="Palatino Linotype"/>
          <w:b/>
          <w:iCs/>
        </w:rPr>
        <w:t xml:space="preserve">Vista a los órganos de control interno competentes </w:t>
      </w:r>
    </w:p>
    <w:p w14:paraId="32A4226B" w14:textId="77777777" w:rsidR="006544D5" w:rsidRPr="006544D5" w:rsidRDefault="006544D5" w:rsidP="006544D5">
      <w:pPr>
        <w:pStyle w:val="Prrafodelista"/>
        <w:autoSpaceDE w:val="0"/>
        <w:autoSpaceDN w:val="0"/>
        <w:adjustRightInd w:val="0"/>
        <w:spacing w:line="360" w:lineRule="auto"/>
        <w:ind w:left="720"/>
        <w:jc w:val="both"/>
        <w:rPr>
          <w:rFonts w:ascii="Palatino Linotype" w:hAnsi="Palatino Linotype"/>
          <w:b/>
          <w:iCs/>
        </w:rPr>
      </w:pPr>
    </w:p>
    <w:p w14:paraId="5DC93D28" w14:textId="6D77703F" w:rsidR="006544D5" w:rsidRPr="006544D5" w:rsidRDefault="006544D5" w:rsidP="006544D5">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9D7A21">
        <w:rPr>
          <w:rFonts w:ascii="Palatino Linotype" w:eastAsia="MS Mincho" w:hAnsi="Palatino Linotype"/>
          <w:sz w:val="24"/>
          <w:szCs w:val="24"/>
          <w:lang w:val="es-ES_tradnl"/>
        </w:rPr>
        <w:t xml:space="preserve">competente, </w:t>
      </w:r>
      <w:r w:rsidRPr="006544D5">
        <w:rPr>
          <w:rFonts w:ascii="Palatino Linotype" w:eastAsia="MS Mincho" w:hAnsi="Palatino Linotype"/>
          <w:sz w:val="24"/>
          <w:szCs w:val="24"/>
          <w:lang w:val="es-ES_tradnl"/>
        </w:rPr>
        <w:t xml:space="preserve">un expediente formado con motivo de las presuntas infracciones de carácter omisivo cometidas en detrimento al derecho de acceso a la información.  </w:t>
      </w:r>
    </w:p>
    <w:p w14:paraId="0C3C2304" w14:textId="77777777" w:rsidR="006544D5" w:rsidRPr="006544D5" w:rsidRDefault="006544D5" w:rsidP="006544D5">
      <w:pPr>
        <w:spacing w:line="360" w:lineRule="auto"/>
        <w:contextualSpacing/>
        <w:jc w:val="both"/>
        <w:rPr>
          <w:rFonts w:ascii="Palatino Linotype" w:eastAsia="MS Mincho" w:hAnsi="Palatino Linotype"/>
          <w:sz w:val="24"/>
          <w:szCs w:val="24"/>
          <w:lang w:val="es-ES_tradnl"/>
        </w:rPr>
      </w:pPr>
    </w:p>
    <w:p w14:paraId="7A18111D" w14:textId="4823836C" w:rsidR="006544D5" w:rsidRPr="006544D5" w:rsidRDefault="009D7A21" w:rsidP="006544D5">
      <w:pPr>
        <w:spacing w:line="360" w:lineRule="auto"/>
        <w:contextualSpacing/>
        <w:jc w:val="both"/>
        <w:rPr>
          <w:rFonts w:ascii="Palatino Linotype" w:eastAsia="MS Mincho" w:hAnsi="Palatino Linotype" w:cs="Arial"/>
          <w:sz w:val="24"/>
          <w:szCs w:val="24"/>
        </w:rPr>
      </w:pPr>
      <w:r>
        <w:rPr>
          <w:rFonts w:ascii="Palatino Linotype" w:eastAsia="MS Mincho" w:hAnsi="Palatino Linotype"/>
          <w:sz w:val="24"/>
          <w:szCs w:val="24"/>
          <w:lang w:val="es-ES_tradnl"/>
        </w:rPr>
        <w:t>En efecto, la Secretaría T</w:t>
      </w:r>
      <w:r w:rsidR="006544D5" w:rsidRPr="006544D5">
        <w:rPr>
          <w:rFonts w:ascii="Palatino Linotype" w:eastAsia="MS Mincho" w:hAnsi="Palatino Linotype"/>
          <w:sz w:val="24"/>
          <w:szCs w:val="24"/>
          <w:lang w:val="es-ES_tradnl"/>
        </w:rPr>
        <w:t xml:space="preserve">écnica del Pleno hará del conocimiento del </w:t>
      </w:r>
      <w:r w:rsidR="006544D5" w:rsidRPr="006544D5">
        <w:rPr>
          <w:rFonts w:ascii="Palatino Linotype" w:eastAsia="MS Mincho" w:hAnsi="Palatino Linotype"/>
          <w:sz w:val="24"/>
          <w:szCs w:val="24"/>
        </w:rPr>
        <w:t xml:space="preserve">órgano </w:t>
      </w:r>
      <w:r>
        <w:rPr>
          <w:rFonts w:ascii="Palatino Linotype" w:eastAsia="MS Mincho" w:hAnsi="Palatino Linotype"/>
          <w:sz w:val="24"/>
          <w:szCs w:val="24"/>
        </w:rPr>
        <w:t xml:space="preserve">interno </w:t>
      </w:r>
      <w:r w:rsidR="006544D5" w:rsidRPr="006544D5">
        <w:rPr>
          <w:rFonts w:ascii="Palatino Linotype" w:eastAsia="MS Mincho" w:hAnsi="Palatino Linotype"/>
          <w:sz w:val="24"/>
          <w:szCs w:val="24"/>
        </w:rPr>
        <w:t xml:space="preserve">de control </w:t>
      </w:r>
      <w:r>
        <w:rPr>
          <w:rFonts w:ascii="Palatino Linotype" w:eastAsia="MS Mincho" w:hAnsi="Palatino Linotype"/>
          <w:sz w:val="24"/>
          <w:szCs w:val="24"/>
        </w:rPr>
        <w:t xml:space="preserve">competente </w:t>
      </w:r>
      <w:r w:rsidR="006544D5" w:rsidRPr="006544D5">
        <w:rPr>
          <w:rFonts w:ascii="Palatino Linotype" w:eastAsia="MS Mincho" w:hAnsi="Palatino Linotype"/>
          <w:sz w:val="24"/>
          <w:szCs w:val="24"/>
        </w:rPr>
        <w:t xml:space="preserve">de las infracciones en que el </w:t>
      </w:r>
      <w:r w:rsidR="006544D5" w:rsidRPr="006544D5">
        <w:rPr>
          <w:rFonts w:ascii="Palatino Linotype" w:eastAsia="MS Mincho" w:hAnsi="Palatino Linotype"/>
          <w:b/>
          <w:sz w:val="24"/>
          <w:szCs w:val="24"/>
        </w:rPr>
        <w:t>Sujeto Obligado</w:t>
      </w:r>
      <w:r w:rsidR="006544D5" w:rsidRPr="006544D5">
        <w:rPr>
          <w:rFonts w:ascii="Palatino Linotype" w:eastAsia="MS Mincho" w:hAnsi="Palatino Linotype"/>
          <w:sz w:val="24"/>
          <w:szCs w:val="24"/>
        </w:rPr>
        <w:t xml:space="preserve"> incurrió, toda vez </w:t>
      </w:r>
      <w:r w:rsidR="006544D5" w:rsidRPr="006544D5">
        <w:rPr>
          <w:rFonts w:ascii="Palatino Linotype" w:eastAsia="MS Mincho" w:hAnsi="Palatino Linotype"/>
          <w:sz w:val="24"/>
          <w:szCs w:val="24"/>
        </w:rPr>
        <w:lastRenderedPageBreak/>
        <w:t xml:space="preserve">que la naturaleza de investigar y sancionar corresponde a un ente distinto a éste a través de un procedimiento diferente al recurso de revisión, lo cual se encuentra previsto </w:t>
      </w:r>
      <w:r w:rsidR="006544D5" w:rsidRPr="006544D5">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8557C60" w14:textId="77777777" w:rsidR="006544D5" w:rsidRPr="006544D5" w:rsidRDefault="006544D5" w:rsidP="006544D5">
      <w:pPr>
        <w:pStyle w:val="Citas"/>
      </w:pPr>
      <w:r w:rsidRPr="006544D5">
        <w:rPr>
          <w:b/>
        </w:rPr>
        <w:t>“Artículo 190.</w:t>
      </w:r>
      <w:r w:rsidRPr="006544D5">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9125A6" w14:textId="77777777" w:rsidR="006544D5" w:rsidRPr="006544D5" w:rsidRDefault="006544D5" w:rsidP="006544D5">
      <w:pPr>
        <w:pStyle w:val="Citas"/>
      </w:pPr>
      <w:r w:rsidRPr="006544D5">
        <w:rPr>
          <w:b/>
        </w:rPr>
        <w:t>Artículo 222.</w:t>
      </w:r>
      <w:r w:rsidRPr="006544D5">
        <w:t xml:space="preserve"> Son causas de responsabilidad administrativa de los servidores públicos de los sujetos obligados, por incumplimiento de las obligaciones establecidas en la materia de la presente Ley, las siguientes:</w:t>
      </w:r>
    </w:p>
    <w:p w14:paraId="255E22AE" w14:textId="77777777" w:rsidR="006544D5" w:rsidRPr="006544D5" w:rsidRDefault="006544D5" w:rsidP="006544D5">
      <w:pPr>
        <w:pStyle w:val="Citas"/>
      </w:pPr>
      <w:r w:rsidRPr="006544D5">
        <w:t>(…)</w:t>
      </w:r>
    </w:p>
    <w:p w14:paraId="27652ABB" w14:textId="77777777" w:rsidR="006544D5" w:rsidRPr="006544D5" w:rsidRDefault="006544D5" w:rsidP="006544D5">
      <w:pPr>
        <w:pStyle w:val="Citas"/>
        <w:rPr>
          <w:b/>
        </w:rPr>
      </w:pPr>
      <w:r w:rsidRPr="006544D5">
        <w:rPr>
          <w:b/>
        </w:rPr>
        <w:t xml:space="preserve">I. Cualquier acto u </w:t>
      </w:r>
      <w:r w:rsidRPr="006544D5">
        <w:rPr>
          <w:b/>
          <w:u w:val="single"/>
        </w:rPr>
        <w:t>omisión</w:t>
      </w:r>
      <w:r w:rsidRPr="006544D5">
        <w:rPr>
          <w:b/>
        </w:rPr>
        <w:t xml:space="preserve"> que provoque la suspensión o deficiencia en la atención de las solicitudes de información;</w:t>
      </w:r>
    </w:p>
    <w:p w14:paraId="6F250047" w14:textId="77777777" w:rsidR="006544D5" w:rsidRPr="006544D5" w:rsidRDefault="006544D5" w:rsidP="006544D5">
      <w:pPr>
        <w:pStyle w:val="Citas"/>
      </w:pPr>
      <w:r w:rsidRPr="006544D5">
        <w:rPr>
          <w:b/>
          <w:u w:val="single"/>
        </w:rPr>
        <w:t>II. La falta de respuesta a las solicitudes de información en los plazos señalados en la normatividad aplicable</w:t>
      </w:r>
      <w:r w:rsidRPr="006544D5">
        <w:t>;</w:t>
      </w:r>
    </w:p>
    <w:p w14:paraId="79889468" w14:textId="77777777" w:rsidR="006544D5" w:rsidRPr="006544D5" w:rsidRDefault="006544D5" w:rsidP="006544D5">
      <w:pPr>
        <w:pStyle w:val="Citas"/>
        <w:rPr>
          <w:b/>
          <w:bCs/>
        </w:rPr>
      </w:pPr>
      <w:r w:rsidRPr="006544D5">
        <w:t xml:space="preserve">(…)” </w:t>
      </w:r>
      <w:r w:rsidRPr="006544D5">
        <w:rPr>
          <w:b/>
          <w:bCs/>
        </w:rPr>
        <w:t>(Sic)</w:t>
      </w:r>
    </w:p>
    <w:p w14:paraId="603E69C6" w14:textId="77777777" w:rsidR="006544D5" w:rsidRPr="006544D5" w:rsidRDefault="006544D5" w:rsidP="006544D5">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56CC72A" w14:textId="77777777" w:rsidR="006544D5" w:rsidRPr="006544D5" w:rsidRDefault="006544D5" w:rsidP="006544D5">
      <w:pPr>
        <w:pStyle w:val="Citas"/>
      </w:pPr>
      <w:r w:rsidRPr="006544D5">
        <w:t>“Artículo 19. Corresponde a la Secretaría Técnica del Pleno ejercer las atribuciones siguientes:</w:t>
      </w:r>
    </w:p>
    <w:p w14:paraId="49218839" w14:textId="77777777" w:rsidR="006544D5" w:rsidRPr="006544D5" w:rsidRDefault="006544D5" w:rsidP="006544D5">
      <w:pPr>
        <w:pStyle w:val="Citas"/>
      </w:pPr>
      <w:r w:rsidRPr="006544D5">
        <w:t>(…)</w:t>
      </w:r>
    </w:p>
    <w:p w14:paraId="2673D71D" w14:textId="77777777" w:rsidR="006544D5" w:rsidRPr="006544D5" w:rsidRDefault="006544D5" w:rsidP="006544D5">
      <w:pPr>
        <w:pStyle w:val="Citas"/>
        <w:rPr>
          <w:rFonts w:eastAsia="MS Mincho"/>
          <w:b/>
          <w:bCs/>
          <w:sz w:val="24"/>
          <w:szCs w:val="24"/>
          <w:lang w:val="es-ES_tradnl"/>
        </w:rPr>
      </w:pPr>
      <w:r w:rsidRPr="006544D5">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6544D5">
        <w:rPr>
          <w:b/>
          <w:bCs/>
        </w:rPr>
        <w:t>(Sic)</w:t>
      </w:r>
    </w:p>
    <w:p w14:paraId="4510364C" w14:textId="77777777" w:rsidR="006544D5" w:rsidRPr="006544D5" w:rsidRDefault="006544D5" w:rsidP="006544D5">
      <w:pPr>
        <w:spacing w:line="360" w:lineRule="auto"/>
        <w:contextualSpacing/>
        <w:jc w:val="both"/>
        <w:rPr>
          <w:rFonts w:ascii="Palatino Linotype" w:eastAsia="MS Mincho" w:hAnsi="Palatino Linotype"/>
          <w:sz w:val="24"/>
          <w:szCs w:val="24"/>
          <w:lang w:val="es-ES_tradnl"/>
        </w:rPr>
      </w:pPr>
    </w:p>
    <w:p w14:paraId="19FFD562" w14:textId="5D2BC355" w:rsidR="006544D5" w:rsidRDefault="006544D5" w:rsidP="006544D5">
      <w:pPr>
        <w:spacing w:line="360" w:lineRule="auto"/>
        <w:contextualSpacing/>
        <w:jc w:val="both"/>
        <w:rPr>
          <w:rFonts w:ascii="Palatino Linotype" w:hAnsi="Palatino Linotype" w:cs="Arial"/>
          <w:color w:val="222222"/>
          <w:sz w:val="24"/>
          <w:szCs w:val="24"/>
        </w:rPr>
      </w:pPr>
      <w:r w:rsidRPr="006544D5">
        <w:rPr>
          <w:rFonts w:ascii="Palatino Linotype" w:hAnsi="Palatino Linotype" w:cs="Arial"/>
          <w:color w:val="000000"/>
          <w:sz w:val="24"/>
          <w:szCs w:val="24"/>
        </w:rPr>
        <w:t xml:space="preserve">Por lo que es menester en este asunto, </w:t>
      </w:r>
      <w:r w:rsidRPr="006544D5">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de Control Interno </w:t>
      </w:r>
      <w:r w:rsidR="009D7A21">
        <w:rPr>
          <w:rFonts w:ascii="Palatino Linotype" w:hAnsi="Palatino Linotype" w:cs="Arial"/>
          <w:color w:val="222222"/>
          <w:sz w:val="24"/>
          <w:szCs w:val="24"/>
        </w:rPr>
        <w:t xml:space="preserve">competente </w:t>
      </w:r>
      <w:r w:rsidRPr="006544D5">
        <w:rPr>
          <w:rFonts w:ascii="Palatino Linotype" w:hAnsi="Palatino Linotype" w:cs="Arial"/>
          <w:color w:val="222222"/>
          <w:sz w:val="24"/>
          <w:szCs w:val="24"/>
        </w:rPr>
        <w:t xml:space="preserve">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6544D5">
        <w:rPr>
          <w:rFonts w:ascii="Palatino Linotype" w:hAnsi="Palatino Linotype" w:cs="Arial"/>
          <w:color w:val="222222"/>
          <w:sz w:val="24"/>
          <w:szCs w:val="24"/>
        </w:rPr>
        <w:lastRenderedPageBreak/>
        <w:t>competente para que éste inicie, en su caso, el procedimiento de responsabilidad respectivo, cuyo resultado deberá de ser informado al Instituto.</w:t>
      </w:r>
    </w:p>
    <w:p w14:paraId="7BE6DE8A" w14:textId="77777777" w:rsidR="006544D5" w:rsidRDefault="006544D5" w:rsidP="006544D5">
      <w:pPr>
        <w:spacing w:line="360" w:lineRule="auto"/>
        <w:contextualSpacing/>
        <w:jc w:val="both"/>
        <w:rPr>
          <w:rFonts w:ascii="Palatino Linotype" w:hAnsi="Palatino Linotype" w:cs="Arial"/>
          <w:color w:val="222222"/>
          <w:sz w:val="24"/>
          <w:szCs w:val="24"/>
        </w:rPr>
      </w:pP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037E8400"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691785E" w14:textId="77777777" w:rsidR="006544D5" w:rsidRDefault="006544D5" w:rsidP="00A720C4">
      <w:pPr>
        <w:spacing w:after="0" w:line="360" w:lineRule="auto"/>
        <w:ind w:right="51"/>
        <w:jc w:val="both"/>
        <w:rPr>
          <w:rFonts w:ascii="Palatino Linotype" w:hAnsi="Palatino Linotype" w:cs="Arial"/>
          <w:sz w:val="24"/>
          <w:szCs w:val="24"/>
        </w:rPr>
      </w:pPr>
    </w:p>
    <w:p w14:paraId="691F334B" w14:textId="1FA9B37A" w:rsidR="0077248B"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 solicitud de información </w:t>
      </w:r>
      <w:r w:rsidR="0077248B">
        <w:rPr>
          <w:rFonts w:ascii="Palatino Linotype" w:hAnsi="Palatino Linotype" w:cs="Arial"/>
          <w:b/>
          <w:bCs/>
          <w:sz w:val="24"/>
          <w:szCs w:val="24"/>
        </w:rPr>
        <w:t xml:space="preserve">00044/HUEHUETO/IP/2023 </w:t>
      </w:r>
      <w:r w:rsidR="0077248B">
        <w:rPr>
          <w:rFonts w:ascii="Palatino Linotype" w:hAnsi="Palatino Linotype" w:cs="Arial"/>
          <w:sz w:val="24"/>
          <w:szCs w:val="24"/>
        </w:rPr>
        <w:t xml:space="preserve">que ha sido materia del presente fallo. </w:t>
      </w:r>
    </w:p>
    <w:p w14:paraId="746D51FF" w14:textId="77777777" w:rsidR="004F14BE" w:rsidRPr="0077248B" w:rsidRDefault="004F14BE" w:rsidP="004F14BE">
      <w:pPr>
        <w:autoSpaceDE w:val="0"/>
        <w:autoSpaceDN w:val="0"/>
        <w:adjustRightInd w:val="0"/>
        <w:spacing w:line="360" w:lineRule="auto"/>
        <w:jc w:val="both"/>
        <w:rPr>
          <w:rFonts w:ascii="Palatino Linotype" w:hAnsi="Palatino Linotype"/>
          <w:sz w:val="24"/>
          <w:szCs w:val="24"/>
        </w:rPr>
      </w:pPr>
      <w:r w:rsidRPr="0077248B">
        <w:rPr>
          <w:rFonts w:ascii="Palatino Linotype" w:hAnsi="Palatino Linotype"/>
          <w:sz w:val="24"/>
          <w:szCs w:val="24"/>
        </w:rPr>
        <w:t>Por lo antes expuesto y fundado es de resolverse y;</w:t>
      </w:r>
    </w:p>
    <w:p w14:paraId="54DB54E6" w14:textId="77777777" w:rsidR="00401333"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03E30E95"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F04B5E">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0C2542D2"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lastRenderedPageBreak/>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sidR="00401333">
        <w:rPr>
          <w:rFonts w:ascii="Palatino Linotype" w:eastAsiaTheme="minorHAnsi" w:hAnsi="Palatino Linotype" w:cstheme="minorBidi"/>
          <w:bCs/>
          <w:color w:val="222222"/>
          <w:sz w:val="24"/>
          <w:szCs w:val="24"/>
          <w:lang w:val="es-ES_tradnl"/>
        </w:rPr>
        <w:t xml:space="preserve"> </w:t>
      </w:r>
      <w:r w:rsidR="0077248B">
        <w:rPr>
          <w:rFonts w:ascii="Palatino Linotype" w:hAnsi="Palatino Linotype" w:cs="Arial"/>
          <w:b/>
          <w:bCs/>
          <w:sz w:val="24"/>
          <w:szCs w:val="24"/>
        </w:rPr>
        <w:t>00044/HUEHUETO/IP/2023</w:t>
      </w:r>
      <w:r w:rsidR="00F04B5E">
        <w:rPr>
          <w:rFonts w:ascii="Palatino Linotype" w:hAnsi="Palatino Linotype" w:cs="Arial"/>
          <w:b/>
          <w:bCs/>
          <w:sz w:val="24"/>
          <w:szCs w:val="24"/>
        </w:rPr>
        <w:t xml:space="preserve"> </w:t>
      </w:r>
      <w:r w:rsidR="001F5E0D" w:rsidRPr="00883102">
        <w:rPr>
          <w:rFonts w:ascii="Palatino Linotype" w:eastAsiaTheme="minorHAnsi" w:hAnsi="Palatino Linotype" w:cstheme="minorBidi"/>
          <w:bCs/>
          <w:color w:val="222222"/>
          <w:sz w:val="24"/>
          <w:szCs w:val="24"/>
          <w:lang w:val="es-ES_tradnl"/>
        </w:rPr>
        <w:t>en</w:t>
      </w:r>
      <w:r w:rsidR="000C7D30">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1663CBCA" w14:textId="793D38B6" w:rsidR="0077248B"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0077248B" w:rsidRPr="0077248B">
        <w:rPr>
          <w:rFonts w:ascii="Palatino Linotype" w:eastAsiaTheme="minorHAnsi" w:hAnsi="Palatino Linotype" w:cstheme="minorHAnsi"/>
          <w:sz w:val="24"/>
          <w:szCs w:val="24"/>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71C8B356"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F04B5E">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3D8479B" w14:textId="77777777" w:rsidR="006544D5" w:rsidRPr="006544D5" w:rsidRDefault="006544D5" w:rsidP="006544D5">
      <w:pPr>
        <w:spacing w:after="0" w:line="360" w:lineRule="auto"/>
        <w:jc w:val="both"/>
        <w:rPr>
          <w:rFonts w:ascii="Palatino Linotype" w:eastAsiaTheme="minorHAnsi" w:hAnsi="Palatino Linotype" w:cstheme="minorHAnsi"/>
          <w:bCs/>
          <w:sz w:val="24"/>
          <w:szCs w:val="24"/>
          <w:lang w:val="es-ES_tradnl" w:eastAsia="en-US"/>
        </w:rPr>
      </w:pPr>
      <w:r w:rsidRPr="006544D5">
        <w:rPr>
          <w:rFonts w:ascii="Palatino Linotype" w:eastAsiaTheme="minorHAnsi" w:hAnsi="Palatino Linotype" w:cstheme="minorHAnsi"/>
          <w:b/>
          <w:sz w:val="24"/>
          <w:szCs w:val="24"/>
          <w:lang w:val="es-ES_tradnl" w:eastAsia="en-US"/>
        </w:rPr>
        <w:lastRenderedPageBreak/>
        <w:t xml:space="preserve">QUINTO. Gírese </w:t>
      </w:r>
      <w:r w:rsidRPr="006544D5">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544D5">
        <w:rPr>
          <w:rFonts w:ascii="Palatino Linotype" w:eastAsiaTheme="minorHAnsi" w:hAnsi="Palatino Linotype" w:cstheme="minorHAnsi"/>
          <w:b/>
          <w:sz w:val="24"/>
          <w:szCs w:val="24"/>
          <w:lang w:val="es-ES_tradnl" w:eastAsia="en-US"/>
        </w:rPr>
        <w:t>CUARTO</w:t>
      </w:r>
      <w:r w:rsidRPr="006544D5">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7BE21439"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F04B5E">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7B9D60E7" w14:textId="5F5AB623" w:rsidR="0077248B" w:rsidRPr="00917744" w:rsidRDefault="0077248B" w:rsidP="0077248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SHARON CRISTINA MORALES MARTÍNEZ, LUIS GUSTAVO PARRA NORIEGA Y GUADALUPE RAMÍREZ PEÑA</w:t>
      </w:r>
      <w:r>
        <w:rPr>
          <w:rFonts w:ascii="Palatino Linotype" w:hAnsi="Palatino Linotype" w:cs="Arial"/>
          <w:sz w:val="23"/>
          <w:szCs w:val="23"/>
        </w:rPr>
        <w:t xml:space="preserve"> </w:t>
      </w:r>
      <w:r w:rsidRPr="00917744">
        <w:rPr>
          <w:rFonts w:ascii="Palatino Linotype" w:hAnsi="Palatino Linotype" w:cs="Arial"/>
          <w:sz w:val="23"/>
          <w:szCs w:val="23"/>
        </w:rPr>
        <w:t xml:space="preserve">EN LA </w:t>
      </w:r>
      <w:r>
        <w:rPr>
          <w:rFonts w:ascii="Palatino Linotype" w:hAnsi="Palatino Linotype" w:cs="Arial"/>
          <w:sz w:val="23"/>
          <w:szCs w:val="23"/>
        </w:rPr>
        <w:t xml:space="preserve">DÉCIMA </w:t>
      </w:r>
      <w:r w:rsidR="006544D5">
        <w:rPr>
          <w:rFonts w:ascii="Palatino Linotype" w:hAnsi="Palatino Linotype" w:cs="Arial"/>
          <w:sz w:val="23"/>
          <w:szCs w:val="23"/>
        </w:rPr>
        <w:t>NOVENA</w:t>
      </w:r>
      <w:r>
        <w:rPr>
          <w:rFonts w:ascii="Palatino Linotype" w:hAnsi="Palatino Linotype" w:cs="Arial"/>
          <w:sz w:val="23"/>
          <w:szCs w:val="23"/>
        </w:rPr>
        <w:t xml:space="preserve"> SESIÓN ORDINARIA CELEBRADA EL </w:t>
      </w:r>
      <w:r w:rsidR="006544D5">
        <w:rPr>
          <w:rFonts w:ascii="Palatino Linotype" w:hAnsi="Palatino Linotype" w:cs="Arial"/>
          <w:sz w:val="23"/>
          <w:szCs w:val="23"/>
        </w:rPr>
        <w:t>VEINTICUATRO DE MAYO</w:t>
      </w:r>
      <w:r>
        <w:rPr>
          <w:rFonts w:ascii="Palatino Linotype" w:hAnsi="Palatino Linotype" w:cs="Arial"/>
          <w:sz w:val="23"/>
          <w:szCs w:val="23"/>
        </w:rPr>
        <w:t xml:space="preserve"> DE DOS MIL VEINTITRÉS, ANTE EL </w:t>
      </w:r>
      <w:r w:rsidRPr="00917744">
        <w:rPr>
          <w:rFonts w:ascii="Palatino Linotype" w:hAnsi="Palatino Linotype" w:cs="Arial"/>
          <w:sz w:val="23"/>
          <w:szCs w:val="23"/>
        </w:rPr>
        <w:t xml:space="preserve">SECRETARIO TÉCNICO DEL PLENO, ALEXIS TAPIA RAMÍREZ. </w:t>
      </w:r>
    </w:p>
    <w:p w14:paraId="5F9B761A" w14:textId="77777777" w:rsidR="0077248B" w:rsidRDefault="0077248B" w:rsidP="0077248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4DE44965"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3FA0" w14:textId="77777777" w:rsidR="00F944D1" w:rsidRDefault="00F944D1" w:rsidP="00F2498E">
      <w:pPr>
        <w:spacing w:after="0" w:line="240" w:lineRule="auto"/>
      </w:pPr>
      <w:r>
        <w:separator/>
      </w:r>
    </w:p>
  </w:endnote>
  <w:endnote w:type="continuationSeparator" w:id="0">
    <w:p w14:paraId="480C614C" w14:textId="77777777" w:rsidR="00F944D1" w:rsidRDefault="00F944D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0CA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0CA2">
      <w:rPr>
        <w:rFonts w:ascii="Palatino Linotype" w:hAnsi="Palatino Linotype"/>
        <w:b/>
        <w:bCs/>
        <w:noProof/>
        <w:sz w:val="20"/>
      </w:rPr>
      <w:t>32</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0CA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0CA2">
      <w:rPr>
        <w:rFonts w:ascii="Palatino Linotype" w:hAnsi="Palatino Linotype"/>
        <w:b/>
        <w:bCs/>
        <w:noProof/>
        <w:sz w:val="20"/>
      </w:rPr>
      <w:t>32</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7B215" w14:textId="77777777" w:rsidR="00F944D1" w:rsidRDefault="00F944D1" w:rsidP="00F2498E">
      <w:pPr>
        <w:spacing w:after="0" w:line="240" w:lineRule="auto"/>
      </w:pPr>
      <w:r>
        <w:separator/>
      </w:r>
    </w:p>
  </w:footnote>
  <w:footnote w:type="continuationSeparator" w:id="0">
    <w:p w14:paraId="5BF26513" w14:textId="77777777" w:rsidR="00F944D1" w:rsidRDefault="00F944D1" w:rsidP="00F2498E">
      <w:pPr>
        <w:spacing w:after="0" w:line="240" w:lineRule="auto"/>
      </w:pPr>
      <w:r>
        <w:continuationSeparator/>
      </w:r>
    </w:p>
  </w:footnote>
  <w:footnote w:id="1">
    <w:p w14:paraId="49243DF1" w14:textId="77777777" w:rsidR="00C96EBF" w:rsidRPr="005552A8" w:rsidRDefault="00C96EBF" w:rsidP="00C96EB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691F92" w14:textId="77777777" w:rsidR="00C96EBF" w:rsidRPr="005552A8" w:rsidRDefault="00C96EBF" w:rsidP="00C96E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A10CA2">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F1718A0" w:rsidR="00A27FD0" w:rsidRPr="00096248" w:rsidRDefault="00EE12D5"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C96EBF">
            <w:rPr>
              <w:rFonts w:ascii="Palatino Linotype" w:hAnsi="Palatino Linotype" w:cs="Arial"/>
              <w:b/>
              <w:bCs/>
              <w:sz w:val="24"/>
              <w:szCs w:val="24"/>
            </w:rPr>
            <w:t>1585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DF90EEA"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C96EBF">
            <w:rPr>
              <w:rFonts w:ascii="Palatino Linotype" w:hAnsi="Palatino Linotype" w:cs="Arial"/>
              <w:sz w:val="24"/>
              <w:szCs w:val="24"/>
            </w:rPr>
            <w:t>Huehuetoca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A10CA2">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42FE3C5"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C96EBF">
            <w:rPr>
              <w:rFonts w:ascii="Palatino Linotype" w:hAnsi="Palatino Linotype" w:cs="Arial"/>
              <w:b/>
              <w:bCs/>
              <w:sz w:val="24"/>
              <w:szCs w:val="24"/>
            </w:rPr>
            <w:t>1585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3E28DB9" w:rsidR="00A27FD0" w:rsidRPr="00C50FCD" w:rsidRDefault="001B1BAD"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794568C"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C96EBF">
            <w:rPr>
              <w:rFonts w:ascii="Palatino Linotype" w:hAnsi="Palatino Linotype" w:cs="Arial"/>
              <w:sz w:val="24"/>
              <w:szCs w:val="24"/>
            </w:rPr>
            <w:t>Huehuetoca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A10CA2">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07FB"/>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1BAD"/>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0CA2"/>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1623"/>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6EBF"/>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1CF"/>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FFA6C-131B-437C-9D34-D64DBA95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32</Pages>
  <Words>6618</Words>
  <Characters>36399</Characters>
  <Application>Microsoft Office Word</Application>
  <DocSecurity>0</DocSecurity>
  <Lines>303</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21</cp:revision>
  <cp:lastPrinted>2019-06-13T15:30:00Z</cp:lastPrinted>
  <dcterms:created xsi:type="dcterms:W3CDTF">2023-02-28T17:15:00Z</dcterms:created>
  <dcterms:modified xsi:type="dcterms:W3CDTF">2023-06-09T20:30:00Z</dcterms:modified>
</cp:coreProperties>
</file>