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4170" w:rsidRDefault="00704170" w:rsidP="00AD7D2B">
      <w:pPr>
        <w:spacing w:line="360" w:lineRule="auto"/>
        <w:jc w:val="both"/>
        <w:rPr>
          <w:rFonts w:ascii="Palatino Linotype" w:eastAsiaTheme="minorEastAsia" w:hAnsi="Palatino Linotype"/>
          <w:lang w:val="es-ES_tradnl" w:eastAsia="es-ES"/>
        </w:rPr>
      </w:pPr>
    </w:p>
    <w:p w:rsidR="00704170" w:rsidRDefault="00704170" w:rsidP="00AD7D2B">
      <w:pPr>
        <w:spacing w:line="360" w:lineRule="auto"/>
        <w:jc w:val="both"/>
        <w:rPr>
          <w:rFonts w:ascii="Palatino Linotype" w:eastAsiaTheme="minorEastAsia" w:hAnsi="Palatino Linotype"/>
          <w:lang w:val="es-ES_tradnl" w:eastAsia="es-ES"/>
        </w:rPr>
      </w:pPr>
    </w:p>
    <w:p w:rsidR="00AD7D2B" w:rsidRPr="00393123" w:rsidRDefault="00AD7D2B" w:rsidP="00AD7D2B">
      <w:pPr>
        <w:spacing w:line="360" w:lineRule="auto"/>
        <w:jc w:val="both"/>
        <w:rPr>
          <w:rFonts w:ascii="Palatino Linotype" w:eastAsiaTheme="minorEastAsia" w:hAnsi="Palatino Linotype"/>
          <w:lang w:val="es-ES_tradnl" w:eastAsia="es-ES"/>
        </w:rPr>
      </w:pPr>
      <w:bookmarkStart w:id="0" w:name="_GoBack"/>
      <w:bookmarkEnd w:id="0"/>
      <w:r w:rsidRPr="00393123">
        <w:rPr>
          <w:rFonts w:ascii="Palatino Linotype" w:eastAsiaTheme="minorEastAsia" w:hAnsi="Palatino Linotype"/>
          <w:lang w:val="es-ES_tradnl" w:eastAsia="es-ES"/>
        </w:rPr>
        <w:t xml:space="preserve">Resolución del Pleno del Instituto de Transparencia, Acceso a la Información Pública y Protección de Datos Personales del Estado de México y Municipios, con domicilio en Metepec, Estado de México; de fecha </w:t>
      </w:r>
      <w:r w:rsidR="001D73AE" w:rsidRPr="00393123">
        <w:rPr>
          <w:rFonts w:ascii="Palatino Linotype" w:eastAsiaTheme="minorEastAsia" w:hAnsi="Palatino Linotype"/>
          <w:lang w:val="es-ES_tradnl" w:eastAsia="es-ES"/>
        </w:rPr>
        <w:t>doce (12</w:t>
      </w:r>
      <w:r w:rsidRPr="00393123">
        <w:rPr>
          <w:rFonts w:ascii="Palatino Linotype" w:eastAsiaTheme="minorEastAsia" w:hAnsi="Palatino Linotype"/>
          <w:lang w:val="es-ES_tradnl" w:eastAsia="es-ES"/>
        </w:rPr>
        <w:t>) de ju</w:t>
      </w:r>
      <w:r w:rsidR="001D73AE" w:rsidRPr="00393123">
        <w:rPr>
          <w:rFonts w:ascii="Palatino Linotype" w:eastAsiaTheme="minorEastAsia" w:hAnsi="Palatino Linotype"/>
          <w:lang w:val="es-ES_tradnl" w:eastAsia="es-ES"/>
        </w:rPr>
        <w:t>l</w:t>
      </w:r>
      <w:r w:rsidRPr="00393123">
        <w:rPr>
          <w:rFonts w:ascii="Palatino Linotype" w:eastAsiaTheme="minorEastAsia" w:hAnsi="Palatino Linotype"/>
          <w:lang w:val="es-ES_tradnl" w:eastAsia="es-ES"/>
        </w:rPr>
        <w:t>io de dos mil veintitrés.</w:t>
      </w:r>
    </w:p>
    <w:p w:rsidR="00AD7D2B" w:rsidRPr="00393123" w:rsidRDefault="00AD7D2B" w:rsidP="00AD7D2B">
      <w:pPr>
        <w:spacing w:line="360" w:lineRule="auto"/>
        <w:jc w:val="both"/>
        <w:rPr>
          <w:rFonts w:ascii="Palatino Linotype" w:eastAsiaTheme="minorEastAsia" w:hAnsi="Palatino Linotype"/>
          <w:lang w:val="es-ES_tradnl" w:eastAsia="es-ES"/>
        </w:rPr>
      </w:pPr>
    </w:p>
    <w:p w:rsidR="00AD7D2B" w:rsidRPr="00393123" w:rsidRDefault="00AD7D2B" w:rsidP="00AD7D2B">
      <w:pPr>
        <w:spacing w:line="360" w:lineRule="auto"/>
        <w:jc w:val="both"/>
        <w:rPr>
          <w:rFonts w:ascii="Palatino Linotype" w:hAnsi="Palatino Linotype"/>
        </w:rPr>
      </w:pPr>
      <w:r w:rsidRPr="00393123">
        <w:rPr>
          <w:rFonts w:ascii="Palatino Linotype" w:hAnsi="Palatino Linotype"/>
          <w:b/>
        </w:rPr>
        <w:t>VISTO</w:t>
      </w:r>
      <w:r w:rsidRPr="00393123">
        <w:rPr>
          <w:rFonts w:ascii="Palatino Linotype" w:hAnsi="Palatino Linotype"/>
        </w:rPr>
        <w:t xml:space="preserve"> el expediente electrónico formado con motivo del recurso de revisión </w:t>
      </w:r>
      <w:r w:rsidRPr="00393123">
        <w:rPr>
          <w:rFonts w:ascii="Palatino Linotype" w:hAnsi="Palatino Linotype"/>
          <w:b/>
        </w:rPr>
        <w:t>00893/INFOEM/IP/RR/2023,</w:t>
      </w:r>
      <w:r w:rsidRPr="00393123">
        <w:rPr>
          <w:rFonts w:ascii="Palatino Linotype" w:hAnsi="Palatino Linotype" w:cs="Arial"/>
          <w:b/>
          <w:bCs/>
        </w:rPr>
        <w:t xml:space="preserve"> </w:t>
      </w:r>
      <w:r w:rsidRPr="00393123">
        <w:rPr>
          <w:rFonts w:ascii="Palatino Linotype" w:eastAsiaTheme="minorEastAsia" w:hAnsi="Palatino Linotype"/>
          <w:lang w:val="es-ES_tradnl" w:eastAsia="es-ES"/>
        </w:rPr>
        <w:t xml:space="preserve">promovido por </w:t>
      </w:r>
      <w:r w:rsidR="00786A2F">
        <w:rPr>
          <w:rFonts w:ascii="Palatino Linotype" w:eastAsiaTheme="minorEastAsia" w:hAnsi="Palatino Linotype"/>
          <w:b/>
          <w:bCs/>
          <w:lang w:eastAsia="es-ES"/>
        </w:rPr>
        <w:t xml:space="preserve">XXX </w:t>
      </w:r>
      <w:proofErr w:type="spellStart"/>
      <w:r w:rsidR="00786A2F">
        <w:rPr>
          <w:rFonts w:ascii="Palatino Linotype" w:eastAsiaTheme="minorEastAsia" w:hAnsi="Palatino Linotype"/>
          <w:b/>
          <w:bCs/>
          <w:lang w:eastAsia="es-ES"/>
        </w:rPr>
        <w:t>XXX</w:t>
      </w:r>
      <w:proofErr w:type="spellEnd"/>
      <w:r w:rsidR="00786A2F">
        <w:rPr>
          <w:rFonts w:ascii="Palatino Linotype" w:eastAsiaTheme="minorEastAsia" w:hAnsi="Palatino Linotype"/>
          <w:b/>
          <w:bCs/>
          <w:lang w:eastAsia="es-ES"/>
        </w:rPr>
        <w:t xml:space="preserve"> </w:t>
      </w:r>
      <w:proofErr w:type="spellStart"/>
      <w:r w:rsidR="00786A2F">
        <w:rPr>
          <w:rFonts w:ascii="Palatino Linotype" w:eastAsiaTheme="minorEastAsia" w:hAnsi="Palatino Linotype"/>
          <w:b/>
          <w:bCs/>
          <w:lang w:eastAsia="es-ES"/>
        </w:rPr>
        <w:t>XXX</w:t>
      </w:r>
      <w:proofErr w:type="spellEnd"/>
      <w:r w:rsidRPr="00393123">
        <w:rPr>
          <w:rFonts w:ascii="Palatino Linotype" w:eastAsiaTheme="minorEastAsia" w:hAnsi="Palatino Linotype"/>
          <w:b/>
          <w:bCs/>
          <w:lang w:eastAsia="es-ES"/>
        </w:rPr>
        <w:t xml:space="preserve">, </w:t>
      </w:r>
      <w:r w:rsidRPr="00393123">
        <w:rPr>
          <w:rFonts w:ascii="Palatino Linotype" w:eastAsiaTheme="minorEastAsia" w:hAnsi="Palatino Linotype"/>
          <w:bCs/>
          <w:lang w:eastAsia="es-ES"/>
        </w:rPr>
        <w:t>a</w:t>
      </w:r>
      <w:r w:rsidRPr="00393123">
        <w:rPr>
          <w:rFonts w:ascii="Palatino Linotype" w:eastAsiaTheme="minorEastAsia" w:hAnsi="Palatino Linotype"/>
          <w:b/>
          <w:bCs/>
          <w:lang w:eastAsia="es-ES"/>
        </w:rPr>
        <w:t xml:space="preserve"> </w:t>
      </w:r>
      <w:r w:rsidRPr="00393123">
        <w:rPr>
          <w:rFonts w:ascii="Palatino Linotype" w:eastAsiaTheme="minorEastAsia" w:hAnsi="Palatino Linotype"/>
          <w:lang w:eastAsia="es-ES"/>
        </w:rPr>
        <w:t xml:space="preserve">quien </w:t>
      </w:r>
      <w:r w:rsidRPr="00393123">
        <w:rPr>
          <w:rFonts w:ascii="Palatino Linotype" w:hAnsi="Palatino Linotype"/>
        </w:rPr>
        <w:t xml:space="preserve">en lo sucesivo se identificará como </w:t>
      </w:r>
      <w:r w:rsidRPr="00393123">
        <w:rPr>
          <w:rFonts w:ascii="Palatino Linotype" w:hAnsi="Palatino Linotype"/>
          <w:b/>
        </w:rPr>
        <w:t xml:space="preserve">EL </w:t>
      </w:r>
      <w:r w:rsidRPr="00393123">
        <w:rPr>
          <w:rFonts w:ascii="Palatino Linotype" w:hAnsi="Palatino Linotype" w:cs="Arial"/>
          <w:b/>
        </w:rPr>
        <w:t>RECURRENTE</w:t>
      </w:r>
      <w:r w:rsidRPr="00393123">
        <w:rPr>
          <w:rFonts w:ascii="Palatino Linotype" w:hAnsi="Palatino Linotype" w:cs="Arial"/>
        </w:rPr>
        <w:t xml:space="preserve">, en contra de la respuesta del </w:t>
      </w:r>
      <w:r w:rsidRPr="00393123">
        <w:rPr>
          <w:rFonts w:ascii="Palatino Linotype" w:hAnsi="Palatino Linotype" w:cs="Arial"/>
          <w:b/>
          <w:bCs/>
        </w:rPr>
        <w:t xml:space="preserve">Instituto de Seguridad Social del Estado de México y Municipios, </w:t>
      </w:r>
      <w:r w:rsidRPr="00393123">
        <w:rPr>
          <w:rFonts w:ascii="Palatino Linotype" w:hAnsi="Palatino Linotype"/>
        </w:rPr>
        <w:t xml:space="preserve">en </w:t>
      </w:r>
      <w:r w:rsidR="00393123">
        <w:rPr>
          <w:rFonts w:ascii="Palatino Linotype" w:hAnsi="Palatino Linotype"/>
        </w:rPr>
        <w:t>adelante</w:t>
      </w:r>
      <w:r w:rsidRPr="00393123">
        <w:rPr>
          <w:rFonts w:ascii="Palatino Linotype" w:hAnsi="Palatino Linotype"/>
        </w:rPr>
        <w:t xml:space="preserve"> el</w:t>
      </w:r>
      <w:r w:rsidRPr="00393123">
        <w:rPr>
          <w:rFonts w:ascii="Palatino Linotype" w:hAnsi="Palatino Linotype"/>
          <w:b/>
        </w:rPr>
        <w:t xml:space="preserve"> SUJETO OBLIGADO</w:t>
      </w:r>
      <w:r w:rsidRPr="00393123">
        <w:rPr>
          <w:rFonts w:ascii="Palatino Linotype" w:hAnsi="Palatino Linotype"/>
        </w:rPr>
        <w:t>, por lo que se procede a dictar la presente resolución, con base en los siguientes:</w:t>
      </w:r>
    </w:p>
    <w:p w:rsidR="00AD7D2B" w:rsidRPr="00393123" w:rsidRDefault="00AD7D2B" w:rsidP="00AD7D2B">
      <w:pPr>
        <w:spacing w:line="360" w:lineRule="auto"/>
        <w:jc w:val="both"/>
        <w:rPr>
          <w:rFonts w:ascii="Palatino Linotype" w:hAnsi="Palatino Linotype"/>
        </w:rPr>
      </w:pPr>
    </w:p>
    <w:p w:rsidR="00AD7D2B" w:rsidRPr="00393123" w:rsidRDefault="00AD7D2B" w:rsidP="00AD7D2B">
      <w:pPr>
        <w:keepNext/>
        <w:keepLines/>
        <w:spacing w:line="360" w:lineRule="auto"/>
        <w:jc w:val="center"/>
        <w:outlineLvl w:val="0"/>
        <w:rPr>
          <w:rFonts w:ascii="Palatino Linotype" w:eastAsiaTheme="majorEastAsia" w:hAnsi="Palatino Linotype" w:cstheme="majorBidi"/>
          <w:b/>
        </w:rPr>
      </w:pPr>
      <w:bookmarkStart w:id="1" w:name="_Toc83301633"/>
      <w:r w:rsidRPr="00393123">
        <w:rPr>
          <w:rFonts w:ascii="Palatino Linotype" w:eastAsiaTheme="majorEastAsia" w:hAnsi="Palatino Linotype" w:cstheme="majorBidi"/>
          <w:b/>
        </w:rPr>
        <w:t>ANTECEDENTES</w:t>
      </w:r>
      <w:bookmarkEnd w:id="1"/>
    </w:p>
    <w:p w:rsidR="00AD7D2B" w:rsidRPr="00393123" w:rsidRDefault="00AD7D2B" w:rsidP="00AD7D2B">
      <w:pPr>
        <w:spacing w:line="360" w:lineRule="auto"/>
        <w:rPr>
          <w:rFonts w:ascii="Palatino Linotype" w:eastAsiaTheme="minorEastAsia" w:hAnsi="Palatino Linotype"/>
        </w:rPr>
      </w:pPr>
    </w:p>
    <w:p w:rsidR="00AD7D2B" w:rsidRPr="00393123" w:rsidRDefault="00AD7D2B" w:rsidP="00AD7D2B">
      <w:pPr>
        <w:numPr>
          <w:ilvl w:val="0"/>
          <w:numId w:val="1"/>
        </w:numPr>
        <w:spacing w:line="360" w:lineRule="auto"/>
        <w:ind w:left="0" w:firstLine="0"/>
        <w:contextualSpacing/>
        <w:jc w:val="both"/>
        <w:rPr>
          <w:rFonts w:ascii="Palatino Linotype" w:hAnsi="Palatino Linotype" w:cs="Arial"/>
          <w:lang w:val="es-ES" w:eastAsia="es-ES"/>
        </w:rPr>
      </w:pPr>
      <w:r w:rsidRPr="00393123">
        <w:rPr>
          <w:rFonts w:ascii="Palatino Linotype" w:eastAsia="Calibri" w:hAnsi="Palatino Linotype" w:cs="Arial"/>
          <w:lang w:val="es-ES" w:eastAsia="es-ES"/>
        </w:rPr>
        <w:t>El diecinueve (19) de enero de dos mil veintitrés,</w:t>
      </w:r>
      <w:r w:rsidRPr="00393123">
        <w:rPr>
          <w:rFonts w:ascii="Palatino Linotype" w:eastAsia="Calibri" w:hAnsi="Palatino Linotype"/>
          <w:lang w:val="es-ES" w:eastAsia="es-ES"/>
        </w:rPr>
        <w:t xml:space="preserve"> </w:t>
      </w:r>
      <w:r w:rsidRPr="00393123">
        <w:rPr>
          <w:rFonts w:ascii="Palatino Linotype" w:eastAsia="Calibri" w:hAnsi="Palatino Linotype"/>
          <w:b/>
          <w:lang w:val="es-ES" w:eastAsia="es-ES"/>
        </w:rPr>
        <w:t>EL RECURRENTE</w:t>
      </w:r>
      <w:r w:rsidRPr="00393123">
        <w:rPr>
          <w:rFonts w:ascii="Palatino Linotype" w:eastAsiaTheme="minorEastAsia" w:hAnsi="Palatino Linotype"/>
          <w:b/>
          <w:lang w:val="es-ES_tradnl" w:eastAsia="es-ES"/>
        </w:rPr>
        <w:t>,</w:t>
      </w:r>
      <w:r w:rsidRPr="00393123">
        <w:rPr>
          <w:rFonts w:ascii="Palatino Linotype" w:eastAsia="Calibri" w:hAnsi="Palatino Linotype" w:cs="Arial"/>
          <w:lang w:val="es-ES" w:eastAsia="es-ES"/>
        </w:rPr>
        <w:t xml:space="preserve"> ante el </w:t>
      </w:r>
      <w:r w:rsidRPr="00393123">
        <w:rPr>
          <w:rFonts w:ascii="Palatino Linotype" w:eastAsia="Calibri" w:hAnsi="Palatino Linotype" w:cs="Arial"/>
          <w:b/>
          <w:lang w:val="es-ES" w:eastAsia="es-ES"/>
        </w:rPr>
        <w:t>SUJETO OBLIGADO</w:t>
      </w:r>
      <w:r w:rsidR="00393123">
        <w:rPr>
          <w:rFonts w:ascii="Palatino Linotype" w:eastAsia="Calibri" w:hAnsi="Palatino Linotype" w:cs="Arial"/>
          <w:b/>
          <w:lang w:val="es-ES" w:eastAsia="es-ES"/>
        </w:rPr>
        <w:t>,</w:t>
      </w:r>
      <w:r w:rsidRPr="00393123">
        <w:rPr>
          <w:rFonts w:ascii="Palatino Linotype" w:eastAsia="Calibri" w:hAnsi="Palatino Linotype" w:cs="Arial"/>
          <w:lang w:val="es-ES_tradnl" w:eastAsia="es-ES"/>
        </w:rPr>
        <w:t xml:space="preserve"> vía </w:t>
      </w:r>
      <w:r w:rsidRPr="00393123">
        <w:rPr>
          <w:rFonts w:ascii="Palatino Linotype" w:eastAsia="Calibri" w:hAnsi="Palatino Linotype" w:cs="Arial"/>
          <w:lang w:val="es-ES" w:eastAsia="es-ES"/>
        </w:rPr>
        <w:t>Sistema de Acceso a la Información Mexiquense (</w:t>
      </w:r>
      <w:r w:rsidRPr="00393123">
        <w:rPr>
          <w:rFonts w:ascii="Palatino Linotype" w:eastAsia="Calibri" w:hAnsi="Palatino Linotype" w:cs="Arial"/>
          <w:b/>
          <w:lang w:val="es-ES" w:eastAsia="es-ES"/>
        </w:rPr>
        <w:t>SAIMEX)</w:t>
      </w:r>
      <w:r w:rsidRPr="00393123">
        <w:rPr>
          <w:rFonts w:ascii="Palatino Linotype" w:eastAsia="Calibri" w:hAnsi="Palatino Linotype" w:cs="Arial"/>
          <w:lang w:val="es-ES" w:eastAsia="es-ES"/>
        </w:rPr>
        <w:t xml:space="preserve">, presentó una solicitud de información registrada con el número </w:t>
      </w:r>
      <w:r w:rsidRPr="00393123">
        <w:rPr>
          <w:rFonts w:ascii="Palatino Linotype" w:hAnsi="Palatino Linotype"/>
          <w:b/>
          <w:bCs/>
        </w:rPr>
        <w:t>00062/ISSEMYM/IP/2023</w:t>
      </w:r>
      <w:r w:rsidRPr="00393123">
        <w:rPr>
          <w:rFonts w:ascii="Palatino Linotype" w:eastAsiaTheme="minorEastAsia" w:hAnsi="Palatino Linotype"/>
          <w:b/>
          <w:lang w:val="es-ES_tradnl" w:eastAsia="es-ES"/>
        </w:rPr>
        <w:t xml:space="preserve">, </w:t>
      </w:r>
      <w:r w:rsidR="00393123">
        <w:rPr>
          <w:rFonts w:ascii="Palatino Linotype" w:eastAsia="Calibri" w:hAnsi="Palatino Linotype" w:cs="Arial"/>
          <w:lang w:val="es-ES" w:eastAsia="es-ES"/>
        </w:rPr>
        <w:t>en la que</w:t>
      </w:r>
      <w:r w:rsidRPr="00393123">
        <w:rPr>
          <w:rFonts w:ascii="Palatino Linotype" w:eastAsia="Calibri" w:hAnsi="Palatino Linotype" w:cs="Arial"/>
          <w:lang w:val="es-ES" w:eastAsia="es-ES"/>
        </w:rPr>
        <w:t xml:space="preserve"> solicitó lo siguiente:</w:t>
      </w:r>
    </w:p>
    <w:p w:rsidR="00AD7D2B" w:rsidRPr="00393123" w:rsidRDefault="00AD7D2B" w:rsidP="00AD7D2B">
      <w:pPr>
        <w:spacing w:line="360" w:lineRule="auto"/>
        <w:contextualSpacing/>
        <w:jc w:val="both"/>
        <w:rPr>
          <w:rFonts w:ascii="Palatino Linotype" w:hAnsi="Palatino Linotype" w:cs="Arial"/>
          <w:lang w:val="es-ES" w:eastAsia="es-ES"/>
        </w:rPr>
      </w:pPr>
    </w:p>
    <w:p w:rsidR="00AD7D2B" w:rsidRPr="00393123" w:rsidRDefault="00AD7D2B" w:rsidP="00AD7D2B">
      <w:pPr>
        <w:pStyle w:val="Prrafodelista"/>
        <w:spacing w:line="360" w:lineRule="auto"/>
        <w:ind w:left="1069" w:right="567"/>
        <w:jc w:val="both"/>
        <w:rPr>
          <w:rFonts w:ascii="Palatino Linotype" w:hAnsi="Palatino Linotype"/>
          <w:i/>
          <w:color w:val="000000"/>
          <w:sz w:val="24"/>
        </w:rPr>
      </w:pPr>
      <w:r w:rsidRPr="00393123">
        <w:rPr>
          <w:rFonts w:ascii="Palatino Linotype" w:hAnsi="Palatino Linotype"/>
          <w:i/>
          <w:color w:val="000000"/>
          <w:sz w:val="24"/>
        </w:rPr>
        <w:t xml:space="preserve"> “En torno a lai respuesta a mi solicitud con folio e la cual me contestaron parcialmente, necesito que me entreguen en papel membretado por la institución el nombre de los 2 médicos que relacionan en el escrito 207C0401040120L/AAQHRT/211/2022, los cuales atienden un total de 320 </w:t>
      </w:r>
      <w:r w:rsidRPr="00393123">
        <w:rPr>
          <w:rFonts w:ascii="Palatino Linotype" w:hAnsi="Palatino Linotype"/>
          <w:i/>
          <w:color w:val="000000"/>
          <w:sz w:val="24"/>
        </w:rPr>
        <w:lastRenderedPageBreak/>
        <w:t xml:space="preserve">consultas por mes. Soy un derechohabiente que le diagnosticaron coxartrosis de cadera grado III, por lo que de mi clinica familiar me canalizaron al hospital regional, sin embargo necesito saber cual es el procedimiento a seguir para que entonces me canalicen al centro médico ya que ahi si cuentan con medicos con dicha alta especialidad que tratan este tipo de padecimientos. Si abren agenda a finales de enero, me podrián dar respuesta antes de la fecha limite?” (Sic) </w:t>
      </w:r>
    </w:p>
    <w:p w:rsidR="00AD7D2B" w:rsidRPr="00393123" w:rsidRDefault="00AD7D2B" w:rsidP="00AD7D2B">
      <w:pPr>
        <w:pStyle w:val="Prrafodelista"/>
        <w:spacing w:line="360" w:lineRule="auto"/>
        <w:ind w:left="1069" w:right="567"/>
        <w:jc w:val="both"/>
        <w:rPr>
          <w:rFonts w:ascii="Palatino Linotype" w:hAnsi="Palatino Linotype"/>
          <w:i/>
          <w:color w:val="000000"/>
          <w:sz w:val="24"/>
        </w:rPr>
      </w:pPr>
    </w:p>
    <w:p w:rsidR="00AD7D2B" w:rsidRPr="00393123" w:rsidRDefault="00AD7D2B" w:rsidP="00AD7D2B">
      <w:pPr>
        <w:numPr>
          <w:ilvl w:val="0"/>
          <w:numId w:val="1"/>
        </w:numPr>
        <w:spacing w:line="360" w:lineRule="auto"/>
        <w:ind w:left="0" w:firstLine="0"/>
        <w:contextualSpacing/>
        <w:jc w:val="both"/>
        <w:rPr>
          <w:rFonts w:ascii="Palatino Linotype" w:eastAsia="Calibri" w:hAnsi="Palatino Linotype"/>
          <w:lang w:val="es-ES" w:eastAsia="es-ES"/>
        </w:rPr>
      </w:pPr>
      <w:r w:rsidRPr="00393123">
        <w:rPr>
          <w:rFonts w:ascii="Palatino Linotype" w:eastAsia="Calibri" w:hAnsi="Palatino Linotype"/>
          <w:lang w:val="es-ES" w:eastAsia="es-ES"/>
        </w:rPr>
        <w:t>Se eligió como modalidad de entrega a través de la plataforma digital Sistema de Acceso a la Información Mexiquense (SAIMEX).</w:t>
      </w:r>
    </w:p>
    <w:p w:rsidR="00AD7D2B" w:rsidRPr="00393123" w:rsidRDefault="00AD7D2B" w:rsidP="00AD7D2B">
      <w:pPr>
        <w:spacing w:line="360" w:lineRule="auto"/>
        <w:contextualSpacing/>
        <w:jc w:val="both"/>
        <w:rPr>
          <w:rFonts w:ascii="Palatino Linotype" w:eastAsia="Calibri" w:hAnsi="Palatino Linotype"/>
          <w:lang w:val="es-ES" w:eastAsia="es-ES"/>
        </w:rPr>
      </w:pPr>
    </w:p>
    <w:p w:rsidR="00AD7D2B" w:rsidRPr="00393123" w:rsidRDefault="00AD7D2B" w:rsidP="00AD7D2B">
      <w:pPr>
        <w:numPr>
          <w:ilvl w:val="0"/>
          <w:numId w:val="1"/>
        </w:numPr>
        <w:spacing w:line="360" w:lineRule="auto"/>
        <w:ind w:left="0" w:firstLine="0"/>
        <w:contextualSpacing/>
        <w:jc w:val="both"/>
        <w:rPr>
          <w:rFonts w:ascii="Palatino Linotype" w:eastAsia="Calibri" w:hAnsi="Palatino Linotype"/>
          <w:lang w:val="es-ES" w:eastAsia="es-ES"/>
        </w:rPr>
      </w:pPr>
      <w:r w:rsidRPr="00393123">
        <w:rPr>
          <w:rFonts w:ascii="Palatino Linotype" w:eastAsia="Calibri" w:hAnsi="Palatino Linotype"/>
          <w:lang w:val="es-ES" w:eastAsia="es-ES"/>
        </w:rPr>
        <w:t xml:space="preserve">El diecinueve (19) de enero de dos mil veintitrés, se realizó un requerimiento al servidor público habilitado. </w:t>
      </w:r>
    </w:p>
    <w:p w:rsidR="00AD7D2B" w:rsidRPr="00393123" w:rsidRDefault="00AD7D2B" w:rsidP="00AD7D2B">
      <w:pPr>
        <w:spacing w:line="360" w:lineRule="auto"/>
        <w:contextualSpacing/>
        <w:jc w:val="both"/>
        <w:rPr>
          <w:rFonts w:ascii="Palatino Linotype" w:eastAsia="Calibri" w:hAnsi="Palatino Linotype"/>
          <w:lang w:val="es-ES" w:eastAsia="es-ES"/>
        </w:rPr>
      </w:pPr>
    </w:p>
    <w:p w:rsidR="00AD7D2B" w:rsidRPr="00393123" w:rsidRDefault="00AD7D2B" w:rsidP="00AD7D2B">
      <w:pPr>
        <w:numPr>
          <w:ilvl w:val="0"/>
          <w:numId w:val="1"/>
        </w:numPr>
        <w:spacing w:line="360" w:lineRule="auto"/>
        <w:ind w:left="0" w:firstLine="0"/>
        <w:contextualSpacing/>
        <w:jc w:val="both"/>
        <w:rPr>
          <w:rFonts w:ascii="Palatino Linotype" w:eastAsia="Calibri" w:hAnsi="Palatino Linotype"/>
          <w:lang w:val="es-ES" w:eastAsia="es-ES"/>
        </w:rPr>
      </w:pPr>
      <w:r w:rsidRPr="00393123">
        <w:rPr>
          <w:rFonts w:ascii="Palatino Linotype" w:eastAsiaTheme="minorEastAsia" w:hAnsi="Palatino Linotype"/>
          <w:lang w:val="es-ES_tradnl" w:eastAsia="es-ES"/>
        </w:rPr>
        <w:t xml:space="preserve">El diez (10) de febrero de dos mil veintitrés, </w:t>
      </w:r>
      <w:r w:rsidRPr="00393123">
        <w:rPr>
          <w:rFonts w:ascii="Palatino Linotype" w:eastAsia="Calibri" w:hAnsi="Palatino Linotype"/>
          <w:lang w:val="es-ES" w:eastAsia="es-ES"/>
        </w:rPr>
        <w:t xml:space="preserve">el </w:t>
      </w:r>
      <w:r w:rsidRPr="00393123">
        <w:rPr>
          <w:rFonts w:ascii="Palatino Linotype" w:eastAsia="Calibri" w:hAnsi="Palatino Linotype" w:cs="Arial"/>
          <w:b/>
          <w:lang w:val="es-AR" w:eastAsia="es-ES"/>
        </w:rPr>
        <w:t>SUJETO OBLIGADO</w:t>
      </w:r>
      <w:r w:rsidRPr="00393123">
        <w:rPr>
          <w:rFonts w:ascii="Palatino Linotype" w:eastAsia="Calibri" w:hAnsi="Palatino Linotype" w:cs="Arial"/>
          <w:b/>
          <w:i/>
          <w:lang w:val="es-AR" w:eastAsia="es-ES"/>
        </w:rPr>
        <w:t xml:space="preserve"> </w:t>
      </w:r>
      <w:r w:rsidRPr="00393123">
        <w:rPr>
          <w:rFonts w:ascii="Palatino Linotype" w:hAnsi="Palatino Linotype" w:cs="Arial"/>
          <w:lang w:val="es-ES" w:eastAsia="es-ES"/>
        </w:rPr>
        <w:t>dio respuesta a la solicitud de información en los siguientes términos:</w:t>
      </w:r>
    </w:p>
    <w:p w:rsidR="00AD7D2B" w:rsidRPr="00393123" w:rsidRDefault="00AD7D2B" w:rsidP="00AD7D2B">
      <w:pPr>
        <w:spacing w:line="360" w:lineRule="auto"/>
        <w:contextualSpacing/>
        <w:jc w:val="both"/>
        <w:rPr>
          <w:rFonts w:ascii="Palatino Linotype" w:eastAsia="Calibri" w:hAnsi="Palatino Linotype"/>
          <w:lang w:val="es-ES" w:eastAsia="es-ES"/>
        </w:rPr>
      </w:pPr>
    </w:p>
    <w:tbl>
      <w:tblPr>
        <w:tblW w:w="7015" w:type="dxa"/>
        <w:jc w:val="center"/>
        <w:tblCellSpacing w:w="0" w:type="dxa"/>
        <w:tblCellMar>
          <w:left w:w="0" w:type="dxa"/>
          <w:right w:w="0" w:type="dxa"/>
        </w:tblCellMar>
        <w:tblLook w:val="04A0" w:firstRow="1" w:lastRow="0" w:firstColumn="1" w:lastColumn="0" w:noHBand="0" w:noVBand="1"/>
      </w:tblPr>
      <w:tblGrid>
        <w:gridCol w:w="7015"/>
      </w:tblGrid>
      <w:tr w:rsidR="00AD7D2B" w:rsidRPr="00393123" w:rsidTr="00AD7D2B">
        <w:trPr>
          <w:trHeight w:val="308"/>
          <w:tblCellSpacing w:w="0" w:type="dxa"/>
          <w:jc w:val="center"/>
        </w:trPr>
        <w:tc>
          <w:tcPr>
            <w:tcW w:w="0" w:type="auto"/>
            <w:vAlign w:val="center"/>
            <w:hideMark/>
          </w:tcPr>
          <w:p w:rsidR="00AD7D2B" w:rsidRPr="00393123" w:rsidRDefault="00AD7D2B" w:rsidP="00AD7D2B">
            <w:pPr>
              <w:jc w:val="right"/>
              <w:rPr>
                <w:rFonts w:ascii="Palatino Linotype" w:hAnsi="Palatino Linotype"/>
                <w:i/>
                <w:lang w:val="es-ES" w:eastAsia="es-ES"/>
              </w:rPr>
            </w:pPr>
            <w:r w:rsidRPr="00393123">
              <w:rPr>
                <w:rFonts w:ascii="Palatino Linotype" w:hAnsi="Palatino Linotype"/>
                <w:i/>
                <w:lang w:val="es-ES" w:eastAsia="es-ES"/>
              </w:rPr>
              <w:t>“Metepec, México a 10 de Febrero de 2023</w:t>
            </w:r>
          </w:p>
        </w:tc>
      </w:tr>
      <w:tr w:rsidR="00AD7D2B" w:rsidRPr="00393123" w:rsidTr="00AD7D2B">
        <w:trPr>
          <w:trHeight w:val="308"/>
          <w:tblCellSpacing w:w="0" w:type="dxa"/>
          <w:jc w:val="center"/>
        </w:trPr>
        <w:tc>
          <w:tcPr>
            <w:tcW w:w="0" w:type="auto"/>
            <w:vAlign w:val="center"/>
            <w:hideMark/>
          </w:tcPr>
          <w:p w:rsidR="00AD7D2B" w:rsidRPr="00393123" w:rsidRDefault="00AD7D2B" w:rsidP="00AD7D2B">
            <w:pPr>
              <w:jc w:val="right"/>
              <w:rPr>
                <w:rFonts w:ascii="Palatino Linotype" w:hAnsi="Palatino Linotype"/>
                <w:i/>
                <w:lang w:val="es-ES" w:eastAsia="es-ES"/>
              </w:rPr>
            </w:pPr>
            <w:r w:rsidRPr="00393123">
              <w:rPr>
                <w:rFonts w:ascii="Palatino Linotype" w:hAnsi="Palatino Linotype"/>
                <w:i/>
                <w:lang w:val="es-ES" w:eastAsia="es-ES"/>
              </w:rPr>
              <w:t>Nombre del solicitante: C. Solicitante</w:t>
            </w:r>
          </w:p>
        </w:tc>
      </w:tr>
      <w:tr w:rsidR="00AD7D2B" w:rsidRPr="00393123" w:rsidTr="00AD7D2B">
        <w:trPr>
          <w:trHeight w:val="308"/>
          <w:tblCellSpacing w:w="0" w:type="dxa"/>
          <w:jc w:val="center"/>
        </w:trPr>
        <w:tc>
          <w:tcPr>
            <w:tcW w:w="0" w:type="auto"/>
            <w:vAlign w:val="center"/>
            <w:hideMark/>
          </w:tcPr>
          <w:p w:rsidR="00AD7D2B" w:rsidRPr="00393123" w:rsidRDefault="00AD7D2B" w:rsidP="00AD7D2B">
            <w:pPr>
              <w:jc w:val="right"/>
              <w:rPr>
                <w:rFonts w:ascii="Palatino Linotype" w:hAnsi="Palatino Linotype"/>
                <w:i/>
                <w:lang w:val="es-ES" w:eastAsia="es-ES"/>
              </w:rPr>
            </w:pPr>
            <w:r w:rsidRPr="00393123">
              <w:rPr>
                <w:rFonts w:ascii="Palatino Linotype" w:hAnsi="Palatino Linotype"/>
                <w:i/>
                <w:lang w:val="es-ES" w:eastAsia="es-ES"/>
              </w:rPr>
              <w:t>Folio de la solicitud: 00062/ISSEMYM/IP/2023</w:t>
            </w:r>
          </w:p>
        </w:tc>
      </w:tr>
      <w:tr w:rsidR="00AD7D2B" w:rsidRPr="00393123" w:rsidTr="00AD7D2B">
        <w:trPr>
          <w:trHeight w:val="463"/>
          <w:tblCellSpacing w:w="0" w:type="dxa"/>
          <w:jc w:val="center"/>
        </w:trPr>
        <w:tc>
          <w:tcPr>
            <w:tcW w:w="0" w:type="auto"/>
            <w:vAlign w:val="center"/>
            <w:hideMark/>
          </w:tcPr>
          <w:p w:rsidR="00AD7D2B" w:rsidRPr="00393123" w:rsidRDefault="00AD7D2B" w:rsidP="00AD7D2B">
            <w:pPr>
              <w:jc w:val="right"/>
              <w:rPr>
                <w:rFonts w:ascii="Palatino Linotype" w:hAnsi="Palatino Linotype"/>
                <w:i/>
                <w:lang w:val="es-ES" w:eastAsia="es-ES"/>
              </w:rPr>
            </w:pPr>
          </w:p>
        </w:tc>
      </w:tr>
      <w:tr w:rsidR="00AD7D2B" w:rsidRPr="00393123" w:rsidTr="00AD7D2B">
        <w:trPr>
          <w:trHeight w:val="154"/>
          <w:tblCellSpacing w:w="0" w:type="dxa"/>
          <w:jc w:val="center"/>
        </w:trPr>
        <w:tc>
          <w:tcPr>
            <w:tcW w:w="0" w:type="auto"/>
            <w:vAlign w:val="center"/>
            <w:hideMark/>
          </w:tcPr>
          <w:p w:rsidR="00AD7D2B" w:rsidRPr="00393123" w:rsidRDefault="00AD7D2B" w:rsidP="00AD7D2B">
            <w:pPr>
              <w:rPr>
                <w:rFonts w:ascii="Palatino Linotype" w:hAnsi="Palatino Linotype"/>
                <w:i/>
                <w:lang w:val="es-ES" w:eastAsia="es-ES"/>
              </w:rPr>
            </w:pPr>
            <w:r w:rsidRPr="00393123">
              <w:rPr>
                <w:rFonts w:ascii="Palatino Linotype" w:hAnsi="Palatino Linotype"/>
                <w:i/>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AD7D2B" w:rsidRPr="00393123" w:rsidTr="00AD7D2B">
        <w:trPr>
          <w:trHeight w:val="386"/>
          <w:tblCellSpacing w:w="0" w:type="dxa"/>
          <w:jc w:val="center"/>
        </w:trPr>
        <w:tc>
          <w:tcPr>
            <w:tcW w:w="0" w:type="auto"/>
            <w:vAlign w:val="center"/>
            <w:hideMark/>
          </w:tcPr>
          <w:p w:rsidR="00AD7D2B" w:rsidRPr="00393123" w:rsidRDefault="00AD7D2B" w:rsidP="00AD7D2B">
            <w:pPr>
              <w:rPr>
                <w:rFonts w:ascii="Palatino Linotype" w:hAnsi="Palatino Linotype"/>
                <w:i/>
                <w:lang w:val="es-ES" w:eastAsia="es-ES"/>
              </w:rPr>
            </w:pPr>
          </w:p>
        </w:tc>
      </w:tr>
      <w:tr w:rsidR="00AD7D2B" w:rsidRPr="00393123" w:rsidTr="00AD7D2B">
        <w:trPr>
          <w:trHeight w:val="154"/>
          <w:tblCellSpacing w:w="0" w:type="dxa"/>
          <w:jc w:val="center"/>
        </w:trPr>
        <w:tc>
          <w:tcPr>
            <w:tcW w:w="0" w:type="auto"/>
            <w:vAlign w:val="center"/>
            <w:hideMark/>
          </w:tcPr>
          <w:p w:rsidR="00AD7D2B" w:rsidRPr="00393123" w:rsidRDefault="00AD7D2B" w:rsidP="00AD7D2B">
            <w:pPr>
              <w:rPr>
                <w:rFonts w:ascii="Palatino Linotype" w:hAnsi="Palatino Linotype"/>
                <w:i/>
                <w:lang w:val="es-ES" w:eastAsia="es-ES"/>
              </w:rPr>
            </w:pPr>
            <w:r w:rsidRPr="00393123">
              <w:rPr>
                <w:rFonts w:ascii="Palatino Linotype" w:hAnsi="Palatino Linotype"/>
                <w:i/>
                <w:lang w:val="es-ES" w:eastAsia="es-ES"/>
              </w:rPr>
              <w:t xml:space="preserve">Como archivo adjunto, encontrará el oficio que dará respuesta a su solicitud de información. Para cualquier duda o aclaración respecto a la </w:t>
            </w:r>
            <w:r w:rsidRPr="00393123">
              <w:rPr>
                <w:rFonts w:ascii="Palatino Linotype" w:hAnsi="Palatino Linotype"/>
                <w:i/>
                <w:lang w:val="es-ES" w:eastAsia="es-ES"/>
              </w:rPr>
              <w:lastRenderedPageBreak/>
              <w:t>presente respuesta, nos ponemos a sus órdenes en el teléfono (01722) 2261900 extensiones 1434072 y 1434073. MUY IMPORTANTE: Se hace de su conocimiento que, hasta nuevo aviso, por la contingencia sanitaria el horario para trámites en el Módulo de Transparencia es de 9:00 a 15:00 horas. Es indispensable que al presentarse lo realice con cubrebocas y pluma o bolígrafo personal, como medidas de seguridad sanitaria.</w:t>
            </w:r>
          </w:p>
        </w:tc>
      </w:tr>
      <w:tr w:rsidR="00AD7D2B" w:rsidRPr="00393123" w:rsidTr="00AD7D2B">
        <w:trPr>
          <w:trHeight w:val="386"/>
          <w:tblCellSpacing w:w="0" w:type="dxa"/>
          <w:jc w:val="center"/>
        </w:trPr>
        <w:tc>
          <w:tcPr>
            <w:tcW w:w="0" w:type="auto"/>
            <w:vAlign w:val="center"/>
            <w:hideMark/>
          </w:tcPr>
          <w:p w:rsidR="00AD7D2B" w:rsidRPr="00393123" w:rsidRDefault="00AD7D2B" w:rsidP="00AD7D2B">
            <w:pPr>
              <w:rPr>
                <w:rFonts w:ascii="Palatino Linotype" w:hAnsi="Palatino Linotype"/>
                <w:i/>
                <w:lang w:val="es-ES" w:eastAsia="es-ES"/>
              </w:rPr>
            </w:pPr>
          </w:p>
        </w:tc>
      </w:tr>
      <w:tr w:rsidR="00AD7D2B" w:rsidRPr="00393123" w:rsidTr="00AD7D2B">
        <w:trPr>
          <w:trHeight w:val="154"/>
          <w:tblCellSpacing w:w="0" w:type="dxa"/>
          <w:jc w:val="center"/>
        </w:trPr>
        <w:tc>
          <w:tcPr>
            <w:tcW w:w="0" w:type="auto"/>
            <w:vAlign w:val="center"/>
            <w:hideMark/>
          </w:tcPr>
          <w:p w:rsidR="00AD7D2B" w:rsidRPr="00393123" w:rsidRDefault="00AD7D2B" w:rsidP="00AD7D2B">
            <w:pPr>
              <w:jc w:val="center"/>
              <w:rPr>
                <w:rFonts w:ascii="Palatino Linotype" w:hAnsi="Palatino Linotype"/>
                <w:i/>
                <w:lang w:val="es-ES" w:eastAsia="es-ES"/>
              </w:rPr>
            </w:pPr>
          </w:p>
        </w:tc>
      </w:tr>
      <w:tr w:rsidR="00AD7D2B" w:rsidRPr="00393123" w:rsidTr="00AD7D2B">
        <w:trPr>
          <w:trHeight w:val="154"/>
          <w:tblCellSpacing w:w="0" w:type="dxa"/>
          <w:jc w:val="center"/>
        </w:trPr>
        <w:tc>
          <w:tcPr>
            <w:tcW w:w="0" w:type="auto"/>
            <w:vAlign w:val="center"/>
            <w:hideMark/>
          </w:tcPr>
          <w:p w:rsidR="00AD7D2B" w:rsidRPr="00393123" w:rsidRDefault="00AD7D2B" w:rsidP="00AD7D2B">
            <w:pPr>
              <w:rPr>
                <w:rFonts w:ascii="Palatino Linotype" w:hAnsi="Palatino Linotype"/>
                <w:i/>
                <w:lang w:val="es-ES" w:eastAsia="es-ES"/>
              </w:rPr>
            </w:pPr>
          </w:p>
        </w:tc>
      </w:tr>
      <w:tr w:rsidR="00AD7D2B" w:rsidRPr="00393123" w:rsidTr="00AD7D2B">
        <w:trPr>
          <w:trHeight w:val="154"/>
          <w:tblCellSpacing w:w="0" w:type="dxa"/>
          <w:jc w:val="center"/>
        </w:trPr>
        <w:tc>
          <w:tcPr>
            <w:tcW w:w="0" w:type="auto"/>
            <w:vAlign w:val="center"/>
            <w:hideMark/>
          </w:tcPr>
          <w:p w:rsidR="00AD7D2B" w:rsidRPr="00393123" w:rsidRDefault="00AD7D2B" w:rsidP="00AD7D2B">
            <w:pPr>
              <w:rPr>
                <w:rFonts w:ascii="Palatino Linotype" w:hAnsi="Palatino Linotype"/>
                <w:i/>
                <w:lang w:val="es-ES" w:eastAsia="es-ES"/>
              </w:rPr>
            </w:pPr>
            <w:r w:rsidRPr="00393123">
              <w:rPr>
                <w:rFonts w:ascii="Palatino Linotype" w:hAnsi="Palatino Linotype"/>
                <w:i/>
                <w:lang w:val="es-ES" w:eastAsia="es-ES"/>
              </w:rPr>
              <w:t>ATENTAMENTE</w:t>
            </w:r>
          </w:p>
        </w:tc>
      </w:tr>
      <w:tr w:rsidR="00AD7D2B" w:rsidRPr="00393123" w:rsidTr="00AD7D2B">
        <w:trPr>
          <w:trHeight w:val="231"/>
          <w:tblCellSpacing w:w="0" w:type="dxa"/>
          <w:jc w:val="center"/>
        </w:trPr>
        <w:tc>
          <w:tcPr>
            <w:tcW w:w="0" w:type="auto"/>
            <w:vAlign w:val="center"/>
            <w:hideMark/>
          </w:tcPr>
          <w:p w:rsidR="00AD7D2B" w:rsidRPr="00393123" w:rsidRDefault="00AD7D2B" w:rsidP="00AD7D2B">
            <w:pPr>
              <w:rPr>
                <w:rFonts w:ascii="Palatino Linotype" w:hAnsi="Palatino Linotype"/>
                <w:i/>
                <w:lang w:val="es-ES" w:eastAsia="es-ES"/>
              </w:rPr>
            </w:pPr>
          </w:p>
        </w:tc>
      </w:tr>
      <w:tr w:rsidR="00AD7D2B" w:rsidRPr="00393123" w:rsidTr="00AD7D2B">
        <w:trPr>
          <w:trHeight w:val="154"/>
          <w:tblCellSpacing w:w="0" w:type="dxa"/>
          <w:jc w:val="center"/>
        </w:trPr>
        <w:tc>
          <w:tcPr>
            <w:tcW w:w="0" w:type="auto"/>
            <w:vAlign w:val="center"/>
            <w:hideMark/>
          </w:tcPr>
          <w:p w:rsidR="00AD7D2B" w:rsidRPr="00393123" w:rsidRDefault="00AD7D2B" w:rsidP="00AD7D2B">
            <w:pPr>
              <w:rPr>
                <w:rFonts w:ascii="Palatino Linotype" w:hAnsi="Palatino Linotype"/>
                <w:i/>
                <w:lang w:val="es-ES" w:eastAsia="es-ES"/>
              </w:rPr>
            </w:pPr>
            <w:r w:rsidRPr="00393123">
              <w:rPr>
                <w:rFonts w:ascii="Palatino Linotype" w:hAnsi="Palatino Linotype"/>
                <w:i/>
                <w:lang w:val="es-ES" w:eastAsia="es-ES"/>
              </w:rPr>
              <w:t>LIC. EN PLANEACION TERRITORIAL ABRAHAM ISRAEL BADIA VARGAS”</w:t>
            </w:r>
          </w:p>
        </w:tc>
      </w:tr>
    </w:tbl>
    <w:p w:rsidR="00AD7D2B" w:rsidRPr="00393123" w:rsidRDefault="00AD7D2B" w:rsidP="00AD7D2B">
      <w:pPr>
        <w:spacing w:line="360" w:lineRule="auto"/>
        <w:ind w:right="567"/>
        <w:jc w:val="both"/>
        <w:rPr>
          <w:rFonts w:ascii="Palatino Linotype" w:hAnsi="Palatino Linotype"/>
          <w:i/>
        </w:rPr>
      </w:pPr>
    </w:p>
    <w:p w:rsidR="00AD7D2B" w:rsidRPr="00393123" w:rsidRDefault="00AD7D2B" w:rsidP="00AD7D2B">
      <w:pPr>
        <w:spacing w:line="360" w:lineRule="auto"/>
        <w:ind w:right="567"/>
        <w:jc w:val="both"/>
        <w:rPr>
          <w:rFonts w:ascii="Palatino Linotype" w:hAnsi="Palatino Linotype"/>
        </w:rPr>
      </w:pPr>
      <w:r w:rsidRPr="00393123">
        <w:rPr>
          <w:rFonts w:ascii="Palatino Linotype" w:hAnsi="Palatino Linotype"/>
        </w:rPr>
        <w:t xml:space="preserve">A la respuesta se adjuntó el archivo </w:t>
      </w:r>
      <w:hyperlink r:id="rId8" w:tgtFrame="_blank" w:history="1">
        <w:r w:rsidRPr="00393123">
          <w:rPr>
            <w:rStyle w:val="Hipervnculo"/>
            <w:rFonts w:ascii="Palatino Linotype" w:hAnsi="Palatino Linotype"/>
            <w:b/>
            <w:bCs/>
          </w:rPr>
          <w:t>RESPUESTA 62.IP.pdf</w:t>
        </w:r>
      </w:hyperlink>
      <w:r w:rsidRPr="00393123">
        <w:rPr>
          <w:rFonts w:ascii="Palatino Linotype" w:hAnsi="Palatino Linotype"/>
        </w:rPr>
        <w:t xml:space="preserve">, documento suscrito por la responsable y titular de la unidad de transparencia en el que manifestó </w:t>
      </w:r>
      <w:r w:rsidRPr="00393123">
        <w:rPr>
          <w:rFonts w:ascii="Palatino Linotype" w:hAnsi="Palatino Linotype"/>
          <w:i/>
        </w:rPr>
        <w:t xml:space="preserve">“…me permito hacer de su conocimiento que después de realizar una búsqueda en los archivos que obran en esta Coordinación de Servicios de Salud, se despende que no obra un documentos que contenga la información con las características requeridas por el solicitante”, “Por cuanto hace al procedimiento a seguir para canalizar a pacientes a un tercer nivel de atención, al respecto se señala que dicha información se encuentra contemplada en el Manual de Procedimientos de Referencia y Contrarreferencia de pacientes del ISSEMTYM, mismo que se encuentra publicado en el periódico oficial Gaceta de Gobierno del Estado de México, el a siguiente liga electrónica: </w:t>
      </w:r>
      <w:hyperlink r:id="rId9" w:history="1">
        <w:r w:rsidR="008771C4" w:rsidRPr="00393123">
          <w:rPr>
            <w:rStyle w:val="Hipervnculo"/>
            <w:rFonts w:ascii="Palatino Linotype" w:hAnsi="Palatino Linotype"/>
            <w:i/>
          </w:rPr>
          <w:t>https://legislacion.edomex.gob.mx/sites/legislacion.edomex.gob.mx/files/files/pdf/gct/2022/septiembre/sep281/sep281b.pdf</w:t>
        </w:r>
      </w:hyperlink>
      <w:r w:rsidR="008771C4" w:rsidRPr="00393123">
        <w:rPr>
          <w:rFonts w:ascii="Palatino Linotype" w:hAnsi="Palatino Linotype"/>
          <w:i/>
        </w:rPr>
        <w:t xml:space="preserve"> </w:t>
      </w:r>
    </w:p>
    <w:p w:rsidR="00AD7D2B" w:rsidRPr="00393123" w:rsidRDefault="00AD7D2B" w:rsidP="00AD7D2B">
      <w:pPr>
        <w:spacing w:line="360" w:lineRule="auto"/>
        <w:ind w:right="567"/>
        <w:jc w:val="both"/>
        <w:rPr>
          <w:rFonts w:ascii="Palatino Linotype" w:hAnsi="Palatino Linotype"/>
        </w:rPr>
      </w:pPr>
    </w:p>
    <w:p w:rsidR="00AD7D2B" w:rsidRPr="00393123" w:rsidRDefault="00AD7D2B" w:rsidP="00AD7D2B">
      <w:pPr>
        <w:numPr>
          <w:ilvl w:val="0"/>
          <w:numId w:val="1"/>
        </w:numPr>
        <w:spacing w:line="360" w:lineRule="auto"/>
        <w:ind w:left="0" w:firstLine="0"/>
        <w:contextualSpacing/>
        <w:jc w:val="both"/>
        <w:rPr>
          <w:rFonts w:ascii="Palatino Linotype" w:eastAsiaTheme="minorEastAsia" w:hAnsi="Palatino Linotype" w:cs="Arial"/>
          <w:i/>
          <w:lang w:val="es-ES_tradnl" w:eastAsia="es-ES"/>
        </w:rPr>
      </w:pPr>
      <w:r w:rsidRPr="00393123">
        <w:rPr>
          <w:rFonts w:ascii="Palatino Linotype" w:eastAsia="Calibri" w:hAnsi="Palatino Linotype" w:cs="Arial"/>
          <w:lang w:val="es-AR" w:eastAsia="es-ES"/>
        </w:rPr>
        <w:lastRenderedPageBreak/>
        <w:t xml:space="preserve">El </w:t>
      </w:r>
      <w:r w:rsidR="008771C4" w:rsidRPr="00393123">
        <w:rPr>
          <w:rFonts w:ascii="Palatino Linotype" w:eastAsia="Calibri" w:hAnsi="Palatino Linotype" w:cs="Arial"/>
          <w:lang w:val="es-AR" w:eastAsia="es-ES"/>
        </w:rPr>
        <w:t>quince (15) de febrero</w:t>
      </w:r>
      <w:r w:rsidRPr="00393123">
        <w:rPr>
          <w:rFonts w:ascii="Palatino Linotype" w:eastAsia="Calibri" w:hAnsi="Palatino Linotype" w:cs="Arial"/>
          <w:lang w:val="es-AR" w:eastAsia="es-ES"/>
        </w:rPr>
        <w:t xml:space="preserve"> de dos mil veintitrés</w:t>
      </w:r>
      <w:r w:rsidRPr="00393123">
        <w:rPr>
          <w:rFonts w:ascii="Palatino Linotype" w:hAnsi="Palatino Linotype" w:cs="Arial"/>
          <w:lang w:val="es-ES" w:eastAsia="es-ES"/>
        </w:rPr>
        <w:t xml:space="preserve">, </w:t>
      </w:r>
      <w:r w:rsidRPr="00393123">
        <w:rPr>
          <w:rFonts w:ascii="Palatino Linotype" w:eastAsiaTheme="minorEastAsia" w:hAnsi="Palatino Linotype"/>
          <w:b/>
          <w:lang w:val="es-ES_tradnl" w:eastAsia="es-ES"/>
        </w:rPr>
        <w:t>EL RECURRENTE</w:t>
      </w:r>
      <w:r w:rsidRPr="00393123">
        <w:rPr>
          <w:rFonts w:ascii="Palatino Linotype" w:hAnsi="Palatino Linotype" w:cs="Arial"/>
          <w:lang w:val="es-ES" w:eastAsia="es-ES"/>
        </w:rPr>
        <w:t xml:space="preserve"> interpuso el recurso de revisión, en contra de la respuesta, señalando como:</w:t>
      </w:r>
      <w:bookmarkStart w:id="2" w:name="_Toc462307683"/>
      <w:bookmarkStart w:id="3" w:name="_Toc472427085"/>
      <w:bookmarkStart w:id="4" w:name="_Toc472500652"/>
    </w:p>
    <w:p w:rsidR="00AD7D2B" w:rsidRPr="00393123" w:rsidRDefault="00AD7D2B" w:rsidP="00AD7D2B">
      <w:pPr>
        <w:spacing w:line="360" w:lineRule="auto"/>
        <w:ind w:left="567" w:right="567"/>
        <w:contextualSpacing/>
        <w:rPr>
          <w:rFonts w:ascii="Palatino Linotype" w:eastAsiaTheme="minorEastAsia" w:hAnsi="Palatino Linotype" w:cs="Arial"/>
          <w:i/>
          <w:lang w:val="es-ES_tradnl" w:eastAsia="es-ES"/>
        </w:rPr>
      </w:pPr>
    </w:p>
    <w:p w:rsidR="00AD7D2B" w:rsidRPr="00393123" w:rsidRDefault="00AD7D2B" w:rsidP="00AD7D2B">
      <w:pPr>
        <w:spacing w:line="360" w:lineRule="auto"/>
        <w:ind w:left="567" w:right="567"/>
        <w:contextualSpacing/>
        <w:jc w:val="both"/>
        <w:rPr>
          <w:rFonts w:ascii="Palatino Linotype" w:eastAsia="Calibri" w:hAnsi="Palatino Linotype" w:cs="Arial"/>
          <w:i/>
          <w:lang w:val="es-ES" w:eastAsia="es-ES"/>
        </w:rPr>
      </w:pPr>
      <w:r w:rsidRPr="00393123">
        <w:rPr>
          <w:rFonts w:ascii="Palatino Linotype" w:eastAsiaTheme="minorEastAsia" w:hAnsi="Palatino Linotype"/>
          <w:b/>
          <w:lang w:val="es-ES_tradnl" w:eastAsia="es-ES"/>
        </w:rPr>
        <w:t>Acto impugnado</w:t>
      </w:r>
      <w:r w:rsidRPr="00393123">
        <w:rPr>
          <w:rFonts w:ascii="Palatino Linotype" w:eastAsiaTheme="minorEastAsia" w:hAnsi="Palatino Linotype"/>
          <w:b/>
          <w:i/>
          <w:lang w:val="es-ES_tradnl" w:eastAsia="es-ES"/>
        </w:rPr>
        <w:t>:</w:t>
      </w:r>
      <w:r w:rsidRPr="00393123">
        <w:rPr>
          <w:rFonts w:ascii="Palatino Linotype" w:hAnsi="Palatino Linotype"/>
          <w:i/>
          <w:color w:val="000000"/>
        </w:rPr>
        <w:t xml:space="preserve"> “</w:t>
      </w:r>
      <w:r w:rsidR="008771C4" w:rsidRPr="00393123">
        <w:rPr>
          <w:rFonts w:ascii="Palatino Linotype" w:hAnsi="Palatino Linotype"/>
          <w:i/>
          <w:color w:val="000000"/>
        </w:rPr>
        <w:t xml:space="preserve">Para Empezar no soy un solicitante sin nombre, ya que en mi solicitud viene claramente como me llamo, deben dirigirse a los ciudadanos por el nombre o también les da flojera escribirlo y les es mas fácil copiar y pegar de un machote que ya tienen, porque para eso si son especialistas ustedes del issemym, en querer ahorrarse trabajo. Segundo en un escrito que ustedes mismos me enviaron en una solicitud previa y con numero de oficio 207C0401040120L/AAQHRT/211/2022, señalaron que tienen 2 médicos que atienden un total de 320 consultas por mes y que son los que ven el tema de la coxartrosis de cadera, solo estoy pidiendo en una hoja membretada por la institución que me digan el nombre de esos 2 médicos que son servidores públicos y no tienen porque estar ocultando el nombre, basta incluso con el coordinador relacione el nombre de esos 2 médicos en una hoja membretada, basta con copiar y pegar el nombre y listo, cual procesamiento les involucra señores?, no estoy pidiendo ningún otro estudio ni análisis que hagan. Tercero, en cuanto al procedimiento que se debe seguir para canalizar a un paciente a determinado hospital y donde ustedes me mandan el link a su manual de procedimientos, les recuerdo que bajo los principios de gobierno abierto y transparencia ustedes me deben mandar dicho link para poder copiarlo ya que desde su documento de respuesta no es posible hacerlo pues es una hoja escaneada, que contradicción la de ustedes, se queja el servidor publico habilitado de que no debe hacer procesamiento por enviar 2 simples nombres a una hoja membretada y sin embargo si tuvo la </w:t>
      </w:r>
      <w:r w:rsidR="008771C4" w:rsidRPr="00393123">
        <w:rPr>
          <w:rFonts w:ascii="Palatino Linotype" w:hAnsi="Palatino Linotype"/>
          <w:i/>
          <w:color w:val="000000"/>
        </w:rPr>
        <w:lastRenderedPageBreak/>
        <w:t>molestia de copiar el link a una hoja, escanearla para que quedara en imagen y así no poder copiar yo ese link, como es posible que ahí si hayan procesado. Son totalmente contradictorios sus acciones señores, pónganse a trabajar y dejar el cafecito y la platica para después, cada uno de ustedes recibe un salario por su trabajo, háganlo bien y sirvan a la ciudadanía. Esta información era importante para mi incluso de la manera mas atenta les solicite si fuera posible me pudieran contestar antes del plazo, y no sucedió así, SE TARDARON 15 DIAS HABILES para darme una respuesta de negación total. Espero que el INFOEM les ordene entregarme la información y les imponga una sanción puesto que no es creíble que tratándose de un servicio de salud operen de manera adversa a los principios de transparencia.</w:t>
      </w:r>
      <w:r w:rsidRPr="00393123">
        <w:rPr>
          <w:rFonts w:ascii="Palatino Linotype" w:hAnsi="Palatino Linotype"/>
          <w:i/>
          <w:color w:val="000000"/>
        </w:rPr>
        <w:t>” (Sic)</w:t>
      </w:r>
    </w:p>
    <w:p w:rsidR="00AD7D2B" w:rsidRPr="00393123" w:rsidRDefault="00AD7D2B" w:rsidP="00AD7D2B">
      <w:pPr>
        <w:spacing w:line="360" w:lineRule="auto"/>
        <w:ind w:left="567" w:right="567"/>
        <w:contextualSpacing/>
        <w:jc w:val="both"/>
        <w:rPr>
          <w:rFonts w:ascii="Palatino Linotype" w:eastAsia="Calibri" w:hAnsi="Palatino Linotype" w:cs="Arial"/>
          <w:lang w:val="es-ES" w:eastAsia="es-ES"/>
        </w:rPr>
      </w:pPr>
    </w:p>
    <w:p w:rsidR="00AD7D2B" w:rsidRPr="00393123" w:rsidRDefault="00AD7D2B" w:rsidP="00AD7D2B">
      <w:pPr>
        <w:spacing w:line="360" w:lineRule="auto"/>
        <w:ind w:left="567" w:right="567"/>
        <w:contextualSpacing/>
        <w:jc w:val="both"/>
        <w:rPr>
          <w:rFonts w:ascii="Palatino Linotype" w:hAnsi="Palatino Linotype"/>
          <w:i/>
          <w:color w:val="000000"/>
        </w:rPr>
      </w:pPr>
      <w:r w:rsidRPr="00393123">
        <w:rPr>
          <w:rFonts w:ascii="Palatino Linotype" w:eastAsiaTheme="minorEastAsia" w:hAnsi="Palatino Linotype"/>
          <w:b/>
          <w:lang w:val="es-ES_tradnl" w:eastAsia="es-ES"/>
        </w:rPr>
        <w:t>Razones o Motivos de inconformidad:</w:t>
      </w:r>
      <w:r w:rsidRPr="00393123">
        <w:rPr>
          <w:rFonts w:ascii="Palatino Linotype" w:eastAsiaTheme="majorEastAsia" w:hAnsi="Palatino Linotype" w:cstheme="majorBidi"/>
          <w:b/>
          <w:color w:val="2E74B5" w:themeColor="accent1" w:themeShade="BF"/>
          <w:lang w:val="es-ES" w:eastAsia="es-ES"/>
        </w:rPr>
        <w:t xml:space="preserve"> </w:t>
      </w:r>
      <w:r w:rsidRPr="00393123">
        <w:rPr>
          <w:rFonts w:ascii="Palatino Linotype" w:eastAsiaTheme="majorEastAsia" w:hAnsi="Palatino Linotype" w:cstheme="majorBidi"/>
          <w:i/>
          <w:lang w:val="es-ES" w:eastAsia="es-ES"/>
        </w:rPr>
        <w:t>“</w:t>
      </w:r>
      <w:r w:rsidR="008771C4" w:rsidRPr="00393123">
        <w:rPr>
          <w:rFonts w:ascii="Palatino Linotype" w:hAnsi="Palatino Linotype"/>
          <w:i/>
          <w:color w:val="000000"/>
        </w:rPr>
        <w:t xml:space="preserve">Para Empezar no soy un solicitante sin nombre, ya que en mi solicitud viene claramente como me llamo, deben dirigirse a los ciudadanos por el nombre o también les da flojera escribirlo y les es mas fácil copiar y pegar de un machote que ya tienen, porque para eso si son especialistas ustedes del issemym, en querer ahorrarse trabajo. Segundo en un escrito que ustedes mismos me enviaron en una solicitud previa y con numero de oficio 207C0401040120L/AAQHRT/211/2022, señalaron que tienen 2 médicos que atienden un total de 320 consultas por mes y que son los que ven el tema de la coxartrosis de cadera, solo estoy pidiendo en una hoja membretada por la institución que me digan el nombre de esos 2 médicos que son servidores públicos y no tienen porque estar ocultando el nombre, basta incluso con el coordinador relacione el nombre de esos 2 médicos en una hoja membretada, basta con copiar y </w:t>
      </w:r>
      <w:r w:rsidR="008771C4" w:rsidRPr="00393123">
        <w:rPr>
          <w:rFonts w:ascii="Palatino Linotype" w:hAnsi="Palatino Linotype"/>
          <w:i/>
          <w:color w:val="000000"/>
        </w:rPr>
        <w:lastRenderedPageBreak/>
        <w:t>pegar el nombre y listo, cual procesamiento les involucra señores?, no estoy pidiendo ningún otro estudio ni análisis que hagan. Tercero, en cuanto al procedimiento que se debe seguir para canalizar a un paciente a determinado hospital y donde ustedes me mandan el link a su manual de procedimientos, les recuerdo que bajo los principios de gobierno abierto y transparencia ustedes me deben mandar dicho link para poder copiarlo ya que desde su documento de respuesta no es posible hacerlo pues es una hoja escaneada, que contradicción la de ustedes, se queja el servidor publico habilitado de que no debe hacer procesamiento por enviar 2 simples nombres a una hoja membretada y sin embargo si tuvo la molestia de copiar el link a una hoja, escanearla para que quedara en imagen y así no poder copiar yo ese link, como es posible que ahí si hayan procesado. Son totalmente contradictorios sus acciones señores, pónganse a trabajar y dejar el cafecito y la platica para después, cada uno de ustedes recibe un salario por su trabajo, háganlo bien y sirvan a la ciudadanía. Esta información era importante para mi incluso de la manera mas atenta les solicite si fuera posible me pudieran contestar antes del plazo, y no sucedió así, SE TARDARON 15 DIAS HABILES para darme una respuesta de negación total. Espero que el INFOEM les ordene entregarme la información y les imponga una sanción puesto que no es creíble que tratándose de un servicio de salud operen de manera adversa a los principios de transparencia.</w:t>
      </w:r>
      <w:r w:rsidRPr="00393123">
        <w:rPr>
          <w:rFonts w:ascii="Palatino Linotype" w:hAnsi="Palatino Linotype"/>
          <w:i/>
          <w:color w:val="000000"/>
        </w:rPr>
        <w:t>” (Sic).</w:t>
      </w:r>
    </w:p>
    <w:bookmarkEnd w:id="2"/>
    <w:bookmarkEnd w:id="3"/>
    <w:bookmarkEnd w:id="4"/>
    <w:p w:rsidR="00AD7D2B" w:rsidRPr="00393123" w:rsidRDefault="00AD7D2B" w:rsidP="00AD7D2B">
      <w:pPr>
        <w:spacing w:line="360" w:lineRule="auto"/>
        <w:jc w:val="both"/>
        <w:rPr>
          <w:rFonts w:ascii="Palatino Linotype" w:hAnsi="Palatino Linotype"/>
          <w:i/>
        </w:rPr>
      </w:pPr>
      <w:r w:rsidRPr="00393123">
        <w:rPr>
          <w:rFonts w:ascii="Palatino Linotype" w:eastAsia="Calibri" w:hAnsi="Palatino Linotype" w:cs="Arial"/>
          <w:lang w:val="es-AR" w:eastAsia="es-ES"/>
        </w:rPr>
        <w:tab/>
      </w:r>
    </w:p>
    <w:p w:rsidR="00AD7D2B" w:rsidRPr="00393123" w:rsidRDefault="00AD7D2B" w:rsidP="00AD7D2B">
      <w:pPr>
        <w:numPr>
          <w:ilvl w:val="0"/>
          <w:numId w:val="1"/>
        </w:numPr>
        <w:spacing w:line="360" w:lineRule="auto"/>
        <w:ind w:left="0" w:firstLine="0"/>
        <w:contextualSpacing/>
        <w:jc w:val="both"/>
        <w:rPr>
          <w:rFonts w:ascii="Palatino Linotype" w:eastAsia="Calibri" w:hAnsi="Palatino Linotype" w:cs="Arial"/>
          <w:lang w:val="es-AR" w:eastAsia="es-ES"/>
        </w:rPr>
      </w:pPr>
      <w:r w:rsidRPr="00393123">
        <w:rPr>
          <w:rFonts w:ascii="Palatino Linotype" w:hAnsi="Palatino Linotype" w:cs="Arial"/>
          <w:lang w:val="es-ES" w:eastAsia="es-ES"/>
        </w:rPr>
        <w:t xml:space="preserve">Se registró el recurso de revisión bajo el número de expediente </w:t>
      </w:r>
      <w:r w:rsidRPr="00393123">
        <w:rPr>
          <w:rFonts w:ascii="Palatino Linotype" w:eastAsiaTheme="minorEastAsia" w:hAnsi="Palatino Linotype" w:cs="Arial"/>
          <w:bCs/>
          <w:lang w:val="es-ES_tradnl" w:eastAsia="es-ES"/>
        </w:rPr>
        <w:t xml:space="preserve">al rubro indicado, asimismo con fundamento en lo dispuesto por el </w:t>
      </w:r>
      <w:r w:rsidRPr="00393123">
        <w:rPr>
          <w:rFonts w:ascii="Palatino Linotype" w:eastAsia="Calibri" w:hAnsi="Palatino Linotype" w:cs="Arial"/>
          <w:lang w:val="es-ES" w:eastAsia="es-ES"/>
        </w:rPr>
        <w:t xml:space="preserve">artículo 185 fracción I de la </w:t>
      </w:r>
      <w:r w:rsidRPr="00393123">
        <w:rPr>
          <w:rFonts w:ascii="Palatino Linotype" w:eastAsia="Calibri" w:hAnsi="Palatino Linotype" w:cs="Arial"/>
          <w:b/>
          <w:lang w:val="es-ES" w:eastAsia="es-ES"/>
        </w:rPr>
        <w:t xml:space="preserve">Ley de Transparencia y Acceso a la Información Pública del Estado de México y </w:t>
      </w:r>
      <w:r w:rsidRPr="00393123">
        <w:rPr>
          <w:rFonts w:ascii="Palatino Linotype" w:eastAsia="Calibri" w:hAnsi="Palatino Linotype" w:cs="Arial"/>
          <w:b/>
          <w:lang w:val="es-ES" w:eastAsia="es-ES"/>
        </w:rPr>
        <w:lastRenderedPageBreak/>
        <w:t xml:space="preserve">Municipios </w:t>
      </w:r>
      <w:r w:rsidRPr="00393123">
        <w:rPr>
          <w:rFonts w:ascii="Palatino Linotype" w:hAnsi="Palatino Linotype" w:cs="Arial"/>
          <w:lang w:val="es-ES" w:eastAsia="es-ES"/>
        </w:rPr>
        <w:t xml:space="preserve">se turnó a la </w:t>
      </w:r>
      <w:r w:rsidRPr="00393123">
        <w:rPr>
          <w:rFonts w:ascii="Palatino Linotype" w:hAnsi="Palatino Linotype" w:cs="Arial"/>
          <w:b/>
          <w:lang w:val="es-ES" w:eastAsia="es-ES"/>
        </w:rPr>
        <w:t xml:space="preserve">Comisionada María del Rosario Mejía Ayala, </w:t>
      </w:r>
      <w:r w:rsidRPr="00393123">
        <w:rPr>
          <w:rFonts w:ascii="Palatino Linotype" w:hAnsi="Palatino Linotype" w:cs="Arial"/>
          <w:lang w:val="es-ES" w:eastAsia="es-ES"/>
        </w:rPr>
        <w:t xml:space="preserve">con el objeto de </w:t>
      </w:r>
      <w:r w:rsidRPr="00393123">
        <w:rPr>
          <w:rFonts w:ascii="Palatino Linotype" w:hAnsi="Palatino Linotype" w:cs="Arial"/>
          <w:lang w:eastAsia="es-ES"/>
        </w:rPr>
        <w:t xml:space="preserve">su análisis. </w:t>
      </w:r>
    </w:p>
    <w:p w:rsidR="00AD7D2B" w:rsidRPr="00393123" w:rsidRDefault="00AD7D2B" w:rsidP="00AD7D2B">
      <w:pPr>
        <w:spacing w:line="360" w:lineRule="auto"/>
        <w:contextualSpacing/>
        <w:jc w:val="both"/>
        <w:rPr>
          <w:rFonts w:ascii="Palatino Linotype" w:eastAsia="Calibri" w:hAnsi="Palatino Linotype" w:cs="Arial"/>
          <w:lang w:val="es-AR" w:eastAsia="es-ES"/>
        </w:rPr>
      </w:pPr>
    </w:p>
    <w:p w:rsidR="00AD7D2B" w:rsidRPr="00393123" w:rsidRDefault="00AD7D2B" w:rsidP="00AD7D2B">
      <w:pPr>
        <w:numPr>
          <w:ilvl w:val="0"/>
          <w:numId w:val="1"/>
        </w:numPr>
        <w:spacing w:line="360" w:lineRule="auto"/>
        <w:ind w:left="0" w:firstLine="0"/>
        <w:contextualSpacing/>
        <w:jc w:val="both"/>
        <w:rPr>
          <w:rFonts w:ascii="Palatino Linotype" w:eastAsiaTheme="minorEastAsia" w:hAnsi="Palatino Linotype" w:cstheme="minorBidi"/>
          <w:i/>
          <w:color w:val="000000"/>
          <w:lang w:val="es-ES_tradnl" w:eastAsia="es-ES"/>
        </w:rPr>
      </w:pPr>
      <w:r w:rsidRPr="00393123">
        <w:rPr>
          <w:rFonts w:ascii="Palatino Linotype" w:eastAsia="Calibri" w:hAnsi="Palatino Linotype" w:cs="Arial"/>
          <w:lang w:val="es-ES" w:eastAsia="es-ES"/>
        </w:rPr>
        <w:t xml:space="preserve">El Comisionado Ponente con fundamento en lo dispuesto por el artículo 185 fracción II de la ley de la materia, a través del acuerdo de admisión de fecha </w:t>
      </w:r>
      <w:r w:rsidR="008771C4" w:rsidRPr="00393123">
        <w:rPr>
          <w:rFonts w:ascii="Palatino Linotype" w:eastAsia="Calibri" w:hAnsi="Palatino Linotype" w:cs="Arial"/>
          <w:lang w:val="es-ES" w:eastAsia="es-ES"/>
        </w:rPr>
        <w:t>veinte (20) de febrero</w:t>
      </w:r>
      <w:r w:rsidRPr="00393123">
        <w:rPr>
          <w:rFonts w:ascii="Palatino Linotype" w:eastAsia="Calibri" w:hAnsi="Palatino Linotype" w:cs="Arial"/>
          <w:lang w:val="es-ES" w:eastAsia="es-ES"/>
        </w:rPr>
        <w:t xml:space="preserve">  de dos mil veintitrés, puso a disposición de las partes el expediente electrónico </w:t>
      </w:r>
      <w:r w:rsidRPr="00393123">
        <w:rPr>
          <w:rFonts w:ascii="Palatino Linotype" w:eastAsia="Calibri" w:hAnsi="Palatino Linotype" w:cs="Arial"/>
          <w:lang w:val="es-ES_tradnl" w:eastAsia="es-ES"/>
        </w:rPr>
        <w:t xml:space="preserve">vía </w:t>
      </w:r>
      <w:r w:rsidRPr="00393123">
        <w:rPr>
          <w:rFonts w:ascii="Palatino Linotype" w:eastAsia="Calibri" w:hAnsi="Palatino Linotype" w:cs="Arial"/>
          <w:b/>
          <w:lang w:val="es-ES" w:eastAsia="es-ES"/>
        </w:rPr>
        <w:t>SAIMEX</w:t>
      </w:r>
      <w:r w:rsidR="00393123">
        <w:rPr>
          <w:rFonts w:ascii="Palatino Linotype" w:eastAsia="Calibri" w:hAnsi="Palatino Linotype" w:cs="Arial"/>
          <w:b/>
          <w:lang w:val="es-ES" w:eastAsia="es-ES"/>
        </w:rPr>
        <w:t>,</w:t>
      </w:r>
      <w:r w:rsidRPr="00393123">
        <w:rPr>
          <w:rFonts w:ascii="Palatino Linotype" w:eastAsia="Calibri" w:hAnsi="Palatino Linotype" w:cs="Arial"/>
          <w:b/>
          <w:lang w:val="es-ES" w:eastAsia="es-ES"/>
        </w:rPr>
        <w:t xml:space="preserve"> </w:t>
      </w:r>
      <w:r w:rsidRPr="00393123">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Pr="00393123">
        <w:rPr>
          <w:rFonts w:ascii="Palatino Linotype" w:eastAsia="Calibri" w:hAnsi="Palatino Linotype" w:cs="Arial"/>
          <w:b/>
          <w:lang w:val="es-ES" w:eastAsia="es-ES"/>
        </w:rPr>
        <w:t>SUJETO OBLIGADO</w:t>
      </w:r>
      <w:r w:rsidR="00393123">
        <w:rPr>
          <w:rFonts w:ascii="Palatino Linotype" w:eastAsia="Calibri" w:hAnsi="Palatino Linotype" w:cs="Arial"/>
          <w:b/>
          <w:lang w:val="es-ES" w:eastAsia="es-ES"/>
        </w:rPr>
        <w:t>,</w:t>
      </w:r>
      <w:r w:rsidRPr="00393123">
        <w:rPr>
          <w:rFonts w:ascii="Palatino Linotype" w:eastAsia="Calibri" w:hAnsi="Palatino Linotype" w:cs="Arial"/>
          <w:lang w:val="es-ES" w:eastAsia="es-ES"/>
        </w:rPr>
        <w:t xml:space="preserve"> presentara el informe justificado procedente. </w:t>
      </w:r>
    </w:p>
    <w:p w:rsidR="00AD7D2B" w:rsidRPr="00393123" w:rsidRDefault="00AD7D2B" w:rsidP="00AD7D2B">
      <w:pPr>
        <w:spacing w:line="360" w:lineRule="auto"/>
        <w:contextualSpacing/>
        <w:jc w:val="both"/>
        <w:rPr>
          <w:rFonts w:ascii="Palatino Linotype" w:eastAsiaTheme="minorEastAsia" w:hAnsi="Palatino Linotype" w:cstheme="minorBidi"/>
          <w:i/>
          <w:color w:val="000000"/>
          <w:lang w:val="es-ES_tradnl" w:eastAsia="es-ES"/>
        </w:rPr>
      </w:pPr>
    </w:p>
    <w:p w:rsidR="00AD7D2B" w:rsidRPr="00393123" w:rsidRDefault="00AD7D2B" w:rsidP="00AD7D2B">
      <w:pPr>
        <w:numPr>
          <w:ilvl w:val="0"/>
          <w:numId w:val="1"/>
        </w:numPr>
        <w:spacing w:line="360" w:lineRule="auto"/>
        <w:ind w:left="0" w:firstLine="0"/>
        <w:contextualSpacing/>
        <w:jc w:val="both"/>
        <w:rPr>
          <w:rFonts w:ascii="Palatino Linotype" w:hAnsi="Palatino Linotype" w:cs="Arial"/>
          <w:lang w:eastAsia="es-ES"/>
        </w:rPr>
      </w:pPr>
      <w:r w:rsidRPr="00393123">
        <w:rPr>
          <w:rFonts w:ascii="Palatino Linotype" w:eastAsia="Calibri" w:hAnsi="Palatino Linotype" w:cs="Arial"/>
          <w:lang w:val="es-ES" w:eastAsia="es-ES"/>
        </w:rPr>
        <w:t xml:space="preserve">De las constancias en el expediente electrónico SAIMEX, se advierte que el particular no realizó manifestaciones, no ofreció pruebas o alegatos a su derecho convinieran; por su parte, el Sujeto Obligado remitió informe justificado en fecha </w:t>
      </w:r>
      <w:r w:rsidR="008771C4" w:rsidRPr="00393123">
        <w:rPr>
          <w:rFonts w:ascii="Palatino Linotype" w:eastAsia="Calibri" w:hAnsi="Palatino Linotype" w:cs="Arial"/>
          <w:lang w:val="es-ES" w:eastAsia="es-ES"/>
        </w:rPr>
        <w:t>veintiocho (28) de febrero</w:t>
      </w:r>
      <w:r w:rsidRPr="00393123">
        <w:rPr>
          <w:rFonts w:ascii="Palatino Linotype" w:eastAsia="Calibri" w:hAnsi="Palatino Linotype" w:cs="Arial"/>
          <w:lang w:val="es-ES" w:eastAsia="es-ES"/>
        </w:rPr>
        <w:t xml:space="preserve"> de dos mil veintitrés a través de los archivos que se describen enseguida:</w:t>
      </w:r>
    </w:p>
    <w:p w:rsidR="00AD7D2B" w:rsidRPr="00393123" w:rsidRDefault="00AD7D2B" w:rsidP="00AD7D2B">
      <w:pPr>
        <w:spacing w:line="360" w:lineRule="auto"/>
        <w:contextualSpacing/>
        <w:jc w:val="both"/>
        <w:rPr>
          <w:rFonts w:ascii="Palatino Linotype" w:hAnsi="Palatino Linotype" w:cs="Arial"/>
          <w:lang w:eastAsia="es-ES"/>
        </w:rPr>
      </w:pPr>
    </w:p>
    <w:p w:rsidR="008771C4" w:rsidRPr="00393123" w:rsidRDefault="00B65EED" w:rsidP="00611F91">
      <w:pPr>
        <w:pStyle w:val="Prrafodelista"/>
        <w:numPr>
          <w:ilvl w:val="0"/>
          <w:numId w:val="6"/>
        </w:numPr>
        <w:spacing w:line="360" w:lineRule="auto"/>
        <w:jc w:val="both"/>
        <w:rPr>
          <w:rFonts w:ascii="Palatino Linotype" w:hAnsi="Palatino Linotype" w:cs="Arial"/>
          <w:sz w:val="24"/>
          <w:lang w:eastAsia="es-ES"/>
        </w:rPr>
      </w:pPr>
      <w:hyperlink r:id="rId10" w:history="1">
        <w:r w:rsidR="00EE1C74" w:rsidRPr="00393123">
          <w:rPr>
            <w:rStyle w:val="Hipervnculo"/>
            <w:rFonts w:ascii="Palatino Linotype" w:hAnsi="Palatino Linotype" w:cs="Arial"/>
            <w:b/>
            <w:bCs/>
            <w:sz w:val="24"/>
            <w:lang w:eastAsia="es-ES"/>
          </w:rPr>
          <w:t>ISS Manual de procedimientos de referencia contra GG 28 09 2022.pdf</w:t>
        </w:r>
      </w:hyperlink>
      <w:r w:rsidR="00EE1C74" w:rsidRPr="00393123">
        <w:rPr>
          <w:rFonts w:ascii="Palatino Linotype" w:hAnsi="Palatino Linotype" w:cs="Arial"/>
          <w:sz w:val="24"/>
          <w:lang w:eastAsia="es-ES"/>
        </w:rPr>
        <w:t xml:space="preserve">: </w:t>
      </w:r>
      <w:r w:rsidR="008771C4" w:rsidRPr="00393123">
        <w:rPr>
          <w:rFonts w:ascii="Palatino Linotype" w:hAnsi="Palatino Linotype" w:cs="Arial"/>
          <w:sz w:val="24"/>
          <w:lang w:eastAsia="es-ES"/>
        </w:rPr>
        <w:t xml:space="preserve">Gaceta de Gobierno de fecha veintiocho de septiembre de dos mil veintidós con el Manual de Procedimientos para la Referencia y Contrarreferencia de Pacientes del ISSEMYM. </w:t>
      </w:r>
    </w:p>
    <w:p w:rsidR="0019640F" w:rsidRPr="00393123" w:rsidRDefault="0019640F" w:rsidP="0019640F">
      <w:pPr>
        <w:pStyle w:val="Prrafodelista"/>
        <w:spacing w:line="360" w:lineRule="auto"/>
        <w:jc w:val="both"/>
        <w:rPr>
          <w:rFonts w:ascii="Palatino Linotype" w:hAnsi="Palatino Linotype" w:cs="Arial"/>
          <w:sz w:val="24"/>
          <w:lang w:eastAsia="es-ES"/>
        </w:rPr>
      </w:pPr>
    </w:p>
    <w:p w:rsidR="0019640F" w:rsidRPr="00393123" w:rsidRDefault="00B65EED" w:rsidP="00EE1C74">
      <w:pPr>
        <w:pStyle w:val="Prrafodelista"/>
        <w:numPr>
          <w:ilvl w:val="0"/>
          <w:numId w:val="6"/>
        </w:numPr>
        <w:spacing w:line="360" w:lineRule="auto"/>
        <w:jc w:val="both"/>
        <w:rPr>
          <w:rFonts w:ascii="Palatino Linotype" w:hAnsi="Palatino Linotype" w:cs="Arial"/>
          <w:sz w:val="24"/>
          <w:lang w:eastAsia="es-ES"/>
        </w:rPr>
      </w:pPr>
      <w:hyperlink r:id="rId11" w:history="1">
        <w:r w:rsidR="00EE1C74" w:rsidRPr="00393123">
          <w:rPr>
            <w:rStyle w:val="Hipervnculo"/>
            <w:rFonts w:ascii="Palatino Linotype" w:hAnsi="Palatino Linotype" w:cs="Arial"/>
            <w:b/>
            <w:bCs/>
            <w:sz w:val="24"/>
            <w:lang w:eastAsia="es-ES"/>
          </w:rPr>
          <w:t>OF. CSS.pdf</w:t>
        </w:r>
      </w:hyperlink>
      <w:r w:rsidR="00EE1C74" w:rsidRPr="00393123">
        <w:rPr>
          <w:rFonts w:ascii="Palatino Linotype" w:hAnsi="Palatino Linotype" w:cs="Arial"/>
          <w:sz w:val="24"/>
          <w:lang w:eastAsia="es-ES"/>
        </w:rPr>
        <w:t xml:space="preserve">: </w:t>
      </w:r>
      <w:r w:rsidR="00611F91" w:rsidRPr="00393123">
        <w:rPr>
          <w:rFonts w:ascii="Palatino Linotype" w:hAnsi="Palatino Linotype" w:cs="Arial"/>
          <w:sz w:val="24"/>
          <w:lang w:eastAsia="es-ES"/>
        </w:rPr>
        <w:t xml:space="preserve">Documento de fecha nueve de febrero del Asesor del C. Coordinador e Servicios de Salud y Enlace de Transparencia en el que refiere </w:t>
      </w:r>
      <w:r w:rsidR="00611F91" w:rsidRPr="00393123">
        <w:rPr>
          <w:rFonts w:ascii="Palatino Linotype" w:hAnsi="Palatino Linotype" w:cs="Arial"/>
          <w:sz w:val="24"/>
          <w:lang w:eastAsia="es-ES"/>
        </w:rPr>
        <w:lastRenderedPageBreak/>
        <w:t>que el procedimiento para canalizar a pacientes de tercer nivel de atención, la información se encuentra en el Manual de Procedimientos de Referencia y Contrarreferencia de pacientes del ISSEMTYM.</w:t>
      </w:r>
    </w:p>
    <w:p w:rsidR="00611F91" w:rsidRPr="00393123" w:rsidRDefault="00B65EED" w:rsidP="00611F91">
      <w:pPr>
        <w:pStyle w:val="Prrafodelista"/>
        <w:numPr>
          <w:ilvl w:val="0"/>
          <w:numId w:val="6"/>
        </w:numPr>
        <w:spacing w:line="360" w:lineRule="auto"/>
        <w:jc w:val="both"/>
        <w:rPr>
          <w:rFonts w:ascii="Palatino Linotype" w:hAnsi="Palatino Linotype" w:cs="Arial"/>
          <w:sz w:val="24"/>
          <w:lang w:eastAsia="es-ES"/>
        </w:rPr>
      </w:pPr>
      <w:hyperlink r:id="rId12" w:history="1">
        <w:r w:rsidR="00EE1C74" w:rsidRPr="00393123">
          <w:rPr>
            <w:rStyle w:val="Hipervnculo"/>
            <w:rFonts w:ascii="Palatino Linotype" w:hAnsi="Palatino Linotype" w:cs="Arial"/>
            <w:b/>
            <w:bCs/>
            <w:sz w:val="24"/>
            <w:lang w:eastAsia="es-ES"/>
          </w:rPr>
          <w:t>INFORME JUESTIFICADO 62.IP.pdf</w:t>
        </w:r>
      </w:hyperlink>
      <w:r w:rsidR="00611F91" w:rsidRPr="00393123">
        <w:rPr>
          <w:rFonts w:ascii="Palatino Linotype" w:hAnsi="Palatino Linotype" w:cs="Arial"/>
          <w:sz w:val="24"/>
          <w:lang w:eastAsia="es-ES"/>
        </w:rPr>
        <w:t xml:space="preserve">Informe Justificado suscrito por el Responsable y Titular de la Unidad de Transparencia en el que manifestó: </w:t>
      </w:r>
    </w:p>
    <w:p w:rsidR="00611F91" w:rsidRPr="00393123" w:rsidRDefault="00611F91" w:rsidP="00611F91">
      <w:pPr>
        <w:pStyle w:val="Prrafodelista"/>
        <w:spacing w:line="360" w:lineRule="auto"/>
        <w:jc w:val="both"/>
        <w:rPr>
          <w:rFonts w:ascii="Palatino Linotype" w:hAnsi="Palatino Linotype" w:cs="Arial"/>
          <w:i/>
          <w:sz w:val="24"/>
          <w:lang w:eastAsia="es-ES"/>
        </w:rPr>
      </w:pPr>
      <w:r w:rsidRPr="00393123">
        <w:rPr>
          <w:rFonts w:ascii="Palatino Linotype" w:hAnsi="Palatino Linotype" w:cs="Arial"/>
          <w:i/>
          <w:sz w:val="24"/>
          <w:lang w:eastAsia="es-ES"/>
        </w:rPr>
        <w:t>"...Por medio del presente, me permito informar que los médicos que otorgan atención a la patología de prótesis de rodilla y cadera en esta Unidad Médica son los doctores Aldrin Williams López Pineda y Adriana Karime Heziquio Salmerón." (SIC)</w:t>
      </w:r>
    </w:p>
    <w:p w:rsidR="00611F91" w:rsidRPr="00393123" w:rsidRDefault="00611F91" w:rsidP="00611F91">
      <w:pPr>
        <w:pStyle w:val="Prrafodelista"/>
        <w:spacing w:line="360" w:lineRule="auto"/>
        <w:jc w:val="both"/>
        <w:rPr>
          <w:rFonts w:ascii="Palatino Linotype" w:hAnsi="Palatino Linotype" w:cs="Arial"/>
          <w:i/>
          <w:sz w:val="24"/>
          <w:lang w:eastAsia="es-ES"/>
        </w:rPr>
      </w:pPr>
      <w:r w:rsidRPr="00393123">
        <w:rPr>
          <w:rFonts w:ascii="Palatino Linotype" w:hAnsi="Palatino Linotype" w:cs="Arial"/>
          <w:i/>
          <w:sz w:val="24"/>
          <w:lang w:eastAsia="es-ES"/>
        </w:rPr>
        <w:t>“Lo anterior es asi, toda vez que el artículo 161 de la Ley de Transparencia y Acceso a la Información Pública del Estado de México y Municipios, indica que cuando la información requerida ya este disponible en medios electrónicos por internet, se le hará saber al recurrente, como aconteció en la especie, puesto que el Manual de Procedimientos de Referencia y Contrarreferencia de pacientes del ISSEMYM, se encuentra publicado en el periódico oficial Gaceta de Gobierno del Estado de México, no obstante se adjunta en formato PDF, ante la imposibilidad de su consulta.”</w:t>
      </w:r>
    </w:p>
    <w:p w:rsidR="0019640F" w:rsidRPr="00393123" w:rsidRDefault="0019640F" w:rsidP="0019640F">
      <w:pPr>
        <w:spacing w:line="360" w:lineRule="auto"/>
        <w:jc w:val="both"/>
        <w:rPr>
          <w:rFonts w:ascii="Palatino Linotype" w:hAnsi="Palatino Linotype" w:cs="Arial"/>
          <w:i/>
          <w:lang w:eastAsia="es-ES"/>
        </w:rPr>
      </w:pPr>
    </w:p>
    <w:p w:rsidR="0019640F" w:rsidRPr="00393123" w:rsidRDefault="00B65EED" w:rsidP="0019640F">
      <w:pPr>
        <w:pStyle w:val="Prrafodelista"/>
        <w:numPr>
          <w:ilvl w:val="0"/>
          <w:numId w:val="6"/>
        </w:numPr>
        <w:spacing w:line="360" w:lineRule="auto"/>
        <w:jc w:val="both"/>
        <w:rPr>
          <w:rFonts w:ascii="Palatino Linotype" w:hAnsi="Palatino Linotype" w:cs="Arial"/>
          <w:sz w:val="24"/>
          <w:lang w:eastAsia="es-ES"/>
        </w:rPr>
      </w:pPr>
      <w:hyperlink r:id="rId13" w:history="1">
        <w:r w:rsidR="00EE1C74" w:rsidRPr="00393123">
          <w:rPr>
            <w:rStyle w:val="Hipervnculo"/>
            <w:rFonts w:ascii="Palatino Linotype" w:hAnsi="Palatino Linotype" w:cs="Arial"/>
            <w:b/>
            <w:bCs/>
            <w:sz w:val="24"/>
            <w:lang w:eastAsia="es-ES"/>
          </w:rPr>
          <w:t>OF. HRT 1.pdf</w:t>
        </w:r>
      </w:hyperlink>
      <w:r w:rsidR="00EE1C74" w:rsidRPr="00393123">
        <w:rPr>
          <w:rFonts w:ascii="Palatino Linotype" w:hAnsi="Palatino Linotype" w:cs="Arial"/>
          <w:sz w:val="24"/>
          <w:lang w:eastAsia="es-ES"/>
        </w:rPr>
        <w:t xml:space="preserve">: </w:t>
      </w:r>
      <w:r w:rsidR="0019640F" w:rsidRPr="00393123">
        <w:rPr>
          <w:rFonts w:ascii="Palatino Linotype" w:hAnsi="Palatino Linotype" w:cs="Arial"/>
          <w:sz w:val="24"/>
          <w:lang w:eastAsia="es-ES"/>
        </w:rPr>
        <w:t xml:space="preserve">Documento de fecha veinticuatro (24) de febrero de dos mil veintitrés, suscrito por el Director del Hospital Regional Toluca en el que señaló que se remite escrito signado por el responsable del servicio de Traumatología y Ortopedia, la información solicitada. </w:t>
      </w:r>
    </w:p>
    <w:p w:rsidR="0019640F" w:rsidRPr="00393123" w:rsidRDefault="0019640F" w:rsidP="0019640F">
      <w:pPr>
        <w:pStyle w:val="Prrafodelista"/>
        <w:spacing w:line="360" w:lineRule="auto"/>
        <w:jc w:val="both"/>
        <w:rPr>
          <w:rFonts w:ascii="Palatino Linotype" w:hAnsi="Palatino Linotype" w:cs="Arial"/>
          <w:sz w:val="24"/>
          <w:lang w:eastAsia="es-ES"/>
        </w:rPr>
      </w:pPr>
    </w:p>
    <w:p w:rsidR="0019640F" w:rsidRPr="00393123" w:rsidRDefault="00B65EED" w:rsidP="0019640F">
      <w:pPr>
        <w:pStyle w:val="Prrafodelista"/>
        <w:numPr>
          <w:ilvl w:val="0"/>
          <w:numId w:val="6"/>
        </w:numPr>
        <w:spacing w:line="360" w:lineRule="auto"/>
        <w:jc w:val="both"/>
        <w:rPr>
          <w:rFonts w:ascii="Palatino Linotype" w:hAnsi="Palatino Linotype" w:cs="Arial"/>
          <w:sz w:val="24"/>
          <w:lang w:eastAsia="es-ES"/>
        </w:rPr>
      </w:pPr>
      <w:hyperlink r:id="rId14" w:history="1">
        <w:r w:rsidR="00EE1C74" w:rsidRPr="00393123">
          <w:rPr>
            <w:rStyle w:val="Hipervnculo"/>
            <w:rFonts w:ascii="Palatino Linotype" w:hAnsi="Palatino Linotype" w:cs="Arial"/>
            <w:b/>
            <w:bCs/>
            <w:sz w:val="24"/>
            <w:lang w:eastAsia="es-ES"/>
          </w:rPr>
          <w:t>OF. HRT 2.pdf</w:t>
        </w:r>
      </w:hyperlink>
      <w:r w:rsidR="00EE1C74" w:rsidRPr="00393123">
        <w:rPr>
          <w:rFonts w:ascii="Palatino Linotype" w:hAnsi="Palatino Linotype" w:cs="Arial"/>
          <w:sz w:val="24"/>
          <w:lang w:eastAsia="es-ES"/>
        </w:rPr>
        <w:t xml:space="preserve">: </w:t>
      </w:r>
      <w:r w:rsidR="0019640F" w:rsidRPr="00393123">
        <w:rPr>
          <w:rFonts w:ascii="Palatino Linotype" w:hAnsi="Palatino Linotype" w:cs="Arial"/>
          <w:sz w:val="24"/>
          <w:lang w:eastAsia="es-ES"/>
        </w:rPr>
        <w:t xml:space="preserve">Documento de fecha veinticuatro de febrero de dos mil veintitrés suscrito por el Encargado de Servicio de Traumatología y Ortopedia del H.R.T., en el que señaló que los médicos que otorgan atención a la patología </w:t>
      </w:r>
      <w:r w:rsidR="0019640F" w:rsidRPr="00393123">
        <w:rPr>
          <w:rFonts w:ascii="Palatino Linotype" w:hAnsi="Palatino Linotype" w:cs="Arial"/>
          <w:sz w:val="24"/>
          <w:lang w:eastAsia="es-ES"/>
        </w:rPr>
        <w:lastRenderedPageBreak/>
        <w:t xml:space="preserve">de prótesis de rodilla y cadera de esa Unidad Médico, son los doctores Aldrin Williams López Pineda y Adriana Karime Heziquio Salmeron. </w:t>
      </w:r>
    </w:p>
    <w:p w:rsidR="00611F91" w:rsidRPr="00393123" w:rsidRDefault="00611F91" w:rsidP="00611F91">
      <w:pPr>
        <w:pStyle w:val="Prrafodelista"/>
        <w:spacing w:line="360" w:lineRule="auto"/>
        <w:jc w:val="both"/>
        <w:rPr>
          <w:rFonts w:ascii="Palatino Linotype" w:hAnsi="Palatino Linotype" w:cs="Arial"/>
          <w:sz w:val="24"/>
          <w:lang w:eastAsia="es-ES"/>
        </w:rPr>
      </w:pPr>
    </w:p>
    <w:p w:rsidR="0019640F" w:rsidRPr="00393123" w:rsidRDefault="0019640F" w:rsidP="00AD7D2B">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393123">
        <w:rPr>
          <w:rFonts w:ascii="Palatino Linotype" w:eastAsiaTheme="minorEastAsia" w:hAnsi="Palatino Linotype"/>
          <w:lang w:val="es-ES_tradnl" w:eastAsia="es-ES"/>
        </w:rPr>
        <w:t xml:space="preserve">En fecha veinticinco (25) de mayo de dos mil veintitrés, se notificó el acuerdo mediante el cual se amplió el plazo para emitir resolución. </w:t>
      </w:r>
    </w:p>
    <w:p w:rsidR="0019640F" w:rsidRPr="00393123" w:rsidRDefault="0019640F" w:rsidP="0019640F">
      <w:pPr>
        <w:spacing w:line="360" w:lineRule="auto"/>
        <w:contextualSpacing/>
        <w:jc w:val="both"/>
        <w:rPr>
          <w:rFonts w:ascii="Palatino Linotype" w:eastAsiaTheme="minorEastAsia" w:hAnsi="Palatino Linotype"/>
          <w:b/>
          <w:u w:val="single"/>
          <w:lang w:val="es-ES_tradnl" w:eastAsia="es-ES"/>
        </w:rPr>
      </w:pPr>
    </w:p>
    <w:p w:rsidR="00AD7D2B" w:rsidRPr="00393123" w:rsidRDefault="00AD7D2B" w:rsidP="00AD7D2B">
      <w:pPr>
        <w:numPr>
          <w:ilvl w:val="0"/>
          <w:numId w:val="1"/>
        </w:numPr>
        <w:spacing w:line="360" w:lineRule="auto"/>
        <w:ind w:left="0" w:firstLine="0"/>
        <w:contextualSpacing/>
        <w:jc w:val="both"/>
        <w:rPr>
          <w:rFonts w:ascii="Palatino Linotype" w:eastAsiaTheme="minorEastAsia" w:hAnsi="Palatino Linotype"/>
          <w:b/>
          <w:u w:val="single"/>
          <w:lang w:val="es-ES_tradnl" w:eastAsia="es-ES"/>
        </w:rPr>
      </w:pPr>
      <w:r w:rsidRPr="00393123">
        <w:rPr>
          <w:rFonts w:ascii="Palatino Linotype" w:eastAsiaTheme="minorEastAsia" w:hAnsi="Palatino Linotype"/>
          <w:lang w:val="es-ES_tradnl" w:eastAsia="es-ES"/>
        </w:rPr>
        <w:t xml:space="preserve">El Comisionado Ponente decretó el cierre de instrucción a través de acuerdo que fue notificado en fecha </w:t>
      </w:r>
      <w:r w:rsidR="0019640F" w:rsidRPr="00393123">
        <w:rPr>
          <w:rFonts w:ascii="Palatino Linotype" w:eastAsiaTheme="minorEastAsia" w:hAnsi="Palatino Linotype"/>
          <w:lang w:val="es-ES_tradnl" w:eastAsia="es-ES"/>
        </w:rPr>
        <w:t>doce (12)</w:t>
      </w:r>
      <w:r w:rsidRPr="00393123">
        <w:rPr>
          <w:rFonts w:ascii="Palatino Linotype" w:eastAsiaTheme="minorEastAsia" w:hAnsi="Palatino Linotype"/>
          <w:lang w:val="es-ES_tradnl" w:eastAsia="es-ES"/>
        </w:rPr>
        <w:t xml:space="preserve"> de</w:t>
      </w:r>
      <w:r w:rsidR="0019640F" w:rsidRPr="00393123">
        <w:rPr>
          <w:rFonts w:ascii="Palatino Linotype" w:eastAsiaTheme="minorEastAsia" w:hAnsi="Palatino Linotype"/>
          <w:lang w:val="es-ES_tradnl" w:eastAsia="es-ES"/>
        </w:rPr>
        <w:t xml:space="preserve"> julio de</w:t>
      </w:r>
      <w:r w:rsidRPr="00393123">
        <w:rPr>
          <w:rFonts w:ascii="Palatino Linotype" w:eastAsiaTheme="minorEastAsia" w:hAnsi="Palatino Linotype"/>
          <w:lang w:val="es-ES_tradnl" w:eastAsia="es-ES"/>
        </w:rPr>
        <w:t xml:space="preserve"> dos mil veintitrés. </w:t>
      </w:r>
    </w:p>
    <w:p w:rsidR="0019640F" w:rsidRPr="00393123" w:rsidRDefault="0019640F" w:rsidP="00AD7D2B">
      <w:pPr>
        <w:pStyle w:val="Prrafodelista"/>
        <w:spacing w:line="360" w:lineRule="auto"/>
        <w:ind w:left="0" w:right="113"/>
        <w:jc w:val="both"/>
        <w:rPr>
          <w:rFonts w:ascii="Palatino Linotype" w:hAnsi="Palatino Linotype"/>
          <w:sz w:val="24"/>
        </w:rPr>
      </w:pPr>
    </w:p>
    <w:p w:rsidR="00AD7D2B" w:rsidRPr="00393123" w:rsidRDefault="00AD7D2B" w:rsidP="00AD7D2B">
      <w:pPr>
        <w:keepNext/>
        <w:keepLines/>
        <w:spacing w:line="360" w:lineRule="auto"/>
        <w:jc w:val="center"/>
        <w:outlineLvl w:val="0"/>
        <w:rPr>
          <w:rFonts w:ascii="Palatino Linotype" w:eastAsiaTheme="majorEastAsia" w:hAnsi="Palatino Linotype" w:cstheme="majorBidi"/>
        </w:rPr>
      </w:pPr>
      <w:bookmarkStart w:id="5" w:name="_Toc83301634"/>
      <w:r w:rsidRPr="00393123">
        <w:rPr>
          <w:rFonts w:ascii="Palatino Linotype" w:eastAsiaTheme="majorEastAsia" w:hAnsi="Palatino Linotype" w:cstheme="majorBidi"/>
          <w:b/>
        </w:rPr>
        <w:t>CONSIDERANDO</w:t>
      </w:r>
      <w:bookmarkEnd w:id="5"/>
      <w:r w:rsidRPr="00393123">
        <w:rPr>
          <w:rFonts w:ascii="Palatino Linotype" w:eastAsiaTheme="majorEastAsia" w:hAnsi="Palatino Linotype" w:cstheme="majorBidi"/>
          <w:b/>
        </w:rPr>
        <w:t xml:space="preserve"> </w:t>
      </w:r>
    </w:p>
    <w:p w:rsidR="00AD7D2B" w:rsidRPr="00393123" w:rsidRDefault="00AD7D2B" w:rsidP="00AD7D2B">
      <w:pPr>
        <w:spacing w:line="360" w:lineRule="auto"/>
        <w:rPr>
          <w:rFonts w:ascii="Palatino Linotype" w:eastAsiaTheme="minorEastAsia" w:hAnsi="Palatino Linotype"/>
        </w:rPr>
      </w:pPr>
    </w:p>
    <w:p w:rsidR="00AD7D2B" w:rsidRPr="00393123" w:rsidRDefault="00AD7D2B" w:rsidP="00AD7D2B">
      <w:pPr>
        <w:keepNext/>
        <w:keepLines/>
        <w:spacing w:line="360" w:lineRule="auto"/>
        <w:outlineLvl w:val="1"/>
        <w:rPr>
          <w:rFonts w:ascii="Palatino Linotype" w:eastAsiaTheme="majorEastAsia" w:hAnsi="Palatino Linotype" w:cstheme="majorBidi"/>
          <w:b/>
        </w:rPr>
      </w:pPr>
      <w:bookmarkStart w:id="6" w:name="_Toc83301635"/>
      <w:r w:rsidRPr="00393123">
        <w:rPr>
          <w:rFonts w:ascii="Palatino Linotype" w:eastAsiaTheme="majorEastAsia" w:hAnsi="Palatino Linotype" w:cstheme="majorBidi"/>
          <w:b/>
        </w:rPr>
        <w:t>PRIMERO. De la competencia</w:t>
      </w:r>
      <w:bookmarkEnd w:id="6"/>
    </w:p>
    <w:p w:rsidR="00AD7D2B" w:rsidRPr="00393123" w:rsidRDefault="00AD7D2B" w:rsidP="00AD7D2B">
      <w:pPr>
        <w:keepNext/>
        <w:keepLines/>
        <w:spacing w:line="360" w:lineRule="auto"/>
        <w:outlineLvl w:val="1"/>
        <w:rPr>
          <w:rFonts w:ascii="Palatino Linotype" w:eastAsiaTheme="majorEastAsia" w:hAnsi="Palatino Linotype" w:cstheme="majorBidi"/>
          <w:b/>
          <w:bCs/>
          <w:spacing w:val="60"/>
        </w:rPr>
      </w:pPr>
    </w:p>
    <w:p w:rsidR="00AD7D2B" w:rsidRPr="00393123" w:rsidRDefault="00AD7D2B" w:rsidP="00AD7D2B">
      <w:pPr>
        <w:pStyle w:val="Prrafodelista"/>
        <w:numPr>
          <w:ilvl w:val="0"/>
          <w:numId w:val="1"/>
        </w:numPr>
        <w:spacing w:line="360" w:lineRule="auto"/>
        <w:ind w:left="0" w:firstLine="0"/>
        <w:jc w:val="both"/>
        <w:rPr>
          <w:rFonts w:ascii="Palatino Linotype" w:hAnsi="Palatino Linotype"/>
          <w:sz w:val="24"/>
        </w:rPr>
      </w:pPr>
      <w:r w:rsidRPr="00393123">
        <w:rPr>
          <w:rFonts w:ascii="Palatino Linotype" w:hAnsi="Palatino Linotype"/>
          <w:sz w:val="24"/>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AD7D2B" w:rsidRPr="00393123" w:rsidRDefault="00AD7D2B" w:rsidP="00AD7D2B">
      <w:pPr>
        <w:spacing w:line="360" w:lineRule="auto"/>
        <w:contextualSpacing/>
        <w:jc w:val="both"/>
        <w:rPr>
          <w:rFonts w:ascii="Palatino Linotype" w:eastAsiaTheme="minorEastAsia" w:hAnsi="Palatino Linotype"/>
          <w:lang w:val="es-ES_tradnl" w:eastAsia="es-ES"/>
        </w:rPr>
      </w:pPr>
    </w:p>
    <w:p w:rsidR="00AD7D2B" w:rsidRPr="00393123" w:rsidRDefault="00AD7D2B" w:rsidP="00AD7D2B">
      <w:pPr>
        <w:keepNext/>
        <w:keepLines/>
        <w:spacing w:line="360" w:lineRule="auto"/>
        <w:outlineLvl w:val="1"/>
        <w:rPr>
          <w:rFonts w:ascii="Palatino Linotype" w:eastAsiaTheme="majorEastAsia" w:hAnsi="Palatino Linotype" w:cstheme="majorBidi"/>
          <w:b/>
        </w:rPr>
      </w:pPr>
      <w:bookmarkStart w:id="7" w:name="_Toc83301636"/>
      <w:r w:rsidRPr="00393123">
        <w:rPr>
          <w:rFonts w:ascii="Palatino Linotype" w:eastAsiaTheme="majorEastAsia" w:hAnsi="Palatino Linotype" w:cstheme="majorBidi"/>
          <w:b/>
        </w:rPr>
        <w:t>SEGUNDO. De la oportunidad y procedencia.</w:t>
      </w:r>
      <w:bookmarkEnd w:id="7"/>
    </w:p>
    <w:p w:rsidR="00AD7D2B" w:rsidRPr="00393123" w:rsidRDefault="00AD7D2B" w:rsidP="00AD7D2B">
      <w:pPr>
        <w:spacing w:line="360" w:lineRule="auto"/>
        <w:rPr>
          <w:rFonts w:ascii="Palatino Linotype" w:eastAsiaTheme="minorEastAsia" w:hAnsi="Palatino Linotype"/>
        </w:rPr>
      </w:pPr>
    </w:p>
    <w:p w:rsidR="00AD7D2B" w:rsidRPr="00393123" w:rsidRDefault="00AD7D2B" w:rsidP="00AD7D2B">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393123">
        <w:rPr>
          <w:rFonts w:ascii="Palatino Linotype" w:eastAsia="Calibri" w:hAnsi="Palatino Linotype" w:cs="Arial"/>
          <w:lang w:val="es-ES_tradnl" w:eastAsia="es-ES"/>
        </w:rPr>
        <w:t xml:space="preserve">El medio de impugnación fue presentado a través del </w:t>
      </w:r>
      <w:r w:rsidRPr="00393123">
        <w:rPr>
          <w:rFonts w:ascii="Palatino Linotype" w:eastAsia="Calibri" w:hAnsi="Palatino Linotype" w:cs="Arial"/>
          <w:b/>
          <w:lang w:val="es-ES_tradnl" w:eastAsia="es-ES"/>
        </w:rPr>
        <w:t>SAIMEX,</w:t>
      </w:r>
      <w:r w:rsidRPr="00393123">
        <w:rPr>
          <w:rFonts w:ascii="Palatino Linotype" w:eastAsia="Calibri" w:hAnsi="Palatino Linotype" w:cs="Arial"/>
          <w:lang w:val="es-ES_tradnl" w:eastAsia="es-ES"/>
        </w:rPr>
        <w:t xml:space="preserve"> en el formato previamente aprobado para tal efecto y dentro del plazo legal de quince días hábiles otorgados; siendo así que el </w:t>
      </w:r>
      <w:r w:rsidRPr="00393123">
        <w:rPr>
          <w:rFonts w:ascii="Palatino Linotype" w:eastAsia="Calibri" w:hAnsi="Palatino Linotype" w:cs="Arial"/>
          <w:b/>
          <w:lang w:val="es-ES_tradnl" w:eastAsia="es-ES"/>
        </w:rPr>
        <w:t>SUJETO OBLIGADO</w:t>
      </w:r>
      <w:r w:rsidR="00393123">
        <w:rPr>
          <w:rFonts w:ascii="Palatino Linotype" w:eastAsia="Calibri" w:hAnsi="Palatino Linotype" w:cs="Arial"/>
          <w:b/>
          <w:lang w:val="es-ES_tradnl" w:eastAsia="es-ES"/>
        </w:rPr>
        <w:t>,</w:t>
      </w:r>
      <w:r w:rsidRPr="00393123">
        <w:rPr>
          <w:rFonts w:ascii="Palatino Linotype" w:eastAsia="Calibri" w:hAnsi="Palatino Linotype" w:cs="Arial"/>
          <w:lang w:val="es-ES_tradnl" w:eastAsia="es-ES"/>
        </w:rPr>
        <w:t xml:space="preserve"> entregó respuesta a la solicitud el día diez (10) de </w:t>
      </w:r>
      <w:r w:rsidR="0019640F" w:rsidRPr="00393123">
        <w:rPr>
          <w:rFonts w:ascii="Palatino Linotype" w:eastAsia="Calibri" w:hAnsi="Palatino Linotype" w:cs="Arial"/>
          <w:lang w:val="es-ES_tradnl" w:eastAsia="es-ES"/>
        </w:rPr>
        <w:t>febrero</w:t>
      </w:r>
      <w:r w:rsidRPr="00393123">
        <w:rPr>
          <w:rFonts w:ascii="Palatino Linotype" w:eastAsia="Calibri" w:hAnsi="Palatino Linotype" w:cs="Arial"/>
          <w:lang w:val="es-ES_tradnl" w:eastAsia="es-ES"/>
        </w:rPr>
        <w:t xml:space="preserve"> de dos mil veintitrés, </w:t>
      </w:r>
      <w:r w:rsidRPr="00393123">
        <w:rPr>
          <w:rFonts w:ascii="Palatino Linotype" w:eastAsiaTheme="minorEastAsia" w:hAnsi="Palatino Linotype" w:cs="Arial"/>
          <w:lang w:val="es-ES_tradnl" w:eastAsia="es-ES"/>
        </w:rPr>
        <w:t xml:space="preserve">de tal forma que el plazo para interponer el recurso de revisión transcurrió del </w:t>
      </w:r>
      <w:r w:rsidR="0019640F" w:rsidRPr="00393123">
        <w:rPr>
          <w:rFonts w:ascii="Palatino Linotype" w:eastAsiaTheme="minorEastAsia" w:hAnsi="Palatino Linotype" w:cs="Arial"/>
          <w:lang w:val="es-ES_tradnl" w:eastAsia="es-ES"/>
        </w:rPr>
        <w:t>trece (13) de febrero al tres (03) de marzo</w:t>
      </w:r>
      <w:r w:rsidRPr="00393123">
        <w:rPr>
          <w:rFonts w:ascii="Palatino Linotype" w:eastAsiaTheme="minorEastAsia" w:hAnsi="Palatino Linotype" w:cs="Arial"/>
          <w:lang w:val="es-ES_tradnl" w:eastAsia="es-ES"/>
        </w:rPr>
        <w:t xml:space="preserve">  de dos mil veintitrés; en consecuencia, presentó su inconformidad el </w:t>
      </w:r>
      <w:r w:rsidR="0019640F" w:rsidRPr="00393123">
        <w:rPr>
          <w:rFonts w:ascii="Palatino Linotype" w:eastAsiaTheme="minorEastAsia" w:hAnsi="Palatino Linotype" w:cs="Arial"/>
          <w:lang w:val="es-ES_tradnl" w:eastAsia="es-ES"/>
        </w:rPr>
        <w:t>quince (15) de febrero</w:t>
      </w:r>
      <w:r w:rsidRPr="00393123">
        <w:rPr>
          <w:rFonts w:ascii="Palatino Linotype" w:eastAsiaTheme="minorEastAsia" w:hAnsi="Palatino Linotype" w:cs="Arial"/>
          <w:lang w:val="es-ES_tradnl" w:eastAsia="es-ES"/>
        </w:rPr>
        <w:t xml:space="preserve"> del presente año, por lo que se encuentra dentro de los márgenes temporales previstos en el artículo 178 de la </w:t>
      </w:r>
      <w:r w:rsidRPr="00393123">
        <w:rPr>
          <w:rFonts w:ascii="Palatino Linotype" w:eastAsiaTheme="minorEastAsia" w:hAnsi="Palatino Linotype" w:cs="Arial"/>
          <w:b/>
          <w:lang w:val="es-ES_tradnl" w:eastAsia="es-ES"/>
        </w:rPr>
        <w:t xml:space="preserve">Ley de Transparencia y Acceso a la Información Pública del Estado de México y Municipios </w:t>
      </w:r>
      <w:r w:rsidRPr="00393123">
        <w:rPr>
          <w:rFonts w:ascii="Palatino Linotype" w:eastAsiaTheme="minorEastAsia" w:hAnsi="Palatino Linotype" w:cs="Arial"/>
          <w:lang w:val="es-ES_tradnl" w:eastAsia="es-ES"/>
        </w:rPr>
        <w:t>vigente.</w:t>
      </w:r>
    </w:p>
    <w:p w:rsidR="00AD7D2B" w:rsidRPr="00393123" w:rsidRDefault="00AD7D2B" w:rsidP="00AD7D2B">
      <w:pPr>
        <w:rPr>
          <w:rFonts w:ascii="Palatino Linotype" w:hAnsi="Palatino Linotype" w:cs="Arial"/>
          <w:i/>
        </w:rPr>
      </w:pPr>
    </w:p>
    <w:p w:rsidR="00AD7D2B" w:rsidRPr="00393123" w:rsidRDefault="00AD7D2B" w:rsidP="00AD7D2B">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393123">
        <w:rPr>
          <w:rFonts w:ascii="Palatino Linotype" w:eastAsia="Calibri" w:hAnsi="Palatino Linotype" w:cs="Arial"/>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8" w:name="_Toc65713731"/>
      <w:bookmarkStart w:id="9" w:name="_Toc94119614"/>
      <w:bookmarkStart w:id="10" w:name="_Toc452722829"/>
      <w:bookmarkStart w:id="11" w:name="_Toc454373811"/>
      <w:bookmarkStart w:id="12" w:name="_Toc476675991"/>
    </w:p>
    <w:bookmarkEnd w:id="8"/>
    <w:bookmarkEnd w:id="9"/>
    <w:p w:rsidR="00AD7D2B" w:rsidRPr="00393123" w:rsidRDefault="00AD7D2B" w:rsidP="00AD7D2B">
      <w:pPr>
        <w:spacing w:line="360" w:lineRule="auto"/>
        <w:ind w:right="49"/>
        <w:contextualSpacing/>
        <w:jc w:val="both"/>
        <w:rPr>
          <w:rFonts w:ascii="Palatino Linotype" w:eastAsia="MS Gothic" w:hAnsi="Palatino Linotype" w:cstheme="majorBidi"/>
          <w:lang w:val="es-ES_tradnl" w:eastAsia="es-ES"/>
        </w:rPr>
      </w:pPr>
    </w:p>
    <w:p w:rsidR="00AD7D2B" w:rsidRPr="00393123" w:rsidRDefault="00AD7D2B" w:rsidP="00AD7D2B">
      <w:pPr>
        <w:pStyle w:val="Ttulo2"/>
        <w:tabs>
          <w:tab w:val="left" w:pos="0"/>
        </w:tabs>
        <w:spacing w:before="0" w:line="360" w:lineRule="auto"/>
        <w:rPr>
          <w:rFonts w:ascii="Palatino Linotype" w:hAnsi="Palatino Linotype"/>
          <w:b/>
          <w:color w:val="auto"/>
          <w:sz w:val="24"/>
          <w:szCs w:val="24"/>
        </w:rPr>
      </w:pPr>
      <w:r w:rsidRPr="00393123">
        <w:rPr>
          <w:rFonts w:ascii="Palatino Linotype" w:hAnsi="Palatino Linotype"/>
          <w:b/>
          <w:color w:val="auto"/>
          <w:sz w:val="24"/>
          <w:szCs w:val="24"/>
        </w:rPr>
        <w:t xml:space="preserve">TERCERO. De las causales de sobreseimiento </w:t>
      </w:r>
    </w:p>
    <w:p w:rsidR="00AD7D2B" w:rsidRPr="00393123" w:rsidRDefault="00AD7D2B" w:rsidP="00AD7D2B">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bookmarkStart w:id="13" w:name="_Toc529263621"/>
      <w:bookmarkStart w:id="14" w:name="_Toc530650937"/>
      <w:bookmarkStart w:id="15" w:name="_Toc535334654"/>
      <w:bookmarkStart w:id="16" w:name="_Toc2248735"/>
    </w:p>
    <w:p w:rsidR="00AD7D2B" w:rsidRPr="00393123" w:rsidRDefault="00AD7D2B" w:rsidP="00AD7D2B">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393123">
        <w:rPr>
          <w:rFonts w:ascii="Palatino Linotype" w:eastAsia="Calibri" w:hAnsi="Palatino Linotype" w:cs="Arial"/>
          <w:color w:val="000000" w:themeColor="text1"/>
          <w:sz w:val="24"/>
        </w:rPr>
        <w:t xml:space="preserve">El recurso de revisión </w:t>
      </w:r>
      <w:r w:rsidRPr="00393123">
        <w:rPr>
          <w:rFonts w:ascii="Palatino Linotype" w:hAnsi="Palatino Linotype" w:cs="Arial"/>
          <w:sz w:val="24"/>
        </w:rPr>
        <w:t xml:space="preserve">tiene como finalidad reparar cualquier posible afectación al derecho de acceso a la información pública en términos del Título Octavo de la Ley de </w:t>
      </w:r>
      <w:r w:rsidRPr="00393123">
        <w:rPr>
          <w:rFonts w:ascii="Palatino Linotype" w:eastAsia="Calibri" w:hAnsi="Palatino Linotype" w:cs="Arial"/>
          <w:sz w:val="24"/>
        </w:rPr>
        <w:t>Transparencia, Acceso a la Información Pública del Estado de México y Municipios</w:t>
      </w:r>
      <w:r w:rsidRPr="00393123">
        <w:rPr>
          <w:rFonts w:ascii="Palatino Linotype" w:hAnsi="Palatino Linotype" w:cs="Arial"/>
          <w:sz w:val="24"/>
        </w:rPr>
        <w:t xml:space="preserve">, y determinar la confirmación; revocación o modificación; desechamiento o </w:t>
      </w:r>
      <w:r w:rsidRPr="00393123">
        <w:rPr>
          <w:rFonts w:ascii="Palatino Linotype" w:hAnsi="Palatino Linotype" w:cs="Arial"/>
          <w:sz w:val="24"/>
        </w:rPr>
        <w:lastRenderedPageBreak/>
        <w:t xml:space="preserve">sobreseimiento; y en su caso ordenar la entrega de la información con respecto a la respuesta emitida por el </w:t>
      </w:r>
      <w:r w:rsidRPr="00393123">
        <w:rPr>
          <w:rFonts w:ascii="Palatino Linotype" w:hAnsi="Palatino Linotype" w:cs="Arial"/>
          <w:b/>
          <w:sz w:val="24"/>
        </w:rPr>
        <w:t>SUJETO</w:t>
      </w:r>
      <w:r w:rsidRPr="00393123">
        <w:rPr>
          <w:rFonts w:ascii="Palatino Linotype" w:hAnsi="Palatino Linotype" w:cs="Arial"/>
          <w:sz w:val="24"/>
        </w:rPr>
        <w:t xml:space="preserve"> </w:t>
      </w:r>
      <w:r w:rsidRPr="00393123">
        <w:rPr>
          <w:rFonts w:ascii="Palatino Linotype" w:hAnsi="Palatino Linotype" w:cs="Arial"/>
          <w:b/>
          <w:sz w:val="24"/>
        </w:rPr>
        <w:t>OBLIGADO</w:t>
      </w:r>
      <w:r w:rsidRPr="00393123">
        <w:rPr>
          <w:rFonts w:ascii="Palatino Linotype" w:hAnsi="Palatino Linotype" w:cs="Arial"/>
          <w:sz w:val="24"/>
        </w:rPr>
        <w:t>.</w:t>
      </w:r>
    </w:p>
    <w:p w:rsidR="00AD7D2B" w:rsidRPr="00393123" w:rsidRDefault="00AD7D2B" w:rsidP="00AD7D2B">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rsidR="00AD7D2B" w:rsidRPr="00393123" w:rsidRDefault="00AD7D2B" w:rsidP="00AD7D2B">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393123">
        <w:rPr>
          <w:rFonts w:ascii="Palatino Linotype" w:eastAsia="Calibri" w:hAnsi="Palatino Linotype" w:cs="Arial"/>
          <w:color w:val="000000" w:themeColor="text1"/>
          <w:sz w:val="24"/>
        </w:rPr>
        <w:t xml:space="preserve">De </w:t>
      </w:r>
      <w:r w:rsidRPr="00393123">
        <w:rPr>
          <w:rFonts w:ascii="Palatino Linotype" w:eastAsia="Calibri" w:hAnsi="Palatino Linotype"/>
          <w:sz w:val="24"/>
        </w:rPr>
        <w:t xml:space="preserve">acuerdo al precepto legal contenido en la fracción III del artículo 192 de la </w:t>
      </w:r>
      <w:r w:rsidRPr="00393123">
        <w:rPr>
          <w:rFonts w:ascii="Palatino Linotype" w:eastAsia="Calibri" w:hAnsi="Palatino Linotype"/>
          <w:b/>
          <w:sz w:val="24"/>
        </w:rPr>
        <w:t>Ley de Transparencia y Acceso a la Información Pública del Estado de México y Municipios</w:t>
      </w:r>
      <w:r w:rsidRPr="00393123">
        <w:rPr>
          <w:rFonts w:ascii="Palatino Linotype" w:eastAsia="Calibri" w:hAnsi="Palatino Linotype"/>
          <w:sz w:val="24"/>
        </w:rPr>
        <w:t>, el recurso será sobreseído, en todo o en parte, cuando una vez admitido, el sujeto obligado responsable del acto lo modifique o revoque de tal manera que el recurso de revisión quede sin materia; de ahí que la actualización de alguno de éste trae como consecuencia que el medio de impugnación se concluya sin que se analice el objeto de estudio planteado, es decir se sobresea.</w:t>
      </w:r>
    </w:p>
    <w:p w:rsidR="00AD7D2B" w:rsidRPr="00393123" w:rsidRDefault="00AD7D2B" w:rsidP="00AD7D2B">
      <w:pPr>
        <w:pStyle w:val="Prrafodelista"/>
        <w:ind w:left="0"/>
        <w:rPr>
          <w:rFonts w:ascii="Palatino Linotype" w:eastAsia="Calibri" w:hAnsi="Palatino Linotype" w:cs="Arial"/>
          <w:color w:val="000000" w:themeColor="text1"/>
          <w:sz w:val="24"/>
          <w:lang w:val="es-ES"/>
        </w:rPr>
      </w:pPr>
    </w:p>
    <w:p w:rsidR="00AD7D2B" w:rsidRPr="00393123" w:rsidRDefault="00AD7D2B" w:rsidP="00AD7D2B">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393123">
        <w:rPr>
          <w:rFonts w:ascii="Palatino Linotype" w:eastAsia="Calibri" w:hAnsi="Palatino Linotype" w:cs="Arial"/>
          <w:color w:val="000000" w:themeColor="text1"/>
          <w:sz w:val="24"/>
          <w:lang w:val="es-ES"/>
        </w:rPr>
        <w:t xml:space="preserve">Para </w:t>
      </w:r>
      <w:r w:rsidRPr="00393123">
        <w:rPr>
          <w:rFonts w:ascii="Palatino Linotype" w:eastAsia="Calibri" w:hAnsi="Palatino Linotype"/>
          <w:sz w:val="24"/>
        </w:rPr>
        <w:t xml:space="preserve">los efectos de esta resolución, es oportuno precisar los alcances jurídicos de la fracción III de la disposición legal transcrita. Así, procede el sobreseimiento del recurso de revisión cuando el </w:t>
      </w:r>
      <w:r w:rsidRPr="00393123">
        <w:rPr>
          <w:rFonts w:ascii="Palatino Linotype" w:eastAsia="Calibri" w:hAnsi="Palatino Linotype"/>
          <w:b/>
          <w:sz w:val="24"/>
        </w:rPr>
        <w:t>SUJETO OBLIGADO</w:t>
      </w:r>
      <w:r w:rsidRPr="00393123">
        <w:rPr>
          <w:rFonts w:ascii="Palatino Linotype" w:eastAsia="Calibri" w:hAnsi="Palatino Linotype"/>
          <w:sz w:val="24"/>
        </w:rPr>
        <w:t>:</w:t>
      </w:r>
    </w:p>
    <w:p w:rsidR="00AD7D2B" w:rsidRPr="00393123" w:rsidRDefault="00AD7D2B" w:rsidP="00AD7D2B">
      <w:pPr>
        <w:rPr>
          <w:rFonts w:ascii="Palatino Linotype" w:eastAsia="Calibri" w:hAnsi="Palatino Linotype" w:cs="Arial"/>
          <w:color w:val="000000" w:themeColor="text1"/>
          <w:lang w:val="es-ES"/>
        </w:rPr>
      </w:pPr>
    </w:p>
    <w:p w:rsidR="00AD7D2B" w:rsidRPr="00393123" w:rsidRDefault="00AD7D2B" w:rsidP="00AD7D2B">
      <w:pPr>
        <w:numPr>
          <w:ilvl w:val="0"/>
          <w:numId w:val="2"/>
        </w:numPr>
        <w:spacing w:line="360" w:lineRule="auto"/>
        <w:ind w:left="567" w:right="616" w:firstLine="0"/>
        <w:contextualSpacing/>
        <w:jc w:val="both"/>
        <w:rPr>
          <w:rFonts w:ascii="Palatino Linotype" w:hAnsi="Palatino Linotype" w:cs="Arial"/>
        </w:rPr>
      </w:pPr>
      <w:r w:rsidRPr="00393123">
        <w:rPr>
          <w:rFonts w:ascii="Palatino Linotype" w:hAnsi="Palatino Linotype" w:cs="Arial"/>
          <w:b/>
        </w:rPr>
        <w:t>Modifique el acto impugnado:</w:t>
      </w:r>
      <w:r w:rsidRPr="00393123">
        <w:rPr>
          <w:rFonts w:ascii="Palatino Linotype" w:hAnsi="Palatino Linotype" w:cs="Arial"/>
        </w:rPr>
        <w:t xml:space="preserve"> Se actualiza cuando el </w:t>
      </w:r>
      <w:r w:rsidRPr="00393123">
        <w:rPr>
          <w:rFonts w:ascii="Palatino Linotype" w:hAnsi="Palatino Linotype" w:cs="Arial"/>
          <w:b/>
        </w:rPr>
        <w:t>SUJETO OBLIGADO</w:t>
      </w:r>
      <w:r w:rsidR="00473D21">
        <w:rPr>
          <w:rFonts w:ascii="Palatino Linotype" w:hAnsi="Palatino Linotype" w:cs="Arial"/>
          <w:b/>
        </w:rPr>
        <w:t>,</w:t>
      </w:r>
      <w:r w:rsidRPr="00393123">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rsidR="00AD7D2B" w:rsidRPr="00393123" w:rsidRDefault="00AD7D2B" w:rsidP="00AD7D2B">
      <w:pPr>
        <w:spacing w:line="360" w:lineRule="auto"/>
        <w:ind w:left="567" w:right="616"/>
        <w:contextualSpacing/>
        <w:jc w:val="both"/>
        <w:rPr>
          <w:rFonts w:ascii="Palatino Linotype" w:hAnsi="Palatino Linotype" w:cs="Arial"/>
        </w:rPr>
      </w:pPr>
    </w:p>
    <w:p w:rsidR="00AD7D2B" w:rsidRPr="00393123" w:rsidRDefault="00AD7D2B" w:rsidP="00AD7D2B">
      <w:pPr>
        <w:numPr>
          <w:ilvl w:val="0"/>
          <w:numId w:val="2"/>
        </w:numPr>
        <w:spacing w:line="360" w:lineRule="auto"/>
        <w:ind w:left="567" w:right="616" w:firstLine="0"/>
        <w:contextualSpacing/>
        <w:jc w:val="both"/>
        <w:rPr>
          <w:rFonts w:ascii="Palatino Linotype" w:hAnsi="Palatino Linotype" w:cs="Arial"/>
        </w:rPr>
      </w:pPr>
      <w:r w:rsidRPr="00393123">
        <w:rPr>
          <w:rFonts w:ascii="Palatino Linotype" w:hAnsi="Palatino Linotype" w:cs="Arial"/>
          <w:b/>
        </w:rPr>
        <w:t>Revoque el acto impugnado:</w:t>
      </w:r>
      <w:r w:rsidRPr="00393123">
        <w:rPr>
          <w:rFonts w:ascii="Palatino Linotype" w:hAnsi="Palatino Linotype" w:cs="Arial"/>
        </w:rPr>
        <w:t xml:space="preserve"> En este supuesto el </w:t>
      </w:r>
      <w:r w:rsidRPr="00393123">
        <w:rPr>
          <w:rFonts w:ascii="Palatino Linotype" w:hAnsi="Palatino Linotype" w:cs="Arial"/>
          <w:b/>
        </w:rPr>
        <w:t>SUJETO OBLIGADO</w:t>
      </w:r>
      <w:r w:rsidR="00473D21">
        <w:rPr>
          <w:rFonts w:ascii="Palatino Linotype" w:hAnsi="Palatino Linotype" w:cs="Arial"/>
          <w:b/>
        </w:rPr>
        <w:t>,</w:t>
      </w:r>
      <w:r w:rsidRPr="00393123">
        <w:rPr>
          <w:rFonts w:ascii="Palatino Linotype" w:hAnsi="Palatino Linotype" w:cs="Arial"/>
        </w:rPr>
        <w:t xml:space="preserve"> deja sin efectos la primera respuesta y en su lugar emite otra que satisfaga lo solicitado por el Particular en un primer momento.</w:t>
      </w:r>
    </w:p>
    <w:p w:rsidR="00AD7D2B" w:rsidRPr="00393123" w:rsidRDefault="00AD7D2B" w:rsidP="00AD7D2B">
      <w:pPr>
        <w:spacing w:line="360" w:lineRule="auto"/>
        <w:ind w:right="616"/>
        <w:contextualSpacing/>
        <w:jc w:val="both"/>
        <w:rPr>
          <w:rFonts w:ascii="Palatino Linotype" w:hAnsi="Palatino Linotype" w:cs="Arial"/>
        </w:rPr>
      </w:pPr>
    </w:p>
    <w:p w:rsidR="00AD7D2B" w:rsidRPr="00393123" w:rsidRDefault="00AD7D2B" w:rsidP="00AD7D2B">
      <w:pPr>
        <w:pStyle w:val="Prrafodelista"/>
        <w:numPr>
          <w:ilvl w:val="0"/>
          <w:numId w:val="1"/>
        </w:numPr>
        <w:tabs>
          <w:tab w:val="left" w:pos="284"/>
          <w:tab w:val="left" w:pos="567"/>
        </w:tabs>
        <w:spacing w:line="360" w:lineRule="auto"/>
        <w:ind w:left="0" w:firstLine="0"/>
        <w:jc w:val="both"/>
        <w:rPr>
          <w:rFonts w:ascii="Palatino Linotype" w:eastAsia="Calibri" w:hAnsi="Palatino Linotype" w:cs="Arial"/>
          <w:color w:val="000000" w:themeColor="text1"/>
          <w:sz w:val="24"/>
          <w:lang w:val="es-ES"/>
        </w:rPr>
      </w:pPr>
      <w:r w:rsidRPr="00393123">
        <w:rPr>
          <w:rFonts w:ascii="Palatino Linotype" w:eastAsia="Calibri" w:hAnsi="Palatino Linotype" w:cs="Arial"/>
          <w:color w:val="000000" w:themeColor="text1"/>
          <w:sz w:val="24"/>
          <w:lang w:val="es-ES"/>
        </w:rPr>
        <w:lastRenderedPageBreak/>
        <w:t xml:space="preserve">Las </w:t>
      </w:r>
      <w:r w:rsidRPr="00393123">
        <w:rPr>
          <w:rFonts w:ascii="Palatino Linotype" w:eastAsia="Calibri" w:hAnsi="Palatino Linotype"/>
          <w:sz w:val="24"/>
        </w:rPr>
        <w:t>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rsidR="00AD7D2B" w:rsidRPr="00393123" w:rsidRDefault="00AD7D2B" w:rsidP="00AD7D2B">
      <w:pPr>
        <w:pStyle w:val="Prrafodelista"/>
        <w:tabs>
          <w:tab w:val="left" w:pos="284"/>
          <w:tab w:val="left" w:pos="567"/>
        </w:tabs>
        <w:spacing w:line="360" w:lineRule="auto"/>
        <w:ind w:left="0"/>
        <w:jc w:val="both"/>
        <w:rPr>
          <w:rFonts w:ascii="Palatino Linotype" w:eastAsia="Calibri" w:hAnsi="Palatino Linotype" w:cs="Arial"/>
          <w:color w:val="000000" w:themeColor="text1"/>
          <w:sz w:val="24"/>
          <w:lang w:val="es-ES"/>
        </w:rPr>
      </w:pPr>
    </w:p>
    <w:p w:rsidR="002205D9" w:rsidRPr="00393123" w:rsidRDefault="00AD7D2B" w:rsidP="00AD7D2B">
      <w:pPr>
        <w:pStyle w:val="Prrafodelista"/>
        <w:numPr>
          <w:ilvl w:val="0"/>
          <w:numId w:val="1"/>
        </w:numPr>
        <w:tabs>
          <w:tab w:val="left" w:pos="284"/>
          <w:tab w:val="left" w:pos="567"/>
        </w:tabs>
        <w:spacing w:line="360" w:lineRule="auto"/>
        <w:ind w:left="0" w:firstLine="0"/>
        <w:jc w:val="both"/>
        <w:rPr>
          <w:rFonts w:ascii="Palatino Linotype" w:hAnsi="Palatino Linotype"/>
          <w:b/>
          <w:bCs/>
          <w:color w:val="000000"/>
          <w:sz w:val="24"/>
          <w:lang w:val="es-ES"/>
        </w:rPr>
      </w:pPr>
      <w:r w:rsidRPr="00393123">
        <w:rPr>
          <w:rFonts w:ascii="Palatino Linotype" w:eastAsia="Calibri" w:hAnsi="Palatino Linotype" w:cs="Arial"/>
          <w:color w:val="000000" w:themeColor="text1"/>
          <w:sz w:val="24"/>
          <w:lang w:val="es-ES"/>
        </w:rPr>
        <w:t xml:space="preserve">En el presente caso, </w:t>
      </w:r>
      <w:r w:rsidRPr="00393123">
        <w:rPr>
          <w:rFonts w:ascii="Palatino Linotype" w:hAnsi="Palatino Linotype" w:cs="Arial"/>
          <w:color w:val="000000"/>
          <w:sz w:val="24"/>
          <w:lang w:val="es-ES"/>
        </w:rPr>
        <w:t xml:space="preserve">el Recurrente solicitó </w:t>
      </w:r>
      <w:r w:rsidR="002205D9" w:rsidRPr="00393123">
        <w:rPr>
          <w:rFonts w:ascii="Palatino Linotype" w:hAnsi="Palatino Linotype" w:cs="Arial"/>
          <w:i/>
          <w:color w:val="000000"/>
          <w:sz w:val="24"/>
          <w:lang w:val="es-ES"/>
        </w:rPr>
        <w:t>“</w:t>
      </w:r>
      <w:r w:rsidR="002205D9" w:rsidRPr="00393123">
        <w:rPr>
          <w:rFonts w:ascii="Palatino Linotype" w:hAnsi="Palatino Linotype" w:cs="Arial"/>
          <w:i/>
          <w:color w:val="000000"/>
          <w:sz w:val="24"/>
        </w:rPr>
        <w:t>En torno a lai respuesta a mi solicitud con folio e la cual me contestaron parcialmente, necesito que me entreguen en papel membretado por la institución el nombre de los 2 médicos que relacionan en el escrito 207C0401040120L/AAQHRT/211/2022, los cuales atienden un total de 320 consultas por mes. Soy un derechohabiente que le diagnosticaron coxartrosis de cadera grado III, por lo que de mi clinica familiar me canalizaron al hospital regional, sin embargo necesito saber cual es el procedimiento a seguir para que entonces me canalicen al centro médico ya que ahi si cuentan con medicos con dicha alta especialidad que tratan este tipo de padecimientos. Si abren agenda a finales de enero, me podrián dar respuesta antes de la fecha limite?”</w:t>
      </w:r>
    </w:p>
    <w:p w:rsidR="002205D9" w:rsidRPr="00393123" w:rsidRDefault="002205D9" w:rsidP="002205D9">
      <w:pPr>
        <w:pStyle w:val="Prrafodelista"/>
        <w:tabs>
          <w:tab w:val="left" w:pos="284"/>
          <w:tab w:val="left" w:pos="567"/>
        </w:tabs>
        <w:spacing w:line="360" w:lineRule="auto"/>
        <w:ind w:left="0"/>
        <w:jc w:val="both"/>
        <w:rPr>
          <w:rFonts w:ascii="Palatino Linotype" w:hAnsi="Palatino Linotype"/>
          <w:b/>
          <w:bCs/>
          <w:color w:val="000000"/>
          <w:sz w:val="24"/>
          <w:lang w:val="es-ES"/>
        </w:rPr>
      </w:pPr>
    </w:p>
    <w:p w:rsidR="00AD7D2B" w:rsidRPr="00393123" w:rsidRDefault="002205D9" w:rsidP="00AD7D2B">
      <w:pPr>
        <w:pStyle w:val="Prrafodelista"/>
        <w:numPr>
          <w:ilvl w:val="0"/>
          <w:numId w:val="1"/>
        </w:numPr>
        <w:tabs>
          <w:tab w:val="left" w:pos="284"/>
          <w:tab w:val="left" w:pos="567"/>
        </w:tabs>
        <w:spacing w:line="360" w:lineRule="auto"/>
        <w:ind w:left="0" w:firstLine="0"/>
        <w:jc w:val="both"/>
        <w:rPr>
          <w:rFonts w:ascii="Palatino Linotype" w:hAnsi="Palatino Linotype"/>
          <w:b/>
          <w:bCs/>
          <w:color w:val="000000"/>
          <w:sz w:val="24"/>
          <w:lang w:val="es-ES"/>
        </w:rPr>
      </w:pPr>
      <w:r w:rsidRPr="00393123">
        <w:rPr>
          <w:rFonts w:ascii="Palatino Linotype" w:hAnsi="Palatino Linotype" w:cs="Arial"/>
          <w:color w:val="000000"/>
          <w:sz w:val="24"/>
          <w:lang w:val="es-ES"/>
        </w:rPr>
        <w:t xml:space="preserve">Como se advierte de la solicitud, el particular requiere el nombre de los dos médicos que relacionan en el escrito 207C0401040120L/AAQHRT/211/2022 y los procedimientos a seguir para que lo canalicen al centro médico. </w:t>
      </w:r>
    </w:p>
    <w:p w:rsidR="00AD7D2B" w:rsidRPr="00393123" w:rsidRDefault="00AD7D2B" w:rsidP="00AD7D2B">
      <w:pPr>
        <w:pStyle w:val="Prrafodelista"/>
        <w:tabs>
          <w:tab w:val="left" w:pos="284"/>
          <w:tab w:val="left" w:pos="567"/>
        </w:tabs>
        <w:spacing w:line="360" w:lineRule="auto"/>
        <w:ind w:left="0"/>
        <w:jc w:val="both"/>
        <w:rPr>
          <w:rFonts w:ascii="Palatino Linotype" w:hAnsi="Palatino Linotype"/>
          <w:b/>
          <w:bCs/>
          <w:color w:val="000000"/>
          <w:sz w:val="24"/>
          <w:lang w:val="es-ES"/>
        </w:rPr>
      </w:pPr>
    </w:p>
    <w:p w:rsidR="00AD7D2B" w:rsidRPr="00393123" w:rsidRDefault="00AD7D2B" w:rsidP="00AD7D2B">
      <w:pPr>
        <w:pStyle w:val="Prrafodelista"/>
        <w:numPr>
          <w:ilvl w:val="0"/>
          <w:numId w:val="1"/>
        </w:numPr>
        <w:tabs>
          <w:tab w:val="left" w:pos="284"/>
          <w:tab w:val="left" w:pos="567"/>
        </w:tabs>
        <w:spacing w:line="360" w:lineRule="auto"/>
        <w:ind w:left="0" w:firstLine="0"/>
        <w:jc w:val="both"/>
        <w:rPr>
          <w:rFonts w:ascii="Palatino Linotype" w:hAnsi="Palatino Linotype"/>
          <w:b/>
          <w:bCs/>
          <w:color w:val="000000"/>
          <w:sz w:val="24"/>
          <w:lang w:val="es-ES"/>
        </w:rPr>
      </w:pPr>
      <w:r w:rsidRPr="00393123">
        <w:rPr>
          <w:rFonts w:ascii="Palatino Linotype" w:hAnsi="Palatino Linotype" w:cs="Arial"/>
          <w:color w:val="000000"/>
          <w:sz w:val="24"/>
          <w:lang w:val="es-ES"/>
        </w:rPr>
        <w:t>En respuesta, el Sujeto Obligado</w:t>
      </w:r>
      <w:r w:rsidR="002205D9" w:rsidRPr="00393123">
        <w:rPr>
          <w:rFonts w:ascii="Palatino Linotype" w:hAnsi="Palatino Linotype" w:cs="Arial"/>
          <w:color w:val="000000"/>
          <w:sz w:val="24"/>
          <w:lang w:val="es-ES"/>
        </w:rPr>
        <w:t xml:space="preserve"> señaló que únicamente están obligados a entregar la información que obre en sus archivos en el estado que se encuentran, por lo que no advierte información solicitada; por cuanto hace al procedimiento solicitado por el particular para que sea canalizado al centro médico, el Sujeto Obligado adjuntó </w:t>
      </w:r>
      <w:r w:rsidR="002205D9" w:rsidRPr="00393123">
        <w:rPr>
          <w:rFonts w:ascii="Palatino Linotype" w:hAnsi="Palatino Linotype" w:cs="Arial"/>
          <w:color w:val="000000"/>
          <w:sz w:val="24"/>
          <w:lang w:val="es-ES"/>
        </w:rPr>
        <w:lastRenderedPageBreak/>
        <w:t>una liga electrónica que remite al</w:t>
      </w:r>
      <w:r w:rsidR="00786A2F">
        <w:rPr>
          <w:rFonts w:ascii="Palatino Linotype" w:hAnsi="Palatino Linotype" w:cs="Arial"/>
          <w:color w:val="000000"/>
          <w:sz w:val="24"/>
          <w:lang w:val="es-ES"/>
        </w:rPr>
        <w:t xml:space="preserve"> Manual de Procedimientos para l</w:t>
      </w:r>
      <w:r w:rsidR="002205D9" w:rsidRPr="00393123">
        <w:rPr>
          <w:rFonts w:ascii="Palatino Linotype" w:hAnsi="Palatino Linotype" w:cs="Arial"/>
          <w:color w:val="000000"/>
          <w:sz w:val="24"/>
          <w:lang w:val="es-ES"/>
        </w:rPr>
        <w:t xml:space="preserve">a Referencia y </w:t>
      </w:r>
      <w:proofErr w:type="spellStart"/>
      <w:r w:rsidR="002205D9" w:rsidRPr="00393123">
        <w:rPr>
          <w:rFonts w:ascii="Palatino Linotype" w:hAnsi="Palatino Linotype" w:cs="Arial"/>
          <w:color w:val="000000"/>
          <w:sz w:val="24"/>
          <w:lang w:val="es-ES"/>
        </w:rPr>
        <w:t>Contrarreferencia</w:t>
      </w:r>
      <w:proofErr w:type="spellEnd"/>
      <w:r w:rsidR="002205D9" w:rsidRPr="00393123">
        <w:rPr>
          <w:rFonts w:ascii="Palatino Linotype" w:hAnsi="Palatino Linotype" w:cs="Arial"/>
          <w:color w:val="000000"/>
          <w:sz w:val="24"/>
          <w:lang w:val="es-ES"/>
        </w:rPr>
        <w:t xml:space="preserve"> de Pacientes del ISSEMYM. </w:t>
      </w:r>
    </w:p>
    <w:p w:rsidR="002205D9" w:rsidRPr="00393123" w:rsidRDefault="002205D9" w:rsidP="002205D9">
      <w:pPr>
        <w:pStyle w:val="Prrafodelista"/>
        <w:tabs>
          <w:tab w:val="left" w:pos="284"/>
          <w:tab w:val="left" w:pos="567"/>
        </w:tabs>
        <w:spacing w:line="360" w:lineRule="auto"/>
        <w:ind w:left="0"/>
        <w:jc w:val="both"/>
        <w:rPr>
          <w:rFonts w:ascii="Palatino Linotype" w:hAnsi="Palatino Linotype"/>
          <w:b/>
          <w:bCs/>
          <w:color w:val="000000"/>
          <w:sz w:val="24"/>
          <w:lang w:val="es-ES"/>
        </w:rPr>
      </w:pPr>
    </w:p>
    <w:p w:rsidR="002205D9" w:rsidRPr="00393123" w:rsidRDefault="002205D9" w:rsidP="00AD7D2B">
      <w:pPr>
        <w:pStyle w:val="Prrafodelista"/>
        <w:numPr>
          <w:ilvl w:val="0"/>
          <w:numId w:val="1"/>
        </w:numPr>
        <w:tabs>
          <w:tab w:val="left" w:pos="284"/>
          <w:tab w:val="left" w:pos="567"/>
        </w:tabs>
        <w:spacing w:line="360" w:lineRule="auto"/>
        <w:ind w:left="0" w:firstLine="0"/>
        <w:jc w:val="both"/>
        <w:rPr>
          <w:rFonts w:ascii="Palatino Linotype" w:hAnsi="Palatino Linotype"/>
          <w:b/>
          <w:bCs/>
          <w:color w:val="000000"/>
          <w:sz w:val="24"/>
          <w:lang w:val="es-ES"/>
        </w:rPr>
      </w:pPr>
      <w:r w:rsidRPr="00393123">
        <w:rPr>
          <w:rFonts w:ascii="Palatino Linotype" w:hAnsi="Palatino Linotype" w:cs="Arial"/>
          <w:color w:val="000000"/>
          <w:sz w:val="24"/>
          <w:lang w:val="es-ES"/>
        </w:rPr>
        <w:t>Inconforme con la respuesta, el particular se inconformó a través del recurso de revisión en el que señaló como motivos de inconformidad lo siguiente:</w:t>
      </w:r>
    </w:p>
    <w:p w:rsidR="002205D9" w:rsidRPr="00393123" w:rsidRDefault="002205D9" w:rsidP="002205D9">
      <w:pPr>
        <w:pStyle w:val="Prrafodelista"/>
        <w:tabs>
          <w:tab w:val="left" w:pos="284"/>
          <w:tab w:val="left" w:pos="567"/>
        </w:tabs>
        <w:spacing w:line="360" w:lineRule="auto"/>
        <w:ind w:left="0"/>
        <w:jc w:val="both"/>
        <w:rPr>
          <w:rFonts w:ascii="Palatino Linotype" w:hAnsi="Palatino Linotype" w:cs="Arial"/>
          <w:color w:val="000000"/>
          <w:sz w:val="24"/>
          <w:lang w:val="es-ES"/>
        </w:rPr>
      </w:pPr>
    </w:p>
    <w:p w:rsidR="00AD7D2B" w:rsidRPr="00393123" w:rsidRDefault="00724ED3" w:rsidP="00724ED3">
      <w:pPr>
        <w:pStyle w:val="Prrafodelista"/>
        <w:tabs>
          <w:tab w:val="left" w:pos="284"/>
          <w:tab w:val="left" w:pos="567"/>
        </w:tabs>
        <w:spacing w:line="360" w:lineRule="auto"/>
        <w:ind w:left="851" w:right="822"/>
        <w:jc w:val="both"/>
        <w:rPr>
          <w:rFonts w:ascii="Palatino Linotype" w:hAnsi="Palatino Linotype"/>
          <w:b/>
          <w:bCs/>
          <w:i/>
          <w:color w:val="000000"/>
          <w:sz w:val="24"/>
          <w:lang w:val="es-ES"/>
        </w:rPr>
      </w:pPr>
      <w:r w:rsidRPr="00393123">
        <w:rPr>
          <w:rFonts w:ascii="Palatino Linotype" w:hAnsi="Palatino Linotype"/>
          <w:i/>
          <w:color w:val="000000"/>
          <w:sz w:val="24"/>
        </w:rPr>
        <w:t xml:space="preserve">“Para Empezar no soy un solicitante sin nombre, ya que en mi solicitud viene claramente como me llamo, deben dirigirse a los ciudadanos por el nombre o también les da flojera escribirlo y les es mas fácil copiar y pegar de un machote que ya tienen, porque para eso si son especialistas ustedes del issemym, en querer ahorrarse trabajo. Segundo en un escrito que ustedes mismos me enviaron en una solicitud previa y con numero de oficio 207C0401040120L/AAQHRT/211/2022, señalaron que tienen 2 médicos que atienden un total de 320 consultas por mes y que son los que ven el tema de la coxartrosis de cadera, solo estoy pidiendo en una hoja membretada por la institución que me digan el nombre de esos 2 médicos que son servidores públicos y no tienen porque estar ocultando el nombre, basta incluso con el coordinador relacione el nombre de esos 2 médicos en una hoja membretada, basta con copiar y pegar el nombre y listo, cual procesamiento les involucra señores?, no estoy pidiendo ningún otro estudio ni análisis que hagan. Tercero, en cuanto al procedimiento que se debe seguir para canalizar a un paciente a determinado hospital y donde ustedes me mandan el link a su manual de procedimientos, les recuerdo que bajo los principios de gobierno abierto y transparencia ustedes me deben mandar dicho link para poder </w:t>
      </w:r>
      <w:r w:rsidRPr="00393123">
        <w:rPr>
          <w:rFonts w:ascii="Palatino Linotype" w:hAnsi="Palatino Linotype"/>
          <w:i/>
          <w:color w:val="000000"/>
          <w:sz w:val="24"/>
        </w:rPr>
        <w:lastRenderedPageBreak/>
        <w:t>copiarlo ya que desde su documento de respuesta no es posible hacerlo pues es una hoja escaneada, que contradicción la de ustedes, se queja el servidor publico habilitado de que no debe hacer procesamiento por enviar 2 simples nombres a una hoja membretada y sin embargo si tuvo la molestia de copiar el link a una hoja, escanearla para que quedara en imagen y así no poder copiar yo ese link, como es posible que ahí si hayan procesado. Son totalmente contradictorios sus acciones señores, pónganse a trabajar y dejar el cafecito y la platica para después, cada uno de ustedes recibe un salario por su trabajo, háganlo bien y sirvan a la ciudadanía. Esta información era importante para mi incluso de la manera mas atenta les solicite si fuera posible me pudieran contestar antes del plazo, y no sucedió así, SE TARDARON 15 DIAS HABILES para darme una respuesta de negación total. Espero que el INFOEM les ordene entregarme la información y les imponga una sanción puesto que no es creíble que tratándose de un servicio de salud operen de manera adversa a los principios de transparencia.”</w:t>
      </w:r>
    </w:p>
    <w:p w:rsidR="00AD7D2B" w:rsidRPr="00393123" w:rsidRDefault="00724ED3" w:rsidP="00AD7D2B">
      <w:pPr>
        <w:pStyle w:val="Prrafodelista"/>
        <w:numPr>
          <w:ilvl w:val="0"/>
          <w:numId w:val="1"/>
        </w:numPr>
        <w:tabs>
          <w:tab w:val="left" w:pos="284"/>
        </w:tabs>
        <w:spacing w:line="360" w:lineRule="auto"/>
        <w:ind w:left="0" w:firstLine="0"/>
        <w:jc w:val="both"/>
        <w:rPr>
          <w:rFonts w:ascii="Palatino Linotype" w:hAnsi="Palatino Linotype"/>
          <w:sz w:val="24"/>
        </w:rPr>
      </w:pPr>
      <w:r w:rsidRPr="00393123">
        <w:rPr>
          <w:rFonts w:ascii="Palatino Linotype" w:eastAsia="Calibri" w:hAnsi="Palatino Linotype" w:cs="Arial"/>
          <w:sz w:val="24"/>
        </w:rPr>
        <w:t>Consecuentemente, el Sujeto Obligado remitió su informe justificado en el que señaló:</w:t>
      </w:r>
    </w:p>
    <w:p w:rsidR="00724ED3" w:rsidRPr="00393123" w:rsidRDefault="00724ED3" w:rsidP="00724ED3">
      <w:pPr>
        <w:pStyle w:val="Prrafodelista"/>
        <w:tabs>
          <w:tab w:val="left" w:pos="284"/>
        </w:tabs>
        <w:spacing w:line="360" w:lineRule="auto"/>
        <w:ind w:left="0"/>
        <w:jc w:val="center"/>
        <w:rPr>
          <w:rFonts w:ascii="Palatino Linotype" w:hAnsi="Palatino Linotype"/>
          <w:sz w:val="24"/>
        </w:rPr>
      </w:pPr>
      <w:r w:rsidRPr="00393123">
        <w:rPr>
          <w:rFonts w:ascii="Palatino Linotype" w:hAnsi="Palatino Linotype"/>
          <w:noProof/>
          <w:sz w:val="24"/>
        </w:rPr>
        <w:drawing>
          <wp:inline distT="0" distB="0" distL="0" distR="0" wp14:anchorId="7CBFD2F7" wp14:editId="6854492A">
            <wp:extent cx="5460023" cy="20574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006" t="33615" r="32662" b="43385"/>
                    <a:stretch/>
                  </pic:blipFill>
                  <pic:spPr bwMode="auto">
                    <a:xfrm>
                      <a:off x="0" y="0"/>
                      <a:ext cx="5465625" cy="2059511"/>
                    </a:xfrm>
                    <a:prstGeom prst="rect">
                      <a:avLst/>
                    </a:prstGeom>
                    <a:ln>
                      <a:noFill/>
                    </a:ln>
                    <a:extLst>
                      <a:ext uri="{53640926-AAD7-44D8-BBD7-CCE9431645EC}">
                        <a14:shadowObscured xmlns:a14="http://schemas.microsoft.com/office/drawing/2010/main"/>
                      </a:ext>
                    </a:extLst>
                  </pic:spPr>
                </pic:pic>
              </a:graphicData>
            </a:graphic>
          </wp:inline>
        </w:drawing>
      </w:r>
    </w:p>
    <w:p w:rsidR="00724ED3" w:rsidRPr="00393123" w:rsidRDefault="00724ED3" w:rsidP="00724ED3">
      <w:pPr>
        <w:pStyle w:val="Prrafodelista"/>
        <w:tabs>
          <w:tab w:val="left" w:pos="284"/>
        </w:tabs>
        <w:spacing w:line="360" w:lineRule="auto"/>
        <w:ind w:left="0"/>
        <w:jc w:val="center"/>
        <w:rPr>
          <w:rFonts w:ascii="Palatino Linotype" w:hAnsi="Palatino Linotype"/>
          <w:sz w:val="24"/>
        </w:rPr>
      </w:pPr>
      <w:r w:rsidRPr="00393123">
        <w:rPr>
          <w:rFonts w:ascii="Palatino Linotype" w:hAnsi="Palatino Linotype"/>
          <w:noProof/>
          <w:sz w:val="24"/>
        </w:rPr>
        <w:lastRenderedPageBreak/>
        <w:drawing>
          <wp:inline distT="0" distB="0" distL="0" distR="0" wp14:anchorId="3225E329" wp14:editId="392CC41B">
            <wp:extent cx="5402704" cy="376237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674" t="27423" r="33492" b="30688"/>
                    <a:stretch/>
                  </pic:blipFill>
                  <pic:spPr bwMode="auto">
                    <a:xfrm>
                      <a:off x="0" y="0"/>
                      <a:ext cx="5424993" cy="3777896"/>
                    </a:xfrm>
                    <a:prstGeom prst="rect">
                      <a:avLst/>
                    </a:prstGeom>
                    <a:ln>
                      <a:noFill/>
                    </a:ln>
                    <a:extLst>
                      <a:ext uri="{53640926-AAD7-44D8-BBD7-CCE9431645EC}">
                        <a14:shadowObscured xmlns:a14="http://schemas.microsoft.com/office/drawing/2010/main"/>
                      </a:ext>
                    </a:extLst>
                  </pic:spPr>
                </pic:pic>
              </a:graphicData>
            </a:graphic>
          </wp:inline>
        </w:drawing>
      </w:r>
    </w:p>
    <w:p w:rsidR="00AD7D2B" w:rsidRPr="00393123" w:rsidRDefault="00AD7D2B" w:rsidP="00AD7D2B">
      <w:pPr>
        <w:pStyle w:val="Prrafodelista"/>
        <w:tabs>
          <w:tab w:val="left" w:pos="284"/>
        </w:tabs>
        <w:spacing w:line="360" w:lineRule="auto"/>
        <w:ind w:left="0"/>
        <w:jc w:val="both"/>
        <w:rPr>
          <w:rFonts w:ascii="Palatino Linotype" w:eastAsia="Calibri" w:hAnsi="Palatino Linotype" w:cs="Arial"/>
          <w:color w:val="000000" w:themeColor="text1"/>
          <w:sz w:val="24"/>
          <w:lang w:val="es-ES"/>
        </w:rPr>
      </w:pPr>
    </w:p>
    <w:p w:rsidR="00AD7D2B" w:rsidRPr="00393123" w:rsidRDefault="00AD7D2B" w:rsidP="00AD7D2B">
      <w:pPr>
        <w:pStyle w:val="Prrafodelista"/>
        <w:tabs>
          <w:tab w:val="left" w:pos="284"/>
        </w:tabs>
        <w:spacing w:line="360" w:lineRule="auto"/>
        <w:ind w:left="851" w:right="822"/>
        <w:jc w:val="center"/>
        <w:rPr>
          <w:rFonts w:ascii="Palatino Linotype" w:hAnsi="Palatino Linotype"/>
          <w:i/>
          <w:sz w:val="24"/>
        </w:rPr>
      </w:pPr>
    </w:p>
    <w:p w:rsidR="00AD7D2B" w:rsidRPr="00393123" w:rsidRDefault="00724ED3" w:rsidP="00AD7D2B">
      <w:pPr>
        <w:pStyle w:val="Prrafodelista"/>
        <w:tabs>
          <w:tab w:val="left" w:pos="284"/>
        </w:tabs>
        <w:spacing w:line="360" w:lineRule="auto"/>
        <w:ind w:left="851" w:right="822"/>
        <w:jc w:val="center"/>
        <w:rPr>
          <w:rFonts w:ascii="Palatino Linotype" w:hAnsi="Palatino Linotype"/>
          <w:i/>
          <w:sz w:val="24"/>
        </w:rPr>
      </w:pPr>
      <w:r w:rsidRPr="00393123">
        <w:rPr>
          <w:rFonts w:ascii="Palatino Linotype" w:hAnsi="Palatino Linotype"/>
          <w:noProof/>
          <w:sz w:val="24"/>
        </w:rPr>
        <w:drawing>
          <wp:inline distT="0" distB="0" distL="0" distR="0" wp14:anchorId="49C15ADE" wp14:editId="6D16DB41">
            <wp:extent cx="4608217" cy="1971675"/>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674" t="49538" r="33989" b="25104"/>
                    <a:stretch/>
                  </pic:blipFill>
                  <pic:spPr bwMode="auto">
                    <a:xfrm>
                      <a:off x="0" y="0"/>
                      <a:ext cx="4624788" cy="1978765"/>
                    </a:xfrm>
                    <a:prstGeom prst="rect">
                      <a:avLst/>
                    </a:prstGeom>
                    <a:ln>
                      <a:noFill/>
                    </a:ln>
                    <a:extLst>
                      <a:ext uri="{53640926-AAD7-44D8-BBD7-CCE9431645EC}">
                        <a14:shadowObscured xmlns:a14="http://schemas.microsoft.com/office/drawing/2010/main"/>
                      </a:ext>
                    </a:extLst>
                  </pic:spPr>
                </pic:pic>
              </a:graphicData>
            </a:graphic>
          </wp:inline>
        </w:drawing>
      </w:r>
    </w:p>
    <w:p w:rsidR="00724ED3" w:rsidRPr="00393123" w:rsidRDefault="00724ED3" w:rsidP="00AD7D2B">
      <w:pPr>
        <w:pStyle w:val="Prrafodelista"/>
        <w:tabs>
          <w:tab w:val="left" w:pos="284"/>
        </w:tabs>
        <w:spacing w:line="360" w:lineRule="auto"/>
        <w:ind w:left="851" w:right="822"/>
        <w:jc w:val="center"/>
        <w:rPr>
          <w:rFonts w:ascii="Palatino Linotype" w:hAnsi="Palatino Linotype"/>
          <w:i/>
          <w:sz w:val="24"/>
        </w:rPr>
      </w:pPr>
      <w:r w:rsidRPr="00393123">
        <w:rPr>
          <w:rFonts w:ascii="Palatino Linotype" w:hAnsi="Palatino Linotype"/>
          <w:noProof/>
          <w:sz w:val="24"/>
        </w:rPr>
        <w:lastRenderedPageBreak/>
        <w:drawing>
          <wp:inline distT="0" distB="0" distL="0" distR="0" wp14:anchorId="063F53E4" wp14:editId="4B18A67A">
            <wp:extent cx="4658226" cy="21907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171" t="41577" r="33326" b="30410"/>
                    <a:stretch/>
                  </pic:blipFill>
                  <pic:spPr bwMode="auto">
                    <a:xfrm>
                      <a:off x="0" y="0"/>
                      <a:ext cx="4669511" cy="2196057"/>
                    </a:xfrm>
                    <a:prstGeom prst="rect">
                      <a:avLst/>
                    </a:prstGeom>
                    <a:ln>
                      <a:noFill/>
                    </a:ln>
                    <a:extLst>
                      <a:ext uri="{53640926-AAD7-44D8-BBD7-CCE9431645EC}">
                        <a14:shadowObscured xmlns:a14="http://schemas.microsoft.com/office/drawing/2010/main"/>
                      </a:ext>
                    </a:extLst>
                  </pic:spPr>
                </pic:pic>
              </a:graphicData>
            </a:graphic>
          </wp:inline>
        </w:drawing>
      </w:r>
    </w:p>
    <w:p w:rsidR="00AD7D2B" w:rsidRPr="00393123" w:rsidRDefault="00724ED3" w:rsidP="00393123">
      <w:pPr>
        <w:pStyle w:val="Prrafodelista"/>
        <w:tabs>
          <w:tab w:val="left" w:pos="284"/>
        </w:tabs>
        <w:spacing w:line="360" w:lineRule="auto"/>
        <w:ind w:left="851" w:right="822"/>
        <w:jc w:val="center"/>
        <w:rPr>
          <w:rFonts w:ascii="Palatino Linotype" w:hAnsi="Palatino Linotype"/>
          <w:i/>
          <w:sz w:val="24"/>
        </w:rPr>
      </w:pPr>
      <w:r w:rsidRPr="00393123">
        <w:rPr>
          <w:rFonts w:ascii="Palatino Linotype" w:hAnsi="Palatino Linotype"/>
          <w:noProof/>
          <w:sz w:val="24"/>
        </w:rPr>
        <w:drawing>
          <wp:inline distT="0" distB="0" distL="0" distR="0" wp14:anchorId="745E201F" wp14:editId="2D3FE55A">
            <wp:extent cx="4972050" cy="4851370"/>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508" t="23589" r="33326" b="17142"/>
                    <a:stretch/>
                  </pic:blipFill>
                  <pic:spPr bwMode="auto">
                    <a:xfrm>
                      <a:off x="0" y="0"/>
                      <a:ext cx="4981409" cy="4860502"/>
                    </a:xfrm>
                    <a:prstGeom prst="rect">
                      <a:avLst/>
                    </a:prstGeom>
                    <a:ln>
                      <a:noFill/>
                    </a:ln>
                    <a:extLst>
                      <a:ext uri="{53640926-AAD7-44D8-BBD7-CCE9431645EC}">
                        <a14:shadowObscured xmlns:a14="http://schemas.microsoft.com/office/drawing/2010/main"/>
                      </a:ext>
                    </a:extLst>
                  </pic:spPr>
                </pic:pic>
              </a:graphicData>
            </a:graphic>
          </wp:inline>
        </w:drawing>
      </w:r>
    </w:p>
    <w:p w:rsidR="00724ED3" w:rsidRPr="00393123" w:rsidRDefault="00724ED3" w:rsidP="00AD7D2B">
      <w:pPr>
        <w:pStyle w:val="Prrafodelista"/>
        <w:numPr>
          <w:ilvl w:val="0"/>
          <w:numId w:val="1"/>
        </w:numPr>
        <w:tabs>
          <w:tab w:val="left" w:pos="284"/>
        </w:tabs>
        <w:spacing w:line="360" w:lineRule="auto"/>
        <w:ind w:left="0" w:firstLine="0"/>
        <w:jc w:val="both"/>
        <w:rPr>
          <w:rFonts w:ascii="Palatino Linotype" w:eastAsia="Calibri" w:hAnsi="Palatino Linotype" w:cs="Arial"/>
          <w:color w:val="000000" w:themeColor="text1"/>
          <w:sz w:val="24"/>
          <w:lang w:val="es-ES"/>
        </w:rPr>
      </w:pPr>
      <w:r w:rsidRPr="00393123">
        <w:rPr>
          <w:rFonts w:ascii="Palatino Linotype" w:eastAsia="Calibri" w:hAnsi="Palatino Linotype" w:cs="Arial"/>
          <w:color w:val="000000" w:themeColor="text1"/>
          <w:sz w:val="24"/>
          <w:lang w:val="es-ES"/>
        </w:rPr>
        <w:lastRenderedPageBreak/>
        <w:t>Como se a</w:t>
      </w:r>
      <w:r w:rsidR="00393123">
        <w:rPr>
          <w:rFonts w:ascii="Palatino Linotype" w:eastAsia="Calibri" w:hAnsi="Palatino Linotype" w:cs="Arial"/>
          <w:color w:val="000000" w:themeColor="text1"/>
          <w:sz w:val="24"/>
          <w:lang w:val="es-ES"/>
        </w:rPr>
        <w:t>dvierte del informe justificado</w:t>
      </w:r>
      <w:r w:rsidRPr="00393123">
        <w:rPr>
          <w:rFonts w:ascii="Palatino Linotype" w:eastAsia="Calibri" w:hAnsi="Palatino Linotype" w:cs="Arial"/>
          <w:color w:val="000000" w:themeColor="text1"/>
          <w:sz w:val="24"/>
          <w:lang w:val="es-ES"/>
        </w:rPr>
        <w:t xml:space="preserve"> el Sujeto Obligado</w:t>
      </w:r>
      <w:r w:rsidR="00393123">
        <w:rPr>
          <w:rFonts w:ascii="Palatino Linotype" w:eastAsia="Calibri" w:hAnsi="Palatino Linotype" w:cs="Arial"/>
          <w:color w:val="000000" w:themeColor="text1"/>
          <w:sz w:val="24"/>
          <w:lang w:val="es-ES"/>
        </w:rPr>
        <w:t>,</w:t>
      </w:r>
      <w:r w:rsidRPr="00393123">
        <w:rPr>
          <w:rFonts w:ascii="Palatino Linotype" w:eastAsia="Calibri" w:hAnsi="Palatino Linotype" w:cs="Arial"/>
          <w:color w:val="000000" w:themeColor="text1"/>
          <w:sz w:val="24"/>
          <w:lang w:val="es-ES"/>
        </w:rPr>
        <w:t xml:space="preserve"> señaló el nombre de los dos médicos que otorgan atención a la patología de prótesis de rodilla y cadera; asimismo, adjunto el Manual de Procedimientos de Referencia y Contrarreferencia de pacientes del ISSEMYM, que contiene el procedimiento </w:t>
      </w:r>
      <w:r w:rsidR="00065E57" w:rsidRPr="00393123">
        <w:rPr>
          <w:rFonts w:ascii="Palatino Linotype" w:eastAsia="Calibri" w:hAnsi="Palatino Linotype" w:cs="Arial"/>
          <w:color w:val="000000" w:themeColor="text1"/>
          <w:sz w:val="24"/>
          <w:lang w:val="es-ES"/>
        </w:rPr>
        <w:t>a seguir para canalizar a pacientes de tercer nivel de atención:</w:t>
      </w:r>
    </w:p>
    <w:p w:rsidR="00065E57" w:rsidRPr="00393123" w:rsidRDefault="00065E57" w:rsidP="00065E57">
      <w:pPr>
        <w:pStyle w:val="Prrafodelista"/>
        <w:tabs>
          <w:tab w:val="left" w:pos="284"/>
        </w:tabs>
        <w:spacing w:line="360" w:lineRule="auto"/>
        <w:ind w:left="0"/>
        <w:jc w:val="both"/>
        <w:rPr>
          <w:rFonts w:ascii="Palatino Linotype" w:eastAsia="Calibri" w:hAnsi="Palatino Linotype" w:cs="Arial"/>
          <w:color w:val="000000" w:themeColor="text1"/>
          <w:sz w:val="24"/>
          <w:lang w:val="es-ES"/>
        </w:rPr>
      </w:pPr>
    </w:p>
    <w:p w:rsidR="00065E57" w:rsidRPr="00393123" w:rsidRDefault="00065E57" w:rsidP="00065E57">
      <w:pPr>
        <w:pStyle w:val="Prrafodelista"/>
        <w:tabs>
          <w:tab w:val="left" w:pos="284"/>
        </w:tabs>
        <w:spacing w:line="360" w:lineRule="auto"/>
        <w:ind w:left="0"/>
        <w:jc w:val="center"/>
        <w:rPr>
          <w:rFonts w:ascii="Palatino Linotype" w:eastAsia="Calibri" w:hAnsi="Palatino Linotype" w:cs="Arial"/>
          <w:color w:val="000000" w:themeColor="text1"/>
          <w:sz w:val="24"/>
          <w:lang w:val="es-ES"/>
        </w:rPr>
      </w:pPr>
      <w:r w:rsidRPr="00393123">
        <w:rPr>
          <w:rFonts w:ascii="Palatino Linotype" w:hAnsi="Palatino Linotype"/>
          <w:noProof/>
          <w:sz w:val="24"/>
        </w:rPr>
        <w:drawing>
          <wp:inline distT="0" distB="0" distL="0" distR="0" wp14:anchorId="169F1D1A" wp14:editId="17368582">
            <wp:extent cx="5204138" cy="35528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675" t="16808" r="32827" b="41321"/>
                    <a:stretch/>
                  </pic:blipFill>
                  <pic:spPr bwMode="auto">
                    <a:xfrm>
                      <a:off x="0" y="0"/>
                      <a:ext cx="5215285" cy="3560435"/>
                    </a:xfrm>
                    <a:prstGeom prst="rect">
                      <a:avLst/>
                    </a:prstGeom>
                    <a:ln>
                      <a:noFill/>
                    </a:ln>
                    <a:extLst>
                      <a:ext uri="{53640926-AAD7-44D8-BBD7-CCE9431645EC}">
                        <a14:shadowObscured xmlns:a14="http://schemas.microsoft.com/office/drawing/2010/main"/>
                      </a:ext>
                    </a:extLst>
                  </pic:spPr>
                </pic:pic>
              </a:graphicData>
            </a:graphic>
          </wp:inline>
        </w:drawing>
      </w:r>
    </w:p>
    <w:p w:rsidR="00065E57" w:rsidRPr="00393123" w:rsidRDefault="00065E57" w:rsidP="00065E57">
      <w:pPr>
        <w:pStyle w:val="Prrafodelista"/>
        <w:tabs>
          <w:tab w:val="left" w:pos="284"/>
        </w:tabs>
        <w:spacing w:line="360" w:lineRule="auto"/>
        <w:ind w:left="0"/>
        <w:jc w:val="center"/>
        <w:rPr>
          <w:rFonts w:ascii="Palatino Linotype" w:eastAsia="Calibri" w:hAnsi="Palatino Linotype" w:cs="Arial"/>
          <w:color w:val="000000" w:themeColor="text1"/>
          <w:sz w:val="24"/>
          <w:lang w:val="es-ES"/>
        </w:rPr>
      </w:pPr>
    </w:p>
    <w:p w:rsidR="00065E57" w:rsidRPr="00393123" w:rsidRDefault="00065E57" w:rsidP="00065E57">
      <w:pPr>
        <w:pStyle w:val="Prrafodelista"/>
        <w:tabs>
          <w:tab w:val="left" w:pos="284"/>
        </w:tabs>
        <w:spacing w:line="360" w:lineRule="auto"/>
        <w:ind w:left="0"/>
        <w:jc w:val="center"/>
        <w:rPr>
          <w:rFonts w:ascii="Palatino Linotype" w:eastAsia="Calibri" w:hAnsi="Palatino Linotype" w:cs="Arial"/>
          <w:color w:val="000000" w:themeColor="text1"/>
          <w:sz w:val="24"/>
          <w:lang w:val="es-ES"/>
        </w:rPr>
      </w:pPr>
      <w:r w:rsidRPr="00393123">
        <w:rPr>
          <w:rFonts w:ascii="Palatino Linotype" w:hAnsi="Palatino Linotype"/>
          <w:noProof/>
          <w:sz w:val="24"/>
        </w:rPr>
        <w:lastRenderedPageBreak/>
        <w:drawing>
          <wp:inline distT="0" distB="0" distL="0" distR="0" wp14:anchorId="0B62C385" wp14:editId="09F11D02">
            <wp:extent cx="5149850" cy="24288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181" t="23590" r="32829" b="46232"/>
                    <a:stretch/>
                  </pic:blipFill>
                  <pic:spPr bwMode="auto">
                    <a:xfrm>
                      <a:off x="0" y="0"/>
                      <a:ext cx="5157594" cy="2432527"/>
                    </a:xfrm>
                    <a:prstGeom prst="rect">
                      <a:avLst/>
                    </a:prstGeom>
                    <a:ln>
                      <a:noFill/>
                    </a:ln>
                    <a:extLst>
                      <a:ext uri="{53640926-AAD7-44D8-BBD7-CCE9431645EC}">
                        <a14:shadowObscured xmlns:a14="http://schemas.microsoft.com/office/drawing/2010/main"/>
                      </a:ext>
                    </a:extLst>
                  </pic:spPr>
                </pic:pic>
              </a:graphicData>
            </a:graphic>
          </wp:inline>
        </w:drawing>
      </w:r>
    </w:p>
    <w:p w:rsidR="00065E57" w:rsidRPr="00393123" w:rsidRDefault="00065E57" w:rsidP="00065E57">
      <w:pPr>
        <w:pStyle w:val="Prrafodelista"/>
        <w:tabs>
          <w:tab w:val="left" w:pos="284"/>
        </w:tabs>
        <w:spacing w:line="360" w:lineRule="auto"/>
        <w:ind w:left="0"/>
        <w:jc w:val="center"/>
        <w:rPr>
          <w:rFonts w:ascii="Palatino Linotype" w:eastAsia="Calibri" w:hAnsi="Palatino Linotype" w:cs="Arial"/>
          <w:color w:val="000000" w:themeColor="text1"/>
          <w:sz w:val="24"/>
          <w:lang w:val="es-ES"/>
        </w:rPr>
      </w:pPr>
    </w:p>
    <w:p w:rsidR="00065E57" w:rsidRPr="00393123" w:rsidRDefault="00065E57" w:rsidP="00065E57">
      <w:pPr>
        <w:pStyle w:val="Prrafodelista"/>
        <w:tabs>
          <w:tab w:val="left" w:pos="284"/>
        </w:tabs>
        <w:spacing w:line="360" w:lineRule="auto"/>
        <w:ind w:left="0"/>
        <w:jc w:val="center"/>
        <w:rPr>
          <w:rFonts w:ascii="Palatino Linotype" w:eastAsia="Calibri" w:hAnsi="Palatino Linotype" w:cs="Arial"/>
          <w:color w:val="000000" w:themeColor="text1"/>
          <w:sz w:val="24"/>
          <w:lang w:val="es-ES"/>
        </w:rPr>
      </w:pPr>
    </w:p>
    <w:p w:rsidR="00065E57" w:rsidRPr="00393123" w:rsidRDefault="00065E57" w:rsidP="00065E57">
      <w:pPr>
        <w:pStyle w:val="Prrafodelista"/>
        <w:tabs>
          <w:tab w:val="left" w:pos="284"/>
        </w:tabs>
        <w:spacing w:line="360" w:lineRule="auto"/>
        <w:ind w:left="0"/>
        <w:jc w:val="center"/>
        <w:rPr>
          <w:rFonts w:ascii="Palatino Linotype" w:eastAsia="Calibri" w:hAnsi="Palatino Linotype" w:cs="Arial"/>
          <w:color w:val="000000" w:themeColor="text1"/>
          <w:sz w:val="24"/>
          <w:lang w:val="es-ES"/>
        </w:rPr>
      </w:pPr>
    </w:p>
    <w:p w:rsidR="00AD7D2B" w:rsidRPr="00393123" w:rsidRDefault="00065E57" w:rsidP="00AD7D2B">
      <w:pPr>
        <w:pStyle w:val="Prrafodelista"/>
        <w:numPr>
          <w:ilvl w:val="0"/>
          <w:numId w:val="1"/>
        </w:numPr>
        <w:tabs>
          <w:tab w:val="left" w:pos="284"/>
        </w:tabs>
        <w:spacing w:line="360" w:lineRule="auto"/>
        <w:ind w:left="0" w:firstLine="0"/>
        <w:jc w:val="both"/>
        <w:rPr>
          <w:rFonts w:ascii="Palatino Linotype" w:eastAsia="Calibri" w:hAnsi="Palatino Linotype" w:cs="Arial"/>
          <w:color w:val="000000" w:themeColor="text1"/>
          <w:sz w:val="24"/>
          <w:lang w:val="es-ES"/>
        </w:rPr>
      </w:pPr>
      <w:r w:rsidRPr="00393123">
        <w:rPr>
          <w:rFonts w:ascii="Palatino Linotype" w:eastAsia="Calibri" w:hAnsi="Palatino Linotype" w:cs="Arial"/>
          <w:color w:val="000000" w:themeColor="text1"/>
          <w:sz w:val="24"/>
          <w:lang w:val="es-ES"/>
        </w:rPr>
        <w:t>Del</w:t>
      </w:r>
      <w:r w:rsidR="00AD7D2B" w:rsidRPr="00393123">
        <w:rPr>
          <w:rFonts w:ascii="Palatino Linotype" w:eastAsia="MS Mincho" w:hAnsi="Palatino Linotype"/>
          <w:sz w:val="24"/>
        </w:rPr>
        <w:t xml:space="preserve"> informe justificado, </w:t>
      </w:r>
      <w:r w:rsidRPr="00393123">
        <w:rPr>
          <w:rFonts w:ascii="Palatino Linotype" w:eastAsia="MS Mincho" w:hAnsi="Palatino Linotype"/>
          <w:sz w:val="24"/>
        </w:rPr>
        <w:t xml:space="preserve">se advierte que </w:t>
      </w:r>
      <w:r w:rsidR="00AD7D2B" w:rsidRPr="00393123">
        <w:rPr>
          <w:rFonts w:ascii="Palatino Linotype" w:eastAsia="MS Mincho" w:hAnsi="Palatino Linotype"/>
          <w:sz w:val="24"/>
        </w:rPr>
        <w:t xml:space="preserve"> modificó  la respuesta, </w:t>
      </w:r>
      <w:r w:rsidR="00AD7D2B" w:rsidRPr="00393123">
        <w:rPr>
          <w:rFonts w:ascii="Palatino Linotype" w:eastAsia="Calibri" w:hAnsi="Palatino Linotype" w:cs="Arial"/>
          <w:color w:val="000000" w:themeColor="text1"/>
          <w:sz w:val="24"/>
          <w:lang w:val="es-ES"/>
        </w:rPr>
        <w:t xml:space="preserve">lo que colma el derecho de acceso a la información pública del particular, en este caso, </w:t>
      </w:r>
      <w:r w:rsidR="00AD7D2B" w:rsidRPr="00393123">
        <w:rPr>
          <w:rFonts w:ascii="Palatino Linotype" w:hAnsi="Palatino Linotype" w:cs="Arial"/>
          <w:bCs/>
          <w:sz w:val="24"/>
        </w:rPr>
        <w:t xml:space="preserve">al haber existido un pronunciamiento por parte del </w:t>
      </w:r>
      <w:r w:rsidR="00AD7D2B" w:rsidRPr="00393123">
        <w:rPr>
          <w:rFonts w:ascii="Palatino Linotype" w:hAnsi="Palatino Linotype" w:cs="Arial"/>
          <w:b/>
          <w:bCs/>
          <w:sz w:val="24"/>
        </w:rPr>
        <w:t>SUJETO OBLIGADO</w:t>
      </w:r>
      <w:r w:rsidR="00AD7D2B" w:rsidRPr="00393123">
        <w:rPr>
          <w:rFonts w:ascii="Palatino Linotype" w:hAnsi="Palatino Linotype" w:cs="Arial"/>
          <w:bCs/>
          <w:sz w:val="24"/>
        </w:rPr>
        <w:t>, este Instituto no está facultado para manifestarse sobre la veracidad de este, pues no existe precepto legal alguno en la Ley de la materia que lo faculte para que, vía recurso de revisión, pueda pronunciarse al respecto.</w:t>
      </w:r>
    </w:p>
    <w:p w:rsidR="00AD7D2B" w:rsidRPr="00393123" w:rsidRDefault="00AD7D2B" w:rsidP="00AD7D2B">
      <w:pPr>
        <w:pStyle w:val="Prrafodelista"/>
        <w:tabs>
          <w:tab w:val="left" w:pos="284"/>
        </w:tabs>
        <w:spacing w:line="360" w:lineRule="auto"/>
        <w:ind w:left="0"/>
        <w:jc w:val="both"/>
        <w:rPr>
          <w:rFonts w:ascii="Palatino Linotype" w:eastAsia="Calibri" w:hAnsi="Palatino Linotype" w:cs="Arial"/>
          <w:color w:val="000000" w:themeColor="text1"/>
          <w:sz w:val="24"/>
          <w:lang w:val="es-ES"/>
        </w:rPr>
      </w:pPr>
    </w:p>
    <w:p w:rsidR="00AD7D2B" w:rsidRPr="00393123" w:rsidRDefault="00AD7D2B" w:rsidP="00AD7D2B">
      <w:pPr>
        <w:pStyle w:val="Prrafodelista"/>
        <w:numPr>
          <w:ilvl w:val="0"/>
          <w:numId w:val="1"/>
        </w:numPr>
        <w:tabs>
          <w:tab w:val="left" w:pos="284"/>
        </w:tabs>
        <w:spacing w:line="360" w:lineRule="auto"/>
        <w:ind w:left="0" w:firstLine="0"/>
        <w:jc w:val="both"/>
        <w:rPr>
          <w:rFonts w:ascii="Palatino Linotype" w:eastAsia="Calibri" w:hAnsi="Palatino Linotype" w:cs="Arial"/>
          <w:color w:val="000000" w:themeColor="text1"/>
          <w:sz w:val="24"/>
          <w:lang w:val="es-ES"/>
        </w:rPr>
      </w:pPr>
      <w:r w:rsidRPr="00393123">
        <w:rPr>
          <w:rFonts w:ascii="Palatino Linotype" w:eastAsia="Calibri" w:hAnsi="Palatino Linotype" w:cs="Arial"/>
          <w:color w:val="000000" w:themeColor="text1"/>
          <w:sz w:val="24"/>
          <w:lang w:val="es-ES"/>
        </w:rPr>
        <w:t xml:space="preserve">Sirve </w:t>
      </w:r>
      <w:r w:rsidRPr="00393123">
        <w:rPr>
          <w:rFonts w:ascii="Palatino Linotype" w:hAnsi="Palatino Linotype" w:cs="Arial"/>
          <w:bCs/>
          <w:sz w:val="24"/>
          <w:lang w:val="es-ES"/>
        </w:rPr>
        <w:t xml:space="preserve">de apoyo a lo anterior, </w:t>
      </w:r>
      <w:r w:rsidRPr="00393123">
        <w:rPr>
          <w:rFonts w:ascii="Palatino Linotype" w:hAnsi="Palatino Linotype" w:cs="Arial"/>
          <w:bCs/>
          <w:sz w:val="24"/>
        </w:rPr>
        <w:t>por analogía el criterio 31-10 emitido por el entonces Instituto Federal de Acceso a la Información ahora Instituto Nacional de Transparencia, Acceso a la Información y Protección de Datos Personales (INAI) que a la letra dice:</w:t>
      </w:r>
    </w:p>
    <w:p w:rsidR="00AD7D2B" w:rsidRPr="00393123" w:rsidRDefault="00AD7D2B" w:rsidP="00AD7D2B">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rsidR="00AD7D2B" w:rsidRPr="00393123" w:rsidRDefault="00AD7D2B" w:rsidP="00AD7D2B">
      <w:pPr>
        <w:tabs>
          <w:tab w:val="left" w:pos="709"/>
        </w:tabs>
        <w:spacing w:line="360" w:lineRule="auto"/>
        <w:ind w:left="851" w:right="822"/>
        <w:jc w:val="both"/>
        <w:rPr>
          <w:rFonts w:ascii="Palatino Linotype" w:hAnsi="Palatino Linotype" w:cs="Arial"/>
          <w:b/>
          <w:bCs/>
          <w:i/>
        </w:rPr>
      </w:pPr>
      <w:r w:rsidRPr="00393123">
        <w:rPr>
          <w:rFonts w:ascii="Palatino Linotype" w:hAnsi="Palatino Linotype" w:cs="Arial"/>
          <w:b/>
          <w:bCs/>
          <w:i/>
        </w:rPr>
        <w:lastRenderedPageBreak/>
        <w:t>“El Instituto Federal de Acceso a la Información y Protección de Datos no cuenta con facultades para pronunciarse respecto de la veracidad de los documentos proporcionados por los sujetos obligados</w:t>
      </w:r>
      <w:r w:rsidRPr="00393123">
        <w:rPr>
          <w:rFonts w:ascii="Palatino Linotype" w:hAnsi="Palatino Linotype" w:cs="Arial"/>
          <w:bCs/>
          <w:i/>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393123">
        <w:rPr>
          <w:rFonts w:ascii="Palatino Linotype" w:hAnsi="Palatino Linotype" w:cs="Arial"/>
          <w:b/>
          <w:bCs/>
          <w:i/>
        </w:rPr>
        <w:t>”</w:t>
      </w:r>
    </w:p>
    <w:p w:rsidR="00AD7D2B" w:rsidRPr="00393123" w:rsidRDefault="00AD7D2B" w:rsidP="00AD7D2B">
      <w:pPr>
        <w:tabs>
          <w:tab w:val="left" w:pos="709"/>
        </w:tabs>
        <w:ind w:right="565"/>
        <w:jc w:val="both"/>
        <w:rPr>
          <w:rFonts w:ascii="Palatino Linotype" w:hAnsi="Palatino Linotype" w:cs="Arial"/>
          <w:b/>
          <w:bCs/>
          <w:i/>
        </w:rPr>
      </w:pPr>
    </w:p>
    <w:p w:rsidR="00AD7D2B" w:rsidRPr="00393123" w:rsidRDefault="00AD7D2B" w:rsidP="00AD7D2B">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393123">
        <w:rPr>
          <w:rFonts w:ascii="Palatino Linotype" w:eastAsia="Calibri" w:hAnsi="Palatino Linotype" w:cs="Arial"/>
          <w:color w:val="000000" w:themeColor="text1"/>
          <w:sz w:val="24"/>
          <w:lang w:val="es-ES"/>
        </w:rPr>
        <w:t xml:space="preserve">Así </w:t>
      </w:r>
      <w:r w:rsidRPr="00393123">
        <w:rPr>
          <w:rFonts w:ascii="Palatino Linotype" w:eastAsia="Calibri" w:hAnsi="Palatino Linotype"/>
          <w:sz w:val="24"/>
        </w:rPr>
        <w:t xml:space="preserve">este Pleno advierte que el </w:t>
      </w:r>
      <w:r w:rsidRPr="00393123">
        <w:rPr>
          <w:rFonts w:ascii="Palatino Linotype" w:eastAsia="Calibri" w:hAnsi="Palatino Linotype"/>
          <w:b/>
          <w:sz w:val="24"/>
        </w:rPr>
        <w:t>SUJETO OBLIGADO</w:t>
      </w:r>
      <w:r w:rsidR="00393123" w:rsidRPr="00393123">
        <w:rPr>
          <w:rFonts w:ascii="Palatino Linotype" w:eastAsia="Calibri" w:hAnsi="Palatino Linotype"/>
          <w:sz w:val="24"/>
        </w:rPr>
        <w:t>,</w:t>
      </w:r>
      <w:r w:rsidRPr="00393123">
        <w:rPr>
          <w:rFonts w:ascii="Palatino Linotype" w:eastAsia="Calibri" w:hAnsi="Palatino Linotype"/>
          <w:sz w:val="24"/>
        </w:rPr>
        <w:t xml:space="preserve"> modificó el acto que le dio origen a los recursos de revisión, lo que trae como consecuencia que el mismo quede sin materia, actualizándose de este modo, la hipótesis jurídica contenida en la fracción III del artículo 192 de la Ley de Transparencia Local.</w:t>
      </w:r>
    </w:p>
    <w:p w:rsidR="00AD7D2B" w:rsidRPr="00393123" w:rsidRDefault="00AD7D2B" w:rsidP="00AD7D2B">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rsidR="00AD7D2B" w:rsidRPr="00393123" w:rsidRDefault="00AD7D2B" w:rsidP="00AD7D2B">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393123">
        <w:rPr>
          <w:rFonts w:ascii="Palatino Linotype" w:eastAsia="Calibri" w:hAnsi="Palatino Linotype" w:cs="Arial"/>
          <w:color w:val="000000" w:themeColor="text1"/>
          <w:sz w:val="24"/>
          <w:lang w:val="es-ES"/>
        </w:rPr>
        <w:t xml:space="preserve">Ahora bien, </w:t>
      </w:r>
      <w:r w:rsidRPr="00393123">
        <w:rPr>
          <w:rFonts w:ascii="Palatino Linotype" w:eastAsia="Calibri" w:hAnsi="Palatino Linotype"/>
          <w:sz w:val="24"/>
        </w:rPr>
        <w:t xml:space="preserve">el sistema de medios de impugnación en esta materia se centra en el análisis de los agravios o motivos de inconformidad, los que deben tener relación directa con el acto de autoridad que lo motiva. En consecuencia, los motivos de la </w:t>
      </w:r>
      <w:r w:rsidRPr="00393123">
        <w:rPr>
          <w:rFonts w:ascii="Palatino Linotype" w:eastAsia="Calibri" w:hAnsi="Palatino Linotype"/>
          <w:sz w:val="24"/>
        </w:rPr>
        <w:lastRenderedPageBreak/>
        <w:t xml:space="preserve">inconformidad deben versar sobre la respuesta de información proporcionada por los </w:t>
      </w:r>
      <w:r w:rsidRPr="00393123">
        <w:rPr>
          <w:rFonts w:ascii="Palatino Linotype" w:eastAsia="Calibri" w:hAnsi="Palatino Linotype"/>
          <w:b/>
          <w:sz w:val="24"/>
        </w:rPr>
        <w:t>SUJETOS OBLIGADOS</w:t>
      </w:r>
      <w:r w:rsidRPr="00393123">
        <w:rPr>
          <w:rFonts w:ascii="Palatino Linotype" w:eastAsia="Calibri" w:hAnsi="Palatino Linotype"/>
          <w:sz w:val="24"/>
        </w:rPr>
        <w:t xml:space="preserve"> o la negativa de entrega de esta, derivada de la solicitud de información pública.</w:t>
      </w:r>
    </w:p>
    <w:p w:rsidR="00AD7D2B" w:rsidRPr="00393123" w:rsidRDefault="00AD7D2B" w:rsidP="00AD7D2B">
      <w:pPr>
        <w:rPr>
          <w:rFonts w:ascii="Palatino Linotype" w:eastAsia="Calibri" w:hAnsi="Palatino Linotype" w:cs="Arial"/>
          <w:color w:val="000000" w:themeColor="text1"/>
          <w:lang w:val="es-ES"/>
        </w:rPr>
      </w:pPr>
    </w:p>
    <w:p w:rsidR="00AD7D2B" w:rsidRPr="00393123" w:rsidRDefault="00AD7D2B" w:rsidP="00AD7D2B">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393123">
        <w:rPr>
          <w:rFonts w:ascii="Palatino Linotype" w:eastAsia="Calibri" w:hAnsi="Palatino Linotype" w:cs="Arial"/>
          <w:color w:val="000000" w:themeColor="text1"/>
          <w:sz w:val="24"/>
          <w:lang w:val="es-ES"/>
        </w:rPr>
        <w:t xml:space="preserve">De </w:t>
      </w:r>
      <w:r w:rsidR="00393123">
        <w:rPr>
          <w:rFonts w:ascii="Palatino Linotype" w:eastAsia="Calibri" w:hAnsi="Palatino Linotype"/>
          <w:sz w:val="24"/>
        </w:rPr>
        <w:t>este modo</w:t>
      </w:r>
      <w:r w:rsidRPr="00393123">
        <w:rPr>
          <w:rFonts w:ascii="Palatino Linotype" w:eastAsia="Calibri" w:hAnsi="Palatino Linotype"/>
          <w:sz w:val="24"/>
        </w:rPr>
        <w:t xml:space="preserve"> cuando el </w:t>
      </w:r>
      <w:r w:rsidRPr="00393123">
        <w:rPr>
          <w:rFonts w:ascii="Palatino Linotype" w:eastAsia="Calibri" w:hAnsi="Palatino Linotype"/>
          <w:b/>
          <w:sz w:val="24"/>
        </w:rPr>
        <w:t xml:space="preserve">SUJETO OBLIGADO, </w:t>
      </w:r>
      <w:r w:rsidRPr="00393123">
        <w:rPr>
          <w:rFonts w:ascii="Palatino Linotype" w:eastAsia="Calibri" w:hAnsi="Palatino Linotype"/>
          <w:sz w:val="24"/>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r w:rsidRPr="00393123">
        <w:rPr>
          <w:rFonts w:ascii="Palatino Linotype" w:eastAsia="Calibri" w:hAnsi="Palatino Linotype"/>
          <w:i/>
          <w:sz w:val="24"/>
        </w:rPr>
        <w:t>litis</w:t>
      </w:r>
      <w:r w:rsidRPr="00393123">
        <w:rPr>
          <w:rFonts w:ascii="Palatino Linotype" w:eastAsia="Calibri" w:hAnsi="Palatino Linotype"/>
          <w:sz w:val="24"/>
        </w:rPr>
        <w:t xml:space="preserve"> planteada, debido a que la afectación en su esfera de derechos fue restituida por la propia autoridad que emitió el acto motivo de impugnación.</w:t>
      </w:r>
    </w:p>
    <w:p w:rsidR="00AD7D2B" w:rsidRPr="00393123" w:rsidRDefault="00AD7D2B" w:rsidP="00AD7D2B">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rsidR="00AD7D2B" w:rsidRPr="00393123" w:rsidRDefault="00AD7D2B" w:rsidP="00AD7D2B">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393123">
        <w:rPr>
          <w:rFonts w:ascii="Palatino Linotype" w:eastAsia="Calibri" w:hAnsi="Palatino Linotype" w:cs="Arial"/>
          <w:color w:val="000000" w:themeColor="text1"/>
          <w:sz w:val="24"/>
          <w:lang w:val="es-ES"/>
        </w:rPr>
        <w:t xml:space="preserve">Sirve </w:t>
      </w:r>
      <w:r w:rsidRPr="00393123">
        <w:rPr>
          <w:rFonts w:ascii="Palatino Linotype" w:eastAsia="Calibri" w:hAnsi="Palatino Linotype"/>
          <w:sz w:val="24"/>
        </w:rPr>
        <w:t>de sustento a lo anterior la siguiente jurisprudencia por contradicción, cuyo rubro, texto y datos de identificación son los siguientes:</w:t>
      </w:r>
    </w:p>
    <w:p w:rsidR="00AD7D2B" w:rsidRPr="00393123" w:rsidRDefault="00AD7D2B" w:rsidP="00AD7D2B">
      <w:pPr>
        <w:rPr>
          <w:rFonts w:ascii="Palatino Linotype" w:eastAsia="Calibri" w:hAnsi="Palatino Linotype" w:cs="Arial"/>
          <w:color w:val="000000" w:themeColor="text1"/>
          <w:lang w:val="es-ES"/>
        </w:rPr>
      </w:pPr>
    </w:p>
    <w:p w:rsidR="00AD7D2B" w:rsidRPr="00393123" w:rsidRDefault="00AD7D2B" w:rsidP="00AD7D2B">
      <w:pPr>
        <w:pStyle w:val="Prrafodelista"/>
        <w:tabs>
          <w:tab w:val="left" w:pos="426"/>
          <w:tab w:val="left" w:pos="567"/>
        </w:tabs>
        <w:spacing w:line="360" w:lineRule="auto"/>
        <w:ind w:left="567" w:right="565"/>
        <w:jc w:val="both"/>
        <w:rPr>
          <w:rFonts w:ascii="Palatino Linotype" w:eastAsia="Calibri" w:hAnsi="Palatino Linotype" w:cs="Arial"/>
          <w:color w:val="000000" w:themeColor="text1"/>
          <w:sz w:val="24"/>
          <w:lang w:val="es-ES"/>
        </w:rPr>
      </w:pPr>
      <w:r w:rsidRPr="00393123">
        <w:rPr>
          <w:rFonts w:ascii="Palatino Linotype" w:eastAsia="Calibri" w:hAnsi="Palatino Linotype"/>
          <w:b/>
          <w:i/>
          <w:sz w:val="24"/>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393123">
        <w:rPr>
          <w:rFonts w:ascii="Palatino Linotype" w:eastAsia="Calibri" w:hAnsi="Palatino Linotype"/>
          <w:i/>
          <w:sz w:val="24"/>
        </w:rPr>
        <w:t xml:space="preserve"> De la interpretación de los artículos 73, fracción XVI y 80 de la Ley de Amparo, se concluye que la causa de improcedencia del juicio de garantías consistente en la cesación de efectos del </w:t>
      </w:r>
      <w:r w:rsidRPr="00393123">
        <w:rPr>
          <w:rFonts w:ascii="Palatino Linotype" w:eastAsia="Calibri" w:hAnsi="Palatino Linotype"/>
          <w:i/>
          <w:sz w:val="24"/>
        </w:rPr>
        <w:lastRenderedPageBreak/>
        <w:t>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rsidR="00AD7D2B" w:rsidRPr="00393123" w:rsidRDefault="00AD7D2B" w:rsidP="00AD7D2B">
      <w:pPr>
        <w:rPr>
          <w:rFonts w:ascii="Palatino Linotype" w:eastAsia="Calibri" w:hAnsi="Palatino Linotype" w:cs="Arial"/>
          <w:color w:val="000000" w:themeColor="text1"/>
          <w:lang w:val="es-ES"/>
        </w:rPr>
      </w:pPr>
    </w:p>
    <w:p w:rsidR="00AD7D2B" w:rsidRPr="00393123" w:rsidRDefault="00AD7D2B" w:rsidP="00AD7D2B">
      <w:pPr>
        <w:pStyle w:val="Prrafodelista"/>
        <w:numPr>
          <w:ilvl w:val="0"/>
          <w:numId w:val="1"/>
        </w:numPr>
        <w:tabs>
          <w:tab w:val="left" w:pos="284"/>
          <w:tab w:val="left" w:pos="567"/>
        </w:tabs>
        <w:spacing w:line="360" w:lineRule="auto"/>
        <w:ind w:left="0" w:firstLine="0"/>
        <w:jc w:val="both"/>
        <w:rPr>
          <w:rFonts w:ascii="Palatino Linotype" w:eastAsia="Calibri" w:hAnsi="Palatino Linotype" w:cs="Arial"/>
          <w:color w:val="000000" w:themeColor="text1"/>
          <w:sz w:val="24"/>
          <w:lang w:val="es-ES"/>
        </w:rPr>
      </w:pPr>
      <w:r w:rsidRPr="00393123">
        <w:rPr>
          <w:rFonts w:ascii="Palatino Linotype" w:eastAsia="Calibri" w:hAnsi="Palatino Linotype" w:cs="Arial"/>
          <w:color w:val="000000" w:themeColor="text1"/>
          <w:sz w:val="24"/>
          <w:lang w:val="es-ES"/>
        </w:rPr>
        <w:t xml:space="preserve">La </w:t>
      </w:r>
      <w:r w:rsidRPr="00393123">
        <w:rPr>
          <w:rFonts w:ascii="Palatino Linotype" w:eastAsia="Calibri" w:hAnsi="Palatino Linotype"/>
          <w:sz w:val="24"/>
        </w:rPr>
        <w:t xml:space="preserve">anterior jurisprudencia resulta aplicable al presente asunto, en dos aspectos: </w:t>
      </w:r>
    </w:p>
    <w:p w:rsidR="00AD7D2B" w:rsidRPr="00393123" w:rsidRDefault="00AD7D2B" w:rsidP="00AD7D2B">
      <w:pPr>
        <w:pStyle w:val="Prrafodelista"/>
        <w:tabs>
          <w:tab w:val="left" w:pos="426"/>
          <w:tab w:val="left" w:pos="567"/>
        </w:tabs>
        <w:spacing w:line="360" w:lineRule="auto"/>
        <w:ind w:left="0"/>
        <w:jc w:val="both"/>
        <w:rPr>
          <w:rFonts w:ascii="Palatino Linotype" w:eastAsia="Calibri" w:hAnsi="Palatino Linotype"/>
          <w:sz w:val="24"/>
        </w:rPr>
      </w:pPr>
    </w:p>
    <w:p w:rsidR="00AD7D2B" w:rsidRPr="00393123" w:rsidRDefault="00AD7D2B" w:rsidP="00AD7D2B">
      <w:pPr>
        <w:numPr>
          <w:ilvl w:val="0"/>
          <w:numId w:val="3"/>
        </w:numPr>
        <w:spacing w:line="360" w:lineRule="auto"/>
        <w:ind w:left="567" w:right="616" w:firstLine="0"/>
        <w:contextualSpacing/>
        <w:jc w:val="both"/>
        <w:rPr>
          <w:rFonts w:ascii="Palatino Linotype" w:eastAsia="Calibri" w:hAnsi="Palatino Linotype"/>
        </w:rPr>
      </w:pPr>
      <w:r w:rsidRPr="00393123">
        <w:rPr>
          <w:rFonts w:ascii="Palatino Linotype" w:eastAsia="Calibri" w:hAnsi="Palatino Linotype"/>
          <w:b/>
        </w:rPr>
        <w:t>La cesación de los efectos perniciosos del acto de autoridad:</w:t>
      </w:r>
      <w:r w:rsidRPr="00393123">
        <w:rPr>
          <w:rFonts w:ascii="Palatino Linotype" w:eastAsia="Calibri" w:hAnsi="Palatino Linotype"/>
        </w:rPr>
        <w:t xml:space="preserve"> Al respecto, la Ley de Transparencia contempla la figura jurídica del sobreseimiento cuando el </w:t>
      </w:r>
      <w:r w:rsidRPr="00393123">
        <w:rPr>
          <w:rFonts w:ascii="Palatino Linotype" w:eastAsia="Calibri" w:hAnsi="Palatino Linotype"/>
          <w:b/>
        </w:rPr>
        <w:t>SUJETO OBLIGADO</w:t>
      </w:r>
      <w:r w:rsidR="00393123">
        <w:rPr>
          <w:rFonts w:ascii="Palatino Linotype" w:eastAsia="Calibri" w:hAnsi="Palatino Linotype"/>
          <w:b/>
        </w:rPr>
        <w:t>,</w:t>
      </w:r>
      <w:r w:rsidRPr="00393123">
        <w:rPr>
          <w:rFonts w:ascii="Palatino Linotype" w:eastAsia="Calibri" w:hAnsi="Palatino Linotype"/>
        </w:rPr>
        <w:t xml:space="preserve"> de </w:t>
      </w:r>
      <w:r w:rsidRPr="00393123">
        <w:rPr>
          <w:rFonts w:ascii="Palatino Linotype" w:eastAsia="Calibri" w:hAnsi="Palatino Linotype"/>
          <w:i/>
        </w:rPr>
        <w:t>motu proprio</w:t>
      </w:r>
      <w:r w:rsidRPr="00393123">
        <w:rPr>
          <w:rFonts w:ascii="Palatino Linotype" w:eastAsia="Calibri" w:hAnsi="Palatino Linotype"/>
        </w:rPr>
        <w:t xml:space="preserve"> modifica o revoca de tal manera el acto motivo de la impugnación que lo deja sin materia; es decir, cesan los efectos de éste y el derecho de acceso a la información pública se encuentra satisfecho.</w:t>
      </w:r>
    </w:p>
    <w:p w:rsidR="00AD7D2B" w:rsidRPr="00393123" w:rsidRDefault="00AD7D2B" w:rsidP="00AD7D2B">
      <w:pPr>
        <w:spacing w:line="360" w:lineRule="auto"/>
        <w:ind w:left="567" w:right="616"/>
        <w:contextualSpacing/>
        <w:rPr>
          <w:rFonts w:ascii="Palatino Linotype" w:eastAsia="Calibri" w:hAnsi="Palatino Linotype"/>
        </w:rPr>
      </w:pPr>
    </w:p>
    <w:p w:rsidR="00AD7D2B" w:rsidRPr="00393123" w:rsidRDefault="00AD7D2B" w:rsidP="00AD7D2B">
      <w:pPr>
        <w:numPr>
          <w:ilvl w:val="0"/>
          <w:numId w:val="3"/>
        </w:numPr>
        <w:spacing w:line="360" w:lineRule="auto"/>
        <w:ind w:left="567" w:right="616" w:firstLine="0"/>
        <w:contextualSpacing/>
        <w:jc w:val="both"/>
        <w:rPr>
          <w:rFonts w:ascii="Palatino Linotype" w:eastAsia="Calibri" w:hAnsi="Palatino Linotype"/>
        </w:rPr>
      </w:pPr>
      <w:r w:rsidRPr="00393123">
        <w:rPr>
          <w:rFonts w:ascii="Palatino Linotype" w:eastAsia="Calibri" w:hAnsi="Palatino Linotype"/>
          <w:b/>
        </w:rPr>
        <w:t>El momento procesal para modificar el acto impugnado:</w:t>
      </w:r>
      <w:r w:rsidRPr="00393123">
        <w:rPr>
          <w:rFonts w:ascii="Palatino Linotype" w:eastAsia="Calibri" w:hAnsi="Palatino Linotype"/>
        </w:rPr>
        <w:t xml:space="preserve"> Para que se actualice el sobreseimiento de un recurso de revisión, el </w:t>
      </w:r>
      <w:r w:rsidRPr="00393123">
        <w:rPr>
          <w:rFonts w:ascii="Palatino Linotype" w:eastAsia="Calibri" w:hAnsi="Palatino Linotype"/>
          <w:b/>
        </w:rPr>
        <w:t xml:space="preserve">SUJETO </w:t>
      </w:r>
      <w:r w:rsidRPr="00393123">
        <w:rPr>
          <w:rFonts w:ascii="Palatino Linotype" w:eastAsia="Calibri" w:hAnsi="Palatino Linotype"/>
          <w:b/>
        </w:rPr>
        <w:lastRenderedPageBreak/>
        <w:t>OBLIGADO</w:t>
      </w:r>
      <w:r w:rsidR="00393123">
        <w:rPr>
          <w:rFonts w:ascii="Palatino Linotype" w:eastAsia="Calibri" w:hAnsi="Palatino Linotype"/>
          <w:b/>
        </w:rPr>
        <w:t>,</w:t>
      </w:r>
      <w:r w:rsidRPr="00393123">
        <w:rPr>
          <w:rFonts w:ascii="Palatino Linotype" w:eastAsia="Calibri" w:hAnsi="Palatino Linotype"/>
        </w:rPr>
        <w:t xml:space="preserve"> puede entregar o completar la información al momento de rendir su informe de justificación o posteriormente a éste, siempre y cuando el Pleno del Instituto no haya dictado resolución definitiva.</w:t>
      </w:r>
    </w:p>
    <w:p w:rsidR="00AD7D2B" w:rsidRPr="00393123" w:rsidRDefault="00AD7D2B" w:rsidP="00AD7D2B">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rsidR="00AD7D2B" w:rsidRPr="00393123" w:rsidRDefault="00AD7D2B" w:rsidP="00AD7D2B">
      <w:pPr>
        <w:pStyle w:val="Prrafodelista"/>
        <w:numPr>
          <w:ilvl w:val="0"/>
          <w:numId w:val="1"/>
        </w:numPr>
        <w:tabs>
          <w:tab w:val="left" w:pos="284"/>
        </w:tabs>
        <w:spacing w:line="360" w:lineRule="auto"/>
        <w:ind w:left="0" w:firstLine="0"/>
        <w:jc w:val="both"/>
        <w:rPr>
          <w:rFonts w:ascii="Palatino Linotype" w:eastAsia="Calibri" w:hAnsi="Palatino Linotype" w:cs="Arial"/>
          <w:color w:val="000000" w:themeColor="text1"/>
          <w:sz w:val="24"/>
          <w:lang w:val="es-ES"/>
        </w:rPr>
      </w:pPr>
      <w:r w:rsidRPr="00393123">
        <w:rPr>
          <w:rFonts w:ascii="Palatino Linotype" w:eastAsia="Calibri" w:hAnsi="Palatino Linotype" w:cs="Arial"/>
          <w:color w:val="000000" w:themeColor="text1"/>
          <w:sz w:val="24"/>
          <w:lang w:val="es-ES"/>
        </w:rPr>
        <w:t xml:space="preserve">Eduardo Pallares, </w:t>
      </w:r>
      <w:r w:rsidRPr="00393123">
        <w:rPr>
          <w:rFonts w:ascii="Palatino Linotype" w:eastAsia="Calibri" w:hAnsi="Palatino Linotype"/>
          <w:sz w:val="24"/>
        </w:rPr>
        <w:t xml:space="preserve">en su artículo </w:t>
      </w:r>
      <w:r w:rsidRPr="00393123">
        <w:rPr>
          <w:rFonts w:ascii="Palatino Linotype" w:eastAsia="Calibri" w:hAnsi="Palatino Linotype"/>
          <w:i/>
          <w:sz w:val="24"/>
        </w:rPr>
        <w:t>“La caducidad y el sobreseimiento en el amparo”</w:t>
      </w:r>
      <w:r w:rsidRPr="00393123">
        <w:rPr>
          <w:rFonts w:ascii="Palatino Linotype" w:eastAsia="Calibri" w:hAnsi="Palatino Linotype"/>
          <w:sz w:val="24"/>
        </w:rPr>
        <w:t xml:space="preserve">, cita la definición de Aguilera Paz, aduciendo que se </w:t>
      </w:r>
      <w:r w:rsidRPr="00393123">
        <w:rPr>
          <w:rFonts w:ascii="Palatino Linotype" w:eastAsia="Calibri" w:hAnsi="Palatino Linotype"/>
          <w:i/>
          <w:sz w:val="24"/>
        </w:rPr>
        <w:t>“...entiende por sobreseimiento en el tecnicismo forense, el hecho de cesar en el procedimiento o curso de la causa, por no existir méritos bastantes para entrar en un juicio o para entablar la contienda judicial que debe ser objeto del mismo...”</w:t>
      </w:r>
      <w:r w:rsidRPr="00393123">
        <w:rPr>
          <w:rFonts w:ascii="Palatino Linotype" w:eastAsia="Calibri" w:hAnsi="Palatino Linotype"/>
          <w:sz w:val="24"/>
        </w:rPr>
        <w:t>. Asimismo, señala que existe el sobreseimiento provisional y el definitivo</w:t>
      </w:r>
      <w:r w:rsidRPr="00393123">
        <w:rPr>
          <w:rFonts w:ascii="Palatino Linotype" w:eastAsia="Calibri" w:hAnsi="Palatino Linotype"/>
          <w:i/>
          <w:sz w:val="24"/>
        </w:rPr>
        <w:t>: “...el definitivo es una verdadera sentencia que pone fin al juicio, y que una vez dictada, produce cosa juzgada, mientras que el provisorio tiene por efectos suspender la prosecución de la causa...”</w:t>
      </w:r>
    </w:p>
    <w:p w:rsidR="00AD7D2B" w:rsidRPr="00393123" w:rsidRDefault="00AD7D2B" w:rsidP="00AD7D2B">
      <w:pPr>
        <w:pStyle w:val="Prrafodelista"/>
        <w:tabs>
          <w:tab w:val="left" w:pos="284"/>
        </w:tabs>
        <w:spacing w:line="360" w:lineRule="auto"/>
        <w:ind w:left="0"/>
        <w:jc w:val="both"/>
        <w:rPr>
          <w:rFonts w:ascii="Palatino Linotype" w:eastAsia="Calibri" w:hAnsi="Palatino Linotype" w:cs="Arial"/>
          <w:color w:val="000000" w:themeColor="text1"/>
          <w:sz w:val="24"/>
          <w:lang w:val="es-ES"/>
        </w:rPr>
      </w:pPr>
    </w:p>
    <w:p w:rsidR="00AD7D2B" w:rsidRPr="00393123" w:rsidRDefault="00AD7D2B" w:rsidP="00AD7D2B">
      <w:pPr>
        <w:pStyle w:val="Prrafodelista"/>
        <w:numPr>
          <w:ilvl w:val="0"/>
          <w:numId w:val="1"/>
        </w:numPr>
        <w:tabs>
          <w:tab w:val="left" w:pos="284"/>
        </w:tabs>
        <w:spacing w:line="360" w:lineRule="auto"/>
        <w:ind w:left="0" w:firstLine="0"/>
        <w:jc w:val="both"/>
        <w:rPr>
          <w:rFonts w:ascii="Palatino Linotype" w:eastAsia="Calibri" w:hAnsi="Palatino Linotype" w:cs="Arial"/>
          <w:color w:val="000000" w:themeColor="text1"/>
          <w:sz w:val="24"/>
          <w:lang w:val="es-ES"/>
        </w:rPr>
      </w:pPr>
      <w:r w:rsidRPr="00393123">
        <w:rPr>
          <w:rFonts w:ascii="Palatino Linotype" w:eastAsia="Calibri" w:hAnsi="Palatino Linotype" w:cs="Arial"/>
          <w:color w:val="000000" w:themeColor="text1"/>
          <w:sz w:val="24"/>
          <w:lang w:val="es-ES"/>
        </w:rPr>
        <w:t xml:space="preserve">Así, </w:t>
      </w:r>
      <w:r w:rsidRPr="00393123">
        <w:rPr>
          <w:rFonts w:ascii="Palatino Linotype" w:eastAsia="Calibri" w:hAnsi="Palatino Linotype"/>
          <w:sz w:val="24"/>
        </w:rPr>
        <w:t>para la doctrina el sobreseimiento provoca que un procedimiento se suspenda o se resuelva en definitiva sin que se entre al estudio de los agravios o motivos de inconformidad.</w:t>
      </w:r>
      <w:r w:rsidRPr="00393123">
        <w:rPr>
          <w:rFonts w:ascii="Palatino Linotype" w:eastAsia="Calibri" w:hAnsi="Palatino Linotype"/>
          <w:b/>
          <w:sz w:val="24"/>
          <w:u w:val="single"/>
        </w:rPr>
        <w:t xml:space="preserve"> </w:t>
      </w:r>
      <w:r w:rsidRPr="00393123">
        <w:rPr>
          <w:rFonts w:ascii="Palatino Linotype" w:eastAsia="Calibri" w:hAnsi="Palatino Linotype"/>
          <w:sz w:val="24"/>
        </w:rPr>
        <w:t>Este mismo criterio es compartido por el más alto tribunal del país en múltiples jurisprudencias, por lo que a continuación se agrega una de ellas que sirve como orientador en esta resolución:</w:t>
      </w:r>
    </w:p>
    <w:p w:rsidR="00AD7D2B" w:rsidRPr="00393123" w:rsidRDefault="00AD7D2B" w:rsidP="00AD7D2B">
      <w:pPr>
        <w:rPr>
          <w:rFonts w:ascii="Palatino Linotype" w:eastAsia="Calibri" w:hAnsi="Palatino Linotype" w:cs="Arial"/>
          <w:color w:val="000000" w:themeColor="text1"/>
          <w:lang w:val="es-ES"/>
        </w:rPr>
      </w:pPr>
    </w:p>
    <w:p w:rsidR="00AD7D2B" w:rsidRPr="00393123" w:rsidRDefault="00AD7D2B" w:rsidP="00AD7D2B">
      <w:pPr>
        <w:spacing w:line="360" w:lineRule="auto"/>
        <w:ind w:left="567" w:right="565"/>
        <w:contextualSpacing/>
        <w:jc w:val="both"/>
        <w:rPr>
          <w:rFonts w:ascii="Palatino Linotype" w:eastAsia="Calibri" w:hAnsi="Palatino Linotype"/>
          <w:i/>
          <w:lang w:val="es-AR"/>
        </w:rPr>
      </w:pPr>
      <w:r w:rsidRPr="00393123">
        <w:rPr>
          <w:rFonts w:ascii="Palatino Linotype" w:eastAsia="Calibri" w:hAnsi="Palatino Linotype"/>
          <w:b/>
          <w:i/>
          <w:lang w:val="es-AR"/>
        </w:rPr>
        <w:t>SOBRESEIMIENTO EN EL JUICIO DE AMPARO DIRECTO. IMPIDE EL ESTUDIO DE LAS VIOLACIONES PROCESALES PLANTEADAS EN LOS CONCEPTOS DE VIOLACIÓN. El sobreseimiento</w:t>
      </w:r>
      <w:r w:rsidRPr="00393123">
        <w:rPr>
          <w:rFonts w:ascii="Palatino Linotype" w:eastAsia="Calibri" w:hAnsi="Palatino Linotype"/>
          <w:i/>
          <w:lang w:val="es-AR"/>
        </w:rPr>
        <w:t xml:space="preserve"> en el juicio de amparo directo </w:t>
      </w:r>
      <w:r w:rsidRPr="00393123">
        <w:rPr>
          <w:rFonts w:ascii="Palatino Linotype" w:eastAsia="Calibri" w:hAnsi="Palatino Linotype"/>
          <w:b/>
          <w:i/>
          <w:lang w:val="es-AR"/>
        </w:rPr>
        <w:t>provoca la terminación de la controversia planteada</w:t>
      </w:r>
      <w:r w:rsidRPr="00393123">
        <w:rPr>
          <w:rFonts w:ascii="Palatino Linotype" w:eastAsia="Calibri" w:hAnsi="Palatino Linotype"/>
          <w:i/>
          <w:lang w:val="es-AR"/>
        </w:rPr>
        <w:t xml:space="preserve"> por el quejoso en la demanda de amparo</w:t>
      </w:r>
      <w:r w:rsidRPr="00393123">
        <w:rPr>
          <w:rFonts w:ascii="Palatino Linotype" w:eastAsia="Calibri" w:hAnsi="Palatino Linotype"/>
          <w:b/>
          <w:i/>
          <w:lang w:val="es-AR"/>
        </w:rPr>
        <w:t xml:space="preserve">, sin hacer un pronunciamiento de fondo sobre la </w:t>
      </w:r>
      <w:r w:rsidRPr="00393123">
        <w:rPr>
          <w:rFonts w:ascii="Palatino Linotype" w:eastAsia="Calibri" w:hAnsi="Palatino Linotype"/>
          <w:b/>
          <w:i/>
          <w:lang w:val="es-AR"/>
        </w:rPr>
        <w:lastRenderedPageBreak/>
        <w:t>legalidad o ilegalidad de la sentencia reclamada</w:t>
      </w:r>
      <w:r w:rsidRPr="00393123">
        <w:rPr>
          <w:rFonts w:ascii="Palatino Linotype" w:eastAsia="Calibri" w:hAnsi="Palatino Linotype"/>
          <w:i/>
          <w:lang w:val="es-AR"/>
        </w:rPr>
        <w:t xml:space="preserve">. </w:t>
      </w:r>
      <w:r w:rsidRPr="00393123">
        <w:rPr>
          <w:rFonts w:ascii="Palatino Linotype" w:eastAsia="Calibri" w:hAnsi="Palatino Linotype"/>
          <w:b/>
          <w:i/>
          <w:lang w:val="es-AR"/>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393123">
        <w:rPr>
          <w:rFonts w:ascii="Palatino Linotype" w:eastAsia="Calibri" w:hAnsi="Palatino Linotype"/>
          <w:i/>
          <w:lang w:val="es-AR"/>
        </w:rPr>
        <w:t>.</w:t>
      </w:r>
    </w:p>
    <w:p w:rsidR="00AD7D2B" w:rsidRPr="00393123" w:rsidRDefault="00AD7D2B" w:rsidP="00AD7D2B">
      <w:pPr>
        <w:spacing w:line="360" w:lineRule="auto"/>
        <w:ind w:left="567" w:right="565"/>
        <w:contextualSpacing/>
        <w:jc w:val="both"/>
        <w:rPr>
          <w:rFonts w:ascii="Palatino Linotype" w:eastAsia="Calibri" w:hAnsi="Palatino Linotype"/>
          <w:i/>
          <w:lang w:val="es-AR"/>
        </w:rPr>
      </w:pPr>
      <w:r w:rsidRPr="00393123">
        <w:rPr>
          <w:rFonts w:ascii="Palatino Linotype" w:eastAsia="Calibri" w:hAnsi="Palatino Linotype"/>
          <w:i/>
          <w:lang w:val="es-AR"/>
        </w:rPr>
        <w:t>SÉPTIMO TRIBUNAL COLEGIADO EN MATERIA CIVIL DEL PRIMER CIRCUITO.</w:t>
      </w:r>
    </w:p>
    <w:p w:rsidR="00AD7D2B" w:rsidRPr="00393123" w:rsidRDefault="00AD7D2B" w:rsidP="00AD7D2B">
      <w:pPr>
        <w:spacing w:line="360" w:lineRule="auto"/>
        <w:ind w:left="567" w:right="565"/>
        <w:contextualSpacing/>
        <w:jc w:val="both"/>
        <w:rPr>
          <w:rFonts w:ascii="Palatino Linotype" w:eastAsia="Calibri" w:hAnsi="Palatino Linotype"/>
          <w:b/>
          <w:i/>
          <w:lang w:val="es-AR"/>
        </w:rPr>
      </w:pPr>
      <w:r w:rsidRPr="00393123">
        <w:rPr>
          <w:rFonts w:ascii="Palatino Linotype" w:eastAsia="Calibri" w:hAnsi="Palatino Linotype"/>
          <w:i/>
          <w:lang w:val="es-AR"/>
        </w:rPr>
        <w:t>Amparo directo 699/2008. Mariana Leticia González Steele. 13 de noviembre de 2008. Unanimidad de votos. Ponente: Sara Judith Montalvo Trejo. Secretario: Arnulfo Mateos García.</w:t>
      </w:r>
    </w:p>
    <w:p w:rsidR="00AD7D2B" w:rsidRPr="00393123" w:rsidRDefault="00AD7D2B" w:rsidP="00AD7D2B">
      <w:pPr>
        <w:spacing w:line="360" w:lineRule="auto"/>
        <w:ind w:right="565"/>
        <w:contextualSpacing/>
        <w:jc w:val="both"/>
        <w:rPr>
          <w:rFonts w:ascii="Palatino Linotype" w:eastAsia="Calibri" w:hAnsi="Palatino Linotype"/>
          <w:b/>
          <w:i/>
          <w:lang w:val="es-AR"/>
        </w:rPr>
      </w:pPr>
    </w:p>
    <w:p w:rsidR="00AD7D2B" w:rsidRPr="00393123" w:rsidRDefault="00AD7D2B" w:rsidP="00AD7D2B">
      <w:pPr>
        <w:pStyle w:val="Prrafodelista"/>
        <w:numPr>
          <w:ilvl w:val="0"/>
          <w:numId w:val="1"/>
        </w:numPr>
        <w:tabs>
          <w:tab w:val="left" w:pos="284"/>
        </w:tabs>
        <w:spacing w:line="360" w:lineRule="auto"/>
        <w:ind w:left="0" w:firstLine="0"/>
        <w:jc w:val="both"/>
        <w:rPr>
          <w:rFonts w:ascii="Palatino Linotype" w:eastAsia="Calibri" w:hAnsi="Palatino Linotype" w:cs="Arial"/>
          <w:color w:val="000000" w:themeColor="text1"/>
          <w:sz w:val="24"/>
          <w:lang w:val="es-ES"/>
        </w:rPr>
      </w:pPr>
      <w:r w:rsidRPr="00393123">
        <w:rPr>
          <w:rFonts w:ascii="Palatino Linotype" w:eastAsia="Calibri" w:hAnsi="Palatino Linotype" w:cs="Arial"/>
          <w:color w:val="000000" w:themeColor="text1"/>
          <w:sz w:val="24"/>
          <w:lang w:val="es-ES"/>
        </w:rPr>
        <w:t xml:space="preserve">Consecuentemente, </w:t>
      </w:r>
      <w:r w:rsidRPr="00393123">
        <w:rPr>
          <w:rFonts w:ascii="Palatino Linotype" w:eastAsia="Calibri" w:hAnsi="Palatino Linotype"/>
          <w:sz w:val="24"/>
        </w:rPr>
        <w:t>por lo que hace a los motivos de inconformidad, los mismos devienen inatendibles por actualizarse la figura del sobreseimiento, misma que impide el estudio de los agravios planteados, máxime que se ha dado cumplimiento al derecho de acceso a la información.</w:t>
      </w:r>
    </w:p>
    <w:p w:rsidR="00AD7D2B" w:rsidRPr="00393123" w:rsidRDefault="00AD7D2B" w:rsidP="00AD7D2B">
      <w:pPr>
        <w:pStyle w:val="Prrafodelista"/>
        <w:tabs>
          <w:tab w:val="left" w:pos="284"/>
        </w:tabs>
        <w:spacing w:line="360" w:lineRule="auto"/>
        <w:ind w:left="0"/>
        <w:jc w:val="both"/>
        <w:rPr>
          <w:rFonts w:ascii="Palatino Linotype" w:eastAsia="Calibri" w:hAnsi="Palatino Linotype" w:cs="Arial"/>
          <w:color w:val="000000" w:themeColor="text1"/>
          <w:sz w:val="24"/>
          <w:lang w:val="es-ES"/>
        </w:rPr>
      </w:pPr>
    </w:p>
    <w:p w:rsidR="00AD7D2B" w:rsidRPr="00393123" w:rsidRDefault="00AD7D2B" w:rsidP="00AD7D2B">
      <w:pPr>
        <w:pStyle w:val="Prrafodelista"/>
        <w:numPr>
          <w:ilvl w:val="0"/>
          <w:numId w:val="1"/>
        </w:numPr>
        <w:tabs>
          <w:tab w:val="left" w:pos="284"/>
        </w:tabs>
        <w:spacing w:line="360" w:lineRule="auto"/>
        <w:ind w:left="0" w:firstLine="0"/>
        <w:jc w:val="both"/>
        <w:rPr>
          <w:rFonts w:ascii="Palatino Linotype" w:eastAsia="Calibri" w:hAnsi="Palatino Linotype" w:cs="Arial"/>
          <w:color w:val="000000" w:themeColor="text1"/>
          <w:sz w:val="24"/>
          <w:lang w:val="es-ES"/>
        </w:rPr>
      </w:pPr>
      <w:r w:rsidRPr="00393123">
        <w:rPr>
          <w:rFonts w:ascii="Palatino Linotype" w:eastAsia="Calibri" w:hAnsi="Palatino Linotype"/>
          <w:sz w:val="24"/>
        </w:rPr>
        <w:t xml:space="preserve">Bajo </w:t>
      </w:r>
      <w:r w:rsidRPr="00393123">
        <w:rPr>
          <w:rFonts w:ascii="Palatino Linotype" w:eastAsia="Calibri" w:hAnsi="Palatino Linotype"/>
          <w:sz w:val="24"/>
          <w:lang w:val="es-CO"/>
        </w:rPr>
        <w:t xml:space="preserve">ese tenor y en términos del artículo 186 fracción I este Pleno determina el </w:t>
      </w:r>
      <w:r w:rsidRPr="00393123">
        <w:rPr>
          <w:rFonts w:ascii="Palatino Linotype" w:eastAsia="Calibri" w:hAnsi="Palatino Linotype"/>
          <w:b/>
          <w:sz w:val="24"/>
          <w:lang w:val="es-CO"/>
        </w:rPr>
        <w:t xml:space="preserve">SOBRESEIMIENTO </w:t>
      </w:r>
      <w:r w:rsidRPr="00393123">
        <w:rPr>
          <w:rFonts w:ascii="Palatino Linotype" w:eastAsia="Calibri" w:hAnsi="Palatino Linotype"/>
          <w:sz w:val="24"/>
          <w:lang w:val="es-CO"/>
        </w:rPr>
        <w:t xml:space="preserve">del recurso de revisión </w:t>
      </w:r>
      <w:r w:rsidR="00065E57" w:rsidRPr="00393123">
        <w:rPr>
          <w:rFonts w:ascii="Palatino Linotype" w:hAnsi="Palatino Linotype" w:cs="Arial"/>
          <w:b/>
          <w:bCs/>
          <w:sz w:val="24"/>
        </w:rPr>
        <w:t>00893</w:t>
      </w:r>
      <w:r w:rsidRPr="00393123">
        <w:rPr>
          <w:rFonts w:ascii="Palatino Linotype" w:hAnsi="Palatino Linotype" w:cs="Arial"/>
          <w:b/>
          <w:bCs/>
          <w:sz w:val="24"/>
        </w:rPr>
        <w:t>/INFOEM/IP/RR/2023</w:t>
      </w:r>
      <w:r w:rsidRPr="00393123">
        <w:rPr>
          <w:rFonts w:ascii="Palatino Linotype" w:eastAsia="Calibri" w:hAnsi="Palatino Linotype"/>
          <w:sz w:val="24"/>
          <w:lang w:val="es-CO"/>
        </w:rPr>
        <w:t>, toda vez que la afectación al derecho de acceso a la información pública establecido constitucionalmente a favor del Particular ha sido resarcida.</w:t>
      </w:r>
    </w:p>
    <w:p w:rsidR="00AD7D2B" w:rsidRPr="00393123" w:rsidRDefault="00AD7D2B" w:rsidP="00AD7D2B">
      <w:pPr>
        <w:pStyle w:val="Prrafodelista"/>
        <w:shd w:val="clear" w:color="auto" w:fill="FFFFFF"/>
        <w:tabs>
          <w:tab w:val="left" w:pos="284"/>
        </w:tabs>
        <w:spacing w:line="360" w:lineRule="auto"/>
        <w:ind w:left="0"/>
        <w:jc w:val="both"/>
        <w:rPr>
          <w:rFonts w:ascii="Palatino Linotype" w:hAnsi="Palatino Linotype" w:cs="Arial"/>
          <w:sz w:val="24"/>
        </w:rPr>
      </w:pPr>
    </w:p>
    <w:p w:rsidR="00AD7D2B" w:rsidRPr="00393123" w:rsidRDefault="00AD7D2B" w:rsidP="00AD7D2B">
      <w:pPr>
        <w:pStyle w:val="Sinespaciado"/>
        <w:numPr>
          <w:ilvl w:val="0"/>
          <w:numId w:val="1"/>
        </w:numPr>
        <w:tabs>
          <w:tab w:val="left" w:pos="284"/>
        </w:tabs>
        <w:spacing w:line="360" w:lineRule="auto"/>
        <w:ind w:left="0" w:firstLine="0"/>
        <w:contextualSpacing/>
        <w:jc w:val="both"/>
        <w:rPr>
          <w:rFonts w:ascii="Palatino Linotype" w:eastAsia="Calibri" w:hAnsi="Palatino Linotype"/>
        </w:rPr>
      </w:pPr>
      <w:r w:rsidRPr="00393123">
        <w:rPr>
          <w:rFonts w:ascii="Palatino Linotype" w:eastAsia="Calibri" w:hAnsi="Palatino Linotype"/>
        </w:rPr>
        <w:t xml:space="preserve">Por lo anteriormente expuesto y fundado, este </w:t>
      </w:r>
      <w:r w:rsidRPr="00393123">
        <w:rPr>
          <w:rFonts w:ascii="Palatino Linotype" w:eastAsia="Calibri" w:hAnsi="Palatino Linotype"/>
          <w:b/>
          <w:bCs/>
        </w:rPr>
        <w:t>ÓRGANO GARANTE</w:t>
      </w:r>
      <w:r w:rsidRPr="00393123">
        <w:rPr>
          <w:rFonts w:ascii="Palatino Linotype" w:eastAsia="Calibri" w:hAnsi="Palatino Linotype"/>
        </w:rPr>
        <w:t xml:space="preserve"> emite los siguientes:</w:t>
      </w:r>
      <w:bookmarkEnd w:id="13"/>
      <w:bookmarkEnd w:id="14"/>
      <w:bookmarkEnd w:id="15"/>
      <w:bookmarkEnd w:id="16"/>
    </w:p>
    <w:p w:rsidR="00AD7D2B" w:rsidRPr="00393123" w:rsidRDefault="00AD7D2B" w:rsidP="00AD7D2B">
      <w:pPr>
        <w:spacing w:line="360" w:lineRule="auto"/>
        <w:jc w:val="center"/>
        <w:rPr>
          <w:rFonts w:ascii="Palatino Linotype" w:hAnsi="Palatino Linotype"/>
          <w:b/>
          <w:lang w:val="es-ES"/>
        </w:rPr>
      </w:pPr>
      <w:r w:rsidRPr="00393123">
        <w:rPr>
          <w:rFonts w:ascii="Palatino Linotype" w:hAnsi="Palatino Linotype"/>
          <w:b/>
          <w:lang w:val="es-ES"/>
        </w:rPr>
        <w:lastRenderedPageBreak/>
        <w:t>R E S O L U T I V O S</w:t>
      </w:r>
    </w:p>
    <w:p w:rsidR="00AD7D2B" w:rsidRPr="00393123" w:rsidRDefault="00AD7D2B" w:rsidP="00AD7D2B">
      <w:pPr>
        <w:pStyle w:val="Sinespaciado"/>
        <w:spacing w:line="360" w:lineRule="auto"/>
        <w:jc w:val="both"/>
        <w:rPr>
          <w:rFonts w:ascii="Palatino Linotype" w:hAnsi="Palatino Linotype"/>
        </w:rPr>
      </w:pPr>
    </w:p>
    <w:p w:rsidR="00AD7D2B" w:rsidRPr="00393123" w:rsidRDefault="00AD7D2B" w:rsidP="00AD7D2B">
      <w:pPr>
        <w:spacing w:line="360" w:lineRule="auto"/>
        <w:jc w:val="both"/>
        <w:rPr>
          <w:rFonts w:ascii="Palatino Linotype" w:eastAsiaTheme="minorHAnsi" w:hAnsi="Palatino Linotype" w:cstheme="minorBidi"/>
          <w:lang w:eastAsia="en-US"/>
        </w:rPr>
      </w:pPr>
      <w:r w:rsidRPr="00393123">
        <w:rPr>
          <w:rFonts w:ascii="Palatino Linotype" w:eastAsiaTheme="minorHAnsi" w:hAnsi="Palatino Linotype" w:cstheme="minorBidi"/>
          <w:b/>
          <w:lang w:eastAsia="en-US"/>
        </w:rPr>
        <w:t xml:space="preserve">PRIMERO. </w:t>
      </w:r>
      <w:r w:rsidRPr="00393123">
        <w:rPr>
          <w:rFonts w:ascii="Palatino Linotype" w:eastAsia="MS Mincho" w:hAnsi="Palatino Linotype"/>
          <w:lang w:val="es-ES_tradnl" w:eastAsia="es-ES"/>
        </w:rPr>
        <w:t xml:space="preserve">Se </w:t>
      </w:r>
      <w:r w:rsidRPr="00393123">
        <w:rPr>
          <w:rFonts w:ascii="Palatino Linotype" w:eastAsia="MS Mincho" w:hAnsi="Palatino Linotype"/>
          <w:b/>
          <w:lang w:val="es-ES_tradnl" w:eastAsia="es-ES"/>
        </w:rPr>
        <w:t>SOBRESEE</w:t>
      </w:r>
      <w:r w:rsidRPr="00393123">
        <w:rPr>
          <w:rFonts w:ascii="Palatino Linotype" w:eastAsia="MS Mincho" w:hAnsi="Palatino Linotype"/>
          <w:lang w:val="es-ES_tradnl" w:eastAsia="es-ES"/>
        </w:rPr>
        <w:t xml:space="preserve"> el recurso de revisión número </w:t>
      </w:r>
      <w:r w:rsidR="00065E57" w:rsidRPr="00393123">
        <w:rPr>
          <w:rFonts w:ascii="Palatino Linotype" w:eastAsia="MS Mincho" w:hAnsi="Palatino Linotype"/>
          <w:b/>
          <w:lang w:val="es-ES_tradnl" w:eastAsia="es-ES"/>
        </w:rPr>
        <w:t>00893</w:t>
      </w:r>
      <w:r w:rsidRPr="00393123">
        <w:rPr>
          <w:rFonts w:ascii="Palatino Linotype" w:eastAsia="MS Mincho" w:hAnsi="Palatino Linotype"/>
          <w:b/>
          <w:lang w:val="es-ES_tradnl" w:eastAsia="es-ES"/>
        </w:rPr>
        <w:t>/INFOEM/IP/RR/2023</w:t>
      </w:r>
      <w:r w:rsidR="00473D21">
        <w:rPr>
          <w:rFonts w:ascii="Palatino Linotype" w:eastAsia="MS Mincho" w:hAnsi="Palatino Linotype"/>
          <w:b/>
          <w:lang w:val="es-ES_tradnl" w:eastAsia="es-ES"/>
        </w:rPr>
        <w:t>,</w:t>
      </w:r>
      <w:r w:rsidRPr="00393123">
        <w:rPr>
          <w:rFonts w:ascii="Palatino Linotype" w:eastAsia="MS Mincho" w:hAnsi="Palatino Linotype"/>
          <w:b/>
          <w:lang w:val="es-ES_tradnl" w:eastAsia="es-ES"/>
        </w:rPr>
        <w:t xml:space="preserve"> </w:t>
      </w:r>
      <w:r w:rsidRPr="00393123">
        <w:rPr>
          <w:rFonts w:ascii="Palatino Linotype" w:eastAsia="MS Mincho" w:hAnsi="Palatino Linotype"/>
          <w:bCs/>
          <w:lang w:val="es-ES_tradnl" w:eastAsia="es-ES"/>
        </w:rPr>
        <w:t>conforme al artículo 192 fracción III de la Ley de Transparencia y Acceso a la Información Pública del Estado de México y Municipios,</w:t>
      </w:r>
      <w:r w:rsidRPr="00393123">
        <w:rPr>
          <w:rFonts w:ascii="Palatino Linotype" w:eastAsia="MS Mincho" w:hAnsi="Palatino Linotype"/>
          <w:lang w:val="es-ES_tradnl" w:eastAsia="es-ES"/>
        </w:rPr>
        <w:t xml:space="preserve"> porque al </w:t>
      </w:r>
      <w:r w:rsidRPr="00473D21">
        <w:rPr>
          <w:rFonts w:ascii="Palatino Linotype" w:eastAsia="MS Mincho" w:hAnsi="Palatino Linotype"/>
          <w:bCs/>
          <w:lang w:val="es-ES_tradnl" w:eastAsia="es-ES"/>
        </w:rPr>
        <w:t>modificar la respuesta a través del informe justificado y atender lo solicitado</w:t>
      </w:r>
      <w:r w:rsidRPr="00393123">
        <w:rPr>
          <w:rFonts w:ascii="Palatino Linotype" w:eastAsia="MS Mincho" w:hAnsi="Palatino Linotype"/>
          <w:lang w:val="es-ES_tradnl" w:eastAsia="es-ES"/>
        </w:rPr>
        <w:t xml:space="preserve">, el recurso de revisión quedó sin materia en términos del Considerando </w:t>
      </w:r>
      <w:r w:rsidRPr="00393123">
        <w:rPr>
          <w:rFonts w:ascii="Palatino Linotype" w:eastAsia="MS Mincho" w:hAnsi="Palatino Linotype"/>
          <w:b/>
          <w:lang w:val="es-ES_tradnl" w:eastAsia="es-ES"/>
        </w:rPr>
        <w:t>TERCERO</w:t>
      </w:r>
      <w:r w:rsidRPr="00393123">
        <w:rPr>
          <w:rFonts w:ascii="Palatino Linotype" w:eastAsia="MS Mincho" w:hAnsi="Palatino Linotype"/>
          <w:lang w:val="es-ES_tradnl" w:eastAsia="es-ES"/>
        </w:rPr>
        <w:t xml:space="preserve"> de la presente resolución.</w:t>
      </w:r>
    </w:p>
    <w:p w:rsidR="00AD7D2B" w:rsidRPr="00393123" w:rsidRDefault="00AD7D2B" w:rsidP="00AD7D2B">
      <w:pPr>
        <w:spacing w:line="360" w:lineRule="auto"/>
        <w:jc w:val="both"/>
        <w:rPr>
          <w:rFonts w:ascii="Palatino Linotype" w:eastAsiaTheme="minorHAnsi" w:hAnsi="Palatino Linotype" w:cstheme="minorBidi"/>
          <w:lang w:eastAsia="en-US"/>
        </w:rPr>
      </w:pPr>
    </w:p>
    <w:p w:rsidR="00AD7D2B" w:rsidRPr="00393123" w:rsidRDefault="00AD7D2B" w:rsidP="00AD7D2B">
      <w:pPr>
        <w:spacing w:line="360" w:lineRule="auto"/>
        <w:jc w:val="both"/>
        <w:rPr>
          <w:rFonts w:ascii="Palatino Linotype" w:eastAsia="Calibri" w:hAnsi="Palatino Linotype" w:cs="Arial"/>
          <w:b/>
          <w:bCs/>
          <w:lang w:val="es-ES" w:eastAsia="en-US"/>
        </w:rPr>
      </w:pPr>
      <w:r w:rsidRPr="00393123">
        <w:rPr>
          <w:rFonts w:ascii="Palatino Linotype" w:eastAsia="Calibri" w:hAnsi="Palatino Linotype" w:cs="Arial"/>
          <w:b/>
          <w:bCs/>
          <w:lang w:val="es-ES" w:eastAsia="en-US"/>
        </w:rPr>
        <w:t xml:space="preserve">SEGUNDO. REMÍTASE </w:t>
      </w:r>
      <w:r w:rsidRPr="00393123">
        <w:rPr>
          <w:rFonts w:ascii="Palatino Linotype" w:eastAsia="Calibri" w:hAnsi="Palatino Linotype" w:cs="Arial"/>
          <w:bCs/>
          <w:lang w:val="es-ES" w:eastAsia="en-US"/>
        </w:rPr>
        <w:t xml:space="preserve">a través del Sistema de Acceso a la Información Mexiquense </w:t>
      </w:r>
      <w:r w:rsidRPr="00393123">
        <w:rPr>
          <w:rFonts w:ascii="Palatino Linotype" w:eastAsia="Calibri" w:hAnsi="Palatino Linotype" w:cs="Arial"/>
          <w:b/>
          <w:bCs/>
          <w:lang w:val="es-ES" w:eastAsia="en-US"/>
        </w:rPr>
        <w:t>(SAIMEX)</w:t>
      </w:r>
      <w:r w:rsidR="00473D21">
        <w:rPr>
          <w:rFonts w:ascii="Palatino Linotype" w:eastAsia="Calibri" w:hAnsi="Palatino Linotype" w:cs="Arial"/>
          <w:b/>
          <w:bCs/>
          <w:lang w:val="es-ES" w:eastAsia="en-US"/>
        </w:rPr>
        <w:t>,</w:t>
      </w:r>
      <w:r w:rsidRPr="00393123">
        <w:rPr>
          <w:rFonts w:ascii="Palatino Linotype" w:eastAsia="Calibri" w:hAnsi="Palatino Linotype" w:cs="Arial"/>
          <w:b/>
          <w:bCs/>
          <w:lang w:val="es-ES" w:eastAsia="en-US"/>
        </w:rPr>
        <w:t xml:space="preserve"> </w:t>
      </w:r>
      <w:r w:rsidRPr="00393123">
        <w:rPr>
          <w:rFonts w:ascii="Palatino Linotype" w:eastAsia="Calibri" w:hAnsi="Palatino Linotype" w:cs="Arial"/>
          <w:bCs/>
          <w:lang w:val="es-ES" w:eastAsia="en-US"/>
        </w:rPr>
        <w:t>la presente resolución al Titular de la Unidad de Transparencia del</w:t>
      </w:r>
      <w:r w:rsidRPr="00393123">
        <w:rPr>
          <w:rFonts w:ascii="Palatino Linotype" w:eastAsia="Calibri" w:hAnsi="Palatino Linotype" w:cs="Arial"/>
          <w:b/>
          <w:bCs/>
          <w:lang w:val="es-ES" w:eastAsia="en-US"/>
        </w:rPr>
        <w:t xml:space="preserve"> SUJETO OBLIGADO. </w:t>
      </w:r>
    </w:p>
    <w:p w:rsidR="00AD7D2B" w:rsidRPr="00393123" w:rsidRDefault="00AD7D2B" w:rsidP="00AD7D2B">
      <w:pPr>
        <w:tabs>
          <w:tab w:val="left" w:pos="3263"/>
        </w:tabs>
        <w:spacing w:line="360" w:lineRule="auto"/>
        <w:jc w:val="both"/>
        <w:rPr>
          <w:rFonts w:ascii="Palatino Linotype" w:eastAsia="Palatino Linotype" w:hAnsi="Palatino Linotype" w:cs="Palatino Linotype"/>
          <w:b/>
          <w:lang w:eastAsia="en-US"/>
        </w:rPr>
      </w:pPr>
      <w:r w:rsidRPr="00393123">
        <w:rPr>
          <w:rFonts w:ascii="Palatino Linotype" w:eastAsia="Palatino Linotype" w:hAnsi="Palatino Linotype" w:cs="Palatino Linotype"/>
          <w:b/>
          <w:lang w:eastAsia="en-US"/>
        </w:rPr>
        <w:tab/>
      </w:r>
    </w:p>
    <w:p w:rsidR="00AD7D2B" w:rsidRPr="00393123" w:rsidRDefault="00AD7D2B" w:rsidP="00AD7D2B">
      <w:pPr>
        <w:spacing w:line="360" w:lineRule="auto"/>
        <w:jc w:val="both"/>
        <w:rPr>
          <w:rFonts w:ascii="Palatino Linotype" w:hAnsi="Palatino Linotype"/>
          <w:color w:val="222222"/>
          <w:lang w:val="es-ES"/>
        </w:rPr>
      </w:pPr>
      <w:r w:rsidRPr="00393123">
        <w:rPr>
          <w:rFonts w:ascii="Palatino Linotype" w:hAnsi="Palatino Linotype" w:cs="Arial"/>
          <w:b/>
          <w:lang w:eastAsia="en-US"/>
        </w:rPr>
        <w:t xml:space="preserve">TERCERO. </w:t>
      </w:r>
      <w:r w:rsidRPr="00393123">
        <w:rPr>
          <w:rFonts w:ascii="Palatino Linotype" w:hAnsi="Palatino Linotype"/>
          <w:b/>
          <w:bCs/>
          <w:lang w:val="es-ES" w:eastAsia="en-US"/>
        </w:rPr>
        <w:t xml:space="preserve">Notifíquese </w:t>
      </w:r>
      <w:r w:rsidRPr="00393123">
        <w:rPr>
          <w:rFonts w:ascii="Palatino Linotype" w:hAnsi="Palatino Linotype"/>
          <w:bCs/>
          <w:lang w:val="es-ES" w:eastAsia="en-US"/>
        </w:rPr>
        <w:t xml:space="preserve">al </w:t>
      </w:r>
      <w:r w:rsidRPr="00393123">
        <w:rPr>
          <w:rFonts w:ascii="Palatino Linotype" w:hAnsi="Palatino Linotype"/>
          <w:b/>
          <w:bCs/>
          <w:lang w:val="es-ES" w:eastAsia="en-US"/>
        </w:rPr>
        <w:t>RECURRENTE</w:t>
      </w:r>
      <w:r w:rsidRPr="00393123">
        <w:rPr>
          <w:rFonts w:ascii="Palatino Linotype" w:eastAsiaTheme="minorHAnsi" w:hAnsi="Palatino Linotype" w:cstheme="minorBidi"/>
          <w:lang w:eastAsia="en-US"/>
        </w:rPr>
        <w:t xml:space="preserve"> </w:t>
      </w:r>
      <w:r w:rsidRPr="00393123">
        <w:rPr>
          <w:rFonts w:ascii="Palatino Linotype" w:hAnsi="Palatino Linotype"/>
          <w:lang w:val="es-ES"/>
        </w:rPr>
        <w:t>la presente resolución vía SAIMEX.</w:t>
      </w:r>
    </w:p>
    <w:p w:rsidR="00AD7D2B" w:rsidRPr="00393123" w:rsidRDefault="00AD7D2B" w:rsidP="00AD7D2B">
      <w:pPr>
        <w:spacing w:line="360" w:lineRule="auto"/>
        <w:jc w:val="both"/>
        <w:rPr>
          <w:rFonts w:ascii="Palatino Linotype" w:hAnsi="Palatino Linotype"/>
          <w:color w:val="222222"/>
          <w:lang w:val="es-ES"/>
        </w:rPr>
      </w:pPr>
    </w:p>
    <w:p w:rsidR="00AD7D2B" w:rsidRPr="00393123" w:rsidRDefault="00AD7D2B" w:rsidP="00AD7D2B">
      <w:pPr>
        <w:spacing w:line="360" w:lineRule="auto"/>
        <w:jc w:val="both"/>
        <w:rPr>
          <w:rFonts w:ascii="Palatino Linotype" w:eastAsia="MS Mincho" w:hAnsi="Palatino Linotype"/>
          <w:lang w:val="es-ES" w:eastAsia="es-ES"/>
        </w:rPr>
      </w:pPr>
      <w:r w:rsidRPr="00393123">
        <w:rPr>
          <w:rFonts w:ascii="Palatino Linotype" w:eastAsia="MS Mincho" w:hAnsi="Palatino Linotype"/>
          <w:b/>
          <w:lang w:eastAsia="es-ES"/>
        </w:rPr>
        <w:t>CUARTO.</w:t>
      </w:r>
      <w:r w:rsidRPr="00393123">
        <w:rPr>
          <w:rFonts w:ascii="Palatino Linotype" w:eastAsia="MS Mincho" w:hAnsi="Palatino Linotype"/>
          <w:lang w:eastAsia="es-ES"/>
        </w:rPr>
        <w:t xml:space="preserve"> </w:t>
      </w:r>
      <w:r w:rsidRPr="00393123">
        <w:rPr>
          <w:rFonts w:ascii="Palatino Linotype" w:eastAsia="MS Mincho" w:hAnsi="Palatino Linotype"/>
          <w:lang w:val="es-ES" w:eastAsia="es-ES"/>
        </w:rPr>
        <w:t xml:space="preserve">Se hace del conocimiento del </w:t>
      </w:r>
      <w:r w:rsidRPr="00393123">
        <w:rPr>
          <w:rFonts w:ascii="Palatino Linotype" w:hAnsi="Palatino Linotype"/>
          <w:b/>
          <w:bCs/>
          <w:lang w:val="es-ES" w:eastAsia="es-ES"/>
        </w:rPr>
        <w:t>RECURRENTE</w:t>
      </w:r>
      <w:r w:rsidRPr="00393123">
        <w:rPr>
          <w:rFonts w:ascii="Palatino Linotype" w:eastAsiaTheme="minorEastAsia" w:hAnsi="Palatino Linotype" w:cstheme="minorBidi"/>
          <w:lang w:val="es-ES_tradnl" w:eastAsia="es-ES"/>
        </w:rPr>
        <w:t xml:space="preserve">  </w:t>
      </w:r>
      <w:r w:rsidRPr="00393123">
        <w:rPr>
          <w:rFonts w:ascii="Palatino Linotype" w:eastAsia="MS Mincho" w:hAnsi="Palatino Linotype"/>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393123">
        <w:rPr>
          <w:rFonts w:ascii="Palatino Linotype" w:eastAsia="MS Mincho" w:hAnsi="Palatino Linotype"/>
          <w:bCs/>
          <w:lang w:val="es-ES" w:eastAsia="es-ES"/>
        </w:rPr>
        <w:t>vía juicio de amparo</w:t>
      </w:r>
      <w:r w:rsidRPr="00393123">
        <w:rPr>
          <w:rFonts w:ascii="Palatino Linotype" w:eastAsia="MS Mincho" w:hAnsi="Palatino Linotype"/>
          <w:lang w:val="es-ES" w:eastAsia="es-ES"/>
        </w:rPr>
        <w:t> en los términos de las leyes aplicables.</w:t>
      </w:r>
    </w:p>
    <w:p w:rsidR="00AD7D2B" w:rsidRPr="00393123" w:rsidRDefault="00AD7D2B" w:rsidP="00AD7D2B">
      <w:pPr>
        <w:spacing w:line="360" w:lineRule="auto"/>
        <w:jc w:val="both"/>
        <w:rPr>
          <w:rFonts w:ascii="Palatino Linotype" w:eastAsia="MS Mincho" w:hAnsi="Palatino Linotype"/>
          <w:lang w:val="es-ES"/>
        </w:rPr>
      </w:pPr>
    </w:p>
    <w:p w:rsidR="00473D21" w:rsidRPr="008F5B3A" w:rsidRDefault="00473D21" w:rsidP="00473D21">
      <w:pPr>
        <w:spacing w:before="240" w:after="240" w:line="360" w:lineRule="auto"/>
        <w:ind w:firstLine="1"/>
        <w:jc w:val="both"/>
        <w:rPr>
          <w:rFonts w:ascii="Palatino Linotype" w:hAnsi="Palatino Linotype"/>
          <w:smallCaps/>
        </w:rPr>
      </w:pPr>
      <w:bookmarkStart w:id="17" w:name="_Hlk129792997"/>
      <w:bookmarkEnd w:id="10"/>
      <w:bookmarkEnd w:id="11"/>
      <w:bookmarkEnd w:id="12"/>
      <w:r>
        <w:rPr>
          <w:rStyle w:val="Referenciasutil"/>
          <w:rFonts w:ascii="Palatino Linotype" w:eastAsiaTheme="majorEastAsia" w:hAnsi="Palatino Linotype"/>
          <w:color w:val="auto"/>
        </w:rPr>
        <w:t>ASÍ LO APROBÓ</w:t>
      </w:r>
      <w:r w:rsidRPr="008F5B3A">
        <w:rPr>
          <w:rStyle w:val="Referenciasutil"/>
          <w:rFonts w:ascii="Palatino Linotype" w:eastAsiaTheme="majorEastAsia" w:hAnsi="Palatino Linotype"/>
          <w:color w:val="auto"/>
        </w:rPr>
        <w:t xml:space="preserve"> POR UNANIMIDAD DE VOTOS, EL PLENO DEL INSTITUTO DE TRANSPARENCIA, ACCESO A LA INFORMACIÓN PÚBLICA Y PROTECCIÓN DE DATOS PERSONALES DEL ESTADO DE MÉXICO Y MUNICIPIOS, CONFORMADO POR LOS COMISIONADOS JOSÉ MARTÍNEZ VILCHIS; MARÍA DEL ROSARIO </w:t>
      </w:r>
      <w:r w:rsidRPr="008F5B3A">
        <w:rPr>
          <w:rStyle w:val="Referenciasutil"/>
          <w:rFonts w:ascii="Palatino Linotype" w:eastAsiaTheme="majorEastAsia" w:hAnsi="Palatino Linotype"/>
          <w:color w:val="auto"/>
        </w:rPr>
        <w:lastRenderedPageBreak/>
        <w:t>MEJÍA AYALA; SHARON CRISTINA MORALES MARTÍNEZ; LUIS GUSTAVO PARRA NORIEGA Y GUADALUPE RA</w:t>
      </w:r>
      <w:r>
        <w:rPr>
          <w:rStyle w:val="Referenciasutil"/>
          <w:rFonts w:ascii="Palatino Linotype" w:eastAsiaTheme="majorEastAsia" w:hAnsi="Palatino Linotype"/>
          <w:color w:val="auto"/>
        </w:rPr>
        <w:t>MÍREZ PEÑA;</w:t>
      </w:r>
      <w:r w:rsidRPr="008F5B3A">
        <w:rPr>
          <w:rStyle w:val="Referenciasutil"/>
          <w:rFonts w:ascii="Palatino Linotype" w:eastAsiaTheme="majorEastAsia" w:hAnsi="Palatino Linotype"/>
          <w:color w:val="auto"/>
        </w:rPr>
        <w:t xml:space="preserve"> EN LA </w:t>
      </w:r>
      <w:r>
        <w:rPr>
          <w:rStyle w:val="Referenciasutil"/>
          <w:rFonts w:ascii="Palatino Linotype" w:eastAsiaTheme="majorEastAsia" w:hAnsi="Palatino Linotype"/>
          <w:color w:val="auto"/>
        </w:rPr>
        <w:t xml:space="preserve">VIGÉSIMA SEXTA </w:t>
      </w:r>
      <w:r w:rsidRPr="008F5B3A">
        <w:rPr>
          <w:rStyle w:val="Referenciasutil"/>
          <w:rFonts w:ascii="Palatino Linotype" w:eastAsiaTheme="majorEastAsia" w:hAnsi="Palatino Linotype"/>
          <w:color w:val="auto"/>
        </w:rPr>
        <w:t xml:space="preserve">SESIÓN ORDINARIA CELEBRADA EL </w:t>
      </w:r>
      <w:r>
        <w:rPr>
          <w:rStyle w:val="Referenciasutil"/>
          <w:rFonts w:ascii="Palatino Linotype" w:eastAsiaTheme="majorEastAsia" w:hAnsi="Palatino Linotype"/>
          <w:color w:val="auto"/>
        </w:rPr>
        <w:t>DOCE</w:t>
      </w:r>
      <w:r w:rsidRPr="008F5B3A">
        <w:rPr>
          <w:rStyle w:val="Referenciasutil"/>
          <w:rFonts w:ascii="Palatino Linotype" w:eastAsiaTheme="majorEastAsia" w:hAnsi="Palatino Linotype"/>
          <w:color w:val="auto"/>
        </w:rPr>
        <w:t xml:space="preserve"> (</w:t>
      </w:r>
      <w:r>
        <w:rPr>
          <w:rStyle w:val="Referenciasutil"/>
          <w:rFonts w:ascii="Palatino Linotype" w:eastAsiaTheme="majorEastAsia" w:hAnsi="Palatino Linotype"/>
          <w:color w:val="auto"/>
        </w:rPr>
        <w:t>12</w:t>
      </w:r>
      <w:r w:rsidRPr="008F5B3A">
        <w:rPr>
          <w:rStyle w:val="Referenciasutil"/>
          <w:rFonts w:ascii="Palatino Linotype" w:eastAsiaTheme="majorEastAsia" w:hAnsi="Palatino Linotype"/>
          <w:color w:val="auto"/>
        </w:rPr>
        <w:t xml:space="preserve">) DE </w:t>
      </w:r>
      <w:r>
        <w:rPr>
          <w:rStyle w:val="Referenciasutil"/>
          <w:rFonts w:ascii="Palatino Linotype" w:eastAsiaTheme="majorEastAsia" w:hAnsi="Palatino Linotype"/>
          <w:color w:val="auto"/>
        </w:rPr>
        <w:t>JULIO</w:t>
      </w:r>
      <w:r w:rsidRPr="008F5B3A">
        <w:rPr>
          <w:rStyle w:val="Referenciasutil"/>
          <w:rFonts w:ascii="Palatino Linotype" w:eastAsiaTheme="majorEastAsia" w:hAnsi="Palatino Linotype"/>
          <w:color w:val="auto"/>
        </w:rPr>
        <w:t xml:space="preserve"> DE DOS MIL VEINTITRÉS, ANTE EL SECRETARIO TÉCNICO DEL PLENO ALEXIS TAPIA RAMÍREZ. </w:t>
      </w:r>
      <w:bookmarkEnd w:id="17"/>
    </w:p>
    <w:p w:rsidR="00AD7D2B" w:rsidRPr="00393123" w:rsidRDefault="00AD7D2B" w:rsidP="00AD7D2B">
      <w:pPr>
        <w:spacing w:line="360" w:lineRule="auto"/>
        <w:ind w:right="49"/>
        <w:jc w:val="both"/>
        <w:rPr>
          <w:rFonts w:ascii="Palatino Linotype" w:eastAsiaTheme="minorEastAsia" w:hAnsi="Palatino Linotype" w:cs="Arial"/>
          <w:lang w:val="es-ES_tradnl" w:eastAsia="es-ES"/>
        </w:rPr>
      </w:pPr>
    </w:p>
    <w:p w:rsidR="00AD7D2B" w:rsidRPr="00393123" w:rsidRDefault="00AD7D2B" w:rsidP="00AD7D2B">
      <w:pPr>
        <w:spacing w:line="360" w:lineRule="auto"/>
        <w:ind w:right="49"/>
        <w:jc w:val="both"/>
        <w:rPr>
          <w:rFonts w:ascii="Palatino Linotype" w:eastAsiaTheme="minorEastAsia" w:hAnsi="Palatino Linotype" w:cs="Arial"/>
          <w:lang w:val="es-ES_tradnl" w:eastAsia="es-ES"/>
        </w:rPr>
      </w:pPr>
    </w:p>
    <w:p w:rsidR="00AD7D2B" w:rsidRPr="00393123" w:rsidRDefault="00AD7D2B" w:rsidP="00AD7D2B">
      <w:pPr>
        <w:spacing w:line="360" w:lineRule="auto"/>
        <w:ind w:right="49"/>
        <w:jc w:val="both"/>
        <w:rPr>
          <w:rFonts w:ascii="Palatino Linotype" w:eastAsiaTheme="minorEastAsia" w:hAnsi="Palatino Linotype" w:cs="Arial"/>
          <w:lang w:val="es-ES_tradnl" w:eastAsia="es-ES"/>
        </w:rPr>
      </w:pPr>
    </w:p>
    <w:p w:rsidR="00AD7D2B" w:rsidRPr="00393123" w:rsidRDefault="00AD7D2B" w:rsidP="00AD7D2B">
      <w:pPr>
        <w:spacing w:line="360" w:lineRule="auto"/>
        <w:ind w:right="49"/>
        <w:jc w:val="both"/>
        <w:rPr>
          <w:rFonts w:ascii="Palatino Linotype" w:eastAsiaTheme="minorEastAsia" w:hAnsi="Palatino Linotype" w:cs="Arial"/>
          <w:lang w:val="es-ES_tradnl" w:eastAsia="es-ES"/>
        </w:rPr>
      </w:pPr>
    </w:p>
    <w:p w:rsidR="00AD7D2B" w:rsidRPr="00393123" w:rsidRDefault="00AD7D2B" w:rsidP="00AD7D2B">
      <w:pPr>
        <w:spacing w:line="360" w:lineRule="auto"/>
        <w:ind w:right="49"/>
        <w:jc w:val="both"/>
        <w:rPr>
          <w:rFonts w:ascii="Palatino Linotype" w:eastAsiaTheme="minorEastAsia" w:hAnsi="Palatino Linotype" w:cs="Arial"/>
          <w:lang w:val="es-ES_tradnl" w:eastAsia="es-ES"/>
        </w:rPr>
      </w:pPr>
    </w:p>
    <w:p w:rsidR="00AD7D2B" w:rsidRPr="00393123" w:rsidRDefault="00AD7D2B" w:rsidP="00AD7D2B">
      <w:pPr>
        <w:spacing w:line="360" w:lineRule="auto"/>
        <w:ind w:right="49"/>
        <w:jc w:val="both"/>
        <w:rPr>
          <w:rFonts w:ascii="Palatino Linotype" w:eastAsiaTheme="minorEastAsia" w:hAnsi="Palatino Linotype" w:cs="Arial"/>
          <w:lang w:val="es-ES_tradnl" w:eastAsia="es-ES"/>
        </w:rPr>
      </w:pPr>
    </w:p>
    <w:p w:rsidR="00AD7D2B" w:rsidRPr="00393123" w:rsidRDefault="00AD7D2B" w:rsidP="00AD7D2B">
      <w:pPr>
        <w:spacing w:line="360" w:lineRule="auto"/>
        <w:ind w:right="49"/>
        <w:jc w:val="both"/>
        <w:rPr>
          <w:rFonts w:ascii="Palatino Linotype" w:eastAsiaTheme="minorEastAsia" w:hAnsi="Palatino Linotype" w:cs="Arial"/>
          <w:lang w:val="es-ES_tradnl" w:eastAsia="es-ES"/>
        </w:rPr>
      </w:pPr>
    </w:p>
    <w:p w:rsidR="00AD7D2B" w:rsidRPr="00393123" w:rsidRDefault="00AD7D2B" w:rsidP="00AD7D2B">
      <w:pPr>
        <w:spacing w:line="360" w:lineRule="auto"/>
        <w:ind w:right="49"/>
        <w:jc w:val="both"/>
        <w:rPr>
          <w:rFonts w:ascii="Palatino Linotype" w:eastAsiaTheme="minorEastAsia" w:hAnsi="Palatino Linotype" w:cs="Arial"/>
          <w:lang w:val="es-ES_tradnl" w:eastAsia="es-ES"/>
        </w:rPr>
      </w:pPr>
    </w:p>
    <w:p w:rsidR="00AD7D2B" w:rsidRPr="00393123" w:rsidRDefault="00AD7D2B" w:rsidP="00AD7D2B">
      <w:pPr>
        <w:spacing w:line="360" w:lineRule="auto"/>
        <w:rPr>
          <w:rFonts w:ascii="Palatino Linotype" w:hAnsi="Palatino Linotype"/>
        </w:rPr>
      </w:pPr>
    </w:p>
    <w:p w:rsidR="00AD7D2B" w:rsidRPr="00393123" w:rsidRDefault="00AD7D2B" w:rsidP="00AD7D2B">
      <w:pPr>
        <w:rPr>
          <w:rFonts w:ascii="Palatino Linotype" w:hAnsi="Palatino Linotype"/>
        </w:rPr>
      </w:pPr>
    </w:p>
    <w:p w:rsidR="00AD7D2B" w:rsidRPr="00393123" w:rsidRDefault="00AD7D2B" w:rsidP="00AD7D2B">
      <w:pPr>
        <w:rPr>
          <w:rFonts w:ascii="Palatino Linotype" w:hAnsi="Palatino Linotype"/>
        </w:rPr>
      </w:pPr>
    </w:p>
    <w:p w:rsidR="00AD7D2B" w:rsidRPr="00393123" w:rsidRDefault="00AD7D2B" w:rsidP="00AD7D2B">
      <w:pPr>
        <w:rPr>
          <w:rFonts w:ascii="Palatino Linotype" w:hAnsi="Palatino Linotype"/>
        </w:rPr>
      </w:pPr>
    </w:p>
    <w:p w:rsidR="00AD7D2B" w:rsidRPr="00393123" w:rsidRDefault="00AD7D2B" w:rsidP="00AD7D2B">
      <w:pPr>
        <w:rPr>
          <w:rFonts w:ascii="Palatino Linotype" w:hAnsi="Palatino Linotype"/>
        </w:rPr>
      </w:pPr>
    </w:p>
    <w:p w:rsidR="004E1710" w:rsidRPr="00393123" w:rsidRDefault="00B65EED">
      <w:pPr>
        <w:rPr>
          <w:rFonts w:ascii="Palatino Linotype" w:hAnsi="Palatino Linotype"/>
        </w:rPr>
      </w:pPr>
    </w:p>
    <w:sectPr w:rsidR="004E1710" w:rsidRPr="00393123" w:rsidSect="003F2244">
      <w:headerReference w:type="even" r:id="rId22"/>
      <w:headerReference w:type="default" r:id="rId23"/>
      <w:footerReference w:type="default" r:id="rId24"/>
      <w:headerReference w:type="first" r:id="rId25"/>
      <w:footerReference w:type="first" r:id="rId26"/>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5EED" w:rsidRDefault="00B65EED" w:rsidP="00AD7D2B">
      <w:r>
        <w:separator/>
      </w:r>
    </w:p>
  </w:endnote>
  <w:endnote w:type="continuationSeparator" w:id="0">
    <w:p w:rsidR="00B65EED" w:rsidRDefault="00B65EED" w:rsidP="00AD7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244" w:rsidRDefault="00DE2AC2">
    <w:pPr>
      <w:pStyle w:val="Piedepgina"/>
      <w:jc w:val="right"/>
    </w:pPr>
    <w:r>
      <w:rPr>
        <w:lang w:val="es-ES"/>
      </w:rPr>
      <w:t xml:space="preserve">Página </w:t>
    </w:r>
    <w:r>
      <w:rPr>
        <w:b/>
        <w:bCs/>
      </w:rPr>
      <w:fldChar w:fldCharType="begin"/>
    </w:r>
    <w:r>
      <w:rPr>
        <w:b/>
        <w:bCs/>
      </w:rPr>
      <w:instrText>PAGE</w:instrText>
    </w:r>
    <w:r>
      <w:rPr>
        <w:b/>
        <w:bCs/>
      </w:rPr>
      <w:fldChar w:fldCharType="separate"/>
    </w:r>
    <w:r w:rsidR="00704170">
      <w:rPr>
        <w:b/>
        <w:bCs/>
        <w:noProof/>
      </w:rPr>
      <w:t>21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704170">
      <w:rPr>
        <w:b/>
        <w:bCs/>
        <w:noProof/>
      </w:rPr>
      <w:t>25</w:t>
    </w:r>
    <w:r>
      <w:rPr>
        <w:b/>
        <w:bCs/>
      </w:rPr>
      <w:fldChar w:fldCharType="end"/>
    </w:r>
  </w:p>
  <w:p w:rsidR="003F2244" w:rsidRDefault="00B65EE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244" w:rsidRDefault="00DE2AC2">
    <w:pPr>
      <w:pStyle w:val="Piedepgina"/>
      <w:jc w:val="right"/>
    </w:pPr>
    <w:r>
      <w:rPr>
        <w:lang w:val="es-ES"/>
      </w:rPr>
      <w:t xml:space="preserve">Página </w:t>
    </w:r>
    <w:r>
      <w:rPr>
        <w:b/>
        <w:bCs/>
      </w:rPr>
      <w:fldChar w:fldCharType="begin"/>
    </w:r>
    <w:r>
      <w:rPr>
        <w:b/>
        <w:bCs/>
      </w:rPr>
      <w:instrText>PAGE</w:instrText>
    </w:r>
    <w:r>
      <w:rPr>
        <w:b/>
        <w:bCs/>
      </w:rPr>
      <w:fldChar w:fldCharType="separate"/>
    </w:r>
    <w:r w:rsidR="00704170">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704170">
      <w:rPr>
        <w:b/>
        <w:bCs/>
        <w:noProof/>
      </w:rPr>
      <w:t>25</w:t>
    </w:r>
    <w:r>
      <w:rPr>
        <w:b/>
        <w:bCs/>
      </w:rPr>
      <w:fldChar w:fldCharType="end"/>
    </w:r>
  </w:p>
  <w:p w:rsidR="003F2244" w:rsidRDefault="00B65EE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5EED" w:rsidRDefault="00B65EED" w:rsidP="00AD7D2B">
      <w:r>
        <w:separator/>
      </w:r>
    </w:p>
  </w:footnote>
  <w:footnote w:type="continuationSeparator" w:id="0">
    <w:p w:rsidR="00B65EED" w:rsidRDefault="00B65EED" w:rsidP="00AD7D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244" w:rsidRDefault="00B65EE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alt="" style="position:absolute;margin-left:0;margin-top:0;width:589.8pt;height:768pt;z-index:-25165721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3F2244" w:rsidRPr="005C106F" w:rsidTr="003F2244">
      <w:trPr>
        <w:trHeight w:val="1435"/>
      </w:trPr>
      <w:tc>
        <w:tcPr>
          <w:tcW w:w="2268" w:type="dxa"/>
          <w:shd w:val="clear" w:color="auto" w:fill="auto"/>
        </w:tcPr>
        <w:p w:rsidR="003F2244" w:rsidRPr="005C106F" w:rsidRDefault="00B65EED" w:rsidP="003F2244">
          <w:pPr>
            <w:tabs>
              <w:tab w:val="right" w:pos="4273"/>
            </w:tabs>
            <w:rPr>
              <w:rFonts w:ascii="Garamond" w:eastAsia="Calibri" w:hAnsi="Garamond"/>
              <w:sz w:val="16"/>
              <w:szCs w:val="16"/>
              <w:lang w:eastAsia="en-US"/>
            </w:rPr>
          </w:pPr>
        </w:p>
      </w:tc>
      <w:tc>
        <w:tcPr>
          <w:tcW w:w="6946" w:type="dxa"/>
          <w:shd w:val="clear" w:color="auto" w:fill="auto"/>
        </w:tcPr>
        <w:p w:rsidR="003F2244" w:rsidRDefault="00B65EED" w:rsidP="003F2244"/>
        <w:tbl>
          <w:tblPr>
            <w:tblW w:w="6662" w:type="dxa"/>
            <w:tblInd w:w="40" w:type="dxa"/>
            <w:tblLayout w:type="fixed"/>
            <w:tblLook w:val="0420" w:firstRow="1" w:lastRow="0" w:firstColumn="0" w:lastColumn="0" w:noHBand="0" w:noVBand="1"/>
          </w:tblPr>
          <w:tblGrid>
            <w:gridCol w:w="2551"/>
            <w:gridCol w:w="4111"/>
          </w:tblGrid>
          <w:tr w:rsidR="003F2244" w:rsidTr="003F2244">
            <w:trPr>
              <w:trHeight w:val="150"/>
            </w:trPr>
            <w:tc>
              <w:tcPr>
                <w:tcW w:w="2551" w:type="dxa"/>
                <w:shd w:val="clear" w:color="auto" w:fill="auto"/>
              </w:tcPr>
              <w:p w:rsidR="003F2244" w:rsidRPr="00020E73" w:rsidRDefault="00DE2AC2" w:rsidP="003F2244">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3F2244" w:rsidRPr="00020E73" w:rsidRDefault="00AD7D2B" w:rsidP="003F2244">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00893</w:t>
                </w:r>
                <w:r w:rsidR="00DE2AC2">
                  <w:rPr>
                    <w:rFonts w:ascii="Palatino Linotype" w:eastAsia="Calibri" w:hAnsi="Palatino Linotype" w:cs="Tahoma"/>
                    <w:bCs/>
                    <w:sz w:val="22"/>
                    <w:szCs w:val="22"/>
                    <w:lang w:eastAsia="en-US"/>
                  </w:rPr>
                  <w:t>/INFOEM/IP/RR/2023</w:t>
                </w:r>
              </w:p>
            </w:tc>
          </w:tr>
          <w:tr w:rsidR="003F2244" w:rsidTr="003F2244">
            <w:trPr>
              <w:trHeight w:val="295"/>
            </w:trPr>
            <w:tc>
              <w:tcPr>
                <w:tcW w:w="2551" w:type="dxa"/>
                <w:shd w:val="clear" w:color="auto" w:fill="auto"/>
              </w:tcPr>
              <w:p w:rsidR="003F2244" w:rsidRPr="00020E73" w:rsidRDefault="00DE2AC2" w:rsidP="003F2244">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3F2244" w:rsidRPr="00AD7D2B" w:rsidRDefault="00AD7D2B" w:rsidP="003F2244">
                <w:pPr>
                  <w:tabs>
                    <w:tab w:val="left" w:pos="2834"/>
                    <w:tab w:val="right" w:pos="8838"/>
                  </w:tabs>
                  <w:ind w:left="-108" w:right="-102"/>
                  <w:jc w:val="both"/>
                  <w:rPr>
                    <w:rFonts w:ascii="Palatino Linotype" w:eastAsia="Calibri" w:hAnsi="Palatino Linotype" w:cs="Tahoma"/>
                    <w:sz w:val="22"/>
                    <w:szCs w:val="22"/>
                    <w:lang w:val="es-ES" w:eastAsia="en-US"/>
                  </w:rPr>
                </w:pPr>
                <w:r w:rsidRPr="00AD7D2B">
                  <w:rPr>
                    <w:rFonts w:ascii="Palatino Linotype" w:eastAsia="Calibri" w:hAnsi="Palatino Linotype" w:cs="Tahoma"/>
                    <w:bCs/>
                    <w:sz w:val="22"/>
                    <w:szCs w:val="22"/>
                    <w:lang w:eastAsia="en-US"/>
                  </w:rPr>
                  <w:t>Instituto de Seguridad Social del Estado de México y Municipios</w:t>
                </w:r>
              </w:p>
            </w:tc>
          </w:tr>
          <w:tr w:rsidR="003F2244" w:rsidTr="003F2244">
            <w:trPr>
              <w:trHeight w:val="295"/>
            </w:trPr>
            <w:tc>
              <w:tcPr>
                <w:tcW w:w="2551" w:type="dxa"/>
                <w:shd w:val="clear" w:color="auto" w:fill="auto"/>
              </w:tcPr>
              <w:p w:rsidR="003F2244" w:rsidRPr="00020E73" w:rsidRDefault="00DE2AC2" w:rsidP="003F2244">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3F2244" w:rsidRPr="00020E73" w:rsidRDefault="00DE2AC2" w:rsidP="003F2244">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3F2244" w:rsidRPr="00020E73" w:rsidRDefault="00B65EED" w:rsidP="003F2244">
                <w:pPr>
                  <w:tabs>
                    <w:tab w:val="right" w:pos="8838"/>
                  </w:tabs>
                  <w:ind w:left="-108" w:right="171"/>
                  <w:jc w:val="both"/>
                  <w:rPr>
                    <w:rFonts w:ascii="Palatino Linotype" w:eastAsia="Calibri" w:hAnsi="Palatino Linotype" w:cs="Tahoma"/>
                    <w:b/>
                    <w:sz w:val="22"/>
                    <w:szCs w:val="22"/>
                    <w:lang w:val="es-ES" w:eastAsia="en-US"/>
                  </w:rPr>
                </w:pPr>
              </w:p>
            </w:tc>
          </w:tr>
        </w:tbl>
        <w:p w:rsidR="003F2244" w:rsidRPr="005C106F" w:rsidRDefault="00B65EED" w:rsidP="003F2244">
          <w:pPr>
            <w:tabs>
              <w:tab w:val="right" w:pos="8838"/>
            </w:tabs>
            <w:ind w:left="-28"/>
            <w:jc w:val="both"/>
            <w:rPr>
              <w:rFonts w:ascii="Arial" w:eastAsia="Calibri" w:hAnsi="Arial" w:cs="Arial"/>
              <w:b/>
              <w:sz w:val="22"/>
              <w:szCs w:val="22"/>
              <w:lang w:eastAsia="en-US"/>
            </w:rPr>
          </w:pPr>
        </w:p>
      </w:tc>
    </w:tr>
  </w:tbl>
  <w:p w:rsidR="003F2244" w:rsidRPr="00443C6B" w:rsidRDefault="00B65EED" w:rsidP="003F2244">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619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3F2244" w:rsidRPr="00330DA7" w:rsidTr="003F2244">
      <w:trPr>
        <w:trHeight w:val="1435"/>
      </w:trPr>
      <w:tc>
        <w:tcPr>
          <w:tcW w:w="2268" w:type="dxa"/>
          <w:shd w:val="clear" w:color="auto" w:fill="auto"/>
        </w:tcPr>
        <w:p w:rsidR="003F2244" w:rsidRPr="00330DA7" w:rsidRDefault="00B65EED" w:rsidP="003F2244">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3F2244" w:rsidRPr="00330DA7" w:rsidTr="003F2244">
            <w:trPr>
              <w:trHeight w:val="144"/>
            </w:trPr>
            <w:tc>
              <w:tcPr>
                <w:tcW w:w="2444" w:type="dxa"/>
                <w:shd w:val="clear" w:color="auto" w:fill="auto"/>
              </w:tcPr>
              <w:p w:rsidR="003F2244" w:rsidRPr="00020E73" w:rsidRDefault="00DE2AC2" w:rsidP="003F2244">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3F2244" w:rsidRPr="00020E73" w:rsidRDefault="00AD7D2B" w:rsidP="003F2244">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00893</w:t>
                </w:r>
                <w:r w:rsidR="00DE2AC2">
                  <w:rPr>
                    <w:rFonts w:ascii="Palatino Linotype" w:eastAsia="Calibri" w:hAnsi="Palatino Linotype" w:cs="Tahoma"/>
                    <w:sz w:val="22"/>
                    <w:szCs w:val="22"/>
                    <w:lang w:eastAsia="en-US"/>
                  </w:rPr>
                  <w:t>/INFOEM/IP/RR/2023</w:t>
                </w:r>
                <w:r w:rsidR="00DE2AC2">
                  <w:rPr>
                    <w:rFonts w:ascii="Palatino Linotype" w:eastAsia="Calibri" w:hAnsi="Palatino Linotype" w:cs="Tahoma"/>
                    <w:b/>
                    <w:bCs/>
                    <w:sz w:val="22"/>
                    <w:szCs w:val="22"/>
                    <w:lang w:eastAsia="en-US"/>
                  </w:rPr>
                  <w:t xml:space="preserve"> </w:t>
                </w:r>
              </w:p>
            </w:tc>
          </w:tr>
          <w:tr w:rsidR="003F2244" w:rsidRPr="00330DA7" w:rsidTr="003F2244">
            <w:trPr>
              <w:trHeight w:val="144"/>
            </w:trPr>
            <w:tc>
              <w:tcPr>
                <w:tcW w:w="2444" w:type="dxa"/>
                <w:shd w:val="clear" w:color="auto" w:fill="auto"/>
              </w:tcPr>
              <w:p w:rsidR="003F2244" w:rsidRPr="00020E73" w:rsidRDefault="00DE2AC2" w:rsidP="003F2244">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3F2244" w:rsidRPr="00AD7D2B" w:rsidRDefault="00786A2F" w:rsidP="003F2244">
                <w:pPr>
                  <w:tabs>
                    <w:tab w:val="left" w:pos="3122"/>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bCs/>
                    <w:sz w:val="22"/>
                    <w:szCs w:val="22"/>
                    <w:lang w:eastAsia="en-US"/>
                  </w:rPr>
                  <w:t xml:space="preserve">XXX </w:t>
                </w:r>
                <w:proofErr w:type="spellStart"/>
                <w:r>
                  <w:rPr>
                    <w:rFonts w:ascii="Palatino Linotype" w:eastAsia="Calibri" w:hAnsi="Palatino Linotype" w:cs="Tahoma"/>
                    <w:bCs/>
                    <w:sz w:val="22"/>
                    <w:szCs w:val="22"/>
                    <w:lang w:eastAsia="en-US"/>
                  </w:rPr>
                  <w:t>XXX</w:t>
                </w:r>
                <w:proofErr w:type="spellEnd"/>
                <w:r>
                  <w:rPr>
                    <w:rFonts w:ascii="Palatino Linotype" w:eastAsia="Calibri" w:hAnsi="Palatino Linotype" w:cs="Tahoma"/>
                    <w:bCs/>
                    <w:sz w:val="22"/>
                    <w:szCs w:val="22"/>
                    <w:lang w:eastAsia="en-US"/>
                  </w:rPr>
                  <w:t xml:space="preserve"> </w:t>
                </w:r>
                <w:proofErr w:type="spellStart"/>
                <w:r>
                  <w:rPr>
                    <w:rFonts w:ascii="Palatino Linotype" w:eastAsia="Calibri" w:hAnsi="Palatino Linotype" w:cs="Tahoma"/>
                    <w:bCs/>
                    <w:sz w:val="22"/>
                    <w:szCs w:val="22"/>
                    <w:lang w:eastAsia="en-US"/>
                  </w:rPr>
                  <w:t>XXX</w:t>
                </w:r>
                <w:proofErr w:type="spellEnd"/>
                <w:r w:rsidR="00AD7D2B" w:rsidRPr="00AD7D2B">
                  <w:rPr>
                    <w:rFonts w:ascii="Palatino Linotype" w:eastAsia="Calibri" w:hAnsi="Palatino Linotype" w:cs="Tahoma"/>
                    <w:bCs/>
                    <w:sz w:val="22"/>
                    <w:szCs w:val="22"/>
                    <w:lang w:eastAsia="en-US"/>
                  </w:rPr>
                  <w:t> </w:t>
                </w:r>
              </w:p>
            </w:tc>
          </w:tr>
          <w:tr w:rsidR="003F2244" w:rsidRPr="00330DA7" w:rsidTr="003F2244">
            <w:trPr>
              <w:trHeight w:val="283"/>
            </w:trPr>
            <w:tc>
              <w:tcPr>
                <w:tcW w:w="2444" w:type="dxa"/>
                <w:shd w:val="clear" w:color="auto" w:fill="auto"/>
              </w:tcPr>
              <w:p w:rsidR="003F2244" w:rsidRPr="00020E73" w:rsidRDefault="00DE2AC2" w:rsidP="003F2244">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3F2244" w:rsidRPr="00AD7D2B" w:rsidRDefault="00AD7D2B" w:rsidP="003F2244">
                <w:pPr>
                  <w:tabs>
                    <w:tab w:val="left" w:pos="2834"/>
                    <w:tab w:val="right" w:pos="8838"/>
                  </w:tabs>
                  <w:ind w:left="-74" w:right="-105"/>
                  <w:jc w:val="both"/>
                  <w:rPr>
                    <w:rFonts w:ascii="Palatino Linotype" w:eastAsia="Calibri" w:hAnsi="Palatino Linotype" w:cs="Tahoma"/>
                    <w:sz w:val="22"/>
                    <w:szCs w:val="22"/>
                    <w:lang w:val="es-ES" w:eastAsia="en-US"/>
                  </w:rPr>
                </w:pPr>
                <w:r w:rsidRPr="00AD7D2B">
                  <w:rPr>
                    <w:rFonts w:ascii="Palatino Linotype" w:eastAsia="Calibri" w:hAnsi="Palatino Linotype" w:cs="Tahoma"/>
                    <w:bCs/>
                    <w:sz w:val="22"/>
                    <w:szCs w:val="22"/>
                    <w:lang w:eastAsia="en-US"/>
                  </w:rPr>
                  <w:t>Instituto de Seguridad Social del Estado de México y Municipios</w:t>
                </w:r>
              </w:p>
            </w:tc>
          </w:tr>
          <w:tr w:rsidR="003F2244" w:rsidRPr="00330DA7" w:rsidTr="003F2244">
            <w:trPr>
              <w:trHeight w:val="283"/>
            </w:trPr>
            <w:tc>
              <w:tcPr>
                <w:tcW w:w="2444" w:type="dxa"/>
                <w:shd w:val="clear" w:color="auto" w:fill="auto"/>
              </w:tcPr>
              <w:p w:rsidR="003F2244" w:rsidRPr="00020E73" w:rsidRDefault="00DE2AC2" w:rsidP="003F2244">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3F2244" w:rsidRPr="00020E73" w:rsidRDefault="00DE2AC2" w:rsidP="003F2244">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3F2244" w:rsidRPr="00020E73" w:rsidRDefault="00B65EED" w:rsidP="003F2244">
                <w:pPr>
                  <w:tabs>
                    <w:tab w:val="right" w:pos="8838"/>
                  </w:tabs>
                  <w:ind w:left="-74" w:right="-105"/>
                  <w:jc w:val="both"/>
                  <w:rPr>
                    <w:rFonts w:ascii="Palatino Linotype" w:eastAsia="Calibri" w:hAnsi="Palatino Linotype" w:cs="Tahoma"/>
                    <w:b/>
                    <w:sz w:val="22"/>
                    <w:szCs w:val="22"/>
                    <w:lang w:val="es-ES" w:eastAsia="en-US"/>
                  </w:rPr>
                </w:pPr>
              </w:p>
            </w:tc>
          </w:tr>
        </w:tbl>
        <w:p w:rsidR="003F2244" w:rsidRPr="00330DA7" w:rsidRDefault="00B65EED" w:rsidP="003F2244">
          <w:pPr>
            <w:tabs>
              <w:tab w:val="right" w:pos="8838"/>
            </w:tabs>
            <w:ind w:left="-28"/>
            <w:jc w:val="both"/>
            <w:rPr>
              <w:rFonts w:ascii="Arial" w:eastAsia="Calibri" w:hAnsi="Arial" w:cs="Arial"/>
              <w:b/>
              <w:sz w:val="22"/>
              <w:szCs w:val="22"/>
              <w:lang w:eastAsia="en-US"/>
            </w:rPr>
          </w:pPr>
        </w:p>
      </w:tc>
    </w:tr>
  </w:tbl>
  <w:p w:rsidR="003F2244" w:rsidRPr="00827FA0" w:rsidRDefault="00B65EED" w:rsidP="003F2244">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alt="" style="position:absolute;margin-left:-68.8pt;margin-top:-117.6pt;width:589.8pt;height:768pt;z-index:-25165516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nsid w:val="34317490"/>
    <w:multiLevelType w:val="hybridMultilevel"/>
    <w:tmpl w:val="56D24720"/>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FB30DF1"/>
    <w:multiLevelType w:val="hybridMultilevel"/>
    <w:tmpl w:val="D1A0694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65DA3801"/>
    <w:multiLevelType w:val="hybridMultilevel"/>
    <w:tmpl w:val="9CD2A1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72E874A1"/>
    <w:multiLevelType w:val="hybridMultilevel"/>
    <w:tmpl w:val="092064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num w:numId="1">
    <w:abstractNumId w:val="1"/>
  </w:num>
  <w:num w:numId="2">
    <w:abstractNumId w:val="5"/>
  </w:num>
  <w:num w:numId="3">
    <w:abstractNumId w:val="0"/>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D2B"/>
    <w:rsid w:val="00007A3C"/>
    <w:rsid w:val="00065E57"/>
    <w:rsid w:val="000E6F25"/>
    <w:rsid w:val="0019640F"/>
    <w:rsid w:val="00197A43"/>
    <w:rsid w:val="001B3FA4"/>
    <w:rsid w:val="001D73AE"/>
    <w:rsid w:val="00214EBE"/>
    <w:rsid w:val="002205D9"/>
    <w:rsid w:val="00307A1B"/>
    <w:rsid w:val="00393123"/>
    <w:rsid w:val="00473D21"/>
    <w:rsid w:val="005B0192"/>
    <w:rsid w:val="00611F91"/>
    <w:rsid w:val="00704170"/>
    <w:rsid w:val="00724ED3"/>
    <w:rsid w:val="007361CF"/>
    <w:rsid w:val="0076643E"/>
    <w:rsid w:val="00786A2F"/>
    <w:rsid w:val="008771C4"/>
    <w:rsid w:val="00AD7D2B"/>
    <w:rsid w:val="00B65EED"/>
    <w:rsid w:val="00DE2AC2"/>
    <w:rsid w:val="00EE1C7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88A22B8E-5BDE-41FC-A001-635E82DDC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7D2B"/>
    <w:pPr>
      <w:spacing w:after="0" w:line="240" w:lineRule="auto"/>
    </w:pPr>
    <w:rPr>
      <w:rFonts w:ascii="Times New Roman" w:eastAsia="Times New Roman" w:hAnsi="Times New Roman" w:cs="Times New Roman"/>
      <w:sz w:val="24"/>
      <w:szCs w:val="24"/>
      <w:lang w:val="es-MX" w:eastAsia="es-MX"/>
    </w:rPr>
  </w:style>
  <w:style w:type="paragraph" w:styleId="Ttulo2">
    <w:name w:val="heading 2"/>
    <w:basedOn w:val="Normal"/>
    <w:next w:val="Normal"/>
    <w:link w:val="Ttulo2Car"/>
    <w:uiPriority w:val="9"/>
    <w:unhideWhenUsed/>
    <w:qFormat/>
    <w:rsid w:val="00AD7D2B"/>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AD7D2B"/>
    <w:rPr>
      <w:rFonts w:asciiTheme="majorHAnsi" w:eastAsiaTheme="majorEastAsia" w:hAnsiTheme="majorHAnsi" w:cstheme="majorBidi"/>
      <w:color w:val="2E74B5" w:themeColor="accent1" w:themeShade="BF"/>
      <w:sz w:val="26"/>
      <w:szCs w:val="26"/>
      <w:lang w:val="es-MX"/>
    </w:rPr>
  </w:style>
  <w:style w:type="paragraph" w:styleId="Encabezado">
    <w:name w:val="header"/>
    <w:basedOn w:val="Normal"/>
    <w:link w:val="EncabezadoCar"/>
    <w:uiPriority w:val="99"/>
    <w:unhideWhenUsed/>
    <w:rsid w:val="00AD7D2B"/>
    <w:pPr>
      <w:tabs>
        <w:tab w:val="center" w:pos="4419"/>
        <w:tab w:val="right" w:pos="8838"/>
      </w:tabs>
    </w:pPr>
  </w:style>
  <w:style w:type="character" w:customStyle="1" w:styleId="EncabezadoCar">
    <w:name w:val="Encabezado Car"/>
    <w:basedOn w:val="Fuentedeprrafopredeter"/>
    <w:link w:val="Encabezado"/>
    <w:uiPriority w:val="99"/>
    <w:rsid w:val="00AD7D2B"/>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AD7D2B"/>
    <w:pPr>
      <w:tabs>
        <w:tab w:val="center" w:pos="4419"/>
        <w:tab w:val="right" w:pos="8838"/>
      </w:tabs>
    </w:pPr>
  </w:style>
  <w:style w:type="character" w:customStyle="1" w:styleId="PiedepginaCar">
    <w:name w:val="Pie de página Car"/>
    <w:basedOn w:val="Fuentedeprrafopredeter"/>
    <w:link w:val="Piedepgina"/>
    <w:uiPriority w:val="99"/>
    <w:rsid w:val="00AD7D2B"/>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D7D2B"/>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AD7D2B"/>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AD7D2B"/>
    <w:rPr>
      <w:color w:val="0563C1"/>
      <w:u w:val="single"/>
    </w:rPr>
  </w:style>
  <w:style w:type="paragraph" w:styleId="Sinespaciado">
    <w:name w:val="No Spacing"/>
    <w:aliases w:val="Francesa,INAI"/>
    <w:link w:val="SinespaciadoCar"/>
    <w:uiPriority w:val="1"/>
    <w:qFormat/>
    <w:rsid w:val="00AD7D2B"/>
    <w:pPr>
      <w:spacing w:after="0" w:line="240" w:lineRule="auto"/>
    </w:pPr>
    <w:rPr>
      <w:rFonts w:ascii="Times New Roman" w:eastAsia="Times New Roman" w:hAnsi="Times New Roman" w:cs="Times New Roman"/>
      <w:sz w:val="24"/>
      <w:szCs w:val="24"/>
      <w:lang w:val="es-MX" w:eastAsia="es-ES"/>
    </w:rPr>
  </w:style>
  <w:style w:type="character" w:customStyle="1" w:styleId="SinespaciadoCar">
    <w:name w:val="Sin espaciado Car"/>
    <w:aliases w:val="Francesa Car,INAI Car"/>
    <w:link w:val="Sinespaciado"/>
    <w:uiPriority w:val="1"/>
    <w:locked/>
    <w:rsid w:val="00AD7D2B"/>
    <w:rPr>
      <w:rFonts w:ascii="Times New Roman" w:eastAsia="Times New Roman" w:hAnsi="Times New Roman" w:cs="Times New Roman"/>
      <w:sz w:val="24"/>
      <w:szCs w:val="24"/>
      <w:lang w:val="es-MX" w:eastAsia="es-ES"/>
    </w:rPr>
  </w:style>
  <w:style w:type="character" w:styleId="Hipervnculovisitado">
    <w:name w:val="FollowedHyperlink"/>
    <w:basedOn w:val="Fuentedeprrafopredeter"/>
    <w:uiPriority w:val="99"/>
    <w:semiHidden/>
    <w:unhideWhenUsed/>
    <w:rsid w:val="008771C4"/>
    <w:rPr>
      <w:color w:val="954F72" w:themeColor="followedHyperlink"/>
      <w:u w:val="single"/>
    </w:rPr>
  </w:style>
  <w:style w:type="character" w:styleId="Referenciasutil">
    <w:name w:val="Subtle Reference"/>
    <w:basedOn w:val="Fuentedeprrafopredeter"/>
    <w:uiPriority w:val="31"/>
    <w:qFormat/>
    <w:rsid w:val="00473D21"/>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801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707677.page" TargetMode="External"/><Relationship Id="rId13" Type="http://schemas.openxmlformats.org/officeDocument/2006/relationships/hyperlink" Target="https://saimex.org.mx/saimex/solicitud/downloadAttach/1721992.page" TargetMode="External"/><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saimex.org.mx/saimex/solicitud/downloadAttach/1721991.page" TargetMode="External"/><Relationship Id="rId17" Type="http://schemas.openxmlformats.org/officeDocument/2006/relationships/image" Target="media/image3.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721990.pag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s://saimex.org.mx/saimex/solicitud/downloadAttach/1721989.page"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legislacion.edomex.gob.mx/sites/legislacion.edomex.gob.mx/files/files/pdf/gct/2022/septiembre/sep281/sep281b.pdf" TargetMode="External"/><Relationship Id="rId14" Type="http://schemas.openxmlformats.org/officeDocument/2006/relationships/hyperlink" Target="https://saimex.org.mx/saimex/solicitud/downloadAttach/1721993.page" TargetMode="External"/><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CFF802-F117-4E26-A51F-1538629A5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25</Pages>
  <Words>4883</Words>
  <Characters>26858</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dcterms:created xsi:type="dcterms:W3CDTF">2023-07-10T17:59:00Z</dcterms:created>
  <dcterms:modified xsi:type="dcterms:W3CDTF">2023-08-04T19:00:00Z</dcterms:modified>
</cp:coreProperties>
</file>